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1D8B11">
      <w:pPr>
        <w:ind w:right="240"/>
        <w:jc w:val="right"/>
        <w:rPr>
          <w:rFonts w:hint="eastAsia" w:hAnsi="宋体"/>
          <w:b/>
          <w:color w:val="auto"/>
          <w:sz w:val="24"/>
          <w:highlight w:val="none"/>
        </w:rPr>
      </w:pPr>
    </w:p>
    <w:p w14:paraId="031A3A5C">
      <w:pPr>
        <w:spacing w:line="720" w:lineRule="exact"/>
        <w:jc w:val="center"/>
        <w:rPr>
          <w:rFonts w:hint="eastAsia" w:hAnsi="宋体"/>
          <w:b/>
          <w:bCs/>
          <w:color w:val="auto"/>
          <w:sz w:val="44"/>
          <w:szCs w:val="44"/>
          <w:highlight w:val="none"/>
        </w:rPr>
      </w:pPr>
    </w:p>
    <w:p w14:paraId="5F5C7882">
      <w:pPr>
        <w:spacing w:line="800" w:lineRule="exact"/>
        <w:jc w:val="center"/>
        <w:rPr>
          <w:rFonts w:hint="eastAsia" w:hAnsi="宋体" w:eastAsia="宋体"/>
          <w:b/>
          <w:bCs/>
          <w:color w:val="auto"/>
          <w:sz w:val="56"/>
          <w:szCs w:val="56"/>
          <w:highlight w:val="none"/>
          <w:lang w:eastAsia="zh-CN"/>
        </w:rPr>
      </w:pPr>
      <w:r>
        <w:rPr>
          <w:rFonts w:hint="eastAsia" w:hAnsi="宋体"/>
          <w:b/>
          <w:bCs/>
          <w:color w:val="auto"/>
          <w:sz w:val="60"/>
          <w:szCs w:val="60"/>
          <w:highlight w:val="none"/>
          <w:lang w:eastAsia="zh-CN"/>
        </w:rPr>
        <w:t>保山市加油站流量数据采集系统</w:t>
      </w:r>
    </w:p>
    <w:p w14:paraId="52E052B6">
      <w:pPr>
        <w:spacing w:line="720" w:lineRule="exact"/>
        <w:jc w:val="center"/>
        <w:rPr>
          <w:rFonts w:hint="eastAsia" w:hAnsi="宋体" w:eastAsia="宋体"/>
          <w:b/>
          <w:bCs/>
          <w:color w:val="auto"/>
          <w:sz w:val="32"/>
          <w:szCs w:val="32"/>
          <w:highlight w:val="none"/>
          <w:lang w:eastAsia="zh-CN"/>
        </w:rPr>
      </w:pPr>
    </w:p>
    <w:p w14:paraId="1ECD682A">
      <w:pPr>
        <w:spacing w:line="720" w:lineRule="exact"/>
        <w:jc w:val="center"/>
        <w:rPr>
          <w:rFonts w:hint="eastAsia" w:hAnsi="宋体"/>
          <w:b/>
          <w:bCs/>
          <w:color w:val="auto"/>
          <w:sz w:val="32"/>
          <w:szCs w:val="32"/>
          <w:highlight w:val="none"/>
        </w:rPr>
      </w:pPr>
    </w:p>
    <w:p w14:paraId="56DD0BE0">
      <w:pPr>
        <w:spacing w:line="720" w:lineRule="exact"/>
        <w:jc w:val="center"/>
        <w:rPr>
          <w:rFonts w:hint="eastAsia" w:hAnsi="宋体"/>
          <w:b/>
          <w:bCs/>
          <w:color w:val="auto"/>
          <w:sz w:val="32"/>
          <w:szCs w:val="32"/>
          <w:highlight w:val="none"/>
        </w:rPr>
      </w:pPr>
    </w:p>
    <w:p w14:paraId="74BEF02B">
      <w:pPr>
        <w:spacing w:before="120" w:line="1000" w:lineRule="exact"/>
        <w:jc w:val="center"/>
        <w:rPr>
          <w:rFonts w:hint="eastAsia" w:hAnsi="宋体"/>
          <w:b/>
          <w:color w:val="auto"/>
          <w:sz w:val="96"/>
          <w:szCs w:val="96"/>
          <w:highlight w:val="none"/>
        </w:rPr>
      </w:pPr>
      <w:r>
        <w:rPr>
          <w:rFonts w:hint="eastAsia" w:hAnsi="宋体"/>
          <w:b/>
          <w:color w:val="auto"/>
          <w:sz w:val="96"/>
          <w:szCs w:val="96"/>
          <w:highlight w:val="none"/>
        </w:rPr>
        <w:t>招 标 文 件</w:t>
      </w:r>
    </w:p>
    <w:p w14:paraId="45A03F36">
      <w:pPr>
        <w:spacing w:before="156" w:beforeLines="50" w:after="156" w:afterLines="50"/>
        <w:jc w:val="center"/>
        <w:rPr>
          <w:rFonts w:hint="eastAsia" w:hAnsi="宋体"/>
          <w:b/>
          <w:color w:val="auto"/>
          <w:sz w:val="30"/>
          <w:highlight w:val="none"/>
        </w:rPr>
      </w:pPr>
    </w:p>
    <w:p w14:paraId="172FC708">
      <w:pPr>
        <w:spacing w:before="156" w:beforeLines="50" w:after="156" w:afterLines="50"/>
        <w:jc w:val="center"/>
        <w:rPr>
          <w:rFonts w:hint="eastAsia" w:hAnsi="宋体" w:eastAsia="宋体"/>
          <w:b/>
          <w:color w:val="auto"/>
          <w:sz w:val="36"/>
          <w:szCs w:val="22"/>
          <w:highlight w:val="none"/>
          <w:lang w:eastAsia="zh-CN"/>
        </w:rPr>
      </w:pPr>
      <w:r>
        <w:rPr>
          <w:rFonts w:hint="eastAsia" w:hAnsi="宋体"/>
          <w:b/>
          <w:color w:val="auto"/>
          <w:sz w:val="32"/>
          <w:szCs w:val="22"/>
          <w:highlight w:val="none"/>
        </w:rPr>
        <w:t>项目编号：</w:t>
      </w:r>
      <w:r>
        <w:rPr>
          <w:rFonts w:hint="eastAsia" w:hAnsi="宋体"/>
          <w:b/>
          <w:color w:val="auto"/>
          <w:sz w:val="32"/>
          <w:szCs w:val="22"/>
          <w:highlight w:val="none"/>
          <w:u w:val="single"/>
          <w:lang w:eastAsia="zh-CN"/>
        </w:rPr>
        <w:t>TRZBC2025-10</w:t>
      </w:r>
    </w:p>
    <w:p w14:paraId="597DB76A">
      <w:pPr>
        <w:spacing w:before="156" w:beforeLines="50" w:after="156" w:afterLines="50"/>
        <w:jc w:val="center"/>
        <w:rPr>
          <w:rFonts w:hint="eastAsia" w:hAnsi="宋体"/>
          <w:b/>
          <w:color w:val="auto"/>
          <w:sz w:val="30"/>
          <w:highlight w:val="none"/>
        </w:rPr>
      </w:pPr>
      <w:r>
        <w:rPr>
          <w:rFonts w:hint="eastAsia" w:hAnsi="宋体"/>
          <w:b/>
          <w:bCs/>
          <w:color w:val="auto"/>
          <w:sz w:val="32"/>
          <w:szCs w:val="32"/>
          <w:highlight w:val="none"/>
          <w:lang w:eastAsia="zh-CN"/>
        </w:rPr>
        <w:t>政采云项目编号：BSZC2025-G3-00150-BSTR-0010</w:t>
      </w:r>
    </w:p>
    <w:p w14:paraId="460EA29D">
      <w:pPr>
        <w:tabs>
          <w:tab w:val="left" w:pos="2355"/>
        </w:tabs>
        <w:spacing w:before="156" w:beforeLines="50" w:after="156" w:afterLines="50" w:line="360" w:lineRule="auto"/>
        <w:rPr>
          <w:rFonts w:hint="eastAsia" w:hAnsi="宋体"/>
          <w:b/>
          <w:color w:val="auto"/>
          <w:sz w:val="30"/>
          <w:highlight w:val="none"/>
        </w:rPr>
      </w:pPr>
      <w:r>
        <w:rPr>
          <w:rFonts w:hAnsi="宋体"/>
          <w:b/>
          <w:color w:val="auto"/>
          <w:sz w:val="30"/>
          <w:highlight w:val="none"/>
        </w:rPr>
        <w:tab/>
      </w:r>
    </w:p>
    <w:p w14:paraId="1643719F">
      <w:pPr>
        <w:pStyle w:val="2"/>
        <w:ind w:left="560"/>
        <w:rPr>
          <w:color w:val="auto"/>
          <w:highlight w:val="none"/>
        </w:rPr>
      </w:pPr>
    </w:p>
    <w:p w14:paraId="1FC3CF64">
      <w:pPr>
        <w:spacing w:before="156" w:beforeLines="50" w:after="156" w:afterLines="50"/>
        <w:ind w:firstLine="964" w:firstLineChars="300"/>
        <w:rPr>
          <w:rFonts w:hint="eastAsia" w:hAnsi="宋体" w:eastAsia="宋体"/>
          <w:b/>
          <w:bCs/>
          <w:color w:val="auto"/>
          <w:sz w:val="32"/>
          <w:szCs w:val="32"/>
          <w:highlight w:val="none"/>
          <w:lang w:eastAsia="zh-CN"/>
        </w:rPr>
      </w:pPr>
      <w:r>
        <w:rPr>
          <w:rFonts w:hint="eastAsia" w:hAnsi="宋体"/>
          <w:b/>
          <w:bCs/>
          <w:color w:val="auto"/>
          <w:sz w:val="32"/>
          <w:szCs w:val="32"/>
          <w:highlight w:val="none"/>
        </w:rPr>
        <w:t>采  购  人：</w:t>
      </w:r>
      <w:r>
        <w:rPr>
          <w:rFonts w:hint="eastAsia" w:hAnsi="宋体"/>
          <w:b/>
          <w:bCs/>
          <w:color w:val="auto"/>
          <w:sz w:val="32"/>
          <w:szCs w:val="32"/>
          <w:highlight w:val="none"/>
          <w:lang w:eastAsia="zh-CN"/>
        </w:rPr>
        <w:t>保山市商务局</w:t>
      </w:r>
    </w:p>
    <w:p w14:paraId="15ED0038">
      <w:pPr>
        <w:spacing w:before="156" w:beforeLines="50" w:after="156" w:afterLines="50"/>
        <w:ind w:firstLine="964" w:firstLineChars="300"/>
        <w:rPr>
          <w:rFonts w:hint="eastAsia" w:hAnsi="宋体"/>
          <w:b/>
          <w:color w:val="auto"/>
          <w:highlight w:val="none"/>
          <w:u w:val="single"/>
        </w:rPr>
      </w:pPr>
      <w:r>
        <w:rPr>
          <w:rFonts w:hint="eastAsia" w:hAnsi="宋体"/>
          <w:b/>
          <w:bCs/>
          <w:color w:val="auto"/>
          <w:sz w:val="32"/>
          <w:szCs w:val="32"/>
          <w:highlight w:val="none"/>
        </w:rPr>
        <w:t>采购代理机构：保山市天瑞建设工程招标咨询有限公司</w:t>
      </w:r>
    </w:p>
    <w:p w14:paraId="58A05103">
      <w:pPr>
        <w:spacing w:before="156" w:beforeLines="50" w:after="156" w:afterLines="50"/>
        <w:ind w:firstLine="964" w:firstLineChars="300"/>
        <w:rPr>
          <w:rFonts w:hint="eastAsia" w:hAnsi="宋体"/>
          <w:b/>
          <w:bCs/>
          <w:color w:val="auto"/>
          <w:sz w:val="32"/>
          <w:szCs w:val="32"/>
          <w:highlight w:val="none"/>
        </w:rPr>
      </w:pPr>
      <w:r>
        <w:rPr>
          <w:rFonts w:hint="eastAsia" w:hAnsi="宋体"/>
          <w:b/>
          <w:bCs/>
          <w:color w:val="auto"/>
          <w:sz w:val="32"/>
          <w:szCs w:val="32"/>
          <w:highlight w:val="none"/>
        </w:rPr>
        <w:t>日期：202</w:t>
      </w:r>
      <w:r>
        <w:rPr>
          <w:rFonts w:hint="eastAsia" w:hAnsi="宋体"/>
          <w:b/>
          <w:bCs/>
          <w:color w:val="auto"/>
          <w:sz w:val="32"/>
          <w:szCs w:val="32"/>
          <w:highlight w:val="none"/>
          <w:lang w:val="en-US" w:eastAsia="zh-CN"/>
        </w:rPr>
        <w:t>5</w:t>
      </w:r>
      <w:r>
        <w:rPr>
          <w:rFonts w:hint="eastAsia" w:hAnsi="宋体"/>
          <w:b/>
          <w:bCs/>
          <w:color w:val="auto"/>
          <w:sz w:val="32"/>
          <w:szCs w:val="32"/>
          <w:highlight w:val="none"/>
        </w:rPr>
        <w:t>年</w:t>
      </w:r>
      <w:r>
        <w:rPr>
          <w:rFonts w:hint="eastAsia" w:hAnsi="宋体"/>
          <w:b/>
          <w:bCs/>
          <w:color w:val="auto"/>
          <w:sz w:val="32"/>
          <w:szCs w:val="32"/>
          <w:highlight w:val="none"/>
          <w:lang w:val="en-US" w:eastAsia="zh-CN"/>
        </w:rPr>
        <w:t>03</w:t>
      </w:r>
      <w:r>
        <w:rPr>
          <w:rFonts w:hint="eastAsia" w:hAnsi="宋体"/>
          <w:b/>
          <w:bCs/>
          <w:color w:val="auto"/>
          <w:sz w:val="32"/>
          <w:szCs w:val="32"/>
          <w:highlight w:val="none"/>
        </w:rPr>
        <w:t>月</w:t>
      </w:r>
    </w:p>
    <w:p w14:paraId="11CB916A">
      <w:pPr>
        <w:rPr>
          <w:rFonts w:hint="eastAsia" w:hAnsi="宋体"/>
          <w:color w:val="auto"/>
          <w:highlight w:val="none"/>
        </w:rPr>
      </w:pPr>
      <w:r>
        <w:rPr>
          <w:rFonts w:hAnsi="宋体"/>
          <w:color w:val="auto"/>
          <w:highlight w:val="none"/>
        </w:rPr>
        <w:br w:type="page"/>
      </w:r>
    </w:p>
    <w:p w14:paraId="67F81559">
      <w:pPr>
        <w:spacing w:line="480" w:lineRule="exact"/>
        <w:ind w:right="-215"/>
        <w:jc w:val="center"/>
        <w:rPr>
          <w:rFonts w:hint="eastAsia" w:hAnsi="宋体" w:cs="宋体"/>
          <w:b/>
          <w:color w:val="auto"/>
          <w:sz w:val="44"/>
          <w:szCs w:val="44"/>
          <w:highlight w:val="none"/>
        </w:rPr>
      </w:pPr>
      <w:r>
        <w:rPr>
          <w:rFonts w:hint="eastAsia" w:hAnsi="宋体" w:cs="宋体"/>
          <w:b/>
          <w:color w:val="auto"/>
          <w:sz w:val="44"/>
          <w:szCs w:val="44"/>
          <w:highlight w:val="none"/>
        </w:rPr>
        <w:t>目录</w:t>
      </w:r>
    </w:p>
    <w:p w14:paraId="2088FEB6">
      <w:pPr>
        <w:pStyle w:val="31"/>
        <w:tabs>
          <w:tab w:val="right" w:leader="dot" w:pos="9800"/>
          <w:tab w:val="clear" w:pos="1260"/>
          <w:tab w:val="clear" w:pos="9218"/>
        </w:tabs>
        <w:rPr>
          <w:color w:val="auto"/>
          <w:highlight w:val="none"/>
        </w:rPr>
      </w:pPr>
      <w:r>
        <w:rPr>
          <w:rFonts w:hint="eastAsia" w:ascii="宋体" w:hAnsi="宋体" w:eastAsia="宋体" w:cs="宋体"/>
          <w:b w:val="0"/>
          <w:color w:val="auto"/>
          <w:szCs w:val="24"/>
          <w:highlight w:val="none"/>
        </w:rPr>
        <w:fldChar w:fldCharType="begin"/>
      </w:r>
      <w:r>
        <w:rPr>
          <w:rFonts w:hint="eastAsia" w:ascii="宋体" w:hAnsi="宋体" w:eastAsia="宋体" w:cs="宋体"/>
          <w:b w:val="0"/>
          <w:color w:val="auto"/>
          <w:szCs w:val="24"/>
          <w:highlight w:val="none"/>
        </w:rPr>
        <w:instrText xml:space="preserve"> TOC \o "1-3" \h \z \u </w:instrText>
      </w:r>
      <w:r>
        <w:rPr>
          <w:rFonts w:hint="eastAsia" w:ascii="宋体" w:hAnsi="宋体" w:eastAsia="宋体" w:cs="宋体"/>
          <w:b w:val="0"/>
          <w:color w:val="auto"/>
          <w:szCs w:val="24"/>
          <w:highlight w:val="none"/>
        </w:rPr>
        <w:fldChar w:fldCharType="separate"/>
      </w:r>
      <w:r>
        <w:rPr>
          <w:rFonts w:hint="eastAsia" w:ascii="宋体" w:hAnsi="宋体" w:eastAsia="宋体" w:cs="宋体"/>
          <w:color w:val="auto"/>
          <w:szCs w:val="24"/>
          <w:highlight w:val="none"/>
        </w:rPr>
        <w:fldChar w:fldCharType="begin"/>
      </w:r>
      <w:r>
        <w:rPr>
          <w:rFonts w:hint="eastAsia" w:ascii="宋体" w:hAnsi="宋体" w:eastAsia="宋体" w:cs="宋体"/>
          <w:color w:val="auto"/>
          <w:szCs w:val="24"/>
          <w:highlight w:val="none"/>
        </w:rPr>
        <w:instrText xml:space="preserve"> HYPERLINK \l _Toc20214 </w:instrText>
      </w:r>
      <w:r>
        <w:rPr>
          <w:rFonts w:hint="eastAsia" w:ascii="宋体" w:hAnsi="宋体" w:eastAsia="宋体" w:cs="宋体"/>
          <w:color w:val="auto"/>
          <w:szCs w:val="24"/>
          <w:highlight w:val="none"/>
        </w:rPr>
        <w:fldChar w:fldCharType="separate"/>
      </w:r>
      <w:r>
        <w:rPr>
          <w:rFonts w:hint="eastAsia" w:ascii="宋体" w:hAnsi="宋体" w:eastAsia="宋体"/>
          <w:bCs w:val="0"/>
          <w:color w:val="auto"/>
          <w:szCs w:val="44"/>
          <w:highlight w:val="none"/>
        </w:rPr>
        <w:t>第一章  招标公告</w:t>
      </w:r>
      <w:r>
        <w:rPr>
          <w:color w:val="auto"/>
          <w:highlight w:val="none"/>
        </w:rPr>
        <w:tab/>
      </w:r>
      <w:r>
        <w:rPr>
          <w:color w:val="auto"/>
          <w:highlight w:val="none"/>
        </w:rPr>
        <w:fldChar w:fldCharType="begin"/>
      </w:r>
      <w:r>
        <w:rPr>
          <w:color w:val="auto"/>
          <w:highlight w:val="none"/>
        </w:rPr>
        <w:instrText xml:space="preserve"> PAGEREF _Toc20214 \h </w:instrText>
      </w:r>
      <w:r>
        <w:rPr>
          <w:color w:val="auto"/>
          <w:highlight w:val="none"/>
        </w:rPr>
        <w:fldChar w:fldCharType="separate"/>
      </w:r>
      <w:r>
        <w:rPr>
          <w:color w:val="auto"/>
          <w:highlight w:val="none"/>
        </w:rPr>
        <w:t>3</w:t>
      </w:r>
      <w:r>
        <w:rPr>
          <w:color w:val="auto"/>
          <w:highlight w:val="none"/>
        </w:rPr>
        <w:fldChar w:fldCharType="end"/>
      </w:r>
      <w:r>
        <w:rPr>
          <w:rFonts w:hint="eastAsia" w:ascii="宋体" w:hAnsi="宋体" w:eastAsia="宋体" w:cs="宋体"/>
          <w:color w:val="auto"/>
          <w:szCs w:val="24"/>
          <w:highlight w:val="none"/>
        </w:rPr>
        <w:fldChar w:fldCharType="end"/>
      </w:r>
    </w:p>
    <w:p w14:paraId="3D1286F2">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_Toc17247 </w:instrText>
      </w:r>
      <w:r>
        <w:rPr>
          <w:rFonts w:hint="eastAsia" w:hAnsi="宋体" w:cs="宋体"/>
          <w:color w:val="auto"/>
          <w:szCs w:val="24"/>
          <w:highlight w:val="none"/>
        </w:rPr>
        <w:fldChar w:fldCharType="separate"/>
      </w:r>
      <w:r>
        <w:rPr>
          <w:rFonts w:hint="eastAsia" w:ascii="宋体" w:hAnsi="宋体" w:eastAsia="宋体"/>
          <w:bCs w:val="0"/>
          <w:color w:val="auto"/>
          <w:szCs w:val="44"/>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_Toc17247 \h </w:instrText>
      </w:r>
      <w:r>
        <w:rPr>
          <w:color w:val="auto"/>
          <w:highlight w:val="none"/>
        </w:rPr>
        <w:fldChar w:fldCharType="separate"/>
      </w:r>
      <w:r>
        <w:rPr>
          <w:color w:val="auto"/>
          <w:highlight w:val="none"/>
        </w:rPr>
        <w:t>7</w:t>
      </w:r>
      <w:r>
        <w:rPr>
          <w:color w:val="auto"/>
          <w:highlight w:val="none"/>
        </w:rPr>
        <w:fldChar w:fldCharType="end"/>
      </w:r>
      <w:r>
        <w:rPr>
          <w:rFonts w:hint="eastAsia" w:hAnsi="宋体" w:cs="宋体"/>
          <w:color w:val="auto"/>
          <w:szCs w:val="24"/>
          <w:highlight w:val="none"/>
        </w:rPr>
        <w:fldChar w:fldCharType="end"/>
      </w:r>
    </w:p>
    <w:p w14:paraId="28C3016B">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_Toc8664 </w:instrText>
      </w:r>
      <w:r>
        <w:rPr>
          <w:rFonts w:hint="eastAsia" w:hAnsi="宋体" w:cs="宋体"/>
          <w:color w:val="auto"/>
          <w:szCs w:val="24"/>
          <w:highlight w:val="none"/>
        </w:rPr>
        <w:fldChar w:fldCharType="separate"/>
      </w:r>
      <w:r>
        <w:rPr>
          <w:rFonts w:hint="eastAsia" w:hAnsi="宋体"/>
          <w:color w:val="auto"/>
          <w:highlight w:val="none"/>
        </w:rPr>
        <w:t>一、投标人须知前附表</w:t>
      </w:r>
      <w:r>
        <w:rPr>
          <w:color w:val="auto"/>
          <w:highlight w:val="none"/>
        </w:rPr>
        <w:tab/>
      </w:r>
      <w:r>
        <w:rPr>
          <w:color w:val="auto"/>
          <w:highlight w:val="none"/>
        </w:rPr>
        <w:fldChar w:fldCharType="begin"/>
      </w:r>
      <w:r>
        <w:rPr>
          <w:color w:val="auto"/>
          <w:highlight w:val="none"/>
        </w:rPr>
        <w:instrText xml:space="preserve"> PAGEREF _Toc8664 \h </w:instrText>
      </w:r>
      <w:r>
        <w:rPr>
          <w:color w:val="auto"/>
          <w:highlight w:val="none"/>
        </w:rPr>
        <w:fldChar w:fldCharType="separate"/>
      </w:r>
      <w:r>
        <w:rPr>
          <w:color w:val="auto"/>
          <w:highlight w:val="none"/>
        </w:rPr>
        <w:t>7</w:t>
      </w:r>
      <w:r>
        <w:rPr>
          <w:color w:val="auto"/>
          <w:highlight w:val="none"/>
        </w:rPr>
        <w:fldChar w:fldCharType="end"/>
      </w:r>
      <w:r>
        <w:rPr>
          <w:rFonts w:hint="eastAsia" w:hAnsi="宋体" w:cs="宋体"/>
          <w:color w:val="auto"/>
          <w:szCs w:val="24"/>
          <w:highlight w:val="none"/>
        </w:rPr>
        <w:fldChar w:fldCharType="end"/>
      </w:r>
    </w:p>
    <w:p w14:paraId="5E1F9D3F">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_Toc1724 </w:instrText>
      </w:r>
      <w:r>
        <w:rPr>
          <w:rFonts w:hint="eastAsia" w:hAnsi="宋体" w:cs="宋体"/>
          <w:color w:val="auto"/>
          <w:szCs w:val="24"/>
          <w:highlight w:val="none"/>
        </w:rPr>
        <w:fldChar w:fldCharType="separate"/>
      </w:r>
      <w:r>
        <w:rPr>
          <w:rFonts w:hint="eastAsia" w:hAnsi="宋体"/>
          <w:color w:val="auto"/>
          <w:highlight w:val="none"/>
        </w:rPr>
        <w:t>1.总则</w:t>
      </w:r>
      <w:r>
        <w:rPr>
          <w:color w:val="auto"/>
          <w:highlight w:val="none"/>
        </w:rPr>
        <w:tab/>
      </w:r>
      <w:r>
        <w:rPr>
          <w:color w:val="auto"/>
          <w:highlight w:val="none"/>
        </w:rPr>
        <w:fldChar w:fldCharType="begin"/>
      </w:r>
      <w:r>
        <w:rPr>
          <w:color w:val="auto"/>
          <w:highlight w:val="none"/>
        </w:rPr>
        <w:instrText xml:space="preserve"> PAGEREF _Toc1724 \h </w:instrText>
      </w:r>
      <w:r>
        <w:rPr>
          <w:color w:val="auto"/>
          <w:highlight w:val="none"/>
        </w:rPr>
        <w:fldChar w:fldCharType="separate"/>
      </w:r>
      <w:r>
        <w:rPr>
          <w:color w:val="auto"/>
          <w:highlight w:val="none"/>
        </w:rPr>
        <w:t>13</w:t>
      </w:r>
      <w:r>
        <w:rPr>
          <w:color w:val="auto"/>
          <w:highlight w:val="none"/>
        </w:rPr>
        <w:fldChar w:fldCharType="end"/>
      </w:r>
      <w:r>
        <w:rPr>
          <w:rFonts w:hint="eastAsia" w:hAnsi="宋体" w:cs="宋体"/>
          <w:color w:val="auto"/>
          <w:szCs w:val="24"/>
          <w:highlight w:val="none"/>
        </w:rPr>
        <w:fldChar w:fldCharType="end"/>
      </w:r>
    </w:p>
    <w:p w14:paraId="479B9090">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_Toc31959 </w:instrText>
      </w:r>
      <w:r>
        <w:rPr>
          <w:rFonts w:hint="eastAsia" w:hAnsi="宋体" w:cs="宋体"/>
          <w:color w:val="auto"/>
          <w:szCs w:val="24"/>
          <w:highlight w:val="none"/>
        </w:rPr>
        <w:fldChar w:fldCharType="separate"/>
      </w:r>
      <w:r>
        <w:rPr>
          <w:rFonts w:hint="eastAsia" w:hAnsi="宋体"/>
          <w:color w:val="auto"/>
          <w:highlight w:val="none"/>
        </w:rPr>
        <w:t>2.招标文件</w:t>
      </w:r>
      <w:r>
        <w:rPr>
          <w:color w:val="auto"/>
          <w:highlight w:val="none"/>
        </w:rPr>
        <w:tab/>
      </w:r>
      <w:r>
        <w:rPr>
          <w:color w:val="auto"/>
          <w:highlight w:val="none"/>
        </w:rPr>
        <w:fldChar w:fldCharType="begin"/>
      </w:r>
      <w:r>
        <w:rPr>
          <w:color w:val="auto"/>
          <w:highlight w:val="none"/>
        </w:rPr>
        <w:instrText xml:space="preserve"> PAGEREF _Toc31959 \h </w:instrText>
      </w:r>
      <w:r>
        <w:rPr>
          <w:color w:val="auto"/>
          <w:highlight w:val="none"/>
        </w:rPr>
        <w:fldChar w:fldCharType="separate"/>
      </w:r>
      <w:r>
        <w:rPr>
          <w:color w:val="auto"/>
          <w:highlight w:val="none"/>
        </w:rPr>
        <w:t>14</w:t>
      </w:r>
      <w:r>
        <w:rPr>
          <w:color w:val="auto"/>
          <w:highlight w:val="none"/>
        </w:rPr>
        <w:fldChar w:fldCharType="end"/>
      </w:r>
      <w:r>
        <w:rPr>
          <w:rFonts w:hint="eastAsia" w:hAnsi="宋体" w:cs="宋体"/>
          <w:color w:val="auto"/>
          <w:szCs w:val="24"/>
          <w:highlight w:val="none"/>
        </w:rPr>
        <w:fldChar w:fldCharType="end"/>
      </w:r>
    </w:p>
    <w:p w14:paraId="5C582CF8">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_Toc31522 </w:instrText>
      </w:r>
      <w:r>
        <w:rPr>
          <w:rFonts w:hint="eastAsia" w:hAnsi="宋体" w:cs="宋体"/>
          <w:color w:val="auto"/>
          <w:szCs w:val="24"/>
          <w:highlight w:val="none"/>
        </w:rPr>
        <w:fldChar w:fldCharType="separate"/>
      </w:r>
      <w:r>
        <w:rPr>
          <w:rFonts w:hint="eastAsia" w:hAnsi="宋体"/>
          <w:color w:val="auto"/>
          <w:highlight w:val="none"/>
        </w:rPr>
        <w:t>3.投标文件</w:t>
      </w:r>
      <w:r>
        <w:rPr>
          <w:color w:val="auto"/>
          <w:highlight w:val="none"/>
        </w:rPr>
        <w:tab/>
      </w:r>
      <w:r>
        <w:rPr>
          <w:color w:val="auto"/>
          <w:highlight w:val="none"/>
        </w:rPr>
        <w:fldChar w:fldCharType="begin"/>
      </w:r>
      <w:r>
        <w:rPr>
          <w:color w:val="auto"/>
          <w:highlight w:val="none"/>
        </w:rPr>
        <w:instrText xml:space="preserve"> PAGEREF _Toc31522 \h </w:instrText>
      </w:r>
      <w:r>
        <w:rPr>
          <w:color w:val="auto"/>
          <w:highlight w:val="none"/>
        </w:rPr>
        <w:fldChar w:fldCharType="separate"/>
      </w:r>
      <w:r>
        <w:rPr>
          <w:color w:val="auto"/>
          <w:highlight w:val="none"/>
        </w:rPr>
        <w:t>15</w:t>
      </w:r>
      <w:r>
        <w:rPr>
          <w:color w:val="auto"/>
          <w:highlight w:val="none"/>
        </w:rPr>
        <w:fldChar w:fldCharType="end"/>
      </w:r>
      <w:r>
        <w:rPr>
          <w:rFonts w:hint="eastAsia" w:hAnsi="宋体" w:cs="宋体"/>
          <w:color w:val="auto"/>
          <w:szCs w:val="24"/>
          <w:highlight w:val="none"/>
        </w:rPr>
        <w:fldChar w:fldCharType="end"/>
      </w:r>
    </w:p>
    <w:p w14:paraId="69DB2BC3">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_Toc12702 </w:instrText>
      </w:r>
      <w:r>
        <w:rPr>
          <w:rFonts w:hint="eastAsia" w:hAnsi="宋体" w:cs="宋体"/>
          <w:color w:val="auto"/>
          <w:szCs w:val="24"/>
          <w:highlight w:val="none"/>
        </w:rPr>
        <w:fldChar w:fldCharType="separate"/>
      </w:r>
      <w:r>
        <w:rPr>
          <w:rFonts w:hint="eastAsia" w:ascii="宋体"/>
          <w:color w:val="auto"/>
          <w:highlight w:val="none"/>
        </w:rPr>
        <w:t>4.投标</w:t>
      </w:r>
      <w:r>
        <w:rPr>
          <w:color w:val="auto"/>
          <w:highlight w:val="none"/>
        </w:rPr>
        <w:tab/>
      </w:r>
      <w:r>
        <w:rPr>
          <w:color w:val="auto"/>
          <w:highlight w:val="none"/>
        </w:rPr>
        <w:fldChar w:fldCharType="begin"/>
      </w:r>
      <w:r>
        <w:rPr>
          <w:color w:val="auto"/>
          <w:highlight w:val="none"/>
        </w:rPr>
        <w:instrText xml:space="preserve"> PAGEREF _Toc12702 \h </w:instrText>
      </w:r>
      <w:r>
        <w:rPr>
          <w:color w:val="auto"/>
          <w:highlight w:val="none"/>
        </w:rPr>
        <w:fldChar w:fldCharType="separate"/>
      </w:r>
      <w:r>
        <w:rPr>
          <w:color w:val="auto"/>
          <w:highlight w:val="none"/>
        </w:rPr>
        <w:t>18</w:t>
      </w:r>
      <w:r>
        <w:rPr>
          <w:color w:val="auto"/>
          <w:highlight w:val="none"/>
        </w:rPr>
        <w:fldChar w:fldCharType="end"/>
      </w:r>
      <w:r>
        <w:rPr>
          <w:rFonts w:hint="eastAsia" w:hAnsi="宋体" w:cs="宋体"/>
          <w:color w:val="auto"/>
          <w:szCs w:val="24"/>
          <w:highlight w:val="none"/>
        </w:rPr>
        <w:fldChar w:fldCharType="end"/>
      </w:r>
    </w:p>
    <w:p w14:paraId="6C82D0CA">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_Toc16510 </w:instrText>
      </w:r>
      <w:r>
        <w:rPr>
          <w:rFonts w:hint="eastAsia" w:hAnsi="宋体" w:cs="宋体"/>
          <w:color w:val="auto"/>
          <w:szCs w:val="24"/>
          <w:highlight w:val="none"/>
        </w:rPr>
        <w:fldChar w:fldCharType="separate"/>
      </w:r>
      <w:r>
        <w:rPr>
          <w:rFonts w:hint="eastAsia" w:ascii="宋体"/>
          <w:color w:val="auto"/>
          <w:highlight w:val="none"/>
        </w:rPr>
        <w:t>5.开标</w:t>
      </w:r>
      <w:r>
        <w:rPr>
          <w:color w:val="auto"/>
          <w:highlight w:val="none"/>
        </w:rPr>
        <w:tab/>
      </w:r>
      <w:r>
        <w:rPr>
          <w:color w:val="auto"/>
          <w:highlight w:val="none"/>
        </w:rPr>
        <w:fldChar w:fldCharType="begin"/>
      </w:r>
      <w:r>
        <w:rPr>
          <w:color w:val="auto"/>
          <w:highlight w:val="none"/>
        </w:rPr>
        <w:instrText xml:space="preserve"> PAGEREF _Toc16510 \h </w:instrText>
      </w:r>
      <w:r>
        <w:rPr>
          <w:color w:val="auto"/>
          <w:highlight w:val="none"/>
        </w:rPr>
        <w:fldChar w:fldCharType="separate"/>
      </w:r>
      <w:r>
        <w:rPr>
          <w:color w:val="auto"/>
          <w:highlight w:val="none"/>
        </w:rPr>
        <w:t>19</w:t>
      </w:r>
      <w:r>
        <w:rPr>
          <w:color w:val="auto"/>
          <w:highlight w:val="none"/>
        </w:rPr>
        <w:fldChar w:fldCharType="end"/>
      </w:r>
      <w:r>
        <w:rPr>
          <w:rFonts w:hint="eastAsia" w:hAnsi="宋体" w:cs="宋体"/>
          <w:color w:val="auto"/>
          <w:szCs w:val="24"/>
          <w:highlight w:val="none"/>
        </w:rPr>
        <w:fldChar w:fldCharType="end"/>
      </w:r>
    </w:p>
    <w:p w14:paraId="311931AA">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_Toc27028 </w:instrText>
      </w:r>
      <w:r>
        <w:rPr>
          <w:rFonts w:hint="eastAsia" w:hAnsi="宋体" w:cs="宋体"/>
          <w:color w:val="auto"/>
          <w:szCs w:val="24"/>
          <w:highlight w:val="none"/>
        </w:rPr>
        <w:fldChar w:fldCharType="separate"/>
      </w:r>
      <w:r>
        <w:rPr>
          <w:rFonts w:hint="eastAsia" w:ascii="宋体"/>
          <w:color w:val="auto"/>
          <w:highlight w:val="none"/>
        </w:rPr>
        <w:t>6.资格审查及评标</w:t>
      </w:r>
      <w:r>
        <w:rPr>
          <w:color w:val="auto"/>
          <w:highlight w:val="none"/>
        </w:rPr>
        <w:tab/>
      </w:r>
      <w:r>
        <w:rPr>
          <w:color w:val="auto"/>
          <w:highlight w:val="none"/>
        </w:rPr>
        <w:fldChar w:fldCharType="begin"/>
      </w:r>
      <w:r>
        <w:rPr>
          <w:color w:val="auto"/>
          <w:highlight w:val="none"/>
        </w:rPr>
        <w:instrText xml:space="preserve"> PAGEREF _Toc27028 \h </w:instrText>
      </w:r>
      <w:r>
        <w:rPr>
          <w:color w:val="auto"/>
          <w:highlight w:val="none"/>
        </w:rPr>
        <w:fldChar w:fldCharType="separate"/>
      </w:r>
      <w:r>
        <w:rPr>
          <w:color w:val="auto"/>
          <w:highlight w:val="none"/>
        </w:rPr>
        <w:t>19</w:t>
      </w:r>
      <w:r>
        <w:rPr>
          <w:color w:val="auto"/>
          <w:highlight w:val="none"/>
        </w:rPr>
        <w:fldChar w:fldCharType="end"/>
      </w:r>
      <w:r>
        <w:rPr>
          <w:rFonts w:hint="eastAsia" w:hAnsi="宋体" w:cs="宋体"/>
          <w:color w:val="auto"/>
          <w:szCs w:val="24"/>
          <w:highlight w:val="none"/>
        </w:rPr>
        <w:fldChar w:fldCharType="end"/>
      </w:r>
    </w:p>
    <w:p w14:paraId="2E709D0B">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_Toc26402 </w:instrText>
      </w:r>
      <w:r>
        <w:rPr>
          <w:rFonts w:hint="eastAsia" w:hAnsi="宋体" w:cs="宋体"/>
          <w:color w:val="auto"/>
          <w:szCs w:val="24"/>
          <w:highlight w:val="none"/>
        </w:rPr>
        <w:fldChar w:fldCharType="separate"/>
      </w:r>
      <w:r>
        <w:rPr>
          <w:rFonts w:hint="eastAsia" w:ascii="宋体"/>
          <w:color w:val="auto"/>
          <w:highlight w:val="none"/>
        </w:rPr>
        <w:t>7.合同授予</w:t>
      </w:r>
      <w:r>
        <w:rPr>
          <w:color w:val="auto"/>
          <w:highlight w:val="none"/>
        </w:rPr>
        <w:tab/>
      </w:r>
      <w:r>
        <w:rPr>
          <w:color w:val="auto"/>
          <w:highlight w:val="none"/>
        </w:rPr>
        <w:fldChar w:fldCharType="begin"/>
      </w:r>
      <w:r>
        <w:rPr>
          <w:color w:val="auto"/>
          <w:highlight w:val="none"/>
        </w:rPr>
        <w:instrText xml:space="preserve"> PAGEREF _Toc26402 \h </w:instrText>
      </w:r>
      <w:r>
        <w:rPr>
          <w:color w:val="auto"/>
          <w:highlight w:val="none"/>
        </w:rPr>
        <w:fldChar w:fldCharType="separate"/>
      </w:r>
      <w:r>
        <w:rPr>
          <w:color w:val="auto"/>
          <w:highlight w:val="none"/>
        </w:rPr>
        <w:t>19</w:t>
      </w:r>
      <w:r>
        <w:rPr>
          <w:color w:val="auto"/>
          <w:highlight w:val="none"/>
        </w:rPr>
        <w:fldChar w:fldCharType="end"/>
      </w:r>
      <w:r>
        <w:rPr>
          <w:rFonts w:hint="eastAsia" w:hAnsi="宋体" w:cs="宋体"/>
          <w:color w:val="auto"/>
          <w:szCs w:val="24"/>
          <w:highlight w:val="none"/>
        </w:rPr>
        <w:fldChar w:fldCharType="end"/>
      </w:r>
    </w:p>
    <w:p w14:paraId="30C94D62">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_Toc6935 </w:instrText>
      </w:r>
      <w:r>
        <w:rPr>
          <w:rFonts w:hint="eastAsia" w:hAnsi="宋体" w:cs="宋体"/>
          <w:color w:val="auto"/>
          <w:szCs w:val="24"/>
          <w:highlight w:val="none"/>
        </w:rPr>
        <w:fldChar w:fldCharType="separate"/>
      </w:r>
      <w:r>
        <w:rPr>
          <w:rFonts w:hint="eastAsia" w:ascii="宋体"/>
          <w:color w:val="auto"/>
          <w:highlight w:val="none"/>
        </w:rPr>
        <w:t>8.质疑和投诉</w:t>
      </w:r>
      <w:r>
        <w:rPr>
          <w:color w:val="auto"/>
          <w:highlight w:val="none"/>
        </w:rPr>
        <w:tab/>
      </w:r>
      <w:r>
        <w:rPr>
          <w:color w:val="auto"/>
          <w:highlight w:val="none"/>
        </w:rPr>
        <w:fldChar w:fldCharType="begin"/>
      </w:r>
      <w:r>
        <w:rPr>
          <w:color w:val="auto"/>
          <w:highlight w:val="none"/>
        </w:rPr>
        <w:instrText xml:space="preserve"> PAGEREF _Toc6935 \h </w:instrText>
      </w:r>
      <w:r>
        <w:rPr>
          <w:color w:val="auto"/>
          <w:highlight w:val="none"/>
        </w:rPr>
        <w:fldChar w:fldCharType="separate"/>
      </w:r>
      <w:r>
        <w:rPr>
          <w:color w:val="auto"/>
          <w:highlight w:val="none"/>
        </w:rPr>
        <w:t>20</w:t>
      </w:r>
      <w:r>
        <w:rPr>
          <w:color w:val="auto"/>
          <w:highlight w:val="none"/>
        </w:rPr>
        <w:fldChar w:fldCharType="end"/>
      </w:r>
      <w:r>
        <w:rPr>
          <w:rFonts w:hint="eastAsia" w:hAnsi="宋体" w:cs="宋体"/>
          <w:color w:val="auto"/>
          <w:szCs w:val="24"/>
          <w:highlight w:val="none"/>
        </w:rPr>
        <w:fldChar w:fldCharType="end"/>
      </w:r>
    </w:p>
    <w:p w14:paraId="4603CD0B">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_Toc31169 </w:instrText>
      </w:r>
      <w:r>
        <w:rPr>
          <w:rFonts w:hint="eastAsia" w:hAnsi="宋体" w:cs="宋体"/>
          <w:color w:val="auto"/>
          <w:szCs w:val="24"/>
          <w:highlight w:val="none"/>
        </w:rPr>
        <w:fldChar w:fldCharType="separate"/>
      </w:r>
      <w:r>
        <w:rPr>
          <w:rFonts w:hint="eastAsia" w:ascii="宋体"/>
          <w:color w:val="auto"/>
          <w:highlight w:val="none"/>
        </w:rPr>
        <w:t>9.需要补充的其他内容</w:t>
      </w:r>
      <w:r>
        <w:rPr>
          <w:color w:val="auto"/>
          <w:highlight w:val="none"/>
        </w:rPr>
        <w:tab/>
      </w:r>
      <w:r>
        <w:rPr>
          <w:color w:val="auto"/>
          <w:highlight w:val="none"/>
        </w:rPr>
        <w:fldChar w:fldCharType="begin"/>
      </w:r>
      <w:r>
        <w:rPr>
          <w:color w:val="auto"/>
          <w:highlight w:val="none"/>
        </w:rPr>
        <w:instrText xml:space="preserve"> PAGEREF _Toc31169 \h </w:instrText>
      </w:r>
      <w:r>
        <w:rPr>
          <w:color w:val="auto"/>
          <w:highlight w:val="none"/>
        </w:rPr>
        <w:fldChar w:fldCharType="separate"/>
      </w:r>
      <w:r>
        <w:rPr>
          <w:color w:val="auto"/>
          <w:highlight w:val="none"/>
        </w:rPr>
        <w:t>21</w:t>
      </w:r>
      <w:r>
        <w:rPr>
          <w:color w:val="auto"/>
          <w:highlight w:val="none"/>
        </w:rPr>
        <w:fldChar w:fldCharType="end"/>
      </w:r>
      <w:r>
        <w:rPr>
          <w:rFonts w:hint="eastAsia" w:hAnsi="宋体" w:cs="宋体"/>
          <w:color w:val="auto"/>
          <w:szCs w:val="24"/>
          <w:highlight w:val="none"/>
        </w:rPr>
        <w:fldChar w:fldCharType="end"/>
      </w:r>
    </w:p>
    <w:p w14:paraId="51E024E4">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_Toc27379 </w:instrText>
      </w:r>
      <w:r>
        <w:rPr>
          <w:rFonts w:hint="eastAsia" w:hAnsi="宋体" w:cs="宋体"/>
          <w:color w:val="auto"/>
          <w:szCs w:val="24"/>
          <w:highlight w:val="none"/>
        </w:rPr>
        <w:fldChar w:fldCharType="separate"/>
      </w:r>
      <w:r>
        <w:rPr>
          <w:rFonts w:hint="eastAsia"/>
          <w:color w:val="auto"/>
          <w:highlight w:val="none"/>
        </w:rPr>
        <w:t xml:space="preserve">第三章  </w:t>
      </w:r>
      <w:r>
        <w:rPr>
          <w:color w:val="auto"/>
          <w:highlight w:val="none"/>
        </w:rPr>
        <w:t>资格审查</w:t>
      </w:r>
      <w:r>
        <w:rPr>
          <w:color w:val="auto"/>
          <w:highlight w:val="none"/>
        </w:rPr>
        <w:tab/>
      </w:r>
      <w:r>
        <w:rPr>
          <w:color w:val="auto"/>
          <w:highlight w:val="none"/>
        </w:rPr>
        <w:fldChar w:fldCharType="begin"/>
      </w:r>
      <w:r>
        <w:rPr>
          <w:color w:val="auto"/>
          <w:highlight w:val="none"/>
        </w:rPr>
        <w:instrText xml:space="preserve"> PAGEREF _Toc27379 \h </w:instrText>
      </w:r>
      <w:r>
        <w:rPr>
          <w:color w:val="auto"/>
          <w:highlight w:val="none"/>
        </w:rPr>
        <w:fldChar w:fldCharType="separate"/>
      </w:r>
      <w:r>
        <w:rPr>
          <w:color w:val="auto"/>
          <w:highlight w:val="none"/>
        </w:rPr>
        <w:t>22</w:t>
      </w:r>
      <w:r>
        <w:rPr>
          <w:color w:val="auto"/>
          <w:highlight w:val="none"/>
        </w:rPr>
        <w:fldChar w:fldCharType="end"/>
      </w:r>
      <w:r>
        <w:rPr>
          <w:rFonts w:hint="eastAsia" w:hAnsi="宋体" w:cs="宋体"/>
          <w:color w:val="auto"/>
          <w:szCs w:val="24"/>
          <w:highlight w:val="none"/>
        </w:rPr>
        <w:fldChar w:fldCharType="end"/>
      </w:r>
    </w:p>
    <w:p w14:paraId="1FF91A9C">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_Toc28929 </w:instrText>
      </w:r>
      <w:r>
        <w:rPr>
          <w:rFonts w:hint="eastAsia" w:hAnsi="宋体" w:cs="宋体"/>
          <w:color w:val="auto"/>
          <w:szCs w:val="24"/>
          <w:highlight w:val="none"/>
        </w:rPr>
        <w:fldChar w:fldCharType="separate"/>
      </w:r>
      <w:r>
        <w:rPr>
          <w:rFonts w:hint="eastAsia" w:ascii="宋体" w:hAnsi="宋体" w:eastAsia="宋体"/>
          <w:bCs w:val="0"/>
          <w:color w:val="auto"/>
          <w:szCs w:val="44"/>
          <w:highlight w:val="none"/>
        </w:rPr>
        <w:t>第四章 评标方法</w:t>
      </w:r>
      <w:r>
        <w:rPr>
          <w:color w:val="auto"/>
          <w:highlight w:val="none"/>
        </w:rPr>
        <w:tab/>
      </w:r>
      <w:r>
        <w:rPr>
          <w:color w:val="auto"/>
          <w:highlight w:val="none"/>
        </w:rPr>
        <w:fldChar w:fldCharType="begin"/>
      </w:r>
      <w:r>
        <w:rPr>
          <w:color w:val="auto"/>
          <w:highlight w:val="none"/>
        </w:rPr>
        <w:instrText xml:space="preserve"> PAGEREF _Toc28929 \h </w:instrText>
      </w:r>
      <w:r>
        <w:rPr>
          <w:color w:val="auto"/>
          <w:highlight w:val="none"/>
        </w:rPr>
        <w:fldChar w:fldCharType="separate"/>
      </w:r>
      <w:r>
        <w:rPr>
          <w:color w:val="auto"/>
          <w:highlight w:val="none"/>
        </w:rPr>
        <w:t>24</w:t>
      </w:r>
      <w:r>
        <w:rPr>
          <w:color w:val="auto"/>
          <w:highlight w:val="none"/>
        </w:rPr>
        <w:fldChar w:fldCharType="end"/>
      </w:r>
      <w:r>
        <w:rPr>
          <w:rFonts w:hint="eastAsia" w:hAnsi="宋体" w:cs="宋体"/>
          <w:color w:val="auto"/>
          <w:szCs w:val="24"/>
          <w:highlight w:val="none"/>
        </w:rPr>
        <w:fldChar w:fldCharType="end"/>
      </w:r>
    </w:p>
    <w:p w14:paraId="78223DAE">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_Toc3673 </w:instrText>
      </w:r>
      <w:r>
        <w:rPr>
          <w:rFonts w:hint="eastAsia" w:hAnsi="宋体" w:cs="宋体"/>
          <w:color w:val="auto"/>
          <w:szCs w:val="24"/>
          <w:highlight w:val="none"/>
        </w:rPr>
        <w:fldChar w:fldCharType="separate"/>
      </w:r>
      <w:r>
        <w:rPr>
          <w:rFonts w:hint="eastAsia" w:hAnsi="宋体"/>
          <w:color w:val="auto"/>
          <w:highlight w:val="none"/>
        </w:rPr>
        <w:t>1.评审程序</w:t>
      </w:r>
      <w:r>
        <w:rPr>
          <w:color w:val="auto"/>
          <w:highlight w:val="none"/>
        </w:rPr>
        <w:tab/>
      </w:r>
      <w:r>
        <w:rPr>
          <w:color w:val="auto"/>
          <w:highlight w:val="none"/>
        </w:rPr>
        <w:fldChar w:fldCharType="begin"/>
      </w:r>
      <w:r>
        <w:rPr>
          <w:color w:val="auto"/>
          <w:highlight w:val="none"/>
        </w:rPr>
        <w:instrText xml:space="preserve"> PAGEREF _Toc3673 \h </w:instrText>
      </w:r>
      <w:r>
        <w:rPr>
          <w:color w:val="auto"/>
          <w:highlight w:val="none"/>
        </w:rPr>
        <w:fldChar w:fldCharType="separate"/>
      </w:r>
      <w:r>
        <w:rPr>
          <w:color w:val="auto"/>
          <w:highlight w:val="none"/>
        </w:rPr>
        <w:t>24</w:t>
      </w:r>
      <w:r>
        <w:rPr>
          <w:color w:val="auto"/>
          <w:highlight w:val="none"/>
        </w:rPr>
        <w:fldChar w:fldCharType="end"/>
      </w:r>
      <w:r>
        <w:rPr>
          <w:rFonts w:hint="eastAsia" w:hAnsi="宋体" w:cs="宋体"/>
          <w:color w:val="auto"/>
          <w:szCs w:val="24"/>
          <w:highlight w:val="none"/>
        </w:rPr>
        <w:fldChar w:fldCharType="end"/>
      </w:r>
    </w:p>
    <w:p w14:paraId="5E7D194E">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_Toc12920 </w:instrText>
      </w:r>
      <w:r>
        <w:rPr>
          <w:rFonts w:hint="eastAsia" w:hAnsi="宋体" w:cs="宋体"/>
          <w:color w:val="auto"/>
          <w:szCs w:val="24"/>
          <w:highlight w:val="none"/>
        </w:rPr>
        <w:fldChar w:fldCharType="separate"/>
      </w:r>
      <w:r>
        <w:rPr>
          <w:rFonts w:hint="eastAsia" w:hAnsi="宋体"/>
          <w:color w:val="auto"/>
          <w:highlight w:val="none"/>
        </w:rPr>
        <w:t>2.评审标准</w:t>
      </w:r>
      <w:r>
        <w:rPr>
          <w:color w:val="auto"/>
          <w:highlight w:val="none"/>
        </w:rPr>
        <w:tab/>
      </w:r>
      <w:r>
        <w:rPr>
          <w:color w:val="auto"/>
          <w:highlight w:val="none"/>
        </w:rPr>
        <w:fldChar w:fldCharType="begin"/>
      </w:r>
      <w:r>
        <w:rPr>
          <w:color w:val="auto"/>
          <w:highlight w:val="none"/>
        </w:rPr>
        <w:instrText xml:space="preserve"> PAGEREF _Toc12920 \h </w:instrText>
      </w:r>
      <w:r>
        <w:rPr>
          <w:color w:val="auto"/>
          <w:highlight w:val="none"/>
        </w:rPr>
        <w:fldChar w:fldCharType="separate"/>
      </w:r>
      <w:r>
        <w:rPr>
          <w:color w:val="auto"/>
          <w:highlight w:val="none"/>
        </w:rPr>
        <w:t>25</w:t>
      </w:r>
      <w:r>
        <w:rPr>
          <w:color w:val="auto"/>
          <w:highlight w:val="none"/>
        </w:rPr>
        <w:fldChar w:fldCharType="end"/>
      </w:r>
      <w:r>
        <w:rPr>
          <w:rFonts w:hint="eastAsia" w:hAnsi="宋体" w:cs="宋体"/>
          <w:color w:val="auto"/>
          <w:szCs w:val="24"/>
          <w:highlight w:val="none"/>
        </w:rPr>
        <w:fldChar w:fldCharType="end"/>
      </w:r>
    </w:p>
    <w:p w14:paraId="754F09DE">
      <w:pPr>
        <w:pStyle w:val="22"/>
        <w:tabs>
          <w:tab w:val="right" w:leader="dot" w:pos="980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_Toc29077 </w:instrText>
      </w:r>
      <w:r>
        <w:rPr>
          <w:rFonts w:hint="eastAsia" w:hAnsi="宋体" w:cs="宋体"/>
          <w:color w:val="auto"/>
          <w:szCs w:val="24"/>
          <w:highlight w:val="none"/>
        </w:rPr>
        <w:fldChar w:fldCharType="separate"/>
      </w:r>
      <w:r>
        <w:rPr>
          <w:rFonts w:hint="eastAsia" w:hAnsi="宋体"/>
          <w:color w:val="auto"/>
          <w:highlight w:val="none"/>
        </w:rPr>
        <w:t>3.评标程序</w:t>
      </w:r>
      <w:r>
        <w:rPr>
          <w:color w:val="auto"/>
          <w:highlight w:val="none"/>
        </w:rPr>
        <w:tab/>
      </w:r>
      <w:r>
        <w:rPr>
          <w:color w:val="auto"/>
          <w:highlight w:val="none"/>
        </w:rPr>
        <w:fldChar w:fldCharType="begin"/>
      </w:r>
      <w:r>
        <w:rPr>
          <w:color w:val="auto"/>
          <w:highlight w:val="none"/>
        </w:rPr>
        <w:instrText xml:space="preserve"> PAGEREF _Toc29077 \h </w:instrText>
      </w:r>
      <w:r>
        <w:rPr>
          <w:color w:val="auto"/>
          <w:highlight w:val="none"/>
        </w:rPr>
        <w:fldChar w:fldCharType="separate"/>
      </w:r>
      <w:r>
        <w:rPr>
          <w:color w:val="auto"/>
          <w:highlight w:val="none"/>
        </w:rPr>
        <w:t>34</w:t>
      </w:r>
      <w:r>
        <w:rPr>
          <w:color w:val="auto"/>
          <w:highlight w:val="none"/>
        </w:rPr>
        <w:fldChar w:fldCharType="end"/>
      </w:r>
      <w:r>
        <w:rPr>
          <w:rFonts w:hint="eastAsia" w:hAnsi="宋体" w:cs="宋体"/>
          <w:color w:val="auto"/>
          <w:szCs w:val="24"/>
          <w:highlight w:val="none"/>
        </w:rPr>
        <w:fldChar w:fldCharType="end"/>
      </w:r>
    </w:p>
    <w:p w14:paraId="1E7C45BB">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_Toc4607 </w:instrText>
      </w:r>
      <w:r>
        <w:rPr>
          <w:rFonts w:hint="eastAsia" w:hAnsi="宋体" w:cs="宋体"/>
          <w:color w:val="auto"/>
          <w:szCs w:val="24"/>
          <w:highlight w:val="none"/>
        </w:rPr>
        <w:fldChar w:fldCharType="separate"/>
      </w:r>
      <w:r>
        <w:rPr>
          <w:rFonts w:hint="eastAsia" w:ascii="宋体" w:hAnsi="宋体" w:eastAsia="宋体"/>
          <w:bCs w:val="0"/>
          <w:color w:val="auto"/>
          <w:szCs w:val="44"/>
          <w:highlight w:val="none"/>
        </w:rPr>
        <w:t>第五章 投标文件格式</w:t>
      </w:r>
      <w:r>
        <w:rPr>
          <w:color w:val="auto"/>
          <w:highlight w:val="none"/>
        </w:rPr>
        <w:tab/>
      </w:r>
      <w:r>
        <w:rPr>
          <w:color w:val="auto"/>
          <w:highlight w:val="none"/>
        </w:rPr>
        <w:fldChar w:fldCharType="begin"/>
      </w:r>
      <w:r>
        <w:rPr>
          <w:color w:val="auto"/>
          <w:highlight w:val="none"/>
        </w:rPr>
        <w:instrText xml:space="preserve"> PAGEREF _Toc4607 \h </w:instrText>
      </w:r>
      <w:r>
        <w:rPr>
          <w:color w:val="auto"/>
          <w:highlight w:val="none"/>
        </w:rPr>
        <w:fldChar w:fldCharType="separate"/>
      </w:r>
      <w:r>
        <w:rPr>
          <w:color w:val="auto"/>
          <w:highlight w:val="none"/>
        </w:rPr>
        <w:t>35</w:t>
      </w:r>
      <w:r>
        <w:rPr>
          <w:color w:val="auto"/>
          <w:highlight w:val="none"/>
        </w:rPr>
        <w:fldChar w:fldCharType="end"/>
      </w:r>
      <w:r>
        <w:rPr>
          <w:rFonts w:hint="eastAsia" w:hAnsi="宋体" w:cs="宋体"/>
          <w:color w:val="auto"/>
          <w:szCs w:val="24"/>
          <w:highlight w:val="none"/>
        </w:rPr>
        <w:fldChar w:fldCharType="end"/>
      </w:r>
    </w:p>
    <w:p w14:paraId="706D555B">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_Toc14061 </w:instrText>
      </w:r>
      <w:r>
        <w:rPr>
          <w:rFonts w:hint="eastAsia" w:hAnsi="宋体" w:cs="宋体"/>
          <w:color w:val="auto"/>
          <w:szCs w:val="24"/>
          <w:highlight w:val="none"/>
        </w:rPr>
        <w:fldChar w:fldCharType="separate"/>
      </w:r>
      <w:r>
        <w:rPr>
          <w:rFonts w:hint="eastAsia"/>
          <w:bCs/>
          <w:color w:val="auto"/>
          <w:szCs w:val="36"/>
          <w:highlight w:val="none"/>
        </w:rPr>
        <w:t>一、</w:t>
      </w:r>
      <w:r>
        <w:rPr>
          <w:rFonts w:hint="eastAsia" w:hAnsi="Times New Roman"/>
          <w:bCs w:val="0"/>
          <w:color w:val="auto"/>
          <w:szCs w:val="36"/>
          <w:highlight w:val="none"/>
        </w:rPr>
        <w:t>资格</w:t>
      </w:r>
      <w:r>
        <w:rPr>
          <w:rFonts w:hint="eastAsia"/>
          <w:bCs/>
          <w:color w:val="auto"/>
          <w:szCs w:val="36"/>
          <w:highlight w:val="none"/>
        </w:rPr>
        <w:t>审查部分</w:t>
      </w:r>
      <w:r>
        <w:rPr>
          <w:color w:val="auto"/>
          <w:highlight w:val="none"/>
        </w:rPr>
        <w:tab/>
      </w:r>
      <w:r>
        <w:rPr>
          <w:color w:val="auto"/>
          <w:highlight w:val="none"/>
        </w:rPr>
        <w:fldChar w:fldCharType="begin"/>
      </w:r>
      <w:r>
        <w:rPr>
          <w:color w:val="auto"/>
          <w:highlight w:val="none"/>
        </w:rPr>
        <w:instrText xml:space="preserve"> PAGEREF _Toc14061 \h </w:instrText>
      </w:r>
      <w:r>
        <w:rPr>
          <w:color w:val="auto"/>
          <w:highlight w:val="none"/>
        </w:rPr>
        <w:fldChar w:fldCharType="separate"/>
      </w:r>
      <w:r>
        <w:rPr>
          <w:color w:val="auto"/>
          <w:highlight w:val="none"/>
        </w:rPr>
        <w:t>37</w:t>
      </w:r>
      <w:r>
        <w:rPr>
          <w:color w:val="auto"/>
          <w:highlight w:val="none"/>
        </w:rPr>
        <w:fldChar w:fldCharType="end"/>
      </w:r>
      <w:r>
        <w:rPr>
          <w:rFonts w:hint="eastAsia" w:hAnsi="宋体" w:cs="宋体"/>
          <w:color w:val="auto"/>
          <w:szCs w:val="24"/>
          <w:highlight w:val="none"/>
        </w:rPr>
        <w:fldChar w:fldCharType="end"/>
      </w:r>
    </w:p>
    <w:p w14:paraId="595FD22E">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_Toc5967 </w:instrText>
      </w:r>
      <w:r>
        <w:rPr>
          <w:rFonts w:hint="eastAsia" w:hAnsi="宋体" w:cs="宋体"/>
          <w:color w:val="auto"/>
          <w:szCs w:val="24"/>
          <w:highlight w:val="none"/>
        </w:rPr>
        <w:fldChar w:fldCharType="separate"/>
      </w:r>
      <w:r>
        <w:rPr>
          <w:rFonts w:hint="eastAsia"/>
          <w:color w:val="auto"/>
          <w:highlight w:val="none"/>
        </w:rPr>
        <w:t>（一）资格审查申请函</w:t>
      </w:r>
      <w:r>
        <w:rPr>
          <w:color w:val="auto"/>
          <w:highlight w:val="none"/>
        </w:rPr>
        <w:tab/>
      </w:r>
      <w:r>
        <w:rPr>
          <w:color w:val="auto"/>
          <w:highlight w:val="none"/>
        </w:rPr>
        <w:fldChar w:fldCharType="begin"/>
      </w:r>
      <w:r>
        <w:rPr>
          <w:color w:val="auto"/>
          <w:highlight w:val="none"/>
        </w:rPr>
        <w:instrText xml:space="preserve"> PAGEREF _Toc5967 \h </w:instrText>
      </w:r>
      <w:r>
        <w:rPr>
          <w:color w:val="auto"/>
          <w:highlight w:val="none"/>
        </w:rPr>
        <w:fldChar w:fldCharType="separate"/>
      </w:r>
      <w:r>
        <w:rPr>
          <w:color w:val="auto"/>
          <w:highlight w:val="none"/>
        </w:rPr>
        <w:t>37</w:t>
      </w:r>
      <w:r>
        <w:rPr>
          <w:color w:val="auto"/>
          <w:highlight w:val="none"/>
        </w:rPr>
        <w:fldChar w:fldCharType="end"/>
      </w:r>
      <w:r>
        <w:rPr>
          <w:rFonts w:hint="eastAsia" w:hAnsi="宋体" w:cs="宋体"/>
          <w:color w:val="auto"/>
          <w:szCs w:val="24"/>
          <w:highlight w:val="none"/>
        </w:rPr>
        <w:fldChar w:fldCharType="end"/>
      </w:r>
    </w:p>
    <w:p w14:paraId="3D396314">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_Toc9115 </w:instrText>
      </w:r>
      <w:r>
        <w:rPr>
          <w:rFonts w:hint="eastAsia" w:hAnsi="宋体" w:cs="宋体"/>
          <w:color w:val="auto"/>
          <w:szCs w:val="24"/>
          <w:highlight w:val="none"/>
        </w:rPr>
        <w:fldChar w:fldCharType="separate"/>
      </w:r>
      <w:r>
        <w:rPr>
          <w:rFonts w:hint="eastAsia" w:cs="Times New Roman"/>
          <w:color w:val="auto"/>
          <w:highlight w:val="none"/>
          <w:lang w:val="en-US" w:eastAsia="zh-CN" w:bidi="ar-SA"/>
        </w:rPr>
        <w:t>（二）投标人应具有独立承担民事责任的能力</w:t>
      </w:r>
      <w:r>
        <w:rPr>
          <w:color w:val="auto"/>
          <w:highlight w:val="none"/>
        </w:rPr>
        <w:tab/>
      </w:r>
      <w:r>
        <w:rPr>
          <w:color w:val="auto"/>
          <w:highlight w:val="none"/>
        </w:rPr>
        <w:fldChar w:fldCharType="begin"/>
      </w:r>
      <w:r>
        <w:rPr>
          <w:color w:val="auto"/>
          <w:highlight w:val="none"/>
        </w:rPr>
        <w:instrText xml:space="preserve"> PAGEREF _Toc9115 \h </w:instrText>
      </w:r>
      <w:r>
        <w:rPr>
          <w:color w:val="auto"/>
          <w:highlight w:val="none"/>
        </w:rPr>
        <w:fldChar w:fldCharType="separate"/>
      </w:r>
      <w:r>
        <w:rPr>
          <w:color w:val="auto"/>
          <w:highlight w:val="none"/>
        </w:rPr>
        <w:t>38</w:t>
      </w:r>
      <w:r>
        <w:rPr>
          <w:color w:val="auto"/>
          <w:highlight w:val="none"/>
        </w:rPr>
        <w:fldChar w:fldCharType="end"/>
      </w:r>
      <w:r>
        <w:rPr>
          <w:rFonts w:hint="eastAsia" w:hAnsi="宋体" w:cs="宋体"/>
          <w:color w:val="auto"/>
          <w:szCs w:val="24"/>
          <w:highlight w:val="none"/>
        </w:rPr>
        <w:fldChar w:fldCharType="end"/>
      </w:r>
    </w:p>
    <w:p w14:paraId="69166551">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_Toc9351 </w:instrText>
      </w:r>
      <w:r>
        <w:rPr>
          <w:rFonts w:hint="eastAsia" w:hAnsi="宋体" w:cs="宋体"/>
          <w:color w:val="auto"/>
          <w:szCs w:val="24"/>
          <w:highlight w:val="none"/>
        </w:rPr>
        <w:fldChar w:fldCharType="separate"/>
      </w:r>
      <w:r>
        <w:rPr>
          <w:rFonts w:hint="eastAsia" w:cs="Times New Roman"/>
          <w:color w:val="auto"/>
          <w:highlight w:val="none"/>
          <w:lang w:val="en-US" w:eastAsia="zh-CN" w:bidi="ar-SA"/>
        </w:rPr>
        <w:t>（三）具有良好的商业信誉和健全的财务会计制度</w:t>
      </w:r>
      <w:r>
        <w:rPr>
          <w:color w:val="auto"/>
          <w:highlight w:val="none"/>
        </w:rPr>
        <w:tab/>
      </w:r>
      <w:r>
        <w:rPr>
          <w:color w:val="auto"/>
          <w:highlight w:val="none"/>
        </w:rPr>
        <w:fldChar w:fldCharType="begin"/>
      </w:r>
      <w:r>
        <w:rPr>
          <w:color w:val="auto"/>
          <w:highlight w:val="none"/>
        </w:rPr>
        <w:instrText xml:space="preserve"> PAGEREF _Toc9351 \h </w:instrText>
      </w:r>
      <w:r>
        <w:rPr>
          <w:color w:val="auto"/>
          <w:highlight w:val="none"/>
        </w:rPr>
        <w:fldChar w:fldCharType="separate"/>
      </w:r>
      <w:r>
        <w:rPr>
          <w:color w:val="auto"/>
          <w:highlight w:val="none"/>
        </w:rPr>
        <w:t>42</w:t>
      </w:r>
      <w:r>
        <w:rPr>
          <w:color w:val="auto"/>
          <w:highlight w:val="none"/>
        </w:rPr>
        <w:fldChar w:fldCharType="end"/>
      </w:r>
      <w:r>
        <w:rPr>
          <w:rFonts w:hint="eastAsia" w:hAnsi="宋体" w:cs="宋体"/>
          <w:color w:val="auto"/>
          <w:szCs w:val="24"/>
          <w:highlight w:val="none"/>
        </w:rPr>
        <w:fldChar w:fldCharType="end"/>
      </w:r>
    </w:p>
    <w:p w14:paraId="14763098">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_Toc18573 </w:instrText>
      </w:r>
      <w:r>
        <w:rPr>
          <w:rFonts w:hint="eastAsia" w:hAnsi="宋体" w:cs="宋体"/>
          <w:color w:val="auto"/>
          <w:szCs w:val="24"/>
          <w:highlight w:val="none"/>
        </w:rPr>
        <w:fldChar w:fldCharType="separate"/>
      </w:r>
      <w:r>
        <w:rPr>
          <w:rFonts w:hint="eastAsia" w:cs="Times New Roman"/>
          <w:color w:val="auto"/>
          <w:highlight w:val="none"/>
          <w:lang w:val="en-US" w:eastAsia="zh-CN" w:bidi="ar-SA"/>
        </w:rPr>
        <w:t>（四）具备履行合同所必需的产品和专业技术能力</w:t>
      </w:r>
      <w:r>
        <w:rPr>
          <w:color w:val="auto"/>
          <w:highlight w:val="none"/>
        </w:rPr>
        <w:tab/>
      </w:r>
      <w:r>
        <w:rPr>
          <w:color w:val="auto"/>
          <w:highlight w:val="none"/>
        </w:rPr>
        <w:fldChar w:fldCharType="begin"/>
      </w:r>
      <w:r>
        <w:rPr>
          <w:color w:val="auto"/>
          <w:highlight w:val="none"/>
        </w:rPr>
        <w:instrText xml:space="preserve"> PAGEREF _Toc18573 \h </w:instrText>
      </w:r>
      <w:r>
        <w:rPr>
          <w:color w:val="auto"/>
          <w:highlight w:val="none"/>
        </w:rPr>
        <w:fldChar w:fldCharType="separate"/>
      </w:r>
      <w:r>
        <w:rPr>
          <w:color w:val="auto"/>
          <w:highlight w:val="none"/>
        </w:rPr>
        <w:t>43</w:t>
      </w:r>
      <w:r>
        <w:rPr>
          <w:color w:val="auto"/>
          <w:highlight w:val="none"/>
        </w:rPr>
        <w:fldChar w:fldCharType="end"/>
      </w:r>
      <w:r>
        <w:rPr>
          <w:rFonts w:hint="eastAsia" w:hAnsi="宋体" w:cs="宋体"/>
          <w:color w:val="auto"/>
          <w:szCs w:val="24"/>
          <w:highlight w:val="none"/>
        </w:rPr>
        <w:fldChar w:fldCharType="end"/>
      </w:r>
    </w:p>
    <w:p w14:paraId="4C8D1D30">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_Toc8233 </w:instrText>
      </w:r>
      <w:r>
        <w:rPr>
          <w:rFonts w:hint="eastAsia" w:hAnsi="宋体" w:cs="宋体"/>
          <w:color w:val="auto"/>
          <w:szCs w:val="24"/>
          <w:highlight w:val="none"/>
        </w:rPr>
        <w:fldChar w:fldCharType="separate"/>
      </w:r>
      <w:r>
        <w:rPr>
          <w:rFonts w:hint="eastAsia" w:cs="Times New Roman"/>
          <w:color w:val="auto"/>
          <w:highlight w:val="none"/>
          <w:lang w:val="en-US" w:eastAsia="zh-CN" w:bidi="ar-SA"/>
        </w:rPr>
        <w:t>（五）有依法缴纳税收和社会保障资金的良好记录</w:t>
      </w:r>
      <w:r>
        <w:rPr>
          <w:color w:val="auto"/>
          <w:highlight w:val="none"/>
        </w:rPr>
        <w:tab/>
      </w:r>
      <w:r>
        <w:rPr>
          <w:color w:val="auto"/>
          <w:highlight w:val="none"/>
        </w:rPr>
        <w:fldChar w:fldCharType="begin"/>
      </w:r>
      <w:r>
        <w:rPr>
          <w:color w:val="auto"/>
          <w:highlight w:val="none"/>
        </w:rPr>
        <w:instrText xml:space="preserve"> PAGEREF _Toc8233 \h </w:instrText>
      </w:r>
      <w:r>
        <w:rPr>
          <w:color w:val="auto"/>
          <w:highlight w:val="none"/>
        </w:rPr>
        <w:fldChar w:fldCharType="separate"/>
      </w:r>
      <w:r>
        <w:rPr>
          <w:color w:val="auto"/>
          <w:highlight w:val="none"/>
        </w:rPr>
        <w:t>44</w:t>
      </w:r>
      <w:r>
        <w:rPr>
          <w:color w:val="auto"/>
          <w:highlight w:val="none"/>
        </w:rPr>
        <w:fldChar w:fldCharType="end"/>
      </w:r>
      <w:r>
        <w:rPr>
          <w:rFonts w:hint="eastAsia" w:hAnsi="宋体" w:cs="宋体"/>
          <w:color w:val="auto"/>
          <w:szCs w:val="24"/>
          <w:highlight w:val="none"/>
        </w:rPr>
        <w:fldChar w:fldCharType="end"/>
      </w:r>
    </w:p>
    <w:p w14:paraId="7D35211C">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_Toc955 </w:instrText>
      </w:r>
      <w:r>
        <w:rPr>
          <w:rFonts w:hint="eastAsia" w:hAnsi="宋体" w:cs="宋体"/>
          <w:color w:val="auto"/>
          <w:szCs w:val="24"/>
          <w:highlight w:val="none"/>
        </w:rPr>
        <w:fldChar w:fldCharType="separate"/>
      </w:r>
      <w:r>
        <w:rPr>
          <w:rFonts w:hint="eastAsia" w:cs="Times New Roman"/>
          <w:color w:val="auto"/>
          <w:highlight w:val="none"/>
          <w:lang w:val="en-US" w:eastAsia="zh-CN" w:bidi="ar-SA"/>
        </w:rPr>
        <w:t>（六）无重大违法声明</w:t>
      </w:r>
      <w:r>
        <w:rPr>
          <w:color w:val="auto"/>
          <w:highlight w:val="none"/>
        </w:rPr>
        <w:tab/>
      </w:r>
      <w:r>
        <w:rPr>
          <w:color w:val="auto"/>
          <w:highlight w:val="none"/>
        </w:rPr>
        <w:fldChar w:fldCharType="begin"/>
      </w:r>
      <w:r>
        <w:rPr>
          <w:color w:val="auto"/>
          <w:highlight w:val="none"/>
        </w:rPr>
        <w:instrText xml:space="preserve"> PAGEREF _Toc955 \h </w:instrText>
      </w:r>
      <w:r>
        <w:rPr>
          <w:color w:val="auto"/>
          <w:highlight w:val="none"/>
        </w:rPr>
        <w:fldChar w:fldCharType="separate"/>
      </w:r>
      <w:r>
        <w:rPr>
          <w:color w:val="auto"/>
          <w:highlight w:val="none"/>
        </w:rPr>
        <w:t>45</w:t>
      </w:r>
      <w:r>
        <w:rPr>
          <w:color w:val="auto"/>
          <w:highlight w:val="none"/>
        </w:rPr>
        <w:fldChar w:fldCharType="end"/>
      </w:r>
      <w:r>
        <w:rPr>
          <w:rFonts w:hint="eastAsia" w:hAnsi="宋体" w:cs="宋体"/>
          <w:color w:val="auto"/>
          <w:szCs w:val="24"/>
          <w:highlight w:val="none"/>
        </w:rPr>
        <w:fldChar w:fldCharType="end"/>
      </w:r>
    </w:p>
    <w:p w14:paraId="2E5227BA">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_Toc14726 </w:instrText>
      </w:r>
      <w:r>
        <w:rPr>
          <w:rFonts w:hint="eastAsia" w:hAnsi="宋体" w:cs="宋体"/>
          <w:color w:val="auto"/>
          <w:szCs w:val="24"/>
          <w:highlight w:val="none"/>
        </w:rPr>
        <w:fldChar w:fldCharType="separate"/>
      </w:r>
      <w:r>
        <w:rPr>
          <w:rFonts w:hint="eastAsia" w:cs="Times New Roman"/>
          <w:color w:val="auto"/>
          <w:highlight w:val="none"/>
          <w:lang w:val="en-US" w:eastAsia="zh-CN" w:bidi="ar-SA"/>
        </w:rPr>
        <w:t>（七）投标人相关资质要求</w:t>
      </w:r>
      <w:r>
        <w:rPr>
          <w:color w:val="auto"/>
          <w:highlight w:val="none"/>
        </w:rPr>
        <w:tab/>
      </w:r>
      <w:r>
        <w:rPr>
          <w:color w:val="auto"/>
          <w:highlight w:val="none"/>
        </w:rPr>
        <w:fldChar w:fldCharType="begin"/>
      </w:r>
      <w:r>
        <w:rPr>
          <w:color w:val="auto"/>
          <w:highlight w:val="none"/>
        </w:rPr>
        <w:instrText xml:space="preserve"> PAGEREF _Toc14726 \h </w:instrText>
      </w:r>
      <w:r>
        <w:rPr>
          <w:color w:val="auto"/>
          <w:highlight w:val="none"/>
        </w:rPr>
        <w:fldChar w:fldCharType="separate"/>
      </w:r>
      <w:r>
        <w:rPr>
          <w:color w:val="auto"/>
          <w:highlight w:val="none"/>
        </w:rPr>
        <w:t>46</w:t>
      </w:r>
      <w:r>
        <w:rPr>
          <w:color w:val="auto"/>
          <w:highlight w:val="none"/>
        </w:rPr>
        <w:fldChar w:fldCharType="end"/>
      </w:r>
      <w:r>
        <w:rPr>
          <w:rFonts w:hint="eastAsia" w:hAnsi="宋体" w:cs="宋体"/>
          <w:color w:val="auto"/>
          <w:szCs w:val="24"/>
          <w:highlight w:val="none"/>
        </w:rPr>
        <w:fldChar w:fldCharType="end"/>
      </w:r>
    </w:p>
    <w:p w14:paraId="2A464634">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_Toc22412 </w:instrText>
      </w:r>
      <w:r>
        <w:rPr>
          <w:rFonts w:hint="eastAsia" w:hAnsi="宋体" w:cs="宋体"/>
          <w:color w:val="auto"/>
          <w:szCs w:val="24"/>
          <w:highlight w:val="none"/>
        </w:rPr>
        <w:fldChar w:fldCharType="separate"/>
      </w:r>
      <w:r>
        <w:rPr>
          <w:rFonts w:hint="eastAsia"/>
          <w:color w:val="auto"/>
          <w:highlight w:val="none"/>
        </w:rPr>
        <w:t>（八）《中小企业声明函》或《残疾人福利性单位声明函》或《监狱企业声明函》（如有）</w:t>
      </w:r>
      <w:r>
        <w:rPr>
          <w:color w:val="auto"/>
          <w:highlight w:val="none"/>
        </w:rPr>
        <w:tab/>
      </w:r>
      <w:r>
        <w:rPr>
          <w:color w:val="auto"/>
          <w:highlight w:val="none"/>
        </w:rPr>
        <w:fldChar w:fldCharType="begin"/>
      </w:r>
      <w:r>
        <w:rPr>
          <w:color w:val="auto"/>
          <w:highlight w:val="none"/>
        </w:rPr>
        <w:instrText xml:space="preserve"> PAGEREF _Toc22412 \h </w:instrText>
      </w:r>
      <w:r>
        <w:rPr>
          <w:color w:val="auto"/>
          <w:highlight w:val="none"/>
        </w:rPr>
        <w:fldChar w:fldCharType="separate"/>
      </w:r>
      <w:r>
        <w:rPr>
          <w:color w:val="auto"/>
          <w:highlight w:val="none"/>
        </w:rPr>
        <w:t>47</w:t>
      </w:r>
      <w:r>
        <w:rPr>
          <w:color w:val="auto"/>
          <w:highlight w:val="none"/>
        </w:rPr>
        <w:fldChar w:fldCharType="end"/>
      </w:r>
      <w:r>
        <w:rPr>
          <w:rFonts w:hint="eastAsia" w:hAnsi="宋体" w:cs="宋体"/>
          <w:color w:val="auto"/>
          <w:szCs w:val="24"/>
          <w:highlight w:val="none"/>
        </w:rPr>
        <w:fldChar w:fldCharType="end"/>
      </w:r>
    </w:p>
    <w:p w14:paraId="67FBD7B8">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_Toc23674 </w:instrText>
      </w:r>
      <w:r>
        <w:rPr>
          <w:rFonts w:hint="eastAsia" w:hAnsi="宋体" w:cs="宋体"/>
          <w:color w:val="auto"/>
          <w:szCs w:val="24"/>
          <w:highlight w:val="none"/>
        </w:rPr>
        <w:fldChar w:fldCharType="separate"/>
      </w:r>
      <w:r>
        <w:rPr>
          <w:rFonts w:hint="eastAsia"/>
          <w:color w:val="auto"/>
          <w:highlight w:val="none"/>
        </w:rPr>
        <w:t>（九）投标人认为需求提供的其他资格证材料</w:t>
      </w:r>
      <w:r>
        <w:rPr>
          <w:color w:val="auto"/>
          <w:highlight w:val="none"/>
        </w:rPr>
        <w:tab/>
      </w:r>
      <w:r>
        <w:rPr>
          <w:color w:val="auto"/>
          <w:highlight w:val="none"/>
        </w:rPr>
        <w:fldChar w:fldCharType="begin"/>
      </w:r>
      <w:r>
        <w:rPr>
          <w:color w:val="auto"/>
          <w:highlight w:val="none"/>
        </w:rPr>
        <w:instrText xml:space="preserve"> PAGEREF _Toc23674 \h </w:instrText>
      </w:r>
      <w:r>
        <w:rPr>
          <w:color w:val="auto"/>
          <w:highlight w:val="none"/>
        </w:rPr>
        <w:fldChar w:fldCharType="separate"/>
      </w:r>
      <w:r>
        <w:rPr>
          <w:color w:val="auto"/>
          <w:highlight w:val="none"/>
        </w:rPr>
        <w:t>50</w:t>
      </w:r>
      <w:r>
        <w:rPr>
          <w:color w:val="auto"/>
          <w:highlight w:val="none"/>
        </w:rPr>
        <w:fldChar w:fldCharType="end"/>
      </w:r>
      <w:r>
        <w:rPr>
          <w:rFonts w:hint="eastAsia" w:hAnsi="宋体" w:cs="宋体"/>
          <w:color w:val="auto"/>
          <w:szCs w:val="24"/>
          <w:highlight w:val="none"/>
        </w:rPr>
        <w:fldChar w:fldCharType="end"/>
      </w:r>
    </w:p>
    <w:p w14:paraId="5C32275D">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_Toc6433 </w:instrText>
      </w:r>
      <w:r>
        <w:rPr>
          <w:rFonts w:hint="eastAsia" w:hAnsi="宋体" w:cs="宋体"/>
          <w:color w:val="auto"/>
          <w:szCs w:val="24"/>
          <w:highlight w:val="none"/>
        </w:rPr>
        <w:fldChar w:fldCharType="separate"/>
      </w:r>
      <w:r>
        <w:rPr>
          <w:rFonts w:hint="eastAsia" w:hAnsi="Times New Roman"/>
          <w:bCs w:val="0"/>
          <w:color w:val="auto"/>
          <w:szCs w:val="36"/>
          <w:highlight w:val="none"/>
        </w:rPr>
        <w:t>二、投标报价部分</w:t>
      </w:r>
      <w:r>
        <w:rPr>
          <w:color w:val="auto"/>
          <w:highlight w:val="none"/>
        </w:rPr>
        <w:tab/>
      </w:r>
      <w:r>
        <w:rPr>
          <w:color w:val="auto"/>
          <w:highlight w:val="none"/>
        </w:rPr>
        <w:fldChar w:fldCharType="begin"/>
      </w:r>
      <w:r>
        <w:rPr>
          <w:color w:val="auto"/>
          <w:highlight w:val="none"/>
        </w:rPr>
        <w:instrText xml:space="preserve"> PAGEREF _Toc6433 \h </w:instrText>
      </w:r>
      <w:r>
        <w:rPr>
          <w:color w:val="auto"/>
          <w:highlight w:val="none"/>
        </w:rPr>
        <w:fldChar w:fldCharType="separate"/>
      </w:r>
      <w:r>
        <w:rPr>
          <w:color w:val="auto"/>
          <w:highlight w:val="none"/>
        </w:rPr>
        <w:t>51</w:t>
      </w:r>
      <w:r>
        <w:rPr>
          <w:color w:val="auto"/>
          <w:highlight w:val="none"/>
        </w:rPr>
        <w:fldChar w:fldCharType="end"/>
      </w:r>
      <w:r>
        <w:rPr>
          <w:rFonts w:hint="eastAsia" w:hAnsi="宋体" w:cs="宋体"/>
          <w:color w:val="auto"/>
          <w:szCs w:val="24"/>
          <w:highlight w:val="none"/>
        </w:rPr>
        <w:fldChar w:fldCharType="end"/>
      </w:r>
    </w:p>
    <w:p w14:paraId="21D500F1">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_Toc1927 </w:instrText>
      </w:r>
      <w:r>
        <w:rPr>
          <w:rFonts w:hint="eastAsia" w:hAnsi="宋体" w:cs="宋体"/>
          <w:color w:val="auto"/>
          <w:szCs w:val="24"/>
          <w:highlight w:val="none"/>
        </w:rPr>
        <w:fldChar w:fldCharType="separate"/>
      </w:r>
      <w:r>
        <w:rPr>
          <w:rFonts w:hint="eastAsia"/>
          <w:color w:val="auto"/>
          <w:highlight w:val="none"/>
        </w:rPr>
        <w:t>（一）投标函</w:t>
      </w:r>
      <w:r>
        <w:rPr>
          <w:color w:val="auto"/>
          <w:highlight w:val="none"/>
        </w:rPr>
        <w:tab/>
      </w:r>
      <w:r>
        <w:rPr>
          <w:color w:val="auto"/>
          <w:highlight w:val="none"/>
        </w:rPr>
        <w:fldChar w:fldCharType="begin"/>
      </w:r>
      <w:r>
        <w:rPr>
          <w:color w:val="auto"/>
          <w:highlight w:val="none"/>
        </w:rPr>
        <w:instrText xml:space="preserve"> PAGEREF _Toc1927 \h </w:instrText>
      </w:r>
      <w:r>
        <w:rPr>
          <w:color w:val="auto"/>
          <w:highlight w:val="none"/>
        </w:rPr>
        <w:fldChar w:fldCharType="separate"/>
      </w:r>
      <w:r>
        <w:rPr>
          <w:color w:val="auto"/>
          <w:highlight w:val="none"/>
        </w:rPr>
        <w:t>51</w:t>
      </w:r>
      <w:r>
        <w:rPr>
          <w:color w:val="auto"/>
          <w:highlight w:val="none"/>
        </w:rPr>
        <w:fldChar w:fldCharType="end"/>
      </w:r>
      <w:r>
        <w:rPr>
          <w:rFonts w:hint="eastAsia" w:hAnsi="宋体" w:cs="宋体"/>
          <w:color w:val="auto"/>
          <w:szCs w:val="24"/>
          <w:highlight w:val="none"/>
        </w:rPr>
        <w:fldChar w:fldCharType="end"/>
      </w:r>
    </w:p>
    <w:p w14:paraId="15CA9B61">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_Toc31540 </w:instrText>
      </w:r>
      <w:r>
        <w:rPr>
          <w:rFonts w:hint="eastAsia" w:hAnsi="宋体" w:cs="宋体"/>
          <w:color w:val="auto"/>
          <w:szCs w:val="24"/>
          <w:highlight w:val="none"/>
        </w:rPr>
        <w:fldChar w:fldCharType="separate"/>
      </w:r>
      <w:r>
        <w:rPr>
          <w:rFonts w:hint="eastAsia"/>
          <w:color w:val="auto"/>
          <w:highlight w:val="none"/>
        </w:rPr>
        <w:t>（二）开标一览表</w:t>
      </w:r>
      <w:r>
        <w:rPr>
          <w:color w:val="auto"/>
          <w:highlight w:val="none"/>
        </w:rPr>
        <w:tab/>
      </w:r>
      <w:r>
        <w:rPr>
          <w:color w:val="auto"/>
          <w:highlight w:val="none"/>
        </w:rPr>
        <w:fldChar w:fldCharType="begin"/>
      </w:r>
      <w:r>
        <w:rPr>
          <w:color w:val="auto"/>
          <w:highlight w:val="none"/>
        </w:rPr>
        <w:instrText xml:space="preserve"> PAGEREF _Toc31540 \h </w:instrText>
      </w:r>
      <w:r>
        <w:rPr>
          <w:color w:val="auto"/>
          <w:highlight w:val="none"/>
        </w:rPr>
        <w:fldChar w:fldCharType="separate"/>
      </w:r>
      <w:r>
        <w:rPr>
          <w:color w:val="auto"/>
          <w:highlight w:val="none"/>
        </w:rPr>
        <w:t>52</w:t>
      </w:r>
      <w:r>
        <w:rPr>
          <w:color w:val="auto"/>
          <w:highlight w:val="none"/>
        </w:rPr>
        <w:fldChar w:fldCharType="end"/>
      </w:r>
      <w:r>
        <w:rPr>
          <w:rFonts w:hint="eastAsia" w:hAnsi="宋体" w:cs="宋体"/>
          <w:color w:val="auto"/>
          <w:szCs w:val="24"/>
          <w:highlight w:val="none"/>
        </w:rPr>
        <w:fldChar w:fldCharType="end"/>
      </w:r>
    </w:p>
    <w:p w14:paraId="13265976">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_Toc8122 </w:instrText>
      </w:r>
      <w:r>
        <w:rPr>
          <w:rFonts w:hint="eastAsia" w:hAnsi="宋体" w:cs="宋体"/>
          <w:color w:val="auto"/>
          <w:szCs w:val="24"/>
          <w:highlight w:val="none"/>
        </w:rPr>
        <w:fldChar w:fldCharType="separate"/>
      </w:r>
      <w:r>
        <w:rPr>
          <w:rFonts w:hint="eastAsia"/>
          <w:color w:val="auto"/>
          <w:highlight w:val="none"/>
        </w:rPr>
        <w:t>（三）投标报价详细说明</w:t>
      </w:r>
      <w:r>
        <w:rPr>
          <w:color w:val="auto"/>
          <w:highlight w:val="none"/>
        </w:rPr>
        <w:tab/>
      </w:r>
      <w:r>
        <w:rPr>
          <w:color w:val="auto"/>
          <w:highlight w:val="none"/>
        </w:rPr>
        <w:fldChar w:fldCharType="begin"/>
      </w:r>
      <w:r>
        <w:rPr>
          <w:color w:val="auto"/>
          <w:highlight w:val="none"/>
        </w:rPr>
        <w:instrText xml:space="preserve"> PAGEREF _Toc8122 \h </w:instrText>
      </w:r>
      <w:r>
        <w:rPr>
          <w:color w:val="auto"/>
          <w:highlight w:val="none"/>
        </w:rPr>
        <w:fldChar w:fldCharType="separate"/>
      </w:r>
      <w:r>
        <w:rPr>
          <w:color w:val="auto"/>
          <w:highlight w:val="none"/>
        </w:rPr>
        <w:t>53</w:t>
      </w:r>
      <w:r>
        <w:rPr>
          <w:color w:val="auto"/>
          <w:highlight w:val="none"/>
        </w:rPr>
        <w:fldChar w:fldCharType="end"/>
      </w:r>
      <w:r>
        <w:rPr>
          <w:rFonts w:hint="eastAsia" w:hAnsi="宋体" w:cs="宋体"/>
          <w:color w:val="auto"/>
          <w:szCs w:val="24"/>
          <w:highlight w:val="none"/>
        </w:rPr>
        <w:fldChar w:fldCharType="end"/>
      </w:r>
    </w:p>
    <w:p w14:paraId="67BC8C45">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_Toc16117 </w:instrText>
      </w:r>
      <w:r>
        <w:rPr>
          <w:rFonts w:hint="eastAsia" w:hAnsi="宋体" w:cs="宋体"/>
          <w:color w:val="auto"/>
          <w:szCs w:val="24"/>
          <w:highlight w:val="none"/>
        </w:rPr>
        <w:fldChar w:fldCharType="separate"/>
      </w:r>
      <w:r>
        <w:rPr>
          <w:rFonts w:hint="eastAsia"/>
          <w:color w:val="auto"/>
          <w:highlight w:val="none"/>
        </w:rPr>
        <w:t>（四）投标人认为需要提供的其他投标报价相关文件</w:t>
      </w:r>
      <w:r>
        <w:rPr>
          <w:color w:val="auto"/>
          <w:highlight w:val="none"/>
        </w:rPr>
        <w:tab/>
      </w:r>
      <w:r>
        <w:rPr>
          <w:color w:val="auto"/>
          <w:highlight w:val="none"/>
        </w:rPr>
        <w:fldChar w:fldCharType="begin"/>
      </w:r>
      <w:r>
        <w:rPr>
          <w:color w:val="auto"/>
          <w:highlight w:val="none"/>
        </w:rPr>
        <w:instrText xml:space="preserve"> PAGEREF _Toc16117 \h </w:instrText>
      </w:r>
      <w:r>
        <w:rPr>
          <w:color w:val="auto"/>
          <w:highlight w:val="none"/>
        </w:rPr>
        <w:fldChar w:fldCharType="separate"/>
      </w:r>
      <w:r>
        <w:rPr>
          <w:color w:val="auto"/>
          <w:highlight w:val="none"/>
        </w:rPr>
        <w:t>54</w:t>
      </w:r>
      <w:r>
        <w:rPr>
          <w:color w:val="auto"/>
          <w:highlight w:val="none"/>
        </w:rPr>
        <w:fldChar w:fldCharType="end"/>
      </w:r>
      <w:r>
        <w:rPr>
          <w:rFonts w:hint="eastAsia" w:hAnsi="宋体" w:cs="宋体"/>
          <w:color w:val="auto"/>
          <w:szCs w:val="24"/>
          <w:highlight w:val="none"/>
        </w:rPr>
        <w:fldChar w:fldCharType="end"/>
      </w:r>
    </w:p>
    <w:p w14:paraId="5F306747">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_Toc22673 </w:instrText>
      </w:r>
      <w:r>
        <w:rPr>
          <w:rFonts w:hint="eastAsia" w:hAnsi="宋体" w:cs="宋体"/>
          <w:color w:val="auto"/>
          <w:szCs w:val="24"/>
          <w:highlight w:val="none"/>
        </w:rPr>
        <w:fldChar w:fldCharType="separate"/>
      </w:r>
      <w:r>
        <w:rPr>
          <w:rFonts w:hint="eastAsia" w:hAnsi="Times New Roman"/>
          <w:bCs w:val="0"/>
          <w:color w:val="auto"/>
          <w:szCs w:val="36"/>
          <w:highlight w:val="none"/>
        </w:rPr>
        <w:t>三、商务及技术部分</w:t>
      </w:r>
      <w:r>
        <w:rPr>
          <w:color w:val="auto"/>
          <w:highlight w:val="none"/>
        </w:rPr>
        <w:tab/>
      </w:r>
      <w:r>
        <w:rPr>
          <w:color w:val="auto"/>
          <w:highlight w:val="none"/>
        </w:rPr>
        <w:fldChar w:fldCharType="begin"/>
      </w:r>
      <w:r>
        <w:rPr>
          <w:color w:val="auto"/>
          <w:highlight w:val="none"/>
        </w:rPr>
        <w:instrText xml:space="preserve"> PAGEREF _Toc22673 \h </w:instrText>
      </w:r>
      <w:r>
        <w:rPr>
          <w:color w:val="auto"/>
          <w:highlight w:val="none"/>
        </w:rPr>
        <w:fldChar w:fldCharType="separate"/>
      </w:r>
      <w:r>
        <w:rPr>
          <w:color w:val="auto"/>
          <w:highlight w:val="none"/>
        </w:rPr>
        <w:t>55</w:t>
      </w:r>
      <w:r>
        <w:rPr>
          <w:color w:val="auto"/>
          <w:highlight w:val="none"/>
        </w:rPr>
        <w:fldChar w:fldCharType="end"/>
      </w:r>
      <w:r>
        <w:rPr>
          <w:rFonts w:hint="eastAsia" w:hAnsi="宋体" w:cs="宋体"/>
          <w:color w:val="auto"/>
          <w:szCs w:val="24"/>
          <w:highlight w:val="none"/>
        </w:rPr>
        <w:fldChar w:fldCharType="end"/>
      </w:r>
    </w:p>
    <w:p w14:paraId="650D4070">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_Toc3271 </w:instrText>
      </w:r>
      <w:r>
        <w:rPr>
          <w:rFonts w:hint="eastAsia" w:hAnsi="宋体" w:cs="宋体"/>
          <w:color w:val="auto"/>
          <w:szCs w:val="24"/>
          <w:highlight w:val="none"/>
        </w:rPr>
        <w:fldChar w:fldCharType="separate"/>
      </w:r>
      <w:r>
        <w:rPr>
          <w:rFonts w:hint="eastAsia"/>
          <w:color w:val="auto"/>
          <w:highlight w:val="none"/>
        </w:rPr>
        <w:t>（一）商务条款偏离表</w:t>
      </w:r>
      <w:r>
        <w:rPr>
          <w:color w:val="auto"/>
          <w:highlight w:val="none"/>
        </w:rPr>
        <w:tab/>
      </w:r>
      <w:r>
        <w:rPr>
          <w:color w:val="auto"/>
          <w:highlight w:val="none"/>
        </w:rPr>
        <w:fldChar w:fldCharType="begin"/>
      </w:r>
      <w:r>
        <w:rPr>
          <w:color w:val="auto"/>
          <w:highlight w:val="none"/>
        </w:rPr>
        <w:instrText xml:space="preserve"> PAGEREF _Toc3271 \h </w:instrText>
      </w:r>
      <w:r>
        <w:rPr>
          <w:color w:val="auto"/>
          <w:highlight w:val="none"/>
        </w:rPr>
        <w:fldChar w:fldCharType="separate"/>
      </w:r>
      <w:r>
        <w:rPr>
          <w:color w:val="auto"/>
          <w:highlight w:val="none"/>
        </w:rPr>
        <w:t>55</w:t>
      </w:r>
      <w:r>
        <w:rPr>
          <w:color w:val="auto"/>
          <w:highlight w:val="none"/>
        </w:rPr>
        <w:fldChar w:fldCharType="end"/>
      </w:r>
      <w:r>
        <w:rPr>
          <w:rFonts w:hint="eastAsia" w:hAnsi="宋体" w:cs="宋体"/>
          <w:color w:val="auto"/>
          <w:szCs w:val="24"/>
          <w:highlight w:val="none"/>
        </w:rPr>
        <w:fldChar w:fldCharType="end"/>
      </w:r>
    </w:p>
    <w:p w14:paraId="554755A5">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_Toc30778 </w:instrText>
      </w:r>
      <w:r>
        <w:rPr>
          <w:rFonts w:hint="eastAsia" w:hAnsi="宋体" w:cs="宋体"/>
          <w:color w:val="auto"/>
          <w:szCs w:val="24"/>
          <w:highlight w:val="none"/>
        </w:rPr>
        <w:fldChar w:fldCharType="separate"/>
      </w:r>
      <w:r>
        <w:rPr>
          <w:rFonts w:hint="eastAsia" w:cs="Times New Roman"/>
          <w:color w:val="auto"/>
          <w:highlight w:val="none"/>
          <w:lang w:eastAsia="zh-CN"/>
        </w:rPr>
        <w:t>（</w:t>
      </w:r>
      <w:r>
        <w:rPr>
          <w:rFonts w:hint="eastAsia" w:cs="Times New Roman"/>
          <w:color w:val="auto"/>
          <w:highlight w:val="none"/>
          <w:lang w:val="en-US" w:eastAsia="zh-CN"/>
        </w:rPr>
        <w:t>二</w:t>
      </w:r>
      <w:r>
        <w:rPr>
          <w:rFonts w:hint="eastAsia" w:cs="Times New Roman"/>
          <w:color w:val="auto"/>
          <w:highlight w:val="none"/>
          <w:lang w:eastAsia="zh-CN"/>
        </w:rPr>
        <w:t>）关于“投标人拟</w:t>
      </w:r>
      <w:r>
        <w:rPr>
          <w:rFonts w:hint="eastAsia" w:cs="Times New Roman"/>
          <w:color w:val="auto"/>
          <w:highlight w:val="none"/>
          <w:lang w:val="en-US" w:eastAsia="zh-CN"/>
        </w:rPr>
        <w:t>开发设计的软件</w:t>
      </w:r>
      <w:r>
        <w:rPr>
          <w:rFonts w:hint="eastAsia" w:cs="Times New Roman"/>
          <w:color w:val="auto"/>
          <w:highlight w:val="none"/>
          <w:lang w:eastAsia="zh-CN"/>
        </w:rPr>
        <w:t>产品不受第三方侵权”的书面承诺</w:t>
      </w:r>
      <w:r>
        <w:rPr>
          <w:color w:val="auto"/>
          <w:highlight w:val="none"/>
        </w:rPr>
        <w:tab/>
      </w:r>
      <w:r>
        <w:rPr>
          <w:color w:val="auto"/>
          <w:highlight w:val="none"/>
        </w:rPr>
        <w:fldChar w:fldCharType="begin"/>
      </w:r>
      <w:r>
        <w:rPr>
          <w:color w:val="auto"/>
          <w:highlight w:val="none"/>
        </w:rPr>
        <w:instrText xml:space="preserve"> PAGEREF _Toc30778 \h </w:instrText>
      </w:r>
      <w:r>
        <w:rPr>
          <w:color w:val="auto"/>
          <w:highlight w:val="none"/>
        </w:rPr>
        <w:fldChar w:fldCharType="separate"/>
      </w:r>
      <w:r>
        <w:rPr>
          <w:color w:val="auto"/>
          <w:highlight w:val="none"/>
        </w:rPr>
        <w:t>56</w:t>
      </w:r>
      <w:r>
        <w:rPr>
          <w:color w:val="auto"/>
          <w:highlight w:val="none"/>
        </w:rPr>
        <w:fldChar w:fldCharType="end"/>
      </w:r>
      <w:r>
        <w:rPr>
          <w:rFonts w:hint="eastAsia" w:hAnsi="宋体" w:cs="宋体"/>
          <w:color w:val="auto"/>
          <w:szCs w:val="24"/>
          <w:highlight w:val="none"/>
        </w:rPr>
        <w:fldChar w:fldCharType="end"/>
      </w:r>
    </w:p>
    <w:p w14:paraId="28E48C16">
      <w:pPr>
        <w:pStyle w:val="31"/>
        <w:tabs>
          <w:tab w:val="right" w:leader="dot" w:pos="9800"/>
          <w:tab w:val="clear" w:pos="1260"/>
          <w:tab w:val="clear" w:pos="9218"/>
        </w:tabs>
        <w:rPr>
          <w:rFonts w:hint="eastAsia" w:cs="Times New Roman"/>
          <w:color w:val="auto"/>
          <w:highlight w:val="none"/>
          <w:lang w:eastAsia="zh-CN"/>
        </w:rPr>
      </w:pP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HYPERLINK \l _Toc15378 </w:instrText>
      </w:r>
      <w:r>
        <w:rPr>
          <w:rFonts w:hint="eastAsia" w:cs="Times New Roman"/>
          <w:color w:val="auto"/>
          <w:highlight w:val="none"/>
          <w:lang w:eastAsia="zh-CN"/>
        </w:rPr>
        <w:fldChar w:fldCharType="separate"/>
      </w:r>
      <w:r>
        <w:rPr>
          <w:rFonts w:hint="eastAsia" w:cs="Times New Roman"/>
          <w:color w:val="auto"/>
          <w:highlight w:val="none"/>
          <w:lang w:eastAsia="zh-CN"/>
        </w:rPr>
        <w:t>（</w:t>
      </w:r>
      <w:r>
        <w:rPr>
          <w:rFonts w:hint="eastAsia" w:cs="Times New Roman"/>
          <w:color w:val="auto"/>
          <w:highlight w:val="none"/>
          <w:lang w:val="en-US" w:eastAsia="zh-CN"/>
        </w:rPr>
        <w:t>三</w:t>
      </w:r>
      <w:r>
        <w:rPr>
          <w:rFonts w:hint="eastAsia" w:cs="Times New Roman"/>
          <w:color w:val="auto"/>
          <w:highlight w:val="none"/>
          <w:lang w:eastAsia="zh-CN"/>
        </w:rPr>
        <w:t>）开展本次</w:t>
      </w:r>
      <w:r>
        <w:rPr>
          <w:rFonts w:hint="eastAsia" w:cs="Times New Roman"/>
          <w:color w:val="auto"/>
          <w:highlight w:val="none"/>
          <w:lang w:val="en-US" w:eastAsia="zh-CN"/>
        </w:rPr>
        <w:t>软件系统建设</w:t>
      </w:r>
      <w:r>
        <w:rPr>
          <w:rFonts w:hint="eastAsia" w:cs="Times New Roman"/>
          <w:color w:val="auto"/>
          <w:highlight w:val="none"/>
          <w:lang w:eastAsia="zh-CN"/>
        </w:rPr>
        <w:t>工作的理解和分析</w:t>
      </w:r>
      <w:r>
        <w:rPr>
          <w:rFonts w:hint="eastAsia" w:cs="Times New Roman"/>
          <w:color w:val="auto"/>
          <w:highlight w:val="none"/>
          <w:lang w:eastAsia="zh-CN"/>
        </w:rPr>
        <w:tab/>
      </w: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PAGEREF _Toc15378 \h </w:instrText>
      </w:r>
      <w:r>
        <w:rPr>
          <w:rFonts w:hint="eastAsia" w:cs="Times New Roman"/>
          <w:color w:val="auto"/>
          <w:highlight w:val="none"/>
          <w:lang w:eastAsia="zh-CN"/>
        </w:rPr>
        <w:fldChar w:fldCharType="separate"/>
      </w:r>
      <w:r>
        <w:rPr>
          <w:rFonts w:hint="eastAsia" w:cs="Times New Roman"/>
          <w:color w:val="auto"/>
          <w:highlight w:val="none"/>
          <w:lang w:eastAsia="zh-CN"/>
        </w:rPr>
        <w:t>57</w:t>
      </w:r>
      <w:r>
        <w:rPr>
          <w:rFonts w:hint="eastAsia" w:cs="Times New Roman"/>
          <w:color w:val="auto"/>
          <w:highlight w:val="none"/>
          <w:lang w:eastAsia="zh-CN"/>
        </w:rPr>
        <w:fldChar w:fldCharType="end"/>
      </w:r>
      <w:r>
        <w:rPr>
          <w:rFonts w:hint="eastAsia" w:cs="Times New Roman"/>
          <w:color w:val="auto"/>
          <w:highlight w:val="none"/>
          <w:lang w:eastAsia="zh-CN"/>
        </w:rPr>
        <w:fldChar w:fldCharType="end"/>
      </w:r>
    </w:p>
    <w:p w14:paraId="53812B61">
      <w:pPr>
        <w:pStyle w:val="31"/>
        <w:tabs>
          <w:tab w:val="right" w:leader="dot" w:pos="9800"/>
          <w:tab w:val="clear" w:pos="1260"/>
          <w:tab w:val="clear" w:pos="9218"/>
        </w:tabs>
        <w:rPr>
          <w:rFonts w:hint="eastAsia" w:cs="Times New Roman"/>
          <w:color w:val="auto"/>
          <w:highlight w:val="none"/>
          <w:lang w:eastAsia="zh-CN"/>
        </w:rPr>
      </w:pP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HYPERLINK \l _Toc17061 </w:instrText>
      </w:r>
      <w:r>
        <w:rPr>
          <w:rFonts w:hint="eastAsia" w:cs="Times New Roman"/>
          <w:color w:val="auto"/>
          <w:highlight w:val="none"/>
          <w:lang w:eastAsia="zh-CN"/>
        </w:rPr>
        <w:fldChar w:fldCharType="separate"/>
      </w:r>
      <w:r>
        <w:rPr>
          <w:rFonts w:hint="eastAsia" w:cs="Times New Roman"/>
          <w:color w:val="auto"/>
          <w:highlight w:val="none"/>
          <w:lang w:val="en-US" w:eastAsia="zh-CN"/>
        </w:rPr>
        <w:t>（四）保山市加油站流量数据采集系统总体设计</w:t>
      </w:r>
      <w:r>
        <w:rPr>
          <w:rFonts w:hint="eastAsia" w:cs="Times New Roman"/>
          <w:color w:val="auto"/>
          <w:highlight w:val="none"/>
          <w:lang w:eastAsia="zh-CN"/>
        </w:rPr>
        <w:t>方案</w:t>
      </w:r>
      <w:r>
        <w:rPr>
          <w:rFonts w:hint="eastAsia" w:cs="Times New Roman"/>
          <w:color w:val="auto"/>
          <w:highlight w:val="none"/>
          <w:lang w:eastAsia="zh-CN"/>
        </w:rPr>
        <w:tab/>
      </w: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PAGEREF _Toc17061 \h </w:instrText>
      </w:r>
      <w:r>
        <w:rPr>
          <w:rFonts w:hint="eastAsia" w:cs="Times New Roman"/>
          <w:color w:val="auto"/>
          <w:highlight w:val="none"/>
          <w:lang w:eastAsia="zh-CN"/>
        </w:rPr>
        <w:fldChar w:fldCharType="separate"/>
      </w:r>
      <w:r>
        <w:rPr>
          <w:rFonts w:hint="eastAsia" w:cs="Times New Roman"/>
          <w:color w:val="auto"/>
          <w:highlight w:val="none"/>
          <w:lang w:eastAsia="zh-CN"/>
        </w:rPr>
        <w:t>58</w:t>
      </w:r>
      <w:r>
        <w:rPr>
          <w:rFonts w:hint="eastAsia" w:cs="Times New Roman"/>
          <w:color w:val="auto"/>
          <w:highlight w:val="none"/>
          <w:lang w:eastAsia="zh-CN"/>
        </w:rPr>
        <w:fldChar w:fldCharType="end"/>
      </w:r>
      <w:r>
        <w:rPr>
          <w:rFonts w:hint="eastAsia" w:cs="Times New Roman"/>
          <w:color w:val="auto"/>
          <w:highlight w:val="none"/>
          <w:lang w:eastAsia="zh-CN"/>
        </w:rPr>
        <w:fldChar w:fldCharType="end"/>
      </w:r>
    </w:p>
    <w:p w14:paraId="2FF73679">
      <w:pPr>
        <w:pStyle w:val="31"/>
        <w:tabs>
          <w:tab w:val="right" w:leader="dot" w:pos="9800"/>
          <w:tab w:val="clear" w:pos="1260"/>
          <w:tab w:val="clear" w:pos="9218"/>
        </w:tabs>
        <w:rPr>
          <w:rFonts w:hint="eastAsia" w:cs="Times New Roman"/>
          <w:color w:val="auto"/>
          <w:highlight w:val="none"/>
          <w:lang w:eastAsia="zh-CN"/>
        </w:rPr>
      </w:pP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HYPERLINK \l _Toc19079 </w:instrText>
      </w:r>
      <w:r>
        <w:rPr>
          <w:rFonts w:hint="eastAsia" w:cs="Times New Roman"/>
          <w:color w:val="auto"/>
          <w:highlight w:val="none"/>
          <w:lang w:eastAsia="zh-CN"/>
        </w:rPr>
        <w:fldChar w:fldCharType="separate"/>
      </w:r>
      <w:r>
        <w:rPr>
          <w:rFonts w:hint="eastAsia" w:cs="Times New Roman"/>
          <w:color w:val="auto"/>
          <w:highlight w:val="none"/>
          <w:lang w:eastAsia="zh-CN"/>
        </w:rPr>
        <w:t>（</w:t>
      </w:r>
      <w:r>
        <w:rPr>
          <w:rFonts w:hint="eastAsia" w:cs="Times New Roman"/>
          <w:color w:val="auto"/>
          <w:highlight w:val="none"/>
          <w:lang w:val="en-US" w:eastAsia="zh-CN"/>
        </w:rPr>
        <w:t>五</w:t>
      </w:r>
      <w:r>
        <w:rPr>
          <w:rFonts w:hint="eastAsia" w:cs="Times New Roman"/>
          <w:color w:val="auto"/>
          <w:highlight w:val="none"/>
          <w:lang w:eastAsia="zh-CN"/>
        </w:rPr>
        <w:t>）项目</w:t>
      </w:r>
      <w:r>
        <w:rPr>
          <w:rFonts w:hint="eastAsia" w:cs="Times New Roman"/>
          <w:color w:val="auto"/>
          <w:highlight w:val="none"/>
          <w:lang w:val="en-US" w:eastAsia="zh-CN"/>
        </w:rPr>
        <w:t>技术服务</w:t>
      </w:r>
      <w:r>
        <w:rPr>
          <w:rFonts w:hint="eastAsia" w:cs="Times New Roman"/>
          <w:color w:val="auto"/>
          <w:highlight w:val="none"/>
          <w:lang w:eastAsia="zh-CN"/>
        </w:rPr>
        <w:t>方案</w:t>
      </w:r>
      <w:r>
        <w:rPr>
          <w:rFonts w:hint="eastAsia" w:cs="Times New Roman"/>
          <w:color w:val="auto"/>
          <w:highlight w:val="none"/>
          <w:lang w:eastAsia="zh-CN"/>
        </w:rPr>
        <w:tab/>
      </w: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PAGEREF _Toc19079 \h </w:instrText>
      </w:r>
      <w:r>
        <w:rPr>
          <w:rFonts w:hint="eastAsia" w:cs="Times New Roman"/>
          <w:color w:val="auto"/>
          <w:highlight w:val="none"/>
          <w:lang w:eastAsia="zh-CN"/>
        </w:rPr>
        <w:fldChar w:fldCharType="separate"/>
      </w:r>
      <w:r>
        <w:rPr>
          <w:rFonts w:hint="eastAsia" w:cs="Times New Roman"/>
          <w:color w:val="auto"/>
          <w:highlight w:val="none"/>
          <w:lang w:eastAsia="zh-CN"/>
        </w:rPr>
        <w:t>59</w:t>
      </w:r>
      <w:r>
        <w:rPr>
          <w:rFonts w:hint="eastAsia" w:cs="Times New Roman"/>
          <w:color w:val="auto"/>
          <w:highlight w:val="none"/>
          <w:lang w:eastAsia="zh-CN"/>
        </w:rPr>
        <w:fldChar w:fldCharType="end"/>
      </w:r>
      <w:r>
        <w:rPr>
          <w:rFonts w:hint="eastAsia" w:cs="Times New Roman"/>
          <w:color w:val="auto"/>
          <w:highlight w:val="none"/>
          <w:lang w:eastAsia="zh-CN"/>
        </w:rPr>
        <w:fldChar w:fldCharType="end"/>
      </w:r>
    </w:p>
    <w:p w14:paraId="4ABE6E0A">
      <w:pPr>
        <w:pStyle w:val="31"/>
        <w:tabs>
          <w:tab w:val="right" w:leader="dot" w:pos="9800"/>
          <w:tab w:val="clear" w:pos="1260"/>
          <w:tab w:val="clear" w:pos="9218"/>
        </w:tabs>
        <w:rPr>
          <w:rFonts w:hint="eastAsia" w:cs="Times New Roman"/>
          <w:color w:val="auto"/>
          <w:highlight w:val="none"/>
          <w:lang w:eastAsia="zh-CN"/>
        </w:rPr>
      </w:pP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HYPERLINK \l _Toc27196 </w:instrText>
      </w:r>
      <w:r>
        <w:rPr>
          <w:rFonts w:hint="eastAsia" w:cs="Times New Roman"/>
          <w:color w:val="auto"/>
          <w:highlight w:val="none"/>
          <w:lang w:eastAsia="zh-CN"/>
        </w:rPr>
        <w:fldChar w:fldCharType="separate"/>
      </w:r>
      <w:r>
        <w:rPr>
          <w:rFonts w:hint="eastAsia" w:cs="Times New Roman"/>
          <w:color w:val="auto"/>
          <w:highlight w:val="none"/>
          <w:lang w:eastAsia="zh-CN"/>
        </w:rPr>
        <w:t>（</w:t>
      </w:r>
      <w:r>
        <w:rPr>
          <w:rFonts w:hint="eastAsia" w:cs="Times New Roman"/>
          <w:color w:val="auto"/>
          <w:highlight w:val="none"/>
          <w:lang w:val="en-US" w:eastAsia="zh-CN"/>
        </w:rPr>
        <w:t>六）项目</w:t>
      </w:r>
      <w:r>
        <w:rPr>
          <w:rFonts w:hint="eastAsia" w:cs="Times New Roman"/>
          <w:color w:val="auto"/>
          <w:highlight w:val="none"/>
          <w:lang w:eastAsia="zh-CN"/>
        </w:rPr>
        <w:t>技术偏离表</w:t>
      </w:r>
      <w:r>
        <w:rPr>
          <w:rFonts w:hint="eastAsia" w:cs="Times New Roman"/>
          <w:color w:val="auto"/>
          <w:highlight w:val="none"/>
          <w:lang w:eastAsia="zh-CN"/>
        </w:rPr>
        <w:tab/>
      </w: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PAGEREF _Toc27196 \h </w:instrText>
      </w:r>
      <w:r>
        <w:rPr>
          <w:rFonts w:hint="eastAsia" w:cs="Times New Roman"/>
          <w:color w:val="auto"/>
          <w:highlight w:val="none"/>
          <w:lang w:eastAsia="zh-CN"/>
        </w:rPr>
        <w:fldChar w:fldCharType="separate"/>
      </w:r>
      <w:r>
        <w:rPr>
          <w:rFonts w:hint="eastAsia" w:cs="Times New Roman"/>
          <w:color w:val="auto"/>
          <w:highlight w:val="none"/>
          <w:lang w:eastAsia="zh-CN"/>
        </w:rPr>
        <w:t>60</w:t>
      </w:r>
      <w:r>
        <w:rPr>
          <w:rFonts w:hint="eastAsia" w:cs="Times New Roman"/>
          <w:color w:val="auto"/>
          <w:highlight w:val="none"/>
          <w:lang w:eastAsia="zh-CN"/>
        </w:rPr>
        <w:fldChar w:fldCharType="end"/>
      </w:r>
      <w:r>
        <w:rPr>
          <w:rFonts w:hint="eastAsia" w:cs="Times New Roman"/>
          <w:color w:val="auto"/>
          <w:highlight w:val="none"/>
          <w:lang w:eastAsia="zh-CN"/>
        </w:rPr>
        <w:fldChar w:fldCharType="end"/>
      </w:r>
    </w:p>
    <w:p w14:paraId="00E68B04">
      <w:pPr>
        <w:pStyle w:val="31"/>
        <w:tabs>
          <w:tab w:val="right" w:leader="dot" w:pos="9800"/>
          <w:tab w:val="clear" w:pos="1260"/>
          <w:tab w:val="clear" w:pos="9218"/>
        </w:tabs>
        <w:rPr>
          <w:rFonts w:hint="eastAsia" w:cs="Times New Roman"/>
          <w:color w:val="auto"/>
          <w:highlight w:val="none"/>
          <w:lang w:eastAsia="zh-CN"/>
        </w:rPr>
      </w:pP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HYPERLINK \l _Toc1664 </w:instrText>
      </w:r>
      <w:r>
        <w:rPr>
          <w:rFonts w:hint="eastAsia" w:cs="Times New Roman"/>
          <w:color w:val="auto"/>
          <w:highlight w:val="none"/>
          <w:lang w:eastAsia="zh-CN"/>
        </w:rPr>
        <w:fldChar w:fldCharType="separate"/>
      </w:r>
      <w:r>
        <w:rPr>
          <w:rFonts w:hint="eastAsia" w:cs="Times New Roman"/>
          <w:color w:val="auto"/>
          <w:highlight w:val="none"/>
          <w:lang w:eastAsia="zh-CN"/>
        </w:rPr>
        <w:t>（</w:t>
      </w:r>
      <w:r>
        <w:rPr>
          <w:rFonts w:hint="eastAsia" w:cs="Times New Roman"/>
          <w:color w:val="auto"/>
          <w:highlight w:val="none"/>
          <w:lang w:val="en-US" w:eastAsia="zh-CN"/>
        </w:rPr>
        <w:t>七</w:t>
      </w:r>
      <w:r>
        <w:rPr>
          <w:rFonts w:hint="eastAsia" w:cs="Times New Roman"/>
          <w:color w:val="auto"/>
          <w:highlight w:val="none"/>
          <w:lang w:eastAsia="zh-CN"/>
        </w:rPr>
        <w:t>）项目技术培训服务方案</w:t>
      </w:r>
      <w:r>
        <w:rPr>
          <w:rFonts w:hint="eastAsia" w:cs="Times New Roman"/>
          <w:color w:val="auto"/>
          <w:highlight w:val="none"/>
          <w:lang w:eastAsia="zh-CN"/>
        </w:rPr>
        <w:tab/>
      </w: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PAGEREF _Toc1664 \h </w:instrText>
      </w:r>
      <w:r>
        <w:rPr>
          <w:rFonts w:hint="eastAsia" w:cs="Times New Roman"/>
          <w:color w:val="auto"/>
          <w:highlight w:val="none"/>
          <w:lang w:eastAsia="zh-CN"/>
        </w:rPr>
        <w:fldChar w:fldCharType="separate"/>
      </w:r>
      <w:r>
        <w:rPr>
          <w:rFonts w:hint="eastAsia" w:cs="Times New Roman"/>
          <w:color w:val="auto"/>
          <w:highlight w:val="none"/>
          <w:lang w:eastAsia="zh-CN"/>
        </w:rPr>
        <w:t>61</w:t>
      </w:r>
      <w:r>
        <w:rPr>
          <w:rFonts w:hint="eastAsia" w:cs="Times New Roman"/>
          <w:color w:val="auto"/>
          <w:highlight w:val="none"/>
          <w:lang w:eastAsia="zh-CN"/>
        </w:rPr>
        <w:fldChar w:fldCharType="end"/>
      </w:r>
      <w:r>
        <w:rPr>
          <w:rFonts w:hint="eastAsia" w:cs="Times New Roman"/>
          <w:color w:val="auto"/>
          <w:highlight w:val="none"/>
          <w:lang w:eastAsia="zh-CN"/>
        </w:rPr>
        <w:fldChar w:fldCharType="end"/>
      </w:r>
    </w:p>
    <w:p w14:paraId="1999D674">
      <w:pPr>
        <w:pStyle w:val="31"/>
        <w:tabs>
          <w:tab w:val="right" w:leader="dot" w:pos="9800"/>
          <w:tab w:val="clear" w:pos="1260"/>
          <w:tab w:val="clear" w:pos="9218"/>
        </w:tabs>
        <w:rPr>
          <w:rFonts w:hint="eastAsia" w:cs="Times New Roman"/>
          <w:color w:val="auto"/>
          <w:highlight w:val="none"/>
          <w:lang w:eastAsia="zh-CN"/>
        </w:rPr>
      </w:pP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HYPERLINK \l _Toc6972 </w:instrText>
      </w:r>
      <w:r>
        <w:rPr>
          <w:rFonts w:hint="eastAsia" w:cs="Times New Roman"/>
          <w:color w:val="auto"/>
          <w:highlight w:val="none"/>
          <w:lang w:eastAsia="zh-CN"/>
        </w:rPr>
        <w:fldChar w:fldCharType="separate"/>
      </w:r>
      <w:r>
        <w:rPr>
          <w:rFonts w:hint="eastAsia" w:cs="Times New Roman"/>
          <w:color w:val="auto"/>
          <w:highlight w:val="none"/>
          <w:lang w:eastAsia="zh-CN"/>
        </w:rPr>
        <w:t>（</w:t>
      </w:r>
      <w:r>
        <w:rPr>
          <w:rFonts w:hint="eastAsia" w:cs="Times New Roman"/>
          <w:color w:val="auto"/>
          <w:highlight w:val="none"/>
          <w:lang w:val="en-US" w:eastAsia="zh-CN"/>
        </w:rPr>
        <w:t>八</w:t>
      </w:r>
      <w:r>
        <w:rPr>
          <w:rFonts w:hint="eastAsia" w:cs="Times New Roman"/>
          <w:color w:val="auto"/>
          <w:highlight w:val="none"/>
          <w:lang w:eastAsia="zh-CN"/>
        </w:rPr>
        <w:t>）售后运维服务能力介绍及售后运维服务方案</w:t>
      </w:r>
      <w:r>
        <w:rPr>
          <w:rFonts w:hint="eastAsia" w:cs="Times New Roman"/>
          <w:color w:val="auto"/>
          <w:highlight w:val="none"/>
          <w:lang w:eastAsia="zh-CN"/>
        </w:rPr>
        <w:tab/>
      </w: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PAGEREF _Toc6972 \h </w:instrText>
      </w:r>
      <w:r>
        <w:rPr>
          <w:rFonts w:hint="eastAsia" w:cs="Times New Roman"/>
          <w:color w:val="auto"/>
          <w:highlight w:val="none"/>
          <w:lang w:eastAsia="zh-CN"/>
        </w:rPr>
        <w:fldChar w:fldCharType="separate"/>
      </w:r>
      <w:r>
        <w:rPr>
          <w:rFonts w:hint="eastAsia" w:cs="Times New Roman"/>
          <w:color w:val="auto"/>
          <w:highlight w:val="none"/>
          <w:lang w:eastAsia="zh-CN"/>
        </w:rPr>
        <w:t>62</w:t>
      </w:r>
      <w:r>
        <w:rPr>
          <w:rFonts w:hint="eastAsia" w:cs="Times New Roman"/>
          <w:color w:val="auto"/>
          <w:highlight w:val="none"/>
          <w:lang w:eastAsia="zh-CN"/>
        </w:rPr>
        <w:fldChar w:fldCharType="end"/>
      </w:r>
      <w:r>
        <w:rPr>
          <w:rFonts w:hint="eastAsia" w:cs="Times New Roman"/>
          <w:color w:val="auto"/>
          <w:highlight w:val="none"/>
          <w:lang w:eastAsia="zh-CN"/>
        </w:rPr>
        <w:fldChar w:fldCharType="end"/>
      </w:r>
    </w:p>
    <w:p w14:paraId="34ECC9D1">
      <w:pPr>
        <w:pStyle w:val="31"/>
        <w:tabs>
          <w:tab w:val="right" w:leader="dot" w:pos="9800"/>
          <w:tab w:val="clear" w:pos="1260"/>
          <w:tab w:val="clear" w:pos="9218"/>
        </w:tabs>
        <w:rPr>
          <w:rFonts w:hint="eastAsia" w:cs="Times New Roman"/>
          <w:color w:val="auto"/>
          <w:highlight w:val="none"/>
          <w:lang w:eastAsia="zh-CN"/>
        </w:rPr>
      </w:pP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HYPERLINK \l _Toc19811 </w:instrText>
      </w:r>
      <w:r>
        <w:rPr>
          <w:rFonts w:hint="eastAsia" w:cs="Times New Roman"/>
          <w:color w:val="auto"/>
          <w:highlight w:val="none"/>
          <w:lang w:eastAsia="zh-CN"/>
        </w:rPr>
        <w:fldChar w:fldCharType="separate"/>
      </w:r>
      <w:r>
        <w:rPr>
          <w:rFonts w:hint="eastAsia" w:cs="Times New Roman"/>
          <w:color w:val="auto"/>
          <w:highlight w:val="none"/>
          <w:lang w:eastAsia="zh-CN"/>
        </w:rPr>
        <w:t>（</w:t>
      </w:r>
      <w:r>
        <w:rPr>
          <w:rFonts w:hint="eastAsia" w:cs="Times New Roman"/>
          <w:color w:val="auto"/>
          <w:highlight w:val="none"/>
          <w:lang w:val="en-US" w:eastAsia="zh-CN"/>
        </w:rPr>
        <w:t>九</w:t>
      </w:r>
      <w:r>
        <w:rPr>
          <w:rFonts w:hint="eastAsia" w:cs="Times New Roman"/>
          <w:color w:val="auto"/>
          <w:highlight w:val="none"/>
          <w:lang w:eastAsia="zh-CN"/>
        </w:rPr>
        <w:t>）项目服务质量保障措施和相应违约承诺</w:t>
      </w:r>
      <w:r>
        <w:rPr>
          <w:rFonts w:hint="eastAsia" w:cs="Times New Roman"/>
          <w:color w:val="auto"/>
          <w:highlight w:val="none"/>
          <w:lang w:eastAsia="zh-CN"/>
        </w:rPr>
        <w:tab/>
      </w: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PAGEREF _Toc19811 \h </w:instrText>
      </w:r>
      <w:r>
        <w:rPr>
          <w:rFonts w:hint="eastAsia" w:cs="Times New Roman"/>
          <w:color w:val="auto"/>
          <w:highlight w:val="none"/>
          <w:lang w:eastAsia="zh-CN"/>
        </w:rPr>
        <w:fldChar w:fldCharType="separate"/>
      </w:r>
      <w:r>
        <w:rPr>
          <w:rFonts w:hint="eastAsia" w:cs="Times New Roman"/>
          <w:color w:val="auto"/>
          <w:highlight w:val="none"/>
          <w:lang w:eastAsia="zh-CN"/>
        </w:rPr>
        <w:t>63</w:t>
      </w:r>
      <w:r>
        <w:rPr>
          <w:rFonts w:hint="eastAsia" w:cs="Times New Roman"/>
          <w:color w:val="auto"/>
          <w:highlight w:val="none"/>
          <w:lang w:eastAsia="zh-CN"/>
        </w:rPr>
        <w:fldChar w:fldCharType="end"/>
      </w:r>
      <w:r>
        <w:rPr>
          <w:rFonts w:hint="eastAsia" w:cs="Times New Roman"/>
          <w:color w:val="auto"/>
          <w:highlight w:val="none"/>
          <w:lang w:eastAsia="zh-CN"/>
        </w:rPr>
        <w:fldChar w:fldCharType="end"/>
      </w:r>
    </w:p>
    <w:p w14:paraId="39D3E762">
      <w:pPr>
        <w:pStyle w:val="31"/>
        <w:tabs>
          <w:tab w:val="right" w:leader="dot" w:pos="9800"/>
          <w:tab w:val="clear" w:pos="1260"/>
          <w:tab w:val="clear" w:pos="9218"/>
        </w:tabs>
        <w:rPr>
          <w:color w:val="auto"/>
          <w:highlight w:val="none"/>
        </w:rPr>
      </w:pP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HYPERLINK \l _Toc7944 </w:instrText>
      </w:r>
      <w:r>
        <w:rPr>
          <w:rFonts w:hint="eastAsia" w:cs="Times New Roman"/>
          <w:color w:val="auto"/>
          <w:highlight w:val="none"/>
          <w:lang w:eastAsia="zh-CN"/>
        </w:rPr>
        <w:fldChar w:fldCharType="separate"/>
      </w:r>
      <w:r>
        <w:rPr>
          <w:rFonts w:hint="eastAsia" w:cs="Times New Roman"/>
          <w:color w:val="auto"/>
          <w:highlight w:val="none"/>
          <w:lang w:eastAsia="zh-CN"/>
        </w:rPr>
        <w:t>（</w:t>
      </w:r>
      <w:r>
        <w:rPr>
          <w:rFonts w:hint="eastAsia" w:cs="Times New Roman"/>
          <w:color w:val="auto"/>
          <w:highlight w:val="none"/>
          <w:lang w:val="en-US" w:eastAsia="zh-CN"/>
        </w:rPr>
        <w:t>十</w:t>
      </w:r>
      <w:r>
        <w:rPr>
          <w:rFonts w:hint="eastAsia" w:cs="Times New Roman"/>
          <w:color w:val="auto"/>
          <w:highlight w:val="none"/>
          <w:lang w:eastAsia="zh-CN"/>
        </w:rPr>
        <w:t>）拟投入本项目的综合服务力量介绍</w:t>
      </w:r>
      <w:r>
        <w:rPr>
          <w:rFonts w:hint="eastAsia" w:cs="Times New Roman"/>
          <w:color w:val="auto"/>
          <w:highlight w:val="none"/>
          <w:lang w:eastAsia="zh-CN"/>
        </w:rPr>
        <w:tab/>
      </w:r>
      <w:r>
        <w:rPr>
          <w:rFonts w:hint="eastAsia" w:cs="Times New Roman"/>
          <w:color w:val="auto"/>
          <w:highlight w:val="none"/>
          <w:lang w:eastAsia="zh-CN"/>
        </w:rPr>
        <w:fldChar w:fldCharType="begin"/>
      </w:r>
      <w:r>
        <w:rPr>
          <w:rFonts w:hint="eastAsia" w:cs="Times New Roman"/>
          <w:color w:val="auto"/>
          <w:highlight w:val="none"/>
          <w:lang w:eastAsia="zh-CN"/>
        </w:rPr>
        <w:instrText xml:space="preserve"> PAGEREF _Toc7944 \h </w:instrText>
      </w:r>
      <w:r>
        <w:rPr>
          <w:rFonts w:hint="eastAsia" w:cs="Times New Roman"/>
          <w:color w:val="auto"/>
          <w:highlight w:val="none"/>
          <w:lang w:eastAsia="zh-CN"/>
        </w:rPr>
        <w:fldChar w:fldCharType="separate"/>
      </w:r>
      <w:r>
        <w:rPr>
          <w:rFonts w:hint="eastAsia" w:cs="Times New Roman"/>
          <w:color w:val="auto"/>
          <w:highlight w:val="none"/>
          <w:lang w:eastAsia="zh-CN"/>
        </w:rPr>
        <w:t>64</w:t>
      </w:r>
      <w:r>
        <w:rPr>
          <w:rFonts w:hint="eastAsia" w:cs="Times New Roman"/>
          <w:color w:val="auto"/>
          <w:highlight w:val="none"/>
          <w:lang w:eastAsia="zh-CN"/>
        </w:rPr>
        <w:fldChar w:fldCharType="end"/>
      </w:r>
      <w:r>
        <w:rPr>
          <w:rFonts w:hint="eastAsia" w:cs="Times New Roman"/>
          <w:color w:val="auto"/>
          <w:highlight w:val="none"/>
          <w:lang w:eastAsia="zh-CN"/>
        </w:rPr>
        <w:fldChar w:fldCharType="end"/>
      </w:r>
    </w:p>
    <w:p w14:paraId="5EEB74AB">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_Toc16113 </w:instrText>
      </w:r>
      <w:r>
        <w:rPr>
          <w:rFonts w:hint="eastAsia" w:hAnsi="宋体" w:cs="宋体"/>
          <w:color w:val="auto"/>
          <w:szCs w:val="24"/>
          <w:highlight w:val="none"/>
        </w:rPr>
        <w:fldChar w:fldCharType="separate"/>
      </w:r>
      <w:r>
        <w:rPr>
          <w:rFonts w:hint="eastAsia"/>
          <w:color w:val="auto"/>
          <w:highlight w:val="none"/>
        </w:rPr>
        <w:t>（</w:t>
      </w:r>
      <w:r>
        <w:rPr>
          <w:rFonts w:hint="eastAsia"/>
          <w:color w:val="auto"/>
          <w:highlight w:val="none"/>
          <w:lang w:val="en-US" w:eastAsia="zh-CN"/>
        </w:rPr>
        <w:t>十一</w:t>
      </w:r>
      <w:r>
        <w:rPr>
          <w:rFonts w:hint="eastAsia"/>
          <w:color w:val="auto"/>
          <w:highlight w:val="none"/>
        </w:rPr>
        <w:t>）投标人（202</w:t>
      </w:r>
      <w:r>
        <w:rPr>
          <w:rFonts w:hint="eastAsia"/>
          <w:color w:val="auto"/>
          <w:highlight w:val="none"/>
          <w:lang w:val="en-US" w:eastAsia="zh-CN"/>
        </w:rPr>
        <w:t>2</w:t>
      </w:r>
      <w:r>
        <w:rPr>
          <w:rFonts w:hint="eastAsia"/>
          <w:color w:val="auto"/>
          <w:highlight w:val="none"/>
        </w:rPr>
        <w:t>年01月01日至今）项目实施经验</w:t>
      </w:r>
      <w:r>
        <w:rPr>
          <w:color w:val="auto"/>
          <w:highlight w:val="none"/>
        </w:rPr>
        <w:tab/>
      </w:r>
      <w:r>
        <w:rPr>
          <w:color w:val="auto"/>
          <w:highlight w:val="none"/>
        </w:rPr>
        <w:fldChar w:fldCharType="begin"/>
      </w:r>
      <w:r>
        <w:rPr>
          <w:color w:val="auto"/>
          <w:highlight w:val="none"/>
        </w:rPr>
        <w:instrText xml:space="preserve"> PAGEREF _Toc16113 \h </w:instrText>
      </w:r>
      <w:r>
        <w:rPr>
          <w:color w:val="auto"/>
          <w:highlight w:val="none"/>
        </w:rPr>
        <w:fldChar w:fldCharType="separate"/>
      </w:r>
      <w:r>
        <w:rPr>
          <w:color w:val="auto"/>
          <w:highlight w:val="none"/>
        </w:rPr>
        <w:t>68</w:t>
      </w:r>
      <w:r>
        <w:rPr>
          <w:color w:val="auto"/>
          <w:highlight w:val="none"/>
        </w:rPr>
        <w:fldChar w:fldCharType="end"/>
      </w:r>
      <w:r>
        <w:rPr>
          <w:rFonts w:hint="eastAsia" w:hAnsi="宋体" w:cs="宋体"/>
          <w:color w:val="auto"/>
          <w:szCs w:val="24"/>
          <w:highlight w:val="none"/>
        </w:rPr>
        <w:fldChar w:fldCharType="end"/>
      </w:r>
    </w:p>
    <w:p w14:paraId="11935A0E">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_Toc470 </w:instrText>
      </w:r>
      <w:r>
        <w:rPr>
          <w:rFonts w:hint="eastAsia" w:hAnsi="宋体" w:cs="宋体"/>
          <w:color w:val="auto"/>
          <w:szCs w:val="24"/>
          <w:highlight w:val="none"/>
        </w:rPr>
        <w:fldChar w:fldCharType="separate"/>
      </w:r>
      <w:r>
        <w:rPr>
          <w:rFonts w:hint="eastAsia"/>
          <w:color w:val="auto"/>
          <w:highlight w:val="none"/>
        </w:rPr>
        <w:t>（十</w:t>
      </w:r>
      <w:r>
        <w:rPr>
          <w:rFonts w:hint="eastAsia"/>
          <w:color w:val="auto"/>
          <w:highlight w:val="none"/>
          <w:lang w:val="en-US" w:eastAsia="zh-CN"/>
        </w:rPr>
        <w:t>二</w:t>
      </w:r>
      <w:r>
        <w:rPr>
          <w:rFonts w:hint="eastAsia"/>
          <w:color w:val="auto"/>
          <w:highlight w:val="none"/>
        </w:rPr>
        <w:t>）投标保证书</w:t>
      </w:r>
      <w:r>
        <w:rPr>
          <w:color w:val="auto"/>
          <w:highlight w:val="none"/>
        </w:rPr>
        <w:tab/>
      </w:r>
      <w:r>
        <w:rPr>
          <w:color w:val="auto"/>
          <w:highlight w:val="none"/>
        </w:rPr>
        <w:fldChar w:fldCharType="begin"/>
      </w:r>
      <w:r>
        <w:rPr>
          <w:color w:val="auto"/>
          <w:highlight w:val="none"/>
        </w:rPr>
        <w:instrText xml:space="preserve"> PAGEREF _Toc470 \h </w:instrText>
      </w:r>
      <w:r>
        <w:rPr>
          <w:color w:val="auto"/>
          <w:highlight w:val="none"/>
        </w:rPr>
        <w:fldChar w:fldCharType="separate"/>
      </w:r>
      <w:r>
        <w:rPr>
          <w:color w:val="auto"/>
          <w:highlight w:val="none"/>
        </w:rPr>
        <w:t>69</w:t>
      </w:r>
      <w:r>
        <w:rPr>
          <w:color w:val="auto"/>
          <w:highlight w:val="none"/>
        </w:rPr>
        <w:fldChar w:fldCharType="end"/>
      </w:r>
      <w:r>
        <w:rPr>
          <w:rFonts w:hint="eastAsia" w:hAnsi="宋体" w:cs="宋体"/>
          <w:color w:val="auto"/>
          <w:szCs w:val="24"/>
          <w:highlight w:val="none"/>
        </w:rPr>
        <w:fldChar w:fldCharType="end"/>
      </w:r>
    </w:p>
    <w:p w14:paraId="68988A93">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_Toc2620 </w:instrText>
      </w:r>
      <w:r>
        <w:rPr>
          <w:rFonts w:hint="eastAsia" w:hAnsi="宋体" w:cs="宋体"/>
          <w:color w:val="auto"/>
          <w:szCs w:val="24"/>
          <w:highlight w:val="none"/>
        </w:rPr>
        <w:fldChar w:fldCharType="separate"/>
      </w:r>
      <w:r>
        <w:rPr>
          <w:rFonts w:hint="eastAsia"/>
          <w:color w:val="auto"/>
          <w:highlight w:val="none"/>
        </w:rPr>
        <w:t>（十</w:t>
      </w:r>
      <w:r>
        <w:rPr>
          <w:rFonts w:hint="eastAsia"/>
          <w:color w:val="auto"/>
          <w:highlight w:val="none"/>
          <w:lang w:val="en-US" w:eastAsia="zh-CN"/>
        </w:rPr>
        <w:t>三</w:t>
      </w:r>
      <w:r>
        <w:rPr>
          <w:rFonts w:hint="eastAsia"/>
          <w:color w:val="auto"/>
          <w:highlight w:val="none"/>
        </w:rPr>
        <w:t>）投标人认为需要提供的其他技术文件</w:t>
      </w:r>
      <w:r>
        <w:rPr>
          <w:color w:val="auto"/>
          <w:highlight w:val="none"/>
        </w:rPr>
        <w:tab/>
      </w:r>
      <w:r>
        <w:rPr>
          <w:color w:val="auto"/>
          <w:highlight w:val="none"/>
        </w:rPr>
        <w:fldChar w:fldCharType="begin"/>
      </w:r>
      <w:r>
        <w:rPr>
          <w:color w:val="auto"/>
          <w:highlight w:val="none"/>
        </w:rPr>
        <w:instrText xml:space="preserve"> PAGEREF _Toc2620 \h </w:instrText>
      </w:r>
      <w:r>
        <w:rPr>
          <w:color w:val="auto"/>
          <w:highlight w:val="none"/>
        </w:rPr>
        <w:fldChar w:fldCharType="separate"/>
      </w:r>
      <w:r>
        <w:rPr>
          <w:color w:val="auto"/>
          <w:highlight w:val="none"/>
        </w:rPr>
        <w:t>71</w:t>
      </w:r>
      <w:r>
        <w:rPr>
          <w:color w:val="auto"/>
          <w:highlight w:val="none"/>
        </w:rPr>
        <w:fldChar w:fldCharType="end"/>
      </w:r>
      <w:r>
        <w:rPr>
          <w:rFonts w:hint="eastAsia" w:hAnsi="宋体" w:cs="宋体"/>
          <w:color w:val="auto"/>
          <w:szCs w:val="24"/>
          <w:highlight w:val="none"/>
        </w:rPr>
        <w:fldChar w:fldCharType="end"/>
      </w:r>
    </w:p>
    <w:p w14:paraId="3BA36168">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_Toc30005 </w:instrText>
      </w:r>
      <w:r>
        <w:rPr>
          <w:rFonts w:hint="eastAsia" w:hAnsi="宋体" w:cs="宋体"/>
          <w:color w:val="auto"/>
          <w:szCs w:val="24"/>
          <w:highlight w:val="none"/>
        </w:rPr>
        <w:fldChar w:fldCharType="separate"/>
      </w:r>
      <w:r>
        <w:rPr>
          <w:rFonts w:hint="eastAsia" w:ascii="宋体" w:hAnsi="宋体" w:eastAsia="宋体"/>
          <w:bCs w:val="0"/>
          <w:color w:val="auto"/>
          <w:szCs w:val="44"/>
          <w:highlight w:val="none"/>
        </w:rPr>
        <w:t>第六章   项目技术标准和要求</w:t>
      </w:r>
      <w:r>
        <w:rPr>
          <w:color w:val="auto"/>
          <w:highlight w:val="none"/>
        </w:rPr>
        <w:tab/>
      </w:r>
      <w:r>
        <w:rPr>
          <w:color w:val="auto"/>
          <w:highlight w:val="none"/>
        </w:rPr>
        <w:fldChar w:fldCharType="begin"/>
      </w:r>
      <w:r>
        <w:rPr>
          <w:color w:val="auto"/>
          <w:highlight w:val="none"/>
        </w:rPr>
        <w:instrText xml:space="preserve"> PAGEREF _Toc30005 \h </w:instrText>
      </w:r>
      <w:r>
        <w:rPr>
          <w:color w:val="auto"/>
          <w:highlight w:val="none"/>
        </w:rPr>
        <w:fldChar w:fldCharType="separate"/>
      </w:r>
      <w:r>
        <w:rPr>
          <w:color w:val="auto"/>
          <w:highlight w:val="none"/>
        </w:rPr>
        <w:t>72</w:t>
      </w:r>
      <w:r>
        <w:rPr>
          <w:color w:val="auto"/>
          <w:highlight w:val="none"/>
        </w:rPr>
        <w:fldChar w:fldCharType="end"/>
      </w:r>
      <w:r>
        <w:rPr>
          <w:rFonts w:hint="eastAsia" w:hAnsi="宋体" w:cs="宋体"/>
          <w:color w:val="auto"/>
          <w:szCs w:val="24"/>
          <w:highlight w:val="none"/>
        </w:rPr>
        <w:fldChar w:fldCharType="end"/>
      </w:r>
    </w:p>
    <w:p w14:paraId="22EDCA19">
      <w:pPr>
        <w:pStyle w:val="31"/>
        <w:tabs>
          <w:tab w:val="right" w:leader="dot" w:pos="9800"/>
          <w:tab w:val="clear" w:pos="1260"/>
          <w:tab w:val="clear" w:pos="9218"/>
        </w:tabs>
        <w:rPr>
          <w:color w:val="auto"/>
          <w:highlight w:val="none"/>
        </w:rPr>
      </w:pPr>
      <w:r>
        <w:rPr>
          <w:rFonts w:hint="eastAsia" w:hAnsi="宋体" w:cs="宋体"/>
          <w:color w:val="auto"/>
          <w:szCs w:val="24"/>
          <w:highlight w:val="none"/>
        </w:rPr>
        <w:fldChar w:fldCharType="begin"/>
      </w:r>
      <w:r>
        <w:rPr>
          <w:rFonts w:hint="eastAsia" w:hAnsi="宋体" w:cs="宋体"/>
          <w:color w:val="auto"/>
          <w:szCs w:val="24"/>
          <w:highlight w:val="none"/>
        </w:rPr>
        <w:instrText xml:space="preserve"> HYPERLINK \l _Toc378 </w:instrText>
      </w:r>
      <w:r>
        <w:rPr>
          <w:rFonts w:hint="eastAsia" w:hAnsi="宋体" w:cs="宋体"/>
          <w:color w:val="auto"/>
          <w:szCs w:val="24"/>
          <w:highlight w:val="none"/>
        </w:rPr>
        <w:fldChar w:fldCharType="separate"/>
      </w:r>
      <w:r>
        <w:rPr>
          <w:rFonts w:hint="eastAsia" w:ascii="宋体" w:hAnsi="宋体" w:eastAsia="宋体"/>
          <w:bCs w:val="0"/>
          <w:color w:val="auto"/>
          <w:szCs w:val="44"/>
          <w:highlight w:val="none"/>
        </w:rPr>
        <w:t>第七章 合同样本</w:t>
      </w:r>
      <w:r>
        <w:rPr>
          <w:color w:val="auto"/>
          <w:highlight w:val="none"/>
        </w:rPr>
        <w:tab/>
      </w:r>
      <w:r>
        <w:rPr>
          <w:color w:val="auto"/>
          <w:highlight w:val="none"/>
        </w:rPr>
        <w:fldChar w:fldCharType="begin"/>
      </w:r>
      <w:r>
        <w:rPr>
          <w:color w:val="auto"/>
          <w:highlight w:val="none"/>
        </w:rPr>
        <w:instrText xml:space="preserve"> PAGEREF _Toc378 \h </w:instrText>
      </w:r>
      <w:r>
        <w:rPr>
          <w:color w:val="auto"/>
          <w:highlight w:val="none"/>
        </w:rPr>
        <w:fldChar w:fldCharType="separate"/>
      </w:r>
      <w:r>
        <w:rPr>
          <w:color w:val="auto"/>
          <w:highlight w:val="none"/>
        </w:rPr>
        <w:t>85</w:t>
      </w:r>
      <w:r>
        <w:rPr>
          <w:color w:val="auto"/>
          <w:highlight w:val="none"/>
        </w:rPr>
        <w:fldChar w:fldCharType="end"/>
      </w:r>
      <w:r>
        <w:rPr>
          <w:rFonts w:hint="eastAsia" w:hAnsi="宋体" w:cs="宋体"/>
          <w:color w:val="auto"/>
          <w:szCs w:val="24"/>
          <w:highlight w:val="none"/>
        </w:rPr>
        <w:fldChar w:fldCharType="end"/>
      </w:r>
    </w:p>
    <w:p w14:paraId="6EE9C225">
      <w:pPr>
        <w:tabs>
          <w:tab w:val="right" w:leader="dot" w:pos="9720"/>
        </w:tabs>
        <w:spacing w:line="480" w:lineRule="exact"/>
        <w:rPr>
          <w:rFonts w:hint="eastAsia" w:hAnsi="宋体"/>
          <w:b/>
          <w:bCs/>
          <w:color w:val="auto"/>
          <w:sz w:val="44"/>
          <w:szCs w:val="36"/>
          <w:highlight w:val="none"/>
        </w:rPr>
      </w:pPr>
      <w:r>
        <w:rPr>
          <w:rFonts w:hint="eastAsia" w:hAnsi="宋体" w:cs="宋体"/>
          <w:color w:val="auto"/>
          <w:szCs w:val="24"/>
          <w:highlight w:val="none"/>
        </w:rPr>
        <w:fldChar w:fldCharType="end"/>
      </w:r>
    </w:p>
    <w:p w14:paraId="22000BED">
      <w:pPr>
        <w:pStyle w:val="6"/>
        <w:spacing w:line="360" w:lineRule="auto"/>
        <w:jc w:val="center"/>
        <w:rPr>
          <w:rFonts w:hint="eastAsia" w:ascii="宋体" w:hAnsi="宋体" w:eastAsia="宋体"/>
          <w:bCs w:val="0"/>
          <w:color w:val="auto"/>
          <w:sz w:val="44"/>
          <w:szCs w:val="44"/>
          <w:highlight w:val="none"/>
        </w:rPr>
      </w:pPr>
      <w:r>
        <w:rPr>
          <w:rFonts w:ascii="宋体" w:hAnsi="宋体" w:eastAsia="宋体"/>
          <w:bCs w:val="0"/>
          <w:color w:val="auto"/>
          <w:sz w:val="44"/>
          <w:szCs w:val="44"/>
          <w:highlight w:val="none"/>
        </w:rPr>
        <w:br w:type="page"/>
      </w:r>
      <w:bookmarkStart w:id="0" w:name="_Toc20214"/>
      <w:r>
        <w:rPr>
          <w:rFonts w:hint="eastAsia" w:ascii="宋体" w:hAnsi="宋体" w:eastAsia="宋体"/>
          <w:bCs w:val="0"/>
          <w:color w:val="auto"/>
          <w:sz w:val="44"/>
          <w:szCs w:val="44"/>
          <w:highlight w:val="none"/>
        </w:rPr>
        <w:t>第一章  招标公告</w:t>
      </w:r>
      <w:bookmarkEnd w:id="0"/>
    </w:p>
    <w:p w14:paraId="63E59ED4">
      <w:pPr>
        <w:spacing w:line="600" w:lineRule="exact"/>
        <w:jc w:val="center"/>
        <w:rPr>
          <w:rFonts w:hint="eastAsia" w:hAnsi="宋体" w:eastAsia="宋体" w:cs="宋体"/>
          <w:b/>
          <w:bCs/>
          <w:color w:val="auto"/>
          <w:kern w:val="36"/>
          <w:sz w:val="38"/>
          <w:szCs w:val="38"/>
          <w:highlight w:val="none"/>
          <w:lang w:eastAsia="zh-CN"/>
        </w:rPr>
      </w:pPr>
      <w:bookmarkStart w:id="1" w:name="_Toc444848839"/>
      <w:bookmarkStart w:id="2" w:name="_Toc441049658"/>
      <w:r>
        <w:rPr>
          <w:rFonts w:hint="eastAsia" w:hAnsi="宋体" w:cs="宋体"/>
          <w:b/>
          <w:bCs/>
          <w:color w:val="auto"/>
          <w:kern w:val="36"/>
          <w:sz w:val="38"/>
          <w:szCs w:val="38"/>
          <w:highlight w:val="none"/>
          <w:lang w:eastAsia="zh-CN"/>
        </w:rPr>
        <w:t>保山市加油站流量数据采集系统</w:t>
      </w:r>
    </w:p>
    <w:p w14:paraId="50E1333B">
      <w:pPr>
        <w:spacing w:line="600" w:lineRule="exact"/>
        <w:jc w:val="center"/>
        <w:rPr>
          <w:rFonts w:hint="eastAsia" w:hAnsi="宋体" w:cs="宋体"/>
          <w:b/>
          <w:bCs/>
          <w:color w:val="auto"/>
          <w:kern w:val="36"/>
          <w:sz w:val="40"/>
          <w:szCs w:val="40"/>
          <w:highlight w:val="none"/>
        </w:rPr>
      </w:pPr>
      <w:r>
        <w:rPr>
          <w:rFonts w:hint="eastAsia" w:hAnsi="宋体" w:cs="宋体"/>
          <w:b/>
          <w:bCs/>
          <w:color w:val="auto"/>
          <w:kern w:val="36"/>
          <w:sz w:val="38"/>
          <w:szCs w:val="38"/>
          <w:highlight w:val="none"/>
        </w:rPr>
        <w:t>公开招标公告</w:t>
      </w:r>
    </w:p>
    <w:p w14:paraId="17CC3E2F">
      <w:pPr>
        <w:pBdr>
          <w:top w:val="single" w:color="auto" w:sz="4" w:space="1"/>
          <w:left w:val="single" w:color="auto" w:sz="4" w:space="4"/>
          <w:bottom w:val="single" w:color="auto" w:sz="4" w:space="1"/>
          <w:right w:val="single" w:color="auto" w:sz="4" w:space="4"/>
        </w:pBdr>
        <w:spacing w:line="460" w:lineRule="exact"/>
        <w:ind w:firstLine="422" w:firstLineChars="200"/>
        <w:rPr>
          <w:rFonts w:hint="eastAsia" w:asciiTheme="minorEastAsia" w:hAnsiTheme="minorEastAsia" w:eastAsiaTheme="minorEastAsia"/>
          <w:b/>
          <w:color w:val="auto"/>
          <w:sz w:val="21"/>
          <w:szCs w:val="21"/>
          <w:highlight w:val="none"/>
        </w:rPr>
      </w:pPr>
      <w:r>
        <w:rPr>
          <w:rFonts w:hint="eastAsia" w:asciiTheme="minorEastAsia" w:hAnsiTheme="minorEastAsia" w:eastAsiaTheme="minorEastAsia"/>
          <w:b/>
          <w:color w:val="auto"/>
          <w:sz w:val="21"/>
          <w:szCs w:val="21"/>
          <w:highlight w:val="none"/>
        </w:rPr>
        <w:t>项目概况</w:t>
      </w:r>
    </w:p>
    <w:p w14:paraId="47825806">
      <w:pPr>
        <w:pBdr>
          <w:top w:val="single" w:color="auto" w:sz="4" w:space="1"/>
          <w:left w:val="single" w:color="auto" w:sz="4" w:space="4"/>
          <w:bottom w:val="single" w:color="auto" w:sz="4" w:space="1"/>
          <w:right w:val="single" w:color="auto" w:sz="4" w:space="4"/>
        </w:pBdr>
        <w:spacing w:line="420" w:lineRule="exact"/>
        <w:ind w:firstLine="420" w:firstLineChars="200"/>
        <w:jc w:val="left"/>
        <w:rPr>
          <w:rFonts w:hint="eastAsia"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u w:val="single"/>
          <w:lang w:eastAsia="zh-CN"/>
        </w:rPr>
        <w:t>保山市加油站流量数据采集系统</w:t>
      </w:r>
      <w:r>
        <w:rPr>
          <w:rFonts w:hint="eastAsia" w:asciiTheme="minorEastAsia" w:hAnsiTheme="minorEastAsia" w:eastAsiaTheme="minorEastAsia"/>
          <w:color w:val="auto"/>
          <w:sz w:val="21"/>
          <w:szCs w:val="21"/>
          <w:highlight w:val="none"/>
        </w:rPr>
        <w:t>采购项目的</w:t>
      </w:r>
      <w:r>
        <w:rPr>
          <w:rFonts w:hint="eastAsia" w:hAnsi="宋体" w:cs="宋体"/>
          <w:color w:val="auto"/>
          <w:sz w:val="21"/>
          <w:szCs w:val="21"/>
          <w:highlight w:val="none"/>
          <w:u w:val="single"/>
        </w:rPr>
        <w:t>潜在投标人应在政府采购云平台（www.zcygov.cn）获取采购文件，</w:t>
      </w:r>
      <w:r>
        <w:rPr>
          <w:rFonts w:hint="eastAsia" w:asciiTheme="minorEastAsia" w:hAnsiTheme="minorEastAsia" w:eastAsiaTheme="minorEastAsia"/>
          <w:color w:val="auto"/>
          <w:sz w:val="21"/>
          <w:szCs w:val="21"/>
          <w:highlight w:val="none"/>
        </w:rPr>
        <w:t>并于</w:t>
      </w:r>
      <w:r>
        <w:rPr>
          <w:rFonts w:hint="eastAsia" w:asciiTheme="minorEastAsia" w:hAnsiTheme="minorEastAsia" w:eastAsiaTheme="minorEastAsia"/>
          <w:color w:val="auto"/>
          <w:sz w:val="21"/>
          <w:szCs w:val="21"/>
          <w:highlight w:val="none"/>
          <w:u w:val="single"/>
          <w:lang w:eastAsia="zh-CN"/>
        </w:rPr>
        <w:t>2025年04月15日09时00分</w:t>
      </w:r>
      <w:r>
        <w:rPr>
          <w:rFonts w:hint="eastAsia" w:asciiTheme="minorEastAsia" w:hAnsiTheme="minorEastAsia" w:eastAsiaTheme="minorEastAsia"/>
          <w:bCs/>
          <w:color w:val="auto"/>
          <w:sz w:val="21"/>
          <w:szCs w:val="21"/>
          <w:highlight w:val="none"/>
        </w:rPr>
        <w:t>（北京时间）前提交投标</w:t>
      </w:r>
      <w:r>
        <w:rPr>
          <w:rFonts w:asciiTheme="minorEastAsia" w:hAnsiTheme="minorEastAsia" w:eastAsiaTheme="minorEastAsia"/>
          <w:bCs/>
          <w:color w:val="auto"/>
          <w:sz w:val="21"/>
          <w:szCs w:val="21"/>
          <w:highlight w:val="none"/>
        </w:rPr>
        <w:t>文件</w:t>
      </w:r>
      <w:r>
        <w:rPr>
          <w:rFonts w:hint="eastAsia" w:asciiTheme="minorEastAsia" w:hAnsiTheme="minorEastAsia" w:eastAsiaTheme="minorEastAsia"/>
          <w:color w:val="auto"/>
          <w:sz w:val="21"/>
          <w:szCs w:val="21"/>
          <w:highlight w:val="none"/>
        </w:rPr>
        <w:t>。</w:t>
      </w:r>
    </w:p>
    <w:p w14:paraId="3AB37057">
      <w:pPr>
        <w:widowControl/>
        <w:spacing w:line="460" w:lineRule="exact"/>
        <w:ind w:firstLine="424" w:firstLineChars="202"/>
        <w:rPr>
          <w:rFonts w:hint="eastAsia" w:cs="宋体" w:asciiTheme="minorEastAsia" w:hAnsiTheme="minorEastAsia" w:eastAsiaTheme="minorEastAsia"/>
          <w:color w:val="auto"/>
          <w:sz w:val="21"/>
          <w:szCs w:val="21"/>
          <w:highlight w:val="none"/>
        </w:rPr>
      </w:pPr>
    </w:p>
    <w:p w14:paraId="697D8011">
      <w:pPr>
        <w:widowControl/>
        <w:spacing w:line="460" w:lineRule="exact"/>
        <w:ind w:firstLine="426" w:firstLineChars="202"/>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一、项目基本情况</w:t>
      </w:r>
    </w:p>
    <w:p w14:paraId="1DD25FAB">
      <w:pPr>
        <w:widowControl/>
        <w:spacing w:line="460" w:lineRule="exact"/>
        <w:ind w:firstLine="424" w:firstLineChars="202"/>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1.项目编号：</w:t>
      </w:r>
      <w:r>
        <w:rPr>
          <w:rFonts w:hint="eastAsia" w:cs="宋体" w:asciiTheme="minorEastAsia" w:hAnsiTheme="minorEastAsia" w:eastAsiaTheme="minorEastAsia"/>
          <w:color w:val="auto"/>
          <w:sz w:val="21"/>
          <w:szCs w:val="21"/>
          <w:highlight w:val="none"/>
          <w:lang w:eastAsia="zh-CN"/>
        </w:rPr>
        <w:t>TRZBC2025-10</w:t>
      </w:r>
      <w:r>
        <w:rPr>
          <w:rFonts w:hint="eastAsia" w:cs="宋体" w:asciiTheme="minorEastAsia" w:hAnsiTheme="minorEastAsia" w:eastAsiaTheme="minorEastAsia"/>
          <w:color w:val="auto"/>
          <w:sz w:val="21"/>
          <w:szCs w:val="21"/>
          <w:highlight w:val="none"/>
        </w:rPr>
        <w:t>（</w:t>
      </w:r>
      <w:r>
        <w:rPr>
          <w:rFonts w:hint="eastAsia" w:cs="宋体" w:asciiTheme="minorEastAsia" w:hAnsiTheme="minorEastAsia" w:eastAsiaTheme="minorEastAsia"/>
          <w:color w:val="auto"/>
          <w:sz w:val="21"/>
          <w:szCs w:val="21"/>
          <w:highlight w:val="none"/>
          <w:lang w:eastAsia="zh-CN"/>
        </w:rPr>
        <w:t>政采云项目编号：BSZC2025-G3-00150-BSTR-0010</w:t>
      </w:r>
      <w:r>
        <w:rPr>
          <w:rFonts w:hint="eastAsia" w:cs="宋体" w:asciiTheme="minorEastAsia" w:hAnsiTheme="minorEastAsia" w:eastAsiaTheme="minorEastAsia"/>
          <w:color w:val="auto"/>
          <w:sz w:val="21"/>
          <w:szCs w:val="21"/>
          <w:highlight w:val="none"/>
        </w:rPr>
        <w:t>）</w:t>
      </w:r>
    </w:p>
    <w:p w14:paraId="6BB067DE">
      <w:pPr>
        <w:widowControl/>
        <w:spacing w:line="460" w:lineRule="exact"/>
        <w:ind w:firstLine="424" w:firstLineChars="202"/>
        <w:rPr>
          <w:rFonts w:hint="eastAsia" w:cs="宋体" w:asciiTheme="minorEastAsia" w:hAnsiTheme="minorEastAsia" w:eastAsiaTheme="minorEastAsia"/>
          <w:color w:val="auto"/>
          <w:sz w:val="21"/>
          <w:szCs w:val="21"/>
          <w:highlight w:val="none"/>
          <w:lang w:eastAsia="zh-CN"/>
        </w:rPr>
      </w:pPr>
      <w:r>
        <w:rPr>
          <w:rFonts w:cs="宋体" w:asciiTheme="minorEastAsia" w:hAnsiTheme="minorEastAsia" w:eastAsiaTheme="minorEastAsia"/>
          <w:color w:val="auto"/>
          <w:sz w:val="21"/>
          <w:szCs w:val="21"/>
          <w:highlight w:val="none"/>
        </w:rPr>
        <w:t>2.项目名称：</w:t>
      </w:r>
      <w:r>
        <w:rPr>
          <w:rFonts w:hint="eastAsia" w:cs="宋体" w:asciiTheme="minorEastAsia" w:hAnsiTheme="minorEastAsia" w:eastAsiaTheme="minorEastAsia"/>
          <w:color w:val="auto"/>
          <w:sz w:val="21"/>
          <w:szCs w:val="21"/>
          <w:highlight w:val="none"/>
          <w:lang w:eastAsia="zh-CN"/>
        </w:rPr>
        <w:t>保山市加油站流量数据采集系统</w:t>
      </w:r>
    </w:p>
    <w:p w14:paraId="6C4B31D5">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3.预算金额：</w:t>
      </w:r>
      <w:r>
        <w:rPr>
          <w:rFonts w:hint="eastAsia" w:hAnsi="宋体" w:cs="宋体"/>
          <w:color w:val="auto"/>
          <w:sz w:val="21"/>
          <w:szCs w:val="21"/>
          <w:highlight w:val="none"/>
          <w:lang w:eastAsia="zh-CN"/>
        </w:rPr>
        <w:t>434.00万元</w:t>
      </w:r>
      <w:r>
        <w:rPr>
          <w:rFonts w:hint="eastAsia" w:hAnsi="宋体" w:cs="宋体"/>
          <w:color w:val="auto"/>
          <w:sz w:val="21"/>
          <w:szCs w:val="21"/>
          <w:highlight w:val="none"/>
        </w:rPr>
        <w:t>。</w:t>
      </w:r>
    </w:p>
    <w:p w14:paraId="51535303">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4.最高限价：</w:t>
      </w:r>
      <w:r>
        <w:rPr>
          <w:rFonts w:hint="eastAsia" w:hAnsi="宋体" w:cs="宋体"/>
          <w:color w:val="auto"/>
          <w:sz w:val="21"/>
          <w:szCs w:val="21"/>
          <w:highlight w:val="none"/>
          <w:lang w:eastAsia="zh-CN"/>
        </w:rPr>
        <w:t>434.00万元</w:t>
      </w:r>
      <w:r>
        <w:rPr>
          <w:rFonts w:hint="eastAsia" w:hAnsi="宋体" w:cs="宋体"/>
          <w:color w:val="auto"/>
          <w:sz w:val="21"/>
          <w:szCs w:val="21"/>
          <w:highlight w:val="none"/>
        </w:rPr>
        <w:t>。</w:t>
      </w:r>
    </w:p>
    <w:p w14:paraId="324D36B1">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5.采购需求：</w:t>
      </w:r>
    </w:p>
    <w:p w14:paraId="5CDB8740">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5.1采购内容：</w:t>
      </w:r>
      <w:r>
        <w:rPr>
          <w:rFonts w:hint="eastAsia" w:hAnsi="宋体" w:cs="宋体"/>
          <w:color w:val="auto"/>
          <w:sz w:val="21"/>
          <w:szCs w:val="21"/>
          <w:highlight w:val="none"/>
          <w:lang w:val="en-US" w:eastAsia="zh-CN"/>
        </w:rPr>
        <w:t>本项目包含开发设计保山市加油站流量数据采集系统，根据采购人要求进行系统安装部署，到各民营加油站通过安装数据采集工具（非介入式），实现加油站油品进、销、存数据采集及存储。保山市加油站流量数据采集系统安装部署后开展调试、试运行、检验验收、技术培训、技术支持及售后运维服务等。</w:t>
      </w:r>
    </w:p>
    <w:p w14:paraId="4850FA02">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5.2项目服务地点：</w:t>
      </w:r>
      <w:r>
        <w:rPr>
          <w:rFonts w:hint="eastAsia" w:hAnsi="宋体" w:cs="宋体"/>
          <w:color w:val="auto"/>
          <w:sz w:val="21"/>
          <w:szCs w:val="21"/>
          <w:highlight w:val="none"/>
          <w:lang w:eastAsia="zh-CN"/>
        </w:rPr>
        <w:t>保山市商务局</w:t>
      </w:r>
      <w:r>
        <w:rPr>
          <w:rFonts w:hint="eastAsia" w:hAnsi="宋体" w:cs="宋体"/>
          <w:color w:val="auto"/>
          <w:sz w:val="21"/>
          <w:szCs w:val="21"/>
          <w:highlight w:val="none"/>
        </w:rPr>
        <w:t>指定地点。</w:t>
      </w:r>
    </w:p>
    <w:p w14:paraId="1F67C77A">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5.3标段划分：本项目共划分为1个标段，拟参与投标的投标人必须整体投标不得拆分。</w:t>
      </w:r>
    </w:p>
    <w:p w14:paraId="753BE96B">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5.4投标报价要求：</w:t>
      </w:r>
      <w:r>
        <w:rPr>
          <w:rFonts w:hint="eastAsia" w:hAnsi="宋体" w:cs="宋体"/>
          <w:color w:val="auto"/>
          <w:sz w:val="21"/>
          <w:szCs w:val="21"/>
          <w:highlight w:val="none"/>
          <w:lang w:eastAsia="zh-CN"/>
        </w:rPr>
        <w:t>参与本项目的投标人应按要求填报此项目投标总价报价，并自行编制相应的投标报价详细说明，投标报价须包含本项目全部建设和服务内容，以及项目实施过程中所产生的保山市加油站流量数据采集系统开发设计费、根据采购人要求进行系统安装部署服务费、到各民营加油站现场安装数据采集工具（非介入式）实施服务费，数据对接费（含接口开发）、系统集成和信息数据整合服务费、初验及终验的优化整改服务费、项目检测验收费，配合协助采购人完成后续系统相关评测服务工作费，项目前期咨询服务费，项目管理费、人工费、差旅费，保险，税费，风险（不可预见费），技术支持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技术培训及售后</w:t>
      </w:r>
      <w:r>
        <w:rPr>
          <w:rFonts w:hint="eastAsia" w:ascii="宋体" w:hAnsi="宋体" w:eastAsia="宋体" w:cs="宋体"/>
          <w:color w:val="auto"/>
          <w:kern w:val="0"/>
          <w:sz w:val="21"/>
          <w:szCs w:val="21"/>
          <w:highlight w:val="none"/>
          <w:lang w:val="en-US" w:eastAsia="zh-CN"/>
        </w:rPr>
        <w:t>运维</w:t>
      </w:r>
      <w:r>
        <w:rPr>
          <w:rFonts w:hint="eastAsia" w:ascii="宋体" w:hAnsi="宋体" w:eastAsia="宋体" w:cs="宋体"/>
          <w:color w:val="auto"/>
          <w:kern w:val="0"/>
          <w:sz w:val="21"/>
          <w:szCs w:val="21"/>
          <w:highlight w:val="none"/>
        </w:rPr>
        <w:t>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含现场运维服务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以及保证项目顺利开展的所有费用。</w:t>
      </w:r>
    </w:p>
    <w:p w14:paraId="10C49CC1">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5.5付款方式：采购人与中标人合同约定。</w:t>
      </w:r>
    </w:p>
    <w:p w14:paraId="783BB031">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6.合同履行期限：</w:t>
      </w:r>
      <w:r>
        <w:rPr>
          <w:rFonts w:hint="eastAsia" w:hAnsi="宋体" w:cs="宋体"/>
          <w:color w:val="auto"/>
          <w:sz w:val="21"/>
          <w:szCs w:val="21"/>
          <w:highlight w:val="none"/>
          <w:lang w:eastAsia="zh-CN"/>
        </w:rPr>
        <w:t>合同签订后45天内完成全部建设任务工作，达到项目验收标准。项目验收合格后提供不少于2年的免费售后运维服务</w:t>
      </w:r>
      <w:r>
        <w:rPr>
          <w:rFonts w:hint="eastAsia" w:hAnsi="宋体" w:cs="宋体"/>
          <w:color w:val="auto"/>
          <w:sz w:val="21"/>
          <w:szCs w:val="21"/>
          <w:highlight w:val="none"/>
        </w:rPr>
        <w:t>。</w:t>
      </w:r>
    </w:p>
    <w:p w14:paraId="41BB0DA1">
      <w:pPr>
        <w:widowControl/>
        <w:spacing w:line="460" w:lineRule="exact"/>
        <w:ind w:firstLine="420" w:firstLineChars="200"/>
        <w:jc w:val="left"/>
        <w:rPr>
          <w:rFonts w:hint="eastAsia" w:hAnsi="宋体" w:cs="宋体"/>
          <w:color w:val="auto"/>
          <w:sz w:val="21"/>
          <w:szCs w:val="21"/>
          <w:highlight w:val="none"/>
        </w:rPr>
      </w:pPr>
      <w:r>
        <w:rPr>
          <w:rFonts w:hint="eastAsia" w:cs="宋体" w:asciiTheme="minorEastAsia" w:hAnsiTheme="minorEastAsia" w:eastAsiaTheme="minorEastAsia"/>
          <w:color w:val="auto"/>
          <w:sz w:val="21"/>
          <w:szCs w:val="21"/>
          <w:highlight w:val="none"/>
        </w:rPr>
        <w:t>7</w:t>
      </w:r>
      <w:r>
        <w:rPr>
          <w:rFonts w:cs="宋体" w:asciiTheme="minorEastAsia" w:hAnsiTheme="minorEastAsia" w:eastAsiaTheme="minorEastAsia"/>
          <w:color w:val="auto"/>
          <w:sz w:val="21"/>
          <w:szCs w:val="21"/>
          <w:highlight w:val="none"/>
        </w:rPr>
        <w:t>.本项目不接受联合体</w:t>
      </w:r>
      <w:r>
        <w:rPr>
          <w:rFonts w:hint="eastAsia" w:cs="宋体" w:asciiTheme="minorEastAsia" w:hAnsiTheme="minorEastAsia" w:eastAsiaTheme="minorEastAsia"/>
          <w:color w:val="auto"/>
          <w:sz w:val="21"/>
          <w:szCs w:val="21"/>
          <w:highlight w:val="none"/>
        </w:rPr>
        <w:t>投标</w:t>
      </w:r>
      <w:r>
        <w:rPr>
          <w:rFonts w:cs="宋体" w:asciiTheme="minorEastAsia" w:hAnsiTheme="minorEastAsia" w:eastAsiaTheme="minorEastAsia"/>
          <w:color w:val="auto"/>
          <w:sz w:val="21"/>
          <w:szCs w:val="21"/>
          <w:highlight w:val="none"/>
        </w:rPr>
        <w:t>。</w:t>
      </w:r>
    </w:p>
    <w:p w14:paraId="3309F6AB">
      <w:pPr>
        <w:widowControl/>
        <w:spacing w:line="460" w:lineRule="exact"/>
        <w:ind w:firstLine="426" w:firstLineChars="202"/>
        <w:rPr>
          <w:rFonts w:hint="eastAsia" w:cs="宋体" w:asciiTheme="minorEastAsia" w:hAnsiTheme="minorEastAsia" w:eastAsiaTheme="minorEastAsia"/>
          <w:b/>
          <w:color w:val="auto"/>
          <w:sz w:val="21"/>
          <w:szCs w:val="21"/>
          <w:highlight w:val="none"/>
        </w:rPr>
      </w:pPr>
      <w:r>
        <w:rPr>
          <w:rFonts w:hint="eastAsia" w:cs="宋体" w:asciiTheme="minorEastAsia" w:hAnsiTheme="minorEastAsia" w:eastAsiaTheme="minorEastAsia"/>
          <w:b/>
          <w:color w:val="auto"/>
          <w:sz w:val="21"/>
          <w:szCs w:val="21"/>
          <w:highlight w:val="none"/>
        </w:rPr>
        <w:t>二、申请人资格要求：</w:t>
      </w:r>
    </w:p>
    <w:p w14:paraId="54107E0D">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1.满足《中华人民共和国政府采购法》第二十二条规定；</w:t>
      </w:r>
    </w:p>
    <w:p w14:paraId="69803647">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2.落实政府采购政策需满足的资格要求：无，本项目不属于专门面向中小企业的政府采购项目。</w:t>
      </w:r>
    </w:p>
    <w:p w14:paraId="5D231DE9">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3.本项目的特定资格要求：</w:t>
      </w:r>
    </w:p>
    <w:p w14:paraId="1E7FAAE9">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3.1本项目不允许进行转包和分包，参与本项目的投标人须针对此事宜进行书面承诺。</w:t>
      </w:r>
    </w:p>
    <w:p w14:paraId="0B276F10">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3.2投标人在本项目采购公告发布之日之前未被列入“信用中国”网站“失信被执行人”“重大税收违法失信主体”“政府采购严重违法失信行为记录名单”，未被列入中国政府采购网“政府采购严重违法失信行为信息记录名单”，由采购人及采购代理机构将按照以上条款对参与各投标人的信用信息进行查询，有不良记录的其投标将被拒绝。</w:t>
      </w:r>
    </w:p>
    <w:p w14:paraId="7157E67C">
      <w:pPr>
        <w:widowControl/>
        <w:spacing w:line="460" w:lineRule="exact"/>
        <w:ind w:firstLine="424" w:firstLineChars="202"/>
        <w:rPr>
          <w:rFonts w:hint="eastAsia" w:cs="宋体" w:asciiTheme="minorEastAsia" w:hAnsiTheme="minorEastAsia" w:eastAsiaTheme="minorEastAsia"/>
          <w:color w:val="auto"/>
          <w:sz w:val="21"/>
          <w:szCs w:val="21"/>
          <w:highlight w:val="none"/>
        </w:rPr>
      </w:pPr>
      <w:r>
        <w:rPr>
          <w:rFonts w:hint="eastAsia" w:hAnsi="宋体" w:cs="宋体"/>
          <w:color w:val="auto"/>
          <w:sz w:val="21"/>
          <w:szCs w:val="21"/>
          <w:highlight w:val="none"/>
        </w:rPr>
        <w:t>3.3单位负责人为同一人或者存在直接控股、管理关系的不同投标人，不得参加同一合同项下的政府采购活动。</w:t>
      </w:r>
    </w:p>
    <w:p w14:paraId="4FD14080">
      <w:pPr>
        <w:widowControl/>
        <w:spacing w:line="460" w:lineRule="exact"/>
        <w:ind w:firstLine="426" w:firstLineChars="202"/>
        <w:rPr>
          <w:rFonts w:hint="eastAsia" w:hAnsi="宋体" w:cs="宋体"/>
          <w:b/>
          <w:color w:val="auto"/>
          <w:sz w:val="21"/>
          <w:szCs w:val="21"/>
          <w:highlight w:val="none"/>
        </w:rPr>
      </w:pPr>
      <w:r>
        <w:rPr>
          <w:rFonts w:hint="eastAsia" w:hAnsi="宋体" w:cs="宋体"/>
          <w:b/>
          <w:color w:val="auto"/>
          <w:sz w:val="21"/>
          <w:szCs w:val="21"/>
          <w:highlight w:val="none"/>
        </w:rPr>
        <w:t>三、获取招标文件：</w:t>
      </w:r>
    </w:p>
    <w:p w14:paraId="7974AA64">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1.时间：202</w:t>
      </w:r>
      <w:r>
        <w:rPr>
          <w:rFonts w:hint="eastAsia" w:hAnsi="宋体" w:cs="宋体"/>
          <w:color w:val="auto"/>
          <w:sz w:val="21"/>
          <w:szCs w:val="21"/>
          <w:highlight w:val="none"/>
          <w:lang w:val="en-US" w:eastAsia="zh-CN"/>
        </w:rPr>
        <w:t>5</w:t>
      </w:r>
      <w:r>
        <w:rPr>
          <w:rFonts w:hint="eastAsia" w:hAnsi="宋体" w:cs="宋体"/>
          <w:color w:val="auto"/>
          <w:sz w:val="21"/>
          <w:szCs w:val="21"/>
          <w:highlight w:val="none"/>
        </w:rPr>
        <w:t>年</w:t>
      </w:r>
      <w:r>
        <w:rPr>
          <w:rFonts w:hint="eastAsia" w:hAnsi="宋体" w:cs="宋体"/>
          <w:color w:val="auto"/>
          <w:sz w:val="21"/>
          <w:szCs w:val="21"/>
          <w:highlight w:val="none"/>
          <w:lang w:val="en-US" w:eastAsia="zh-CN"/>
        </w:rPr>
        <w:t>03</w:t>
      </w:r>
      <w:r>
        <w:rPr>
          <w:rFonts w:hint="eastAsia" w:hAnsi="宋体" w:cs="宋体"/>
          <w:color w:val="auto"/>
          <w:sz w:val="21"/>
          <w:szCs w:val="21"/>
          <w:highlight w:val="none"/>
        </w:rPr>
        <w:t>月</w:t>
      </w:r>
      <w:r>
        <w:rPr>
          <w:rFonts w:hint="eastAsia" w:hAnsi="宋体" w:cs="宋体"/>
          <w:color w:val="auto"/>
          <w:sz w:val="21"/>
          <w:szCs w:val="21"/>
          <w:highlight w:val="none"/>
          <w:lang w:val="en-US" w:eastAsia="zh-CN"/>
        </w:rPr>
        <w:t>24</w:t>
      </w:r>
      <w:r>
        <w:rPr>
          <w:rFonts w:hint="eastAsia" w:hAnsi="宋体" w:cs="宋体"/>
          <w:color w:val="auto"/>
          <w:sz w:val="21"/>
          <w:szCs w:val="21"/>
          <w:highlight w:val="none"/>
        </w:rPr>
        <w:t>日至 202</w:t>
      </w:r>
      <w:r>
        <w:rPr>
          <w:rFonts w:hint="eastAsia" w:hAnsi="宋体" w:cs="宋体"/>
          <w:color w:val="auto"/>
          <w:sz w:val="21"/>
          <w:szCs w:val="21"/>
          <w:highlight w:val="none"/>
          <w:lang w:val="en-US" w:eastAsia="zh-CN"/>
        </w:rPr>
        <w:t>5</w:t>
      </w:r>
      <w:r>
        <w:rPr>
          <w:rFonts w:hint="eastAsia" w:hAnsi="宋体" w:cs="宋体"/>
          <w:color w:val="auto"/>
          <w:sz w:val="21"/>
          <w:szCs w:val="21"/>
          <w:highlight w:val="none"/>
        </w:rPr>
        <w:t>年</w:t>
      </w:r>
      <w:r>
        <w:rPr>
          <w:rFonts w:hint="eastAsia" w:hAnsi="宋体" w:cs="宋体"/>
          <w:color w:val="auto"/>
          <w:sz w:val="21"/>
          <w:szCs w:val="21"/>
          <w:highlight w:val="none"/>
          <w:lang w:val="en-US" w:eastAsia="zh-CN"/>
        </w:rPr>
        <w:t>03</w:t>
      </w:r>
      <w:r>
        <w:rPr>
          <w:rFonts w:hint="eastAsia" w:hAnsi="宋体" w:cs="宋体"/>
          <w:color w:val="auto"/>
          <w:sz w:val="21"/>
          <w:szCs w:val="21"/>
          <w:highlight w:val="none"/>
        </w:rPr>
        <w:t>月</w:t>
      </w:r>
      <w:r>
        <w:rPr>
          <w:rFonts w:hint="eastAsia" w:hAnsi="宋体" w:cs="宋体"/>
          <w:color w:val="auto"/>
          <w:sz w:val="21"/>
          <w:szCs w:val="21"/>
          <w:highlight w:val="none"/>
          <w:lang w:val="en-US" w:eastAsia="zh-CN"/>
        </w:rPr>
        <w:t>31</w:t>
      </w:r>
      <w:r>
        <w:rPr>
          <w:rFonts w:hint="eastAsia" w:hAnsi="宋体" w:cs="宋体"/>
          <w:color w:val="auto"/>
          <w:sz w:val="21"/>
          <w:szCs w:val="21"/>
          <w:highlight w:val="none"/>
        </w:rPr>
        <w:t>日</w:t>
      </w:r>
      <w:r>
        <w:rPr>
          <w:rFonts w:hint="eastAsia" w:hAnsi="宋体" w:cs="宋体"/>
          <w:color w:val="auto"/>
          <w:sz w:val="21"/>
          <w:szCs w:val="21"/>
          <w:highlight w:val="none"/>
          <w:lang w:val="en-US" w:eastAsia="zh-CN"/>
        </w:rPr>
        <w:t>23</w:t>
      </w:r>
      <w:r>
        <w:rPr>
          <w:rFonts w:hint="eastAsia" w:hAnsi="宋体" w:cs="宋体"/>
          <w:color w:val="auto"/>
          <w:sz w:val="21"/>
          <w:szCs w:val="21"/>
          <w:highlight w:val="none"/>
        </w:rPr>
        <w:t>时</w:t>
      </w:r>
      <w:r>
        <w:rPr>
          <w:rFonts w:hint="eastAsia" w:hAnsi="宋体" w:cs="宋体"/>
          <w:color w:val="auto"/>
          <w:sz w:val="21"/>
          <w:szCs w:val="21"/>
          <w:highlight w:val="none"/>
          <w:lang w:val="en-US" w:eastAsia="zh-CN"/>
        </w:rPr>
        <w:t>59</w:t>
      </w:r>
      <w:r>
        <w:rPr>
          <w:rFonts w:hint="eastAsia" w:hAnsi="宋体" w:cs="宋体"/>
          <w:color w:val="auto"/>
          <w:sz w:val="21"/>
          <w:szCs w:val="21"/>
          <w:highlight w:val="none"/>
        </w:rPr>
        <w:t>分（北京时间，五个工作日）。</w:t>
      </w:r>
    </w:p>
    <w:p w14:paraId="1078C93E">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2.地点：政府采购云平台（www.zcygov.cn）。</w:t>
      </w:r>
    </w:p>
    <w:p w14:paraId="0C946783">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3.方式：投标人请于本公告规</w:t>
      </w:r>
      <w:r>
        <w:rPr>
          <w:rFonts w:hint="eastAsia" w:hAnsi="宋体" w:cs="宋体"/>
          <w:color w:val="auto"/>
          <w:sz w:val="21"/>
          <w:szCs w:val="21"/>
          <w:highlight w:val="none"/>
          <w:lang w:eastAsia="zh-CN"/>
        </w:rPr>
        <w:t>定的</w:t>
      </w:r>
      <w:r>
        <w:rPr>
          <w:rFonts w:hint="eastAsia" w:hAnsi="宋体" w:cs="宋体"/>
          <w:color w:val="auto"/>
          <w:sz w:val="21"/>
          <w:szCs w:val="21"/>
          <w:highlight w:val="none"/>
        </w:rPr>
        <w:t>招标文件获取时间内登录政府采购云平台（www.zcygov.cn），采用单位数字证书（CA）登录政采云平台并进行账号与数字证书（CA）绑定后，凭数字证书（CA）进行确认参与本项目并免费获取采购文件及其他相关资料（如有）。</w:t>
      </w:r>
    </w:p>
    <w:p w14:paraId="71588FC4">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注：本次采购采用在政府采购云平台（www.zcygov.cn）开展电子化政府采购活动，投标人参与本项目需要使用CA（数字证书），云南支持云南壹证通CA、云南CA等，申请相关说明如下：</w:t>
      </w:r>
    </w:p>
    <w:p w14:paraId="581A3AD0">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（1）云南壹证通CA申领链接：http://yzt.ynsmartcert.cn/cms/yztyzt0011.html，紧急CA办理电话：19987563037。</w:t>
      </w:r>
    </w:p>
    <w:p w14:paraId="4BA68665">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 xml:space="preserve">（2）云南CA申领链接：https://cap.yunnanca.net/login，请投标人自行注册办理，云南CA客服热线400-6727-666。 </w:t>
      </w:r>
    </w:p>
    <w:p w14:paraId="30A7D598">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（3）如果投标人已办理以上任一CA机构的数字证书（CA）且证书处于有效期内，均可直接在政府采购云平台绑定即可，无需重复办理。云南省外供应商在政采云平台办理的其他CA（汇信CA、福建CA</w:t>
      </w:r>
      <w:r>
        <w:rPr>
          <w:rFonts w:hint="eastAsia" w:hAnsi="宋体" w:cs="宋体"/>
          <w:color w:val="auto"/>
          <w:sz w:val="21"/>
          <w:szCs w:val="21"/>
          <w:highlight w:val="none"/>
          <w:lang w:val="en-US" w:eastAsia="zh-CN"/>
        </w:rPr>
        <w:t>等</w:t>
      </w:r>
      <w:r>
        <w:rPr>
          <w:rFonts w:hint="eastAsia" w:hAnsi="宋体" w:cs="宋体"/>
          <w:color w:val="auto"/>
          <w:sz w:val="21"/>
          <w:szCs w:val="21"/>
          <w:highlight w:val="none"/>
        </w:rPr>
        <w:t>）可直接使用，无需重复办理。</w:t>
      </w:r>
    </w:p>
    <w:p w14:paraId="2D1D413A">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4.售价：¥0.00元。</w:t>
      </w:r>
    </w:p>
    <w:p w14:paraId="7089AA52">
      <w:pPr>
        <w:widowControl/>
        <w:spacing w:line="460" w:lineRule="exact"/>
        <w:ind w:firstLine="426" w:firstLineChars="202"/>
        <w:rPr>
          <w:rFonts w:hint="eastAsia" w:hAnsi="宋体" w:cs="宋体"/>
          <w:b/>
          <w:color w:val="auto"/>
          <w:sz w:val="21"/>
          <w:szCs w:val="21"/>
          <w:highlight w:val="none"/>
        </w:rPr>
      </w:pPr>
      <w:r>
        <w:rPr>
          <w:rFonts w:hint="eastAsia" w:hAnsi="宋体" w:cs="宋体"/>
          <w:b/>
          <w:color w:val="auto"/>
          <w:sz w:val="21"/>
          <w:szCs w:val="21"/>
          <w:highlight w:val="none"/>
        </w:rPr>
        <w:t>四、提交投标文件截止时间、开标时间和地点：</w:t>
      </w:r>
    </w:p>
    <w:p w14:paraId="7BA2F90C">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 提交投标文件截止时间：</w:t>
      </w:r>
      <w:r>
        <w:rPr>
          <w:rFonts w:hint="eastAsia" w:asciiTheme="minorEastAsia" w:hAnsiTheme="minorEastAsia" w:eastAsiaTheme="minorEastAsia"/>
          <w:color w:val="auto"/>
          <w:sz w:val="21"/>
          <w:szCs w:val="21"/>
          <w:highlight w:val="none"/>
          <w:u w:val="single"/>
          <w:lang w:eastAsia="zh-CN"/>
        </w:rPr>
        <w:t>2025年04月15日09时00分</w:t>
      </w:r>
      <w:r>
        <w:rPr>
          <w:rFonts w:hint="eastAsia" w:hAnsi="宋体" w:cs="宋体"/>
          <w:color w:val="auto"/>
          <w:sz w:val="21"/>
          <w:szCs w:val="21"/>
          <w:highlight w:val="none"/>
        </w:rPr>
        <w:t>（北京时间）。</w:t>
      </w:r>
    </w:p>
    <w:p w14:paraId="010FC839">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2.地点：</w:t>
      </w:r>
      <w:r>
        <w:rPr>
          <w:rFonts w:hint="eastAsia" w:hAnsi="宋体" w:cs="宋体"/>
          <w:color w:val="auto"/>
          <w:sz w:val="21"/>
          <w:szCs w:val="21"/>
          <w:highlight w:val="none"/>
          <w:lang w:eastAsia="zh-CN"/>
        </w:rPr>
        <w:t>保山市天瑞建设工程招标咨询有限公司一楼会议室（保山市隆阳区象山路5号），投标人无需到达开标现场，请各投标人登录政采云投标客户端参与采购活动并递交投标文件</w:t>
      </w:r>
      <w:r>
        <w:rPr>
          <w:rFonts w:hint="eastAsia" w:hAnsi="宋体" w:cs="宋体"/>
          <w:color w:val="auto"/>
          <w:sz w:val="21"/>
          <w:szCs w:val="21"/>
          <w:highlight w:val="none"/>
        </w:rPr>
        <w:t>。</w:t>
      </w:r>
    </w:p>
    <w:p w14:paraId="131F9B1B">
      <w:pPr>
        <w:widowControl/>
        <w:spacing w:line="460" w:lineRule="exact"/>
        <w:ind w:firstLine="426" w:firstLineChars="202"/>
        <w:rPr>
          <w:rFonts w:hint="eastAsia" w:hAnsi="宋体" w:cs="宋体"/>
          <w:b/>
          <w:color w:val="auto"/>
          <w:sz w:val="21"/>
          <w:szCs w:val="21"/>
          <w:highlight w:val="none"/>
        </w:rPr>
      </w:pPr>
      <w:r>
        <w:rPr>
          <w:rFonts w:hint="eastAsia" w:hAnsi="宋体" w:cs="宋体"/>
          <w:b/>
          <w:color w:val="auto"/>
          <w:sz w:val="21"/>
          <w:szCs w:val="21"/>
          <w:highlight w:val="none"/>
        </w:rPr>
        <w:t>五、公告期限：</w:t>
      </w:r>
    </w:p>
    <w:p w14:paraId="7CAB6A8B">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自本公告发布之日起5个工作日。</w:t>
      </w:r>
    </w:p>
    <w:p w14:paraId="7A9C3618">
      <w:pPr>
        <w:widowControl/>
        <w:spacing w:line="460" w:lineRule="exact"/>
        <w:ind w:firstLine="426" w:firstLineChars="202"/>
        <w:rPr>
          <w:rFonts w:hint="eastAsia" w:hAnsi="宋体" w:cs="宋体"/>
          <w:b/>
          <w:color w:val="auto"/>
          <w:sz w:val="21"/>
          <w:szCs w:val="21"/>
          <w:highlight w:val="none"/>
        </w:rPr>
      </w:pPr>
      <w:r>
        <w:rPr>
          <w:rFonts w:hint="eastAsia" w:hAnsi="宋体" w:cs="宋体"/>
          <w:b/>
          <w:color w:val="auto"/>
          <w:sz w:val="21"/>
          <w:szCs w:val="21"/>
          <w:highlight w:val="none"/>
        </w:rPr>
        <w:t>六、其他补充事宜：</w:t>
      </w:r>
    </w:p>
    <w:p w14:paraId="13E9A282">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1.本项目投标保证金金额：¥</w:t>
      </w:r>
      <w:r>
        <w:rPr>
          <w:rFonts w:hint="eastAsia" w:hAnsi="宋体" w:cs="宋体"/>
          <w:color w:val="auto"/>
          <w:sz w:val="21"/>
          <w:szCs w:val="21"/>
          <w:highlight w:val="none"/>
          <w:lang w:val="en-US" w:eastAsia="zh-CN"/>
        </w:rPr>
        <w:t>4</w:t>
      </w:r>
      <w:r>
        <w:rPr>
          <w:rFonts w:hint="eastAsia" w:hAnsi="宋体" w:cs="宋体"/>
          <w:color w:val="auto"/>
          <w:sz w:val="21"/>
          <w:szCs w:val="21"/>
          <w:highlight w:val="none"/>
        </w:rPr>
        <w:t>0000.00元。</w:t>
      </w:r>
    </w:p>
    <w:p w14:paraId="641407C1">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2.本项目投标保证金形式为转账或银行保函或保证保险或其他非现金方式（不接受现场缴纳现金），采用转账的方式提交投标保证金的，投标保证金缴纳账户如下：</w:t>
      </w:r>
    </w:p>
    <w:tbl>
      <w:tblPr>
        <w:tblStyle w:val="37"/>
        <w:tblW w:w="9455" w:type="dxa"/>
        <w:tblInd w:w="0"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fixed"/>
        <w:tblCellMar>
          <w:top w:w="0" w:type="dxa"/>
          <w:left w:w="0" w:type="dxa"/>
          <w:bottom w:w="0" w:type="dxa"/>
          <w:right w:w="0" w:type="dxa"/>
        </w:tblCellMar>
      </w:tblPr>
      <w:tblGrid>
        <w:gridCol w:w="9455"/>
      </w:tblGrid>
      <w:tr w14:paraId="0B492BA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45" w:hRule="atLeast"/>
        </w:trPr>
        <w:tc>
          <w:tcPr>
            <w:tcW w:w="9455" w:type="dxa"/>
            <w:tcBorders>
              <w:top w:val="outset" w:color="auto" w:sz="6" w:space="0"/>
              <w:left w:val="outset" w:color="auto" w:sz="6" w:space="0"/>
              <w:bottom w:val="outset" w:color="auto" w:sz="6" w:space="0"/>
              <w:right w:val="outset" w:color="auto" w:sz="6" w:space="0"/>
            </w:tcBorders>
            <w:vAlign w:val="center"/>
          </w:tcPr>
          <w:p w14:paraId="21F70323">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投标保证金汇款账户</w:t>
            </w:r>
          </w:p>
        </w:tc>
      </w:tr>
      <w:tr w14:paraId="6C45B64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141" w:hRule="atLeast"/>
        </w:trPr>
        <w:tc>
          <w:tcPr>
            <w:tcW w:w="9455" w:type="dxa"/>
            <w:tcBorders>
              <w:top w:val="outset" w:color="auto" w:sz="6" w:space="0"/>
              <w:left w:val="outset" w:color="auto" w:sz="6" w:space="0"/>
              <w:bottom w:val="outset" w:color="auto" w:sz="6" w:space="0"/>
              <w:right w:val="outset" w:color="auto" w:sz="6" w:space="0"/>
            </w:tcBorders>
            <w:vAlign w:val="center"/>
          </w:tcPr>
          <w:p w14:paraId="593FE615">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开户名称：保山市天瑞建设工程招标咨询有限公司</w:t>
            </w:r>
          </w:p>
        </w:tc>
      </w:tr>
      <w:tr w14:paraId="77FC437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68F107DF">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开户银行：中国建设银行股份有限公司保山新村支行</w:t>
            </w:r>
          </w:p>
        </w:tc>
      </w:tr>
      <w:tr w14:paraId="63C9D8E9">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0367CDFC">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账号：5300 1728 6420 5100 0568</w:t>
            </w:r>
          </w:p>
        </w:tc>
      </w:tr>
      <w:tr w14:paraId="135AECA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5B1E7232">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汇入地址：云南省保山市</w:t>
            </w:r>
          </w:p>
        </w:tc>
      </w:tr>
      <w:tr w14:paraId="43F229EF">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5D8607EC">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汇款缴纳查询电话：</w:t>
            </w:r>
            <w:r>
              <w:rPr>
                <w:rFonts w:hint="eastAsia" w:hAnsi="宋体" w:cs="宋体"/>
                <w:color w:val="auto"/>
                <w:sz w:val="21"/>
                <w:szCs w:val="21"/>
                <w:highlight w:val="none"/>
                <w:lang w:eastAsia="zh-CN"/>
              </w:rPr>
              <w:t>0875-2147689</w:t>
            </w:r>
          </w:p>
        </w:tc>
      </w:tr>
      <w:tr w14:paraId="1011B1D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7BE7C51A">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联系人：寸女士</w:t>
            </w:r>
          </w:p>
        </w:tc>
      </w:tr>
      <w:tr w14:paraId="6A8DE43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374" w:hRule="atLeast"/>
        </w:trPr>
        <w:tc>
          <w:tcPr>
            <w:tcW w:w="9455" w:type="dxa"/>
            <w:tcBorders>
              <w:top w:val="outset" w:color="auto" w:sz="6" w:space="0"/>
              <w:left w:val="outset" w:color="auto" w:sz="6" w:space="0"/>
              <w:bottom w:val="outset" w:color="auto" w:sz="6" w:space="0"/>
              <w:right w:val="outset" w:color="auto" w:sz="6" w:space="0"/>
            </w:tcBorders>
            <w:vAlign w:val="center"/>
          </w:tcPr>
          <w:p w14:paraId="5A107344">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注：</w:t>
            </w:r>
          </w:p>
          <w:p w14:paraId="1E9D4CBE">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1.投标保证金的缴纳：投标人缴纳保证金须从单位基本户或对公账户（自然人请使用自身合法有效账户）转出，并注明项目名称或项目编号。</w:t>
            </w:r>
          </w:p>
          <w:p w14:paraId="072269F1">
            <w:pPr>
              <w:widowControl/>
              <w:spacing w:line="3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保证金的退还：在中标公告发布后，请未中标的投标人携带保证金银行存款、汇款证明及开户许可证明发送至保山市天瑞建设工程招标咨询有限公司邮箱：bstrzb@126.com办理退保证金手续，中标人在合同签订后携带合同协议书及保证金相关凭证退保证金。</w:t>
            </w:r>
          </w:p>
        </w:tc>
      </w:tr>
    </w:tbl>
    <w:p w14:paraId="11897A07">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3.公告发布媒体</w:t>
      </w:r>
    </w:p>
    <w:p w14:paraId="1B4C5468">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3.1本项目公开招标公告发布媒体：云南省政府采购网（www.yngp.com）。</w:t>
      </w:r>
    </w:p>
    <w:p w14:paraId="4098E8DA">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3.2投标人在参加投标之前务必认真阅读公开招标公告全部内容；公开招标公告或招标文件如有变更，将在以上网站或以书面形式向各投标人发布。</w:t>
      </w:r>
    </w:p>
    <w:p w14:paraId="3F366EC3">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4.采购意向公开情况：根据《财政部关于开展政府采购意向公开工作的通知》（财库〔2020〕10号）等有关规定，采购意向公开信息于202</w:t>
      </w:r>
      <w:r>
        <w:rPr>
          <w:rFonts w:hint="eastAsia" w:hAnsi="宋体" w:cs="宋体"/>
          <w:color w:val="auto"/>
          <w:sz w:val="21"/>
          <w:szCs w:val="21"/>
          <w:highlight w:val="none"/>
          <w:lang w:val="en-US" w:eastAsia="zh-CN"/>
        </w:rPr>
        <w:t>5</w:t>
      </w:r>
      <w:r>
        <w:rPr>
          <w:rFonts w:hint="eastAsia" w:hAnsi="宋体" w:cs="宋体"/>
          <w:color w:val="auto"/>
          <w:sz w:val="21"/>
          <w:szCs w:val="21"/>
          <w:highlight w:val="none"/>
        </w:rPr>
        <w:t>年0</w:t>
      </w:r>
      <w:r>
        <w:rPr>
          <w:rFonts w:hint="eastAsia" w:hAnsi="宋体" w:cs="宋体"/>
          <w:color w:val="auto"/>
          <w:sz w:val="21"/>
          <w:szCs w:val="21"/>
          <w:highlight w:val="none"/>
          <w:lang w:val="en-US" w:eastAsia="zh-CN"/>
        </w:rPr>
        <w:t>2</w:t>
      </w:r>
      <w:r>
        <w:rPr>
          <w:rFonts w:hint="eastAsia" w:hAnsi="宋体" w:cs="宋体"/>
          <w:color w:val="auto"/>
          <w:sz w:val="21"/>
          <w:szCs w:val="21"/>
          <w:highlight w:val="none"/>
        </w:rPr>
        <w:t>月</w:t>
      </w:r>
      <w:r>
        <w:rPr>
          <w:rFonts w:hint="eastAsia" w:hAnsi="宋体" w:cs="宋体"/>
          <w:color w:val="auto"/>
          <w:sz w:val="21"/>
          <w:szCs w:val="21"/>
          <w:highlight w:val="none"/>
          <w:lang w:val="en-US" w:eastAsia="zh-CN"/>
        </w:rPr>
        <w:t>18</w:t>
      </w:r>
      <w:r>
        <w:rPr>
          <w:rFonts w:hint="eastAsia" w:hAnsi="宋体" w:cs="宋体"/>
          <w:color w:val="auto"/>
          <w:sz w:val="21"/>
          <w:szCs w:val="21"/>
          <w:highlight w:val="none"/>
        </w:rPr>
        <w:t>日在云南省政府采购网发布，采购意向公开信息网址为http://www.yngp.com/viewPurchaseInfo.html?sys_purchaseintention_id=-6770c5a3.195118380fd.-5428。</w:t>
      </w:r>
    </w:p>
    <w:p w14:paraId="40E78CA3">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5.落实政府采购政策：</w:t>
      </w:r>
    </w:p>
    <w:p w14:paraId="5B1BCF97">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扶持中小企业政策：本项目不属于专门面向中小企业的政府采购项目，在评审时小型、微型企业提供的产品（提供本企业承担的服务）价格给予10%的扣除。监狱企业、残疾人福利性单位视同小型和微型企业，其产品在评审时给予相同的价格扣除。执行政策文件：《中华人民共和国中小企业促进法》《政府采购促进中小企业发展管理办法》（财库〔2020〕46号）、 《财政部司法部关于政府采购支持监狱企业发展有关问题的通知》（财库〔2014〕68号）、《财政部民政部中国残疾人联合会关于促进残疾人就业政府采购政策的通知》（财库〔2017〕141号）、《关于进一步加大政府采购支持中小企业力度的通知》（财库〔2022〕19号）、《云南省进一步帮扶中小微企业纾困发展工作方案》（云政办发〔2022〕42号）。</w:t>
      </w:r>
    </w:p>
    <w:p w14:paraId="1E5F91B7">
      <w:pPr>
        <w:widowControl/>
        <w:spacing w:line="460" w:lineRule="exact"/>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6.本次采购采用政府采购云平台（www.zcygov.cn）组织开展采购活动，投标人根据此系统要求递交投标文件。采购过程具体操作流程请各投标人在政府采购云平台（https://www. zcygov.cn/）的网站操作指南中下载《供应商操作指南》查看操作或在该网站中采购学院中观看《政府采购电子交易供应商线上培训》相关视频。投标人在制作响应文件前，需先下载政采云电子投标客户端并进行安装，下载安装完成之后，可通过账号密码或CA登录客户端制作响应文件（客户端下载网址： https://customer.zcygov.cn/CA-driver-download ）。</w:t>
      </w:r>
    </w:p>
    <w:p w14:paraId="503ADD5B">
      <w:pPr>
        <w:widowControl/>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7.监督电话：保山市财政局政府采购管理科：0875-2216045</w:t>
      </w:r>
    </w:p>
    <w:p w14:paraId="4D0A4536">
      <w:pPr>
        <w:widowControl/>
        <w:spacing w:line="440" w:lineRule="exact"/>
        <w:ind w:firstLine="426" w:firstLineChars="202"/>
        <w:rPr>
          <w:rFonts w:hint="eastAsia" w:hAnsi="宋体" w:cs="宋体"/>
          <w:b/>
          <w:bCs/>
          <w:color w:val="auto"/>
          <w:sz w:val="21"/>
          <w:szCs w:val="21"/>
          <w:highlight w:val="none"/>
        </w:rPr>
      </w:pPr>
      <w:r>
        <w:rPr>
          <w:rFonts w:hint="eastAsia" w:hAnsi="宋体" w:cs="宋体"/>
          <w:b/>
          <w:bCs/>
          <w:color w:val="auto"/>
          <w:sz w:val="21"/>
          <w:szCs w:val="21"/>
          <w:highlight w:val="none"/>
        </w:rPr>
        <w:t>七、凡对本次采购提出询问，请按以下方式联系：</w:t>
      </w:r>
    </w:p>
    <w:p w14:paraId="569C42FE">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 xml:space="preserve">1.采购人信息 </w:t>
      </w:r>
    </w:p>
    <w:p w14:paraId="3652DEF1">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名   称：保山市商务局　　</w:t>
      </w:r>
    </w:p>
    <w:p w14:paraId="6AB86D50">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地   址：云南省保山市隆阳区锦溪路65号</w:t>
      </w:r>
    </w:p>
    <w:p w14:paraId="66F7DAA0">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联系方式：0875-3037538</w:t>
      </w:r>
    </w:p>
    <w:p w14:paraId="594455C7">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2.采购代理机构信息</w:t>
      </w:r>
    </w:p>
    <w:p w14:paraId="6D5F5EF0">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名    称：保山市天瑞建设工程招标咨询有限公司　</w:t>
      </w:r>
    </w:p>
    <w:p w14:paraId="1EA3C1A8">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地　　址：云南省保山市隆阳区象山路5号　</w:t>
      </w:r>
    </w:p>
    <w:p w14:paraId="20CB0359">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联系方式： 0875-2147689　</w:t>
      </w:r>
    </w:p>
    <w:p w14:paraId="415A65CF">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3.项目联系方式</w:t>
      </w:r>
    </w:p>
    <w:p w14:paraId="67B4369F">
      <w:pPr>
        <w:widowControl/>
        <w:spacing w:line="440" w:lineRule="exact"/>
        <w:ind w:firstLine="424" w:firstLineChars="202"/>
        <w:rPr>
          <w:rFonts w:hint="eastAsia" w:hAnsi="宋体" w:eastAsia="宋体" w:cs="宋体"/>
          <w:color w:val="auto"/>
          <w:sz w:val="21"/>
          <w:szCs w:val="21"/>
          <w:highlight w:val="none"/>
          <w:lang w:eastAsia="zh-CN"/>
        </w:rPr>
      </w:pPr>
      <w:r>
        <w:rPr>
          <w:rFonts w:hint="eastAsia" w:hAnsi="宋体" w:cs="宋体"/>
          <w:color w:val="auto"/>
          <w:sz w:val="21"/>
          <w:szCs w:val="21"/>
          <w:highlight w:val="none"/>
        </w:rPr>
        <w:t>采购人项目联系人：</w:t>
      </w:r>
      <w:r>
        <w:rPr>
          <w:rFonts w:hint="eastAsia" w:hAnsi="宋体" w:cs="宋体"/>
          <w:color w:val="auto"/>
          <w:sz w:val="21"/>
          <w:szCs w:val="21"/>
          <w:highlight w:val="none"/>
          <w:lang w:val="en-US" w:eastAsia="zh-CN"/>
        </w:rPr>
        <w:t>李女士</w:t>
      </w:r>
    </w:p>
    <w:p w14:paraId="1E9266FA">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电　　 话：0875-3037538</w:t>
      </w:r>
    </w:p>
    <w:p w14:paraId="000335D9">
      <w:pPr>
        <w:widowControl/>
        <w:spacing w:line="44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 xml:space="preserve">采购代理机构项目联系人：王先生  </w:t>
      </w:r>
    </w:p>
    <w:p w14:paraId="2D4E9B99">
      <w:pPr>
        <w:widowControl/>
        <w:spacing w:line="440" w:lineRule="exact"/>
        <w:ind w:firstLine="424" w:firstLineChars="202"/>
        <w:rPr>
          <w:rFonts w:hint="eastAsia" w:hAnsi="宋体" w:cs="宋体"/>
          <w:bCs/>
          <w:color w:val="auto"/>
          <w:sz w:val="21"/>
          <w:szCs w:val="21"/>
          <w:highlight w:val="none"/>
        </w:rPr>
      </w:pPr>
      <w:r>
        <w:rPr>
          <w:rFonts w:hint="eastAsia" w:hAnsi="宋体" w:cs="宋体"/>
          <w:color w:val="auto"/>
          <w:sz w:val="21"/>
          <w:szCs w:val="21"/>
          <w:highlight w:val="none"/>
        </w:rPr>
        <w:t>电　　 话：0875-2147689</w:t>
      </w:r>
    </w:p>
    <w:p w14:paraId="0DC65D8C">
      <w:pPr>
        <w:rPr>
          <w:color w:val="auto"/>
          <w:highlight w:val="none"/>
        </w:rPr>
        <w:sectPr>
          <w:headerReference r:id="rId3" w:type="default"/>
          <w:footerReference r:id="rId4" w:type="default"/>
          <w:pgSz w:w="11906" w:h="16838"/>
          <w:pgMar w:top="1418" w:right="972" w:bottom="1246" w:left="1134" w:header="851" w:footer="992" w:gutter="0"/>
          <w:pgBorders>
            <w:top w:val="none" w:sz="0" w:space="0"/>
            <w:left w:val="none" w:sz="0" w:space="0"/>
            <w:bottom w:val="none" w:sz="0" w:space="0"/>
            <w:right w:val="none" w:sz="0" w:space="0"/>
          </w:pgBorders>
          <w:pgNumType w:start="0"/>
          <w:cols w:space="720" w:num="1"/>
          <w:docGrid w:type="lines" w:linePitch="312" w:charSpace="0"/>
        </w:sectPr>
      </w:pPr>
    </w:p>
    <w:p w14:paraId="4316407F">
      <w:pPr>
        <w:pStyle w:val="6"/>
        <w:spacing w:line="360" w:lineRule="auto"/>
        <w:jc w:val="center"/>
        <w:rPr>
          <w:rFonts w:hint="eastAsia" w:ascii="宋体" w:hAnsi="宋体" w:eastAsia="宋体"/>
          <w:bCs w:val="0"/>
          <w:color w:val="auto"/>
          <w:sz w:val="44"/>
          <w:szCs w:val="44"/>
          <w:highlight w:val="none"/>
        </w:rPr>
      </w:pPr>
      <w:bookmarkStart w:id="3" w:name="_Toc17247"/>
      <w:r>
        <w:rPr>
          <w:rFonts w:hint="eastAsia" w:ascii="宋体" w:hAnsi="宋体" w:eastAsia="宋体"/>
          <w:bCs w:val="0"/>
          <w:color w:val="auto"/>
          <w:sz w:val="44"/>
          <w:szCs w:val="44"/>
          <w:highlight w:val="none"/>
        </w:rPr>
        <w:t>第二章  投标人须知</w:t>
      </w:r>
      <w:bookmarkEnd w:id="1"/>
      <w:bookmarkEnd w:id="2"/>
      <w:bookmarkEnd w:id="3"/>
    </w:p>
    <w:p w14:paraId="3005AD5A">
      <w:pPr>
        <w:pStyle w:val="7"/>
        <w:numPr>
          <w:ilvl w:val="0"/>
          <w:numId w:val="0"/>
        </w:numPr>
        <w:spacing w:before="0" w:after="0" w:line="480" w:lineRule="exact"/>
        <w:rPr>
          <w:rFonts w:hint="eastAsia" w:hAnsi="宋体"/>
          <w:color w:val="auto"/>
          <w:highlight w:val="none"/>
        </w:rPr>
      </w:pPr>
      <w:bookmarkStart w:id="4" w:name="_Toc441049659"/>
      <w:bookmarkStart w:id="5" w:name="_Toc444848840"/>
      <w:bookmarkStart w:id="6" w:name="_Toc8664"/>
      <w:r>
        <w:rPr>
          <w:rFonts w:hint="eastAsia" w:hAnsi="宋体"/>
          <w:color w:val="auto"/>
          <w:highlight w:val="none"/>
        </w:rPr>
        <w:t>一、投标人须知前附表</w:t>
      </w:r>
      <w:bookmarkEnd w:id="4"/>
      <w:bookmarkEnd w:id="5"/>
      <w:bookmarkEnd w:id="6"/>
    </w:p>
    <w:tbl>
      <w:tblPr>
        <w:tblStyle w:val="37"/>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1870"/>
        <w:gridCol w:w="7049"/>
      </w:tblGrid>
      <w:tr w14:paraId="09685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blHeader/>
          <w:jc w:val="center"/>
        </w:trPr>
        <w:tc>
          <w:tcPr>
            <w:tcW w:w="1102" w:type="dxa"/>
            <w:vAlign w:val="center"/>
          </w:tcPr>
          <w:p w14:paraId="66C1C82D">
            <w:pPr>
              <w:spacing w:line="420" w:lineRule="exact"/>
              <w:jc w:val="center"/>
              <w:rPr>
                <w:rFonts w:hint="eastAsia" w:hAnsi="宋体"/>
                <w:b/>
                <w:color w:val="auto"/>
                <w:sz w:val="21"/>
                <w:szCs w:val="21"/>
                <w:highlight w:val="none"/>
              </w:rPr>
            </w:pPr>
            <w:r>
              <w:rPr>
                <w:rFonts w:hint="eastAsia" w:hAnsi="宋体"/>
                <w:b/>
                <w:color w:val="auto"/>
                <w:sz w:val="21"/>
                <w:szCs w:val="21"/>
                <w:highlight w:val="none"/>
              </w:rPr>
              <w:t>条款号</w:t>
            </w:r>
          </w:p>
        </w:tc>
        <w:tc>
          <w:tcPr>
            <w:tcW w:w="1870" w:type="dxa"/>
            <w:vAlign w:val="center"/>
          </w:tcPr>
          <w:p w14:paraId="7DE0CB1F">
            <w:pPr>
              <w:spacing w:line="420" w:lineRule="exact"/>
              <w:jc w:val="center"/>
              <w:rPr>
                <w:rFonts w:hint="eastAsia" w:hAnsi="宋体"/>
                <w:b/>
                <w:color w:val="auto"/>
                <w:sz w:val="21"/>
                <w:szCs w:val="21"/>
                <w:highlight w:val="none"/>
              </w:rPr>
            </w:pPr>
            <w:r>
              <w:rPr>
                <w:rFonts w:hint="eastAsia" w:hAnsi="宋体"/>
                <w:b/>
                <w:color w:val="auto"/>
                <w:sz w:val="21"/>
                <w:szCs w:val="21"/>
                <w:highlight w:val="none"/>
              </w:rPr>
              <w:t>条款名称</w:t>
            </w:r>
          </w:p>
        </w:tc>
        <w:tc>
          <w:tcPr>
            <w:tcW w:w="7049" w:type="dxa"/>
            <w:vAlign w:val="center"/>
          </w:tcPr>
          <w:p w14:paraId="74AB03A2">
            <w:pPr>
              <w:spacing w:line="420" w:lineRule="exact"/>
              <w:jc w:val="center"/>
              <w:rPr>
                <w:rFonts w:hint="eastAsia" w:hAnsi="宋体"/>
                <w:b/>
                <w:color w:val="auto"/>
                <w:sz w:val="21"/>
                <w:szCs w:val="21"/>
                <w:highlight w:val="none"/>
              </w:rPr>
            </w:pPr>
            <w:r>
              <w:rPr>
                <w:rFonts w:hint="eastAsia" w:hAnsi="宋体"/>
                <w:b/>
                <w:color w:val="auto"/>
                <w:sz w:val="21"/>
                <w:szCs w:val="21"/>
                <w:highlight w:val="none"/>
              </w:rPr>
              <w:t>编列说明</w:t>
            </w:r>
          </w:p>
        </w:tc>
      </w:tr>
      <w:tr w14:paraId="19787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2" w:hRule="atLeast"/>
          <w:jc w:val="center"/>
        </w:trPr>
        <w:tc>
          <w:tcPr>
            <w:tcW w:w="1102" w:type="dxa"/>
            <w:vAlign w:val="center"/>
          </w:tcPr>
          <w:p w14:paraId="7B987BAF">
            <w:pPr>
              <w:spacing w:line="420" w:lineRule="exact"/>
              <w:rPr>
                <w:rFonts w:hint="eastAsia" w:hAnsi="宋体"/>
                <w:color w:val="auto"/>
                <w:sz w:val="21"/>
                <w:szCs w:val="21"/>
                <w:highlight w:val="none"/>
              </w:rPr>
            </w:pPr>
            <w:r>
              <w:rPr>
                <w:rFonts w:hint="eastAsia" w:hAnsi="宋体"/>
                <w:color w:val="auto"/>
                <w:sz w:val="21"/>
                <w:szCs w:val="21"/>
                <w:highlight w:val="none"/>
              </w:rPr>
              <w:t>1.1.2</w:t>
            </w:r>
          </w:p>
        </w:tc>
        <w:tc>
          <w:tcPr>
            <w:tcW w:w="1870" w:type="dxa"/>
            <w:vAlign w:val="center"/>
          </w:tcPr>
          <w:p w14:paraId="08BD0ECC">
            <w:pPr>
              <w:spacing w:line="420" w:lineRule="exact"/>
              <w:jc w:val="center"/>
              <w:rPr>
                <w:rFonts w:hint="eastAsia" w:hAnsi="宋体"/>
                <w:color w:val="auto"/>
                <w:sz w:val="21"/>
                <w:szCs w:val="21"/>
                <w:highlight w:val="none"/>
              </w:rPr>
            </w:pPr>
            <w:r>
              <w:rPr>
                <w:rFonts w:hint="eastAsia" w:hAnsi="宋体"/>
                <w:color w:val="auto"/>
                <w:sz w:val="21"/>
                <w:szCs w:val="21"/>
                <w:highlight w:val="none"/>
              </w:rPr>
              <w:t>采购人</w:t>
            </w:r>
          </w:p>
        </w:tc>
        <w:tc>
          <w:tcPr>
            <w:tcW w:w="7049" w:type="dxa"/>
            <w:tcBorders>
              <w:bottom w:val="single" w:color="auto" w:sz="4" w:space="0"/>
            </w:tcBorders>
            <w:vAlign w:val="center"/>
          </w:tcPr>
          <w:p w14:paraId="1AA66794">
            <w:pPr>
              <w:spacing w:line="420" w:lineRule="exact"/>
              <w:rPr>
                <w:rFonts w:hint="eastAsia" w:hAnsi="宋体"/>
                <w:color w:val="auto"/>
                <w:sz w:val="21"/>
                <w:szCs w:val="21"/>
                <w:highlight w:val="none"/>
              </w:rPr>
            </w:pPr>
            <w:r>
              <w:rPr>
                <w:rFonts w:hint="eastAsia" w:hAnsi="宋体"/>
                <w:color w:val="auto"/>
                <w:sz w:val="21"/>
                <w:szCs w:val="21"/>
                <w:highlight w:val="none"/>
              </w:rPr>
              <w:t>名称：保山市商务局</w:t>
            </w:r>
          </w:p>
          <w:p w14:paraId="282EAB66">
            <w:pPr>
              <w:spacing w:line="420" w:lineRule="exact"/>
              <w:rPr>
                <w:rFonts w:hint="eastAsia" w:hAnsi="宋体"/>
                <w:color w:val="auto"/>
                <w:sz w:val="21"/>
                <w:szCs w:val="21"/>
                <w:highlight w:val="none"/>
              </w:rPr>
            </w:pPr>
            <w:r>
              <w:rPr>
                <w:rFonts w:hint="eastAsia" w:hAnsi="宋体"/>
                <w:color w:val="auto"/>
                <w:sz w:val="21"/>
                <w:szCs w:val="21"/>
                <w:highlight w:val="none"/>
              </w:rPr>
              <w:t>地址：云南省保山市隆阳区锦溪路65号</w:t>
            </w:r>
          </w:p>
          <w:p w14:paraId="051D3560">
            <w:pPr>
              <w:spacing w:line="420" w:lineRule="exact"/>
              <w:rPr>
                <w:rFonts w:hint="eastAsia" w:hAnsi="宋体" w:eastAsia="宋体"/>
                <w:color w:val="auto"/>
                <w:sz w:val="21"/>
                <w:szCs w:val="21"/>
                <w:highlight w:val="none"/>
                <w:lang w:eastAsia="zh-CN"/>
              </w:rPr>
            </w:pPr>
            <w:r>
              <w:rPr>
                <w:rFonts w:hint="eastAsia" w:hAnsi="宋体"/>
                <w:color w:val="auto"/>
                <w:sz w:val="21"/>
                <w:szCs w:val="21"/>
                <w:highlight w:val="none"/>
              </w:rPr>
              <w:t>联系人：</w:t>
            </w:r>
            <w:r>
              <w:rPr>
                <w:rFonts w:hint="eastAsia" w:hAnsi="宋体" w:cs="宋体"/>
                <w:color w:val="auto"/>
                <w:sz w:val="21"/>
                <w:szCs w:val="21"/>
                <w:highlight w:val="none"/>
                <w:lang w:val="en-US" w:eastAsia="zh-CN"/>
              </w:rPr>
              <w:t>李女士</w:t>
            </w:r>
          </w:p>
          <w:p w14:paraId="798FF24E">
            <w:pPr>
              <w:spacing w:line="420" w:lineRule="exact"/>
              <w:rPr>
                <w:rFonts w:hint="eastAsia" w:hAnsi="宋体"/>
                <w:color w:val="auto"/>
                <w:sz w:val="21"/>
                <w:szCs w:val="21"/>
                <w:highlight w:val="none"/>
              </w:rPr>
            </w:pPr>
            <w:r>
              <w:rPr>
                <w:rFonts w:hint="eastAsia" w:hAnsi="宋体"/>
                <w:color w:val="auto"/>
                <w:sz w:val="21"/>
                <w:szCs w:val="21"/>
                <w:highlight w:val="none"/>
              </w:rPr>
              <w:t>联系电话：</w:t>
            </w:r>
            <w:r>
              <w:rPr>
                <w:rFonts w:hint="eastAsia" w:hAnsi="宋体" w:cs="宋体"/>
                <w:color w:val="auto"/>
                <w:sz w:val="21"/>
                <w:szCs w:val="21"/>
                <w:highlight w:val="none"/>
              </w:rPr>
              <w:t>0875-3037538</w:t>
            </w:r>
          </w:p>
        </w:tc>
      </w:tr>
      <w:tr w14:paraId="17E2A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1102" w:type="dxa"/>
            <w:vAlign w:val="center"/>
          </w:tcPr>
          <w:p w14:paraId="5428D69F">
            <w:pPr>
              <w:spacing w:line="420" w:lineRule="exact"/>
              <w:rPr>
                <w:rFonts w:hint="eastAsia" w:hAnsi="宋体"/>
                <w:color w:val="auto"/>
                <w:sz w:val="21"/>
                <w:szCs w:val="21"/>
                <w:highlight w:val="none"/>
              </w:rPr>
            </w:pPr>
            <w:r>
              <w:rPr>
                <w:rFonts w:hint="eastAsia" w:hAnsi="宋体"/>
                <w:color w:val="auto"/>
                <w:sz w:val="21"/>
                <w:szCs w:val="21"/>
                <w:highlight w:val="none"/>
              </w:rPr>
              <w:t>1.1.3</w:t>
            </w:r>
          </w:p>
        </w:tc>
        <w:tc>
          <w:tcPr>
            <w:tcW w:w="1870" w:type="dxa"/>
            <w:vAlign w:val="center"/>
          </w:tcPr>
          <w:p w14:paraId="3B8DA74D">
            <w:pPr>
              <w:spacing w:line="420" w:lineRule="exact"/>
              <w:jc w:val="center"/>
              <w:rPr>
                <w:rFonts w:hint="eastAsia" w:hAnsi="宋体"/>
                <w:color w:val="auto"/>
                <w:sz w:val="21"/>
                <w:szCs w:val="21"/>
                <w:highlight w:val="none"/>
              </w:rPr>
            </w:pPr>
            <w:r>
              <w:rPr>
                <w:rFonts w:hint="eastAsia" w:hAnsi="宋体"/>
                <w:color w:val="auto"/>
                <w:sz w:val="21"/>
                <w:szCs w:val="21"/>
                <w:highlight w:val="none"/>
              </w:rPr>
              <w:t>采购代理机构</w:t>
            </w:r>
          </w:p>
        </w:tc>
        <w:tc>
          <w:tcPr>
            <w:tcW w:w="7049" w:type="dxa"/>
            <w:tcBorders>
              <w:bottom w:val="single" w:color="auto" w:sz="4" w:space="0"/>
            </w:tcBorders>
            <w:vAlign w:val="center"/>
          </w:tcPr>
          <w:p w14:paraId="62483FA8">
            <w:pPr>
              <w:spacing w:line="420" w:lineRule="exact"/>
              <w:rPr>
                <w:rFonts w:hint="eastAsia" w:hAnsi="宋体"/>
                <w:color w:val="auto"/>
                <w:sz w:val="21"/>
                <w:szCs w:val="21"/>
                <w:highlight w:val="none"/>
              </w:rPr>
            </w:pPr>
            <w:r>
              <w:rPr>
                <w:rFonts w:hint="eastAsia" w:hAnsi="宋体"/>
                <w:color w:val="auto"/>
                <w:sz w:val="21"/>
                <w:szCs w:val="21"/>
                <w:highlight w:val="none"/>
              </w:rPr>
              <w:t>名称：保山市天瑞建设工程招标咨询有限公司</w:t>
            </w:r>
          </w:p>
          <w:p w14:paraId="0ADBEC1F">
            <w:pPr>
              <w:spacing w:line="420" w:lineRule="exact"/>
              <w:rPr>
                <w:rFonts w:hint="eastAsia" w:hAnsi="宋体"/>
                <w:color w:val="auto"/>
                <w:sz w:val="21"/>
                <w:szCs w:val="21"/>
                <w:highlight w:val="none"/>
              </w:rPr>
            </w:pPr>
            <w:r>
              <w:rPr>
                <w:rFonts w:hint="eastAsia" w:hAnsi="宋体"/>
                <w:color w:val="auto"/>
                <w:sz w:val="21"/>
                <w:szCs w:val="21"/>
                <w:highlight w:val="none"/>
              </w:rPr>
              <w:t>地址：云南省保山市隆阳区象山路5号</w:t>
            </w:r>
          </w:p>
          <w:p w14:paraId="7175CF72">
            <w:pPr>
              <w:spacing w:line="420" w:lineRule="exact"/>
              <w:rPr>
                <w:rFonts w:hint="eastAsia" w:hAnsi="宋体"/>
                <w:color w:val="auto"/>
                <w:sz w:val="21"/>
                <w:szCs w:val="21"/>
                <w:highlight w:val="none"/>
              </w:rPr>
            </w:pPr>
            <w:r>
              <w:rPr>
                <w:rFonts w:hint="eastAsia" w:hAnsi="宋体"/>
                <w:color w:val="auto"/>
                <w:sz w:val="21"/>
                <w:szCs w:val="21"/>
                <w:highlight w:val="none"/>
              </w:rPr>
              <w:t>联系人：杨女士  王先生</w:t>
            </w:r>
          </w:p>
          <w:p w14:paraId="73A9320C">
            <w:pPr>
              <w:spacing w:line="420" w:lineRule="exact"/>
              <w:rPr>
                <w:rFonts w:hint="eastAsia" w:hAnsi="宋体"/>
                <w:color w:val="auto"/>
                <w:sz w:val="21"/>
                <w:szCs w:val="21"/>
                <w:highlight w:val="none"/>
              </w:rPr>
            </w:pPr>
            <w:r>
              <w:rPr>
                <w:rFonts w:hint="eastAsia" w:hAnsi="宋体"/>
                <w:color w:val="auto"/>
                <w:sz w:val="21"/>
                <w:szCs w:val="21"/>
                <w:highlight w:val="none"/>
              </w:rPr>
              <w:t>电话：0875-2147689</w:t>
            </w:r>
          </w:p>
        </w:tc>
      </w:tr>
      <w:tr w14:paraId="3A569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1102" w:type="dxa"/>
            <w:vAlign w:val="center"/>
          </w:tcPr>
          <w:p w14:paraId="6A1D5FF4">
            <w:pPr>
              <w:spacing w:line="420" w:lineRule="exact"/>
              <w:rPr>
                <w:rFonts w:hint="eastAsia" w:hAnsi="宋体"/>
                <w:color w:val="auto"/>
                <w:sz w:val="21"/>
                <w:szCs w:val="21"/>
                <w:highlight w:val="none"/>
              </w:rPr>
            </w:pPr>
            <w:r>
              <w:rPr>
                <w:rFonts w:hint="eastAsia" w:hAnsi="宋体"/>
                <w:color w:val="auto"/>
                <w:sz w:val="21"/>
                <w:szCs w:val="21"/>
                <w:highlight w:val="none"/>
              </w:rPr>
              <w:t>1.1.4</w:t>
            </w:r>
          </w:p>
        </w:tc>
        <w:tc>
          <w:tcPr>
            <w:tcW w:w="1870" w:type="dxa"/>
            <w:vAlign w:val="center"/>
          </w:tcPr>
          <w:p w14:paraId="6BD6548B">
            <w:pPr>
              <w:spacing w:line="420" w:lineRule="exact"/>
              <w:jc w:val="center"/>
              <w:rPr>
                <w:rFonts w:hint="eastAsia" w:hAnsi="宋体"/>
                <w:color w:val="auto"/>
                <w:sz w:val="21"/>
                <w:szCs w:val="21"/>
                <w:highlight w:val="none"/>
              </w:rPr>
            </w:pPr>
            <w:r>
              <w:rPr>
                <w:rFonts w:hint="eastAsia" w:hAnsi="宋体"/>
                <w:color w:val="auto"/>
                <w:sz w:val="21"/>
                <w:szCs w:val="21"/>
                <w:highlight w:val="none"/>
              </w:rPr>
              <w:t>项目名称</w:t>
            </w:r>
          </w:p>
          <w:p w14:paraId="2297D23E">
            <w:pPr>
              <w:spacing w:line="420" w:lineRule="exact"/>
              <w:jc w:val="center"/>
              <w:rPr>
                <w:color w:val="auto"/>
                <w:highlight w:val="none"/>
              </w:rPr>
            </w:pPr>
            <w:r>
              <w:rPr>
                <w:rFonts w:hint="eastAsia" w:hAnsi="宋体"/>
                <w:color w:val="auto"/>
                <w:sz w:val="21"/>
                <w:szCs w:val="21"/>
                <w:highlight w:val="none"/>
              </w:rPr>
              <w:t>项目编号</w:t>
            </w:r>
          </w:p>
        </w:tc>
        <w:tc>
          <w:tcPr>
            <w:tcW w:w="7049" w:type="dxa"/>
            <w:tcBorders>
              <w:bottom w:val="single" w:color="auto" w:sz="4" w:space="0"/>
            </w:tcBorders>
            <w:vAlign w:val="center"/>
          </w:tcPr>
          <w:p w14:paraId="3DBC972B">
            <w:pPr>
              <w:spacing w:line="420" w:lineRule="exact"/>
              <w:rPr>
                <w:rFonts w:hint="eastAsia" w:hAnsi="宋体" w:eastAsia="宋体"/>
                <w:color w:val="auto"/>
                <w:sz w:val="21"/>
                <w:szCs w:val="21"/>
                <w:highlight w:val="none"/>
                <w:lang w:eastAsia="zh-CN"/>
              </w:rPr>
            </w:pPr>
            <w:r>
              <w:rPr>
                <w:rFonts w:hint="eastAsia" w:hAnsi="宋体"/>
                <w:color w:val="auto"/>
                <w:sz w:val="21"/>
                <w:szCs w:val="21"/>
                <w:highlight w:val="none"/>
              </w:rPr>
              <w:t>项目名称：</w:t>
            </w:r>
            <w:r>
              <w:rPr>
                <w:rFonts w:hint="eastAsia" w:hAnsi="宋体"/>
                <w:color w:val="auto"/>
                <w:sz w:val="21"/>
                <w:szCs w:val="21"/>
                <w:highlight w:val="none"/>
                <w:lang w:eastAsia="zh-CN"/>
              </w:rPr>
              <w:t>保山市加油站流量数据采集系统</w:t>
            </w:r>
          </w:p>
          <w:p w14:paraId="1F630DFC">
            <w:pPr>
              <w:spacing w:line="420" w:lineRule="exact"/>
              <w:rPr>
                <w:rFonts w:hint="eastAsia" w:hAnsi="宋体" w:eastAsia="宋体"/>
                <w:color w:val="auto"/>
                <w:sz w:val="21"/>
                <w:szCs w:val="21"/>
                <w:highlight w:val="none"/>
                <w:lang w:eastAsia="zh-CN"/>
              </w:rPr>
            </w:pPr>
            <w:r>
              <w:rPr>
                <w:rFonts w:hint="eastAsia" w:hAnsi="宋体"/>
                <w:color w:val="auto"/>
                <w:sz w:val="21"/>
                <w:szCs w:val="21"/>
                <w:highlight w:val="none"/>
              </w:rPr>
              <w:t>项目编号：</w:t>
            </w:r>
            <w:r>
              <w:rPr>
                <w:rFonts w:hint="eastAsia" w:hAnsi="宋体"/>
                <w:color w:val="auto"/>
                <w:sz w:val="21"/>
                <w:szCs w:val="21"/>
                <w:highlight w:val="none"/>
                <w:lang w:eastAsia="zh-CN"/>
              </w:rPr>
              <w:t>TRZBC2025-10</w:t>
            </w:r>
          </w:p>
          <w:p w14:paraId="3699DDEF">
            <w:pPr>
              <w:spacing w:line="420" w:lineRule="exact"/>
              <w:rPr>
                <w:rFonts w:hint="eastAsia" w:eastAsia="宋体"/>
                <w:color w:val="auto"/>
                <w:highlight w:val="none"/>
                <w:lang w:eastAsia="zh-CN"/>
              </w:rPr>
            </w:pPr>
            <w:r>
              <w:rPr>
                <w:rFonts w:hint="eastAsia" w:hAnsi="宋体"/>
                <w:color w:val="auto"/>
                <w:sz w:val="21"/>
                <w:szCs w:val="21"/>
                <w:highlight w:val="none"/>
                <w:lang w:eastAsia="zh-CN"/>
              </w:rPr>
              <w:t>政采云项目编号：BSZC2025-G3-00150-BSTR-0010</w:t>
            </w:r>
          </w:p>
        </w:tc>
      </w:tr>
      <w:tr w14:paraId="7C55E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102" w:type="dxa"/>
            <w:vAlign w:val="center"/>
          </w:tcPr>
          <w:p w14:paraId="1C616931">
            <w:pPr>
              <w:spacing w:line="420" w:lineRule="exact"/>
              <w:rPr>
                <w:rFonts w:hint="eastAsia" w:hAnsi="宋体"/>
                <w:color w:val="auto"/>
                <w:sz w:val="21"/>
                <w:szCs w:val="21"/>
                <w:highlight w:val="none"/>
              </w:rPr>
            </w:pPr>
            <w:r>
              <w:rPr>
                <w:rFonts w:hint="eastAsia" w:hAnsi="宋体"/>
                <w:color w:val="auto"/>
                <w:sz w:val="21"/>
                <w:szCs w:val="21"/>
                <w:highlight w:val="none"/>
              </w:rPr>
              <w:t>1.2.1</w:t>
            </w:r>
          </w:p>
        </w:tc>
        <w:tc>
          <w:tcPr>
            <w:tcW w:w="1870" w:type="dxa"/>
            <w:vAlign w:val="center"/>
          </w:tcPr>
          <w:p w14:paraId="63CC14E1">
            <w:pPr>
              <w:spacing w:line="420" w:lineRule="exact"/>
              <w:jc w:val="center"/>
              <w:rPr>
                <w:rFonts w:hint="eastAsia" w:hAnsi="宋体"/>
                <w:color w:val="auto"/>
                <w:sz w:val="21"/>
                <w:szCs w:val="21"/>
                <w:highlight w:val="none"/>
              </w:rPr>
            </w:pPr>
            <w:r>
              <w:rPr>
                <w:rFonts w:hint="eastAsia" w:hAnsi="宋体"/>
                <w:color w:val="auto"/>
                <w:sz w:val="21"/>
                <w:szCs w:val="21"/>
                <w:highlight w:val="none"/>
              </w:rPr>
              <w:t>采购预算及最高限价</w:t>
            </w:r>
          </w:p>
        </w:tc>
        <w:tc>
          <w:tcPr>
            <w:tcW w:w="7049" w:type="dxa"/>
            <w:tcBorders>
              <w:top w:val="nil"/>
            </w:tcBorders>
            <w:vAlign w:val="center"/>
          </w:tcPr>
          <w:p w14:paraId="21ECA2AB">
            <w:pPr>
              <w:spacing w:line="420" w:lineRule="exact"/>
              <w:rPr>
                <w:rFonts w:hint="eastAsia" w:hAnsi="宋体" w:cs="宋体"/>
                <w:b/>
                <w:bCs/>
                <w:color w:val="auto"/>
                <w:sz w:val="21"/>
                <w:szCs w:val="21"/>
                <w:highlight w:val="none"/>
              </w:rPr>
            </w:pPr>
            <w:r>
              <w:rPr>
                <w:rFonts w:hint="eastAsia" w:hAnsi="宋体" w:cs="宋体"/>
                <w:b/>
                <w:bCs/>
                <w:color w:val="auto"/>
                <w:sz w:val="21"/>
                <w:szCs w:val="21"/>
                <w:highlight w:val="none"/>
              </w:rPr>
              <w:t>（1）预算金额：</w:t>
            </w:r>
            <w:r>
              <w:rPr>
                <w:rFonts w:hint="eastAsia" w:hAnsi="宋体" w:cs="宋体"/>
                <w:b/>
                <w:bCs/>
                <w:color w:val="auto"/>
                <w:sz w:val="21"/>
                <w:szCs w:val="21"/>
                <w:highlight w:val="none"/>
                <w:lang w:eastAsia="zh-CN"/>
              </w:rPr>
              <w:t>434.00万元</w:t>
            </w:r>
            <w:r>
              <w:rPr>
                <w:rFonts w:hint="eastAsia" w:hAnsi="宋体" w:cs="宋体"/>
                <w:b/>
                <w:bCs/>
                <w:color w:val="auto"/>
                <w:sz w:val="21"/>
                <w:szCs w:val="21"/>
                <w:highlight w:val="none"/>
              </w:rPr>
              <w:t>。</w:t>
            </w:r>
          </w:p>
          <w:p w14:paraId="35D98B53">
            <w:pPr>
              <w:spacing w:line="420" w:lineRule="exact"/>
              <w:rPr>
                <w:rFonts w:hint="eastAsia" w:hAnsi="宋体" w:cs="宋体"/>
                <w:b/>
                <w:bCs/>
                <w:color w:val="auto"/>
                <w:sz w:val="21"/>
                <w:szCs w:val="21"/>
                <w:highlight w:val="none"/>
              </w:rPr>
            </w:pPr>
            <w:r>
              <w:rPr>
                <w:rFonts w:hint="eastAsia" w:hAnsi="宋体" w:cs="宋体"/>
                <w:b/>
                <w:bCs/>
                <w:color w:val="auto"/>
                <w:sz w:val="21"/>
                <w:szCs w:val="21"/>
                <w:highlight w:val="none"/>
              </w:rPr>
              <w:t>（2）最高限价：</w:t>
            </w:r>
            <w:r>
              <w:rPr>
                <w:rFonts w:hint="eastAsia" w:hAnsi="宋体" w:cs="宋体"/>
                <w:b/>
                <w:bCs/>
                <w:color w:val="auto"/>
                <w:sz w:val="21"/>
                <w:szCs w:val="21"/>
                <w:highlight w:val="none"/>
                <w:lang w:val="en-US" w:eastAsia="zh-CN"/>
              </w:rPr>
              <w:t>434.00</w:t>
            </w:r>
            <w:r>
              <w:rPr>
                <w:rFonts w:hint="eastAsia" w:hAnsi="宋体" w:cs="宋体"/>
                <w:b/>
                <w:bCs/>
                <w:color w:val="auto"/>
                <w:sz w:val="21"/>
                <w:szCs w:val="21"/>
                <w:highlight w:val="none"/>
                <w:lang w:eastAsia="zh-CN"/>
              </w:rPr>
              <w:t>万元</w:t>
            </w:r>
            <w:r>
              <w:rPr>
                <w:rFonts w:hint="eastAsia" w:hAnsi="宋体" w:cs="宋体"/>
                <w:b/>
                <w:bCs/>
                <w:color w:val="auto"/>
                <w:sz w:val="21"/>
                <w:szCs w:val="21"/>
                <w:highlight w:val="none"/>
              </w:rPr>
              <w:t>。</w:t>
            </w:r>
          </w:p>
          <w:p w14:paraId="21A89C19">
            <w:pPr>
              <w:spacing w:line="420" w:lineRule="exact"/>
              <w:rPr>
                <w:rFonts w:hint="eastAsia" w:hAnsi="宋体"/>
                <w:b/>
                <w:color w:val="auto"/>
                <w:sz w:val="21"/>
                <w:szCs w:val="21"/>
                <w:highlight w:val="none"/>
              </w:rPr>
            </w:pPr>
            <w:r>
              <w:rPr>
                <w:rFonts w:hint="eastAsia" w:hAnsi="宋体" w:cs="宋体"/>
                <w:b/>
                <w:bCs/>
                <w:color w:val="auto"/>
                <w:sz w:val="21"/>
                <w:szCs w:val="21"/>
                <w:highlight w:val="none"/>
              </w:rPr>
              <w:t>（3）投标人所报投标报价不得超过此最高限价，否则，将其投标文</w:t>
            </w:r>
            <w:r>
              <w:rPr>
                <w:rFonts w:hint="eastAsia" w:hAnsi="宋体" w:cs="宋体"/>
                <w:b/>
                <w:bCs/>
                <w:color w:val="auto"/>
                <w:sz w:val="21"/>
                <w:szCs w:val="21"/>
                <w:highlight w:val="none"/>
                <w:lang w:eastAsia="zh-CN"/>
              </w:rPr>
              <w:t>件作</w:t>
            </w:r>
            <w:r>
              <w:rPr>
                <w:rFonts w:hint="eastAsia" w:hAnsi="宋体" w:cs="宋体"/>
                <w:b/>
                <w:bCs/>
                <w:color w:val="auto"/>
                <w:sz w:val="21"/>
                <w:szCs w:val="21"/>
                <w:highlight w:val="none"/>
              </w:rPr>
              <w:t>为无效投标文件。</w:t>
            </w:r>
          </w:p>
        </w:tc>
      </w:tr>
      <w:tr w14:paraId="5F963D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102" w:type="dxa"/>
            <w:vAlign w:val="center"/>
          </w:tcPr>
          <w:p w14:paraId="369F8C93">
            <w:pPr>
              <w:spacing w:line="420" w:lineRule="exact"/>
              <w:rPr>
                <w:rFonts w:hint="eastAsia" w:hAnsi="宋体"/>
                <w:color w:val="auto"/>
                <w:sz w:val="21"/>
                <w:szCs w:val="21"/>
                <w:highlight w:val="none"/>
              </w:rPr>
            </w:pPr>
            <w:r>
              <w:rPr>
                <w:rFonts w:hint="eastAsia" w:hAnsi="宋体"/>
                <w:color w:val="auto"/>
                <w:sz w:val="21"/>
                <w:szCs w:val="21"/>
                <w:highlight w:val="none"/>
              </w:rPr>
              <w:t>1.2.2</w:t>
            </w:r>
          </w:p>
        </w:tc>
        <w:tc>
          <w:tcPr>
            <w:tcW w:w="1870" w:type="dxa"/>
            <w:vAlign w:val="center"/>
          </w:tcPr>
          <w:p w14:paraId="39F4BFB3">
            <w:pPr>
              <w:spacing w:line="420" w:lineRule="exact"/>
              <w:jc w:val="center"/>
              <w:rPr>
                <w:rFonts w:hint="eastAsia" w:hAnsi="宋体"/>
                <w:color w:val="auto"/>
                <w:sz w:val="21"/>
                <w:szCs w:val="21"/>
                <w:highlight w:val="none"/>
              </w:rPr>
            </w:pPr>
            <w:r>
              <w:rPr>
                <w:rFonts w:hint="eastAsia" w:hAnsi="宋体"/>
                <w:color w:val="auto"/>
                <w:sz w:val="21"/>
                <w:szCs w:val="21"/>
                <w:highlight w:val="none"/>
              </w:rPr>
              <w:t>资金来源</w:t>
            </w:r>
          </w:p>
        </w:tc>
        <w:tc>
          <w:tcPr>
            <w:tcW w:w="7049" w:type="dxa"/>
            <w:tcBorders>
              <w:top w:val="nil"/>
            </w:tcBorders>
            <w:vAlign w:val="center"/>
          </w:tcPr>
          <w:p w14:paraId="72448C75">
            <w:pPr>
              <w:spacing w:line="420" w:lineRule="exact"/>
              <w:rPr>
                <w:rFonts w:hint="eastAsia" w:hAnsi="宋体"/>
                <w:color w:val="auto"/>
                <w:sz w:val="21"/>
                <w:szCs w:val="21"/>
                <w:highlight w:val="none"/>
              </w:rPr>
            </w:pPr>
            <w:r>
              <w:rPr>
                <w:rFonts w:hint="eastAsia" w:hAnsi="宋体" w:cs="宋体"/>
                <w:color w:val="auto"/>
                <w:sz w:val="21"/>
                <w:szCs w:val="21"/>
                <w:highlight w:val="none"/>
              </w:rPr>
              <w:t>财政资金</w:t>
            </w:r>
          </w:p>
        </w:tc>
      </w:tr>
      <w:tr w14:paraId="5C246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9" w:hRule="atLeast"/>
          <w:jc w:val="center"/>
        </w:trPr>
        <w:tc>
          <w:tcPr>
            <w:tcW w:w="1102" w:type="dxa"/>
            <w:vAlign w:val="center"/>
          </w:tcPr>
          <w:p w14:paraId="6F16B4DD">
            <w:pPr>
              <w:spacing w:line="420" w:lineRule="exact"/>
              <w:rPr>
                <w:rFonts w:hint="eastAsia" w:hAnsi="宋体"/>
                <w:color w:val="auto"/>
                <w:sz w:val="21"/>
                <w:szCs w:val="21"/>
                <w:highlight w:val="none"/>
              </w:rPr>
            </w:pPr>
            <w:r>
              <w:rPr>
                <w:rFonts w:hint="eastAsia" w:hAnsi="宋体"/>
                <w:color w:val="auto"/>
                <w:sz w:val="21"/>
                <w:szCs w:val="21"/>
                <w:highlight w:val="none"/>
              </w:rPr>
              <w:t>1.3.1</w:t>
            </w:r>
          </w:p>
        </w:tc>
        <w:tc>
          <w:tcPr>
            <w:tcW w:w="1870" w:type="dxa"/>
            <w:vAlign w:val="center"/>
          </w:tcPr>
          <w:p w14:paraId="5A205EEF">
            <w:pPr>
              <w:spacing w:line="420" w:lineRule="exact"/>
              <w:jc w:val="center"/>
              <w:rPr>
                <w:rFonts w:hint="eastAsia" w:hAnsi="宋体"/>
                <w:color w:val="auto"/>
                <w:sz w:val="21"/>
                <w:szCs w:val="21"/>
                <w:highlight w:val="none"/>
              </w:rPr>
            </w:pPr>
            <w:r>
              <w:rPr>
                <w:rFonts w:hint="eastAsia" w:hAnsi="宋体"/>
                <w:color w:val="auto"/>
                <w:sz w:val="21"/>
                <w:szCs w:val="21"/>
                <w:highlight w:val="none"/>
              </w:rPr>
              <w:t>项目内容</w:t>
            </w:r>
          </w:p>
        </w:tc>
        <w:tc>
          <w:tcPr>
            <w:tcW w:w="7049" w:type="dxa"/>
            <w:vAlign w:val="center"/>
          </w:tcPr>
          <w:p w14:paraId="0A374EB9">
            <w:pPr>
              <w:spacing w:line="420" w:lineRule="exact"/>
              <w:rPr>
                <w:rFonts w:hint="eastAsia" w:hAnsi="宋体"/>
                <w:color w:val="auto"/>
                <w:sz w:val="21"/>
                <w:szCs w:val="21"/>
                <w:highlight w:val="none"/>
                <w:u w:val="single"/>
              </w:rPr>
            </w:pPr>
            <w:r>
              <w:rPr>
                <w:rFonts w:hint="eastAsia" w:hAnsi="宋体"/>
                <w:color w:val="auto"/>
                <w:sz w:val="21"/>
                <w:szCs w:val="21"/>
                <w:highlight w:val="none"/>
                <w:u w:val="single"/>
              </w:rPr>
              <w:t>详见招标文件第六章项目技术标准和要求</w:t>
            </w:r>
          </w:p>
        </w:tc>
      </w:tr>
      <w:tr w14:paraId="52B56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102" w:type="dxa"/>
            <w:vAlign w:val="center"/>
          </w:tcPr>
          <w:p w14:paraId="635FA960">
            <w:pPr>
              <w:spacing w:line="420" w:lineRule="exact"/>
              <w:rPr>
                <w:rFonts w:hint="eastAsia" w:hAnsi="宋体"/>
                <w:color w:val="auto"/>
                <w:sz w:val="21"/>
                <w:szCs w:val="21"/>
                <w:highlight w:val="none"/>
              </w:rPr>
            </w:pPr>
            <w:r>
              <w:rPr>
                <w:rFonts w:hint="eastAsia" w:hAnsi="宋体"/>
                <w:color w:val="auto"/>
                <w:sz w:val="21"/>
                <w:szCs w:val="21"/>
                <w:highlight w:val="none"/>
              </w:rPr>
              <w:t>1.3.2</w:t>
            </w:r>
          </w:p>
        </w:tc>
        <w:tc>
          <w:tcPr>
            <w:tcW w:w="1870" w:type="dxa"/>
            <w:vAlign w:val="center"/>
          </w:tcPr>
          <w:p w14:paraId="498E2CBA">
            <w:pPr>
              <w:spacing w:line="420" w:lineRule="exact"/>
              <w:jc w:val="center"/>
              <w:rPr>
                <w:rFonts w:hint="eastAsia" w:hAnsi="宋体"/>
                <w:color w:val="auto"/>
                <w:sz w:val="21"/>
                <w:szCs w:val="21"/>
                <w:highlight w:val="none"/>
              </w:rPr>
            </w:pPr>
            <w:r>
              <w:rPr>
                <w:rFonts w:hint="eastAsia" w:hAnsi="宋体"/>
                <w:color w:val="auto"/>
                <w:sz w:val="21"/>
                <w:szCs w:val="21"/>
                <w:highlight w:val="none"/>
              </w:rPr>
              <w:t>项目服务地点</w:t>
            </w:r>
          </w:p>
        </w:tc>
        <w:tc>
          <w:tcPr>
            <w:tcW w:w="7049" w:type="dxa"/>
            <w:vAlign w:val="center"/>
          </w:tcPr>
          <w:p w14:paraId="7F4699F6">
            <w:pPr>
              <w:spacing w:line="420" w:lineRule="exact"/>
              <w:rPr>
                <w:rFonts w:hint="eastAsia" w:hAnsi="宋体"/>
                <w:color w:val="auto"/>
                <w:sz w:val="21"/>
                <w:szCs w:val="21"/>
                <w:highlight w:val="none"/>
                <w:shd w:val="clear" w:color="auto" w:fill="FFFFFF"/>
              </w:rPr>
            </w:pPr>
            <w:r>
              <w:rPr>
                <w:rFonts w:hint="eastAsia" w:hAnsi="宋体"/>
                <w:color w:val="auto"/>
                <w:sz w:val="21"/>
                <w:szCs w:val="21"/>
                <w:highlight w:val="none"/>
                <w:shd w:val="clear" w:color="auto" w:fill="FFFFFF"/>
                <w:lang w:eastAsia="zh-CN"/>
              </w:rPr>
              <w:t>保山市商务局</w:t>
            </w:r>
            <w:r>
              <w:rPr>
                <w:rFonts w:hint="eastAsia" w:hAnsi="宋体"/>
                <w:color w:val="auto"/>
                <w:sz w:val="21"/>
                <w:szCs w:val="21"/>
                <w:highlight w:val="none"/>
                <w:shd w:val="clear" w:color="auto" w:fill="FFFFFF"/>
              </w:rPr>
              <w:t>指定地点。</w:t>
            </w:r>
          </w:p>
        </w:tc>
      </w:tr>
      <w:tr w14:paraId="2F4FE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102" w:type="dxa"/>
            <w:vAlign w:val="center"/>
          </w:tcPr>
          <w:p w14:paraId="046FFA65">
            <w:pPr>
              <w:spacing w:line="420" w:lineRule="exact"/>
              <w:rPr>
                <w:rFonts w:hint="eastAsia" w:hAnsi="宋体"/>
                <w:color w:val="auto"/>
                <w:sz w:val="21"/>
                <w:szCs w:val="21"/>
                <w:highlight w:val="none"/>
              </w:rPr>
            </w:pPr>
            <w:r>
              <w:rPr>
                <w:rFonts w:hint="eastAsia" w:hAnsi="宋体"/>
                <w:color w:val="auto"/>
                <w:sz w:val="21"/>
                <w:szCs w:val="21"/>
                <w:highlight w:val="none"/>
              </w:rPr>
              <w:t>1.3.3</w:t>
            </w:r>
          </w:p>
        </w:tc>
        <w:tc>
          <w:tcPr>
            <w:tcW w:w="1870" w:type="dxa"/>
            <w:vAlign w:val="center"/>
          </w:tcPr>
          <w:p w14:paraId="1E7EA742">
            <w:pPr>
              <w:spacing w:line="420" w:lineRule="exact"/>
              <w:jc w:val="center"/>
              <w:rPr>
                <w:rFonts w:hint="eastAsia" w:hAnsi="宋体"/>
                <w:color w:val="auto"/>
                <w:sz w:val="21"/>
                <w:szCs w:val="21"/>
                <w:highlight w:val="none"/>
              </w:rPr>
            </w:pPr>
            <w:r>
              <w:rPr>
                <w:rFonts w:cs="宋体" w:asciiTheme="minorEastAsia" w:hAnsiTheme="minorEastAsia" w:eastAsiaTheme="minorEastAsia"/>
                <w:color w:val="auto"/>
                <w:sz w:val="21"/>
                <w:szCs w:val="21"/>
                <w:highlight w:val="none"/>
              </w:rPr>
              <w:t>合同履行期限</w:t>
            </w:r>
          </w:p>
        </w:tc>
        <w:tc>
          <w:tcPr>
            <w:tcW w:w="7049" w:type="dxa"/>
            <w:vAlign w:val="center"/>
          </w:tcPr>
          <w:p w14:paraId="2838B683">
            <w:pPr>
              <w:spacing w:line="420" w:lineRule="exact"/>
              <w:rPr>
                <w:rFonts w:hint="eastAsia" w:hAnsi="宋体"/>
                <w:color w:val="auto"/>
                <w:sz w:val="21"/>
                <w:szCs w:val="21"/>
                <w:highlight w:val="none"/>
                <w:shd w:val="clear" w:color="auto" w:fill="FFFFFF"/>
              </w:rPr>
            </w:pPr>
            <w:r>
              <w:rPr>
                <w:rFonts w:hint="eastAsia" w:hAnsi="宋体" w:cs="宋体"/>
                <w:color w:val="auto"/>
                <w:sz w:val="21"/>
                <w:szCs w:val="21"/>
                <w:highlight w:val="none"/>
                <w:lang w:eastAsia="zh-CN"/>
              </w:rPr>
              <w:t>合同签订后45天内完成全部建设任务工作，达到项目验收标准。项目验收合格后提供不少于2年的免费售后运维服务</w:t>
            </w:r>
            <w:r>
              <w:rPr>
                <w:rFonts w:hint="eastAsia" w:hAnsi="宋体" w:cs="宋体"/>
                <w:color w:val="auto"/>
                <w:sz w:val="21"/>
                <w:szCs w:val="21"/>
                <w:highlight w:val="none"/>
              </w:rPr>
              <w:t>。</w:t>
            </w:r>
          </w:p>
        </w:tc>
      </w:tr>
      <w:tr w14:paraId="49F22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6264E883">
            <w:pPr>
              <w:spacing w:line="420" w:lineRule="exact"/>
              <w:rPr>
                <w:rFonts w:hint="eastAsia" w:hAnsi="宋体"/>
                <w:color w:val="auto"/>
                <w:sz w:val="21"/>
                <w:szCs w:val="21"/>
                <w:highlight w:val="none"/>
              </w:rPr>
            </w:pPr>
            <w:r>
              <w:rPr>
                <w:rFonts w:hint="eastAsia" w:hAnsi="宋体"/>
                <w:color w:val="auto"/>
                <w:sz w:val="21"/>
                <w:szCs w:val="21"/>
                <w:highlight w:val="none"/>
              </w:rPr>
              <w:t>1.4.1</w:t>
            </w:r>
          </w:p>
        </w:tc>
        <w:tc>
          <w:tcPr>
            <w:tcW w:w="1870" w:type="dxa"/>
            <w:vAlign w:val="center"/>
          </w:tcPr>
          <w:p w14:paraId="31B78E2E">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投标人资格要求</w:t>
            </w:r>
          </w:p>
        </w:tc>
        <w:tc>
          <w:tcPr>
            <w:tcW w:w="7049" w:type="dxa"/>
            <w:vAlign w:val="center"/>
          </w:tcPr>
          <w:p w14:paraId="1CE92612">
            <w:pPr>
              <w:spacing w:line="420" w:lineRule="exact"/>
              <w:rPr>
                <w:rFonts w:hint="eastAsia" w:hAnsi="宋体" w:cs="宋体"/>
                <w:color w:val="auto"/>
                <w:sz w:val="21"/>
                <w:szCs w:val="21"/>
                <w:highlight w:val="none"/>
              </w:rPr>
            </w:pPr>
            <w:r>
              <w:rPr>
                <w:rFonts w:hint="eastAsia" w:hAnsi="宋体" w:cs="宋体"/>
                <w:color w:val="auto"/>
                <w:sz w:val="21"/>
                <w:szCs w:val="21"/>
                <w:highlight w:val="none"/>
              </w:rPr>
              <w:t>详见公开招标公告“三、投标人资格要求”</w:t>
            </w:r>
          </w:p>
        </w:tc>
      </w:tr>
      <w:tr w14:paraId="46B2C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24CB0CF3">
            <w:pPr>
              <w:spacing w:line="420" w:lineRule="exact"/>
              <w:rPr>
                <w:rFonts w:hint="eastAsia" w:hAnsi="宋体"/>
                <w:color w:val="auto"/>
                <w:sz w:val="21"/>
                <w:szCs w:val="21"/>
                <w:highlight w:val="none"/>
              </w:rPr>
            </w:pPr>
            <w:r>
              <w:rPr>
                <w:rFonts w:hint="eastAsia" w:hAnsi="宋体"/>
                <w:color w:val="auto"/>
                <w:sz w:val="21"/>
                <w:szCs w:val="21"/>
                <w:highlight w:val="none"/>
              </w:rPr>
              <w:t>1.4.2</w:t>
            </w:r>
          </w:p>
        </w:tc>
        <w:tc>
          <w:tcPr>
            <w:tcW w:w="1870" w:type="dxa"/>
            <w:vAlign w:val="center"/>
          </w:tcPr>
          <w:p w14:paraId="46F550B3">
            <w:pPr>
              <w:spacing w:line="420" w:lineRule="exact"/>
              <w:rPr>
                <w:rFonts w:hint="eastAsia" w:hAnsi="宋体"/>
                <w:color w:val="auto"/>
                <w:sz w:val="21"/>
                <w:szCs w:val="21"/>
                <w:highlight w:val="none"/>
              </w:rPr>
            </w:pPr>
            <w:r>
              <w:rPr>
                <w:rFonts w:hint="eastAsia" w:hAnsi="宋体"/>
                <w:color w:val="auto"/>
                <w:sz w:val="21"/>
                <w:szCs w:val="21"/>
                <w:highlight w:val="none"/>
              </w:rPr>
              <w:t>是否接受联合体投标</w:t>
            </w:r>
          </w:p>
        </w:tc>
        <w:tc>
          <w:tcPr>
            <w:tcW w:w="7049" w:type="dxa"/>
            <w:vAlign w:val="center"/>
          </w:tcPr>
          <w:p w14:paraId="682F2A65">
            <w:pPr>
              <w:spacing w:line="420" w:lineRule="exact"/>
              <w:rPr>
                <w:rFonts w:hint="eastAsia" w:hAnsi="宋体"/>
                <w:color w:val="auto"/>
                <w:sz w:val="21"/>
                <w:szCs w:val="21"/>
                <w:highlight w:val="none"/>
              </w:rPr>
            </w:pPr>
            <w:r>
              <w:rPr>
                <w:rFonts w:hint="eastAsia" w:hAnsi="宋体"/>
                <w:color w:val="auto"/>
                <w:sz w:val="21"/>
                <w:szCs w:val="21"/>
                <w:highlight w:val="none"/>
                <w:bdr w:val="single" w:color="auto" w:sz="4" w:space="0"/>
              </w:rPr>
              <w:t>√</w:t>
            </w:r>
            <w:r>
              <w:rPr>
                <w:rFonts w:hint="eastAsia" w:hAnsi="宋体"/>
                <w:color w:val="auto"/>
                <w:sz w:val="21"/>
                <w:szCs w:val="21"/>
                <w:highlight w:val="none"/>
              </w:rPr>
              <w:t>不接受</w:t>
            </w:r>
          </w:p>
          <w:p w14:paraId="2ECB7CDA">
            <w:pPr>
              <w:spacing w:line="420" w:lineRule="exact"/>
              <w:rPr>
                <w:rFonts w:hint="eastAsia" w:hAnsi="宋体"/>
                <w:color w:val="auto"/>
                <w:sz w:val="21"/>
                <w:szCs w:val="21"/>
                <w:highlight w:val="none"/>
              </w:rPr>
            </w:pPr>
            <w:r>
              <w:rPr>
                <w:rFonts w:hint="eastAsia" w:hAnsi="宋体"/>
                <w:color w:val="auto"/>
                <w:sz w:val="21"/>
                <w:szCs w:val="21"/>
                <w:highlight w:val="none"/>
              </w:rPr>
              <w:t>□接受，应满足下列要求：</w:t>
            </w:r>
          </w:p>
        </w:tc>
      </w:tr>
      <w:tr w14:paraId="4EFBDF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12329B82">
            <w:pPr>
              <w:spacing w:line="420" w:lineRule="exact"/>
              <w:rPr>
                <w:rFonts w:hint="eastAsia" w:hAnsi="宋体"/>
                <w:color w:val="auto"/>
                <w:sz w:val="21"/>
                <w:szCs w:val="21"/>
                <w:highlight w:val="none"/>
              </w:rPr>
            </w:pPr>
            <w:r>
              <w:rPr>
                <w:rFonts w:hint="eastAsia" w:hAnsi="宋体"/>
                <w:color w:val="auto"/>
                <w:sz w:val="21"/>
                <w:szCs w:val="21"/>
                <w:highlight w:val="none"/>
              </w:rPr>
              <w:t>1.7.1</w:t>
            </w:r>
          </w:p>
        </w:tc>
        <w:tc>
          <w:tcPr>
            <w:tcW w:w="1870" w:type="dxa"/>
            <w:vAlign w:val="center"/>
          </w:tcPr>
          <w:p w14:paraId="3B5148B5">
            <w:pPr>
              <w:spacing w:line="420" w:lineRule="exact"/>
              <w:jc w:val="center"/>
              <w:rPr>
                <w:rFonts w:hint="eastAsia" w:hAnsi="宋体"/>
                <w:color w:val="auto"/>
                <w:sz w:val="21"/>
                <w:szCs w:val="21"/>
                <w:highlight w:val="none"/>
              </w:rPr>
            </w:pPr>
            <w:r>
              <w:rPr>
                <w:rFonts w:hint="eastAsia" w:hAnsi="宋体"/>
                <w:color w:val="auto"/>
                <w:sz w:val="21"/>
                <w:szCs w:val="21"/>
                <w:highlight w:val="none"/>
              </w:rPr>
              <w:t>招标澄清会</w:t>
            </w:r>
          </w:p>
        </w:tc>
        <w:tc>
          <w:tcPr>
            <w:tcW w:w="7049" w:type="dxa"/>
            <w:vAlign w:val="center"/>
          </w:tcPr>
          <w:p w14:paraId="776CD5C1">
            <w:pPr>
              <w:spacing w:line="420" w:lineRule="exact"/>
              <w:rPr>
                <w:rFonts w:hint="eastAsia" w:hAnsi="宋体"/>
                <w:color w:val="auto"/>
                <w:sz w:val="21"/>
                <w:szCs w:val="21"/>
                <w:highlight w:val="none"/>
              </w:rPr>
            </w:pPr>
            <w:r>
              <w:rPr>
                <w:rFonts w:hint="eastAsia" w:hAnsi="宋体"/>
                <w:color w:val="auto"/>
                <w:sz w:val="21"/>
                <w:szCs w:val="21"/>
                <w:highlight w:val="none"/>
                <w:bdr w:val="single" w:color="auto" w:sz="4" w:space="0"/>
              </w:rPr>
              <w:t>√</w:t>
            </w:r>
            <w:r>
              <w:rPr>
                <w:rFonts w:hint="eastAsia" w:hAnsi="宋体"/>
                <w:color w:val="auto"/>
                <w:sz w:val="21"/>
                <w:szCs w:val="21"/>
                <w:highlight w:val="none"/>
              </w:rPr>
              <w:t>不召开</w:t>
            </w:r>
          </w:p>
          <w:p w14:paraId="42B8D981">
            <w:pPr>
              <w:spacing w:line="420" w:lineRule="exact"/>
              <w:rPr>
                <w:rFonts w:hint="eastAsia" w:hAnsi="宋体"/>
                <w:color w:val="auto"/>
                <w:sz w:val="21"/>
                <w:szCs w:val="21"/>
                <w:highlight w:val="none"/>
              </w:rPr>
            </w:pPr>
            <w:r>
              <w:rPr>
                <w:rFonts w:hint="eastAsia" w:hAnsi="宋体"/>
                <w:color w:val="auto"/>
                <w:sz w:val="21"/>
                <w:szCs w:val="21"/>
                <w:highlight w:val="none"/>
              </w:rPr>
              <w:t>□召开，召开时间：</w:t>
            </w:r>
          </w:p>
          <w:p w14:paraId="73B2E7F6">
            <w:pPr>
              <w:spacing w:line="420" w:lineRule="exact"/>
              <w:rPr>
                <w:rFonts w:hint="eastAsia" w:hAnsi="宋体"/>
                <w:color w:val="auto"/>
                <w:sz w:val="21"/>
                <w:szCs w:val="21"/>
                <w:highlight w:val="none"/>
              </w:rPr>
            </w:pPr>
            <w:r>
              <w:rPr>
                <w:rFonts w:hint="eastAsia" w:hAnsi="宋体"/>
                <w:color w:val="auto"/>
                <w:sz w:val="21"/>
                <w:szCs w:val="21"/>
                <w:highlight w:val="none"/>
              </w:rPr>
              <w:t>□召开地点：</w:t>
            </w:r>
          </w:p>
        </w:tc>
      </w:tr>
      <w:tr w14:paraId="5B728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5BBC6315">
            <w:pPr>
              <w:spacing w:line="420" w:lineRule="exact"/>
              <w:rPr>
                <w:rFonts w:hint="eastAsia" w:hAnsi="宋体"/>
                <w:color w:val="auto"/>
                <w:sz w:val="21"/>
                <w:szCs w:val="21"/>
                <w:highlight w:val="none"/>
              </w:rPr>
            </w:pPr>
            <w:r>
              <w:rPr>
                <w:rFonts w:hint="eastAsia" w:hAnsi="宋体"/>
                <w:color w:val="auto"/>
                <w:sz w:val="21"/>
                <w:szCs w:val="21"/>
                <w:highlight w:val="none"/>
              </w:rPr>
              <w:t>1.7.2</w:t>
            </w:r>
          </w:p>
        </w:tc>
        <w:tc>
          <w:tcPr>
            <w:tcW w:w="1870" w:type="dxa"/>
            <w:vAlign w:val="center"/>
          </w:tcPr>
          <w:p w14:paraId="49B8AFC6">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投标人提出问题的截止时间</w:t>
            </w:r>
          </w:p>
        </w:tc>
        <w:tc>
          <w:tcPr>
            <w:tcW w:w="7049" w:type="dxa"/>
            <w:vAlign w:val="center"/>
          </w:tcPr>
          <w:p w14:paraId="13065FF4">
            <w:pPr>
              <w:spacing w:line="420" w:lineRule="exact"/>
              <w:rPr>
                <w:rFonts w:hint="eastAsia" w:hAnsi="宋体"/>
                <w:color w:val="auto"/>
                <w:sz w:val="21"/>
                <w:szCs w:val="21"/>
                <w:highlight w:val="none"/>
              </w:rPr>
            </w:pPr>
            <w:r>
              <w:rPr>
                <w:rFonts w:hint="eastAsia" w:hAnsi="宋体"/>
                <w:color w:val="auto"/>
                <w:sz w:val="21"/>
                <w:szCs w:val="21"/>
                <w:highlight w:val="none"/>
              </w:rPr>
              <w:t>在投标截止时间前，所有获取了招标文件的潜在投标人通过书面形式向或政采云平台系统中向采购代理机构提问。</w:t>
            </w:r>
          </w:p>
        </w:tc>
      </w:tr>
      <w:tr w14:paraId="1B45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27333502">
            <w:pPr>
              <w:spacing w:line="420" w:lineRule="exact"/>
              <w:rPr>
                <w:rFonts w:hint="eastAsia" w:hAnsi="宋体"/>
                <w:color w:val="auto"/>
                <w:sz w:val="21"/>
                <w:szCs w:val="21"/>
                <w:highlight w:val="none"/>
              </w:rPr>
            </w:pPr>
            <w:r>
              <w:rPr>
                <w:rFonts w:hint="eastAsia" w:hAnsi="宋体"/>
                <w:color w:val="auto"/>
                <w:sz w:val="21"/>
                <w:szCs w:val="21"/>
                <w:highlight w:val="none"/>
              </w:rPr>
              <w:t>1.7.3</w:t>
            </w:r>
          </w:p>
        </w:tc>
        <w:tc>
          <w:tcPr>
            <w:tcW w:w="1870" w:type="dxa"/>
            <w:vAlign w:val="center"/>
          </w:tcPr>
          <w:p w14:paraId="65BB1D3A">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投标书面澄清的时间</w:t>
            </w:r>
          </w:p>
        </w:tc>
        <w:tc>
          <w:tcPr>
            <w:tcW w:w="7049" w:type="dxa"/>
          </w:tcPr>
          <w:p w14:paraId="25E45B3A">
            <w:pPr>
              <w:spacing w:line="420" w:lineRule="exact"/>
              <w:rPr>
                <w:rFonts w:hint="eastAsia" w:hAnsi="宋体"/>
                <w:color w:val="auto"/>
                <w:sz w:val="21"/>
                <w:szCs w:val="21"/>
                <w:highlight w:val="none"/>
              </w:rPr>
            </w:pPr>
            <w:r>
              <w:rPr>
                <w:rFonts w:hint="eastAsia" w:hAnsi="宋体"/>
                <w:color w:val="auto"/>
                <w:sz w:val="21"/>
                <w:szCs w:val="21"/>
                <w:highlight w:val="none"/>
              </w:rPr>
              <w:t>由采购代理机构以补遗书或更正公告方式按程序报有采购人同意后，向潜在投标人发布，且投标人须回函确认。若发生实质性变更的，开标日期、投标文件递交时间顺延，顺延时间为自发布实质性变更的更正公告之日起不少于15日历天。</w:t>
            </w:r>
          </w:p>
        </w:tc>
      </w:tr>
      <w:tr w14:paraId="3A62E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tcPr>
          <w:p w14:paraId="5791C5A2">
            <w:pPr>
              <w:spacing w:line="420" w:lineRule="exact"/>
              <w:rPr>
                <w:rFonts w:hint="eastAsia" w:hAnsi="宋体"/>
                <w:color w:val="auto"/>
                <w:sz w:val="21"/>
                <w:szCs w:val="21"/>
                <w:highlight w:val="none"/>
              </w:rPr>
            </w:pPr>
            <w:r>
              <w:rPr>
                <w:rFonts w:hint="eastAsia" w:hAnsi="宋体"/>
                <w:color w:val="auto"/>
                <w:sz w:val="21"/>
                <w:szCs w:val="21"/>
                <w:highlight w:val="none"/>
              </w:rPr>
              <w:t>3.2</w:t>
            </w:r>
          </w:p>
        </w:tc>
        <w:tc>
          <w:tcPr>
            <w:tcW w:w="1870" w:type="dxa"/>
            <w:vAlign w:val="center"/>
          </w:tcPr>
          <w:p w14:paraId="1E6A6A0E">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投标截止时间和地点</w:t>
            </w:r>
          </w:p>
        </w:tc>
        <w:tc>
          <w:tcPr>
            <w:tcW w:w="7049" w:type="dxa"/>
          </w:tcPr>
          <w:p w14:paraId="1E62AB42">
            <w:pPr>
              <w:spacing w:line="420" w:lineRule="exact"/>
              <w:rPr>
                <w:rFonts w:hint="eastAsia" w:hAnsi="宋体" w:eastAsia="宋体" w:cs="宋体"/>
                <w:color w:val="auto"/>
                <w:sz w:val="21"/>
                <w:szCs w:val="21"/>
                <w:highlight w:val="none"/>
                <w:lang w:eastAsia="zh-CN"/>
              </w:rPr>
            </w:pPr>
            <w:r>
              <w:rPr>
                <w:rFonts w:hint="eastAsia" w:hAnsi="宋体" w:cs="宋体"/>
                <w:color w:val="auto"/>
                <w:sz w:val="21"/>
                <w:szCs w:val="21"/>
                <w:highlight w:val="none"/>
              </w:rPr>
              <w:t>投标截止时间：</w:t>
            </w:r>
            <w:r>
              <w:rPr>
                <w:rFonts w:hint="eastAsia" w:asciiTheme="minorEastAsia" w:hAnsiTheme="minorEastAsia" w:eastAsiaTheme="minorEastAsia"/>
                <w:color w:val="auto"/>
                <w:sz w:val="21"/>
                <w:szCs w:val="21"/>
                <w:highlight w:val="none"/>
                <w:u w:val="single"/>
                <w:lang w:eastAsia="zh-CN"/>
              </w:rPr>
              <w:t>2025年04月15日09时00分</w:t>
            </w:r>
          </w:p>
          <w:p w14:paraId="699FF775">
            <w:pPr>
              <w:spacing w:line="420" w:lineRule="exact"/>
              <w:rPr>
                <w:rFonts w:hint="eastAsia" w:hAnsi="宋体"/>
                <w:color w:val="auto"/>
                <w:sz w:val="21"/>
                <w:szCs w:val="21"/>
                <w:highlight w:val="none"/>
              </w:rPr>
            </w:pPr>
            <w:r>
              <w:rPr>
                <w:rFonts w:hint="eastAsia" w:hAnsi="宋体"/>
                <w:color w:val="auto"/>
                <w:sz w:val="21"/>
                <w:szCs w:val="21"/>
                <w:highlight w:val="none"/>
              </w:rPr>
              <w:t>地点：</w:t>
            </w:r>
            <w:r>
              <w:rPr>
                <w:rFonts w:hint="eastAsia" w:hAnsi="宋体"/>
                <w:color w:val="auto"/>
                <w:sz w:val="21"/>
                <w:szCs w:val="21"/>
                <w:highlight w:val="none"/>
                <w:lang w:eastAsia="zh-CN"/>
              </w:rPr>
              <w:t>保山市天瑞建设工程招标咨询有限公司一楼会议室（保山市隆阳区象山路5号），投标人无需到达开标现场，请各投标人登录政采云投标客户端参与采购活动并递交投标文件</w:t>
            </w:r>
            <w:r>
              <w:rPr>
                <w:rFonts w:hint="eastAsia" w:hAnsi="宋体"/>
                <w:color w:val="auto"/>
                <w:sz w:val="21"/>
                <w:szCs w:val="21"/>
                <w:highlight w:val="none"/>
              </w:rPr>
              <w:t>。</w:t>
            </w:r>
          </w:p>
        </w:tc>
      </w:tr>
      <w:tr w14:paraId="071C52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tcPr>
          <w:p w14:paraId="0368ED19">
            <w:pPr>
              <w:spacing w:line="420" w:lineRule="exact"/>
              <w:rPr>
                <w:rFonts w:hint="eastAsia" w:hAnsi="宋体"/>
                <w:color w:val="auto"/>
                <w:sz w:val="21"/>
                <w:szCs w:val="21"/>
                <w:highlight w:val="none"/>
              </w:rPr>
            </w:pPr>
            <w:r>
              <w:rPr>
                <w:rFonts w:hint="eastAsia" w:hAnsi="宋体"/>
                <w:color w:val="auto"/>
                <w:sz w:val="21"/>
                <w:szCs w:val="21"/>
                <w:highlight w:val="none"/>
              </w:rPr>
              <w:t>3.4.1</w:t>
            </w:r>
          </w:p>
        </w:tc>
        <w:tc>
          <w:tcPr>
            <w:tcW w:w="1870" w:type="dxa"/>
            <w:vAlign w:val="center"/>
          </w:tcPr>
          <w:p w14:paraId="463FD8AF">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投标有效期</w:t>
            </w:r>
          </w:p>
        </w:tc>
        <w:tc>
          <w:tcPr>
            <w:tcW w:w="7049" w:type="dxa"/>
          </w:tcPr>
          <w:p w14:paraId="311F4154">
            <w:pPr>
              <w:spacing w:line="420" w:lineRule="exact"/>
              <w:rPr>
                <w:rFonts w:hint="eastAsia" w:hAnsi="宋体"/>
                <w:color w:val="auto"/>
                <w:sz w:val="21"/>
                <w:szCs w:val="21"/>
                <w:highlight w:val="none"/>
              </w:rPr>
            </w:pPr>
            <w:r>
              <w:rPr>
                <w:rFonts w:hint="eastAsia" w:hAnsi="宋体"/>
                <w:color w:val="auto"/>
                <w:sz w:val="21"/>
                <w:szCs w:val="21"/>
                <w:highlight w:val="none"/>
                <w:u w:val="single"/>
              </w:rPr>
              <w:t xml:space="preserve">  90</w:t>
            </w:r>
            <w:r>
              <w:rPr>
                <w:rFonts w:hint="eastAsia" w:hAnsi="宋体"/>
                <w:color w:val="auto"/>
                <w:sz w:val="21"/>
                <w:szCs w:val="21"/>
                <w:highlight w:val="none"/>
              </w:rPr>
              <w:t>天，从递交投标文件的截止之日起算</w:t>
            </w:r>
          </w:p>
        </w:tc>
      </w:tr>
      <w:tr w14:paraId="60EB2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1102" w:type="dxa"/>
            <w:vAlign w:val="center"/>
          </w:tcPr>
          <w:p w14:paraId="5FC0577C">
            <w:pPr>
              <w:spacing w:line="420" w:lineRule="exact"/>
              <w:rPr>
                <w:rFonts w:hint="eastAsia" w:hAnsi="宋体"/>
                <w:color w:val="auto"/>
                <w:sz w:val="21"/>
                <w:szCs w:val="21"/>
                <w:highlight w:val="none"/>
              </w:rPr>
            </w:pPr>
            <w:r>
              <w:rPr>
                <w:rFonts w:hint="eastAsia" w:hAnsi="宋体"/>
                <w:color w:val="auto"/>
                <w:sz w:val="21"/>
                <w:szCs w:val="21"/>
                <w:highlight w:val="none"/>
              </w:rPr>
              <w:t>3.5.1</w:t>
            </w:r>
          </w:p>
        </w:tc>
        <w:tc>
          <w:tcPr>
            <w:tcW w:w="1870" w:type="dxa"/>
            <w:vAlign w:val="center"/>
          </w:tcPr>
          <w:p w14:paraId="7214447B">
            <w:pPr>
              <w:spacing w:line="420" w:lineRule="exact"/>
              <w:jc w:val="center"/>
              <w:rPr>
                <w:rFonts w:hint="eastAsia" w:hAnsi="宋体"/>
                <w:color w:val="auto"/>
                <w:sz w:val="21"/>
                <w:szCs w:val="21"/>
                <w:highlight w:val="none"/>
              </w:rPr>
            </w:pPr>
            <w:r>
              <w:rPr>
                <w:rFonts w:hint="eastAsia" w:hAnsi="宋体"/>
                <w:color w:val="auto"/>
                <w:sz w:val="21"/>
                <w:szCs w:val="21"/>
                <w:highlight w:val="none"/>
              </w:rPr>
              <w:t>投标保证金</w:t>
            </w:r>
          </w:p>
        </w:tc>
        <w:tc>
          <w:tcPr>
            <w:tcW w:w="7049" w:type="dxa"/>
          </w:tcPr>
          <w:p w14:paraId="71C53FEF">
            <w:pPr>
              <w:pStyle w:val="23"/>
              <w:spacing w:line="440" w:lineRule="exact"/>
              <w:rPr>
                <w:rFonts w:hint="eastAsia" w:hAnsi="宋体" w:cs="宋体"/>
                <w:color w:val="auto"/>
                <w:highlight w:val="none"/>
              </w:rPr>
            </w:pPr>
            <w:r>
              <w:rPr>
                <w:rFonts w:hint="eastAsia" w:hAnsi="宋体" w:cs="宋体"/>
                <w:color w:val="auto"/>
                <w:highlight w:val="none"/>
              </w:rPr>
              <w:t>（1）投标保证金相关信息</w:t>
            </w:r>
          </w:p>
          <w:p w14:paraId="6B5169E8">
            <w:pPr>
              <w:pStyle w:val="23"/>
              <w:spacing w:line="440" w:lineRule="exact"/>
              <w:rPr>
                <w:rFonts w:hint="eastAsia" w:hAnsi="宋体" w:eastAsia="宋体" w:cs="宋体"/>
                <w:color w:val="auto"/>
                <w:highlight w:val="none"/>
                <w:lang w:eastAsia="zh-CN"/>
              </w:rPr>
            </w:pPr>
            <w:r>
              <w:rPr>
                <w:rFonts w:hint="eastAsia" w:hAnsi="宋体" w:cs="宋体"/>
                <w:color w:val="auto"/>
                <w:highlight w:val="none"/>
              </w:rPr>
              <w:t>项目名称：</w:t>
            </w:r>
            <w:r>
              <w:rPr>
                <w:rFonts w:hint="eastAsia" w:hAnsi="宋体"/>
                <w:color w:val="auto"/>
                <w:highlight w:val="none"/>
                <w:lang w:eastAsia="zh-CN"/>
              </w:rPr>
              <w:t>保山市加油站流量数据采集系统</w:t>
            </w:r>
          </w:p>
          <w:p w14:paraId="0901ED79">
            <w:pPr>
              <w:pStyle w:val="23"/>
              <w:spacing w:line="440" w:lineRule="exact"/>
              <w:rPr>
                <w:rFonts w:hint="eastAsia" w:hAnsi="宋体" w:cs="宋体"/>
                <w:color w:val="auto"/>
                <w:highlight w:val="none"/>
              </w:rPr>
            </w:pPr>
            <w:r>
              <w:rPr>
                <w:rFonts w:hint="eastAsia" w:hAnsi="宋体" w:cs="宋体"/>
                <w:color w:val="auto"/>
                <w:highlight w:val="none"/>
              </w:rPr>
              <w:t>投标保证金形式：银行转账或银行保函或保证保险或其他非现金方式（不接受现场缴纳现金）</w:t>
            </w:r>
          </w:p>
          <w:p w14:paraId="341DB26F">
            <w:pPr>
              <w:pStyle w:val="23"/>
              <w:spacing w:line="440" w:lineRule="exact"/>
              <w:rPr>
                <w:rFonts w:hint="eastAsia" w:hAnsi="宋体" w:cs="宋体"/>
                <w:color w:val="auto"/>
                <w:highlight w:val="none"/>
              </w:rPr>
            </w:pPr>
            <w:r>
              <w:rPr>
                <w:rFonts w:hint="eastAsia" w:hAnsi="宋体" w:cs="宋体"/>
                <w:color w:val="auto"/>
                <w:highlight w:val="none"/>
              </w:rPr>
              <w:t>投标保证金金额：¥</w:t>
            </w:r>
            <w:r>
              <w:rPr>
                <w:rFonts w:hint="eastAsia" w:hAnsi="宋体" w:cs="宋体"/>
                <w:color w:val="auto"/>
                <w:highlight w:val="none"/>
                <w:lang w:val="en-US" w:eastAsia="zh-CN"/>
              </w:rPr>
              <w:t>4</w:t>
            </w:r>
            <w:r>
              <w:rPr>
                <w:rFonts w:hint="eastAsia" w:hAnsi="宋体" w:cs="宋体"/>
                <w:color w:val="auto"/>
                <w:highlight w:val="none"/>
              </w:rPr>
              <w:t>0000.00元。</w:t>
            </w:r>
          </w:p>
          <w:p w14:paraId="17D6C857">
            <w:pPr>
              <w:pStyle w:val="23"/>
              <w:spacing w:line="440" w:lineRule="exact"/>
              <w:rPr>
                <w:rFonts w:hint="eastAsia" w:hAnsi="宋体" w:cs="宋体"/>
                <w:color w:val="auto"/>
                <w:highlight w:val="none"/>
              </w:rPr>
            </w:pPr>
            <w:r>
              <w:rPr>
                <w:rFonts w:hint="eastAsia" w:hAnsi="宋体" w:cs="宋体"/>
                <w:color w:val="auto"/>
                <w:highlight w:val="none"/>
              </w:rPr>
              <w:t>（2）投标保证金的提交方式</w:t>
            </w:r>
          </w:p>
          <w:p w14:paraId="5966A84C">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投标保证金形式：银行转账或银行保函或保证保险或其他非现金方式（不接受现场缴纳现金），投标人可根据实际情况，选择保证金的提供或缴纳方式，有关部门、单位和企业不得以任何方式排斥、限制或拒绝接受。</w:t>
            </w:r>
          </w:p>
          <w:p w14:paraId="4C6473D7">
            <w:pPr>
              <w:pStyle w:val="23"/>
              <w:spacing w:line="440" w:lineRule="exact"/>
              <w:rPr>
                <w:rFonts w:hint="eastAsia" w:hAnsi="宋体" w:cs="宋体"/>
                <w:color w:val="auto"/>
                <w:highlight w:val="none"/>
              </w:rPr>
            </w:pPr>
            <w:r>
              <w:rPr>
                <w:rFonts w:hint="eastAsia" w:hAnsi="宋体" w:cs="宋体"/>
                <w:color w:val="auto"/>
                <w:highlight w:val="none"/>
              </w:rPr>
              <w:t>①采用银行转账：</w:t>
            </w:r>
          </w:p>
          <w:p w14:paraId="1FC3F465">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a.投标（交易）保证金应以投标人自身的名义提交，并且必须从其基本账户转出（按照规定，投标人可以为自然人的项目除外，若为联合体，保证金由联合体牵头人进行缴纳）。</w:t>
            </w:r>
          </w:p>
          <w:p w14:paraId="00534A49">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本次项目投标保证金专用账号转账信息如下（唯一账户）：</w:t>
            </w:r>
          </w:p>
          <w:p w14:paraId="4E386F90">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投标保证金指定账户：</w:t>
            </w:r>
          </w:p>
          <w:p w14:paraId="3F5A69EA">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户名：保山市天瑞建设工程招标咨询有限公司</w:t>
            </w:r>
          </w:p>
          <w:p w14:paraId="57139E55">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开户银行：中国建设银行有限公司保山新村支行</w:t>
            </w:r>
          </w:p>
          <w:p w14:paraId="26E86870">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账号：5300 1728 6420 5100 0568</w:t>
            </w:r>
          </w:p>
          <w:p w14:paraId="083680EF">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汇入地址：云南省保山市</w:t>
            </w:r>
          </w:p>
          <w:p w14:paraId="4616B380">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汇款缴纳查询电话：</w:t>
            </w:r>
            <w:r>
              <w:rPr>
                <w:rFonts w:hint="eastAsia" w:hAnsi="宋体" w:cs="宋体"/>
                <w:color w:val="auto"/>
                <w:highlight w:val="none"/>
                <w:lang w:eastAsia="zh-CN"/>
              </w:rPr>
              <w:t>0875-2147689</w:t>
            </w:r>
          </w:p>
          <w:p w14:paraId="2B2E956E">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联系人：寸女士</w:t>
            </w:r>
          </w:p>
          <w:p w14:paraId="37718BEA">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投标人需在投标保证金缴纳截止时间前递交保证金，保证金单据内要注明项目名称或项目编号（内容须填写完整），到账时间以实际到达专用账号时间为准，未在投标保证金缴纳 截止时间前到账的保证金视为未提交，为避免由于晚到账的原因造成投标失败，请各投标人预留充足时间。在跨行转账时请考虑以下因素：1.按照人民银行相关规定，跨行转账在工作日下午四点半前办理手续，可以保证实时跨行到账；2.跨行转账尽量采用电汇方式。</w:t>
            </w:r>
          </w:p>
          <w:p w14:paraId="54993564">
            <w:pPr>
              <w:pStyle w:val="23"/>
              <w:spacing w:line="440" w:lineRule="exact"/>
              <w:rPr>
                <w:rFonts w:hint="eastAsia" w:hAnsi="宋体" w:cs="宋体"/>
                <w:color w:val="auto"/>
                <w:highlight w:val="none"/>
              </w:rPr>
            </w:pPr>
            <w:r>
              <w:rPr>
                <w:rFonts w:hint="eastAsia" w:hAnsi="宋体" w:cs="宋体"/>
                <w:color w:val="auto"/>
                <w:highlight w:val="none"/>
              </w:rPr>
              <w:t>注意事项：</w:t>
            </w:r>
          </w:p>
          <w:p w14:paraId="11481FD3">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1）保证金必须从投标人的基本账户划出；</w:t>
            </w:r>
          </w:p>
          <w:p w14:paraId="1F7AC6B0">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2）保证金转账仅限电汇、网银方式，其他转账方式视为无效；</w:t>
            </w:r>
          </w:p>
          <w:p w14:paraId="6B54A2FF">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3）到账时间以保证金专用账户实际到账时间为准，未在缴纳保证金截止时间前到账的保证金无效。</w:t>
            </w:r>
          </w:p>
          <w:p w14:paraId="2F46AA0E">
            <w:pPr>
              <w:pStyle w:val="23"/>
              <w:spacing w:line="440" w:lineRule="exact"/>
              <w:rPr>
                <w:rFonts w:hint="eastAsia" w:hAnsi="宋体" w:cs="宋体"/>
                <w:color w:val="auto"/>
                <w:highlight w:val="none"/>
              </w:rPr>
            </w:pPr>
            <w:r>
              <w:rPr>
                <w:rFonts w:hint="eastAsia" w:hAnsi="宋体" w:cs="宋体"/>
                <w:color w:val="auto"/>
                <w:highlight w:val="none"/>
              </w:rPr>
              <w:t>②采用银行保函：</w:t>
            </w:r>
          </w:p>
          <w:p w14:paraId="54FD351E">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保函申请人必须是投标人，受益人必须是采购人，保证人必须是投标人基本账户的开户银行；银行保函必须正确填写受益人和申请人的全称，并与采购文件规定的名称一致，以免造成投标无效。投标人需在投标截止时间前提供银行纸质保函。投标人持确认函参加投标。</w:t>
            </w:r>
          </w:p>
          <w:p w14:paraId="14151F2A">
            <w:pPr>
              <w:pStyle w:val="23"/>
              <w:spacing w:line="440" w:lineRule="exact"/>
              <w:rPr>
                <w:rFonts w:hint="eastAsia" w:hAnsi="宋体" w:cs="宋体"/>
                <w:color w:val="auto"/>
                <w:highlight w:val="none"/>
              </w:rPr>
            </w:pPr>
            <w:r>
              <w:rPr>
                <w:rFonts w:hint="eastAsia" w:hAnsi="宋体" w:cs="宋体"/>
                <w:color w:val="auto"/>
                <w:highlight w:val="none"/>
              </w:rPr>
              <w:t>③采用保证保险：</w:t>
            </w:r>
          </w:p>
          <w:p w14:paraId="40156756">
            <w:pPr>
              <w:pStyle w:val="23"/>
              <w:spacing w:line="440" w:lineRule="exact"/>
              <w:ind w:firstLine="420" w:firstLineChars="200"/>
              <w:rPr>
                <w:rFonts w:hint="eastAsia" w:hAnsi="宋体" w:cs="宋体"/>
                <w:color w:val="auto"/>
                <w:highlight w:val="none"/>
              </w:rPr>
            </w:pPr>
            <w:r>
              <w:rPr>
                <w:rFonts w:hint="eastAsia" w:hAnsi="宋体" w:cs="宋体"/>
                <w:color w:val="auto"/>
                <w:highlight w:val="none"/>
              </w:rPr>
              <w:t>须按照国家关于保证保险的要求购买保证保险，投标人持保证保险材料参加投标。保险受益人（采购人）：</w:t>
            </w:r>
            <w:r>
              <w:rPr>
                <w:rFonts w:hint="eastAsia" w:hAnsi="宋体" w:cs="宋体"/>
                <w:color w:val="auto"/>
                <w:highlight w:val="none"/>
                <w:lang w:eastAsia="zh-CN"/>
              </w:rPr>
              <w:t>保山市商务局</w:t>
            </w:r>
            <w:r>
              <w:rPr>
                <w:rFonts w:hint="eastAsia" w:hAnsi="宋体" w:cs="宋体"/>
                <w:color w:val="auto"/>
                <w:highlight w:val="none"/>
              </w:rPr>
              <w:t>（社会统一信用代码：11533000015255225W）。</w:t>
            </w:r>
          </w:p>
          <w:p w14:paraId="7B319C48">
            <w:pPr>
              <w:pStyle w:val="23"/>
              <w:spacing w:line="440" w:lineRule="exact"/>
              <w:rPr>
                <w:rFonts w:hint="eastAsia" w:hAnsi="宋体" w:cs="宋体"/>
                <w:color w:val="auto"/>
                <w:highlight w:val="none"/>
              </w:rPr>
            </w:pPr>
            <w:r>
              <w:rPr>
                <w:rFonts w:hint="eastAsia" w:hAnsi="宋体" w:cs="宋体"/>
                <w:color w:val="auto"/>
                <w:highlight w:val="none"/>
              </w:rPr>
              <w:t>（3）对未足额提交投标保证金的投标人提交的投标文件，采购代理机构将视其为不响应投标条件而予以拒绝。</w:t>
            </w:r>
          </w:p>
          <w:p w14:paraId="7AAB451E">
            <w:pPr>
              <w:spacing w:line="420" w:lineRule="exact"/>
              <w:rPr>
                <w:rFonts w:hint="eastAsia" w:hAnsi="宋体"/>
                <w:color w:val="auto"/>
                <w:sz w:val="21"/>
                <w:szCs w:val="21"/>
                <w:highlight w:val="none"/>
              </w:rPr>
            </w:pPr>
            <w:r>
              <w:rPr>
                <w:rFonts w:hint="eastAsia" w:hAnsi="宋体" w:cs="宋体"/>
                <w:color w:val="auto"/>
                <w:sz w:val="21"/>
                <w:szCs w:val="21"/>
                <w:highlight w:val="none"/>
              </w:rPr>
              <w:t>（4）未中标投标人的投标保证金，将在中标公示生效后予以退还。中标人的投标保证金在合同签订后５日内予以退还。</w:t>
            </w:r>
          </w:p>
        </w:tc>
      </w:tr>
      <w:tr w14:paraId="39E4E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1102" w:type="dxa"/>
            <w:vAlign w:val="center"/>
          </w:tcPr>
          <w:p w14:paraId="50134F08">
            <w:pPr>
              <w:spacing w:line="420" w:lineRule="exact"/>
              <w:rPr>
                <w:rFonts w:hint="eastAsia" w:hAnsi="宋体"/>
                <w:color w:val="auto"/>
                <w:sz w:val="21"/>
                <w:szCs w:val="21"/>
                <w:highlight w:val="none"/>
              </w:rPr>
            </w:pPr>
            <w:r>
              <w:rPr>
                <w:rFonts w:hint="eastAsia" w:hAnsi="宋体"/>
                <w:color w:val="auto"/>
                <w:sz w:val="21"/>
                <w:szCs w:val="21"/>
                <w:highlight w:val="none"/>
              </w:rPr>
              <w:t>3.7.4</w:t>
            </w:r>
          </w:p>
        </w:tc>
        <w:tc>
          <w:tcPr>
            <w:tcW w:w="1870" w:type="dxa"/>
            <w:vAlign w:val="center"/>
          </w:tcPr>
          <w:p w14:paraId="09BE63BE">
            <w:pPr>
              <w:pStyle w:val="23"/>
              <w:spacing w:line="360" w:lineRule="auto"/>
              <w:rPr>
                <w:rFonts w:hint="eastAsia" w:hAnsi="宋体"/>
                <w:color w:val="auto"/>
                <w:highlight w:val="none"/>
              </w:rPr>
            </w:pPr>
            <w:r>
              <w:rPr>
                <w:rFonts w:hint="eastAsia" w:hAnsi="宋体"/>
                <w:color w:val="auto"/>
                <w:kern w:val="0"/>
                <w:highlight w:val="none"/>
              </w:rPr>
              <w:t>投标文件上传相关要求</w:t>
            </w:r>
          </w:p>
        </w:tc>
        <w:tc>
          <w:tcPr>
            <w:tcW w:w="7049" w:type="dxa"/>
            <w:vAlign w:val="center"/>
          </w:tcPr>
          <w:p w14:paraId="642DF413">
            <w:pPr>
              <w:pStyle w:val="23"/>
              <w:spacing w:line="440" w:lineRule="exact"/>
              <w:rPr>
                <w:rFonts w:hint="eastAsia" w:hAnsi="宋体" w:cs="宋体"/>
                <w:color w:val="auto"/>
                <w:highlight w:val="none"/>
              </w:rPr>
            </w:pPr>
            <w:r>
              <w:rPr>
                <w:rFonts w:hint="eastAsia" w:hAnsi="宋体" w:cs="宋体"/>
                <w:color w:val="auto"/>
                <w:highlight w:val="none"/>
              </w:rPr>
              <w:t>1.本次采购采用在政府采购云平台（www.zcygov.cn）上进行采购与递交投标文件，投标文件递交要求如下：</w:t>
            </w:r>
          </w:p>
          <w:p w14:paraId="0023100F">
            <w:pPr>
              <w:widowControl/>
              <w:spacing w:line="460" w:lineRule="exact"/>
              <w:rPr>
                <w:rFonts w:hint="eastAsia" w:hAnsi="宋体" w:cs="宋体"/>
                <w:color w:val="auto"/>
                <w:sz w:val="21"/>
                <w:szCs w:val="21"/>
                <w:highlight w:val="none"/>
              </w:rPr>
            </w:pPr>
            <w:r>
              <w:rPr>
                <w:rFonts w:hint="eastAsia" w:hAnsi="宋体" w:cs="宋体"/>
                <w:color w:val="auto"/>
                <w:sz w:val="21"/>
                <w:szCs w:val="21"/>
                <w:highlight w:val="none"/>
              </w:rPr>
              <w:t>（1）网上递交：投标人网上递交需登录政府采购云平台（www.zcygov.cn），须在投标文件提交截止时间前完成所有电子投标文件的上传，投标文件递交截止时间前未完成文件上传的，视为撤回投标文件。</w:t>
            </w:r>
          </w:p>
          <w:p w14:paraId="7FA04EE2">
            <w:pPr>
              <w:widowControl/>
              <w:spacing w:line="440" w:lineRule="exact"/>
              <w:rPr>
                <w:rFonts w:hint="eastAsia" w:hAnsi="宋体" w:cs="宋体"/>
                <w:color w:val="auto"/>
                <w:sz w:val="21"/>
                <w:szCs w:val="21"/>
                <w:highlight w:val="none"/>
              </w:rPr>
            </w:pPr>
            <w:r>
              <w:rPr>
                <w:rFonts w:hint="eastAsia" w:hAnsi="宋体" w:cs="宋体"/>
                <w:color w:val="auto"/>
                <w:sz w:val="21"/>
                <w:szCs w:val="21"/>
                <w:highlight w:val="none"/>
              </w:rPr>
              <w:t>（2）本项目采用在政府采购云平台（www.zcygov.cn）上进行采购与递交投标文件，无需现场递交纸质文件，但应在文件递交截止时间登录系统，并根据开标系统的提示操作解密文件。</w:t>
            </w:r>
          </w:p>
          <w:p w14:paraId="12DB237A">
            <w:pPr>
              <w:widowControl/>
              <w:spacing w:line="460" w:lineRule="exact"/>
              <w:rPr>
                <w:rFonts w:hint="eastAsia" w:hAnsi="宋体" w:cs="宋体"/>
                <w:color w:val="auto"/>
                <w:sz w:val="21"/>
                <w:szCs w:val="21"/>
                <w:highlight w:val="none"/>
              </w:rPr>
            </w:pPr>
            <w:r>
              <w:rPr>
                <w:rFonts w:hint="eastAsia" w:hAnsi="宋体" w:cs="宋体"/>
                <w:color w:val="auto"/>
                <w:sz w:val="21"/>
                <w:szCs w:val="21"/>
                <w:highlight w:val="none"/>
              </w:rPr>
              <w:t>（3）请参与本项目投标人在使用政采云平台时，请自行配备需要的音视频等设备，做好系统的调试工作避免出现系统不能正常使用的情况。</w:t>
            </w:r>
          </w:p>
          <w:p w14:paraId="3523AB8F">
            <w:pPr>
              <w:pStyle w:val="23"/>
              <w:spacing w:line="440" w:lineRule="exact"/>
              <w:rPr>
                <w:rFonts w:hint="eastAsia" w:hAnsi="宋体" w:cs="宋体"/>
                <w:color w:val="auto"/>
                <w:highlight w:val="none"/>
              </w:rPr>
            </w:pPr>
            <w:r>
              <w:rPr>
                <w:rFonts w:hint="eastAsia" w:hAnsi="宋体" w:cs="宋体"/>
                <w:color w:val="auto"/>
                <w:highlight w:val="none"/>
              </w:rPr>
              <w:t>（4）提交投标文件截止时间：</w:t>
            </w:r>
            <w:r>
              <w:rPr>
                <w:rFonts w:hint="eastAsia" w:hAnsi="宋体"/>
                <w:bCs/>
                <w:color w:val="auto"/>
                <w:highlight w:val="none"/>
                <w:lang w:eastAsia="zh-CN"/>
              </w:rPr>
              <w:t>2025年04月15日09时00分</w:t>
            </w:r>
            <w:r>
              <w:rPr>
                <w:rFonts w:hint="eastAsia" w:hAnsi="宋体" w:cs="宋体"/>
                <w:color w:val="auto"/>
                <w:highlight w:val="none"/>
              </w:rPr>
              <w:t>（北京时间）</w:t>
            </w:r>
          </w:p>
          <w:p w14:paraId="0957C30D">
            <w:pPr>
              <w:pStyle w:val="23"/>
              <w:spacing w:line="440" w:lineRule="exact"/>
              <w:rPr>
                <w:rFonts w:hint="eastAsia" w:hAnsi="宋体" w:cs="宋体"/>
                <w:color w:val="auto"/>
                <w:highlight w:val="none"/>
              </w:rPr>
            </w:pPr>
            <w:r>
              <w:rPr>
                <w:rFonts w:hint="eastAsia" w:hAnsi="宋体" w:cs="宋体"/>
                <w:color w:val="auto"/>
                <w:highlight w:val="none"/>
              </w:rPr>
              <w:t>（5）提交地点：政府采购云平台（www.zcygov.cn）</w:t>
            </w:r>
          </w:p>
          <w:p w14:paraId="57595CE8">
            <w:pPr>
              <w:pStyle w:val="23"/>
              <w:spacing w:line="360" w:lineRule="auto"/>
              <w:rPr>
                <w:rFonts w:hint="eastAsia" w:hAnsi="宋体" w:cs="宋体"/>
                <w:color w:val="auto"/>
                <w:highlight w:val="none"/>
              </w:rPr>
            </w:pPr>
            <w:r>
              <w:rPr>
                <w:rFonts w:hint="eastAsia" w:hAnsi="宋体" w:cs="宋体"/>
                <w:color w:val="auto"/>
                <w:highlight w:val="none"/>
              </w:rPr>
              <w:t>注：电子投标文件须在投标文件提交截止时间以前上传至上述</w:t>
            </w:r>
            <w:r>
              <w:rPr>
                <w:rFonts w:hint="eastAsia" w:hAnsi="宋体" w:cs="宋体"/>
                <w:color w:val="auto"/>
                <w:highlight w:val="none"/>
                <w:lang w:eastAsia="zh-CN"/>
              </w:rPr>
              <w:t>软件系统</w:t>
            </w:r>
            <w:r>
              <w:rPr>
                <w:rFonts w:hint="eastAsia" w:hAnsi="宋体" w:cs="宋体"/>
                <w:color w:val="auto"/>
                <w:highlight w:val="none"/>
              </w:rPr>
              <w:t>，逾期送达或逾期上传电子投标文件或不能对投标文件进行解密的投标文件，其投标文件将被拒绝或视为不合格。</w:t>
            </w:r>
          </w:p>
          <w:p w14:paraId="2ED9413B">
            <w:pPr>
              <w:pStyle w:val="23"/>
              <w:spacing w:line="360" w:lineRule="auto"/>
              <w:rPr>
                <w:rFonts w:hint="eastAsia" w:hAnsi="宋体" w:cs="宋体"/>
                <w:color w:val="auto"/>
                <w:highlight w:val="none"/>
              </w:rPr>
            </w:pPr>
            <w:r>
              <w:rPr>
                <w:rFonts w:hint="eastAsia" w:hAnsi="宋体" w:cs="宋体"/>
                <w:color w:val="auto"/>
                <w:highlight w:val="none"/>
              </w:rPr>
              <w:t>2.本项目需要对本次采购的</w:t>
            </w:r>
            <w:r>
              <w:rPr>
                <w:rFonts w:hint="eastAsia" w:hAnsi="宋体" w:cs="宋体"/>
                <w:color w:val="auto"/>
                <w:highlight w:val="none"/>
                <w:lang w:eastAsia="zh-CN"/>
              </w:rPr>
              <w:t>“保山市加油站流量数据采集系统”</w:t>
            </w:r>
            <w:r>
              <w:rPr>
                <w:rFonts w:hint="eastAsia" w:hAnsi="宋体" w:cs="宋体"/>
                <w:color w:val="auto"/>
                <w:highlight w:val="none"/>
                <w:lang w:val="en-US" w:eastAsia="zh-CN"/>
              </w:rPr>
              <w:t>提供开发设计功能模块（demo）进行视频演示</w:t>
            </w:r>
            <w:r>
              <w:rPr>
                <w:rFonts w:hint="eastAsia" w:hAnsi="宋体" w:cs="宋体"/>
                <w:color w:val="auto"/>
                <w:highlight w:val="none"/>
              </w:rPr>
              <w:t>，演示方式采用视频并配音解说进行实现（格式：MP4），视频演示须图像清晰、演示功能准确，配音解说须与视频显示内容一致。演示视频须压缩为加密的压缩包（名称：投标人名称演示视频），演示视频须在提交投标文件截止时间：</w:t>
            </w:r>
            <w:r>
              <w:rPr>
                <w:rFonts w:hint="eastAsia" w:hAnsi="宋体" w:cs="宋体"/>
                <w:color w:val="auto"/>
                <w:highlight w:val="none"/>
                <w:lang w:eastAsia="zh-CN"/>
              </w:rPr>
              <w:t>2025年04月15日09时00分</w:t>
            </w:r>
            <w:r>
              <w:rPr>
                <w:rFonts w:hint="eastAsia" w:hAnsi="宋体" w:cs="宋体"/>
                <w:color w:val="auto"/>
                <w:highlight w:val="none"/>
              </w:rPr>
              <w:t>（北京时间）以前发送至采购代理机构对公邮箱（bstrzb@126.com），演示视频压缩包的解密密码须在政府采购云平台开标系统中提示进行投标文件解密后发送至采购代理机构对公邮箱（bstrzb@126.com）。</w:t>
            </w:r>
          </w:p>
          <w:p w14:paraId="74DDD70C">
            <w:pPr>
              <w:pStyle w:val="23"/>
              <w:spacing w:line="360" w:lineRule="auto"/>
              <w:rPr>
                <w:rFonts w:hint="eastAsia" w:hAnsi="宋体"/>
                <w:color w:val="auto"/>
                <w:highlight w:val="none"/>
              </w:rPr>
            </w:pPr>
            <w:r>
              <w:rPr>
                <w:rFonts w:hint="eastAsia" w:hAnsi="宋体" w:cs="宋体"/>
                <w:color w:val="auto"/>
                <w:highlight w:val="none"/>
              </w:rPr>
              <w:t>注：逾期发送或未发送演示视频压缩包，视为投标人未提供演示视频，对应的评审内容将按0分计算。</w:t>
            </w:r>
          </w:p>
        </w:tc>
      </w:tr>
      <w:tr w14:paraId="6AF3B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102" w:type="dxa"/>
            <w:vAlign w:val="center"/>
          </w:tcPr>
          <w:p w14:paraId="085BE4F9">
            <w:pPr>
              <w:spacing w:line="420" w:lineRule="exact"/>
              <w:rPr>
                <w:rFonts w:hint="eastAsia" w:hAnsi="宋体"/>
                <w:color w:val="auto"/>
                <w:sz w:val="21"/>
                <w:szCs w:val="21"/>
                <w:highlight w:val="none"/>
              </w:rPr>
            </w:pPr>
            <w:r>
              <w:rPr>
                <w:rFonts w:hint="eastAsia" w:hAnsi="宋体"/>
                <w:color w:val="auto"/>
                <w:sz w:val="21"/>
                <w:szCs w:val="21"/>
                <w:highlight w:val="none"/>
              </w:rPr>
              <w:t>3.10</w:t>
            </w:r>
          </w:p>
        </w:tc>
        <w:tc>
          <w:tcPr>
            <w:tcW w:w="1870" w:type="dxa"/>
            <w:vAlign w:val="center"/>
          </w:tcPr>
          <w:p w14:paraId="7A29A913">
            <w:pPr>
              <w:spacing w:line="420" w:lineRule="exact"/>
              <w:jc w:val="center"/>
              <w:rPr>
                <w:rFonts w:hint="eastAsia" w:hAnsi="宋体"/>
                <w:color w:val="auto"/>
                <w:sz w:val="21"/>
                <w:szCs w:val="21"/>
                <w:highlight w:val="none"/>
              </w:rPr>
            </w:pPr>
            <w:r>
              <w:rPr>
                <w:rFonts w:hint="eastAsia" w:hAnsi="宋体"/>
                <w:color w:val="auto"/>
                <w:sz w:val="21"/>
                <w:szCs w:val="21"/>
                <w:highlight w:val="none"/>
              </w:rPr>
              <w:t>踏勘</w:t>
            </w:r>
          </w:p>
        </w:tc>
        <w:tc>
          <w:tcPr>
            <w:tcW w:w="7049" w:type="dxa"/>
            <w:vAlign w:val="center"/>
          </w:tcPr>
          <w:p w14:paraId="744E1B02">
            <w:pPr>
              <w:spacing w:line="420" w:lineRule="exact"/>
              <w:rPr>
                <w:rFonts w:hint="eastAsia" w:hAnsi="宋体"/>
                <w:color w:val="auto"/>
                <w:sz w:val="21"/>
                <w:szCs w:val="21"/>
                <w:highlight w:val="none"/>
              </w:rPr>
            </w:pPr>
            <w:r>
              <w:rPr>
                <w:rFonts w:hint="eastAsia" w:hAnsi="宋体"/>
                <w:color w:val="auto"/>
                <w:sz w:val="21"/>
                <w:szCs w:val="21"/>
                <w:highlight w:val="none"/>
                <w:bdr w:val="single" w:color="auto" w:sz="4" w:space="0"/>
              </w:rPr>
              <w:t>√</w:t>
            </w:r>
            <w:r>
              <w:rPr>
                <w:rFonts w:hint="eastAsia" w:hAnsi="宋体"/>
                <w:color w:val="auto"/>
                <w:sz w:val="21"/>
                <w:szCs w:val="21"/>
                <w:highlight w:val="none"/>
              </w:rPr>
              <w:t>不组织</w:t>
            </w:r>
          </w:p>
          <w:p w14:paraId="339196DB">
            <w:pPr>
              <w:spacing w:line="420" w:lineRule="exact"/>
              <w:rPr>
                <w:rFonts w:hint="eastAsia" w:hAnsi="宋体"/>
                <w:color w:val="auto"/>
                <w:sz w:val="21"/>
                <w:szCs w:val="21"/>
                <w:highlight w:val="none"/>
              </w:rPr>
            </w:pPr>
            <w:r>
              <w:rPr>
                <w:rFonts w:hint="eastAsia" w:hAnsi="宋体"/>
                <w:color w:val="auto"/>
                <w:sz w:val="21"/>
                <w:szCs w:val="21"/>
                <w:highlight w:val="none"/>
              </w:rPr>
              <w:t>□组织，组织时间：</w:t>
            </w:r>
          </w:p>
          <w:p w14:paraId="3268591F">
            <w:pPr>
              <w:spacing w:line="420" w:lineRule="exact"/>
              <w:rPr>
                <w:rFonts w:hint="eastAsia" w:hAnsi="宋体"/>
                <w:color w:val="auto"/>
                <w:sz w:val="21"/>
                <w:szCs w:val="21"/>
                <w:highlight w:val="none"/>
              </w:rPr>
            </w:pPr>
            <w:r>
              <w:rPr>
                <w:rFonts w:hint="eastAsia" w:hAnsi="宋体"/>
                <w:color w:val="auto"/>
                <w:sz w:val="21"/>
                <w:szCs w:val="21"/>
                <w:highlight w:val="none"/>
              </w:rPr>
              <w:t>地点：</w:t>
            </w:r>
          </w:p>
        </w:tc>
      </w:tr>
      <w:tr w14:paraId="73DC8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102" w:type="dxa"/>
            <w:vAlign w:val="center"/>
          </w:tcPr>
          <w:p w14:paraId="1226D567">
            <w:pPr>
              <w:spacing w:line="420" w:lineRule="exact"/>
              <w:rPr>
                <w:rFonts w:hint="eastAsia" w:hAnsi="宋体"/>
                <w:color w:val="auto"/>
                <w:sz w:val="21"/>
                <w:szCs w:val="21"/>
                <w:highlight w:val="none"/>
              </w:rPr>
            </w:pPr>
            <w:r>
              <w:rPr>
                <w:rFonts w:hint="eastAsia" w:hAnsi="宋体"/>
                <w:color w:val="auto"/>
                <w:sz w:val="21"/>
                <w:szCs w:val="21"/>
                <w:highlight w:val="none"/>
              </w:rPr>
              <w:t>4.2.2</w:t>
            </w:r>
          </w:p>
        </w:tc>
        <w:tc>
          <w:tcPr>
            <w:tcW w:w="1870" w:type="dxa"/>
            <w:vAlign w:val="center"/>
          </w:tcPr>
          <w:p w14:paraId="2D19A2DE">
            <w:pPr>
              <w:spacing w:line="420" w:lineRule="exact"/>
              <w:jc w:val="center"/>
              <w:rPr>
                <w:rFonts w:hint="eastAsia" w:hAnsi="宋体"/>
                <w:color w:val="auto"/>
                <w:sz w:val="21"/>
                <w:szCs w:val="21"/>
                <w:highlight w:val="none"/>
              </w:rPr>
            </w:pPr>
            <w:r>
              <w:rPr>
                <w:rFonts w:hint="eastAsia" w:hAnsi="宋体"/>
                <w:color w:val="auto"/>
                <w:sz w:val="21"/>
                <w:szCs w:val="21"/>
                <w:highlight w:val="none"/>
              </w:rPr>
              <w:t>递交投标文件截止时间和方式</w:t>
            </w:r>
          </w:p>
        </w:tc>
        <w:tc>
          <w:tcPr>
            <w:tcW w:w="7049" w:type="dxa"/>
          </w:tcPr>
          <w:p w14:paraId="3A48C196">
            <w:pPr>
              <w:spacing w:line="420" w:lineRule="exact"/>
              <w:rPr>
                <w:rFonts w:hint="eastAsia" w:hAnsi="宋体"/>
                <w:bCs/>
                <w:color w:val="auto"/>
                <w:sz w:val="21"/>
                <w:szCs w:val="21"/>
                <w:highlight w:val="none"/>
              </w:rPr>
            </w:pPr>
            <w:r>
              <w:rPr>
                <w:rFonts w:hint="eastAsia" w:hAnsi="宋体"/>
                <w:bCs/>
                <w:color w:val="auto"/>
                <w:sz w:val="21"/>
                <w:szCs w:val="21"/>
                <w:highlight w:val="none"/>
              </w:rPr>
              <w:t>递交投标文件的截止时间：</w:t>
            </w:r>
            <w:r>
              <w:rPr>
                <w:rFonts w:hint="eastAsia" w:hAnsi="宋体"/>
                <w:bCs/>
                <w:color w:val="auto"/>
                <w:sz w:val="21"/>
                <w:szCs w:val="21"/>
                <w:highlight w:val="none"/>
                <w:lang w:eastAsia="zh-CN"/>
              </w:rPr>
              <w:t>2025年04月15日09时00分</w:t>
            </w:r>
            <w:r>
              <w:rPr>
                <w:rFonts w:hint="eastAsia" w:hAnsi="宋体"/>
                <w:bCs/>
                <w:color w:val="auto"/>
                <w:sz w:val="21"/>
                <w:szCs w:val="21"/>
                <w:highlight w:val="none"/>
              </w:rPr>
              <w:t>（北京时间）；</w:t>
            </w:r>
          </w:p>
          <w:p w14:paraId="1A308333">
            <w:pPr>
              <w:spacing w:line="420" w:lineRule="exact"/>
              <w:rPr>
                <w:rFonts w:hint="eastAsia" w:hAnsi="宋体"/>
                <w:b/>
                <w:color w:val="auto"/>
                <w:sz w:val="21"/>
                <w:szCs w:val="21"/>
                <w:highlight w:val="none"/>
              </w:rPr>
            </w:pPr>
            <w:r>
              <w:rPr>
                <w:rFonts w:hint="eastAsia" w:hAnsi="宋体"/>
                <w:bCs/>
                <w:color w:val="auto"/>
                <w:sz w:val="21"/>
                <w:szCs w:val="21"/>
                <w:highlight w:val="none"/>
              </w:rPr>
              <w:t>递交投标文件方式：投标人须在投标文件提交截止时间以前将电子投标文件上传至政府采购云平台（www.zcygov.cn）。逾期未上传电子投标文件或在规定时间内未能进行投标文件解密的，其投标文件将视为不合格并拒绝。</w:t>
            </w:r>
          </w:p>
        </w:tc>
      </w:tr>
      <w:tr w14:paraId="25387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02" w:type="dxa"/>
            <w:vAlign w:val="center"/>
          </w:tcPr>
          <w:p w14:paraId="50C8BEE5">
            <w:pPr>
              <w:spacing w:line="420" w:lineRule="exact"/>
              <w:rPr>
                <w:rFonts w:hint="eastAsia" w:hAnsi="宋体"/>
                <w:color w:val="auto"/>
                <w:sz w:val="21"/>
                <w:szCs w:val="21"/>
                <w:highlight w:val="none"/>
              </w:rPr>
            </w:pPr>
            <w:r>
              <w:rPr>
                <w:rFonts w:hint="eastAsia" w:hAnsi="宋体"/>
                <w:color w:val="auto"/>
                <w:sz w:val="21"/>
                <w:szCs w:val="21"/>
                <w:highlight w:val="none"/>
              </w:rPr>
              <w:t>5.1</w:t>
            </w:r>
          </w:p>
        </w:tc>
        <w:tc>
          <w:tcPr>
            <w:tcW w:w="1870" w:type="dxa"/>
            <w:vAlign w:val="center"/>
          </w:tcPr>
          <w:p w14:paraId="2B67CA31">
            <w:pPr>
              <w:spacing w:line="420" w:lineRule="exact"/>
              <w:jc w:val="center"/>
              <w:rPr>
                <w:rFonts w:hint="eastAsia" w:hAnsi="宋体"/>
                <w:color w:val="auto"/>
                <w:sz w:val="21"/>
                <w:szCs w:val="21"/>
                <w:highlight w:val="none"/>
              </w:rPr>
            </w:pPr>
            <w:r>
              <w:rPr>
                <w:rFonts w:hint="eastAsia" w:hAnsi="宋体"/>
                <w:color w:val="auto"/>
                <w:sz w:val="21"/>
                <w:szCs w:val="21"/>
                <w:highlight w:val="none"/>
              </w:rPr>
              <w:t>开标时间和地点</w:t>
            </w:r>
          </w:p>
        </w:tc>
        <w:tc>
          <w:tcPr>
            <w:tcW w:w="7049" w:type="dxa"/>
            <w:vAlign w:val="center"/>
          </w:tcPr>
          <w:p w14:paraId="310F48FA">
            <w:pPr>
              <w:spacing w:line="420" w:lineRule="exact"/>
              <w:rPr>
                <w:rFonts w:hint="eastAsia" w:hAnsi="宋体" w:cs="宋体"/>
                <w:color w:val="auto"/>
                <w:sz w:val="21"/>
                <w:szCs w:val="21"/>
                <w:highlight w:val="none"/>
              </w:rPr>
            </w:pPr>
            <w:r>
              <w:rPr>
                <w:rFonts w:hint="eastAsia" w:hAnsi="宋体" w:cs="宋体"/>
                <w:color w:val="auto"/>
                <w:sz w:val="21"/>
                <w:szCs w:val="21"/>
                <w:highlight w:val="none"/>
              </w:rPr>
              <w:t>开标时间：同投标截止时间</w:t>
            </w:r>
          </w:p>
          <w:p w14:paraId="1334B83D">
            <w:pPr>
              <w:spacing w:line="420" w:lineRule="exact"/>
              <w:rPr>
                <w:rFonts w:hint="eastAsia" w:hAnsi="宋体" w:cs="宋体"/>
                <w:color w:val="auto"/>
                <w:sz w:val="21"/>
                <w:szCs w:val="21"/>
                <w:highlight w:val="none"/>
              </w:rPr>
            </w:pPr>
            <w:r>
              <w:rPr>
                <w:rFonts w:hint="eastAsia" w:hAnsi="宋体" w:cs="宋体"/>
                <w:color w:val="auto"/>
                <w:sz w:val="21"/>
                <w:szCs w:val="21"/>
                <w:highlight w:val="none"/>
              </w:rPr>
              <w:t>开标地点：</w:t>
            </w:r>
            <w:r>
              <w:rPr>
                <w:rFonts w:hint="eastAsia" w:cs="宋体" w:asciiTheme="minorEastAsia" w:hAnsiTheme="minorEastAsia" w:eastAsiaTheme="minorEastAsia"/>
                <w:color w:val="auto"/>
                <w:sz w:val="21"/>
                <w:szCs w:val="21"/>
                <w:highlight w:val="none"/>
                <w:lang w:eastAsia="zh-CN"/>
              </w:rPr>
              <w:t>保山市天瑞建设工程招标咨询有限公司一楼会议室（保山市隆阳区象山路5号），投标人无需到达开标现场，请各投标人登录政采云投标客户端参与采购活动并递交投标文件</w:t>
            </w:r>
            <w:r>
              <w:rPr>
                <w:rFonts w:hint="eastAsia" w:cs="宋体" w:asciiTheme="minorEastAsia" w:hAnsiTheme="minorEastAsia" w:eastAsiaTheme="minorEastAsia"/>
                <w:color w:val="auto"/>
                <w:sz w:val="21"/>
                <w:szCs w:val="21"/>
                <w:highlight w:val="none"/>
              </w:rPr>
              <w:t>。</w:t>
            </w:r>
          </w:p>
        </w:tc>
      </w:tr>
      <w:tr w14:paraId="241B8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jc w:val="center"/>
        </w:trPr>
        <w:tc>
          <w:tcPr>
            <w:tcW w:w="1102" w:type="dxa"/>
            <w:vAlign w:val="center"/>
          </w:tcPr>
          <w:p w14:paraId="0A4A7EBD">
            <w:pPr>
              <w:spacing w:line="420" w:lineRule="exact"/>
              <w:rPr>
                <w:rFonts w:hint="eastAsia" w:hAnsi="宋体"/>
                <w:color w:val="auto"/>
                <w:sz w:val="21"/>
                <w:szCs w:val="21"/>
                <w:highlight w:val="none"/>
              </w:rPr>
            </w:pPr>
            <w:r>
              <w:rPr>
                <w:rFonts w:hint="eastAsia" w:hAnsi="宋体"/>
                <w:color w:val="auto"/>
                <w:sz w:val="21"/>
                <w:szCs w:val="21"/>
                <w:highlight w:val="none"/>
              </w:rPr>
              <w:t>6.1.1</w:t>
            </w:r>
          </w:p>
        </w:tc>
        <w:tc>
          <w:tcPr>
            <w:tcW w:w="1870" w:type="dxa"/>
            <w:vAlign w:val="center"/>
          </w:tcPr>
          <w:p w14:paraId="52EF7B01">
            <w:pPr>
              <w:spacing w:line="420" w:lineRule="exact"/>
              <w:rPr>
                <w:rFonts w:hint="eastAsia" w:hAnsi="宋体" w:cs="宋体"/>
                <w:color w:val="auto"/>
                <w:spacing w:val="9"/>
                <w:sz w:val="21"/>
                <w:szCs w:val="21"/>
                <w:highlight w:val="none"/>
              </w:rPr>
            </w:pPr>
            <w:r>
              <w:rPr>
                <w:rFonts w:hint="eastAsia" w:hAnsi="宋体" w:cs="宋体"/>
                <w:color w:val="auto"/>
                <w:spacing w:val="9"/>
                <w:sz w:val="21"/>
                <w:szCs w:val="21"/>
                <w:highlight w:val="none"/>
              </w:rPr>
              <w:t>评标委员会的组成</w:t>
            </w:r>
          </w:p>
        </w:tc>
        <w:tc>
          <w:tcPr>
            <w:tcW w:w="7049" w:type="dxa"/>
          </w:tcPr>
          <w:p w14:paraId="5E0D09DA">
            <w:pPr>
              <w:spacing w:line="420" w:lineRule="exact"/>
              <w:rPr>
                <w:rFonts w:hint="eastAsia" w:hAnsi="宋体" w:cs="宋体"/>
                <w:color w:val="auto"/>
                <w:sz w:val="21"/>
                <w:szCs w:val="21"/>
                <w:highlight w:val="none"/>
              </w:rPr>
            </w:pPr>
            <w:r>
              <w:rPr>
                <w:rFonts w:hint="eastAsia" w:hAnsi="宋体" w:cs="宋体"/>
                <w:color w:val="auto"/>
                <w:sz w:val="21"/>
                <w:szCs w:val="21"/>
                <w:highlight w:val="none"/>
              </w:rPr>
              <w:t>由采购人按国家相关法律法规组建评标委员会，评标委员会由5人及以上单数组成。</w:t>
            </w:r>
          </w:p>
        </w:tc>
      </w:tr>
      <w:tr w14:paraId="7E3D0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102" w:type="dxa"/>
            <w:vAlign w:val="center"/>
          </w:tcPr>
          <w:p w14:paraId="4AB73181">
            <w:pPr>
              <w:spacing w:line="420" w:lineRule="exact"/>
              <w:rPr>
                <w:rFonts w:hint="eastAsia" w:hAnsi="宋体" w:cs="宋体"/>
                <w:color w:val="auto"/>
                <w:sz w:val="21"/>
                <w:szCs w:val="21"/>
                <w:highlight w:val="none"/>
              </w:rPr>
            </w:pPr>
            <w:r>
              <w:rPr>
                <w:rFonts w:hint="eastAsia" w:hAnsi="宋体" w:cs="宋体"/>
                <w:color w:val="auto"/>
                <w:sz w:val="21"/>
                <w:szCs w:val="21"/>
                <w:highlight w:val="none"/>
              </w:rPr>
              <w:t>6.2.1</w:t>
            </w:r>
          </w:p>
        </w:tc>
        <w:tc>
          <w:tcPr>
            <w:tcW w:w="1870" w:type="dxa"/>
            <w:vAlign w:val="center"/>
          </w:tcPr>
          <w:p w14:paraId="705B3BAB">
            <w:pPr>
              <w:spacing w:line="420" w:lineRule="exact"/>
              <w:jc w:val="center"/>
              <w:rPr>
                <w:rFonts w:hint="eastAsia" w:hAnsi="宋体" w:cs="宋体"/>
                <w:color w:val="auto"/>
                <w:sz w:val="21"/>
                <w:szCs w:val="21"/>
                <w:highlight w:val="none"/>
              </w:rPr>
            </w:pPr>
            <w:r>
              <w:rPr>
                <w:rFonts w:hint="eastAsia" w:hAnsi="宋体" w:cs="宋体"/>
                <w:color w:val="auto"/>
                <w:sz w:val="21"/>
                <w:szCs w:val="21"/>
                <w:highlight w:val="none"/>
              </w:rPr>
              <w:t>评标办法</w:t>
            </w:r>
          </w:p>
        </w:tc>
        <w:tc>
          <w:tcPr>
            <w:tcW w:w="7049" w:type="dxa"/>
            <w:vAlign w:val="center"/>
          </w:tcPr>
          <w:p w14:paraId="5F766096">
            <w:pPr>
              <w:spacing w:line="420" w:lineRule="exact"/>
              <w:rPr>
                <w:rFonts w:hint="eastAsia" w:hAnsi="宋体" w:cs="宋体"/>
                <w:color w:val="auto"/>
                <w:sz w:val="21"/>
                <w:szCs w:val="21"/>
                <w:highlight w:val="none"/>
              </w:rPr>
            </w:pPr>
            <w:r>
              <w:rPr>
                <w:rFonts w:hint="eastAsia" w:hAnsi="宋体" w:cs="宋体"/>
                <w:color w:val="auto"/>
                <w:sz w:val="21"/>
                <w:szCs w:val="21"/>
                <w:highlight w:val="none"/>
              </w:rPr>
              <w:t>综合评分法</w:t>
            </w:r>
          </w:p>
        </w:tc>
      </w:tr>
      <w:tr w14:paraId="2B441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102" w:type="dxa"/>
            <w:vMerge w:val="restart"/>
            <w:vAlign w:val="center"/>
          </w:tcPr>
          <w:p w14:paraId="334D1A9D">
            <w:pPr>
              <w:spacing w:line="420" w:lineRule="exact"/>
              <w:rPr>
                <w:rFonts w:hint="eastAsia" w:hAnsi="宋体"/>
                <w:color w:val="auto"/>
                <w:sz w:val="21"/>
                <w:szCs w:val="21"/>
                <w:highlight w:val="none"/>
              </w:rPr>
            </w:pPr>
            <w:r>
              <w:rPr>
                <w:rFonts w:hint="eastAsia" w:hAnsi="宋体"/>
                <w:color w:val="auto"/>
                <w:sz w:val="21"/>
                <w:szCs w:val="21"/>
                <w:highlight w:val="none"/>
              </w:rPr>
              <w:t>9</w:t>
            </w:r>
          </w:p>
        </w:tc>
        <w:tc>
          <w:tcPr>
            <w:tcW w:w="1870" w:type="dxa"/>
            <w:vAlign w:val="center"/>
          </w:tcPr>
          <w:p w14:paraId="78079621">
            <w:pPr>
              <w:spacing w:line="420" w:lineRule="exact"/>
              <w:jc w:val="center"/>
              <w:rPr>
                <w:rFonts w:hint="eastAsia" w:hAnsi="宋体"/>
                <w:color w:val="auto"/>
                <w:sz w:val="21"/>
                <w:szCs w:val="21"/>
                <w:highlight w:val="none"/>
              </w:rPr>
            </w:pPr>
            <w:r>
              <w:rPr>
                <w:rFonts w:hint="eastAsia" w:hAnsi="宋体"/>
                <w:color w:val="auto"/>
                <w:sz w:val="21"/>
                <w:szCs w:val="21"/>
                <w:highlight w:val="none"/>
              </w:rPr>
              <w:t>需要补充的其他内容</w:t>
            </w:r>
          </w:p>
        </w:tc>
        <w:tc>
          <w:tcPr>
            <w:tcW w:w="7049" w:type="dxa"/>
            <w:vAlign w:val="center"/>
          </w:tcPr>
          <w:p w14:paraId="1020C6F6">
            <w:pPr>
              <w:widowControl/>
              <w:spacing w:line="420" w:lineRule="exact"/>
              <w:jc w:val="left"/>
              <w:rPr>
                <w:rFonts w:hint="eastAsia" w:hAnsi="宋体" w:cs="宋体"/>
                <w:color w:val="auto"/>
                <w:sz w:val="21"/>
                <w:szCs w:val="21"/>
                <w:highlight w:val="none"/>
              </w:rPr>
            </w:pPr>
            <w:r>
              <w:rPr>
                <w:rFonts w:hAnsi="宋体" w:cs="宋体"/>
                <w:color w:val="auto"/>
                <w:sz w:val="21"/>
                <w:szCs w:val="21"/>
                <w:highlight w:val="none"/>
              </w:rPr>
              <w:t>在合同谈判过程中，</w:t>
            </w:r>
            <w:r>
              <w:rPr>
                <w:rFonts w:hint="eastAsia" w:hAnsi="宋体" w:cs="宋体"/>
                <w:color w:val="auto"/>
                <w:sz w:val="21"/>
                <w:szCs w:val="21"/>
                <w:highlight w:val="none"/>
              </w:rPr>
              <w:t>采购人</w:t>
            </w:r>
            <w:r>
              <w:rPr>
                <w:rFonts w:hAnsi="宋体" w:cs="宋体"/>
                <w:color w:val="auto"/>
                <w:sz w:val="21"/>
                <w:szCs w:val="21"/>
                <w:highlight w:val="none"/>
              </w:rPr>
              <w:t>有对第一中标候选人的投标文件中不合理的条款要求其修改权力，第一中标候选人拒不修改的，</w:t>
            </w:r>
            <w:r>
              <w:rPr>
                <w:rFonts w:hint="eastAsia" w:hAnsi="宋体" w:cs="宋体"/>
                <w:color w:val="auto"/>
                <w:sz w:val="21"/>
                <w:szCs w:val="21"/>
                <w:highlight w:val="none"/>
              </w:rPr>
              <w:t>采购人</w:t>
            </w:r>
            <w:r>
              <w:rPr>
                <w:rFonts w:hAnsi="宋体" w:cs="宋体"/>
                <w:color w:val="auto"/>
                <w:sz w:val="21"/>
                <w:szCs w:val="21"/>
                <w:highlight w:val="none"/>
              </w:rPr>
              <w:t>有权取消其中标资格</w:t>
            </w:r>
            <w:r>
              <w:rPr>
                <w:rFonts w:hint="eastAsia" w:hAnsi="宋体" w:cs="宋体"/>
                <w:color w:val="auto"/>
                <w:sz w:val="21"/>
                <w:szCs w:val="21"/>
                <w:highlight w:val="none"/>
              </w:rPr>
              <w:t>。</w:t>
            </w:r>
          </w:p>
        </w:tc>
      </w:tr>
      <w:tr w14:paraId="48EF60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8" w:hRule="atLeast"/>
          <w:jc w:val="center"/>
        </w:trPr>
        <w:tc>
          <w:tcPr>
            <w:tcW w:w="1102" w:type="dxa"/>
            <w:vMerge w:val="continue"/>
            <w:vAlign w:val="center"/>
          </w:tcPr>
          <w:p w14:paraId="01391C26">
            <w:pPr>
              <w:spacing w:line="420" w:lineRule="exact"/>
              <w:rPr>
                <w:rFonts w:hint="eastAsia" w:hAnsi="宋体"/>
                <w:color w:val="auto"/>
                <w:sz w:val="21"/>
                <w:szCs w:val="21"/>
                <w:highlight w:val="none"/>
              </w:rPr>
            </w:pPr>
          </w:p>
        </w:tc>
        <w:tc>
          <w:tcPr>
            <w:tcW w:w="1870" w:type="dxa"/>
            <w:vAlign w:val="center"/>
          </w:tcPr>
          <w:p w14:paraId="40F80830">
            <w:pPr>
              <w:spacing w:line="420" w:lineRule="exact"/>
              <w:jc w:val="center"/>
              <w:rPr>
                <w:rFonts w:hint="eastAsia" w:hAnsi="宋体"/>
                <w:color w:val="auto"/>
                <w:sz w:val="21"/>
                <w:szCs w:val="21"/>
                <w:highlight w:val="none"/>
              </w:rPr>
            </w:pPr>
            <w:r>
              <w:rPr>
                <w:rFonts w:hint="eastAsia" w:hAnsi="宋体"/>
                <w:color w:val="auto"/>
                <w:sz w:val="21"/>
                <w:szCs w:val="21"/>
                <w:highlight w:val="none"/>
              </w:rPr>
              <w:t>商务条款说明</w:t>
            </w:r>
          </w:p>
        </w:tc>
        <w:tc>
          <w:tcPr>
            <w:tcW w:w="7049" w:type="dxa"/>
            <w:vAlign w:val="center"/>
          </w:tcPr>
          <w:p w14:paraId="596851BD">
            <w:pPr>
              <w:widowControl/>
              <w:spacing w:line="420" w:lineRule="exact"/>
              <w:jc w:val="left"/>
              <w:rPr>
                <w:rFonts w:hint="eastAsia" w:hAnsi="宋体" w:cs="宋体"/>
                <w:color w:val="auto"/>
                <w:sz w:val="21"/>
                <w:szCs w:val="21"/>
                <w:highlight w:val="none"/>
              </w:rPr>
            </w:pPr>
            <w:r>
              <w:rPr>
                <w:rFonts w:hint="eastAsia" w:hAnsi="宋体" w:cs="宋体"/>
                <w:color w:val="auto"/>
                <w:sz w:val="21"/>
                <w:szCs w:val="21"/>
                <w:highlight w:val="none"/>
              </w:rPr>
              <w:t>关于商务条款的要求：商务条款包含</w:t>
            </w:r>
            <w:r>
              <w:rPr>
                <w:rFonts w:hint="eastAsia" w:hAnsi="宋体" w:cs="宋体"/>
                <w:color w:val="auto"/>
                <w:sz w:val="21"/>
                <w:szCs w:val="21"/>
                <w:highlight w:val="none"/>
                <w:lang w:val="en-US" w:eastAsia="zh-CN"/>
              </w:rPr>
              <w:t>投标报价、</w:t>
            </w:r>
            <w:r>
              <w:rPr>
                <w:rFonts w:hint="eastAsia" w:hAnsi="宋体" w:cs="宋体"/>
                <w:color w:val="auto"/>
                <w:sz w:val="21"/>
                <w:szCs w:val="21"/>
                <w:highlight w:val="none"/>
              </w:rPr>
              <w:t>合同履行期限、项目服务地点、售后运维服务期限等非技术要求的指标。</w:t>
            </w:r>
          </w:p>
        </w:tc>
      </w:tr>
      <w:tr w14:paraId="3BA56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02" w:type="dxa"/>
            <w:vMerge w:val="continue"/>
            <w:vAlign w:val="center"/>
          </w:tcPr>
          <w:p w14:paraId="1B461B41">
            <w:pPr>
              <w:spacing w:line="420" w:lineRule="exact"/>
              <w:rPr>
                <w:rFonts w:hint="eastAsia" w:hAnsi="宋体"/>
                <w:color w:val="auto"/>
                <w:sz w:val="21"/>
                <w:szCs w:val="21"/>
                <w:highlight w:val="none"/>
              </w:rPr>
            </w:pPr>
          </w:p>
        </w:tc>
        <w:tc>
          <w:tcPr>
            <w:tcW w:w="1870" w:type="dxa"/>
            <w:vAlign w:val="center"/>
          </w:tcPr>
          <w:p w14:paraId="290D68E6">
            <w:pPr>
              <w:spacing w:line="420" w:lineRule="exact"/>
              <w:jc w:val="center"/>
              <w:rPr>
                <w:rFonts w:hint="eastAsia" w:hAnsi="宋体"/>
                <w:color w:val="auto"/>
                <w:sz w:val="21"/>
                <w:szCs w:val="21"/>
                <w:highlight w:val="none"/>
              </w:rPr>
            </w:pPr>
            <w:r>
              <w:rPr>
                <w:rFonts w:hint="eastAsia" w:hAnsi="宋体"/>
                <w:b/>
                <w:bCs/>
                <w:color w:val="auto"/>
                <w:sz w:val="21"/>
                <w:szCs w:val="21"/>
                <w:highlight w:val="none"/>
                <w:lang w:val="en-US" w:eastAsia="zh-CN"/>
              </w:rPr>
              <w:t>★</w:t>
            </w:r>
            <w:r>
              <w:rPr>
                <w:rFonts w:hint="eastAsia" w:hAnsi="宋体"/>
                <w:color w:val="auto"/>
                <w:sz w:val="21"/>
                <w:szCs w:val="21"/>
                <w:highlight w:val="none"/>
              </w:rPr>
              <w:t>本次采购的实质性要求</w:t>
            </w:r>
          </w:p>
        </w:tc>
        <w:tc>
          <w:tcPr>
            <w:tcW w:w="7049" w:type="dxa"/>
            <w:vAlign w:val="center"/>
          </w:tcPr>
          <w:p w14:paraId="22365448">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rPr>
              <w:t>本项目规定的实质性要求：</w:t>
            </w:r>
          </w:p>
          <w:p w14:paraId="17243792">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rPr>
              <w:t>1.投标人响应的“商务条款”不符合项目需求的，则视为实质性不响应。</w:t>
            </w:r>
          </w:p>
          <w:p w14:paraId="2F895599">
            <w:pPr>
              <w:widowControl/>
              <w:spacing w:line="420" w:lineRule="exact"/>
              <w:jc w:val="left"/>
              <w:rPr>
                <w:rFonts w:hint="default" w:hAnsi="宋体"/>
                <w:color w:val="auto"/>
                <w:sz w:val="21"/>
                <w:szCs w:val="21"/>
                <w:highlight w:val="none"/>
                <w:lang w:val="en-US" w:eastAsia="zh-CN"/>
              </w:rPr>
            </w:pPr>
            <w:r>
              <w:rPr>
                <w:rFonts w:hint="eastAsia" w:hAnsi="宋体"/>
                <w:color w:val="auto"/>
                <w:sz w:val="21"/>
                <w:szCs w:val="21"/>
                <w:highlight w:val="none"/>
                <w:lang w:val="en-US" w:eastAsia="zh-CN"/>
              </w:rPr>
              <w:t>2.本次开发</w:t>
            </w:r>
            <w:r>
              <w:rPr>
                <w:rFonts w:hint="eastAsia" w:hAnsi="宋体" w:cs="宋体"/>
                <w:color w:val="auto"/>
                <w:sz w:val="21"/>
                <w:szCs w:val="21"/>
                <w:highlight w:val="none"/>
                <w:lang w:eastAsia="zh-CN"/>
              </w:rPr>
              <w:t>“保山市加油站流量数据采集系统”</w:t>
            </w:r>
            <w:r>
              <w:rPr>
                <w:rFonts w:hint="eastAsia" w:hAnsi="宋体" w:cs="宋体"/>
                <w:color w:val="auto"/>
                <w:sz w:val="21"/>
                <w:szCs w:val="21"/>
                <w:highlight w:val="none"/>
                <w:lang w:val="en-US" w:eastAsia="zh-CN"/>
              </w:rPr>
              <w:t>功能模块不得出现任何缺失，否则视为</w:t>
            </w:r>
            <w:r>
              <w:rPr>
                <w:rFonts w:hint="eastAsia" w:hAnsi="宋体"/>
                <w:color w:val="auto"/>
                <w:sz w:val="21"/>
                <w:szCs w:val="21"/>
                <w:highlight w:val="none"/>
              </w:rPr>
              <w:t>实质性不响应。</w:t>
            </w:r>
          </w:p>
          <w:p w14:paraId="52303480">
            <w:pPr>
              <w:widowControl/>
              <w:spacing w:line="420" w:lineRule="exact"/>
              <w:jc w:val="left"/>
              <w:rPr>
                <w:rFonts w:hint="default" w:hAnsi="宋体"/>
                <w:color w:val="auto"/>
                <w:sz w:val="21"/>
                <w:szCs w:val="21"/>
                <w:highlight w:val="none"/>
                <w:lang w:val="en-US" w:eastAsia="zh-CN"/>
              </w:rPr>
            </w:pPr>
            <w:r>
              <w:rPr>
                <w:rFonts w:hint="eastAsia" w:hAnsi="宋体"/>
                <w:color w:val="auto"/>
                <w:sz w:val="21"/>
                <w:szCs w:val="21"/>
                <w:highlight w:val="none"/>
                <w:lang w:val="en-US" w:eastAsia="zh-CN"/>
              </w:rPr>
              <w:t>3.</w:t>
            </w:r>
            <w:r>
              <w:rPr>
                <w:rFonts w:hint="eastAsia"/>
                <w:color w:val="auto"/>
                <w:sz w:val="21"/>
                <w:szCs w:val="21"/>
                <w:highlight w:val="none"/>
              </w:rPr>
              <w:t>投标人</w:t>
            </w:r>
            <w:r>
              <w:rPr>
                <w:rFonts w:hint="eastAsia"/>
                <w:color w:val="auto"/>
                <w:sz w:val="21"/>
                <w:szCs w:val="21"/>
                <w:highlight w:val="none"/>
                <w:lang w:val="en-US" w:eastAsia="zh-CN"/>
              </w:rPr>
              <w:t>未提供“拟开发设计的软件产品不受第三方侵权的书面承诺”的</w:t>
            </w:r>
            <w:r>
              <w:rPr>
                <w:rFonts w:hint="eastAsia" w:hAnsi="宋体"/>
                <w:color w:val="auto"/>
                <w:sz w:val="21"/>
                <w:szCs w:val="21"/>
                <w:highlight w:val="none"/>
              </w:rPr>
              <w:t>，则视为实质性不响应。</w:t>
            </w:r>
          </w:p>
          <w:p w14:paraId="258C5446">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lang w:val="en-US" w:eastAsia="zh-CN"/>
              </w:rPr>
              <w:t>4</w:t>
            </w:r>
            <w:r>
              <w:rPr>
                <w:rFonts w:hint="eastAsia" w:hAnsi="宋体"/>
                <w:color w:val="auto"/>
                <w:sz w:val="21"/>
                <w:szCs w:val="21"/>
                <w:highlight w:val="none"/>
              </w:rPr>
              <w:t>.投标人针对本项目提供的</w:t>
            </w:r>
            <w:r>
              <w:rPr>
                <w:rFonts w:hint="eastAsia" w:hAnsi="宋体"/>
                <w:color w:val="auto"/>
                <w:sz w:val="21"/>
                <w:szCs w:val="21"/>
                <w:highlight w:val="none"/>
                <w:lang w:eastAsia="zh-CN"/>
              </w:rPr>
              <w:t>现场运维人员</w:t>
            </w:r>
            <w:r>
              <w:rPr>
                <w:rFonts w:hint="eastAsia" w:hAnsi="宋体"/>
                <w:color w:val="auto"/>
                <w:sz w:val="21"/>
                <w:szCs w:val="21"/>
                <w:highlight w:val="none"/>
              </w:rPr>
              <w:t>人数低于采购需求的，则视为实质性不响应。</w:t>
            </w:r>
          </w:p>
          <w:p w14:paraId="37F3A423">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lang w:val="en-US" w:eastAsia="zh-CN"/>
              </w:rPr>
              <w:t>5</w:t>
            </w:r>
            <w:r>
              <w:rPr>
                <w:rFonts w:hint="eastAsia" w:hAnsi="宋体"/>
                <w:color w:val="auto"/>
                <w:sz w:val="21"/>
                <w:szCs w:val="21"/>
                <w:highlight w:val="none"/>
              </w:rPr>
              <w:t>.投标文件中如有瞒报或虚报或提供虚假材料的，则视为实质性不响应。</w:t>
            </w:r>
          </w:p>
          <w:p w14:paraId="6D5FE021">
            <w:pPr>
              <w:widowControl/>
              <w:spacing w:line="420" w:lineRule="exact"/>
              <w:jc w:val="left"/>
              <w:rPr>
                <w:rFonts w:hint="eastAsia" w:hAnsi="宋体"/>
                <w:color w:val="auto"/>
                <w:sz w:val="21"/>
                <w:szCs w:val="21"/>
                <w:highlight w:val="none"/>
              </w:rPr>
            </w:pPr>
            <w:r>
              <w:rPr>
                <w:rFonts w:hint="eastAsia" w:hAnsi="宋体"/>
                <w:color w:val="auto"/>
                <w:sz w:val="21"/>
                <w:szCs w:val="21"/>
                <w:highlight w:val="none"/>
                <w:lang w:val="en-US" w:eastAsia="zh-CN"/>
              </w:rPr>
              <w:t>6</w:t>
            </w:r>
            <w:r>
              <w:rPr>
                <w:rFonts w:hint="eastAsia" w:hAnsi="宋体"/>
                <w:color w:val="auto"/>
                <w:sz w:val="21"/>
                <w:szCs w:val="21"/>
                <w:highlight w:val="none"/>
              </w:rPr>
              <w:t>.投标文件中有采购人不能接受的条款，则视为实质性不响应。</w:t>
            </w:r>
          </w:p>
        </w:tc>
      </w:tr>
      <w:tr w14:paraId="2D983D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02" w:type="dxa"/>
            <w:vMerge w:val="continue"/>
            <w:vAlign w:val="center"/>
          </w:tcPr>
          <w:p w14:paraId="5750E9A6">
            <w:pPr>
              <w:spacing w:line="420" w:lineRule="exact"/>
              <w:rPr>
                <w:rFonts w:hint="eastAsia" w:hAnsi="宋体"/>
                <w:color w:val="auto"/>
                <w:sz w:val="21"/>
                <w:szCs w:val="21"/>
                <w:highlight w:val="none"/>
              </w:rPr>
            </w:pPr>
          </w:p>
        </w:tc>
        <w:tc>
          <w:tcPr>
            <w:tcW w:w="1870" w:type="dxa"/>
            <w:vAlign w:val="center"/>
          </w:tcPr>
          <w:p w14:paraId="0425AD04">
            <w:pPr>
              <w:widowControl/>
              <w:spacing w:line="460" w:lineRule="exact"/>
              <w:jc w:val="left"/>
              <w:rPr>
                <w:rFonts w:hint="eastAsia" w:hAnsi="宋体"/>
                <w:color w:val="auto"/>
                <w:sz w:val="21"/>
                <w:szCs w:val="21"/>
                <w:highlight w:val="none"/>
              </w:rPr>
            </w:pPr>
            <w:r>
              <w:rPr>
                <w:rFonts w:hint="eastAsia" w:cs="宋体"/>
                <w:color w:val="auto"/>
                <w:sz w:val="21"/>
                <w:szCs w:val="21"/>
                <w:highlight w:val="none"/>
              </w:rPr>
              <w:t>中小微型企业有关政策</w:t>
            </w:r>
          </w:p>
        </w:tc>
        <w:tc>
          <w:tcPr>
            <w:tcW w:w="7049" w:type="dxa"/>
            <w:vAlign w:val="center"/>
          </w:tcPr>
          <w:p w14:paraId="7715DB80">
            <w:pPr>
              <w:widowControl/>
              <w:spacing w:line="460" w:lineRule="exact"/>
              <w:jc w:val="left"/>
              <w:rPr>
                <w:rFonts w:hint="eastAsia" w:hAnsi="宋体" w:cs="宋体"/>
                <w:color w:val="auto"/>
                <w:sz w:val="21"/>
                <w:szCs w:val="21"/>
                <w:highlight w:val="none"/>
              </w:rPr>
            </w:pPr>
            <w:r>
              <w:rPr>
                <w:rFonts w:hint="eastAsia" w:hAnsi="宋体" w:cs="宋体"/>
                <w:color w:val="auto"/>
                <w:sz w:val="21"/>
                <w:szCs w:val="21"/>
                <w:highlight w:val="none"/>
              </w:rPr>
              <w:t>中小微型企业有关政策</w:t>
            </w:r>
          </w:p>
          <w:p w14:paraId="2F1F3674">
            <w:pPr>
              <w:widowControl/>
              <w:spacing w:line="460" w:lineRule="exact"/>
              <w:jc w:val="left"/>
              <w:rPr>
                <w:rFonts w:hint="eastAsia" w:hAnsi="宋体" w:cs="宋体"/>
                <w:color w:val="auto"/>
                <w:sz w:val="21"/>
                <w:szCs w:val="21"/>
                <w:highlight w:val="none"/>
              </w:rPr>
            </w:pPr>
            <w:r>
              <w:rPr>
                <w:rFonts w:hint="eastAsia" w:hAnsi="宋体" w:cs="宋体"/>
                <w:color w:val="auto"/>
                <w:sz w:val="21"/>
                <w:szCs w:val="21"/>
                <w:highlight w:val="none"/>
              </w:rPr>
              <w:t>本项目不属于专门面向中小企业的政府采购项目，本项目对小微企业的评审：</w:t>
            </w:r>
            <w:r>
              <w:rPr>
                <w:rFonts w:hint="eastAsia" w:hAnsi="宋体" w:cs="宋体"/>
                <w:color w:val="auto"/>
                <w:sz w:val="21"/>
                <w:szCs w:val="21"/>
                <w:highlight w:val="none"/>
              </w:rPr>
              <w:fldChar w:fldCharType="begin"/>
            </w:r>
            <w:r>
              <w:rPr>
                <w:rFonts w:hint="eastAsia" w:hAnsi="宋体" w:cs="宋体"/>
                <w:color w:val="auto"/>
                <w:sz w:val="21"/>
                <w:szCs w:val="21"/>
                <w:highlight w:val="none"/>
              </w:rPr>
              <w:instrText xml:space="preserve"> eq \o\ac(</w:instrText>
            </w:r>
            <w:r>
              <w:rPr>
                <w:rFonts w:hint="eastAsia" w:hAnsi="宋体" w:cs="宋体"/>
                <w:color w:val="auto"/>
                <w:position w:val="-4"/>
                <w:sz w:val="31"/>
                <w:szCs w:val="21"/>
                <w:highlight w:val="none"/>
              </w:rPr>
              <w:instrText xml:space="preserve">□</w:instrText>
            </w:r>
            <w:r>
              <w:rPr>
                <w:rFonts w:hint="eastAsia" w:hAnsi="宋体" w:cs="宋体"/>
                <w:color w:val="auto"/>
                <w:sz w:val="21"/>
                <w:szCs w:val="21"/>
                <w:highlight w:val="none"/>
              </w:rPr>
              <w:instrText xml:space="preserve">,√)</w:instrText>
            </w:r>
            <w:r>
              <w:rPr>
                <w:rFonts w:hint="eastAsia" w:hAnsi="宋体" w:cs="宋体"/>
                <w:color w:val="auto"/>
                <w:sz w:val="21"/>
                <w:szCs w:val="21"/>
                <w:highlight w:val="none"/>
              </w:rPr>
              <w:fldChar w:fldCharType="end"/>
            </w:r>
            <w:r>
              <w:rPr>
                <w:rFonts w:hint="eastAsia" w:hAnsi="宋体" w:cs="宋体"/>
                <w:color w:val="auto"/>
                <w:sz w:val="21"/>
                <w:szCs w:val="21"/>
                <w:highlight w:val="none"/>
              </w:rPr>
              <w:t>适用  □不适用。</w:t>
            </w:r>
          </w:p>
          <w:p w14:paraId="66D20BB0">
            <w:pPr>
              <w:widowControl/>
              <w:spacing w:line="440" w:lineRule="exact"/>
              <w:jc w:val="left"/>
              <w:rPr>
                <w:rFonts w:hint="eastAsia" w:hAnsi="宋体" w:cs="宋体"/>
                <w:color w:val="auto"/>
                <w:sz w:val="21"/>
                <w:szCs w:val="21"/>
                <w:highlight w:val="none"/>
              </w:rPr>
            </w:pPr>
            <w:r>
              <w:rPr>
                <w:rFonts w:hint="eastAsia" w:hAnsi="宋体" w:cs="宋体"/>
                <w:color w:val="auto"/>
                <w:sz w:val="21"/>
                <w:szCs w:val="21"/>
                <w:highlight w:val="none"/>
              </w:rPr>
              <w:t>1.根据《中华人民共和国中小企业促进法》《政府采购促进中小企业发展管理办法》《关于进一步加大政府采购支持中小企业力度的通知》（财库〔2022〕19号）《云南省进一步帮扶中小微企业纾困发展工作方案》（云政办发〔2022〕42号） 规定执行；</w:t>
            </w:r>
          </w:p>
          <w:p w14:paraId="08E0083C">
            <w:pPr>
              <w:widowControl/>
              <w:spacing w:line="460" w:lineRule="exact"/>
              <w:jc w:val="left"/>
              <w:rPr>
                <w:rFonts w:hint="eastAsia" w:hAnsi="宋体" w:cs="宋体"/>
                <w:color w:val="auto"/>
                <w:sz w:val="21"/>
                <w:szCs w:val="21"/>
                <w:highlight w:val="none"/>
              </w:rPr>
            </w:pPr>
            <w:r>
              <w:rPr>
                <w:rFonts w:hint="eastAsia" w:hAnsi="宋体" w:cs="宋体"/>
                <w:color w:val="auto"/>
                <w:sz w:val="21"/>
                <w:szCs w:val="21"/>
                <w:highlight w:val="none"/>
              </w:rPr>
              <w:t>2.根据工信部等部委发布的《关于印发中小企业划型标准规定的通知》（工信部联企业〔2011〕300号）规定执行；</w:t>
            </w:r>
            <w:r>
              <w:rPr>
                <w:rFonts w:hint="eastAsia" w:hAnsi="宋体" w:cs="宋体"/>
                <w:b/>
                <w:bCs/>
                <w:color w:val="auto"/>
                <w:sz w:val="21"/>
                <w:szCs w:val="21"/>
                <w:highlight w:val="none"/>
              </w:rPr>
              <w:t>本项目属于服务类项目，行业为软件和信息技术服务业。</w:t>
            </w:r>
          </w:p>
          <w:p w14:paraId="599F668E">
            <w:pPr>
              <w:widowControl/>
              <w:spacing w:line="440" w:lineRule="exact"/>
              <w:jc w:val="left"/>
              <w:rPr>
                <w:rFonts w:hint="eastAsia" w:hAnsi="宋体" w:cs="宋体"/>
                <w:color w:val="auto"/>
                <w:sz w:val="21"/>
                <w:szCs w:val="21"/>
                <w:highlight w:val="none"/>
              </w:rPr>
            </w:pPr>
            <w:r>
              <w:rPr>
                <w:rFonts w:hint="eastAsia" w:hAnsi="宋体" w:cs="宋体"/>
                <w:color w:val="auto"/>
                <w:sz w:val="21"/>
                <w:szCs w:val="21"/>
                <w:highlight w:val="none"/>
              </w:rPr>
              <w:t>3.按照《财政部司法部关于政府采购支持监狱企业发展有关问题的通知》（财库〔2014〕68号）文件规定，在政府采购活动中，监狱企业视同小型、微型企业，享受评审中价格扣除的政府采购政策；</w:t>
            </w:r>
          </w:p>
          <w:p w14:paraId="6C856729">
            <w:pPr>
              <w:widowControl/>
              <w:spacing w:line="440" w:lineRule="exact"/>
              <w:jc w:val="left"/>
              <w:rPr>
                <w:rFonts w:hint="eastAsia" w:hAnsi="宋体" w:cs="宋体"/>
                <w:color w:val="auto"/>
                <w:sz w:val="21"/>
                <w:szCs w:val="21"/>
                <w:highlight w:val="none"/>
              </w:rPr>
            </w:pPr>
            <w:r>
              <w:rPr>
                <w:rFonts w:hint="eastAsia" w:hAnsi="宋体" w:cs="宋体"/>
                <w:color w:val="auto"/>
                <w:sz w:val="21"/>
                <w:szCs w:val="21"/>
                <w:highlight w:val="none"/>
              </w:rPr>
              <w:t>4.按照《财政部民政部中国残疾人联合会关于促进残疾人就业政府采购政策的通知》，残疾人福利性单位视同小型、微型企业，享受评审中价格扣除的政府采购政策，残疾人福利性单位属于小型、微型企业的，不重复享受政策；</w:t>
            </w:r>
          </w:p>
          <w:p w14:paraId="09769FF9">
            <w:pPr>
              <w:widowControl/>
              <w:spacing w:line="440" w:lineRule="exact"/>
              <w:jc w:val="left"/>
              <w:rPr>
                <w:rFonts w:hint="eastAsia" w:hAnsi="宋体" w:cs="宋体"/>
                <w:color w:val="auto"/>
                <w:sz w:val="21"/>
                <w:szCs w:val="21"/>
                <w:highlight w:val="none"/>
              </w:rPr>
            </w:pPr>
            <w:r>
              <w:rPr>
                <w:rFonts w:hint="eastAsia" w:hAnsi="宋体" w:cs="宋体"/>
                <w:color w:val="auto"/>
                <w:sz w:val="21"/>
                <w:szCs w:val="21"/>
                <w:highlight w:val="none"/>
              </w:rPr>
              <w:t>5.价格扣除幅度：小型、微型企业产品（提供本企业制造的货物、承担的工程或者服务，或者提供其他小型、微型企业制造的货物）价格给予10%（工程类的3%）的扣除。在货物采购项目中，供应商提供的货物既有中小企业制造货物，也有大型企业制造货物的，不享受本办法规定的中小企业扶持政策。</w:t>
            </w:r>
          </w:p>
          <w:p w14:paraId="663D1FA9">
            <w:pPr>
              <w:pStyle w:val="23"/>
              <w:spacing w:line="440" w:lineRule="exact"/>
              <w:rPr>
                <w:rFonts w:hint="eastAsia" w:hAnsi="宋体"/>
                <w:color w:val="auto"/>
                <w:highlight w:val="none"/>
              </w:rPr>
            </w:pPr>
            <w:r>
              <w:rPr>
                <w:rFonts w:hint="eastAsia" w:hAnsi="宋体" w:cs="宋体"/>
                <w:color w:val="auto"/>
                <w:highlight w:val="none"/>
              </w:rPr>
              <w:t>6.如果联合协议中约定，小型、微型企业和监狱企业的协议合同金额占到联合体协议合同总金额30%以上的，可给予联合体4 %（工程类的1%）的价格扣除。联合体各方均为小型、微型企业和监狱企业的，联合体视同为小型、微型企业和监狱企业。组成联合体或者接受分包的小微企业与联合体内其他企业、分包企业之间存在直接控股、管理关系的，不享受价格扣除优惠政策。</w:t>
            </w:r>
            <w:r>
              <w:rPr>
                <w:rFonts w:hint="eastAsia" w:hAnsi="宋体" w:cs="宋体"/>
                <w:b/>
                <w:bCs/>
                <w:color w:val="auto"/>
                <w:highlight w:val="none"/>
              </w:rPr>
              <w:t>本项目不接受分包，不接受联合体，此条不适用。</w:t>
            </w:r>
          </w:p>
        </w:tc>
      </w:tr>
      <w:tr w14:paraId="1F874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02" w:type="dxa"/>
            <w:vMerge w:val="continue"/>
            <w:vAlign w:val="center"/>
          </w:tcPr>
          <w:p w14:paraId="1982203E">
            <w:pPr>
              <w:spacing w:line="420" w:lineRule="exact"/>
              <w:rPr>
                <w:rFonts w:hint="eastAsia" w:hAnsi="宋体"/>
                <w:color w:val="auto"/>
                <w:sz w:val="21"/>
                <w:szCs w:val="21"/>
                <w:highlight w:val="none"/>
              </w:rPr>
            </w:pPr>
          </w:p>
        </w:tc>
        <w:tc>
          <w:tcPr>
            <w:tcW w:w="1870" w:type="dxa"/>
            <w:vAlign w:val="center"/>
          </w:tcPr>
          <w:p w14:paraId="2698A5EC">
            <w:pPr>
              <w:widowControl/>
              <w:spacing w:line="460" w:lineRule="exact"/>
              <w:jc w:val="left"/>
              <w:rPr>
                <w:rFonts w:hint="eastAsia" w:hAnsi="宋体"/>
                <w:color w:val="auto"/>
                <w:sz w:val="21"/>
                <w:szCs w:val="21"/>
                <w:highlight w:val="none"/>
              </w:rPr>
            </w:pPr>
            <w:r>
              <w:rPr>
                <w:rFonts w:hint="eastAsia" w:cs="宋体"/>
                <w:color w:val="auto"/>
                <w:sz w:val="21"/>
                <w:szCs w:val="21"/>
                <w:highlight w:val="none"/>
              </w:rPr>
              <w:t>环境标志产品及节能产品有关政策</w:t>
            </w:r>
          </w:p>
        </w:tc>
        <w:tc>
          <w:tcPr>
            <w:tcW w:w="7049" w:type="dxa"/>
            <w:vAlign w:val="center"/>
          </w:tcPr>
          <w:p w14:paraId="7002E1D5">
            <w:pPr>
              <w:widowControl/>
              <w:spacing w:line="460" w:lineRule="exact"/>
              <w:jc w:val="left"/>
              <w:rPr>
                <w:rFonts w:cs="宋体"/>
                <w:color w:val="auto"/>
                <w:kern w:val="2"/>
                <w:sz w:val="21"/>
                <w:szCs w:val="21"/>
                <w:highlight w:val="none"/>
              </w:rPr>
            </w:pPr>
            <w:r>
              <w:rPr>
                <w:rFonts w:hint="eastAsia"/>
                <w:color w:val="auto"/>
                <w:sz w:val="21"/>
                <w:szCs w:val="21"/>
                <w:highlight w:val="none"/>
              </w:rPr>
              <w:t xml:space="preserve">本项目对环境标志产品及节能产品的评审：□适用   </w:t>
            </w:r>
            <w:r>
              <w:rPr>
                <w:rFonts w:hint="eastAsia" w:cs="宋体"/>
                <w:color w:val="auto"/>
                <w:position w:val="2"/>
                <w:sz w:val="21"/>
                <w:szCs w:val="21"/>
                <w:highlight w:val="none"/>
              </w:rPr>
              <w:fldChar w:fldCharType="begin"/>
            </w:r>
            <w:r>
              <w:rPr>
                <w:rFonts w:hint="eastAsia" w:cs="宋体"/>
                <w:color w:val="auto"/>
                <w:position w:val="2"/>
                <w:sz w:val="21"/>
                <w:szCs w:val="21"/>
                <w:highlight w:val="none"/>
              </w:rPr>
              <w:instrText xml:space="preserve">eq \o\ac(□,√)</w:instrText>
            </w:r>
            <w:r>
              <w:rPr>
                <w:rFonts w:hint="eastAsia" w:cs="宋体"/>
                <w:color w:val="auto"/>
                <w:position w:val="2"/>
                <w:sz w:val="21"/>
                <w:szCs w:val="21"/>
                <w:highlight w:val="none"/>
              </w:rPr>
              <w:fldChar w:fldCharType="end"/>
            </w:r>
            <w:r>
              <w:rPr>
                <w:rFonts w:hint="eastAsia"/>
                <w:color w:val="auto"/>
                <w:sz w:val="21"/>
                <w:szCs w:val="21"/>
                <w:highlight w:val="none"/>
              </w:rPr>
              <w:t>不适用。</w:t>
            </w:r>
          </w:p>
          <w:p w14:paraId="4A99001E">
            <w:pPr>
              <w:pStyle w:val="23"/>
              <w:spacing w:line="440" w:lineRule="exact"/>
              <w:rPr>
                <w:rFonts w:hint="eastAsia" w:hAnsi="宋体" w:cs="宋体"/>
                <w:color w:val="auto"/>
                <w:kern w:val="0"/>
                <w:highlight w:val="none"/>
              </w:rPr>
            </w:pPr>
            <w:r>
              <w:rPr>
                <w:rFonts w:hint="eastAsia" w:hAnsi="宋体" w:cs="宋体"/>
                <w:color w:val="auto"/>
                <w:kern w:val="0"/>
                <w:highlight w:val="none"/>
              </w:rPr>
              <w:t>1.落实强制采购节能产品、鼓励节能政策：对国家公布的节能产品政府采购清单中属于强制采购的产品，予以强制采购。属于非强制采购的产品，在技术、服务等指标同等条件下，予以优先采购。执行政策文件：《国务院办公厅关于建立政府强制采购节能产品制度的通知》（国办发〔2007〕5号）。</w:t>
            </w:r>
          </w:p>
          <w:p w14:paraId="6EE38A93">
            <w:pPr>
              <w:pStyle w:val="23"/>
              <w:spacing w:line="440" w:lineRule="exact"/>
              <w:rPr>
                <w:rFonts w:hint="eastAsia" w:hAnsi="宋体" w:cs="宋体"/>
                <w:color w:val="auto"/>
                <w:kern w:val="0"/>
                <w:highlight w:val="none"/>
              </w:rPr>
            </w:pPr>
            <w:r>
              <w:rPr>
                <w:rFonts w:hint="eastAsia" w:hAnsi="宋体" w:cs="宋体"/>
                <w:color w:val="auto"/>
                <w:kern w:val="0"/>
                <w:highlight w:val="none"/>
              </w:rPr>
              <w:t>2.鼓励环保政策：在技术、服务等指标同等条件下，优先采购国家公布的属于环境标志产品政府采购清单中产品。执行政策文件：《财政部 发展改革委 生态环境部 市场监管总局 关于调整优化节能产品、环境标志产品政府采购执行机制的通知》（财库〔2019〕9号）。</w:t>
            </w:r>
          </w:p>
          <w:p w14:paraId="0A4980A3">
            <w:pPr>
              <w:pStyle w:val="23"/>
              <w:spacing w:line="440" w:lineRule="exact"/>
              <w:rPr>
                <w:rFonts w:hint="eastAsia" w:hAnsi="宋体" w:cs="宋体"/>
                <w:color w:val="auto"/>
                <w:kern w:val="0"/>
                <w:highlight w:val="none"/>
              </w:rPr>
            </w:pPr>
            <w:r>
              <w:rPr>
                <w:rFonts w:hint="eastAsia" w:hAnsi="宋体" w:cs="宋体"/>
                <w:color w:val="auto"/>
                <w:kern w:val="0"/>
                <w:highlight w:val="none"/>
              </w:rPr>
              <w:t>3.根据</w:t>
            </w:r>
            <w:r>
              <w:rPr>
                <w:rFonts w:hint="eastAsia" w:hAnsi="宋体" w:cs="宋体"/>
                <w:color w:val="auto"/>
                <w:highlight w:val="none"/>
              </w:rPr>
              <w:t>《关于印发节能产品政府采购品目清单的通知》（财库〔2019〕19号）</w:t>
            </w:r>
            <w:r>
              <w:rPr>
                <w:rFonts w:hint="eastAsia" w:hAnsi="宋体" w:cs="宋体"/>
                <w:color w:val="auto"/>
                <w:kern w:val="0"/>
                <w:highlight w:val="none"/>
              </w:rPr>
              <w:t>，如果投标人拟提供的产品属于“节能产品政府采购清单”中的，按照评标办法中要求给予加分。投标人须提供证明材料（请提供在中国政府采购网“节能产品清单”中产品查询结果截图），否则评标时不予认可。</w:t>
            </w:r>
          </w:p>
          <w:p w14:paraId="3CBFC047">
            <w:pPr>
              <w:widowControl/>
              <w:spacing w:line="460" w:lineRule="exact"/>
              <w:jc w:val="left"/>
              <w:rPr>
                <w:rFonts w:hint="eastAsia" w:hAnsi="宋体"/>
                <w:color w:val="auto"/>
                <w:sz w:val="21"/>
                <w:szCs w:val="21"/>
                <w:highlight w:val="none"/>
              </w:rPr>
            </w:pPr>
            <w:r>
              <w:rPr>
                <w:rFonts w:hint="eastAsia" w:hAnsi="宋体" w:cs="宋体"/>
                <w:color w:val="auto"/>
                <w:sz w:val="21"/>
                <w:szCs w:val="21"/>
                <w:highlight w:val="none"/>
              </w:rPr>
              <w:t>4.根据《关于印发环境标志产品政府采购品目清单的通知》（财库〔2019〕18号），如果投标人拟提供的产品属于“环境标志产品政府采购清单”中的，按照评标办法中要求给予加分。投标人须提供证明材料（必须提供在中国政府采购网“环保标志产品清单” 中产品查询结果截图），否则评标时不予认可。</w:t>
            </w:r>
          </w:p>
        </w:tc>
      </w:tr>
      <w:tr w14:paraId="34865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6" w:hRule="atLeast"/>
          <w:jc w:val="center"/>
        </w:trPr>
        <w:tc>
          <w:tcPr>
            <w:tcW w:w="1102" w:type="dxa"/>
            <w:vMerge w:val="continue"/>
            <w:vAlign w:val="center"/>
          </w:tcPr>
          <w:p w14:paraId="25D58A51">
            <w:pPr>
              <w:spacing w:line="420" w:lineRule="exact"/>
              <w:rPr>
                <w:rFonts w:hint="eastAsia" w:hAnsi="宋体"/>
                <w:color w:val="auto"/>
                <w:sz w:val="21"/>
                <w:szCs w:val="21"/>
                <w:highlight w:val="none"/>
              </w:rPr>
            </w:pPr>
          </w:p>
        </w:tc>
        <w:tc>
          <w:tcPr>
            <w:tcW w:w="1870" w:type="dxa"/>
            <w:vAlign w:val="center"/>
          </w:tcPr>
          <w:p w14:paraId="4CD57869">
            <w:pPr>
              <w:spacing w:line="420" w:lineRule="atLeast"/>
              <w:jc w:val="center"/>
              <w:rPr>
                <w:rFonts w:hint="eastAsia" w:hAnsi="宋体"/>
                <w:color w:val="auto"/>
                <w:sz w:val="21"/>
                <w:szCs w:val="21"/>
                <w:highlight w:val="none"/>
              </w:rPr>
            </w:pPr>
            <w:r>
              <w:rPr>
                <w:rFonts w:hint="eastAsia"/>
                <w:color w:val="auto"/>
                <w:sz w:val="21"/>
                <w:szCs w:val="21"/>
                <w:highlight w:val="none"/>
              </w:rPr>
              <w:t>其他</w:t>
            </w:r>
          </w:p>
        </w:tc>
        <w:tc>
          <w:tcPr>
            <w:tcW w:w="7049" w:type="dxa"/>
            <w:vAlign w:val="center"/>
          </w:tcPr>
          <w:p w14:paraId="26B298FC">
            <w:pPr>
              <w:pStyle w:val="23"/>
              <w:spacing w:line="420" w:lineRule="exact"/>
              <w:rPr>
                <w:rFonts w:hint="eastAsia" w:hAnsi="宋体" w:cs="宋体"/>
                <w:color w:val="auto"/>
                <w:kern w:val="0"/>
                <w:highlight w:val="none"/>
              </w:rPr>
            </w:pPr>
            <w:r>
              <w:rPr>
                <w:rFonts w:hint="eastAsia" w:hAnsi="宋体" w:cs="宋体"/>
                <w:color w:val="auto"/>
                <w:kern w:val="0"/>
                <w:highlight w:val="none"/>
              </w:rPr>
              <w:t>其   它：</w:t>
            </w:r>
          </w:p>
          <w:p w14:paraId="26046DEE">
            <w:pPr>
              <w:pStyle w:val="23"/>
              <w:spacing w:line="420" w:lineRule="exact"/>
              <w:rPr>
                <w:rFonts w:hint="eastAsia" w:hAnsi="宋体" w:cs="宋体"/>
                <w:color w:val="auto"/>
                <w:kern w:val="0"/>
                <w:highlight w:val="none"/>
              </w:rPr>
            </w:pPr>
            <w:r>
              <w:rPr>
                <w:rFonts w:hint="eastAsia" w:hAnsi="宋体" w:cs="宋体"/>
                <w:color w:val="auto"/>
                <w:kern w:val="0"/>
                <w:highlight w:val="none"/>
              </w:rPr>
              <w:t>a本招标文件中所提到的公章：指公安部门备案的行政公章或合法电子公章；签字：指亲笔签字或电子签名。</w:t>
            </w:r>
          </w:p>
          <w:p w14:paraId="3C3038C9">
            <w:pPr>
              <w:pStyle w:val="23"/>
              <w:spacing w:line="420" w:lineRule="exact"/>
              <w:rPr>
                <w:rFonts w:hint="eastAsia" w:hAnsi="宋体" w:cs="宋体"/>
                <w:color w:val="auto"/>
                <w:kern w:val="0"/>
                <w:highlight w:val="none"/>
              </w:rPr>
            </w:pPr>
            <w:r>
              <w:rPr>
                <w:rFonts w:hint="eastAsia" w:hAnsi="宋体" w:cs="宋体"/>
                <w:color w:val="auto"/>
                <w:kern w:val="0"/>
                <w:highlight w:val="none"/>
              </w:rPr>
              <w:t>b采购人有权对被推荐为第一中标候选人的投标文件中不合理的条款在进行合同谈判时要求其进行修正的权力，否则，采购人有权拒绝与之签订合同并选择下一排序的候选人进行合同谈判，以此类推。</w:t>
            </w:r>
          </w:p>
          <w:p w14:paraId="6049538E">
            <w:pPr>
              <w:widowControl/>
              <w:spacing w:line="420" w:lineRule="atLeast"/>
              <w:jc w:val="left"/>
              <w:rPr>
                <w:rFonts w:hint="eastAsia" w:hAnsi="宋体" w:cs="宋体"/>
                <w:color w:val="auto"/>
                <w:sz w:val="21"/>
                <w:szCs w:val="21"/>
                <w:highlight w:val="none"/>
              </w:rPr>
            </w:pPr>
            <w:r>
              <w:rPr>
                <w:rFonts w:hint="eastAsia" w:hAnsi="宋体" w:cs="宋体"/>
                <w:color w:val="auto"/>
                <w:sz w:val="21"/>
                <w:szCs w:val="21"/>
                <w:highlight w:val="none"/>
              </w:rPr>
              <w:t>c 招标代理费（中标服务费）：详见第二章 投标人须知及前附表“3.12.2中标人须向采购代理机构按如下标准和规定缴纳招标代理服务费。”</w:t>
            </w:r>
          </w:p>
        </w:tc>
      </w:tr>
    </w:tbl>
    <w:p w14:paraId="55E22160">
      <w:pPr>
        <w:pStyle w:val="7"/>
        <w:numPr>
          <w:ilvl w:val="0"/>
          <w:numId w:val="0"/>
        </w:numPr>
        <w:spacing w:before="0" w:after="0" w:line="480" w:lineRule="exact"/>
        <w:rPr>
          <w:rFonts w:hint="eastAsia" w:hAnsi="宋体"/>
          <w:color w:val="auto"/>
          <w:highlight w:val="none"/>
        </w:rPr>
      </w:pPr>
      <w:bookmarkStart w:id="7" w:name="_Toc441049661"/>
      <w:bookmarkStart w:id="8" w:name="_Toc444848841"/>
      <w:bookmarkStart w:id="9" w:name="_Toc248031886"/>
      <w:r>
        <w:rPr>
          <w:rFonts w:hAnsi="宋体"/>
          <w:color w:val="auto"/>
          <w:highlight w:val="none"/>
        </w:rPr>
        <w:br w:type="page"/>
      </w:r>
      <w:bookmarkStart w:id="10" w:name="_Toc1724"/>
      <w:r>
        <w:rPr>
          <w:rFonts w:hint="eastAsia" w:hAnsi="宋体"/>
          <w:color w:val="auto"/>
          <w:highlight w:val="none"/>
        </w:rPr>
        <w:t>1.总则</w:t>
      </w:r>
      <w:bookmarkEnd w:id="7"/>
      <w:bookmarkEnd w:id="8"/>
      <w:bookmarkEnd w:id="9"/>
      <w:bookmarkEnd w:id="10"/>
    </w:p>
    <w:p w14:paraId="25D14592">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1.1招标概况</w:t>
      </w:r>
    </w:p>
    <w:p w14:paraId="1A0331D8">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1.1.1 根据《中华人民共和国政府采购法》《中华人民共和国政府采购法实施条例</w:t>
      </w:r>
      <w:r>
        <w:rPr>
          <w:rFonts w:hint="eastAsia" w:hAnsi="宋体"/>
          <w:color w:val="auto"/>
          <w:sz w:val="21"/>
          <w:szCs w:val="21"/>
          <w:highlight w:val="none"/>
          <w:lang w:eastAsia="zh-CN"/>
        </w:rPr>
        <w:t>》和</w:t>
      </w:r>
      <w:r>
        <w:rPr>
          <w:rFonts w:hint="eastAsia" w:hAnsi="宋体"/>
          <w:color w:val="auto"/>
          <w:sz w:val="21"/>
          <w:szCs w:val="21"/>
          <w:highlight w:val="none"/>
        </w:rPr>
        <w:t>《财政部令第87号、第94号、第101号、第102号》等有关法律法规和规章的规定，本采购项目已具备招标条件，现对本项目进行国内公开招标。</w:t>
      </w:r>
    </w:p>
    <w:p w14:paraId="37B98176">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1.1.2 本招标项目采购人：见投标人须知前附表。</w:t>
      </w:r>
    </w:p>
    <w:p w14:paraId="25242169">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1.1.3本招标项目采购代理机构：见投标人须知前附表。</w:t>
      </w:r>
    </w:p>
    <w:p w14:paraId="5A916DFA">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1.1.4 本招标项目名称、项目编号和标段情况：见投标人须知前附表。</w:t>
      </w:r>
    </w:p>
    <w:p w14:paraId="41E63AF2">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1.2 资金来源</w:t>
      </w:r>
    </w:p>
    <w:p w14:paraId="48761667">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1.2.1本招标项目的采购预算：见投标人须知前附表。</w:t>
      </w:r>
    </w:p>
    <w:p w14:paraId="1F256829">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1.2.2本招标项目的资金来源：见投标人须知前附表。</w:t>
      </w:r>
    </w:p>
    <w:p w14:paraId="3707DB96">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1.3  项目内容、项目服务地点</w:t>
      </w:r>
    </w:p>
    <w:p w14:paraId="487A5E70">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1.3.1本招标项目内容：见投标人须知前附表。</w:t>
      </w:r>
    </w:p>
    <w:p w14:paraId="49A609C7">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1.3.2 本招标项目实施地点：见投标人须知前附表。</w:t>
      </w:r>
    </w:p>
    <w:p w14:paraId="2ED9564A">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1.3.3合同履行期限：见投标人须知前附表。</w:t>
      </w:r>
    </w:p>
    <w:p w14:paraId="3B4F9E6E">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1.4投标人资格要求</w:t>
      </w:r>
    </w:p>
    <w:p w14:paraId="787984D4">
      <w:p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1.4.1 合格的投标人应具备的资质条件、能力和信誉，见投标人须知前附表。</w:t>
      </w:r>
    </w:p>
    <w:p w14:paraId="5BB69B11">
      <w:p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 xml:space="preserve">1.4.2 投标人须知前附表规定接受联合体投标的，除应符合本章第1.4.1须和投标人须知前附表的要求外，还应遵守下列规定； </w:t>
      </w:r>
    </w:p>
    <w:p w14:paraId="13D7CA82">
      <w:pPr>
        <w:numPr>
          <w:ilvl w:val="0"/>
          <w:numId w:val="3"/>
        </w:num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联合体各方应按招标文件提供的格式签订《联合体投标协议》，明确主办方和各方的分工与职责，明确中标后联合体各方将向投标人承担连带责任。</w:t>
      </w:r>
    </w:p>
    <w:p w14:paraId="51352381">
      <w:pPr>
        <w:numPr>
          <w:ilvl w:val="0"/>
          <w:numId w:val="3"/>
        </w:num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由同一专业的单位组成的联合体，按照资质等级较低的单位确定联合体资质等级。</w:t>
      </w:r>
    </w:p>
    <w:p w14:paraId="68A5D2D9">
      <w:pPr>
        <w:numPr>
          <w:ilvl w:val="0"/>
          <w:numId w:val="3"/>
        </w:num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采购人根据采购项目的特殊要求规定投标人特定条件的，联合体各方中至少应当有一方符合采购规定的特殊条件。</w:t>
      </w:r>
    </w:p>
    <w:p w14:paraId="2305E64A">
      <w:pPr>
        <w:spacing w:line="470" w:lineRule="exact"/>
        <w:rPr>
          <w:rFonts w:hint="eastAsia" w:hAnsi="宋体"/>
          <w:color w:val="auto"/>
          <w:sz w:val="21"/>
          <w:szCs w:val="21"/>
          <w:highlight w:val="none"/>
        </w:rPr>
      </w:pPr>
      <w:r>
        <w:rPr>
          <w:rFonts w:hint="eastAsia" w:hAnsi="宋体"/>
          <w:color w:val="auto"/>
          <w:sz w:val="21"/>
          <w:szCs w:val="21"/>
          <w:highlight w:val="none"/>
        </w:rPr>
        <w:t xml:space="preserve">    （4）联合体各方不得再以自己名义单独或参加其他联合体在同一标段中投标。</w:t>
      </w:r>
    </w:p>
    <w:p w14:paraId="028CF08F">
      <w:pPr>
        <w:spacing w:line="470" w:lineRule="exact"/>
        <w:rPr>
          <w:rFonts w:hint="eastAsia" w:hAnsi="宋体"/>
          <w:color w:val="auto"/>
          <w:sz w:val="21"/>
          <w:szCs w:val="21"/>
          <w:highlight w:val="none"/>
        </w:rPr>
      </w:pPr>
      <w:r>
        <w:rPr>
          <w:rFonts w:hint="eastAsia" w:hAnsi="宋体"/>
          <w:color w:val="auto"/>
          <w:sz w:val="21"/>
          <w:szCs w:val="21"/>
          <w:highlight w:val="none"/>
        </w:rPr>
        <w:t xml:space="preserve">    1.4.3 投标人不得存在下列情形之一：</w:t>
      </w:r>
    </w:p>
    <w:p w14:paraId="267B8875">
      <w:pPr>
        <w:spacing w:line="470" w:lineRule="exact"/>
        <w:rPr>
          <w:rFonts w:hint="eastAsia" w:hAnsi="宋体"/>
          <w:color w:val="auto"/>
          <w:sz w:val="21"/>
          <w:szCs w:val="21"/>
          <w:highlight w:val="none"/>
        </w:rPr>
      </w:pPr>
      <w:r>
        <w:rPr>
          <w:rFonts w:hint="eastAsia" w:hAnsi="宋体"/>
          <w:color w:val="auto"/>
          <w:sz w:val="21"/>
          <w:szCs w:val="21"/>
          <w:highlight w:val="none"/>
        </w:rPr>
        <w:t xml:space="preserve">     （1）为本项目前期准备提供设计或咨询服务的；</w:t>
      </w:r>
    </w:p>
    <w:p w14:paraId="243BD808">
      <w:pPr>
        <w:spacing w:line="470" w:lineRule="exact"/>
        <w:rPr>
          <w:rFonts w:hint="eastAsia" w:hAnsi="宋体"/>
          <w:color w:val="auto"/>
          <w:sz w:val="21"/>
          <w:szCs w:val="21"/>
          <w:highlight w:val="none"/>
        </w:rPr>
      </w:pPr>
      <w:r>
        <w:rPr>
          <w:rFonts w:hint="eastAsia" w:hAnsi="宋体"/>
          <w:color w:val="auto"/>
          <w:sz w:val="21"/>
          <w:szCs w:val="21"/>
          <w:highlight w:val="none"/>
        </w:rPr>
        <w:t xml:space="preserve">     （2）参加采购活动前三年内有重大违法记录的；</w:t>
      </w:r>
    </w:p>
    <w:p w14:paraId="314977E1">
      <w:pPr>
        <w:spacing w:line="470" w:lineRule="exact"/>
        <w:rPr>
          <w:rFonts w:hint="eastAsia" w:hAnsi="宋体"/>
          <w:color w:val="auto"/>
          <w:sz w:val="21"/>
          <w:szCs w:val="21"/>
          <w:highlight w:val="none"/>
        </w:rPr>
      </w:pPr>
      <w:r>
        <w:rPr>
          <w:rFonts w:hint="eastAsia" w:hAnsi="宋体"/>
          <w:color w:val="auto"/>
          <w:sz w:val="21"/>
          <w:szCs w:val="21"/>
          <w:highlight w:val="none"/>
        </w:rPr>
        <w:t xml:space="preserve">     （3）投标人之间或投标人与采购人之间相互串通的；</w:t>
      </w:r>
    </w:p>
    <w:p w14:paraId="012C6C5D">
      <w:pPr>
        <w:spacing w:line="470" w:lineRule="exact"/>
        <w:ind w:firstLine="525" w:firstLineChars="250"/>
        <w:rPr>
          <w:rFonts w:hint="eastAsia" w:hAnsi="宋体"/>
          <w:color w:val="auto"/>
          <w:sz w:val="21"/>
          <w:szCs w:val="21"/>
          <w:highlight w:val="none"/>
        </w:rPr>
      </w:pPr>
      <w:r>
        <w:rPr>
          <w:rFonts w:hint="eastAsia" w:hAnsi="宋体"/>
          <w:color w:val="auto"/>
          <w:sz w:val="21"/>
          <w:szCs w:val="21"/>
          <w:highlight w:val="none"/>
        </w:rPr>
        <w:t>（4）</w:t>
      </w:r>
      <w:r>
        <w:rPr>
          <w:rFonts w:hAnsi="宋体"/>
          <w:color w:val="auto"/>
          <w:sz w:val="21"/>
          <w:szCs w:val="21"/>
          <w:highlight w:val="none"/>
        </w:rPr>
        <w:t>为</w:t>
      </w:r>
      <w:r>
        <w:rPr>
          <w:rFonts w:hint="eastAsia" w:hAnsi="宋体"/>
          <w:color w:val="auto"/>
          <w:sz w:val="21"/>
          <w:szCs w:val="21"/>
          <w:highlight w:val="none"/>
        </w:rPr>
        <w:t>本</w:t>
      </w:r>
      <w:r>
        <w:rPr>
          <w:rFonts w:hAnsi="宋体"/>
          <w:color w:val="auto"/>
          <w:sz w:val="21"/>
          <w:szCs w:val="21"/>
          <w:highlight w:val="none"/>
        </w:rPr>
        <w:t>项目提供整体设计、规范编制或者项目管理、检测等服务</w:t>
      </w:r>
      <w:r>
        <w:rPr>
          <w:rFonts w:hint="eastAsia" w:hAnsi="宋体"/>
          <w:color w:val="auto"/>
          <w:sz w:val="21"/>
          <w:szCs w:val="21"/>
          <w:highlight w:val="none"/>
        </w:rPr>
        <w:t>或参与本项目第三标段监理服务</w:t>
      </w:r>
      <w:r>
        <w:rPr>
          <w:rFonts w:hAnsi="宋体"/>
          <w:color w:val="auto"/>
          <w:sz w:val="21"/>
          <w:szCs w:val="21"/>
          <w:highlight w:val="none"/>
        </w:rPr>
        <w:t>的投标人。</w:t>
      </w:r>
    </w:p>
    <w:p w14:paraId="77B0AA1E">
      <w:p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（5）投标人存在失信记录的；</w:t>
      </w:r>
    </w:p>
    <w:p w14:paraId="4A67DC20">
      <w:pPr>
        <w:spacing w:line="470" w:lineRule="exact"/>
        <w:ind w:firstLine="420" w:firstLineChars="200"/>
        <w:rPr>
          <w:rFonts w:hint="eastAsia" w:hAnsi="宋体" w:cs="宋体"/>
          <w:color w:val="auto"/>
          <w:sz w:val="21"/>
          <w:szCs w:val="21"/>
          <w:highlight w:val="none"/>
        </w:rPr>
      </w:pPr>
      <w:r>
        <w:rPr>
          <w:rFonts w:hint="eastAsia" w:hAnsi="宋体"/>
          <w:color w:val="auto"/>
          <w:sz w:val="21"/>
          <w:szCs w:val="21"/>
          <w:highlight w:val="none"/>
        </w:rPr>
        <w:t>（6）</w:t>
      </w:r>
      <w:r>
        <w:rPr>
          <w:rFonts w:hint="eastAsia" w:hAnsi="宋体" w:cs="宋体"/>
          <w:color w:val="auto"/>
          <w:sz w:val="21"/>
          <w:szCs w:val="21"/>
          <w:highlight w:val="none"/>
        </w:rPr>
        <w:t>投标人</w:t>
      </w:r>
      <w:r>
        <w:rPr>
          <w:rFonts w:hAnsi="宋体" w:cs="宋体"/>
          <w:color w:val="auto"/>
          <w:sz w:val="21"/>
          <w:szCs w:val="21"/>
          <w:highlight w:val="none"/>
        </w:rPr>
        <w:t>为同一人或者存在直接控股、管理关系的不同投标人，不得参加同一合同项下的采购活动。</w:t>
      </w:r>
    </w:p>
    <w:p w14:paraId="2FB8C5D2">
      <w:pPr>
        <w:spacing w:line="470" w:lineRule="exact"/>
        <w:rPr>
          <w:rFonts w:hint="eastAsia" w:hAnsi="宋体"/>
          <w:color w:val="auto"/>
          <w:sz w:val="21"/>
          <w:szCs w:val="21"/>
          <w:highlight w:val="none"/>
        </w:rPr>
      </w:pPr>
      <w:r>
        <w:rPr>
          <w:rFonts w:hint="eastAsia" w:hAnsi="宋体"/>
          <w:color w:val="auto"/>
          <w:sz w:val="21"/>
          <w:szCs w:val="21"/>
          <w:highlight w:val="none"/>
        </w:rPr>
        <w:t xml:space="preserve">     1.5合格的货物和相关服务</w:t>
      </w:r>
    </w:p>
    <w:p w14:paraId="71BCDC5F">
      <w:pPr>
        <w:spacing w:line="470" w:lineRule="exact"/>
        <w:rPr>
          <w:rFonts w:hint="eastAsia" w:hAnsi="宋体"/>
          <w:color w:val="auto"/>
          <w:sz w:val="21"/>
          <w:szCs w:val="21"/>
          <w:highlight w:val="none"/>
        </w:rPr>
      </w:pPr>
      <w:r>
        <w:rPr>
          <w:rFonts w:hint="eastAsia" w:hAnsi="宋体"/>
          <w:color w:val="auto"/>
          <w:sz w:val="21"/>
          <w:szCs w:val="21"/>
          <w:highlight w:val="none"/>
        </w:rPr>
        <w:t xml:space="preserve">     1.5.1投标人投标的货物应当说明货物的来源地。</w:t>
      </w:r>
    </w:p>
    <w:p w14:paraId="5A9897CA">
      <w:pPr>
        <w:spacing w:line="470" w:lineRule="exact"/>
        <w:rPr>
          <w:rFonts w:hint="eastAsia" w:hAnsi="宋体"/>
          <w:color w:val="auto"/>
          <w:sz w:val="21"/>
          <w:szCs w:val="21"/>
          <w:highlight w:val="none"/>
        </w:rPr>
      </w:pPr>
      <w:r>
        <w:rPr>
          <w:rFonts w:hint="eastAsia" w:hAnsi="宋体"/>
          <w:color w:val="auto"/>
          <w:sz w:val="21"/>
          <w:szCs w:val="21"/>
          <w:highlight w:val="none"/>
        </w:rPr>
        <w:t xml:space="preserve">     1.6 保密</w:t>
      </w:r>
    </w:p>
    <w:p w14:paraId="09C4B443">
      <w:pPr>
        <w:spacing w:line="470" w:lineRule="exact"/>
        <w:rPr>
          <w:rFonts w:hint="eastAsia" w:hAnsi="宋体"/>
          <w:color w:val="auto"/>
          <w:sz w:val="21"/>
          <w:szCs w:val="21"/>
          <w:highlight w:val="none"/>
        </w:rPr>
      </w:pPr>
      <w:r>
        <w:rPr>
          <w:rFonts w:hint="eastAsia" w:hAnsi="宋体"/>
          <w:color w:val="auto"/>
          <w:sz w:val="21"/>
          <w:szCs w:val="21"/>
          <w:highlight w:val="none"/>
        </w:rPr>
        <w:t xml:space="preserve">    参与招标投标活动的各方应对招标文件和投标文件中的商业和技术等秘密保密，违者应对由此造成的后果承担法律责任。</w:t>
      </w:r>
    </w:p>
    <w:p w14:paraId="1B8E919C">
      <w:pPr>
        <w:spacing w:line="470" w:lineRule="exact"/>
        <w:rPr>
          <w:rFonts w:hint="eastAsia" w:hAnsi="宋体"/>
          <w:color w:val="auto"/>
          <w:sz w:val="21"/>
          <w:szCs w:val="21"/>
          <w:highlight w:val="none"/>
        </w:rPr>
      </w:pPr>
      <w:r>
        <w:rPr>
          <w:rFonts w:hint="eastAsia" w:hAnsi="宋体"/>
          <w:color w:val="auto"/>
          <w:sz w:val="21"/>
          <w:szCs w:val="21"/>
          <w:highlight w:val="none"/>
        </w:rPr>
        <w:t xml:space="preserve">     1.7招标澄清会</w:t>
      </w:r>
    </w:p>
    <w:p w14:paraId="21B5FD49">
      <w:pPr>
        <w:spacing w:line="470" w:lineRule="exact"/>
        <w:ind w:firstLine="525" w:firstLineChars="250"/>
        <w:rPr>
          <w:rFonts w:hint="eastAsia" w:hAnsi="宋体"/>
          <w:color w:val="auto"/>
          <w:sz w:val="21"/>
          <w:szCs w:val="21"/>
          <w:highlight w:val="none"/>
        </w:rPr>
      </w:pPr>
      <w:r>
        <w:rPr>
          <w:rFonts w:hint="eastAsia" w:hAnsi="宋体"/>
          <w:color w:val="auto"/>
          <w:sz w:val="21"/>
          <w:szCs w:val="21"/>
          <w:highlight w:val="none"/>
        </w:rPr>
        <w:t>1.7.1 招标澄清会召开：见投标人须知前附表。</w:t>
      </w:r>
    </w:p>
    <w:p w14:paraId="734514B2">
      <w:pPr>
        <w:spacing w:line="470" w:lineRule="exact"/>
        <w:ind w:firstLine="525" w:firstLineChars="250"/>
        <w:rPr>
          <w:rFonts w:hint="eastAsia" w:hAnsi="宋体"/>
          <w:color w:val="auto"/>
          <w:sz w:val="21"/>
          <w:szCs w:val="21"/>
          <w:highlight w:val="none"/>
        </w:rPr>
      </w:pPr>
      <w:r>
        <w:rPr>
          <w:rFonts w:hint="eastAsia" w:hAnsi="宋体"/>
          <w:color w:val="auto"/>
          <w:sz w:val="21"/>
          <w:szCs w:val="21"/>
          <w:highlight w:val="none"/>
        </w:rPr>
        <w:t>1.7.2 投标人提出问题的截止时间：见投标人须知前附表。</w:t>
      </w:r>
    </w:p>
    <w:p w14:paraId="77DBA187">
      <w:pPr>
        <w:spacing w:line="470" w:lineRule="exact"/>
        <w:ind w:firstLine="525" w:firstLineChars="250"/>
        <w:rPr>
          <w:rFonts w:hint="eastAsia" w:hAnsi="宋体"/>
          <w:color w:val="auto"/>
          <w:sz w:val="21"/>
          <w:szCs w:val="21"/>
          <w:highlight w:val="none"/>
        </w:rPr>
      </w:pPr>
      <w:r>
        <w:rPr>
          <w:rFonts w:hint="eastAsia" w:hAnsi="宋体"/>
          <w:color w:val="auto"/>
          <w:sz w:val="21"/>
          <w:szCs w:val="21"/>
          <w:highlight w:val="none"/>
        </w:rPr>
        <w:t>1.7.3采购人书面澄清的时间：见投标人须知前附表。</w:t>
      </w:r>
    </w:p>
    <w:p w14:paraId="07CCE50B">
      <w:pPr>
        <w:pStyle w:val="51"/>
        <w:rPr>
          <w:color w:val="auto"/>
          <w:highlight w:val="none"/>
        </w:rPr>
      </w:pPr>
    </w:p>
    <w:p w14:paraId="092A2F31">
      <w:pPr>
        <w:pStyle w:val="7"/>
        <w:numPr>
          <w:ilvl w:val="0"/>
          <w:numId w:val="0"/>
        </w:numPr>
        <w:spacing w:before="0" w:after="0" w:line="470" w:lineRule="exact"/>
        <w:rPr>
          <w:rFonts w:hint="eastAsia" w:hAnsi="宋体"/>
          <w:color w:val="auto"/>
          <w:highlight w:val="none"/>
        </w:rPr>
      </w:pPr>
      <w:bookmarkStart w:id="11" w:name="_Toc31959"/>
      <w:r>
        <w:rPr>
          <w:rFonts w:hint="eastAsia" w:hAnsi="宋体"/>
          <w:color w:val="auto"/>
          <w:highlight w:val="none"/>
        </w:rPr>
        <w:t>2.招标文件</w:t>
      </w:r>
      <w:bookmarkEnd w:id="11"/>
    </w:p>
    <w:p w14:paraId="52D36E57">
      <w:pPr>
        <w:pStyle w:val="8"/>
        <w:spacing w:before="0" w:after="0" w:line="470" w:lineRule="exact"/>
        <w:ind w:left="719" w:leftChars="257"/>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2.1招标文件的组成</w:t>
      </w:r>
    </w:p>
    <w:p w14:paraId="63152DDD">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本招标文件包括：</w:t>
      </w:r>
    </w:p>
    <w:p w14:paraId="18192C01">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招标公告；</w:t>
      </w:r>
    </w:p>
    <w:p w14:paraId="79626DD0">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投标人须知及投标人须知前附表；</w:t>
      </w:r>
    </w:p>
    <w:p w14:paraId="5EE026EF">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评标办法；</w:t>
      </w:r>
    </w:p>
    <w:p w14:paraId="3C13B500">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投标文件格式；</w:t>
      </w:r>
    </w:p>
    <w:p w14:paraId="4CD64A79">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采购项目需求；</w:t>
      </w:r>
    </w:p>
    <w:p w14:paraId="3928069B">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合同条款及格式；</w:t>
      </w:r>
    </w:p>
    <w:p w14:paraId="005B70DB">
      <w:pPr>
        <w:numPr>
          <w:ilvl w:val="0"/>
          <w:numId w:val="4"/>
        </w:num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其他。</w:t>
      </w:r>
    </w:p>
    <w:p w14:paraId="391C2039">
      <w:pPr>
        <w:spacing w:line="470" w:lineRule="exact"/>
        <w:ind w:firstLine="420" w:firstLineChars="200"/>
        <w:rPr>
          <w:rFonts w:hint="eastAsia" w:hAnsi="宋体"/>
          <w:color w:val="auto"/>
          <w:sz w:val="21"/>
          <w:szCs w:val="21"/>
          <w:highlight w:val="none"/>
        </w:rPr>
      </w:pPr>
      <w:r>
        <w:rPr>
          <w:rFonts w:hint="eastAsia" w:hAnsi="宋体"/>
          <w:color w:val="auto"/>
          <w:sz w:val="21"/>
          <w:szCs w:val="21"/>
          <w:highlight w:val="none"/>
        </w:rPr>
        <w:t>根据本章第1.7款、第2.2款和第2.3款对招标文件所做的澄清、修改，构成招标文件的组成部分。</w:t>
      </w:r>
    </w:p>
    <w:p w14:paraId="7554D528">
      <w:pPr>
        <w:pStyle w:val="8"/>
        <w:spacing w:before="0" w:after="0" w:line="470" w:lineRule="exact"/>
        <w:ind w:firstLine="525" w:firstLineChars="250"/>
        <w:rPr>
          <w:rFonts w:hint="eastAsia" w:ascii="宋体" w:hAnsi="宋体" w:eastAsia="宋体"/>
          <w:b w:val="0"/>
          <w:bCs w:val="0"/>
          <w:color w:val="auto"/>
          <w:sz w:val="21"/>
          <w:szCs w:val="21"/>
          <w:highlight w:val="none"/>
        </w:rPr>
      </w:pPr>
      <w:r>
        <w:rPr>
          <w:rFonts w:hint="eastAsia" w:ascii="宋体" w:hAnsi="宋体" w:eastAsia="宋体"/>
          <w:b w:val="0"/>
          <w:bCs w:val="0"/>
          <w:color w:val="auto"/>
          <w:sz w:val="21"/>
          <w:szCs w:val="21"/>
          <w:highlight w:val="none"/>
        </w:rPr>
        <w:t>2.2招标文件的澄清</w:t>
      </w:r>
    </w:p>
    <w:p w14:paraId="466AC189">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 xml:space="preserve">2.2.1投标人对招标文件如有疑问，应在投标人须知前附表规定的时间前以书面形式向采购人询问，要求采购人对招标文件予以澄清。 </w:t>
      </w:r>
    </w:p>
    <w:p w14:paraId="1587C5A5">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2.2.2采购人</w:t>
      </w:r>
      <w:r>
        <w:rPr>
          <w:rFonts w:hAnsi="宋体"/>
          <w:color w:val="auto"/>
          <w:sz w:val="21"/>
          <w:szCs w:val="21"/>
          <w:highlight w:val="none"/>
        </w:rPr>
        <w:t>可以对已发出的招标文件进行必要的澄清。澄清的内容可能影响投标文件编制的，</w:t>
      </w:r>
      <w:r>
        <w:rPr>
          <w:rFonts w:hint="eastAsia" w:hAnsi="宋体"/>
          <w:color w:val="auto"/>
          <w:sz w:val="21"/>
          <w:szCs w:val="21"/>
          <w:highlight w:val="none"/>
        </w:rPr>
        <w:t>采购人</w:t>
      </w:r>
      <w:r>
        <w:rPr>
          <w:rFonts w:hAnsi="宋体"/>
          <w:color w:val="auto"/>
          <w:sz w:val="21"/>
          <w:szCs w:val="21"/>
          <w:highlight w:val="none"/>
        </w:rPr>
        <w:t>应当在投标截止时间至少15日前，以书面形式通知所有获取招标文件的潜在投标人；不足15日的，</w:t>
      </w:r>
      <w:r>
        <w:rPr>
          <w:rFonts w:hint="eastAsia" w:hAnsi="宋体"/>
          <w:color w:val="auto"/>
          <w:sz w:val="21"/>
          <w:szCs w:val="21"/>
          <w:highlight w:val="none"/>
        </w:rPr>
        <w:t>采购人</w:t>
      </w:r>
      <w:r>
        <w:rPr>
          <w:rFonts w:hAnsi="宋体"/>
          <w:color w:val="auto"/>
          <w:sz w:val="21"/>
          <w:szCs w:val="21"/>
          <w:highlight w:val="none"/>
        </w:rPr>
        <w:t>应当顺延提交投标文件的截止时间。</w:t>
      </w:r>
    </w:p>
    <w:p w14:paraId="3AA7123E">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2.2.3 招标文件的澄清将以书面形式发给所有购买招标文件的投标人，但不指明澄清问题的来源。投标人在收到答复后应以书面形式予以确认。投标人未在招标文件规定时间内提出疑问的，则视为对招标文件的澄清无异议。</w:t>
      </w:r>
    </w:p>
    <w:p w14:paraId="04759D39">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2.2.4此类澄清文件将构成招标文件的一部分，对投标人有约束力。</w:t>
      </w:r>
    </w:p>
    <w:p w14:paraId="1968AE7A">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2.2.5当后发的澄清文件与原招标文件或此前发出的澄清文件之间存在不一致时，应以后发的澄清文件为准。</w:t>
      </w:r>
    </w:p>
    <w:p w14:paraId="7D81B3CC">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2.3  招标文件的修改</w:t>
      </w:r>
    </w:p>
    <w:p w14:paraId="5A8F6254">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2.3.1采购人</w:t>
      </w:r>
      <w:r>
        <w:rPr>
          <w:rFonts w:hAnsi="宋体"/>
          <w:color w:val="auto"/>
          <w:sz w:val="21"/>
          <w:szCs w:val="21"/>
          <w:highlight w:val="none"/>
        </w:rPr>
        <w:t>可以对已发出的招标文件进行必要的</w:t>
      </w:r>
      <w:r>
        <w:rPr>
          <w:rFonts w:hint="eastAsia" w:hAnsi="宋体"/>
          <w:color w:val="auto"/>
          <w:sz w:val="21"/>
          <w:szCs w:val="21"/>
          <w:highlight w:val="none"/>
        </w:rPr>
        <w:t>修改</w:t>
      </w:r>
      <w:r>
        <w:rPr>
          <w:rFonts w:hAnsi="宋体"/>
          <w:color w:val="auto"/>
          <w:sz w:val="21"/>
          <w:szCs w:val="21"/>
          <w:highlight w:val="none"/>
        </w:rPr>
        <w:t>。</w:t>
      </w:r>
      <w:r>
        <w:rPr>
          <w:rFonts w:hint="eastAsia" w:hAnsi="宋体"/>
          <w:color w:val="auto"/>
          <w:sz w:val="21"/>
          <w:szCs w:val="21"/>
          <w:highlight w:val="none"/>
        </w:rPr>
        <w:t>修改</w:t>
      </w:r>
      <w:r>
        <w:rPr>
          <w:rFonts w:hAnsi="宋体"/>
          <w:color w:val="auto"/>
          <w:sz w:val="21"/>
          <w:szCs w:val="21"/>
          <w:highlight w:val="none"/>
        </w:rPr>
        <w:t>的内容可能影响投标文件编制的，</w:t>
      </w:r>
      <w:r>
        <w:rPr>
          <w:rFonts w:hint="eastAsia" w:hAnsi="宋体"/>
          <w:color w:val="auto"/>
          <w:sz w:val="21"/>
          <w:szCs w:val="21"/>
          <w:highlight w:val="none"/>
        </w:rPr>
        <w:t>采购人</w:t>
      </w:r>
      <w:r>
        <w:rPr>
          <w:rFonts w:hAnsi="宋体"/>
          <w:color w:val="auto"/>
          <w:sz w:val="21"/>
          <w:szCs w:val="21"/>
          <w:highlight w:val="none"/>
        </w:rPr>
        <w:t>应当在投标截止时间至少15日前，以书面形式通知所有获取招标文件的潜在投标人；不足15日的，</w:t>
      </w:r>
      <w:r>
        <w:rPr>
          <w:rFonts w:hint="eastAsia" w:hAnsi="宋体"/>
          <w:color w:val="auto"/>
          <w:sz w:val="21"/>
          <w:szCs w:val="21"/>
          <w:highlight w:val="none"/>
        </w:rPr>
        <w:t>采购人</w:t>
      </w:r>
      <w:r>
        <w:rPr>
          <w:rFonts w:hAnsi="宋体"/>
          <w:color w:val="auto"/>
          <w:sz w:val="21"/>
          <w:szCs w:val="21"/>
          <w:highlight w:val="none"/>
        </w:rPr>
        <w:t>应当顺延提交投标文件的截止时间。</w:t>
      </w:r>
    </w:p>
    <w:p w14:paraId="5559EEFA">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2.3.2招标文件的修改将以书面形式发给所有购买招标文件的投标人，投标人在收到修改文件后应以书面形式予以确认。投标人未在招标文件规定时间内提出疑问的，则视为对招标文件的修改无异议。</w:t>
      </w:r>
    </w:p>
    <w:p w14:paraId="4E9913F2">
      <w:pPr>
        <w:spacing w:line="470" w:lineRule="exact"/>
        <w:ind w:firstLine="472" w:firstLineChars="225"/>
        <w:rPr>
          <w:rFonts w:hint="eastAsia" w:hAnsi="宋体"/>
          <w:color w:val="auto"/>
          <w:sz w:val="21"/>
          <w:szCs w:val="21"/>
          <w:highlight w:val="none"/>
        </w:rPr>
      </w:pPr>
      <w:r>
        <w:rPr>
          <w:rFonts w:hint="eastAsia" w:hAnsi="宋体"/>
          <w:color w:val="auto"/>
          <w:sz w:val="21"/>
          <w:szCs w:val="21"/>
          <w:highlight w:val="none"/>
        </w:rPr>
        <w:t>2.3.3此类修改文件将构成招标文件的一部分，对投标人有约束力。</w:t>
      </w:r>
    </w:p>
    <w:p w14:paraId="0BA5A4CC">
      <w:pPr>
        <w:spacing w:line="470" w:lineRule="exact"/>
        <w:ind w:firstLine="472" w:firstLineChars="225"/>
        <w:rPr>
          <w:rFonts w:hint="eastAsia" w:hAnsi="宋体"/>
          <w:color w:val="auto"/>
          <w:sz w:val="24"/>
          <w:highlight w:val="none"/>
        </w:rPr>
      </w:pPr>
      <w:r>
        <w:rPr>
          <w:rFonts w:hint="eastAsia" w:hAnsi="宋体"/>
          <w:color w:val="auto"/>
          <w:sz w:val="21"/>
          <w:szCs w:val="21"/>
          <w:highlight w:val="none"/>
        </w:rPr>
        <w:t>2.3.4 当后发的修改文件与原招标文件或此前发出的修改文件之间存在不一致时，应以后发的文件为准。</w:t>
      </w:r>
    </w:p>
    <w:p w14:paraId="3BB21BB0">
      <w:pPr>
        <w:pStyle w:val="7"/>
        <w:numPr>
          <w:ilvl w:val="0"/>
          <w:numId w:val="0"/>
        </w:numPr>
        <w:spacing w:before="0" w:after="0" w:line="470" w:lineRule="exact"/>
        <w:rPr>
          <w:rFonts w:hint="eastAsia" w:hAnsi="宋体"/>
          <w:color w:val="auto"/>
          <w:highlight w:val="none"/>
        </w:rPr>
      </w:pPr>
      <w:bookmarkStart w:id="12" w:name="_Toc31522"/>
      <w:r>
        <w:rPr>
          <w:rFonts w:hint="eastAsia" w:hAnsi="宋体"/>
          <w:color w:val="auto"/>
          <w:highlight w:val="none"/>
        </w:rPr>
        <w:t>3.投标文件</w:t>
      </w:r>
      <w:bookmarkEnd w:id="12"/>
    </w:p>
    <w:p w14:paraId="111493FD">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3.1 投标文件的组成</w:t>
      </w:r>
    </w:p>
    <w:p w14:paraId="08AFE679">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投标文件至少应包括下列内容：</w:t>
      </w:r>
    </w:p>
    <w:p w14:paraId="5202956F">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1.资格审查部分</w:t>
      </w:r>
    </w:p>
    <w:p w14:paraId="51A810A5">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2.投标报价部分</w:t>
      </w:r>
    </w:p>
    <w:p w14:paraId="7B9EAA91">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3.商务及技术部分</w:t>
      </w:r>
    </w:p>
    <w:p w14:paraId="33B55E8C">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详细内容详见投标文件格式部分。</w:t>
      </w:r>
    </w:p>
    <w:p w14:paraId="586EB65B">
      <w:pPr>
        <w:spacing w:line="40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（提交满足招标公告投标人资格要求的证明文件，如是复印件均应加盖鲜公章）。</w:t>
      </w:r>
    </w:p>
    <w:p w14:paraId="0248D75B">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3.2 投标截止时间和地点</w:t>
      </w:r>
    </w:p>
    <w:p w14:paraId="58CBF433">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投标截止时间和地点：见投标人须知前附表。</w:t>
      </w:r>
    </w:p>
    <w:p w14:paraId="158E392B">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 投标报价</w:t>
      </w:r>
    </w:p>
    <w:p w14:paraId="14197C8A">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3.3.1投标报价要求：</w:t>
      </w:r>
      <w:r>
        <w:rPr>
          <w:rFonts w:hint="eastAsia" w:hAnsi="宋体" w:cs="宋体"/>
          <w:color w:val="auto"/>
          <w:sz w:val="21"/>
          <w:szCs w:val="21"/>
          <w:highlight w:val="none"/>
          <w:lang w:eastAsia="zh-CN"/>
        </w:rPr>
        <w:t>参与本项目的投标人应按要求填报此项目投标总价报价，并自行编制相应的投标报价详细说明，投标报价须包含本项目全部建设和服务内容，以及项目实施过程中所产生的保山市加油站流量数据采集系统开发设计费、根据采购人要求进行系统安装部署服务费、到各民营加油站现场安装数据采集工具（非介入式）实施服务费，数据对接费（含接口开发）、系统集成和信息数据整合服务费、初验及终验的优化整改服务费、项目检测验收费，配合协助采购人完成后续系统相关评测服务工作费，项目前期咨询服务费，项目管理费、人工费、差旅费，保险，税费，风险（不可预见费），技术支持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技术培训及售后</w:t>
      </w:r>
      <w:r>
        <w:rPr>
          <w:rFonts w:hint="eastAsia" w:ascii="宋体" w:hAnsi="宋体" w:eastAsia="宋体" w:cs="宋体"/>
          <w:color w:val="auto"/>
          <w:kern w:val="0"/>
          <w:sz w:val="21"/>
          <w:szCs w:val="21"/>
          <w:highlight w:val="none"/>
          <w:lang w:val="en-US" w:eastAsia="zh-CN"/>
        </w:rPr>
        <w:t>运维</w:t>
      </w:r>
      <w:r>
        <w:rPr>
          <w:rFonts w:hint="eastAsia" w:ascii="宋体" w:hAnsi="宋体" w:eastAsia="宋体" w:cs="宋体"/>
          <w:color w:val="auto"/>
          <w:kern w:val="0"/>
          <w:sz w:val="21"/>
          <w:szCs w:val="21"/>
          <w:highlight w:val="none"/>
        </w:rPr>
        <w:t>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含现场运维服务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以及保证项目顺利开展的所有费用。即：凡属本次采购文件中涉及的或者是为完成本次采购所必需的各项费用，以及</w:t>
      </w:r>
      <w:r>
        <w:rPr>
          <w:rFonts w:hint="eastAsia" w:ascii="宋体" w:hAnsi="宋体" w:eastAsia="宋体" w:cs="宋体"/>
          <w:color w:val="auto"/>
          <w:kern w:val="0"/>
          <w:sz w:val="21"/>
          <w:szCs w:val="21"/>
          <w:highlight w:val="none"/>
          <w:lang w:val="en-US" w:eastAsia="zh-CN"/>
        </w:rPr>
        <w:t>投标</w:t>
      </w:r>
      <w:r>
        <w:rPr>
          <w:rFonts w:hint="eastAsia" w:ascii="宋体" w:hAnsi="宋体" w:eastAsia="宋体" w:cs="宋体"/>
          <w:color w:val="auto"/>
          <w:kern w:val="0"/>
          <w:sz w:val="21"/>
          <w:szCs w:val="21"/>
          <w:highlight w:val="none"/>
        </w:rPr>
        <w:t>人为完成本次采购而漏报的费用，均视为已包括在</w:t>
      </w:r>
      <w:r>
        <w:rPr>
          <w:rFonts w:hint="eastAsia" w:ascii="宋体" w:hAnsi="宋体" w:eastAsia="宋体" w:cs="宋体"/>
          <w:color w:val="auto"/>
          <w:kern w:val="0"/>
          <w:sz w:val="21"/>
          <w:szCs w:val="21"/>
          <w:highlight w:val="none"/>
          <w:lang w:val="en-US" w:eastAsia="zh-CN"/>
        </w:rPr>
        <w:t>投标</w:t>
      </w:r>
      <w:r>
        <w:rPr>
          <w:rFonts w:hint="eastAsia" w:ascii="宋体" w:hAnsi="宋体" w:eastAsia="宋体" w:cs="宋体"/>
          <w:color w:val="auto"/>
          <w:kern w:val="0"/>
          <w:sz w:val="21"/>
          <w:szCs w:val="21"/>
          <w:highlight w:val="none"/>
        </w:rPr>
        <w:t>人所报的全费用综合单价</w:t>
      </w:r>
      <w:r>
        <w:rPr>
          <w:rFonts w:hint="eastAsia" w:ascii="宋体" w:hAnsi="宋体" w:eastAsia="宋体" w:cs="宋体"/>
          <w:color w:val="auto"/>
          <w:kern w:val="0"/>
          <w:sz w:val="21"/>
          <w:szCs w:val="21"/>
          <w:highlight w:val="none"/>
          <w:lang w:val="en-US" w:eastAsia="zh-CN"/>
        </w:rPr>
        <w:t>和总价</w:t>
      </w:r>
      <w:r>
        <w:rPr>
          <w:rFonts w:hint="eastAsia" w:ascii="宋体" w:hAnsi="宋体" w:eastAsia="宋体" w:cs="宋体"/>
          <w:color w:val="auto"/>
          <w:kern w:val="0"/>
          <w:sz w:val="21"/>
          <w:szCs w:val="21"/>
          <w:highlight w:val="none"/>
        </w:rPr>
        <w:t>中。</w:t>
      </w:r>
    </w:p>
    <w:p w14:paraId="75E4000B">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3.3.2投标人应按照第四章投标文件格式完整地填写投标报价表和开标一览表，说明其拟提供货物（服务）的名称、简介（包括主要技术服务要求）、数量、价格、服务时间、合同履行期限等。</w:t>
      </w:r>
    </w:p>
    <w:p w14:paraId="66C9A42B">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3.3.3除投标人须知前附表中说明并允许外，每种货物和服务只允许有一个报价，任何有选择的报价将不予接受。</w:t>
      </w:r>
    </w:p>
    <w:p w14:paraId="43DFA86D">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3.3.4投标报价大小写金额不一致的，以</w:t>
      </w:r>
      <w:r>
        <w:rPr>
          <w:rFonts w:hint="eastAsia" w:hAnsi="宋体" w:cs="宋体"/>
          <w:b/>
          <w:color w:val="auto"/>
          <w:sz w:val="21"/>
          <w:szCs w:val="21"/>
          <w:highlight w:val="none"/>
        </w:rPr>
        <w:t>大写</w:t>
      </w:r>
      <w:r>
        <w:rPr>
          <w:rFonts w:hint="eastAsia" w:hAnsi="宋体" w:cs="宋体"/>
          <w:color w:val="auto"/>
          <w:sz w:val="21"/>
          <w:szCs w:val="21"/>
          <w:highlight w:val="none"/>
        </w:rPr>
        <w:t>金额为准；总价金额与按单价汇总金额不一致的，以</w:t>
      </w:r>
      <w:r>
        <w:rPr>
          <w:rFonts w:hint="eastAsia" w:hAnsi="宋体" w:cs="宋体"/>
          <w:b/>
          <w:color w:val="auto"/>
          <w:sz w:val="21"/>
          <w:szCs w:val="21"/>
          <w:highlight w:val="none"/>
        </w:rPr>
        <w:t>单价</w:t>
      </w:r>
      <w:r>
        <w:rPr>
          <w:rFonts w:hint="eastAsia" w:hAnsi="宋体" w:cs="宋体"/>
          <w:color w:val="auto"/>
          <w:sz w:val="21"/>
          <w:szCs w:val="21"/>
          <w:highlight w:val="none"/>
        </w:rPr>
        <w:t>金额计算结果为准；单价金额小数点有明显错位的，应以</w:t>
      </w:r>
      <w:r>
        <w:rPr>
          <w:rFonts w:hint="eastAsia" w:hAnsi="宋体" w:cs="宋体"/>
          <w:b/>
          <w:color w:val="auto"/>
          <w:sz w:val="21"/>
          <w:szCs w:val="21"/>
          <w:highlight w:val="none"/>
        </w:rPr>
        <w:t>总价</w:t>
      </w:r>
      <w:r>
        <w:rPr>
          <w:rFonts w:hint="eastAsia" w:hAnsi="宋体" w:cs="宋体"/>
          <w:color w:val="auto"/>
          <w:sz w:val="21"/>
          <w:szCs w:val="21"/>
          <w:highlight w:val="none"/>
        </w:rPr>
        <w:t>为准，并修改单价。</w:t>
      </w:r>
    </w:p>
    <w:p w14:paraId="135D4FC3">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3.3.5投标人不得哄抬报价，也不应低于成本价报价，否则一经查实，其投标将被否决投标。</w:t>
      </w:r>
    </w:p>
    <w:p w14:paraId="704CB7E6">
      <w:pPr>
        <w:spacing w:line="470" w:lineRule="exact"/>
        <w:ind w:firstLine="420" w:firstLineChars="200"/>
        <w:rPr>
          <w:rFonts w:hint="eastAsia" w:hAnsi="宋体" w:cs="宋体"/>
          <w:b/>
          <w:color w:val="auto"/>
          <w:sz w:val="21"/>
          <w:szCs w:val="21"/>
          <w:highlight w:val="none"/>
        </w:rPr>
      </w:pPr>
      <w:r>
        <w:rPr>
          <w:rFonts w:hint="eastAsia" w:hAnsi="宋体" w:cs="宋体"/>
          <w:b/>
          <w:color w:val="auto"/>
          <w:sz w:val="21"/>
          <w:szCs w:val="21"/>
          <w:highlight w:val="none"/>
        </w:rPr>
        <w:t>3.3.6本项目不承诺最低价一定中标。</w:t>
      </w:r>
    </w:p>
    <w:p w14:paraId="3C945F0D">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3.4 投标有效期</w:t>
      </w:r>
    </w:p>
    <w:p w14:paraId="5318C169">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3.4.1 投标有效期见投标人须知前附表。</w:t>
      </w:r>
    </w:p>
    <w:p w14:paraId="6DA93208">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3.4.2 在投标有效期内，投标人不得要求撤销或修改其投标文件。</w:t>
      </w:r>
    </w:p>
    <w:p w14:paraId="427EAFC1">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3.4.3 出现特殊情况需要延长投标有效期的，采购人以书面形式通知所有投标人延长投标有效期但不得要求或被允许修改投标文件；投标人拒绝延长的，其投标失效，但投标人有权收回其投标保证金。</w:t>
      </w:r>
    </w:p>
    <w:p w14:paraId="578D4D9D">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3.5投标保证金</w:t>
      </w:r>
    </w:p>
    <w:p w14:paraId="15F78AAF">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3.5.1 投标保证金金额和形式见投标人须知前附表。</w:t>
      </w:r>
    </w:p>
    <w:p w14:paraId="49F8EB16">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3.5.2 投标人在递交投标文件的同时，应按投标人须知前附表规定的金额、形式和第五章“投标文件格式”规定的投标保证金格式递交投标保证金，并作为其投标文件的组成部分。联合体投标的，其投标保证金可以联合体中的一方或共同提交投标保证金，以一方名义提交投标保证金的，对联合体各方均具有约束力。</w:t>
      </w:r>
    </w:p>
    <w:p w14:paraId="63CDCEB5">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3.5.3 投标人不按本章第3.5.1项要求提交投标保证金的，其投标文件作否决投标处理。</w:t>
      </w:r>
    </w:p>
    <w:p w14:paraId="1AAA0FEC">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3.5.4 采购人在中标通知书发出后退还未中标人的投标保证金，在签订合同后5个工作日内，向中标人退还投标保证金。</w:t>
      </w:r>
    </w:p>
    <w:p w14:paraId="598AF7A3">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3.5.5有下列情形之一的，投标保证金将不予退还；</w:t>
      </w:r>
    </w:p>
    <w:p w14:paraId="7DBF1E57">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（1）投标截止时间后，投标方撤销其投标书的；</w:t>
      </w:r>
    </w:p>
    <w:p w14:paraId="2FB8BE3C">
      <w:pPr>
        <w:autoSpaceDE w:val="0"/>
        <w:autoSpaceDN w:val="0"/>
        <w:adjustRightInd w:val="0"/>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 投标人提供虚假材料谋取中标的；</w:t>
      </w:r>
    </w:p>
    <w:p w14:paraId="6116E138">
      <w:pPr>
        <w:autoSpaceDE w:val="0"/>
        <w:autoSpaceDN w:val="0"/>
        <w:adjustRightInd w:val="0"/>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（3）投标人有围标、串标行为的；</w:t>
      </w:r>
    </w:p>
    <w:p w14:paraId="172EE1E9">
      <w:pPr>
        <w:autoSpaceDE w:val="0"/>
        <w:autoSpaceDN w:val="0"/>
        <w:adjustRightInd w:val="0"/>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（4）中标人无正当理由不与采购人订立合同，在签订合同时向采购人提出附加条件，或者不按照招标文件要求提交履约保证金的；</w:t>
      </w:r>
    </w:p>
    <w:p w14:paraId="0500CACD">
      <w:pPr>
        <w:autoSpaceDE w:val="0"/>
        <w:autoSpaceDN w:val="0"/>
        <w:adjustRightInd w:val="0"/>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（5）国家法律法规及招标文件规定的其他情形。</w:t>
      </w:r>
    </w:p>
    <w:p w14:paraId="57595C25">
      <w:pPr>
        <w:numPr>
          <w:ilvl w:val="1"/>
          <w:numId w:val="5"/>
        </w:numPr>
        <w:spacing w:line="470" w:lineRule="exact"/>
        <w:rPr>
          <w:rFonts w:hint="eastAsia" w:hAnsi="宋体" w:cs="宋体"/>
          <w:color w:val="auto"/>
          <w:sz w:val="21"/>
          <w:szCs w:val="21"/>
          <w:highlight w:val="none"/>
        </w:rPr>
      </w:pPr>
      <w:r>
        <w:rPr>
          <w:rFonts w:hint="eastAsia" w:hAnsi="宋体" w:cs="宋体"/>
          <w:color w:val="auto"/>
          <w:sz w:val="21"/>
          <w:szCs w:val="21"/>
          <w:highlight w:val="none"/>
        </w:rPr>
        <w:t>资格审查资料</w:t>
      </w:r>
    </w:p>
    <w:p w14:paraId="286BA701">
      <w:pPr>
        <w:spacing w:line="470" w:lineRule="exact"/>
        <w:ind w:left="480"/>
        <w:rPr>
          <w:rFonts w:hint="eastAsia" w:hAnsi="宋体" w:cs="宋体"/>
          <w:color w:val="auto"/>
          <w:sz w:val="21"/>
          <w:szCs w:val="21"/>
          <w:highlight w:val="none"/>
        </w:rPr>
      </w:pPr>
      <w:r>
        <w:rPr>
          <w:rFonts w:hint="eastAsia" w:hAnsi="宋体" w:cs="宋体"/>
          <w:color w:val="auto"/>
          <w:sz w:val="21"/>
          <w:szCs w:val="21"/>
          <w:highlight w:val="none"/>
        </w:rPr>
        <w:t>3.6.1 “投标人基本情况”应附投标人营业执照副本及其资质证书副本等材料的复印件。</w:t>
      </w:r>
    </w:p>
    <w:p w14:paraId="1F77C38C">
      <w:pPr>
        <w:spacing w:line="470" w:lineRule="exact"/>
        <w:ind w:left="480"/>
        <w:rPr>
          <w:rFonts w:hint="eastAsia" w:hAnsi="宋体" w:cs="宋体"/>
          <w:color w:val="auto"/>
          <w:sz w:val="21"/>
          <w:szCs w:val="21"/>
          <w:highlight w:val="none"/>
        </w:rPr>
      </w:pPr>
      <w:r>
        <w:rPr>
          <w:rFonts w:hint="eastAsia" w:hAnsi="宋体" w:cs="宋体"/>
          <w:color w:val="auto"/>
          <w:sz w:val="21"/>
          <w:szCs w:val="21"/>
          <w:highlight w:val="none"/>
        </w:rPr>
        <w:t>3.6.2 投标人须知前附表规定接受联合体投标的，本章第3.6.1项规定的表格和资料应包括联合体各方相关情况。</w:t>
      </w:r>
    </w:p>
    <w:p w14:paraId="73487EA3">
      <w:pPr>
        <w:spacing w:line="470" w:lineRule="exact"/>
        <w:ind w:left="480"/>
        <w:rPr>
          <w:rFonts w:hint="eastAsia" w:hAnsi="宋体" w:cs="宋体"/>
          <w:color w:val="auto"/>
          <w:sz w:val="21"/>
          <w:szCs w:val="21"/>
          <w:highlight w:val="none"/>
        </w:rPr>
      </w:pPr>
      <w:r>
        <w:rPr>
          <w:rFonts w:hint="eastAsia" w:hAnsi="宋体" w:cs="宋体"/>
          <w:color w:val="auto"/>
          <w:sz w:val="21"/>
          <w:szCs w:val="21"/>
          <w:highlight w:val="none"/>
        </w:rPr>
        <w:t>3.7 投标文件的编制</w:t>
      </w:r>
    </w:p>
    <w:p w14:paraId="24595B10">
      <w:pPr>
        <w:spacing w:line="470" w:lineRule="exact"/>
        <w:ind w:left="480"/>
        <w:rPr>
          <w:rFonts w:hint="eastAsia" w:hAnsi="宋体" w:cs="宋体"/>
          <w:color w:val="auto"/>
          <w:sz w:val="21"/>
          <w:szCs w:val="21"/>
          <w:highlight w:val="none"/>
        </w:rPr>
      </w:pPr>
      <w:r>
        <w:rPr>
          <w:rFonts w:hint="eastAsia" w:hAnsi="宋体" w:cs="宋体"/>
          <w:color w:val="auto"/>
          <w:sz w:val="21"/>
          <w:szCs w:val="21"/>
          <w:highlight w:val="none"/>
        </w:rPr>
        <w:t>3.7.1 投标文件应按第五章“投标文件格式”进行编写。</w:t>
      </w:r>
    </w:p>
    <w:p w14:paraId="09DCBE40">
      <w:pPr>
        <w:spacing w:line="470" w:lineRule="exact"/>
        <w:ind w:firstLine="315" w:firstLineChars="150"/>
        <w:rPr>
          <w:rFonts w:hint="eastAsia" w:hAnsi="宋体" w:cs="宋体"/>
          <w:b/>
          <w:color w:val="auto"/>
          <w:sz w:val="21"/>
          <w:szCs w:val="21"/>
          <w:highlight w:val="none"/>
        </w:rPr>
      </w:pPr>
      <w:r>
        <w:rPr>
          <w:rFonts w:hint="eastAsia" w:hAnsi="宋体" w:cs="宋体"/>
          <w:b/>
          <w:color w:val="auto"/>
          <w:sz w:val="21"/>
          <w:szCs w:val="21"/>
          <w:highlight w:val="none"/>
        </w:rPr>
        <w:t xml:space="preserve"> 3.7.2 投标文件应当对招标文件所载明的实质性要求和内容作出响应。</w:t>
      </w:r>
    </w:p>
    <w:p w14:paraId="4A3B2DC0">
      <w:pPr>
        <w:spacing w:line="470" w:lineRule="exact"/>
        <w:ind w:firstLine="315" w:firstLineChars="150"/>
        <w:rPr>
          <w:rFonts w:hint="eastAsia" w:hAnsi="宋体" w:cs="宋体"/>
          <w:color w:val="auto"/>
          <w:sz w:val="21"/>
          <w:szCs w:val="21"/>
          <w:highlight w:val="none"/>
        </w:rPr>
      </w:pPr>
      <w:r>
        <w:rPr>
          <w:rFonts w:hint="eastAsia" w:hAnsi="宋体" w:cs="宋体"/>
          <w:color w:val="auto"/>
          <w:sz w:val="21"/>
          <w:szCs w:val="21"/>
          <w:highlight w:val="none"/>
        </w:rPr>
        <w:t xml:space="preserve"> 3.7.3投标文件应用不褪色的材料书写或打印，并由投标人的法定代表人或其委托代理人按照招标文件要求进行签字或盖单位公章。委托代理人签字的，投标文件应附法定代表人（负责人）签署的授权委托书。</w:t>
      </w:r>
    </w:p>
    <w:p w14:paraId="70C9588B">
      <w:pPr>
        <w:spacing w:line="470" w:lineRule="exact"/>
        <w:ind w:firstLine="315" w:firstLineChars="150"/>
        <w:rPr>
          <w:rFonts w:hint="eastAsia" w:hAnsi="宋体" w:cs="宋体"/>
          <w:color w:val="auto"/>
          <w:sz w:val="21"/>
          <w:szCs w:val="21"/>
          <w:highlight w:val="none"/>
        </w:rPr>
      </w:pPr>
      <w:r>
        <w:rPr>
          <w:rFonts w:hint="eastAsia" w:hAnsi="宋体" w:cs="宋体"/>
          <w:color w:val="auto"/>
          <w:sz w:val="21"/>
          <w:szCs w:val="21"/>
          <w:highlight w:val="none"/>
        </w:rPr>
        <w:t xml:space="preserve"> 3.7.4投标文件份数：本次采购采用在政府采购云平台上进行参与开标会议与递交投标文件，投标人若有幸成交，须在签收采购合同前向采购人提交纸质投标文件一份。</w:t>
      </w:r>
    </w:p>
    <w:p w14:paraId="6BFD2C19">
      <w:pPr>
        <w:spacing w:line="470" w:lineRule="exact"/>
        <w:ind w:firstLine="315" w:firstLineChars="150"/>
        <w:rPr>
          <w:rFonts w:hint="eastAsia" w:hAnsi="宋体" w:cs="宋体"/>
          <w:color w:val="auto"/>
          <w:sz w:val="21"/>
          <w:szCs w:val="21"/>
          <w:highlight w:val="none"/>
        </w:rPr>
      </w:pPr>
      <w:r>
        <w:rPr>
          <w:rFonts w:hint="eastAsia" w:hAnsi="宋体" w:cs="宋体"/>
          <w:color w:val="auto"/>
          <w:sz w:val="21"/>
          <w:szCs w:val="21"/>
          <w:highlight w:val="none"/>
        </w:rPr>
        <w:t>3.8 语言文字</w:t>
      </w:r>
    </w:p>
    <w:p w14:paraId="1456F61C">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除专用术语外，与招标投标文件有关的语言均使用中文。必要时专用术语应附有中文注释。</w:t>
      </w:r>
    </w:p>
    <w:p w14:paraId="7D0E76E6">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3.9 计量单位</w:t>
      </w:r>
    </w:p>
    <w:p w14:paraId="07A40A79">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所有计量均采用中华人民共和国法定计量单位。</w:t>
      </w:r>
    </w:p>
    <w:p w14:paraId="3FDAA904">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3.10 踏勘现场</w:t>
      </w:r>
    </w:p>
    <w:p w14:paraId="0DD4D0FF">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3.10.1 投标人须知前附表规定组织踏勘现场的，采购人按投标人须知前附表规定的时间、地点组织投标人踏勘项目现场。</w:t>
      </w:r>
    </w:p>
    <w:p w14:paraId="4D7A1BB0">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3.10.2 投标人踏勘现场发生的费用自理。</w:t>
      </w:r>
    </w:p>
    <w:p w14:paraId="7FA6A146">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3.10.3 采购人在踏勘现场中介绍的情况，供投标人在编制投标文件时参考，采购人不对投标人据此作出的谈判和决策负责。</w:t>
      </w:r>
    </w:p>
    <w:p w14:paraId="70414066">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3.11 投标澄清会</w:t>
      </w:r>
    </w:p>
    <w:p w14:paraId="49851C81">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3.11.1 投标人须知前附表规定召开投标文件澄清会的，采购人按投标人须知前附表规定的时间和地点召开投标澄清会，澄清投标人提出的问题。</w:t>
      </w:r>
    </w:p>
    <w:p w14:paraId="653AD67B">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3.11.2 投标人应在投标人须知前附表规定的时间前，以书面形式将提出的问题送达采购人，以便采购人在会议期间澄清。</w:t>
      </w:r>
    </w:p>
    <w:p w14:paraId="0229727E">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3.11.3 投标澄清会后，采购人在投标须知前附表规定的时间内，将对投标人所提出问题的澄清，以书面方式通知所有购买招标文件的投标人。该澄清内容为招标文件的组成部分。</w:t>
      </w:r>
    </w:p>
    <w:p w14:paraId="5C56A0F2">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3.12 费用承担</w:t>
      </w:r>
    </w:p>
    <w:p w14:paraId="47AC9414">
      <w:pPr>
        <w:spacing w:line="470" w:lineRule="exact"/>
        <w:rPr>
          <w:rFonts w:hint="eastAsia" w:hAnsi="宋体" w:cs="宋体"/>
          <w:color w:val="auto"/>
          <w:sz w:val="21"/>
          <w:szCs w:val="21"/>
          <w:highlight w:val="none"/>
        </w:rPr>
      </w:pPr>
      <w:r>
        <w:rPr>
          <w:rFonts w:hint="eastAsia" w:hAnsi="宋体" w:cs="宋体"/>
          <w:color w:val="auto"/>
          <w:sz w:val="21"/>
          <w:szCs w:val="21"/>
          <w:highlight w:val="none"/>
        </w:rPr>
        <w:t xml:space="preserve">    3.12.1投标人应承担其编制投标文件与递交投标文件所涉及的一切费用，不论投标结果如何，采购人在任何情况下无义务和也无责任承担这些费用。</w:t>
      </w:r>
    </w:p>
    <w:p w14:paraId="02F43AAC">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3.12.2中标人须向采购代理机构按如下标准和规定缴纳招标代理服务费。</w:t>
      </w:r>
    </w:p>
    <w:p w14:paraId="75D303AF">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招标代理费（中标服务费）：采购代理机构向中标人收取中标服务费，并以中标金额为计算费用基数，以下计费规则按差额定率累进法计算计取：</w:t>
      </w:r>
    </w:p>
    <w:p w14:paraId="7BB2FCCA">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（1）若中标金额≥100万元，招标代理服务费（万元）=【100万元×1.5%+（中标金额-100万元）×0.8%】×60%；若中标金额＜100万元，招标代理服务费（万元）=中标金额×1.5%×60%。</w:t>
      </w:r>
    </w:p>
    <w:p w14:paraId="04F8F276">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（2）在领取中标通知书时一次性向采购代理机构支付。除上述费用外，不再收取其他任何费用。</w:t>
      </w:r>
    </w:p>
    <w:p w14:paraId="6C7F932F">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（3）招标代理服务费及招标文件费以现金方式或转账方式直接缴纳；</w:t>
      </w:r>
    </w:p>
    <w:p w14:paraId="4DBC9F1D">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户名：保山市天瑞建设工程招标咨询有限公司</w:t>
      </w:r>
    </w:p>
    <w:p w14:paraId="38DE63CB">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开户银行：中国建设银行有限公司保山新村支行</w:t>
      </w:r>
    </w:p>
    <w:p w14:paraId="0E06E7CC">
      <w:pPr>
        <w:spacing w:line="47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账号：5300 1728 6420 5100 0568</w:t>
      </w:r>
    </w:p>
    <w:p w14:paraId="4F4B829E">
      <w:pPr>
        <w:spacing w:line="470" w:lineRule="exact"/>
        <w:ind w:firstLine="420" w:firstLineChars="200"/>
        <w:rPr>
          <w:rFonts w:hint="eastAsia" w:hAnsi="宋体" w:cs="宋体"/>
          <w:color w:val="auto"/>
          <w:sz w:val="21"/>
          <w:szCs w:val="21"/>
          <w:highlight w:val="none"/>
        </w:rPr>
      </w:pPr>
    </w:p>
    <w:p w14:paraId="47B62F01">
      <w:pPr>
        <w:pStyle w:val="7"/>
        <w:numPr>
          <w:ilvl w:val="0"/>
          <w:numId w:val="0"/>
        </w:numPr>
        <w:spacing w:before="0" w:after="0" w:line="470" w:lineRule="exact"/>
        <w:rPr>
          <w:rFonts w:ascii="宋体"/>
          <w:color w:val="auto"/>
          <w:highlight w:val="none"/>
        </w:rPr>
      </w:pPr>
      <w:bookmarkStart w:id="13" w:name="_Toc15825"/>
    </w:p>
    <w:p w14:paraId="4AAE4178">
      <w:pPr>
        <w:pStyle w:val="7"/>
        <w:numPr>
          <w:ilvl w:val="0"/>
          <w:numId w:val="0"/>
        </w:numPr>
        <w:spacing w:before="0" w:after="0" w:line="470" w:lineRule="exact"/>
        <w:rPr>
          <w:rFonts w:ascii="宋体"/>
          <w:b w:val="0"/>
          <w:color w:val="auto"/>
          <w:sz w:val="24"/>
          <w:highlight w:val="none"/>
        </w:rPr>
      </w:pPr>
      <w:bookmarkStart w:id="14" w:name="_Toc12702"/>
      <w:r>
        <w:rPr>
          <w:rFonts w:hint="eastAsia" w:ascii="宋体"/>
          <w:color w:val="auto"/>
          <w:highlight w:val="none"/>
        </w:rPr>
        <w:t>4.投标</w:t>
      </w:r>
      <w:bookmarkEnd w:id="13"/>
      <w:bookmarkEnd w:id="14"/>
    </w:p>
    <w:p w14:paraId="64408C76">
      <w:pPr>
        <w:spacing w:line="470" w:lineRule="exact"/>
        <w:ind w:firstLine="420" w:firstLineChars="200"/>
        <w:rPr>
          <w:color w:val="auto"/>
          <w:sz w:val="21"/>
          <w:szCs w:val="21"/>
          <w:highlight w:val="none"/>
        </w:rPr>
      </w:pPr>
      <w:r>
        <w:rPr>
          <w:rFonts w:hint="eastAsia"/>
          <w:color w:val="auto"/>
          <w:sz w:val="21"/>
          <w:szCs w:val="21"/>
          <w:highlight w:val="none"/>
        </w:rPr>
        <w:t>4.1本次采购采用在政府采购云平台（www.zcygov.cn）上进行采购与递交投标文件，投标文件递交要求见投标人须知前附表。</w:t>
      </w:r>
    </w:p>
    <w:p w14:paraId="6A5296FA">
      <w:pPr>
        <w:spacing w:line="470" w:lineRule="exact"/>
        <w:rPr>
          <w:color w:val="auto"/>
          <w:sz w:val="21"/>
          <w:szCs w:val="21"/>
          <w:highlight w:val="none"/>
        </w:rPr>
      </w:pPr>
      <w:r>
        <w:rPr>
          <w:rFonts w:hint="eastAsia"/>
          <w:color w:val="auto"/>
          <w:sz w:val="21"/>
          <w:szCs w:val="21"/>
          <w:highlight w:val="none"/>
        </w:rPr>
        <w:t xml:space="preserve">    4.2 投标文件的递交</w:t>
      </w:r>
    </w:p>
    <w:p w14:paraId="5F5122A9">
      <w:pPr>
        <w:spacing w:line="470" w:lineRule="exact"/>
        <w:rPr>
          <w:color w:val="auto"/>
          <w:sz w:val="21"/>
          <w:szCs w:val="21"/>
          <w:highlight w:val="none"/>
        </w:rPr>
      </w:pPr>
      <w:r>
        <w:rPr>
          <w:rFonts w:hint="eastAsia"/>
          <w:color w:val="auto"/>
          <w:sz w:val="21"/>
          <w:szCs w:val="21"/>
          <w:highlight w:val="none"/>
        </w:rPr>
        <w:t xml:space="preserve">    4.2.1 投标人应在本章第3.2项规定的投标截止时间之前递交投标文件。</w:t>
      </w:r>
    </w:p>
    <w:p w14:paraId="63435FDD">
      <w:pPr>
        <w:spacing w:line="470" w:lineRule="exact"/>
        <w:rPr>
          <w:color w:val="auto"/>
          <w:sz w:val="21"/>
          <w:szCs w:val="21"/>
          <w:highlight w:val="none"/>
        </w:rPr>
      </w:pPr>
      <w:r>
        <w:rPr>
          <w:rFonts w:hint="eastAsia"/>
          <w:color w:val="auto"/>
          <w:sz w:val="21"/>
          <w:szCs w:val="21"/>
          <w:highlight w:val="none"/>
        </w:rPr>
        <w:t xml:space="preserve">    4.2.2 投标人递交投标文件的地点和方式：见投标人须知前附表。</w:t>
      </w:r>
    </w:p>
    <w:p w14:paraId="69380DCA">
      <w:pPr>
        <w:spacing w:line="470" w:lineRule="exact"/>
        <w:rPr>
          <w:color w:val="auto"/>
          <w:sz w:val="21"/>
          <w:szCs w:val="21"/>
          <w:highlight w:val="none"/>
        </w:rPr>
      </w:pPr>
      <w:r>
        <w:rPr>
          <w:rFonts w:hint="eastAsia"/>
          <w:color w:val="auto"/>
          <w:sz w:val="21"/>
          <w:szCs w:val="21"/>
          <w:highlight w:val="none"/>
        </w:rPr>
        <w:t xml:space="preserve">    4.2.3投标人所递交的投标文件不予退还。</w:t>
      </w:r>
    </w:p>
    <w:p w14:paraId="2AD29DEB">
      <w:pPr>
        <w:spacing w:line="470" w:lineRule="exact"/>
        <w:rPr>
          <w:color w:val="auto"/>
          <w:sz w:val="21"/>
          <w:szCs w:val="21"/>
          <w:highlight w:val="none"/>
        </w:rPr>
      </w:pPr>
      <w:r>
        <w:rPr>
          <w:rFonts w:hint="eastAsia"/>
          <w:color w:val="auto"/>
          <w:sz w:val="21"/>
          <w:szCs w:val="21"/>
          <w:highlight w:val="none"/>
        </w:rPr>
        <w:t xml:space="preserve">    4.2.4逾期送达的或者未送达指定地点的投标文件，采购人不予受理。</w:t>
      </w:r>
    </w:p>
    <w:p w14:paraId="2EECA613">
      <w:pPr>
        <w:spacing w:line="470" w:lineRule="exact"/>
        <w:rPr>
          <w:color w:val="auto"/>
          <w:sz w:val="21"/>
          <w:szCs w:val="21"/>
          <w:highlight w:val="none"/>
        </w:rPr>
      </w:pPr>
      <w:r>
        <w:rPr>
          <w:rFonts w:hint="eastAsia"/>
          <w:color w:val="auto"/>
          <w:sz w:val="21"/>
          <w:szCs w:val="21"/>
          <w:highlight w:val="none"/>
        </w:rPr>
        <w:t xml:space="preserve">    4.3 投标文件的修改与撤回</w:t>
      </w:r>
    </w:p>
    <w:p w14:paraId="1B72F3AC">
      <w:pPr>
        <w:spacing w:line="470" w:lineRule="exact"/>
        <w:ind w:firstLine="480"/>
        <w:rPr>
          <w:color w:val="auto"/>
          <w:sz w:val="21"/>
          <w:szCs w:val="21"/>
          <w:highlight w:val="none"/>
        </w:rPr>
      </w:pPr>
      <w:r>
        <w:rPr>
          <w:rFonts w:hint="eastAsia"/>
          <w:color w:val="auto"/>
          <w:sz w:val="21"/>
          <w:szCs w:val="21"/>
          <w:highlight w:val="none"/>
        </w:rPr>
        <w:t>4.3.1 在本章第3.2项规定的投标截止时间前，投标人可以修改或撤回已递交的投标文件，但应以书面形式通知采购人，该通知须有经正式授权的投标方代表签字，同时应出具投标人法定代表人（负责人）的授权书。</w:t>
      </w:r>
    </w:p>
    <w:p w14:paraId="287C0112">
      <w:pPr>
        <w:spacing w:line="470" w:lineRule="exact"/>
        <w:ind w:firstLine="480"/>
        <w:rPr>
          <w:color w:val="auto"/>
          <w:sz w:val="21"/>
          <w:szCs w:val="21"/>
          <w:highlight w:val="none"/>
        </w:rPr>
      </w:pPr>
      <w:r>
        <w:rPr>
          <w:rFonts w:hint="eastAsia"/>
          <w:color w:val="auto"/>
          <w:sz w:val="21"/>
          <w:szCs w:val="21"/>
          <w:highlight w:val="none"/>
        </w:rPr>
        <w:t>4.3.2在投标截止时间至投标有效期结束前，投标人不得撤回其投标文件，否则其投标保证金将不予退还。</w:t>
      </w:r>
    </w:p>
    <w:p w14:paraId="773A44D2">
      <w:pPr>
        <w:spacing w:line="470" w:lineRule="exact"/>
        <w:ind w:firstLine="420" w:firstLineChars="200"/>
        <w:rPr>
          <w:color w:val="auto"/>
          <w:sz w:val="24"/>
          <w:highlight w:val="none"/>
        </w:rPr>
      </w:pPr>
      <w:r>
        <w:rPr>
          <w:rFonts w:hint="eastAsia"/>
          <w:color w:val="auto"/>
          <w:sz w:val="21"/>
          <w:szCs w:val="21"/>
          <w:highlight w:val="none"/>
        </w:rPr>
        <w:t>4.3.3投标截止时间以后不得修改投标文件。</w:t>
      </w:r>
    </w:p>
    <w:p w14:paraId="36B7E38F">
      <w:pPr>
        <w:pStyle w:val="7"/>
        <w:numPr>
          <w:ilvl w:val="0"/>
          <w:numId w:val="0"/>
        </w:numPr>
        <w:spacing w:before="0" w:after="0" w:line="470" w:lineRule="exact"/>
        <w:rPr>
          <w:rFonts w:ascii="宋体"/>
          <w:color w:val="auto"/>
          <w:highlight w:val="none"/>
        </w:rPr>
      </w:pPr>
      <w:bookmarkStart w:id="15" w:name="_Toc20563"/>
    </w:p>
    <w:p w14:paraId="2071C5B3">
      <w:pPr>
        <w:pStyle w:val="7"/>
        <w:numPr>
          <w:ilvl w:val="0"/>
          <w:numId w:val="0"/>
        </w:numPr>
        <w:spacing w:before="0" w:after="0" w:line="470" w:lineRule="exact"/>
        <w:rPr>
          <w:rFonts w:ascii="宋体"/>
          <w:color w:val="auto"/>
          <w:highlight w:val="none"/>
        </w:rPr>
      </w:pPr>
      <w:bookmarkStart w:id="16" w:name="_Toc16510"/>
      <w:r>
        <w:rPr>
          <w:rFonts w:hint="eastAsia" w:ascii="宋体"/>
          <w:color w:val="auto"/>
          <w:highlight w:val="none"/>
        </w:rPr>
        <w:t>5.开标</w:t>
      </w:r>
      <w:bookmarkEnd w:id="15"/>
      <w:bookmarkEnd w:id="16"/>
    </w:p>
    <w:p w14:paraId="66F6E13F">
      <w:pPr>
        <w:spacing w:line="470" w:lineRule="exact"/>
        <w:ind w:firstLine="420" w:firstLineChars="200"/>
        <w:rPr>
          <w:color w:val="auto"/>
          <w:sz w:val="21"/>
          <w:szCs w:val="21"/>
          <w:highlight w:val="none"/>
        </w:rPr>
      </w:pPr>
      <w:r>
        <w:rPr>
          <w:rFonts w:hint="eastAsia"/>
          <w:color w:val="auto"/>
          <w:sz w:val="21"/>
          <w:szCs w:val="21"/>
          <w:highlight w:val="none"/>
        </w:rPr>
        <w:t>5.1开标时间、地点和方式</w:t>
      </w:r>
    </w:p>
    <w:p w14:paraId="62472017">
      <w:pPr>
        <w:spacing w:line="470" w:lineRule="exact"/>
        <w:ind w:firstLine="420" w:firstLineChars="200"/>
        <w:rPr>
          <w:color w:val="auto"/>
          <w:sz w:val="21"/>
          <w:szCs w:val="21"/>
          <w:highlight w:val="none"/>
        </w:rPr>
      </w:pPr>
      <w:r>
        <w:rPr>
          <w:rFonts w:hint="eastAsia"/>
          <w:color w:val="auto"/>
          <w:sz w:val="21"/>
          <w:szCs w:val="21"/>
          <w:highlight w:val="none"/>
        </w:rPr>
        <w:t>采购人在本章投标人须知前附表规定的投标截止时间（开标时间）通过政府采购云平台举行开标会议，并请各投标人通过政府采购云平台参加开标会议。</w:t>
      </w:r>
    </w:p>
    <w:p w14:paraId="01941D2D">
      <w:pPr>
        <w:spacing w:line="470" w:lineRule="exact"/>
        <w:ind w:firstLine="420" w:firstLineChars="200"/>
        <w:rPr>
          <w:color w:val="auto"/>
          <w:sz w:val="21"/>
          <w:szCs w:val="21"/>
          <w:highlight w:val="none"/>
        </w:rPr>
      </w:pPr>
      <w:r>
        <w:rPr>
          <w:rFonts w:hint="eastAsia"/>
          <w:color w:val="auto"/>
          <w:sz w:val="21"/>
          <w:szCs w:val="21"/>
          <w:highlight w:val="none"/>
        </w:rPr>
        <w:t>5.2 开标程序</w:t>
      </w:r>
    </w:p>
    <w:p w14:paraId="727B3975">
      <w:pPr>
        <w:spacing w:line="470" w:lineRule="exact"/>
        <w:ind w:firstLine="315" w:firstLineChars="150"/>
        <w:rPr>
          <w:color w:val="auto"/>
          <w:sz w:val="21"/>
          <w:szCs w:val="21"/>
          <w:highlight w:val="none"/>
        </w:rPr>
      </w:pPr>
      <w:r>
        <w:rPr>
          <w:rFonts w:hint="eastAsia"/>
          <w:color w:val="auto"/>
          <w:sz w:val="21"/>
          <w:szCs w:val="21"/>
          <w:highlight w:val="none"/>
        </w:rPr>
        <w:t>（1）开标时，由系统自动显示各投标人的相关开标报价信息。</w:t>
      </w:r>
    </w:p>
    <w:p w14:paraId="66DB3FC2">
      <w:pPr>
        <w:spacing w:line="470" w:lineRule="exact"/>
        <w:ind w:firstLine="315" w:firstLineChars="150"/>
        <w:rPr>
          <w:color w:val="auto"/>
          <w:sz w:val="21"/>
          <w:szCs w:val="21"/>
          <w:highlight w:val="none"/>
        </w:rPr>
      </w:pPr>
      <w:r>
        <w:rPr>
          <w:rFonts w:hint="eastAsia"/>
          <w:color w:val="auto"/>
          <w:sz w:val="21"/>
          <w:szCs w:val="21"/>
          <w:highlight w:val="none"/>
        </w:rPr>
        <w:t>（2）系统自动显示开标记录（包含投标人名称、投标报价、项目服务质量承诺、合同履行期限、项目负责人等信息），并由所有投标人在政府采购云平台中确认，以示公平。</w:t>
      </w:r>
    </w:p>
    <w:p w14:paraId="0D25A972">
      <w:pPr>
        <w:spacing w:line="470" w:lineRule="exact"/>
        <w:ind w:firstLine="315" w:firstLineChars="150"/>
        <w:rPr>
          <w:color w:val="auto"/>
          <w:sz w:val="21"/>
          <w:szCs w:val="21"/>
          <w:highlight w:val="none"/>
        </w:rPr>
      </w:pPr>
      <w:r>
        <w:rPr>
          <w:rFonts w:hint="eastAsia"/>
          <w:color w:val="auto"/>
          <w:sz w:val="21"/>
          <w:szCs w:val="21"/>
          <w:highlight w:val="none"/>
        </w:rPr>
        <w:t>（3）开标结束。</w:t>
      </w:r>
    </w:p>
    <w:p w14:paraId="21D6D7CA">
      <w:pPr>
        <w:pStyle w:val="7"/>
        <w:numPr>
          <w:ilvl w:val="0"/>
          <w:numId w:val="0"/>
        </w:numPr>
        <w:spacing w:before="0" w:after="0" w:line="470" w:lineRule="exact"/>
        <w:rPr>
          <w:rFonts w:ascii="宋体"/>
          <w:color w:val="auto"/>
          <w:highlight w:val="none"/>
        </w:rPr>
      </w:pPr>
      <w:bookmarkStart w:id="17" w:name="_Toc1615"/>
    </w:p>
    <w:p w14:paraId="32C014B5">
      <w:pPr>
        <w:pStyle w:val="7"/>
        <w:numPr>
          <w:ilvl w:val="0"/>
          <w:numId w:val="0"/>
        </w:numPr>
        <w:spacing w:before="0" w:after="0" w:line="470" w:lineRule="exact"/>
        <w:rPr>
          <w:rFonts w:ascii="宋体"/>
          <w:color w:val="auto"/>
          <w:highlight w:val="none"/>
        </w:rPr>
      </w:pPr>
      <w:bookmarkStart w:id="18" w:name="_Toc27028"/>
      <w:r>
        <w:rPr>
          <w:rFonts w:hint="eastAsia" w:ascii="宋体"/>
          <w:color w:val="auto"/>
          <w:highlight w:val="none"/>
        </w:rPr>
        <w:t>6.资格审查及评标</w:t>
      </w:r>
      <w:bookmarkEnd w:id="17"/>
      <w:bookmarkEnd w:id="18"/>
    </w:p>
    <w:p w14:paraId="46DA62BC">
      <w:pPr>
        <w:spacing w:line="470" w:lineRule="exact"/>
        <w:ind w:firstLine="420" w:firstLineChars="200"/>
        <w:rPr>
          <w:color w:val="auto"/>
          <w:sz w:val="21"/>
          <w:szCs w:val="21"/>
          <w:highlight w:val="none"/>
        </w:rPr>
      </w:pPr>
      <w:r>
        <w:rPr>
          <w:rFonts w:hint="eastAsia"/>
          <w:color w:val="auto"/>
          <w:sz w:val="21"/>
          <w:szCs w:val="21"/>
          <w:highlight w:val="none"/>
        </w:rPr>
        <w:t>6.1资格审查：采购人及采购代理机构按照第三章“资格审查”规定的评标因素、标准和程序对投标文件进行评审。第三章“资格审查”有规定的评审因素和标准，不作为评标依据。</w:t>
      </w:r>
    </w:p>
    <w:p w14:paraId="342544F4">
      <w:pPr>
        <w:spacing w:line="470" w:lineRule="exact"/>
        <w:ind w:firstLine="420" w:firstLineChars="200"/>
        <w:rPr>
          <w:color w:val="auto"/>
          <w:sz w:val="21"/>
          <w:szCs w:val="21"/>
          <w:highlight w:val="none"/>
        </w:rPr>
      </w:pPr>
      <w:r>
        <w:rPr>
          <w:rFonts w:hint="eastAsia"/>
          <w:color w:val="auto"/>
          <w:sz w:val="21"/>
          <w:szCs w:val="21"/>
          <w:highlight w:val="none"/>
        </w:rPr>
        <w:t>6.2 评标委员会</w:t>
      </w:r>
    </w:p>
    <w:p w14:paraId="051CE780">
      <w:pPr>
        <w:spacing w:line="470" w:lineRule="exact"/>
        <w:ind w:left="420" w:hanging="420" w:hangingChars="200"/>
        <w:rPr>
          <w:color w:val="auto"/>
          <w:sz w:val="21"/>
          <w:szCs w:val="21"/>
          <w:highlight w:val="none"/>
        </w:rPr>
      </w:pPr>
      <w:r>
        <w:rPr>
          <w:rFonts w:hint="eastAsia"/>
          <w:color w:val="auto"/>
          <w:sz w:val="21"/>
          <w:szCs w:val="21"/>
          <w:highlight w:val="none"/>
        </w:rPr>
        <w:t xml:space="preserve">    评标由采购人依法组建的评标委员会负责，评标委员会人数由</w:t>
      </w:r>
      <w:r>
        <w:rPr>
          <w:rFonts w:hint="eastAsia"/>
          <w:color w:val="auto"/>
          <w:sz w:val="21"/>
          <w:szCs w:val="21"/>
          <w:highlight w:val="none"/>
          <w:lang w:val="en-US" w:eastAsia="zh-CN"/>
        </w:rPr>
        <w:t>5</w:t>
      </w:r>
      <w:r>
        <w:rPr>
          <w:rFonts w:hint="eastAsia"/>
          <w:color w:val="auto"/>
          <w:sz w:val="21"/>
          <w:szCs w:val="21"/>
          <w:highlight w:val="none"/>
        </w:rPr>
        <w:t>人及以上单数组成。</w:t>
      </w:r>
    </w:p>
    <w:p w14:paraId="58EB9229">
      <w:pPr>
        <w:spacing w:line="470" w:lineRule="exact"/>
        <w:ind w:left="525" w:leftChars="150" w:hanging="105" w:hangingChars="50"/>
        <w:rPr>
          <w:color w:val="auto"/>
          <w:sz w:val="21"/>
          <w:szCs w:val="21"/>
          <w:highlight w:val="none"/>
        </w:rPr>
      </w:pPr>
      <w:r>
        <w:rPr>
          <w:rFonts w:hint="eastAsia"/>
          <w:color w:val="auto"/>
          <w:sz w:val="21"/>
          <w:szCs w:val="21"/>
          <w:highlight w:val="none"/>
        </w:rPr>
        <w:t>6.3评标原则</w:t>
      </w:r>
    </w:p>
    <w:p w14:paraId="1A0A5C20">
      <w:pPr>
        <w:spacing w:line="470" w:lineRule="exact"/>
        <w:ind w:left="638" w:leftChars="228"/>
        <w:rPr>
          <w:color w:val="auto"/>
          <w:sz w:val="21"/>
          <w:szCs w:val="21"/>
          <w:highlight w:val="none"/>
        </w:rPr>
      </w:pPr>
      <w:r>
        <w:rPr>
          <w:rFonts w:hint="eastAsia"/>
          <w:color w:val="auto"/>
          <w:sz w:val="21"/>
          <w:szCs w:val="21"/>
          <w:highlight w:val="none"/>
        </w:rPr>
        <w:t>依照“公平、公正、科学、择优、合法、保密”原则。</w:t>
      </w:r>
    </w:p>
    <w:p w14:paraId="55835B2B">
      <w:pPr>
        <w:spacing w:line="470" w:lineRule="exact"/>
        <w:ind w:firstLine="420" w:firstLineChars="200"/>
        <w:rPr>
          <w:color w:val="auto"/>
          <w:sz w:val="21"/>
          <w:szCs w:val="21"/>
          <w:highlight w:val="none"/>
        </w:rPr>
      </w:pPr>
      <w:r>
        <w:rPr>
          <w:rFonts w:hint="eastAsia"/>
          <w:color w:val="auto"/>
          <w:sz w:val="21"/>
          <w:szCs w:val="21"/>
          <w:highlight w:val="none"/>
        </w:rPr>
        <w:t>6.4评标办法和标准</w:t>
      </w:r>
    </w:p>
    <w:p w14:paraId="05F66786">
      <w:pPr>
        <w:spacing w:line="470" w:lineRule="exact"/>
        <w:ind w:firstLine="420" w:firstLineChars="200"/>
        <w:rPr>
          <w:color w:val="auto"/>
          <w:sz w:val="21"/>
          <w:szCs w:val="21"/>
          <w:highlight w:val="none"/>
        </w:rPr>
      </w:pPr>
      <w:r>
        <w:rPr>
          <w:rFonts w:hint="eastAsia"/>
          <w:color w:val="auto"/>
          <w:sz w:val="21"/>
          <w:szCs w:val="21"/>
          <w:highlight w:val="none"/>
        </w:rPr>
        <w:t>6.4.1评标办法：综合评分法</w:t>
      </w:r>
      <w:r>
        <w:rPr>
          <w:color w:val="auto"/>
          <w:sz w:val="21"/>
          <w:szCs w:val="21"/>
          <w:highlight w:val="none"/>
        </w:rPr>
        <w:t>，是指在最大限度地满足招标文件实质性要求前提下，按照招标文件中规定的各项因素进行综合评审后，按评标总得分的高低顺序推荐出中标候选人。</w:t>
      </w:r>
    </w:p>
    <w:p w14:paraId="373D2328">
      <w:pPr>
        <w:spacing w:line="470" w:lineRule="exact"/>
        <w:ind w:firstLine="420" w:firstLineChars="200"/>
        <w:rPr>
          <w:color w:val="auto"/>
          <w:sz w:val="24"/>
          <w:highlight w:val="none"/>
        </w:rPr>
      </w:pPr>
      <w:r>
        <w:rPr>
          <w:rFonts w:hint="eastAsia"/>
          <w:color w:val="auto"/>
          <w:sz w:val="21"/>
          <w:szCs w:val="21"/>
          <w:highlight w:val="none"/>
        </w:rPr>
        <w:t>6.4.2 评标委员会按照本章第6.4.1项规定评标方法和第四章“评标办法”规定的评标因素、标准和程序对投标文件进行评审。第四章“评标办法”没有规定的评审因素和标准，不作为评标依据。</w:t>
      </w:r>
    </w:p>
    <w:p w14:paraId="0AFACD5E">
      <w:pPr>
        <w:pStyle w:val="7"/>
        <w:numPr>
          <w:ilvl w:val="0"/>
          <w:numId w:val="0"/>
        </w:numPr>
        <w:spacing w:before="0" w:after="0" w:line="470" w:lineRule="exact"/>
        <w:rPr>
          <w:rFonts w:ascii="宋体"/>
          <w:color w:val="auto"/>
          <w:highlight w:val="none"/>
        </w:rPr>
      </w:pPr>
      <w:bookmarkStart w:id="19" w:name="_Toc28606"/>
    </w:p>
    <w:p w14:paraId="63483572">
      <w:pPr>
        <w:pStyle w:val="7"/>
        <w:numPr>
          <w:ilvl w:val="0"/>
          <w:numId w:val="0"/>
        </w:numPr>
        <w:spacing w:before="0" w:after="0" w:line="470" w:lineRule="exact"/>
        <w:rPr>
          <w:rFonts w:ascii="宋体"/>
          <w:color w:val="auto"/>
          <w:highlight w:val="none"/>
        </w:rPr>
      </w:pPr>
      <w:bookmarkStart w:id="20" w:name="_Toc26402"/>
      <w:r>
        <w:rPr>
          <w:rFonts w:hint="eastAsia" w:ascii="宋体"/>
          <w:color w:val="auto"/>
          <w:highlight w:val="none"/>
        </w:rPr>
        <w:t>7.合同授予</w:t>
      </w:r>
      <w:bookmarkEnd w:id="19"/>
      <w:bookmarkEnd w:id="20"/>
    </w:p>
    <w:p w14:paraId="3431D0C2">
      <w:pPr>
        <w:spacing w:line="470" w:lineRule="exact"/>
        <w:ind w:firstLine="315" w:firstLineChars="150"/>
        <w:rPr>
          <w:color w:val="auto"/>
          <w:sz w:val="21"/>
          <w:szCs w:val="21"/>
          <w:highlight w:val="none"/>
        </w:rPr>
      </w:pPr>
      <w:r>
        <w:rPr>
          <w:rFonts w:hint="eastAsia"/>
          <w:color w:val="auto"/>
          <w:sz w:val="21"/>
          <w:szCs w:val="21"/>
          <w:highlight w:val="none"/>
        </w:rPr>
        <w:t>7.1 中标人的确定</w:t>
      </w:r>
    </w:p>
    <w:p w14:paraId="3A8B9158">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7.1.1 采购代理机构在评审结束后2个工作日内将评审报告送采购人确认。采购人应当在收到评审报告后5个工作日内，根据评审报告提出的中标候选人情况，按照综合得分由高到低的原则确定中标人。采购代理机构将在中标人确定后2个工作日内将中标结果在招标公告发布媒体进行发布。</w:t>
      </w:r>
    </w:p>
    <w:p w14:paraId="5AFB44BB">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7.1.2排名第一的中标候选人放弃中标、因不可抗力提出不能履行合同，或者招标文件规定应当提交履约保证金而在规定的期限内未能提交的</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招标文件如规定履约保证金的</w:t>
      </w:r>
      <w:r>
        <w:rPr>
          <w:rFonts w:hint="eastAsia" w:hAnsi="宋体" w:cs="宋体"/>
          <w:color w:val="auto"/>
          <w:sz w:val="21"/>
          <w:szCs w:val="21"/>
          <w:highlight w:val="none"/>
          <w:lang w:eastAsia="zh-CN"/>
        </w:rPr>
        <w:t>）</w:t>
      </w:r>
      <w:r>
        <w:rPr>
          <w:rFonts w:hint="eastAsia" w:hAnsi="宋体" w:cs="宋体"/>
          <w:color w:val="auto"/>
          <w:sz w:val="21"/>
          <w:szCs w:val="21"/>
          <w:highlight w:val="none"/>
        </w:rPr>
        <w:t xml:space="preserve">，采购人可以确定排名第二的中标候选人为中标人。 </w:t>
      </w:r>
    </w:p>
    <w:p w14:paraId="62DE5385">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7.1.3排名第二的中标候选人因前款规定的同样原因不能签订合同的，采购人可以确定排名第三的中标候选人为中标人，以此类推。</w:t>
      </w:r>
    </w:p>
    <w:p w14:paraId="02BB8996">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7.1.4采购人不能保证最低报价的投标人最终中标。</w:t>
      </w:r>
    </w:p>
    <w:p w14:paraId="1785A6EA">
      <w:pPr>
        <w:spacing w:line="470" w:lineRule="exact"/>
        <w:ind w:firstLine="210" w:firstLineChars="100"/>
        <w:rPr>
          <w:color w:val="auto"/>
          <w:sz w:val="21"/>
          <w:szCs w:val="21"/>
          <w:highlight w:val="none"/>
        </w:rPr>
      </w:pPr>
      <w:r>
        <w:rPr>
          <w:rFonts w:hint="eastAsia"/>
          <w:color w:val="auto"/>
          <w:sz w:val="21"/>
          <w:szCs w:val="21"/>
          <w:highlight w:val="none"/>
        </w:rPr>
        <w:t>7.2投标补偿</w:t>
      </w:r>
    </w:p>
    <w:p w14:paraId="26A72204">
      <w:pPr>
        <w:spacing w:line="470" w:lineRule="exact"/>
        <w:ind w:firstLine="210" w:firstLineChars="100"/>
        <w:rPr>
          <w:b/>
          <w:color w:val="auto"/>
          <w:sz w:val="21"/>
          <w:szCs w:val="21"/>
          <w:highlight w:val="none"/>
        </w:rPr>
      </w:pPr>
      <w:r>
        <w:rPr>
          <w:rFonts w:hint="eastAsia"/>
          <w:b/>
          <w:color w:val="auto"/>
          <w:sz w:val="21"/>
          <w:szCs w:val="21"/>
          <w:highlight w:val="none"/>
        </w:rPr>
        <w:t xml:space="preserve"> 本采购项目对未中标的投标人不予补偿。</w:t>
      </w:r>
    </w:p>
    <w:p w14:paraId="64B8757D">
      <w:pPr>
        <w:spacing w:line="470" w:lineRule="exact"/>
        <w:ind w:firstLine="420" w:firstLineChars="200"/>
        <w:rPr>
          <w:color w:val="auto"/>
          <w:sz w:val="21"/>
          <w:szCs w:val="21"/>
          <w:highlight w:val="none"/>
        </w:rPr>
      </w:pPr>
      <w:r>
        <w:rPr>
          <w:rFonts w:hint="eastAsia"/>
          <w:color w:val="auto"/>
          <w:sz w:val="21"/>
          <w:szCs w:val="21"/>
          <w:highlight w:val="none"/>
        </w:rPr>
        <w:t>7.3 中标通知书</w:t>
      </w:r>
    </w:p>
    <w:p w14:paraId="0C1B7FE8">
      <w:pPr>
        <w:spacing w:line="470" w:lineRule="exact"/>
        <w:ind w:firstLine="420" w:firstLineChars="200"/>
        <w:rPr>
          <w:color w:val="auto"/>
          <w:sz w:val="21"/>
          <w:szCs w:val="21"/>
          <w:highlight w:val="none"/>
        </w:rPr>
      </w:pPr>
      <w:r>
        <w:rPr>
          <w:rFonts w:hint="eastAsia"/>
          <w:color w:val="auto"/>
          <w:sz w:val="21"/>
          <w:szCs w:val="21"/>
          <w:highlight w:val="none"/>
        </w:rPr>
        <w:t>7.3.1在本章第3.4款规定的投标有效期内，采购人在发布招标公告的媒介公布中标结果，并以书面形式向中标人发出中标通知书，同时将中标结果通知未中标的投标人。</w:t>
      </w:r>
    </w:p>
    <w:p w14:paraId="3BB29821">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7.3.2 除不可抗力等因素外，中标通知书发出后，采购人或中标人拒绝签订政府采购合同的，应当承担相应的法律责任。</w:t>
      </w:r>
    </w:p>
    <w:p w14:paraId="6295A12D">
      <w:pPr>
        <w:spacing w:line="470" w:lineRule="exact"/>
        <w:ind w:firstLine="420" w:firstLineChars="200"/>
        <w:rPr>
          <w:color w:val="auto"/>
          <w:sz w:val="21"/>
          <w:szCs w:val="21"/>
          <w:highlight w:val="none"/>
        </w:rPr>
      </w:pPr>
      <w:r>
        <w:rPr>
          <w:rFonts w:hint="eastAsia" w:hAnsi="宋体" w:cs="宋体"/>
          <w:color w:val="auto"/>
          <w:sz w:val="21"/>
          <w:szCs w:val="21"/>
          <w:highlight w:val="none"/>
        </w:rPr>
        <w:t>7.3.3 《中标通知书》将作为合同的一个组成部分。</w:t>
      </w:r>
    </w:p>
    <w:p w14:paraId="7B9CA1F9">
      <w:pPr>
        <w:spacing w:line="470" w:lineRule="exact"/>
        <w:ind w:firstLine="420" w:firstLineChars="200"/>
        <w:rPr>
          <w:color w:val="auto"/>
          <w:sz w:val="21"/>
          <w:szCs w:val="21"/>
          <w:highlight w:val="none"/>
        </w:rPr>
      </w:pPr>
      <w:r>
        <w:rPr>
          <w:rFonts w:hint="eastAsia"/>
          <w:color w:val="auto"/>
          <w:sz w:val="21"/>
          <w:szCs w:val="21"/>
          <w:highlight w:val="none"/>
        </w:rPr>
        <w:t>7.4履约保证金（采购人与中标人自行约定）</w:t>
      </w:r>
    </w:p>
    <w:p w14:paraId="4BE4A73F">
      <w:pPr>
        <w:spacing w:line="470" w:lineRule="exact"/>
        <w:ind w:firstLine="420" w:firstLineChars="200"/>
        <w:rPr>
          <w:color w:val="auto"/>
          <w:sz w:val="21"/>
          <w:szCs w:val="21"/>
          <w:highlight w:val="none"/>
        </w:rPr>
      </w:pPr>
      <w:r>
        <w:rPr>
          <w:rFonts w:hint="eastAsia"/>
          <w:color w:val="auto"/>
          <w:sz w:val="21"/>
          <w:szCs w:val="21"/>
          <w:highlight w:val="none"/>
        </w:rPr>
        <w:t>7.4.1 在签订合同前，中标人应按投标人须知前附表规定的金额，担保形式和招标文件第六章“合同条款及格式”规定的履约担保格式向采购人提交履约担保。</w:t>
      </w:r>
    </w:p>
    <w:p w14:paraId="243E9848">
      <w:pPr>
        <w:spacing w:line="470" w:lineRule="exact"/>
        <w:ind w:firstLine="420" w:firstLineChars="200"/>
        <w:rPr>
          <w:color w:val="auto"/>
          <w:sz w:val="21"/>
          <w:szCs w:val="21"/>
          <w:highlight w:val="none"/>
        </w:rPr>
      </w:pPr>
      <w:r>
        <w:rPr>
          <w:rFonts w:hint="eastAsia"/>
          <w:color w:val="auto"/>
          <w:sz w:val="21"/>
          <w:szCs w:val="21"/>
          <w:highlight w:val="none"/>
        </w:rPr>
        <w:t>7.4.2 中标人不能按本章第7.4项要求提交履约保证金的，视为放弃中标，其投标保证金不予退还，给采购人造成的损失超过投标保证金数额的，中标人还应当对超过部分予以赔偿。</w:t>
      </w:r>
    </w:p>
    <w:p w14:paraId="7A100981">
      <w:pPr>
        <w:spacing w:line="470" w:lineRule="exact"/>
        <w:ind w:firstLine="420" w:firstLineChars="200"/>
        <w:rPr>
          <w:color w:val="auto"/>
          <w:sz w:val="21"/>
          <w:szCs w:val="21"/>
          <w:highlight w:val="none"/>
        </w:rPr>
      </w:pPr>
      <w:r>
        <w:rPr>
          <w:rFonts w:hint="eastAsia"/>
          <w:color w:val="auto"/>
          <w:sz w:val="21"/>
          <w:szCs w:val="21"/>
          <w:highlight w:val="none"/>
        </w:rPr>
        <w:t>7.5 签订合同</w:t>
      </w:r>
    </w:p>
    <w:p w14:paraId="5CBDFE18">
      <w:pPr>
        <w:spacing w:line="470" w:lineRule="exact"/>
        <w:ind w:firstLine="420" w:firstLineChars="200"/>
        <w:rPr>
          <w:color w:val="auto"/>
          <w:sz w:val="21"/>
          <w:szCs w:val="21"/>
          <w:highlight w:val="none"/>
        </w:rPr>
      </w:pPr>
      <w:r>
        <w:rPr>
          <w:rFonts w:hint="eastAsia"/>
          <w:color w:val="auto"/>
          <w:sz w:val="21"/>
          <w:szCs w:val="21"/>
          <w:highlight w:val="none"/>
        </w:rPr>
        <w:t>7.5.1 采购人和中标人应当自中标通知书发出之日起30天内，根据招标文件和中标人的投标文件订立书面合同。中标人无正当理由拒签合同的，采购人取消其中标资格，其投标保证金不予退还；</w:t>
      </w:r>
    </w:p>
    <w:p w14:paraId="72CB21D2">
      <w:pPr>
        <w:spacing w:line="470" w:lineRule="exact"/>
        <w:ind w:firstLine="420" w:firstLineChars="200"/>
        <w:rPr>
          <w:color w:val="auto"/>
          <w:sz w:val="21"/>
          <w:szCs w:val="21"/>
          <w:highlight w:val="none"/>
        </w:rPr>
      </w:pPr>
      <w:r>
        <w:rPr>
          <w:rFonts w:hint="eastAsia"/>
          <w:color w:val="auto"/>
          <w:sz w:val="21"/>
          <w:szCs w:val="21"/>
          <w:highlight w:val="none"/>
        </w:rPr>
        <w:t>7.5.2 发出中标通知书后，采购人无正当理由拒签合同的，采购人向中标人退还投标保证金；给中标人造成损失的，还应当赔偿损失。</w:t>
      </w:r>
    </w:p>
    <w:p w14:paraId="58DDC03B">
      <w:pPr>
        <w:spacing w:line="470" w:lineRule="exact"/>
        <w:ind w:firstLine="420" w:firstLineChars="200"/>
        <w:rPr>
          <w:color w:val="auto"/>
          <w:sz w:val="21"/>
          <w:szCs w:val="21"/>
          <w:highlight w:val="none"/>
        </w:rPr>
      </w:pPr>
      <w:r>
        <w:rPr>
          <w:rFonts w:hint="eastAsia"/>
          <w:color w:val="auto"/>
          <w:sz w:val="21"/>
          <w:szCs w:val="21"/>
          <w:highlight w:val="none"/>
        </w:rPr>
        <w:t>7.5.3合同价：以中标人所报总价作为合同价，总价包干，在合同实施过程中总价保持不变，总价须包括完成采购需求内全部服务内容及为完成本项目而需发生的相关服务工作发生的全部费用。</w:t>
      </w:r>
    </w:p>
    <w:p w14:paraId="60D3E35B">
      <w:pPr>
        <w:pStyle w:val="7"/>
        <w:numPr>
          <w:ilvl w:val="0"/>
          <w:numId w:val="0"/>
        </w:numPr>
        <w:spacing w:before="0" w:after="0" w:line="470" w:lineRule="exact"/>
        <w:rPr>
          <w:rFonts w:ascii="宋体"/>
          <w:color w:val="auto"/>
          <w:highlight w:val="none"/>
        </w:rPr>
      </w:pPr>
      <w:bookmarkStart w:id="21" w:name="_Toc21879"/>
    </w:p>
    <w:p w14:paraId="3F8F10FF">
      <w:pPr>
        <w:pStyle w:val="7"/>
        <w:numPr>
          <w:ilvl w:val="0"/>
          <w:numId w:val="0"/>
        </w:numPr>
        <w:spacing w:before="0" w:after="0" w:line="470" w:lineRule="exact"/>
        <w:rPr>
          <w:rFonts w:ascii="宋体"/>
          <w:color w:val="auto"/>
          <w:highlight w:val="none"/>
        </w:rPr>
      </w:pPr>
      <w:bookmarkStart w:id="22" w:name="_Toc6935"/>
      <w:r>
        <w:rPr>
          <w:rFonts w:hint="eastAsia" w:ascii="宋体"/>
          <w:color w:val="auto"/>
          <w:highlight w:val="none"/>
        </w:rPr>
        <w:t>8.质疑和投诉</w:t>
      </w:r>
      <w:bookmarkEnd w:id="21"/>
      <w:bookmarkEnd w:id="22"/>
    </w:p>
    <w:p w14:paraId="73C772E2">
      <w:pPr>
        <w:spacing w:line="470" w:lineRule="exact"/>
        <w:ind w:firstLine="420" w:firstLineChars="200"/>
        <w:rPr>
          <w:color w:val="auto"/>
          <w:sz w:val="21"/>
          <w:szCs w:val="21"/>
          <w:highlight w:val="none"/>
        </w:rPr>
      </w:pPr>
      <w:r>
        <w:rPr>
          <w:rFonts w:hint="eastAsia"/>
          <w:color w:val="auto"/>
          <w:sz w:val="21"/>
          <w:szCs w:val="21"/>
          <w:highlight w:val="none"/>
        </w:rPr>
        <w:t>8.1投标人认为招标文件、招标过程和成交结果使自己的合法权益受到损害的，应当在知道或者应知其权益受到损害之日起七个工作日内，以书面形式向下列部门或采购人提出质疑。质疑内容不得含有虚假、恶意成分。当事人对自己提出的主张，有责任提供证据，提出质疑时应同时提交相关证据材料和注明事实的确切来源。</w:t>
      </w:r>
    </w:p>
    <w:p w14:paraId="08E70F84">
      <w:pPr>
        <w:spacing w:line="470" w:lineRule="exact"/>
        <w:ind w:firstLine="420" w:firstLineChars="200"/>
        <w:rPr>
          <w:color w:val="auto"/>
          <w:sz w:val="21"/>
          <w:szCs w:val="21"/>
          <w:highlight w:val="none"/>
        </w:rPr>
      </w:pPr>
      <w:r>
        <w:rPr>
          <w:rFonts w:hint="eastAsia"/>
          <w:color w:val="auto"/>
          <w:sz w:val="21"/>
          <w:szCs w:val="21"/>
          <w:highlight w:val="none"/>
        </w:rPr>
        <w:t>受理质疑部门：保山市天瑞建设工程招标咨询有限公司</w:t>
      </w:r>
    </w:p>
    <w:p w14:paraId="352B60B5">
      <w:pPr>
        <w:spacing w:line="470" w:lineRule="exact"/>
        <w:ind w:firstLine="420" w:firstLineChars="200"/>
        <w:rPr>
          <w:color w:val="auto"/>
          <w:sz w:val="21"/>
          <w:szCs w:val="21"/>
          <w:highlight w:val="none"/>
        </w:rPr>
      </w:pPr>
      <w:r>
        <w:rPr>
          <w:rFonts w:hint="eastAsia"/>
          <w:color w:val="auto"/>
          <w:sz w:val="21"/>
          <w:szCs w:val="21"/>
          <w:highlight w:val="none"/>
        </w:rPr>
        <w:t>联系人：杨女士、王先生</w:t>
      </w:r>
    </w:p>
    <w:p w14:paraId="74D7DD07">
      <w:pPr>
        <w:spacing w:line="470" w:lineRule="exact"/>
        <w:ind w:firstLine="420" w:firstLineChars="200"/>
        <w:rPr>
          <w:color w:val="auto"/>
          <w:sz w:val="21"/>
          <w:szCs w:val="21"/>
          <w:highlight w:val="none"/>
        </w:rPr>
      </w:pPr>
      <w:r>
        <w:rPr>
          <w:rFonts w:hint="eastAsia"/>
          <w:color w:val="auto"/>
          <w:sz w:val="21"/>
          <w:szCs w:val="21"/>
          <w:highlight w:val="none"/>
        </w:rPr>
        <w:t>电话：0875-2147689</w:t>
      </w:r>
    </w:p>
    <w:p w14:paraId="282A435C">
      <w:pPr>
        <w:spacing w:line="470" w:lineRule="exact"/>
        <w:ind w:firstLine="420" w:firstLineChars="200"/>
        <w:rPr>
          <w:color w:val="auto"/>
          <w:sz w:val="21"/>
          <w:szCs w:val="21"/>
          <w:highlight w:val="none"/>
        </w:rPr>
      </w:pPr>
      <w:r>
        <w:rPr>
          <w:rFonts w:hint="eastAsia"/>
          <w:color w:val="auto"/>
          <w:sz w:val="21"/>
          <w:szCs w:val="21"/>
          <w:highlight w:val="none"/>
        </w:rPr>
        <w:t>传真：0875-2147689</w:t>
      </w:r>
    </w:p>
    <w:p w14:paraId="6B2C8BB9">
      <w:pPr>
        <w:spacing w:line="470" w:lineRule="exact"/>
        <w:ind w:firstLine="420" w:firstLineChars="200"/>
        <w:rPr>
          <w:color w:val="auto"/>
          <w:sz w:val="21"/>
          <w:szCs w:val="21"/>
          <w:highlight w:val="none"/>
        </w:rPr>
      </w:pPr>
      <w:r>
        <w:rPr>
          <w:rFonts w:hint="eastAsia"/>
          <w:color w:val="auto"/>
          <w:sz w:val="21"/>
          <w:szCs w:val="21"/>
          <w:highlight w:val="none"/>
        </w:rPr>
        <w:t>8.2投标人提供的质疑书应符合中华人民共和国财政部令第94号《政府采购质疑和投诉办法》的规定。投标人提供的质疑书（如材料中有外文资料应同时附上中文译本）应当包括以下主要内容：</w:t>
      </w:r>
    </w:p>
    <w:p w14:paraId="41D204D7">
      <w:pPr>
        <w:spacing w:line="470" w:lineRule="exact"/>
        <w:ind w:firstLine="420" w:firstLineChars="200"/>
        <w:rPr>
          <w:color w:val="auto"/>
          <w:sz w:val="21"/>
          <w:szCs w:val="21"/>
          <w:highlight w:val="none"/>
        </w:rPr>
      </w:pPr>
      <w:r>
        <w:rPr>
          <w:rFonts w:hint="eastAsia"/>
          <w:color w:val="auto"/>
          <w:sz w:val="21"/>
          <w:szCs w:val="21"/>
          <w:highlight w:val="none"/>
        </w:rPr>
        <w:t>（1）质疑项目名称；</w:t>
      </w:r>
    </w:p>
    <w:p w14:paraId="7F739476">
      <w:pPr>
        <w:spacing w:line="470" w:lineRule="exact"/>
        <w:ind w:firstLine="420" w:firstLineChars="200"/>
        <w:rPr>
          <w:color w:val="auto"/>
          <w:sz w:val="21"/>
          <w:szCs w:val="21"/>
          <w:highlight w:val="none"/>
        </w:rPr>
      </w:pPr>
      <w:r>
        <w:rPr>
          <w:rFonts w:hint="eastAsia"/>
          <w:color w:val="auto"/>
          <w:sz w:val="21"/>
          <w:szCs w:val="21"/>
          <w:highlight w:val="none"/>
        </w:rPr>
        <w:t>（2）质疑理由及事实依据；</w:t>
      </w:r>
    </w:p>
    <w:p w14:paraId="5E690E3F">
      <w:pPr>
        <w:spacing w:line="470" w:lineRule="exact"/>
        <w:ind w:firstLine="420" w:firstLineChars="200"/>
        <w:rPr>
          <w:color w:val="auto"/>
          <w:sz w:val="21"/>
          <w:szCs w:val="21"/>
          <w:highlight w:val="none"/>
        </w:rPr>
      </w:pPr>
      <w:r>
        <w:rPr>
          <w:rFonts w:hint="eastAsia"/>
          <w:color w:val="auto"/>
          <w:sz w:val="21"/>
          <w:szCs w:val="21"/>
          <w:highlight w:val="none"/>
        </w:rPr>
        <w:t>（3）质疑对象；</w:t>
      </w:r>
    </w:p>
    <w:p w14:paraId="0B980F26">
      <w:pPr>
        <w:spacing w:line="470" w:lineRule="exact"/>
        <w:ind w:firstLine="420" w:firstLineChars="200"/>
        <w:rPr>
          <w:color w:val="auto"/>
          <w:sz w:val="21"/>
          <w:szCs w:val="21"/>
          <w:highlight w:val="none"/>
        </w:rPr>
      </w:pPr>
      <w:r>
        <w:rPr>
          <w:rFonts w:hint="eastAsia"/>
          <w:color w:val="auto"/>
          <w:sz w:val="21"/>
          <w:szCs w:val="21"/>
          <w:highlight w:val="none"/>
        </w:rPr>
        <w:t>（4）联系电话和地址；</w:t>
      </w:r>
    </w:p>
    <w:p w14:paraId="130A05EC">
      <w:pPr>
        <w:spacing w:line="470" w:lineRule="exact"/>
        <w:ind w:firstLine="420" w:firstLineChars="200"/>
        <w:rPr>
          <w:color w:val="auto"/>
          <w:sz w:val="21"/>
          <w:szCs w:val="21"/>
          <w:highlight w:val="none"/>
        </w:rPr>
      </w:pPr>
      <w:r>
        <w:rPr>
          <w:rFonts w:hint="eastAsia"/>
          <w:color w:val="auto"/>
          <w:sz w:val="21"/>
          <w:szCs w:val="21"/>
          <w:highlight w:val="none"/>
        </w:rPr>
        <w:t>（5）质疑的日期；</w:t>
      </w:r>
    </w:p>
    <w:p w14:paraId="39388DAF">
      <w:pPr>
        <w:spacing w:line="470" w:lineRule="exact"/>
        <w:ind w:firstLine="420" w:firstLineChars="200"/>
        <w:rPr>
          <w:color w:val="auto"/>
          <w:sz w:val="21"/>
          <w:szCs w:val="21"/>
          <w:highlight w:val="none"/>
        </w:rPr>
      </w:pPr>
      <w:r>
        <w:rPr>
          <w:rFonts w:hint="eastAsia"/>
          <w:color w:val="auto"/>
          <w:sz w:val="21"/>
          <w:szCs w:val="21"/>
          <w:highlight w:val="none"/>
        </w:rPr>
        <w:t>（6）质疑人署名。</w:t>
      </w:r>
    </w:p>
    <w:p w14:paraId="7587176A">
      <w:pPr>
        <w:spacing w:line="470" w:lineRule="exact"/>
        <w:ind w:firstLine="420" w:firstLineChars="200"/>
        <w:rPr>
          <w:color w:val="auto"/>
          <w:sz w:val="21"/>
          <w:szCs w:val="21"/>
          <w:highlight w:val="none"/>
        </w:rPr>
      </w:pPr>
      <w:r>
        <w:rPr>
          <w:rFonts w:hint="eastAsia"/>
          <w:color w:val="auto"/>
          <w:sz w:val="21"/>
          <w:szCs w:val="21"/>
          <w:highlight w:val="none"/>
        </w:rPr>
        <w:t>质疑书实行实名制，并提交由法定代表人（负责人）或其授权代理人签字并加盖单位章的原件。</w:t>
      </w:r>
    </w:p>
    <w:p w14:paraId="03362F4F">
      <w:pPr>
        <w:spacing w:line="470" w:lineRule="exact"/>
        <w:ind w:firstLine="420" w:firstLineChars="200"/>
        <w:rPr>
          <w:color w:val="auto"/>
          <w:sz w:val="21"/>
          <w:szCs w:val="21"/>
          <w:highlight w:val="none"/>
        </w:rPr>
      </w:pPr>
      <w:r>
        <w:rPr>
          <w:rFonts w:hint="eastAsia"/>
          <w:color w:val="auto"/>
          <w:sz w:val="21"/>
          <w:szCs w:val="21"/>
          <w:highlight w:val="none"/>
        </w:rPr>
        <w:t>8.3 采购人、采购代理机构将在收到投标人的书面质疑后七个工作日内作出书面答复，但答复的内容不涉及商业秘密。</w:t>
      </w:r>
    </w:p>
    <w:p w14:paraId="4929D6BE">
      <w:pPr>
        <w:spacing w:line="470" w:lineRule="exact"/>
        <w:ind w:firstLine="420" w:firstLineChars="200"/>
        <w:rPr>
          <w:color w:val="auto"/>
          <w:sz w:val="21"/>
          <w:szCs w:val="21"/>
          <w:highlight w:val="none"/>
        </w:rPr>
      </w:pPr>
      <w:r>
        <w:rPr>
          <w:rFonts w:hint="eastAsia"/>
          <w:color w:val="auto"/>
          <w:sz w:val="21"/>
          <w:szCs w:val="21"/>
          <w:highlight w:val="none"/>
        </w:rPr>
        <w:t>8.4参与政府采购活动的投标人对招标过程或者结果提出质疑的，采购人或采购代理机构可以组织原评标委员会协助处理质疑事项，并依据评标委员会出具的意见进行答复。质疑答复导致成交结果改变的，采购人或采购代理机构应当将相关情况报财政部门备案。</w:t>
      </w:r>
    </w:p>
    <w:p w14:paraId="16BC50AD">
      <w:pPr>
        <w:spacing w:line="470" w:lineRule="exact"/>
        <w:ind w:firstLine="420" w:firstLineChars="200"/>
        <w:rPr>
          <w:color w:val="auto"/>
          <w:sz w:val="24"/>
          <w:highlight w:val="none"/>
        </w:rPr>
      </w:pPr>
      <w:r>
        <w:rPr>
          <w:rFonts w:hint="eastAsia"/>
          <w:color w:val="auto"/>
          <w:sz w:val="21"/>
          <w:szCs w:val="21"/>
          <w:highlight w:val="none"/>
        </w:rPr>
        <w:t>8.5投诉人必须首先经过质疑程序，在对采购人、采购代理机构的答复不满意，或者采购人、采购代理机构未在规定的时间内作出答复的，可以在答复期满后十五个工作日内书面向保山市政府采购监督管理部门投诉。</w:t>
      </w:r>
    </w:p>
    <w:p w14:paraId="1894C167">
      <w:pPr>
        <w:spacing w:line="470" w:lineRule="exact"/>
        <w:ind w:firstLine="480" w:firstLineChars="200"/>
        <w:rPr>
          <w:color w:val="auto"/>
          <w:sz w:val="24"/>
          <w:highlight w:val="none"/>
        </w:rPr>
      </w:pPr>
    </w:p>
    <w:p w14:paraId="3ED510F0">
      <w:pPr>
        <w:pStyle w:val="7"/>
        <w:numPr>
          <w:ilvl w:val="0"/>
          <w:numId w:val="0"/>
        </w:numPr>
        <w:spacing w:before="0" w:after="0" w:line="470" w:lineRule="exact"/>
        <w:rPr>
          <w:rFonts w:ascii="宋体"/>
          <w:color w:val="auto"/>
          <w:highlight w:val="none"/>
        </w:rPr>
      </w:pPr>
      <w:bookmarkStart w:id="23" w:name="_Toc23206"/>
      <w:bookmarkStart w:id="24" w:name="_Toc31169"/>
      <w:r>
        <w:rPr>
          <w:rFonts w:hint="eastAsia" w:ascii="宋体"/>
          <w:color w:val="auto"/>
          <w:highlight w:val="none"/>
        </w:rPr>
        <w:t>9.需要补充的其他内容</w:t>
      </w:r>
      <w:bookmarkEnd w:id="23"/>
      <w:bookmarkEnd w:id="24"/>
    </w:p>
    <w:p w14:paraId="1C92CEFD">
      <w:pPr>
        <w:spacing w:line="470" w:lineRule="exact"/>
        <w:ind w:firstLine="315" w:firstLineChars="150"/>
        <w:rPr>
          <w:rFonts w:hint="eastAsia" w:hAnsi="宋体"/>
          <w:color w:val="auto"/>
          <w:sz w:val="24"/>
          <w:highlight w:val="none"/>
        </w:rPr>
      </w:pPr>
      <w:r>
        <w:rPr>
          <w:rFonts w:hint="eastAsia"/>
          <w:color w:val="auto"/>
          <w:sz w:val="21"/>
          <w:szCs w:val="21"/>
          <w:highlight w:val="none"/>
        </w:rPr>
        <w:t>需要补充的其他内容：见投标人须知前附表。</w:t>
      </w:r>
    </w:p>
    <w:p w14:paraId="3BB594F3">
      <w:pPr>
        <w:pStyle w:val="23"/>
        <w:spacing w:line="440" w:lineRule="exact"/>
        <w:jc w:val="center"/>
        <w:rPr>
          <w:color w:val="auto"/>
          <w:highlight w:val="none"/>
        </w:rPr>
      </w:pPr>
      <w:r>
        <w:rPr>
          <w:rFonts w:hAnsi="宋体" w:cs="宋体"/>
          <w:bCs/>
          <w:color w:val="auto"/>
          <w:highlight w:val="none"/>
        </w:rPr>
        <w:br w:type="page"/>
      </w:r>
      <w:bookmarkStart w:id="25" w:name="_Toc13756186"/>
      <w:bookmarkStart w:id="26" w:name="_Toc27379"/>
      <w:bookmarkStart w:id="27" w:name="_Toc24466342"/>
      <w:r>
        <w:rPr>
          <w:rStyle w:val="75"/>
          <w:rFonts w:hint="eastAsia"/>
          <w:color w:val="auto"/>
          <w:highlight w:val="none"/>
        </w:rPr>
        <w:t xml:space="preserve">第三章  </w:t>
      </w:r>
      <w:r>
        <w:rPr>
          <w:rStyle w:val="75"/>
          <w:color w:val="auto"/>
          <w:highlight w:val="none"/>
        </w:rPr>
        <w:t>资格审查</w:t>
      </w:r>
      <w:bookmarkEnd w:id="25"/>
      <w:bookmarkEnd w:id="26"/>
      <w:bookmarkEnd w:id="27"/>
    </w:p>
    <w:p w14:paraId="598F53D4">
      <w:pPr>
        <w:widowControl/>
        <w:spacing w:line="360" w:lineRule="auto"/>
        <w:ind w:firstLine="420" w:firstLineChars="200"/>
        <w:jc w:val="left"/>
        <w:rPr>
          <w:rFonts w:hint="eastAsia" w:hAnsi="宋体"/>
          <w:color w:val="auto"/>
          <w:sz w:val="21"/>
          <w:szCs w:val="21"/>
          <w:highlight w:val="none"/>
        </w:rPr>
      </w:pPr>
    </w:p>
    <w:p w14:paraId="3A3335DF">
      <w:pPr>
        <w:widowControl/>
        <w:spacing w:line="360" w:lineRule="auto"/>
        <w:ind w:firstLine="420" w:firstLineChars="200"/>
        <w:jc w:val="left"/>
        <w:rPr>
          <w:rFonts w:hint="eastAsia" w:hAnsi="宋体"/>
          <w:color w:val="auto"/>
          <w:sz w:val="21"/>
          <w:szCs w:val="21"/>
          <w:highlight w:val="none"/>
        </w:rPr>
      </w:pPr>
      <w:r>
        <w:rPr>
          <w:rFonts w:hint="eastAsia" w:hAnsi="宋体"/>
          <w:color w:val="auto"/>
          <w:sz w:val="21"/>
          <w:szCs w:val="21"/>
          <w:highlight w:val="none"/>
        </w:rPr>
        <w:t>依据法律法规和招标文件的规定，采购人或采购代理机构或二者共同对投标人提交的资格证明进行审查，以确认投标人是否具备投标的资格，资格审查为通过性评审，投标人按招标公告第二条及投标须知前附表规定提供能满足本条要求的相关证件、证明文件参与资格审查评审内容详见下表：</w:t>
      </w:r>
    </w:p>
    <w:tbl>
      <w:tblPr>
        <w:tblStyle w:val="37"/>
        <w:tblW w:w="98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5392"/>
        <w:gridCol w:w="2655"/>
      </w:tblGrid>
      <w:tr w14:paraId="5CE1D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889" w:type="dxa"/>
            <w:gridSpan w:val="3"/>
            <w:vAlign w:val="center"/>
          </w:tcPr>
          <w:p w14:paraId="5A67CD47">
            <w:pPr>
              <w:spacing w:line="380" w:lineRule="exact"/>
              <w:jc w:val="center"/>
              <w:rPr>
                <w:rFonts w:hint="eastAsia" w:hAnsi="宋体" w:cs="宋体"/>
                <w:b/>
                <w:color w:val="auto"/>
                <w:sz w:val="21"/>
                <w:szCs w:val="21"/>
                <w:highlight w:val="none"/>
              </w:rPr>
            </w:pPr>
            <w:r>
              <w:rPr>
                <w:rFonts w:hint="eastAsia" w:hAnsi="宋体" w:cs="宋体"/>
                <w:b/>
                <w:color w:val="auto"/>
                <w:sz w:val="21"/>
                <w:szCs w:val="21"/>
                <w:highlight w:val="none"/>
              </w:rPr>
              <w:t>投标人资格审查内容及相关因素</w:t>
            </w:r>
          </w:p>
        </w:tc>
      </w:tr>
      <w:tr w14:paraId="72AFD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1842" w:type="dxa"/>
            <w:vAlign w:val="center"/>
          </w:tcPr>
          <w:p w14:paraId="4D1EF330">
            <w:pPr>
              <w:spacing w:line="380" w:lineRule="exact"/>
              <w:jc w:val="center"/>
              <w:rPr>
                <w:rFonts w:hint="eastAsia" w:hAnsi="宋体" w:cs="宋体"/>
                <w:b/>
                <w:color w:val="auto"/>
                <w:sz w:val="21"/>
                <w:szCs w:val="21"/>
                <w:highlight w:val="none"/>
              </w:rPr>
            </w:pPr>
            <w:r>
              <w:rPr>
                <w:rFonts w:hint="eastAsia" w:hAnsi="宋体" w:cs="宋体"/>
                <w:b/>
                <w:color w:val="auto"/>
                <w:sz w:val="21"/>
                <w:szCs w:val="21"/>
                <w:highlight w:val="none"/>
              </w:rPr>
              <w:t>评 审 内容</w:t>
            </w:r>
          </w:p>
        </w:tc>
        <w:tc>
          <w:tcPr>
            <w:tcW w:w="8047" w:type="dxa"/>
            <w:gridSpan w:val="2"/>
            <w:vAlign w:val="center"/>
          </w:tcPr>
          <w:p w14:paraId="44C1CF1E">
            <w:pPr>
              <w:spacing w:line="380" w:lineRule="exact"/>
              <w:jc w:val="center"/>
              <w:rPr>
                <w:rFonts w:hint="eastAsia" w:hAnsi="宋体" w:cs="宋体"/>
                <w:b/>
                <w:color w:val="auto"/>
                <w:sz w:val="21"/>
                <w:szCs w:val="21"/>
                <w:highlight w:val="none"/>
              </w:rPr>
            </w:pPr>
            <w:r>
              <w:rPr>
                <w:rFonts w:hint="eastAsia" w:hAnsi="宋体" w:cs="宋体"/>
                <w:b/>
                <w:color w:val="auto"/>
                <w:sz w:val="21"/>
                <w:szCs w:val="21"/>
                <w:highlight w:val="none"/>
              </w:rPr>
              <w:t>评审因素</w:t>
            </w:r>
          </w:p>
        </w:tc>
      </w:tr>
      <w:tr w14:paraId="64247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restart"/>
            <w:vAlign w:val="center"/>
          </w:tcPr>
          <w:p w14:paraId="2D7D6474">
            <w:pPr>
              <w:widowControl/>
              <w:spacing w:line="380" w:lineRule="exact"/>
              <w:jc w:val="left"/>
              <w:rPr>
                <w:rFonts w:hint="eastAsia" w:hAnsi="宋体" w:cs="宋体"/>
                <w:color w:val="auto"/>
                <w:sz w:val="21"/>
                <w:szCs w:val="21"/>
                <w:highlight w:val="none"/>
                <w:shd w:val="clear" w:color="auto" w:fill="FFFFFF"/>
              </w:rPr>
            </w:pPr>
            <w:r>
              <w:rPr>
                <w:rFonts w:hint="eastAsia" w:hAnsi="宋体" w:cs="宋体"/>
                <w:color w:val="auto"/>
                <w:sz w:val="21"/>
                <w:szCs w:val="21"/>
                <w:highlight w:val="none"/>
                <w:shd w:val="clear" w:color="auto" w:fill="FFFFFF"/>
              </w:rPr>
              <w:t>投标人应具有独立承担民事责任的能力</w:t>
            </w:r>
          </w:p>
        </w:tc>
        <w:tc>
          <w:tcPr>
            <w:tcW w:w="5392" w:type="dxa"/>
            <w:vAlign w:val="center"/>
          </w:tcPr>
          <w:p w14:paraId="2A13A314">
            <w:pPr>
              <w:spacing w:line="380" w:lineRule="exact"/>
              <w:rPr>
                <w:rFonts w:hint="eastAsia" w:hAnsi="宋体" w:cs="宋体"/>
                <w:color w:val="auto"/>
                <w:sz w:val="21"/>
                <w:szCs w:val="21"/>
                <w:highlight w:val="none"/>
              </w:rPr>
            </w:pPr>
            <w:r>
              <w:rPr>
                <w:rFonts w:hint="eastAsia" w:hAnsi="宋体" w:cs="宋体"/>
                <w:b/>
                <w:color w:val="auto"/>
                <w:sz w:val="21"/>
                <w:szCs w:val="21"/>
                <w:highlight w:val="none"/>
              </w:rPr>
              <w:t>有效营业执照：</w:t>
            </w:r>
            <w:r>
              <w:rPr>
                <w:rFonts w:hint="eastAsia" w:hAnsi="宋体" w:cs="宋体"/>
                <w:color w:val="auto"/>
                <w:sz w:val="21"/>
                <w:szCs w:val="21"/>
                <w:highlight w:val="none"/>
              </w:rPr>
              <w:t>投标人有效的《营业执照》</w:t>
            </w:r>
            <w:r>
              <w:rPr>
                <w:rFonts w:hint="eastAsia" w:hAnsi="宋体" w:cs="宋体"/>
                <w:color w:val="auto"/>
                <w:sz w:val="21"/>
                <w:szCs w:val="21"/>
                <w:highlight w:val="none"/>
                <w:lang w:val="en-US" w:eastAsia="zh-CN"/>
              </w:rPr>
              <w:t>或</w:t>
            </w:r>
            <w:r>
              <w:rPr>
                <w:rFonts w:hint="eastAsia" w:hAnsi="宋体" w:cs="宋体"/>
                <w:color w:val="auto"/>
                <w:sz w:val="21"/>
                <w:szCs w:val="21"/>
                <w:highlight w:val="none"/>
              </w:rPr>
              <w:t>《统一社会信用代码证》或其他组织证件或自然人身份证明等能证明投标人具有独立承担民事责任能力的证明材料。</w:t>
            </w:r>
          </w:p>
        </w:tc>
        <w:tc>
          <w:tcPr>
            <w:tcW w:w="2655" w:type="dxa"/>
            <w:vAlign w:val="center"/>
          </w:tcPr>
          <w:p w14:paraId="4CBB88F8">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审查其提供材料的完整性及有效性</w:t>
            </w:r>
          </w:p>
        </w:tc>
      </w:tr>
      <w:tr w14:paraId="459C5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continue"/>
            <w:vAlign w:val="center"/>
          </w:tcPr>
          <w:p w14:paraId="08E42CD3">
            <w:pPr>
              <w:widowControl/>
              <w:spacing w:line="380" w:lineRule="exact"/>
              <w:jc w:val="left"/>
              <w:rPr>
                <w:rFonts w:hint="eastAsia" w:hAnsi="宋体" w:cs="宋体"/>
                <w:color w:val="auto"/>
                <w:sz w:val="21"/>
                <w:szCs w:val="21"/>
                <w:highlight w:val="none"/>
                <w:shd w:val="clear" w:color="auto" w:fill="FFFFFF"/>
              </w:rPr>
            </w:pPr>
          </w:p>
        </w:tc>
        <w:tc>
          <w:tcPr>
            <w:tcW w:w="5392" w:type="dxa"/>
            <w:vAlign w:val="center"/>
          </w:tcPr>
          <w:p w14:paraId="2935A99A">
            <w:pPr>
              <w:spacing w:line="380" w:lineRule="exact"/>
              <w:rPr>
                <w:rFonts w:hint="eastAsia" w:hAnsi="宋体" w:cs="宋体"/>
                <w:b/>
                <w:color w:val="auto"/>
                <w:sz w:val="21"/>
                <w:szCs w:val="21"/>
                <w:highlight w:val="none"/>
              </w:rPr>
            </w:pPr>
            <w:r>
              <w:rPr>
                <w:rFonts w:hint="eastAsia" w:hAnsi="宋体" w:cs="宋体"/>
                <w:color w:val="auto"/>
                <w:sz w:val="21"/>
                <w:szCs w:val="21"/>
                <w:highlight w:val="none"/>
              </w:rPr>
              <w:t>法定代表人（负责人或自然人）及其身份证明。</w:t>
            </w:r>
          </w:p>
        </w:tc>
        <w:tc>
          <w:tcPr>
            <w:tcW w:w="2655" w:type="dxa"/>
            <w:vAlign w:val="center"/>
          </w:tcPr>
          <w:p w14:paraId="0072B2AA">
            <w:pPr>
              <w:spacing w:line="380" w:lineRule="exact"/>
              <w:rPr>
                <w:rFonts w:hint="eastAsia" w:hAnsi="宋体" w:cs="宋体"/>
                <w:b/>
                <w:color w:val="auto"/>
                <w:sz w:val="21"/>
                <w:szCs w:val="21"/>
                <w:highlight w:val="none"/>
              </w:rPr>
            </w:pPr>
            <w:r>
              <w:rPr>
                <w:rFonts w:hint="eastAsia" w:hAnsi="宋体" w:cs="宋体"/>
                <w:color w:val="auto"/>
                <w:sz w:val="21"/>
                <w:szCs w:val="21"/>
                <w:highlight w:val="none"/>
              </w:rPr>
              <w:t>审查法定代表人（负责人或自然人）是否与提供的营业执照载明事项保持一致及身份证有效期限</w:t>
            </w:r>
          </w:p>
        </w:tc>
      </w:tr>
      <w:tr w14:paraId="1A6A0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continue"/>
            <w:vAlign w:val="center"/>
          </w:tcPr>
          <w:p w14:paraId="7448413C">
            <w:pPr>
              <w:widowControl/>
              <w:spacing w:line="380" w:lineRule="exact"/>
              <w:jc w:val="left"/>
              <w:rPr>
                <w:rFonts w:hint="eastAsia" w:hAnsi="宋体" w:cs="宋体"/>
                <w:color w:val="auto"/>
                <w:sz w:val="21"/>
                <w:szCs w:val="21"/>
                <w:highlight w:val="none"/>
                <w:shd w:val="clear" w:color="auto" w:fill="FFFFFF"/>
              </w:rPr>
            </w:pPr>
          </w:p>
        </w:tc>
        <w:tc>
          <w:tcPr>
            <w:tcW w:w="5392" w:type="dxa"/>
            <w:vAlign w:val="center"/>
          </w:tcPr>
          <w:p w14:paraId="6091F98E">
            <w:pPr>
              <w:spacing w:line="380" w:lineRule="exact"/>
              <w:rPr>
                <w:rFonts w:hint="eastAsia" w:hAnsi="宋体" w:cs="宋体"/>
                <w:b/>
                <w:bCs/>
                <w:color w:val="auto"/>
                <w:sz w:val="21"/>
                <w:szCs w:val="21"/>
                <w:highlight w:val="none"/>
              </w:rPr>
            </w:pPr>
            <w:r>
              <w:rPr>
                <w:rFonts w:hint="eastAsia" w:hAnsi="宋体" w:cs="宋体"/>
                <w:b/>
                <w:color w:val="auto"/>
                <w:sz w:val="21"/>
                <w:szCs w:val="21"/>
                <w:highlight w:val="none"/>
              </w:rPr>
              <w:t>联合体：本项目不接受，投标人须提供</w:t>
            </w:r>
            <w:r>
              <w:rPr>
                <w:rFonts w:hint="eastAsia" w:hAnsi="宋体" w:cs="宋体"/>
                <w:b/>
                <w:color w:val="auto"/>
                <w:sz w:val="21"/>
                <w:szCs w:val="21"/>
                <w:highlight w:val="none"/>
                <w:lang w:eastAsia="zh-CN"/>
              </w:rPr>
              <w:t>声</w:t>
            </w:r>
            <w:r>
              <w:rPr>
                <w:rFonts w:hint="eastAsia" w:hAnsi="宋体" w:cs="宋体"/>
                <w:b/>
                <w:color w:val="auto"/>
                <w:sz w:val="21"/>
                <w:szCs w:val="21"/>
                <w:highlight w:val="none"/>
              </w:rPr>
              <w:t>明文件。</w:t>
            </w:r>
          </w:p>
        </w:tc>
        <w:tc>
          <w:tcPr>
            <w:tcW w:w="2655" w:type="dxa"/>
            <w:vAlign w:val="center"/>
          </w:tcPr>
          <w:p w14:paraId="28BA48FE">
            <w:pPr>
              <w:spacing w:line="380" w:lineRule="exact"/>
              <w:rPr>
                <w:rFonts w:hint="eastAsia" w:hAnsi="宋体" w:cs="宋体"/>
                <w:b/>
                <w:bCs/>
                <w:color w:val="auto"/>
                <w:sz w:val="21"/>
                <w:szCs w:val="21"/>
                <w:highlight w:val="none"/>
              </w:rPr>
            </w:pPr>
            <w:r>
              <w:rPr>
                <w:rFonts w:hint="eastAsia" w:hAnsi="宋体" w:cs="宋体"/>
                <w:color w:val="auto"/>
                <w:sz w:val="21"/>
                <w:szCs w:val="21"/>
                <w:highlight w:val="none"/>
              </w:rPr>
              <w:t>审查其是否提出承诺</w:t>
            </w:r>
          </w:p>
        </w:tc>
      </w:tr>
      <w:tr w14:paraId="6E8A3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restart"/>
            <w:vAlign w:val="center"/>
          </w:tcPr>
          <w:p w14:paraId="5CAA806E">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具有良好的商业信誉和健全的财务会计制度</w:t>
            </w:r>
          </w:p>
        </w:tc>
        <w:tc>
          <w:tcPr>
            <w:tcW w:w="5392" w:type="dxa"/>
            <w:vAlign w:val="center"/>
          </w:tcPr>
          <w:p w14:paraId="52A6FB22">
            <w:pPr>
              <w:spacing w:line="380" w:lineRule="exact"/>
              <w:ind w:firstLine="210" w:firstLineChars="100"/>
              <w:rPr>
                <w:rFonts w:hint="eastAsia" w:hAnsi="宋体" w:cs="宋体"/>
                <w:color w:val="auto"/>
                <w:sz w:val="21"/>
                <w:szCs w:val="21"/>
                <w:highlight w:val="none"/>
              </w:rPr>
            </w:pPr>
            <w:r>
              <w:rPr>
                <w:rFonts w:hint="eastAsia" w:hAnsi="宋体" w:cs="宋体"/>
                <w:color w:val="auto"/>
                <w:sz w:val="21"/>
                <w:szCs w:val="21"/>
                <w:highlight w:val="none"/>
              </w:rPr>
              <w:t>提供具有良好商业信誉和声明函</w:t>
            </w:r>
          </w:p>
        </w:tc>
        <w:tc>
          <w:tcPr>
            <w:tcW w:w="2655" w:type="dxa"/>
            <w:vAlign w:val="center"/>
          </w:tcPr>
          <w:p w14:paraId="31D8FA5D">
            <w:pPr>
              <w:spacing w:line="380" w:lineRule="exact"/>
              <w:ind w:firstLine="210" w:firstLineChars="100"/>
              <w:rPr>
                <w:rFonts w:hint="eastAsia" w:hAnsi="宋体" w:cs="宋体"/>
                <w:color w:val="auto"/>
                <w:sz w:val="21"/>
                <w:szCs w:val="21"/>
                <w:highlight w:val="none"/>
              </w:rPr>
            </w:pPr>
            <w:r>
              <w:rPr>
                <w:rFonts w:hint="eastAsia" w:hAnsi="宋体" w:cs="宋体"/>
                <w:color w:val="auto"/>
                <w:sz w:val="21"/>
                <w:szCs w:val="21"/>
                <w:highlight w:val="none"/>
              </w:rPr>
              <w:t>审查其是否提供</w:t>
            </w:r>
          </w:p>
        </w:tc>
      </w:tr>
      <w:tr w14:paraId="399FF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Merge w:val="continue"/>
            <w:vAlign w:val="center"/>
          </w:tcPr>
          <w:p w14:paraId="3A16B5C3">
            <w:pPr>
              <w:spacing w:line="380" w:lineRule="exact"/>
              <w:rPr>
                <w:rFonts w:hint="eastAsia" w:hAnsi="宋体" w:cs="宋体"/>
                <w:color w:val="auto"/>
                <w:sz w:val="21"/>
                <w:szCs w:val="21"/>
                <w:highlight w:val="none"/>
              </w:rPr>
            </w:pPr>
          </w:p>
        </w:tc>
        <w:tc>
          <w:tcPr>
            <w:tcW w:w="5392" w:type="dxa"/>
            <w:vAlign w:val="center"/>
          </w:tcPr>
          <w:p w14:paraId="26673F13">
            <w:pPr>
              <w:spacing w:line="380" w:lineRule="exact"/>
              <w:rPr>
                <w:rFonts w:hint="eastAsia" w:hAnsi="宋体" w:cs="宋体"/>
                <w:color w:val="auto"/>
                <w:sz w:val="21"/>
                <w:szCs w:val="21"/>
                <w:highlight w:val="none"/>
              </w:rPr>
            </w:pPr>
            <w:r>
              <w:rPr>
                <w:rFonts w:hint="eastAsia" w:ascii="宋体" w:hAnsi="宋体" w:eastAsia="宋体" w:cs="宋体"/>
                <w:color w:val="auto"/>
                <w:sz w:val="21"/>
                <w:szCs w:val="21"/>
                <w:highlight w:val="none"/>
              </w:rPr>
              <w:t>提供投标人</w:t>
            </w:r>
            <w:r>
              <w:rPr>
                <w:rFonts w:hint="eastAsia" w:ascii="宋体" w:hAnsi="宋体" w:eastAsia="宋体" w:cs="宋体"/>
                <w:color w:val="auto"/>
                <w:sz w:val="21"/>
                <w:szCs w:val="21"/>
                <w:highlight w:val="none"/>
                <w:lang w:eastAsia="zh-CN"/>
              </w:rPr>
              <w:t>2023年度或2024年度</w:t>
            </w:r>
            <w:r>
              <w:rPr>
                <w:rFonts w:hint="eastAsia" w:ascii="宋体" w:hAnsi="宋体" w:eastAsia="宋体" w:cs="宋体"/>
                <w:color w:val="auto"/>
                <w:sz w:val="21"/>
                <w:szCs w:val="21"/>
                <w:highlight w:val="none"/>
              </w:rPr>
              <w:t>经审计的财务报告（请提供最新年度的）；投标人（</w:t>
            </w:r>
            <w:r>
              <w:rPr>
                <w:rFonts w:hint="eastAsia" w:ascii="宋体" w:hAnsi="宋体" w:eastAsia="宋体" w:cs="宋体"/>
                <w:color w:val="auto"/>
                <w:sz w:val="21"/>
                <w:szCs w:val="21"/>
                <w:highlight w:val="none"/>
                <w:lang w:eastAsia="zh-CN"/>
              </w:rPr>
              <w:t>含成立未满3个月的单位</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不能</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eastAsia="zh-CN"/>
              </w:rPr>
              <w:t>2023年度或2024年度</w:t>
            </w:r>
            <w:r>
              <w:rPr>
                <w:rFonts w:hint="eastAsia" w:ascii="宋体" w:hAnsi="宋体" w:eastAsia="宋体" w:cs="宋体"/>
                <w:color w:val="auto"/>
                <w:sz w:val="21"/>
                <w:szCs w:val="21"/>
                <w:highlight w:val="none"/>
              </w:rPr>
              <w:t>经审计的财务报告的，</w:t>
            </w:r>
            <w:r>
              <w:rPr>
                <w:rFonts w:hint="eastAsia" w:ascii="宋体" w:hAnsi="宋体" w:eastAsia="宋体" w:cs="宋体"/>
                <w:color w:val="auto"/>
                <w:sz w:val="21"/>
                <w:szCs w:val="21"/>
                <w:highlight w:val="none"/>
                <w:lang w:val="en-US" w:eastAsia="zh-CN"/>
              </w:rPr>
              <w:t>也可以提供自投标文件提交截止时间前三个月内银行出具的资信证明或担保机构出具的投标担保函等能证明具有健全的财务会计制度的证明材料</w:t>
            </w:r>
            <w:r>
              <w:rPr>
                <w:rFonts w:hint="eastAsia" w:ascii="宋体" w:hAnsi="宋体" w:eastAsia="宋体" w:cs="宋体"/>
                <w:color w:val="auto"/>
                <w:sz w:val="21"/>
                <w:szCs w:val="21"/>
                <w:highlight w:val="none"/>
              </w:rPr>
              <w:t>。</w:t>
            </w:r>
          </w:p>
        </w:tc>
        <w:tc>
          <w:tcPr>
            <w:tcW w:w="2655" w:type="dxa"/>
            <w:vAlign w:val="center"/>
          </w:tcPr>
          <w:p w14:paraId="69D26735">
            <w:pPr>
              <w:spacing w:line="380" w:lineRule="exact"/>
              <w:rPr>
                <w:rFonts w:hint="eastAsia" w:hAnsi="宋体" w:cs="宋体"/>
                <w:color w:val="auto"/>
                <w:sz w:val="21"/>
                <w:szCs w:val="21"/>
                <w:highlight w:val="none"/>
              </w:rPr>
            </w:pPr>
            <w:r>
              <w:rPr>
                <w:rFonts w:hint="eastAsia" w:ascii="宋体" w:hAnsi="宋体" w:eastAsia="宋体" w:cs="宋体"/>
                <w:color w:val="auto"/>
                <w:sz w:val="21"/>
                <w:szCs w:val="21"/>
                <w:highlight w:val="none"/>
              </w:rPr>
              <w:t>审查其提供材料的完整性及有效性</w:t>
            </w:r>
          </w:p>
        </w:tc>
      </w:tr>
      <w:tr w14:paraId="39AF5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Align w:val="center"/>
          </w:tcPr>
          <w:p w14:paraId="1FBBFE3C">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具备履行合同所必需的产品和专业技术能力</w:t>
            </w:r>
          </w:p>
        </w:tc>
        <w:tc>
          <w:tcPr>
            <w:tcW w:w="5392" w:type="dxa"/>
            <w:vAlign w:val="center"/>
          </w:tcPr>
          <w:p w14:paraId="0E77F7A3">
            <w:pPr>
              <w:spacing w:line="380" w:lineRule="exact"/>
              <w:rPr>
                <w:rFonts w:hint="eastAsia" w:hAnsi="宋体" w:cs="宋体"/>
                <w:color w:val="auto"/>
                <w:sz w:val="21"/>
                <w:szCs w:val="21"/>
                <w:highlight w:val="none"/>
              </w:rPr>
            </w:pPr>
            <w:r>
              <w:rPr>
                <w:rFonts w:hint="eastAsia" w:ascii="宋体" w:hAnsi="宋体" w:eastAsia="宋体" w:cs="宋体"/>
                <w:color w:val="auto"/>
                <w:sz w:val="21"/>
                <w:szCs w:val="21"/>
                <w:highlight w:val="none"/>
              </w:rPr>
              <w:t>提供投标人能证明其具备履行合同所必需的设备和专业技术能力的书面声明承诺函或证明材料。</w:t>
            </w:r>
          </w:p>
        </w:tc>
        <w:tc>
          <w:tcPr>
            <w:tcW w:w="2655" w:type="dxa"/>
            <w:vAlign w:val="center"/>
          </w:tcPr>
          <w:p w14:paraId="7AA64F2F">
            <w:pPr>
              <w:spacing w:line="380" w:lineRule="exact"/>
              <w:rPr>
                <w:rFonts w:hint="eastAsia" w:hAnsi="宋体" w:cs="宋体"/>
                <w:color w:val="auto"/>
                <w:sz w:val="21"/>
                <w:szCs w:val="21"/>
                <w:highlight w:val="none"/>
              </w:rPr>
            </w:pPr>
            <w:r>
              <w:rPr>
                <w:rFonts w:hint="eastAsia" w:ascii="宋体" w:hAnsi="宋体" w:eastAsia="宋体" w:cs="宋体"/>
                <w:color w:val="auto"/>
                <w:sz w:val="21"/>
                <w:szCs w:val="21"/>
                <w:highlight w:val="none"/>
              </w:rPr>
              <w:t>审查其是否提供</w:t>
            </w:r>
          </w:p>
        </w:tc>
      </w:tr>
      <w:tr w14:paraId="7850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Align w:val="center"/>
          </w:tcPr>
          <w:p w14:paraId="6EAA5460">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有依法缴纳税收和社会保障资金的良好记录</w:t>
            </w:r>
          </w:p>
        </w:tc>
        <w:tc>
          <w:tcPr>
            <w:tcW w:w="5392" w:type="dxa"/>
            <w:vAlign w:val="center"/>
          </w:tcPr>
          <w:p w14:paraId="221840B4">
            <w:pPr>
              <w:spacing w:line="380" w:lineRule="exact"/>
              <w:rPr>
                <w:rFonts w:hint="eastAsia" w:hAnsi="宋体" w:cs="宋体"/>
                <w:color w:val="auto"/>
                <w:sz w:val="21"/>
                <w:szCs w:val="21"/>
                <w:highlight w:val="none"/>
              </w:rPr>
            </w:pPr>
            <w:r>
              <w:rPr>
                <w:rFonts w:hint="eastAsia" w:ascii="宋体" w:hAnsi="宋体" w:eastAsia="宋体" w:cs="宋体"/>
                <w:color w:val="auto"/>
                <w:sz w:val="21"/>
                <w:szCs w:val="21"/>
                <w:highlight w:val="none"/>
              </w:rPr>
              <w:t>提供投标人近一年（202</w:t>
            </w:r>
            <w:r>
              <w:rPr>
                <w:rFonts w:hint="eastAsia" w:hAnsi="宋体" w:cs="宋体"/>
                <w:color w:val="auto"/>
                <w:sz w:val="21"/>
                <w:szCs w:val="21"/>
                <w:highlight w:val="none"/>
                <w:lang w:val="en-US" w:eastAsia="zh-CN"/>
              </w:rPr>
              <w:t>4</w:t>
            </w:r>
            <w:r>
              <w:rPr>
                <w:rFonts w:hint="eastAsia" w:ascii="宋体" w:hAnsi="宋体" w:eastAsia="宋体" w:cs="宋体"/>
                <w:color w:val="auto"/>
                <w:sz w:val="21"/>
                <w:szCs w:val="21"/>
                <w:highlight w:val="none"/>
              </w:rPr>
              <w:t>年</w:t>
            </w:r>
            <w:r>
              <w:rPr>
                <w:rFonts w:hint="eastAsia" w:hAnsi="宋体" w:cs="宋体"/>
                <w:color w:val="auto"/>
                <w:sz w:val="21"/>
                <w:szCs w:val="21"/>
                <w:highlight w:val="none"/>
                <w:lang w:val="en-US" w:eastAsia="zh-CN"/>
              </w:rPr>
              <w:t>01</w:t>
            </w:r>
            <w:r>
              <w:rPr>
                <w:rFonts w:hint="eastAsia" w:ascii="宋体" w:hAnsi="宋体" w:eastAsia="宋体" w:cs="宋体"/>
                <w:color w:val="auto"/>
                <w:sz w:val="21"/>
                <w:szCs w:val="21"/>
                <w:highlight w:val="none"/>
              </w:rPr>
              <w:t>月至今</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税款所属期间</w:t>
            </w:r>
            <w:r>
              <w:rPr>
                <w:rFonts w:hint="eastAsia" w:ascii="宋体" w:hAnsi="宋体" w:eastAsia="宋体" w:cs="宋体"/>
                <w:color w:val="auto"/>
                <w:sz w:val="21"/>
                <w:szCs w:val="21"/>
                <w:highlight w:val="none"/>
              </w:rPr>
              <w:t>）任意一个月份的依法缴纳税收凭证及社会保险</w:t>
            </w:r>
            <w:r>
              <w:rPr>
                <w:rFonts w:hint="eastAsia" w:hAnsi="宋体" w:cs="宋体"/>
                <w:color w:val="auto"/>
                <w:sz w:val="21"/>
                <w:szCs w:val="21"/>
                <w:highlight w:val="none"/>
                <w:lang w:val="en-US" w:eastAsia="zh-CN"/>
              </w:rPr>
              <w:t>的</w:t>
            </w:r>
            <w:r>
              <w:rPr>
                <w:rFonts w:hint="eastAsia" w:ascii="宋体" w:hAnsi="宋体" w:eastAsia="宋体" w:cs="宋体"/>
                <w:color w:val="auto"/>
                <w:sz w:val="21"/>
                <w:szCs w:val="21"/>
                <w:highlight w:val="none"/>
              </w:rPr>
              <w:t>证明材料。</w:t>
            </w:r>
          </w:p>
        </w:tc>
        <w:tc>
          <w:tcPr>
            <w:tcW w:w="2655" w:type="dxa"/>
            <w:vAlign w:val="center"/>
          </w:tcPr>
          <w:p w14:paraId="50DB5D76">
            <w:pPr>
              <w:spacing w:line="380" w:lineRule="exact"/>
              <w:rPr>
                <w:rFonts w:hint="eastAsia" w:hAnsi="宋体" w:cs="宋体"/>
                <w:color w:val="auto"/>
                <w:sz w:val="21"/>
                <w:szCs w:val="21"/>
                <w:highlight w:val="none"/>
              </w:rPr>
            </w:pPr>
            <w:r>
              <w:rPr>
                <w:rFonts w:hint="eastAsia" w:ascii="宋体" w:hAnsi="宋体" w:eastAsia="宋体" w:cs="宋体"/>
                <w:color w:val="auto"/>
                <w:sz w:val="21"/>
                <w:szCs w:val="21"/>
                <w:highlight w:val="none"/>
              </w:rPr>
              <w:t>审查其提供材料的完整性及有效性</w:t>
            </w:r>
          </w:p>
        </w:tc>
      </w:tr>
      <w:tr w14:paraId="5CA5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Align w:val="center"/>
          </w:tcPr>
          <w:p w14:paraId="68772E0B">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无重大违法记录声明</w:t>
            </w:r>
          </w:p>
        </w:tc>
        <w:tc>
          <w:tcPr>
            <w:tcW w:w="5392" w:type="dxa"/>
            <w:vAlign w:val="center"/>
          </w:tcPr>
          <w:p w14:paraId="36BB9E4D">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参加政府采购活动前3年内在经营活动中没有重大违法记录的书面声明</w:t>
            </w:r>
          </w:p>
        </w:tc>
        <w:tc>
          <w:tcPr>
            <w:tcW w:w="2655" w:type="dxa"/>
            <w:vAlign w:val="center"/>
          </w:tcPr>
          <w:p w14:paraId="11E7F6A1">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审查其是否提供</w:t>
            </w:r>
          </w:p>
        </w:tc>
      </w:tr>
      <w:tr w14:paraId="56A06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Align w:val="center"/>
          </w:tcPr>
          <w:p w14:paraId="15927961">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投标人资质要求</w:t>
            </w:r>
          </w:p>
        </w:tc>
        <w:tc>
          <w:tcPr>
            <w:tcW w:w="5392" w:type="dxa"/>
            <w:vAlign w:val="center"/>
          </w:tcPr>
          <w:p w14:paraId="109E206D">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本项目不允许进行转包和分包，参与本项目的投标人须针对此事宜进行书面承诺。</w:t>
            </w:r>
          </w:p>
        </w:tc>
        <w:tc>
          <w:tcPr>
            <w:tcW w:w="2655" w:type="dxa"/>
            <w:vAlign w:val="center"/>
          </w:tcPr>
          <w:p w14:paraId="29893716">
            <w:pPr>
              <w:spacing w:line="380" w:lineRule="exact"/>
              <w:rPr>
                <w:rFonts w:hint="eastAsia" w:hAnsi="宋体" w:cs="宋体"/>
                <w:color w:val="auto"/>
                <w:sz w:val="21"/>
                <w:szCs w:val="21"/>
                <w:highlight w:val="none"/>
              </w:rPr>
            </w:pPr>
            <w:r>
              <w:rPr>
                <w:rFonts w:hint="eastAsia" w:hAnsi="宋体" w:cs="宋体"/>
                <w:color w:val="auto"/>
                <w:sz w:val="21"/>
                <w:szCs w:val="21"/>
                <w:highlight w:val="none"/>
              </w:rPr>
              <w:t>审查其是否提供</w:t>
            </w:r>
          </w:p>
        </w:tc>
      </w:tr>
      <w:tr w14:paraId="6DF5C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42" w:type="dxa"/>
            <w:vAlign w:val="center"/>
          </w:tcPr>
          <w:p w14:paraId="5490EC90">
            <w:pPr>
              <w:spacing w:line="380" w:lineRule="exact"/>
              <w:rPr>
                <w:rFonts w:hint="eastAsia" w:hAnsi="宋体" w:cs="宋体"/>
                <w:color w:val="auto"/>
                <w:sz w:val="21"/>
                <w:szCs w:val="21"/>
                <w:highlight w:val="none"/>
              </w:rPr>
            </w:pPr>
            <w:r>
              <w:rPr>
                <w:rFonts w:hint="eastAsia" w:hAnsi="宋体" w:cs="宋体"/>
                <w:color w:val="auto"/>
                <w:sz w:val="21"/>
                <w:szCs w:val="21"/>
                <w:highlight w:val="none"/>
              </w:rPr>
              <w:t>信用评价</w:t>
            </w:r>
          </w:p>
        </w:tc>
        <w:tc>
          <w:tcPr>
            <w:tcW w:w="5392" w:type="dxa"/>
            <w:vAlign w:val="center"/>
          </w:tcPr>
          <w:p w14:paraId="31FF9B76">
            <w:pPr>
              <w:spacing w:line="380" w:lineRule="exact"/>
              <w:rPr>
                <w:rFonts w:hint="eastAsia" w:hAnsi="宋体" w:cs="宋体"/>
                <w:color w:val="auto"/>
                <w:sz w:val="21"/>
                <w:szCs w:val="21"/>
                <w:highlight w:val="none"/>
              </w:rPr>
            </w:pPr>
            <w:r>
              <w:rPr>
                <w:rFonts w:hint="eastAsia" w:hAnsi="宋体" w:cs="宋体"/>
                <w:color w:val="auto"/>
                <w:sz w:val="21"/>
                <w:szCs w:val="21"/>
                <w:highlight w:val="none"/>
              </w:rPr>
              <w:t>投标人在本项目采购公告发布之日之前未被列入“信用中国”网站“失信被执行人”“重大税收违法失信主体”“政府采购严重违法失信行为记录名单”，未被列入中国政府采购网“政府采购严重违法失信行为信息记录名单”，由采购人及采购代理机构将按照以上条款对参与各投标人的信用信息进行查询，有不良记录的其投标将被拒绝。</w:t>
            </w:r>
          </w:p>
        </w:tc>
        <w:tc>
          <w:tcPr>
            <w:tcW w:w="2655" w:type="dxa"/>
            <w:vAlign w:val="center"/>
          </w:tcPr>
          <w:p w14:paraId="302BA664">
            <w:pPr>
              <w:spacing w:line="380" w:lineRule="exact"/>
              <w:rPr>
                <w:rFonts w:hint="eastAsia" w:hAnsi="宋体" w:cs="宋体"/>
                <w:color w:val="auto"/>
                <w:sz w:val="21"/>
                <w:szCs w:val="21"/>
                <w:highlight w:val="none"/>
              </w:rPr>
            </w:pPr>
            <w:r>
              <w:rPr>
                <w:rFonts w:hint="eastAsia" w:hAnsi="宋体" w:cs="宋体"/>
                <w:color w:val="auto"/>
                <w:sz w:val="21"/>
                <w:szCs w:val="21"/>
                <w:highlight w:val="none"/>
              </w:rPr>
              <w:t>由采购人及采购代理机构将按照以上条款对参与投标的各投标人的信用信息进行查询，有不良记录者其资格审查不通过。</w:t>
            </w:r>
          </w:p>
        </w:tc>
      </w:tr>
      <w:tr w14:paraId="313FCF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89" w:type="dxa"/>
            <w:gridSpan w:val="3"/>
            <w:vAlign w:val="center"/>
          </w:tcPr>
          <w:p w14:paraId="2B685B83">
            <w:pPr>
              <w:spacing w:line="380" w:lineRule="exact"/>
              <w:rPr>
                <w:rFonts w:hint="eastAsia" w:hAnsi="宋体" w:cs="宋体"/>
                <w:color w:val="auto"/>
                <w:sz w:val="21"/>
                <w:szCs w:val="21"/>
                <w:highlight w:val="none"/>
              </w:rPr>
            </w:pPr>
            <w:r>
              <w:rPr>
                <w:rFonts w:hint="eastAsia" w:hAnsi="宋体" w:cs="宋体"/>
                <w:color w:val="auto"/>
                <w:sz w:val="21"/>
                <w:szCs w:val="21"/>
                <w:highlight w:val="none"/>
              </w:rPr>
              <w:t>特别提示：1.本表中所列内容均提供彩色扫描件或加盖投标人行政章（公章或电子章）的复印件；</w:t>
            </w:r>
          </w:p>
          <w:p w14:paraId="0D9ABAE2">
            <w:pPr>
              <w:spacing w:line="380" w:lineRule="exact"/>
              <w:ind w:firstLine="1050" w:firstLineChars="500"/>
              <w:rPr>
                <w:rFonts w:hint="eastAsia" w:hAnsi="宋体" w:cs="宋体"/>
                <w:color w:val="auto"/>
                <w:sz w:val="21"/>
                <w:szCs w:val="21"/>
                <w:highlight w:val="none"/>
              </w:rPr>
            </w:pPr>
            <w:r>
              <w:rPr>
                <w:rFonts w:hint="eastAsia" w:hAnsi="宋体" w:cs="宋体"/>
                <w:color w:val="auto"/>
                <w:sz w:val="21"/>
                <w:szCs w:val="21"/>
                <w:highlight w:val="none"/>
              </w:rPr>
              <w:t>2.投标申请须按本表要求提供能充分证明其有资格投标的证明材料；</w:t>
            </w:r>
          </w:p>
          <w:p w14:paraId="0A4E924C">
            <w:pPr>
              <w:spacing w:line="380" w:lineRule="exact"/>
              <w:ind w:firstLine="1050" w:firstLineChars="500"/>
              <w:rPr>
                <w:rFonts w:hint="eastAsia" w:hAnsi="宋体" w:cs="宋体"/>
                <w:color w:val="auto"/>
                <w:sz w:val="21"/>
                <w:szCs w:val="21"/>
                <w:highlight w:val="none"/>
              </w:rPr>
            </w:pPr>
            <w:r>
              <w:rPr>
                <w:rFonts w:hint="eastAsia" w:hAnsi="宋体" w:cs="宋体"/>
                <w:color w:val="auto"/>
                <w:sz w:val="21"/>
                <w:szCs w:val="21"/>
                <w:highlight w:val="none"/>
              </w:rPr>
              <w:t>3.投标人须对所提供的全部证明材料的真实性及合法性负全部责任；</w:t>
            </w:r>
          </w:p>
          <w:p w14:paraId="58C5197C">
            <w:pPr>
              <w:spacing w:line="380" w:lineRule="exact"/>
              <w:ind w:firstLine="1050" w:firstLineChars="500"/>
              <w:rPr>
                <w:rFonts w:hint="eastAsia" w:hAnsi="宋体" w:cs="宋体"/>
                <w:color w:val="auto"/>
                <w:sz w:val="21"/>
                <w:szCs w:val="21"/>
                <w:highlight w:val="none"/>
              </w:rPr>
            </w:pPr>
            <w:r>
              <w:rPr>
                <w:rFonts w:hint="eastAsia" w:hAnsi="宋体" w:cs="宋体"/>
                <w:color w:val="auto"/>
                <w:sz w:val="21"/>
                <w:szCs w:val="21"/>
                <w:highlight w:val="none"/>
              </w:rPr>
              <w:t>4.本表所列内容任何一项缺失或不通过，其投标资格将被取消，只有通过资格审查的投标人提交的投标文件才能进入下一阶段（第四章评标办法）的评审。</w:t>
            </w:r>
          </w:p>
        </w:tc>
      </w:tr>
    </w:tbl>
    <w:p w14:paraId="07CEEE70">
      <w:pPr>
        <w:widowControl/>
        <w:jc w:val="left"/>
        <w:rPr>
          <w:rFonts w:hint="eastAsia" w:hAnsi="宋体"/>
          <w:b/>
          <w:color w:val="auto"/>
          <w:sz w:val="44"/>
          <w:szCs w:val="44"/>
          <w:highlight w:val="none"/>
        </w:rPr>
      </w:pPr>
      <w:r>
        <w:rPr>
          <w:rFonts w:hAnsi="宋体"/>
          <w:bCs/>
          <w:color w:val="auto"/>
          <w:sz w:val="44"/>
          <w:szCs w:val="44"/>
          <w:highlight w:val="none"/>
        </w:rPr>
        <w:br w:type="page"/>
      </w:r>
    </w:p>
    <w:p w14:paraId="5D507572">
      <w:pPr>
        <w:pStyle w:val="6"/>
        <w:spacing w:line="360" w:lineRule="auto"/>
        <w:jc w:val="center"/>
        <w:rPr>
          <w:rFonts w:hint="eastAsia" w:ascii="宋体" w:hAnsi="宋体" w:eastAsia="宋体"/>
          <w:bCs w:val="0"/>
          <w:color w:val="auto"/>
          <w:sz w:val="44"/>
          <w:szCs w:val="44"/>
          <w:highlight w:val="none"/>
        </w:rPr>
      </w:pPr>
      <w:bookmarkStart w:id="28" w:name="_Toc28929"/>
      <w:r>
        <w:rPr>
          <w:rFonts w:hint="eastAsia" w:ascii="宋体" w:hAnsi="宋体" w:eastAsia="宋体"/>
          <w:bCs w:val="0"/>
          <w:color w:val="auto"/>
          <w:sz w:val="44"/>
          <w:szCs w:val="44"/>
          <w:highlight w:val="none"/>
        </w:rPr>
        <w:t>第四章 评标方法</w:t>
      </w:r>
      <w:bookmarkEnd w:id="28"/>
    </w:p>
    <w:p w14:paraId="1BD4ABF9">
      <w:pPr>
        <w:pStyle w:val="7"/>
        <w:numPr>
          <w:ilvl w:val="0"/>
          <w:numId w:val="0"/>
        </w:numPr>
        <w:spacing w:before="0" w:after="0" w:line="500" w:lineRule="exact"/>
        <w:rPr>
          <w:rFonts w:hint="eastAsia" w:hAnsi="宋体"/>
          <w:color w:val="auto"/>
          <w:highlight w:val="none"/>
        </w:rPr>
      </w:pPr>
      <w:bookmarkStart w:id="29" w:name="_Toc3673"/>
      <w:r>
        <w:rPr>
          <w:rFonts w:hint="eastAsia" w:hAnsi="宋体"/>
          <w:color w:val="auto"/>
          <w:highlight w:val="none"/>
        </w:rPr>
        <w:t>1.评审程序</w:t>
      </w:r>
      <w:bookmarkEnd w:id="29"/>
    </w:p>
    <w:p w14:paraId="349B1A83">
      <w:pPr>
        <w:spacing w:line="500" w:lineRule="exact"/>
        <w:ind w:firstLine="480"/>
        <w:rPr>
          <w:rFonts w:hint="eastAsia" w:hAnsi="宋体"/>
          <w:color w:val="auto"/>
          <w:sz w:val="21"/>
          <w:szCs w:val="21"/>
          <w:highlight w:val="none"/>
        </w:rPr>
      </w:pPr>
      <w:r>
        <w:rPr>
          <w:rFonts w:hint="eastAsia" w:hAnsi="宋体"/>
          <w:color w:val="auto"/>
          <w:sz w:val="21"/>
          <w:szCs w:val="21"/>
          <w:highlight w:val="none"/>
        </w:rPr>
        <w:t>1.1 评标过程将遵循</w:t>
      </w:r>
      <w:r>
        <w:rPr>
          <w:rFonts w:hint="eastAsia"/>
          <w:color w:val="auto"/>
          <w:sz w:val="21"/>
          <w:szCs w:val="21"/>
          <w:highlight w:val="none"/>
        </w:rPr>
        <w:t>“公平、公正、科学、择优、合法、保密”</w:t>
      </w:r>
      <w:r>
        <w:rPr>
          <w:rFonts w:hint="eastAsia" w:hAnsi="宋体"/>
          <w:color w:val="auto"/>
          <w:sz w:val="21"/>
          <w:szCs w:val="21"/>
          <w:highlight w:val="none"/>
        </w:rPr>
        <w:t>的原则进行。</w:t>
      </w:r>
    </w:p>
    <w:p w14:paraId="4A0A5A8A">
      <w:pPr>
        <w:spacing w:line="500" w:lineRule="exact"/>
        <w:ind w:firstLine="480"/>
        <w:rPr>
          <w:rFonts w:hint="eastAsia" w:hAnsi="宋体"/>
          <w:color w:val="auto"/>
          <w:sz w:val="21"/>
          <w:szCs w:val="21"/>
          <w:highlight w:val="none"/>
        </w:rPr>
      </w:pPr>
      <w:r>
        <w:rPr>
          <w:rFonts w:hint="eastAsia" w:hAnsi="宋体"/>
          <w:color w:val="auto"/>
          <w:sz w:val="21"/>
          <w:szCs w:val="21"/>
          <w:highlight w:val="none"/>
        </w:rPr>
        <w:t>1.2 评标纪律</w:t>
      </w:r>
    </w:p>
    <w:p w14:paraId="7BD9FCBC">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（1）对评标内容要严格保密，不得向投标人或与该过程无关的其他人员泄露；</w:t>
      </w:r>
    </w:p>
    <w:p w14:paraId="27280E3E">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（2）评标期间的一切资料，包括评标意见、评标记录和评标结论，一律不得向外传和泄露；</w:t>
      </w:r>
    </w:p>
    <w:p w14:paraId="24D83A39">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（3）任何属于投标文件审查、澄清、评价和比较的资料，不得向投标人或与该过程无关的其他人员泄露；</w:t>
      </w:r>
    </w:p>
    <w:p w14:paraId="46CB3486">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（4）所有资料（包括招标文件、投标文件、评标表格及各种文字记录）在评标结束后均应分别整理、存档备查，任何人不得复制和保留；</w:t>
      </w:r>
    </w:p>
    <w:p w14:paraId="2B0FB17F">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（5）评标期间，评标人员不得外出，确需外出时应事先请假；</w:t>
      </w:r>
    </w:p>
    <w:p w14:paraId="730292F2">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（6）评标期间，所有与会人员均不得私自以任何方式和投标人进行联系，需询问、澄清的问题由评委会统一组织办理；</w:t>
      </w:r>
    </w:p>
    <w:p w14:paraId="78766C52">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（7）评标期间，未经允许评标委员会以外的任何单位或个人不得参加评标和采访评标工作；</w:t>
      </w:r>
    </w:p>
    <w:p w14:paraId="47719377">
      <w:pPr>
        <w:spacing w:line="500" w:lineRule="exact"/>
        <w:ind w:firstLine="420" w:firstLineChars="200"/>
        <w:rPr>
          <w:rFonts w:hint="eastAsia" w:hAnsi="宋体"/>
          <w:color w:val="auto"/>
          <w:sz w:val="21"/>
          <w:szCs w:val="21"/>
          <w:highlight w:val="none"/>
        </w:rPr>
      </w:pPr>
      <w:r>
        <w:rPr>
          <w:rFonts w:hint="eastAsia" w:hAnsi="宋体"/>
          <w:color w:val="auto"/>
          <w:sz w:val="21"/>
          <w:szCs w:val="21"/>
          <w:highlight w:val="none"/>
        </w:rPr>
        <w:t>（8）评标结束后，与会人员不得向外界透露评标人员的评标意见，如因此造成的后果由责任者承担。</w:t>
      </w:r>
    </w:p>
    <w:p w14:paraId="1BD69703">
      <w:pPr>
        <w:spacing w:line="500" w:lineRule="exact"/>
        <w:ind w:firstLine="480"/>
        <w:rPr>
          <w:rFonts w:hint="eastAsia" w:hAnsi="宋体"/>
          <w:color w:val="auto"/>
          <w:sz w:val="21"/>
          <w:szCs w:val="21"/>
          <w:highlight w:val="none"/>
        </w:rPr>
      </w:pPr>
      <w:r>
        <w:rPr>
          <w:rFonts w:hint="eastAsia" w:hAnsi="宋体"/>
          <w:color w:val="auto"/>
          <w:sz w:val="21"/>
          <w:szCs w:val="21"/>
          <w:highlight w:val="none"/>
        </w:rPr>
        <w:t>1.3评标严格按照招标文件规定的评审因素和标准进行。</w:t>
      </w:r>
    </w:p>
    <w:p w14:paraId="6614C157">
      <w:pPr>
        <w:spacing w:line="500" w:lineRule="exact"/>
        <w:ind w:firstLine="480"/>
        <w:rPr>
          <w:rFonts w:hint="eastAsia" w:hAnsi="宋体"/>
          <w:b/>
          <w:color w:val="auto"/>
          <w:sz w:val="21"/>
          <w:szCs w:val="21"/>
          <w:highlight w:val="none"/>
        </w:rPr>
      </w:pPr>
      <w:r>
        <w:rPr>
          <w:rFonts w:hint="eastAsia" w:hAnsi="宋体"/>
          <w:b/>
          <w:color w:val="auto"/>
          <w:sz w:val="21"/>
          <w:szCs w:val="21"/>
          <w:highlight w:val="none"/>
        </w:rPr>
        <w:t>1.4 本次评标采用综合评分法。评标委员会对满足招标文件实质性要求的投标文件按照本章第2.2款规定的评分标准进行打分，并按得分由高到低的顺序推荐中标候选人；得分相同的，按投标报价由低到高顺序排列。得分且投标报价相同的，按技术评分由高到低的顺序推荐中标候选人。</w:t>
      </w:r>
    </w:p>
    <w:p w14:paraId="10AB81FB">
      <w:pPr>
        <w:spacing w:line="500" w:lineRule="exact"/>
        <w:ind w:firstLine="480"/>
        <w:rPr>
          <w:rFonts w:hint="eastAsia" w:hAnsi="宋体"/>
          <w:b/>
          <w:color w:val="auto"/>
          <w:sz w:val="24"/>
          <w:highlight w:val="none"/>
        </w:rPr>
      </w:pPr>
    </w:p>
    <w:p w14:paraId="49448CBC">
      <w:pPr>
        <w:pStyle w:val="7"/>
        <w:numPr>
          <w:ilvl w:val="0"/>
          <w:numId w:val="0"/>
        </w:numPr>
        <w:spacing w:before="0" w:after="0" w:line="500" w:lineRule="exact"/>
        <w:rPr>
          <w:rFonts w:hint="eastAsia" w:hAnsi="宋体"/>
          <w:color w:val="auto"/>
          <w:highlight w:val="none"/>
        </w:rPr>
      </w:pPr>
      <w:r>
        <w:rPr>
          <w:rFonts w:hAnsi="宋体"/>
          <w:color w:val="auto"/>
          <w:highlight w:val="none"/>
        </w:rPr>
        <w:br w:type="page"/>
      </w:r>
      <w:bookmarkStart w:id="30" w:name="_Toc446762716"/>
      <w:bookmarkStart w:id="31" w:name="_Toc12920"/>
      <w:r>
        <w:rPr>
          <w:rFonts w:hint="eastAsia" w:hAnsi="宋体"/>
          <w:color w:val="auto"/>
          <w:highlight w:val="none"/>
        </w:rPr>
        <w:t>2.评审标准</w:t>
      </w:r>
      <w:bookmarkEnd w:id="30"/>
      <w:bookmarkEnd w:id="31"/>
    </w:p>
    <w:p w14:paraId="041744F7">
      <w:pPr>
        <w:spacing w:line="500" w:lineRule="exact"/>
        <w:ind w:firstLine="480"/>
        <w:rPr>
          <w:rFonts w:hint="eastAsia" w:hAnsi="宋体"/>
          <w:b/>
          <w:color w:val="auto"/>
          <w:sz w:val="24"/>
          <w:highlight w:val="none"/>
        </w:rPr>
      </w:pPr>
      <w:r>
        <w:rPr>
          <w:rFonts w:hint="eastAsia" w:hAnsi="宋体"/>
          <w:b/>
          <w:color w:val="auto"/>
          <w:sz w:val="24"/>
          <w:highlight w:val="none"/>
        </w:rPr>
        <w:t>2.1初步评审标准</w:t>
      </w:r>
    </w:p>
    <w:tbl>
      <w:tblPr>
        <w:tblStyle w:val="37"/>
        <w:tblW w:w="101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846"/>
        <w:gridCol w:w="1522"/>
        <w:gridCol w:w="7006"/>
      </w:tblGrid>
      <w:tr w14:paraId="2B627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656" w:type="dxa"/>
            <w:gridSpan w:val="2"/>
          </w:tcPr>
          <w:p w14:paraId="346EDF59">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条款号</w:t>
            </w:r>
          </w:p>
        </w:tc>
        <w:tc>
          <w:tcPr>
            <w:tcW w:w="1522" w:type="dxa"/>
          </w:tcPr>
          <w:p w14:paraId="051C39BE">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评审因素</w:t>
            </w:r>
          </w:p>
        </w:tc>
        <w:tc>
          <w:tcPr>
            <w:tcW w:w="7006" w:type="dxa"/>
          </w:tcPr>
          <w:p w14:paraId="6830057A">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评审标准</w:t>
            </w:r>
          </w:p>
        </w:tc>
      </w:tr>
      <w:tr w14:paraId="60E0E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0" w:type="dxa"/>
            <w:vMerge w:val="restart"/>
          </w:tcPr>
          <w:p w14:paraId="1412A655">
            <w:pP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 2.1</w:t>
            </w:r>
          </w:p>
        </w:tc>
        <w:tc>
          <w:tcPr>
            <w:tcW w:w="846" w:type="dxa"/>
            <w:vMerge w:val="restart"/>
            <w:vAlign w:val="center"/>
          </w:tcPr>
          <w:p w14:paraId="63182912">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符合性评审标准</w:t>
            </w:r>
          </w:p>
        </w:tc>
        <w:tc>
          <w:tcPr>
            <w:tcW w:w="1522" w:type="dxa"/>
            <w:vAlign w:val="center"/>
          </w:tcPr>
          <w:p w14:paraId="45A2A261">
            <w:pPr>
              <w:spacing w:line="420" w:lineRule="exact"/>
              <w:jc w:val="center"/>
              <w:rPr>
                <w:rFonts w:hint="eastAsia" w:hAnsi="宋体" w:cs="宋体"/>
                <w:color w:val="auto"/>
                <w:kern w:val="2"/>
                <w:sz w:val="21"/>
                <w:szCs w:val="21"/>
                <w:highlight w:val="none"/>
              </w:rPr>
            </w:pPr>
            <w:r>
              <w:rPr>
                <w:rFonts w:hint="eastAsia" w:hAnsi="宋体" w:cs="宋体"/>
                <w:bCs/>
                <w:color w:val="auto"/>
                <w:sz w:val="21"/>
                <w:szCs w:val="21"/>
                <w:highlight w:val="none"/>
              </w:rPr>
              <w:t>签字盖章</w:t>
            </w:r>
          </w:p>
        </w:tc>
        <w:tc>
          <w:tcPr>
            <w:tcW w:w="7006" w:type="dxa"/>
            <w:vAlign w:val="center"/>
          </w:tcPr>
          <w:p w14:paraId="439FFB6C">
            <w:pPr>
              <w:spacing w:before="100" w:beforeAutospacing="1" w:after="100" w:afterAutospacing="1" w:line="420" w:lineRule="exact"/>
              <w:rPr>
                <w:rFonts w:hint="eastAsia" w:hAnsi="宋体" w:cs="宋体"/>
                <w:color w:val="auto"/>
                <w:kern w:val="2"/>
                <w:sz w:val="21"/>
                <w:szCs w:val="21"/>
                <w:highlight w:val="none"/>
              </w:rPr>
            </w:pPr>
            <w:r>
              <w:rPr>
                <w:rFonts w:hint="eastAsia" w:hAnsi="宋体" w:cs="宋体"/>
                <w:bCs/>
                <w:color w:val="auto"/>
                <w:sz w:val="21"/>
                <w:szCs w:val="21"/>
                <w:highlight w:val="none"/>
              </w:rPr>
              <w:t>单位盖章、法定代表人（负责人）或法定代表人（负责人）授权的代理人进行</w:t>
            </w:r>
            <w:r>
              <w:rPr>
                <w:rFonts w:hint="eastAsia" w:hAnsi="宋体" w:cs="宋体"/>
                <w:bCs/>
                <w:color w:val="auto"/>
                <w:sz w:val="21"/>
                <w:szCs w:val="21"/>
                <w:highlight w:val="none"/>
                <w:lang w:eastAsia="zh-CN"/>
              </w:rPr>
              <w:t>签字或个人印章</w:t>
            </w:r>
            <w:r>
              <w:rPr>
                <w:rFonts w:hint="eastAsia" w:hAnsi="宋体" w:cs="宋体"/>
                <w:bCs/>
                <w:color w:val="auto"/>
                <w:sz w:val="21"/>
                <w:szCs w:val="21"/>
                <w:highlight w:val="none"/>
              </w:rPr>
              <w:t>，符合招标文件要求的，招标文件未作要求的，不作为评审内容。</w:t>
            </w:r>
          </w:p>
        </w:tc>
      </w:tr>
      <w:tr w14:paraId="320D1F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0" w:type="dxa"/>
            <w:vMerge w:val="continue"/>
          </w:tcPr>
          <w:p w14:paraId="50F36FFA">
            <w:pPr>
              <w:spacing w:line="400" w:lineRule="exact"/>
              <w:rPr>
                <w:rFonts w:hint="eastAsia" w:hAnsi="宋体" w:cs="宋体"/>
                <w:color w:val="auto"/>
                <w:sz w:val="21"/>
                <w:szCs w:val="21"/>
                <w:highlight w:val="none"/>
              </w:rPr>
            </w:pPr>
          </w:p>
        </w:tc>
        <w:tc>
          <w:tcPr>
            <w:tcW w:w="846" w:type="dxa"/>
            <w:vMerge w:val="continue"/>
          </w:tcPr>
          <w:p w14:paraId="59A0C6AC">
            <w:pPr>
              <w:spacing w:line="400" w:lineRule="exact"/>
              <w:rPr>
                <w:rFonts w:hint="eastAsia" w:hAnsi="宋体" w:cs="宋体"/>
                <w:color w:val="auto"/>
                <w:sz w:val="21"/>
                <w:szCs w:val="21"/>
                <w:highlight w:val="none"/>
              </w:rPr>
            </w:pPr>
          </w:p>
        </w:tc>
        <w:tc>
          <w:tcPr>
            <w:tcW w:w="1522" w:type="dxa"/>
            <w:vAlign w:val="center"/>
          </w:tcPr>
          <w:p w14:paraId="318C506D">
            <w:pPr>
              <w:spacing w:line="420" w:lineRule="exact"/>
              <w:jc w:val="center"/>
              <w:rPr>
                <w:rFonts w:hint="eastAsia" w:hAnsi="宋体" w:cs="宋体"/>
                <w:bCs/>
                <w:color w:val="auto"/>
                <w:sz w:val="21"/>
                <w:szCs w:val="21"/>
                <w:highlight w:val="none"/>
              </w:rPr>
            </w:pPr>
            <w:r>
              <w:rPr>
                <w:rFonts w:hint="eastAsia" w:hAnsi="宋体" w:cs="宋体"/>
                <w:bCs/>
                <w:color w:val="auto"/>
                <w:sz w:val="21"/>
                <w:szCs w:val="21"/>
                <w:highlight w:val="none"/>
              </w:rPr>
              <w:t>投标报价</w:t>
            </w:r>
          </w:p>
        </w:tc>
        <w:tc>
          <w:tcPr>
            <w:tcW w:w="7006" w:type="dxa"/>
          </w:tcPr>
          <w:p w14:paraId="5378294B">
            <w:pPr>
              <w:spacing w:line="420" w:lineRule="exact"/>
              <w:rPr>
                <w:rFonts w:hint="eastAsia" w:hAnsi="宋体" w:cs="宋体"/>
                <w:bCs/>
                <w:color w:val="auto"/>
                <w:sz w:val="21"/>
                <w:szCs w:val="21"/>
                <w:highlight w:val="none"/>
              </w:rPr>
            </w:pPr>
            <w:r>
              <w:rPr>
                <w:rFonts w:hint="eastAsia" w:hAnsi="宋体" w:cs="宋体"/>
                <w:bCs/>
                <w:color w:val="auto"/>
                <w:sz w:val="21"/>
                <w:szCs w:val="21"/>
                <w:highlight w:val="none"/>
              </w:rPr>
              <w:t>投标报价认定为超过</w:t>
            </w:r>
            <w:r>
              <w:rPr>
                <w:rFonts w:hint="eastAsia" w:hAnsi="宋体" w:cs="宋体"/>
                <w:bCs/>
                <w:color w:val="auto"/>
                <w:sz w:val="21"/>
                <w:szCs w:val="21"/>
                <w:highlight w:val="none"/>
                <w:lang w:val="en-US" w:eastAsia="zh-CN"/>
              </w:rPr>
              <w:t>最高限价</w:t>
            </w:r>
            <w:r>
              <w:rPr>
                <w:rFonts w:hint="eastAsia" w:hAnsi="宋体" w:cs="宋体"/>
                <w:bCs/>
                <w:color w:val="auto"/>
                <w:sz w:val="21"/>
                <w:szCs w:val="21"/>
                <w:highlight w:val="none"/>
              </w:rPr>
              <w:t>或认定不合理价格的情况，其投标文件将被否决，相关要求如下：</w:t>
            </w:r>
          </w:p>
          <w:p w14:paraId="3CC8536C">
            <w:pPr>
              <w:spacing w:line="420" w:lineRule="exact"/>
              <w:rPr>
                <w:rFonts w:hint="eastAsia" w:hAnsi="宋体" w:cs="宋体"/>
                <w:bCs/>
                <w:color w:val="auto"/>
                <w:sz w:val="21"/>
                <w:szCs w:val="21"/>
                <w:highlight w:val="none"/>
              </w:rPr>
            </w:pPr>
            <w:r>
              <w:rPr>
                <w:rFonts w:hint="eastAsia" w:hAnsi="宋体" w:cs="宋体"/>
                <w:bCs/>
                <w:color w:val="auto"/>
                <w:sz w:val="21"/>
                <w:szCs w:val="21"/>
                <w:highlight w:val="none"/>
              </w:rPr>
              <w:t>1.投标人出现不按要求填报投标报价的，或投标报价超过</w:t>
            </w:r>
            <w:r>
              <w:rPr>
                <w:rFonts w:hint="eastAsia" w:hAnsi="宋体" w:cs="宋体"/>
                <w:bCs/>
                <w:color w:val="auto"/>
                <w:sz w:val="21"/>
                <w:szCs w:val="21"/>
                <w:highlight w:val="none"/>
                <w:lang w:val="en-US" w:eastAsia="zh-CN"/>
              </w:rPr>
              <w:t>最高限价</w:t>
            </w:r>
            <w:r>
              <w:rPr>
                <w:rFonts w:hint="eastAsia" w:hAnsi="宋体" w:cs="宋体"/>
                <w:bCs/>
                <w:color w:val="auto"/>
                <w:sz w:val="21"/>
                <w:szCs w:val="21"/>
                <w:highlight w:val="none"/>
              </w:rPr>
              <w:t>的，其投标文件将被否决。</w:t>
            </w:r>
          </w:p>
          <w:p w14:paraId="4C7BB51B">
            <w:pPr>
              <w:spacing w:line="420" w:lineRule="exact"/>
              <w:rPr>
                <w:rFonts w:hint="eastAsia" w:hAnsi="宋体" w:cs="宋体"/>
                <w:bCs/>
                <w:color w:val="auto"/>
                <w:sz w:val="21"/>
                <w:szCs w:val="21"/>
                <w:highlight w:val="none"/>
              </w:rPr>
            </w:pPr>
            <w:r>
              <w:rPr>
                <w:rFonts w:hint="eastAsia" w:hAnsi="宋体" w:cs="宋体"/>
                <w:bCs/>
                <w:color w:val="auto"/>
                <w:sz w:val="21"/>
                <w:szCs w:val="21"/>
                <w:highlight w:val="none"/>
              </w:rPr>
              <w:t>2.评标委员会认为投标人的投标报价明显低于其他通过符合性审查投标人的报价，有可能影响产品、服务质量或者不能诚信履约的，且投标人不能在合理的时间内提供书面说明或证明材料或相应材料不能证明其报价合理性的，其投标文件将被否决。</w:t>
            </w:r>
          </w:p>
          <w:p w14:paraId="037CBFAF">
            <w:pPr>
              <w:spacing w:line="420" w:lineRule="exact"/>
              <w:rPr>
                <w:rFonts w:hint="eastAsia" w:hAnsi="宋体" w:cs="宋体"/>
                <w:bCs/>
                <w:color w:val="auto"/>
                <w:sz w:val="21"/>
                <w:szCs w:val="21"/>
                <w:highlight w:val="none"/>
              </w:rPr>
            </w:pPr>
            <w:r>
              <w:rPr>
                <w:rFonts w:hint="eastAsia" w:hAnsi="宋体" w:cs="宋体"/>
                <w:bCs/>
                <w:color w:val="auto"/>
                <w:sz w:val="21"/>
                <w:szCs w:val="21"/>
                <w:highlight w:val="none"/>
              </w:rPr>
              <w:t>3.投标人没有递交两份或多份内容不同的投标文件；或没有在一份投标文件中对同一采购项目报有两个，或多个报价，且未声明哪一个为最终报价的，评标委员会依法要求投标人进行澄清，但澄清内容评标委员会不予认可的，其投标文件将被否决。</w:t>
            </w:r>
          </w:p>
        </w:tc>
      </w:tr>
      <w:tr w14:paraId="53C7B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0" w:type="dxa"/>
            <w:vMerge w:val="continue"/>
          </w:tcPr>
          <w:p w14:paraId="4B2C1B76">
            <w:pPr>
              <w:spacing w:line="400" w:lineRule="exact"/>
              <w:rPr>
                <w:rFonts w:hint="eastAsia" w:hAnsi="宋体" w:cs="宋体"/>
                <w:color w:val="auto"/>
                <w:sz w:val="21"/>
                <w:szCs w:val="21"/>
                <w:highlight w:val="none"/>
              </w:rPr>
            </w:pPr>
          </w:p>
        </w:tc>
        <w:tc>
          <w:tcPr>
            <w:tcW w:w="846" w:type="dxa"/>
            <w:vMerge w:val="continue"/>
          </w:tcPr>
          <w:p w14:paraId="3BF0146F">
            <w:pPr>
              <w:spacing w:line="400" w:lineRule="exact"/>
              <w:rPr>
                <w:rFonts w:hint="eastAsia" w:hAnsi="宋体" w:cs="宋体"/>
                <w:color w:val="auto"/>
                <w:sz w:val="21"/>
                <w:szCs w:val="21"/>
                <w:highlight w:val="none"/>
              </w:rPr>
            </w:pPr>
          </w:p>
        </w:tc>
        <w:tc>
          <w:tcPr>
            <w:tcW w:w="1522" w:type="dxa"/>
            <w:vAlign w:val="center"/>
          </w:tcPr>
          <w:p w14:paraId="79074CCB">
            <w:pPr>
              <w:spacing w:before="100" w:beforeAutospacing="1" w:after="100" w:afterAutospacing="1" w:line="420" w:lineRule="exact"/>
              <w:jc w:val="center"/>
              <w:rPr>
                <w:rFonts w:hint="eastAsia" w:hAnsi="宋体" w:cs="宋体"/>
                <w:bCs/>
                <w:color w:val="auto"/>
                <w:sz w:val="21"/>
                <w:szCs w:val="21"/>
                <w:highlight w:val="none"/>
              </w:rPr>
            </w:pPr>
            <w:r>
              <w:rPr>
                <w:rFonts w:hint="eastAsia" w:hAnsi="宋体" w:cs="宋体"/>
                <w:color w:val="auto"/>
                <w:sz w:val="21"/>
                <w:szCs w:val="21"/>
                <w:highlight w:val="none"/>
              </w:rPr>
              <w:t>投标有效期</w:t>
            </w:r>
          </w:p>
        </w:tc>
        <w:tc>
          <w:tcPr>
            <w:tcW w:w="7006" w:type="dxa"/>
            <w:vAlign w:val="center"/>
          </w:tcPr>
          <w:p w14:paraId="340E6CDF">
            <w:pPr>
              <w:spacing w:before="100" w:beforeAutospacing="1" w:after="100" w:afterAutospacing="1" w:line="420" w:lineRule="exact"/>
              <w:rPr>
                <w:rFonts w:hint="eastAsia" w:hAnsi="宋体" w:cs="宋体"/>
                <w:bCs/>
                <w:color w:val="auto"/>
                <w:sz w:val="21"/>
                <w:szCs w:val="21"/>
                <w:highlight w:val="none"/>
              </w:rPr>
            </w:pPr>
            <w:r>
              <w:rPr>
                <w:rFonts w:hint="eastAsia" w:hAnsi="宋体" w:cs="宋体"/>
                <w:color w:val="auto"/>
                <w:sz w:val="21"/>
                <w:szCs w:val="21"/>
                <w:highlight w:val="none"/>
              </w:rPr>
              <w:t>投标有效期满足招标文件要求的；</w:t>
            </w:r>
          </w:p>
        </w:tc>
      </w:tr>
      <w:tr w14:paraId="337B3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0" w:type="dxa"/>
            <w:vMerge w:val="continue"/>
          </w:tcPr>
          <w:p w14:paraId="3FBBF0F6">
            <w:pPr>
              <w:spacing w:line="400" w:lineRule="exact"/>
              <w:rPr>
                <w:rFonts w:hint="eastAsia" w:hAnsi="宋体" w:cs="宋体"/>
                <w:color w:val="auto"/>
                <w:sz w:val="21"/>
                <w:szCs w:val="21"/>
                <w:highlight w:val="none"/>
              </w:rPr>
            </w:pPr>
          </w:p>
        </w:tc>
        <w:tc>
          <w:tcPr>
            <w:tcW w:w="846" w:type="dxa"/>
            <w:vMerge w:val="continue"/>
          </w:tcPr>
          <w:p w14:paraId="4F384A8E">
            <w:pPr>
              <w:spacing w:line="400" w:lineRule="exact"/>
              <w:rPr>
                <w:rFonts w:hint="eastAsia" w:hAnsi="宋体" w:cs="宋体"/>
                <w:color w:val="auto"/>
                <w:sz w:val="21"/>
                <w:szCs w:val="21"/>
                <w:highlight w:val="none"/>
              </w:rPr>
            </w:pPr>
          </w:p>
        </w:tc>
        <w:tc>
          <w:tcPr>
            <w:tcW w:w="1522" w:type="dxa"/>
            <w:vAlign w:val="center"/>
          </w:tcPr>
          <w:p w14:paraId="4F286361">
            <w:pPr>
              <w:spacing w:before="100" w:beforeAutospacing="1" w:after="100" w:afterAutospacing="1" w:line="420" w:lineRule="exact"/>
              <w:jc w:val="center"/>
              <w:rPr>
                <w:rFonts w:hint="eastAsia" w:hAnsi="宋体" w:cs="宋体"/>
                <w:bCs/>
                <w:color w:val="auto"/>
                <w:sz w:val="21"/>
                <w:szCs w:val="21"/>
                <w:highlight w:val="none"/>
              </w:rPr>
            </w:pPr>
            <w:r>
              <w:rPr>
                <w:rFonts w:hint="eastAsia" w:hAnsi="宋体" w:cs="宋体"/>
                <w:color w:val="auto"/>
                <w:sz w:val="21"/>
                <w:szCs w:val="21"/>
                <w:highlight w:val="none"/>
              </w:rPr>
              <w:t>投标保证金</w:t>
            </w:r>
          </w:p>
        </w:tc>
        <w:tc>
          <w:tcPr>
            <w:tcW w:w="7006" w:type="dxa"/>
            <w:vAlign w:val="center"/>
          </w:tcPr>
          <w:p w14:paraId="3038C92B">
            <w:pPr>
              <w:spacing w:before="100" w:beforeAutospacing="1" w:after="100" w:afterAutospacing="1" w:line="420" w:lineRule="exact"/>
              <w:rPr>
                <w:rFonts w:hint="eastAsia" w:hAnsi="宋体" w:cs="宋体"/>
                <w:bCs/>
                <w:color w:val="auto"/>
                <w:sz w:val="21"/>
                <w:szCs w:val="21"/>
                <w:highlight w:val="none"/>
              </w:rPr>
            </w:pPr>
            <w:r>
              <w:rPr>
                <w:rFonts w:hint="eastAsia" w:hAnsi="宋体" w:cs="宋体"/>
                <w:color w:val="auto"/>
                <w:sz w:val="21"/>
                <w:szCs w:val="21"/>
                <w:highlight w:val="none"/>
              </w:rPr>
              <w:t>按招标文件要求提交足额的投标保证金；</w:t>
            </w:r>
          </w:p>
        </w:tc>
      </w:tr>
      <w:tr w14:paraId="738FB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0" w:type="dxa"/>
            <w:vMerge w:val="continue"/>
          </w:tcPr>
          <w:p w14:paraId="20FA9ADC">
            <w:pPr>
              <w:spacing w:line="400" w:lineRule="exact"/>
              <w:rPr>
                <w:rFonts w:hint="eastAsia" w:hAnsi="宋体" w:cs="宋体"/>
                <w:color w:val="auto"/>
                <w:sz w:val="21"/>
                <w:szCs w:val="21"/>
                <w:highlight w:val="none"/>
              </w:rPr>
            </w:pPr>
          </w:p>
        </w:tc>
        <w:tc>
          <w:tcPr>
            <w:tcW w:w="846" w:type="dxa"/>
            <w:vMerge w:val="continue"/>
          </w:tcPr>
          <w:p w14:paraId="768A50BE">
            <w:pPr>
              <w:spacing w:line="400" w:lineRule="exact"/>
              <w:rPr>
                <w:rFonts w:hint="eastAsia" w:hAnsi="宋体" w:cs="宋体"/>
                <w:color w:val="auto"/>
                <w:sz w:val="21"/>
                <w:szCs w:val="21"/>
                <w:highlight w:val="none"/>
              </w:rPr>
            </w:pPr>
          </w:p>
        </w:tc>
        <w:tc>
          <w:tcPr>
            <w:tcW w:w="1522" w:type="dxa"/>
            <w:vAlign w:val="center"/>
          </w:tcPr>
          <w:p w14:paraId="4E83E208">
            <w:pPr>
              <w:spacing w:line="420" w:lineRule="exact"/>
              <w:jc w:val="center"/>
              <w:rPr>
                <w:rFonts w:hint="eastAsia" w:hAnsi="宋体" w:cs="宋体"/>
                <w:color w:val="auto"/>
                <w:kern w:val="2"/>
                <w:sz w:val="21"/>
                <w:szCs w:val="21"/>
                <w:highlight w:val="none"/>
              </w:rPr>
            </w:pPr>
            <w:r>
              <w:rPr>
                <w:rFonts w:hint="eastAsia" w:hAnsi="宋体" w:cs="宋体"/>
                <w:bCs/>
                <w:color w:val="auto"/>
                <w:sz w:val="21"/>
                <w:szCs w:val="21"/>
                <w:highlight w:val="none"/>
              </w:rPr>
              <w:t>澄清说明</w:t>
            </w:r>
          </w:p>
        </w:tc>
        <w:tc>
          <w:tcPr>
            <w:tcW w:w="7006" w:type="dxa"/>
          </w:tcPr>
          <w:p w14:paraId="248AC1B5">
            <w:pPr>
              <w:pStyle w:val="109"/>
              <w:spacing w:line="420" w:lineRule="exact"/>
              <w:ind w:firstLine="0"/>
              <w:rPr>
                <w:rFonts w:hint="eastAsia" w:hAnsi="宋体" w:cs="宋体"/>
                <w:color w:val="auto"/>
                <w:kern w:val="2"/>
                <w:sz w:val="21"/>
                <w:szCs w:val="21"/>
                <w:highlight w:val="none"/>
              </w:rPr>
            </w:pPr>
            <w:r>
              <w:rPr>
                <w:rFonts w:hint="eastAsia" w:ascii="宋体" w:hAnsi="宋体" w:cs="宋体"/>
                <w:color w:val="auto"/>
                <w:sz w:val="21"/>
                <w:szCs w:val="21"/>
                <w:highlight w:val="none"/>
              </w:rPr>
              <w:t>投标人按照要求对投标文件进行澄清、说明或者补正的（如有澄清事项，评标委员会须对本项目进行审查，若无澄清事项的则认定为符合招标文件要求）；</w:t>
            </w:r>
          </w:p>
        </w:tc>
      </w:tr>
      <w:tr w14:paraId="463FD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0" w:type="dxa"/>
            <w:vMerge w:val="continue"/>
          </w:tcPr>
          <w:p w14:paraId="558E81E3">
            <w:pPr>
              <w:spacing w:line="400" w:lineRule="exact"/>
              <w:rPr>
                <w:rFonts w:hint="eastAsia" w:hAnsi="宋体" w:cs="宋体"/>
                <w:color w:val="auto"/>
                <w:sz w:val="21"/>
                <w:szCs w:val="21"/>
                <w:highlight w:val="none"/>
              </w:rPr>
            </w:pPr>
          </w:p>
        </w:tc>
        <w:tc>
          <w:tcPr>
            <w:tcW w:w="846" w:type="dxa"/>
            <w:vMerge w:val="continue"/>
          </w:tcPr>
          <w:p w14:paraId="3302E172">
            <w:pPr>
              <w:spacing w:line="400" w:lineRule="exact"/>
              <w:rPr>
                <w:rFonts w:hint="eastAsia" w:hAnsi="宋体" w:cs="宋体"/>
                <w:color w:val="auto"/>
                <w:sz w:val="21"/>
                <w:szCs w:val="21"/>
                <w:highlight w:val="none"/>
              </w:rPr>
            </w:pPr>
          </w:p>
        </w:tc>
        <w:tc>
          <w:tcPr>
            <w:tcW w:w="1522" w:type="dxa"/>
            <w:vAlign w:val="center"/>
          </w:tcPr>
          <w:p w14:paraId="03FACBE8">
            <w:pPr>
              <w:spacing w:before="100" w:beforeAutospacing="1" w:after="100" w:afterAutospacing="1" w:line="400" w:lineRule="exact"/>
              <w:jc w:val="center"/>
              <w:rPr>
                <w:rFonts w:hint="eastAsia" w:hAnsi="宋体" w:cs="宋体"/>
                <w:bCs/>
                <w:color w:val="auto"/>
                <w:sz w:val="21"/>
                <w:szCs w:val="21"/>
                <w:highlight w:val="none"/>
              </w:rPr>
            </w:pPr>
            <w:r>
              <w:rPr>
                <w:rFonts w:hint="eastAsia" w:hAnsi="宋体" w:cs="宋体"/>
                <w:color w:val="auto"/>
                <w:sz w:val="21"/>
                <w:szCs w:val="21"/>
                <w:highlight w:val="none"/>
              </w:rPr>
              <w:t>实质性响应</w:t>
            </w:r>
          </w:p>
        </w:tc>
        <w:tc>
          <w:tcPr>
            <w:tcW w:w="7006" w:type="dxa"/>
            <w:vAlign w:val="center"/>
          </w:tcPr>
          <w:p w14:paraId="2CC6B4FF">
            <w:pPr>
              <w:spacing w:line="400" w:lineRule="exact"/>
              <w:rPr>
                <w:rFonts w:hint="eastAsia" w:hAnsi="宋体" w:cs="宋体"/>
                <w:bCs/>
                <w:color w:val="auto"/>
                <w:sz w:val="21"/>
                <w:szCs w:val="21"/>
                <w:highlight w:val="none"/>
              </w:rPr>
            </w:pPr>
            <w:r>
              <w:rPr>
                <w:rFonts w:hint="eastAsia" w:hAnsi="宋体" w:cs="宋体"/>
                <w:color w:val="auto"/>
                <w:sz w:val="21"/>
                <w:szCs w:val="21"/>
                <w:highlight w:val="none"/>
              </w:rPr>
              <w:t>投标人对招标文件作出实质性响应的，实质性要求详见招标文件“投标人须知前附表</w:t>
            </w:r>
            <w:r>
              <w:rPr>
                <w:rFonts w:hint="eastAsia" w:hAnsi="宋体" w:cs="宋体"/>
                <w:color w:val="auto"/>
                <w:sz w:val="21"/>
                <w:szCs w:val="21"/>
                <w:highlight w:val="none"/>
                <w:lang w:eastAsia="zh-CN"/>
              </w:rPr>
              <w:t>：第</w:t>
            </w:r>
            <w:r>
              <w:rPr>
                <w:rFonts w:hint="eastAsia" w:hAnsi="宋体" w:cs="宋体"/>
                <w:color w:val="auto"/>
                <w:sz w:val="21"/>
                <w:szCs w:val="21"/>
                <w:highlight w:val="none"/>
              </w:rPr>
              <w:t>9条”。</w:t>
            </w:r>
          </w:p>
        </w:tc>
      </w:tr>
      <w:tr w14:paraId="5A9B0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810" w:type="dxa"/>
            <w:vMerge w:val="continue"/>
          </w:tcPr>
          <w:p w14:paraId="5EE5DA71">
            <w:pPr>
              <w:spacing w:line="400" w:lineRule="exact"/>
              <w:rPr>
                <w:rFonts w:hint="eastAsia" w:hAnsi="宋体" w:cs="宋体"/>
                <w:color w:val="auto"/>
                <w:sz w:val="21"/>
                <w:szCs w:val="21"/>
                <w:highlight w:val="none"/>
              </w:rPr>
            </w:pPr>
          </w:p>
        </w:tc>
        <w:tc>
          <w:tcPr>
            <w:tcW w:w="846" w:type="dxa"/>
            <w:vMerge w:val="continue"/>
          </w:tcPr>
          <w:p w14:paraId="59E59C5E">
            <w:pPr>
              <w:spacing w:line="400" w:lineRule="exact"/>
              <w:rPr>
                <w:rFonts w:hint="eastAsia" w:hAnsi="宋体" w:cs="宋体"/>
                <w:color w:val="auto"/>
                <w:sz w:val="21"/>
                <w:szCs w:val="21"/>
                <w:highlight w:val="none"/>
              </w:rPr>
            </w:pPr>
          </w:p>
        </w:tc>
        <w:tc>
          <w:tcPr>
            <w:tcW w:w="1522" w:type="dxa"/>
            <w:vAlign w:val="center"/>
          </w:tcPr>
          <w:p w14:paraId="7A125191">
            <w:pPr>
              <w:spacing w:line="400" w:lineRule="exact"/>
              <w:jc w:val="center"/>
              <w:rPr>
                <w:rFonts w:hint="eastAsia" w:hAnsi="宋体" w:cs="宋体"/>
                <w:color w:val="auto"/>
                <w:kern w:val="2"/>
                <w:sz w:val="21"/>
                <w:szCs w:val="21"/>
                <w:highlight w:val="none"/>
              </w:rPr>
            </w:pPr>
            <w:r>
              <w:rPr>
                <w:rFonts w:hint="eastAsia" w:hAnsi="宋体" w:cs="宋体"/>
                <w:bCs/>
                <w:color w:val="auto"/>
                <w:sz w:val="21"/>
                <w:szCs w:val="21"/>
                <w:highlight w:val="none"/>
              </w:rPr>
              <w:t>其他要求</w:t>
            </w:r>
          </w:p>
        </w:tc>
        <w:tc>
          <w:tcPr>
            <w:tcW w:w="7006" w:type="dxa"/>
            <w:vAlign w:val="center"/>
          </w:tcPr>
          <w:p w14:paraId="023A74E8">
            <w:pPr>
              <w:spacing w:line="400" w:lineRule="exact"/>
              <w:rPr>
                <w:rFonts w:hint="eastAsia" w:hAnsi="宋体" w:cs="宋体"/>
                <w:bCs/>
                <w:color w:val="auto"/>
                <w:sz w:val="21"/>
                <w:szCs w:val="21"/>
                <w:highlight w:val="none"/>
              </w:rPr>
            </w:pPr>
            <w:r>
              <w:rPr>
                <w:rFonts w:hint="eastAsia" w:hAnsi="宋体" w:cs="宋体"/>
                <w:bCs/>
                <w:color w:val="auto"/>
                <w:sz w:val="21"/>
                <w:szCs w:val="21"/>
                <w:highlight w:val="none"/>
              </w:rPr>
              <w:t>1.投标文件没有采购人不能接受的条件；</w:t>
            </w:r>
          </w:p>
          <w:p w14:paraId="30BA9890">
            <w:pPr>
              <w:spacing w:line="400" w:lineRule="exact"/>
              <w:rPr>
                <w:rFonts w:hint="eastAsia" w:hAnsi="宋体" w:cs="宋体"/>
                <w:color w:val="auto"/>
                <w:kern w:val="2"/>
                <w:sz w:val="21"/>
                <w:szCs w:val="21"/>
                <w:highlight w:val="none"/>
              </w:rPr>
            </w:pPr>
            <w:r>
              <w:rPr>
                <w:rFonts w:hint="eastAsia" w:hAnsi="宋体" w:cs="宋体"/>
                <w:bCs/>
                <w:color w:val="auto"/>
                <w:sz w:val="21"/>
                <w:szCs w:val="21"/>
                <w:highlight w:val="none"/>
              </w:rPr>
              <w:t>2.不符合法律法规和招标文件中规定的其他要求的。</w:t>
            </w:r>
          </w:p>
        </w:tc>
      </w:tr>
    </w:tbl>
    <w:p w14:paraId="011977A4">
      <w:pPr>
        <w:spacing w:line="480" w:lineRule="exact"/>
        <w:ind w:firstLine="480"/>
        <w:rPr>
          <w:rFonts w:hint="eastAsia" w:hAnsi="宋体"/>
          <w:b/>
          <w:color w:val="auto"/>
          <w:sz w:val="24"/>
          <w:highlight w:val="none"/>
        </w:rPr>
      </w:pPr>
      <w:r>
        <w:rPr>
          <w:rFonts w:hAnsi="宋体"/>
          <w:color w:val="auto"/>
          <w:sz w:val="24"/>
          <w:highlight w:val="none"/>
        </w:rPr>
        <w:br w:type="page"/>
      </w:r>
      <w:r>
        <w:rPr>
          <w:rFonts w:hint="eastAsia" w:hAnsi="宋体"/>
          <w:b/>
          <w:color w:val="auto"/>
          <w:sz w:val="24"/>
          <w:highlight w:val="none"/>
        </w:rPr>
        <w:t>2.2分值构成及详细评分因素与标准</w:t>
      </w:r>
    </w:p>
    <w:tbl>
      <w:tblPr>
        <w:tblStyle w:val="37"/>
        <w:tblW w:w="9920"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894"/>
        <w:gridCol w:w="1250"/>
        <w:gridCol w:w="7035"/>
      </w:tblGrid>
      <w:tr w14:paraId="1D8D5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1635" w:type="dxa"/>
            <w:gridSpan w:val="2"/>
          </w:tcPr>
          <w:p w14:paraId="6F079D5D">
            <w:pPr>
              <w:spacing w:line="400" w:lineRule="exact"/>
              <w:jc w:val="center"/>
              <w:rPr>
                <w:rFonts w:hint="eastAsia" w:hAnsi="宋体" w:cs="宋体"/>
                <w:color w:val="auto"/>
                <w:sz w:val="21"/>
                <w:szCs w:val="21"/>
                <w:highlight w:val="none"/>
              </w:rPr>
            </w:pPr>
            <w:bookmarkStart w:id="32" w:name="_Toc446762717"/>
            <w:r>
              <w:rPr>
                <w:rFonts w:hint="eastAsia" w:hAnsi="宋体" w:cs="宋体"/>
                <w:color w:val="auto"/>
                <w:sz w:val="21"/>
                <w:szCs w:val="21"/>
                <w:highlight w:val="none"/>
              </w:rPr>
              <w:t>条款号</w:t>
            </w:r>
          </w:p>
        </w:tc>
        <w:tc>
          <w:tcPr>
            <w:tcW w:w="1250" w:type="dxa"/>
          </w:tcPr>
          <w:p w14:paraId="2B7FD319">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评审因素</w:t>
            </w:r>
          </w:p>
        </w:tc>
        <w:tc>
          <w:tcPr>
            <w:tcW w:w="7035" w:type="dxa"/>
          </w:tcPr>
          <w:p w14:paraId="7CCF0F89">
            <w:pPr>
              <w:spacing w:line="400" w:lineRule="exact"/>
              <w:jc w:val="center"/>
              <w:rPr>
                <w:rFonts w:hint="eastAsia" w:hAnsi="宋体" w:cs="宋体"/>
                <w:b/>
                <w:color w:val="auto"/>
                <w:sz w:val="21"/>
                <w:szCs w:val="21"/>
                <w:highlight w:val="none"/>
              </w:rPr>
            </w:pPr>
            <w:r>
              <w:rPr>
                <w:rFonts w:hint="eastAsia" w:hAnsi="宋体" w:cs="宋体"/>
                <w:color w:val="auto"/>
                <w:sz w:val="21"/>
                <w:szCs w:val="21"/>
                <w:highlight w:val="none"/>
              </w:rPr>
              <w:t>评审标准</w:t>
            </w:r>
          </w:p>
        </w:tc>
      </w:tr>
      <w:tr w14:paraId="0418E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restart"/>
            <w:vAlign w:val="center"/>
          </w:tcPr>
          <w:p w14:paraId="45317B64">
            <w:pPr>
              <w:spacing w:line="400" w:lineRule="exact"/>
              <w:rPr>
                <w:rFonts w:hint="eastAsia" w:hAnsi="宋体" w:cs="宋体"/>
                <w:color w:val="auto"/>
                <w:sz w:val="21"/>
                <w:szCs w:val="21"/>
                <w:highlight w:val="none"/>
              </w:rPr>
            </w:pPr>
            <w:r>
              <w:rPr>
                <w:rFonts w:hint="eastAsia" w:hAnsi="宋体" w:cs="宋体"/>
                <w:color w:val="auto"/>
                <w:sz w:val="21"/>
                <w:szCs w:val="21"/>
                <w:highlight w:val="none"/>
              </w:rPr>
              <w:t>2.2</w:t>
            </w:r>
          </w:p>
        </w:tc>
        <w:tc>
          <w:tcPr>
            <w:tcW w:w="894" w:type="dxa"/>
            <w:vMerge w:val="restart"/>
            <w:vAlign w:val="center"/>
          </w:tcPr>
          <w:p w14:paraId="453AB1F5">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详细评审标准</w:t>
            </w:r>
          </w:p>
        </w:tc>
        <w:tc>
          <w:tcPr>
            <w:tcW w:w="1250" w:type="dxa"/>
            <w:vMerge w:val="restart"/>
            <w:vAlign w:val="center"/>
          </w:tcPr>
          <w:p w14:paraId="4B20B0A2">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1）综合技术实力部分得分F1</w:t>
            </w:r>
          </w:p>
          <w:p w14:paraId="4692A05F">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（满分</w:t>
            </w:r>
            <w:r>
              <w:rPr>
                <w:rFonts w:hint="eastAsia" w:hAnsi="宋体" w:cs="宋体"/>
                <w:color w:val="auto"/>
                <w:sz w:val="21"/>
                <w:szCs w:val="21"/>
                <w:highlight w:val="none"/>
                <w:lang w:val="en-US" w:eastAsia="zh-CN"/>
              </w:rPr>
              <w:t>9</w:t>
            </w:r>
            <w:r>
              <w:rPr>
                <w:rFonts w:hint="eastAsia" w:hAnsi="宋体" w:cs="宋体"/>
                <w:color w:val="auto"/>
                <w:sz w:val="21"/>
                <w:szCs w:val="21"/>
                <w:highlight w:val="none"/>
              </w:rPr>
              <w:t>0分）</w:t>
            </w:r>
          </w:p>
        </w:tc>
        <w:tc>
          <w:tcPr>
            <w:tcW w:w="7035" w:type="dxa"/>
            <w:vAlign w:val="center"/>
          </w:tcPr>
          <w:p w14:paraId="566D93BD">
            <w:pPr>
              <w:spacing w:line="400" w:lineRule="exact"/>
              <w:rPr>
                <w:rFonts w:hAnsi="宋体" w:cs="宋体"/>
                <w:b/>
                <w:bCs/>
                <w:color w:val="auto"/>
                <w:sz w:val="21"/>
                <w:szCs w:val="21"/>
                <w:highlight w:val="none"/>
              </w:rPr>
            </w:pPr>
            <w:r>
              <w:rPr>
                <w:rFonts w:hint="eastAsia" w:hAnsi="宋体" w:cs="宋体"/>
                <w:b/>
                <w:bCs/>
                <w:color w:val="auto"/>
                <w:sz w:val="21"/>
                <w:szCs w:val="21"/>
                <w:highlight w:val="none"/>
              </w:rPr>
              <w:t>1.开展本次</w:t>
            </w:r>
            <w:r>
              <w:rPr>
                <w:rFonts w:hint="eastAsia" w:hAnsi="宋体" w:cs="宋体"/>
                <w:b/>
                <w:bCs/>
                <w:color w:val="auto"/>
                <w:sz w:val="21"/>
                <w:szCs w:val="21"/>
                <w:highlight w:val="none"/>
                <w:lang w:eastAsia="zh-CN"/>
              </w:rPr>
              <w:t>软件系统</w:t>
            </w:r>
            <w:r>
              <w:rPr>
                <w:rFonts w:hint="eastAsia" w:hAnsi="宋体" w:cs="宋体"/>
                <w:b/>
                <w:bCs/>
                <w:color w:val="auto"/>
                <w:sz w:val="21"/>
                <w:szCs w:val="21"/>
                <w:highlight w:val="none"/>
              </w:rPr>
              <w:t>建设工作的理解和分析（满分</w:t>
            </w:r>
            <w:r>
              <w:rPr>
                <w:rFonts w:hint="eastAsia" w:hAnsi="宋体" w:cs="宋体"/>
                <w:b/>
                <w:bCs/>
                <w:color w:val="auto"/>
                <w:sz w:val="21"/>
                <w:szCs w:val="21"/>
                <w:highlight w:val="none"/>
                <w:lang w:val="en-US" w:eastAsia="zh-CN"/>
              </w:rPr>
              <w:t>6</w:t>
            </w:r>
            <w:r>
              <w:rPr>
                <w:rFonts w:hint="eastAsia" w:hAnsi="宋体" w:cs="宋体"/>
                <w:b/>
                <w:bCs/>
                <w:color w:val="auto"/>
                <w:sz w:val="21"/>
                <w:szCs w:val="21"/>
                <w:highlight w:val="none"/>
              </w:rPr>
              <w:t>分）</w:t>
            </w:r>
          </w:p>
          <w:p w14:paraId="45B9DC05">
            <w:pPr>
              <w:spacing w:line="400" w:lineRule="exact"/>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bCs/>
                <w:color w:val="auto"/>
                <w:sz w:val="21"/>
                <w:szCs w:val="21"/>
                <w:highlight w:val="none"/>
              </w:rPr>
              <w:t>此部分内容应充分结合招标文件中本项目采购需求的全部内容以及评标办法的评审要求进行综合分析后进行编制，此部分内容包含但不限于：</w:t>
            </w:r>
            <w:r>
              <w:rPr>
                <w:rFonts w:hint="eastAsia" w:ascii="宋体" w:hAnsi="宋体" w:eastAsia="宋体" w:cs="宋体"/>
                <w:color w:val="auto"/>
                <w:sz w:val="21"/>
                <w:szCs w:val="21"/>
                <w:highlight w:val="none"/>
              </w:rPr>
              <w:t>①项目</w:t>
            </w:r>
            <w:r>
              <w:rPr>
                <w:rFonts w:hint="eastAsia" w:ascii="宋体" w:hAnsi="宋体" w:eastAsia="宋体" w:cs="宋体"/>
                <w:color w:val="auto"/>
                <w:sz w:val="21"/>
                <w:szCs w:val="21"/>
                <w:highlight w:val="none"/>
                <w:lang w:val="en-US" w:eastAsia="zh-CN"/>
              </w:rPr>
              <w:t>采购需求理解和分析</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②开展</w:t>
            </w:r>
            <w:r>
              <w:rPr>
                <w:rFonts w:hint="eastAsia" w:hAnsi="宋体" w:cs="宋体"/>
                <w:color w:val="auto"/>
                <w:sz w:val="21"/>
                <w:szCs w:val="21"/>
                <w:highlight w:val="none"/>
                <w:lang w:val="en-US" w:eastAsia="zh-CN"/>
              </w:rPr>
              <w:t>保山市加油站流量数据采集系统</w:t>
            </w:r>
            <w:r>
              <w:rPr>
                <w:rFonts w:hint="eastAsia" w:ascii="宋体" w:hAnsi="宋体" w:eastAsia="宋体" w:cs="宋体"/>
                <w:color w:val="auto"/>
                <w:sz w:val="21"/>
                <w:szCs w:val="21"/>
                <w:highlight w:val="none"/>
                <w:lang w:val="en-US" w:eastAsia="zh-CN"/>
              </w:rPr>
              <w:t>建设和服务</w:t>
            </w:r>
            <w:r>
              <w:rPr>
                <w:rFonts w:hint="eastAsia" w:ascii="宋体" w:hAnsi="宋体" w:eastAsia="宋体" w:cs="宋体"/>
                <w:color w:val="auto"/>
                <w:sz w:val="21"/>
                <w:szCs w:val="21"/>
                <w:highlight w:val="none"/>
              </w:rPr>
              <w:t>工作目标及总体方针，</w:t>
            </w:r>
            <w:r>
              <w:rPr>
                <w:rFonts w:hint="eastAsia" w:ascii="宋体" w:hAnsi="宋体" w:eastAsia="宋体" w:cs="宋体"/>
                <w:color w:val="auto"/>
                <w:sz w:val="21"/>
                <w:szCs w:val="21"/>
                <w:highlight w:val="none"/>
                <w:lang w:val="en-US" w:eastAsia="zh-CN"/>
              </w:rPr>
              <w:t>③</w:t>
            </w:r>
            <w:r>
              <w:rPr>
                <w:rFonts w:hint="eastAsia" w:hAnsi="宋体" w:cs="宋体"/>
                <w:color w:val="auto"/>
                <w:sz w:val="21"/>
                <w:szCs w:val="21"/>
                <w:highlight w:val="none"/>
                <w:lang w:val="en-US" w:eastAsia="zh-CN"/>
              </w:rPr>
              <w:t>保山市加油站流量数据采集系统</w:t>
            </w:r>
            <w:r>
              <w:rPr>
                <w:rFonts w:hint="eastAsia" w:ascii="宋体" w:hAnsi="宋体" w:eastAsia="宋体" w:cs="宋体"/>
                <w:color w:val="auto"/>
                <w:sz w:val="21"/>
                <w:szCs w:val="21"/>
                <w:highlight w:val="none"/>
                <w:lang w:val="en-US" w:eastAsia="zh-CN"/>
              </w:rPr>
              <w:t>建设和服务工作重难点分析及合理化建议</w:t>
            </w:r>
            <w:r>
              <w:rPr>
                <w:rFonts w:hint="eastAsia" w:ascii="宋体" w:hAnsi="宋体" w:eastAsia="宋体" w:cs="宋体"/>
                <w:color w:val="auto"/>
                <w:sz w:val="21"/>
                <w:szCs w:val="21"/>
                <w:highlight w:val="none"/>
              </w:rPr>
              <w:t>。</w:t>
            </w:r>
          </w:p>
          <w:p w14:paraId="2E20DBC8">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对所有</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的“开展本次</w:t>
            </w:r>
            <w:r>
              <w:rPr>
                <w:rFonts w:hint="eastAsia" w:hAnsi="宋体" w:cs="宋体"/>
                <w:color w:val="auto"/>
                <w:sz w:val="21"/>
                <w:szCs w:val="21"/>
                <w:highlight w:val="none"/>
                <w:lang w:eastAsia="zh-CN"/>
              </w:rPr>
              <w:t>软件系统</w:t>
            </w:r>
            <w:r>
              <w:rPr>
                <w:rFonts w:hint="eastAsia" w:ascii="宋体" w:hAnsi="宋体" w:eastAsia="宋体" w:cs="宋体"/>
                <w:color w:val="auto"/>
                <w:sz w:val="21"/>
                <w:szCs w:val="21"/>
                <w:highlight w:val="none"/>
              </w:rPr>
              <w:t>建设工作的理解和分析”中3类单项内容进行详细的审查评价评分，本项总分不超过该</w:t>
            </w:r>
            <w:r>
              <w:rPr>
                <w:rFonts w:hint="eastAsia" w:hAnsi="宋体" w:cs="宋体"/>
                <w:color w:val="auto"/>
                <w:sz w:val="21"/>
                <w:szCs w:val="21"/>
                <w:highlight w:val="none"/>
                <w:lang w:val="en-US" w:eastAsia="zh-CN"/>
              </w:rPr>
              <w:t>6</w:t>
            </w:r>
            <w:r>
              <w:rPr>
                <w:rFonts w:hint="eastAsia" w:ascii="宋体" w:hAnsi="宋体" w:eastAsia="宋体" w:cs="宋体"/>
                <w:color w:val="auto"/>
                <w:sz w:val="21"/>
                <w:szCs w:val="21"/>
                <w:highlight w:val="none"/>
              </w:rPr>
              <w:t>分（每类单项内容最高</w:t>
            </w: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分），具体评审细则如下：</w:t>
            </w:r>
          </w:p>
          <w:p w14:paraId="7CA6211A">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（1）每一单项内容是基于项目采购需求以及</w:t>
            </w:r>
            <w:r>
              <w:rPr>
                <w:rFonts w:hint="eastAsia" w:ascii="宋体" w:hAnsi="宋体" w:eastAsia="宋体" w:cs="宋体"/>
                <w:color w:val="auto"/>
                <w:sz w:val="21"/>
                <w:szCs w:val="21"/>
                <w:highlight w:val="none"/>
                <w:lang w:val="en-US" w:eastAsia="zh-CN"/>
              </w:rPr>
              <w:t>建设服务</w:t>
            </w:r>
            <w:r>
              <w:rPr>
                <w:rFonts w:hint="eastAsia" w:ascii="宋体" w:hAnsi="宋体" w:eastAsia="宋体" w:cs="宋体"/>
                <w:color w:val="auto"/>
                <w:sz w:val="21"/>
                <w:szCs w:val="21"/>
                <w:highlight w:val="none"/>
              </w:rPr>
              <w:t>工作方针和工作重难点分析</w:t>
            </w:r>
            <w:r>
              <w:rPr>
                <w:rFonts w:hint="eastAsia" w:ascii="宋体" w:hAnsi="宋体" w:eastAsia="宋体" w:cs="宋体"/>
                <w:color w:val="auto"/>
                <w:sz w:val="21"/>
                <w:szCs w:val="21"/>
                <w:highlight w:val="none"/>
                <w:lang w:val="en-US" w:eastAsia="zh-CN"/>
              </w:rPr>
              <w:t>及合理化建议</w:t>
            </w:r>
            <w:r>
              <w:rPr>
                <w:rFonts w:hint="eastAsia" w:ascii="宋体" w:hAnsi="宋体" w:eastAsia="宋体" w:cs="宋体"/>
                <w:color w:val="auto"/>
                <w:sz w:val="21"/>
                <w:szCs w:val="21"/>
                <w:highlight w:val="none"/>
              </w:rPr>
              <w:t>进行编制，内容描述详细、完整、深刻，理解分析到位、准确的得</w:t>
            </w:r>
            <w:r>
              <w:rPr>
                <w:rFonts w:hint="eastAsia"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6158B114">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（2）每一单项内容是基于项目采购需求以及</w:t>
            </w:r>
            <w:r>
              <w:rPr>
                <w:rFonts w:hint="eastAsia" w:ascii="宋体" w:hAnsi="宋体" w:eastAsia="宋体" w:cs="宋体"/>
                <w:color w:val="auto"/>
                <w:sz w:val="21"/>
                <w:szCs w:val="21"/>
                <w:highlight w:val="none"/>
                <w:lang w:val="en-US" w:eastAsia="zh-CN"/>
              </w:rPr>
              <w:t>建设服务</w:t>
            </w:r>
            <w:r>
              <w:rPr>
                <w:rFonts w:hint="eastAsia" w:ascii="宋体" w:hAnsi="宋体" w:eastAsia="宋体" w:cs="宋体"/>
                <w:color w:val="auto"/>
                <w:sz w:val="21"/>
                <w:szCs w:val="21"/>
                <w:highlight w:val="none"/>
              </w:rPr>
              <w:t>工作方针和工作重难点分析</w:t>
            </w:r>
            <w:r>
              <w:rPr>
                <w:rFonts w:hint="eastAsia" w:ascii="宋体" w:hAnsi="宋体" w:eastAsia="宋体" w:cs="宋体"/>
                <w:color w:val="auto"/>
                <w:sz w:val="21"/>
                <w:szCs w:val="21"/>
                <w:highlight w:val="none"/>
                <w:lang w:val="en-US" w:eastAsia="zh-CN"/>
              </w:rPr>
              <w:t>及合理化建议</w:t>
            </w:r>
            <w:r>
              <w:rPr>
                <w:rFonts w:hint="eastAsia" w:ascii="宋体" w:hAnsi="宋体" w:eastAsia="宋体" w:cs="宋体"/>
                <w:color w:val="auto"/>
                <w:sz w:val="21"/>
                <w:szCs w:val="21"/>
                <w:highlight w:val="none"/>
              </w:rPr>
              <w:t>进行编制，内容描述较为详细、基本切合采购需求特点，理解分析基本到位的得</w:t>
            </w:r>
            <w:r>
              <w:rPr>
                <w:rFonts w:hint="eastAsia"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74000C62">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（3）每一单项内容是基本依据项目采购需求以及</w:t>
            </w:r>
            <w:r>
              <w:rPr>
                <w:rFonts w:hint="eastAsia" w:ascii="宋体" w:hAnsi="宋体" w:eastAsia="宋体" w:cs="宋体"/>
                <w:color w:val="auto"/>
                <w:sz w:val="21"/>
                <w:szCs w:val="21"/>
                <w:highlight w:val="none"/>
                <w:lang w:val="en-US" w:eastAsia="zh-CN"/>
              </w:rPr>
              <w:t>建设服务</w:t>
            </w:r>
            <w:r>
              <w:rPr>
                <w:rFonts w:hint="eastAsia" w:ascii="宋体" w:hAnsi="宋体" w:eastAsia="宋体" w:cs="宋体"/>
                <w:color w:val="auto"/>
                <w:sz w:val="21"/>
                <w:szCs w:val="21"/>
                <w:highlight w:val="none"/>
              </w:rPr>
              <w:t>工作方针和工作重难点分析</w:t>
            </w:r>
            <w:r>
              <w:rPr>
                <w:rFonts w:hint="eastAsia" w:ascii="宋体" w:hAnsi="宋体" w:eastAsia="宋体" w:cs="宋体"/>
                <w:color w:val="auto"/>
                <w:sz w:val="21"/>
                <w:szCs w:val="21"/>
                <w:highlight w:val="none"/>
                <w:lang w:val="en-US" w:eastAsia="zh-CN"/>
              </w:rPr>
              <w:t>及合理化建议</w:t>
            </w:r>
            <w:r>
              <w:rPr>
                <w:rFonts w:hint="eastAsia" w:ascii="宋体" w:hAnsi="宋体" w:eastAsia="宋体" w:cs="宋体"/>
                <w:color w:val="auto"/>
                <w:sz w:val="21"/>
                <w:szCs w:val="21"/>
                <w:highlight w:val="none"/>
              </w:rPr>
              <w:t>进行编制，但内容描述较为简单，内容描述存在瑕疵，理解分析存在一定偏差的得</w:t>
            </w:r>
            <w:r>
              <w:rPr>
                <w:rFonts w:hint="eastAsia" w:hAnsi="宋体" w:cs="宋体"/>
                <w:color w:val="auto"/>
                <w:sz w:val="21"/>
                <w:szCs w:val="21"/>
                <w:highlight w:val="none"/>
                <w:lang w:val="en-US" w:eastAsia="zh-CN"/>
              </w:rPr>
              <w:t>0.5</w:t>
            </w:r>
            <w:r>
              <w:rPr>
                <w:rFonts w:hint="eastAsia" w:ascii="宋体" w:hAnsi="宋体" w:eastAsia="宋体" w:cs="宋体"/>
                <w:color w:val="auto"/>
                <w:sz w:val="21"/>
                <w:szCs w:val="21"/>
                <w:highlight w:val="none"/>
              </w:rPr>
              <w:t>分。</w:t>
            </w:r>
          </w:p>
          <w:p w14:paraId="761AFB13">
            <w:pPr>
              <w:spacing w:line="400" w:lineRule="exact"/>
              <w:rPr>
                <w:rFonts w:hint="eastAsia" w:hAnsi="宋体" w:cs="宋体"/>
                <w:color w:val="auto"/>
                <w:sz w:val="21"/>
                <w:szCs w:val="21"/>
                <w:highlight w:val="none"/>
              </w:rPr>
            </w:pPr>
            <w:r>
              <w:rPr>
                <w:rFonts w:hint="eastAsia" w:ascii="宋体" w:hAnsi="宋体" w:eastAsia="宋体" w:cs="宋体"/>
                <w:color w:val="auto"/>
                <w:sz w:val="21"/>
                <w:szCs w:val="21"/>
                <w:highlight w:val="none"/>
              </w:rPr>
              <w:t>（4）“开展本次</w:t>
            </w:r>
            <w:r>
              <w:rPr>
                <w:rFonts w:hint="eastAsia" w:hAnsi="宋体" w:cs="宋体"/>
                <w:color w:val="auto"/>
                <w:sz w:val="21"/>
                <w:szCs w:val="21"/>
                <w:highlight w:val="none"/>
                <w:lang w:eastAsia="zh-CN"/>
              </w:rPr>
              <w:t>软件系统</w:t>
            </w:r>
            <w:r>
              <w:rPr>
                <w:rFonts w:hint="eastAsia" w:ascii="宋体" w:hAnsi="宋体" w:eastAsia="宋体" w:cs="宋体"/>
                <w:color w:val="auto"/>
                <w:sz w:val="21"/>
                <w:szCs w:val="21"/>
                <w:highlight w:val="none"/>
              </w:rPr>
              <w:t>建设工作的理解和分析”中单项内容的描述与本项目对应的内容无关或</w:t>
            </w:r>
            <w:r>
              <w:rPr>
                <w:rFonts w:hint="eastAsia" w:ascii="宋体" w:hAnsi="宋体" w:eastAsia="宋体" w:cs="宋体"/>
                <w:color w:val="auto"/>
                <w:sz w:val="21"/>
                <w:szCs w:val="21"/>
                <w:highlight w:val="none"/>
                <w:lang w:val="en-US" w:eastAsia="zh-CN"/>
              </w:rPr>
              <w:t>严重不符或</w:t>
            </w:r>
            <w:r>
              <w:rPr>
                <w:rFonts w:hint="eastAsia" w:ascii="宋体" w:hAnsi="宋体" w:eastAsia="宋体" w:cs="宋体"/>
                <w:color w:val="auto"/>
                <w:sz w:val="21"/>
                <w:szCs w:val="21"/>
                <w:highlight w:val="none"/>
              </w:rPr>
              <w:t>未提供相应内容的得0分。</w:t>
            </w:r>
          </w:p>
        </w:tc>
      </w:tr>
      <w:tr w14:paraId="050E3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48591084">
            <w:pPr>
              <w:spacing w:line="400" w:lineRule="exact"/>
              <w:rPr>
                <w:rFonts w:hint="eastAsia" w:hAnsi="宋体" w:cs="宋体"/>
                <w:color w:val="auto"/>
                <w:sz w:val="21"/>
                <w:szCs w:val="21"/>
                <w:highlight w:val="none"/>
              </w:rPr>
            </w:pPr>
          </w:p>
        </w:tc>
        <w:tc>
          <w:tcPr>
            <w:tcW w:w="894" w:type="dxa"/>
            <w:vMerge w:val="continue"/>
            <w:vAlign w:val="center"/>
          </w:tcPr>
          <w:p w14:paraId="7E090FB6">
            <w:pPr>
              <w:spacing w:line="400" w:lineRule="exact"/>
              <w:jc w:val="center"/>
              <w:rPr>
                <w:rFonts w:hint="eastAsia" w:hAnsi="宋体" w:cs="宋体"/>
                <w:color w:val="auto"/>
                <w:sz w:val="21"/>
                <w:szCs w:val="21"/>
                <w:highlight w:val="none"/>
              </w:rPr>
            </w:pPr>
          </w:p>
        </w:tc>
        <w:tc>
          <w:tcPr>
            <w:tcW w:w="1250" w:type="dxa"/>
            <w:vMerge w:val="continue"/>
            <w:vAlign w:val="center"/>
          </w:tcPr>
          <w:p w14:paraId="4BD0397C">
            <w:pPr>
              <w:spacing w:line="400" w:lineRule="exact"/>
              <w:jc w:val="center"/>
              <w:rPr>
                <w:rFonts w:hint="eastAsia" w:hAnsi="宋体" w:cs="宋体"/>
                <w:color w:val="auto"/>
                <w:sz w:val="21"/>
                <w:szCs w:val="21"/>
                <w:highlight w:val="none"/>
              </w:rPr>
            </w:pPr>
          </w:p>
        </w:tc>
        <w:tc>
          <w:tcPr>
            <w:tcW w:w="7035" w:type="dxa"/>
            <w:vAlign w:val="center"/>
          </w:tcPr>
          <w:p w14:paraId="542840EC">
            <w:pPr>
              <w:spacing w:line="400" w:lineRule="exact"/>
              <w:rPr>
                <w:rFonts w:hAnsi="宋体" w:cs="宋体"/>
                <w:b/>
                <w:bCs/>
                <w:color w:val="auto"/>
                <w:sz w:val="21"/>
                <w:szCs w:val="21"/>
                <w:highlight w:val="none"/>
              </w:rPr>
            </w:pPr>
            <w:r>
              <w:rPr>
                <w:rFonts w:hint="eastAsia" w:hAnsi="宋体" w:cs="宋体"/>
                <w:b/>
                <w:bCs/>
                <w:color w:val="auto"/>
                <w:sz w:val="21"/>
                <w:szCs w:val="21"/>
                <w:highlight w:val="none"/>
              </w:rPr>
              <w:t>2.</w:t>
            </w:r>
            <w:r>
              <w:rPr>
                <w:rFonts w:hint="eastAsia" w:hAnsi="宋体" w:cs="宋体"/>
                <w:b/>
                <w:bCs/>
                <w:color w:val="auto"/>
                <w:sz w:val="21"/>
                <w:szCs w:val="21"/>
                <w:highlight w:val="none"/>
                <w:lang w:eastAsia="zh-CN"/>
              </w:rPr>
              <w:t>保山市加油站流量数据采集系统</w:t>
            </w:r>
            <w:r>
              <w:rPr>
                <w:rFonts w:hint="eastAsia" w:hAnsi="宋体" w:cs="宋体"/>
                <w:b/>
                <w:bCs/>
                <w:color w:val="auto"/>
                <w:sz w:val="21"/>
                <w:szCs w:val="21"/>
                <w:highlight w:val="none"/>
              </w:rPr>
              <w:t>总体设计方案（满分</w:t>
            </w:r>
            <w:r>
              <w:rPr>
                <w:rFonts w:hint="eastAsia" w:hAnsi="宋体" w:cs="宋体"/>
                <w:b/>
                <w:bCs/>
                <w:color w:val="auto"/>
                <w:sz w:val="21"/>
                <w:szCs w:val="21"/>
                <w:highlight w:val="none"/>
                <w:lang w:val="en-US" w:eastAsia="zh-CN"/>
              </w:rPr>
              <w:t>15</w:t>
            </w:r>
            <w:r>
              <w:rPr>
                <w:rFonts w:hint="eastAsia" w:hAnsi="宋体" w:cs="宋体"/>
                <w:b/>
                <w:bCs/>
                <w:color w:val="auto"/>
                <w:sz w:val="21"/>
                <w:szCs w:val="21"/>
                <w:highlight w:val="none"/>
              </w:rPr>
              <w:t>分）</w:t>
            </w:r>
          </w:p>
          <w:p w14:paraId="7E2D149A">
            <w:pPr>
              <w:spacing w:line="400" w:lineRule="exact"/>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bCs/>
                <w:color w:val="auto"/>
                <w:sz w:val="21"/>
                <w:szCs w:val="21"/>
                <w:highlight w:val="none"/>
              </w:rPr>
              <w:t>此部分内容应充分结合招标文件中本项目采购需求的全部内容以及评标办法的评审要求进行综合分析后进行编制，此部分内容包含但不限于：</w:t>
            </w:r>
            <w:r>
              <w:rPr>
                <w:rFonts w:hint="eastAsia" w:hAnsi="宋体" w:cs="宋体"/>
                <w:color w:val="auto"/>
                <w:sz w:val="21"/>
                <w:szCs w:val="21"/>
                <w:highlight w:val="none"/>
                <w:lang w:val="en-US" w:eastAsia="zh-CN"/>
              </w:rPr>
              <w:t>①软件系统开发设计方案和原则介绍；②软件系统架构和功能设计介绍；③系统和各功能模块业务流程设计介绍。</w:t>
            </w:r>
          </w:p>
          <w:p w14:paraId="7A1997C9">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评标委员会</w:t>
            </w:r>
            <w:r>
              <w:rPr>
                <w:rFonts w:hint="eastAsia" w:ascii="宋体" w:hAnsi="宋体" w:eastAsia="宋体" w:cs="宋体"/>
                <w:color w:val="auto"/>
                <w:sz w:val="21"/>
                <w:szCs w:val="21"/>
                <w:highlight w:val="none"/>
              </w:rPr>
              <w:t>对所有</w:t>
            </w:r>
            <w:r>
              <w:rPr>
                <w:rFonts w:hint="eastAsia" w:ascii="宋体" w:hAnsi="宋体" w:eastAsia="宋体" w:cs="宋体"/>
                <w:color w:val="auto"/>
                <w:sz w:val="21"/>
                <w:szCs w:val="21"/>
                <w:highlight w:val="none"/>
                <w:lang w:eastAsia="zh-CN"/>
              </w:rPr>
              <w:t>投标文件</w:t>
            </w:r>
            <w:r>
              <w:rPr>
                <w:rFonts w:hint="eastAsia" w:ascii="宋体" w:hAnsi="宋体" w:eastAsia="宋体" w:cs="宋体"/>
                <w:color w:val="auto"/>
                <w:sz w:val="21"/>
                <w:szCs w:val="21"/>
                <w:highlight w:val="none"/>
              </w:rPr>
              <w:t>的“</w:t>
            </w:r>
            <w:r>
              <w:rPr>
                <w:rFonts w:hint="eastAsia" w:hAnsi="宋体" w:cs="宋体"/>
                <w:color w:val="auto"/>
                <w:sz w:val="21"/>
                <w:szCs w:val="21"/>
                <w:highlight w:val="none"/>
                <w:lang w:eastAsia="zh-CN"/>
              </w:rPr>
              <w:t>保山市加油站流量数据采集系统</w:t>
            </w:r>
            <w:r>
              <w:rPr>
                <w:rFonts w:hint="eastAsia" w:ascii="宋体" w:hAnsi="宋体" w:eastAsia="宋体" w:cs="宋体"/>
                <w:color w:val="auto"/>
                <w:sz w:val="21"/>
                <w:szCs w:val="21"/>
                <w:highlight w:val="none"/>
              </w:rPr>
              <w:t>总体设计方案”中</w:t>
            </w:r>
            <w:r>
              <w:rPr>
                <w:rFonts w:hint="eastAsia" w:hAnsi="宋体" w:cs="宋体"/>
                <w:color w:val="auto"/>
                <w:sz w:val="21"/>
                <w:szCs w:val="21"/>
                <w:highlight w:val="none"/>
                <w:lang w:val="en-US" w:eastAsia="zh-CN"/>
              </w:rPr>
              <w:t>3</w:t>
            </w:r>
            <w:r>
              <w:rPr>
                <w:rFonts w:hint="eastAsia" w:ascii="宋体" w:hAnsi="宋体" w:eastAsia="宋体" w:cs="宋体"/>
                <w:color w:val="auto"/>
                <w:sz w:val="21"/>
                <w:szCs w:val="21"/>
                <w:highlight w:val="none"/>
              </w:rPr>
              <w:t>类单项内容并结合项目实际情况进行详细的审查评价评分，本项总分不超过该</w:t>
            </w:r>
            <w:r>
              <w:rPr>
                <w:rFonts w:hint="eastAsia" w:ascii="宋体" w:hAnsi="宋体" w:eastAsia="宋体" w:cs="宋体"/>
                <w:color w:val="auto"/>
                <w:sz w:val="21"/>
                <w:szCs w:val="21"/>
                <w:highlight w:val="none"/>
                <w:lang w:val="en-US" w:eastAsia="zh-CN"/>
              </w:rPr>
              <w:t>1</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分（每类单项内容最高</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分），具体评审细则如下：</w:t>
            </w:r>
          </w:p>
          <w:p w14:paraId="38B2A7CD">
            <w:pPr>
              <w:spacing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（1）每一单项内容是基于采购需求</w:t>
            </w:r>
            <w:r>
              <w:rPr>
                <w:rFonts w:hint="eastAsia" w:ascii="宋体" w:hAnsi="宋体" w:eastAsia="宋体" w:cs="宋体"/>
                <w:color w:val="auto"/>
                <w:sz w:val="21"/>
                <w:szCs w:val="21"/>
                <w:highlight w:val="none"/>
                <w:lang w:val="en-US" w:eastAsia="zh-CN"/>
              </w:rPr>
              <w:t>和</w:t>
            </w:r>
            <w:r>
              <w:rPr>
                <w:rFonts w:hint="eastAsia" w:hAnsi="宋体" w:cs="宋体"/>
                <w:color w:val="auto"/>
                <w:sz w:val="21"/>
                <w:szCs w:val="21"/>
                <w:highlight w:val="none"/>
                <w:lang w:val="en-US" w:eastAsia="zh-CN"/>
              </w:rPr>
              <w:t>保山市加油站流量数据采集系统</w:t>
            </w:r>
            <w:r>
              <w:rPr>
                <w:rFonts w:hint="eastAsia" w:asciiTheme="minorEastAsia" w:hAnsiTheme="minorEastAsia" w:eastAsiaTheme="minorEastAsia" w:cstheme="minorEastAsia"/>
                <w:bCs/>
                <w:color w:val="auto"/>
                <w:sz w:val="21"/>
                <w:szCs w:val="21"/>
                <w:highlight w:val="none"/>
                <w:lang w:val="en-US" w:eastAsia="zh-CN"/>
              </w:rPr>
              <w:t>建设</w:t>
            </w:r>
            <w:r>
              <w:rPr>
                <w:rFonts w:hint="eastAsia" w:asciiTheme="minorEastAsia" w:hAnsiTheme="minorEastAsia" w:eastAsiaTheme="minorEastAsia" w:cstheme="minorEastAsia"/>
                <w:bCs/>
                <w:color w:val="auto"/>
                <w:sz w:val="21"/>
                <w:szCs w:val="21"/>
                <w:highlight w:val="none"/>
              </w:rPr>
              <w:t>标准要求</w:t>
            </w:r>
            <w:r>
              <w:rPr>
                <w:rFonts w:hint="eastAsia" w:ascii="宋体" w:hAnsi="宋体" w:eastAsia="宋体" w:cs="宋体"/>
                <w:color w:val="auto"/>
                <w:sz w:val="21"/>
                <w:szCs w:val="21"/>
                <w:highlight w:val="none"/>
              </w:rPr>
              <w:t>进行编制，对应部分</w:t>
            </w:r>
            <w:r>
              <w:rPr>
                <w:rFonts w:hint="eastAsia" w:ascii="宋体" w:hAnsi="宋体" w:eastAsia="宋体" w:cs="宋体"/>
                <w:color w:val="auto"/>
                <w:sz w:val="21"/>
                <w:szCs w:val="21"/>
                <w:highlight w:val="none"/>
                <w:lang w:val="en-US" w:eastAsia="zh-CN"/>
              </w:rPr>
              <w:t>设计</w:t>
            </w:r>
            <w:r>
              <w:rPr>
                <w:rFonts w:hint="eastAsia" w:asciiTheme="minorEastAsia" w:hAnsiTheme="minorEastAsia" w:eastAsiaTheme="minorEastAsia" w:cstheme="minorEastAsia"/>
                <w:bCs/>
                <w:color w:val="auto"/>
                <w:sz w:val="21"/>
                <w:szCs w:val="21"/>
                <w:highlight w:val="none"/>
              </w:rPr>
              <w:t>方案内容完整</w:t>
            </w:r>
            <w:r>
              <w:rPr>
                <w:rFonts w:hint="eastAsia" w:asciiTheme="minorEastAsia" w:hAnsiTheme="minorEastAsia" w:eastAsiaTheme="minorEastAsia" w:cstheme="minorEastAsia"/>
                <w:bCs/>
                <w:color w:val="auto"/>
                <w:sz w:val="21"/>
                <w:szCs w:val="21"/>
                <w:highlight w:val="none"/>
                <w:lang w:val="en-US" w:eastAsia="zh-CN"/>
              </w:rPr>
              <w:t>具体</w:t>
            </w:r>
            <w:r>
              <w:rPr>
                <w:rFonts w:hint="eastAsia" w:asciiTheme="minorEastAsia" w:hAnsiTheme="minorEastAsia" w:eastAsiaTheme="minorEastAsia" w:cstheme="minorEastAsia"/>
                <w:bCs/>
                <w:color w:val="auto"/>
                <w:sz w:val="21"/>
                <w:szCs w:val="21"/>
                <w:highlight w:val="none"/>
              </w:rPr>
              <w:t>、逻辑清晰、架构</w:t>
            </w:r>
            <w:r>
              <w:rPr>
                <w:rFonts w:hint="eastAsia" w:asciiTheme="minorEastAsia" w:hAnsiTheme="minorEastAsia" w:eastAsiaTheme="minorEastAsia" w:cstheme="minorEastAsia"/>
                <w:bCs/>
                <w:color w:val="auto"/>
                <w:sz w:val="21"/>
                <w:szCs w:val="21"/>
                <w:highlight w:val="none"/>
                <w:lang w:val="en-US" w:eastAsia="zh-CN"/>
              </w:rPr>
              <w:t>科学</w:t>
            </w:r>
            <w:r>
              <w:rPr>
                <w:rFonts w:hint="eastAsia" w:asciiTheme="minorEastAsia" w:hAnsiTheme="minorEastAsia" w:eastAsiaTheme="minorEastAsia" w:cstheme="minorEastAsia"/>
                <w:bCs/>
                <w:color w:val="auto"/>
                <w:sz w:val="21"/>
                <w:szCs w:val="21"/>
                <w:highlight w:val="none"/>
              </w:rPr>
              <w:t>合理的，并结合实际情况，针对本项目的特点进行了具体分析，功能设计合理、完善、实用、全面，契合项目需求</w:t>
            </w:r>
            <w:r>
              <w:rPr>
                <w:rFonts w:hint="eastAsia" w:asciiTheme="minorEastAsia" w:hAnsiTheme="minorEastAsia" w:eastAsiaTheme="minorEastAsia" w:cstheme="minorEastAsia"/>
                <w:bCs/>
                <w:color w:val="auto"/>
                <w:sz w:val="21"/>
                <w:szCs w:val="21"/>
                <w:highlight w:val="none"/>
                <w:lang w:eastAsia="zh-CN"/>
              </w:rPr>
              <w:t>，对具体功能模块进行细化，</w:t>
            </w:r>
            <w:r>
              <w:rPr>
                <w:rFonts w:hint="eastAsia" w:asciiTheme="minorEastAsia" w:hAnsiTheme="minorEastAsia" w:eastAsiaTheme="minorEastAsia" w:cstheme="minorEastAsia"/>
                <w:bCs/>
                <w:color w:val="auto"/>
                <w:sz w:val="21"/>
                <w:szCs w:val="21"/>
                <w:highlight w:val="none"/>
                <w:lang w:val="en-US" w:eastAsia="zh-CN"/>
              </w:rPr>
              <w:t>并结合系统使用用途进行功能扩展深化</w:t>
            </w:r>
            <w:r>
              <w:rPr>
                <w:rFonts w:hint="eastAsia" w:asciiTheme="minorEastAsia" w:hAnsiTheme="minorEastAsia" w:eastAsiaTheme="minorEastAsia" w:cstheme="minorEastAsia"/>
                <w:bCs/>
                <w:color w:val="auto"/>
                <w:sz w:val="21"/>
                <w:szCs w:val="21"/>
                <w:highlight w:val="none"/>
              </w:rPr>
              <w:t>，完全满足</w:t>
            </w:r>
            <w:r>
              <w:rPr>
                <w:rFonts w:hint="eastAsia" w:asciiTheme="minorEastAsia" w:hAnsiTheme="minorEastAsia" w:eastAsiaTheme="minorEastAsia" w:cstheme="minorEastAsia"/>
                <w:bCs/>
                <w:color w:val="auto"/>
                <w:sz w:val="21"/>
                <w:szCs w:val="21"/>
                <w:highlight w:val="none"/>
                <w:lang w:val="en-US" w:eastAsia="zh-CN"/>
              </w:rPr>
              <w:t>并优于采购</w:t>
            </w:r>
            <w:r>
              <w:rPr>
                <w:rFonts w:hint="eastAsia" w:asciiTheme="minorEastAsia" w:hAnsiTheme="minorEastAsia" w:eastAsiaTheme="minorEastAsia" w:cstheme="minorEastAsia"/>
                <w:bCs/>
                <w:color w:val="auto"/>
                <w:sz w:val="21"/>
                <w:szCs w:val="21"/>
                <w:highlight w:val="none"/>
              </w:rPr>
              <w:t>需求</w:t>
            </w:r>
            <w:r>
              <w:rPr>
                <w:rFonts w:hint="eastAsia" w:ascii="宋体" w:hAnsi="宋体" w:eastAsia="宋体" w:cs="宋体"/>
                <w:color w:val="auto"/>
                <w:sz w:val="21"/>
                <w:szCs w:val="21"/>
                <w:highlight w:val="none"/>
              </w:rPr>
              <w:t>的得</w:t>
            </w:r>
            <w:r>
              <w:rPr>
                <w:rFonts w:hint="eastAsia" w:hAnsi="宋体" w:cs="宋体"/>
                <w:color w:val="auto"/>
                <w:sz w:val="21"/>
                <w:szCs w:val="21"/>
                <w:highlight w:val="none"/>
                <w:lang w:val="en-US" w:eastAsia="zh-CN"/>
              </w:rPr>
              <w:t>5</w:t>
            </w:r>
            <w:r>
              <w:rPr>
                <w:rFonts w:hint="eastAsia" w:ascii="宋体" w:hAnsi="宋体" w:eastAsia="宋体" w:cs="宋体"/>
                <w:color w:val="auto"/>
                <w:sz w:val="21"/>
                <w:szCs w:val="21"/>
                <w:highlight w:val="none"/>
              </w:rPr>
              <w:t>分。</w:t>
            </w:r>
          </w:p>
          <w:p w14:paraId="69775B50">
            <w:pPr>
              <w:spacing w:line="400" w:lineRule="exact"/>
              <w:rPr>
                <w:rFonts w:hint="default"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rPr>
              <w:t>（2）每一单项内容是基于采购需求</w:t>
            </w:r>
            <w:r>
              <w:rPr>
                <w:rFonts w:hint="eastAsia" w:ascii="宋体" w:hAnsi="宋体" w:eastAsia="宋体" w:cs="宋体"/>
                <w:color w:val="auto"/>
                <w:sz w:val="21"/>
                <w:szCs w:val="21"/>
                <w:highlight w:val="none"/>
                <w:lang w:val="en-US" w:eastAsia="zh-CN"/>
              </w:rPr>
              <w:t>和</w:t>
            </w:r>
            <w:r>
              <w:rPr>
                <w:rFonts w:hint="eastAsia" w:hAnsi="宋体" w:cs="宋体"/>
                <w:color w:val="auto"/>
                <w:sz w:val="21"/>
                <w:szCs w:val="21"/>
                <w:highlight w:val="none"/>
                <w:lang w:val="en-US" w:eastAsia="zh-CN"/>
              </w:rPr>
              <w:t>保山市加油站流量数据采集系统</w:t>
            </w:r>
            <w:r>
              <w:rPr>
                <w:rFonts w:hint="eastAsia" w:asciiTheme="minorEastAsia" w:hAnsiTheme="minorEastAsia" w:eastAsiaTheme="minorEastAsia" w:cstheme="minorEastAsia"/>
                <w:bCs/>
                <w:color w:val="auto"/>
                <w:sz w:val="21"/>
                <w:szCs w:val="21"/>
                <w:highlight w:val="none"/>
                <w:lang w:val="en-US" w:eastAsia="zh-CN"/>
              </w:rPr>
              <w:t>建设</w:t>
            </w:r>
            <w:r>
              <w:rPr>
                <w:rFonts w:hint="eastAsia" w:asciiTheme="minorEastAsia" w:hAnsiTheme="minorEastAsia" w:eastAsiaTheme="minorEastAsia" w:cstheme="minorEastAsia"/>
                <w:bCs/>
                <w:color w:val="auto"/>
                <w:sz w:val="21"/>
                <w:szCs w:val="21"/>
                <w:highlight w:val="none"/>
              </w:rPr>
              <w:t>标准要求</w:t>
            </w:r>
            <w:r>
              <w:rPr>
                <w:rFonts w:hint="eastAsia" w:ascii="宋体" w:hAnsi="宋体" w:eastAsia="宋体" w:cs="宋体"/>
                <w:color w:val="auto"/>
                <w:sz w:val="21"/>
                <w:szCs w:val="21"/>
                <w:highlight w:val="none"/>
              </w:rPr>
              <w:t>进行编制，对应</w:t>
            </w:r>
            <w:r>
              <w:rPr>
                <w:rFonts w:hint="eastAsia" w:ascii="宋体" w:hAnsi="宋体" w:eastAsia="宋体" w:cs="宋体"/>
                <w:color w:val="auto"/>
                <w:sz w:val="21"/>
                <w:szCs w:val="21"/>
                <w:highlight w:val="none"/>
                <w:lang w:val="en-US" w:eastAsia="zh-CN"/>
              </w:rPr>
              <w:t>设计</w:t>
            </w:r>
            <w:r>
              <w:rPr>
                <w:rFonts w:hint="eastAsia" w:asciiTheme="minorEastAsia" w:hAnsiTheme="minorEastAsia" w:eastAsiaTheme="minorEastAsia" w:cstheme="minorEastAsia"/>
                <w:bCs/>
                <w:color w:val="auto"/>
                <w:sz w:val="21"/>
                <w:szCs w:val="21"/>
                <w:highlight w:val="none"/>
              </w:rPr>
              <w:t>方案内容完整</w:t>
            </w:r>
            <w:r>
              <w:rPr>
                <w:rFonts w:hint="eastAsia" w:asciiTheme="minorEastAsia" w:hAnsiTheme="minorEastAsia" w:eastAsiaTheme="minorEastAsia" w:cstheme="minorEastAsia"/>
                <w:bCs/>
                <w:color w:val="auto"/>
                <w:sz w:val="21"/>
                <w:szCs w:val="21"/>
                <w:highlight w:val="none"/>
                <w:lang w:val="en-US" w:eastAsia="zh-CN"/>
              </w:rPr>
              <w:t>较为详细具体</w:t>
            </w:r>
            <w:r>
              <w:rPr>
                <w:rFonts w:hint="eastAsia" w:asciiTheme="minorEastAsia" w:hAnsiTheme="minorEastAsia" w:eastAsiaTheme="minorEastAsia" w:cstheme="minorEastAsia"/>
                <w:bCs/>
                <w:color w:val="auto"/>
                <w:sz w:val="21"/>
                <w:szCs w:val="21"/>
                <w:highlight w:val="none"/>
              </w:rPr>
              <w:t>、逻辑</w:t>
            </w:r>
            <w:r>
              <w:rPr>
                <w:rFonts w:hint="eastAsia" w:asciiTheme="minorEastAsia" w:hAnsiTheme="minorEastAsia" w:eastAsiaTheme="minorEastAsia" w:cstheme="minorEastAsia"/>
                <w:bCs/>
                <w:color w:val="auto"/>
                <w:sz w:val="21"/>
                <w:szCs w:val="21"/>
                <w:highlight w:val="none"/>
                <w:lang w:val="en-US" w:eastAsia="zh-CN"/>
              </w:rPr>
              <w:t>较为</w:t>
            </w:r>
            <w:r>
              <w:rPr>
                <w:rFonts w:hint="eastAsia" w:asciiTheme="minorEastAsia" w:hAnsiTheme="minorEastAsia" w:eastAsiaTheme="minorEastAsia" w:cstheme="minorEastAsia"/>
                <w:bCs/>
                <w:color w:val="auto"/>
                <w:sz w:val="21"/>
                <w:szCs w:val="21"/>
                <w:highlight w:val="none"/>
              </w:rPr>
              <w:t>清晰、架构</w:t>
            </w:r>
            <w:r>
              <w:rPr>
                <w:rFonts w:hint="eastAsia" w:asciiTheme="minorEastAsia" w:hAnsiTheme="minorEastAsia" w:eastAsiaTheme="minorEastAsia" w:cstheme="minorEastAsia"/>
                <w:bCs/>
                <w:color w:val="auto"/>
                <w:sz w:val="21"/>
                <w:szCs w:val="21"/>
                <w:highlight w:val="none"/>
                <w:lang w:val="en-US" w:eastAsia="zh-CN"/>
              </w:rPr>
              <w:t>基本</w:t>
            </w:r>
            <w:r>
              <w:rPr>
                <w:rFonts w:hint="eastAsia" w:asciiTheme="minorEastAsia" w:hAnsiTheme="minorEastAsia" w:eastAsiaTheme="minorEastAsia" w:cstheme="minorEastAsia"/>
                <w:bCs/>
                <w:color w:val="auto"/>
                <w:sz w:val="21"/>
                <w:szCs w:val="21"/>
                <w:highlight w:val="none"/>
              </w:rPr>
              <w:t>合理的，能结合本项目的实际情况与特点进行的分析，功能设计较合理、较实用、较全面，</w:t>
            </w:r>
            <w:r>
              <w:rPr>
                <w:rFonts w:hint="eastAsia" w:asciiTheme="minorEastAsia" w:hAnsiTheme="minorEastAsia" w:eastAsiaTheme="minorEastAsia" w:cstheme="minorEastAsia"/>
                <w:bCs/>
                <w:color w:val="auto"/>
                <w:sz w:val="21"/>
                <w:szCs w:val="21"/>
                <w:highlight w:val="none"/>
                <w:lang w:val="en-US" w:eastAsia="zh-CN"/>
              </w:rPr>
              <w:t>基本满足采购需求的得3分。</w:t>
            </w:r>
          </w:p>
          <w:p w14:paraId="234A130E">
            <w:pPr>
              <w:spacing w:line="400" w:lineRule="exact"/>
              <w:rPr>
                <w:rFonts w:hint="default" w:ascii="宋体" w:hAnsi="宋体" w:cs="宋体" w:eastAsiaTheme="minorEastAsia"/>
                <w:color w:val="auto"/>
                <w:sz w:val="21"/>
                <w:szCs w:val="21"/>
                <w:highlight w:val="none"/>
                <w:lang w:val="en-US" w:eastAsia="zh-CN"/>
              </w:rPr>
            </w:pPr>
            <w:r>
              <w:rPr>
                <w:rFonts w:hint="eastAsia" w:ascii="宋体" w:hAnsi="宋体" w:eastAsia="宋体" w:cs="宋体"/>
                <w:color w:val="auto"/>
                <w:sz w:val="21"/>
                <w:szCs w:val="21"/>
                <w:highlight w:val="none"/>
              </w:rPr>
              <w:t>（3）每一单项内容是基于采购需求</w:t>
            </w:r>
            <w:r>
              <w:rPr>
                <w:rFonts w:hint="eastAsia" w:ascii="宋体" w:hAnsi="宋体" w:eastAsia="宋体" w:cs="宋体"/>
                <w:color w:val="auto"/>
                <w:sz w:val="21"/>
                <w:szCs w:val="21"/>
                <w:highlight w:val="none"/>
                <w:lang w:val="en-US" w:eastAsia="zh-CN"/>
              </w:rPr>
              <w:t>和</w:t>
            </w:r>
            <w:r>
              <w:rPr>
                <w:rFonts w:hint="eastAsia" w:hAnsi="宋体" w:cs="宋体"/>
                <w:color w:val="auto"/>
                <w:sz w:val="21"/>
                <w:szCs w:val="21"/>
                <w:highlight w:val="none"/>
                <w:lang w:val="en-US" w:eastAsia="zh-CN"/>
              </w:rPr>
              <w:t>保山市加油站流量数据采集系统</w:t>
            </w:r>
            <w:r>
              <w:rPr>
                <w:rFonts w:hint="eastAsia" w:asciiTheme="minorEastAsia" w:hAnsiTheme="minorEastAsia" w:eastAsiaTheme="minorEastAsia" w:cstheme="minorEastAsia"/>
                <w:bCs/>
                <w:color w:val="auto"/>
                <w:sz w:val="21"/>
                <w:szCs w:val="21"/>
                <w:highlight w:val="none"/>
                <w:lang w:val="en-US" w:eastAsia="zh-CN"/>
              </w:rPr>
              <w:t>建设</w:t>
            </w:r>
            <w:r>
              <w:rPr>
                <w:rFonts w:hint="eastAsia" w:asciiTheme="minorEastAsia" w:hAnsiTheme="minorEastAsia" w:eastAsiaTheme="minorEastAsia" w:cstheme="minorEastAsia"/>
                <w:bCs/>
                <w:color w:val="auto"/>
                <w:sz w:val="21"/>
                <w:szCs w:val="21"/>
                <w:highlight w:val="none"/>
              </w:rPr>
              <w:t>标准要求</w:t>
            </w:r>
            <w:r>
              <w:rPr>
                <w:rFonts w:hint="eastAsia" w:ascii="宋体" w:hAnsi="宋体" w:eastAsia="宋体" w:cs="宋体"/>
                <w:color w:val="auto"/>
                <w:sz w:val="21"/>
                <w:szCs w:val="21"/>
                <w:highlight w:val="none"/>
              </w:rPr>
              <w:t>进行编制，对应</w:t>
            </w:r>
            <w:r>
              <w:rPr>
                <w:rFonts w:hint="eastAsia" w:ascii="宋体" w:hAnsi="宋体" w:eastAsia="宋体" w:cs="宋体"/>
                <w:color w:val="auto"/>
                <w:sz w:val="21"/>
                <w:szCs w:val="21"/>
                <w:highlight w:val="none"/>
                <w:lang w:val="en-US" w:eastAsia="zh-CN"/>
              </w:rPr>
              <w:t>设计方案内容</w:t>
            </w:r>
            <w:r>
              <w:rPr>
                <w:rFonts w:hint="eastAsia" w:ascii="宋体" w:hAnsi="宋体" w:eastAsia="宋体" w:cs="宋体"/>
                <w:color w:val="auto"/>
                <w:sz w:val="21"/>
                <w:szCs w:val="21"/>
                <w:highlight w:val="none"/>
              </w:rPr>
              <w:t>描述较为简单、</w:t>
            </w:r>
            <w:r>
              <w:rPr>
                <w:rFonts w:hint="eastAsia" w:ascii="宋体" w:hAnsi="宋体" w:eastAsia="宋体" w:cs="宋体"/>
                <w:color w:val="auto"/>
                <w:sz w:val="21"/>
                <w:szCs w:val="21"/>
                <w:highlight w:val="none"/>
                <w:lang w:val="en-US" w:eastAsia="zh-CN"/>
              </w:rPr>
              <w:t>内容</w:t>
            </w:r>
            <w:r>
              <w:rPr>
                <w:rFonts w:hint="eastAsia" w:ascii="宋体" w:hAnsi="宋体" w:eastAsia="宋体" w:cs="宋体"/>
                <w:color w:val="auto"/>
                <w:sz w:val="21"/>
                <w:szCs w:val="21"/>
                <w:highlight w:val="none"/>
              </w:rPr>
              <w:t>存在缺陷</w:t>
            </w:r>
            <w:r>
              <w:rPr>
                <w:rFonts w:hint="eastAsia" w:ascii="宋体" w:hAnsi="宋体" w:eastAsia="宋体" w:cs="宋体"/>
                <w:color w:val="auto"/>
                <w:sz w:val="21"/>
                <w:szCs w:val="21"/>
                <w:highlight w:val="none"/>
                <w:lang w:val="en-US" w:eastAsia="zh-CN"/>
              </w:rPr>
              <w:t>或逻辑错误的情况</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设计的系统架构可行性较差，</w:t>
            </w:r>
            <w:r>
              <w:rPr>
                <w:rFonts w:hint="eastAsia" w:asciiTheme="minorEastAsia" w:hAnsiTheme="minorEastAsia" w:eastAsiaTheme="minorEastAsia" w:cstheme="minorEastAsia"/>
                <w:bCs/>
                <w:color w:val="auto"/>
                <w:sz w:val="21"/>
                <w:szCs w:val="21"/>
                <w:highlight w:val="none"/>
                <w:lang w:val="en-US" w:eastAsia="zh-CN"/>
              </w:rPr>
              <w:t>开发设计</w:t>
            </w:r>
            <w:r>
              <w:rPr>
                <w:rFonts w:hint="eastAsia" w:asciiTheme="minorEastAsia" w:hAnsiTheme="minorEastAsia" w:eastAsiaTheme="minorEastAsia" w:cstheme="minorEastAsia"/>
                <w:bCs/>
                <w:color w:val="auto"/>
                <w:sz w:val="21"/>
                <w:szCs w:val="21"/>
                <w:highlight w:val="none"/>
              </w:rPr>
              <w:t>思路不清晰</w:t>
            </w:r>
            <w:r>
              <w:rPr>
                <w:rFonts w:hint="eastAsia" w:asciiTheme="minorEastAsia" w:hAnsiTheme="minorEastAsia" w:eastAsiaTheme="minorEastAsia" w:cstheme="minorEastAsia"/>
                <w:bCs/>
                <w:color w:val="auto"/>
                <w:sz w:val="21"/>
                <w:szCs w:val="21"/>
                <w:highlight w:val="none"/>
                <w:lang w:val="en-US" w:eastAsia="zh-CN"/>
              </w:rPr>
              <w:t>的得1分</w:t>
            </w:r>
          </w:p>
          <w:p w14:paraId="750C50D1">
            <w:pPr>
              <w:spacing w:line="400" w:lineRule="exact"/>
              <w:rPr>
                <w:color w:val="auto"/>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hAnsi="宋体" w:cs="宋体"/>
                <w:color w:val="auto"/>
                <w:sz w:val="21"/>
                <w:szCs w:val="21"/>
                <w:highlight w:val="none"/>
                <w:lang w:eastAsia="zh-CN"/>
              </w:rPr>
              <w:t>保山市加油站流量数据采集系统</w:t>
            </w:r>
            <w:r>
              <w:rPr>
                <w:rFonts w:hint="eastAsia" w:ascii="宋体" w:hAnsi="宋体" w:eastAsia="宋体" w:cs="宋体"/>
                <w:color w:val="auto"/>
                <w:sz w:val="21"/>
                <w:szCs w:val="21"/>
                <w:highlight w:val="none"/>
              </w:rPr>
              <w:t>总体设计方案”中单项内容的描述与本项目对应的内容无关或</w:t>
            </w:r>
            <w:r>
              <w:rPr>
                <w:rFonts w:hint="eastAsia" w:ascii="宋体" w:hAnsi="宋体" w:eastAsia="宋体" w:cs="宋体"/>
                <w:color w:val="auto"/>
                <w:sz w:val="21"/>
                <w:szCs w:val="21"/>
                <w:highlight w:val="none"/>
                <w:lang w:val="en-US" w:eastAsia="zh-CN"/>
              </w:rPr>
              <w:t>严重不符或</w:t>
            </w:r>
            <w:r>
              <w:rPr>
                <w:rFonts w:hint="eastAsia" w:ascii="宋体" w:hAnsi="宋体" w:eastAsia="宋体" w:cs="宋体"/>
                <w:color w:val="auto"/>
                <w:sz w:val="21"/>
                <w:szCs w:val="21"/>
                <w:highlight w:val="none"/>
              </w:rPr>
              <w:t>未提供相应内容的得0分。</w:t>
            </w:r>
          </w:p>
        </w:tc>
      </w:tr>
      <w:tr w14:paraId="3A75B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4C1A0863">
            <w:pPr>
              <w:spacing w:line="400" w:lineRule="exact"/>
              <w:rPr>
                <w:rFonts w:hint="eastAsia" w:hAnsi="宋体" w:cs="宋体"/>
                <w:color w:val="auto"/>
                <w:sz w:val="21"/>
                <w:szCs w:val="21"/>
                <w:highlight w:val="none"/>
              </w:rPr>
            </w:pPr>
          </w:p>
        </w:tc>
        <w:tc>
          <w:tcPr>
            <w:tcW w:w="894" w:type="dxa"/>
            <w:vMerge w:val="continue"/>
            <w:vAlign w:val="center"/>
          </w:tcPr>
          <w:p w14:paraId="17D829A7">
            <w:pPr>
              <w:spacing w:line="400" w:lineRule="exact"/>
              <w:rPr>
                <w:rFonts w:hint="eastAsia" w:hAnsi="宋体" w:cs="宋体"/>
                <w:color w:val="auto"/>
                <w:sz w:val="21"/>
                <w:szCs w:val="21"/>
                <w:highlight w:val="none"/>
              </w:rPr>
            </w:pPr>
          </w:p>
        </w:tc>
        <w:tc>
          <w:tcPr>
            <w:tcW w:w="1250" w:type="dxa"/>
            <w:vMerge w:val="continue"/>
            <w:vAlign w:val="center"/>
          </w:tcPr>
          <w:p w14:paraId="1EF5E4A5">
            <w:pPr>
              <w:spacing w:line="400" w:lineRule="exact"/>
              <w:jc w:val="center"/>
              <w:rPr>
                <w:rFonts w:hint="eastAsia" w:hAnsi="宋体" w:cs="宋体"/>
                <w:color w:val="auto"/>
                <w:sz w:val="21"/>
                <w:szCs w:val="21"/>
                <w:highlight w:val="none"/>
              </w:rPr>
            </w:pPr>
          </w:p>
        </w:tc>
        <w:tc>
          <w:tcPr>
            <w:tcW w:w="7035" w:type="dxa"/>
            <w:vAlign w:val="center"/>
          </w:tcPr>
          <w:p w14:paraId="5C8CCF6F">
            <w:pPr>
              <w:spacing w:line="420" w:lineRule="exact"/>
              <w:rPr>
                <w:rFonts w:hint="eastAsia" w:hAnsi="宋体" w:cs="宋体"/>
                <w:b/>
                <w:bCs/>
                <w:color w:val="auto"/>
                <w:sz w:val="21"/>
                <w:szCs w:val="21"/>
                <w:highlight w:val="none"/>
              </w:rPr>
            </w:pPr>
            <w:r>
              <w:rPr>
                <w:rFonts w:hint="eastAsia" w:hAnsi="宋体" w:cs="宋体"/>
                <w:b/>
                <w:bCs/>
                <w:color w:val="auto"/>
                <w:sz w:val="21"/>
                <w:szCs w:val="21"/>
                <w:highlight w:val="none"/>
                <w:lang w:val="en-US" w:eastAsia="zh-CN"/>
              </w:rPr>
              <w:t>3.</w:t>
            </w:r>
            <w:r>
              <w:rPr>
                <w:rFonts w:hint="eastAsia" w:hAnsi="宋体" w:cs="宋体"/>
                <w:b/>
                <w:bCs/>
                <w:color w:val="auto"/>
                <w:sz w:val="21"/>
                <w:szCs w:val="21"/>
                <w:highlight w:val="none"/>
              </w:rPr>
              <w:t>系统演示评价（满分</w:t>
            </w:r>
            <w:r>
              <w:rPr>
                <w:rFonts w:hint="eastAsia" w:hAnsi="宋体" w:cs="宋体"/>
                <w:b/>
                <w:bCs/>
                <w:color w:val="auto"/>
                <w:sz w:val="21"/>
                <w:szCs w:val="21"/>
                <w:highlight w:val="none"/>
                <w:lang w:val="en-US" w:eastAsia="zh-CN"/>
              </w:rPr>
              <w:t>20</w:t>
            </w:r>
            <w:r>
              <w:rPr>
                <w:rFonts w:hint="eastAsia" w:hAnsi="宋体" w:cs="宋体"/>
                <w:b/>
                <w:bCs/>
                <w:color w:val="auto"/>
                <w:sz w:val="21"/>
                <w:szCs w:val="21"/>
                <w:highlight w:val="none"/>
              </w:rPr>
              <w:t>分）</w:t>
            </w:r>
          </w:p>
          <w:p w14:paraId="306E246F">
            <w:pPr>
              <w:spacing w:line="420" w:lineRule="exact"/>
              <w:rPr>
                <w:rFonts w:hint="eastAsia" w:hAnsi="宋体" w:cs="宋体"/>
                <w:color w:val="auto"/>
                <w:sz w:val="21"/>
                <w:szCs w:val="21"/>
                <w:highlight w:val="none"/>
              </w:rPr>
            </w:pPr>
            <w:r>
              <w:rPr>
                <w:rFonts w:hint="eastAsia" w:hAnsi="宋体" w:cs="宋体"/>
                <w:color w:val="auto"/>
                <w:sz w:val="21"/>
                <w:szCs w:val="21"/>
                <w:highlight w:val="none"/>
              </w:rPr>
              <w:t>评标委员会根据项目采购需求并结合投标人递交演示视频所展示的内容进行综合评审。</w:t>
            </w:r>
          </w:p>
          <w:p w14:paraId="747F772E">
            <w:pPr>
              <w:spacing w:line="420" w:lineRule="exact"/>
              <w:rPr>
                <w:rFonts w:hint="eastAsia" w:hAnsi="宋体" w:cs="宋体"/>
                <w:color w:val="auto"/>
                <w:sz w:val="21"/>
                <w:szCs w:val="21"/>
                <w:highlight w:val="none"/>
              </w:rPr>
            </w:pPr>
            <w:r>
              <w:rPr>
                <w:rFonts w:hint="eastAsia" w:hAnsi="宋体" w:cs="宋体"/>
                <w:color w:val="auto"/>
                <w:sz w:val="21"/>
                <w:szCs w:val="21"/>
                <w:highlight w:val="none"/>
              </w:rPr>
              <w:t>（一）演示要求：</w:t>
            </w:r>
          </w:p>
          <w:p w14:paraId="15B68C6B">
            <w:pPr>
              <w:spacing w:line="420" w:lineRule="exact"/>
              <w:rPr>
                <w:rFonts w:hint="eastAsia" w:hAnsi="宋体" w:cs="宋体"/>
                <w:color w:val="auto"/>
                <w:sz w:val="21"/>
                <w:szCs w:val="21"/>
                <w:highlight w:val="none"/>
              </w:rPr>
            </w:pPr>
            <w:r>
              <w:rPr>
                <w:rFonts w:hint="eastAsia"/>
                <w:color w:val="auto"/>
                <w:sz w:val="21"/>
                <w:szCs w:val="21"/>
                <w:highlight w:val="none"/>
              </w:rPr>
              <w:t>本项目需要对本次采购的“</w:t>
            </w:r>
            <w:r>
              <w:rPr>
                <w:rFonts w:hint="eastAsia"/>
                <w:color w:val="auto"/>
                <w:sz w:val="21"/>
                <w:szCs w:val="21"/>
                <w:highlight w:val="none"/>
                <w:lang w:eastAsia="zh-CN"/>
              </w:rPr>
              <w:t>保山市加油站流量数据采集系统</w:t>
            </w:r>
            <w:r>
              <w:rPr>
                <w:rFonts w:hint="eastAsia"/>
                <w:color w:val="auto"/>
                <w:sz w:val="21"/>
                <w:szCs w:val="21"/>
                <w:highlight w:val="none"/>
              </w:rPr>
              <w:t>”提供开发设计功能模块（demo）进行视频演示，演示方式采用视频并配音解说进行实现（格式：MP4）。视频演示须图像清晰、演示功能准确，配音解说须与视频显示内容一致</w:t>
            </w:r>
            <w:r>
              <w:rPr>
                <w:rFonts w:hint="eastAsia" w:hAnsi="宋体" w:cs="宋体"/>
                <w:color w:val="auto"/>
                <w:sz w:val="21"/>
                <w:szCs w:val="21"/>
                <w:highlight w:val="none"/>
              </w:rPr>
              <w:t>。</w:t>
            </w:r>
            <w:r>
              <w:rPr>
                <w:rFonts w:hint="eastAsia" w:hAnsi="宋体" w:cs="宋体"/>
                <w:color w:val="auto"/>
                <w:sz w:val="21"/>
                <w:szCs w:val="21"/>
                <w:highlight w:val="none"/>
                <w:lang w:val="en-US" w:eastAsia="zh-CN"/>
              </w:rPr>
              <w:t>未提供演示视频或</w:t>
            </w:r>
            <w:r>
              <w:rPr>
                <w:rFonts w:hint="eastAsia" w:hAnsi="宋体" w:cs="宋体"/>
                <w:color w:val="auto"/>
                <w:sz w:val="21"/>
                <w:szCs w:val="21"/>
                <w:highlight w:val="none"/>
              </w:rPr>
              <w:t>演示视频演示无法读取数据、无法演示</w:t>
            </w:r>
            <w:r>
              <w:rPr>
                <w:rFonts w:hint="eastAsia" w:hAnsi="宋体" w:cs="宋体"/>
                <w:color w:val="auto"/>
                <w:sz w:val="21"/>
                <w:szCs w:val="21"/>
                <w:highlight w:val="none"/>
                <w:lang w:eastAsia="zh-CN"/>
              </w:rPr>
              <w:t>、</w:t>
            </w:r>
            <w:r>
              <w:rPr>
                <w:rFonts w:hint="eastAsia" w:hAnsi="宋体" w:cs="宋体"/>
                <w:color w:val="auto"/>
                <w:sz w:val="21"/>
                <w:szCs w:val="21"/>
                <w:highlight w:val="none"/>
              </w:rPr>
              <w:t>未按要求演示要求响应的不得分。</w:t>
            </w:r>
          </w:p>
          <w:p w14:paraId="5C888A2D">
            <w:pPr>
              <w:spacing w:line="420" w:lineRule="exact"/>
              <w:rPr>
                <w:rFonts w:hint="eastAsia" w:hAnsi="宋体" w:cs="宋体"/>
                <w:color w:val="auto"/>
                <w:sz w:val="21"/>
                <w:szCs w:val="21"/>
                <w:highlight w:val="none"/>
              </w:rPr>
            </w:pPr>
            <w:r>
              <w:rPr>
                <w:rFonts w:hint="eastAsia" w:hAnsi="宋体" w:cs="宋体"/>
                <w:color w:val="auto"/>
                <w:sz w:val="21"/>
                <w:szCs w:val="21"/>
                <w:highlight w:val="none"/>
              </w:rPr>
              <w:t>（二）评分标准：</w:t>
            </w:r>
          </w:p>
          <w:p w14:paraId="446C138D">
            <w:pPr>
              <w:spacing w:line="420" w:lineRule="exact"/>
              <w:rPr>
                <w:rFonts w:hint="eastAsia" w:hAnsi="宋体" w:cs="宋体"/>
                <w:color w:val="auto"/>
                <w:sz w:val="21"/>
                <w:szCs w:val="21"/>
                <w:highlight w:val="none"/>
              </w:rPr>
            </w:pPr>
            <w:r>
              <w:rPr>
                <w:rFonts w:hint="eastAsia"/>
                <w:color w:val="auto"/>
                <w:sz w:val="21"/>
                <w:szCs w:val="21"/>
                <w:highlight w:val="none"/>
                <w:lang w:val="en-US" w:eastAsia="zh-CN"/>
              </w:rPr>
              <w:t>招标文件第六章采购需求中“二、项目采购需求”</w:t>
            </w:r>
            <w:r>
              <w:rPr>
                <w:rFonts w:hint="eastAsia" w:ascii="宋体" w:hAnsi="宋体" w:eastAsia="宋体" w:cs="宋体"/>
                <w:color w:val="auto"/>
                <w:sz w:val="21"/>
                <w:szCs w:val="21"/>
                <w:highlight w:val="none"/>
              </w:rPr>
              <w:t>标注“▲”的为演示内容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共</w:t>
            </w:r>
            <w:r>
              <w:rPr>
                <w:rFonts w:hint="eastAsia" w:hAnsi="宋体" w:cs="宋体"/>
                <w:color w:val="auto"/>
                <w:sz w:val="21"/>
                <w:szCs w:val="21"/>
                <w:highlight w:val="none"/>
                <w:lang w:val="en-US" w:eastAsia="zh-CN"/>
              </w:rPr>
              <w:t>16</w:t>
            </w:r>
            <w:r>
              <w:rPr>
                <w:rFonts w:hint="eastAsia" w:ascii="宋体" w:hAnsi="宋体" w:eastAsia="宋体" w:cs="宋体"/>
                <w:color w:val="auto"/>
                <w:sz w:val="21"/>
                <w:szCs w:val="21"/>
                <w:highlight w:val="none"/>
                <w:lang w:val="en-US" w:eastAsia="zh-CN"/>
              </w:rPr>
              <w:t>项功能</w:t>
            </w:r>
            <w:r>
              <w:rPr>
                <w:rFonts w:hint="eastAsia" w:ascii="宋体" w:hAnsi="宋体" w:eastAsia="宋体" w:cs="宋体"/>
                <w:color w:val="auto"/>
                <w:sz w:val="21"/>
                <w:szCs w:val="21"/>
                <w:highlight w:val="none"/>
                <w:lang w:eastAsia="zh-CN"/>
              </w:rPr>
              <w:t>），</w:t>
            </w:r>
            <w:r>
              <w:rPr>
                <w:rFonts w:hint="eastAsia"/>
                <w:color w:val="auto"/>
                <w:sz w:val="21"/>
                <w:szCs w:val="21"/>
                <w:highlight w:val="none"/>
                <w:lang w:val="en-US" w:eastAsia="zh-CN"/>
              </w:rPr>
              <w:t>请根据采购需求制作软件功能模块演示视频（demo）。其中各部分内容演示的功能模块必须演示系统功能的执行方式和相应的业务流程。评标委员会</w:t>
            </w:r>
            <w:r>
              <w:rPr>
                <w:rFonts w:hint="eastAsia" w:hAnsi="宋体" w:cs="宋体"/>
                <w:color w:val="auto"/>
                <w:sz w:val="21"/>
                <w:szCs w:val="21"/>
                <w:highlight w:val="none"/>
              </w:rPr>
              <w:t>根据演示完成程度，完整性等情况进行综合打分，</w:t>
            </w:r>
            <w:r>
              <w:rPr>
                <w:rFonts w:hint="eastAsia" w:hAnsi="宋体" w:cs="宋体"/>
                <w:color w:val="auto"/>
                <w:sz w:val="21"/>
                <w:szCs w:val="21"/>
                <w:highlight w:val="none"/>
                <w:lang w:val="en-US" w:eastAsia="zh-CN"/>
              </w:rPr>
              <w:t>在系统演示视频中每成功演示一项技术功能的得1.25分，累计不超过20分，</w:t>
            </w:r>
            <w:r>
              <w:rPr>
                <w:rFonts w:hint="eastAsia" w:hAnsi="宋体" w:cs="宋体"/>
                <w:color w:val="auto"/>
                <w:sz w:val="21"/>
                <w:szCs w:val="21"/>
                <w:highlight w:val="none"/>
              </w:rPr>
              <w:t>每项演示缺项、漏项、不符合要求或者不演示的不得分，分数扣完为止。</w:t>
            </w:r>
          </w:p>
        </w:tc>
      </w:tr>
      <w:tr w14:paraId="03453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6F0B7541">
            <w:pPr>
              <w:spacing w:line="400" w:lineRule="exact"/>
              <w:rPr>
                <w:rFonts w:hint="eastAsia" w:hAnsi="宋体" w:cs="宋体"/>
                <w:color w:val="auto"/>
                <w:sz w:val="21"/>
                <w:szCs w:val="21"/>
                <w:highlight w:val="none"/>
              </w:rPr>
            </w:pPr>
          </w:p>
        </w:tc>
        <w:tc>
          <w:tcPr>
            <w:tcW w:w="894" w:type="dxa"/>
            <w:vMerge w:val="continue"/>
            <w:vAlign w:val="center"/>
          </w:tcPr>
          <w:p w14:paraId="77EA8E37">
            <w:pPr>
              <w:spacing w:line="400" w:lineRule="exact"/>
              <w:rPr>
                <w:rFonts w:hint="eastAsia" w:hAnsi="宋体" w:cs="宋体"/>
                <w:color w:val="auto"/>
                <w:sz w:val="21"/>
                <w:szCs w:val="21"/>
                <w:highlight w:val="none"/>
              </w:rPr>
            </w:pPr>
          </w:p>
        </w:tc>
        <w:tc>
          <w:tcPr>
            <w:tcW w:w="1250" w:type="dxa"/>
            <w:vMerge w:val="continue"/>
            <w:vAlign w:val="center"/>
          </w:tcPr>
          <w:p w14:paraId="3C020BE1">
            <w:pPr>
              <w:spacing w:line="400" w:lineRule="exact"/>
              <w:jc w:val="center"/>
              <w:rPr>
                <w:rFonts w:hint="eastAsia" w:hAnsi="宋体" w:cs="宋体"/>
                <w:color w:val="auto"/>
                <w:sz w:val="21"/>
                <w:szCs w:val="21"/>
                <w:highlight w:val="none"/>
              </w:rPr>
            </w:pPr>
          </w:p>
        </w:tc>
        <w:tc>
          <w:tcPr>
            <w:tcW w:w="7035" w:type="dxa"/>
            <w:vAlign w:val="center"/>
          </w:tcPr>
          <w:p w14:paraId="676C828F">
            <w:pPr>
              <w:kinsoku w:val="0"/>
              <w:overflowPunct w:val="0"/>
              <w:autoSpaceDE w:val="0"/>
              <w:autoSpaceDN w:val="0"/>
              <w:adjustRightInd w:val="0"/>
              <w:snapToGrid w:val="0"/>
              <w:spacing w:line="420" w:lineRule="exact"/>
              <w:jc w:val="left"/>
              <w:rPr>
                <w:rFonts w:hint="eastAsia" w:hAnsi="宋体" w:cs="宋体"/>
                <w:b/>
                <w:bCs/>
                <w:color w:val="auto"/>
                <w:sz w:val="21"/>
                <w:szCs w:val="21"/>
                <w:highlight w:val="none"/>
              </w:rPr>
            </w:pPr>
            <w:r>
              <w:rPr>
                <w:rFonts w:hint="eastAsia" w:hAnsi="宋体" w:cs="宋体"/>
                <w:b/>
                <w:bCs/>
                <w:color w:val="auto"/>
                <w:sz w:val="21"/>
                <w:szCs w:val="21"/>
                <w:highlight w:val="none"/>
                <w:lang w:val="en-US" w:eastAsia="zh-CN"/>
              </w:rPr>
              <w:t>4.</w:t>
            </w:r>
            <w:r>
              <w:rPr>
                <w:rFonts w:hint="eastAsia" w:hAnsi="宋体" w:cs="宋体"/>
                <w:b/>
                <w:bCs/>
                <w:color w:val="auto"/>
                <w:sz w:val="21"/>
                <w:szCs w:val="21"/>
                <w:highlight w:val="none"/>
              </w:rPr>
              <w:t>项目技术服务方案（满分</w:t>
            </w:r>
            <w:r>
              <w:rPr>
                <w:rFonts w:hint="eastAsia" w:hAnsi="宋体" w:cs="宋体"/>
                <w:b/>
                <w:bCs/>
                <w:color w:val="auto"/>
                <w:sz w:val="21"/>
                <w:szCs w:val="21"/>
                <w:highlight w:val="none"/>
                <w:lang w:val="en-US" w:eastAsia="zh-CN"/>
              </w:rPr>
              <w:t>16</w:t>
            </w:r>
            <w:r>
              <w:rPr>
                <w:rFonts w:hint="eastAsia" w:hAnsi="宋体" w:cs="宋体"/>
                <w:b/>
                <w:bCs/>
                <w:color w:val="auto"/>
                <w:sz w:val="21"/>
                <w:szCs w:val="21"/>
                <w:highlight w:val="none"/>
              </w:rPr>
              <w:t>分）</w:t>
            </w:r>
          </w:p>
          <w:p w14:paraId="4A349B4E">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此部分内容应充分结合招标文件中本项目采购需求的全部内容以及评标办法的评审要求进行综合分析后进行编制，此部分内容包含但不限于：①</w:t>
            </w:r>
            <w:r>
              <w:rPr>
                <w:rFonts w:hint="eastAsia" w:asciiTheme="minorEastAsia" w:hAnsiTheme="minorEastAsia" w:eastAsiaTheme="minorEastAsia" w:cstheme="minorEastAsia"/>
                <w:bCs/>
                <w:color w:val="auto"/>
                <w:sz w:val="21"/>
                <w:szCs w:val="21"/>
                <w:highlight w:val="none"/>
                <w:lang w:eastAsia="zh-CN"/>
              </w:rPr>
              <w:t>保山市加油站流量数据采集系统</w:t>
            </w:r>
            <w:r>
              <w:rPr>
                <w:rFonts w:hint="eastAsia" w:asciiTheme="minorEastAsia" w:hAnsiTheme="minorEastAsia" w:eastAsiaTheme="minorEastAsia" w:cstheme="minorEastAsia"/>
                <w:bCs/>
                <w:color w:val="auto"/>
                <w:sz w:val="21"/>
                <w:szCs w:val="21"/>
                <w:highlight w:val="none"/>
                <w:lang w:val="en-US" w:eastAsia="zh-CN"/>
              </w:rPr>
              <w:t>开发设计工作方案；②</w:t>
            </w:r>
            <w:r>
              <w:rPr>
                <w:rFonts w:hint="eastAsia" w:asciiTheme="minorEastAsia" w:hAnsiTheme="minorEastAsia" w:eastAsiaTheme="minorEastAsia" w:cstheme="minorEastAsia"/>
                <w:bCs/>
                <w:color w:val="auto"/>
                <w:sz w:val="21"/>
                <w:szCs w:val="21"/>
                <w:highlight w:val="none"/>
                <w:lang w:eastAsia="zh-CN"/>
              </w:rPr>
              <w:t>保山市加油站流量数据采集系统</w:t>
            </w:r>
            <w:r>
              <w:rPr>
                <w:rFonts w:hint="eastAsia" w:asciiTheme="minorEastAsia" w:hAnsiTheme="minorEastAsia" w:eastAsiaTheme="minorEastAsia" w:cstheme="minorEastAsia"/>
                <w:bCs/>
                <w:color w:val="auto"/>
                <w:sz w:val="21"/>
                <w:szCs w:val="21"/>
                <w:highlight w:val="none"/>
                <w:lang w:val="en-US" w:eastAsia="zh-CN"/>
              </w:rPr>
              <w:t>安装部署和</w:t>
            </w:r>
            <w:r>
              <w:rPr>
                <w:rFonts w:hint="eastAsia" w:hAnsi="宋体" w:cs="宋体"/>
                <w:color w:val="auto"/>
                <w:sz w:val="21"/>
                <w:szCs w:val="21"/>
                <w:highlight w:val="none"/>
                <w:lang w:val="en-US" w:eastAsia="zh-CN"/>
              </w:rPr>
              <w:t>到各民营加油站现场安装数据采集工具（非介入式）技术服务方案；③软件系统数据对接费</w:t>
            </w:r>
            <w:r>
              <w:rPr>
                <w:rFonts w:hint="eastAsia" w:hAnsi="宋体" w:cs="宋体"/>
                <w:color w:val="auto"/>
                <w:sz w:val="21"/>
                <w:szCs w:val="21"/>
                <w:highlight w:val="none"/>
              </w:rPr>
              <w:t>（含接口开发）</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系统集成和信息数据整合</w:t>
            </w:r>
            <w:r>
              <w:rPr>
                <w:rFonts w:hint="eastAsia" w:asciiTheme="minorEastAsia" w:hAnsiTheme="minorEastAsia" w:eastAsiaTheme="minorEastAsia" w:cstheme="minorEastAsia"/>
                <w:bCs/>
                <w:color w:val="auto"/>
                <w:sz w:val="21"/>
                <w:szCs w:val="21"/>
                <w:highlight w:val="none"/>
              </w:rPr>
              <w:t>技术服务方案；</w:t>
            </w:r>
            <w:r>
              <w:rPr>
                <w:rFonts w:hint="eastAsia" w:asciiTheme="minorEastAsia" w:hAnsiTheme="minorEastAsia" w:eastAsiaTheme="minorEastAsia" w:cstheme="minorEastAsia"/>
                <w:bCs/>
                <w:color w:val="auto"/>
                <w:sz w:val="21"/>
                <w:szCs w:val="21"/>
                <w:highlight w:val="none"/>
                <w:lang w:val="en-US" w:eastAsia="zh-CN"/>
              </w:rPr>
              <w:t>④软件系统安装部署完成后</w:t>
            </w:r>
            <w:r>
              <w:rPr>
                <w:rFonts w:hint="eastAsia" w:asciiTheme="minorEastAsia" w:hAnsiTheme="minorEastAsia" w:eastAsiaTheme="minorEastAsia" w:cstheme="minorEastAsia"/>
                <w:bCs/>
                <w:color w:val="auto"/>
                <w:sz w:val="21"/>
                <w:szCs w:val="21"/>
                <w:highlight w:val="none"/>
              </w:rPr>
              <w:t>测试、数据系统与试运行技术方案</w:t>
            </w:r>
            <w:r>
              <w:rPr>
                <w:rFonts w:hint="eastAsia" w:asciiTheme="minorEastAsia" w:hAnsiTheme="minorEastAsia" w:eastAsiaTheme="minorEastAsia" w:cstheme="minorEastAsia"/>
                <w:bCs/>
                <w:color w:val="auto"/>
                <w:sz w:val="21"/>
                <w:szCs w:val="21"/>
                <w:highlight w:val="none"/>
                <w:lang w:eastAsia="zh-CN"/>
              </w:rPr>
              <w:t>；</w:t>
            </w:r>
            <w:r>
              <w:rPr>
                <w:rFonts w:hint="eastAsia" w:hAnsi="宋体" w:cs="宋体"/>
                <w:color w:val="auto"/>
                <w:sz w:val="21"/>
                <w:szCs w:val="21"/>
                <w:highlight w:val="none"/>
                <w:lang w:val="en-US" w:eastAsia="zh-CN"/>
              </w:rPr>
              <w:t>⑤</w:t>
            </w:r>
            <w:r>
              <w:rPr>
                <w:rFonts w:hint="eastAsia" w:ascii="宋体" w:hAnsi="宋体" w:eastAsia="宋体" w:cs="宋体"/>
                <w:color w:val="auto"/>
                <w:sz w:val="21"/>
                <w:szCs w:val="21"/>
                <w:highlight w:val="none"/>
                <w:lang w:val="en-US" w:eastAsia="zh-CN"/>
              </w:rPr>
              <w:t>项目实施进度计划安排；</w:t>
            </w:r>
            <w:r>
              <w:rPr>
                <w:rFonts w:hint="eastAsia" w:asciiTheme="minorEastAsia" w:hAnsiTheme="minorEastAsia" w:eastAsiaTheme="minorEastAsia" w:cstheme="minorEastAsia"/>
                <w:bCs/>
                <w:color w:val="auto"/>
                <w:sz w:val="21"/>
                <w:szCs w:val="21"/>
                <w:highlight w:val="none"/>
                <w:lang w:val="en-US" w:eastAsia="zh-CN"/>
              </w:rPr>
              <w:t>⑥</w:t>
            </w:r>
            <w:r>
              <w:rPr>
                <w:rFonts w:hint="eastAsia" w:asciiTheme="minorEastAsia" w:hAnsiTheme="minorEastAsia" w:eastAsiaTheme="minorEastAsia" w:cstheme="minorEastAsia"/>
                <w:bCs/>
                <w:color w:val="auto"/>
                <w:sz w:val="21"/>
                <w:szCs w:val="21"/>
                <w:highlight w:val="none"/>
              </w:rPr>
              <w:t>项目检验验收</w:t>
            </w:r>
            <w:r>
              <w:rPr>
                <w:rFonts w:hint="eastAsia" w:asciiTheme="minorEastAsia" w:hAnsiTheme="minorEastAsia" w:eastAsiaTheme="minorEastAsia" w:cstheme="minorEastAsia"/>
                <w:bCs/>
                <w:color w:val="auto"/>
                <w:sz w:val="21"/>
                <w:szCs w:val="21"/>
                <w:highlight w:val="none"/>
                <w:lang w:val="en-US" w:eastAsia="zh-CN"/>
              </w:rPr>
              <w:t>和配合</w:t>
            </w:r>
            <w:r>
              <w:rPr>
                <w:rFonts w:hint="eastAsia" w:hAnsi="宋体" w:cs="宋体"/>
                <w:color w:val="auto"/>
                <w:sz w:val="21"/>
                <w:szCs w:val="21"/>
                <w:highlight w:val="none"/>
                <w:lang w:val="en-US" w:eastAsia="zh-CN"/>
              </w:rPr>
              <w:t>协助采购人完成后续软件系统评测服务工作技术方案，</w:t>
            </w:r>
            <w:r>
              <w:rPr>
                <w:rFonts w:hint="eastAsia" w:asciiTheme="minorEastAsia" w:hAnsiTheme="minorEastAsia" w:eastAsiaTheme="minorEastAsia" w:cstheme="minorEastAsia"/>
                <w:bCs/>
                <w:color w:val="auto"/>
                <w:sz w:val="21"/>
                <w:szCs w:val="21"/>
                <w:highlight w:val="none"/>
              </w:rPr>
              <w:t>及针对项目</w:t>
            </w:r>
            <w:r>
              <w:rPr>
                <w:rFonts w:hint="eastAsia" w:asciiTheme="minorEastAsia" w:hAnsiTheme="minorEastAsia" w:eastAsiaTheme="minorEastAsia" w:cstheme="minorEastAsia"/>
                <w:bCs/>
                <w:color w:val="auto"/>
                <w:sz w:val="21"/>
                <w:szCs w:val="21"/>
                <w:highlight w:val="none"/>
                <w:lang w:val="en-US" w:eastAsia="zh-CN"/>
              </w:rPr>
              <w:t>验收和第三方评测</w:t>
            </w:r>
            <w:r>
              <w:rPr>
                <w:rFonts w:hint="eastAsia" w:asciiTheme="minorEastAsia" w:hAnsiTheme="minorEastAsia" w:eastAsiaTheme="minorEastAsia" w:cstheme="minorEastAsia"/>
                <w:bCs/>
                <w:color w:val="auto"/>
                <w:sz w:val="21"/>
                <w:szCs w:val="21"/>
                <w:highlight w:val="none"/>
              </w:rPr>
              <w:t>提出相关问题的整改优化工作预案；</w:t>
            </w:r>
            <w:r>
              <w:rPr>
                <w:rFonts w:hint="eastAsia" w:asciiTheme="minorEastAsia" w:hAnsiTheme="minorEastAsia" w:eastAsiaTheme="minorEastAsia" w:cstheme="minorEastAsia"/>
                <w:bCs/>
                <w:color w:val="auto"/>
                <w:sz w:val="21"/>
                <w:szCs w:val="21"/>
                <w:highlight w:val="none"/>
                <w:lang w:val="en-US" w:eastAsia="zh-CN"/>
              </w:rPr>
              <w:t>⑦</w:t>
            </w:r>
            <w:r>
              <w:rPr>
                <w:rFonts w:hint="eastAsia" w:asciiTheme="minorEastAsia" w:hAnsiTheme="minorEastAsia" w:eastAsiaTheme="minorEastAsia" w:cstheme="minorEastAsia"/>
                <w:bCs/>
                <w:color w:val="auto"/>
                <w:sz w:val="21"/>
                <w:szCs w:val="21"/>
                <w:highlight w:val="none"/>
              </w:rPr>
              <w:t>相关数据信息和档案管理机制技术服务方案；</w:t>
            </w:r>
            <w:r>
              <w:rPr>
                <w:rFonts w:hint="eastAsia" w:asciiTheme="minorEastAsia" w:hAnsiTheme="minorEastAsia" w:eastAsiaTheme="minorEastAsia" w:cstheme="minorEastAsia"/>
                <w:bCs/>
                <w:color w:val="auto"/>
                <w:sz w:val="21"/>
                <w:szCs w:val="21"/>
                <w:highlight w:val="none"/>
                <w:lang w:val="en-US" w:eastAsia="zh-CN"/>
              </w:rPr>
              <w:t>⑧</w:t>
            </w:r>
            <w:r>
              <w:rPr>
                <w:rFonts w:hint="eastAsia" w:asciiTheme="minorEastAsia" w:hAnsiTheme="minorEastAsia" w:eastAsiaTheme="minorEastAsia" w:cstheme="minorEastAsia"/>
                <w:bCs/>
                <w:color w:val="auto"/>
                <w:sz w:val="21"/>
                <w:szCs w:val="21"/>
                <w:highlight w:val="none"/>
              </w:rPr>
              <w:t>项目风险控制方案和应急措施（至少包含：风险和应急事项预见、风险和应急处理程序、相应的处置预案）。</w:t>
            </w:r>
          </w:p>
          <w:p w14:paraId="5F6F04A6">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评标委员会对所有投标文件的“项目技术方案”中</w:t>
            </w:r>
            <w:r>
              <w:rPr>
                <w:rFonts w:hint="eastAsia" w:asciiTheme="minorEastAsia" w:hAnsiTheme="minorEastAsia" w:eastAsiaTheme="minorEastAsia" w:cstheme="minorEastAsia"/>
                <w:bCs/>
                <w:color w:val="auto"/>
                <w:sz w:val="21"/>
                <w:szCs w:val="21"/>
                <w:highlight w:val="none"/>
                <w:lang w:val="en-US" w:eastAsia="zh-CN"/>
              </w:rPr>
              <w:t>8</w:t>
            </w:r>
            <w:r>
              <w:rPr>
                <w:rFonts w:hint="eastAsia" w:asciiTheme="minorEastAsia" w:hAnsiTheme="minorEastAsia" w:eastAsiaTheme="minorEastAsia" w:cstheme="minorEastAsia"/>
                <w:bCs/>
                <w:color w:val="auto"/>
                <w:sz w:val="21"/>
                <w:szCs w:val="21"/>
                <w:highlight w:val="none"/>
              </w:rPr>
              <w:t>类单项内容进行详细的审查评价评分，本项总分不超过该</w:t>
            </w:r>
            <w:r>
              <w:rPr>
                <w:rFonts w:hint="eastAsia" w:asciiTheme="minorEastAsia" w:hAnsiTheme="minorEastAsia" w:eastAsiaTheme="minorEastAsia" w:cstheme="minorEastAsia"/>
                <w:bCs/>
                <w:color w:val="auto"/>
                <w:sz w:val="21"/>
                <w:szCs w:val="21"/>
                <w:highlight w:val="none"/>
                <w:lang w:val="en-US" w:eastAsia="zh-CN"/>
              </w:rPr>
              <w:t>16</w:t>
            </w:r>
            <w:r>
              <w:rPr>
                <w:rFonts w:hint="eastAsia" w:asciiTheme="minorEastAsia" w:hAnsiTheme="minorEastAsia" w:eastAsiaTheme="minorEastAsia" w:cstheme="minorEastAsia"/>
                <w:bCs/>
                <w:color w:val="auto"/>
                <w:sz w:val="21"/>
                <w:szCs w:val="21"/>
                <w:highlight w:val="none"/>
              </w:rPr>
              <w:t>分（每类单项内容最高</w:t>
            </w: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rPr>
              <w:t>分），具体评审细则如下：</w:t>
            </w:r>
          </w:p>
          <w:p w14:paraId="24544978">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（1）每一单项内容是基于采购需求和</w:t>
            </w:r>
            <w:r>
              <w:rPr>
                <w:rFonts w:hint="eastAsia" w:asciiTheme="minorEastAsia" w:hAnsiTheme="minorEastAsia" w:eastAsiaTheme="minorEastAsia" w:cstheme="minorEastAsia"/>
                <w:bCs/>
                <w:color w:val="auto"/>
                <w:sz w:val="21"/>
                <w:szCs w:val="21"/>
                <w:highlight w:val="none"/>
                <w:lang w:eastAsia="zh-CN"/>
              </w:rPr>
              <w:t>保山市加油站流量数据采集系统</w:t>
            </w:r>
            <w:r>
              <w:rPr>
                <w:rFonts w:hint="eastAsia" w:asciiTheme="minorEastAsia" w:hAnsiTheme="minorEastAsia" w:eastAsiaTheme="minorEastAsia" w:cstheme="minorEastAsia"/>
                <w:bCs/>
                <w:color w:val="auto"/>
                <w:sz w:val="21"/>
                <w:szCs w:val="21"/>
                <w:highlight w:val="none"/>
              </w:rPr>
              <w:t>建设服务的标准和要求进行编制，对应部分描述详细、齐全完整，内容描述科学合理</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具有切实可行的工作流程和技术实施细则</w:t>
            </w:r>
            <w:r>
              <w:rPr>
                <w:rFonts w:hint="eastAsia" w:asciiTheme="minorEastAsia" w:hAnsiTheme="minorEastAsia" w:eastAsiaTheme="minorEastAsia" w:cstheme="minorEastAsia"/>
                <w:bCs/>
                <w:color w:val="auto"/>
                <w:sz w:val="21"/>
                <w:szCs w:val="21"/>
                <w:highlight w:val="none"/>
              </w:rPr>
              <w:t>，对开展项目建设服务工作开</w:t>
            </w:r>
            <w:r>
              <w:rPr>
                <w:rFonts w:hint="eastAsia" w:asciiTheme="minorEastAsia" w:hAnsiTheme="minorEastAsia" w:eastAsiaTheme="minorEastAsia" w:cstheme="minorEastAsia"/>
                <w:bCs/>
                <w:color w:val="auto"/>
                <w:sz w:val="21"/>
                <w:szCs w:val="21"/>
                <w:highlight w:val="none"/>
                <w:lang w:eastAsia="zh-CN"/>
              </w:rPr>
              <w:t>展具</w:t>
            </w:r>
            <w:r>
              <w:rPr>
                <w:rFonts w:hint="eastAsia" w:asciiTheme="minorEastAsia" w:hAnsiTheme="minorEastAsia" w:eastAsiaTheme="minorEastAsia" w:cstheme="minorEastAsia"/>
                <w:bCs/>
                <w:color w:val="auto"/>
                <w:sz w:val="21"/>
                <w:szCs w:val="21"/>
                <w:highlight w:val="none"/>
              </w:rPr>
              <w:t>有指导意义的</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并能提供有效技术服务和相关支持的</w:t>
            </w:r>
            <w:r>
              <w:rPr>
                <w:rFonts w:hint="eastAsia" w:asciiTheme="minorEastAsia" w:hAnsiTheme="minorEastAsia" w:eastAsiaTheme="minorEastAsia" w:cstheme="minorEastAsia"/>
                <w:bCs/>
                <w:color w:val="auto"/>
                <w:sz w:val="21"/>
                <w:szCs w:val="21"/>
                <w:highlight w:val="none"/>
              </w:rPr>
              <w:t>得</w:t>
            </w:r>
            <w:r>
              <w:rPr>
                <w:rFonts w:hint="eastAsia" w:asciiTheme="minorEastAsia" w:hAnsiTheme="minorEastAsia" w:eastAsiaTheme="minorEastAsia" w:cstheme="minorEastAsia"/>
                <w:bCs/>
                <w:color w:val="auto"/>
                <w:sz w:val="21"/>
                <w:szCs w:val="21"/>
                <w:highlight w:val="none"/>
                <w:lang w:val="en-US" w:eastAsia="zh-CN"/>
              </w:rPr>
              <w:t>2</w:t>
            </w:r>
            <w:r>
              <w:rPr>
                <w:rFonts w:hint="eastAsia" w:asciiTheme="minorEastAsia" w:hAnsiTheme="minorEastAsia" w:eastAsiaTheme="minorEastAsia" w:cstheme="minorEastAsia"/>
                <w:bCs/>
                <w:color w:val="auto"/>
                <w:sz w:val="21"/>
                <w:szCs w:val="21"/>
                <w:highlight w:val="none"/>
              </w:rPr>
              <w:t>分。</w:t>
            </w:r>
          </w:p>
          <w:p w14:paraId="7425D0B9">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（2）每一单项内容是基于采购需求</w:t>
            </w:r>
            <w:r>
              <w:rPr>
                <w:rFonts w:hint="eastAsia" w:hAnsi="宋体" w:cs="宋体"/>
                <w:color w:val="auto"/>
                <w:sz w:val="21"/>
                <w:szCs w:val="21"/>
                <w:highlight w:val="none"/>
              </w:rPr>
              <w:t>和</w:t>
            </w:r>
            <w:r>
              <w:rPr>
                <w:rFonts w:hint="eastAsia" w:hAnsi="宋体" w:cs="宋体"/>
                <w:color w:val="auto"/>
                <w:sz w:val="21"/>
                <w:szCs w:val="21"/>
                <w:highlight w:val="none"/>
                <w:lang w:eastAsia="zh-CN"/>
              </w:rPr>
              <w:t>保山市加油站流量数据采集系统</w:t>
            </w:r>
            <w:r>
              <w:rPr>
                <w:rFonts w:hint="eastAsia" w:asciiTheme="minorEastAsia" w:hAnsiTheme="minorEastAsia" w:eastAsiaTheme="minorEastAsia" w:cstheme="minorEastAsia"/>
                <w:bCs/>
                <w:color w:val="auto"/>
                <w:sz w:val="21"/>
                <w:szCs w:val="21"/>
                <w:highlight w:val="none"/>
              </w:rPr>
              <w:t>建设服务的标准和要求进行编制，对应部分描述较为详细、完整，内容合理、</w:t>
            </w:r>
            <w:r>
              <w:rPr>
                <w:rFonts w:hint="eastAsia" w:asciiTheme="minorEastAsia" w:hAnsiTheme="minorEastAsia" w:eastAsiaTheme="minorEastAsia" w:cstheme="minorEastAsia"/>
                <w:bCs/>
                <w:color w:val="auto"/>
                <w:sz w:val="21"/>
                <w:szCs w:val="21"/>
                <w:highlight w:val="none"/>
                <w:lang w:val="en-US" w:eastAsia="zh-CN"/>
              </w:rPr>
              <w:t>提出的工作流程和技术实施细则较为明确并有一定的可操作性</w:t>
            </w:r>
            <w:r>
              <w:rPr>
                <w:rFonts w:hint="eastAsia" w:asciiTheme="minorEastAsia" w:hAnsiTheme="minorEastAsia" w:eastAsiaTheme="minorEastAsia" w:cstheme="minorEastAsia"/>
                <w:bCs/>
                <w:color w:val="auto"/>
                <w:sz w:val="21"/>
                <w:szCs w:val="21"/>
                <w:highlight w:val="none"/>
              </w:rPr>
              <w:t>，</w:t>
            </w:r>
            <w:r>
              <w:rPr>
                <w:rFonts w:hint="eastAsia" w:asciiTheme="minorEastAsia" w:hAnsiTheme="minorEastAsia" w:eastAsiaTheme="minorEastAsia" w:cstheme="minorEastAsia"/>
                <w:bCs/>
                <w:color w:val="auto"/>
                <w:sz w:val="21"/>
                <w:szCs w:val="21"/>
                <w:highlight w:val="none"/>
                <w:lang w:eastAsia="zh-CN"/>
              </w:rPr>
              <w:t>能指导</w:t>
            </w:r>
            <w:r>
              <w:rPr>
                <w:rFonts w:hint="eastAsia" w:asciiTheme="minorEastAsia" w:hAnsiTheme="minorEastAsia" w:eastAsiaTheme="minorEastAsia" w:cstheme="minorEastAsia"/>
                <w:bCs/>
                <w:color w:val="auto"/>
                <w:sz w:val="21"/>
                <w:szCs w:val="21"/>
                <w:highlight w:val="none"/>
              </w:rPr>
              <w:t>开展项目建设服务工作的得1.5分。</w:t>
            </w:r>
          </w:p>
          <w:p w14:paraId="54A78F40">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（3）每一单项内容是基于采购需求和</w:t>
            </w:r>
            <w:r>
              <w:rPr>
                <w:rFonts w:hint="eastAsia" w:asciiTheme="minorEastAsia" w:hAnsiTheme="minorEastAsia" w:eastAsiaTheme="minorEastAsia" w:cstheme="minorEastAsia"/>
                <w:bCs/>
                <w:color w:val="auto"/>
                <w:sz w:val="21"/>
                <w:szCs w:val="21"/>
                <w:highlight w:val="none"/>
                <w:lang w:eastAsia="zh-CN"/>
              </w:rPr>
              <w:t>保山市加油站流量数据采集系统</w:t>
            </w:r>
            <w:r>
              <w:rPr>
                <w:rFonts w:hint="eastAsia" w:asciiTheme="minorEastAsia" w:hAnsiTheme="minorEastAsia" w:eastAsiaTheme="minorEastAsia" w:cstheme="minorEastAsia"/>
                <w:bCs/>
                <w:color w:val="auto"/>
                <w:sz w:val="21"/>
                <w:szCs w:val="21"/>
                <w:highlight w:val="none"/>
              </w:rPr>
              <w:t>建设服务的标准和要求进行编制，对应部分描述较为简单、基本完整，内容基本合理、</w:t>
            </w:r>
            <w:r>
              <w:rPr>
                <w:rFonts w:hint="eastAsia" w:asciiTheme="minorEastAsia" w:hAnsiTheme="minorEastAsia" w:eastAsiaTheme="minorEastAsia" w:cstheme="minorEastAsia"/>
                <w:bCs/>
                <w:color w:val="auto"/>
                <w:sz w:val="21"/>
                <w:szCs w:val="21"/>
                <w:highlight w:val="none"/>
                <w:lang w:val="en-US" w:eastAsia="zh-CN"/>
              </w:rPr>
              <w:t>提出的工作流程和技术实施细则内容存在部分表述不具体的情况</w:t>
            </w:r>
            <w:r>
              <w:rPr>
                <w:rFonts w:hint="eastAsia" w:asciiTheme="minorEastAsia" w:hAnsiTheme="minorEastAsia" w:eastAsiaTheme="minorEastAsia" w:cstheme="minorEastAsia"/>
                <w:bCs/>
                <w:color w:val="auto"/>
                <w:sz w:val="21"/>
                <w:szCs w:val="21"/>
                <w:highlight w:val="none"/>
              </w:rPr>
              <w:t>，对开展项目建设服务工作的指导</w:t>
            </w:r>
            <w:r>
              <w:rPr>
                <w:rFonts w:hint="eastAsia" w:asciiTheme="minorEastAsia" w:hAnsiTheme="minorEastAsia" w:eastAsiaTheme="minorEastAsia" w:cstheme="minorEastAsia"/>
                <w:bCs/>
                <w:color w:val="auto"/>
                <w:sz w:val="21"/>
                <w:szCs w:val="21"/>
                <w:highlight w:val="none"/>
                <w:lang w:eastAsia="zh-CN"/>
              </w:rPr>
              <w:t>性</w:t>
            </w:r>
            <w:r>
              <w:rPr>
                <w:rFonts w:hint="eastAsia" w:asciiTheme="minorEastAsia" w:hAnsiTheme="minorEastAsia" w:eastAsiaTheme="minorEastAsia" w:cstheme="minorEastAsia"/>
                <w:bCs/>
                <w:color w:val="auto"/>
                <w:sz w:val="21"/>
                <w:szCs w:val="21"/>
                <w:highlight w:val="none"/>
              </w:rPr>
              <w:t>较差的得1分。</w:t>
            </w:r>
          </w:p>
          <w:p w14:paraId="626E5362">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（4）每一单项内容基本符合采购需求和</w:t>
            </w:r>
            <w:r>
              <w:rPr>
                <w:rFonts w:hint="eastAsia" w:asciiTheme="minorEastAsia" w:hAnsiTheme="minorEastAsia" w:eastAsiaTheme="minorEastAsia" w:cstheme="minorEastAsia"/>
                <w:bCs/>
                <w:color w:val="auto"/>
                <w:sz w:val="21"/>
                <w:szCs w:val="21"/>
                <w:highlight w:val="none"/>
                <w:lang w:eastAsia="zh-CN"/>
              </w:rPr>
              <w:t>保山市加油站流量数据采集系统</w:t>
            </w:r>
            <w:r>
              <w:rPr>
                <w:rFonts w:hint="eastAsia" w:asciiTheme="minorEastAsia" w:hAnsiTheme="minorEastAsia" w:eastAsiaTheme="minorEastAsia" w:cstheme="minorEastAsia"/>
                <w:bCs/>
                <w:color w:val="auto"/>
                <w:sz w:val="21"/>
                <w:szCs w:val="21"/>
                <w:highlight w:val="none"/>
              </w:rPr>
              <w:t>建设服务的标准和要求，对应部分描述简单，且</w:t>
            </w:r>
            <w:r>
              <w:rPr>
                <w:rFonts w:hint="eastAsia" w:asciiTheme="minorEastAsia" w:hAnsiTheme="minorEastAsia" w:eastAsiaTheme="minorEastAsia" w:cstheme="minorEastAsia"/>
                <w:bCs/>
                <w:color w:val="auto"/>
                <w:sz w:val="21"/>
                <w:szCs w:val="21"/>
                <w:highlight w:val="none"/>
                <w:lang w:eastAsia="zh-CN"/>
              </w:rPr>
              <w:t>技术方案</w:t>
            </w:r>
            <w:r>
              <w:rPr>
                <w:rFonts w:hint="eastAsia" w:asciiTheme="minorEastAsia" w:hAnsiTheme="minorEastAsia" w:eastAsiaTheme="minorEastAsia" w:cstheme="minorEastAsia"/>
                <w:bCs/>
                <w:color w:val="auto"/>
                <w:sz w:val="21"/>
                <w:szCs w:val="21"/>
                <w:highlight w:val="none"/>
              </w:rPr>
              <w:t>存在瑕疵</w:t>
            </w:r>
            <w:r>
              <w:rPr>
                <w:rFonts w:hint="eastAsia" w:asciiTheme="minorEastAsia" w:hAnsiTheme="minorEastAsia" w:eastAsiaTheme="minorEastAsia" w:cstheme="minorEastAsia"/>
                <w:bCs/>
                <w:color w:val="auto"/>
                <w:sz w:val="21"/>
                <w:szCs w:val="21"/>
                <w:highlight w:val="none"/>
                <w:lang w:eastAsia="zh-CN"/>
              </w:rPr>
              <w:t>或相关内容存在明显表述错误</w:t>
            </w:r>
            <w:r>
              <w:rPr>
                <w:rFonts w:hint="eastAsia" w:asciiTheme="minorEastAsia" w:hAnsiTheme="minorEastAsia" w:eastAsiaTheme="minorEastAsia" w:cstheme="minorEastAsia"/>
                <w:bCs/>
                <w:color w:val="auto"/>
                <w:sz w:val="21"/>
                <w:szCs w:val="21"/>
                <w:highlight w:val="none"/>
              </w:rPr>
              <w:t>或存在前后逻辑错误</w:t>
            </w:r>
            <w:r>
              <w:rPr>
                <w:rFonts w:hint="eastAsia" w:asciiTheme="minorEastAsia" w:hAnsiTheme="minorEastAsia" w:eastAsiaTheme="minorEastAsia" w:cstheme="minorEastAsia"/>
                <w:bCs/>
                <w:color w:val="auto"/>
                <w:sz w:val="21"/>
                <w:szCs w:val="21"/>
                <w:highlight w:val="none"/>
                <w:lang w:eastAsia="zh-CN"/>
              </w:rPr>
              <w:t>的</w:t>
            </w:r>
            <w:r>
              <w:rPr>
                <w:rFonts w:hint="eastAsia" w:asciiTheme="minorEastAsia" w:hAnsiTheme="minorEastAsia" w:eastAsiaTheme="minorEastAsia" w:cstheme="minorEastAsia"/>
                <w:bCs/>
                <w:color w:val="auto"/>
                <w:sz w:val="21"/>
                <w:szCs w:val="21"/>
                <w:highlight w:val="none"/>
              </w:rPr>
              <w:t>得0.5分。</w:t>
            </w:r>
          </w:p>
          <w:p w14:paraId="7E961DEB">
            <w:pPr>
              <w:spacing w:line="420" w:lineRule="exact"/>
              <w:rPr>
                <w:color w:val="auto"/>
                <w:highlight w:val="none"/>
              </w:rPr>
            </w:pPr>
            <w:r>
              <w:rPr>
                <w:rFonts w:hint="eastAsia" w:asciiTheme="minorEastAsia" w:hAnsiTheme="minorEastAsia" w:eastAsiaTheme="minorEastAsia" w:cstheme="minorEastAsia"/>
                <w:bCs/>
                <w:color w:val="auto"/>
                <w:sz w:val="21"/>
                <w:szCs w:val="21"/>
                <w:highlight w:val="none"/>
              </w:rPr>
              <w:t>（5）“项目技术方案”中单项内容的描述与本项目对应的内容无关或未提供的得0分。</w:t>
            </w:r>
          </w:p>
        </w:tc>
      </w:tr>
      <w:tr w14:paraId="24A49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41" w:type="dxa"/>
            <w:vMerge w:val="continue"/>
            <w:vAlign w:val="center"/>
          </w:tcPr>
          <w:p w14:paraId="5B7FA3EC">
            <w:pPr>
              <w:spacing w:line="400" w:lineRule="exact"/>
              <w:rPr>
                <w:rFonts w:hint="eastAsia" w:hAnsi="宋体" w:cs="宋体"/>
                <w:color w:val="auto"/>
                <w:sz w:val="21"/>
                <w:szCs w:val="21"/>
                <w:highlight w:val="none"/>
              </w:rPr>
            </w:pPr>
          </w:p>
        </w:tc>
        <w:tc>
          <w:tcPr>
            <w:tcW w:w="894" w:type="dxa"/>
            <w:vMerge w:val="continue"/>
            <w:vAlign w:val="center"/>
          </w:tcPr>
          <w:p w14:paraId="2AB00087">
            <w:pPr>
              <w:spacing w:line="400" w:lineRule="exact"/>
              <w:rPr>
                <w:rFonts w:hint="eastAsia" w:hAnsi="宋体" w:cs="宋体"/>
                <w:color w:val="auto"/>
                <w:sz w:val="21"/>
                <w:szCs w:val="21"/>
                <w:highlight w:val="none"/>
              </w:rPr>
            </w:pPr>
          </w:p>
        </w:tc>
        <w:tc>
          <w:tcPr>
            <w:tcW w:w="1250" w:type="dxa"/>
            <w:vMerge w:val="continue"/>
            <w:vAlign w:val="center"/>
          </w:tcPr>
          <w:p w14:paraId="3A73E8E0">
            <w:pPr>
              <w:spacing w:line="400" w:lineRule="exact"/>
              <w:jc w:val="center"/>
              <w:rPr>
                <w:rFonts w:hint="eastAsia" w:hAnsi="宋体" w:cs="宋体"/>
                <w:color w:val="auto"/>
                <w:sz w:val="21"/>
                <w:szCs w:val="21"/>
                <w:highlight w:val="none"/>
              </w:rPr>
            </w:pPr>
          </w:p>
        </w:tc>
        <w:tc>
          <w:tcPr>
            <w:tcW w:w="7035" w:type="dxa"/>
            <w:vAlign w:val="center"/>
          </w:tcPr>
          <w:p w14:paraId="3665848C">
            <w:pPr>
              <w:kinsoku w:val="0"/>
              <w:overflowPunct w:val="0"/>
              <w:autoSpaceDE w:val="0"/>
              <w:autoSpaceDN w:val="0"/>
              <w:adjustRightInd w:val="0"/>
              <w:snapToGrid w:val="0"/>
              <w:spacing w:line="420" w:lineRule="exact"/>
              <w:jc w:val="left"/>
              <w:rPr>
                <w:rFonts w:hint="eastAsia" w:hAnsi="宋体" w:cs="宋体"/>
                <w:b/>
                <w:bCs/>
                <w:color w:val="auto"/>
                <w:sz w:val="21"/>
                <w:szCs w:val="21"/>
                <w:highlight w:val="none"/>
              </w:rPr>
            </w:pPr>
            <w:r>
              <w:rPr>
                <w:rFonts w:hint="eastAsia" w:hAnsi="宋体" w:cs="宋体"/>
                <w:b/>
                <w:bCs/>
                <w:color w:val="auto"/>
                <w:sz w:val="21"/>
                <w:szCs w:val="21"/>
                <w:highlight w:val="none"/>
                <w:lang w:val="en-US" w:eastAsia="zh-CN"/>
              </w:rPr>
              <w:t>5.</w:t>
            </w:r>
            <w:r>
              <w:rPr>
                <w:rFonts w:hint="eastAsia" w:hAnsi="宋体" w:cs="宋体"/>
                <w:b/>
                <w:bCs/>
                <w:color w:val="auto"/>
                <w:sz w:val="21"/>
                <w:szCs w:val="21"/>
                <w:highlight w:val="none"/>
              </w:rPr>
              <w:t>项目技术培训服务方案（满分3分）</w:t>
            </w:r>
          </w:p>
          <w:p w14:paraId="6E9BF4FF">
            <w:pPr>
              <w:spacing w:line="400" w:lineRule="exact"/>
              <w:rPr>
                <w:rFonts w:hint="eastAsia" w:asciiTheme="minorEastAsia" w:hAnsiTheme="minorEastAsia" w:eastAsiaTheme="minorEastAsia" w:cstheme="minorEastAsia"/>
                <w:bCs/>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项目技术培训内容和培训课程设置；②项目技术培训计划安排（明确具体</w:t>
            </w:r>
            <w:r>
              <w:rPr>
                <w:rFonts w:hint="eastAsia" w:hAnsi="宋体" w:cs="宋体"/>
                <w:color w:val="auto"/>
                <w:sz w:val="21"/>
                <w:szCs w:val="21"/>
                <w:highlight w:val="none"/>
                <w:lang w:val="en-US" w:eastAsia="zh-CN"/>
              </w:rPr>
              <w:t>培训模式、</w:t>
            </w:r>
            <w:r>
              <w:rPr>
                <w:rFonts w:hint="eastAsia" w:hAnsi="宋体" w:cs="宋体"/>
                <w:color w:val="auto"/>
                <w:sz w:val="21"/>
                <w:szCs w:val="21"/>
                <w:highlight w:val="none"/>
              </w:rPr>
              <w:t>培训工作时间安排和具体各项课程安排等）。</w:t>
            </w:r>
          </w:p>
          <w:p w14:paraId="5D4CAF82">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评标委员会对所有投标文件的“项目技术培训服务方案”中2类单项内容进行详细的审查评价评分，本项总分不超过该3分（每类单项内容最高1.5分），具体评审细则如下：</w:t>
            </w:r>
          </w:p>
          <w:p w14:paraId="3469CE6D">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（1）每一单项内容是基于采购需求和开展技术培训服务的标准和要求进行编制，对应部分描述详细、齐全完整，</w:t>
            </w:r>
            <w:r>
              <w:rPr>
                <w:rFonts w:hint="eastAsia" w:asciiTheme="minorEastAsia" w:hAnsiTheme="minorEastAsia" w:eastAsiaTheme="minorEastAsia" w:cstheme="minorEastAsia"/>
                <w:bCs/>
                <w:color w:val="auto"/>
                <w:sz w:val="21"/>
                <w:szCs w:val="21"/>
                <w:highlight w:val="none"/>
                <w:lang w:val="en-US" w:eastAsia="zh-CN"/>
              </w:rPr>
              <w:t>各项</w:t>
            </w:r>
            <w:r>
              <w:rPr>
                <w:rFonts w:hint="eastAsia" w:asciiTheme="minorEastAsia" w:hAnsiTheme="minorEastAsia" w:eastAsiaTheme="minorEastAsia" w:cstheme="minorEastAsia"/>
                <w:bCs/>
                <w:color w:val="auto"/>
                <w:sz w:val="21"/>
                <w:szCs w:val="21"/>
                <w:highlight w:val="none"/>
              </w:rPr>
              <w:t>内容描述科学合理，对开展技术培训服务工作开展有指导意义的得1.5分。</w:t>
            </w:r>
          </w:p>
          <w:p w14:paraId="1DC85A29">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（2）每一单项内容是基于采购需求和开展技术培训服务的标准和要求进行编制，对应部分描述较为详细、完整</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val="en-US" w:eastAsia="zh-CN"/>
              </w:rPr>
              <w:t>各项</w:t>
            </w:r>
            <w:r>
              <w:rPr>
                <w:rFonts w:hint="eastAsia" w:asciiTheme="minorEastAsia" w:hAnsiTheme="minorEastAsia" w:eastAsiaTheme="minorEastAsia" w:cstheme="minorEastAsia"/>
                <w:bCs/>
                <w:color w:val="auto"/>
                <w:sz w:val="21"/>
                <w:szCs w:val="21"/>
                <w:highlight w:val="none"/>
              </w:rPr>
              <w:t>内容合理，</w:t>
            </w:r>
            <w:r>
              <w:rPr>
                <w:rFonts w:hint="eastAsia" w:asciiTheme="minorEastAsia" w:hAnsiTheme="minorEastAsia" w:eastAsiaTheme="minorEastAsia" w:cstheme="minorEastAsia"/>
                <w:bCs/>
                <w:color w:val="auto"/>
                <w:sz w:val="21"/>
                <w:szCs w:val="21"/>
                <w:highlight w:val="none"/>
                <w:lang w:val="en-US" w:eastAsia="zh-CN"/>
              </w:rPr>
              <w:t>能指导</w:t>
            </w:r>
            <w:r>
              <w:rPr>
                <w:rFonts w:hint="eastAsia" w:asciiTheme="minorEastAsia" w:hAnsiTheme="minorEastAsia" w:eastAsiaTheme="minorEastAsia" w:cstheme="minorEastAsia"/>
                <w:bCs/>
                <w:color w:val="auto"/>
                <w:sz w:val="21"/>
                <w:szCs w:val="21"/>
                <w:highlight w:val="none"/>
              </w:rPr>
              <w:t>开展技术培训服务工作的得1分。</w:t>
            </w:r>
          </w:p>
          <w:p w14:paraId="5DA1569F">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（3）每一单项内容基本符合采购需求和开展技术培训服务的标准和要求，对应部分描述简单，且存在瑕疵或存在前后逻辑错误，对应的内容存在缺陷、</w:t>
            </w:r>
            <w:r>
              <w:rPr>
                <w:rFonts w:hint="eastAsia" w:asciiTheme="minorEastAsia" w:hAnsiTheme="minorEastAsia" w:eastAsiaTheme="minorEastAsia" w:cstheme="minorEastAsia"/>
                <w:bCs/>
                <w:color w:val="auto"/>
                <w:sz w:val="21"/>
                <w:szCs w:val="21"/>
                <w:highlight w:val="none"/>
                <w:lang w:val="en-US" w:eastAsia="zh-CN"/>
              </w:rPr>
              <w:t>执行情况</w:t>
            </w:r>
            <w:r>
              <w:rPr>
                <w:rFonts w:hint="eastAsia" w:asciiTheme="minorEastAsia" w:hAnsiTheme="minorEastAsia" w:eastAsiaTheme="minorEastAsia" w:cstheme="minorEastAsia"/>
                <w:bCs/>
                <w:color w:val="auto"/>
                <w:sz w:val="21"/>
                <w:szCs w:val="21"/>
                <w:highlight w:val="none"/>
              </w:rPr>
              <w:t>差的得0.5分。</w:t>
            </w:r>
          </w:p>
          <w:p w14:paraId="6EB5D932">
            <w:pPr>
              <w:spacing w:line="400" w:lineRule="exact"/>
              <w:rPr>
                <w:color w:val="auto"/>
                <w:highlight w:val="none"/>
              </w:rPr>
            </w:pPr>
            <w:r>
              <w:rPr>
                <w:rFonts w:hint="eastAsia" w:asciiTheme="minorEastAsia" w:hAnsiTheme="minorEastAsia" w:eastAsiaTheme="minorEastAsia" w:cstheme="minorEastAsia"/>
                <w:bCs/>
                <w:color w:val="auto"/>
                <w:sz w:val="21"/>
                <w:szCs w:val="21"/>
                <w:highlight w:val="none"/>
              </w:rPr>
              <w:t>（4）“项目技术培训服务方案”中单项内容的描述与本项目对应的内容无关或未提供的得0分。</w:t>
            </w:r>
          </w:p>
        </w:tc>
      </w:tr>
      <w:tr w14:paraId="15DB7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6A841293">
            <w:pPr>
              <w:spacing w:line="400" w:lineRule="exact"/>
              <w:rPr>
                <w:rFonts w:hint="eastAsia" w:hAnsi="宋体" w:cs="宋体"/>
                <w:color w:val="auto"/>
                <w:sz w:val="21"/>
                <w:szCs w:val="21"/>
                <w:highlight w:val="none"/>
              </w:rPr>
            </w:pPr>
          </w:p>
        </w:tc>
        <w:tc>
          <w:tcPr>
            <w:tcW w:w="894" w:type="dxa"/>
            <w:vMerge w:val="continue"/>
            <w:vAlign w:val="center"/>
          </w:tcPr>
          <w:p w14:paraId="12838675">
            <w:pPr>
              <w:spacing w:line="400" w:lineRule="exact"/>
              <w:rPr>
                <w:rFonts w:hint="eastAsia" w:hAnsi="宋体" w:cs="宋体"/>
                <w:color w:val="auto"/>
                <w:sz w:val="21"/>
                <w:szCs w:val="21"/>
                <w:highlight w:val="none"/>
              </w:rPr>
            </w:pPr>
          </w:p>
        </w:tc>
        <w:tc>
          <w:tcPr>
            <w:tcW w:w="1250" w:type="dxa"/>
            <w:vMerge w:val="continue"/>
            <w:vAlign w:val="center"/>
          </w:tcPr>
          <w:p w14:paraId="4E8CAFD3">
            <w:pPr>
              <w:spacing w:line="400" w:lineRule="exact"/>
              <w:jc w:val="center"/>
              <w:rPr>
                <w:rFonts w:hint="eastAsia" w:hAnsi="宋体" w:cs="宋体"/>
                <w:color w:val="auto"/>
                <w:sz w:val="21"/>
                <w:szCs w:val="21"/>
                <w:highlight w:val="none"/>
              </w:rPr>
            </w:pPr>
          </w:p>
        </w:tc>
        <w:tc>
          <w:tcPr>
            <w:tcW w:w="7035" w:type="dxa"/>
            <w:vAlign w:val="center"/>
          </w:tcPr>
          <w:p w14:paraId="43C9E4AC">
            <w:pPr>
              <w:keepNext/>
              <w:autoSpaceDE w:val="0"/>
              <w:autoSpaceDN w:val="0"/>
              <w:adjustRightInd w:val="0"/>
              <w:snapToGrid w:val="0"/>
              <w:spacing w:line="420" w:lineRule="exact"/>
              <w:jc w:val="left"/>
              <w:rPr>
                <w:rFonts w:hint="eastAsia" w:hAnsi="宋体" w:cs="宋体"/>
                <w:b/>
                <w:bCs/>
                <w:color w:val="auto"/>
                <w:sz w:val="21"/>
                <w:szCs w:val="21"/>
                <w:highlight w:val="none"/>
              </w:rPr>
            </w:pPr>
            <w:r>
              <w:rPr>
                <w:rFonts w:hint="eastAsia" w:hAnsi="宋体" w:cs="宋体"/>
                <w:b/>
                <w:bCs/>
                <w:color w:val="auto"/>
                <w:sz w:val="21"/>
                <w:szCs w:val="21"/>
                <w:highlight w:val="none"/>
                <w:lang w:val="en-US" w:eastAsia="zh-CN"/>
              </w:rPr>
              <w:t>6.</w:t>
            </w:r>
            <w:r>
              <w:rPr>
                <w:rFonts w:hint="eastAsia" w:hAnsi="宋体" w:cs="宋体"/>
                <w:b/>
                <w:bCs/>
                <w:color w:val="auto"/>
                <w:sz w:val="21"/>
                <w:szCs w:val="21"/>
                <w:highlight w:val="none"/>
                <w:lang w:eastAsia="zh-CN"/>
              </w:rPr>
              <w:t>售后运维服务</w:t>
            </w:r>
            <w:r>
              <w:rPr>
                <w:rFonts w:hint="eastAsia" w:hAnsi="宋体" w:cs="宋体"/>
                <w:b/>
                <w:bCs/>
                <w:color w:val="auto"/>
                <w:sz w:val="21"/>
                <w:szCs w:val="21"/>
                <w:highlight w:val="none"/>
              </w:rPr>
              <w:t>能力介绍及售后运维服务方案（满分10分）</w:t>
            </w:r>
          </w:p>
          <w:p w14:paraId="2CE523ED">
            <w:pPr>
              <w:spacing w:line="400" w:lineRule="exact"/>
              <w:rPr>
                <w:rFonts w:hint="eastAsia" w:asciiTheme="minorEastAsia" w:hAnsiTheme="minorEastAsia" w:eastAsiaTheme="minorEastAsia" w:cstheme="minorEastAsia"/>
                <w:bCs/>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体系介绍和售后运维服务期限承诺（提供</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机构设置情况介绍和证明材料、针对本项目的售后运维服务期限承诺）；②售后运维技术团队设置情况（含售后管理技术人员数量、</w:t>
            </w:r>
            <w:r>
              <w:rPr>
                <w:rFonts w:hint="eastAsia" w:hAnsi="宋体" w:cs="宋体"/>
                <w:color w:val="auto"/>
                <w:sz w:val="21"/>
                <w:szCs w:val="21"/>
                <w:highlight w:val="none"/>
                <w:lang w:val="en-US" w:eastAsia="zh-CN"/>
              </w:rPr>
              <w:t>现场运维技术人员数量、</w:t>
            </w:r>
            <w:r>
              <w:rPr>
                <w:rFonts w:hint="eastAsia" w:hAnsi="宋体" w:cs="宋体"/>
                <w:color w:val="auto"/>
                <w:sz w:val="21"/>
                <w:szCs w:val="21"/>
                <w:highlight w:val="none"/>
              </w:rPr>
              <w:t>技术分工和岗位情况介绍）；③</w:t>
            </w:r>
            <w:r>
              <w:rPr>
                <w:rFonts w:hint="eastAsia" w:hAnsi="宋体" w:cs="宋体"/>
                <w:color w:val="auto"/>
                <w:sz w:val="21"/>
                <w:szCs w:val="21"/>
                <w:highlight w:val="none"/>
                <w:lang w:eastAsia="zh-CN"/>
              </w:rPr>
              <w:t>现场运维</w:t>
            </w:r>
            <w:r>
              <w:rPr>
                <w:rFonts w:hint="eastAsia" w:hAnsi="宋体" w:cs="宋体"/>
                <w:color w:val="auto"/>
                <w:sz w:val="21"/>
                <w:szCs w:val="21"/>
                <w:highlight w:val="none"/>
              </w:rPr>
              <w:t>和日常巡检服务技术服务方案；④针对可能发</w:t>
            </w:r>
            <w:r>
              <w:rPr>
                <w:rFonts w:hint="eastAsia" w:hAnsi="宋体" w:cs="宋体"/>
                <w:color w:val="auto"/>
                <w:sz w:val="21"/>
                <w:szCs w:val="21"/>
                <w:highlight w:val="none"/>
                <w:lang w:eastAsia="zh-CN"/>
              </w:rPr>
              <w:t>生的</w:t>
            </w:r>
            <w:r>
              <w:rPr>
                <w:rFonts w:hint="eastAsia" w:hAnsi="宋体" w:cs="宋体"/>
                <w:color w:val="auto"/>
                <w:sz w:val="21"/>
                <w:szCs w:val="21"/>
                <w:highlight w:val="none"/>
              </w:rPr>
              <w:t>各类</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问题提出详细的</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工作机制和处理办法；⑤</w:t>
            </w:r>
            <w:r>
              <w:rPr>
                <w:rFonts w:hint="eastAsia" w:hAnsi="宋体" w:cs="宋体"/>
                <w:color w:val="auto"/>
                <w:sz w:val="21"/>
                <w:szCs w:val="21"/>
                <w:highlight w:val="none"/>
                <w:lang w:eastAsia="zh-CN"/>
              </w:rPr>
              <w:t>保山市加油站流量数据采集系统</w:t>
            </w:r>
            <w:r>
              <w:rPr>
                <w:rFonts w:hint="eastAsia" w:hAnsi="宋体" w:cs="宋体"/>
                <w:color w:val="auto"/>
                <w:sz w:val="21"/>
                <w:szCs w:val="21"/>
                <w:highlight w:val="none"/>
              </w:rPr>
              <w:t>出现或者因外部原因形成的各类漏洞、BUG进行系统修复、整改</w:t>
            </w:r>
            <w:r>
              <w:rPr>
                <w:rFonts w:hint="eastAsia" w:hAnsi="宋体" w:cs="宋体"/>
                <w:color w:val="auto"/>
                <w:sz w:val="21"/>
                <w:szCs w:val="21"/>
                <w:highlight w:val="none"/>
                <w:lang w:val="en-US" w:eastAsia="zh-CN"/>
              </w:rPr>
              <w:t>和后续服务工作</w:t>
            </w:r>
            <w:r>
              <w:rPr>
                <w:rFonts w:hint="eastAsia" w:hAnsi="宋体" w:cs="宋体"/>
                <w:color w:val="auto"/>
                <w:sz w:val="21"/>
                <w:szCs w:val="21"/>
                <w:highlight w:val="none"/>
              </w:rPr>
              <w:t>技术方案。</w:t>
            </w:r>
          </w:p>
          <w:p w14:paraId="7F94C399">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评标委员会对所有投标文件的“</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能力介绍及售后运维服务方案”中5类单项内容进行详细的审查评价评分，本项总分不超过该10分（每类单项内容最高2分），每类单项内容具体评审细则如下：</w:t>
            </w:r>
          </w:p>
          <w:p w14:paraId="1597F273">
            <w:pPr>
              <w:spacing w:line="400" w:lineRule="exac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（1）每一单项内容是基于采购需求和项目</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要求进行编制，对应部分描述详细、齐全完整，投标人具有完善的</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体系、</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便捷性优，</w:t>
            </w:r>
            <w:r>
              <w:rPr>
                <w:rFonts w:hint="eastAsia" w:hAnsi="宋体" w:cs="宋体" w:eastAsiaTheme="minorEastAsia"/>
                <w:color w:val="auto"/>
                <w:sz w:val="21"/>
                <w:szCs w:val="21"/>
                <w:highlight w:val="none"/>
                <w:lang w:eastAsia="zh-CN"/>
              </w:rPr>
              <w:t>现场运维</w:t>
            </w:r>
            <w:r>
              <w:rPr>
                <w:rFonts w:hint="eastAsia" w:hAnsi="宋体" w:cs="宋体"/>
                <w:color w:val="auto"/>
                <w:sz w:val="21"/>
                <w:szCs w:val="21"/>
                <w:highlight w:val="none"/>
              </w:rPr>
              <w:t>服务技术支持方案工作任务计划和责任分工明确、运维服务保障能力强，</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方案针对可能发</w:t>
            </w:r>
            <w:r>
              <w:rPr>
                <w:rFonts w:hint="eastAsia" w:asciiTheme="minorEastAsia" w:hAnsiTheme="minorEastAsia" w:eastAsiaTheme="minorEastAsia" w:cstheme="minorEastAsia"/>
                <w:bCs/>
                <w:color w:val="auto"/>
                <w:sz w:val="21"/>
                <w:szCs w:val="21"/>
                <w:highlight w:val="none"/>
                <w:lang w:eastAsia="zh-CN"/>
              </w:rPr>
              <w:t>生的</w:t>
            </w:r>
            <w:r>
              <w:rPr>
                <w:rFonts w:hint="eastAsia" w:asciiTheme="minorEastAsia" w:hAnsiTheme="minorEastAsia" w:eastAsiaTheme="minorEastAsia" w:cstheme="minorEastAsia"/>
                <w:bCs/>
                <w:color w:val="auto"/>
                <w:sz w:val="21"/>
                <w:szCs w:val="21"/>
                <w:highlight w:val="none"/>
              </w:rPr>
              <w:t>各类</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问题提出详细的</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工作机制和处理办法，提出的售后维护和相应技术支持作出的响应和维护时间短，对开展</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工作开展有指导意义的得2分。</w:t>
            </w:r>
          </w:p>
          <w:p w14:paraId="3DB07514">
            <w:pPr>
              <w:spacing w:line="400" w:lineRule="exact"/>
              <w:rPr>
                <w:rFonts w:hint="eastAsia" w:hAnsi="宋体" w:cs="宋体"/>
                <w:color w:val="auto"/>
                <w:sz w:val="21"/>
                <w:szCs w:val="21"/>
                <w:highlight w:val="none"/>
              </w:rPr>
            </w:pPr>
            <w:r>
              <w:rPr>
                <w:rFonts w:hint="eastAsia" w:asciiTheme="minorEastAsia" w:hAnsiTheme="minorEastAsia" w:eastAsiaTheme="minorEastAsia" w:cstheme="minorEastAsia"/>
                <w:bCs/>
                <w:color w:val="auto"/>
                <w:sz w:val="21"/>
                <w:szCs w:val="21"/>
                <w:highlight w:val="none"/>
              </w:rPr>
              <w:t>（2）每一单项内容是基于采购需求和项目</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要求进行编制，对应部分描述较为详细、完整，投标人具有较为完善的</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体系、</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便捷性良好，</w:t>
            </w:r>
            <w:r>
              <w:rPr>
                <w:rFonts w:hint="eastAsia" w:hAnsi="宋体" w:cs="宋体" w:eastAsiaTheme="minorEastAsia"/>
                <w:color w:val="auto"/>
                <w:sz w:val="21"/>
                <w:szCs w:val="21"/>
                <w:highlight w:val="none"/>
                <w:lang w:eastAsia="zh-CN"/>
              </w:rPr>
              <w:t>现场运维</w:t>
            </w:r>
            <w:r>
              <w:rPr>
                <w:rFonts w:hint="eastAsia" w:hAnsi="宋体" w:cs="宋体"/>
                <w:color w:val="auto"/>
                <w:sz w:val="21"/>
                <w:szCs w:val="21"/>
                <w:highlight w:val="none"/>
              </w:rPr>
              <w:t>服务技术支持方案工作任务计划和责任分工较为明确</w:t>
            </w:r>
            <w:r>
              <w:rPr>
                <w:rFonts w:hint="eastAsia" w:hAnsi="宋体" w:cs="宋体"/>
                <w:color w:val="auto"/>
                <w:sz w:val="21"/>
                <w:szCs w:val="21"/>
                <w:highlight w:val="none"/>
                <w:lang w:eastAsia="zh-CN"/>
              </w:rPr>
              <w:t>、具</w:t>
            </w:r>
            <w:r>
              <w:rPr>
                <w:rFonts w:hint="eastAsia" w:hAnsi="宋体" w:cs="宋体"/>
                <w:color w:val="auto"/>
                <w:sz w:val="21"/>
                <w:szCs w:val="21"/>
                <w:highlight w:val="none"/>
                <w:lang w:val="en-US" w:eastAsia="zh-CN"/>
              </w:rPr>
              <w:t>有相应的</w:t>
            </w:r>
            <w:r>
              <w:rPr>
                <w:rFonts w:hint="eastAsia" w:hAnsi="宋体" w:cs="宋体"/>
                <w:color w:val="auto"/>
                <w:sz w:val="21"/>
                <w:szCs w:val="21"/>
                <w:highlight w:val="none"/>
              </w:rPr>
              <w:t>运维服务保障能力，</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方案针对可能发生各类</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问题提出较为详细的</w:t>
            </w:r>
            <w:r>
              <w:rPr>
                <w:rFonts w:hint="eastAsia" w:asciiTheme="minorEastAsia" w:hAnsiTheme="minorEastAsia" w:eastAsiaTheme="minorEastAsia" w:cstheme="minorEastAsia"/>
                <w:bCs/>
                <w:color w:val="auto"/>
                <w:sz w:val="21"/>
                <w:szCs w:val="21"/>
                <w:highlight w:val="none"/>
                <w:lang w:eastAsia="zh-CN"/>
              </w:rPr>
              <w:t>售后运维服务</w:t>
            </w:r>
            <w:r>
              <w:rPr>
                <w:rFonts w:hint="eastAsia" w:asciiTheme="minorEastAsia" w:hAnsiTheme="minorEastAsia" w:eastAsiaTheme="minorEastAsia" w:cstheme="minorEastAsia"/>
                <w:bCs/>
                <w:color w:val="auto"/>
                <w:sz w:val="21"/>
                <w:szCs w:val="21"/>
                <w:highlight w:val="none"/>
              </w:rPr>
              <w:t>工作机制和处理办法</w:t>
            </w:r>
            <w:r>
              <w:rPr>
                <w:rFonts w:hint="eastAsia" w:hAnsi="宋体" w:cs="宋体"/>
                <w:color w:val="auto"/>
                <w:sz w:val="21"/>
                <w:szCs w:val="21"/>
                <w:highlight w:val="none"/>
              </w:rPr>
              <w:t>，提出的售后维护和相应技术支持作出的响应和维护时间较短，</w:t>
            </w:r>
            <w:r>
              <w:rPr>
                <w:rFonts w:hint="eastAsia" w:hAnsi="宋体" w:cs="宋体"/>
                <w:color w:val="auto"/>
                <w:sz w:val="21"/>
                <w:szCs w:val="21"/>
                <w:highlight w:val="none"/>
                <w:lang w:eastAsia="zh-CN"/>
              </w:rPr>
              <w:t>能指导</w:t>
            </w:r>
            <w:r>
              <w:rPr>
                <w:rFonts w:hint="eastAsia" w:hAnsi="宋体" w:cs="宋体"/>
                <w:color w:val="auto"/>
                <w:sz w:val="21"/>
                <w:szCs w:val="21"/>
                <w:highlight w:val="none"/>
              </w:rPr>
              <w:t>开展</w:t>
            </w:r>
            <w:r>
              <w:rPr>
                <w:rFonts w:hint="eastAsia" w:hAnsi="宋体" w:cs="宋体"/>
                <w:color w:val="auto"/>
                <w:sz w:val="21"/>
                <w:szCs w:val="21"/>
                <w:highlight w:val="none"/>
                <w:lang w:eastAsia="zh-CN"/>
              </w:rPr>
              <w:t>售后运维</w:t>
            </w:r>
            <w:r>
              <w:rPr>
                <w:rFonts w:hint="eastAsia" w:hAnsi="宋体" w:cs="宋体"/>
                <w:color w:val="auto"/>
                <w:sz w:val="21"/>
                <w:szCs w:val="21"/>
                <w:highlight w:val="none"/>
              </w:rPr>
              <w:t>服务工作的得1分。</w:t>
            </w:r>
          </w:p>
          <w:p w14:paraId="75B53A6D">
            <w:pPr>
              <w:spacing w:line="400" w:lineRule="exact"/>
              <w:rPr>
                <w:rFonts w:hint="eastAsia" w:hAnsi="宋体" w:cs="宋体"/>
                <w:color w:val="auto"/>
                <w:sz w:val="21"/>
                <w:szCs w:val="21"/>
                <w:highlight w:val="none"/>
              </w:rPr>
            </w:pPr>
            <w:r>
              <w:rPr>
                <w:rFonts w:hint="eastAsia" w:hAnsi="宋体" w:cs="宋体"/>
                <w:color w:val="auto"/>
                <w:sz w:val="21"/>
                <w:szCs w:val="21"/>
                <w:highlight w:val="none"/>
              </w:rPr>
              <w:t>（3）每一单项内容是基于采购需求和项目</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要求和要求进行编制，对应部分描述较为简单、基本完整，投标人具有的</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体系证明材料不完善（存在部分缺失）、</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便捷性较差，</w:t>
            </w:r>
            <w:r>
              <w:rPr>
                <w:rFonts w:hint="eastAsia" w:hAnsi="宋体" w:cs="宋体"/>
                <w:color w:val="auto"/>
                <w:sz w:val="21"/>
                <w:szCs w:val="21"/>
                <w:highlight w:val="none"/>
                <w:lang w:eastAsia="zh-CN"/>
              </w:rPr>
              <w:t>现场运维</w:t>
            </w:r>
            <w:r>
              <w:rPr>
                <w:rFonts w:hint="eastAsia" w:hAnsi="宋体" w:cs="宋体"/>
                <w:color w:val="auto"/>
                <w:sz w:val="21"/>
                <w:szCs w:val="21"/>
                <w:highlight w:val="none"/>
              </w:rPr>
              <w:t>服务技术支持方案工作任务计划和责任分工不明确、运维服务保障能力较差，</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方案针对可能发</w:t>
            </w:r>
            <w:r>
              <w:rPr>
                <w:rFonts w:hint="eastAsia" w:hAnsi="宋体" w:cs="宋体"/>
                <w:color w:val="auto"/>
                <w:sz w:val="21"/>
                <w:szCs w:val="21"/>
                <w:highlight w:val="none"/>
                <w:lang w:eastAsia="zh-CN"/>
              </w:rPr>
              <w:t>生的</w:t>
            </w:r>
            <w:r>
              <w:rPr>
                <w:rFonts w:hint="eastAsia" w:hAnsi="宋体" w:cs="宋体"/>
                <w:color w:val="auto"/>
                <w:sz w:val="21"/>
                <w:szCs w:val="21"/>
                <w:highlight w:val="none"/>
              </w:rPr>
              <w:t>各类</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问题提出的</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工作机制和处理办法存在瑕疵，提出的售后维护和相应技术支持作出的响应和维护时间符合采购需求，整体方案</w:t>
            </w:r>
            <w:r>
              <w:rPr>
                <w:rFonts w:hint="eastAsia" w:hAnsi="宋体" w:cs="宋体"/>
                <w:color w:val="auto"/>
                <w:sz w:val="21"/>
                <w:szCs w:val="21"/>
                <w:highlight w:val="none"/>
                <w:lang w:eastAsia="zh-CN"/>
              </w:rPr>
              <w:t>较</w:t>
            </w:r>
            <w:r>
              <w:rPr>
                <w:rFonts w:hint="eastAsia" w:hAnsi="宋体" w:cs="宋体"/>
                <w:color w:val="auto"/>
                <w:sz w:val="21"/>
                <w:szCs w:val="21"/>
                <w:highlight w:val="none"/>
              </w:rPr>
              <w:t>差的得0.5分。</w:t>
            </w:r>
          </w:p>
          <w:p w14:paraId="1A56D701">
            <w:pPr>
              <w:spacing w:line="400" w:lineRule="exact"/>
              <w:rPr>
                <w:color w:val="auto"/>
                <w:highlight w:val="none"/>
              </w:rPr>
            </w:pPr>
            <w:r>
              <w:rPr>
                <w:rFonts w:hint="eastAsia" w:hAnsi="宋体" w:cs="宋体"/>
                <w:color w:val="auto"/>
                <w:sz w:val="21"/>
                <w:szCs w:val="21"/>
                <w:highlight w:val="none"/>
              </w:rPr>
              <w:t>（4）“</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能力介绍及售后运维服务方案”中单项内容的描述与本项目对应的内容无关或未提供的得0分。</w:t>
            </w:r>
          </w:p>
        </w:tc>
      </w:tr>
      <w:tr w14:paraId="5761E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758C1743">
            <w:pPr>
              <w:spacing w:line="400" w:lineRule="exact"/>
              <w:rPr>
                <w:rFonts w:hint="eastAsia" w:hAnsi="宋体" w:cs="宋体"/>
                <w:color w:val="auto"/>
                <w:sz w:val="21"/>
                <w:szCs w:val="21"/>
                <w:highlight w:val="none"/>
              </w:rPr>
            </w:pPr>
          </w:p>
        </w:tc>
        <w:tc>
          <w:tcPr>
            <w:tcW w:w="894" w:type="dxa"/>
            <w:vMerge w:val="continue"/>
            <w:vAlign w:val="center"/>
          </w:tcPr>
          <w:p w14:paraId="485D8F70">
            <w:pPr>
              <w:spacing w:line="400" w:lineRule="exact"/>
              <w:rPr>
                <w:rFonts w:hint="eastAsia" w:hAnsi="宋体" w:cs="宋体"/>
                <w:color w:val="auto"/>
                <w:sz w:val="21"/>
                <w:szCs w:val="21"/>
                <w:highlight w:val="none"/>
              </w:rPr>
            </w:pPr>
          </w:p>
        </w:tc>
        <w:tc>
          <w:tcPr>
            <w:tcW w:w="1250" w:type="dxa"/>
            <w:vMerge w:val="continue"/>
            <w:vAlign w:val="center"/>
          </w:tcPr>
          <w:p w14:paraId="30809C7E">
            <w:pPr>
              <w:spacing w:line="400" w:lineRule="exact"/>
              <w:jc w:val="center"/>
              <w:rPr>
                <w:rFonts w:hint="eastAsia" w:hAnsi="宋体" w:cs="宋体"/>
                <w:color w:val="auto"/>
                <w:sz w:val="21"/>
                <w:szCs w:val="21"/>
                <w:highlight w:val="none"/>
              </w:rPr>
            </w:pPr>
          </w:p>
        </w:tc>
        <w:tc>
          <w:tcPr>
            <w:tcW w:w="7035" w:type="dxa"/>
            <w:vAlign w:val="center"/>
          </w:tcPr>
          <w:p w14:paraId="374F11EE">
            <w:pPr>
              <w:kinsoku w:val="0"/>
              <w:overflowPunct w:val="0"/>
              <w:autoSpaceDE w:val="0"/>
              <w:autoSpaceDN w:val="0"/>
              <w:adjustRightInd w:val="0"/>
              <w:snapToGrid w:val="0"/>
              <w:spacing w:line="420" w:lineRule="exact"/>
              <w:jc w:val="left"/>
              <w:rPr>
                <w:rFonts w:hint="eastAsia" w:hAnsi="宋体" w:cs="宋体"/>
                <w:b/>
                <w:bCs/>
                <w:color w:val="auto"/>
                <w:sz w:val="21"/>
                <w:szCs w:val="21"/>
                <w:highlight w:val="none"/>
              </w:rPr>
            </w:pPr>
            <w:r>
              <w:rPr>
                <w:rFonts w:hint="eastAsia" w:hAnsi="宋体" w:cs="宋体"/>
                <w:b/>
                <w:bCs/>
                <w:color w:val="auto"/>
                <w:sz w:val="21"/>
                <w:szCs w:val="21"/>
                <w:highlight w:val="none"/>
                <w:lang w:val="en-US" w:eastAsia="zh-CN"/>
              </w:rPr>
              <w:t>7.</w:t>
            </w:r>
            <w:r>
              <w:rPr>
                <w:rFonts w:hint="eastAsia" w:hAnsi="宋体" w:cs="宋体"/>
                <w:b/>
                <w:bCs/>
                <w:color w:val="auto"/>
                <w:sz w:val="21"/>
                <w:szCs w:val="21"/>
                <w:highlight w:val="none"/>
              </w:rPr>
              <w:t>项目服务质量保障措施和相应违约承诺（满分6分）</w:t>
            </w:r>
          </w:p>
          <w:p w14:paraId="57963D80">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针对合同履行期限按时完成工作的保障措施和违约承诺；②针对本项目服务质量达标的保障措施和违约承诺；③针对售后运维服务工作质量保障措施和违约承诺；④针对项目安全（如项目安全、信息数据安全和保密等方面）管理工作质量保障措施和违约承诺。</w:t>
            </w:r>
          </w:p>
          <w:p w14:paraId="10E14CF6">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评标委员会对所有投标文件的“项目服务质量保障措施和相应违约承诺”中4类单项内容进行详细的审查评价评分，本项总分不超过该6分（每类单项内容最高1.5分），具体评审细则如下：</w:t>
            </w:r>
          </w:p>
          <w:p w14:paraId="4E569065">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（1）“项目服务质量保障措施和相应违约承诺”中4类单项内容是基于采购需求的服务标准提出了对应的质量保障方案，服务质量保障方案描述详细</w:t>
            </w:r>
            <w:r>
              <w:rPr>
                <w:rFonts w:hint="eastAsia" w:hAnsi="宋体" w:cs="宋体"/>
                <w:color w:val="auto"/>
                <w:sz w:val="21"/>
                <w:szCs w:val="21"/>
                <w:highlight w:val="none"/>
                <w:lang w:eastAsia="zh-CN"/>
              </w:rPr>
              <w:t>具体</w:t>
            </w:r>
            <w:r>
              <w:rPr>
                <w:rFonts w:hint="eastAsia" w:hAnsi="宋体" w:cs="宋体"/>
                <w:color w:val="auto"/>
                <w:sz w:val="21"/>
                <w:szCs w:val="21"/>
                <w:highlight w:val="none"/>
              </w:rPr>
              <w:t>，根据对应的内容提出</w:t>
            </w:r>
            <w:r>
              <w:rPr>
                <w:rFonts w:hint="eastAsia" w:hAnsi="宋体" w:cs="宋体"/>
                <w:color w:val="auto"/>
                <w:sz w:val="21"/>
                <w:szCs w:val="21"/>
                <w:highlight w:val="none"/>
                <w:lang w:eastAsia="zh-CN"/>
              </w:rPr>
              <w:t>切实可行</w:t>
            </w:r>
            <w:r>
              <w:rPr>
                <w:rFonts w:hint="eastAsia" w:hAnsi="宋体" w:cs="宋体"/>
                <w:color w:val="auto"/>
                <w:sz w:val="21"/>
                <w:szCs w:val="21"/>
                <w:highlight w:val="none"/>
              </w:rPr>
              <w:t>的违约责任和承诺条件，</w:t>
            </w:r>
            <w:r>
              <w:rPr>
                <w:rFonts w:hint="eastAsia" w:hAnsi="宋体" w:cs="宋体"/>
                <w:color w:val="auto"/>
                <w:sz w:val="21"/>
                <w:szCs w:val="21"/>
                <w:highlight w:val="none"/>
                <w:lang w:val="en-US" w:eastAsia="zh-CN"/>
              </w:rPr>
              <w:t>具</w:t>
            </w:r>
            <w:r>
              <w:rPr>
                <w:rFonts w:hint="eastAsia" w:hAnsi="宋体" w:cs="宋体"/>
                <w:color w:val="auto"/>
                <w:sz w:val="21"/>
                <w:szCs w:val="21"/>
                <w:highlight w:val="none"/>
              </w:rPr>
              <w:t>有相应详细的处罚措施</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并对每一项</w:t>
            </w:r>
            <w:r>
              <w:rPr>
                <w:rFonts w:hint="eastAsia" w:hAnsi="宋体" w:cs="宋体"/>
                <w:color w:val="auto"/>
                <w:sz w:val="21"/>
                <w:szCs w:val="21"/>
                <w:highlight w:val="none"/>
              </w:rPr>
              <w:t>违约</w:t>
            </w:r>
            <w:r>
              <w:rPr>
                <w:rFonts w:hint="eastAsia" w:hAnsi="宋体" w:cs="宋体"/>
                <w:color w:val="auto"/>
                <w:sz w:val="21"/>
                <w:szCs w:val="21"/>
                <w:highlight w:val="none"/>
                <w:lang w:val="en-US" w:eastAsia="zh-CN"/>
              </w:rPr>
              <w:t>内容提出的能保障采购人权益的违约金额</w:t>
            </w:r>
            <w:r>
              <w:rPr>
                <w:rFonts w:hint="eastAsia" w:hAnsi="宋体" w:cs="宋体"/>
                <w:color w:val="auto"/>
                <w:sz w:val="21"/>
                <w:szCs w:val="21"/>
                <w:highlight w:val="none"/>
              </w:rPr>
              <w:t>，能保障本项目服务工作高效、优质完成的得1.5分。</w:t>
            </w:r>
          </w:p>
          <w:p w14:paraId="5EB3BFA5">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（2）“项目服务质量保障措施和相应违约承诺”中4类单项内容是基于采购需求的服务标准提出了对应的质量保障方案，服务质量保障方案描述较为详细，根据对应的内容提出较为</w:t>
            </w:r>
            <w:r>
              <w:rPr>
                <w:rFonts w:hint="eastAsia" w:hAnsi="宋体" w:cs="宋体"/>
                <w:color w:val="auto"/>
                <w:sz w:val="21"/>
                <w:szCs w:val="21"/>
                <w:highlight w:val="none"/>
                <w:lang w:eastAsia="zh-CN"/>
              </w:rPr>
              <w:t>明确且能执行</w:t>
            </w:r>
            <w:r>
              <w:rPr>
                <w:rFonts w:hint="eastAsia" w:hAnsi="宋体" w:cs="宋体"/>
                <w:color w:val="auto"/>
                <w:sz w:val="21"/>
                <w:szCs w:val="21"/>
                <w:highlight w:val="none"/>
              </w:rPr>
              <w:t>的违约责任和承诺条件，相应的处罚措施较为明确，</w:t>
            </w:r>
            <w:r>
              <w:rPr>
                <w:rFonts w:hint="eastAsia" w:hAnsi="宋体" w:cs="宋体"/>
                <w:color w:val="auto"/>
                <w:sz w:val="21"/>
                <w:szCs w:val="21"/>
                <w:highlight w:val="none"/>
                <w:lang w:val="en-US" w:eastAsia="zh-CN"/>
              </w:rPr>
              <w:t>每一项</w:t>
            </w:r>
            <w:r>
              <w:rPr>
                <w:rFonts w:hint="eastAsia" w:hAnsi="宋体" w:cs="宋体"/>
                <w:color w:val="auto"/>
                <w:sz w:val="21"/>
                <w:szCs w:val="21"/>
                <w:highlight w:val="none"/>
              </w:rPr>
              <w:t>违约</w:t>
            </w:r>
            <w:r>
              <w:rPr>
                <w:rFonts w:hint="eastAsia" w:hAnsi="宋体" w:cs="宋体"/>
                <w:color w:val="auto"/>
                <w:sz w:val="21"/>
                <w:szCs w:val="21"/>
                <w:highlight w:val="none"/>
                <w:lang w:val="en-US" w:eastAsia="zh-CN"/>
              </w:rPr>
              <w:t>内容提出的违约金额对保障采购人相应权益的力度较小</w:t>
            </w:r>
            <w:r>
              <w:rPr>
                <w:rFonts w:hint="eastAsia" w:hAnsi="宋体" w:cs="宋体"/>
                <w:color w:val="auto"/>
                <w:sz w:val="21"/>
                <w:szCs w:val="21"/>
                <w:highlight w:val="none"/>
              </w:rPr>
              <w:t>，能对本项目服务实施有一定的保障的得1分。</w:t>
            </w:r>
          </w:p>
          <w:p w14:paraId="3305A73C">
            <w:pPr>
              <w:kinsoku w:val="0"/>
              <w:overflowPunct w:val="0"/>
              <w:autoSpaceDE w:val="0"/>
              <w:autoSpaceDN w:val="0"/>
              <w:adjustRightInd w:val="0"/>
              <w:snapToGrid w:val="0"/>
              <w:spacing w:line="400" w:lineRule="exact"/>
              <w:jc w:val="left"/>
              <w:rPr>
                <w:rFonts w:hint="eastAsia" w:hAnsi="宋体" w:cs="宋体"/>
                <w:color w:val="auto"/>
                <w:sz w:val="21"/>
                <w:szCs w:val="21"/>
                <w:highlight w:val="none"/>
              </w:rPr>
            </w:pPr>
            <w:r>
              <w:rPr>
                <w:rFonts w:hint="eastAsia" w:hAnsi="宋体" w:cs="宋体"/>
                <w:color w:val="auto"/>
                <w:sz w:val="21"/>
                <w:szCs w:val="21"/>
                <w:highlight w:val="none"/>
              </w:rPr>
              <w:t>（3）“项目服务质量保障措施和相应违约承诺”中4类单项内容基本符合采购需求的服务标准，服务质量保障方案描述存在瑕疵或存在前后逻辑错误，根据对应的内容提出的违约责任和承诺条件不具体</w:t>
            </w:r>
            <w:r>
              <w:rPr>
                <w:rFonts w:hint="eastAsia" w:hAnsi="宋体" w:cs="宋体"/>
                <w:color w:val="auto"/>
                <w:sz w:val="21"/>
                <w:szCs w:val="21"/>
                <w:highlight w:val="none"/>
                <w:lang w:val="en-US" w:eastAsia="zh-CN"/>
              </w:rPr>
              <w:t>、不明确</w:t>
            </w:r>
            <w:r>
              <w:rPr>
                <w:rFonts w:hint="eastAsia" w:hAnsi="宋体" w:cs="宋体"/>
                <w:color w:val="auto"/>
                <w:sz w:val="21"/>
                <w:szCs w:val="21"/>
                <w:highlight w:val="none"/>
              </w:rPr>
              <w:t>的，</w:t>
            </w:r>
            <w:r>
              <w:rPr>
                <w:rFonts w:hint="eastAsia" w:ascii="宋体" w:hAnsi="宋体" w:eastAsia="宋体" w:cs="宋体"/>
                <w:color w:val="auto"/>
                <w:sz w:val="21"/>
                <w:szCs w:val="21"/>
                <w:highlight w:val="none"/>
                <w:lang w:val="en-US" w:eastAsia="zh-CN"/>
              </w:rPr>
              <w:t>没有相应的处罚措施或没有具体违约金额</w:t>
            </w:r>
            <w:r>
              <w:rPr>
                <w:rFonts w:hint="eastAsia" w:hAnsi="宋体" w:cs="宋体"/>
                <w:color w:val="auto"/>
                <w:sz w:val="21"/>
                <w:szCs w:val="21"/>
                <w:highlight w:val="none"/>
              </w:rPr>
              <w:t>的得0.5分。</w:t>
            </w:r>
          </w:p>
          <w:p w14:paraId="2063A989">
            <w:pPr>
              <w:kinsoku w:val="0"/>
              <w:overflowPunct w:val="0"/>
              <w:autoSpaceDE w:val="0"/>
              <w:autoSpaceDN w:val="0"/>
              <w:adjustRightInd w:val="0"/>
              <w:snapToGrid w:val="0"/>
              <w:spacing w:line="400" w:lineRule="exact"/>
              <w:jc w:val="left"/>
              <w:rPr>
                <w:color w:val="auto"/>
                <w:highlight w:val="none"/>
              </w:rPr>
            </w:pPr>
            <w:r>
              <w:rPr>
                <w:rFonts w:hint="eastAsia" w:hAnsi="宋体" w:cs="宋体"/>
                <w:color w:val="auto"/>
                <w:sz w:val="21"/>
                <w:szCs w:val="21"/>
                <w:highlight w:val="none"/>
              </w:rPr>
              <w:t>（4）“项目服务质量保障措施和相应违约承诺”中单项内容的描述与本项目对应的内容无关或未提供的得0分。</w:t>
            </w:r>
          </w:p>
        </w:tc>
      </w:tr>
      <w:tr w14:paraId="704D7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40BF26DE">
            <w:pPr>
              <w:spacing w:line="400" w:lineRule="exact"/>
              <w:rPr>
                <w:rFonts w:hint="eastAsia" w:hAnsi="宋体" w:cs="宋体"/>
                <w:color w:val="auto"/>
                <w:sz w:val="21"/>
                <w:szCs w:val="21"/>
                <w:highlight w:val="none"/>
              </w:rPr>
            </w:pPr>
          </w:p>
        </w:tc>
        <w:tc>
          <w:tcPr>
            <w:tcW w:w="894" w:type="dxa"/>
            <w:vMerge w:val="continue"/>
            <w:vAlign w:val="center"/>
          </w:tcPr>
          <w:p w14:paraId="04070885">
            <w:pPr>
              <w:spacing w:line="400" w:lineRule="exact"/>
              <w:rPr>
                <w:rFonts w:hint="eastAsia" w:hAnsi="宋体" w:cs="宋体"/>
                <w:color w:val="auto"/>
                <w:sz w:val="21"/>
                <w:szCs w:val="21"/>
                <w:highlight w:val="none"/>
              </w:rPr>
            </w:pPr>
          </w:p>
        </w:tc>
        <w:tc>
          <w:tcPr>
            <w:tcW w:w="1250" w:type="dxa"/>
            <w:vMerge w:val="continue"/>
            <w:vAlign w:val="center"/>
          </w:tcPr>
          <w:p w14:paraId="17C1419F">
            <w:pPr>
              <w:spacing w:line="400" w:lineRule="exact"/>
              <w:jc w:val="center"/>
              <w:rPr>
                <w:rFonts w:hint="eastAsia" w:hAnsi="宋体" w:cs="宋体"/>
                <w:color w:val="auto"/>
                <w:sz w:val="21"/>
                <w:szCs w:val="21"/>
                <w:highlight w:val="none"/>
              </w:rPr>
            </w:pPr>
          </w:p>
        </w:tc>
        <w:tc>
          <w:tcPr>
            <w:tcW w:w="7035" w:type="dxa"/>
            <w:vAlign w:val="center"/>
          </w:tcPr>
          <w:p w14:paraId="3611418C">
            <w:pPr>
              <w:widowControl/>
              <w:spacing w:line="380" w:lineRule="exact"/>
              <w:rPr>
                <w:rFonts w:hint="eastAsia" w:hAnsi="宋体" w:cs="宋体"/>
                <w:b/>
                <w:bCs/>
                <w:color w:val="auto"/>
                <w:sz w:val="21"/>
                <w:szCs w:val="21"/>
                <w:highlight w:val="none"/>
              </w:rPr>
            </w:pPr>
            <w:r>
              <w:rPr>
                <w:rFonts w:hint="eastAsia" w:hAnsi="宋体" w:cs="宋体"/>
                <w:b/>
                <w:bCs/>
                <w:color w:val="auto"/>
                <w:sz w:val="21"/>
                <w:szCs w:val="21"/>
                <w:highlight w:val="none"/>
                <w:lang w:val="en-US" w:eastAsia="zh-CN"/>
              </w:rPr>
              <w:t>8.</w:t>
            </w:r>
            <w:r>
              <w:rPr>
                <w:rFonts w:hint="eastAsia" w:hAnsi="宋体" w:cs="宋体"/>
                <w:b/>
                <w:bCs/>
                <w:color w:val="auto"/>
                <w:sz w:val="21"/>
                <w:szCs w:val="21"/>
                <w:highlight w:val="none"/>
              </w:rPr>
              <w:t>拟投入本项目的综合服务力量介绍（满分</w:t>
            </w:r>
            <w:r>
              <w:rPr>
                <w:rFonts w:hint="eastAsia" w:hAnsi="宋体" w:cs="宋体"/>
                <w:b/>
                <w:bCs/>
                <w:color w:val="auto"/>
                <w:sz w:val="21"/>
                <w:szCs w:val="21"/>
                <w:highlight w:val="none"/>
                <w:lang w:val="en-US" w:eastAsia="zh-CN"/>
              </w:rPr>
              <w:t>11</w:t>
            </w:r>
            <w:r>
              <w:rPr>
                <w:rFonts w:hint="eastAsia" w:hAnsi="宋体" w:cs="宋体"/>
                <w:b/>
                <w:bCs/>
                <w:color w:val="auto"/>
                <w:sz w:val="21"/>
                <w:szCs w:val="21"/>
                <w:highlight w:val="none"/>
              </w:rPr>
              <w:t>分）</w:t>
            </w:r>
          </w:p>
          <w:p w14:paraId="26944C72">
            <w:pPr>
              <w:kinsoku w:val="0"/>
              <w:overflowPunct w:val="0"/>
              <w:autoSpaceDE w:val="0"/>
              <w:autoSpaceDN w:val="0"/>
              <w:adjustRightInd w:val="0"/>
              <w:snapToGrid w:val="0"/>
              <w:spacing w:line="400" w:lineRule="exact"/>
              <w:jc w:val="left"/>
              <w:rPr>
                <w:rFonts w:hint="eastAsia" w:ascii="宋体" w:hAnsi="宋体" w:eastAsia="宋体" w:cs="宋体"/>
                <w:color w:val="auto"/>
                <w:sz w:val="21"/>
                <w:szCs w:val="21"/>
                <w:highlight w:val="none"/>
                <w:lang w:val="en-US" w:eastAsia="zh-CN"/>
              </w:rPr>
            </w:pPr>
            <w:r>
              <w:rPr>
                <w:rFonts w:hint="eastAsia" w:hAnsi="宋体" w:cs="宋体"/>
                <w:color w:val="auto"/>
                <w:sz w:val="21"/>
                <w:szCs w:val="21"/>
                <w:highlight w:val="none"/>
              </w:rPr>
              <w:t>评标委员会对所有投标</w:t>
            </w:r>
            <w:r>
              <w:rPr>
                <w:rFonts w:hint="eastAsia" w:ascii="宋体" w:hAnsi="宋体" w:eastAsia="宋体" w:cs="宋体"/>
                <w:color w:val="auto"/>
                <w:sz w:val="21"/>
                <w:szCs w:val="21"/>
                <w:highlight w:val="none"/>
              </w:rPr>
              <w:t>文件的“拟投入本项目的综合服务力量介绍”</w:t>
            </w:r>
            <w:r>
              <w:rPr>
                <w:rFonts w:hint="eastAsia" w:ascii="宋体" w:hAnsi="宋体" w:eastAsia="宋体" w:cs="宋体"/>
                <w:color w:val="auto"/>
                <w:sz w:val="21"/>
                <w:szCs w:val="21"/>
                <w:highlight w:val="none"/>
                <w:lang w:val="en-US" w:eastAsia="zh-CN"/>
              </w:rPr>
              <w:t>部分</w:t>
            </w:r>
            <w:r>
              <w:rPr>
                <w:rFonts w:hint="eastAsia" w:ascii="宋体" w:hAnsi="宋体" w:eastAsia="宋体" w:cs="宋体"/>
                <w:color w:val="auto"/>
                <w:sz w:val="21"/>
                <w:szCs w:val="21"/>
                <w:highlight w:val="none"/>
              </w:rPr>
              <w:t>内容进行详细的审查评</w:t>
            </w:r>
            <w:r>
              <w:rPr>
                <w:rFonts w:hint="eastAsia" w:hAnsi="宋体" w:cs="宋体"/>
                <w:color w:val="auto"/>
                <w:sz w:val="21"/>
                <w:szCs w:val="21"/>
                <w:highlight w:val="none"/>
                <w:lang w:eastAsia="zh-CN"/>
              </w:rPr>
              <w:t>价和</w:t>
            </w:r>
            <w:r>
              <w:rPr>
                <w:rFonts w:hint="eastAsia" w:ascii="宋体" w:hAnsi="宋体" w:eastAsia="宋体" w:cs="宋体"/>
                <w:color w:val="auto"/>
                <w:sz w:val="21"/>
                <w:szCs w:val="21"/>
                <w:highlight w:val="none"/>
              </w:rPr>
              <w:t>评分</w:t>
            </w:r>
            <w:r>
              <w:rPr>
                <w:rFonts w:hint="eastAsia" w:ascii="宋体" w:hAnsi="宋体" w:eastAsia="宋体" w:cs="宋体"/>
                <w:color w:val="auto"/>
                <w:sz w:val="21"/>
                <w:szCs w:val="21"/>
                <w:highlight w:val="none"/>
                <w:lang w:eastAsia="zh-CN"/>
              </w:rPr>
              <w:t>。</w:t>
            </w:r>
          </w:p>
          <w:p w14:paraId="4745241E">
            <w:pPr>
              <w:kinsoku w:val="0"/>
              <w:overflowPunct w:val="0"/>
              <w:autoSpaceDE w:val="0"/>
              <w:autoSpaceDN w:val="0"/>
              <w:adjustRightInd w:val="0"/>
              <w:snapToGrid w:val="0"/>
              <w:spacing w:line="400" w:lineRule="exact"/>
              <w:jc w:val="left"/>
              <w:rPr>
                <w:rFonts w:hint="eastAsia" w:hAnsi="宋体" w:cs="宋体"/>
                <w:b/>
                <w:color w:val="auto"/>
                <w:sz w:val="21"/>
                <w:szCs w:val="21"/>
                <w:highlight w:val="none"/>
              </w:rPr>
            </w:pPr>
            <w:r>
              <w:rPr>
                <w:rFonts w:hint="eastAsia" w:hAnsi="宋体" w:cs="宋体"/>
                <w:b/>
                <w:color w:val="auto"/>
                <w:sz w:val="21"/>
                <w:szCs w:val="21"/>
                <w:highlight w:val="none"/>
                <w:lang w:val="en-US" w:eastAsia="zh-CN"/>
              </w:rPr>
              <w:t>8.</w:t>
            </w:r>
            <w:r>
              <w:rPr>
                <w:rFonts w:hint="eastAsia" w:hAnsi="宋体" w:cs="宋体"/>
                <w:b/>
                <w:color w:val="auto"/>
                <w:sz w:val="21"/>
                <w:szCs w:val="21"/>
                <w:highlight w:val="none"/>
              </w:rPr>
              <w:t>1.投标人服务能力评价（满分</w:t>
            </w:r>
            <w:r>
              <w:rPr>
                <w:rFonts w:hint="eastAsia" w:hAnsi="宋体" w:cs="宋体"/>
                <w:b/>
                <w:color w:val="auto"/>
                <w:sz w:val="21"/>
                <w:szCs w:val="21"/>
                <w:highlight w:val="none"/>
                <w:lang w:val="en-US" w:eastAsia="zh-CN"/>
              </w:rPr>
              <w:t>3</w:t>
            </w:r>
            <w:r>
              <w:rPr>
                <w:rFonts w:hint="eastAsia" w:hAnsi="宋体" w:cs="宋体"/>
                <w:b/>
                <w:color w:val="auto"/>
                <w:sz w:val="21"/>
                <w:szCs w:val="21"/>
                <w:highlight w:val="none"/>
              </w:rPr>
              <w:t>分）</w:t>
            </w:r>
          </w:p>
          <w:p w14:paraId="7ACB9F53">
            <w:pPr>
              <w:kinsoku w:val="0"/>
              <w:overflowPunct w:val="0"/>
              <w:autoSpaceDE w:val="0"/>
              <w:autoSpaceDN w:val="0"/>
              <w:adjustRightInd w:val="0"/>
              <w:snapToGrid w:val="0"/>
              <w:spacing w:line="400" w:lineRule="exact"/>
              <w:jc w:val="left"/>
              <w:rPr>
                <w:rFonts w:hint="default" w:hAnsi="宋体" w:eastAsia="宋体" w:cs="宋体"/>
                <w:bCs/>
                <w:color w:val="auto"/>
                <w:sz w:val="21"/>
                <w:szCs w:val="21"/>
                <w:highlight w:val="none"/>
                <w:lang w:val="en-US" w:eastAsia="zh-CN"/>
              </w:rPr>
            </w:pPr>
            <w:r>
              <w:rPr>
                <w:rFonts w:hint="eastAsia" w:hAnsi="宋体" w:cs="宋体"/>
                <w:bCs/>
                <w:color w:val="auto"/>
                <w:sz w:val="21"/>
                <w:szCs w:val="21"/>
                <w:highlight w:val="none"/>
              </w:rPr>
              <w:t>投标人具有合法有效的</w:t>
            </w:r>
            <w:r>
              <w:rPr>
                <w:rFonts w:hint="eastAsia" w:ascii="宋体" w:hAnsi="宋体" w:eastAsia="宋体"/>
                <w:color w:val="auto"/>
                <w:sz w:val="21"/>
                <w:szCs w:val="21"/>
                <w:highlight w:val="none"/>
              </w:rPr>
              <w:t>ISO20000信息技术服务管理体系认证</w:t>
            </w:r>
            <w:bookmarkStart w:id="33" w:name="OLE_LINK5"/>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ISO</w:t>
            </w:r>
            <w:bookmarkEnd w:id="33"/>
            <w:r>
              <w:rPr>
                <w:rFonts w:hint="eastAsia" w:ascii="宋体" w:hAnsi="宋体" w:eastAsia="宋体"/>
                <w:color w:val="auto"/>
                <w:sz w:val="21"/>
                <w:szCs w:val="21"/>
                <w:highlight w:val="none"/>
              </w:rPr>
              <w:t>27001信息安全管理体系认证</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质量管理体系认证ISO9001</w:t>
            </w:r>
            <w:r>
              <w:rPr>
                <w:rFonts w:hint="eastAsia" w:ascii="宋体" w:hAnsi="宋体" w:eastAsia="宋体"/>
                <w:color w:val="auto"/>
                <w:sz w:val="21"/>
                <w:szCs w:val="21"/>
                <w:highlight w:val="none"/>
                <w:lang w:eastAsia="zh-CN"/>
              </w:rPr>
              <w:t>（认证范围至少包含信息化类的内容）、</w:t>
            </w:r>
            <w:bookmarkStart w:id="34" w:name="OLE_LINK7"/>
            <w:r>
              <w:rPr>
                <w:rFonts w:hint="eastAsia" w:ascii="宋体" w:hAnsi="宋体" w:eastAsia="宋体"/>
                <w:color w:val="auto"/>
                <w:sz w:val="21"/>
                <w:szCs w:val="21"/>
                <w:highlight w:val="none"/>
              </w:rPr>
              <w:t>信息安全服务资质认证证书</w:t>
            </w:r>
            <w:bookmarkEnd w:id="34"/>
            <w:r>
              <w:rPr>
                <w:rFonts w:hint="eastAsia" w:ascii="宋体" w:hAnsi="宋体" w:eastAsia="宋体"/>
                <w:color w:val="auto"/>
                <w:sz w:val="21"/>
                <w:szCs w:val="21"/>
                <w:highlight w:val="none"/>
              </w:rPr>
              <w:t>CCRC-信息系统安全运维证书</w:t>
            </w:r>
            <w:bookmarkStart w:id="35" w:name="OLE_LINK9"/>
            <w:r>
              <w:rPr>
                <w:rFonts w:hint="eastAsia" w:ascii="宋体" w:hAnsi="宋体" w:eastAsia="宋体"/>
                <w:color w:val="auto"/>
                <w:sz w:val="21"/>
                <w:szCs w:val="21"/>
                <w:highlight w:val="none"/>
              </w:rPr>
              <w:t>（三级及以上）</w:t>
            </w:r>
            <w:bookmarkEnd w:id="35"/>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信息技术服务标准符合性证书ITSS（</w:t>
            </w:r>
            <w:r>
              <w:rPr>
                <w:rFonts w:hint="eastAsia" w:hAnsi="宋体"/>
                <w:color w:val="auto"/>
                <w:sz w:val="21"/>
                <w:szCs w:val="21"/>
                <w:highlight w:val="none"/>
                <w:lang w:eastAsia="zh-CN"/>
              </w:rPr>
              <w:t>四</w:t>
            </w:r>
            <w:r>
              <w:rPr>
                <w:rFonts w:hint="eastAsia" w:ascii="宋体" w:hAnsi="宋体" w:eastAsia="宋体"/>
                <w:color w:val="auto"/>
                <w:sz w:val="21"/>
                <w:szCs w:val="21"/>
                <w:highlight w:val="none"/>
              </w:rPr>
              <w:t>级及以上）</w:t>
            </w:r>
            <w:r>
              <w:rPr>
                <w:rFonts w:hint="eastAsia" w:ascii="宋体" w:hAnsi="宋体" w:eastAsia="宋体"/>
                <w:color w:val="auto"/>
                <w:sz w:val="21"/>
                <w:szCs w:val="21"/>
                <w:highlight w:val="none"/>
                <w:lang w:eastAsia="zh-CN"/>
              </w:rPr>
              <w:t>、</w:t>
            </w:r>
            <w:r>
              <w:rPr>
                <w:rFonts w:hint="eastAsia" w:ascii="宋体" w:hAnsi="宋体" w:eastAsia="宋体"/>
                <w:color w:val="auto"/>
                <w:sz w:val="21"/>
                <w:szCs w:val="21"/>
                <w:highlight w:val="none"/>
              </w:rPr>
              <w:t>信息系统建设和服务能力等级证书（CS）</w:t>
            </w:r>
            <w:r>
              <w:rPr>
                <w:rFonts w:hint="eastAsia" w:hAnsi="宋体" w:cs="宋体"/>
                <w:bCs/>
                <w:color w:val="auto"/>
                <w:sz w:val="21"/>
                <w:szCs w:val="21"/>
                <w:highlight w:val="none"/>
              </w:rPr>
              <w:t>。每提供一类认证证书得0.5分，最高不超过</w:t>
            </w:r>
            <w:r>
              <w:rPr>
                <w:rFonts w:hint="eastAsia" w:hAnsi="宋体" w:cs="宋体"/>
                <w:bCs/>
                <w:color w:val="auto"/>
                <w:sz w:val="21"/>
                <w:szCs w:val="21"/>
                <w:highlight w:val="none"/>
                <w:lang w:val="en-US" w:eastAsia="zh-CN"/>
              </w:rPr>
              <w:t>3</w:t>
            </w:r>
            <w:r>
              <w:rPr>
                <w:rFonts w:hint="eastAsia" w:hAnsi="宋体" w:cs="宋体"/>
                <w:bCs/>
                <w:color w:val="auto"/>
                <w:sz w:val="21"/>
                <w:szCs w:val="21"/>
                <w:highlight w:val="none"/>
              </w:rPr>
              <w:t>分，未提供认证证书或提供的认证证书有效期限过期的评标委员会不予认可。</w:t>
            </w:r>
          </w:p>
          <w:p w14:paraId="10207EE2">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p>
          <w:p w14:paraId="5B5A6CD3">
            <w:pPr>
              <w:kinsoku w:val="0"/>
              <w:overflowPunct w:val="0"/>
              <w:autoSpaceDE w:val="0"/>
              <w:autoSpaceDN w:val="0"/>
              <w:adjustRightInd w:val="0"/>
              <w:snapToGrid w:val="0"/>
              <w:spacing w:line="400" w:lineRule="exact"/>
              <w:jc w:val="left"/>
              <w:rPr>
                <w:rFonts w:hint="default" w:hAnsi="宋体" w:eastAsia="宋体" w:cs="宋体"/>
                <w:b/>
                <w:bCs w:val="0"/>
                <w:color w:val="auto"/>
                <w:sz w:val="21"/>
                <w:szCs w:val="21"/>
                <w:highlight w:val="none"/>
                <w:lang w:val="en-US" w:eastAsia="zh-CN"/>
              </w:rPr>
            </w:pPr>
            <w:r>
              <w:rPr>
                <w:rFonts w:hint="eastAsia" w:hAnsi="宋体" w:cs="宋体"/>
                <w:b/>
                <w:bCs w:val="0"/>
                <w:color w:val="auto"/>
                <w:sz w:val="21"/>
                <w:szCs w:val="21"/>
                <w:highlight w:val="none"/>
                <w:lang w:val="en-US" w:eastAsia="zh-CN"/>
              </w:rPr>
              <w:t>8.</w:t>
            </w:r>
            <w:bookmarkStart w:id="134" w:name="_GoBack"/>
            <w:bookmarkEnd w:id="134"/>
            <w:r>
              <w:rPr>
                <w:rFonts w:hint="eastAsia" w:hAnsi="宋体" w:cs="宋体"/>
                <w:b/>
                <w:bCs w:val="0"/>
                <w:color w:val="auto"/>
                <w:sz w:val="21"/>
                <w:szCs w:val="21"/>
                <w:highlight w:val="none"/>
                <w:lang w:val="en-US" w:eastAsia="zh-CN"/>
              </w:rPr>
              <w:t>2.投标人项目团队综合实力评价（满分8分）</w:t>
            </w:r>
          </w:p>
          <w:p w14:paraId="2E39057B">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r>
              <w:rPr>
                <w:rFonts w:hint="eastAsia" w:hAnsi="宋体" w:cs="宋体"/>
                <w:bCs/>
                <w:color w:val="auto"/>
                <w:sz w:val="21"/>
                <w:szCs w:val="21"/>
                <w:highlight w:val="none"/>
              </w:rPr>
              <w:t>第一个档次（</w:t>
            </w:r>
            <w:r>
              <w:rPr>
                <w:rFonts w:hint="eastAsia" w:hAnsi="宋体" w:cs="宋体"/>
                <w:bCs/>
                <w:color w:val="auto"/>
                <w:sz w:val="21"/>
                <w:szCs w:val="21"/>
                <w:highlight w:val="none"/>
                <w:lang w:val="en-US" w:eastAsia="zh-CN"/>
              </w:rPr>
              <w:t>8</w:t>
            </w:r>
            <w:r>
              <w:rPr>
                <w:rFonts w:hint="eastAsia" w:hAnsi="宋体" w:cs="宋体"/>
                <w:bCs/>
                <w:color w:val="auto"/>
                <w:sz w:val="21"/>
                <w:szCs w:val="21"/>
                <w:highlight w:val="none"/>
              </w:rPr>
              <w:t>分）：投标人拟组建的项目服务机构根据项目建设情况进行合理技术分工，项目服务技术团队组织结构健全设置合理，各类专业技术人员专业和数量构成配备合理，</w:t>
            </w:r>
            <w:r>
              <w:rPr>
                <w:rFonts w:hint="eastAsia" w:hAnsi="宋体" w:cs="宋体"/>
                <w:bCs/>
                <w:color w:val="auto"/>
                <w:sz w:val="21"/>
                <w:szCs w:val="21"/>
                <w:highlight w:val="none"/>
                <w:lang w:eastAsia="zh-CN"/>
              </w:rPr>
              <w:t>现场</w:t>
            </w:r>
            <w:r>
              <w:rPr>
                <w:rFonts w:hint="eastAsia" w:hAnsi="宋体" w:cs="宋体"/>
                <w:bCs/>
                <w:color w:val="auto"/>
                <w:sz w:val="21"/>
                <w:szCs w:val="21"/>
                <w:highlight w:val="none"/>
              </w:rPr>
              <w:t>人员配置满足采购需求，各类技术服务人员的能</w:t>
            </w:r>
            <w:r>
              <w:rPr>
                <w:rFonts w:hint="eastAsia" w:hAnsi="宋体" w:cs="宋体"/>
                <w:bCs/>
                <w:color w:val="auto"/>
                <w:sz w:val="21"/>
                <w:szCs w:val="21"/>
                <w:highlight w:val="none"/>
                <w:lang w:eastAsia="zh-CN"/>
              </w:rPr>
              <w:t>力和</w:t>
            </w:r>
            <w:r>
              <w:rPr>
                <w:rFonts w:hint="eastAsia" w:hAnsi="宋体" w:cs="宋体"/>
                <w:bCs/>
                <w:color w:val="auto"/>
                <w:sz w:val="21"/>
                <w:szCs w:val="21"/>
                <w:highlight w:val="none"/>
              </w:rPr>
              <w:t>资质证明材料【如项目服务机构中技术人员具有</w:t>
            </w:r>
            <w:bookmarkStart w:id="36" w:name="OLE_LINK8"/>
            <w:r>
              <w:rPr>
                <w:rFonts w:hint="eastAsia" w:hAnsi="宋体" w:cs="宋体"/>
                <w:bCs/>
                <w:color w:val="auto"/>
                <w:sz w:val="21"/>
                <w:szCs w:val="21"/>
                <w:highlight w:val="none"/>
              </w:rPr>
              <w:t>高级信息系统项目管理师证书</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高级系统架构设计师证书</w:t>
            </w:r>
            <w:r>
              <w:rPr>
                <w:rFonts w:hint="eastAsia" w:hAnsi="宋体" w:cs="宋体"/>
                <w:bCs/>
                <w:color w:val="auto"/>
                <w:sz w:val="21"/>
                <w:szCs w:val="21"/>
                <w:highlight w:val="none"/>
                <w:lang w:eastAsia="zh-CN"/>
              </w:rPr>
              <w:t>、信息或网络专业</w:t>
            </w:r>
            <w:r>
              <w:rPr>
                <w:rFonts w:hint="eastAsia" w:hAnsi="宋体" w:cs="宋体"/>
                <w:bCs/>
                <w:color w:val="auto"/>
                <w:sz w:val="21"/>
                <w:szCs w:val="21"/>
                <w:highlight w:val="none"/>
              </w:rPr>
              <w:t>高级工程师</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数据库系统工程师证书</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高级网络规划设计师</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软件设计师</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软件评测师</w:t>
            </w:r>
            <w:r>
              <w:rPr>
                <w:rFonts w:hint="eastAsia" w:hAnsi="宋体" w:cs="宋体"/>
                <w:bCs/>
                <w:color w:val="auto"/>
                <w:sz w:val="21"/>
                <w:szCs w:val="21"/>
                <w:highlight w:val="none"/>
                <w:lang w:eastAsia="zh-CN"/>
              </w:rPr>
              <w:t>、项目管理专业人员认证（如：</w:t>
            </w:r>
            <w:r>
              <w:rPr>
                <w:rFonts w:hint="eastAsia" w:hAnsi="宋体" w:cs="宋体"/>
                <w:bCs/>
                <w:color w:val="auto"/>
                <w:sz w:val="21"/>
                <w:szCs w:val="21"/>
                <w:highlight w:val="none"/>
              </w:rPr>
              <w:t>PMP</w:t>
            </w:r>
            <w:r>
              <w:rPr>
                <w:rFonts w:hint="eastAsia" w:hAnsi="宋体" w:cs="宋体"/>
                <w:bCs/>
                <w:color w:val="auto"/>
                <w:sz w:val="21"/>
                <w:szCs w:val="21"/>
                <w:highlight w:val="none"/>
                <w:lang w:eastAsia="zh-CN"/>
              </w:rPr>
              <w:t>证书）、</w:t>
            </w:r>
            <w:r>
              <w:rPr>
                <w:rFonts w:hint="eastAsia" w:hAnsi="宋体" w:cs="宋体"/>
                <w:bCs/>
                <w:color w:val="auto"/>
                <w:sz w:val="21"/>
                <w:szCs w:val="21"/>
                <w:highlight w:val="none"/>
              </w:rPr>
              <w:t>注册数据安全治理专业人员CISP-DSG</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注册网络安全渗透评估专业人员</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NSATP-A</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云计算安全知识认证证书CCSK</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国家重要信息系统保护人员证书（CIIPT</w:t>
            </w:r>
            <w:r>
              <w:rPr>
                <w:rFonts w:hint="eastAsia" w:hAnsi="宋体" w:cs="宋体"/>
                <w:bCs/>
                <w:color w:val="auto"/>
                <w:sz w:val="21"/>
                <w:szCs w:val="21"/>
                <w:highlight w:val="none"/>
                <w:lang w:eastAsia="zh-CN"/>
              </w:rPr>
              <w:t>或</w:t>
            </w:r>
            <w:r>
              <w:rPr>
                <w:rFonts w:hint="eastAsia" w:hAnsi="宋体" w:cs="宋体"/>
                <w:bCs/>
                <w:color w:val="auto"/>
                <w:sz w:val="21"/>
                <w:szCs w:val="21"/>
                <w:highlight w:val="none"/>
              </w:rPr>
              <w:t>CIIP-E）</w:t>
            </w:r>
            <w:r>
              <w:rPr>
                <w:rFonts w:hint="eastAsia" w:hAnsi="宋体" w:cs="宋体"/>
                <w:bCs/>
                <w:color w:val="auto"/>
                <w:sz w:val="21"/>
                <w:szCs w:val="21"/>
                <w:highlight w:val="none"/>
                <w:lang w:eastAsia="zh-CN"/>
              </w:rPr>
              <w:t>、注册信息安全专业人员证书（</w:t>
            </w:r>
            <w:r>
              <w:rPr>
                <w:rFonts w:hint="eastAsia" w:hAnsi="宋体" w:cs="宋体"/>
                <w:bCs/>
                <w:color w:val="auto"/>
                <w:sz w:val="21"/>
                <w:szCs w:val="21"/>
                <w:highlight w:val="none"/>
              </w:rPr>
              <w:t>CISP</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注册信息安全工程师（CISE）</w:t>
            </w:r>
            <w:bookmarkEnd w:id="36"/>
            <w:r>
              <w:rPr>
                <w:rFonts w:hint="eastAsia" w:hAnsi="宋体" w:cs="宋体"/>
                <w:bCs/>
                <w:color w:val="auto"/>
                <w:sz w:val="21"/>
                <w:szCs w:val="21"/>
                <w:highlight w:val="none"/>
              </w:rPr>
              <w:t>等</w:t>
            </w:r>
            <w:r>
              <w:rPr>
                <w:rFonts w:hint="eastAsia" w:hAnsi="宋体" w:cs="宋体"/>
                <w:bCs/>
                <w:color w:val="auto"/>
                <w:sz w:val="21"/>
                <w:szCs w:val="21"/>
                <w:highlight w:val="none"/>
                <w:lang w:val="en-US" w:eastAsia="zh-CN"/>
              </w:rPr>
              <w:t>执业</w:t>
            </w:r>
            <w:r>
              <w:rPr>
                <w:rFonts w:hint="eastAsia" w:hAnsi="宋体" w:cs="宋体"/>
                <w:bCs/>
                <w:color w:val="auto"/>
                <w:sz w:val="21"/>
                <w:szCs w:val="21"/>
                <w:highlight w:val="none"/>
              </w:rPr>
              <w:t>（职业）证书或技术能力证书】全面齐全，技术服务人员具有丰富的服务经验，能够充分胜任服务岗位的，能满足项目开展的；</w:t>
            </w:r>
          </w:p>
          <w:p w14:paraId="5534EBB6">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r>
              <w:rPr>
                <w:rFonts w:hint="eastAsia" w:hAnsi="宋体" w:cs="宋体"/>
                <w:bCs/>
                <w:color w:val="auto"/>
                <w:sz w:val="21"/>
                <w:szCs w:val="21"/>
                <w:highlight w:val="none"/>
              </w:rPr>
              <w:t>第二档次（</w:t>
            </w:r>
            <w:r>
              <w:rPr>
                <w:rFonts w:hint="eastAsia" w:hAnsi="宋体" w:cs="宋体"/>
                <w:bCs/>
                <w:color w:val="auto"/>
                <w:sz w:val="21"/>
                <w:szCs w:val="21"/>
                <w:highlight w:val="none"/>
                <w:lang w:val="en-US" w:eastAsia="zh-CN"/>
              </w:rPr>
              <w:t>6</w:t>
            </w:r>
            <w:r>
              <w:rPr>
                <w:rFonts w:hint="eastAsia" w:hAnsi="宋体" w:cs="宋体"/>
                <w:bCs/>
                <w:color w:val="auto"/>
                <w:sz w:val="21"/>
                <w:szCs w:val="21"/>
                <w:highlight w:val="none"/>
              </w:rPr>
              <w:t>分）：投标人拟组建的项目服务机构根据项目建设情况进行相应技术分工，项目服务技术团队组织结构较为健全，各类专业技术人员专业和数量构成配备较为合理，</w:t>
            </w:r>
            <w:r>
              <w:rPr>
                <w:rFonts w:hint="eastAsia" w:hAnsi="宋体" w:cs="宋体"/>
                <w:bCs/>
                <w:color w:val="auto"/>
                <w:sz w:val="21"/>
                <w:szCs w:val="21"/>
                <w:highlight w:val="none"/>
                <w:lang w:eastAsia="zh-CN"/>
              </w:rPr>
              <w:t>现场</w:t>
            </w:r>
            <w:r>
              <w:rPr>
                <w:rFonts w:hint="eastAsia" w:hAnsi="宋体" w:cs="宋体"/>
                <w:bCs/>
                <w:color w:val="auto"/>
                <w:sz w:val="21"/>
                <w:szCs w:val="21"/>
                <w:highlight w:val="none"/>
              </w:rPr>
              <w:t>人员配置满足采购需求，主要技术服务人员的能</w:t>
            </w:r>
            <w:r>
              <w:rPr>
                <w:rFonts w:hint="eastAsia" w:hAnsi="宋体" w:cs="宋体"/>
                <w:bCs/>
                <w:color w:val="auto"/>
                <w:sz w:val="21"/>
                <w:szCs w:val="21"/>
                <w:highlight w:val="none"/>
                <w:lang w:eastAsia="zh-CN"/>
              </w:rPr>
              <w:t>力和</w:t>
            </w:r>
            <w:r>
              <w:rPr>
                <w:rFonts w:hint="eastAsia" w:hAnsi="宋体" w:cs="宋体"/>
                <w:bCs/>
                <w:color w:val="auto"/>
                <w:sz w:val="21"/>
                <w:szCs w:val="21"/>
                <w:highlight w:val="none"/>
              </w:rPr>
              <w:t>资质证明材料【如项目服务机构中技术人员具有高级信息系统项目管理师证书</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高级系统架构设计师证书</w:t>
            </w:r>
            <w:r>
              <w:rPr>
                <w:rFonts w:hint="eastAsia" w:hAnsi="宋体" w:cs="宋体"/>
                <w:bCs/>
                <w:color w:val="auto"/>
                <w:sz w:val="21"/>
                <w:szCs w:val="21"/>
                <w:highlight w:val="none"/>
                <w:lang w:eastAsia="zh-CN"/>
              </w:rPr>
              <w:t>、信息或网络专业</w:t>
            </w:r>
            <w:r>
              <w:rPr>
                <w:rFonts w:hint="eastAsia" w:hAnsi="宋体" w:cs="宋体"/>
                <w:bCs/>
                <w:color w:val="auto"/>
                <w:sz w:val="21"/>
                <w:szCs w:val="21"/>
                <w:highlight w:val="none"/>
              </w:rPr>
              <w:t>高级工程师</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数据库系统工程师证书</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高级网络规划设计师</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软件设计师</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软件评测师</w:t>
            </w:r>
            <w:r>
              <w:rPr>
                <w:rFonts w:hint="eastAsia" w:hAnsi="宋体" w:cs="宋体"/>
                <w:bCs/>
                <w:color w:val="auto"/>
                <w:sz w:val="21"/>
                <w:szCs w:val="21"/>
                <w:highlight w:val="none"/>
                <w:lang w:eastAsia="zh-CN"/>
              </w:rPr>
              <w:t>、项目管理专业人员认证（如：</w:t>
            </w:r>
            <w:r>
              <w:rPr>
                <w:rFonts w:hint="eastAsia" w:hAnsi="宋体" w:cs="宋体"/>
                <w:bCs/>
                <w:color w:val="auto"/>
                <w:sz w:val="21"/>
                <w:szCs w:val="21"/>
                <w:highlight w:val="none"/>
              </w:rPr>
              <w:t>PMP</w:t>
            </w:r>
            <w:r>
              <w:rPr>
                <w:rFonts w:hint="eastAsia" w:hAnsi="宋体" w:cs="宋体"/>
                <w:bCs/>
                <w:color w:val="auto"/>
                <w:sz w:val="21"/>
                <w:szCs w:val="21"/>
                <w:highlight w:val="none"/>
                <w:lang w:eastAsia="zh-CN"/>
              </w:rPr>
              <w:t>证书）、</w:t>
            </w:r>
            <w:r>
              <w:rPr>
                <w:rFonts w:hint="eastAsia" w:hAnsi="宋体" w:cs="宋体"/>
                <w:bCs/>
                <w:color w:val="auto"/>
                <w:sz w:val="21"/>
                <w:szCs w:val="21"/>
                <w:highlight w:val="none"/>
              </w:rPr>
              <w:t>注册数据安全治理专业人员CISP-DSG</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注册网络安全渗透评估专业人员</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NSATP-A</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云计算安全知识认证证书CCSK</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国家重要信息系统保护人员证书（CIIPT</w:t>
            </w:r>
            <w:r>
              <w:rPr>
                <w:rFonts w:hint="eastAsia" w:hAnsi="宋体" w:cs="宋体"/>
                <w:bCs/>
                <w:color w:val="auto"/>
                <w:sz w:val="21"/>
                <w:szCs w:val="21"/>
                <w:highlight w:val="none"/>
                <w:lang w:eastAsia="zh-CN"/>
              </w:rPr>
              <w:t>或</w:t>
            </w:r>
            <w:r>
              <w:rPr>
                <w:rFonts w:hint="eastAsia" w:hAnsi="宋体" w:cs="宋体"/>
                <w:bCs/>
                <w:color w:val="auto"/>
                <w:sz w:val="21"/>
                <w:szCs w:val="21"/>
                <w:highlight w:val="none"/>
              </w:rPr>
              <w:t>CIIP-E）</w:t>
            </w:r>
            <w:r>
              <w:rPr>
                <w:rFonts w:hint="eastAsia" w:hAnsi="宋体" w:cs="宋体"/>
                <w:bCs/>
                <w:color w:val="auto"/>
                <w:sz w:val="21"/>
                <w:szCs w:val="21"/>
                <w:highlight w:val="none"/>
                <w:lang w:eastAsia="zh-CN"/>
              </w:rPr>
              <w:t>、注册信息安全专业人员证书（</w:t>
            </w:r>
            <w:r>
              <w:rPr>
                <w:rFonts w:hint="eastAsia" w:hAnsi="宋体" w:cs="宋体"/>
                <w:bCs/>
                <w:color w:val="auto"/>
                <w:sz w:val="21"/>
                <w:szCs w:val="21"/>
                <w:highlight w:val="none"/>
              </w:rPr>
              <w:t>CISP</w:t>
            </w:r>
            <w:r>
              <w:rPr>
                <w:rFonts w:hint="eastAsia" w:hAnsi="宋体" w:cs="宋体"/>
                <w:bCs/>
                <w:color w:val="auto"/>
                <w:sz w:val="21"/>
                <w:szCs w:val="21"/>
                <w:highlight w:val="none"/>
                <w:lang w:eastAsia="zh-CN"/>
              </w:rPr>
              <w:t>）、</w:t>
            </w:r>
            <w:r>
              <w:rPr>
                <w:rFonts w:hint="eastAsia" w:hAnsi="宋体" w:cs="宋体"/>
                <w:bCs/>
                <w:color w:val="auto"/>
                <w:sz w:val="21"/>
                <w:szCs w:val="21"/>
                <w:highlight w:val="none"/>
              </w:rPr>
              <w:t>注册信息安全工程师（CISE）证书或技术能力证书】较为齐全（缺失技术人员能力证明种类的不超过</w:t>
            </w:r>
            <w:r>
              <w:rPr>
                <w:rFonts w:hint="eastAsia" w:hAnsi="宋体" w:cs="宋体"/>
                <w:bCs/>
                <w:color w:val="auto"/>
                <w:sz w:val="21"/>
                <w:szCs w:val="21"/>
                <w:highlight w:val="none"/>
                <w:lang w:val="en-US" w:eastAsia="zh-CN"/>
              </w:rPr>
              <w:t>4</w:t>
            </w:r>
            <w:r>
              <w:rPr>
                <w:rFonts w:hint="eastAsia" w:hAnsi="宋体" w:cs="宋体"/>
                <w:bCs/>
                <w:color w:val="auto"/>
                <w:sz w:val="21"/>
                <w:szCs w:val="21"/>
                <w:highlight w:val="none"/>
              </w:rPr>
              <w:t>类），技术服务人员具有相应的服务经验，能满足项目实施要求的。</w:t>
            </w:r>
          </w:p>
          <w:p w14:paraId="27287E4B">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r>
              <w:rPr>
                <w:rFonts w:hint="eastAsia" w:hAnsi="宋体" w:cs="宋体"/>
                <w:bCs/>
                <w:color w:val="auto"/>
                <w:sz w:val="21"/>
                <w:szCs w:val="21"/>
                <w:highlight w:val="none"/>
              </w:rPr>
              <w:t>第三档次（</w:t>
            </w:r>
            <w:r>
              <w:rPr>
                <w:rFonts w:hint="eastAsia" w:hAnsi="宋体" w:cs="宋体"/>
                <w:bCs/>
                <w:color w:val="auto"/>
                <w:sz w:val="21"/>
                <w:szCs w:val="21"/>
                <w:highlight w:val="none"/>
                <w:lang w:val="en-US" w:eastAsia="zh-CN"/>
              </w:rPr>
              <w:t>4</w:t>
            </w:r>
            <w:r>
              <w:rPr>
                <w:rFonts w:hint="eastAsia" w:hAnsi="宋体" w:cs="宋体"/>
                <w:bCs/>
                <w:color w:val="auto"/>
                <w:sz w:val="21"/>
                <w:szCs w:val="21"/>
                <w:highlight w:val="none"/>
              </w:rPr>
              <w:t>分）：投标人拟组建的项目服务机构的技术分工介绍表述不完整或分工不明确，项目服务技术团队组织结构基本健全，各类专业技术人员专业配置基本合理和数量配置人员较少，</w:t>
            </w:r>
            <w:r>
              <w:rPr>
                <w:rFonts w:hint="eastAsia" w:hAnsi="宋体" w:cs="宋体"/>
                <w:bCs/>
                <w:color w:val="auto"/>
                <w:sz w:val="21"/>
                <w:szCs w:val="21"/>
                <w:highlight w:val="none"/>
                <w:lang w:eastAsia="zh-CN"/>
              </w:rPr>
              <w:t>现场</w:t>
            </w:r>
            <w:r>
              <w:rPr>
                <w:rFonts w:hint="eastAsia" w:hAnsi="宋体" w:cs="宋体"/>
                <w:bCs/>
                <w:color w:val="auto"/>
                <w:sz w:val="21"/>
                <w:szCs w:val="21"/>
                <w:highlight w:val="none"/>
              </w:rPr>
              <w:t>人员配置基本满足采购需求，主要技术服务人员的能力资质证明材料存在部分缺失（缺失技术人员能力证明种类的超过</w:t>
            </w:r>
            <w:r>
              <w:rPr>
                <w:rFonts w:hint="eastAsia" w:hAnsi="宋体" w:cs="宋体"/>
                <w:bCs/>
                <w:color w:val="auto"/>
                <w:sz w:val="21"/>
                <w:szCs w:val="21"/>
                <w:highlight w:val="none"/>
                <w:lang w:val="en-US" w:eastAsia="zh-CN"/>
              </w:rPr>
              <w:t>4</w:t>
            </w:r>
            <w:r>
              <w:rPr>
                <w:rFonts w:hint="eastAsia" w:hAnsi="宋体" w:cs="宋体"/>
                <w:bCs/>
                <w:color w:val="auto"/>
                <w:sz w:val="21"/>
                <w:szCs w:val="21"/>
                <w:highlight w:val="none"/>
              </w:rPr>
              <w:t>类），技术服务人员具有相应的服务经验，能满足项目实施要求的。</w:t>
            </w:r>
          </w:p>
          <w:p w14:paraId="2039AB69">
            <w:pPr>
              <w:kinsoku w:val="0"/>
              <w:overflowPunct w:val="0"/>
              <w:autoSpaceDE w:val="0"/>
              <w:autoSpaceDN w:val="0"/>
              <w:adjustRightInd w:val="0"/>
              <w:snapToGrid w:val="0"/>
              <w:spacing w:line="400" w:lineRule="exact"/>
              <w:jc w:val="left"/>
              <w:rPr>
                <w:rFonts w:hint="eastAsia" w:hAnsi="宋体" w:cs="宋体"/>
                <w:bCs/>
                <w:color w:val="auto"/>
                <w:sz w:val="21"/>
                <w:szCs w:val="21"/>
                <w:highlight w:val="none"/>
              </w:rPr>
            </w:pPr>
            <w:r>
              <w:rPr>
                <w:rFonts w:hint="eastAsia" w:hAnsi="宋体" w:cs="宋体"/>
                <w:bCs/>
                <w:color w:val="auto"/>
                <w:sz w:val="21"/>
                <w:szCs w:val="21"/>
                <w:highlight w:val="none"/>
              </w:rPr>
              <w:t>第四档次（</w:t>
            </w:r>
            <w:r>
              <w:rPr>
                <w:rFonts w:hint="eastAsia" w:hAnsi="宋体" w:cs="宋体"/>
                <w:bCs/>
                <w:color w:val="auto"/>
                <w:sz w:val="21"/>
                <w:szCs w:val="21"/>
                <w:highlight w:val="none"/>
                <w:lang w:val="en-US" w:eastAsia="zh-CN"/>
              </w:rPr>
              <w:t>2</w:t>
            </w:r>
            <w:r>
              <w:rPr>
                <w:rFonts w:hint="eastAsia" w:hAnsi="宋体" w:cs="宋体"/>
                <w:bCs/>
                <w:color w:val="auto"/>
                <w:sz w:val="21"/>
                <w:szCs w:val="21"/>
                <w:highlight w:val="none"/>
              </w:rPr>
              <w:t>分）：投标人拟组建的项目服务机构没有技术分工介绍，项目服务技术团队组织结构基本健全，各类专业技术人员专业和数量构成配置基本满足采购要求，</w:t>
            </w:r>
            <w:r>
              <w:rPr>
                <w:rFonts w:hint="eastAsia" w:hAnsi="宋体" w:cs="宋体"/>
                <w:bCs/>
                <w:color w:val="auto"/>
                <w:sz w:val="21"/>
                <w:szCs w:val="21"/>
                <w:highlight w:val="none"/>
                <w:lang w:eastAsia="zh-CN"/>
              </w:rPr>
              <w:t>现场</w:t>
            </w:r>
            <w:r>
              <w:rPr>
                <w:rFonts w:hint="eastAsia" w:hAnsi="宋体" w:cs="宋体"/>
                <w:bCs/>
                <w:color w:val="auto"/>
                <w:sz w:val="21"/>
                <w:szCs w:val="21"/>
                <w:highlight w:val="none"/>
              </w:rPr>
              <w:t>人员配置基本满足采购需求，主要技术服务人员的能力资质证明材料存在缺失（无相应的职业（</w:t>
            </w:r>
            <w:r>
              <w:rPr>
                <w:rFonts w:hint="eastAsia" w:hAnsi="宋体" w:cs="宋体"/>
                <w:bCs/>
                <w:color w:val="auto"/>
                <w:sz w:val="21"/>
                <w:szCs w:val="21"/>
                <w:highlight w:val="none"/>
                <w:lang w:eastAsia="zh-CN"/>
              </w:rPr>
              <w:t>执业</w:t>
            </w:r>
            <w:r>
              <w:rPr>
                <w:rFonts w:hint="eastAsia" w:hAnsi="宋体" w:cs="宋体"/>
                <w:bCs/>
                <w:color w:val="auto"/>
                <w:sz w:val="21"/>
                <w:szCs w:val="21"/>
                <w:highlight w:val="none"/>
              </w:rPr>
              <w:t>）证书或技术能力证书），技术服务人员无相应的服务经验或提供的证明材料模糊造成无法辨别者的。</w:t>
            </w:r>
          </w:p>
          <w:p w14:paraId="06D39C90">
            <w:pPr>
              <w:kinsoku w:val="0"/>
              <w:overflowPunct w:val="0"/>
              <w:autoSpaceDE w:val="0"/>
              <w:autoSpaceDN w:val="0"/>
              <w:adjustRightInd w:val="0"/>
              <w:snapToGrid w:val="0"/>
              <w:spacing w:line="400" w:lineRule="exact"/>
              <w:jc w:val="left"/>
              <w:rPr>
                <w:color w:val="auto"/>
                <w:highlight w:val="none"/>
              </w:rPr>
            </w:pPr>
            <w:r>
              <w:rPr>
                <w:rFonts w:hint="eastAsia" w:hAnsi="宋体" w:cs="宋体"/>
                <w:bCs/>
                <w:color w:val="auto"/>
                <w:sz w:val="21"/>
                <w:szCs w:val="21"/>
                <w:highlight w:val="none"/>
              </w:rPr>
              <w:t>注：投标人须提供项目团队服务人员的相关证明材料【身份证、毕业证、人员在职证明材料（如近半年内的社保证明和劳动合同）】</w:t>
            </w:r>
            <w:r>
              <w:rPr>
                <w:rFonts w:hint="eastAsia" w:hAnsi="宋体" w:cs="宋体"/>
                <w:bCs/>
                <w:color w:val="auto"/>
                <w:sz w:val="21"/>
                <w:szCs w:val="21"/>
                <w:highlight w:val="none"/>
                <w:lang w:val="en-US" w:eastAsia="zh-CN"/>
              </w:rPr>
              <w:t>或配备的人员不满足采购需求</w:t>
            </w:r>
            <w:r>
              <w:rPr>
                <w:rFonts w:hint="eastAsia" w:hAnsi="宋体" w:cs="宋体"/>
                <w:bCs/>
                <w:color w:val="auto"/>
                <w:sz w:val="21"/>
                <w:szCs w:val="21"/>
                <w:highlight w:val="none"/>
              </w:rPr>
              <w:t>的此项不得分。</w:t>
            </w:r>
          </w:p>
        </w:tc>
      </w:tr>
      <w:tr w14:paraId="0BD2F2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3D37762D">
            <w:pPr>
              <w:spacing w:line="400" w:lineRule="exact"/>
              <w:rPr>
                <w:rFonts w:hint="eastAsia" w:hAnsi="宋体" w:cs="宋体"/>
                <w:color w:val="auto"/>
                <w:sz w:val="21"/>
                <w:szCs w:val="21"/>
                <w:highlight w:val="none"/>
              </w:rPr>
            </w:pPr>
          </w:p>
        </w:tc>
        <w:tc>
          <w:tcPr>
            <w:tcW w:w="894" w:type="dxa"/>
            <w:vMerge w:val="continue"/>
            <w:vAlign w:val="center"/>
          </w:tcPr>
          <w:p w14:paraId="76DAB4D4">
            <w:pPr>
              <w:spacing w:line="400" w:lineRule="exact"/>
              <w:rPr>
                <w:rFonts w:hint="eastAsia" w:hAnsi="宋体" w:cs="宋体"/>
                <w:color w:val="auto"/>
                <w:sz w:val="21"/>
                <w:szCs w:val="21"/>
                <w:highlight w:val="none"/>
              </w:rPr>
            </w:pPr>
          </w:p>
        </w:tc>
        <w:tc>
          <w:tcPr>
            <w:tcW w:w="1250" w:type="dxa"/>
            <w:vMerge w:val="continue"/>
            <w:vAlign w:val="center"/>
          </w:tcPr>
          <w:p w14:paraId="2E4B2812">
            <w:pPr>
              <w:spacing w:line="400" w:lineRule="exact"/>
              <w:jc w:val="center"/>
              <w:rPr>
                <w:rFonts w:hint="eastAsia" w:hAnsi="宋体" w:cs="宋体"/>
                <w:color w:val="auto"/>
                <w:sz w:val="21"/>
                <w:szCs w:val="21"/>
                <w:highlight w:val="none"/>
              </w:rPr>
            </w:pPr>
          </w:p>
        </w:tc>
        <w:tc>
          <w:tcPr>
            <w:tcW w:w="7035" w:type="dxa"/>
            <w:vAlign w:val="center"/>
          </w:tcPr>
          <w:p w14:paraId="51E6E2BD">
            <w:pPr>
              <w:spacing w:line="400" w:lineRule="exact"/>
              <w:rPr>
                <w:rFonts w:hint="eastAsia" w:hAnsi="宋体" w:cs="宋体"/>
                <w:b/>
                <w:bCs/>
                <w:color w:val="auto"/>
                <w:sz w:val="21"/>
                <w:szCs w:val="21"/>
                <w:highlight w:val="none"/>
              </w:rPr>
            </w:pPr>
            <w:r>
              <w:rPr>
                <w:rFonts w:hint="eastAsia" w:hAnsi="宋体" w:cs="宋体"/>
                <w:b/>
                <w:bCs/>
                <w:color w:val="auto"/>
                <w:sz w:val="21"/>
                <w:szCs w:val="21"/>
                <w:highlight w:val="none"/>
                <w:lang w:val="en-US" w:eastAsia="zh-CN"/>
              </w:rPr>
              <w:t>9.</w:t>
            </w:r>
            <w:r>
              <w:rPr>
                <w:rFonts w:hint="eastAsia" w:hAnsi="宋体" w:cs="宋体"/>
                <w:b/>
                <w:bCs/>
                <w:color w:val="auto"/>
                <w:sz w:val="21"/>
                <w:szCs w:val="21"/>
                <w:highlight w:val="none"/>
              </w:rPr>
              <w:t>项目经验评价（满分</w:t>
            </w:r>
            <w:r>
              <w:rPr>
                <w:rFonts w:hint="eastAsia" w:hAnsi="宋体" w:cs="宋体"/>
                <w:b/>
                <w:bCs/>
                <w:color w:val="auto"/>
                <w:sz w:val="21"/>
                <w:szCs w:val="21"/>
                <w:highlight w:val="none"/>
                <w:lang w:val="en-US" w:eastAsia="zh-CN"/>
              </w:rPr>
              <w:t>3</w:t>
            </w:r>
            <w:r>
              <w:rPr>
                <w:rFonts w:hint="eastAsia" w:hAnsi="宋体" w:cs="宋体"/>
                <w:b/>
                <w:bCs/>
                <w:color w:val="auto"/>
                <w:sz w:val="21"/>
                <w:szCs w:val="21"/>
                <w:highlight w:val="none"/>
              </w:rPr>
              <w:t>分）</w:t>
            </w:r>
          </w:p>
          <w:p w14:paraId="2151D06F">
            <w:pPr>
              <w:spacing w:line="400" w:lineRule="exact"/>
              <w:rPr>
                <w:rFonts w:hint="eastAsia" w:hAnsi="宋体" w:cs="宋体"/>
                <w:color w:val="auto"/>
                <w:sz w:val="21"/>
                <w:szCs w:val="21"/>
                <w:highlight w:val="none"/>
              </w:rPr>
            </w:pPr>
            <w:r>
              <w:rPr>
                <w:rFonts w:hint="eastAsia" w:hAnsi="宋体" w:cs="宋体"/>
                <w:color w:val="auto"/>
                <w:sz w:val="21"/>
                <w:szCs w:val="21"/>
                <w:highlight w:val="none"/>
              </w:rPr>
              <w:t>包括202</w:t>
            </w:r>
            <w:r>
              <w:rPr>
                <w:rFonts w:hint="eastAsia" w:hAnsi="宋体" w:cs="宋体"/>
                <w:color w:val="auto"/>
                <w:sz w:val="21"/>
                <w:szCs w:val="21"/>
                <w:highlight w:val="none"/>
                <w:lang w:val="en-US" w:eastAsia="zh-CN"/>
              </w:rPr>
              <w:t>2</w:t>
            </w:r>
            <w:r>
              <w:rPr>
                <w:rFonts w:hint="eastAsia" w:hAnsi="宋体" w:cs="宋体"/>
                <w:color w:val="auto"/>
                <w:sz w:val="21"/>
                <w:szCs w:val="21"/>
                <w:highlight w:val="none"/>
              </w:rPr>
              <w:t>年1月1日至今完成的项目经验情况等因素：</w:t>
            </w:r>
          </w:p>
          <w:p w14:paraId="7C9B769D">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根据投标文件中提供的项目经验证明材料进行评审（合同和项目验收合格证明材料），根据项目经验证明材料数量多少进行打分。若未提供项目经验证明材料，评委可不予认可。</w:t>
            </w:r>
          </w:p>
          <w:p w14:paraId="3C1A5AC1">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每提供一份项目经验得1</w:t>
            </w:r>
            <w:r>
              <w:rPr>
                <w:rFonts w:hint="eastAsia" w:hAnsi="宋体" w:cs="宋体"/>
                <w:color w:val="auto"/>
                <w:sz w:val="21"/>
                <w:szCs w:val="21"/>
                <w:highlight w:val="none"/>
                <w:lang w:val="en-US" w:eastAsia="zh-CN"/>
              </w:rPr>
              <w:t>.5</w:t>
            </w:r>
            <w:r>
              <w:rPr>
                <w:rFonts w:hint="eastAsia" w:hAnsi="宋体" w:cs="宋体"/>
                <w:color w:val="auto"/>
                <w:sz w:val="21"/>
                <w:szCs w:val="21"/>
                <w:highlight w:val="none"/>
              </w:rPr>
              <w:t>分，最高不超过</w:t>
            </w:r>
            <w:r>
              <w:rPr>
                <w:rFonts w:hint="eastAsia" w:hAnsi="宋体" w:cs="宋体"/>
                <w:color w:val="auto"/>
                <w:sz w:val="21"/>
                <w:szCs w:val="21"/>
                <w:highlight w:val="none"/>
                <w:lang w:val="en-US" w:eastAsia="zh-CN"/>
              </w:rPr>
              <w:t>3</w:t>
            </w:r>
            <w:r>
              <w:rPr>
                <w:rFonts w:hint="eastAsia" w:hAnsi="宋体" w:cs="宋体"/>
                <w:color w:val="auto"/>
                <w:sz w:val="21"/>
                <w:szCs w:val="21"/>
                <w:highlight w:val="none"/>
              </w:rPr>
              <w:t>分；投标人无类似项目经验证明材料的或提供的项目经验证明材料模糊不能辨认的，得0分。</w:t>
            </w:r>
          </w:p>
          <w:p w14:paraId="20E972AD">
            <w:pPr>
              <w:spacing w:line="400" w:lineRule="exact"/>
              <w:rPr>
                <w:rFonts w:hint="eastAsia" w:hAnsi="宋体" w:cs="宋体"/>
                <w:color w:val="auto"/>
                <w:sz w:val="21"/>
                <w:szCs w:val="21"/>
                <w:highlight w:val="none"/>
              </w:rPr>
            </w:pPr>
            <w:r>
              <w:rPr>
                <w:rFonts w:hint="eastAsia" w:hAnsi="宋体" w:cs="宋体"/>
                <w:color w:val="auto"/>
                <w:sz w:val="21"/>
                <w:szCs w:val="21"/>
                <w:highlight w:val="none"/>
              </w:rPr>
              <w:t>类似项目经验：是指投标人202</w:t>
            </w:r>
            <w:r>
              <w:rPr>
                <w:rFonts w:hint="eastAsia" w:hAnsi="宋体" w:cs="宋体"/>
                <w:color w:val="auto"/>
                <w:sz w:val="21"/>
                <w:szCs w:val="21"/>
                <w:highlight w:val="none"/>
                <w:lang w:val="en-US" w:eastAsia="zh-CN"/>
              </w:rPr>
              <w:t>2</w:t>
            </w:r>
            <w:r>
              <w:rPr>
                <w:rFonts w:hint="eastAsia" w:hAnsi="宋体" w:cs="宋体"/>
                <w:color w:val="auto"/>
                <w:sz w:val="21"/>
                <w:szCs w:val="21"/>
                <w:highlight w:val="none"/>
              </w:rPr>
              <w:t>年1月1日（以合同签订之日起计算）至今承担过与</w:t>
            </w:r>
            <w:r>
              <w:rPr>
                <w:rFonts w:hint="eastAsia" w:hAnsi="宋体" w:cs="宋体"/>
                <w:color w:val="auto"/>
                <w:sz w:val="21"/>
                <w:szCs w:val="21"/>
                <w:highlight w:val="none"/>
                <w:lang w:val="en-US" w:eastAsia="zh-CN"/>
              </w:rPr>
              <w:t>类似软件系统开发</w:t>
            </w:r>
            <w:r>
              <w:rPr>
                <w:rFonts w:hint="eastAsia" w:hAnsi="宋体" w:cs="宋体"/>
                <w:color w:val="auto"/>
                <w:sz w:val="21"/>
                <w:szCs w:val="21"/>
                <w:highlight w:val="none"/>
              </w:rPr>
              <w:t>建设服务实施经验。</w:t>
            </w:r>
          </w:p>
        </w:tc>
      </w:tr>
      <w:tr w14:paraId="4F8FE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1" w:type="dxa"/>
            <w:vMerge w:val="continue"/>
            <w:vAlign w:val="center"/>
          </w:tcPr>
          <w:p w14:paraId="457B4442">
            <w:pPr>
              <w:spacing w:line="400" w:lineRule="exact"/>
              <w:rPr>
                <w:rFonts w:hint="eastAsia" w:hAnsi="宋体" w:cs="宋体"/>
                <w:color w:val="auto"/>
                <w:sz w:val="21"/>
                <w:szCs w:val="21"/>
                <w:highlight w:val="none"/>
              </w:rPr>
            </w:pPr>
          </w:p>
        </w:tc>
        <w:tc>
          <w:tcPr>
            <w:tcW w:w="894" w:type="dxa"/>
            <w:vMerge w:val="continue"/>
            <w:vAlign w:val="center"/>
          </w:tcPr>
          <w:p w14:paraId="6CCC0FD5">
            <w:pPr>
              <w:spacing w:line="400" w:lineRule="exact"/>
              <w:rPr>
                <w:rFonts w:hint="eastAsia" w:hAnsi="宋体" w:cs="宋体"/>
                <w:color w:val="auto"/>
                <w:sz w:val="21"/>
                <w:szCs w:val="21"/>
                <w:highlight w:val="none"/>
              </w:rPr>
            </w:pPr>
          </w:p>
        </w:tc>
        <w:tc>
          <w:tcPr>
            <w:tcW w:w="1250" w:type="dxa"/>
            <w:vAlign w:val="center"/>
          </w:tcPr>
          <w:p w14:paraId="54D58AB2">
            <w:pPr>
              <w:spacing w:line="400" w:lineRule="exact"/>
              <w:jc w:val="center"/>
              <w:rPr>
                <w:rFonts w:hint="eastAsia" w:hAnsi="宋体" w:cs="宋体"/>
                <w:color w:val="auto"/>
                <w:sz w:val="21"/>
                <w:szCs w:val="21"/>
                <w:highlight w:val="none"/>
              </w:rPr>
            </w:pPr>
            <w:r>
              <w:rPr>
                <w:rFonts w:hint="eastAsia" w:hAnsi="宋体" w:cs="宋体"/>
                <w:color w:val="auto"/>
                <w:sz w:val="21"/>
                <w:szCs w:val="21"/>
                <w:highlight w:val="none"/>
              </w:rPr>
              <w:t>2）投标报价得分F2</w:t>
            </w:r>
          </w:p>
          <w:p w14:paraId="69994568">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（满分</w:t>
            </w:r>
            <w:r>
              <w:rPr>
                <w:rFonts w:hint="eastAsia" w:hAnsi="宋体" w:cs="宋体"/>
                <w:color w:val="auto"/>
                <w:sz w:val="21"/>
                <w:szCs w:val="21"/>
                <w:highlight w:val="none"/>
                <w:lang w:val="en-US" w:eastAsia="zh-CN"/>
              </w:rPr>
              <w:t>10</w:t>
            </w:r>
            <w:r>
              <w:rPr>
                <w:rFonts w:hint="eastAsia" w:hAnsi="宋体" w:cs="宋体"/>
                <w:color w:val="auto"/>
                <w:sz w:val="21"/>
                <w:szCs w:val="21"/>
                <w:highlight w:val="none"/>
              </w:rPr>
              <w:t>分）</w:t>
            </w:r>
          </w:p>
        </w:tc>
        <w:tc>
          <w:tcPr>
            <w:tcW w:w="7035" w:type="dxa"/>
            <w:vAlign w:val="center"/>
          </w:tcPr>
          <w:p w14:paraId="327DE995">
            <w:pPr>
              <w:spacing w:line="400" w:lineRule="exact"/>
              <w:rPr>
                <w:rFonts w:hint="eastAsia" w:hAnsi="宋体" w:cs="宋体"/>
                <w:color w:val="auto"/>
                <w:sz w:val="21"/>
                <w:szCs w:val="21"/>
                <w:highlight w:val="none"/>
              </w:rPr>
            </w:pPr>
            <w:r>
              <w:rPr>
                <w:rFonts w:hint="eastAsia" w:hAnsi="宋体" w:cs="宋体"/>
                <w:color w:val="auto"/>
                <w:sz w:val="21"/>
                <w:szCs w:val="21"/>
                <w:highlight w:val="none"/>
              </w:rPr>
              <w:t>（1）投标报价评审计算公式：</w:t>
            </w:r>
          </w:p>
          <w:p w14:paraId="3CF9F331">
            <w:pPr>
              <w:spacing w:line="400" w:lineRule="exact"/>
              <w:rPr>
                <w:rFonts w:hint="default" w:hAnsi="宋体" w:cs="宋体"/>
                <w:color w:val="auto"/>
                <w:sz w:val="21"/>
                <w:szCs w:val="21"/>
                <w:highlight w:val="none"/>
                <w:lang w:val="en-US"/>
              </w:rPr>
            </w:pPr>
            <w:r>
              <w:rPr>
                <w:rFonts w:hint="eastAsia" w:hAnsi="宋体" w:cs="宋体"/>
                <w:color w:val="auto"/>
                <w:sz w:val="21"/>
                <w:szCs w:val="21"/>
                <w:highlight w:val="none"/>
              </w:rPr>
              <w:t>投标报价计算公式=（评标基准价/该投标人投标报价）×</w:t>
            </w:r>
            <w:r>
              <w:rPr>
                <w:rFonts w:hint="eastAsia" w:hAnsi="宋体" w:cs="宋体"/>
                <w:color w:val="auto"/>
                <w:sz w:val="21"/>
                <w:szCs w:val="21"/>
                <w:highlight w:val="none"/>
                <w:lang w:val="en-US" w:eastAsia="zh-CN"/>
              </w:rPr>
              <w:t>10</w:t>
            </w:r>
          </w:p>
          <w:p w14:paraId="09969A10">
            <w:pPr>
              <w:spacing w:line="400" w:lineRule="exact"/>
              <w:rPr>
                <w:rFonts w:hint="default" w:hAnsi="宋体" w:cs="宋体"/>
                <w:color w:val="auto"/>
                <w:sz w:val="21"/>
                <w:szCs w:val="21"/>
                <w:highlight w:val="none"/>
                <w:lang w:val="en-US"/>
              </w:rPr>
            </w:pPr>
            <w:r>
              <w:rPr>
                <w:rFonts w:hint="eastAsia" w:hAnsi="宋体" w:cs="宋体"/>
                <w:color w:val="auto"/>
                <w:sz w:val="21"/>
                <w:szCs w:val="21"/>
                <w:highlight w:val="none"/>
              </w:rPr>
              <w:t>即：F2=[P/（B1，B2，…，Bn）]×</w:t>
            </w:r>
            <w:r>
              <w:rPr>
                <w:rFonts w:hint="eastAsia" w:hAnsi="宋体" w:cs="宋体"/>
                <w:color w:val="auto"/>
                <w:sz w:val="21"/>
                <w:szCs w:val="21"/>
                <w:highlight w:val="none"/>
                <w:lang w:val="en-US" w:eastAsia="zh-CN"/>
              </w:rPr>
              <w:t>10</w:t>
            </w:r>
          </w:p>
          <w:p w14:paraId="209445E4">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注：P为评标基准价，即经初步评审审查合格且投标报价最低的有效投标报价；</w:t>
            </w:r>
          </w:p>
          <w:p w14:paraId="456082AE">
            <w:pPr>
              <w:spacing w:line="400" w:lineRule="exact"/>
              <w:rPr>
                <w:rFonts w:hint="eastAsia" w:hAnsi="宋体" w:cs="宋体"/>
                <w:color w:val="auto"/>
                <w:sz w:val="21"/>
                <w:szCs w:val="21"/>
                <w:highlight w:val="none"/>
              </w:rPr>
            </w:pPr>
            <w:r>
              <w:rPr>
                <w:rFonts w:hint="eastAsia" w:hAnsi="宋体" w:cs="宋体"/>
                <w:color w:val="auto"/>
                <w:sz w:val="21"/>
                <w:szCs w:val="21"/>
                <w:highlight w:val="none"/>
              </w:rPr>
              <w:t>B1，B2，…，Bn为通过符合性评审的有效投标报价，n为通过符合性评审的有效最终报价的个数。</w:t>
            </w:r>
          </w:p>
          <w:p w14:paraId="4DFE27F1">
            <w:pPr>
              <w:spacing w:line="400" w:lineRule="exact"/>
              <w:rPr>
                <w:rFonts w:hint="eastAsia" w:hAnsi="宋体" w:cs="宋体"/>
                <w:color w:val="auto"/>
                <w:sz w:val="21"/>
                <w:szCs w:val="21"/>
                <w:highlight w:val="none"/>
              </w:rPr>
            </w:pPr>
            <w:r>
              <w:rPr>
                <w:rFonts w:hint="eastAsia" w:hAnsi="宋体" w:cs="宋体"/>
                <w:color w:val="auto"/>
                <w:sz w:val="21"/>
                <w:szCs w:val="21"/>
                <w:highlight w:val="none"/>
              </w:rPr>
              <w:t>（2）小微企业报价的确定：</w:t>
            </w:r>
          </w:p>
          <w:p w14:paraId="4F03BC38">
            <w:pPr>
              <w:spacing w:line="400" w:lineRule="exact"/>
              <w:rPr>
                <w:rFonts w:hint="eastAsia" w:hAnsi="宋体" w:cs="宋体"/>
                <w:color w:val="auto"/>
                <w:sz w:val="21"/>
                <w:szCs w:val="21"/>
                <w:highlight w:val="none"/>
              </w:rPr>
            </w:pPr>
            <w:r>
              <w:rPr>
                <w:rFonts w:hint="eastAsia" w:hAnsi="宋体" w:cs="宋体"/>
                <w:color w:val="auto"/>
                <w:sz w:val="21"/>
                <w:szCs w:val="21"/>
                <w:highlight w:val="none"/>
              </w:rPr>
              <w:t>①小型、微型企业提供参与投标时，须提供本企业的《中小企业声明函》。</w:t>
            </w:r>
          </w:p>
          <w:p w14:paraId="7C825089">
            <w:pPr>
              <w:spacing w:line="400" w:lineRule="exact"/>
              <w:rPr>
                <w:rFonts w:hint="eastAsia" w:hAnsi="宋体" w:cs="宋体"/>
                <w:color w:val="auto"/>
                <w:sz w:val="21"/>
                <w:szCs w:val="21"/>
                <w:highlight w:val="none"/>
              </w:rPr>
            </w:pPr>
            <w:r>
              <w:rPr>
                <w:rFonts w:hint="eastAsia" w:hAnsi="宋体" w:cs="宋体"/>
                <w:color w:val="auto"/>
                <w:sz w:val="21"/>
                <w:szCs w:val="21"/>
                <w:highlight w:val="none"/>
              </w:rPr>
              <w:t>②如投标人为监狱企业，还须提供省级以上监狱管理局、戒毒管理局（含新疆生产建设兵团）出具的属于监狱企业的证明文件扫描件。</w:t>
            </w:r>
          </w:p>
          <w:p w14:paraId="61FE0027">
            <w:pPr>
              <w:spacing w:line="400" w:lineRule="exact"/>
              <w:rPr>
                <w:rFonts w:hint="eastAsia" w:hAnsi="宋体" w:cs="宋体"/>
                <w:color w:val="auto"/>
                <w:sz w:val="21"/>
                <w:szCs w:val="21"/>
                <w:highlight w:val="none"/>
              </w:rPr>
            </w:pPr>
            <w:r>
              <w:rPr>
                <w:rFonts w:hint="eastAsia" w:hAnsi="宋体" w:cs="宋体"/>
                <w:color w:val="auto"/>
                <w:sz w:val="21"/>
                <w:szCs w:val="21"/>
                <w:highlight w:val="none"/>
              </w:rPr>
              <w:t>③如投标人为残疾人福利性单位，提供《残疾人福利性单位声明函》。</w:t>
            </w:r>
          </w:p>
          <w:p w14:paraId="21E54513">
            <w:pPr>
              <w:spacing w:line="400" w:lineRule="exact"/>
              <w:rPr>
                <w:rFonts w:hint="eastAsia" w:hAnsi="宋体" w:cs="宋体"/>
                <w:color w:val="auto"/>
                <w:sz w:val="21"/>
                <w:szCs w:val="21"/>
                <w:highlight w:val="none"/>
              </w:rPr>
            </w:pPr>
            <w:r>
              <w:rPr>
                <w:rFonts w:hint="eastAsia" w:hAnsi="宋体" w:cs="宋体"/>
                <w:color w:val="auto"/>
                <w:sz w:val="21"/>
                <w:szCs w:val="21"/>
                <w:highlight w:val="none"/>
              </w:rPr>
              <w:t>对小型、微型企业的投标产品（提供本企业承担的服务）的价格给予10%的扣除。</w:t>
            </w:r>
          </w:p>
          <w:p w14:paraId="13A2843F">
            <w:pPr>
              <w:spacing w:line="400" w:lineRule="exact"/>
              <w:rPr>
                <w:rFonts w:hint="eastAsia" w:hAnsi="宋体" w:cs="宋体"/>
                <w:color w:val="auto"/>
                <w:sz w:val="21"/>
                <w:szCs w:val="21"/>
                <w:highlight w:val="none"/>
              </w:rPr>
            </w:pPr>
            <w:r>
              <w:rPr>
                <w:rFonts w:hint="eastAsia" w:hAnsi="宋体" w:cs="宋体"/>
                <w:color w:val="auto"/>
                <w:sz w:val="21"/>
                <w:szCs w:val="21"/>
                <w:highlight w:val="none"/>
              </w:rPr>
              <w:t>小型、含微型企业报价计算公式：B小=B*(1-10%)，该报价作为评审价格。</w:t>
            </w:r>
          </w:p>
          <w:p w14:paraId="54920062">
            <w:pPr>
              <w:spacing w:line="400" w:lineRule="exact"/>
              <w:rPr>
                <w:rFonts w:hint="eastAsia" w:hAnsi="宋体" w:cs="宋体"/>
                <w:color w:val="auto"/>
                <w:sz w:val="21"/>
                <w:szCs w:val="21"/>
                <w:highlight w:val="none"/>
              </w:rPr>
            </w:pPr>
            <w:r>
              <w:rPr>
                <w:rFonts w:hint="eastAsia" w:hAnsi="宋体" w:cs="宋体"/>
                <w:color w:val="auto"/>
                <w:sz w:val="21"/>
                <w:szCs w:val="21"/>
                <w:highlight w:val="none"/>
              </w:rPr>
              <w:t>注：根据《政府采购货物和服务招标投标管理办法》（财政部第87号令）第六十条：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bl>
    <w:p w14:paraId="7A7DF7C8">
      <w:pPr>
        <w:widowControl/>
        <w:jc w:val="left"/>
        <w:rPr>
          <w:rFonts w:hint="eastAsia" w:ascii="Times New Roman" w:hAnsi="宋体"/>
          <w:b/>
          <w:color w:val="auto"/>
          <w:sz w:val="32"/>
          <w:highlight w:val="none"/>
        </w:rPr>
      </w:pPr>
      <w:r>
        <w:rPr>
          <w:rFonts w:hAnsi="宋体"/>
          <w:color w:val="auto"/>
          <w:highlight w:val="none"/>
        </w:rPr>
        <w:br w:type="page"/>
      </w:r>
    </w:p>
    <w:bookmarkEnd w:id="32"/>
    <w:p w14:paraId="0F262682">
      <w:pPr>
        <w:pStyle w:val="7"/>
        <w:numPr>
          <w:ilvl w:val="0"/>
          <w:numId w:val="0"/>
        </w:numPr>
        <w:spacing w:before="0" w:after="0" w:line="500" w:lineRule="exact"/>
        <w:rPr>
          <w:rFonts w:hint="eastAsia" w:hAnsi="宋体"/>
          <w:color w:val="auto"/>
          <w:highlight w:val="none"/>
        </w:rPr>
      </w:pPr>
      <w:bookmarkStart w:id="37" w:name="_Toc29077"/>
      <w:r>
        <w:rPr>
          <w:rFonts w:hint="eastAsia" w:hAnsi="宋体"/>
          <w:color w:val="auto"/>
          <w:highlight w:val="none"/>
        </w:rPr>
        <w:t>3.评标程序</w:t>
      </w:r>
      <w:bookmarkEnd w:id="37"/>
    </w:p>
    <w:p w14:paraId="3FADCA7C">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3.1 符合性评审标准：评标委员会依据招标文件的规定，从投标文件的有效性、完整性和对招标文件的响应程度进行审查，见评标方法前附表。</w:t>
      </w:r>
    </w:p>
    <w:p w14:paraId="1E0F77CF">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 xml:space="preserve"> 3.1.2 投标人有以下情形之一的，其投标作无效投标处理：</w:t>
      </w:r>
    </w:p>
    <w:p w14:paraId="1FB78F0D">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（1）第二章“投标人须知”第1.4.3项规定的任何一种情形的；</w:t>
      </w:r>
    </w:p>
    <w:p w14:paraId="23908E46">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（2</w:t>
      </w:r>
      <w:r>
        <w:rPr>
          <w:rFonts w:hAnsi="宋体"/>
          <w:color w:val="auto"/>
          <w:sz w:val="21"/>
          <w:szCs w:val="21"/>
          <w:highlight w:val="none"/>
        </w:rPr>
        <w:t>）</w:t>
      </w:r>
      <w:r>
        <w:rPr>
          <w:rFonts w:hint="eastAsia" w:hAnsi="宋体"/>
          <w:color w:val="auto"/>
          <w:sz w:val="21"/>
          <w:szCs w:val="21"/>
          <w:highlight w:val="none"/>
        </w:rPr>
        <w:t>串通投标或弄虚作假或有其他违法行为的；</w:t>
      </w:r>
    </w:p>
    <w:p w14:paraId="2C68806F">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（3）不按评标委员会要求澄清、说明或有其他违法行为的。</w:t>
      </w:r>
    </w:p>
    <w:p w14:paraId="0973DDC5">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3.1.3投标报价有算术错误的，评标委员会按以下原则对投标报价进行修正，修正价格经投标人书面确认后具有约束力。投标人不接受</w:t>
      </w:r>
      <w:r>
        <w:rPr>
          <w:rFonts w:hint="eastAsia" w:hAnsi="宋体"/>
          <w:color w:val="auto"/>
          <w:sz w:val="21"/>
          <w:szCs w:val="21"/>
          <w:highlight w:val="none"/>
          <w:lang w:eastAsia="zh-CN"/>
        </w:rPr>
        <w:t>修定</w:t>
      </w:r>
      <w:r>
        <w:rPr>
          <w:rFonts w:hint="eastAsia" w:hAnsi="宋体"/>
          <w:color w:val="auto"/>
          <w:sz w:val="21"/>
          <w:szCs w:val="21"/>
          <w:highlight w:val="none"/>
        </w:rPr>
        <w:t>价格的，其投标作无效处理。</w:t>
      </w:r>
    </w:p>
    <w:p w14:paraId="082F1BEA">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（1）投标文件中的大写金额与小写金额不一致的，以大写金额为准；</w:t>
      </w:r>
    </w:p>
    <w:p w14:paraId="01600CEE">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（2）总价金额与依据单价计算出的结果不一致的，以单价金额为准修正总价，但单价金额小数点有明显错误的除外。</w:t>
      </w:r>
    </w:p>
    <w:p w14:paraId="0025FA51">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3.2 详细评审</w:t>
      </w:r>
    </w:p>
    <w:p w14:paraId="43009C64">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3.2.1评标委员会按本章第2.3款规定的量化因素和分值进行打分，并算出综合评审得分。</w:t>
      </w:r>
    </w:p>
    <w:p w14:paraId="032CE9FC">
      <w:pPr>
        <w:spacing w:line="440" w:lineRule="exact"/>
        <w:ind w:firstLine="420" w:firstLineChars="200"/>
        <w:rPr>
          <w:rFonts w:hint="eastAsia" w:hAnsi="宋体"/>
          <w:b/>
          <w:color w:val="auto"/>
          <w:sz w:val="21"/>
          <w:szCs w:val="21"/>
          <w:highlight w:val="none"/>
        </w:rPr>
      </w:pPr>
      <w:r>
        <w:rPr>
          <w:rFonts w:hint="eastAsia" w:hAnsi="宋体"/>
          <w:b/>
          <w:color w:val="auto"/>
          <w:sz w:val="21"/>
          <w:szCs w:val="21"/>
          <w:highlight w:val="none"/>
        </w:rPr>
        <w:t>3.2.2 统分原则：</w:t>
      </w:r>
    </w:p>
    <w:p w14:paraId="73D96A8A">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（1）除投标报价得分外，技术部分和商务部分由各评委自主评分并签字确认。</w:t>
      </w:r>
    </w:p>
    <w:p w14:paraId="641FBC63">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（2）所有评委有效评分的算术平均分值为投标人的技术部分和商务部分的得分（保留小数点后两位）。</w:t>
      </w:r>
    </w:p>
    <w:p w14:paraId="6D10D727">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（3）统分办法：投标报价得分和评委评分得分之和即为投标人最后得分。</w:t>
      </w:r>
    </w:p>
    <w:p w14:paraId="1F977BE1">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3.2.3评标委员会</w:t>
      </w:r>
      <w:r>
        <w:rPr>
          <w:rFonts w:hAnsi="宋体"/>
          <w:color w:val="auto"/>
          <w:sz w:val="21"/>
          <w:szCs w:val="21"/>
          <w:highlight w:val="none"/>
        </w:rPr>
        <w:t xml:space="preserve">发现投标人的报价明显低于其他投标报价，使得其投标报价可能低于其成本的，应当要求该投标人作出书面说明并提供相应的证明材料。投标人不能合理说明或者不能提供相应证明材料的，由评标委员会认定该投标人以低于成本报价竞标，其投标作无效投标处理 </w:t>
      </w:r>
    </w:p>
    <w:p w14:paraId="79F3CDB2">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3.3 投标文件的澄清和补正</w:t>
      </w:r>
    </w:p>
    <w:p w14:paraId="363C2916">
      <w:pPr>
        <w:spacing w:line="44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3.3.1为了有助于对投标文件进行审查、评价和比较，在开标之后，采购人及评标委员会有可能分别要求投标人对其投标文件中除实质性要求以外的可能引起歧义或投标报价计算错误等内容进行澄清（如投标文件前后表述不一致、内容存在表述歧义、投标报价算术错误等），投标人有责任按照采购人及评标委员会要求的时间、地点，通过政府采购云平台进行澄清说明。</w:t>
      </w:r>
    </w:p>
    <w:p w14:paraId="49E089BF">
      <w:pPr>
        <w:spacing w:line="440" w:lineRule="exact"/>
        <w:ind w:firstLine="420" w:firstLineChars="200"/>
        <w:rPr>
          <w:rFonts w:hint="eastAsia" w:hAnsi="宋体"/>
          <w:color w:val="auto"/>
          <w:sz w:val="21"/>
          <w:szCs w:val="21"/>
          <w:highlight w:val="none"/>
        </w:rPr>
      </w:pPr>
      <w:r>
        <w:rPr>
          <w:rFonts w:hint="eastAsia" w:hAnsi="宋体" w:cs="宋体"/>
          <w:color w:val="auto"/>
          <w:sz w:val="21"/>
          <w:szCs w:val="21"/>
          <w:highlight w:val="none"/>
        </w:rPr>
        <w:t>3.3.2澄清的要求答复应是书面的，但不得寻求、提供或允许对投标内容进行实质性修改。</w:t>
      </w:r>
    </w:p>
    <w:p w14:paraId="3BFE642B">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3.3.3 。投标人的书面澄清、说明和补正属于投标文件的组成部分。</w:t>
      </w:r>
    </w:p>
    <w:p w14:paraId="63B4E7B4">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3.3.3评标委员会不接受投标人主动提出的澄清、说明或补正。</w:t>
      </w:r>
    </w:p>
    <w:p w14:paraId="114C703F">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3.4评标结果</w:t>
      </w:r>
    </w:p>
    <w:p w14:paraId="6CFFA426">
      <w:pPr>
        <w:spacing w:line="440" w:lineRule="exact"/>
        <w:ind w:firstLine="420" w:firstLineChars="200"/>
        <w:rPr>
          <w:rFonts w:hint="eastAsia" w:hAnsi="宋体"/>
          <w:color w:val="auto"/>
          <w:sz w:val="21"/>
          <w:szCs w:val="21"/>
          <w:highlight w:val="none"/>
        </w:rPr>
      </w:pPr>
      <w:r>
        <w:rPr>
          <w:rFonts w:hint="eastAsia" w:hAnsi="宋体"/>
          <w:color w:val="auto"/>
          <w:sz w:val="21"/>
          <w:szCs w:val="21"/>
          <w:highlight w:val="none"/>
        </w:rPr>
        <w:t>3.4.1评标委员会按照得分由高到低的顺序推荐中选候选人。</w:t>
      </w:r>
    </w:p>
    <w:p w14:paraId="5A31B047">
      <w:pPr>
        <w:spacing w:line="440" w:lineRule="exact"/>
        <w:ind w:firstLine="420" w:firstLineChars="200"/>
        <w:rPr>
          <w:rFonts w:hint="eastAsia" w:hAnsi="宋体"/>
          <w:color w:val="auto"/>
          <w:sz w:val="24"/>
          <w:highlight w:val="none"/>
        </w:rPr>
      </w:pPr>
      <w:r>
        <w:rPr>
          <w:rFonts w:hint="eastAsia" w:hAnsi="宋体"/>
          <w:color w:val="auto"/>
          <w:sz w:val="21"/>
          <w:szCs w:val="21"/>
          <w:highlight w:val="none"/>
        </w:rPr>
        <w:t>3.4.2评标委员会完成评标后，应当向采购人提交书面评标报告。</w:t>
      </w:r>
    </w:p>
    <w:p w14:paraId="592FA0F3">
      <w:pPr>
        <w:pStyle w:val="6"/>
        <w:spacing w:line="360" w:lineRule="auto"/>
        <w:jc w:val="center"/>
        <w:rPr>
          <w:rFonts w:hint="eastAsia" w:hAnsi="宋体"/>
          <w:color w:val="auto"/>
          <w:sz w:val="24"/>
          <w:highlight w:val="none"/>
        </w:rPr>
      </w:pPr>
      <w:r>
        <w:rPr>
          <w:bCs w:val="0"/>
          <w:color w:val="auto"/>
          <w:sz w:val="44"/>
          <w:szCs w:val="44"/>
          <w:highlight w:val="none"/>
        </w:rPr>
        <w:br w:type="page"/>
      </w:r>
      <w:bookmarkStart w:id="38" w:name="_Toc4607"/>
      <w:r>
        <w:rPr>
          <w:rFonts w:hint="eastAsia" w:ascii="宋体" w:hAnsi="宋体" w:eastAsia="宋体"/>
          <w:bCs w:val="0"/>
          <w:color w:val="auto"/>
          <w:sz w:val="44"/>
          <w:szCs w:val="44"/>
          <w:highlight w:val="none"/>
        </w:rPr>
        <w:t>第五章 投标文件格式</w:t>
      </w:r>
      <w:bookmarkEnd w:id="38"/>
    </w:p>
    <w:p w14:paraId="71BE7FB0">
      <w:pPr>
        <w:spacing w:line="480" w:lineRule="exact"/>
        <w:jc w:val="right"/>
        <w:rPr>
          <w:rFonts w:hint="eastAsia" w:hAnsi="宋体"/>
          <w:b/>
          <w:color w:val="auto"/>
          <w:sz w:val="30"/>
          <w:szCs w:val="30"/>
          <w:highlight w:val="none"/>
        </w:rPr>
      </w:pPr>
    </w:p>
    <w:p w14:paraId="56C10FF7">
      <w:pPr>
        <w:pStyle w:val="15"/>
        <w:tabs>
          <w:tab w:val="left" w:pos="7335"/>
        </w:tabs>
        <w:spacing w:line="360" w:lineRule="auto"/>
        <w:ind w:firstLine="0"/>
        <w:rPr>
          <w:rFonts w:hint="eastAsia" w:ascii="宋体" w:hAnsi="宋体" w:cs="宋体"/>
          <w:b/>
          <w:bCs/>
          <w:color w:val="auto"/>
          <w:szCs w:val="28"/>
          <w:highlight w:val="none"/>
        </w:rPr>
      </w:pPr>
      <w:bookmarkStart w:id="39" w:name="_Toc32409795"/>
    </w:p>
    <w:p w14:paraId="62CB332D">
      <w:pPr>
        <w:pStyle w:val="15"/>
        <w:keepNext w:val="0"/>
        <w:keepLines w:val="0"/>
        <w:pageBreakBefore w:val="0"/>
        <w:widowControl/>
        <w:tabs>
          <w:tab w:val="left" w:pos="7335"/>
        </w:tabs>
        <w:kinsoku/>
        <w:wordWrap/>
        <w:overflowPunct/>
        <w:topLinePunct w:val="0"/>
        <w:autoSpaceDE/>
        <w:autoSpaceDN/>
        <w:bidi w:val="0"/>
        <w:adjustRightInd/>
        <w:snapToGrid/>
        <w:spacing w:line="900" w:lineRule="exact"/>
        <w:ind w:firstLine="0"/>
        <w:jc w:val="center"/>
        <w:textAlignment w:val="auto"/>
        <w:rPr>
          <w:rFonts w:hint="eastAsia" w:ascii="宋体" w:hAnsi="宋体" w:eastAsia="宋体" w:cs="宋体"/>
          <w:b/>
          <w:bCs/>
          <w:color w:val="auto"/>
          <w:sz w:val="54"/>
          <w:szCs w:val="52"/>
          <w:highlight w:val="none"/>
          <w:lang w:eastAsia="zh-CN"/>
        </w:rPr>
      </w:pPr>
      <w:r>
        <w:rPr>
          <w:rFonts w:hint="eastAsia" w:ascii="宋体" w:hAnsi="宋体" w:cs="宋体"/>
          <w:b/>
          <w:bCs/>
          <w:color w:val="auto"/>
          <w:sz w:val="60"/>
          <w:szCs w:val="96"/>
          <w:highlight w:val="none"/>
          <w:lang w:eastAsia="zh-CN"/>
        </w:rPr>
        <w:t>保山市加油站流量数据采集系统</w:t>
      </w:r>
    </w:p>
    <w:p w14:paraId="66E792CE">
      <w:pPr>
        <w:spacing w:line="1120" w:lineRule="exact"/>
        <w:jc w:val="center"/>
        <w:rPr>
          <w:rFonts w:hint="eastAsia" w:hAnsi="宋体" w:cs="宋体"/>
          <w:b/>
          <w:bCs/>
          <w:color w:val="auto"/>
          <w:spacing w:val="50"/>
          <w:kern w:val="10"/>
          <w:sz w:val="84"/>
          <w:szCs w:val="84"/>
          <w:highlight w:val="none"/>
        </w:rPr>
      </w:pPr>
    </w:p>
    <w:p w14:paraId="0806C6D1">
      <w:pPr>
        <w:spacing w:line="1120" w:lineRule="exact"/>
        <w:jc w:val="center"/>
        <w:rPr>
          <w:rFonts w:hint="eastAsia" w:hAnsi="宋体" w:cs="宋体"/>
          <w:b/>
          <w:bCs/>
          <w:color w:val="auto"/>
          <w:spacing w:val="50"/>
          <w:kern w:val="10"/>
          <w:sz w:val="84"/>
          <w:szCs w:val="84"/>
          <w:highlight w:val="none"/>
        </w:rPr>
      </w:pPr>
      <w:r>
        <w:rPr>
          <w:rFonts w:hint="eastAsia" w:hAnsi="宋体" w:cs="宋体"/>
          <w:b/>
          <w:bCs/>
          <w:color w:val="auto"/>
          <w:spacing w:val="50"/>
          <w:kern w:val="10"/>
          <w:sz w:val="84"/>
          <w:szCs w:val="84"/>
          <w:highlight w:val="none"/>
        </w:rPr>
        <w:t>投 标 文 件</w:t>
      </w:r>
    </w:p>
    <w:p w14:paraId="1FF90FD8">
      <w:pPr>
        <w:spacing w:line="700" w:lineRule="exact"/>
        <w:rPr>
          <w:rFonts w:hint="eastAsia" w:hAnsi="宋体" w:cs="宋体"/>
          <w:b/>
          <w:color w:val="auto"/>
          <w:szCs w:val="32"/>
          <w:highlight w:val="none"/>
        </w:rPr>
      </w:pPr>
    </w:p>
    <w:p w14:paraId="1090CAE8">
      <w:pPr>
        <w:spacing w:line="700" w:lineRule="exact"/>
        <w:rPr>
          <w:rFonts w:hint="eastAsia" w:hAnsi="宋体" w:cs="宋体"/>
          <w:b/>
          <w:color w:val="auto"/>
          <w:szCs w:val="32"/>
          <w:highlight w:val="none"/>
        </w:rPr>
      </w:pPr>
    </w:p>
    <w:p w14:paraId="29642413">
      <w:pPr>
        <w:spacing w:line="700" w:lineRule="exact"/>
        <w:rPr>
          <w:rFonts w:hint="eastAsia" w:hAnsi="宋体" w:cs="宋体"/>
          <w:b/>
          <w:color w:val="auto"/>
          <w:szCs w:val="32"/>
          <w:highlight w:val="none"/>
        </w:rPr>
      </w:pPr>
    </w:p>
    <w:p w14:paraId="0847F637">
      <w:pPr>
        <w:spacing w:line="700" w:lineRule="exact"/>
        <w:rPr>
          <w:rFonts w:hint="eastAsia" w:hAnsi="宋体" w:cs="宋体"/>
          <w:b/>
          <w:color w:val="auto"/>
          <w:szCs w:val="32"/>
          <w:highlight w:val="none"/>
        </w:rPr>
      </w:pPr>
      <w:r>
        <w:rPr>
          <w:rFonts w:hint="eastAsia" w:hAnsi="宋体" w:cs="宋体"/>
          <w:b/>
          <w:color w:val="auto"/>
          <w:szCs w:val="32"/>
          <w:highlight w:val="none"/>
        </w:rPr>
        <w:t xml:space="preserve">项目编号： </w:t>
      </w:r>
    </w:p>
    <w:p w14:paraId="3A952047">
      <w:pPr>
        <w:spacing w:line="700" w:lineRule="exact"/>
        <w:rPr>
          <w:rFonts w:hint="eastAsia" w:hAnsi="宋体" w:eastAsia="宋体" w:cs="宋体"/>
          <w:b/>
          <w:color w:val="auto"/>
          <w:szCs w:val="32"/>
          <w:highlight w:val="none"/>
          <w:lang w:eastAsia="zh-CN"/>
        </w:rPr>
      </w:pPr>
      <w:r>
        <w:rPr>
          <w:rFonts w:hint="eastAsia" w:hAnsi="宋体" w:cs="宋体"/>
          <w:b/>
          <w:color w:val="auto"/>
          <w:w w:val="96"/>
          <w:szCs w:val="32"/>
          <w:highlight w:val="none"/>
        </w:rPr>
        <w:t>项目名称：</w:t>
      </w:r>
      <w:r>
        <w:rPr>
          <w:rFonts w:hint="eastAsia" w:hAnsi="宋体" w:cs="宋体"/>
          <w:b/>
          <w:color w:val="auto"/>
          <w:w w:val="96"/>
          <w:szCs w:val="32"/>
          <w:highlight w:val="none"/>
          <w:lang w:eastAsia="zh-CN"/>
        </w:rPr>
        <w:t>保山市加油站流量数据采集系统</w:t>
      </w:r>
    </w:p>
    <w:p w14:paraId="2522D4FE">
      <w:pPr>
        <w:spacing w:line="700" w:lineRule="exact"/>
        <w:rPr>
          <w:rFonts w:hint="eastAsia" w:hAnsi="宋体" w:cs="宋体"/>
          <w:b/>
          <w:color w:val="auto"/>
          <w:szCs w:val="32"/>
          <w:highlight w:val="none"/>
        </w:rPr>
      </w:pPr>
      <w:r>
        <w:rPr>
          <w:rFonts w:hint="eastAsia" w:hAnsi="宋体" w:cs="宋体"/>
          <w:b/>
          <w:color w:val="auto"/>
          <w:szCs w:val="32"/>
          <w:highlight w:val="none"/>
        </w:rPr>
        <w:t>投标人（盖章）：</w:t>
      </w:r>
    </w:p>
    <w:p w14:paraId="7FD3F604">
      <w:pPr>
        <w:spacing w:line="700" w:lineRule="exact"/>
        <w:rPr>
          <w:rFonts w:hint="eastAsia" w:hAnsi="宋体" w:cs="宋体"/>
          <w:b/>
          <w:color w:val="auto"/>
          <w:szCs w:val="32"/>
          <w:highlight w:val="none"/>
          <w:u w:val="single"/>
        </w:rPr>
      </w:pPr>
      <w:r>
        <w:rPr>
          <w:rFonts w:hint="eastAsia" w:hAnsi="宋体" w:cs="宋体"/>
          <w:b/>
          <w:color w:val="auto"/>
          <w:szCs w:val="32"/>
          <w:highlight w:val="none"/>
        </w:rPr>
        <w:t>法定代表人（负责人）或授权委托代理人（</w:t>
      </w:r>
      <w:r>
        <w:rPr>
          <w:rFonts w:hint="eastAsia" w:hAnsi="宋体" w:cs="宋体"/>
          <w:b/>
          <w:color w:val="auto"/>
          <w:szCs w:val="32"/>
          <w:highlight w:val="none"/>
          <w:lang w:eastAsia="zh-CN"/>
        </w:rPr>
        <w:t>签字或个人印章</w:t>
      </w:r>
      <w:r>
        <w:rPr>
          <w:rFonts w:hint="eastAsia" w:hAnsi="宋体" w:cs="宋体"/>
          <w:b/>
          <w:color w:val="auto"/>
          <w:szCs w:val="32"/>
          <w:highlight w:val="none"/>
        </w:rPr>
        <w:t>）：</w:t>
      </w:r>
    </w:p>
    <w:p w14:paraId="2DAB2C8E">
      <w:pPr>
        <w:spacing w:line="700" w:lineRule="exact"/>
        <w:rPr>
          <w:rFonts w:hint="eastAsia" w:hAnsi="宋体" w:cs="宋体"/>
          <w:b/>
          <w:color w:val="auto"/>
          <w:szCs w:val="32"/>
          <w:highlight w:val="none"/>
        </w:rPr>
      </w:pPr>
      <w:r>
        <w:rPr>
          <w:rFonts w:hint="eastAsia" w:hAnsi="宋体" w:cs="宋体"/>
          <w:b/>
          <w:color w:val="auto"/>
          <w:szCs w:val="32"/>
          <w:highlight w:val="none"/>
        </w:rPr>
        <w:t xml:space="preserve">地址： </w:t>
      </w:r>
    </w:p>
    <w:p w14:paraId="1A22CCD0">
      <w:pPr>
        <w:spacing w:line="700" w:lineRule="exact"/>
        <w:rPr>
          <w:rFonts w:hint="eastAsia" w:hAnsi="宋体" w:cs="宋体"/>
          <w:b/>
          <w:color w:val="auto"/>
          <w:szCs w:val="32"/>
          <w:highlight w:val="none"/>
        </w:rPr>
      </w:pPr>
      <w:r>
        <w:rPr>
          <w:rFonts w:hint="eastAsia" w:hAnsi="宋体" w:cs="宋体"/>
          <w:b/>
          <w:color w:val="auto"/>
          <w:szCs w:val="32"/>
          <w:highlight w:val="none"/>
        </w:rPr>
        <w:t>联系电话：</w:t>
      </w:r>
    </w:p>
    <w:p w14:paraId="21CFFD95">
      <w:pPr>
        <w:spacing w:line="700" w:lineRule="exact"/>
        <w:rPr>
          <w:rFonts w:hint="eastAsia" w:hAnsi="宋体" w:cs="宋体"/>
          <w:b/>
          <w:color w:val="auto"/>
          <w:szCs w:val="32"/>
          <w:highlight w:val="none"/>
        </w:rPr>
      </w:pPr>
      <w:r>
        <w:rPr>
          <w:rFonts w:hint="eastAsia" w:hAnsi="宋体" w:cs="宋体"/>
          <w:b/>
          <w:color w:val="auto"/>
          <w:szCs w:val="32"/>
          <w:highlight w:val="none"/>
        </w:rPr>
        <w:t>投标文件提交截止日期：    年  月  日</w:t>
      </w:r>
    </w:p>
    <w:p w14:paraId="4A706CA2">
      <w:pPr>
        <w:spacing w:line="360" w:lineRule="auto"/>
        <w:ind w:firstLine="600" w:firstLineChars="200"/>
        <w:jc w:val="center"/>
        <w:rPr>
          <w:rFonts w:hint="eastAsia" w:hAnsi="宋体" w:cs="宋体"/>
          <w:b/>
          <w:bCs/>
          <w:color w:val="auto"/>
          <w:sz w:val="32"/>
          <w:szCs w:val="36"/>
          <w:highlight w:val="none"/>
        </w:rPr>
      </w:pPr>
      <w:r>
        <w:rPr>
          <w:rFonts w:hint="eastAsia" w:hAnsi="宋体" w:cs="宋体"/>
          <w:b/>
          <w:bCs/>
          <w:color w:val="auto"/>
          <w:sz w:val="30"/>
          <w:highlight w:val="none"/>
        </w:rPr>
        <w:br w:type="page"/>
      </w:r>
      <w:r>
        <w:rPr>
          <w:rFonts w:hint="eastAsia" w:hAnsi="宋体" w:cs="宋体"/>
          <w:b/>
          <w:bCs/>
          <w:color w:val="auto"/>
          <w:sz w:val="32"/>
          <w:szCs w:val="36"/>
          <w:highlight w:val="none"/>
        </w:rPr>
        <w:t>目 录</w:t>
      </w:r>
    </w:p>
    <w:p w14:paraId="2BE02830">
      <w:pPr>
        <w:spacing w:line="360" w:lineRule="auto"/>
        <w:ind w:firstLine="560" w:firstLineChars="200"/>
        <w:rPr>
          <w:rFonts w:hint="eastAsia" w:hAnsi="宋体" w:cs="宋体"/>
          <w:color w:val="auto"/>
          <w:highlight w:val="none"/>
        </w:rPr>
      </w:pPr>
    </w:p>
    <w:p w14:paraId="2B944EA4">
      <w:pPr>
        <w:spacing w:line="360" w:lineRule="auto"/>
        <w:ind w:firstLine="560" w:firstLineChars="200"/>
        <w:rPr>
          <w:rFonts w:hint="eastAsia" w:hAnsi="宋体" w:cs="宋体"/>
          <w:b/>
          <w:bCs/>
          <w:color w:val="auto"/>
          <w:highlight w:val="none"/>
        </w:rPr>
      </w:pPr>
    </w:p>
    <w:p w14:paraId="2562AE05">
      <w:pPr>
        <w:spacing w:line="360" w:lineRule="auto"/>
        <w:ind w:firstLine="480" w:firstLineChars="200"/>
        <w:rPr>
          <w:rFonts w:hint="eastAsia" w:hAnsi="宋体" w:cs="宋体"/>
          <w:color w:val="auto"/>
          <w:sz w:val="24"/>
          <w:szCs w:val="24"/>
          <w:highlight w:val="none"/>
        </w:rPr>
      </w:pPr>
      <w:r>
        <w:rPr>
          <w:rFonts w:hint="eastAsia" w:hAnsi="宋体" w:cs="宋体"/>
          <w:b/>
          <w:bCs/>
          <w:color w:val="auto"/>
          <w:sz w:val="24"/>
          <w:szCs w:val="24"/>
          <w:highlight w:val="none"/>
        </w:rPr>
        <w:t>注：1.请自行编制投标文件目录，并按要求进行装订，并标注页码。</w:t>
      </w:r>
    </w:p>
    <w:p w14:paraId="2BE24452">
      <w:pPr>
        <w:spacing w:line="360" w:lineRule="auto"/>
        <w:ind w:firstLine="960" w:firstLineChars="400"/>
        <w:jc w:val="left"/>
        <w:rPr>
          <w:rFonts w:hint="eastAsia" w:hAnsi="宋体" w:cs="宋体"/>
          <w:b/>
          <w:bCs/>
          <w:color w:val="auto"/>
          <w:sz w:val="24"/>
          <w:szCs w:val="24"/>
          <w:highlight w:val="none"/>
        </w:rPr>
      </w:pPr>
      <w:r>
        <w:rPr>
          <w:rFonts w:hint="eastAsia" w:hAnsi="宋体" w:cs="宋体"/>
          <w:b/>
          <w:bCs/>
          <w:color w:val="auto"/>
          <w:sz w:val="24"/>
          <w:szCs w:val="24"/>
          <w:highlight w:val="none"/>
        </w:rPr>
        <w:t>2.</w:t>
      </w:r>
      <w:r>
        <w:rPr>
          <w:rFonts w:hint="eastAsia" w:hAnsi="宋体" w:cs="宋体"/>
          <w:b/>
          <w:bCs/>
          <w:color w:val="auto"/>
          <w:sz w:val="24"/>
          <w:szCs w:val="24"/>
          <w:highlight w:val="none"/>
          <w:lang w:eastAsia="zh-CN"/>
        </w:rPr>
        <w:t>投标人</w:t>
      </w:r>
      <w:r>
        <w:rPr>
          <w:rFonts w:hint="eastAsia" w:hAnsi="宋体" w:cs="宋体"/>
          <w:b/>
          <w:bCs/>
          <w:color w:val="auto"/>
          <w:sz w:val="24"/>
          <w:szCs w:val="24"/>
          <w:highlight w:val="none"/>
        </w:rPr>
        <w:t>应在投标文件提交截止时间前将电子投标文件通过政府采购云平台（www.zcygov.cn）上传指定的采购项目的投标文件，以保证正常进行磋商程序。</w:t>
      </w:r>
    </w:p>
    <w:p w14:paraId="70060701">
      <w:pPr>
        <w:spacing w:line="360" w:lineRule="auto"/>
        <w:ind w:firstLine="960" w:firstLineChars="400"/>
        <w:jc w:val="left"/>
        <w:rPr>
          <w:rFonts w:hint="eastAsia" w:hAnsi="宋体" w:cs="宋体"/>
          <w:b/>
          <w:bCs/>
          <w:color w:val="auto"/>
          <w:highlight w:val="none"/>
        </w:rPr>
      </w:pPr>
      <w:r>
        <w:rPr>
          <w:rFonts w:hint="eastAsia" w:hAnsi="宋体" w:cs="宋体"/>
          <w:b/>
          <w:bCs/>
          <w:color w:val="auto"/>
          <w:sz w:val="24"/>
          <w:szCs w:val="24"/>
          <w:highlight w:val="none"/>
        </w:rPr>
        <w:t>3.建议在政府采购云平台上传电子投标文件时，将完整地电子投标文件上传到商务技术部分中，以避免出现遗漏情况。</w:t>
      </w:r>
    </w:p>
    <w:p w14:paraId="42C58F42">
      <w:pPr>
        <w:rPr>
          <w:rFonts w:hint="eastAsia" w:hAnsi="宋体" w:cs="宋体"/>
          <w:b/>
          <w:bCs/>
          <w:color w:val="auto"/>
          <w:sz w:val="30"/>
          <w:highlight w:val="none"/>
        </w:rPr>
      </w:pPr>
      <w:r>
        <w:rPr>
          <w:rFonts w:hint="eastAsia" w:hAnsi="宋体" w:cs="宋体"/>
          <w:b/>
          <w:bCs/>
          <w:color w:val="auto"/>
          <w:sz w:val="30"/>
          <w:highlight w:val="none"/>
        </w:rPr>
        <w:br w:type="page"/>
      </w:r>
    </w:p>
    <w:p w14:paraId="2B837BF8">
      <w:pPr>
        <w:widowControl/>
        <w:jc w:val="center"/>
        <w:rPr>
          <w:rFonts w:hint="eastAsia" w:hAnsi="宋体" w:cs="宋体"/>
          <w:b/>
          <w:bCs/>
          <w:color w:val="auto"/>
          <w:sz w:val="30"/>
          <w:highlight w:val="none"/>
        </w:rPr>
      </w:pPr>
      <w:bookmarkStart w:id="40" w:name="_Toc14061"/>
      <w:r>
        <w:rPr>
          <w:rStyle w:val="60"/>
          <w:rFonts w:hint="eastAsia"/>
          <w:b/>
          <w:bCs/>
          <w:color w:val="auto"/>
          <w:sz w:val="36"/>
          <w:szCs w:val="36"/>
          <w:highlight w:val="none"/>
        </w:rPr>
        <w:t>一、资格审查部分</w:t>
      </w:r>
      <w:bookmarkEnd w:id="40"/>
    </w:p>
    <w:p w14:paraId="3D78F6BD">
      <w:pPr>
        <w:widowControl/>
        <w:jc w:val="center"/>
        <w:rPr>
          <w:rStyle w:val="75"/>
          <w:color w:val="auto"/>
          <w:highlight w:val="none"/>
        </w:rPr>
      </w:pPr>
      <w:bookmarkStart w:id="41" w:name="_Toc5967"/>
      <w:r>
        <w:rPr>
          <w:rStyle w:val="75"/>
          <w:rFonts w:hint="eastAsia"/>
          <w:color w:val="auto"/>
          <w:highlight w:val="none"/>
        </w:rPr>
        <w:t>（一）资格审查申请函</w:t>
      </w:r>
    </w:p>
    <w:bookmarkEnd w:id="41"/>
    <w:p w14:paraId="0291886B">
      <w:pPr>
        <w:spacing w:line="360" w:lineRule="auto"/>
        <w:rPr>
          <w:rFonts w:hint="eastAsia" w:hAnsi="宋体" w:cs="宋体"/>
          <w:color w:val="auto"/>
          <w:sz w:val="24"/>
          <w:highlight w:val="none"/>
          <w:u w:val="single"/>
        </w:rPr>
      </w:pPr>
    </w:p>
    <w:p w14:paraId="21414D82">
      <w:pPr>
        <w:spacing w:line="360" w:lineRule="auto"/>
        <w:rPr>
          <w:rFonts w:hint="eastAsia" w:hAnsi="宋体" w:cs="宋体"/>
          <w:color w:val="auto"/>
          <w:sz w:val="21"/>
          <w:szCs w:val="21"/>
          <w:highlight w:val="none"/>
        </w:rPr>
      </w:pPr>
      <w:r>
        <w:rPr>
          <w:rFonts w:hint="eastAsia" w:hAnsi="宋体" w:cs="宋体"/>
          <w:color w:val="auto"/>
          <w:sz w:val="21"/>
          <w:szCs w:val="21"/>
          <w:highlight w:val="none"/>
          <w:u w:val="single"/>
          <w:lang w:eastAsia="zh-CN"/>
        </w:rPr>
        <w:t>保山市商务局</w:t>
      </w:r>
      <w:r>
        <w:rPr>
          <w:rFonts w:hint="eastAsia" w:hAnsi="宋体" w:cs="宋体"/>
          <w:color w:val="auto"/>
          <w:sz w:val="21"/>
          <w:szCs w:val="21"/>
          <w:highlight w:val="none"/>
        </w:rPr>
        <w:t>：</w:t>
      </w:r>
    </w:p>
    <w:p w14:paraId="584F8901">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1.按照招标文件的要求，我方</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（投标人）递交的资格审查申请文件，用于你方（</w:t>
      </w:r>
      <w:r>
        <w:rPr>
          <w:rFonts w:hint="eastAsia" w:hAnsi="宋体" w:cs="宋体"/>
          <w:b/>
          <w:color w:val="auto"/>
          <w:sz w:val="21"/>
          <w:szCs w:val="21"/>
          <w:highlight w:val="none"/>
          <w:u w:val="single"/>
          <w:lang w:eastAsia="zh-CN"/>
        </w:rPr>
        <w:t>保山市商务局</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审查我方参加</w:t>
      </w:r>
      <w:r>
        <w:rPr>
          <w:rFonts w:hint="eastAsia" w:hAnsi="宋体" w:cs="宋体"/>
          <w:color w:val="auto"/>
          <w:sz w:val="21"/>
          <w:szCs w:val="21"/>
          <w:highlight w:val="none"/>
          <w:u w:val="single"/>
        </w:rPr>
        <w:t xml:space="preserve"> （项目名称、项目编号）   </w:t>
      </w:r>
      <w:r>
        <w:rPr>
          <w:rFonts w:hint="eastAsia" w:hAnsi="宋体" w:cs="宋体"/>
          <w:color w:val="auto"/>
          <w:sz w:val="21"/>
          <w:szCs w:val="21"/>
          <w:highlight w:val="none"/>
        </w:rPr>
        <w:t>采购的资格申请。</w:t>
      </w:r>
    </w:p>
    <w:p w14:paraId="39B59643">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2.我方的资格审查申请文件包含招标文件 第二章 投标人须知及须知前附表规定的全部内容。</w:t>
      </w:r>
    </w:p>
    <w:p w14:paraId="671C3E37">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3.我方接受你方授权代表进行调查，以审查我方提交的文件和资料，并通过我方的客户，澄清投标文件中有关财务和技术方面的情况。</w:t>
      </w:r>
    </w:p>
    <w:p w14:paraId="0CA2FB3E">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4.你方授权代表可通过</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（联系人及联系方式）得到进一步的资料。</w:t>
      </w:r>
    </w:p>
    <w:p w14:paraId="0201FAEB">
      <w:pPr>
        <w:spacing w:line="480" w:lineRule="auto"/>
        <w:rPr>
          <w:rFonts w:hint="eastAsia" w:hAnsi="宋体" w:cs="宋体"/>
          <w:color w:val="auto"/>
          <w:sz w:val="21"/>
          <w:szCs w:val="21"/>
          <w:highlight w:val="none"/>
        </w:rPr>
      </w:pPr>
      <w:r>
        <w:rPr>
          <w:rFonts w:hint="eastAsia" w:hAnsi="宋体" w:cs="宋体"/>
          <w:color w:val="auto"/>
          <w:sz w:val="21"/>
          <w:szCs w:val="21"/>
          <w:highlight w:val="none"/>
        </w:rPr>
        <w:t xml:space="preserve">    5.我方在此声明，所递交的投标文件及有关资料内容完整、真实和准确、合法有效，且不存在任何弄虚作假的情形。</w:t>
      </w:r>
    </w:p>
    <w:p w14:paraId="208624FE">
      <w:pPr>
        <w:spacing w:line="360" w:lineRule="auto"/>
        <w:rPr>
          <w:rFonts w:hint="eastAsia" w:hAnsi="宋体" w:cs="宋体"/>
          <w:color w:val="auto"/>
          <w:sz w:val="21"/>
          <w:szCs w:val="21"/>
          <w:highlight w:val="none"/>
        </w:rPr>
      </w:pPr>
    </w:p>
    <w:p w14:paraId="6CD7EF25">
      <w:pPr>
        <w:spacing w:line="360" w:lineRule="auto"/>
        <w:rPr>
          <w:rFonts w:hint="eastAsia" w:hAnsi="宋体" w:cs="宋体"/>
          <w:color w:val="auto"/>
          <w:sz w:val="21"/>
          <w:szCs w:val="21"/>
          <w:highlight w:val="none"/>
        </w:rPr>
      </w:pPr>
    </w:p>
    <w:p w14:paraId="7EB61D97">
      <w:pPr>
        <w:spacing w:line="360" w:lineRule="auto"/>
        <w:ind w:left="1400" w:leftChars="500" w:right="120"/>
        <w:jc w:val="left"/>
        <w:rPr>
          <w:rFonts w:hint="eastAsia" w:hAnsi="宋体" w:cs="宋体"/>
          <w:color w:val="auto"/>
          <w:sz w:val="21"/>
          <w:szCs w:val="21"/>
          <w:highlight w:val="none"/>
        </w:rPr>
      </w:pPr>
      <w:r>
        <w:rPr>
          <w:rFonts w:hint="eastAsia" w:hAnsi="宋体" w:cs="宋体"/>
          <w:color w:val="auto"/>
          <w:sz w:val="21"/>
          <w:szCs w:val="21"/>
          <w:highlight w:val="none"/>
        </w:rPr>
        <w:t>投标人：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（盖单位章）</w:t>
      </w:r>
    </w:p>
    <w:p w14:paraId="7866B698">
      <w:pPr>
        <w:spacing w:line="360" w:lineRule="auto"/>
        <w:ind w:left="1400" w:leftChars="500" w:right="120"/>
        <w:rPr>
          <w:rFonts w:hint="eastAsia" w:hAnsi="宋体" w:cs="宋体"/>
          <w:color w:val="auto"/>
          <w:sz w:val="21"/>
          <w:szCs w:val="21"/>
          <w:highlight w:val="none"/>
        </w:rPr>
      </w:pPr>
      <w:r>
        <w:rPr>
          <w:rFonts w:hint="eastAsia" w:hAnsi="宋体" w:cs="宋体"/>
          <w:color w:val="auto"/>
          <w:sz w:val="21"/>
          <w:szCs w:val="21"/>
          <w:highlight w:val="none"/>
        </w:rPr>
        <w:t>法定代表人（负责人）或其委托代理人：</w:t>
      </w:r>
      <w:r>
        <w:rPr>
          <w:rFonts w:hint="eastAsia" w:hAnsi="宋体" w:cs="宋体"/>
          <w:color w:val="auto"/>
          <w:sz w:val="21"/>
          <w:szCs w:val="21"/>
          <w:highlight w:val="none"/>
          <w:u w:val="single"/>
        </w:rPr>
        <w:t xml:space="preserve">             </w:t>
      </w:r>
      <w:r>
        <w:rPr>
          <w:rFonts w:hint="eastAsia" w:hAnsi="宋体" w:cs="宋体"/>
          <w:color w:val="auto"/>
          <w:sz w:val="21"/>
          <w:szCs w:val="21"/>
          <w:highlight w:val="none"/>
        </w:rPr>
        <w:t>（</w:t>
      </w:r>
      <w:r>
        <w:rPr>
          <w:rFonts w:hint="eastAsia" w:hAnsi="宋体" w:cs="宋体"/>
          <w:color w:val="auto"/>
          <w:sz w:val="21"/>
          <w:szCs w:val="21"/>
          <w:highlight w:val="none"/>
          <w:lang w:eastAsia="zh-CN"/>
        </w:rPr>
        <w:t>签字或个人印章</w:t>
      </w:r>
      <w:r>
        <w:rPr>
          <w:rFonts w:hint="eastAsia" w:hAnsi="宋体" w:cs="宋体"/>
          <w:color w:val="auto"/>
          <w:sz w:val="21"/>
          <w:szCs w:val="21"/>
          <w:highlight w:val="none"/>
        </w:rPr>
        <w:t>）</w:t>
      </w:r>
    </w:p>
    <w:p w14:paraId="548E6F18">
      <w:pPr>
        <w:spacing w:line="360" w:lineRule="auto"/>
        <w:ind w:left="1400" w:leftChars="500"/>
        <w:rPr>
          <w:rFonts w:hint="eastAsia" w:hAnsi="宋体" w:cs="宋体"/>
          <w:color w:val="auto"/>
          <w:sz w:val="21"/>
          <w:szCs w:val="21"/>
          <w:highlight w:val="none"/>
          <w:u w:val="single"/>
        </w:rPr>
      </w:pPr>
      <w:r>
        <w:rPr>
          <w:rFonts w:hint="eastAsia" w:hAnsi="宋体" w:cs="宋体"/>
          <w:color w:val="auto"/>
          <w:sz w:val="21"/>
          <w:szCs w:val="21"/>
          <w:highlight w:val="none"/>
        </w:rPr>
        <w:t>电话：</w:t>
      </w:r>
      <w:r>
        <w:rPr>
          <w:rFonts w:hint="eastAsia" w:hAnsi="宋体" w:cs="宋体"/>
          <w:color w:val="auto"/>
          <w:sz w:val="21"/>
          <w:szCs w:val="21"/>
          <w:highlight w:val="none"/>
          <w:u w:val="single"/>
        </w:rPr>
        <w:t xml:space="preserve">                                        </w:t>
      </w:r>
    </w:p>
    <w:p w14:paraId="6C4E9D52">
      <w:pPr>
        <w:spacing w:line="360" w:lineRule="auto"/>
        <w:ind w:left="1400" w:leftChars="500"/>
        <w:rPr>
          <w:rFonts w:hint="eastAsia" w:hAnsi="宋体" w:cs="宋体"/>
          <w:color w:val="auto"/>
          <w:sz w:val="21"/>
          <w:szCs w:val="21"/>
          <w:highlight w:val="none"/>
          <w:u w:val="single"/>
        </w:rPr>
      </w:pPr>
      <w:r>
        <w:rPr>
          <w:rFonts w:hint="eastAsia" w:hAnsi="宋体" w:cs="宋体"/>
          <w:color w:val="auto"/>
          <w:sz w:val="21"/>
          <w:szCs w:val="21"/>
          <w:highlight w:val="none"/>
        </w:rPr>
        <w:t>传真：</w:t>
      </w:r>
      <w:r>
        <w:rPr>
          <w:rFonts w:hint="eastAsia" w:hAnsi="宋体" w:cs="宋体"/>
          <w:color w:val="auto"/>
          <w:sz w:val="21"/>
          <w:szCs w:val="21"/>
          <w:highlight w:val="none"/>
          <w:u w:val="single"/>
        </w:rPr>
        <w:t xml:space="preserve">                                        </w:t>
      </w:r>
    </w:p>
    <w:p w14:paraId="57B415D3">
      <w:pPr>
        <w:spacing w:line="360" w:lineRule="auto"/>
        <w:ind w:left="1400" w:leftChars="500"/>
        <w:rPr>
          <w:rFonts w:hint="eastAsia" w:hAnsi="宋体" w:cs="宋体"/>
          <w:color w:val="auto"/>
          <w:sz w:val="21"/>
          <w:szCs w:val="21"/>
          <w:highlight w:val="none"/>
          <w:u w:val="single"/>
        </w:rPr>
      </w:pPr>
      <w:r>
        <w:rPr>
          <w:rFonts w:hint="eastAsia" w:hAnsi="宋体" w:cs="宋体"/>
          <w:color w:val="auto"/>
          <w:sz w:val="21"/>
          <w:szCs w:val="21"/>
          <w:highlight w:val="none"/>
        </w:rPr>
        <w:t>申请人地址：</w:t>
      </w:r>
      <w:r>
        <w:rPr>
          <w:rFonts w:hint="eastAsia" w:hAnsi="宋体" w:cs="宋体"/>
          <w:color w:val="auto"/>
          <w:sz w:val="21"/>
          <w:szCs w:val="21"/>
          <w:highlight w:val="none"/>
          <w:u w:val="single"/>
        </w:rPr>
        <w:t xml:space="preserve">                                  </w:t>
      </w:r>
    </w:p>
    <w:p w14:paraId="4A90D507">
      <w:pPr>
        <w:spacing w:line="360" w:lineRule="auto"/>
        <w:ind w:left="1400" w:leftChars="500"/>
        <w:rPr>
          <w:rFonts w:hint="eastAsia" w:hAnsi="宋体" w:cs="宋体"/>
          <w:color w:val="auto"/>
          <w:sz w:val="21"/>
          <w:szCs w:val="21"/>
          <w:highlight w:val="none"/>
          <w:u w:val="single"/>
        </w:rPr>
      </w:pPr>
      <w:r>
        <w:rPr>
          <w:rFonts w:hint="eastAsia" w:hAnsi="宋体" w:cs="宋体"/>
          <w:color w:val="auto"/>
          <w:sz w:val="21"/>
          <w:szCs w:val="21"/>
          <w:highlight w:val="none"/>
        </w:rPr>
        <w:t>邮 政 编 码：</w:t>
      </w:r>
      <w:r>
        <w:rPr>
          <w:rFonts w:hint="eastAsia" w:hAnsi="宋体" w:cs="宋体"/>
          <w:color w:val="auto"/>
          <w:sz w:val="21"/>
          <w:szCs w:val="21"/>
          <w:highlight w:val="none"/>
          <w:u w:val="single"/>
        </w:rPr>
        <w:t xml:space="preserve">                                 </w:t>
      </w:r>
    </w:p>
    <w:p w14:paraId="7FEB3D87">
      <w:pPr>
        <w:widowControl/>
        <w:jc w:val="center"/>
        <w:rPr>
          <w:rFonts w:hint="eastAsia" w:ascii="宋体" w:hAnsi="宋体" w:eastAsia="宋体" w:cs="宋体"/>
          <w:b/>
          <w:bCs/>
          <w:color w:val="auto"/>
          <w:sz w:val="28"/>
          <w:szCs w:val="28"/>
          <w:highlight w:val="none"/>
        </w:rPr>
      </w:pPr>
      <w:r>
        <w:rPr>
          <w:rFonts w:hint="eastAsia" w:hAnsi="宋体" w:cs="宋体"/>
          <w:b/>
          <w:bCs/>
          <w:color w:val="auto"/>
          <w:sz w:val="30"/>
          <w:highlight w:val="none"/>
        </w:rPr>
        <w:br w:type="page"/>
      </w:r>
      <w:bookmarkStart w:id="42" w:name="_Toc9115"/>
      <w:bookmarkStart w:id="43" w:name="_Toc22793"/>
      <w:bookmarkStart w:id="44" w:name="_Toc21631"/>
      <w:bookmarkStart w:id="45" w:name="_Toc28804"/>
      <w:r>
        <w:rPr>
          <w:rStyle w:val="114"/>
          <w:rFonts w:hint="eastAsia" w:cs="Times New Roman"/>
          <w:color w:val="auto"/>
          <w:highlight w:val="none"/>
          <w:lang w:val="en-US" w:eastAsia="zh-CN" w:bidi="ar-SA"/>
        </w:rPr>
        <w:t>（二）投标人应具有独立承担民事责任的能力</w:t>
      </w:r>
      <w:bookmarkEnd w:id="42"/>
      <w:bookmarkEnd w:id="43"/>
      <w:bookmarkEnd w:id="44"/>
      <w:bookmarkEnd w:id="45"/>
    </w:p>
    <w:p w14:paraId="07887FBB">
      <w:pPr>
        <w:spacing w:line="46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提供有效营业执照或其他组织证件或自然人身份证明：</w:t>
      </w:r>
    </w:p>
    <w:p w14:paraId="388B1132">
      <w:pPr>
        <w:spacing w:line="46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hAnsi="宋体" w:cs="宋体"/>
          <w:color w:val="auto"/>
          <w:sz w:val="21"/>
          <w:szCs w:val="21"/>
          <w:highlight w:val="none"/>
          <w:lang w:val="en-US" w:eastAsia="zh-CN"/>
        </w:rPr>
        <w:t>具有</w:t>
      </w:r>
      <w:r>
        <w:rPr>
          <w:rFonts w:hint="eastAsia" w:ascii="宋体" w:hAnsi="宋体" w:eastAsia="宋体" w:cs="宋体"/>
          <w:color w:val="auto"/>
          <w:sz w:val="21"/>
          <w:szCs w:val="21"/>
          <w:highlight w:val="none"/>
        </w:rPr>
        <w:t>有效的《营业执照》</w:t>
      </w:r>
      <w:r>
        <w:rPr>
          <w:rFonts w:hint="eastAsia" w:hAnsi="宋体" w:cs="宋体"/>
          <w:color w:val="auto"/>
          <w:sz w:val="21"/>
          <w:szCs w:val="21"/>
          <w:highlight w:val="none"/>
          <w:lang w:val="en-US" w:eastAsia="zh-CN"/>
        </w:rPr>
        <w:t>或</w:t>
      </w:r>
      <w:r>
        <w:rPr>
          <w:rFonts w:hint="eastAsia" w:ascii="宋体" w:hAnsi="宋体" w:eastAsia="宋体" w:cs="宋体"/>
          <w:color w:val="auto"/>
          <w:sz w:val="21"/>
          <w:szCs w:val="21"/>
          <w:highlight w:val="none"/>
        </w:rPr>
        <w:t>《统一社会信用代码证》或其他组织证件或自然人身份证明等能证明投标人具有独立承担民事责任能力的证明材料。</w:t>
      </w:r>
    </w:p>
    <w:p w14:paraId="5208D95D">
      <w:pPr>
        <w:spacing w:line="420" w:lineRule="exact"/>
        <w:jc w:val="left"/>
        <w:rPr>
          <w:rFonts w:hint="eastAsia" w:ascii="宋体" w:hAnsi="宋体" w:eastAsia="宋体" w:cs="宋体"/>
          <w:color w:val="auto"/>
          <w:szCs w:val="21"/>
          <w:highlight w:val="none"/>
        </w:rPr>
      </w:pPr>
    </w:p>
    <w:p w14:paraId="674B9998">
      <w:pPr>
        <w:spacing w:line="420" w:lineRule="exact"/>
        <w:jc w:val="left"/>
        <w:rPr>
          <w:rFonts w:hint="eastAsia" w:ascii="宋体" w:hAnsi="宋体" w:eastAsia="宋体" w:cs="宋体"/>
          <w:color w:val="auto"/>
          <w:szCs w:val="21"/>
          <w:highlight w:val="none"/>
        </w:rPr>
      </w:pPr>
    </w:p>
    <w:p w14:paraId="2BC5C22E">
      <w:pPr>
        <w:spacing w:line="420" w:lineRule="exact"/>
        <w:jc w:val="left"/>
        <w:rPr>
          <w:rFonts w:hint="eastAsia" w:ascii="宋体" w:hAnsi="宋体" w:eastAsia="宋体" w:cs="宋体"/>
          <w:color w:val="auto"/>
          <w:szCs w:val="21"/>
          <w:highlight w:val="none"/>
        </w:rPr>
      </w:pPr>
    </w:p>
    <w:p w14:paraId="6E36174D">
      <w:pPr>
        <w:spacing w:line="420" w:lineRule="exact"/>
        <w:jc w:val="left"/>
        <w:rPr>
          <w:rFonts w:hint="eastAsia" w:ascii="宋体" w:hAnsi="宋体" w:eastAsia="宋体" w:cs="宋体"/>
          <w:color w:val="auto"/>
          <w:szCs w:val="21"/>
          <w:highlight w:val="none"/>
        </w:rPr>
      </w:pPr>
    </w:p>
    <w:p w14:paraId="723A7022">
      <w:pPr>
        <w:spacing w:line="420" w:lineRule="exact"/>
        <w:jc w:val="center"/>
        <w:rPr>
          <w:rFonts w:hint="eastAsia" w:ascii="宋体" w:hAnsi="宋体" w:eastAsia="宋体" w:cs="宋体"/>
          <w:b/>
          <w:bCs/>
          <w:color w:val="auto"/>
          <w:sz w:val="24"/>
          <w:highlight w:val="none"/>
        </w:rPr>
      </w:pPr>
      <w:r>
        <w:rPr>
          <w:rFonts w:hint="eastAsia" w:ascii="宋体" w:hAnsi="宋体" w:eastAsia="宋体" w:cs="宋体"/>
          <w:b/>
          <w:color w:val="auto"/>
          <w:szCs w:val="21"/>
          <w:highlight w:val="none"/>
        </w:rPr>
        <w:br w:type="page"/>
      </w:r>
      <w:r>
        <w:rPr>
          <w:rFonts w:hint="eastAsia" w:ascii="宋体" w:hAnsi="宋体" w:eastAsia="宋体" w:cs="宋体"/>
          <w:b/>
          <w:color w:val="auto"/>
          <w:sz w:val="24"/>
          <w:highlight w:val="none"/>
        </w:rPr>
        <w:t>2.法定代表人（负责人）身份证明书</w:t>
      </w:r>
    </w:p>
    <w:p w14:paraId="3F7C13E1">
      <w:pPr>
        <w:spacing w:line="360" w:lineRule="auto"/>
        <w:ind w:firstLine="868" w:firstLineChars="362"/>
        <w:rPr>
          <w:rFonts w:hint="eastAsia" w:ascii="宋体" w:hAnsi="宋体" w:eastAsia="宋体" w:cs="宋体"/>
          <w:color w:val="auto"/>
          <w:sz w:val="24"/>
          <w:highlight w:val="none"/>
        </w:rPr>
      </w:pPr>
    </w:p>
    <w:p w14:paraId="1BE3006E">
      <w:pPr>
        <w:spacing w:line="360" w:lineRule="auto"/>
        <w:ind w:firstLine="760" w:firstLineChars="36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投标人名称：</w:t>
      </w:r>
      <w:r>
        <w:rPr>
          <w:rFonts w:hint="eastAsia" w:ascii="宋体" w:hAnsi="宋体" w:eastAsia="宋体" w:cs="宋体"/>
          <w:color w:val="auto"/>
          <w:sz w:val="21"/>
          <w:szCs w:val="21"/>
          <w:highlight w:val="none"/>
          <w:u w:val="single"/>
        </w:rPr>
        <w:t xml:space="preserve">                        </w:t>
      </w:r>
    </w:p>
    <w:p w14:paraId="1BED6D32">
      <w:pPr>
        <w:spacing w:line="360" w:lineRule="auto"/>
        <w:ind w:firstLine="760" w:firstLineChars="36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单位性质：</w:t>
      </w:r>
      <w:r>
        <w:rPr>
          <w:rFonts w:hint="eastAsia" w:ascii="宋体" w:hAnsi="宋体" w:eastAsia="宋体" w:cs="宋体"/>
          <w:color w:val="auto"/>
          <w:sz w:val="21"/>
          <w:szCs w:val="21"/>
          <w:highlight w:val="none"/>
          <w:u w:val="single"/>
        </w:rPr>
        <w:t xml:space="preserve">                            </w:t>
      </w:r>
    </w:p>
    <w:p w14:paraId="76AB0B03">
      <w:pPr>
        <w:spacing w:line="360" w:lineRule="auto"/>
        <w:ind w:firstLine="760" w:firstLineChars="36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成立时间：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6D63E1CB">
      <w:pPr>
        <w:spacing w:line="360" w:lineRule="auto"/>
        <w:ind w:firstLine="760" w:firstLineChars="36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经营期限：</w:t>
      </w:r>
      <w:r>
        <w:rPr>
          <w:rFonts w:hint="eastAsia" w:ascii="宋体" w:hAnsi="宋体" w:eastAsia="宋体" w:cs="宋体"/>
          <w:color w:val="auto"/>
          <w:sz w:val="21"/>
          <w:szCs w:val="21"/>
          <w:highlight w:val="none"/>
          <w:u w:val="single"/>
        </w:rPr>
        <w:t xml:space="preserve">                            </w:t>
      </w:r>
    </w:p>
    <w:p w14:paraId="7164C71C">
      <w:pPr>
        <w:spacing w:line="360" w:lineRule="auto"/>
        <w:ind w:firstLine="760" w:firstLineChars="36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性别：</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年龄：</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职务：</w:t>
      </w:r>
      <w:r>
        <w:rPr>
          <w:rFonts w:hint="eastAsia" w:ascii="宋体" w:hAnsi="宋体" w:eastAsia="宋体" w:cs="宋体"/>
          <w:color w:val="auto"/>
          <w:sz w:val="21"/>
          <w:szCs w:val="21"/>
          <w:highlight w:val="none"/>
          <w:u w:val="single"/>
        </w:rPr>
        <w:t xml:space="preserve">            </w:t>
      </w:r>
    </w:p>
    <w:p w14:paraId="169EFD28">
      <w:pPr>
        <w:spacing w:line="360" w:lineRule="auto"/>
        <w:ind w:firstLine="37" w:firstLineChars="18"/>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（投标人名称）的法定代表人（负责人）。</w:t>
      </w:r>
    </w:p>
    <w:p w14:paraId="04C2A94C">
      <w:pPr>
        <w:pStyle w:val="15"/>
        <w:spacing w:line="360" w:lineRule="auto"/>
        <w:rPr>
          <w:rFonts w:hint="eastAsia" w:ascii="宋体" w:hAnsi="宋体" w:cs="宋体"/>
          <w:color w:val="auto"/>
          <w:sz w:val="21"/>
          <w:szCs w:val="21"/>
          <w:highlight w:val="none"/>
        </w:rPr>
      </w:pPr>
    </w:p>
    <w:p w14:paraId="5E3C39A6">
      <w:pPr>
        <w:pStyle w:val="15"/>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特此证明</w:t>
      </w:r>
    </w:p>
    <w:p w14:paraId="1B3AA037">
      <w:pPr>
        <w:pStyle w:val="15"/>
        <w:spacing w:line="480" w:lineRule="auto"/>
        <w:ind w:firstLine="357" w:firstLineChars="210"/>
        <w:outlineLvl w:val="0"/>
        <w:rPr>
          <w:rFonts w:hint="eastAsia" w:ascii="宋体" w:hAnsi="宋体" w:cs="宋体"/>
          <w:color w:val="auto"/>
          <w:spacing w:val="-20"/>
          <w:sz w:val="21"/>
          <w:szCs w:val="21"/>
          <w:highlight w:val="none"/>
        </w:rPr>
      </w:pPr>
    </w:p>
    <w:p w14:paraId="0888599C">
      <w:pPr>
        <w:pStyle w:val="15"/>
        <w:spacing w:line="480" w:lineRule="auto"/>
        <w:ind w:firstLine="357" w:firstLineChars="210"/>
        <w:outlineLvl w:val="0"/>
        <w:rPr>
          <w:rFonts w:hint="eastAsia" w:ascii="宋体" w:hAnsi="宋体" w:cs="宋体"/>
          <w:color w:val="auto"/>
          <w:sz w:val="21"/>
          <w:szCs w:val="21"/>
          <w:highlight w:val="none"/>
        </w:rPr>
      </w:pPr>
      <w:bookmarkStart w:id="46" w:name="_Toc3587"/>
      <w:bookmarkStart w:id="47" w:name="_Toc10467"/>
      <w:bookmarkStart w:id="48" w:name="_Toc19628"/>
      <w:bookmarkStart w:id="49" w:name="_Toc27531"/>
      <w:bookmarkStart w:id="50" w:name="_Toc11785714"/>
      <w:bookmarkStart w:id="51" w:name="_Toc3466"/>
      <w:bookmarkStart w:id="52" w:name="_Toc10966"/>
      <w:bookmarkStart w:id="53" w:name="_Toc31585"/>
      <w:bookmarkStart w:id="54" w:name="_Toc25999"/>
      <w:bookmarkStart w:id="55" w:name="_Toc24842"/>
      <w:bookmarkStart w:id="56" w:name="_Toc21292"/>
      <w:r>
        <w:rPr>
          <w:rFonts w:hint="eastAsia" w:ascii="宋体" w:hAnsi="宋体" w:cs="宋体"/>
          <w:color w:val="auto"/>
          <w:spacing w:val="-20"/>
          <w:sz w:val="21"/>
          <w:szCs w:val="21"/>
          <w:highlight w:val="none"/>
        </w:rPr>
        <w:t>投标人：</w:t>
      </w:r>
      <w:r>
        <w:rPr>
          <w:rFonts w:hint="eastAsia" w:ascii="宋体" w:hAnsi="宋体" w:cs="宋体"/>
          <w:color w:val="auto"/>
          <w:spacing w:val="-20"/>
          <w:sz w:val="21"/>
          <w:szCs w:val="21"/>
          <w:highlight w:val="none"/>
          <w:u w:val="single"/>
        </w:rPr>
        <w:t xml:space="preserve">                                               </w:t>
      </w:r>
      <w:r>
        <w:rPr>
          <w:rFonts w:hint="eastAsia" w:ascii="宋体" w:hAnsi="宋体" w:cs="宋体"/>
          <w:color w:val="auto"/>
          <w:kern w:val="2"/>
          <w:sz w:val="21"/>
          <w:szCs w:val="21"/>
          <w:highlight w:val="none"/>
        </w:rPr>
        <w:t>（盖单位章）</w:t>
      </w:r>
      <w:bookmarkEnd w:id="46"/>
      <w:bookmarkEnd w:id="47"/>
      <w:bookmarkEnd w:id="48"/>
      <w:bookmarkEnd w:id="49"/>
      <w:bookmarkEnd w:id="50"/>
      <w:bookmarkEnd w:id="51"/>
      <w:bookmarkEnd w:id="52"/>
      <w:bookmarkEnd w:id="53"/>
      <w:bookmarkEnd w:id="54"/>
      <w:bookmarkEnd w:id="55"/>
      <w:bookmarkEnd w:id="56"/>
    </w:p>
    <w:p w14:paraId="4B51DB3B">
      <w:pPr>
        <w:pStyle w:val="15"/>
        <w:spacing w:line="480" w:lineRule="auto"/>
        <w:ind w:firstLine="367" w:firstLineChars="175"/>
        <w:outlineLvl w:val="0"/>
        <w:rPr>
          <w:rFonts w:hint="eastAsia" w:ascii="宋体" w:hAnsi="宋体" w:cs="宋体"/>
          <w:color w:val="auto"/>
          <w:sz w:val="21"/>
          <w:szCs w:val="21"/>
          <w:highlight w:val="none"/>
        </w:rPr>
      </w:pPr>
      <w:bookmarkStart w:id="57" w:name="_Toc17212"/>
      <w:bookmarkStart w:id="58" w:name="_Toc27118"/>
      <w:bookmarkStart w:id="59" w:name="_Toc1210"/>
      <w:bookmarkStart w:id="60" w:name="_Toc3829"/>
      <w:bookmarkStart w:id="61" w:name="_Toc25143"/>
      <w:bookmarkStart w:id="62" w:name="_Toc8601"/>
      <w:bookmarkStart w:id="63" w:name="_Toc11785715"/>
      <w:bookmarkStart w:id="64" w:name="_Toc32441"/>
      <w:bookmarkStart w:id="65" w:name="_Toc31622"/>
      <w:bookmarkStart w:id="66" w:name="_Toc22738"/>
      <w:bookmarkStart w:id="67" w:name="_Toc23959"/>
      <w:r>
        <w:rPr>
          <w:rFonts w:hint="eastAsia" w:ascii="宋体" w:hAnsi="宋体" w:cs="宋体"/>
          <w:color w:val="auto"/>
          <w:sz w:val="21"/>
          <w:szCs w:val="21"/>
          <w:highlight w:val="none"/>
        </w:rPr>
        <w:t>日 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日</w:t>
      </w:r>
      <w:bookmarkEnd w:id="57"/>
      <w:bookmarkEnd w:id="58"/>
      <w:bookmarkEnd w:id="59"/>
      <w:bookmarkEnd w:id="60"/>
      <w:bookmarkEnd w:id="61"/>
      <w:bookmarkEnd w:id="62"/>
      <w:bookmarkEnd w:id="63"/>
      <w:bookmarkEnd w:id="64"/>
      <w:bookmarkEnd w:id="65"/>
      <w:bookmarkEnd w:id="66"/>
      <w:bookmarkEnd w:id="67"/>
    </w:p>
    <w:p w14:paraId="5A08E687">
      <w:pPr>
        <w:spacing w:line="440" w:lineRule="exact"/>
        <w:rPr>
          <w:rFonts w:hint="eastAsia" w:ascii="宋体" w:hAnsi="宋体" w:eastAsia="宋体" w:cs="宋体"/>
          <w:b/>
          <w:bCs/>
          <w:color w:val="auto"/>
          <w:sz w:val="21"/>
          <w:szCs w:val="21"/>
          <w:highlight w:val="none"/>
        </w:rPr>
      </w:pPr>
    </w:p>
    <w:p w14:paraId="2D6D4664">
      <w:pPr>
        <w:spacing w:line="440" w:lineRule="exact"/>
        <w:rPr>
          <w:rFonts w:hint="eastAsia" w:ascii="宋体" w:hAnsi="宋体" w:eastAsia="宋体" w:cs="宋体"/>
          <w:b/>
          <w:bCs/>
          <w:color w:val="auto"/>
          <w:sz w:val="21"/>
          <w:szCs w:val="21"/>
          <w:highlight w:val="none"/>
        </w:rPr>
      </w:pPr>
    </w:p>
    <w:tbl>
      <w:tblPr>
        <w:tblStyle w:val="37"/>
        <w:tblW w:w="947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46"/>
        <w:gridCol w:w="4732"/>
      </w:tblGrid>
      <w:tr w14:paraId="1F1AE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53" w:hRule="atLeast"/>
        </w:trPr>
        <w:tc>
          <w:tcPr>
            <w:tcW w:w="4746" w:type="dxa"/>
            <w:tcBorders>
              <w:top w:val="single" w:color="auto" w:sz="4" w:space="0"/>
              <w:left w:val="single" w:color="auto" w:sz="4" w:space="0"/>
              <w:bottom w:val="single" w:color="auto" w:sz="4" w:space="0"/>
              <w:right w:val="single" w:color="auto" w:sz="4" w:space="0"/>
            </w:tcBorders>
            <w:vAlign w:val="top"/>
          </w:tcPr>
          <w:p w14:paraId="0B746CE2">
            <w:pPr>
              <w:spacing w:line="440" w:lineRule="exact"/>
              <w:ind w:left="12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附：法定代表人（负责人）身份证复印件正面</w:t>
            </w:r>
          </w:p>
          <w:p w14:paraId="3BDB852D">
            <w:pPr>
              <w:spacing w:line="440" w:lineRule="exact"/>
              <w:ind w:left="120"/>
              <w:rPr>
                <w:rFonts w:hint="eastAsia" w:ascii="宋体" w:hAnsi="宋体" w:eastAsia="宋体" w:cs="宋体"/>
                <w:b/>
                <w:bCs/>
                <w:color w:val="auto"/>
                <w:sz w:val="21"/>
                <w:szCs w:val="21"/>
                <w:highlight w:val="none"/>
              </w:rPr>
            </w:pPr>
          </w:p>
          <w:p w14:paraId="4D2BEE0A">
            <w:pPr>
              <w:spacing w:line="440" w:lineRule="exact"/>
              <w:ind w:left="120"/>
              <w:rPr>
                <w:rFonts w:hint="eastAsia" w:ascii="宋体" w:hAnsi="宋体" w:eastAsia="宋体" w:cs="宋体"/>
                <w:b/>
                <w:bCs/>
                <w:color w:val="auto"/>
                <w:sz w:val="21"/>
                <w:szCs w:val="21"/>
                <w:highlight w:val="none"/>
              </w:rPr>
            </w:pPr>
          </w:p>
          <w:p w14:paraId="3EA6A85D">
            <w:pPr>
              <w:spacing w:line="440" w:lineRule="exact"/>
              <w:ind w:left="120"/>
              <w:rPr>
                <w:rFonts w:hint="eastAsia" w:ascii="宋体" w:hAnsi="宋体" w:eastAsia="宋体" w:cs="宋体"/>
                <w:b/>
                <w:bCs/>
                <w:color w:val="auto"/>
                <w:sz w:val="21"/>
                <w:szCs w:val="21"/>
                <w:highlight w:val="none"/>
              </w:rPr>
            </w:pPr>
          </w:p>
          <w:p w14:paraId="4B545CCA">
            <w:pPr>
              <w:spacing w:line="440" w:lineRule="exact"/>
              <w:ind w:left="120"/>
              <w:rPr>
                <w:rFonts w:hint="eastAsia" w:ascii="宋体" w:hAnsi="宋体" w:eastAsia="宋体" w:cs="宋体"/>
                <w:b/>
                <w:bCs/>
                <w:color w:val="auto"/>
                <w:sz w:val="21"/>
                <w:szCs w:val="21"/>
                <w:highlight w:val="none"/>
              </w:rPr>
            </w:pPr>
          </w:p>
          <w:p w14:paraId="4C125F12">
            <w:pPr>
              <w:spacing w:line="440" w:lineRule="exact"/>
              <w:ind w:left="120"/>
              <w:rPr>
                <w:rFonts w:hint="eastAsia" w:ascii="宋体" w:hAnsi="宋体" w:eastAsia="宋体" w:cs="宋体"/>
                <w:b/>
                <w:bCs/>
                <w:color w:val="auto"/>
                <w:sz w:val="21"/>
                <w:szCs w:val="21"/>
                <w:highlight w:val="none"/>
              </w:rPr>
            </w:pPr>
          </w:p>
        </w:tc>
        <w:tc>
          <w:tcPr>
            <w:tcW w:w="4732" w:type="dxa"/>
            <w:tcBorders>
              <w:top w:val="single" w:color="auto" w:sz="4" w:space="0"/>
              <w:left w:val="single" w:color="auto" w:sz="4" w:space="0"/>
              <w:bottom w:val="single" w:color="auto" w:sz="4" w:space="0"/>
              <w:right w:val="single" w:color="auto" w:sz="4" w:space="0"/>
            </w:tcBorders>
            <w:vAlign w:val="top"/>
          </w:tcPr>
          <w:p w14:paraId="31584C3D">
            <w:pPr>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附：法定代表人（负责人）身份证复印件背面</w:t>
            </w:r>
          </w:p>
          <w:p w14:paraId="4A13A9E4">
            <w:pPr>
              <w:widowControl/>
              <w:jc w:val="left"/>
              <w:rPr>
                <w:rFonts w:hint="eastAsia" w:ascii="宋体" w:hAnsi="宋体" w:eastAsia="宋体" w:cs="宋体"/>
                <w:b/>
                <w:bCs/>
                <w:color w:val="auto"/>
                <w:sz w:val="21"/>
                <w:szCs w:val="21"/>
                <w:highlight w:val="none"/>
              </w:rPr>
            </w:pPr>
          </w:p>
          <w:p w14:paraId="73EA7424">
            <w:pPr>
              <w:widowControl/>
              <w:jc w:val="left"/>
              <w:rPr>
                <w:rFonts w:hint="eastAsia" w:ascii="宋体" w:hAnsi="宋体" w:eastAsia="宋体" w:cs="宋体"/>
                <w:b/>
                <w:bCs/>
                <w:color w:val="auto"/>
                <w:sz w:val="21"/>
                <w:szCs w:val="21"/>
                <w:highlight w:val="none"/>
              </w:rPr>
            </w:pPr>
          </w:p>
          <w:p w14:paraId="2BC48931">
            <w:pPr>
              <w:spacing w:line="440" w:lineRule="exact"/>
              <w:rPr>
                <w:rFonts w:hint="eastAsia" w:ascii="宋体" w:hAnsi="宋体" w:eastAsia="宋体" w:cs="宋体"/>
                <w:b/>
                <w:bCs/>
                <w:color w:val="auto"/>
                <w:sz w:val="21"/>
                <w:szCs w:val="21"/>
                <w:highlight w:val="none"/>
              </w:rPr>
            </w:pPr>
          </w:p>
          <w:p w14:paraId="3BE95457">
            <w:pPr>
              <w:spacing w:line="440" w:lineRule="exact"/>
              <w:rPr>
                <w:rFonts w:hint="eastAsia" w:ascii="宋体" w:hAnsi="宋体" w:eastAsia="宋体" w:cs="宋体"/>
                <w:b/>
                <w:bCs/>
                <w:color w:val="auto"/>
                <w:sz w:val="21"/>
                <w:szCs w:val="21"/>
                <w:highlight w:val="none"/>
              </w:rPr>
            </w:pPr>
          </w:p>
          <w:p w14:paraId="70FA7488">
            <w:pPr>
              <w:spacing w:line="440" w:lineRule="exact"/>
              <w:rPr>
                <w:rFonts w:hint="eastAsia" w:ascii="宋体" w:hAnsi="宋体" w:eastAsia="宋体" w:cs="宋体"/>
                <w:b/>
                <w:bCs/>
                <w:color w:val="auto"/>
                <w:sz w:val="21"/>
                <w:szCs w:val="21"/>
                <w:highlight w:val="none"/>
              </w:rPr>
            </w:pPr>
          </w:p>
        </w:tc>
      </w:tr>
    </w:tbl>
    <w:p w14:paraId="5A5DA104">
      <w:pPr>
        <w:spacing w:line="440" w:lineRule="exact"/>
        <w:rPr>
          <w:rFonts w:hint="eastAsia" w:ascii="宋体" w:hAnsi="宋体" w:eastAsia="宋体" w:cs="宋体"/>
          <w:b/>
          <w:bCs/>
          <w:color w:val="auto"/>
          <w:szCs w:val="21"/>
          <w:highlight w:val="none"/>
        </w:rPr>
      </w:pPr>
    </w:p>
    <w:p w14:paraId="26059C51">
      <w:pPr>
        <w:spacing w:line="440" w:lineRule="exact"/>
        <w:rPr>
          <w:rFonts w:hint="eastAsia" w:ascii="宋体" w:hAnsi="宋体" w:eastAsia="宋体" w:cs="宋体"/>
          <w:b/>
          <w:bCs/>
          <w:color w:val="auto"/>
          <w:szCs w:val="21"/>
          <w:highlight w:val="none"/>
        </w:rPr>
      </w:pPr>
    </w:p>
    <w:p w14:paraId="21F7E29D">
      <w:pPr>
        <w:spacing w:line="440" w:lineRule="exact"/>
        <w:rPr>
          <w:rFonts w:hint="eastAsia" w:ascii="宋体" w:hAnsi="宋体" w:eastAsia="宋体" w:cs="宋体"/>
          <w:b/>
          <w:bCs/>
          <w:color w:val="auto"/>
          <w:szCs w:val="21"/>
          <w:highlight w:val="none"/>
        </w:rPr>
      </w:pPr>
    </w:p>
    <w:p w14:paraId="6A2A370B">
      <w:pPr>
        <w:spacing w:line="420" w:lineRule="exact"/>
        <w:jc w:val="left"/>
        <w:rPr>
          <w:rFonts w:hint="eastAsia" w:ascii="宋体" w:hAnsi="宋体" w:eastAsia="宋体" w:cs="宋体"/>
          <w:b/>
          <w:bCs/>
          <w:color w:val="auto"/>
          <w:sz w:val="30"/>
          <w:highlight w:val="none"/>
        </w:rPr>
      </w:pPr>
    </w:p>
    <w:p w14:paraId="341E2AFB">
      <w:pPr>
        <w:spacing w:line="420" w:lineRule="exact"/>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br w:type="page"/>
      </w:r>
      <w:r>
        <w:rPr>
          <w:rFonts w:hint="eastAsia" w:ascii="宋体" w:hAnsi="宋体" w:eastAsia="宋体" w:cs="宋体"/>
          <w:b/>
          <w:color w:val="auto"/>
          <w:sz w:val="24"/>
          <w:highlight w:val="none"/>
        </w:rPr>
        <w:t>3.</w:t>
      </w:r>
      <w:r>
        <w:rPr>
          <w:rFonts w:hint="eastAsia" w:ascii="宋体" w:hAnsi="宋体" w:eastAsia="宋体" w:cs="宋体"/>
          <w:color w:val="auto"/>
          <w:highlight w:val="none"/>
        </w:rPr>
        <w:t xml:space="preserve"> </w:t>
      </w:r>
      <w:r>
        <w:rPr>
          <w:rFonts w:hint="eastAsia" w:ascii="宋体" w:hAnsi="宋体" w:eastAsia="宋体" w:cs="宋体"/>
          <w:b/>
          <w:color w:val="auto"/>
          <w:sz w:val="24"/>
          <w:highlight w:val="none"/>
        </w:rPr>
        <w:t>法人代表人授权委托书（法人参加投标时无需提供此表）</w:t>
      </w:r>
    </w:p>
    <w:p w14:paraId="515E6A7B">
      <w:pPr>
        <w:pStyle w:val="23"/>
        <w:spacing w:line="440" w:lineRule="exact"/>
        <w:ind w:firstLine="240" w:firstLineChars="100"/>
        <w:rPr>
          <w:rFonts w:hint="eastAsia" w:ascii="宋体" w:hAnsi="宋体" w:cs="宋体"/>
          <w:color w:val="auto"/>
          <w:sz w:val="24"/>
          <w:highlight w:val="none"/>
          <w:u w:val="single"/>
        </w:rPr>
      </w:pPr>
    </w:p>
    <w:p w14:paraId="2197BA5D">
      <w:pPr>
        <w:pStyle w:val="23"/>
        <w:spacing w:line="360" w:lineRule="auto"/>
        <w:ind w:firstLine="120" w:firstLineChars="50"/>
        <w:rPr>
          <w:rFonts w:hint="eastAsia" w:ascii="宋体" w:hAnsi="宋体" w:cs="宋体"/>
          <w:color w:val="auto"/>
          <w:sz w:val="24"/>
          <w:highlight w:val="none"/>
        </w:rPr>
      </w:pPr>
    </w:p>
    <w:p w14:paraId="23CD7605">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本授权书声明：</w:t>
      </w:r>
      <w:r>
        <w:rPr>
          <w:rFonts w:hint="eastAsia" w:ascii="宋体" w:hAnsi="宋体" w:eastAsia="宋体" w:cs="宋体"/>
          <w:color w:val="auto"/>
          <w:sz w:val="21"/>
          <w:szCs w:val="21"/>
          <w:highlight w:val="none"/>
          <w:u w:val="single"/>
        </w:rPr>
        <w:t xml:space="preserve">  （投标人全称） </w:t>
      </w:r>
      <w:r>
        <w:rPr>
          <w:rFonts w:hint="eastAsia" w:ascii="宋体" w:hAnsi="宋体" w:eastAsia="宋体" w:cs="宋体"/>
          <w:color w:val="auto"/>
          <w:sz w:val="21"/>
          <w:szCs w:val="21"/>
          <w:highlight w:val="none"/>
        </w:rPr>
        <w:t>的法定代表人（负责人）代表本公司授权</w:t>
      </w:r>
      <w:r>
        <w:rPr>
          <w:rFonts w:hint="eastAsia" w:ascii="宋体" w:hAnsi="宋体" w:eastAsia="宋体" w:cs="宋体"/>
          <w:color w:val="auto"/>
          <w:sz w:val="21"/>
          <w:szCs w:val="21"/>
          <w:highlight w:val="none"/>
          <w:u w:val="single"/>
        </w:rPr>
        <w:t>（委托代理人姓名）</w:t>
      </w:r>
      <w:r>
        <w:rPr>
          <w:rFonts w:hint="eastAsia" w:ascii="宋体" w:hAnsi="宋体" w:eastAsia="宋体" w:cs="宋体"/>
          <w:color w:val="auto"/>
          <w:sz w:val="21"/>
          <w:szCs w:val="21"/>
          <w:highlight w:val="none"/>
        </w:rPr>
        <w:t>为本公司合法代理人，就贵方组织的有关</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u w:val="single"/>
          <w:lang w:eastAsia="zh-CN"/>
        </w:rPr>
        <w:t>项目名称、项目编号</w:t>
      </w:r>
      <w:r>
        <w:rPr>
          <w:rFonts w:hint="eastAsia" w:ascii="宋体" w:hAnsi="宋体" w:eastAsia="宋体" w:cs="宋体"/>
          <w:color w:val="auto"/>
          <w:sz w:val="21"/>
          <w:szCs w:val="21"/>
          <w:highlight w:val="none"/>
          <w:u w:val="single"/>
        </w:rPr>
        <w:t>）</w:t>
      </w:r>
      <w:r>
        <w:rPr>
          <w:rFonts w:hint="eastAsia" w:ascii="宋体" w:hAnsi="宋体" w:eastAsia="宋体" w:cs="宋体"/>
          <w:color w:val="auto"/>
          <w:sz w:val="21"/>
          <w:szCs w:val="21"/>
          <w:highlight w:val="none"/>
        </w:rPr>
        <w:t>的招标，以本单位名义投标。代理人在本项目投标过程中所签署的一切文件和处理与之有关的一切事务，我方均予承认。</w:t>
      </w:r>
    </w:p>
    <w:p w14:paraId="3407A5E9">
      <w:pPr>
        <w:pStyle w:val="23"/>
        <w:spacing w:line="360" w:lineRule="auto"/>
        <w:ind w:firstLine="525" w:firstLineChars="250"/>
        <w:rPr>
          <w:rFonts w:hint="eastAsia" w:ascii="宋体" w:hAnsi="宋体" w:cs="宋体"/>
          <w:color w:val="auto"/>
          <w:sz w:val="21"/>
          <w:szCs w:val="21"/>
          <w:highlight w:val="none"/>
        </w:rPr>
      </w:pPr>
      <w:r>
        <w:rPr>
          <w:rFonts w:hint="eastAsia" w:ascii="宋体" w:hAnsi="宋体" w:cs="宋体"/>
          <w:color w:val="auto"/>
          <w:sz w:val="21"/>
          <w:szCs w:val="21"/>
          <w:highlight w:val="none"/>
        </w:rPr>
        <w:t>代理人无转委托权。</w:t>
      </w:r>
    </w:p>
    <w:p w14:paraId="494172E9">
      <w:pPr>
        <w:spacing w:line="360" w:lineRule="auto"/>
        <w:ind w:firstLine="420" w:firstLineChars="200"/>
        <w:rPr>
          <w:rFonts w:hint="eastAsia" w:ascii="宋体" w:hAnsi="宋体" w:eastAsia="宋体" w:cs="宋体"/>
          <w:color w:val="auto"/>
          <w:sz w:val="21"/>
          <w:szCs w:val="21"/>
          <w:highlight w:val="none"/>
        </w:rPr>
      </w:pPr>
    </w:p>
    <w:p w14:paraId="05C724F4">
      <w:pPr>
        <w:spacing w:line="360" w:lineRule="auto"/>
        <w:ind w:firstLine="420" w:firstLineChars="200"/>
        <w:rPr>
          <w:rFonts w:hint="eastAsia" w:ascii="宋体" w:hAnsi="宋体" w:eastAsia="宋体" w:cs="宋体"/>
          <w:color w:val="auto"/>
          <w:sz w:val="21"/>
          <w:szCs w:val="21"/>
          <w:highlight w:val="none"/>
        </w:rPr>
      </w:pPr>
    </w:p>
    <w:p w14:paraId="0DDA957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u w:val="single"/>
        </w:rPr>
        <w:t xml:space="preserve">        （全称）      </w:t>
      </w:r>
      <w:r>
        <w:rPr>
          <w:rFonts w:hint="eastAsia" w:ascii="宋体" w:hAnsi="宋体" w:eastAsia="宋体" w:cs="宋体"/>
          <w:color w:val="auto"/>
          <w:sz w:val="21"/>
          <w:szCs w:val="21"/>
          <w:highlight w:val="none"/>
        </w:rPr>
        <w:t>（盖单位章）</w:t>
      </w:r>
    </w:p>
    <w:p w14:paraId="4C69059C">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签字或盖个人印章</w:t>
      </w:r>
      <w:r>
        <w:rPr>
          <w:rFonts w:hint="eastAsia" w:ascii="宋体" w:hAnsi="宋体" w:eastAsia="宋体" w:cs="宋体"/>
          <w:color w:val="auto"/>
          <w:sz w:val="21"/>
          <w:szCs w:val="21"/>
          <w:highlight w:val="none"/>
        </w:rPr>
        <w:t>）</w:t>
      </w:r>
    </w:p>
    <w:p w14:paraId="1035065D">
      <w:pPr>
        <w:spacing w:line="360" w:lineRule="auto"/>
        <w:ind w:firstLine="420" w:firstLineChars="200"/>
        <w:rPr>
          <w:rFonts w:hint="eastAsia" w:ascii="宋体" w:hAnsi="宋体" w:eastAsia="宋体" w:cs="宋体"/>
          <w:color w:val="auto"/>
          <w:sz w:val="21"/>
          <w:szCs w:val="21"/>
          <w:highlight w:val="none"/>
        </w:rPr>
      </w:pPr>
    </w:p>
    <w:p w14:paraId="17A241A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委托代理人相关信息</w:t>
      </w:r>
    </w:p>
    <w:p w14:paraId="402D6762">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姓      名：</w:t>
      </w:r>
      <w:r>
        <w:rPr>
          <w:rFonts w:hint="eastAsia" w:ascii="宋体" w:hAnsi="宋体" w:eastAsia="宋体" w:cs="宋体"/>
          <w:color w:val="auto"/>
          <w:sz w:val="21"/>
          <w:szCs w:val="21"/>
          <w:highlight w:val="none"/>
          <w:u w:val="single"/>
        </w:rPr>
        <w:t xml:space="preserve">                             </w:t>
      </w:r>
    </w:p>
    <w:p w14:paraId="0514E01A">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职      务：</w:t>
      </w:r>
      <w:r>
        <w:rPr>
          <w:rFonts w:hint="eastAsia" w:ascii="宋体" w:hAnsi="宋体" w:eastAsia="宋体" w:cs="宋体"/>
          <w:color w:val="auto"/>
          <w:sz w:val="21"/>
          <w:szCs w:val="21"/>
          <w:highlight w:val="none"/>
          <w:u w:val="single"/>
        </w:rPr>
        <w:t xml:space="preserve">                             </w:t>
      </w:r>
    </w:p>
    <w:p w14:paraId="71E81B14">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      话：</w:t>
      </w:r>
      <w:r>
        <w:rPr>
          <w:rFonts w:hint="eastAsia" w:ascii="宋体" w:hAnsi="宋体" w:eastAsia="宋体" w:cs="宋体"/>
          <w:color w:val="auto"/>
          <w:sz w:val="21"/>
          <w:szCs w:val="21"/>
          <w:highlight w:val="none"/>
          <w:u w:val="single"/>
        </w:rPr>
        <w:t xml:space="preserve">                             </w:t>
      </w:r>
    </w:p>
    <w:p w14:paraId="39D338E7">
      <w:pPr>
        <w:spacing w:line="360" w:lineRule="auto"/>
        <w:ind w:firstLine="420" w:firstLineChars="200"/>
        <w:rPr>
          <w:rFonts w:hint="eastAsia" w:ascii="宋体" w:hAnsi="宋体" w:eastAsia="宋体" w:cs="宋体"/>
          <w:color w:val="auto"/>
          <w:sz w:val="21"/>
          <w:szCs w:val="21"/>
          <w:highlight w:val="none"/>
          <w:u w:val="single"/>
        </w:rPr>
      </w:pPr>
    </w:p>
    <w:p w14:paraId="20CFF3AB">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      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5CA5DB0A">
      <w:pPr>
        <w:pStyle w:val="23"/>
        <w:spacing w:line="600" w:lineRule="auto"/>
        <w:rPr>
          <w:rFonts w:hint="eastAsia" w:ascii="宋体" w:hAnsi="宋体" w:cs="宋体"/>
          <w:color w:val="auto"/>
          <w:sz w:val="21"/>
          <w:szCs w:val="21"/>
          <w:highlight w:val="none"/>
        </w:rPr>
      </w:pPr>
    </w:p>
    <w:p w14:paraId="34BBAF5B">
      <w:pPr>
        <w:pStyle w:val="23"/>
        <w:spacing w:line="60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注：后附被授权人身份证复印件及近期三个月内社保证明（成立未满1个月的单位</w:t>
      </w:r>
      <w:r>
        <w:rPr>
          <w:rFonts w:hint="eastAsia" w:ascii="宋体" w:hAnsi="宋体" w:cs="宋体"/>
          <w:color w:val="auto"/>
          <w:sz w:val="21"/>
          <w:szCs w:val="21"/>
          <w:highlight w:val="none"/>
          <w:lang w:val="en-US" w:eastAsia="zh-CN"/>
        </w:rPr>
        <w:t>无需提供授权人的</w:t>
      </w:r>
      <w:r>
        <w:rPr>
          <w:rFonts w:hint="eastAsia" w:ascii="宋体" w:hAnsi="宋体" w:cs="宋体"/>
          <w:color w:val="auto"/>
          <w:sz w:val="21"/>
          <w:szCs w:val="21"/>
          <w:highlight w:val="none"/>
        </w:rPr>
        <w:t>社保证明）</w:t>
      </w:r>
    </w:p>
    <w:p w14:paraId="5E19480F">
      <w:pPr>
        <w:pStyle w:val="23"/>
        <w:spacing w:line="360" w:lineRule="auto"/>
        <w:ind w:firstLine="5397" w:firstLineChars="2570"/>
        <w:rPr>
          <w:rFonts w:hint="eastAsia" w:ascii="宋体" w:hAnsi="宋体" w:cs="宋体"/>
          <w:color w:val="auto"/>
          <w:sz w:val="21"/>
          <w:szCs w:val="21"/>
          <w:highlight w:val="none"/>
        </w:rPr>
      </w:pPr>
    </w:p>
    <w:p w14:paraId="47333F86">
      <w:pPr>
        <w:widowControl/>
        <w:jc w:val="center"/>
        <w:rPr>
          <w:rFonts w:hint="eastAsia" w:ascii="宋体" w:hAnsi="宋体" w:eastAsia="宋体" w:cs="宋体"/>
          <w:b/>
          <w:color w:val="auto"/>
          <w:sz w:val="24"/>
          <w:highlight w:val="none"/>
        </w:rPr>
      </w:pPr>
      <w:r>
        <w:rPr>
          <w:rFonts w:hint="eastAsia" w:ascii="宋体" w:hAnsi="宋体" w:eastAsia="宋体" w:cs="宋体"/>
          <w:b/>
          <w:bCs/>
          <w:color w:val="auto"/>
          <w:szCs w:val="21"/>
          <w:highlight w:val="none"/>
        </w:rPr>
        <w:br w:type="page"/>
      </w:r>
      <w:r>
        <w:rPr>
          <w:rFonts w:hint="eastAsia" w:ascii="宋体" w:hAnsi="宋体" w:eastAsia="宋体" w:cs="宋体"/>
          <w:b/>
          <w:color w:val="auto"/>
          <w:sz w:val="24"/>
          <w:highlight w:val="none"/>
        </w:rPr>
        <w:t>4. 投标人须提供声明文件</w:t>
      </w:r>
    </w:p>
    <w:p w14:paraId="1D8FAFD3">
      <w:pPr>
        <w:spacing w:line="480" w:lineRule="exact"/>
        <w:jc w:val="center"/>
        <w:rPr>
          <w:rFonts w:hint="eastAsia" w:ascii="宋体" w:hAnsi="宋体" w:eastAsia="宋体" w:cs="宋体"/>
          <w:b/>
          <w:bCs/>
          <w:color w:val="auto"/>
          <w:sz w:val="30"/>
          <w:highlight w:val="none"/>
        </w:rPr>
      </w:pPr>
    </w:p>
    <w:p w14:paraId="14814309">
      <w:pPr>
        <w:spacing w:line="480" w:lineRule="exact"/>
        <w:jc w:val="center"/>
        <w:rPr>
          <w:rFonts w:hint="eastAsia" w:ascii="宋体" w:hAnsi="宋体" w:eastAsia="宋体" w:cs="宋体"/>
          <w:b/>
          <w:bCs/>
          <w:color w:val="auto"/>
          <w:sz w:val="30"/>
          <w:highlight w:val="none"/>
        </w:rPr>
      </w:pPr>
      <w:r>
        <w:rPr>
          <w:rFonts w:hint="eastAsia" w:ascii="宋体" w:hAnsi="宋体" w:eastAsia="宋体" w:cs="宋体"/>
          <w:b/>
          <w:bCs/>
          <w:color w:val="auto"/>
          <w:sz w:val="30"/>
          <w:highlight w:val="none"/>
        </w:rPr>
        <w:t xml:space="preserve">声明书 </w:t>
      </w:r>
    </w:p>
    <w:p w14:paraId="4163FE0C">
      <w:pPr>
        <w:spacing w:line="480" w:lineRule="exact"/>
        <w:rPr>
          <w:rFonts w:hint="eastAsia" w:ascii="宋体" w:hAnsi="宋体" w:eastAsia="宋体" w:cs="宋体"/>
          <w:b/>
          <w:bCs/>
          <w:color w:val="auto"/>
          <w:sz w:val="21"/>
          <w:szCs w:val="21"/>
          <w:highlight w:val="none"/>
        </w:rPr>
      </w:pPr>
    </w:p>
    <w:p w14:paraId="18FCB350">
      <w:pPr>
        <w:spacing w:line="480" w:lineRule="exact"/>
        <w:rPr>
          <w:rFonts w:hint="eastAsia" w:ascii="宋体" w:hAnsi="宋体" w:eastAsia="宋体" w:cs="宋体"/>
          <w:b/>
          <w:color w:val="auto"/>
          <w:sz w:val="21"/>
          <w:szCs w:val="21"/>
          <w:highlight w:val="none"/>
          <w:u w:val="single"/>
        </w:rPr>
      </w:pPr>
      <w:r>
        <w:rPr>
          <w:rFonts w:hint="eastAsia" w:ascii="宋体" w:hAnsi="宋体" w:eastAsia="宋体" w:cs="宋体"/>
          <w:b/>
          <w:bCs/>
          <w:color w:val="auto"/>
          <w:sz w:val="21"/>
          <w:szCs w:val="21"/>
          <w:highlight w:val="none"/>
        </w:rPr>
        <w:t xml:space="preserve"> </w:t>
      </w:r>
      <w:r>
        <w:rPr>
          <w:rFonts w:hint="eastAsia" w:ascii="宋体" w:hAnsi="宋体" w:eastAsia="宋体" w:cs="宋体"/>
          <w:b/>
          <w:color w:val="auto"/>
          <w:sz w:val="21"/>
          <w:szCs w:val="21"/>
          <w:highlight w:val="none"/>
        </w:rPr>
        <w:t>致：</w:t>
      </w:r>
      <w:r>
        <w:rPr>
          <w:rFonts w:hint="eastAsia" w:ascii="宋体" w:hAnsi="宋体" w:eastAsia="宋体" w:cs="宋体"/>
          <w:b/>
          <w:color w:val="auto"/>
          <w:sz w:val="21"/>
          <w:szCs w:val="21"/>
          <w:highlight w:val="none"/>
          <w:u w:val="single"/>
        </w:rPr>
        <w:t xml:space="preserve">    （采购人名称）       </w:t>
      </w:r>
    </w:p>
    <w:p w14:paraId="45C7E891">
      <w:pPr>
        <w:spacing w:line="500" w:lineRule="exact"/>
        <w:rPr>
          <w:rFonts w:hint="eastAsia" w:ascii="宋体" w:hAnsi="宋体" w:eastAsia="宋体" w:cs="宋体"/>
          <w:b/>
          <w:color w:val="auto"/>
          <w:sz w:val="21"/>
          <w:szCs w:val="21"/>
          <w:highlight w:val="none"/>
        </w:rPr>
      </w:pPr>
    </w:p>
    <w:p w14:paraId="68F45403">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在审阅了贵方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eastAsia="zh-CN"/>
        </w:rPr>
        <w:t>项目名称、项目编号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招标文件包括确已收到第</w:t>
      </w:r>
      <w:r>
        <w:rPr>
          <w:rFonts w:hint="eastAsia" w:ascii="宋体" w:hAnsi="宋体" w:eastAsia="宋体" w:cs="宋体"/>
          <w:color w:val="auto"/>
          <w:sz w:val="21"/>
          <w:szCs w:val="21"/>
          <w:highlight w:val="none"/>
          <w:u w:val="single"/>
        </w:rPr>
        <w:t>　　　　　　</w:t>
      </w:r>
      <w:r>
        <w:rPr>
          <w:rFonts w:hint="eastAsia" w:ascii="宋体" w:hAnsi="宋体" w:eastAsia="宋体" w:cs="宋体"/>
          <w:color w:val="auto"/>
          <w:sz w:val="21"/>
          <w:szCs w:val="21"/>
          <w:highlight w:val="none"/>
        </w:rPr>
        <w:t>号补充文件（若有，若没有任何补遗、更正的，请填写“/”），我方被授权签字人在此申明我方就本项目招标为独立投标，我方不属于</w:t>
      </w:r>
      <w:r>
        <w:rPr>
          <w:rFonts w:hint="eastAsia" w:ascii="宋体" w:hAnsi="宋体" w:eastAsia="宋体" w:cs="宋体"/>
          <w:b/>
          <w:color w:val="auto"/>
          <w:sz w:val="21"/>
          <w:szCs w:val="21"/>
          <w:highlight w:val="none"/>
        </w:rPr>
        <w:t>联合体参加投标，与其他投标人不存在单位负责人为同一人或者存在直接控股、管理关系的情况。</w:t>
      </w:r>
    </w:p>
    <w:p w14:paraId="6BB8C9CA">
      <w:pPr>
        <w:spacing w:line="500" w:lineRule="exact"/>
        <w:ind w:firstLine="420" w:firstLineChars="200"/>
        <w:jc w:val="left"/>
        <w:rPr>
          <w:rFonts w:hint="eastAsia" w:ascii="宋体" w:hAnsi="宋体" w:eastAsia="宋体" w:cs="宋体"/>
          <w:color w:val="auto"/>
          <w:sz w:val="21"/>
          <w:szCs w:val="21"/>
          <w:highlight w:val="none"/>
        </w:rPr>
      </w:pPr>
    </w:p>
    <w:p w14:paraId="79B608EC">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法定代表人（负责人）或被授权人（</w:t>
      </w:r>
      <w:r>
        <w:rPr>
          <w:rFonts w:hint="eastAsia" w:ascii="宋体" w:hAnsi="宋体" w:eastAsia="宋体" w:cs="宋体"/>
          <w:color w:val="auto"/>
          <w:sz w:val="21"/>
          <w:szCs w:val="21"/>
          <w:highlight w:val="none"/>
          <w:lang w:eastAsia="zh-CN"/>
        </w:rPr>
        <w:t>签字或盖个人印章</w:t>
      </w:r>
      <w:r>
        <w:rPr>
          <w:rFonts w:hint="eastAsia" w:ascii="宋体" w:hAnsi="宋体" w:eastAsia="宋体" w:cs="宋体"/>
          <w:color w:val="auto"/>
          <w:sz w:val="21"/>
          <w:szCs w:val="21"/>
          <w:highlight w:val="none"/>
        </w:rPr>
        <w:t>）：</w:t>
      </w:r>
    </w:p>
    <w:p w14:paraId="31F2DB16">
      <w:pPr>
        <w:spacing w:line="500" w:lineRule="exact"/>
        <w:ind w:firstLine="4620" w:firstLineChars="2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单位公章：</w:t>
      </w:r>
    </w:p>
    <w:p w14:paraId="72DA39E4">
      <w:pPr>
        <w:spacing w:line="50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年　　月    日</w:t>
      </w:r>
    </w:p>
    <w:p w14:paraId="115656B2">
      <w:pPr>
        <w:spacing w:line="500" w:lineRule="exact"/>
        <w:jc w:val="left"/>
        <w:rPr>
          <w:rFonts w:hint="eastAsia" w:ascii="宋体" w:hAnsi="宋体" w:eastAsia="宋体" w:cs="宋体"/>
          <w:color w:val="auto"/>
          <w:szCs w:val="21"/>
          <w:highlight w:val="none"/>
        </w:rPr>
      </w:pPr>
    </w:p>
    <w:p w14:paraId="74D1F4A5">
      <w:pPr>
        <w:jc w:val="left"/>
        <w:rPr>
          <w:rFonts w:hint="eastAsia" w:ascii="宋体" w:hAnsi="宋体" w:eastAsia="宋体" w:cs="宋体"/>
          <w:b/>
          <w:bCs/>
          <w:color w:val="auto"/>
          <w:sz w:val="30"/>
          <w:highlight w:val="none"/>
        </w:rPr>
      </w:pPr>
    </w:p>
    <w:p w14:paraId="5F490AD6">
      <w:pPr>
        <w:rPr>
          <w:rFonts w:hint="eastAsia" w:ascii="宋体" w:hAnsi="宋体" w:eastAsia="宋体" w:cs="宋体"/>
          <w:color w:val="auto"/>
          <w:highlight w:val="none"/>
        </w:rPr>
      </w:pPr>
    </w:p>
    <w:p w14:paraId="43C9A5F8">
      <w:pPr>
        <w:rPr>
          <w:rFonts w:hint="eastAsia" w:ascii="宋体" w:hAnsi="宋体" w:eastAsia="宋体" w:cs="宋体"/>
          <w:color w:val="auto"/>
          <w:highlight w:val="none"/>
        </w:rPr>
      </w:pPr>
    </w:p>
    <w:p w14:paraId="503A1923">
      <w:pPr>
        <w:jc w:val="center"/>
        <w:rPr>
          <w:rFonts w:hint="eastAsia" w:ascii="宋体" w:hAnsi="宋体" w:eastAsia="宋体" w:cs="宋体"/>
          <w:b/>
          <w:color w:val="auto"/>
          <w:sz w:val="28"/>
          <w:szCs w:val="28"/>
          <w:highlight w:val="none"/>
        </w:rPr>
      </w:pPr>
      <w:r>
        <w:rPr>
          <w:rFonts w:hint="eastAsia" w:ascii="宋体" w:hAnsi="宋体" w:eastAsia="宋体" w:cs="宋体"/>
          <w:color w:val="auto"/>
          <w:highlight w:val="none"/>
        </w:rPr>
        <w:br w:type="page"/>
      </w:r>
      <w:bookmarkStart w:id="68" w:name="_Toc11913"/>
      <w:bookmarkStart w:id="69" w:name="_Toc2238"/>
      <w:bookmarkStart w:id="70" w:name="_Toc6192"/>
      <w:bookmarkStart w:id="71" w:name="_Toc9351"/>
      <w:r>
        <w:rPr>
          <w:rStyle w:val="114"/>
          <w:rFonts w:hint="eastAsia" w:cs="Times New Roman"/>
          <w:color w:val="auto"/>
          <w:highlight w:val="none"/>
          <w:lang w:val="en-US" w:eastAsia="zh-CN" w:bidi="ar-SA"/>
        </w:rPr>
        <w:t>（三）具有良好的商业信誉和健全的财务会计制度</w:t>
      </w:r>
      <w:bookmarkEnd w:id="68"/>
      <w:bookmarkEnd w:id="69"/>
      <w:bookmarkEnd w:id="70"/>
      <w:bookmarkEnd w:id="71"/>
    </w:p>
    <w:p w14:paraId="3DFEA4AB">
      <w:pPr>
        <w:rPr>
          <w:rFonts w:hint="eastAsia" w:ascii="宋体" w:hAnsi="宋体" w:eastAsia="宋体" w:cs="宋体"/>
          <w:color w:val="auto"/>
          <w:highlight w:val="none"/>
        </w:rPr>
      </w:pPr>
    </w:p>
    <w:p w14:paraId="3071577D">
      <w:pPr>
        <w:spacing w:line="4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1.提供具有良好商业信誉和声明函。</w:t>
      </w:r>
    </w:p>
    <w:p w14:paraId="03C05F2B">
      <w:pPr>
        <w:spacing w:line="460" w:lineRule="exact"/>
        <w:jc w:val="left"/>
        <w:rPr>
          <w:rFonts w:hint="eastAsia" w:ascii="宋体" w:hAnsi="宋体" w:eastAsia="宋体" w:cs="宋体"/>
          <w:color w:val="auto"/>
          <w:sz w:val="21"/>
          <w:szCs w:val="21"/>
          <w:highlight w:val="none"/>
        </w:rPr>
      </w:pPr>
    </w:p>
    <w:p w14:paraId="5714F1A9">
      <w:pPr>
        <w:spacing w:line="460" w:lineRule="exact"/>
        <w:jc w:val="left"/>
        <w:rPr>
          <w:rFonts w:hint="eastAsia" w:ascii="宋体" w:hAnsi="宋体" w:eastAsia="宋体" w:cs="宋体"/>
          <w:color w:val="auto"/>
          <w:sz w:val="21"/>
          <w:szCs w:val="21"/>
          <w:highlight w:val="none"/>
        </w:rPr>
      </w:pPr>
    </w:p>
    <w:p w14:paraId="1D840118">
      <w:pPr>
        <w:spacing w:line="46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2.提供投标人202</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年度或202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年度经审计的财务报告（请提供最新年度的）；投标人（</w:t>
      </w:r>
      <w:r>
        <w:rPr>
          <w:rFonts w:hint="eastAsia" w:ascii="宋体" w:hAnsi="宋体" w:eastAsia="宋体" w:cs="宋体"/>
          <w:color w:val="auto"/>
          <w:sz w:val="21"/>
          <w:szCs w:val="21"/>
          <w:highlight w:val="none"/>
          <w:lang w:eastAsia="zh-CN"/>
        </w:rPr>
        <w:t>含成立未满3个月的单位</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不能</w:t>
      </w: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eastAsia="zh-CN"/>
        </w:rPr>
        <w:t>2023年度或2024年度</w:t>
      </w:r>
      <w:r>
        <w:rPr>
          <w:rFonts w:hint="eastAsia" w:ascii="宋体" w:hAnsi="宋体" w:eastAsia="宋体" w:cs="宋体"/>
          <w:color w:val="auto"/>
          <w:sz w:val="21"/>
          <w:szCs w:val="21"/>
          <w:highlight w:val="none"/>
        </w:rPr>
        <w:t>经审计的财务报告的，</w:t>
      </w:r>
      <w:r>
        <w:rPr>
          <w:rFonts w:hint="eastAsia" w:ascii="宋体" w:hAnsi="宋体" w:eastAsia="宋体" w:cs="宋体"/>
          <w:color w:val="auto"/>
          <w:sz w:val="21"/>
          <w:szCs w:val="21"/>
          <w:highlight w:val="none"/>
          <w:lang w:val="en-US" w:eastAsia="zh-CN"/>
        </w:rPr>
        <w:t>也可以提供自投标文件提交截止时间前三个月内银行出具的资信证明或担保机构出具的投标担保函等能证明具有健全的财务会计制度的证明材料</w:t>
      </w:r>
      <w:r>
        <w:rPr>
          <w:rFonts w:hint="eastAsia" w:ascii="宋体" w:hAnsi="宋体" w:eastAsia="宋体" w:cs="宋体"/>
          <w:color w:val="auto"/>
          <w:sz w:val="21"/>
          <w:szCs w:val="21"/>
          <w:highlight w:val="none"/>
        </w:rPr>
        <w:t>。</w:t>
      </w:r>
    </w:p>
    <w:p w14:paraId="24C8371E">
      <w:pPr>
        <w:rPr>
          <w:rFonts w:hint="eastAsia" w:ascii="宋体" w:hAnsi="宋体" w:eastAsia="宋体" w:cs="宋体"/>
          <w:color w:val="auto"/>
          <w:sz w:val="21"/>
          <w:szCs w:val="21"/>
          <w:highlight w:val="none"/>
        </w:rPr>
      </w:pPr>
    </w:p>
    <w:p w14:paraId="00F18EDC">
      <w:pPr>
        <w:rPr>
          <w:rFonts w:hint="eastAsia" w:ascii="宋体" w:hAnsi="宋体" w:eastAsia="宋体" w:cs="宋体"/>
          <w:color w:val="auto"/>
          <w:highlight w:val="none"/>
        </w:rPr>
      </w:pPr>
    </w:p>
    <w:p w14:paraId="1697A7D4">
      <w:pPr>
        <w:rPr>
          <w:rFonts w:hint="eastAsia" w:ascii="宋体" w:hAnsi="宋体" w:eastAsia="宋体" w:cs="宋体"/>
          <w:color w:val="auto"/>
          <w:highlight w:val="none"/>
        </w:rPr>
      </w:pPr>
    </w:p>
    <w:p w14:paraId="71150FF8">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8"/>
          <w:szCs w:val="28"/>
          <w:highlight w:val="none"/>
        </w:rPr>
        <w:br w:type="page"/>
      </w:r>
      <w:bookmarkStart w:id="72" w:name="_Toc18573"/>
      <w:bookmarkStart w:id="73" w:name="_Toc22074"/>
      <w:bookmarkStart w:id="74" w:name="_Toc1885"/>
      <w:bookmarkStart w:id="75" w:name="_Toc74"/>
      <w:r>
        <w:rPr>
          <w:rStyle w:val="114"/>
          <w:rFonts w:hint="eastAsia" w:cs="Times New Roman"/>
          <w:color w:val="auto"/>
          <w:highlight w:val="none"/>
          <w:lang w:val="en-US" w:eastAsia="zh-CN" w:bidi="ar-SA"/>
        </w:rPr>
        <w:t>（四）具备履行合同所必需的产品和专业技术能力</w:t>
      </w:r>
      <w:bookmarkEnd w:id="72"/>
      <w:bookmarkEnd w:id="73"/>
      <w:bookmarkEnd w:id="74"/>
      <w:bookmarkEnd w:id="75"/>
    </w:p>
    <w:p w14:paraId="285A1CED">
      <w:pPr>
        <w:jc w:val="left"/>
        <w:rPr>
          <w:rFonts w:hint="eastAsia" w:ascii="宋体" w:hAnsi="宋体" w:eastAsia="宋体" w:cs="宋体"/>
          <w:b/>
          <w:color w:val="auto"/>
          <w:sz w:val="21"/>
          <w:szCs w:val="21"/>
          <w:highlight w:val="none"/>
        </w:rPr>
      </w:pPr>
    </w:p>
    <w:p w14:paraId="02C18EB5">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提供投标人具备履行合同所必需的产品和专业技术能力证明材料或书面承诺（格式自拟，盖单位章确认）；</w:t>
      </w:r>
    </w:p>
    <w:p w14:paraId="26E04747">
      <w:pPr>
        <w:spacing w:line="360" w:lineRule="auto"/>
        <w:ind w:firstLine="420" w:firstLineChars="200"/>
        <w:jc w:val="left"/>
        <w:rPr>
          <w:rFonts w:hint="eastAsia" w:ascii="宋体" w:hAnsi="宋体" w:eastAsia="宋体" w:cs="宋体"/>
          <w:color w:val="auto"/>
          <w:sz w:val="21"/>
          <w:szCs w:val="21"/>
          <w:highlight w:val="none"/>
        </w:rPr>
      </w:pPr>
    </w:p>
    <w:p w14:paraId="714F4E05">
      <w:pPr>
        <w:ind w:firstLine="420" w:firstLineChars="200"/>
        <w:jc w:val="left"/>
        <w:rPr>
          <w:rFonts w:hint="eastAsia" w:ascii="宋体" w:hAnsi="宋体" w:eastAsia="宋体" w:cs="宋体"/>
          <w:color w:val="auto"/>
          <w:sz w:val="21"/>
          <w:szCs w:val="21"/>
          <w:highlight w:val="none"/>
        </w:rPr>
      </w:pPr>
    </w:p>
    <w:p w14:paraId="25D349A3">
      <w:pPr>
        <w:jc w:val="center"/>
        <w:rPr>
          <w:rFonts w:hint="eastAsia" w:ascii="宋体" w:hAnsi="宋体" w:eastAsia="宋体" w:cs="宋体"/>
          <w:b/>
          <w:color w:val="auto"/>
          <w:sz w:val="28"/>
          <w:szCs w:val="28"/>
          <w:highlight w:val="none"/>
        </w:rPr>
      </w:pPr>
      <w:r>
        <w:rPr>
          <w:rFonts w:hint="eastAsia" w:ascii="宋体" w:hAnsi="宋体" w:eastAsia="宋体" w:cs="宋体"/>
          <w:b/>
          <w:color w:val="auto"/>
          <w:sz w:val="21"/>
          <w:szCs w:val="21"/>
          <w:highlight w:val="none"/>
        </w:rPr>
        <w:br w:type="page"/>
      </w:r>
      <w:bookmarkStart w:id="76" w:name="_Toc5973"/>
      <w:bookmarkStart w:id="77" w:name="_Toc8233"/>
      <w:bookmarkStart w:id="78" w:name="_Toc13333"/>
      <w:bookmarkStart w:id="79" w:name="_Toc24178"/>
      <w:r>
        <w:rPr>
          <w:rStyle w:val="114"/>
          <w:rFonts w:hint="eastAsia" w:cs="Times New Roman"/>
          <w:color w:val="auto"/>
          <w:highlight w:val="none"/>
          <w:lang w:val="en-US" w:eastAsia="zh-CN" w:bidi="ar-SA"/>
        </w:rPr>
        <w:t>（五）有依法缴纳税收和社会保障资金的良好记录</w:t>
      </w:r>
      <w:bookmarkEnd w:id="76"/>
      <w:bookmarkEnd w:id="77"/>
      <w:bookmarkEnd w:id="78"/>
      <w:bookmarkEnd w:id="79"/>
    </w:p>
    <w:p w14:paraId="1FAA38C9">
      <w:pPr>
        <w:spacing w:line="360" w:lineRule="auto"/>
        <w:ind w:firstLine="560" w:firstLineChars="200"/>
        <w:jc w:val="left"/>
        <w:rPr>
          <w:rFonts w:hint="eastAsia" w:ascii="宋体" w:hAnsi="宋体" w:eastAsia="宋体" w:cs="宋体"/>
          <w:color w:val="auto"/>
          <w:szCs w:val="21"/>
          <w:highlight w:val="none"/>
        </w:rPr>
      </w:pPr>
    </w:p>
    <w:p w14:paraId="2E8E3631">
      <w:pPr>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w:t>
      </w:r>
      <w:r>
        <w:rPr>
          <w:rFonts w:hint="eastAsia" w:ascii="宋体" w:hAnsi="宋体" w:eastAsia="宋体" w:cs="宋体"/>
          <w:color w:val="auto"/>
          <w:sz w:val="21"/>
          <w:szCs w:val="21"/>
          <w:highlight w:val="none"/>
          <w:lang w:val="en-US" w:eastAsia="zh-CN"/>
        </w:rPr>
        <w:t>投标人</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01</w:t>
      </w:r>
      <w:r>
        <w:rPr>
          <w:rFonts w:hint="eastAsia" w:ascii="宋体" w:hAnsi="宋体" w:eastAsia="宋体" w:cs="宋体"/>
          <w:color w:val="auto"/>
          <w:sz w:val="21"/>
          <w:szCs w:val="21"/>
          <w:highlight w:val="none"/>
        </w:rPr>
        <w:t>月至今期间（税款所属时期）任意1个月的税务局税收通用缴款书原件扫描件或银行电子缴税（费）凭证原件扫描件或税务局出具纳税情况的相关证明原件的扫描件；</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2024年1月至今期间（费款所属时期）任意1个月的社会保险费缴款书原件扫描件或银行电子缴税（费）凭证原件扫描件或社保管理部门出具的有效的缴款证明原件的扫描件；</w:t>
      </w:r>
    </w:p>
    <w:p w14:paraId="64705BDB">
      <w:pPr>
        <w:spacing w:line="360" w:lineRule="auto"/>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注：成立未满</w:t>
      </w:r>
      <w:r>
        <w:rPr>
          <w:rFonts w:hint="eastAsia" w:ascii="宋体" w:hAnsi="宋体" w:eastAsia="宋体" w:cs="宋体"/>
          <w:b/>
          <w:bCs/>
          <w:color w:val="auto"/>
          <w:sz w:val="21"/>
          <w:szCs w:val="21"/>
          <w:highlight w:val="none"/>
          <w:lang w:val="en-US" w:eastAsia="zh-CN"/>
        </w:rPr>
        <w:t>3</w:t>
      </w:r>
      <w:r>
        <w:rPr>
          <w:rFonts w:hint="eastAsia" w:ascii="宋体" w:hAnsi="宋体" w:eastAsia="宋体" w:cs="宋体"/>
          <w:b/>
          <w:bCs/>
          <w:color w:val="auto"/>
          <w:sz w:val="21"/>
          <w:szCs w:val="21"/>
          <w:highlight w:val="none"/>
        </w:rPr>
        <w:t>个月的提供成立以来的税收和社会保障资金缴纳凭证或相关情况说明；依法免税或不需要缴纳社会保障资金的</w:t>
      </w:r>
      <w:r>
        <w:rPr>
          <w:rFonts w:hint="eastAsia" w:hAnsi="宋体" w:cs="宋体"/>
          <w:b/>
          <w:bCs/>
          <w:color w:val="auto"/>
          <w:sz w:val="21"/>
          <w:szCs w:val="21"/>
          <w:highlight w:val="none"/>
          <w:lang w:val="en-US" w:eastAsia="zh-CN"/>
        </w:rPr>
        <w:t>投标人</w:t>
      </w:r>
      <w:r>
        <w:rPr>
          <w:rFonts w:hint="eastAsia" w:ascii="宋体" w:hAnsi="宋体" w:eastAsia="宋体" w:cs="宋体"/>
          <w:b/>
          <w:bCs/>
          <w:color w:val="auto"/>
          <w:sz w:val="21"/>
          <w:szCs w:val="21"/>
          <w:highlight w:val="none"/>
        </w:rPr>
        <w:t>，应提供相应文件证明其依法免税或不需要缴纳社会保障资金。自然人提供声明函即可。</w:t>
      </w:r>
    </w:p>
    <w:p w14:paraId="60FB6756">
      <w:pPr>
        <w:spacing w:line="360" w:lineRule="auto"/>
        <w:ind w:firstLine="420" w:firstLineChars="200"/>
        <w:jc w:val="left"/>
        <w:rPr>
          <w:rFonts w:hint="eastAsia" w:ascii="宋体" w:hAnsi="宋体" w:eastAsia="宋体" w:cs="宋体"/>
          <w:b/>
          <w:bCs/>
          <w:color w:val="auto"/>
          <w:sz w:val="21"/>
          <w:szCs w:val="21"/>
          <w:highlight w:val="none"/>
        </w:rPr>
      </w:pPr>
    </w:p>
    <w:p w14:paraId="721AD636">
      <w:pPr>
        <w:ind w:firstLine="560" w:firstLineChars="200"/>
        <w:jc w:val="left"/>
        <w:rPr>
          <w:rFonts w:hint="eastAsia" w:ascii="宋体" w:hAnsi="宋体" w:eastAsia="宋体" w:cs="宋体"/>
          <w:color w:val="auto"/>
          <w:sz w:val="28"/>
          <w:szCs w:val="28"/>
          <w:highlight w:val="none"/>
        </w:rPr>
      </w:pPr>
    </w:p>
    <w:p w14:paraId="166EFADF">
      <w:pPr>
        <w:jc w:val="center"/>
        <w:rPr>
          <w:rFonts w:hint="eastAsia" w:ascii="宋体" w:hAnsi="宋体" w:eastAsia="宋体" w:cs="宋体"/>
          <w:b/>
          <w:color w:val="auto"/>
          <w:sz w:val="21"/>
          <w:szCs w:val="21"/>
          <w:highlight w:val="none"/>
        </w:rPr>
        <w:sectPr>
          <w:footerReference r:id="rId5" w:type="default"/>
          <w:pgSz w:w="11906" w:h="16838"/>
          <w:pgMar w:top="987" w:right="1134" w:bottom="822" w:left="1276" w:header="720" w:footer="720" w:gutter="0"/>
          <w:cols w:space="720" w:num="1"/>
          <w:docGrid w:type="linesAndChars" w:linePitch="331" w:charSpace="0"/>
        </w:sectPr>
      </w:pPr>
    </w:p>
    <w:p w14:paraId="35C6E57F">
      <w:pPr>
        <w:jc w:val="center"/>
        <w:rPr>
          <w:rStyle w:val="114"/>
          <w:rFonts w:hint="eastAsia" w:cs="Times New Roman"/>
          <w:color w:val="auto"/>
          <w:highlight w:val="none"/>
          <w:lang w:val="en-US" w:eastAsia="zh-CN" w:bidi="ar-SA"/>
        </w:rPr>
      </w:pPr>
      <w:bookmarkStart w:id="80" w:name="_Toc8508"/>
      <w:bookmarkStart w:id="81" w:name="_Toc20533"/>
      <w:bookmarkStart w:id="82" w:name="_Toc101"/>
      <w:bookmarkStart w:id="83" w:name="_Toc955"/>
      <w:r>
        <w:rPr>
          <w:rStyle w:val="114"/>
          <w:rFonts w:hint="eastAsia" w:cs="Times New Roman"/>
          <w:color w:val="auto"/>
          <w:highlight w:val="none"/>
          <w:lang w:val="en-US" w:eastAsia="zh-CN" w:bidi="ar-SA"/>
        </w:rPr>
        <w:t>（六）无重大违法声明</w:t>
      </w:r>
    </w:p>
    <w:bookmarkEnd w:id="80"/>
    <w:bookmarkEnd w:id="81"/>
    <w:bookmarkEnd w:id="82"/>
    <w:bookmarkEnd w:id="83"/>
    <w:p w14:paraId="2C6DA4E0">
      <w:pPr>
        <w:spacing w:line="360" w:lineRule="auto"/>
        <w:ind w:firstLine="210" w:firstLineChars="100"/>
        <w:jc w:val="left"/>
        <w:rPr>
          <w:rFonts w:hint="eastAsia" w:ascii="宋体" w:hAnsi="宋体" w:eastAsia="宋体" w:cs="宋体"/>
          <w:color w:val="auto"/>
          <w:sz w:val="21"/>
          <w:szCs w:val="21"/>
          <w:highlight w:val="none"/>
        </w:rPr>
      </w:pPr>
    </w:p>
    <w:p w14:paraId="66CB3463">
      <w:pPr>
        <w:spacing w:line="360" w:lineRule="auto"/>
        <w:ind w:firstLine="210" w:firstLineChars="1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提供参加政府采购活动前3年内在经营活动中没有重大违法记录的书面声明（重大违法记录是指：因违法经营受到刑事处罚或者责令停产停业、吊销许可证或者执照、较大数额罚款等行政处罚）。格式自拟（盖单位章确认）。</w:t>
      </w:r>
    </w:p>
    <w:p w14:paraId="3465BA52">
      <w:pPr>
        <w:spacing w:line="360" w:lineRule="auto"/>
        <w:ind w:left="0" w:leftChars="0" w:firstLine="558" w:firstLineChars="266"/>
        <w:jc w:val="left"/>
        <w:rPr>
          <w:rFonts w:hint="eastAsia" w:ascii="宋体" w:hAnsi="宋体" w:eastAsia="宋体" w:cs="宋体"/>
          <w:color w:val="auto"/>
          <w:sz w:val="21"/>
          <w:szCs w:val="21"/>
          <w:highlight w:val="none"/>
        </w:rPr>
      </w:pPr>
    </w:p>
    <w:p w14:paraId="16176D36">
      <w:pPr>
        <w:ind w:firstLine="210" w:firstLineChars="100"/>
        <w:jc w:val="left"/>
        <w:rPr>
          <w:rFonts w:hint="eastAsia" w:ascii="宋体" w:hAnsi="宋体" w:eastAsia="宋体" w:cs="宋体"/>
          <w:color w:val="auto"/>
          <w:sz w:val="21"/>
          <w:szCs w:val="21"/>
          <w:highlight w:val="none"/>
        </w:rPr>
      </w:pPr>
    </w:p>
    <w:p w14:paraId="4CB46B31">
      <w:pPr>
        <w:numPr>
          <w:ilvl w:val="0"/>
          <w:numId w:val="0"/>
        </w:numPr>
        <w:jc w:val="center"/>
        <w:rPr>
          <w:rStyle w:val="114"/>
          <w:rFonts w:hint="eastAsia" w:cs="Times New Roman"/>
          <w:color w:val="auto"/>
          <w:highlight w:val="none"/>
          <w:lang w:val="en-US" w:eastAsia="zh-CN" w:bidi="ar-SA"/>
        </w:rPr>
      </w:pPr>
      <w:r>
        <w:rPr>
          <w:rFonts w:hint="eastAsia" w:ascii="宋体" w:hAnsi="宋体" w:eastAsia="宋体" w:cs="宋体"/>
          <w:b/>
          <w:color w:val="auto"/>
          <w:sz w:val="21"/>
          <w:szCs w:val="21"/>
          <w:highlight w:val="none"/>
        </w:rPr>
        <w:br w:type="page"/>
      </w:r>
      <w:bookmarkStart w:id="84" w:name="_Toc14726"/>
      <w:bookmarkStart w:id="85" w:name="_Toc29982"/>
      <w:r>
        <w:rPr>
          <w:rStyle w:val="114"/>
          <w:rFonts w:hint="eastAsia" w:cs="Times New Roman"/>
          <w:color w:val="auto"/>
          <w:highlight w:val="none"/>
          <w:lang w:val="en-US" w:eastAsia="zh-CN" w:bidi="ar-SA"/>
        </w:rPr>
        <w:t>（七）投标人相关资质要求</w:t>
      </w:r>
    </w:p>
    <w:bookmarkEnd w:id="84"/>
    <w:bookmarkEnd w:id="85"/>
    <w:p w14:paraId="7BEB9AAE">
      <w:pPr>
        <w:numPr>
          <w:ilvl w:val="0"/>
          <w:numId w:val="0"/>
        </w:numPr>
        <w:jc w:val="both"/>
        <w:rPr>
          <w:rFonts w:hint="eastAsia" w:ascii="宋体" w:hAnsi="宋体" w:eastAsia="宋体" w:cs="宋体"/>
          <w:color w:val="auto"/>
          <w:kern w:val="0"/>
          <w:sz w:val="21"/>
          <w:szCs w:val="21"/>
          <w:highlight w:val="none"/>
          <w:lang w:val="en-US" w:eastAsia="zh-CN"/>
        </w:rPr>
      </w:pPr>
    </w:p>
    <w:p w14:paraId="46C038E6">
      <w:pPr>
        <w:numPr>
          <w:ilvl w:val="0"/>
          <w:numId w:val="0"/>
        </w:numPr>
        <w:ind w:firstLine="420" w:firstLineChars="200"/>
        <w:jc w:val="both"/>
        <w:rPr>
          <w:rFonts w:hint="eastAsia" w:ascii="宋体" w:hAnsi="宋体" w:eastAsia="宋体" w:cs="宋体"/>
          <w:color w:val="auto"/>
          <w:kern w:val="0"/>
          <w:sz w:val="21"/>
          <w:szCs w:val="21"/>
          <w:highlight w:val="none"/>
          <w:lang w:val="en-US" w:eastAsia="zh-CN"/>
        </w:rPr>
      </w:pPr>
    </w:p>
    <w:p w14:paraId="3B2F0CBF">
      <w:pPr>
        <w:spacing w:line="360" w:lineRule="auto"/>
        <w:ind w:firstLine="558" w:firstLineChars="266"/>
        <w:jc w:val="left"/>
        <w:rPr>
          <w:rFonts w:hint="eastAsia" w:hAnsi="宋体" w:cs="宋体"/>
          <w:color w:val="auto"/>
          <w:sz w:val="21"/>
          <w:szCs w:val="21"/>
          <w:highlight w:val="none"/>
        </w:rPr>
      </w:pPr>
      <w:r>
        <w:rPr>
          <w:rFonts w:hint="eastAsia" w:ascii="宋体" w:hAnsi="宋体" w:eastAsia="宋体" w:cs="宋体"/>
          <w:color w:val="auto"/>
          <w:sz w:val="21"/>
          <w:szCs w:val="21"/>
          <w:highlight w:val="none"/>
          <w:lang w:val="en-US" w:eastAsia="zh-CN"/>
        </w:rPr>
        <w:t>1.本项目不允许进行分包和转包，参与本项目的投标人须针对此事宜进行书面承诺（格式自拟，并加盖单位公章确认）。</w:t>
      </w:r>
    </w:p>
    <w:p w14:paraId="70C89356">
      <w:pPr>
        <w:rPr>
          <w:rFonts w:hint="eastAsia" w:hAnsi="宋体" w:cs="宋体"/>
          <w:b/>
          <w:color w:val="auto"/>
          <w:sz w:val="21"/>
          <w:szCs w:val="21"/>
          <w:highlight w:val="none"/>
        </w:rPr>
      </w:pPr>
      <w:r>
        <w:rPr>
          <w:rFonts w:hint="eastAsia" w:hAnsi="宋体" w:cs="宋体"/>
          <w:b/>
          <w:color w:val="auto"/>
          <w:sz w:val="21"/>
          <w:szCs w:val="21"/>
          <w:highlight w:val="none"/>
        </w:rPr>
        <w:br w:type="page"/>
      </w:r>
    </w:p>
    <w:p w14:paraId="2ACD1B6A">
      <w:pPr>
        <w:widowControl/>
        <w:jc w:val="center"/>
        <w:rPr>
          <w:rFonts w:hint="eastAsia" w:hAnsi="宋体" w:cs="宋体"/>
          <w:b/>
          <w:bCs/>
          <w:color w:val="auto"/>
          <w:szCs w:val="28"/>
          <w:highlight w:val="none"/>
        </w:rPr>
      </w:pPr>
      <w:bookmarkStart w:id="86" w:name="_Toc22412"/>
      <w:r>
        <w:rPr>
          <w:rStyle w:val="75"/>
          <w:rFonts w:hint="eastAsia"/>
          <w:color w:val="auto"/>
          <w:highlight w:val="none"/>
        </w:rPr>
        <w:t>（八）《中小企业声明函》或《残疾人福利性单位声明函》或《监狱企业声明函》（如有）</w:t>
      </w:r>
      <w:bookmarkEnd w:id="86"/>
    </w:p>
    <w:p w14:paraId="0E3A1CFD">
      <w:pPr>
        <w:widowControl/>
        <w:jc w:val="center"/>
        <w:rPr>
          <w:rFonts w:hint="eastAsia" w:hAnsi="宋体" w:cs="宋体"/>
          <w:b/>
          <w:bCs/>
          <w:color w:val="auto"/>
          <w:sz w:val="21"/>
          <w:szCs w:val="21"/>
          <w:highlight w:val="none"/>
        </w:rPr>
      </w:pPr>
    </w:p>
    <w:p w14:paraId="7FFAD0B9">
      <w:pPr>
        <w:widowControl/>
        <w:jc w:val="center"/>
        <w:rPr>
          <w:rFonts w:hint="eastAsia" w:hAnsi="宋体" w:cs="宋体"/>
          <w:b/>
          <w:color w:val="auto"/>
          <w:sz w:val="21"/>
          <w:szCs w:val="21"/>
          <w:highlight w:val="none"/>
        </w:rPr>
      </w:pPr>
      <w:r>
        <w:rPr>
          <w:rFonts w:hint="eastAsia" w:hAnsi="宋体" w:cs="宋体"/>
          <w:b/>
          <w:color w:val="auto"/>
          <w:sz w:val="21"/>
          <w:szCs w:val="21"/>
          <w:highlight w:val="none"/>
        </w:rPr>
        <w:t>注：投标人应对其提交的《中小企业声明函》《残疾人福利性单位声明函》《监狱企业声明函》的真实性负责，提交的声明函不真实的，应承担相应的法律责任。若投标人不属于该三类企业单位，则可以删除三类企业声明函，并自行编制相应声明材料即可，若未提供任何声明函、说明材料或未按要求填写编制的，则不予认可投标人属于此三类企业单位。</w:t>
      </w:r>
    </w:p>
    <w:p w14:paraId="1B7FE83A">
      <w:pPr>
        <w:widowControl/>
        <w:jc w:val="center"/>
        <w:rPr>
          <w:rFonts w:hint="eastAsia" w:hAnsi="宋体" w:cs="宋体"/>
          <w:b/>
          <w:bCs/>
          <w:color w:val="auto"/>
          <w:sz w:val="21"/>
          <w:szCs w:val="21"/>
          <w:highlight w:val="none"/>
        </w:rPr>
      </w:pPr>
    </w:p>
    <w:p w14:paraId="76C3E769">
      <w:pPr>
        <w:keepNext/>
        <w:jc w:val="left"/>
        <w:rPr>
          <w:rFonts w:hint="eastAsia" w:hAnsi="宋体" w:cs="宋体"/>
          <w:b/>
          <w:color w:val="auto"/>
          <w:szCs w:val="21"/>
          <w:highlight w:val="none"/>
        </w:rPr>
      </w:pPr>
      <w:r>
        <w:rPr>
          <w:rFonts w:hint="eastAsia" w:hAnsi="宋体" w:cs="宋体"/>
          <w:b/>
          <w:bCs/>
          <w:color w:val="auto"/>
          <w:szCs w:val="21"/>
          <w:highlight w:val="none"/>
        </w:rPr>
        <w:t>（1）</w:t>
      </w:r>
      <w:r>
        <w:rPr>
          <w:rFonts w:hint="eastAsia" w:hAnsi="宋体" w:cs="宋体"/>
          <w:b/>
          <w:color w:val="auto"/>
          <w:szCs w:val="21"/>
          <w:highlight w:val="none"/>
        </w:rPr>
        <w:t>中小企业声明函（工程、服务）</w:t>
      </w:r>
    </w:p>
    <w:p w14:paraId="7361B146">
      <w:pPr>
        <w:pStyle w:val="21"/>
        <w:keepNext/>
        <w:spacing w:before="5"/>
        <w:rPr>
          <w:rFonts w:hint="eastAsia" w:hAnsi="宋体" w:cs="宋体"/>
          <w:b/>
          <w:bCs/>
          <w:color w:val="auto"/>
          <w:szCs w:val="21"/>
          <w:highlight w:val="none"/>
        </w:rPr>
      </w:pPr>
    </w:p>
    <w:p w14:paraId="04EC617F">
      <w:pPr>
        <w:keepNext/>
        <w:jc w:val="center"/>
        <w:rPr>
          <w:rFonts w:hint="eastAsia" w:hAnsi="宋体" w:cs="宋体"/>
          <w:b/>
          <w:color w:val="auto"/>
          <w:szCs w:val="28"/>
          <w:highlight w:val="none"/>
        </w:rPr>
      </w:pPr>
      <w:r>
        <w:rPr>
          <w:rFonts w:hint="eastAsia" w:hAnsi="宋体" w:cs="宋体"/>
          <w:b/>
          <w:color w:val="auto"/>
          <w:szCs w:val="28"/>
          <w:highlight w:val="none"/>
        </w:rPr>
        <w:t>中小企业声明函（工程、服务）</w:t>
      </w:r>
    </w:p>
    <w:p w14:paraId="510EB862">
      <w:pPr>
        <w:pStyle w:val="21"/>
        <w:keepNext/>
        <w:spacing w:before="5"/>
        <w:rPr>
          <w:rFonts w:hint="eastAsia" w:hAnsi="宋体" w:cs="宋体"/>
          <w:b/>
          <w:bCs/>
          <w:color w:val="auto"/>
          <w:szCs w:val="21"/>
          <w:highlight w:val="none"/>
        </w:rPr>
      </w:pPr>
    </w:p>
    <w:p w14:paraId="0B574C4B">
      <w:pPr>
        <w:pStyle w:val="21"/>
        <w:keepNext/>
        <w:spacing w:line="360" w:lineRule="auto"/>
        <w:ind w:right="415" w:firstLine="473"/>
        <w:rPr>
          <w:rFonts w:hint="eastAsia" w:hAnsi="宋体" w:cs="宋体"/>
          <w:color w:val="auto"/>
          <w:sz w:val="21"/>
          <w:szCs w:val="21"/>
          <w:highlight w:val="none"/>
        </w:rPr>
      </w:pPr>
      <w:r>
        <w:rPr>
          <w:rFonts w:hint="eastAsia" w:hAnsi="宋体" w:cs="宋体"/>
          <w:color w:val="auto"/>
          <w:sz w:val="21"/>
          <w:szCs w:val="21"/>
          <w:highlight w:val="none"/>
        </w:rPr>
        <w:t>本公司（联合体）郑重声明，根据《政府采购促进中小企业发展管理办法》（财库﹝2020﹞46 号）的规定，本公司（联合体）参加</w:t>
      </w:r>
      <w:r>
        <w:rPr>
          <w:rFonts w:hint="eastAsia" w:hAnsi="宋体" w:cs="宋体"/>
          <w:iCs/>
          <w:color w:val="auto"/>
          <w:sz w:val="21"/>
          <w:szCs w:val="21"/>
          <w:highlight w:val="none"/>
          <w:u w:val="single"/>
        </w:rPr>
        <w:t>（单位名称）</w:t>
      </w:r>
      <w:r>
        <w:rPr>
          <w:rFonts w:hint="eastAsia" w:hAnsi="宋体" w:cs="宋体"/>
          <w:color w:val="auto"/>
          <w:sz w:val="21"/>
          <w:szCs w:val="21"/>
          <w:highlight w:val="none"/>
        </w:rPr>
        <w:t>的</w:t>
      </w:r>
      <w:r>
        <w:rPr>
          <w:rFonts w:hint="eastAsia" w:hAnsi="宋体" w:cs="宋体"/>
          <w:iCs/>
          <w:color w:val="auto"/>
          <w:sz w:val="21"/>
          <w:szCs w:val="21"/>
          <w:highlight w:val="none"/>
          <w:u w:val="single"/>
        </w:rPr>
        <w:t>（项目名称）</w:t>
      </w:r>
      <w:r>
        <w:rPr>
          <w:rFonts w:hint="eastAsia" w:hAnsi="宋体" w:cs="宋体"/>
          <w:color w:val="auto"/>
          <w:sz w:val="21"/>
          <w:szCs w:val="21"/>
          <w:highlight w:val="none"/>
        </w:rPr>
        <w:t>采购活动，工程的施工单位全部为符合政策要求的中小企业（或者：服务全部由符合政策要求的中小企业承接）。相关企业（含联合 体中的中小企业、签订分包意向协议的中小企业）的具体情况如下：</w:t>
      </w:r>
    </w:p>
    <w:p w14:paraId="5067B319">
      <w:pPr>
        <w:pStyle w:val="107"/>
        <w:keepNext/>
        <w:numPr>
          <w:ilvl w:val="0"/>
          <w:numId w:val="6"/>
        </w:numPr>
        <w:autoSpaceDE w:val="0"/>
        <w:autoSpaceDN w:val="0"/>
        <w:spacing w:before="94" w:line="360" w:lineRule="auto"/>
        <w:ind w:left="5" w:right="236" w:firstLine="415" w:firstLineChars="0"/>
        <w:rPr>
          <w:rFonts w:hint="eastAsia" w:hAnsi="宋体" w:cs="宋体"/>
          <w:color w:val="auto"/>
          <w:sz w:val="21"/>
          <w:szCs w:val="21"/>
          <w:highlight w:val="none"/>
          <w:u w:val="single"/>
        </w:rPr>
      </w:pPr>
      <w:r>
        <w:rPr>
          <w:rFonts w:hint="eastAsia" w:hAnsi="宋体" w:cs="宋体"/>
          <w:iCs/>
          <w:color w:val="auto"/>
          <w:sz w:val="21"/>
          <w:szCs w:val="21"/>
          <w:highlight w:val="none"/>
          <w:u w:val="single"/>
        </w:rPr>
        <w:t>（标的名称）</w:t>
      </w:r>
      <w:r>
        <w:rPr>
          <w:rFonts w:hint="eastAsia" w:hAnsi="宋体" w:cs="宋体"/>
          <w:color w:val="auto"/>
          <w:sz w:val="21"/>
          <w:szCs w:val="21"/>
          <w:highlight w:val="none"/>
          <w:u w:val="single"/>
        </w:rPr>
        <w:t>，属于</w:t>
      </w:r>
      <w:r>
        <w:rPr>
          <w:rFonts w:hint="eastAsia" w:hAnsi="宋体" w:cs="宋体"/>
          <w:iCs/>
          <w:color w:val="auto"/>
          <w:sz w:val="21"/>
          <w:szCs w:val="21"/>
          <w:highlight w:val="none"/>
          <w:u w:val="single"/>
        </w:rPr>
        <w:t>（采购文件中明确的所属行业）</w:t>
      </w:r>
      <w:r>
        <w:rPr>
          <w:rFonts w:hint="eastAsia" w:hAnsi="宋体" w:cs="宋体"/>
          <w:color w:val="auto"/>
          <w:sz w:val="21"/>
          <w:szCs w:val="21"/>
          <w:highlight w:val="none"/>
          <w:u w:val="single"/>
        </w:rPr>
        <w:t>；承建（承接）企业为</w:t>
      </w:r>
      <w:r>
        <w:rPr>
          <w:rFonts w:hint="eastAsia" w:hAnsi="宋体" w:cs="宋体"/>
          <w:iCs/>
          <w:color w:val="auto"/>
          <w:sz w:val="21"/>
          <w:szCs w:val="21"/>
          <w:highlight w:val="none"/>
          <w:u w:val="single"/>
        </w:rPr>
        <w:t>（企业名称）</w:t>
      </w:r>
      <w:r>
        <w:rPr>
          <w:rFonts w:hint="eastAsia" w:hAnsi="宋体" w:cs="宋体"/>
          <w:color w:val="auto"/>
          <w:sz w:val="21"/>
          <w:szCs w:val="21"/>
          <w:highlight w:val="none"/>
          <w:u w:val="single"/>
        </w:rPr>
        <w:t xml:space="preserve">，从业人员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 xml:space="preserve">人，营业收入为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 xml:space="preserve">万元，资产总额为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万元1，属于</w:t>
      </w:r>
      <w:r>
        <w:rPr>
          <w:rFonts w:hint="eastAsia" w:hAnsi="宋体" w:cs="宋体"/>
          <w:iCs/>
          <w:color w:val="auto"/>
          <w:sz w:val="21"/>
          <w:szCs w:val="21"/>
          <w:highlight w:val="none"/>
          <w:u w:val="single"/>
        </w:rPr>
        <w:t>（中型企业、小型企业、微型企业）</w:t>
      </w:r>
      <w:r>
        <w:rPr>
          <w:rFonts w:hint="eastAsia" w:hAnsi="宋体" w:cs="宋体"/>
          <w:color w:val="auto"/>
          <w:sz w:val="21"/>
          <w:szCs w:val="21"/>
          <w:highlight w:val="none"/>
          <w:u w:val="single"/>
        </w:rPr>
        <w:t>；</w:t>
      </w:r>
    </w:p>
    <w:p w14:paraId="1CD45050">
      <w:pPr>
        <w:pStyle w:val="107"/>
        <w:keepNext/>
        <w:numPr>
          <w:ilvl w:val="0"/>
          <w:numId w:val="6"/>
        </w:numPr>
        <w:autoSpaceDE w:val="0"/>
        <w:autoSpaceDN w:val="0"/>
        <w:spacing w:before="94" w:line="360" w:lineRule="auto"/>
        <w:ind w:left="5" w:right="236" w:firstLine="415" w:firstLineChars="0"/>
        <w:rPr>
          <w:rFonts w:hint="eastAsia" w:hAnsi="宋体" w:cs="宋体"/>
          <w:color w:val="auto"/>
          <w:sz w:val="21"/>
          <w:szCs w:val="21"/>
          <w:highlight w:val="none"/>
          <w:u w:val="single"/>
        </w:rPr>
      </w:pPr>
      <w:r>
        <w:rPr>
          <w:rFonts w:hint="eastAsia" w:hAnsi="宋体" w:cs="宋体"/>
          <w:iCs/>
          <w:color w:val="auto"/>
          <w:sz w:val="21"/>
          <w:szCs w:val="21"/>
          <w:highlight w:val="none"/>
          <w:u w:val="single"/>
        </w:rPr>
        <w:t>（标的名称）</w:t>
      </w:r>
      <w:r>
        <w:rPr>
          <w:rFonts w:hint="eastAsia" w:hAnsi="宋体" w:cs="宋体"/>
          <w:color w:val="auto"/>
          <w:sz w:val="21"/>
          <w:szCs w:val="21"/>
          <w:highlight w:val="none"/>
          <w:u w:val="single"/>
        </w:rPr>
        <w:t>，属于</w:t>
      </w:r>
      <w:r>
        <w:rPr>
          <w:rFonts w:hint="eastAsia" w:hAnsi="宋体" w:cs="宋体"/>
          <w:iCs/>
          <w:color w:val="auto"/>
          <w:sz w:val="21"/>
          <w:szCs w:val="21"/>
          <w:highlight w:val="none"/>
          <w:u w:val="single"/>
        </w:rPr>
        <w:t>（采购文件中明确的所属行业）</w:t>
      </w:r>
      <w:r>
        <w:rPr>
          <w:rFonts w:hint="eastAsia" w:hAnsi="宋体" w:cs="宋体"/>
          <w:color w:val="auto"/>
          <w:sz w:val="21"/>
          <w:szCs w:val="21"/>
          <w:highlight w:val="none"/>
          <w:u w:val="single"/>
        </w:rPr>
        <w:t>；           承建（承接）企业为</w:t>
      </w:r>
      <w:r>
        <w:rPr>
          <w:rFonts w:hint="eastAsia" w:hAnsi="宋体" w:cs="宋体"/>
          <w:iCs/>
          <w:color w:val="auto"/>
          <w:sz w:val="21"/>
          <w:szCs w:val="21"/>
          <w:highlight w:val="none"/>
          <w:u w:val="single"/>
        </w:rPr>
        <w:t>（企业名称）</w:t>
      </w:r>
      <w:r>
        <w:rPr>
          <w:rFonts w:hint="eastAsia" w:hAnsi="宋体" w:cs="宋体"/>
          <w:color w:val="auto"/>
          <w:sz w:val="21"/>
          <w:szCs w:val="21"/>
          <w:highlight w:val="none"/>
          <w:u w:val="single"/>
        </w:rPr>
        <w:t xml:space="preserve">，从业人员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 xml:space="preserve">人，营业收入为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 xml:space="preserve">万元，资产总额为 </w:t>
      </w:r>
      <w:r>
        <w:rPr>
          <w:rFonts w:hint="eastAsia" w:hAnsi="宋体" w:cs="宋体"/>
          <w:color w:val="auto"/>
          <w:sz w:val="21"/>
          <w:szCs w:val="21"/>
          <w:highlight w:val="none"/>
          <w:u w:val="single"/>
        </w:rPr>
        <w:tab/>
      </w:r>
      <w:r>
        <w:rPr>
          <w:rFonts w:hint="eastAsia" w:hAnsi="宋体" w:cs="宋体"/>
          <w:color w:val="auto"/>
          <w:sz w:val="21"/>
          <w:szCs w:val="21"/>
          <w:highlight w:val="none"/>
          <w:u w:val="single"/>
        </w:rPr>
        <w:t>万元，属于</w:t>
      </w:r>
      <w:r>
        <w:rPr>
          <w:rFonts w:hint="eastAsia" w:hAnsi="宋体" w:cs="宋体"/>
          <w:iCs/>
          <w:color w:val="auto"/>
          <w:sz w:val="21"/>
          <w:szCs w:val="21"/>
          <w:highlight w:val="none"/>
          <w:u w:val="single"/>
        </w:rPr>
        <w:t>（中型企业、小型企业、微型企业）</w:t>
      </w:r>
      <w:r>
        <w:rPr>
          <w:rFonts w:hint="eastAsia" w:hAnsi="宋体" w:cs="宋体"/>
          <w:color w:val="auto"/>
          <w:sz w:val="21"/>
          <w:szCs w:val="21"/>
          <w:highlight w:val="none"/>
          <w:u w:val="single"/>
        </w:rPr>
        <w:t>；</w:t>
      </w:r>
    </w:p>
    <w:p w14:paraId="04C8E607">
      <w:pPr>
        <w:pStyle w:val="21"/>
        <w:keepNext/>
        <w:spacing w:before="11" w:line="360" w:lineRule="auto"/>
        <w:ind w:left="860"/>
        <w:rPr>
          <w:rFonts w:hint="eastAsia" w:hAnsi="宋体" w:cs="宋体"/>
          <w:color w:val="auto"/>
          <w:sz w:val="21"/>
          <w:szCs w:val="21"/>
          <w:highlight w:val="none"/>
        </w:rPr>
      </w:pPr>
      <w:r>
        <w:rPr>
          <w:rFonts w:hint="eastAsia" w:hAnsi="宋体" w:cs="宋体"/>
          <w:color w:val="auto"/>
          <w:sz w:val="21"/>
          <w:szCs w:val="21"/>
          <w:highlight w:val="none"/>
        </w:rPr>
        <w:t>……</w:t>
      </w:r>
    </w:p>
    <w:p w14:paraId="24A2AF1D">
      <w:pPr>
        <w:pStyle w:val="21"/>
        <w:keepNext/>
        <w:spacing w:before="108" w:line="360" w:lineRule="auto"/>
        <w:ind w:right="417" w:firstLine="645"/>
        <w:rPr>
          <w:rFonts w:hint="eastAsia" w:hAnsi="宋体" w:cs="宋体"/>
          <w:color w:val="auto"/>
          <w:sz w:val="21"/>
          <w:szCs w:val="21"/>
          <w:highlight w:val="none"/>
        </w:rPr>
      </w:pPr>
      <w:r>
        <w:rPr>
          <w:rFonts w:hint="eastAsia" w:hAnsi="宋体" w:cs="宋体"/>
          <w:color w:val="auto"/>
          <w:sz w:val="21"/>
          <w:szCs w:val="21"/>
          <w:highlight w:val="none"/>
        </w:rPr>
        <w:t>以上企业，不属于大企业的分支机构，不存在控股股东为大企业的情形，也不存在与大企业的负责人为同一人的情形。</w:t>
      </w:r>
    </w:p>
    <w:p w14:paraId="50EACB7B">
      <w:pPr>
        <w:pStyle w:val="21"/>
        <w:keepNext/>
        <w:spacing w:line="360" w:lineRule="auto"/>
        <w:ind w:right="375" w:firstLine="640"/>
        <w:rPr>
          <w:rFonts w:hint="eastAsia" w:hAnsi="宋体" w:cs="宋体"/>
          <w:color w:val="auto"/>
          <w:sz w:val="21"/>
          <w:szCs w:val="21"/>
          <w:highlight w:val="none"/>
        </w:rPr>
      </w:pPr>
      <w:r>
        <w:rPr>
          <w:rFonts w:hint="eastAsia" w:hAnsi="宋体" w:cs="宋体"/>
          <w:color w:val="auto"/>
          <w:sz w:val="21"/>
          <w:szCs w:val="21"/>
          <w:highlight w:val="none"/>
        </w:rPr>
        <w:t>本企业对上述声明内容的真实性负责。如有虚假，将依法承担相应责任。</w:t>
      </w:r>
    </w:p>
    <w:p w14:paraId="758C4D99">
      <w:pPr>
        <w:pStyle w:val="21"/>
        <w:keepNext/>
        <w:spacing w:before="29" w:line="360" w:lineRule="auto"/>
        <w:ind w:left="4060" w:right="2166"/>
        <w:rPr>
          <w:rFonts w:hint="eastAsia" w:hAnsi="宋体" w:cs="宋体"/>
          <w:color w:val="auto"/>
          <w:sz w:val="21"/>
          <w:szCs w:val="21"/>
          <w:highlight w:val="none"/>
        </w:rPr>
      </w:pPr>
      <w:r>
        <w:rPr>
          <w:rFonts w:hint="eastAsia" w:hAnsi="宋体" w:cs="宋体"/>
          <w:color w:val="auto"/>
          <w:sz w:val="21"/>
          <w:szCs w:val="21"/>
          <w:highlight w:val="none"/>
        </w:rPr>
        <w:t>企业名称（盖章）：日期：</w:t>
      </w:r>
    </w:p>
    <w:p w14:paraId="2048BEBD">
      <w:pPr>
        <w:keepNext/>
        <w:spacing w:line="360" w:lineRule="auto"/>
        <w:rPr>
          <w:rFonts w:hint="eastAsia" w:hAnsi="宋体" w:cs="宋体"/>
          <w:color w:val="auto"/>
          <w:sz w:val="21"/>
          <w:szCs w:val="21"/>
          <w:highlight w:val="none"/>
        </w:rPr>
      </w:pPr>
    </w:p>
    <w:p w14:paraId="062104B5">
      <w:pPr>
        <w:widowControl/>
        <w:jc w:val="left"/>
        <w:rPr>
          <w:rFonts w:hint="eastAsia" w:hAnsi="宋体" w:cs="宋体"/>
          <w:b/>
          <w:color w:val="auto"/>
          <w:sz w:val="21"/>
          <w:szCs w:val="21"/>
          <w:highlight w:val="none"/>
        </w:rPr>
      </w:pPr>
      <w:r>
        <w:rPr>
          <w:rFonts w:hint="eastAsia" w:hAnsi="宋体" w:cs="宋体"/>
          <w:b/>
          <w:color w:val="auto"/>
          <w:sz w:val="21"/>
          <w:szCs w:val="21"/>
          <w:highlight w:val="none"/>
        </w:rPr>
        <w:t>注：从业人员、营业收入、资产总额填报上一年度数据，无上一年度数据的新成立企业可不填报。</w:t>
      </w:r>
    </w:p>
    <w:p w14:paraId="426CBA31">
      <w:pPr>
        <w:widowControl/>
        <w:jc w:val="left"/>
        <w:rPr>
          <w:rFonts w:hint="eastAsia" w:hAnsi="宋体" w:cs="宋体"/>
          <w:b/>
          <w:color w:val="auto"/>
          <w:sz w:val="21"/>
          <w:szCs w:val="21"/>
          <w:highlight w:val="none"/>
        </w:rPr>
      </w:pPr>
    </w:p>
    <w:p w14:paraId="49492495">
      <w:pPr>
        <w:widowControl/>
        <w:jc w:val="left"/>
        <w:rPr>
          <w:rFonts w:hint="eastAsia" w:hAnsi="宋体" w:cs="宋体"/>
          <w:b/>
          <w:color w:val="auto"/>
          <w:sz w:val="21"/>
          <w:szCs w:val="21"/>
          <w:highlight w:val="none"/>
        </w:rPr>
      </w:pPr>
      <w:r>
        <w:rPr>
          <w:rFonts w:hint="eastAsia" w:hAnsi="宋体" w:cs="宋体"/>
          <w:b/>
          <w:color w:val="auto"/>
          <w:sz w:val="21"/>
          <w:szCs w:val="21"/>
          <w:highlight w:val="none"/>
        </w:rPr>
        <w:br w:type="page"/>
      </w:r>
      <w:r>
        <w:rPr>
          <w:rFonts w:hint="eastAsia" w:hAnsi="宋体" w:cs="宋体"/>
          <w:b/>
          <w:color w:val="auto"/>
          <w:sz w:val="21"/>
          <w:szCs w:val="21"/>
          <w:highlight w:val="none"/>
        </w:rPr>
        <w:t>（2）《残疾人福利性单位声明函》格式</w:t>
      </w:r>
    </w:p>
    <w:p w14:paraId="67BE96E4">
      <w:pPr>
        <w:widowControl/>
        <w:jc w:val="left"/>
        <w:rPr>
          <w:rFonts w:hint="eastAsia" w:hAnsi="宋体" w:cs="宋体"/>
          <w:b/>
          <w:color w:val="auto"/>
          <w:sz w:val="21"/>
          <w:szCs w:val="21"/>
          <w:highlight w:val="none"/>
        </w:rPr>
      </w:pPr>
    </w:p>
    <w:p w14:paraId="232DC7AE">
      <w:pPr>
        <w:spacing w:line="588" w:lineRule="exact"/>
        <w:jc w:val="center"/>
        <w:rPr>
          <w:rFonts w:hint="eastAsia" w:hAnsi="宋体" w:cs="宋体"/>
          <w:b/>
          <w:color w:val="auto"/>
          <w:spacing w:val="6"/>
          <w:sz w:val="21"/>
          <w:szCs w:val="21"/>
          <w:highlight w:val="none"/>
        </w:rPr>
      </w:pPr>
      <w:r>
        <w:rPr>
          <w:rFonts w:hint="eastAsia" w:hAnsi="宋体" w:cs="宋体"/>
          <w:b/>
          <w:color w:val="auto"/>
          <w:spacing w:val="6"/>
          <w:sz w:val="21"/>
          <w:szCs w:val="21"/>
          <w:highlight w:val="none"/>
        </w:rPr>
        <w:t>残疾人福利性单位声明函</w:t>
      </w:r>
    </w:p>
    <w:p w14:paraId="4ABAC8B5">
      <w:pPr>
        <w:widowControl/>
        <w:jc w:val="center"/>
        <w:rPr>
          <w:rFonts w:hint="eastAsia" w:hAnsi="宋体" w:cs="宋体"/>
          <w:b/>
          <w:color w:val="auto"/>
          <w:sz w:val="21"/>
          <w:szCs w:val="21"/>
          <w:highlight w:val="none"/>
        </w:rPr>
      </w:pPr>
      <w:r>
        <w:rPr>
          <w:rFonts w:hint="eastAsia" w:hAnsi="宋体" w:cs="宋体"/>
          <w:b/>
          <w:color w:val="auto"/>
          <w:sz w:val="21"/>
          <w:szCs w:val="21"/>
          <w:highlight w:val="none"/>
        </w:rPr>
        <w:t>（不属于残疾人福利性单位的无需填写）</w:t>
      </w:r>
    </w:p>
    <w:p w14:paraId="5EC6042C">
      <w:pPr>
        <w:widowControl/>
        <w:jc w:val="left"/>
        <w:rPr>
          <w:rFonts w:hint="eastAsia" w:hAnsi="宋体" w:cs="宋体"/>
          <w:b/>
          <w:color w:val="auto"/>
          <w:sz w:val="21"/>
          <w:szCs w:val="21"/>
          <w:highlight w:val="none"/>
        </w:rPr>
      </w:pPr>
    </w:p>
    <w:p w14:paraId="6B955298">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本单位郑重声明，根据《财政部 民政部 中国残疾人联合会关于促进残疾人就业政府采购政策的通知》</w:t>
      </w:r>
    </w:p>
    <w:p w14:paraId="20D38FB8">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（财库〔2017〕 141 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49922715">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本单位对上述声明的真实性负责。如有虚假，将依法承担相应责任。</w:t>
      </w:r>
    </w:p>
    <w:p w14:paraId="76CE3093">
      <w:pPr>
        <w:widowControl/>
        <w:spacing w:line="360" w:lineRule="auto"/>
        <w:ind w:firstLine="420" w:firstLineChars="200"/>
        <w:jc w:val="left"/>
        <w:rPr>
          <w:rFonts w:hint="eastAsia" w:hAnsi="宋体" w:cs="宋体"/>
          <w:color w:val="auto"/>
          <w:sz w:val="21"/>
          <w:szCs w:val="21"/>
          <w:highlight w:val="none"/>
        </w:rPr>
      </w:pPr>
    </w:p>
    <w:p w14:paraId="24CFC398">
      <w:pPr>
        <w:widowControl/>
        <w:spacing w:line="360" w:lineRule="auto"/>
        <w:ind w:firstLine="420" w:firstLineChars="200"/>
        <w:jc w:val="left"/>
        <w:rPr>
          <w:rFonts w:hint="eastAsia" w:hAnsi="宋体" w:cs="宋体"/>
          <w:color w:val="auto"/>
          <w:sz w:val="21"/>
          <w:szCs w:val="21"/>
          <w:highlight w:val="none"/>
        </w:rPr>
      </w:pPr>
    </w:p>
    <w:p w14:paraId="0FAC2B59">
      <w:pPr>
        <w:widowControl/>
        <w:spacing w:line="360" w:lineRule="auto"/>
        <w:jc w:val="left"/>
        <w:rPr>
          <w:rFonts w:hint="eastAsia" w:hAnsi="宋体" w:cs="宋体"/>
          <w:b/>
          <w:color w:val="auto"/>
          <w:sz w:val="21"/>
          <w:szCs w:val="21"/>
          <w:highlight w:val="none"/>
        </w:rPr>
      </w:pPr>
    </w:p>
    <w:p w14:paraId="3998564F">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（若投标文件中无上述材料，则在评审时不考虑对该小、微企业的相关优惠。）</w:t>
      </w:r>
    </w:p>
    <w:p w14:paraId="03737441">
      <w:pPr>
        <w:widowControl/>
        <w:spacing w:line="360" w:lineRule="auto"/>
        <w:ind w:firstLine="420" w:firstLineChars="200"/>
        <w:jc w:val="left"/>
        <w:rPr>
          <w:rFonts w:hint="eastAsia" w:hAnsi="宋体" w:cs="宋体"/>
          <w:color w:val="auto"/>
          <w:sz w:val="21"/>
          <w:szCs w:val="21"/>
          <w:highlight w:val="none"/>
        </w:rPr>
      </w:pPr>
    </w:p>
    <w:p w14:paraId="235A2D1E">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供应商（盖章）：</w:t>
      </w:r>
    </w:p>
    <w:p w14:paraId="37F5DB39">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日 期：</w:t>
      </w:r>
    </w:p>
    <w:p w14:paraId="12146B10">
      <w:pPr>
        <w:widowControl/>
        <w:spacing w:line="360" w:lineRule="auto"/>
        <w:ind w:firstLine="420" w:firstLineChars="200"/>
        <w:jc w:val="left"/>
        <w:rPr>
          <w:rFonts w:hint="eastAsia" w:hAnsi="宋体" w:cs="宋体"/>
          <w:color w:val="auto"/>
          <w:sz w:val="21"/>
          <w:szCs w:val="21"/>
          <w:highlight w:val="none"/>
        </w:rPr>
      </w:pPr>
    </w:p>
    <w:p w14:paraId="442F0613">
      <w:pPr>
        <w:widowControl/>
        <w:spacing w:line="360" w:lineRule="auto"/>
        <w:ind w:firstLine="420" w:firstLineChars="200"/>
        <w:jc w:val="left"/>
        <w:rPr>
          <w:rFonts w:hint="eastAsia" w:hAnsi="宋体" w:cs="宋体"/>
          <w:color w:val="auto"/>
          <w:sz w:val="21"/>
          <w:szCs w:val="21"/>
          <w:highlight w:val="none"/>
        </w:rPr>
      </w:pPr>
    </w:p>
    <w:p w14:paraId="21253336">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符合条件的残疾人福利性单位在参加政府采购活动时，应当提供本通知规定的《残疾人福利性单位声明函》，并对声明的真实性负责。采购代理机构在随中标、中标结果同时公告其《残疾人福利性单位声明函》，接受社会监督。供应商提供的《残疾人福利性单位声明函》与事实不符的，依照《</w:t>
      </w:r>
      <w:r>
        <w:rPr>
          <w:rFonts w:hint="eastAsia" w:hAnsi="宋体" w:cs="宋体"/>
          <w:color w:val="auto"/>
          <w:sz w:val="21"/>
          <w:szCs w:val="21"/>
          <w:highlight w:val="none"/>
          <w:lang w:eastAsia="zh-CN"/>
        </w:rPr>
        <w:t>中华人民共和国政府采购法</w:t>
      </w:r>
      <w:r>
        <w:rPr>
          <w:rFonts w:hint="eastAsia" w:hAnsi="宋体" w:cs="宋体"/>
          <w:color w:val="auto"/>
          <w:sz w:val="21"/>
          <w:szCs w:val="21"/>
          <w:highlight w:val="none"/>
        </w:rPr>
        <w:t>》第七十七条第一款的规定追究法律责任。</w:t>
      </w:r>
    </w:p>
    <w:p w14:paraId="5A681C59">
      <w:pPr>
        <w:widowControl/>
        <w:jc w:val="left"/>
        <w:rPr>
          <w:rFonts w:hint="eastAsia" w:hAnsi="宋体" w:cs="宋体"/>
          <w:b/>
          <w:color w:val="auto"/>
          <w:sz w:val="21"/>
          <w:szCs w:val="21"/>
          <w:highlight w:val="none"/>
        </w:rPr>
      </w:pPr>
    </w:p>
    <w:p w14:paraId="2859130E">
      <w:pPr>
        <w:widowControl/>
        <w:jc w:val="left"/>
        <w:rPr>
          <w:rFonts w:hint="eastAsia" w:hAnsi="宋体" w:cs="宋体"/>
          <w:b/>
          <w:color w:val="auto"/>
          <w:sz w:val="21"/>
          <w:szCs w:val="21"/>
          <w:highlight w:val="none"/>
        </w:rPr>
      </w:pPr>
      <w:r>
        <w:rPr>
          <w:rFonts w:hint="eastAsia" w:hAnsi="宋体" w:cs="宋体"/>
          <w:b/>
          <w:color w:val="auto"/>
          <w:sz w:val="21"/>
          <w:szCs w:val="21"/>
          <w:highlight w:val="none"/>
        </w:rPr>
        <w:br w:type="page"/>
      </w:r>
      <w:r>
        <w:rPr>
          <w:rFonts w:hint="eastAsia" w:hAnsi="宋体" w:cs="宋体"/>
          <w:b/>
          <w:color w:val="auto"/>
          <w:sz w:val="21"/>
          <w:szCs w:val="21"/>
          <w:highlight w:val="none"/>
        </w:rPr>
        <w:t>（3）《监狱企业声明函》格式</w:t>
      </w:r>
    </w:p>
    <w:p w14:paraId="73CCB9A4">
      <w:pPr>
        <w:spacing w:line="588" w:lineRule="exact"/>
        <w:jc w:val="center"/>
        <w:rPr>
          <w:rFonts w:hint="eastAsia" w:hAnsi="宋体" w:cs="宋体"/>
          <w:b/>
          <w:color w:val="auto"/>
          <w:spacing w:val="6"/>
          <w:sz w:val="21"/>
          <w:szCs w:val="21"/>
          <w:highlight w:val="none"/>
        </w:rPr>
      </w:pPr>
    </w:p>
    <w:p w14:paraId="298375D8">
      <w:pPr>
        <w:spacing w:line="588" w:lineRule="exact"/>
        <w:jc w:val="center"/>
        <w:rPr>
          <w:rFonts w:hint="eastAsia" w:hAnsi="宋体" w:cs="宋体"/>
          <w:b/>
          <w:color w:val="auto"/>
          <w:spacing w:val="6"/>
          <w:sz w:val="21"/>
          <w:szCs w:val="21"/>
          <w:highlight w:val="none"/>
        </w:rPr>
      </w:pPr>
      <w:r>
        <w:rPr>
          <w:rFonts w:hint="eastAsia" w:hAnsi="宋体" w:cs="宋体"/>
          <w:b/>
          <w:color w:val="auto"/>
          <w:spacing w:val="6"/>
          <w:sz w:val="21"/>
          <w:szCs w:val="21"/>
          <w:highlight w:val="none"/>
        </w:rPr>
        <w:t>监狱企业声明函</w:t>
      </w:r>
    </w:p>
    <w:p w14:paraId="0EE889E5">
      <w:pPr>
        <w:widowControl/>
        <w:jc w:val="center"/>
        <w:rPr>
          <w:rFonts w:hint="eastAsia" w:hAnsi="宋体" w:cs="宋体"/>
          <w:b/>
          <w:color w:val="auto"/>
          <w:sz w:val="21"/>
          <w:szCs w:val="21"/>
          <w:highlight w:val="none"/>
        </w:rPr>
      </w:pPr>
      <w:r>
        <w:rPr>
          <w:rFonts w:hint="eastAsia" w:hAnsi="宋体" w:cs="宋体"/>
          <w:b/>
          <w:color w:val="auto"/>
          <w:sz w:val="21"/>
          <w:szCs w:val="21"/>
          <w:highlight w:val="none"/>
        </w:rPr>
        <w:t>（不属于监狱企业的无需填写）</w:t>
      </w:r>
    </w:p>
    <w:p w14:paraId="21D8B5FA">
      <w:pPr>
        <w:widowControl/>
        <w:spacing w:line="360" w:lineRule="auto"/>
        <w:ind w:firstLine="420" w:firstLineChars="200"/>
        <w:jc w:val="left"/>
        <w:rPr>
          <w:rFonts w:hint="eastAsia" w:hAnsi="宋体" w:cs="宋体"/>
          <w:color w:val="auto"/>
          <w:sz w:val="21"/>
          <w:szCs w:val="21"/>
          <w:highlight w:val="none"/>
        </w:rPr>
      </w:pPr>
    </w:p>
    <w:p w14:paraId="2765654A">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公司郑重声明，根据《关于政府采购支持监狱企业发展有关问题的通知》 （财库[2014]68 号）的规定，本公司为监狱企业。</w:t>
      </w:r>
    </w:p>
    <w:p w14:paraId="5FE84205">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根据上述标准，我公司属于监狱企业的理由为：   。</w:t>
      </w:r>
    </w:p>
    <w:p w14:paraId="5DF681BA">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本公司为参加</w:t>
      </w:r>
      <w:r>
        <w:rPr>
          <w:rFonts w:hint="eastAsia" w:hAnsi="宋体" w:cs="宋体"/>
          <w:color w:val="auto"/>
          <w:sz w:val="21"/>
          <w:szCs w:val="21"/>
          <w:highlight w:val="none"/>
          <w:u w:val="single"/>
        </w:rPr>
        <w:t>（项目名称、项目编号）</w:t>
      </w:r>
      <w:r>
        <w:rPr>
          <w:rFonts w:hint="eastAsia" w:hAnsi="宋体" w:cs="宋体"/>
          <w:color w:val="auto"/>
          <w:sz w:val="21"/>
          <w:szCs w:val="21"/>
          <w:highlight w:val="none"/>
        </w:rPr>
        <w:t>采购活动提供本企业（填写制造的货物，由本企业承担工程、提供服务）。</w:t>
      </w:r>
    </w:p>
    <w:p w14:paraId="045866BA">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本条所称货物不包括使用大型企业注册商标的货物和服务。</w:t>
      </w:r>
    </w:p>
    <w:p w14:paraId="7CDC80F4">
      <w:pPr>
        <w:widowControl/>
        <w:spacing w:line="360" w:lineRule="auto"/>
        <w:ind w:firstLine="420" w:firstLineChars="200"/>
        <w:jc w:val="left"/>
        <w:rPr>
          <w:rFonts w:hint="eastAsia" w:hAnsi="宋体" w:cs="宋体"/>
          <w:color w:val="auto"/>
          <w:sz w:val="21"/>
          <w:szCs w:val="21"/>
          <w:highlight w:val="none"/>
        </w:rPr>
      </w:pPr>
    </w:p>
    <w:p w14:paraId="3DC9098A">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本公司对上述声明的真实性负责。如有虚假，将依法承担相应责任</w:t>
      </w:r>
    </w:p>
    <w:p w14:paraId="01D9E2F9">
      <w:pPr>
        <w:widowControl/>
        <w:spacing w:line="360" w:lineRule="auto"/>
        <w:ind w:firstLine="420" w:firstLineChars="200"/>
        <w:jc w:val="left"/>
        <w:rPr>
          <w:rFonts w:hint="eastAsia" w:hAnsi="宋体" w:cs="宋体"/>
          <w:color w:val="auto"/>
          <w:sz w:val="21"/>
          <w:szCs w:val="21"/>
          <w:highlight w:val="none"/>
        </w:rPr>
      </w:pPr>
    </w:p>
    <w:p w14:paraId="03A19EFD">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供应商（盖章）：</w:t>
      </w:r>
    </w:p>
    <w:p w14:paraId="50890F65">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日 期：</w:t>
      </w:r>
    </w:p>
    <w:p w14:paraId="718A3EF6">
      <w:pPr>
        <w:widowControl/>
        <w:spacing w:line="360" w:lineRule="auto"/>
        <w:ind w:firstLine="420" w:firstLineChars="200"/>
        <w:jc w:val="left"/>
        <w:rPr>
          <w:rFonts w:hint="eastAsia" w:hAnsi="宋体" w:cs="宋体"/>
          <w:color w:val="auto"/>
          <w:sz w:val="21"/>
          <w:szCs w:val="21"/>
          <w:highlight w:val="none"/>
        </w:rPr>
      </w:pPr>
    </w:p>
    <w:p w14:paraId="0B91E3F8">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注：</w:t>
      </w:r>
    </w:p>
    <w:p w14:paraId="4DC9FA09">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若产品出自符合国家规定的监狱企业，则该产品制造企业必须出具上述声明函，且供应商必须提供应当提供由省级以上监狱管理局、戒毒管理局（含新疆生产建设兵团）出具的属于监狱企业的证明文件，否则在评审时将不考虑对该监狱企业的相关优惠。</w:t>
      </w:r>
    </w:p>
    <w:p w14:paraId="76FBC6CF">
      <w:pPr>
        <w:widowControl/>
        <w:spacing w:line="360" w:lineRule="auto"/>
        <w:ind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监狱企业视同小型、微型企业，享受评审中价格扣除等政府采购促进中小企业发展的政府采购政策。</w:t>
      </w:r>
    </w:p>
    <w:p w14:paraId="71358E7B">
      <w:pPr>
        <w:pStyle w:val="48"/>
        <w:ind w:firstLine="0" w:firstLineChars="0"/>
        <w:jc w:val="center"/>
        <w:rPr>
          <w:rFonts w:hint="eastAsia"/>
          <w:color w:val="auto"/>
          <w:highlight w:val="none"/>
        </w:rPr>
        <w:sectPr>
          <w:footerReference r:id="rId6" w:type="default"/>
          <w:pgSz w:w="11906" w:h="16838"/>
          <w:pgMar w:top="1418" w:right="1134" w:bottom="1246" w:left="1134"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宋体" w:hAnsi="宋体" w:eastAsia="宋体" w:cs="宋体"/>
          <w:b/>
          <w:color w:val="auto"/>
          <w:sz w:val="21"/>
          <w:szCs w:val="21"/>
          <w:highlight w:val="none"/>
        </w:rPr>
        <w:br w:type="page"/>
      </w:r>
      <w:bookmarkStart w:id="87" w:name="_Toc23674"/>
      <w:r>
        <w:rPr>
          <w:rStyle w:val="75"/>
          <w:rFonts w:hint="eastAsia"/>
          <w:color w:val="auto"/>
          <w:highlight w:val="none"/>
        </w:rPr>
        <w:t>（九）投标人认为</w:t>
      </w:r>
      <w:r>
        <w:rPr>
          <w:rStyle w:val="75"/>
          <w:rFonts w:hint="eastAsia" w:eastAsia="黑体"/>
          <w:color w:val="auto"/>
          <w:highlight w:val="none"/>
          <w:lang w:val="en-US" w:eastAsia="zh-CN"/>
        </w:rPr>
        <w:t>需要</w:t>
      </w:r>
      <w:r>
        <w:rPr>
          <w:rStyle w:val="75"/>
          <w:rFonts w:hint="eastAsia"/>
          <w:color w:val="auto"/>
          <w:highlight w:val="none"/>
        </w:rPr>
        <w:t>提供的其他资格证材料</w:t>
      </w:r>
      <w:bookmarkEnd w:id="87"/>
    </w:p>
    <w:bookmarkEnd w:id="39"/>
    <w:p w14:paraId="5D52B01D">
      <w:pPr>
        <w:pStyle w:val="6"/>
        <w:spacing w:line="360" w:lineRule="auto"/>
        <w:jc w:val="center"/>
        <w:rPr>
          <w:rStyle w:val="60"/>
          <w:rFonts w:hAnsi="Times New Roman"/>
          <w:b w:val="0"/>
          <w:bCs w:val="0"/>
          <w:color w:val="auto"/>
          <w:sz w:val="36"/>
          <w:szCs w:val="36"/>
          <w:highlight w:val="none"/>
        </w:rPr>
      </w:pPr>
      <w:bookmarkStart w:id="88" w:name="_Toc6433"/>
      <w:r>
        <w:rPr>
          <w:rStyle w:val="60"/>
          <w:rFonts w:hint="eastAsia" w:hAnsi="Times New Roman"/>
          <w:b w:val="0"/>
          <w:bCs w:val="0"/>
          <w:color w:val="auto"/>
          <w:sz w:val="36"/>
          <w:szCs w:val="36"/>
          <w:highlight w:val="none"/>
        </w:rPr>
        <w:t>二、投标报价部分</w:t>
      </w:r>
      <w:bookmarkEnd w:id="88"/>
    </w:p>
    <w:p w14:paraId="42DE375B">
      <w:pPr>
        <w:keepNext/>
        <w:jc w:val="center"/>
        <w:rPr>
          <w:rStyle w:val="75"/>
          <w:color w:val="auto"/>
          <w:highlight w:val="none"/>
        </w:rPr>
      </w:pPr>
      <w:bookmarkStart w:id="89" w:name="_Toc1927"/>
      <w:r>
        <w:rPr>
          <w:rStyle w:val="75"/>
          <w:rFonts w:hint="eastAsia"/>
          <w:color w:val="auto"/>
          <w:highlight w:val="none"/>
        </w:rPr>
        <w:t>（一）投标函</w:t>
      </w:r>
    </w:p>
    <w:bookmarkEnd w:id="89"/>
    <w:p w14:paraId="0403D7B0">
      <w:pPr>
        <w:spacing w:line="460" w:lineRule="exact"/>
        <w:rPr>
          <w:rFonts w:hint="eastAsia" w:hAnsi="宋体" w:eastAsia="宋体"/>
          <w:color w:val="auto"/>
          <w:sz w:val="21"/>
          <w:szCs w:val="21"/>
          <w:highlight w:val="none"/>
          <w:lang w:eastAsia="zh-CN"/>
        </w:rPr>
      </w:pPr>
      <w:r>
        <w:rPr>
          <w:rFonts w:hint="eastAsia" w:hAnsi="宋体"/>
          <w:color w:val="auto"/>
          <w:sz w:val="21"/>
          <w:szCs w:val="21"/>
          <w:highlight w:val="none"/>
          <w:u w:val="single"/>
        </w:rPr>
        <w:t>致：</w:t>
      </w:r>
      <w:r>
        <w:rPr>
          <w:rFonts w:hint="eastAsia" w:hAnsi="宋体"/>
          <w:color w:val="auto"/>
          <w:sz w:val="21"/>
          <w:szCs w:val="21"/>
          <w:highlight w:val="none"/>
          <w:u w:val="single"/>
          <w:lang w:eastAsia="zh-CN"/>
        </w:rPr>
        <w:t>保山市商务局</w:t>
      </w:r>
    </w:p>
    <w:p w14:paraId="06B3708D">
      <w:pPr>
        <w:spacing w:line="460" w:lineRule="exact"/>
        <w:rPr>
          <w:rFonts w:hint="eastAsia" w:hAnsi="宋体"/>
          <w:color w:val="auto"/>
          <w:sz w:val="21"/>
          <w:szCs w:val="21"/>
          <w:highlight w:val="none"/>
        </w:rPr>
      </w:pPr>
      <w:r>
        <w:rPr>
          <w:rFonts w:hint="eastAsia" w:hAnsi="宋体"/>
          <w:color w:val="auto"/>
          <w:sz w:val="21"/>
          <w:szCs w:val="21"/>
          <w:highlight w:val="none"/>
        </w:rPr>
        <w:t xml:space="preserve">     根据贵方</w:t>
      </w:r>
      <w:r>
        <w:rPr>
          <w:rFonts w:hint="eastAsia" w:hAnsi="宋体"/>
          <w:color w:val="auto"/>
          <w:sz w:val="21"/>
          <w:szCs w:val="21"/>
          <w:highlight w:val="none"/>
          <w:u w:val="single"/>
        </w:rPr>
        <w:t xml:space="preserve">   </w:t>
      </w:r>
      <w:r>
        <w:rPr>
          <w:rFonts w:hint="eastAsia" w:hAnsi="宋体" w:cs="宋体"/>
          <w:color w:val="auto"/>
          <w:sz w:val="21"/>
          <w:szCs w:val="21"/>
          <w:highlight w:val="none"/>
          <w:u w:val="single"/>
        </w:rPr>
        <w:t>（项目名称、项目编号）</w:t>
      </w:r>
      <w:r>
        <w:rPr>
          <w:rFonts w:hint="eastAsia" w:hAnsi="宋体"/>
          <w:color w:val="auto"/>
          <w:sz w:val="21"/>
          <w:szCs w:val="21"/>
          <w:highlight w:val="none"/>
          <w:u w:val="single"/>
        </w:rPr>
        <w:t xml:space="preserve">   </w:t>
      </w:r>
      <w:r>
        <w:rPr>
          <w:rFonts w:hint="eastAsia" w:hAnsi="宋体"/>
          <w:color w:val="auto"/>
          <w:sz w:val="21"/>
          <w:szCs w:val="21"/>
          <w:highlight w:val="none"/>
        </w:rPr>
        <w:t>招标文件要求，</w:t>
      </w:r>
      <w:r>
        <w:rPr>
          <w:rFonts w:hint="eastAsia" w:hAnsi="宋体"/>
          <w:color w:val="auto"/>
          <w:sz w:val="21"/>
          <w:szCs w:val="21"/>
          <w:highlight w:val="none"/>
          <w:u w:val="single"/>
        </w:rPr>
        <w:t xml:space="preserve">   （姓名和职务）    </w:t>
      </w:r>
      <w:r>
        <w:rPr>
          <w:rFonts w:hint="eastAsia" w:hAnsi="宋体"/>
          <w:color w:val="auto"/>
          <w:sz w:val="21"/>
          <w:szCs w:val="21"/>
          <w:highlight w:val="none"/>
        </w:rPr>
        <w:t>被正式授权代表</w:t>
      </w:r>
      <w:r>
        <w:rPr>
          <w:rFonts w:hint="eastAsia" w:hAnsi="宋体"/>
          <w:color w:val="auto"/>
          <w:sz w:val="21"/>
          <w:szCs w:val="21"/>
          <w:highlight w:val="none"/>
          <w:u w:val="single"/>
        </w:rPr>
        <w:t xml:space="preserve">    （投标人名称）  </w:t>
      </w:r>
      <w:r>
        <w:rPr>
          <w:rFonts w:hint="eastAsia" w:hAnsi="宋体"/>
          <w:color w:val="auto"/>
          <w:sz w:val="21"/>
          <w:szCs w:val="21"/>
          <w:highlight w:val="none"/>
        </w:rPr>
        <w:t>，向贵方提交下述文件电子投标文件</w:t>
      </w:r>
      <w:r>
        <w:rPr>
          <w:rFonts w:hint="eastAsia" w:hAnsi="宋体"/>
          <w:color w:val="auto"/>
          <w:sz w:val="21"/>
          <w:szCs w:val="21"/>
          <w:highlight w:val="none"/>
          <w:u w:val="single"/>
        </w:rPr>
        <w:t xml:space="preserve">1 </w:t>
      </w:r>
      <w:r>
        <w:rPr>
          <w:rFonts w:hint="eastAsia" w:hAnsi="宋体"/>
          <w:color w:val="auto"/>
          <w:sz w:val="21"/>
          <w:szCs w:val="21"/>
          <w:highlight w:val="none"/>
        </w:rPr>
        <w:t>份。</w:t>
      </w:r>
    </w:p>
    <w:p w14:paraId="6FE2778F">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1.开标一览表；</w:t>
      </w:r>
    </w:p>
    <w:p w14:paraId="6134B17F">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2.投标报价表；</w:t>
      </w:r>
    </w:p>
    <w:p w14:paraId="0C132E38">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3.项目技术相关方案；</w:t>
      </w:r>
    </w:p>
    <w:p w14:paraId="3E9CE2EE">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4.投标保证金，金额为</w:t>
      </w:r>
      <w:r>
        <w:rPr>
          <w:rFonts w:hint="eastAsia" w:hAnsi="宋体"/>
          <w:color w:val="auto"/>
          <w:sz w:val="21"/>
          <w:szCs w:val="21"/>
          <w:highlight w:val="none"/>
          <w:u w:val="single"/>
          <w:lang w:val="en-US" w:eastAsia="zh-CN"/>
        </w:rPr>
        <w:t xml:space="preserve">      </w:t>
      </w:r>
      <w:r>
        <w:rPr>
          <w:rFonts w:hint="eastAsia" w:hAnsi="宋体"/>
          <w:color w:val="auto"/>
          <w:sz w:val="21"/>
          <w:szCs w:val="21"/>
          <w:highlight w:val="none"/>
        </w:rPr>
        <w:t>元人民币，形式为</w:t>
      </w:r>
      <w:r>
        <w:rPr>
          <w:rFonts w:hint="eastAsia" w:hAnsi="宋体"/>
          <w:color w:val="auto"/>
          <w:sz w:val="21"/>
          <w:szCs w:val="21"/>
          <w:highlight w:val="none"/>
          <w:u w:val="single"/>
          <w:lang w:val="en-US" w:eastAsia="zh-CN"/>
        </w:rPr>
        <w:t xml:space="preserve">       </w:t>
      </w:r>
      <w:r>
        <w:rPr>
          <w:rFonts w:hint="eastAsia" w:hAnsi="宋体"/>
          <w:color w:val="auto"/>
          <w:sz w:val="21"/>
          <w:szCs w:val="21"/>
          <w:highlight w:val="none"/>
        </w:rPr>
        <w:t>；</w:t>
      </w:r>
    </w:p>
    <w:p w14:paraId="03097294">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《投标人须知》要求投标人提交的全部文件。</w:t>
      </w:r>
    </w:p>
    <w:p w14:paraId="1903F668">
      <w:p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据此函，投标人兹宣布同意如下：</w:t>
      </w:r>
    </w:p>
    <w:p w14:paraId="084D0E7F">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我方已审阅全部招标文件，包括招标文件的澄清和修改书（如果有的话）及有关附件，我方已完全理解招标文件并对招标文件不存在任何异议。</w:t>
      </w:r>
    </w:p>
    <w:p w14:paraId="50FB1337">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我方的投标报价为</w:t>
      </w:r>
      <w:r>
        <w:rPr>
          <w:rFonts w:hint="eastAsia" w:hAnsi="宋体"/>
          <w:color w:val="auto"/>
          <w:sz w:val="21"/>
          <w:szCs w:val="21"/>
          <w:highlight w:val="none"/>
          <w:u w:val="single"/>
        </w:rPr>
        <w:t xml:space="preserve">                       。</w:t>
      </w:r>
    </w:p>
    <w:p w14:paraId="7334FE85">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我方承诺在投标有效期内不得修改、撤销投标文件。如果在投标有效期内撤销投标文件，我方的投标保证金可被贵方没收。</w:t>
      </w:r>
    </w:p>
    <w:p w14:paraId="0CBAB592">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我方承诺所递交的投标文件及有关资料真实有效。</w:t>
      </w:r>
    </w:p>
    <w:p w14:paraId="7BB30DC6">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如我方中标，依中标通知规定的时间与采购人签订采购合同，并依据合同规定履行合同义务。</w:t>
      </w:r>
    </w:p>
    <w:p w14:paraId="7C44D123">
      <w:pPr>
        <w:numPr>
          <w:ilvl w:val="0"/>
          <w:numId w:val="7"/>
        </w:numPr>
        <w:spacing w:line="460" w:lineRule="exact"/>
        <w:ind w:firstLine="420" w:firstLineChars="200"/>
        <w:rPr>
          <w:rFonts w:hint="eastAsia" w:hAnsi="宋体"/>
          <w:color w:val="auto"/>
          <w:sz w:val="21"/>
          <w:szCs w:val="21"/>
          <w:highlight w:val="none"/>
        </w:rPr>
      </w:pPr>
      <w:r>
        <w:rPr>
          <w:rFonts w:hint="eastAsia" w:hAnsi="宋体"/>
          <w:color w:val="auto"/>
          <w:sz w:val="21"/>
          <w:szCs w:val="21"/>
          <w:highlight w:val="none"/>
        </w:rPr>
        <w:t>我方完全理解贵方不一定要接受最低报价的投标或其他任何投标。</w:t>
      </w:r>
    </w:p>
    <w:p w14:paraId="07083340">
      <w:pPr>
        <w:spacing w:line="460" w:lineRule="exact"/>
        <w:rPr>
          <w:rFonts w:hint="eastAsia" w:hAnsi="宋体"/>
          <w:color w:val="auto"/>
          <w:sz w:val="21"/>
          <w:szCs w:val="21"/>
          <w:highlight w:val="none"/>
          <w:u w:val="single"/>
        </w:rPr>
      </w:pPr>
      <w:r>
        <w:rPr>
          <w:rFonts w:hint="eastAsia" w:hAnsi="宋体"/>
          <w:color w:val="auto"/>
          <w:sz w:val="21"/>
          <w:szCs w:val="21"/>
          <w:highlight w:val="none"/>
        </w:rPr>
        <w:t xml:space="preserve">   地址：</w:t>
      </w:r>
    </w:p>
    <w:p w14:paraId="63B25D08">
      <w:pPr>
        <w:spacing w:line="460" w:lineRule="exact"/>
        <w:rPr>
          <w:rFonts w:hint="eastAsia" w:hAnsi="宋体"/>
          <w:color w:val="auto"/>
          <w:sz w:val="21"/>
          <w:szCs w:val="21"/>
          <w:highlight w:val="none"/>
          <w:u w:val="single"/>
        </w:rPr>
      </w:pPr>
      <w:r>
        <w:rPr>
          <w:rFonts w:hint="eastAsia" w:hAnsi="宋体"/>
          <w:color w:val="auto"/>
          <w:sz w:val="21"/>
          <w:szCs w:val="21"/>
          <w:highlight w:val="none"/>
        </w:rPr>
        <w:t xml:space="preserve">   电话、传真：</w:t>
      </w:r>
      <w:r>
        <w:rPr>
          <w:rFonts w:hint="eastAsia" w:hAnsi="宋体"/>
          <w:color w:val="auto"/>
          <w:sz w:val="21"/>
          <w:szCs w:val="21"/>
          <w:highlight w:val="none"/>
          <w:u w:val="single"/>
        </w:rPr>
        <w:t xml:space="preserve">                              </w:t>
      </w:r>
    </w:p>
    <w:p w14:paraId="06B948CE">
      <w:pPr>
        <w:spacing w:line="460" w:lineRule="exact"/>
        <w:rPr>
          <w:rFonts w:hint="eastAsia" w:hAnsi="宋体"/>
          <w:color w:val="auto"/>
          <w:sz w:val="21"/>
          <w:szCs w:val="21"/>
          <w:highlight w:val="none"/>
        </w:rPr>
      </w:pPr>
      <w:r>
        <w:rPr>
          <w:rFonts w:hint="eastAsia" w:hAnsi="宋体"/>
          <w:color w:val="auto"/>
          <w:sz w:val="21"/>
          <w:szCs w:val="21"/>
          <w:highlight w:val="none"/>
        </w:rPr>
        <w:t xml:space="preserve">   邮政编码：</w:t>
      </w:r>
      <w:r>
        <w:rPr>
          <w:rFonts w:hint="eastAsia" w:hAnsi="宋体"/>
          <w:color w:val="auto"/>
          <w:sz w:val="21"/>
          <w:szCs w:val="21"/>
          <w:highlight w:val="none"/>
          <w:u w:val="single"/>
        </w:rPr>
        <w:t xml:space="preserve">                                </w:t>
      </w:r>
    </w:p>
    <w:p w14:paraId="3FAA3611">
      <w:pPr>
        <w:spacing w:line="460" w:lineRule="exact"/>
        <w:rPr>
          <w:rFonts w:hint="eastAsia" w:hAnsi="宋体"/>
          <w:color w:val="auto"/>
          <w:sz w:val="21"/>
          <w:szCs w:val="21"/>
          <w:highlight w:val="none"/>
        </w:rPr>
      </w:pPr>
      <w:r>
        <w:rPr>
          <w:rFonts w:hint="eastAsia" w:hAnsi="宋体"/>
          <w:color w:val="auto"/>
          <w:sz w:val="21"/>
          <w:szCs w:val="21"/>
          <w:highlight w:val="none"/>
        </w:rPr>
        <w:t xml:space="preserve">   开户银行：</w:t>
      </w:r>
      <w:r>
        <w:rPr>
          <w:rFonts w:hint="eastAsia" w:hAnsi="宋体"/>
          <w:color w:val="auto"/>
          <w:sz w:val="21"/>
          <w:szCs w:val="21"/>
          <w:highlight w:val="none"/>
          <w:u w:val="single"/>
        </w:rPr>
        <w:t xml:space="preserve">                                </w:t>
      </w:r>
    </w:p>
    <w:p w14:paraId="6D76A4AD">
      <w:pPr>
        <w:spacing w:line="460" w:lineRule="exact"/>
        <w:rPr>
          <w:rFonts w:hint="eastAsia" w:hAnsi="宋体"/>
          <w:color w:val="auto"/>
          <w:sz w:val="21"/>
          <w:szCs w:val="21"/>
          <w:highlight w:val="none"/>
        </w:rPr>
      </w:pPr>
      <w:r>
        <w:rPr>
          <w:rFonts w:hint="eastAsia" w:hAnsi="宋体"/>
          <w:color w:val="auto"/>
          <w:sz w:val="21"/>
          <w:szCs w:val="21"/>
          <w:highlight w:val="none"/>
        </w:rPr>
        <w:t xml:space="preserve">   账号：</w:t>
      </w:r>
      <w:r>
        <w:rPr>
          <w:rFonts w:hint="eastAsia" w:hAnsi="宋体"/>
          <w:color w:val="auto"/>
          <w:sz w:val="21"/>
          <w:szCs w:val="21"/>
          <w:highlight w:val="none"/>
          <w:u w:val="single"/>
        </w:rPr>
        <w:t xml:space="preserve">                                    </w:t>
      </w:r>
    </w:p>
    <w:p w14:paraId="5311F940">
      <w:pPr>
        <w:spacing w:line="460" w:lineRule="exact"/>
        <w:ind w:firstLine="279" w:firstLineChars="133"/>
        <w:rPr>
          <w:rFonts w:hint="eastAsia" w:hAnsi="宋体" w:cs="宋体"/>
          <w:color w:val="auto"/>
          <w:sz w:val="21"/>
          <w:szCs w:val="21"/>
          <w:highlight w:val="none"/>
        </w:rPr>
      </w:pPr>
      <w:r>
        <w:rPr>
          <w:rFonts w:hint="eastAsia" w:hAnsi="宋体" w:cs="宋体"/>
          <w:color w:val="auto"/>
          <w:sz w:val="21"/>
          <w:szCs w:val="21"/>
          <w:highlight w:val="none"/>
        </w:rPr>
        <w:t>投标人（盖单位公章）：______________</w:t>
      </w:r>
    </w:p>
    <w:p w14:paraId="67C2B844">
      <w:pPr>
        <w:spacing w:line="460" w:lineRule="exact"/>
        <w:ind w:firstLine="279" w:firstLineChars="133"/>
        <w:rPr>
          <w:rFonts w:hint="eastAsia" w:hAnsi="宋体" w:cs="宋体"/>
          <w:color w:val="auto"/>
          <w:sz w:val="21"/>
          <w:szCs w:val="21"/>
          <w:highlight w:val="none"/>
        </w:rPr>
      </w:pPr>
      <w:r>
        <w:rPr>
          <w:rFonts w:hint="eastAsia" w:hAnsi="宋体" w:cs="宋体"/>
          <w:color w:val="auto"/>
          <w:sz w:val="21"/>
          <w:szCs w:val="21"/>
          <w:highlight w:val="none"/>
        </w:rPr>
        <w:t>法定代表人（负责人）或委托代理人（</w:t>
      </w:r>
      <w:r>
        <w:rPr>
          <w:rFonts w:hint="eastAsia" w:hAnsi="宋体" w:cs="宋体"/>
          <w:color w:val="auto"/>
          <w:sz w:val="21"/>
          <w:szCs w:val="21"/>
          <w:highlight w:val="none"/>
          <w:lang w:eastAsia="zh-CN"/>
        </w:rPr>
        <w:t>签字或个人印章</w:t>
      </w:r>
      <w:r>
        <w:rPr>
          <w:rFonts w:hint="eastAsia" w:hAnsi="宋体" w:cs="宋体"/>
          <w:color w:val="auto"/>
          <w:sz w:val="21"/>
          <w:szCs w:val="21"/>
          <w:highlight w:val="none"/>
        </w:rPr>
        <w:t>）：________</w:t>
      </w:r>
    </w:p>
    <w:p w14:paraId="0834A1D2">
      <w:pPr>
        <w:spacing w:line="460" w:lineRule="exact"/>
        <w:ind w:firstLine="279" w:firstLineChars="133"/>
        <w:rPr>
          <w:rFonts w:hint="eastAsia" w:hAnsi="宋体"/>
          <w:color w:val="auto"/>
          <w:sz w:val="21"/>
          <w:szCs w:val="21"/>
          <w:highlight w:val="none"/>
        </w:rPr>
      </w:pPr>
      <w:r>
        <w:rPr>
          <w:rFonts w:hint="eastAsia" w:hAnsi="宋体" w:cs="宋体"/>
          <w:color w:val="auto"/>
          <w:sz w:val="21"/>
          <w:szCs w:val="21"/>
          <w:highlight w:val="none"/>
        </w:rPr>
        <w:t>日期：________年_____月_____日</w:t>
      </w:r>
    </w:p>
    <w:p w14:paraId="6051A94A">
      <w:pPr>
        <w:spacing w:line="480" w:lineRule="exact"/>
        <w:ind w:firstLine="315" w:firstLineChars="150"/>
        <w:rPr>
          <w:rFonts w:hint="eastAsia" w:hAnsi="宋体"/>
          <w:color w:val="auto"/>
          <w:sz w:val="21"/>
          <w:szCs w:val="21"/>
          <w:highlight w:val="none"/>
        </w:rPr>
      </w:pPr>
    </w:p>
    <w:p w14:paraId="271F10B7">
      <w:pPr>
        <w:keepNext/>
        <w:jc w:val="center"/>
        <w:rPr>
          <w:rStyle w:val="75"/>
          <w:color w:val="auto"/>
          <w:highlight w:val="none"/>
        </w:rPr>
      </w:pPr>
      <w:bookmarkStart w:id="90" w:name="_Toc31540"/>
      <w:r>
        <w:rPr>
          <w:rStyle w:val="75"/>
          <w:rFonts w:hint="eastAsia"/>
          <w:color w:val="auto"/>
          <w:highlight w:val="none"/>
        </w:rPr>
        <w:t>（二）开标一览表</w:t>
      </w:r>
    </w:p>
    <w:bookmarkEnd w:id="90"/>
    <w:p w14:paraId="105F83C1">
      <w:pPr>
        <w:pStyle w:val="21"/>
        <w:rPr>
          <w:color w:val="auto"/>
          <w:highlight w:val="none"/>
        </w:rPr>
      </w:pPr>
    </w:p>
    <w:tbl>
      <w:tblPr>
        <w:tblStyle w:val="37"/>
        <w:tblW w:w="99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406"/>
        <w:gridCol w:w="5846"/>
      </w:tblGrid>
      <w:tr w14:paraId="6B4E3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720" w:type="dxa"/>
            <w:vAlign w:val="center"/>
          </w:tcPr>
          <w:p w14:paraId="5C263B15">
            <w:pPr>
              <w:spacing w:line="280" w:lineRule="exact"/>
              <w:jc w:val="center"/>
              <w:rPr>
                <w:rFonts w:hint="eastAsia" w:hAnsi="宋体"/>
                <w:b/>
                <w:color w:val="auto"/>
                <w:sz w:val="21"/>
                <w:szCs w:val="21"/>
                <w:highlight w:val="none"/>
              </w:rPr>
            </w:pPr>
            <w:r>
              <w:rPr>
                <w:rFonts w:hint="eastAsia" w:hAnsi="宋体"/>
                <w:b/>
                <w:color w:val="auto"/>
                <w:sz w:val="21"/>
                <w:szCs w:val="21"/>
                <w:highlight w:val="none"/>
              </w:rPr>
              <w:t>序号</w:t>
            </w:r>
          </w:p>
        </w:tc>
        <w:tc>
          <w:tcPr>
            <w:tcW w:w="3406" w:type="dxa"/>
            <w:vAlign w:val="center"/>
          </w:tcPr>
          <w:p w14:paraId="4107B03C">
            <w:pPr>
              <w:spacing w:line="280" w:lineRule="exact"/>
              <w:jc w:val="center"/>
              <w:rPr>
                <w:rFonts w:hint="eastAsia" w:hAnsi="宋体"/>
                <w:b/>
                <w:color w:val="auto"/>
                <w:sz w:val="21"/>
                <w:szCs w:val="21"/>
                <w:highlight w:val="none"/>
              </w:rPr>
            </w:pPr>
            <w:r>
              <w:rPr>
                <w:rFonts w:hint="eastAsia"/>
                <w:b/>
                <w:color w:val="auto"/>
                <w:sz w:val="21"/>
                <w:szCs w:val="21"/>
                <w:highlight w:val="none"/>
              </w:rPr>
              <w:t>项目</w:t>
            </w:r>
            <w:r>
              <w:rPr>
                <w:b/>
                <w:color w:val="auto"/>
                <w:sz w:val="21"/>
                <w:szCs w:val="21"/>
                <w:highlight w:val="none"/>
              </w:rPr>
              <w:t>名称</w:t>
            </w:r>
          </w:p>
        </w:tc>
        <w:tc>
          <w:tcPr>
            <w:tcW w:w="5846" w:type="dxa"/>
            <w:vAlign w:val="center"/>
          </w:tcPr>
          <w:p w14:paraId="71C9781D">
            <w:pPr>
              <w:spacing w:line="280" w:lineRule="exact"/>
              <w:jc w:val="center"/>
              <w:rPr>
                <w:rFonts w:hint="eastAsia" w:hAnsi="宋体" w:eastAsia="宋体"/>
                <w:b/>
                <w:color w:val="auto"/>
                <w:sz w:val="21"/>
                <w:szCs w:val="21"/>
                <w:highlight w:val="none"/>
                <w:lang w:eastAsia="zh-CN"/>
              </w:rPr>
            </w:pPr>
            <w:r>
              <w:rPr>
                <w:rFonts w:hint="eastAsia" w:hAnsi="宋体"/>
                <w:b/>
                <w:color w:val="auto"/>
                <w:sz w:val="21"/>
                <w:szCs w:val="21"/>
                <w:highlight w:val="none"/>
                <w:lang w:eastAsia="zh-CN"/>
              </w:rPr>
              <w:t>保山市加油站流量数据采集系统</w:t>
            </w:r>
          </w:p>
        </w:tc>
      </w:tr>
      <w:tr w14:paraId="06F2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5146051B">
            <w:pPr>
              <w:spacing w:line="280" w:lineRule="exact"/>
              <w:jc w:val="center"/>
              <w:rPr>
                <w:rFonts w:hint="eastAsia" w:hAnsi="宋体"/>
                <w:color w:val="auto"/>
                <w:sz w:val="21"/>
                <w:szCs w:val="21"/>
                <w:highlight w:val="none"/>
              </w:rPr>
            </w:pPr>
            <w:r>
              <w:rPr>
                <w:rFonts w:hint="eastAsia" w:hAnsi="宋体"/>
                <w:color w:val="auto"/>
                <w:sz w:val="21"/>
                <w:szCs w:val="21"/>
                <w:highlight w:val="none"/>
              </w:rPr>
              <w:t>1</w:t>
            </w:r>
          </w:p>
        </w:tc>
        <w:tc>
          <w:tcPr>
            <w:tcW w:w="3406" w:type="dxa"/>
            <w:vAlign w:val="center"/>
          </w:tcPr>
          <w:p w14:paraId="43E81C6A">
            <w:pPr>
              <w:spacing w:line="280" w:lineRule="exact"/>
              <w:jc w:val="left"/>
              <w:rPr>
                <w:rFonts w:hint="eastAsia" w:hAnsi="宋体"/>
                <w:color w:val="auto"/>
                <w:sz w:val="21"/>
                <w:szCs w:val="21"/>
                <w:highlight w:val="none"/>
              </w:rPr>
            </w:pPr>
            <w:r>
              <w:rPr>
                <w:rFonts w:hint="eastAsia" w:hAnsi="宋体"/>
                <w:color w:val="auto"/>
                <w:sz w:val="21"/>
                <w:szCs w:val="21"/>
                <w:highlight w:val="none"/>
              </w:rPr>
              <w:t>投标报价总价（元）</w:t>
            </w:r>
          </w:p>
        </w:tc>
        <w:tc>
          <w:tcPr>
            <w:tcW w:w="5846" w:type="dxa"/>
            <w:vAlign w:val="center"/>
          </w:tcPr>
          <w:p w14:paraId="6A9F94E7">
            <w:pPr>
              <w:spacing w:line="280" w:lineRule="exact"/>
              <w:jc w:val="center"/>
              <w:rPr>
                <w:rFonts w:hint="eastAsia" w:hAnsi="宋体"/>
                <w:color w:val="auto"/>
                <w:sz w:val="21"/>
                <w:szCs w:val="21"/>
                <w:highlight w:val="none"/>
              </w:rPr>
            </w:pPr>
          </w:p>
        </w:tc>
      </w:tr>
      <w:tr w14:paraId="47015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10910F49">
            <w:pPr>
              <w:spacing w:line="280" w:lineRule="exact"/>
              <w:jc w:val="center"/>
              <w:rPr>
                <w:rFonts w:hint="eastAsia" w:hAnsi="宋体"/>
                <w:color w:val="auto"/>
                <w:sz w:val="21"/>
                <w:szCs w:val="21"/>
                <w:highlight w:val="none"/>
              </w:rPr>
            </w:pPr>
            <w:r>
              <w:rPr>
                <w:rFonts w:hint="eastAsia" w:hAnsi="宋体"/>
                <w:color w:val="auto"/>
                <w:sz w:val="21"/>
                <w:szCs w:val="21"/>
                <w:highlight w:val="none"/>
              </w:rPr>
              <w:t>2</w:t>
            </w:r>
          </w:p>
        </w:tc>
        <w:tc>
          <w:tcPr>
            <w:tcW w:w="3406" w:type="dxa"/>
            <w:vAlign w:val="center"/>
          </w:tcPr>
          <w:p w14:paraId="3A21CA3B">
            <w:pPr>
              <w:spacing w:line="280" w:lineRule="exact"/>
              <w:jc w:val="left"/>
              <w:rPr>
                <w:rFonts w:hint="eastAsia" w:hAnsi="宋体"/>
                <w:color w:val="auto"/>
                <w:sz w:val="21"/>
                <w:szCs w:val="21"/>
                <w:highlight w:val="none"/>
              </w:rPr>
            </w:pPr>
            <w:r>
              <w:rPr>
                <w:rFonts w:hint="eastAsia" w:hAnsi="宋体"/>
                <w:color w:val="auto"/>
                <w:sz w:val="21"/>
                <w:szCs w:val="21"/>
                <w:highlight w:val="none"/>
              </w:rPr>
              <w:t>合同履行期限</w:t>
            </w:r>
          </w:p>
        </w:tc>
        <w:tc>
          <w:tcPr>
            <w:tcW w:w="5846" w:type="dxa"/>
            <w:vAlign w:val="center"/>
          </w:tcPr>
          <w:p w14:paraId="2F12C1F0">
            <w:pPr>
              <w:spacing w:line="280" w:lineRule="exact"/>
              <w:jc w:val="center"/>
              <w:rPr>
                <w:rFonts w:hint="eastAsia" w:hAnsi="宋体"/>
                <w:color w:val="auto"/>
                <w:sz w:val="21"/>
                <w:szCs w:val="21"/>
                <w:highlight w:val="none"/>
              </w:rPr>
            </w:pPr>
          </w:p>
        </w:tc>
      </w:tr>
      <w:tr w14:paraId="12F1E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1D2F2A4C">
            <w:pPr>
              <w:spacing w:line="280" w:lineRule="exact"/>
              <w:jc w:val="center"/>
              <w:rPr>
                <w:rFonts w:hint="eastAsia" w:hAnsi="宋体"/>
                <w:color w:val="auto"/>
                <w:sz w:val="21"/>
                <w:szCs w:val="21"/>
                <w:highlight w:val="none"/>
              </w:rPr>
            </w:pPr>
            <w:r>
              <w:rPr>
                <w:rFonts w:hint="eastAsia" w:hAnsi="宋体"/>
                <w:color w:val="auto"/>
                <w:sz w:val="21"/>
                <w:szCs w:val="21"/>
                <w:highlight w:val="none"/>
              </w:rPr>
              <w:t>3</w:t>
            </w:r>
          </w:p>
        </w:tc>
        <w:tc>
          <w:tcPr>
            <w:tcW w:w="3406" w:type="dxa"/>
            <w:vAlign w:val="center"/>
          </w:tcPr>
          <w:p w14:paraId="12368A8D">
            <w:pPr>
              <w:spacing w:line="280" w:lineRule="exact"/>
              <w:jc w:val="left"/>
              <w:rPr>
                <w:rFonts w:hint="eastAsia" w:hAnsi="宋体"/>
                <w:color w:val="auto"/>
                <w:sz w:val="21"/>
                <w:szCs w:val="21"/>
                <w:highlight w:val="none"/>
              </w:rPr>
            </w:pPr>
            <w:r>
              <w:rPr>
                <w:rFonts w:hint="eastAsia" w:hAnsi="宋体"/>
                <w:color w:val="auto"/>
                <w:sz w:val="21"/>
                <w:szCs w:val="21"/>
                <w:highlight w:val="none"/>
              </w:rPr>
              <w:t>项目服务质量承诺</w:t>
            </w:r>
          </w:p>
        </w:tc>
        <w:tc>
          <w:tcPr>
            <w:tcW w:w="5846" w:type="dxa"/>
            <w:vAlign w:val="center"/>
          </w:tcPr>
          <w:p w14:paraId="34AC3837">
            <w:pPr>
              <w:spacing w:line="280" w:lineRule="exact"/>
              <w:jc w:val="center"/>
              <w:rPr>
                <w:rFonts w:hint="eastAsia" w:hAnsi="宋体"/>
                <w:color w:val="auto"/>
                <w:sz w:val="21"/>
                <w:szCs w:val="21"/>
                <w:highlight w:val="none"/>
              </w:rPr>
            </w:pPr>
          </w:p>
        </w:tc>
      </w:tr>
      <w:tr w14:paraId="0DDC6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373CD5FF">
            <w:pPr>
              <w:spacing w:line="280" w:lineRule="exact"/>
              <w:jc w:val="center"/>
              <w:rPr>
                <w:rFonts w:hint="eastAsia" w:hAnsi="宋体"/>
                <w:color w:val="auto"/>
                <w:sz w:val="21"/>
                <w:szCs w:val="21"/>
                <w:highlight w:val="none"/>
              </w:rPr>
            </w:pPr>
            <w:r>
              <w:rPr>
                <w:rFonts w:hint="eastAsia" w:hAnsi="宋体"/>
                <w:color w:val="auto"/>
                <w:sz w:val="21"/>
                <w:szCs w:val="21"/>
                <w:highlight w:val="none"/>
              </w:rPr>
              <w:t>4</w:t>
            </w:r>
          </w:p>
        </w:tc>
        <w:tc>
          <w:tcPr>
            <w:tcW w:w="3406" w:type="dxa"/>
            <w:vAlign w:val="center"/>
          </w:tcPr>
          <w:p w14:paraId="36D9E015">
            <w:pPr>
              <w:spacing w:line="280" w:lineRule="exact"/>
              <w:jc w:val="left"/>
              <w:rPr>
                <w:rFonts w:hint="eastAsia" w:hAnsi="宋体"/>
                <w:color w:val="auto"/>
                <w:sz w:val="21"/>
                <w:szCs w:val="21"/>
                <w:highlight w:val="none"/>
              </w:rPr>
            </w:pPr>
            <w:r>
              <w:rPr>
                <w:rFonts w:hint="eastAsia" w:hAnsi="宋体"/>
                <w:color w:val="auto"/>
                <w:sz w:val="21"/>
                <w:szCs w:val="21"/>
                <w:highlight w:val="none"/>
              </w:rPr>
              <w:t>售后运维服务期限</w:t>
            </w:r>
          </w:p>
        </w:tc>
        <w:tc>
          <w:tcPr>
            <w:tcW w:w="5846" w:type="dxa"/>
            <w:vAlign w:val="center"/>
          </w:tcPr>
          <w:p w14:paraId="2A6B814F">
            <w:pPr>
              <w:spacing w:line="280" w:lineRule="exact"/>
              <w:jc w:val="center"/>
              <w:rPr>
                <w:rFonts w:hint="eastAsia" w:hAnsi="宋体"/>
                <w:color w:val="auto"/>
                <w:sz w:val="21"/>
                <w:szCs w:val="21"/>
                <w:highlight w:val="none"/>
              </w:rPr>
            </w:pPr>
          </w:p>
        </w:tc>
      </w:tr>
      <w:tr w14:paraId="3D26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1A579573">
            <w:pPr>
              <w:spacing w:line="280" w:lineRule="exact"/>
              <w:jc w:val="center"/>
              <w:rPr>
                <w:rFonts w:hint="eastAsia" w:hAnsi="宋体"/>
                <w:color w:val="auto"/>
                <w:sz w:val="21"/>
                <w:szCs w:val="21"/>
                <w:highlight w:val="none"/>
              </w:rPr>
            </w:pPr>
            <w:r>
              <w:rPr>
                <w:rFonts w:hint="eastAsia" w:hAnsi="宋体"/>
                <w:color w:val="auto"/>
                <w:sz w:val="21"/>
                <w:szCs w:val="21"/>
                <w:highlight w:val="none"/>
              </w:rPr>
              <w:t>5</w:t>
            </w:r>
          </w:p>
        </w:tc>
        <w:tc>
          <w:tcPr>
            <w:tcW w:w="3406" w:type="dxa"/>
            <w:vAlign w:val="center"/>
          </w:tcPr>
          <w:p w14:paraId="73B39DDA">
            <w:pPr>
              <w:spacing w:line="280" w:lineRule="exact"/>
              <w:jc w:val="left"/>
              <w:rPr>
                <w:rFonts w:hint="eastAsia" w:hAnsi="宋体"/>
                <w:color w:val="auto"/>
                <w:sz w:val="21"/>
                <w:szCs w:val="21"/>
                <w:highlight w:val="none"/>
              </w:rPr>
            </w:pPr>
            <w:r>
              <w:rPr>
                <w:rFonts w:hint="eastAsia" w:hAnsi="宋体"/>
                <w:color w:val="auto"/>
                <w:sz w:val="21"/>
                <w:szCs w:val="21"/>
                <w:highlight w:val="none"/>
              </w:rPr>
              <w:t>项目负责人</w:t>
            </w:r>
          </w:p>
        </w:tc>
        <w:tc>
          <w:tcPr>
            <w:tcW w:w="5846" w:type="dxa"/>
            <w:vAlign w:val="center"/>
          </w:tcPr>
          <w:p w14:paraId="1A695BC2">
            <w:pPr>
              <w:spacing w:line="280" w:lineRule="exact"/>
              <w:jc w:val="center"/>
              <w:rPr>
                <w:rFonts w:hint="eastAsia" w:hAnsi="宋体"/>
                <w:color w:val="auto"/>
                <w:sz w:val="21"/>
                <w:szCs w:val="21"/>
                <w:highlight w:val="none"/>
              </w:rPr>
            </w:pPr>
          </w:p>
        </w:tc>
      </w:tr>
      <w:tr w14:paraId="16FA1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32A773CF">
            <w:pPr>
              <w:spacing w:line="280" w:lineRule="exact"/>
              <w:jc w:val="center"/>
              <w:rPr>
                <w:rFonts w:hint="eastAsia" w:hAnsi="宋体"/>
                <w:color w:val="auto"/>
                <w:sz w:val="21"/>
                <w:szCs w:val="21"/>
                <w:highlight w:val="none"/>
              </w:rPr>
            </w:pPr>
            <w:r>
              <w:rPr>
                <w:rFonts w:hint="eastAsia" w:hAnsi="宋体"/>
                <w:color w:val="auto"/>
                <w:sz w:val="21"/>
                <w:szCs w:val="21"/>
                <w:highlight w:val="none"/>
              </w:rPr>
              <w:t>6</w:t>
            </w:r>
          </w:p>
        </w:tc>
        <w:tc>
          <w:tcPr>
            <w:tcW w:w="3406" w:type="dxa"/>
            <w:vAlign w:val="center"/>
          </w:tcPr>
          <w:p w14:paraId="756BF72A">
            <w:pPr>
              <w:spacing w:line="280" w:lineRule="exact"/>
              <w:jc w:val="left"/>
              <w:rPr>
                <w:rFonts w:hint="eastAsia" w:hAnsi="宋体"/>
                <w:color w:val="auto"/>
                <w:sz w:val="21"/>
                <w:szCs w:val="21"/>
                <w:highlight w:val="none"/>
              </w:rPr>
            </w:pPr>
            <w:r>
              <w:rPr>
                <w:rFonts w:hint="eastAsia" w:hAnsi="宋体"/>
                <w:color w:val="auto"/>
                <w:sz w:val="21"/>
                <w:szCs w:val="21"/>
                <w:highlight w:val="none"/>
              </w:rPr>
              <w:t>投标保证金金额及缴纳形式（元）</w:t>
            </w:r>
          </w:p>
        </w:tc>
        <w:tc>
          <w:tcPr>
            <w:tcW w:w="5846" w:type="dxa"/>
            <w:vAlign w:val="center"/>
          </w:tcPr>
          <w:p w14:paraId="6199E471">
            <w:pPr>
              <w:spacing w:line="280" w:lineRule="exact"/>
              <w:jc w:val="center"/>
              <w:rPr>
                <w:rFonts w:hint="eastAsia" w:hAnsi="宋体"/>
                <w:color w:val="auto"/>
                <w:sz w:val="21"/>
                <w:szCs w:val="21"/>
                <w:highlight w:val="none"/>
              </w:rPr>
            </w:pPr>
          </w:p>
        </w:tc>
      </w:tr>
      <w:tr w14:paraId="293C9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720" w:type="dxa"/>
            <w:vAlign w:val="center"/>
          </w:tcPr>
          <w:p w14:paraId="1C1521F1">
            <w:pPr>
              <w:spacing w:line="280" w:lineRule="exact"/>
              <w:jc w:val="center"/>
              <w:rPr>
                <w:rFonts w:hint="eastAsia" w:hAnsi="宋体"/>
                <w:color w:val="auto"/>
                <w:sz w:val="21"/>
                <w:szCs w:val="21"/>
                <w:highlight w:val="none"/>
              </w:rPr>
            </w:pPr>
            <w:r>
              <w:rPr>
                <w:rFonts w:hint="eastAsia" w:hAnsi="宋体"/>
                <w:color w:val="auto"/>
                <w:sz w:val="21"/>
                <w:szCs w:val="21"/>
                <w:highlight w:val="none"/>
              </w:rPr>
              <w:t>7</w:t>
            </w:r>
          </w:p>
        </w:tc>
        <w:tc>
          <w:tcPr>
            <w:tcW w:w="9252" w:type="dxa"/>
            <w:gridSpan w:val="2"/>
            <w:vAlign w:val="center"/>
          </w:tcPr>
          <w:p w14:paraId="2FA435FA">
            <w:pPr>
              <w:spacing w:line="280" w:lineRule="exact"/>
              <w:jc w:val="left"/>
              <w:rPr>
                <w:rFonts w:hint="eastAsia" w:hAnsi="宋体"/>
                <w:color w:val="auto"/>
                <w:sz w:val="21"/>
                <w:szCs w:val="21"/>
                <w:highlight w:val="none"/>
              </w:rPr>
            </w:pPr>
            <w:r>
              <w:rPr>
                <w:rFonts w:hint="eastAsia" w:hAnsi="宋体"/>
                <w:color w:val="auto"/>
                <w:sz w:val="21"/>
                <w:szCs w:val="21"/>
                <w:highlight w:val="none"/>
              </w:rPr>
              <w:t>备注：</w:t>
            </w:r>
          </w:p>
        </w:tc>
      </w:tr>
    </w:tbl>
    <w:p w14:paraId="3C0EE963">
      <w:pPr>
        <w:spacing w:line="480" w:lineRule="exact"/>
        <w:ind w:firstLine="422" w:firstLineChars="200"/>
        <w:rPr>
          <w:rFonts w:hint="eastAsia" w:hAnsi="宋体"/>
          <w:b/>
          <w:color w:val="auto"/>
          <w:sz w:val="21"/>
          <w:szCs w:val="21"/>
          <w:highlight w:val="none"/>
        </w:rPr>
      </w:pPr>
      <w:r>
        <w:rPr>
          <w:rFonts w:hint="eastAsia" w:hAnsi="宋体"/>
          <w:b/>
          <w:color w:val="auto"/>
          <w:sz w:val="21"/>
          <w:szCs w:val="21"/>
          <w:highlight w:val="none"/>
        </w:rPr>
        <w:t>注：投标报价保留2位小数。</w:t>
      </w:r>
    </w:p>
    <w:p w14:paraId="41D70231">
      <w:pPr>
        <w:spacing w:line="720" w:lineRule="exact"/>
        <w:rPr>
          <w:rFonts w:hint="eastAsia" w:hAnsi="宋体"/>
          <w:color w:val="auto"/>
          <w:sz w:val="21"/>
          <w:szCs w:val="21"/>
          <w:highlight w:val="none"/>
        </w:rPr>
      </w:pPr>
    </w:p>
    <w:p w14:paraId="65B839D2">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投标人（盖单位公章）：______________</w:t>
      </w:r>
    </w:p>
    <w:p w14:paraId="62044BF0">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法定代表人（负责人）或委托代理人（</w:t>
      </w:r>
      <w:r>
        <w:rPr>
          <w:rFonts w:hint="eastAsia" w:hAnsi="宋体" w:cs="宋体"/>
          <w:color w:val="auto"/>
          <w:sz w:val="21"/>
          <w:szCs w:val="21"/>
          <w:highlight w:val="none"/>
          <w:lang w:eastAsia="zh-CN"/>
        </w:rPr>
        <w:t>签字或个人印章</w:t>
      </w:r>
      <w:r>
        <w:rPr>
          <w:rFonts w:hint="eastAsia" w:hAnsi="宋体" w:cs="宋体"/>
          <w:color w:val="auto"/>
          <w:sz w:val="21"/>
          <w:szCs w:val="21"/>
          <w:highlight w:val="none"/>
        </w:rPr>
        <w:t>）：________</w:t>
      </w:r>
    </w:p>
    <w:p w14:paraId="125342D0">
      <w:pPr>
        <w:spacing w:before="60" w:after="60" w:line="360" w:lineRule="auto"/>
        <w:rPr>
          <w:rFonts w:hint="eastAsia" w:hAnsi="宋体"/>
          <w:color w:val="auto"/>
          <w:sz w:val="21"/>
          <w:szCs w:val="21"/>
          <w:highlight w:val="none"/>
        </w:rPr>
      </w:pPr>
      <w:r>
        <w:rPr>
          <w:rFonts w:hint="eastAsia" w:hAnsi="宋体" w:cs="宋体"/>
          <w:color w:val="auto"/>
          <w:sz w:val="21"/>
          <w:szCs w:val="21"/>
          <w:highlight w:val="none"/>
        </w:rPr>
        <w:t>日期：________年_____月_____日</w:t>
      </w:r>
    </w:p>
    <w:p w14:paraId="39A313AA">
      <w:pPr>
        <w:spacing w:line="720" w:lineRule="exact"/>
        <w:rPr>
          <w:rFonts w:hint="eastAsia" w:hAnsi="宋体"/>
          <w:color w:val="auto"/>
          <w:highlight w:val="none"/>
        </w:rPr>
      </w:pPr>
      <w:r>
        <w:rPr>
          <w:rFonts w:hAnsi="宋体"/>
          <w:color w:val="auto"/>
          <w:highlight w:val="none"/>
        </w:rPr>
        <w:br w:type="page"/>
      </w:r>
    </w:p>
    <w:p w14:paraId="380A847B">
      <w:pPr>
        <w:keepNext/>
        <w:jc w:val="center"/>
        <w:rPr>
          <w:rStyle w:val="75"/>
          <w:color w:val="auto"/>
          <w:highlight w:val="none"/>
        </w:rPr>
      </w:pPr>
      <w:bookmarkStart w:id="91" w:name="_Toc8122"/>
      <w:r>
        <w:rPr>
          <w:rStyle w:val="75"/>
          <w:rFonts w:hint="eastAsia"/>
          <w:color w:val="auto"/>
          <w:highlight w:val="none"/>
        </w:rPr>
        <w:t>（三）投标报价详细说明</w:t>
      </w:r>
    </w:p>
    <w:bookmarkEnd w:id="91"/>
    <w:p w14:paraId="41EF73BE">
      <w:pPr>
        <w:spacing w:line="360" w:lineRule="auto"/>
        <w:rPr>
          <w:rFonts w:hint="eastAsia" w:hAnsi="宋体" w:cs="宋体"/>
          <w:color w:val="auto"/>
          <w:sz w:val="21"/>
          <w:szCs w:val="21"/>
          <w:highlight w:val="none"/>
        </w:rPr>
      </w:pPr>
      <w:r>
        <w:rPr>
          <w:rFonts w:hint="eastAsia" w:hAnsi="宋体"/>
          <w:b/>
          <w:bCs/>
          <w:color w:val="auto"/>
          <w:sz w:val="21"/>
          <w:szCs w:val="21"/>
          <w:highlight w:val="none"/>
        </w:rPr>
        <w:t xml:space="preserve">项目名称：                  </w:t>
      </w:r>
      <w:r>
        <w:rPr>
          <w:rFonts w:hint="eastAsia" w:hAnsi="宋体"/>
          <w:b/>
          <w:bCs/>
          <w:color w:val="auto"/>
          <w:sz w:val="21"/>
          <w:szCs w:val="21"/>
          <w:highlight w:val="none"/>
          <w:lang w:val="en-US" w:eastAsia="zh-CN"/>
        </w:rPr>
        <w:t xml:space="preserve">               </w:t>
      </w:r>
      <w:r>
        <w:rPr>
          <w:rFonts w:hint="eastAsia" w:hAnsi="宋体"/>
          <w:b/>
          <w:bCs/>
          <w:color w:val="auto"/>
          <w:sz w:val="21"/>
          <w:szCs w:val="21"/>
          <w:highlight w:val="none"/>
        </w:rPr>
        <w:t xml:space="preserve">项目编号：           </w:t>
      </w:r>
    </w:p>
    <w:tbl>
      <w:tblPr>
        <w:tblStyle w:val="37"/>
        <w:tblW w:w="9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1550"/>
        <w:gridCol w:w="1700"/>
        <w:gridCol w:w="1592"/>
        <w:gridCol w:w="725"/>
        <w:gridCol w:w="1040"/>
        <w:gridCol w:w="1642"/>
        <w:gridCol w:w="736"/>
      </w:tblGrid>
      <w:tr w14:paraId="0E2A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trPr>
        <w:tc>
          <w:tcPr>
            <w:tcW w:w="539" w:type="dxa"/>
            <w:shd w:val="clear" w:color="auto" w:fill="auto"/>
            <w:vAlign w:val="center"/>
          </w:tcPr>
          <w:p w14:paraId="1BC74B48">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序号</w:t>
            </w:r>
          </w:p>
        </w:tc>
        <w:tc>
          <w:tcPr>
            <w:tcW w:w="1550" w:type="dxa"/>
            <w:shd w:val="clear" w:color="auto" w:fill="auto"/>
            <w:vAlign w:val="center"/>
          </w:tcPr>
          <w:p w14:paraId="3CDF46C8">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项目服务工作名称</w:t>
            </w:r>
          </w:p>
        </w:tc>
        <w:tc>
          <w:tcPr>
            <w:tcW w:w="1700" w:type="dxa"/>
            <w:shd w:val="clear" w:color="auto" w:fill="auto"/>
            <w:vAlign w:val="center"/>
          </w:tcPr>
          <w:p w14:paraId="0FC1DEE8">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开展相应服务工作主要工作内容</w:t>
            </w:r>
          </w:p>
        </w:tc>
        <w:tc>
          <w:tcPr>
            <w:tcW w:w="1592" w:type="dxa"/>
            <w:shd w:val="clear" w:color="auto" w:fill="auto"/>
            <w:vAlign w:val="center"/>
          </w:tcPr>
          <w:p w14:paraId="123C341A">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全费用单价（元）</w:t>
            </w:r>
          </w:p>
        </w:tc>
        <w:tc>
          <w:tcPr>
            <w:tcW w:w="725" w:type="dxa"/>
            <w:shd w:val="clear" w:color="auto" w:fill="auto"/>
            <w:vAlign w:val="center"/>
          </w:tcPr>
          <w:p w14:paraId="2FE67B18">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单位</w:t>
            </w:r>
          </w:p>
        </w:tc>
        <w:tc>
          <w:tcPr>
            <w:tcW w:w="1040" w:type="dxa"/>
            <w:shd w:val="clear" w:color="auto" w:fill="auto"/>
            <w:vAlign w:val="center"/>
          </w:tcPr>
          <w:p w14:paraId="320EAB63">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数量</w:t>
            </w:r>
          </w:p>
        </w:tc>
        <w:tc>
          <w:tcPr>
            <w:tcW w:w="1642" w:type="dxa"/>
            <w:shd w:val="clear" w:color="auto" w:fill="auto"/>
            <w:vAlign w:val="center"/>
          </w:tcPr>
          <w:p w14:paraId="76F3CDA2">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总价（元）</w:t>
            </w:r>
          </w:p>
        </w:tc>
        <w:tc>
          <w:tcPr>
            <w:tcW w:w="736" w:type="dxa"/>
            <w:shd w:val="clear" w:color="auto" w:fill="auto"/>
            <w:vAlign w:val="center"/>
          </w:tcPr>
          <w:p w14:paraId="67FE431D">
            <w:pPr>
              <w:widowControl/>
              <w:jc w:val="center"/>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备注</w:t>
            </w:r>
          </w:p>
        </w:tc>
      </w:tr>
      <w:tr w14:paraId="01C36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089" w:type="dxa"/>
            <w:gridSpan w:val="2"/>
            <w:shd w:val="clear" w:color="auto" w:fill="auto"/>
            <w:vAlign w:val="center"/>
          </w:tcPr>
          <w:p w14:paraId="17704DBA">
            <w:pPr>
              <w:widowControl/>
              <w:jc w:val="left"/>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 xml:space="preserve">一、                                  </w:t>
            </w:r>
          </w:p>
        </w:tc>
        <w:tc>
          <w:tcPr>
            <w:tcW w:w="1700" w:type="dxa"/>
            <w:shd w:val="clear" w:color="auto" w:fill="auto"/>
            <w:vAlign w:val="center"/>
          </w:tcPr>
          <w:p w14:paraId="07C148FD">
            <w:pPr>
              <w:widowControl/>
              <w:jc w:val="left"/>
              <w:rPr>
                <w:rFonts w:hint="eastAsia" w:asciiTheme="minorEastAsia" w:hAnsiTheme="minorEastAsia" w:eastAsiaTheme="minorEastAsia" w:cstheme="minorEastAsia"/>
                <w:bCs/>
                <w:color w:val="auto"/>
                <w:sz w:val="21"/>
                <w:szCs w:val="21"/>
                <w:highlight w:val="none"/>
              </w:rPr>
            </w:pPr>
          </w:p>
        </w:tc>
        <w:tc>
          <w:tcPr>
            <w:tcW w:w="1592" w:type="dxa"/>
            <w:shd w:val="clear" w:color="auto" w:fill="auto"/>
            <w:vAlign w:val="center"/>
          </w:tcPr>
          <w:p w14:paraId="2B3A8D95">
            <w:pPr>
              <w:widowControl/>
              <w:jc w:val="left"/>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33242892">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1D1D58BE">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61E8884C">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642FF37E">
            <w:pPr>
              <w:widowControl/>
              <w:jc w:val="center"/>
              <w:rPr>
                <w:rFonts w:hint="eastAsia" w:asciiTheme="minorEastAsia" w:hAnsiTheme="minorEastAsia" w:eastAsiaTheme="minorEastAsia" w:cstheme="minorEastAsia"/>
                <w:color w:val="auto"/>
                <w:sz w:val="21"/>
                <w:szCs w:val="21"/>
                <w:highlight w:val="none"/>
              </w:rPr>
            </w:pPr>
          </w:p>
        </w:tc>
      </w:tr>
      <w:tr w14:paraId="60898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65EACA69">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550" w:type="dxa"/>
            <w:shd w:val="clear" w:color="auto" w:fill="auto"/>
            <w:vAlign w:val="center"/>
          </w:tcPr>
          <w:p w14:paraId="1A1E02BD">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04406F0B">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4E2FBF9B">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5EA8F502">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25850116">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694DAC47">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5802DF53">
            <w:pPr>
              <w:widowControl/>
              <w:jc w:val="center"/>
              <w:rPr>
                <w:rFonts w:hint="eastAsia" w:asciiTheme="minorEastAsia" w:hAnsiTheme="minorEastAsia" w:eastAsiaTheme="minorEastAsia" w:cstheme="minorEastAsia"/>
                <w:color w:val="auto"/>
                <w:sz w:val="21"/>
                <w:szCs w:val="21"/>
                <w:highlight w:val="none"/>
              </w:rPr>
            </w:pPr>
          </w:p>
        </w:tc>
      </w:tr>
      <w:tr w14:paraId="5F02C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730D7B34">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550" w:type="dxa"/>
            <w:shd w:val="clear" w:color="auto" w:fill="auto"/>
            <w:vAlign w:val="center"/>
          </w:tcPr>
          <w:p w14:paraId="1CAF80A8">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30063BB9">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3A9A2527">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7A043C39">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727937F1">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008E23A5">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6DCD5834">
            <w:pPr>
              <w:widowControl/>
              <w:jc w:val="center"/>
              <w:rPr>
                <w:rFonts w:hint="eastAsia" w:asciiTheme="minorEastAsia" w:hAnsiTheme="minorEastAsia" w:eastAsiaTheme="minorEastAsia" w:cstheme="minorEastAsia"/>
                <w:color w:val="auto"/>
                <w:sz w:val="21"/>
                <w:szCs w:val="21"/>
                <w:highlight w:val="none"/>
              </w:rPr>
            </w:pPr>
          </w:p>
        </w:tc>
      </w:tr>
      <w:tr w14:paraId="6CCAB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15050CAE">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1550" w:type="dxa"/>
            <w:shd w:val="clear" w:color="auto" w:fill="auto"/>
            <w:vAlign w:val="center"/>
          </w:tcPr>
          <w:p w14:paraId="21AE8B53">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11E527D0">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6AD79381">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1EB967CE">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0249BAB1">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7E31F793">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7B15911D">
            <w:pPr>
              <w:widowControl/>
              <w:jc w:val="center"/>
              <w:rPr>
                <w:rFonts w:hint="eastAsia" w:asciiTheme="minorEastAsia" w:hAnsiTheme="minorEastAsia" w:eastAsiaTheme="minorEastAsia" w:cstheme="minorEastAsia"/>
                <w:color w:val="auto"/>
                <w:sz w:val="21"/>
                <w:szCs w:val="21"/>
                <w:highlight w:val="none"/>
              </w:rPr>
            </w:pPr>
          </w:p>
        </w:tc>
      </w:tr>
      <w:tr w14:paraId="506EB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2089" w:type="dxa"/>
            <w:gridSpan w:val="2"/>
            <w:shd w:val="clear" w:color="auto" w:fill="auto"/>
            <w:vAlign w:val="center"/>
          </w:tcPr>
          <w:p w14:paraId="75183257">
            <w:pPr>
              <w:widowControl/>
              <w:jc w:val="lef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二、</w:t>
            </w:r>
          </w:p>
        </w:tc>
        <w:tc>
          <w:tcPr>
            <w:tcW w:w="1700" w:type="dxa"/>
            <w:shd w:val="clear" w:color="auto" w:fill="auto"/>
            <w:vAlign w:val="center"/>
          </w:tcPr>
          <w:p w14:paraId="4A852ED4">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12BA3737">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05F7F082">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3DDD2C57">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22C11CBE">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657C2FC8">
            <w:pPr>
              <w:widowControl/>
              <w:jc w:val="center"/>
              <w:rPr>
                <w:rFonts w:hint="eastAsia" w:asciiTheme="minorEastAsia" w:hAnsiTheme="minorEastAsia" w:eastAsiaTheme="minorEastAsia" w:cstheme="minorEastAsia"/>
                <w:color w:val="auto"/>
                <w:sz w:val="21"/>
                <w:szCs w:val="21"/>
                <w:highlight w:val="none"/>
              </w:rPr>
            </w:pPr>
          </w:p>
        </w:tc>
      </w:tr>
      <w:tr w14:paraId="3396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47B4448F">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550" w:type="dxa"/>
            <w:shd w:val="clear" w:color="auto" w:fill="auto"/>
            <w:vAlign w:val="center"/>
          </w:tcPr>
          <w:p w14:paraId="537537DB">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05DEFF46">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13A0FDA2">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41993E7D">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14E381D9">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0E4C9BB7">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0CAE507D">
            <w:pPr>
              <w:widowControl/>
              <w:jc w:val="center"/>
              <w:rPr>
                <w:rFonts w:hint="eastAsia" w:asciiTheme="minorEastAsia" w:hAnsiTheme="minorEastAsia" w:eastAsiaTheme="minorEastAsia" w:cstheme="minorEastAsia"/>
                <w:color w:val="auto"/>
                <w:sz w:val="21"/>
                <w:szCs w:val="21"/>
                <w:highlight w:val="none"/>
              </w:rPr>
            </w:pPr>
          </w:p>
        </w:tc>
      </w:tr>
      <w:tr w14:paraId="4B8BF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539" w:type="dxa"/>
            <w:shd w:val="clear" w:color="auto" w:fill="auto"/>
            <w:vAlign w:val="center"/>
          </w:tcPr>
          <w:p w14:paraId="666449E3">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w:t>
            </w:r>
          </w:p>
        </w:tc>
        <w:tc>
          <w:tcPr>
            <w:tcW w:w="1550" w:type="dxa"/>
            <w:shd w:val="clear" w:color="auto" w:fill="auto"/>
            <w:vAlign w:val="center"/>
          </w:tcPr>
          <w:p w14:paraId="1E4FD6D9">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75FD0213">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2176848B">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05B0FFBC">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2DF05248">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509257E5">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3C9C3E4A">
            <w:pPr>
              <w:widowControl/>
              <w:jc w:val="center"/>
              <w:rPr>
                <w:rFonts w:hint="eastAsia" w:asciiTheme="minorEastAsia" w:hAnsiTheme="minorEastAsia" w:eastAsiaTheme="minorEastAsia" w:cstheme="minorEastAsia"/>
                <w:color w:val="auto"/>
                <w:sz w:val="21"/>
                <w:szCs w:val="21"/>
                <w:highlight w:val="none"/>
              </w:rPr>
            </w:pPr>
          </w:p>
        </w:tc>
      </w:tr>
      <w:tr w14:paraId="4883E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539" w:type="dxa"/>
            <w:shd w:val="clear" w:color="auto" w:fill="auto"/>
            <w:vAlign w:val="center"/>
          </w:tcPr>
          <w:p w14:paraId="34C53527">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w:t>
            </w:r>
          </w:p>
        </w:tc>
        <w:tc>
          <w:tcPr>
            <w:tcW w:w="1550" w:type="dxa"/>
            <w:shd w:val="clear" w:color="auto" w:fill="auto"/>
            <w:vAlign w:val="center"/>
          </w:tcPr>
          <w:p w14:paraId="44755D75">
            <w:pPr>
              <w:widowControl/>
              <w:jc w:val="center"/>
              <w:rPr>
                <w:rFonts w:hint="eastAsia" w:asciiTheme="minorEastAsia" w:hAnsiTheme="minorEastAsia" w:eastAsiaTheme="minorEastAsia" w:cstheme="minorEastAsia"/>
                <w:color w:val="auto"/>
                <w:sz w:val="21"/>
                <w:szCs w:val="21"/>
                <w:highlight w:val="none"/>
              </w:rPr>
            </w:pPr>
          </w:p>
        </w:tc>
        <w:tc>
          <w:tcPr>
            <w:tcW w:w="1700" w:type="dxa"/>
            <w:shd w:val="clear" w:color="auto" w:fill="auto"/>
            <w:vAlign w:val="center"/>
          </w:tcPr>
          <w:p w14:paraId="515CA035">
            <w:pPr>
              <w:widowControl/>
              <w:jc w:val="center"/>
              <w:rPr>
                <w:rFonts w:hint="eastAsia" w:asciiTheme="minorEastAsia" w:hAnsiTheme="minorEastAsia" w:eastAsiaTheme="minorEastAsia" w:cstheme="minorEastAsia"/>
                <w:color w:val="auto"/>
                <w:sz w:val="21"/>
                <w:szCs w:val="21"/>
                <w:highlight w:val="none"/>
              </w:rPr>
            </w:pPr>
          </w:p>
        </w:tc>
        <w:tc>
          <w:tcPr>
            <w:tcW w:w="1592" w:type="dxa"/>
            <w:shd w:val="clear" w:color="auto" w:fill="auto"/>
            <w:vAlign w:val="center"/>
          </w:tcPr>
          <w:p w14:paraId="791812BB">
            <w:pPr>
              <w:widowControl/>
              <w:jc w:val="center"/>
              <w:rPr>
                <w:rFonts w:hint="eastAsia" w:asciiTheme="minorEastAsia" w:hAnsiTheme="minorEastAsia" w:eastAsiaTheme="minorEastAsia" w:cstheme="minorEastAsia"/>
                <w:color w:val="auto"/>
                <w:sz w:val="21"/>
                <w:szCs w:val="21"/>
                <w:highlight w:val="none"/>
              </w:rPr>
            </w:pPr>
          </w:p>
        </w:tc>
        <w:tc>
          <w:tcPr>
            <w:tcW w:w="725" w:type="dxa"/>
            <w:shd w:val="clear" w:color="auto" w:fill="auto"/>
            <w:vAlign w:val="center"/>
          </w:tcPr>
          <w:p w14:paraId="03A3FD7A">
            <w:pPr>
              <w:widowControl/>
              <w:jc w:val="center"/>
              <w:rPr>
                <w:rFonts w:hint="eastAsia" w:asciiTheme="minorEastAsia" w:hAnsiTheme="minorEastAsia" w:eastAsiaTheme="minorEastAsia" w:cstheme="minorEastAsia"/>
                <w:color w:val="auto"/>
                <w:sz w:val="21"/>
                <w:szCs w:val="21"/>
                <w:highlight w:val="none"/>
              </w:rPr>
            </w:pPr>
          </w:p>
        </w:tc>
        <w:tc>
          <w:tcPr>
            <w:tcW w:w="1040" w:type="dxa"/>
            <w:shd w:val="clear" w:color="auto" w:fill="auto"/>
            <w:vAlign w:val="center"/>
          </w:tcPr>
          <w:p w14:paraId="118235C5">
            <w:pPr>
              <w:widowControl/>
              <w:jc w:val="center"/>
              <w:rPr>
                <w:rFonts w:hint="eastAsia" w:asciiTheme="minorEastAsia" w:hAnsiTheme="minorEastAsia" w:eastAsiaTheme="minorEastAsia" w:cstheme="minorEastAsia"/>
                <w:color w:val="auto"/>
                <w:sz w:val="21"/>
                <w:szCs w:val="21"/>
                <w:highlight w:val="none"/>
              </w:rPr>
            </w:pPr>
          </w:p>
        </w:tc>
        <w:tc>
          <w:tcPr>
            <w:tcW w:w="1642" w:type="dxa"/>
            <w:shd w:val="clear" w:color="auto" w:fill="auto"/>
            <w:vAlign w:val="center"/>
          </w:tcPr>
          <w:p w14:paraId="442DD408">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3D5905CA">
            <w:pPr>
              <w:widowControl/>
              <w:jc w:val="center"/>
              <w:rPr>
                <w:rFonts w:hint="eastAsia" w:asciiTheme="minorEastAsia" w:hAnsiTheme="minorEastAsia" w:eastAsiaTheme="minorEastAsia" w:cstheme="minorEastAsia"/>
                <w:color w:val="auto"/>
                <w:sz w:val="21"/>
                <w:szCs w:val="21"/>
                <w:highlight w:val="none"/>
              </w:rPr>
            </w:pPr>
          </w:p>
        </w:tc>
      </w:tr>
      <w:tr w14:paraId="37558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7146" w:type="dxa"/>
            <w:gridSpan w:val="6"/>
            <w:shd w:val="clear" w:color="auto" w:fill="auto"/>
            <w:vAlign w:val="center"/>
          </w:tcPr>
          <w:p w14:paraId="18FA5F80">
            <w:pPr>
              <w:widowControl/>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合计</w:t>
            </w:r>
          </w:p>
        </w:tc>
        <w:tc>
          <w:tcPr>
            <w:tcW w:w="1642" w:type="dxa"/>
            <w:shd w:val="clear" w:color="auto" w:fill="auto"/>
            <w:vAlign w:val="center"/>
          </w:tcPr>
          <w:p w14:paraId="3F2CF47C">
            <w:pPr>
              <w:widowControl/>
              <w:jc w:val="center"/>
              <w:rPr>
                <w:rFonts w:hint="eastAsia" w:asciiTheme="minorEastAsia" w:hAnsiTheme="minorEastAsia" w:eastAsiaTheme="minorEastAsia" w:cstheme="minorEastAsia"/>
                <w:color w:val="auto"/>
                <w:sz w:val="21"/>
                <w:szCs w:val="21"/>
                <w:highlight w:val="none"/>
              </w:rPr>
            </w:pPr>
          </w:p>
        </w:tc>
        <w:tc>
          <w:tcPr>
            <w:tcW w:w="736" w:type="dxa"/>
            <w:shd w:val="clear" w:color="auto" w:fill="auto"/>
            <w:vAlign w:val="center"/>
          </w:tcPr>
          <w:p w14:paraId="4E570405">
            <w:pPr>
              <w:widowControl/>
              <w:jc w:val="center"/>
              <w:rPr>
                <w:rFonts w:hint="eastAsia" w:asciiTheme="minorEastAsia" w:hAnsiTheme="minorEastAsia" w:eastAsiaTheme="minorEastAsia" w:cstheme="minorEastAsia"/>
                <w:color w:val="auto"/>
                <w:sz w:val="21"/>
                <w:szCs w:val="21"/>
                <w:highlight w:val="none"/>
              </w:rPr>
            </w:pPr>
          </w:p>
        </w:tc>
      </w:tr>
    </w:tbl>
    <w:p w14:paraId="06CFB312">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注：1.投标</w:t>
      </w:r>
      <w:r>
        <w:rPr>
          <w:rFonts w:hAnsi="宋体" w:cs="宋体"/>
          <w:color w:val="auto"/>
          <w:sz w:val="21"/>
          <w:szCs w:val="21"/>
          <w:highlight w:val="none"/>
        </w:rPr>
        <w:t>报价</w:t>
      </w:r>
      <w:r>
        <w:rPr>
          <w:rFonts w:hint="eastAsia" w:hAnsi="宋体" w:cs="宋体"/>
          <w:color w:val="auto"/>
          <w:sz w:val="21"/>
          <w:szCs w:val="21"/>
          <w:highlight w:val="none"/>
        </w:rPr>
        <w:t>说明：</w:t>
      </w:r>
      <w:r>
        <w:rPr>
          <w:rFonts w:hint="eastAsia" w:hAnsi="宋体" w:cs="宋体"/>
          <w:color w:val="auto"/>
          <w:sz w:val="21"/>
          <w:szCs w:val="21"/>
          <w:highlight w:val="none"/>
          <w:lang w:eastAsia="zh-CN"/>
        </w:rPr>
        <w:t>参与本项目的投标人应按要求填报此项目投标总价报价，并自行编制相应的投标报价详细说明，投标报价须包含本项目全部建设和服务内容，以及项目实施过程中所产生的保山市加油站流量数据采集系统开发设计费、根据采购人要求进行系统安装部署服务费、到各民营加油站现场安装数据采集工具（非介入式）实施服务费，数据对接费（含接口开发）、系统集成和信息数据整合服务费、初验及终验的优化整改服务费、项目检测验收费，配合协助采购人完成后续系统相关评测服务工作费，项目前期咨询服务费，项目管理费、人工费、差旅费，保险，税费，风险（不可预见费），技术支持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技术培训及售后</w:t>
      </w:r>
      <w:r>
        <w:rPr>
          <w:rFonts w:hint="eastAsia" w:ascii="宋体" w:hAnsi="宋体" w:eastAsia="宋体" w:cs="宋体"/>
          <w:color w:val="auto"/>
          <w:kern w:val="0"/>
          <w:sz w:val="21"/>
          <w:szCs w:val="21"/>
          <w:highlight w:val="none"/>
          <w:lang w:val="en-US" w:eastAsia="zh-CN"/>
        </w:rPr>
        <w:t>运维</w:t>
      </w:r>
      <w:r>
        <w:rPr>
          <w:rFonts w:hint="eastAsia" w:ascii="宋体" w:hAnsi="宋体" w:eastAsia="宋体" w:cs="宋体"/>
          <w:color w:val="auto"/>
          <w:kern w:val="0"/>
          <w:sz w:val="21"/>
          <w:szCs w:val="21"/>
          <w:highlight w:val="none"/>
        </w:rPr>
        <w:t>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含现场运维服务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以及保证项目顺利开展的所有费用。即：凡属本次采购文件中涉及的或者是为完成本次采购所必需的各项费用，以及</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为完成本次采购而漏报的费用，均视为已包括在</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所报的全费用综合单价中。</w:t>
      </w:r>
    </w:p>
    <w:p w14:paraId="782A0A6D">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2.本表</w:t>
      </w:r>
      <w:r>
        <w:rPr>
          <w:rFonts w:hAnsi="宋体" w:cs="宋体"/>
          <w:color w:val="auto"/>
          <w:sz w:val="21"/>
          <w:szCs w:val="21"/>
          <w:highlight w:val="none"/>
        </w:rPr>
        <w:t>的全费用单价</w:t>
      </w:r>
      <w:r>
        <w:rPr>
          <w:rFonts w:hint="eastAsia" w:hAnsi="宋体" w:cs="宋体"/>
          <w:color w:val="auto"/>
          <w:sz w:val="21"/>
          <w:szCs w:val="21"/>
          <w:highlight w:val="none"/>
        </w:rPr>
        <w:t>为含税价</w:t>
      </w:r>
      <w:r>
        <w:rPr>
          <w:rFonts w:hAnsi="宋体" w:cs="宋体"/>
          <w:color w:val="auto"/>
          <w:sz w:val="21"/>
          <w:szCs w:val="21"/>
          <w:highlight w:val="none"/>
        </w:rPr>
        <w:t>；</w:t>
      </w:r>
    </w:p>
    <w:p w14:paraId="467DF7ED">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3.如果不提供详细分项报价将视为没有实质性响应招标文件，其投标文件将被拒绝。</w:t>
      </w:r>
    </w:p>
    <w:p w14:paraId="623D8EAA">
      <w:pPr>
        <w:spacing w:line="460" w:lineRule="exact"/>
        <w:ind w:firstLine="420" w:firstLineChars="200"/>
        <w:rPr>
          <w:rFonts w:hint="eastAsia" w:hAnsi="宋体" w:cs="宋体"/>
          <w:color w:val="auto"/>
          <w:sz w:val="21"/>
          <w:szCs w:val="21"/>
          <w:highlight w:val="none"/>
        </w:rPr>
      </w:pPr>
      <w:r>
        <w:rPr>
          <w:rFonts w:hint="eastAsia" w:hAnsi="宋体" w:cs="宋体"/>
          <w:color w:val="auto"/>
          <w:sz w:val="21"/>
          <w:szCs w:val="21"/>
          <w:highlight w:val="none"/>
        </w:rPr>
        <w:t>4.若表格不够填写，可自行扩展。</w:t>
      </w:r>
    </w:p>
    <w:p w14:paraId="3227B49C">
      <w:pPr>
        <w:spacing w:line="420" w:lineRule="exact"/>
        <w:ind w:firstLine="420" w:firstLineChars="200"/>
        <w:rPr>
          <w:rFonts w:hint="eastAsia" w:hAnsi="宋体" w:cs="宋体"/>
          <w:color w:val="auto"/>
          <w:sz w:val="21"/>
          <w:szCs w:val="21"/>
          <w:highlight w:val="none"/>
        </w:rPr>
      </w:pPr>
    </w:p>
    <w:p w14:paraId="0435A0AB">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投标人（盖单位公章）：______________</w:t>
      </w:r>
    </w:p>
    <w:p w14:paraId="552D07DC">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法定代表人（负责人）或委托代理人（</w:t>
      </w:r>
      <w:r>
        <w:rPr>
          <w:rFonts w:hint="eastAsia" w:hAnsi="宋体" w:cs="宋体"/>
          <w:color w:val="auto"/>
          <w:sz w:val="21"/>
          <w:szCs w:val="21"/>
          <w:highlight w:val="none"/>
          <w:lang w:eastAsia="zh-CN"/>
        </w:rPr>
        <w:t>签字或个人印章</w:t>
      </w:r>
      <w:r>
        <w:rPr>
          <w:rFonts w:hint="eastAsia" w:hAnsi="宋体" w:cs="宋体"/>
          <w:color w:val="auto"/>
          <w:sz w:val="21"/>
          <w:szCs w:val="21"/>
          <w:highlight w:val="none"/>
        </w:rPr>
        <w:t>）：________</w:t>
      </w:r>
    </w:p>
    <w:p w14:paraId="2A1D3F7B">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日期：________年_____月_____日</w:t>
      </w:r>
    </w:p>
    <w:p w14:paraId="25A34793">
      <w:pPr>
        <w:pStyle w:val="7"/>
        <w:numPr>
          <w:ilvl w:val="0"/>
          <w:numId w:val="0"/>
        </w:numPr>
        <w:spacing w:before="0" w:after="0" w:line="480" w:lineRule="exact"/>
        <w:rPr>
          <w:rFonts w:hint="eastAsia" w:hAnsi="宋体"/>
          <w:color w:val="auto"/>
          <w:sz w:val="28"/>
          <w:szCs w:val="28"/>
          <w:highlight w:val="none"/>
        </w:rPr>
        <w:sectPr>
          <w:pgSz w:w="11906" w:h="16838"/>
          <w:pgMar w:top="1418" w:right="1134" w:bottom="1246" w:left="1134" w:header="851" w:footer="992" w:gutter="0"/>
          <w:pgBorders>
            <w:top w:val="none" w:sz="0" w:space="0"/>
            <w:left w:val="none" w:sz="0" w:space="0"/>
            <w:bottom w:val="none" w:sz="0" w:space="0"/>
            <w:right w:val="none" w:sz="0" w:space="0"/>
          </w:pgBorders>
          <w:cols w:space="720" w:num="1"/>
          <w:docGrid w:type="lines" w:linePitch="312" w:charSpace="0"/>
        </w:sectPr>
      </w:pPr>
    </w:p>
    <w:p w14:paraId="5B7FA8D3">
      <w:pPr>
        <w:keepNext/>
        <w:jc w:val="center"/>
        <w:rPr>
          <w:rStyle w:val="75"/>
          <w:color w:val="auto"/>
          <w:highlight w:val="none"/>
        </w:rPr>
      </w:pPr>
      <w:bookmarkStart w:id="92" w:name="_Toc16117"/>
      <w:r>
        <w:rPr>
          <w:rStyle w:val="75"/>
          <w:rFonts w:hint="eastAsia"/>
          <w:color w:val="auto"/>
          <w:highlight w:val="none"/>
        </w:rPr>
        <w:t>（四）投标人认为需要提供的其他投标报价相关文件</w:t>
      </w:r>
    </w:p>
    <w:bookmarkEnd w:id="92"/>
    <w:p w14:paraId="133171CB">
      <w:pPr>
        <w:spacing w:line="480" w:lineRule="exact"/>
        <w:rPr>
          <w:rFonts w:hint="eastAsia" w:hAnsi="宋体"/>
          <w:color w:val="auto"/>
          <w:sz w:val="24"/>
          <w:highlight w:val="none"/>
        </w:rPr>
      </w:pPr>
    </w:p>
    <w:p w14:paraId="74A2AD0C">
      <w:pPr>
        <w:spacing w:line="480" w:lineRule="exact"/>
        <w:jc w:val="left"/>
        <w:rPr>
          <w:rFonts w:hint="eastAsia" w:hAnsi="宋体"/>
          <w:b/>
          <w:bCs/>
          <w:color w:val="auto"/>
          <w:sz w:val="32"/>
          <w:szCs w:val="32"/>
          <w:highlight w:val="none"/>
        </w:rPr>
      </w:pPr>
    </w:p>
    <w:p w14:paraId="640871E4">
      <w:pPr>
        <w:spacing w:line="480" w:lineRule="exact"/>
        <w:jc w:val="left"/>
        <w:rPr>
          <w:rFonts w:hint="eastAsia" w:hAnsi="宋体"/>
          <w:b/>
          <w:bCs/>
          <w:color w:val="auto"/>
          <w:sz w:val="32"/>
          <w:szCs w:val="32"/>
          <w:highlight w:val="none"/>
        </w:rPr>
      </w:pPr>
    </w:p>
    <w:p w14:paraId="1A620EDD">
      <w:pPr>
        <w:spacing w:line="480" w:lineRule="exact"/>
        <w:jc w:val="left"/>
        <w:rPr>
          <w:rFonts w:hint="eastAsia" w:hAnsi="宋体"/>
          <w:b/>
          <w:bCs/>
          <w:color w:val="auto"/>
          <w:sz w:val="32"/>
          <w:szCs w:val="32"/>
          <w:highlight w:val="none"/>
        </w:rPr>
      </w:pPr>
    </w:p>
    <w:p w14:paraId="035F3905">
      <w:pPr>
        <w:widowControl/>
        <w:jc w:val="left"/>
        <w:rPr>
          <w:rFonts w:hint="eastAsia" w:hAnsi="宋体"/>
          <w:b/>
          <w:bCs/>
          <w:color w:val="auto"/>
          <w:sz w:val="32"/>
          <w:szCs w:val="32"/>
          <w:highlight w:val="none"/>
        </w:rPr>
      </w:pPr>
      <w:r>
        <w:rPr>
          <w:rFonts w:hAnsi="宋体"/>
          <w:b/>
          <w:bCs/>
          <w:color w:val="auto"/>
          <w:sz w:val="32"/>
          <w:szCs w:val="32"/>
          <w:highlight w:val="none"/>
        </w:rPr>
        <w:br w:type="page"/>
      </w:r>
    </w:p>
    <w:p w14:paraId="5A9C14A1">
      <w:pPr>
        <w:pStyle w:val="6"/>
        <w:spacing w:line="360" w:lineRule="auto"/>
        <w:jc w:val="center"/>
        <w:rPr>
          <w:rStyle w:val="60"/>
          <w:rFonts w:hAnsi="Times New Roman"/>
          <w:b w:val="0"/>
          <w:bCs w:val="0"/>
          <w:color w:val="auto"/>
          <w:sz w:val="36"/>
          <w:szCs w:val="36"/>
          <w:highlight w:val="none"/>
        </w:rPr>
      </w:pPr>
      <w:bookmarkStart w:id="93" w:name="_Toc22673"/>
      <w:r>
        <w:rPr>
          <w:rStyle w:val="60"/>
          <w:rFonts w:hint="eastAsia" w:hAnsi="Times New Roman"/>
          <w:b w:val="0"/>
          <w:bCs w:val="0"/>
          <w:color w:val="auto"/>
          <w:sz w:val="36"/>
          <w:szCs w:val="36"/>
          <w:highlight w:val="none"/>
        </w:rPr>
        <w:t>三、商务及技术部分</w:t>
      </w:r>
      <w:bookmarkEnd w:id="93"/>
    </w:p>
    <w:p w14:paraId="69B22E61">
      <w:pPr>
        <w:jc w:val="center"/>
        <w:rPr>
          <w:rFonts w:hint="eastAsia" w:hAnsi="宋体"/>
          <w:b/>
          <w:bCs/>
          <w:color w:val="auto"/>
          <w:highlight w:val="none"/>
        </w:rPr>
      </w:pPr>
      <w:bookmarkStart w:id="94" w:name="_Toc3271"/>
      <w:bookmarkStart w:id="95" w:name="_Toc37179799"/>
      <w:r>
        <w:rPr>
          <w:rStyle w:val="75"/>
          <w:rFonts w:hint="eastAsia"/>
          <w:color w:val="auto"/>
          <w:highlight w:val="none"/>
        </w:rPr>
        <w:t>（一）商务条款偏离表</w:t>
      </w:r>
      <w:bookmarkEnd w:id="94"/>
    </w:p>
    <w:p w14:paraId="052340B5">
      <w:pPr>
        <w:snapToGrid w:val="0"/>
        <w:spacing w:after="156" w:afterLines="50" w:line="460" w:lineRule="atLeast"/>
        <w:rPr>
          <w:rFonts w:hint="eastAsia" w:hAnsi="宋体"/>
          <w:color w:val="auto"/>
          <w:sz w:val="21"/>
          <w:szCs w:val="21"/>
          <w:highlight w:val="none"/>
        </w:rPr>
      </w:pPr>
    </w:p>
    <w:tbl>
      <w:tblPr>
        <w:tblStyle w:val="37"/>
        <w:tblW w:w="9881" w:type="dxa"/>
        <w:tblInd w:w="1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6"/>
        <w:gridCol w:w="2273"/>
        <w:gridCol w:w="2805"/>
        <w:gridCol w:w="2517"/>
        <w:gridCol w:w="1590"/>
      </w:tblGrid>
      <w:tr w14:paraId="0E9EB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696" w:type="dxa"/>
            <w:vAlign w:val="center"/>
          </w:tcPr>
          <w:p w14:paraId="28361B9D">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序号</w:t>
            </w:r>
          </w:p>
        </w:tc>
        <w:tc>
          <w:tcPr>
            <w:tcW w:w="2273" w:type="dxa"/>
            <w:vAlign w:val="center"/>
          </w:tcPr>
          <w:p w14:paraId="7262D355">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招标文件商务条款</w:t>
            </w:r>
          </w:p>
        </w:tc>
        <w:tc>
          <w:tcPr>
            <w:tcW w:w="2805" w:type="dxa"/>
            <w:vAlign w:val="center"/>
          </w:tcPr>
          <w:p w14:paraId="264E381E">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投标文件商务条款响应情况</w:t>
            </w:r>
          </w:p>
        </w:tc>
        <w:tc>
          <w:tcPr>
            <w:tcW w:w="2517" w:type="dxa"/>
            <w:vAlign w:val="center"/>
          </w:tcPr>
          <w:p w14:paraId="5C03E7AA">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相关佐证材料或承诺位置</w:t>
            </w:r>
            <w:r>
              <w:rPr>
                <w:rFonts w:hint="eastAsia" w:hAnsi="宋体" w:cs="宋体"/>
                <w:color w:val="auto"/>
                <w:sz w:val="21"/>
                <w:szCs w:val="21"/>
                <w:highlight w:val="none"/>
              </w:rPr>
              <w:t>（投标文件页码）</w:t>
            </w:r>
          </w:p>
        </w:tc>
        <w:tc>
          <w:tcPr>
            <w:tcW w:w="1590" w:type="dxa"/>
            <w:vAlign w:val="center"/>
          </w:tcPr>
          <w:p w14:paraId="3A4F23A8">
            <w:pPr>
              <w:snapToGrid w:val="0"/>
              <w:spacing w:line="600" w:lineRule="atLeast"/>
              <w:jc w:val="center"/>
              <w:rPr>
                <w:rFonts w:hint="eastAsia" w:hAnsi="宋体"/>
                <w:color w:val="auto"/>
                <w:sz w:val="21"/>
                <w:szCs w:val="21"/>
                <w:highlight w:val="none"/>
              </w:rPr>
            </w:pPr>
            <w:r>
              <w:rPr>
                <w:rFonts w:hint="eastAsia" w:hAnsi="宋体"/>
                <w:color w:val="auto"/>
                <w:sz w:val="21"/>
                <w:szCs w:val="21"/>
                <w:highlight w:val="none"/>
              </w:rPr>
              <w:t>条款偏离情况</w:t>
            </w:r>
          </w:p>
        </w:tc>
      </w:tr>
      <w:tr w14:paraId="1EFFE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7B56E2B6">
            <w:pPr>
              <w:snapToGrid w:val="0"/>
              <w:spacing w:line="800" w:lineRule="atLeast"/>
              <w:jc w:val="center"/>
              <w:rPr>
                <w:rFonts w:hint="eastAsia" w:hAnsi="宋体"/>
                <w:color w:val="auto"/>
                <w:sz w:val="21"/>
                <w:szCs w:val="21"/>
                <w:highlight w:val="none"/>
              </w:rPr>
            </w:pPr>
          </w:p>
        </w:tc>
        <w:tc>
          <w:tcPr>
            <w:tcW w:w="2273" w:type="dxa"/>
            <w:vAlign w:val="center"/>
          </w:tcPr>
          <w:p w14:paraId="44C3DF19">
            <w:pPr>
              <w:snapToGrid w:val="0"/>
              <w:spacing w:line="800" w:lineRule="atLeast"/>
              <w:jc w:val="center"/>
              <w:rPr>
                <w:rFonts w:hint="eastAsia" w:hAnsi="宋体"/>
                <w:color w:val="auto"/>
                <w:sz w:val="21"/>
                <w:szCs w:val="21"/>
                <w:highlight w:val="none"/>
              </w:rPr>
            </w:pPr>
          </w:p>
        </w:tc>
        <w:tc>
          <w:tcPr>
            <w:tcW w:w="2805" w:type="dxa"/>
            <w:vAlign w:val="center"/>
          </w:tcPr>
          <w:p w14:paraId="5A5FF537">
            <w:pPr>
              <w:snapToGrid w:val="0"/>
              <w:spacing w:line="800" w:lineRule="atLeast"/>
              <w:jc w:val="center"/>
              <w:rPr>
                <w:rFonts w:hint="eastAsia" w:hAnsi="宋体"/>
                <w:color w:val="auto"/>
                <w:sz w:val="21"/>
                <w:szCs w:val="21"/>
                <w:highlight w:val="none"/>
              </w:rPr>
            </w:pPr>
          </w:p>
        </w:tc>
        <w:tc>
          <w:tcPr>
            <w:tcW w:w="2517" w:type="dxa"/>
            <w:vAlign w:val="center"/>
          </w:tcPr>
          <w:p w14:paraId="2A9DB963">
            <w:pPr>
              <w:snapToGrid w:val="0"/>
              <w:spacing w:line="800" w:lineRule="atLeast"/>
              <w:jc w:val="center"/>
              <w:rPr>
                <w:rFonts w:hint="eastAsia" w:hAnsi="宋体"/>
                <w:color w:val="auto"/>
                <w:sz w:val="21"/>
                <w:szCs w:val="21"/>
                <w:highlight w:val="none"/>
              </w:rPr>
            </w:pPr>
          </w:p>
        </w:tc>
        <w:tc>
          <w:tcPr>
            <w:tcW w:w="1590" w:type="dxa"/>
            <w:vAlign w:val="center"/>
          </w:tcPr>
          <w:p w14:paraId="001F1A85">
            <w:pPr>
              <w:snapToGrid w:val="0"/>
              <w:spacing w:line="800" w:lineRule="atLeast"/>
              <w:jc w:val="center"/>
              <w:rPr>
                <w:rFonts w:hint="eastAsia" w:hAnsi="宋体"/>
                <w:color w:val="auto"/>
                <w:sz w:val="21"/>
                <w:szCs w:val="21"/>
                <w:highlight w:val="none"/>
              </w:rPr>
            </w:pPr>
          </w:p>
        </w:tc>
      </w:tr>
      <w:tr w14:paraId="164BD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68AFC75C">
            <w:pPr>
              <w:snapToGrid w:val="0"/>
              <w:spacing w:line="800" w:lineRule="atLeast"/>
              <w:jc w:val="center"/>
              <w:rPr>
                <w:rFonts w:hint="eastAsia" w:hAnsi="宋体"/>
                <w:color w:val="auto"/>
                <w:sz w:val="21"/>
                <w:szCs w:val="21"/>
                <w:highlight w:val="none"/>
              </w:rPr>
            </w:pPr>
          </w:p>
        </w:tc>
        <w:tc>
          <w:tcPr>
            <w:tcW w:w="2273" w:type="dxa"/>
            <w:vAlign w:val="center"/>
          </w:tcPr>
          <w:p w14:paraId="2FAD2F38">
            <w:pPr>
              <w:snapToGrid w:val="0"/>
              <w:spacing w:line="800" w:lineRule="atLeast"/>
              <w:jc w:val="center"/>
              <w:rPr>
                <w:rFonts w:hint="eastAsia" w:hAnsi="宋体"/>
                <w:color w:val="auto"/>
                <w:sz w:val="21"/>
                <w:szCs w:val="21"/>
                <w:highlight w:val="none"/>
              </w:rPr>
            </w:pPr>
          </w:p>
        </w:tc>
        <w:tc>
          <w:tcPr>
            <w:tcW w:w="2805" w:type="dxa"/>
            <w:vAlign w:val="center"/>
          </w:tcPr>
          <w:p w14:paraId="04E7A05D">
            <w:pPr>
              <w:snapToGrid w:val="0"/>
              <w:spacing w:line="800" w:lineRule="atLeast"/>
              <w:jc w:val="center"/>
              <w:rPr>
                <w:rFonts w:hint="eastAsia" w:hAnsi="宋体"/>
                <w:color w:val="auto"/>
                <w:sz w:val="21"/>
                <w:szCs w:val="21"/>
                <w:highlight w:val="none"/>
              </w:rPr>
            </w:pPr>
          </w:p>
        </w:tc>
        <w:tc>
          <w:tcPr>
            <w:tcW w:w="2517" w:type="dxa"/>
            <w:vAlign w:val="center"/>
          </w:tcPr>
          <w:p w14:paraId="205B8B7E">
            <w:pPr>
              <w:snapToGrid w:val="0"/>
              <w:spacing w:line="800" w:lineRule="atLeast"/>
              <w:jc w:val="center"/>
              <w:rPr>
                <w:rFonts w:hint="eastAsia" w:hAnsi="宋体"/>
                <w:color w:val="auto"/>
                <w:sz w:val="21"/>
                <w:szCs w:val="21"/>
                <w:highlight w:val="none"/>
              </w:rPr>
            </w:pPr>
          </w:p>
        </w:tc>
        <w:tc>
          <w:tcPr>
            <w:tcW w:w="1590" w:type="dxa"/>
            <w:vAlign w:val="center"/>
          </w:tcPr>
          <w:p w14:paraId="7D654AB6">
            <w:pPr>
              <w:snapToGrid w:val="0"/>
              <w:spacing w:line="800" w:lineRule="atLeast"/>
              <w:jc w:val="center"/>
              <w:rPr>
                <w:rFonts w:hint="eastAsia" w:hAnsi="宋体"/>
                <w:color w:val="auto"/>
                <w:sz w:val="21"/>
                <w:szCs w:val="21"/>
                <w:highlight w:val="none"/>
              </w:rPr>
            </w:pPr>
          </w:p>
        </w:tc>
      </w:tr>
      <w:tr w14:paraId="5A3C8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6" w:type="dxa"/>
            <w:vAlign w:val="center"/>
          </w:tcPr>
          <w:p w14:paraId="23B567AE">
            <w:pPr>
              <w:snapToGrid w:val="0"/>
              <w:spacing w:line="800" w:lineRule="atLeast"/>
              <w:jc w:val="center"/>
              <w:rPr>
                <w:rFonts w:hint="eastAsia" w:hAnsi="宋体"/>
                <w:color w:val="auto"/>
                <w:sz w:val="21"/>
                <w:szCs w:val="21"/>
                <w:highlight w:val="none"/>
              </w:rPr>
            </w:pPr>
          </w:p>
        </w:tc>
        <w:tc>
          <w:tcPr>
            <w:tcW w:w="2273" w:type="dxa"/>
            <w:vAlign w:val="center"/>
          </w:tcPr>
          <w:p w14:paraId="1F29D451">
            <w:pPr>
              <w:snapToGrid w:val="0"/>
              <w:spacing w:line="800" w:lineRule="atLeast"/>
              <w:jc w:val="center"/>
              <w:rPr>
                <w:rFonts w:hint="eastAsia" w:hAnsi="宋体"/>
                <w:color w:val="auto"/>
                <w:sz w:val="21"/>
                <w:szCs w:val="21"/>
                <w:highlight w:val="none"/>
              </w:rPr>
            </w:pPr>
          </w:p>
        </w:tc>
        <w:tc>
          <w:tcPr>
            <w:tcW w:w="2805" w:type="dxa"/>
            <w:vAlign w:val="center"/>
          </w:tcPr>
          <w:p w14:paraId="71AAB0F6">
            <w:pPr>
              <w:snapToGrid w:val="0"/>
              <w:spacing w:line="800" w:lineRule="atLeast"/>
              <w:jc w:val="center"/>
              <w:rPr>
                <w:rFonts w:hint="eastAsia" w:hAnsi="宋体"/>
                <w:color w:val="auto"/>
                <w:sz w:val="21"/>
                <w:szCs w:val="21"/>
                <w:highlight w:val="none"/>
              </w:rPr>
            </w:pPr>
          </w:p>
        </w:tc>
        <w:tc>
          <w:tcPr>
            <w:tcW w:w="2517" w:type="dxa"/>
            <w:vAlign w:val="center"/>
          </w:tcPr>
          <w:p w14:paraId="673E7C86">
            <w:pPr>
              <w:snapToGrid w:val="0"/>
              <w:spacing w:line="800" w:lineRule="atLeast"/>
              <w:jc w:val="center"/>
              <w:rPr>
                <w:rFonts w:hint="eastAsia" w:hAnsi="宋体"/>
                <w:color w:val="auto"/>
                <w:sz w:val="21"/>
                <w:szCs w:val="21"/>
                <w:highlight w:val="none"/>
              </w:rPr>
            </w:pPr>
          </w:p>
        </w:tc>
        <w:tc>
          <w:tcPr>
            <w:tcW w:w="1590" w:type="dxa"/>
            <w:vAlign w:val="center"/>
          </w:tcPr>
          <w:p w14:paraId="2F3B8091">
            <w:pPr>
              <w:snapToGrid w:val="0"/>
              <w:spacing w:line="800" w:lineRule="atLeast"/>
              <w:jc w:val="center"/>
              <w:rPr>
                <w:rFonts w:hint="eastAsia" w:hAnsi="宋体"/>
                <w:color w:val="auto"/>
                <w:sz w:val="21"/>
                <w:szCs w:val="21"/>
                <w:highlight w:val="none"/>
              </w:rPr>
            </w:pPr>
          </w:p>
        </w:tc>
      </w:tr>
    </w:tbl>
    <w:p w14:paraId="1C3A00A5">
      <w:pPr>
        <w:topLinePunct/>
        <w:spacing w:line="280" w:lineRule="exact"/>
        <w:rPr>
          <w:rFonts w:hint="eastAsia" w:hAnsi="宋体"/>
          <w:b/>
          <w:bCs/>
          <w:color w:val="auto"/>
          <w:sz w:val="21"/>
          <w:szCs w:val="21"/>
          <w:highlight w:val="none"/>
        </w:rPr>
      </w:pPr>
      <w:r>
        <w:rPr>
          <w:rFonts w:hint="eastAsia" w:hAnsi="宋体"/>
          <w:b/>
          <w:bCs/>
          <w:color w:val="auto"/>
          <w:sz w:val="21"/>
          <w:szCs w:val="21"/>
          <w:highlight w:val="none"/>
        </w:rPr>
        <w:t>注：</w:t>
      </w:r>
      <w:r>
        <w:rPr>
          <w:rFonts w:hAnsi="宋体"/>
          <w:b/>
          <w:bCs/>
          <w:color w:val="auto"/>
          <w:sz w:val="21"/>
          <w:szCs w:val="21"/>
          <w:highlight w:val="none"/>
        </w:rPr>
        <w:t>1</w:t>
      </w:r>
      <w:r>
        <w:rPr>
          <w:rFonts w:hint="eastAsia" w:hAnsi="宋体"/>
          <w:b/>
          <w:bCs/>
          <w:color w:val="auto"/>
          <w:sz w:val="21"/>
          <w:szCs w:val="21"/>
          <w:highlight w:val="none"/>
        </w:rPr>
        <w:t>、商务条款包含合同履行期限、项目服务地点、售后运维服务期限等非技术要求的指标。2、若表格不够填写，可自行扩展。</w:t>
      </w:r>
    </w:p>
    <w:p w14:paraId="69406D4F">
      <w:pPr>
        <w:widowControl/>
        <w:jc w:val="left"/>
        <w:rPr>
          <w:rFonts w:hint="eastAsia" w:hAnsi="宋体"/>
          <w:b/>
          <w:bCs/>
          <w:color w:val="auto"/>
          <w:sz w:val="21"/>
          <w:szCs w:val="21"/>
          <w:highlight w:val="none"/>
        </w:rPr>
      </w:pPr>
    </w:p>
    <w:p w14:paraId="29579F03">
      <w:pPr>
        <w:widowControl/>
        <w:jc w:val="left"/>
        <w:rPr>
          <w:rFonts w:hint="eastAsia" w:hAnsi="宋体"/>
          <w:b/>
          <w:bCs/>
          <w:color w:val="auto"/>
          <w:sz w:val="21"/>
          <w:szCs w:val="21"/>
          <w:highlight w:val="none"/>
        </w:rPr>
      </w:pPr>
    </w:p>
    <w:p w14:paraId="3B8D2E56">
      <w:pPr>
        <w:spacing w:before="60" w:after="60" w:line="360" w:lineRule="auto"/>
        <w:rPr>
          <w:rFonts w:hint="eastAsia" w:hAnsi="宋体"/>
          <w:color w:val="auto"/>
          <w:sz w:val="21"/>
          <w:szCs w:val="21"/>
          <w:highlight w:val="none"/>
        </w:rPr>
      </w:pPr>
      <w:r>
        <w:rPr>
          <w:rFonts w:hint="eastAsia" w:hAnsi="宋体"/>
          <w:color w:val="auto"/>
          <w:sz w:val="21"/>
          <w:szCs w:val="21"/>
          <w:highlight w:val="none"/>
        </w:rPr>
        <w:t>投标人（加盖单</w:t>
      </w:r>
      <w:r>
        <w:rPr>
          <w:rFonts w:hint="eastAsia" w:hAnsi="宋体"/>
          <w:color w:val="auto"/>
          <w:sz w:val="21"/>
          <w:szCs w:val="21"/>
          <w:highlight w:val="none"/>
          <w:lang w:eastAsia="zh-CN"/>
        </w:rPr>
        <w:t>位公</w:t>
      </w:r>
      <w:r>
        <w:rPr>
          <w:rFonts w:hint="eastAsia" w:hAnsi="宋体"/>
          <w:color w:val="auto"/>
          <w:sz w:val="21"/>
          <w:szCs w:val="21"/>
          <w:highlight w:val="none"/>
        </w:rPr>
        <w:t>章）：</w:t>
      </w:r>
      <w:r>
        <w:rPr>
          <w:rFonts w:hAnsi="宋体"/>
          <w:color w:val="auto"/>
          <w:sz w:val="21"/>
          <w:szCs w:val="21"/>
          <w:highlight w:val="none"/>
        </w:rPr>
        <w:t>______________</w:t>
      </w:r>
    </w:p>
    <w:p w14:paraId="3A9D0B85">
      <w:pPr>
        <w:spacing w:before="60" w:after="60" w:line="360" w:lineRule="auto"/>
        <w:rPr>
          <w:rFonts w:hint="eastAsia" w:hAnsi="宋体"/>
          <w:color w:val="auto"/>
          <w:sz w:val="21"/>
          <w:szCs w:val="21"/>
          <w:highlight w:val="none"/>
        </w:rPr>
      </w:pPr>
      <w:r>
        <w:rPr>
          <w:rFonts w:hint="eastAsia" w:hAnsi="宋体"/>
          <w:color w:val="auto"/>
          <w:sz w:val="21"/>
          <w:szCs w:val="21"/>
          <w:highlight w:val="none"/>
        </w:rPr>
        <w:t>法定代表人（负责人）或委托代理人（</w:t>
      </w:r>
      <w:r>
        <w:rPr>
          <w:rFonts w:hint="eastAsia" w:hAnsi="宋体"/>
          <w:color w:val="auto"/>
          <w:sz w:val="21"/>
          <w:szCs w:val="21"/>
          <w:highlight w:val="none"/>
          <w:lang w:eastAsia="zh-CN"/>
        </w:rPr>
        <w:t>签字或个人印章</w:t>
      </w:r>
      <w:r>
        <w:rPr>
          <w:rFonts w:hint="eastAsia" w:hAnsi="宋体"/>
          <w:color w:val="auto"/>
          <w:sz w:val="21"/>
          <w:szCs w:val="21"/>
          <w:highlight w:val="none"/>
        </w:rPr>
        <w:t>）：</w:t>
      </w:r>
      <w:r>
        <w:rPr>
          <w:rFonts w:hAnsi="宋体"/>
          <w:color w:val="auto"/>
          <w:sz w:val="21"/>
          <w:szCs w:val="21"/>
          <w:highlight w:val="none"/>
        </w:rPr>
        <w:t>________</w:t>
      </w:r>
    </w:p>
    <w:p w14:paraId="5E2925E6">
      <w:pPr>
        <w:rPr>
          <w:rStyle w:val="75"/>
          <w:color w:val="auto"/>
          <w:highlight w:val="none"/>
        </w:rPr>
      </w:pPr>
      <w:r>
        <w:rPr>
          <w:rFonts w:hint="eastAsia" w:hAnsi="宋体"/>
          <w:color w:val="auto"/>
          <w:sz w:val="21"/>
          <w:szCs w:val="21"/>
          <w:highlight w:val="none"/>
        </w:rPr>
        <w:t>日期：</w:t>
      </w:r>
      <w:r>
        <w:rPr>
          <w:rFonts w:hAnsi="宋体"/>
          <w:color w:val="auto"/>
          <w:sz w:val="21"/>
          <w:szCs w:val="21"/>
          <w:highlight w:val="none"/>
        </w:rPr>
        <w:t>________</w:t>
      </w:r>
      <w:r>
        <w:rPr>
          <w:rFonts w:hint="eastAsia" w:hAnsi="宋体"/>
          <w:color w:val="auto"/>
          <w:sz w:val="21"/>
          <w:szCs w:val="21"/>
          <w:highlight w:val="none"/>
        </w:rPr>
        <w:t>年</w:t>
      </w:r>
      <w:r>
        <w:rPr>
          <w:rFonts w:hAnsi="宋体"/>
          <w:color w:val="auto"/>
          <w:sz w:val="21"/>
          <w:szCs w:val="21"/>
          <w:highlight w:val="none"/>
        </w:rPr>
        <w:t>_____</w:t>
      </w:r>
      <w:r>
        <w:rPr>
          <w:rFonts w:hint="eastAsia" w:hAnsi="宋体"/>
          <w:color w:val="auto"/>
          <w:sz w:val="21"/>
          <w:szCs w:val="21"/>
          <w:highlight w:val="none"/>
        </w:rPr>
        <w:t>月</w:t>
      </w:r>
      <w:r>
        <w:rPr>
          <w:rFonts w:hAnsi="宋体"/>
          <w:color w:val="auto"/>
          <w:sz w:val="21"/>
          <w:szCs w:val="21"/>
          <w:highlight w:val="none"/>
        </w:rPr>
        <w:t>_____</w:t>
      </w:r>
      <w:r>
        <w:rPr>
          <w:rFonts w:hint="eastAsia" w:hAnsi="宋体"/>
          <w:color w:val="auto"/>
          <w:sz w:val="21"/>
          <w:szCs w:val="21"/>
          <w:highlight w:val="none"/>
        </w:rPr>
        <w:t>日</w:t>
      </w:r>
      <w:r>
        <w:rPr>
          <w:rFonts w:hAnsi="宋体"/>
          <w:color w:val="auto"/>
          <w:sz w:val="24"/>
          <w:highlight w:val="none"/>
        </w:rPr>
        <w:br w:type="page"/>
      </w:r>
    </w:p>
    <w:p w14:paraId="5099390F">
      <w:pPr>
        <w:numPr>
          <w:ilvl w:val="0"/>
          <w:numId w:val="0"/>
        </w:numPr>
        <w:jc w:val="center"/>
        <w:rPr>
          <w:rStyle w:val="114"/>
          <w:rFonts w:hint="eastAsia" w:cs="Times New Roman"/>
          <w:color w:val="auto"/>
          <w:highlight w:val="none"/>
          <w:lang w:eastAsia="zh-CN"/>
        </w:rPr>
      </w:pPr>
      <w:bookmarkStart w:id="96" w:name="_Toc30778"/>
      <w:bookmarkStart w:id="97" w:name="_Toc13608"/>
      <w:r>
        <w:rPr>
          <w:rStyle w:val="114"/>
          <w:rFonts w:hint="eastAsia" w:cs="Times New Roman"/>
          <w:color w:val="auto"/>
          <w:highlight w:val="none"/>
          <w:lang w:eastAsia="zh-CN"/>
        </w:rPr>
        <w:t>（</w:t>
      </w:r>
      <w:r>
        <w:rPr>
          <w:rStyle w:val="114"/>
          <w:rFonts w:hint="eastAsia" w:cs="Times New Roman"/>
          <w:color w:val="auto"/>
          <w:highlight w:val="none"/>
          <w:lang w:val="en-US" w:eastAsia="zh-CN"/>
        </w:rPr>
        <w:t>二</w:t>
      </w:r>
      <w:r>
        <w:rPr>
          <w:rStyle w:val="114"/>
          <w:rFonts w:hint="eastAsia" w:cs="Times New Roman"/>
          <w:color w:val="auto"/>
          <w:highlight w:val="none"/>
          <w:lang w:eastAsia="zh-CN"/>
        </w:rPr>
        <w:t>）关于“投标人拟</w:t>
      </w:r>
      <w:r>
        <w:rPr>
          <w:rStyle w:val="114"/>
          <w:rFonts w:hint="eastAsia" w:cs="Times New Roman"/>
          <w:color w:val="auto"/>
          <w:highlight w:val="none"/>
          <w:lang w:val="en-US" w:eastAsia="zh-CN"/>
        </w:rPr>
        <w:t>开发设计的软件</w:t>
      </w:r>
      <w:r>
        <w:rPr>
          <w:rStyle w:val="114"/>
          <w:rFonts w:hint="eastAsia" w:cs="Times New Roman"/>
          <w:color w:val="auto"/>
          <w:highlight w:val="none"/>
          <w:lang w:eastAsia="zh-CN"/>
        </w:rPr>
        <w:t>产品不受第三方侵权”的书面承诺</w:t>
      </w:r>
    </w:p>
    <w:bookmarkEnd w:id="96"/>
    <w:p w14:paraId="25B7EFD4">
      <w:pPr>
        <w:keepNext/>
        <w:spacing w:line="360" w:lineRule="auto"/>
        <w:ind w:left="0" w:leftChars="0" w:firstLine="560" w:firstLineChars="0"/>
        <w:jc w:val="left"/>
        <w:rPr>
          <w:rFonts w:hint="eastAsia" w:ascii="宋体" w:hAnsi="宋体" w:eastAsia="宋体" w:cs="宋体"/>
          <w:color w:val="auto"/>
          <w:sz w:val="21"/>
          <w:szCs w:val="21"/>
          <w:highlight w:val="none"/>
        </w:rPr>
      </w:pPr>
    </w:p>
    <w:p w14:paraId="7FBEB286">
      <w:pPr>
        <w:keepNext/>
        <w:spacing w:line="360" w:lineRule="auto"/>
        <w:jc w:val="center"/>
        <w:rPr>
          <w:rStyle w:val="114"/>
          <w:rFonts w:hint="eastAsia" w:cs="Times New Roman"/>
          <w:color w:val="auto"/>
          <w:highlight w:val="none"/>
          <w:lang w:eastAsia="zh-CN"/>
        </w:rPr>
      </w:pPr>
      <w:r>
        <w:rPr>
          <w:rFonts w:hint="eastAsia" w:ascii="宋体" w:hAnsi="宋体" w:eastAsia="宋体" w:cs="宋体"/>
          <w:color w:val="auto"/>
          <w:sz w:val="21"/>
          <w:szCs w:val="21"/>
          <w:highlight w:val="none"/>
        </w:rPr>
        <w:t>（格式由各投标人自行设计）</w:t>
      </w:r>
      <w:r>
        <w:rPr>
          <w:rStyle w:val="114"/>
          <w:rFonts w:hint="eastAsia" w:cs="Times New Roman"/>
          <w:color w:val="auto"/>
          <w:highlight w:val="none"/>
          <w:lang w:eastAsia="zh-CN"/>
        </w:rPr>
        <w:br w:type="page"/>
      </w:r>
    </w:p>
    <w:p w14:paraId="1109A6D9">
      <w:pPr>
        <w:keepNext/>
        <w:jc w:val="center"/>
        <w:rPr>
          <w:rStyle w:val="114"/>
          <w:rFonts w:hint="eastAsia" w:cs="Times New Roman"/>
          <w:color w:val="auto"/>
          <w:highlight w:val="none"/>
          <w:lang w:eastAsia="zh-CN"/>
        </w:rPr>
      </w:pPr>
      <w:bookmarkStart w:id="98" w:name="_Toc15378"/>
      <w:r>
        <w:rPr>
          <w:rStyle w:val="114"/>
          <w:rFonts w:hint="eastAsia" w:cs="Times New Roman"/>
          <w:color w:val="auto"/>
          <w:highlight w:val="none"/>
          <w:lang w:eastAsia="zh-CN"/>
        </w:rPr>
        <w:t>（</w:t>
      </w:r>
      <w:r>
        <w:rPr>
          <w:rStyle w:val="114"/>
          <w:rFonts w:hint="eastAsia" w:cs="Times New Roman"/>
          <w:color w:val="auto"/>
          <w:highlight w:val="none"/>
          <w:lang w:val="en-US" w:eastAsia="zh-CN"/>
        </w:rPr>
        <w:t>三</w:t>
      </w:r>
      <w:r>
        <w:rPr>
          <w:rStyle w:val="114"/>
          <w:rFonts w:hint="eastAsia" w:cs="Times New Roman"/>
          <w:color w:val="auto"/>
          <w:highlight w:val="none"/>
          <w:lang w:eastAsia="zh-CN"/>
        </w:rPr>
        <w:t>）开展本次</w:t>
      </w:r>
      <w:r>
        <w:rPr>
          <w:rStyle w:val="114"/>
          <w:rFonts w:hint="eastAsia" w:cs="Times New Roman"/>
          <w:color w:val="auto"/>
          <w:highlight w:val="none"/>
          <w:lang w:val="en-US" w:eastAsia="zh-CN"/>
        </w:rPr>
        <w:t>软件系统建设</w:t>
      </w:r>
      <w:r>
        <w:rPr>
          <w:rStyle w:val="114"/>
          <w:rFonts w:hint="eastAsia" w:cs="Times New Roman"/>
          <w:color w:val="auto"/>
          <w:highlight w:val="none"/>
          <w:lang w:eastAsia="zh-CN"/>
        </w:rPr>
        <w:t>工作的理解和分析</w:t>
      </w:r>
    </w:p>
    <w:bookmarkEnd w:id="97"/>
    <w:bookmarkEnd w:id="98"/>
    <w:p w14:paraId="6DD22668">
      <w:pPr>
        <w:spacing w:line="360" w:lineRule="auto"/>
        <w:ind w:firstLine="560" w:firstLineChars="200"/>
        <w:jc w:val="left"/>
        <w:rPr>
          <w:rFonts w:hint="eastAsia" w:asciiTheme="majorEastAsia" w:hAnsiTheme="majorEastAsia" w:eastAsiaTheme="majorEastAsia" w:cstheme="majorEastAsia"/>
          <w:color w:val="auto"/>
          <w:szCs w:val="21"/>
          <w:highlight w:val="none"/>
        </w:rPr>
      </w:pPr>
    </w:p>
    <w:p w14:paraId="49F0FDFE">
      <w:pPr>
        <w:keepNext/>
        <w:spacing w:line="360" w:lineRule="auto"/>
        <w:ind w:left="0" w:leftChars="0" w:firstLine="560" w:firstLineChars="0"/>
        <w:jc w:val="left"/>
        <w:rPr>
          <w:rFonts w:hint="eastAsia" w:ascii="宋体" w:hAnsi="宋体" w:eastAsia="宋体" w:cs="宋体"/>
          <w:color w:val="auto"/>
          <w:sz w:val="21"/>
          <w:szCs w:val="21"/>
          <w:highlight w:val="none"/>
        </w:rPr>
      </w:pPr>
      <w:r>
        <w:rPr>
          <w:rFonts w:hint="eastAsia" w:asciiTheme="minorEastAsia" w:hAnsiTheme="minorEastAsia" w:eastAsiaTheme="minorEastAsia" w:cstheme="minorEastAsia"/>
          <w:bCs/>
          <w:color w:val="auto"/>
          <w:sz w:val="21"/>
          <w:szCs w:val="21"/>
          <w:highlight w:val="none"/>
        </w:rPr>
        <w:t>此部分内容应充分结合招标文件中本项目采购需求的全部内容以及评标办法的评审要求进行综合分析后进行编制，此部分内容包含但不限于：</w:t>
      </w:r>
      <w:r>
        <w:rPr>
          <w:rFonts w:hint="eastAsia" w:ascii="宋体" w:hAnsi="宋体" w:eastAsia="宋体" w:cs="宋体"/>
          <w:color w:val="auto"/>
          <w:sz w:val="21"/>
          <w:szCs w:val="21"/>
          <w:highlight w:val="none"/>
        </w:rPr>
        <w:t>①项目</w:t>
      </w:r>
      <w:r>
        <w:rPr>
          <w:rFonts w:hint="eastAsia" w:ascii="宋体" w:hAnsi="宋体" w:eastAsia="宋体" w:cs="宋体"/>
          <w:color w:val="auto"/>
          <w:sz w:val="21"/>
          <w:szCs w:val="21"/>
          <w:highlight w:val="none"/>
          <w:lang w:val="en-US" w:eastAsia="zh-CN"/>
        </w:rPr>
        <w:t>采购需求理解和分析</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②开展</w:t>
      </w:r>
      <w:r>
        <w:rPr>
          <w:rFonts w:hint="eastAsia" w:hAnsi="宋体" w:cs="宋体"/>
          <w:color w:val="auto"/>
          <w:sz w:val="21"/>
          <w:szCs w:val="21"/>
          <w:highlight w:val="none"/>
          <w:lang w:val="en-US" w:eastAsia="zh-CN"/>
        </w:rPr>
        <w:t>保山市加油站流量数据采集系统</w:t>
      </w:r>
      <w:r>
        <w:rPr>
          <w:rFonts w:hint="eastAsia" w:ascii="宋体" w:hAnsi="宋体" w:eastAsia="宋体" w:cs="宋体"/>
          <w:color w:val="auto"/>
          <w:sz w:val="21"/>
          <w:szCs w:val="21"/>
          <w:highlight w:val="none"/>
          <w:lang w:val="en-US" w:eastAsia="zh-CN"/>
        </w:rPr>
        <w:t>建设和服务</w:t>
      </w:r>
      <w:r>
        <w:rPr>
          <w:rFonts w:hint="eastAsia" w:ascii="宋体" w:hAnsi="宋体" w:eastAsia="宋体" w:cs="宋体"/>
          <w:color w:val="auto"/>
          <w:sz w:val="21"/>
          <w:szCs w:val="21"/>
          <w:highlight w:val="none"/>
        </w:rPr>
        <w:t>工作目标及总体方针，</w:t>
      </w:r>
      <w:r>
        <w:rPr>
          <w:rFonts w:hint="eastAsia" w:ascii="宋体" w:hAnsi="宋体" w:eastAsia="宋体" w:cs="宋体"/>
          <w:color w:val="auto"/>
          <w:sz w:val="21"/>
          <w:szCs w:val="21"/>
          <w:highlight w:val="none"/>
          <w:lang w:val="en-US" w:eastAsia="zh-CN"/>
        </w:rPr>
        <w:t>③</w:t>
      </w:r>
      <w:r>
        <w:rPr>
          <w:rFonts w:hint="eastAsia" w:hAnsi="宋体" w:cs="宋体"/>
          <w:color w:val="auto"/>
          <w:sz w:val="21"/>
          <w:szCs w:val="21"/>
          <w:highlight w:val="none"/>
          <w:lang w:val="en-US" w:eastAsia="zh-CN"/>
        </w:rPr>
        <w:t>保山市加油站流量数据采集系统</w:t>
      </w:r>
      <w:r>
        <w:rPr>
          <w:rFonts w:hint="eastAsia" w:ascii="宋体" w:hAnsi="宋体" w:eastAsia="宋体" w:cs="宋体"/>
          <w:color w:val="auto"/>
          <w:sz w:val="21"/>
          <w:szCs w:val="21"/>
          <w:highlight w:val="none"/>
          <w:lang w:val="en-US" w:eastAsia="zh-CN"/>
        </w:rPr>
        <w:t>建设和服务工作重难点分析及合理化建议</w:t>
      </w:r>
      <w:r>
        <w:rPr>
          <w:rFonts w:hint="eastAsia" w:ascii="宋体" w:hAnsi="宋体" w:eastAsia="宋体" w:cs="宋体"/>
          <w:color w:val="auto"/>
          <w:sz w:val="21"/>
          <w:szCs w:val="21"/>
          <w:highlight w:val="none"/>
        </w:rPr>
        <w:t>。</w:t>
      </w:r>
    </w:p>
    <w:p w14:paraId="5DDCA3BA">
      <w:pPr>
        <w:keepNext/>
        <w:spacing w:line="360" w:lineRule="auto"/>
        <w:ind w:firstLine="200"/>
        <w:jc w:val="center"/>
        <w:rPr>
          <w:rFonts w:hint="eastAsia" w:ascii="宋体" w:hAnsi="宋体" w:eastAsia="宋体" w:cs="宋体"/>
          <w:color w:val="auto"/>
          <w:sz w:val="21"/>
          <w:szCs w:val="21"/>
          <w:highlight w:val="none"/>
        </w:rPr>
      </w:pPr>
    </w:p>
    <w:p w14:paraId="3D2FED1D">
      <w:pPr>
        <w:keepNext/>
        <w:spacing w:line="360" w:lineRule="auto"/>
        <w:ind w:firstLine="200"/>
        <w:jc w:val="center"/>
        <w:rPr>
          <w:rFonts w:hint="eastAsia" w:ascii="宋体" w:hAnsi="宋体" w:eastAsia="宋体" w:cs="宋体"/>
          <w:color w:val="auto"/>
          <w:sz w:val="21"/>
          <w:szCs w:val="21"/>
          <w:highlight w:val="none"/>
        </w:rPr>
      </w:pPr>
    </w:p>
    <w:p w14:paraId="685CCCC3">
      <w:pPr>
        <w:keepNext/>
        <w:spacing w:line="360" w:lineRule="auto"/>
        <w:ind w:firstLine="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（格式由各投标人自行设计）</w:t>
      </w:r>
    </w:p>
    <w:p w14:paraId="725633FC">
      <w:pPr>
        <w:keepNext/>
        <w:spacing w:line="360" w:lineRule="auto"/>
        <w:ind w:firstLine="200"/>
        <w:rPr>
          <w:rFonts w:hAnsi="宋体"/>
          <w:color w:val="auto"/>
          <w:sz w:val="24"/>
          <w:highlight w:val="none"/>
        </w:rPr>
      </w:pPr>
    </w:p>
    <w:p w14:paraId="294F9FFF">
      <w:pPr>
        <w:keepNext/>
        <w:jc w:val="left"/>
        <w:rPr>
          <w:rFonts w:hAnsi="宋体" w:cs="宋体"/>
          <w:color w:val="auto"/>
          <w:szCs w:val="21"/>
          <w:highlight w:val="none"/>
        </w:rPr>
      </w:pPr>
    </w:p>
    <w:p w14:paraId="5E15D5BA">
      <w:pPr>
        <w:keepNext/>
        <w:jc w:val="left"/>
        <w:rPr>
          <w:rFonts w:hAnsi="宋体" w:cs="宋体"/>
          <w:color w:val="auto"/>
          <w:szCs w:val="21"/>
          <w:highlight w:val="none"/>
        </w:rPr>
      </w:pPr>
    </w:p>
    <w:p w14:paraId="2B30500C">
      <w:pPr>
        <w:keepNext/>
        <w:jc w:val="center"/>
        <w:rPr>
          <w:rStyle w:val="114"/>
          <w:color w:val="auto"/>
          <w:highlight w:val="none"/>
        </w:rPr>
      </w:pPr>
      <w:r>
        <w:rPr>
          <w:rFonts w:hAnsi="宋体" w:cs="宋体"/>
          <w:color w:val="auto"/>
          <w:szCs w:val="21"/>
          <w:highlight w:val="none"/>
        </w:rPr>
        <w:br w:type="page"/>
      </w:r>
      <w:bookmarkStart w:id="99" w:name="_Toc27000"/>
      <w:bookmarkStart w:id="100" w:name="_Toc17061"/>
      <w:r>
        <w:rPr>
          <w:rStyle w:val="114"/>
          <w:rFonts w:hint="eastAsia" w:eastAsia="黑体" w:cs="Times New Roman"/>
          <w:color w:val="auto"/>
          <w:highlight w:val="none"/>
          <w:lang w:val="en-US" w:eastAsia="zh-CN"/>
        </w:rPr>
        <w:t>（四）保山市加油站流量数据采集系统总体设</w:t>
      </w:r>
      <w:r>
        <w:rPr>
          <w:rStyle w:val="114"/>
          <w:rFonts w:hint="eastAsia" w:eastAsia="黑体"/>
          <w:color w:val="auto"/>
          <w:highlight w:val="none"/>
          <w:lang w:val="en-US" w:eastAsia="zh-CN"/>
        </w:rPr>
        <w:t>计</w:t>
      </w:r>
      <w:r>
        <w:rPr>
          <w:rStyle w:val="114"/>
          <w:rFonts w:hint="eastAsia"/>
          <w:color w:val="auto"/>
          <w:highlight w:val="none"/>
        </w:rPr>
        <w:t>方案</w:t>
      </w:r>
    </w:p>
    <w:bookmarkEnd w:id="99"/>
    <w:bookmarkEnd w:id="100"/>
    <w:p w14:paraId="5731817B">
      <w:pPr>
        <w:spacing w:line="360" w:lineRule="auto"/>
        <w:ind w:firstLine="619" w:firstLineChars="295"/>
        <w:jc w:val="left"/>
        <w:rPr>
          <w:rFonts w:hAnsi="宋体" w:cs="宋体"/>
          <w:color w:val="auto"/>
          <w:sz w:val="21"/>
          <w:szCs w:val="21"/>
          <w:highlight w:val="none"/>
        </w:rPr>
      </w:pPr>
    </w:p>
    <w:p w14:paraId="3AAD90C0">
      <w:pPr>
        <w:keepNext/>
        <w:spacing w:line="360" w:lineRule="auto"/>
        <w:ind w:left="0" w:leftChars="0" w:firstLine="560" w:firstLineChars="0"/>
        <w:jc w:val="left"/>
        <w:rPr>
          <w:rFonts w:hint="default" w:hAnsi="宋体" w:cs="宋体"/>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t>此部分内容应充分结合招标文件中本项目采购需求的全部内容以及评标办法的评审要求进行综合分析后进行编制，此部分内容包含但不限于：</w:t>
      </w:r>
      <w:r>
        <w:rPr>
          <w:rFonts w:hint="eastAsia" w:hAnsi="宋体" w:cs="宋体"/>
          <w:color w:val="auto"/>
          <w:sz w:val="21"/>
          <w:szCs w:val="21"/>
          <w:highlight w:val="none"/>
          <w:lang w:val="en-US" w:eastAsia="zh-CN"/>
        </w:rPr>
        <w:t>①软件系统开发设计方案和原则介绍；②软件系统架构和功能设计介绍；③系统和各功能模块业务流程设计介绍。</w:t>
      </w:r>
    </w:p>
    <w:p w14:paraId="6950855E">
      <w:pPr>
        <w:keepNext/>
        <w:spacing w:line="360" w:lineRule="auto"/>
        <w:ind w:left="0" w:leftChars="0" w:firstLine="560" w:firstLineChars="0"/>
        <w:jc w:val="left"/>
        <w:rPr>
          <w:rFonts w:hint="default" w:ascii="宋体" w:hAnsi="宋体" w:eastAsia="宋体" w:cs="宋体"/>
          <w:color w:val="auto"/>
          <w:sz w:val="21"/>
          <w:szCs w:val="21"/>
          <w:highlight w:val="none"/>
          <w:lang w:val="en-US" w:eastAsia="zh-CN"/>
        </w:rPr>
      </w:pPr>
    </w:p>
    <w:p w14:paraId="172E9AB9">
      <w:pPr>
        <w:keepNext/>
        <w:spacing w:line="360" w:lineRule="auto"/>
        <w:ind w:left="0" w:leftChars="0" w:firstLine="560" w:firstLineChars="0"/>
        <w:jc w:val="left"/>
        <w:rPr>
          <w:rFonts w:hint="eastAsia" w:ascii="宋体" w:hAnsi="宋体" w:eastAsia="宋体" w:cs="宋体"/>
          <w:color w:val="auto"/>
          <w:sz w:val="21"/>
          <w:szCs w:val="21"/>
          <w:highlight w:val="none"/>
          <w:lang w:val="en-US" w:eastAsia="zh-CN"/>
        </w:rPr>
      </w:pPr>
    </w:p>
    <w:p w14:paraId="64338C0C">
      <w:pPr>
        <w:keepNext/>
        <w:spacing w:line="360" w:lineRule="auto"/>
        <w:ind w:firstLine="200"/>
        <w:jc w:val="center"/>
        <w:rPr>
          <w:rFonts w:hint="eastAsia" w:ascii="宋体" w:hAnsi="宋体" w:eastAsia="宋体" w:cs="宋体"/>
          <w:color w:val="auto"/>
          <w:sz w:val="21"/>
          <w:szCs w:val="21"/>
          <w:highlight w:val="none"/>
        </w:rPr>
      </w:pPr>
    </w:p>
    <w:p w14:paraId="71F90A80">
      <w:pPr>
        <w:spacing w:before="60" w:after="60" w:line="480" w:lineRule="auto"/>
        <w:ind w:hanging="35"/>
        <w:jc w:val="center"/>
        <w:rPr>
          <w:rFonts w:hAnsi="宋体" w:cs="宋体"/>
          <w:color w:val="auto"/>
          <w:sz w:val="21"/>
          <w:szCs w:val="21"/>
          <w:highlight w:val="none"/>
        </w:rPr>
      </w:pPr>
      <w:r>
        <w:rPr>
          <w:rFonts w:hint="eastAsia" w:ascii="宋体" w:hAnsi="宋体" w:eastAsia="宋体" w:cs="宋体"/>
          <w:color w:val="auto"/>
          <w:sz w:val="21"/>
          <w:szCs w:val="21"/>
          <w:highlight w:val="none"/>
        </w:rPr>
        <w:t>（格式由各投标人自行设计）</w:t>
      </w:r>
    </w:p>
    <w:p w14:paraId="08F1A503">
      <w:pPr>
        <w:keepNext/>
        <w:spacing w:before="60" w:after="60" w:line="340" w:lineRule="exact"/>
        <w:ind w:hanging="35"/>
        <w:rPr>
          <w:rFonts w:hAnsi="宋体"/>
          <w:color w:val="auto"/>
          <w:szCs w:val="21"/>
          <w:highlight w:val="none"/>
        </w:rPr>
      </w:pPr>
    </w:p>
    <w:p w14:paraId="18177A44">
      <w:pPr>
        <w:keepNext/>
        <w:jc w:val="center"/>
        <w:rPr>
          <w:rStyle w:val="114"/>
          <w:color w:val="auto"/>
          <w:highlight w:val="none"/>
        </w:rPr>
      </w:pPr>
      <w:r>
        <w:rPr>
          <w:rFonts w:ascii="宋体" w:hAnsi="宋体" w:eastAsia="宋体"/>
          <w:color w:val="auto"/>
          <w:sz w:val="24"/>
          <w:highlight w:val="none"/>
        </w:rPr>
        <w:br w:type="page"/>
      </w:r>
      <w:bookmarkStart w:id="101" w:name="_Toc13923"/>
      <w:bookmarkStart w:id="102" w:name="_Toc19079"/>
      <w:r>
        <w:rPr>
          <w:rStyle w:val="114"/>
          <w:rFonts w:hint="eastAsia"/>
          <w:color w:val="auto"/>
          <w:highlight w:val="none"/>
          <w:lang w:eastAsia="zh-CN"/>
        </w:rPr>
        <w:t>（</w:t>
      </w:r>
      <w:r>
        <w:rPr>
          <w:rStyle w:val="114"/>
          <w:rFonts w:hint="eastAsia"/>
          <w:color w:val="auto"/>
          <w:highlight w:val="none"/>
          <w:lang w:val="en-US" w:eastAsia="zh-CN"/>
        </w:rPr>
        <w:t>五</w:t>
      </w:r>
      <w:r>
        <w:rPr>
          <w:rStyle w:val="114"/>
          <w:rFonts w:hint="eastAsia"/>
          <w:color w:val="auto"/>
          <w:highlight w:val="none"/>
          <w:lang w:eastAsia="zh-CN"/>
        </w:rPr>
        <w:t>）</w:t>
      </w:r>
      <w:r>
        <w:rPr>
          <w:rStyle w:val="114"/>
          <w:rFonts w:hint="eastAsia"/>
          <w:color w:val="auto"/>
          <w:highlight w:val="none"/>
        </w:rPr>
        <w:t>项目</w:t>
      </w:r>
      <w:r>
        <w:rPr>
          <w:rStyle w:val="114"/>
          <w:rFonts w:hint="eastAsia" w:eastAsia="黑体"/>
          <w:color w:val="auto"/>
          <w:highlight w:val="none"/>
          <w:lang w:val="en-US" w:eastAsia="zh-CN"/>
        </w:rPr>
        <w:t>技术服务</w:t>
      </w:r>
      <w:r>
        <w:rPr>
          <w:rStyle w:val="114"/>
          <w:rFonts w:hint="eastAsia"/>
          <w:color w:val="auto"/>
          <w:highlight w:val="none"/>
        </w:rPr>
        <w:t>方案</w:t>
      </w:r>
    </w:p>
    <w:bookmarkEnd w:id="101"/>
    <w:bookmarkEnd w:id="102"/>
    <w:p w14:paraId="331D3993">
      <w:pPr>
        <w:spacing w:line="360" w:lineRule="auto"/>
        <w:ind w:firstLine="619" w:firstLineChars="295"/>
        <w:jc w:val="left"/>
        <w:rPr>
          <w:rFonts w:hAnsi="宋体" w:cs="宋体"/>
          <w:color w:val="auto"/>
          <w:sz w:val="21"/>
          <w:szCs w:val="21"/>
          <w:highlight w:val="none"/>
        </w:rPr>
      </w:pPr>
    </w:p>
    <w:p w14:paraId="28DDDB9A">
      <w:pPr>
        <w:keepNext/>
        <w:spacing w:line="360" w:lineRule="auto"/>
        <w:ind w:left="0" w:leftChars="0" w:firstLine="560" w:firstLineChars="0"/>
        <w:jc w:val="left"/>
        <w:rPr>
          <w:rFonts w:hint="eastAsia" w:ascii="宋体" w:hAnsi="宋体" w:eastAsia="宋体" w:cs="宋体"/>
          <w:color w:val="auto"/>
          <w:sz w:val="21"/>
          <w:szCs w:val="21"/>
          <w:highlight w:val="none"/>
          <w:lang w:val="en-US" w:eastAsia="zh-CN"/>
        </w:rPr>
      </w:pPr>
      <w:r>
        <w:rPr>
          <w:rFonts w:hint="eastAsia" w:asciiTheme="minorEastAsia" w:hAnsiTheme="minorEastAsia" w:eastAsiaTheme="minorEastAsia" w:cstheme="minorEastAsia"/>
          <w:bCs/>
          <w:color w:val="auto"/>
          <w:sz w:val="21"/>
          <w:szCs w:val="21"/>
          <w:highlight w:val="none"/>
        </w:rPr>
        <w:t>此部分内容应充分结合招标文件中本项目采购需求的全部内容以及评标办法的评审要求进行综合分析后进行编制，此部分内容包含但不限于：①</w:t>
      </w:r>
      <w:r>
        <w:rPr>
          <w:rFonts w:hint="eastAsia" w:asciiTheme="minorEastAsia" w:hAnsiTheme="minorEastAsia" w:eastAsiaTheme="minorEastAsia" w:cstheme="minorEastAsia"/>
          <w:bCs/>
          <w:color w:val="auto"/>
          <w:sz w:val="21"/>
          <w:szCs w:val="21"/>
          <w:highlight w:val="none"/>
          <w:lang w:eastAsia="zh-CN"/>
        </w:rPr>
        <w:t>保山市加油站流量数据采集系统</w:t>
      </w:r>
      <w:r>
        <w:rPr>
          <w:rFonts w:hint="eastAsia" w:asciiTheme="minorEastAsia" w:hAnsiTheme="minorEastAsia" w:eastAsiaTheme="minorEastAsia" w:cstheme="minorEastAsia"/>
          <w:bCs/>
          <w:color w:val="auto"/>
          <w:sz w:val="21"/>
          <w:szCs w:val="21"/>
          <w:highlight w:val="none"/>
          <w:lang w:val="en-US" w:eastAsia="zh-CN"/>
        </w:rPr>
        <w:t>开发设计工作方案；②</w:t>
      </w:r>
      <w:r>
        <w:rPr>
          <w:rFonts w:hint="eastAsia" w:asciiTheme="minorEastAsia" w:hAnsiTheme="minorEastAsia" w:eastAsiaTheme="minorEastAsia" w:cstheme="minorEastAsia"/>
          <w:bCs/>
          <w:color w:val="auto"/>
          <w:sz w:val="21"/>
          <w:szCs w:val="21"/>
          <w:highlight w:val="none"/>
          <w:lang w:eastAsia="zh-CN"/>
        </w:rPr>
        <w:t>保山市加油站流量数据采集系统</w:t>
      </w:r>
      <w:r>
        <w:rPr>
          <w:rFonts w:hint="eastAsia" w:asciiTheme="minorEastAsia" w:hAnsiTheme="minorEastAsia" w:eastAsiaTheme="minorEastAsia" w:cstheme="minorEastAsia"/>
          <w:bCs/>
          <w:color w:val="auto"/>
          <w:sz w:val="21"/>
          <w:szCs w:val="21"/>
          <w:highlight w:val="none"/>
          <w:lang w:val="en-US" w:eastAsia="zh-CN"/>
        </w:rPr>
        <w:t>安装部署和</w:t>
      </w:r>
      <w:r>
        <w:rPr>
          <w:rFonts w:hint="eastAsia" w:hAnsi="宋体" w:cs="宋体"/>
          <w:color w:val="auto"/>
          <w:sz w:val="21"/>
          <w:szCs w:val="21"/>
          <w:highlight w:val="none"/>
          <w:lang w:val="en-US" w:eastAsia="zh-CN"/>
        </w:rPr>
        <w:t>到各民营加油站现场安装数据采集工具（非介入式）技术服务方案；③软件系统数据对接费</w:t>
      </w:r>
      <w:r>
        <w:rPr>
          <w:rFonts w:hint="eastAsia" w:hAnsi="宋体" w:cs="宋体"/>
          <w:color w:val="auto"/>
          <w:sz w:val="21"/>
          <w:szCs w:val="21"/>
          <w:highlight w:val="none"/>
        </w:rPr>
        <w:t>（含接口开发）</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系统集成和信息数据整合</w:t>
      </w:r>
      <w:r>
        <w:rPr>
          <w:rFonts w:hint="eastAsia" w:asciiTheme="minorEastAsia" w:hAnsiTheme="minorEastAsia" w:eastAsiaTheme="minorEastAsia" w:cstheme="minorEastAsia"/>
          <w:bCs/>
          <w:color w:val="auto"/>
          <w:sz w:val="21"/>
          <w:szCs w:val="21"/>
          <w:highlight w:val="none"/>
        </w:rPr>
        <w:t>技术服务方案；</w:t>
      </w:r>
      <w:r>
        <w:rPr>
          <w:rFonts w:hint="eastAsia" w:asciiTheme="minorEastAsia" w:hAnsiTheme="minorEastAsia" w:eastAsiaTheme="minorEastAsia" w:cstheme="minorEastAsia"/>
          <w:bCs/>
          <w:color w:val="auto"/>
          <w:sz w:val="21"/>
          <w:szCs w:val="21"/>
          <w:highlight w:val="none"/>
          <w:lang w:val="en-US" w:eastAsia="zh-CN"/>
        </w:rPr>
        <w:t>④软件系统安装部署完成后</w:t>
      </w:r>
      <w:r>
        <w:rPr>
          <w:rFonts w:hint="eastAsia" w:asciiTheme="minorEastAsia" w:hAnsiTheme="minorEastAsia" w:eastAsiaTheme="minorEastAsia" w:cstheme="minorEastAsia"/>
          <w:bCs/>
          <w:color w:val="auto"/>
          <w:sz w:val="21"/>
          <w:szCs w:val="21"/>
          <w:highlight w:val="none"/>
        </w:rPr>
        <w:t>测试、数据系统与试运行技术方案</w:t>
      </w:r>
      <w:r>
        <w:rPr>
          <w:rFonts w:hint="eastAsia" w:asciiTheme="minorEastAsia" w:hAnsiTheme="minorEastAsia" w:eastAsiaTheme="minorEastAsia" w:cstheme="minorEastAsia"/>
          <w:bCs/>
          <w:color w:val="auto"/>
          <w:sz w:val="21"/>
          <w:szCs w:val="21"/>
          <w:highlight w:val="none"/>
          <w:lang w:eastAsia="zh-CN"/>
        </w:rPr>
        <w:t>；</w:t>
      </w:r>
      <w:r>
        <w:rPr>
          <w:rFonts w:hint="eastAsia" w:hAnsi="宋体" w:cs="宋体"/>
          <w:color w:val="auto"/>
          <w:sz w:val="21"/>
          <w:szCs w:val="21"/>
          <w:highlight w:val="none"/>
          <w:lang w:val="en-US" w:eastAsia="zh-CN"/>
        </w:rPr>
        <w:t>⑤</w:t>
      </w:r>
      <w:r>
        <w:rPr>
          <w:rFonts w:hint="eastAsia" w:ascii="宋体" w:hAnsi="宋体" w:eastAsia="宋体" w:cs="宋体"/>
          <w:color w:val="auto"/>
          <w:sz w:val="21"/>
          <w:szCs w:val="21"/>
          <w:highlight w:val="none"/>
          <w:lang w:val="en-US" w:eastAsia="zh-CN"/>
        </w:rPr>
        <w:t>项目实施进度计划安排；</w:t>
      </w:r>
      <w:r>
        <w:rPr>
          <w:rFonts w:hint="eastAsia" w:asciiTheme="minorEastAsia" w:hAnsiTheme="minorEastAsia" w:eastAsiaTheme="minorEastAsia" w:cstheme="minorEastAsia"/>
          <w:bCs/>
          <w:color w:val="auto"/>
          <w:sz w:val="21"/>
          <w:szCs w:val="21"/>
          <w:highlight w:val="none"/>
          <w:lang w:val="en-US" w:eastAsia="zh-CN"/>
        </w:rPr>
        <w:t>⑥</w:t>
      </w:r>
      <w:r>
        <w:rPr>
          <w:rFonts w:hint="eastAsia" w:asciiTheme="minorEastAsia" w:hAnsiTheme="minorEastAsia" w:eastAsiaTheme="minorEastAsia" w:cstheme="minorEastAsia"/>
          <w:bCs/>
          <w:color w:val="auto"/>
          <w:sz w:val="21"/>
          <w:szCs w:val="21"/>
          <w:highlight w:val="none"/>
        </w:rPr>
        <w:t>项目检验验收</w:t>
      </w:r>
      <w:r>
        <w:rPr>
          <w:rFonts w:hint="eastAsia" w:asciiTheme="minorEastAsia" w:hAnsiTheme="minorEastAsia" w:eastAsiaTheme="minorEastAsia" w:cstheme="minorEastAsia"/>
          <w:bCs/>
          <w:color w:val="auto"/>
          <w:sz w:val="21"/>
          <w:szCs w:val="21"/>
          <w:highlight w:val="none"/>
          <w:lang w:val="en-US" w:eastAsia="zh-CN"/>
        </w:rPr>
        <w:t>和配合</w:t>
      </w:r>
      <w:r>
        <w:rPr>
          <w:rFonts w:hint="eastAsia" w:hAnsi="宋体" w:cs="宋体"/>
          <w:color w:val="auto"/>
          <w:sz w:val="21"/>
          <w:szCs w:val="21"/>
          <w:highlight w:val="none"/>
          <w:lang w:val="en-US" w:eastAsia="zh-CN"/>
        </w:rPr>
        <w:t>协助采购人完成后续软件系统评测服务工作技术方案，</w:t>
      </w:r>
      <w:r>
        <w:rPr>
          <w:rFonts w:hint="eastAsia" w:asciiTheme="minorEastAsia" w:hAnsiTheme="minorEastAsia" w:eastAsiaTheme="minorEastAsia" w:cstheme="minorEastAsia"/>
          <w:bCs/>
          <w:color w:val="auto"/>
          <w:sz w:val="21"/>
          <w:szCs w:val="21"/>
          <w:highlight w:val="none"/>
        </w:rPr>
        <w:t>及针对项目</w:t>
      </w:r>
      <w:r>
        <w:rPr>
          <w:rFonts w:hint="eastAsia" w:asciiTheme="minorEastAsia" w:hAnsiTheme="minorEastAsia" w:eastAsiaTheme="minorEastAsia" w:cstheme="minorEastAsia"/>
          <w:bCs/>
          <w:color w:val="auto"/>
          <w:sz w:val="21"/>
          <w:szCs w:val="21"/>
          <w:highlight w:val="none"/>
          <w:lang w:val="en-US" w:eastAsia="zh-CN"/>
        </w:rPr>
        <w:t>验收和第三方评测</w:t>
      </w:r>
      <w:r>
        <w:rPr>
          <w:rFonts w:hint="eastAsia" w:asciiTheme="minorEastAsia" w:hAnsiTheme="minorEastAsia" w:eastAsiaTheme="minorEastAsia" w:cstheme="minorEastAsia"/>
          <w:bCs/>
          <w:color w:val="auto"/>
          <w:sz w:val="21"/>
          <w:szCs w:val="21"/>
          <w:highlight w:val="none"/>
        </w:rPr>
        <w:t>提出相关问题的整改优化工作预案；</w:t>
      </w:r>
      <w:r>
        <w:rPr>
          <w:rFonts w:hint="eastAsia" w:asciiTheme="minorEastAsia" w:hAnsiTheme="minorEastAsia" w:eastAsiaTheme="minorEastAsia" w:cstheme="minorEastAsia"/>
          <w:bCs/>
          <w:color w:val="auto"/>
          <w:sz w:val="21"/>
          <w:szCs w:val="21"/>
          <w:highlight w:val="none"/>
          <w:lang w:val="en-US" w:eastAsia="zh-CN"/>
        </w:rPr>
        <w:t>⑦</w:t>
      </w:r>
      <w:r>
        <w:rPr>
          <w:rFonts w:hint="eastAsia" w:asciiTheme="minorEastAsia" w:hAnsiTheme="minorEastAsia" w:eastAsiaTheme="minorEastAsia" w:cstheme="minorEastAsia"/>
          <w:bCs/>
          <w:color w:val="auto"/>
          <w:sz w:val="21"/>
          <w:szCs w:val="21"/>
          <w:highlight w:val="none"/>
        </w:rPr>
        <w:t>相关数据信息和档案管理机制技术服务方案；</w:t>
      </w:r>
      <w:r>
        <w:rPr>
          <w:rFonts w:hint="eastAsia" w:asciiTheme="minorEastAsia" w:hAnsiTheme="minorEastAsia" w:eastAsiaTheme="minorEastAsia" w:cstheme="minorEastAsia"/>
          <w:bCs/>
          <w:color w:val="auto"/>
          <w:sz w:val="21"/>
          <w:szCs w:val="21"/>
          <w:highlight w:val="none"/>
          <w:lang w:val="en-US" w:eastAsia="zh-CN"/>
        </w:rPr>
        <w:t>⑧</w:t>
      </w:r>
      <w:r>
        <w:rPr>
          <w:rFonts w:hint="eastAsia" w:asciiTheme="minorEastAsia" w:hAnsiTheme="minorEastAsia" w:eastAsiaTheme="minorEastAsia" w:cstheme="minorEastAsia"/>
          <w:bCs/>
          <w:color w:val="auto"/>
          <w:sz w:val="21"/>
          <w:szCs w:val="21"/>
          <w:highlight w:val="none"/>
        </w:rPr>
        <w:t>项目风险控制方案和应急措施（至少包含：风险和应急事项预见、风险和应急处理程序、相应的处置预案）。</w:t>
      </w:r>
    </w:p>
    <w:p w14:paraId="2090E0F1">
      <w:pPr>
        <w:keepNext/>
        <w:spacing w:line="360" w:lineRule="auto"/>
        <w:ind w:firstLine="200"/>
        <w:jc w:val="center"/>
        <w:rPr>
          <w:rFonts w:hint="eastAsia" w:ascii="宋体" w:hAnsi="宋体" w:eastAsia="宋体" w:cs="宋体"/>
          <w:color w:val="auto"/>
          <w:sz w:val="21"/>
          <w:szCs w:val="21"/>
          <w:highlight w:val="none"/>
        </w:rPr>
      </w:pPr>
    </w:p>
    <w:p w14:paraId="47174996">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（格式由各投标人自行设计）</w:t>
      </w:r>
    </w:p>
    <w:p w14:paraId="6E2BC4B4">
      <w:pPr>
        <w:jc w:val="center"/>
        <w:rPr>
          <w:rFonts w:hint="eastAsia" w:ascii="宋体" w:hAnsi="宋体" w:eastAsia="宋体" w:cs="宋体"/>
          <w:color w:val="auto"/>
          <w:sz w:val="21"/>
          <w:szCs w:val="21"/>
          <w:highlight w:val="none"/>
        </w:rPr>
      </w:pPr>
    </w:p>
    <w:p w14:paraId="547FCAA0">
      <w:pPr>
        <w:jc w:val="center"/>
        <w:rPr>
          <w:rFonts w:ascii="宋体" w:hAnsi="宋体" w:eastAsia="宋体"/>
          <w:color w:val="auto"/>
          <w:sz w:val="24"/>
          <w:highlight w:val="none"/>
        </w:rPr>
      </w:pPr>
      <w:r>
        <w:rPr>
          <w:rFonts w:ascii="宋体" w:hAnsi="宋体" w:eastAsia="宋体"/>
          <w:color w:val="auto"/>
          <w:sz w:val="24"/>
          <w:highlight w:val="none"/>
        </w:rPr>
        <w:br w:type="page"/>
      </w:r>
    </w:p>
    <w:p w14:paraId="11C1AF2D">
      <w:pPr>
        <w:keepNext/>
        <w:jc w:val="center"/>
        <w:rPr>
          <w:rStyle w:val="114"/>
          <w:rFonts w:hint="eastAsia" w:cs="Times New Roman"/>
          <w:color w:val="auto"/>
          <w:highlight w:val="none"/>
        </w:rPr>
      </w:pPr>
      <w:bookmarkStart w:id="103" w:name="_Toc27196"/>
      <w:bookmarkStart w:id="104" w:name="_Toc511"/>
      <w:r>
        <w:rPr>
          <w:rStyle w:val="114"/>
          <w:rFonts w:hint="eastAsia" w:cs="Times New Roman"/>
          <w:color w:val="auto"/>
          <w:highlight w:val="none"/>
          <w:lang w:eastAsia="zh-CN"/>
        </w:rPr>
        <w:t>（</w:t>
      </w:r>
      <w:r>
        <w:rPr>
          <w:rStyle w:val="114"/>
          <w:rFonts w:hint="eastAsia" w:cs="Times New Roman"/>
          <w:color w:val="auto"/>
          <w:highlight w:val="none"/>
          <w:lang w:val="en-US" w:eastAsia="zh-CN"/>
        </w:rPr>
        <w:t>六）项目</w:t>
      </w:r>
      <w:r>
        <w:rPr>
          <w:rStyle w:val="114"/>
          <w:rFonts w:hint="eastAsia" w:cs="Times New Roman"/>
          <w:color w:val="auto"/>
          <w:highlight w:val="none"/>
        </w:rPr>
        <w:t>技术偏离表</w:t>
      </w:r>
    </w:p>
    <w:bookmarkEnd w:id="103"/>
    <w:bookmarkEnd w:id="104"/>
    <w:tbl>
      <w:tblPr>
        <w:tblStyle w:val="37"/>
        <w:tblpPr w:leftFromText="180" w:rightFromText="180" w:vertAnchor="text" w:horzAnchor="page" w:tblpX="1216" w:tblpY="289"/>
        <w:tblW w:w="100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9"/>
        <w:gridCol w:w="960"/>
        <w:gridCol w:w="1920"/>
        <w:gridCol w:w="1890"/>
        <w:gridCol w:w="1695"/>
        <w:gridCol w:w="2739"/>
      </w:tblGrid>
      <w:tr w14:paraId="147CB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Align w:val="center"/>
          </w:tcPr>
          <w:p w14:paraId="6AEB4FCD">
            <w:pPr>
              <w:keepNext w:val="0"/>
              <w:keepLines w:val="0"/>
              <w:suppressLineNumbers w:val="0"/>
              <w:spacing w:before="0" w:beforeAutospacing="0" w:after="0" w:afterAutospacing="0" w:line="360" w:lineRule="auto"/>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产品名称</w:t>
            </w:r>
          </w:p>
        </w:tc>
        <w:tc>
          <w:tcPr>
            <w:tcW w:w="960" w:type="dxa"/>
            <w:vAlign w:val="center"/>
          </w:tcPr>
          <w:p w14:paraId="3E02A3CE">
            <w:pPr>
              <w:keepNext w:val="0"/>
              <w:keepLines w:val="0"/>
              <w:suppressLineNumbers w:val="0"/>
              <w:spacing w:before="0" w:beforeAutospacing="0" w:after="0" w:afterAutospacing="0" w:line="360" w:lineRule="auto"/>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技术</w:t>
            </w:r>
            <w:r>
              <w:rPr>
                <w:rFonts w:hint="eastAsia" w:ascii="宋体" w:hAnsi="宋体" w:cs="宋体"/>
                <w:color w:val="auto"/>
                <w:sz w:val="21"/>
                <w:szCs w:val="21"/>
                <w:highlight w:val="none"/>
                <w:lang w:val="en-US" w:eastAsia="zh-CN"/>
              </w:rPr>
              <w:t>服务要求</w:t>
            </w:r>
            <w:r>
              <w:rPr>
                <w:rFonts w:hint="eastAsia" w:ascii="宋体" w:hAnsi="宋体" w:cs="宋体"/>
                <w:color w:val="auto"/>
                <w:sz w:val="21"/>
                <w:szCs w:val="21"/>
                <w:highlight w:val="none"/>
              </w:rPr>
              <w:t>条款号</w:t>
            </w:r>
          </w:p>
        </w:tc>
        <w:tc>
          <w:tcPr>
            <w:tcW w:w="1920" w:type="dxa"/>
            <w:vAlign w:val="center"/>
          </w:tcPr>
          <w:p w14:paraId="32148E73">
            <w:pPr>
              <w:keepNext w:val="0"/>
              <w:keepLines w:val="0"/>
              <w:suppressLineNumbers w:val="0"/>
              <w:spacing w:before="0" w:beforeAutospacing="0" w:after="0" w:afterAutospacing="0" w:line="360" w:lineRule="auto"/>
              <w:ind w:left="0" w:right="0"/>
              <w:jc w:val="center"/>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项目</w:t>
            </w:r>
            <w:r>
              <w:rPr>
                <w:rFonts w:hint="eastAsia" w:ascii="宋体" w:hAnsi="宋体" w:cs="宋体"/>
                <w:color w:val="auto"/>
                <w:sz w:val="21"/>
                <w:szCs w:val="21"/>
                <w:highlight w:val="none"/>
              </w:rPr>
              <w:t>技术</w:t>
            </w:r>
            <w:r>
              <w:rPr>
                <w:rFonts w:hint="eastAsia" w:ascii="宋体" w:hAnsi="宋体" w:cs="宋体"/>
                <w:color w:val="auto"/>
                <w:sz w:val="21"/>
                <w:szCs w:val="21"/>
                <w:highlight w:val="none"/>
                <w:lang w:val="en-US" w:eastAsia="zh-CN"/>
              </w:rPr>
              <w:t>服务要求</w:t>
            </w:r>
          </w:p>
        </w:tc>
        <w:tc>
          <w:tcPr>
            <w:tcW w:w="1890" w:type="dxa"/>
            <w:vAlign w:val="center"/>
          </w:tcPr>
          <w:p w14:paraId="457D540D">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投标人响应的技术服务情况</w:t>
            </w:r>
          </w:p>
        </w:tc>
        <w:tc>
          <w:tcPr>
            <w:tcW w:w="1695" w:type="dxa"/>
            <w:vAlign w:val="center"/>
          </w:tcPr>
          <w:p w14:paraId="485A03E8">
            <w:pPr>
              <w:keepNext w:val="0"/>
              <w:keepLines w:val="0"/>
              <w:suppressLineNumbers w:val="0"/>
              <w:spacing w:before="0" w:beforeAutospacing="0" w:after="0" w:afterAutospacing="0" w:line="360" w:lineRule="auto"/>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偏离情况</w:t>
            </w:r>
          </w:p>
        </w:tc>
        <w:tc>
          <w:tcPr>
            <w:tcW w:w="2739" w:type="dxa"/>
            <w:vAlign w:val="center"/>
          </w:tcPr>
          <w:p w14:paraId="58BDDE00">
            <w:pPr>
              <w:keepNext w:val="0"/>
              <w:keepLines w:val="0"/>
              <w:suppressLineNumbers w:val="0"/>
              <w:spacing w:before="0" w:beforeAutospacing="0" w:after="0" w:afterAutospacing="0" w:line="360" w:lineRule="auto"/>
              <w:ind w:left="0" w:right="0"/>
              <w:jc w:val="center"/>
              <w:rPr>
                <w:rFonts w:ascii="宋体" w:hAnsi="宋体" w:cs="宋体"/>
                <w:color w:val="auto"/>
                <w:sz w:val="21"/>
                <w:szCs w:val="21"/>
                <w:highlight w:val="none"/>
              </w:rPr>
            </w:pPr>
            <w:r>
              <w:rPr>
                <w:rFonts w:hint="eastAsia" w:ascii="宋体" w:hAnsi="宋体" w:cs="宋体"/>
                <w:bCs/>
                <w:color w:val="auto"/>
                <w:sz w:val="21"/>
                <w:szCs w:val="21"/>
                <w:highlight w:val="none"/>
                <w:lang w:val="en-US" w:eastAsia="zh-CN"/>
              </w:rPr>
              <w:t>相关</w:t>
            </w:r>
            <w:r>
              <w:rPr>
                <w:rFonts w:hint="eastAsia" w:ascii="宋体" w:hAnsi="宋体" w:cs="宋体"/>
                <w:bCs/>
                <w:color w:val="auto"/>
                <w:sz w:val="21"/>
                <w:szCs w:val="21"/>
                <w:highlight w:val="none"/>
              </w:rPr>
              <w:t>技术材料所在位置（</w:t>
            </w:r>
            <w:r>
              <w:rPr>
                <w:rFonts w:hint="eastAsia" w:ascii="宋体" w:hAnsi="宋体" w:cs="宋体"/>
                <w:bCs/>
                <w:color w:val="auto"/>
                <w:sz w:val="21"/>
                <w:szCs w:val="21"/>
                <w:highlight w:val="none"/>
                <w:lang w:val="en-US" w:eastAsia="zh-CN"/>
              </w:rPr>
              <w:t>注明对应条款中在投标文件的</w:t>
            </w:r>
            <w:r>
              <w:rPr>
                <w:rFonts w:hint="eastAsia" w:ascii="宋体" w:hAnsi="宋体" w:cs="宋体"/>
                <w:bCs/>
                <w:color w:val="auto"/>
                <w:sz w:val="21"/>
                <w:szCs w:val="21"/>
                <w:highlight w:val="none"/>
              </w:rPr>
              <w:t>页码</w:t>
            </w:r>
            <w:r>
              <w:rPr>
                <w:rFonts w:hint="eastAsia" w:ascii="宋体" w:hAnsi="宋体" w:cs="宋体"/>
                <w:bCs/>
                <w:color w:val="auto"/>
                <w:sz w:val="21"/>
                <w:szCs w:val="21"/>
                <w:highlight w:val="none"/>
                <w:lang w:val="en-US" w:eastAsia="zh-CN"/>
              </w:rPr>
              <w:t>和具体位置</w:t>
            </w:r>
            <w:r>
              <w:rPr>
                <w:rFonts w:hint="eastAsia" w:ascii="宋体" w:hAnsi="宋体" w:cs="宋体"/>
                <w:bCs/>
                <w:color w:val="auto"/>
                <w:sz w:val="21"/>
                <w:szCs w:val="21"/>
                <w:highlight w:val="none"/>
              </w:rPr>
              <w:t>）</w:t>
            </w:r>
          </w:p>
        </w:tc>
      </w:tr>
      <w:tr w14:paraId="1A9CD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Merge w:val="restart"/>
            <w:vAlign w:val="center"/>
          </w:tcPr>
          <w:p w14:paraId="0DEB0700">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960" w:type="dxa"/>
            <w:vAlign w:val="center"/>
          </w:tcPr>
          <w:p w14:paraId="4B0CD3AE">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1</w:t>
            </w:r>
          </w:p>
        </w:tc>
        <w:tc>
          <w:tcPr>
            <w:tcW w:w="1920" w:type="dxa"/>
            <w:vAlign w:val="center"/>
          </w:tcPr>
          <w:p w14:paraId="41982D16">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890" w:type="dxa"/>
            <w:vAlign w:val="center"/>
          </w:tcPr>
          <w:p w14:paraId="50CEAEDF">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695" w:type="dxa"/>
            <w:vAlign w:val="center"/>
          </w:tcPr>
          <w:p w14:paraId="49213448">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2739" w:type="dxa"/>
            <w:vAlign w:val="center"/>
          </w:tcPr>
          <w:p w14:paraId="1A017553">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r>
      <w:tr w14:paraId="2B4C5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Merge w:val="continue"/>
            <w:vAlign w:val="center"/>
          </w:tcPr>
          <w:p w14:paraId="4A7E6C6F">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960" w:type="dxa"/>
            <w:vAlign w:val="center"/>
          </w:tcPr>
          <w:p w14:paraId="3882F349">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1.1</w:t>
            </w:r>
          </w:p>
        </w:tc>
        <w:tc>
          <w:tcPr>
            <w:tcW w:w="1920" w:type="dxa"/>
            <w:vAlign w:val="center"/>
          </w:tcPr>
          <w:p w14:paraId="16E00BBB">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890" w:type="dxa"/>
            <w:vAlign w:val="center"/>
          </w:tcPr>
          <w:p w14:paraId="738FFE9F">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695" w:type="dxa"/>
            <w:vAlign w:val="center"/>
          </w:tcPr>
          <w:p w14:paraId="6B869628">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2739" w:type="dxa"/>
            <w:vAlign w:val="center"/>
          </w:tcPr>
          <w:p w14:paraId="7FAC90D1">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r>
      <w:tr w14:paraId="07078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Merge w:val="continue"/>
            <w:vAlign w:val="center"/>
          </w:tcPr>
          <w:p w14:paraId="0A30A6AE">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960" w:type="dxa"/>
            <w:vAlign w:val="center"/>
          </w:tcPr>
          <w:p w14:paraId="51095657">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1.2</w:t>
            </w:r>
          </w:p>
        </w:tc>
        <w:tc>
          <w:tcPr>
            <w:tcW w:w="1920" w:type="dxa"/>
            <w:vAlign w:val="center"/>
          </w:tcPr>
          <w:p w14:paraId="2356F842">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890" w:type="dxa"/>
            <w:vAlign w:val="center"/>
          </w:tcPr>
          <w:p w14:paraId="72583E2E">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695" w:type="dxa"/>
            <w:vAlign w:val="center"/>
          </w:tcPr>
          <w:p w14:paraId="69123ABC">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2739" w:type="dxa"/>
            <w:vAlign w:val="center"/>
          </w:tcPr>
          <w:p w14:paraId="756C73A9">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r>
      <w:tr w14:paraId="2473C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Merge w:val="continue"/>
            <w:vAlign w:val="center"/>
          </w:tcPr>
          <w:p w14:paraId="5BB461D9">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960" w:type="dxa"/>
            <w:vAlign w:val="center"/>
          </w:tcPr>
          <w:p w14:paraId="6F9692BC">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w:t>
            </w:r>
          </w:p>
        </w:tc>
        <w:tc>
          <w:tcPr>
            <w:tcW w:w="1920" w:type="dxa"/>
            <w:vAlign w:val="center"/>
          </w:tcPr>
          <w:p w14:paraId="62D6078A">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890" w:type="dxa"/>
            <w:vAlign w:val="center"/>
          </w:tcPr>
          <w:p w14:paraId="148BF96D">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695" w:type="dxa"/>
            <w:vAlign w:val="center"/>
          </w:tcPr>
          <w:p w14:paraId="02CBD3AE">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2739" w:type="dxa"/>
            <w:vAlign w:val="center"/>
          </w:tcPr>
          <w:p w14:paraId="523DE7C3">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r>
      <w:tr w14:paraId="4E2AE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Merge w:val="continue"/>
            <w:vAlign w:val="center"/>
          </w:tcPr>
          <w:p w14:paraId="36007E2F">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960" w:type="dxa"/>
            <w:vAlign w:val="center"/>
          </w:tcPr>
          <w:p w14:paraId="51B0A024">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2</w:t>
            </w:r>
          </w:p>
        </w:tc>
        <w:tc>
          <w:tcPr>
            <w:tcW w:w="1920" w:type="dxa"/>
            <w:vAlign w:val="center"/>
          </w:tcPr>
          <w:p w14:paraId="1BAB2AA5">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890" w:type="dxa"/>
            <w:vAlign w:val="center"/>
          </w:tcPr>
          <w:p w14:paraId="648FD440">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695" w:type="dxa"/>
            <w:vAlign w:val="center"/>
          </w:tcPr>
          <w:p w14:paraId="12DBE607">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2739" w:type="dxa"/>
            <w:vAlign w:val="center"/>
          </w:tcPr>
          <w:p w14:paraId="38D82445">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r>
      <w:tr w14:paraId="0EDA71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Merge w:val="continue"/>
            <w:vAlign w:val="center"/>
          </w:tcPr>
          <w:p w14:paraId="681D1883">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960" w:type="dxa"/>
            <w:vAlign w:val="center"/>
          </w:tcPr>
          <w:p w14:paraId="7EDE32C8">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2.1</w:t>
            </w:r>
          </w:p>
        </w:tc>
        <w:tc>
          <w:tcPr>
            <w:tcW w:w="1920" w:type="dxa"/>
            <w:vAlign w:val="center"/>
          </w:tcPr>
          <w:p w14:paraId="322206E0">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890" w:type="dxa"/>
            <w:vAlign w:val="center"/>
          </w:tcPr>
          <w:p w14:paraId="5F983DDD">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695" w:type="dxa"/>
            <w:vAlign w:val="center"/>
          </w:tcPr>
          <w:p w14:paraId="16A7E9C9">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2739" w:type="dxa"/>
            <w:vAlign w:val="center"/>
          </w:tcPr>
          <w:p w14:paraId="5F2EA793">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r>
      <w:tr w14:paraId="677678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9" w:type="dxa"/>
            <w:vMerge w:val="continue"/>
            <w:vAlign w:val="center"/>
          </w:tcPr>
          <w:p w14:paraId="4B44A4A0">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960" w:type="dxa"/>
            <w:vAlign w:val="center"/>
          </w:tcPr>
          <w:p w14:paraId="4B89E111">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r>
              <w:rPr>
                <w:rFonts w:hint="eastAsia" w:ascii="宋体" w:hAnsi="宋体" w:cs="宋体"/>
                <w:color w:val="auto"/>
                <w:sz w:val="21"/>
                <w:szCs w:val="21"/>
                <w:highlight w:val="none"/>
              </w:rPr>
              <w:t>···</w:t>
            </w:r>
          </w:p>
        </w:tc>
        <w:tc>
          <w:tcPr>
            <w:tcW w:w="1920" w:type="dxa"/>
            <w:vAlign w:val="center"/>
          </w:tcPr>
          <w:p w14:paraId="466A65BA">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890" w:type="dxa"/>
            <w:vAlign w:val="center"/>
          </w:tcPr>
          <w:p w14:paraId="0EE51F5C">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1695" w:type="dxa"/>
            <w:vAlign w:val="center"/>
          </w:tcPr>
          <w:p w14:paraId="04A24754">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c>
          <w:tcPr>
            <w:tcW w:w="2739" w:type="dxa"/>
            <w:vAlign w:val="center"/>
          </w:tcPr>
          <w:p w14:paraId="28982DFB">
            <w:pPr>
              <w:keepNext w:val="0"/>
              <w:keepLines w:val="0"/>
              <w:suppressLineNumbers w:val="0"/>
              <w:spacing w:before="0" w:beforeAutospacing="0" w:after="0" w:afterAutospacing="0" w:line="360" w:lineRule="exact"/>
              <w:ind w:left="0" w:right="0"/>
              <w:jc w:val="center"/>
              <w:rPr>
                <w:rFonts w:ascii="宋体" w:hAnsi="宋体" w:cs="宋体"/>
                <w:color w:val="auto"/>
                <w:sz w:val="21"/>
                <w:szCs w:val="21"/>
                <w:highlight w:val="none"/>
              </w:rPr>
            </w:pPr>
          </w:p>
        </w:tc>
      </w:tr>
    </w:tbl>
    <w:p w14:paraId="41B5CE44">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cs="宋体"/>
          <w:color w:val="auto"/>
          <w:sz w:val="21"/>
          <w:szCs w:val="21"/>
          <w:highlight w:val="none"/>
        </w:rPr>
      </w:pPr>
      <w:r>
        <w:rPr>
          <w:rFonts w:hint="eastAsia" w:ascii="宋体" w:hAnsi="宋体" w:cs="宋体"/>
          <w:color w:val="auto"/>
          <w:sz w:val="21"/>
          <w:szCs w:val="21"/>
          <w:highlight w:val="none"/>
        </w:rPr>
        <w:t>注：1.本表格作为</w:t>
      </w:r>
      <w:r>
        <w:rPr>
          <w:rFonts w:hint="eastAsia" w:ascii="宋体" w:hAnsi="宋体" w:cs="宋体"/>
          <w:color w:val="auto"/>
          <w:sz w:val="21"/>
          <w:szCs w:val="21"/>
          <w:highlight w:val="none"/>
          <w:lang w:eastAsia="zh-CN"/>
        </w:rPr>
        <w:t>投标文件</w:t>
      </w:r>
      <w:r>
        <w:rPr>
          <w:rFonts w:hint="eastAsia" w:ascii="宋体" w:hAnsi="宋体" w:cs="宋体"/>
          <w:color w:val="auto"/>
          <w:sz w:val="21"/>
          <w:szCs w:val="21"/>
          <w:highlight w:val="none"/>
        </w:rPr>
        <w:t>的重要的组成部分，任何通过简单拷贝</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技术要求或简单标注“符合”“满足”的，评审时不予认可。</w:t>
      </w:r>
    </w:p>
    <w:p w14:paraId="77EB1794">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hint="eastAsia" w:ascii="宋体" w:hAnsi="宋体" w:cs="宋体"/>
          <w:color w:val="auto"/>
          <w:sz w:val="21"/>
          <w:szCs w:val="21"/>
          <w:highlight w:val="none"/>
        </w:rPr>
      </w:pPr>
      <w:r>
        <w:rPr>
          <w:rFonts w:hint="eastAsia" w:ascii="宋体" w:hAnsi="宋体" w:cs="宋体"/>
          <w:color w:val="auto"/>
          <w:sz w:val="21"/>
          <w:szCs w:val="21"/>
          <w:highlight w:val="none"/>
        </w:rPr>
        <w:t>2.偏离包括无偏离、正偏离、负偏离。负偏离指</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针对</w:t>
      </w:r>
      <w:r>
        <w:rPr>
          <w:rFonts w:hint="eastAsia" w:ascii="宋体" w:hAnsi="宋体" w:cs="宋体"/>
          <w:color w:val="auto"/>
          <w:sz w:val="21"/>
          <w:szCs w:val="21"/>
          <w:highlight w:val="none"/>
          <w:lang w:val="en-US" w:eastAsia="zh-CN"/>
        </w:rPr>
        <w:t>采购需求中各项技术服务要求所作出</w:t>
      </w:r>
      <w:r>
        <w:rPr>
          <w:rFonts w:hint="eastAsia" w:ascii="宋体" w:hAnsi="宋体" w:cs="宋体"/>
          <w:color w:val="auto"/>
          <w:sz w:val="21"/>
          <w:szCs w:val="21"/>
          <w:highlight w:val="none"/>
        </w:rPr>
        <w:t>的技术响应情况低于</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公布的</w:t>
      </w:r>
      <w:r>
        <w:rPr>
          <w:rFonts w:hint="eastAsia" w:ascii="宋体" w:hAnsi="宋体" w:cs="宋体"/>
          <w:color w:val="auto"/>
          <w:sz w:val="21"/>
          <w:szCs w:val="21"/>
          <w:highlight w:val="none"/>
          <w:lang w:val="en-US" w:eastAsia="zh-CN"/>
        </w:rPr>
        <w:t>项目技术服务要求</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提供的</w:t>
      </w:r>
      <w:r>
        <w:rPr>
          <w:rFonts w:hint="eastAsia" w:hAnsi="宋体" w:cs="宋体"/>
          <w:color w:val="auto"/>
          <w:sz w:val="21"/>
          <w:szCs w:val="21"/>
          <w:highlight w:val="none"/>
          <w:lang w:val="en-US" w:eastAsia="zh-CN"/>
        </w:rPr>
        <w:t>保山市加油站流量数据采集系统</w:t>
      </w:r>
      <w:r>
        <w:rPr>
          <w:rFonts w:hint="eastAsia" w:ascii="宋体" w:hAnsi="宋体" w:cs="宋体"/>
          <w:color w:val="auto"/>
          <w:sz w:val="21"/>
          <w:szCs w:val="21"/>
          <w:highlight w:val="none"/>
          <w:lang w:val="en-US" w:eastAsia="zh-CN"/>
        </w:rPr>
        <w:t>总体设计方案或项目技术服务方案须与采购需求对应的</w:t>
      </w:r>
      <w:r>
        <w:rPr>
          <w:rFonts w:hint="eastAsia" w:ascii="宋体" w:hAnsi="宋体" w:cs="宋体"/>
          <w:color w:val="auto"/>
          <w:sz w:val="21"/>
          <w:szCs w:val="21"/>
          <w:highlight w:val="none"/>
        </w:rPr>
        <w:t>技术</w:t>
      </w:r>
      <w:r>
        <w:rPr>
          <w:rFonts w:hint="eastAsia" w:ascii="宋体" w:hAnsi="宋体" w:cs="宋体"/>
          <w:color w:val="auto"/>
          <w:sz w:val="21"/>
          <w:szCs w:val="21"/>
          <w:highlight w:val="none"/>
          <w:lang w:val="en-US" w:eastAsia="zh-CN"/>
        </w:rPr>
        <w:t>服务要求逐一</w:t>
      </w:r>
      <w:r>
        <w:rPr>
          <w:rFonts w:hint="eastAsia" w:ascii="宋体" w:hAnsi="宋体" w:cs="宋体"/>
          <w:color w:val="auto"/>
          <w:sz w:val="21"/>
          <w:szCs w:val="21"/>
          <w:highlight w:val="none"/>
        </w:rPr>
        <w:t>相呼应，否则评审时不予认可</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rPr>
        <w:t>，无偏离指</w:t>
      </w:r>
      <w:r>
        <w:rPr>
          <w:rFonts w:hint="eastAsia" w:ascii="宋体" w:hAnsi="宋体" w:cs="宋体"/>
          <w:color w:val="auto"/>
          <w:sz w:val="21"/>
          <w:szCs w:val="21"/>
          <w:highlight w:val="none"/>
          <w:lang w:eastAsia="zh-CN"/>
        </w:rPr>
        <w:t>投标人</w:t>
      </w:r>
      <w:r>
        <w:rPr>
          <w:rFonts w:hint="eastAsia" w:ascii="宋体" w:hAnsi="宋体" w:cs="宋体"/>
          <w:color w:val="auto"/>
          <w:sz w:val="21"/>
          <w:szCs w:val="21"/>
          <w:highlight w:val="none"/>
        </w:rPr>
        <w:t>针对</w:t>
      </w:r>
      <w:r>
        <w:rPr>
          <w:rFonts w:hint="eastAsia" w:ascii="宋体" w:hAnsi="宋体" w:cs="宋体"/>
          <w:color w:val="auto"/>
          <w:sz w:val="21"/>
          <w:szCs w:val="21"/>
          <w:highlight w:val="none"/>
          <w:lang w:val="en-US" w:eastAsia="zh-CN"/>
        </w:rPr>
        <w:t>采购需求中各项技术服务要求所作出</w:t>
      </w:r>
      <w:r>
        <w:rPr>
          <w:rFonts w:hint="eastAsia" w:ascii="宋体" w:hAnsi="宋体" w:cs="宋体"/>
          <w:color w:val="auto"/>
          <w:sz w:val="21"/>
          <w:szCs w:val="21"/>
          <w:highlight w:val="none"/>
        </w:rPr>
        <w:t>的技术响应情况满足</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公布的技术要求，正偏离指</w:t>
      </w:r>
      <w:r>
        <w:rPr>
          <w:rFonts w:hint="eastAsia" w:ascii="宋体" w:hAnsi="宋体" w:cs="宋体"/>
          <w:color w:val="auto"/>
          <w:sz w:val="21"/>
          <w:szCs w:val="21"/>
          <w:highlight w:val="none"/>
          <w:lang w:val="en-US" w:eastAsia="zh-CN"/>
        </w:rPr>
        <w:t>投标人</w:t>
      </w:r>
      <w:r>
        <w:rPr>
          <w:rFonts w:hint="eastAsia" w:ascii="宋体" w:hAnsi="宋体" w:cs="宋体"/>
          <w:color w:val="auto"/>
          <w:sz w:val="21"/>
          <w:szCs w:val="21"/>
          <w:highlight w:val="none"/>
        </w:rPr>
        <w:t>针对</w:t>
      </w:r>
      <w:r>
        <w:rPr>
          <w:rFonts w:hint="eastAsia" w:ascii="宋体" w:hAnsi="宋体" w:cs="宋体"/>
          <w:color w:val="auto"/>
          <w:sz w:val="21"/>
          <w:szCs w:val="21"/>
          <w:highlight w:val="none"/>
          <w:lang w:val="en-US" w:eastAsia="zh-CN"/>
        </w:rPr>
        <w:t>采购需求中各项技术服务要求所作出</w:t>
      </w:r>
      <w:r>
        <w:rPr>
          <w:rFonts w:hint="eastAsia" w:ascii="宋体" w:hAnsi="宋体" w:cs="宋体"/>
          <w:color w:val="auto"/>
          <w:sz w:val="21"/>
          <w:szCs w:val="21"/>
          <w:highlight w:val="none"/>
        </w:rPr>
        <w:t>的技术响应情况优于</w:t>
      </w:r>
      <w:r>
        <w:rPr>
          <w:rFonts w:hint="eastAsia" w:ascii="宋体" w:hAnsi="宋体" w:cs="宋体"/>
          <w:color w:val="auto"/>
          <w:sz w:val="21"/>
          <w:szCs w:val="21"/>
          <w:highlight w:val="none"/>
          <w:lang w:eastAsia="zh-CN"/>
        </w:rPr>
        <w:t>招标文件</w:t>
      </w:r>
      <w:r>
        <w:rPr>
          <w:rFonts w:hint="eastAsia" w:ascii="宋体" w:hAnsi="宋体" w:cs="宋体"/>
          <w:color w:val="auto"/>
          <w:sz w:val="21"/>
          <w:szCs w:val="21"/>
          <w:highlight w:val="none"/>
        </w:rPr>
        <w:t>公布的</w:t>
      </w:r>
      <w:r>
        <w:rPr>
          <w:rFonts w:hint="eastAsia" w:ascii="宋体" w:hAnsi="宋体" w:cs="宋体"/>
          <w:color w:val="auto"/>
          <w:sz w:val="21"/>
          <w:szCs w:val="21"/>
          <w:highlight w:val="none"/>
          <w:lang w:val="en-US" w:eastAsia="zh-CN"/>
        </w:rPr>
        <w:t>项目技术服务要求</w:t>
      </w:r>
      <w:r>
        <w:rPr>
          <w:rFonts w:hint="eastAsia" w:ascii="宋体" w:hAnsi="宋体" w:cs="宋体"/>
          <w:color w:val="auto"/>
          <w:sz w:val="21"/>
          <w:szCs w:val="21"/>
          <w:highlight w:val="none"/>
        </w:rPr>
        <w:t>。</w:t>
      </w:r>
    </w:p>
    <w:p w14:paraId="521C9C63">
      <w:pPr>
        <w:keepNext w:val="0"/>
        <w:keepLines w:val="0"/>
        <w:pageBreakBefore w:val="0"/>
        <w:widowControl w:val="0"/>
        <w:kinsoku/>
        <w:wordWrap/>
        <w:overflowPunct/>
        <w:topLinePunct w:val="0"/>
        <w:autoSpaceDE/>
        <w:autoSpaceDN/>
        <w:bidi w:val="0"/>
        <w:adjustRightInd/>
        <w:snapToGrid/>
        <w:spacing w:line="400" w:lineRule="exact"/>
        <w:ind w:firstLine="420" w:firstLineChars="200"/>
        <w:jc w:val="left"/>
        <w:textAlignment w:val="auto"/>
        <w:rPr>
          <w:rFonts w:ascii="宋体" w:hAnsi="宋体" w:cs="宋体"/>
          <w:color w:val="auto"/>
          <w:sz w:val="21"/>
          <w:szCs w:val="21"/>
          <w:highlight w:val="none"/>
        </w:rPr>
      </w:pPr>
    </w:p>
    <w:p w14:paraId="25D96BD1">
      <w:pPr>
        <w:spacing w:line="420" w:lineRule="exact"/>
        <w:ind w:firstLine="420" w:firstLineChars="200"/>
        <w:rPr>
          <w:rFonts w:hint="eastAsia" w:ascii="宋体" w:hAnsi="宋体" w:cs="宋体"/>
          <w:color w:val="auto"/>
          <w:sz w:val="21"/>
          <w:szCs w:val="21"/>
          <w:highlight w:val="none"/>
        </w:rPr>
      </w:pPr>
    </w:p>
    <w:p w14:paraId="2B89F3DC">
      <w:pPr>
        <w:spacing w:before="60" w:after="6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w:t>
      </w:r>
      <w:r>
        <w:rPr>
          <w:rFonts w:hint="eastAsia" w:ascii="宋体" w:hAnsi="宋体" w:eastAsia="宋体" w:cs="宋体"/>
          <w:color w:val="auto"/>
          <w:sz w:val="21"/>
          <w:szCs w:val="21"/>
          <w:highlight w:val="none"/>
          <w:lang w:eastAsia="zh-CN"/>
        </w:rPr>
        <w:t>盖单位公章</w:t>
      </w:r>
      <w:r>
        <w:rPr>
          <w:rFonts w:hint="eastAsia" w:ascii="宋体" w:hAnsi="宋体" w:eastAsia="宋体" w:cs="宋体"/>
          <w:color w:val="auto"/>
          <w:sz w:val="21"/>
          <w:szCs w:val="21"/>
          <w:highlight w:val="none"/>
        </w:rPr>
        <w:t>）：______________</w:t>
      </w:r>
    </w:p>
    <w:p w14:paraId="42D689D1">
      <w:pPr>
        <w:spacing w:before="60" w:after="6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法定代表人（负责人）或委托代理人（</w:t>
      </w:r>
      <w:r>
        <w:rPr>
          <w:rFonts w:hint="eastAsia" w:ascii="宋体" w:hAnsi="宋体" w:eastAsia="宋体" w:cs="宋体"/>
          <w:color w:val="auto"/>
          <w:sz w:val="21"/>
          <w:szCs w:val="21"/>
          <w:highlight w:val="none"/>
          <w:lang w:eastAsia="zh-CN"/>
        </w:rPr>
        <w:t>签字或个人印章</w:t>
      </w:r>
      <w:r>
        <w:rPr>
          <w:rFonts w:hint="eastAsia" w:ascii="宋体" w:hAnsi="宋体" w:eastAsia="宋体" w:cs="宋体"/>
          <w:color w:val="auto"/>
          <w:sz w:val="21"/>
          <w:szCs w:val="21"/>
          <w:highlight w:val="none"/>
        </w:rPr>
        <w:t>）：________</w:t>
      </w:r>
    </w:p>
    <w:p w14:paraId="772E7788">
      <w:pPr>
        <w:rPr>
          <w:rStyle w:val="75"/>
          <w:rFonts w:hint="eastAsia"/>
          <w:color w:val="auto"/>
          <w:highlight w:val="none"/>
        </w:rPr>
      </w:pPr>
      <w:r>
        <w:rPr>
          <w:rFonts w:hint="eastAsia" w:ascii="宋体" w:hAnsi="宋体" w:eastAsia="宋体" w:cs="宋体"/>
          <w:color w:val="auto"/>
          <w:sz w:val="21"/>
          <w:szCs w:val="21"/>
          <w:highlight w:val="none"/>
        </w:rPr>
        <w:t>日期：________年_____月_____日</w:t>
      </w:r>
      <w:r>
        <w:rPr>
          <w:rStyle w:val="75"/>
          <w:rFonts w:hint="eastAsia"/>
          <w:color w:val="auto"/>
          <w:highlight w:val="none"/>
        </w:rPr>
        <w:br w:type="page"/>
      </w:r>
    </w:p>
    <w:p w14:paraId="1568A4F5">
      <w:pPr>
        <w:keepNext/>
        <w:jc w:val="center"/>
        <w:rPr>
          <w:rStyle w:val="75"/>
          <w:color w:val="auto"/>
          <w:highlight w:val="none"/>
        </w:rPr>
      </w:pPr>
      <w:bookmarkStart w:id="105" w:name="_Toc1664"/>
      <w:r>
        <w:rPr>
          <w:rStyle w:val="75"/>
          <w:rFonts w:hint="eastAsia"/>
          <w:color w:val="auto"/>
          <w:highlight w:val="none"/>
        </w:rPr>
        <w:t>（</w:t>
      </w:r>
      <w:r>
        <w:rPr>
          <w:rStyle w:val="75"/>
          <w:rFonts w:hint="eastAsia" w:eastAsia="黑体"/>
          <w:color w:val="auto"/>
          <w:highlight w:val="none"/>
          <w:lang w:val="en-US" w:eastAsia="zh-CN"/>
        </w:rPr>
        <w:t>七</w:t>
      </w:r>
      <w:r>
        <w:rPr>
          <w:rStyle w:val="75"/>
          <w:rFonts w:hint="eastAsia"/>
          <w:color w:val="auto"/>
          <w:highlight w:val="none"/>
        </w:rPr>
        <w:t>）项目技术培训服务方案</w:t>
      </w:r>
    </w:p>
    <w:bookmarkEnd w:id="105"/>
    <w:p w14:paraId="75B293CA">
      <w:pPr>
        <w:spacing w:line="360" w:lineRule="auto"/>
        <w:ind w:firstLine="619" w:firstLineChars="295"/>
        <w:jc w:val="left"/>
        <w:rPr>
          <w:rFonts w:hint="eastAsia" w:hAnsi="宋体" w:cs="宋体"/>
          <w:color w:val="auto"/>
          <w:sz w:val="21"/>
          <w:szCs w:val="21"/>
          <w:highlight w:val="none"/>
        </w:rPr>
      </w:pPr>
    </w:p>
    <w:p w14:paraId="792CAE96">
      <w:pPr>
        <w:keepNext/>
        <w:spacing w:line="360" w:lineRule="auto"/>
        <w:ind w:firstLine="560"/>
        <w:jc w:val="left"/>
        <w:rPr>
          <w:rFonts w:hint="eastAsia" w:hAnsi="宋体" w:cs="宋体"/>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项目技术培训内容和培训课程设置；②项目技术培训计划安排（明确具体</w:t>
      </w:r>
      <w:r>
        <w:rPr>
          <w:rFonts w:hint="eastAsia" w:hAnsi="宋体" w:cs="宋体"/>
          <w:color w:val="auto"/>
          <w:sz w:val="21"/>
          <w:szCs w:val="21"/>
          <w:highlight w:val="none"/>
          <w:lang w:val="en-US" w:eastAsia="zh-CN"/>
        </w:rPr>
        <w:t>培训模式、</w:t>
      </w:r>
      <w:r>
        <w:rPr>
          <w:rFonts w:hint="eastAsia" w:hAnsi="宋体" w:cs="宋体"/>
          <w:color w:val="auto"/>
          <w:sz w:val="21"/>
          <w:szCs w:val="21"/>
          <w:highlight w:val="none"/>
        </w:rPr>
        <w:t>培训工作时间安排和具体各项课程安排等）。</w:t>
      </w:r>
    </w:p>
    <w:p w14:paraId="072D624C">
      <w:pPr>
        <w:keepNext/>
        <w:spacing w:line="360" w:lineRule="auto"/>
        <w:ind w:firstLine="200"/>
        <w:jc w:val="center"/>
        <w:rPr>
          <w:rFonts w:hint="eastAsia" w:hAnsi="宋体" w:cs="宋体"/>
          <w:color w:val="auto"/>
          <w:sz w:val="21"/>
          <w:szCs w:val="21"/>
          <w:highlight w:val="none"/>
        </w:rPr>
      </w:pPr>
    </w:p>
    <w:p w14:paraId="71E1AB28">
      <w:pPr>
        <w:spacing w:before="60" w:after="60" w:line="480" w:lineRule="auto"/>
        <w:ind w:hanging="35"/>
        <w:jc w:val="center"/>
        <w:rPr>
          <w:rFonts w:hint="eastAsia" w:hAnsi="宋体" w:cs="宋体"/>
          <w:color w:val="auto"/>
          <w:sz w:val="21"/>
          <w:szCs w:val="21"/>
          <w:highlight w:val="none"/>
        </w:rPr>
      </w:pPr>
      <w:r>
        <w:rPr>
          <w:rFonts w:hint="eastAsia" w:hAnsi="宋体" w:cs="宋体"/>
          <w:color w:val="auto"/>
          <w:sz w:val="21"/>
          <w:szCs w:val="21"/>
          <w:highlight w:val="none"/>
        </w:rPr>
        <w:t>（格式由各投标人自行设计）</w:t>
      </w:r>
    </w:p>
    <w:p w14:paraId="7571D501">
      <w:pPr>
        <w:keepNext/>
        <w:spacing w:line="360" w:lineRule="auto"/>
        <w:ind w:firstLine="200"/>
        <w:rPr>
          <w:rFonts w:hint="eastAsia" w:hAnsi="宋体"/>
          <w:color w:val="auto"/>
          <w:sz w:val="24"/>
          <w:highlight w:val="none"/>
        </w:rPr>
      </w:pPr>
    </w:p>
    <w:p w14:paraId="546747CB">
      <w:pPr>
        <w:keepNext/>
        <w:spacing w:line="360" w:lineRule="auto"/>
        <w:ind w:firstLine="465"/>
        <w:rPr>
          <w:rFonts w:hint="eastAsia" w:hAnsi="宋体" w:cs="Arial"/>
          <w:color w:val="auto"/>
          <w:sz w:val="24"/>
          <w:szCs w:val="24"/>
          <w:highlight w:val="none"/>
        </w:rPr>
      </w:pPr>
    </w:p>
    <w:p w14:paraId="181E258E">
      <w:pPr>
        <w:keepNext/>
        <w:spacing w:line="360" w:lineRule="auto"/>
        <w:ind w:firstLine="465"/>
        <w:rPr>
          <w:rFonts w:hint="eastAsia" w:hAnsi="宋体" w:cs="Arial"/>
          <w:color w:val="auto"/>
          <w:sz w:val="24"/>
          <w:szCs w:val="24"/>
          <w:highlight w:val="none"/>
        </w:rPr>
      </w:pPr>
    </w:p>
    <w:p w14:paraId="2D1C9B6F">
      <w:pPr>
        <w:keepNext/>
        <w:spacing w:line="360" w:lineRule="auto"/>
        <w:ind w:firstLine="465"/>
        <w:rPr>
          <w:rFonts w:hint="eastAsia" w:hAnsi="宋体" w:cs="Arial"/>
          <w:color w:val="auto"/>
          <w:sz w:val="24"/>
          <w:szCs w:val="24"/>
          <w:highlight w:val="none"/>
        </w:rPr>
      </w:pPr>
    </w:p>
    <w:p w14:paraId="261E9103">
      <w:pPr>
        <w:keepNext/>
        <w:spacing w:line="560" w:lineRule="exact"/>
        <w:ind w:firstLine="5640" w:firstLineChars="2350"/>
        <w:rPr>
          <w:rFonts w:hint="eastAsia" w:hAnsi="宋体"/>
          <w:color w:val="auto"/>
          <w:sz w:val="24"/>
          <w:szCs w:val="24"/>
          <w:highlight w:val="none"/>
        </w:rPr>
      </w:pPr>
    </w:p>
    <w:p w14:paraId="68677CF4">
      <w:pPr>
        <w:rPr>
          <w:rFonts w:hint="eastAsia" w:hAnsi="宋体"/>
          <w:color w:val="auto"/>
          <w:sz w:val="24"/>
          <w:szCs w:val="24"/>
          <w:highlight w:val="none"/>
        </w:rPr>
      </w:pPr>
      <w:r>
        <w:rPr>
          <w:rFonts w:hAnsi="宋体"/>
          <w:color w:val="auto"/>
          <w:sz w:val="24"/>
          <w:szCs w:val="24"/>
          <w:highlight w:val="none"/>
        </w:rPr>
        <w:br w:type="page"/>
      </w:r>
    </w:p>
    <w:p w14:paraId="1AB01728">
      <w:pPr>
        <w:keepNext/>
        <w:jc w:val="center"/>
        <w:rPr>
          <w:rStyle w:val="75"/>
          <w:color w:val="auto"/>
          <w:highlight w:val="none"/>
        </w:rPr>
      </w:pPr>
      <w:bookmarkStart w:id="106" w:name="_Toc6972"/>
      <w:r>
        <w:rPr>
          <w:rStyle w:val="75"/>
          <w:rFonts w:hint="eastAsia"/>
          <w:color w:val="auto"/>
          <w:highlight w:val="none"/>
        </w:rPr>
        <w:t>（</w:t>
      </w:r>
      <w:r>
        <w:rPr>
          <w:rStyle w:val="75"/>
          <w:rFonts w:hint="eastAsia" w:eastAsia="黑体"/>
          <w:color w:val="auto"/>
          <w:highlight w:val="none"/>
          <w:lang w:val="en-US" w:eastAsia="zh-CN"/>
        </w:rPr>
        <w:t>八</w:t>
      </w:r>
      <w:r>
        <w:rPr>
          <w:rStyle w:val="75"/>
          <w:rFonts w:hint="eastAsia"/>
          <w:color w:val="auto"/>
          <w:highlight w:val="none"/>
        </w:rPr>
        <w:t>）</w:t>
      </w:r>
      <w:r>
        <w:rPr>
          <w:rStyle w:val="75"/>
          <w:rFonts w:hint="eastAsia" w:eastAsia="黑体"/>
          <w:color w:val="auto"/>
          <w:highlight w:val="none"/>
          <w:lang w:eastAsia="zh-CN"/>
        </w:rPr>
        <w:t>售后运维服务</w:t>
      </w:r>
      <w:r>
        <w:rPr>
          <w:rStyle w:val="75"/>
          <w:rFonts w:hint="eastAsia"/>
          <w:color w:val="auto"/>
          <w:highlight w:val="none"/>
        </w:rPr>
        <w:t>能力介绍及售后运维服务方案</w:t>
      </w:r>
    </w:p>
    <w:bookmarkEnd w:id="106"/>
    <w:p w14:paraId="3ED1B5DA">
      <w:pPr>
        <w:spacing w:line="360" w:lineRule="auto"/>
        <w:ind w:firstLine="619" w:firstLineChars="295"/>
        <w:jc w:val="left"/>
        <w:rPr>
          <w:rFonts w:hint="eastAsia" w:hAnsi="宋体" w:cs="宋体"/>
          <w:color w:val="auto"/>
          <w:sz w:val="21"/>
          <w:szCs w:val="21"/>
          <w:highlight w:val="none"/>
        </w:rPr>
      </w:pPr>
    </w:p>
    <w:p w14:paraId="43DDFEE0">
      <w:pPr>
        <w:keepNext/>
        <w:spacing w:line="360" w:lineRule="auto"/>
        <w:ind w:firstLine="560"/>
        <w:jc w:val="left"/>
        <w:rPr>
          <w:rFonts w:hint="eastAsia" w:hAnsi="宋体" w:cs="宋体"/>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体系介绍和售后运维服务期限承诺（提供</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机构设置情况介绍和证明材料、针对本项目的售后运维服务期限承诺）；②售后运维技术团队设置情况（含售后管理技术人员数量、</w:t>
      </w:r>
      <w:r>
        <w:rPr>
          <w:rFonts w:hint="eastAsia" w:hAnsi="宋体" w:cs="宋体"/>
          <w:color w:val="auto"/>
          <w:sz w:val="21"/>
          <w:szCs w:val="21"/>
          <w:highlight w:val="none"/>
          <w:lang w:val="en-US" w:eastAsia="zh-CN"/>
        </w:rPr>
        <w:t>现场运维技术人员数量、</w:t>
      </w:r>
      <w:r>
        <w:rPr>
          <w:rFonts w:hint="eastAsia" w:hAnsi="宋体" w:cs="宋体"/>
          <w:color w:val="auto"/>
          <w:sz w:val="21"/>
          <w:szCs w:val="21"/>
          <w:highlight w:val="none"/>
        </w:rPr>
        <w:t>技术分工和岗位情况介绍）；③</w:t>
      </w:r>
      <w:r>
        <w:rPr>
          <w:rFonts w:hint="eastAsia" w:hAnsi="宋体" w:cs="宋体"/>
          <w:color w:val="auto"/>
          <w:sz w:val="21"/>
          <w:szCs w:val="21"/>
          <w:highlight w:val="none"/>
          <w:lang w:eastAsia="zh-CN"/>
        </w:rPr>
        <w:t>现场运维</w:t>
      </w:r>
      <w:r>
        <w:rPr>
          <w:rFonts w:hint="eastAsia" w:hAnsi="宋体" w:cs="宋体"/>
          <w:color w:val="auto"/>
          <w:sz w:val="21"/>
          <w:szCs w:val="21"/>
          <w:highlight w:val="none"/>
        </w:rPr>
        <w:t>和日常巡检服务技术服务方案；④针对可能发</w:t>
      </w:r>
      <w:r>
        <w:rPr>
          <w:rFonts w:hint="eastAsia" w:hAnsi="宋体" w:cs="宋体"/>
          <w:color w:val="auto"/>
          <w:sz w:val="21"/>
          <w:szCs w:val="21"/>
          <w:highlight w:val="none"/>
          <w:lang w:eastAsia="zh-CN"/>
        </w:rPr>
        <w:t>生的</w:t>
      </w:r>
      <w:r>
        <w:rPr>
          <w:rFonts w:hint="eastAsia" w:hAnsi="宋体" w:cs="宋体"/>
          <w:color w:val="auto"/>
          <w:sz w:val="21"/>
          <w:szCs w:val="21"/>
          <w:highlight w:val="none"/>
        </w:rPr>
        <w:t>各类</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问题提出详细的</w:t>
      </w:r>
      <w:r>
        <w:rPr>
          <w:rFonts w:hint="eastAsia" w:hAnsi="宋体" w:cs="宋体"/>
          <w:color w:val="auto"/>
          <w:sz w:val="21"/>
          <w:szCs w:val="21"/>
          <w:highlight w:val="none"/>
          <w:lang w:eastAsia="zh-CN"/>
        </w:rPr>
        <w:t>售后运维服务</w:t>
      </w:r>
      <w:r>
        <w:rPr>
          <w:rFonts w:hint="eastAsia" w:hAnsi="宋体" w:cs="宋体"/>
          <w:color w:val="auto"/>
          <w:sz w:val="21"/>
          <w:szCs w:val="21"/>
          <w:highlight w:val="none"/>
        </w:rPr>
        <w:t>工作机制和处理办法；⑤</w:t>
      </w:r>
      <w:r>
        <w:rPr>
          <w:rFonts w:hint="eastAsia" w:hAnsi="宋体" w:cs="宋体"/>
          <w:color w:val="auto"/>
          <w:sz w:val="21"/>
          <w:szCs w:val="21"/>
          <w:highlight w:val="none"/>
          <w:lang w:eastAsia="zh-CN"/>
        </w:rPr>
        <w:t>保山市加油站流量数据采集系统</w:t>
      </w:r>
      <w:r>
        <w:rPr>
          <w:rFonts w:hint="eastAsia" w:hAnsi="宋体" w:cs="宋体"/>
          <w:color w:val="auto"/>
          <w:sz w:val="21"/>
          <w:szCs w:val="21"/>
          <w:highlight w:val="none"/>
        </w:rPr>
        <w:t>出现或者因外部原因形成的各类漏洞、BUG进行系统修复、</w:t>
      </w:r>
      <w:r>
        <w:rPr>
          <w:rFonts w:hint="eastAsia" w:hAnsi="宋体" w:cs="宋体"/>
          <w:color w:val="auto"/>
          <w:sz w:val="21"/>
          <w:szCs w:val="21"/>
          <w:highlight w:val="none"/>
          <w:lang w:eastAsia="zh-CN"/>
        </w:rPr>
        <w:t>整改和后续服务工作技术方案</w:t>
      </w:r>
      <w:r>
        <w:rPr>
          <w:rFonts w:hint="eastAsia" w:hAnsi="宋体" w:cs="宋体"/>
          <w:color w:val="auto"/>
          <w:sz w:val="21"/>
          <w:szCs w:val="21"/>
          <w:highlight w:val="none"/>
        </w:rPr>
        <w:t>。</w:t>
      </w:r>
    </w:p>
    <w:p w14:paraId="2989A2AD">
      <w:pPr>
        <w:keepNext/>
        <w:spacing w:line="360" w:lineRule="auto"/>
        <w:ind w:firstLine="200"/>
        <w:jc w:val="center"/>
        <w:rPr>
          <w:rFonts w:hint="eastAsia" w:hAnsi="宋体" w:cs="宋体"/>
          <w:color w:val="auto"/>
          <w:sz w:val="21"/>
          <w:szCs w:val="21"/>
          <w:highlight w:val="none"/>
        </w:rPr>
      </w:pPr>
    </w:p>
    <w:p w14:paraId="7D15A806">
      <w:pPr>
        <w:pStyle w:val="49"/>
        <w:ind w:left="0" w:leftChars="0" w:firstLine="0" w:firstLineChars="0"/>
        <w:jc w:val="center"/>
        <w:rPr>
          <w:color w:val="auto"/>
          <w:highlight w:val="none"/>
        </w:rPr>
      </w:pPr>
      <w:r>
        <w:rPr>
          <w:rFonts w:hint="eastAsia" w:ascii="宋体" w:hAnsi="宋体" w:cs="宋体"/>
          <w:color w:val="auto"/>
          <w:szCs w:val="21"/>
          <w:highlight w:val="none"/>
        </w:rPr>
        <w:t>（格式由各投标人自行设计）</w:t>
      </w:r>
    </w:p>
    <w:p w14:paraId="06923748">
      <w:pPr>
        <w:widowControl/>
        <w:rPr>
          <w:rFonts w:hint="eastAsia" w:hAnsi="宋体" w:cs="宋体"/>
          <w:b/>
          <w:bCs/>
          <w:color w:val="auto"/>
          <w:sz w:val="24"/>
          <w:szCs w:val="24"/>
          <w:highlight w:val="none"/>
        </w:rPr>
      </w:pPr>
    </w:p>
    <w:p w14:paraId="37E1F03A">
      <w:pPr>
        <w:widowControl/>
        <w:rPr>
          <w:rFonts w:hint="eastAsia" w:hAnsi="宋体" w:cs="宋体"/>
          <w:b/>
          <w:bCs/>
          <w:color w:val="auto"/>
          <w:sz w:val="24"/>
          <w:szCs w:val="24"/>
          <w:highlight w:val="none"/>
        </w:rPr>
      </w:pPr>
    </w:p>
    <w:p w14:paraId="611BAABF">
      <w:pPr>
        <w:widowControl/>
        <w:jc w:val="left"/>
        <w:rPr>
          <w:rFonts w:hint="eastAsia" w:hAnsi="宋体"/>
          <w:b/>
          <w:bCs/>
          <w:color w:val="auto"/>
          <w:szCs w:val="22"/>
          <w:highlight w:val="none"/>
        </w:rPr>
      </w:pPr>
    </w:p>
    <w:p w14:paraId="0BADCF5C">
      <w:pPr>
        <w:spacing w:before="60" w:after="60" w:line="480" w:lineRule="auto"/>
        <w:ind w:hanging="35"/>
        <w:rPr>
          <w:rFonts w:hint="eastAsia" w:hAnsi="宋体" w:cs="宋体"/>
          <w:color w:val="auto"/>
          <w:szCs w:val="21"/>
          <w:highlight w:val="none"/>
        </w:rPr>
      </w:pPr>
    </w:p>
    <w:p w14:paraId="1C1B568A">
      <w:pPr>
        <w:widowControl/>
        <w:jc w:val="left"/>
        <w:rPr>
          <w:rFonts w:hint="eastAsia" w:hAnsi="宋体" w:cs="宋体"/>
          <w:color w:val="auto"/>
          <w:szCs w:val="21"/>
          <w:highlight w:val="none"/>
        </w:rPr>
      </w:pPr>
      <w:r>
        <w:rPr>
          <w:rFonts w:hAnsi="宋体" w:cs="宋体"/>
          <w:color w:val="auto"/>
          <w:szCs w:val="21"/>
          <w:highlight w:val="none"/>
        </w:rPr>
        <w:br w:type="page"/>
      </w:r>
    </w:p>
    <w:p w14:paraId="5778E542">
      <w:pPr>
        <w:keepNext/>
        <w:jc w:val="center"/>
        <w:rPr>
          <w:rStyle w:val="75"/>
          <w:color w:val="auto"/>
          <w:highlight w:val="none"/>
        </w:rPr>
      </w:pPr>
      <w:bookmarkStart w:id="107" w:name="_Toc19811"/>
      <w:r>
        <w:rPr>
          <w:rStyle w:val="75"/>
          <w:rFonts w:hint="eastAsia"/>
          <w:color w:val="auto"/>
          <w:highlight w:val="none"/>
        </w:rPr>
        <w:t>（</w:t>
      </w:r>
      <w:r>
        <w:rPr>
          <w:rStyle w:val="75"/>
          <w:rFonts w:hint="eastAsia" w:eastAsia="黑体"/>
          <w:color w:val="auto"/>
          <w:highlight w:val="none"/>
          <w:lang w:val="en-US" w:eastAsia="zh-CN"/>
        </w:rPr>
        <w:t>九</w:t>
      </w:r>
      <w:r>
        <w:rPr>
          <w:rStyle w:val="75"/>
          <w:rFonts w:hint="eastAsia"/>
          <w:color w:val="auto"/>
          <w:highlight w:val="none"/>
        </w:rPr>
        <w:t>）项目服务质量保障措施和相应违约承诺</w:t>
      </w:r>
    </w:p>
    <w:bookmarkEnd w:id="107"/>
    <w:p w14:paraId="603CED7C">
      <w:pPr>
        <w:keepNext/>
        <w:spacing w:line="360" w:lineRule="auto"/>
        <w:ind w:firstLine="562" w:firstLineChars="200"/>
        <w:jc w:val="left"/>
        <w:rPr>
          <w:rFonts w:hint="eastAsia" w:hAnsi="宋体"/>
          <w:b/>
          <w:color w:val="auto"/>
          <w:szCs w:val="28"/>
          <w:highlight w:val="none"/>
        </w:rPr>
      </w:pPr>
    </w:p>
    <w:p w14:paraId="26DC1B8F">
      <w:pPr>
        <w:keepNext/>
        <w:spacing w:line="360" w:lineRule="auto"/>
        <w:ind w:firstLine="560"/>
        <w:jc w:val="left"/>
        <w:rPr>
          <w:rFonts w:hint="eastAsia" w:hAnsi="宋体" w:cs="宋体"/>
          <w:color w:val="auto"/>
          <w:sz w:val="21"/>
          <w:szCs w:val="21"/>
          <w:highlight w:val="none"/>
        </w:rPr>
      </w:pPr>
      <w:r>
        <w:rPr>
          <w:rFonts w:hint="eastAsia" w:hAnsi="宋体" w:cs="宋体"/>
          <w:color w:val="auto"/>
          <w:sz w:val="21"/>
          <w:szCs w:val="21"/>
          <w:highlight w:val="none"/>
        </w:rPr>
        <w:t>此部分内容应充分结合招标文件中本项目采购需求的全部内容以及评标办法的评审要求进行综合分析后进行编制，此部分内容包含但不限于：①针对合同履行期限按时完成工作的保障措施和违约承诺；②针对本项目服务质量达标的保障措施和违约承诺；③针对售后运维服务工作质量保障措施和违约承诺；④针对项目安全（如项目安全、信息数据安全和保密等方面）管理工作质量保障措施和违约承诺。</w:t>
      </w:r>
    </w:p>
    <w:p w14:paraId="21F53E51">
      <w:pPr>
        <w:keepNext/>
        <w:spacing w:line="360" w:lineRule="auto"/>
        <w:ind w:firstLine="480" w:firstLineChars="200"/>
        <w:jc w:val="left"/>
        <w:rPr>
          <w:rFonts w:hint="eastAsia" w:hAnsi="宋体" w:cs="宋体"/>
          <w:color w:val="auto"/>
          <w:sz w:val="24"/>
          <w:highlight w:val="none"/>
        </w:rPr>
      </w:pPr>
    </w:p>
    <w:p w14:paraId="27DE0CFB">
      <w:pPr>
        <w:keepNext/>
        <w:spacing w:line="360" w:lineRule="auto"/>
        <w:ind w:firstLine="420" w:firstLineChars="200"/>
        <w:jc w:val="left"/>
        <w:rPr>
          <w:rFonts w:hint="eastAsia" w:hAnsi="宋体" w:cs="宋体"/>
          <w:color w:val="auto"/>
          <w:sz w:val="21"/>
          <w:szCs w:val="21"/>
          <w:highlight w:val="none"/>
        </w:rPr>
      </w:pPr>
    </w:p>
    <w:p w14:paraId="1FA657FB">
      <w:pPr>
        <w:keepNext/>
        <w:spacing w:line="360" w:lineRule="auto"/>
        <w:ind w:firstLine="200"/>
        <w:jc w:val="center"/>
        <w:rPr>
          <w:rFonts w:hint="eastAsia" w:hAnsi="宋体" w:cs="宋体"/>
          <w:color w:val="auto"/>
          <w:sz w:val="21"/>
          <w:szCs w:val="21"/>
          <w:highlight w:val="none"/>
        </w:rPr>
      </w:pPr>
    </w:p>
    <w:p w14:paraId="2641C2E8">
      <w:pPr>
        <w:keepNext/>
        <w:spacing w:line="360" w:lineRule="auto"/>
        <w:ind w:firstLine="200"/>
        <w:jc w:val="center"/>
        <w:rPr>
          <w:rFonts w:hint="eastAsia" w:hAnsi="宋体" w:cs="宋体"/>
          <w:color w:val="auto"/>
          <w:sz w:val="21"/>
          <w:szCs w:val="21"/>
          <w:highlight w:val="none"/>
        </w:rPr>
      </w:pPr>
      <w:r>
        <w:rPr>
          <w:rFonts w:hint="eastAsia" w:hAnsi="宋体" w:cs="宋体"/>
          <w:color w:val="auto"/>
          <w:sz w:val="21"/>
          <w:szCs w:val="21"/>
          <w:highlight w:val="none"/>
        </w:rPr>
        <w:t>（格式由各投标人自行设计）</w:t>
      </w:r>
    </w:p>
    <w:p w14:paraId="336330CF">
      <w:pPr>
        <w:keepNext/>
        <w:spacing w:line="360" w:lineRule="auto"/>
        <w:ind w:firstLine="200"/>
        <w:rPr>
          <w:rFonts w:hint="eastAsia" w:hAnsi="宋体"/>
          <w:color w:val="auto"/>
          <w:sz w:val="21"/>
          <w:szCs w:val="21"/>
          <w:highlight w:val="none"/>
        </w:rPr>
      </w:pPr>
    </w:p>
    <w:p w14:paraId="7A64F8FE">
      <w:pPr>
        <w:keepNext/>
        <w:spacing w:line="360" w:lineRule="auto"/>
        <w:ind w:firstLine="200"/>
        <w:rPr>
          <w:rFonts w:hint="eastAsia" w:hAnsi="宋体"/>
          <w:color w:val="auto"/>
          <w:sz w:val="21"/>
          <w:szCs w:val="21"/>
          <w:highlight w:val="none"/>
        </w:rPr>
      </w:pPr>
    </w:p>
    <w:p w14:paraId="50E48154">
      <w:pPr>
        <w:spacing w:before="60" w:after="60" w:line="480" w:lineRule="auto"/>
        <w:ind w:hanging="35"/>
        <w:rPr>
          <w:rFonts w:hint="eastAsia" w:hAnsi="宋体" w:cs="宋体"/>
          <w:color w:val="auto"/>
          <w:szCs w:val="21"/>
          <w:highlight w:val="none"/>
        </w:rPr>
      </w:pPr>
    </w:p>
    <w:p w14:paraId="6E0E8114">
      <w:pPr>
        <w:keepNext/>
        <w:rPr>
          <w:rFonts w:hint="eastAsia" w:hAnsi="宋体"/>
          <w:color w:val="auto"/>
          <w:sz w:val="24"/>
          <w:szCs w:val="24"/>
          <w:highlight w:val="none"/>
        </w:rPr>
      </w:pPr>
    </w:p>
    <w:p w14:paraId="173EB3EB">
      <w:pPr>
        <w:keepNext/>
        <w:spacing w:before="60" w:after="60" w:line="340" w:lineRule="exact"/>
        <w:ind w:hanging="35"/>
        <w:rPr>
          <w:rFonts w:hint="eastAsia" w:hAnsi="宋体"/>
          <w:color w:val="auto"/>
          <w:sz w:val="24"/>
          <w:highlight w:val="none"/>
        </w:rPr>
      </w:pPr>
    </w:p>
    <w:p w14:paraId="07A0DA44">
      <w:pPr>
        <w:keepNext/>
        <w:spacing w:before="60" w:after="60" w:line="480" w:lineRule="auto"/>
        <w:ind w:hanging="35"/>
        <w:rPr>
          <w:rFonts w:hint="eastAsia" w:hAnsi="宋体" w:cs="宋体"/>
          <w:color w:val="auto"/>
          <w:szCs w:val="21"/>
          <w:highlight w:val="none"/>
        </w:rPr>
      </w:pPr>
    </w:p>
    <w:p w14:paraId="79D98AF4">
      <w:pPr>
        <w:pStyle w:val="6"/>
        <w:keepLines w:val="0"/>
        <w:ind w:left="425"/>
        <w:jc w:val="center"/>
        <w:rPr>
          <w:rFonts w:hint="eastAsia" w:ascii="宋体" w:hAnsi="宋体" w:eastAsia="宋体"/>
          <w:color w:val="auto"/>
          <w:kern w:val="2"/>
          <w:sz w:val="28"/>
          <w:szCs w:val="28"/>
          <w:highlight w:val="none"/>
        </w:rPr>
      </w:pPr>
      <w:r>
        <w:rPr>
          <w:rFonts w:ascii="宋体" w:hAnsi="宋体" w:eastAsia="宋体" w:cs="宋体"/>
          <w:color w:val="auto"/>
          <w:szCs w:val="21"/>
          <w:highlight w:val="none"/>
        </w:rPr>
        <w:br w:type="page"/>
      </w:r>
      <w:bookmarkEnd w:id="95"/>
      <w:bookmarkStart w:id="108" w:name="_Toc7944"/>
      <w:r>
        <w:rPr>
          <w:rStyle w:val="75"/>
          <w:rFonts w:hint="eastAsia"/>
          <w:b/>
          <w:bCs/>
          <w:color w:val="auto"/>
          <w:highlight w:val="none"/>
        </w:rPr>
        <w:t>（</w:t>
      </w:r>
      <w:r>
        <w:rPr>
          <w:rStyle w:val="75"/>
          <w:rFonts w:hint="eastAsia"/>
          <w:b/>
          <w:bCs/>
          <w:color w:val="auto"/>
          <w:highlight w:val="none"/>
          <w:lang w:val="en-US" w:eastAsia="zh-CN"/>
        </w:rPr>
        <w:t>十</w:t>
      </w:r>
      <w:r>
        <w:rPr>
          <w:rStyle w:val="75"/>
          <w:rFonts w:hint="eastAsia"/>
          <w:b/>
          <w:bCs/>
          <w:color w:val="auto"/>
          <w:highlight w:val="none"/>
        </w:rPr>
        <w:t>）拟投入本项目的综合服务力量介绍</w:t>
      </w:r>
      <w:bookmarkEnd w:id="108"/>
    </w:p>
    <w:p w14:paraId="08ED4B79">
      <w:pPr>
        <w:pStyle w:val="15"/>
        <w:tabs>
          <w:tab w:val="left" w:pos="750"/>
        </w:tabs>
        <w:spacing w:before="156"/>
        <w:ind w:firstLine="482"/>
        <w:jc w:val="center"/>
        <w:rPr>
          <w:rFonts w:hint="eastAsia" w:ascii="宋体" w:hAnsi="宋体" w:cs="宋体"/>
          <w:b/>
          <w:bCs/>
          <w:color w:val="auto"/>
          <w:sz w:val="21"/>
          <w:szCs w:val="21"/>
          <w:highlight w:val="none"/>
        </w:rPr>
      </w:pPr>
      <w:r>
        <w:rPr>
          <w:rFonts w:hint="eastAsia" w:ascii="宋体" w:hAnsi="宋体" w:cs="宋体"/>
          <w:b/>
          <w:bCs/>
          <w:color w:val="auto"/>
          <w:sz w:val="28"/>
          <w:szCs w:val="28"/>
          <w:highlight w:val="none"/>
        </w:rPr>
        <w:t>1.投标人综合实力</w:t>
      </w:r>
    </w:p>
    <w:p w14:paraId="10C54DBF">
      <w:pPr>
        <w:pStyle w:val="15"/>
        <w:tabs>
          <w:tab w:val="left" w:pos="750"/>
        </w:tabs>
        <w:spacing w:before="156"/>
        <w:ind w:firstLine="482"/>
        <w:jc w:val="center"/>
        <w:rPr>
          <w:rFonts w:hint="eastAsia" w:ascii="宋体" w:hAnsi="宋体" w:cs="宋体"/>
          <w:b/>
          <w:bCs/>
          <w:color w:val="auto"/>
          <w:sz w:val="21"/>
          <w:szCs w:val="21"/>
          <w:highlight w:val="none"/>
        </w:rPr>
      </w:pPr>
    </w:p>
    <w:p w14:paraId="405B2425">
      <w:pPr>
        <w:pStyle w:val="15"/>
        <w:tabs>
          <w:tab w:val="left" w:pos="750"/>
        </w:tabs>
        <w:spacing w:before="156"/>
        <w:ind w:firstLine="482"/>
        <w:jc w:val="center"/>
        <w:rPr>
          <w:rFonts w:hint="eastAsia" w:ascii="宋体" w:hAnsi="宋体" w:cs="宋体"/>
          <w:color w:val="auto"/>
          <w:sz w:val="21"/>
          <w:szCs w:val="21"/>
          <w:highlight w:val="none"/>
        </w:rPr>
      </w:pPr>
      <w:r>
        <w:rPr>
          <w:rFonts w:hint="eastAsia" w:ascii="宋体" w:hAnsi="宋体" w:cs="宋体"/>
          <w:color w:val="auto"/>
          <w:sz w:val="21"/>
          <w:szCs w:val="21"/>
          <w:highlight w:val="none"/>
        </w:rPr>
        <w:t>包含且不限于：投标人简介、投标人技术实力介绍、相关技术认证情况、社会信用证明材料等。</w:t>
      </w:r>
    </w:p>
    <w:p w14:paraId="3D421750">
      <w:pPr>
        <w:pStyle w:val="21"/>
        <w:rPr>
          <w:color w:val="auto"/>
          <w:highlight w:val="none"/>
        </w:rPr>
      </w:pPr>
    </w:p>
    <w:p w14:paraId="65856624">
      <w:pPr>
        <w:rPr>
          <w:rFonts w:hint="eastAsia" w:hAnsi="宋体" w:cs="宋体"/>
          <w:b/>
          <w:bCs/>
          <w:color w:val="auto"/>
          <w:sz w:val="21"/>
          <w:szCs w:val="21"/>
          <w:highlight w:val="none"/>
        </w:rPr>
      </w:pPr>
      <w:r>
        <w:rPr>
          <w:rFonts w:hint="eastAsia" w:hAnsi="宋体" w:cs="宋体"/>
          <w:b/>
          <w:bCs/>
          <w:color w:val="auto"/>
          <w:sz w:val="21"/>
          <w:szCs w:val="21"/>
          <w:highlight w:val="none"/>
        </w:rPr>
        <w:br w:type="page"/>
      </w:r>
    </w:p>
    <w:p w14:paraId="37DDC678">
      <w:pPr>
        <w:pStyle w:val="15"/>
        <w:tabs>
          <w:tab w:val="left" w:pos="750"/>
        </w:tabs>
        <w:spacing w:before="156"/>
        <w:ind w:firstLine="482"/>
        <w:jc w:val="center"/>
        <w:rPr>
          <w:rFonts w:hint="eastAsia" w:ascii="宋体" w:hAnsi="宋体" w:cs="宋体"/>
          <w:b/>
          <w:bCs/>
          <w:color w:val="auto"/>
          <w:sz w:val="21"/>
          <w:szCs w:val="21"/>
          <w:highlight w:val="none"/>
        </w:rPr>
      </w:pPr>
      <w:r>
        <w:rPr>
          <w:rFonts w:hint="eastAsia" w:ascii="宋体" w:hAnsi="宋体" w:cs="宋体"/>
          <w:b/>
          <w:bCs/>
          <w:color w:val="auto"/>
          <w:sz w:val="28"/>
          <w:szCs w:val="28"/>
          <w:highlight w:val="none"/>
        </w:rPr>
        <w:t>2.项目团队服务机构介绍</w:t>
      </w:r>
    </w:p>
    <w:p w14:paraId="138BBFCC">
      <w:pPr>
        <w:pStyle w:val="15"/>
        <w:tabs>
          <w:tab w:val="left" w:pos="750"/>
        </w:tabs>
        <w:spacing w:before="156"/>
        <w:ind w:firstLine="482"/>
        <w:rPr>
          <w:rFonts w:hint="eastAsia" w:ascii="宋体" w:hAnsi="宋体" w:cs="宋体"/>
          <w:b/>
          <w:bCs/>
          <w:color w:val="auto"/>
          <w:sz w:val="21"/>
          <w:szCs w:val="21"/>
          <w:highlight w:val="none"/>
        </w:rPr>
      </w:pPr>
    </w:p>
    <w:p w14:paraId="73B94752">
      <w:pPr>
        <w:spacing w:line="360" w:lineRule="auto"/>
        <w:ind w:firstLine="426"/>
        <w:jc w:val="left"/>
        <w:rPr>
          <w:rFonts w:hint="eastAsia" w:hAnsi="宋体" w:cs="宋体"/>
          <w:color w:val="auto"/>
          <w:sz w:val="21"/>
          <w:szCs w:val="21"/>
          <w:highlight w:val="none"/>
        </w:rPr>
      </w:pPr>
      <w:r>
        <w:rPr>
          <w:rFonts w:hint="eastAsia" w:hAnsi="宋体" w:cs="宋体"/>
          <w:color w:val="auto"/>
          <w:sz w:val="21"/>
          <w:szCs w:val="21"/>
          <w:highlight w:val="none"/>
        </w:rPr>
        <w:t>包含但不限于投标人基本情况介绍，拟组建的服务机构的具体情况和简介，团队组织架构介绍、分工情况、项目团队技术服务人员配备情况介绍等内容，格式由投标人自行设计。</w:t>
      </w:r>
    </w:p>
    <w:p w14:paraId="2A5F8D44">
      <w:pPr>
        <w:pStyle w:val="6"/>
        <w:keepLines w:val="0"/>
        <w:ind w:left="42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bookmarkStart w:id="109" w:name="_Toc3089"/>
      <w:bookmarkStart w:id="110" w:name="_Toc25312"/>
      <w:bookmarkStart w:id="111" w:name="_Toc3493"/>
      <w:bookmarkStart w:id="112" w:name="_Toc2427"/>
      <w:bookmarkStart w:id="113" w:name="_Toc1594"/>
      <w:bookmarkStart w:id="114" w:name="_Toc23993"/>
      <w:r>
        <w:rPr>
          <w:rFonts w:hint="eastAsia" w:ascii="宋体" w:hAnsi="宋体" w:eastAsia="宋体" w:cs="宋体"/>
          <w:color w:val="auto"/>
          <w:sz w:val="28"/>
          <w:szCs w:val="28"/>
          <w:highlight w:val="none"/>
        </w:rPr>
        <w:t>3.项目负责人简历表</w:t>
      </w:r>
      <w:bookmarkEnd w:id="109"/>
      <w:bookmarkEnd w:id="110"/>
      <w:bookmarkEnd w:id="111"/>
      <w:bookmarkEnd w:id="112"/>
      <w:bookmarkEnd w:id="113"/>
      <w:bookmarkEnd w:id="114"/>
    </w:p>
    <w:tbl>
      <w:tblPr>
        <w:tblStyle w:val="37"/>
        <w:tblW w:w="9900"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907"/>
        <w:gridCol w:w="832"/>
        <w:gridCol w:w="512"/>
        <w:gridCol w:w="113"/>
        <w:gridCol w:w="1416"/>
        <w:gridCol w:w="1417"/>
        <w:gridCol w:w="32"/>
        <w:gridCol w:w="1951"/>
        <w:gridCol w:w="319"/>
        <w:gridCol w:w="1401"/>
      </w:tblGrid>
      <w:tr w14:paraId="663F46B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vAlign w:val="center"/>
          </w:tcPr>
          <w:p w14:paraId="6BBFD72E">
            <w:pPr>
              <w:pStyle w:val="23"/>
              <w:keepNext/>
              <w:jc w:val="center"/>
              <w:rPr>
                <w:rFonts w:hint="eastAsia" w:hAnsi="宋体" w:cs="宋体"/>
                <w:color w:val="auto"/>
                <w:highlight w:val="none"/>
              </w:rPr>
            </w:pPr>
            <w:r>
              <w:rPr>
                <w:rFonts w:hint="eastAsia" w:hAnsi="宋体" w:cs="宋体"/>
                <w:color w:val="auto"/>
                <w:highlight w:val="none"/>
              </w:rPr>
              <w:t>姓名</w:t>
            </w:r>
          </w:p>
        </w:tc>
        <w:tc>
          <w:tcPr>
            <w:tcW w:w="1457" w:type="dxa"/>
            <w:gridSpan w:val="3"/>
            <w:tcBorders>
              <w:top w:val="single" w:color="000000" w:sz="4" w:space="0"/>
              <w:left w:val="single" w:color="000000" w:sz="4" w:space="0"/>
              <w:bottom w:val="single" w:color="000000" w:sz="4" w:space="0"/>
              <w:right w:val="single" w:color="000000" w:sz="4" w:space="0"/>
            </w:tcBorders>
            <w:vAlign w:val="center"/>
          </w:tcPr>
          <w:p w14:paraId="4DD0311B">
            <w:pPr>
              <w:pStyle w:val="23"/>
              <w:keepNext/>
              <w:jc w:val="center"/>
              <w:rPr>
                <w:rFonts w:hint="eastAsia" w:hAnsi="宋体" w:cs="宋体"/>
                <w:color w:val="auto"/>
                <w:highlight w:val="none"/>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41E82DB8">
            <w:pPr>
              <w:pStyle w:val="23"/>
              <w:keepNext/>
              <w:jc w:val="center"/>
              <w:rPr>
                <w:rFonts w:hint="eastAsia" w:hAnsi="宋体" w:cs="宋体"/>
                <w:color w:val="auto"/>
                <w:highlight w:val="none"/>
              </w:rPr>
            </w:pPr>
            <w:r>
              <w:rPr>
                <w:rFonts w:hint="eastAsia" w:hAnsi="宋体" w:cs="宋体"/>
                <w:color w:val="auto"/>
                <w:highlight w:val="none"/>
              </w:rPr>
              <w:t>性别</w:t>
            </w:r>
          </w:p>
        </w:tc>
        <w:tc>
          <w:tcPr>
            <w:tcW w:w="1417" w:type="dxa"/>
            <w:tcBorders>
              <w:top w:val="single" w:color="000000" w:sz="4" w:space="0"/>
              <w:left w:val="single" w:color="000000" w:sz="4" w:space="0"/>
              <w:bottom w:val="single" w:color="000000" w:sz="4" w:space="0"/>
              <w:right w:val="single" w:color="000000" w:sz="4" w:space="0"/>
            </w:tcBorders>
            <w:vAlign w:val="center"/>
          </w:tcPr>
          <w:p w14:paraId="0D88CED2">
            <w:pPr>
              <w:pStyle w:val="23"/>
              <w:keepNext/>
              <w:jc w:val="center"/>
              <w:rPr>
                <w:rFonts w:hint="eastAsia" w:hAnsi="宋体" w:cs="宋体"/>
                <w:color w:val="auto"/>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vAlign w:val="center"/>
          </w:tcPr>
          <w:p w14:paraId="4C6FD5CD">
            <w:pPr>
              <w:pStyle w:val="23"/>
              <w:keepNext/>
              <w:jc w:val="center"/>
              <w:rPr>
                <w:rFonts w:hint="eastAsia" w:hAnsi="宋体" w:cs="宋体"/>
                <w:color w:val="auto"/>
                <w:highlight w:val="none"/>
              </w:rPr>
            </w:pPr>
            <w:r>
              <w:rPr>
                <w:rFonts w:hint="eastAsia" w:hAnsi="宋体" w:cs="宋体"/>
                <w:color w:val="auto"/>
                <w:highlight w:val="none"/>
              </w:rPr>
              <w:t>年龄</w:t>
            </w:r>
          </w:p>
        </w:tc>
        <w:tc>
          <w:tcPr>
            <w:tcW w:w="1720" w:type="dxa"/>
            <w:gridSpan w:val="2"/>
            <w:tcBorders>
              <w:top w:val="single" w:color="000000" w:sz="4" w:space="0"/>
              <w:left w:val="single" w:color="000000" w:sz="4" w:space="0"/>
              <w:bottom w:val="single" w:color="000000" w:sz="4" w:space="0"/>
              <w:right w:val="single" w:color="000000" w:sz="4" w:space="0"/>
            </w:tcBorders>
            <w:vAlign w:val="center"/>
          </w:tcPr>
          <w:p w14:paraId="6084C0CC">
            <w:pPr>
              <w:pStyle w:val="23"/>
              <w:keepNext/>
              <w:jc w:val="center"/>
              <w:rPr>
                <w:rFonts w:hint="eastAsia" w:hAnsi="宋体" w:cs="宋体"/>
                <w:color w:val="auto"/>
                <w:highlight w:val="none"/>
              </w:rPr>
            </w:pPr>
          </w:p>
        </w:tc>
      </w:tr>
      <w:tr w14:paraId="046CEE7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vAlign w:val="center"/>
          </w:tcPr>
          <w:p w14:paraId="6D08B3D8">
            <w:pPr>
              <w:pStyle w:val="23"/>
              <w:keepNext/>
              <w:jc w:val="center"/>
              <w:rPr>
                <w:rFonts w:hint="eastAsia" w:hAnsi="宋体" w:cs="宋体"/>
                <w:color w:val="auto"/>
                <w:highlight w:val="none"/>
              </w:rPr>
            </w:pPr>
            <w:r>
              <w:rPr>
                <w:rFonts w:hint="eastAsia" w:hAnsi="宋体" w:cs="宋体"/>
                <w:color w:val="auto"/>
                <w:highlight w:val="none"/>
              </w:rPr>
              <w:t>学历</w:t>
            </w:r>
          </w:p>
        </w:tc>
        <w:tc>
          <w:tcPr>
            <w:tcW w:w="1457" w:type="dxa"/>
            <w:gridSpan w:val="3"/>
            <w:tcBorders>
              <w:top w:val="single" w:color="000000" w:sz="4" w:space="0"/>
              <w:left w:val="single" w:color="000000" w:sz="4" w:space="0"/>
              <w:bottom w:val="single" w:color="000000" w:sz="4" w:space="0"/>
              <w:right w:val="single" w:color="000000" w:sz="4" w:space="0"/>
            </w:tcBorders>
            <w:vAlign w:val="center"/>
          </w:tcPr>
          <w:p w14:paraId="2B53DB60">
            <w:pPr>
              <w:pStyle w:val="23"/>
              <w:keepNext/>
              <w:jc w:val="center"/>
              <w:rPr>
                <w:rFonts w:hint="eastAsia" w:hAnsi="宋体" w:cs="宋体"/>
                <w:color w:val="auto"/>
                <w:highlight w:val="none"/>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5160F988">
            <w:pPr>
              <w:pStyle w:val="23"/>
              <w:keepNext/>
              <w:jc w:val="center"/>
              <w:rPr>
                <w:rFonts w:hint="eastAsia" w:hAnsi="宋体" w:cs="宋体"/>
                <w:color w:val="auto"/>
                <w:highlight w:val="none"/>
              </w:rPr>
            </w:pPr>
            <w:r>
              <w:rPr>
                <w:rFonts w:hint="eastAsia" w:hAnsi="宋体" w:cs="宋体"/>
                <w:color w:val="auto"/>
                <w:highlight w:val="none"/>
              </w:rPr>
              <w:t>毕业院校</w:t>
            </w:r>
          </w:p>
        </w:tc>
        <w:tc>
          <w:tcPr>
            <w:tcW w:w="1417" w:type="dxa"/>
            <w:tcBorders>
              <w:top w:val="single" w:color="000000" w:sz="4" w:space="0"/>
              <w:left w:val="single" w:color="000000" w:sz="4" w:space="0"/>
              <w:bottom w:val="single" w:color="000000" w:sz="4" w:space="0"/>
              <w:right w:val="single" w:color="000000" w:sz="4" w:space="0"/>
            </w:tcBorders>
            <w:vAlign w:val="center"/>
          </w:tcPr>
          <w:p w14:paraId="4B572738">
            <w:pPr>
              <w:pStyle w:val="23"/>
              <w:keepNext/>
              <w:jc w:val="center"/>
              <w:rPr>
                <w:rFonts w:hint="eastAsia" w:hAnsi="宋体" w:cs="宋体"/>
                <w:color w:val="auto"/>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vAlign w:val="center"/>
          </w:tcPr>
          <w:p w14:paraId="7E2E6C27">
            <w:pPr>
              <w:pStyle w:val="23"/>
              <w:keepNext/>
              <w:jc w:val="center"/>
              <w:rPr>
                <w:rFonts w:hint="eastAsia" w:hAnsi="宋体" w:cs="宋体"/>
                <w:color w:val="auto"/>
                <w:highlight w:val="none"/>
              </w:rPr>
            </w:pPr>
            <w:r>
              <w:rPr>
                <w:rFonts w:hint="eastAsia" w:hAnsi="宋体" w:cs="宋体"/>
                <w:color w:val="auto"/>
                <w:highlight w:val="none"/>
              </w:rPr>
              <w:t>专业</w:t>
            </w:r>
          </w:p>
        </w:tc>
        <w:tc>
          <w:tcPr>
            <w:tcW w:w="1720" w:type="dxa"/>
            <w:gridSpan w:val="2"/>
            <w:tcBorders>
              <w:top w:val="single" w:color="000000" w:sz="4" w:space="0"/>
              <w:left w:val="single" w:color="000000" w:sz="4" w:space="0"/>
              <w:bottom w:val="single" w:color="000000" w:sz="4" w:space="0"/>
              <w:right w:val="single" w:color="000000" w:sz="4" w:space="0"/>
            </w:tcBorders>
            <w:vAlign w:val="center"/>
          </w:tcPr>
          <w:p w14:paraId="3EA6F3AF">
            <w:pPr>
              <w:pStyle w:val="23"/>
              <w:keepNext/>
              <w:jc w:val="center"/>
              <w:rPr>
                <w:rFonts w:hint="eastAsia" w:hAnsi="宋体" w:cs="宋体"/>
                <w:color w:val="auto"/>
                <w:highlight w:val="none"/>
              </w:rPr>
            </w:pPr>
          </w:p>
        </w:tc>
      </w:tr>
      <w:tr w14:paraId="2B491DE0">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1907" w:type="dxa"/>
            <w:tcBorders>
              <w:top w:val="single" w:color="000000" w:sz="4" w:space="0"/>
              <w:left w:val="single" w:color="000000" w:sz="4" w:space="0"/>
              <w:bottom w:val="single" w:color="000000" w:sz="4" w:space="0"/>
              <w:right w:val="single" w:color="000000" w:sz="4" w:space="0"/>
            </w:tcBorders>
            <w:vAlign w:val="center"/>
          </w:tcPr>
          <w:p w14:paraId="5B70A088">
            <w:pPr>
              <w:pStyle w:val="23"/>
              <w:keepNext/>
              <w:jc w:val="center"/>
              <w:rPr>
                <w:rFonts w:hint="eastAsia" w:hAnsi="宋体" w:cs="宋体"/>
                <w:color w:val="auto"/>
                <w:highlight w:val="none"/>
              </w:rPr>
            </w:pPr>
            <w:r>
              <w:rPr>
                <w:rFonts w:hint="eastAsia" w:hAnsi="宋体" w:cs="宋体"/>
                <w:color w:val="auto"/>
                <w:highlight w:val="none"/>
              </w:rPr>
              <w:t>职务</w:t>
            </w:r>
          </w:p>
        </w:tc>
        <w:tc>
          <w:tcPr>
            <w:tcW w:w="1457" w:type="dxa"/>
            <w:gridSpan w:val="3"/>
            <w:tcBorders>
              <w:top w:val="single" w:color="000000" w:sz="4" w:space="0"/>
              <w:left w:val="single" w:color="000000" w:sz="4" w:space="0"/>
              <w:bottom w:val="single" w:color="000000" w:sz="4" w:space="0"/>
              <w:right w:val="single" w:color="000000" w:sz="4" w:space="0"/>
            </w:tcBorders>
            <w:vAlign w:val="center"/>
          </w:tcPr>
          <w:p w14:paraId="1FAC58F1">
            <w:pPr>
              <w:pStyle w:val="23"/>
              <w:keepNext/>
              <w:jc w:val="center"/>
              <w:rPr>
                <w:rFonts w:hint="eastAsia" w:hAnsi="宋体" w:cs="宋体"/>
                <w:color w:val="auto"/>
                <w:highlight w:val="none"/>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567BE39E">
            <w:pPr>
              <w:pStyle w:val="23"/>
              <w:keepNext/>
              <w:jc w:val="center"/>
              <w:rPr>
                <w:rFonts w:hint="eastAsia" w:hAnsi="宋体" w:cs="宋体"/>
                <w:color w:val="auto"/>
                <w:highlight w:val="none"/>
              </w:rPr>
            </w:pPr>
            <w:r>
              <w:rPr>
                <w:rFonts w:hint="eastAsia" w:hAnsi="宋体" w:cs="宋体"/>
                <w:color w:val="auto"/>
                <w:highlight w:val="none"/>
              </w:rPr>
              <w:t>职称</w:t>
            </w:r>
          </w:p>
        </w:tc>
        <w:tc>
          <w:tcPr>
            <w:tcW w:w="1417" w:type="dxa"/>
            <w:tcBorders>
              <w:top w:val="single" w:color="000000" w:sz="4" w:space="0"/>
              <w:left w:val="single" w:color="000000" w:sz="4" w:space="0"/>
              <w:bottom w:val="single" w:color="000000" w:sz="4" w:space="0"/>
              <w:right w:val="single" w:color="000000" w:sz="4" w:space="0"/>
            </w:tcBorders>
            <w:vAlign w:val="center"/>
          </w:tcPr>
          <w:p w14:paraId="5F2ED4AA">
            <w:pPr>
              <w:pStyle w:val="23"/>
              <w:keepNext/>
              <w:jc w:val="center"/>
              <w:rPr>
                <w:rFonts w:hint="eastAsia" w:hAnsi="宋体" w:cs="宋体"/>
                <w:color w:val="auto"/>
                <w:highlight w:val="none"/>
              </w:rPr>
            </w:pPr>
          </w:p>
        </w:tc>
        <w:tc>
          <w:tcPr>
            <w:tcW w:w="1983" w:type="dxa"/>
            <w:gridSpan w:val="2"/>
            <w:tcBorders>
              <w:top w:val="single" w:color="000000" w:sz="4" w:space="0"/>
              <w:left w:val="single" w:color="000000" w:sz="4" w:space="0"/>
              <w:bottom w:val="single" w:color="000000" w:sz="4" w:space="0"/>
              <w:right w:val="single" w:color="000000" w:sz="4" w:space="0"/>
            </w:tcBorders>
            <w:vAlign w:val="center"/>
          </w:tcPr>
          <w:p w14:paraId="331A8AE6">
            <w:pPr>
              <w:pStyle w:val="23"/>
              <w:keepNext/>
              <w:jc w:val="center"/>
              <w:rPr>
                <w:rFonts w:hint="eastAsia" w:hAnsi="宋体" w:cs="宋体"/>
                <w:color w:val="auto"/>
                <w:highlight w:val="none"/>
              </w:rPr>
            </w:pPr>
            <w:r>
              <w:rPr>
                <w:rFonts w:hint="eastAsia" w:hAnsi="宋体" w:cs="宋体"/>
                <w:color w:val="auto"/>
                <w:highlight w:val="none"/>
              </w:rPr>
              <w:t>注册情况</w:t>
            </w:r>
          </w:p>
        </w:tc>
        <w:tc>
          <w:tcPr>
            <w:tcW w:w="1720" w:type="dxa"/>
            <w:gridSpan w:val="2"/>
            <w:tcBorders>
              <w:top w:val="single" w:color="000000" w:sz="4" w:space="0"/>
              <w:left w:val="single" w:color="000000" w:sz="4" w:space="0"/>
              <w:bottom w:val="single" w:color="000000" w:sz="4" w:space="0"/>
              <w:right w:val="single" w:color="000000" w:sz="4" w:space="0"/>
            </w:tcBorders>
            <w:vAlign w:val="center"/>
          </w:tcPr>
          <w:p w14:paraId="7FABB85B">
            <w:pPr>
              <w:pStyle w:val="23"/>
              <w:keepNext/>
              <w:jc w:val="center"/>
              <w:rPr>
                <w:rFonts w:hint="eastAsia" w:hAnsi="宋体" w:cs="宋体"/>
                <w:color w:val="auto"/>
                <w:highlight w:val="none"/>
              </w:rPr>
            </w:pPr>
          </w:p>
        </w:tc>
      </w:tr>
      <w:tr w14:paraId="240249B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2739" w:type="dxa"/>
            <w:gridSpan w:val="2"/>
            <w:tcBorders>
              <w:top w:val="single" w:color="000000" w:sz="4" w:space="0"/>
              <w:left w:val="single" w:color="000000" w:sz="4" w:space="0"/>
              <w:bottom w:val="single" w:color="000000" w:sz="4" w:space="0"/>
              <w:right w:val="single" w:color="000000" w:sz="4" w:space="0"/>
            </w:tcBorders>
            <w:vAlign w:val="center"/>
          </w:tcPr>
          <w:p w14:paraId="65481A60">
            <w:pPr>
              <w:pStyle w:val="23"/>
              <w:keepNext/>
              <w:jc w:val="center"/>
              <w:rPr>
                <w:rFonts w:hint="eastAsia" w:hAnsi="宋体" w:cs="宋体"/>
                <w:color w:val="auto"/>
                <w:highlight w:val="none"/>
              </w:rPr>
            </w:pPr>
            <w:r>
              <w:rPr>
                <w:rFonts w:hint="eastAsia" w:hAnsi="宋体" w:cs="宋体"/>
                <w:color w:val="auto"/>
                <w:highlight w:val="none"/>
              </w:rPr>
              <w:t>参加工作时间</w:t>
            </w:r>
          </w:p>
        </w:tc>
        <w:tc>
          <w:tcPr>
            <w:tcW w:w="2041" w:type="dxa"/>
            <w:gridSpan w:val="3"/>
            <w:tcBorders>
              <w:top w:val="single" w:color="000000" w:sz="4" w:space="0"/>
              <w:left w:val="single" w:color="000000" w:sz="4" w:space="0"/>
              <w:bottom w:val="single" w:color="000000" w:sz="4" w:space="0"/>
              <w:right w:val="single" w:color="000000" w:sz="4" w:space="0"/>
            </w:tcBorders>
            <w:vAlign w:val="center"/>
          </w:tcPr>
          <w:p w14:paraId="3201CD70">
            <w:pPr>
              <w:pStyle w:val="23"/>
              <w:keepNext/>
              <w:jc w:val="center"/>
              <w:rPr>
                <w:rFonts w:hint="eastAsia" w:hAnsi="宋体" w:cs="宋体"/>
                <w:color w:val="auto"/>
                <w:highlight w:val="none"/>
              </w:rPr>
            </w:pPr>
          </w:p>
        </w:tc>
        <w:tc>
          <w:tcPr>
            <w:tcW w:w="3400" w:type="dxa"/>
            <w:gridSpan w:val="3"/>
            <w:tcBorders>
              <w:top w:val="single" w:color="000000" w:sz="4" w:space="0"/>
              <w:left w:val="single" w:color="000000" w:sz="4" w:space="0"/>
              <w:bottom w:val="single" w:color="000000" w:sz="4" w:space="0"/>
              <w:right w:val="single" w:color="000000" w:sz="4" w:space="0"/>
            </w:tcBorders>
            <w:vAlign w:val="center"/>
          </w:tcPr>
          <w:p w14:paraId="184E7A55">
            <w:pPr>
              <w:pStyle w:val="23"/>
              <w:keepNext/>
              <w:jc w:val="center"/>
              <w:rPr>
                <w:rFonts w:hint="eastAsia" w:hAnsi="宋体" w:cs="宋体"/>
                <w:color w:val="auto"/>
                <w:highlight w:val="none"/>
              </w:rPr>
            </w:pPr>
            <w:r>
              <w:rPr>
                <w:rFonts w:hint="eastAsia" w:hAnsi="宋体" w:cs="宋体"/>
                <w:color w:val="auto"/>
                <w:highlight w:val="none"/>
              </w:rPr>
              <w:t>从事项目负责人年限</w:t>
            </w:r>
          </w:p>
        </w:tc>
        <w:tc>
          <w:tcPr>
            <w:tcW w:w="1720" w:type="dxa"/>
            <w:gridSpan w:val="2"/>
            <w:tcBorders>
              <w:top w:val="single" w:color="000000" w:sz="4" w:space="0"/>
              <w:left w:val="single" w:color="000000" w:sz="4" w:space="0"/>
              <w:bottom w:val="single" w:color="000000" w:sz="4" w:space="0"/>
              <w:right w:val="single" w:color="000000" w:sz="4" w:space="0"/>
            </w:tcBorders>
            <w:vAlign w:val="center"/>
          </w:tcPr>
          <w:p w14:paraId="6F0EC56C">
            <w:pPr>
              <w:pStyle w:val="23"/>
              <w:keepNext/>
              <w:jc w:val="center"/>
              <w:rPr>
                <w:rFonts w:hint="eastAsia" w:hAnsi="宋体" w:cs="宋体"/>
                <w:color w:val="auto"/>
                <w:highlight w:val="none"/>
              </w:rPr>
            </w:pPr>
          </w:p>
        </w:tc>
      </w:tr>
      <w:tr w14:paraId="5EE7D52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00" w:type="dxa"/>
            <w:gridSpan w:val="10"/>
            <w:tcBorders>
              <w:top w:val="single" w:color="000000" w:sz="4" w:space="0"/>
              <w:left w:val="single" w:color="000000" w:sz="4" w:space="0"/>
              <w:bottom w:val="single" w:color="000000" w:sz="4" w:space="0"/>
              <w:right w:val="single" w:color="000000" w:sz="4" w:space="0"/>
            </w:tcBorders>
            <w:vAlign w:val="center"/>
          </w:tcPr>
          <w:p w14:paraId="0DFC3371">
            <w:pPr>
              <w:pStyle w:val="23"/>
              <w:keepNext/>
              <w:jc w:val="center"/>
              <w:rPr>
                <w:rFonts w:hint="eastAsia" w:hAnsi="宋体" w:cs="宋体"/>
                <w:color w:val="auto"/>
                <w:highlight w:val="none"/>
              </w:rPr>
            </w:pPr>
            <w:r>
              <w:rPr>
                <w:rFonts w:hint="eastAsia" w:hAnsi="宋体" w:cs="宋体"/>
                <w:color w:val="auto"/>
                <w:highlight w:val="none"/>
              </w:rPr>
              <w:t>已完成项目情况</w:t>
            </w:r>
          </w:p>
        </w:tc>
      </w:tr>
      <w:tr w14:paraId="075D9BB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vAlign w:val="center"/>
          </w:tcPr>
          <w:p w14:paraId="741EC626">
            <w:pPr>
              <w:pStyle w:val="23"/>
              <w:keepNext/>
              <w:jc w:val="center"/>
              <w:rPr>
                <w:rFonts w:hint="eastAsia" w:hAnsi="宋体" w:cs="宋体"/>
                <w:color w:val="auto"/>
                <w:highlight w:val="none"/>
              </w:rPr>
            </w:pPr>
            <w:r>
              <w:rPr>
                <w:rFonts w:hint="eastAsia" w:hAnsi="宋体" w:cs="宋体"/>
                <w:color w:val="auto"/>
                <w:highlight w:val="none"/>
              </w:rPr>
              <w:t>项目名称</w:t>
            </w:r>
          </w:p>
        </w:tc>
        <w:tc>
          <w:tcPr>
            <w:tcW w:w="2978" w:type="dxa"/>
            <w:gridSpan w:val="4"/>
            <w:tcBorders>
              <w:top w:val="single" w:color="000000" w:sz="4" w:space="0"/>
              <w:left w:val="single" w:color="000000" w:sz="4" w:space="0"/>
              <w:bottom w:val="single" w:color="000000" w:sz="4" w:space="0"/>
              <w:right w:val="single" w:color="000000" w:sz="4" w:space="0"/>
            </w:tcBorders>
            <w:vAlign w:val="center"/>
          </w:tcPr>
          <w:p w14:paraId="3B5769E0">
            <w:pPr>
              <w:pStyle w:val="23"/>
              <w:keepNext/>
              <w:jc w:val="center"/>
              <w:rPr>
                <w:rFonts w:hint="eastAsia" w:hAnsi="宋体" w:cs="宋体"/>
                <w:color w:val="auto"/>
                <w:highlight w:val="none"/>
              </w:rPr>
            </w:pPr>
            <w:r>
              <w:rPr>
                <w:rFonts w:hint="eastAsia" w:hAnsi="宋体" w:cs="宋体"/>
                <w:color w:val="auto"/>
                <w:highlight w:val="none"/>
              </w:rPr>
              <w:t>项目服务周期</w:t>
            </w:r>
          </w:p>
        </w:tc>
        <w:tc>
          <w:tcPr>
            <w:tcW w:w="2270" w:type="dxa"/>
            <w:gridSpan w:val="2"/>
            <w:tcBorders>
              <w:top w:val="single" w:color="000000" w:sz="4" w:space="0"/>
              <w:left w:val="single" w:color="000000" w:sz="4" w:space="0"/>
              <w:bottom w:val="single" w:color="000000" w:sz="4" w:space="0"/>
              <w:right w:val="single" w:color="000000" w:sz="4" w:space="0"/>
            </w:tcBorders>
            <w:vAlign w:val="center"/>
          </w:tcPr>
          <w:p w14:paraId="42629032">
            <w:pPr>
              <w:pStyle w:val="23"/>
              <w:keepNext/>
              <w:jc w:val="center"/>
              <w:rPr>
                <w:rFonts w:hint="eastAsia" w:hAnsi="宋体" w:cs="宋体"/>
                <w:color w:val="auto"/>
                <w:highlight w:val="none"/>
              </w:rPr>
            </w:pPr>
            <w:r>
              <w:rPr>
                <w:rFonts w:hint="eastAsia" w:hAnsi="宋体" w:cs="宋体"/>
                <w:color w:val="auto"/>
                <w:highlight w:val="none"/>
              </w:rPr>
              <w:t>担负的技术职务</w:t>
            </w:r>
          </w:p>
        </w:tc>
        <w:tc>
          <w:tcPr>
            <w:tcW w:w="1401" w:type="dxa"/>
            <w:tcBorders>
              <w:top w:val="single" w:color="000000" w:sz="4" w:space="0"/>
              <w:left w:val="single" w:color="000000" w:sz="4" w:space="0"/>
              <w:bottom w:val="single" w:color="000000" w:sz="4" w:space="0"/>
              <w:right w:val="single" w:color="000000" w:sz="4" w:space="0"/>
            </w:tcBorders>
            <w:vAlign w:val="center"/>
          </w:tcPr>
          <w:p w14:paraId="3F832E9C">
            <w:pPr>
              <w:pStyle w:val="23"/>
              <w:keepNext/>
              <w:jc w:val="center"/>
              <w:rPr>
                <w:rFonts w:hint="eastAsia" w:hAnsi="宋体" w:cs="宋体"/>
                <w:color w:val="auto"/>
                <w:highlight w:val="none"/>
              </w:rPr>
            </w:pPr>
            <w:r>
              <w:rPr>
                <w:rFonts w:hint="eastAsia" w:hAnsi="宋体" w:cs="宋体"/>
                <w:color w:val="auto"/>
                <w:highlight w:val="none"/>
              </w:rPr>
              <w:t>获奖情况</w:t>
            </w:r>
          </w:p>
        </w:tc>
      </w:tr>
      <w:tr w14:paraId="3E0E362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vAlign w:val="center"/>
          </w:tcPr>
          <w:p w14:paraId="5E10770B">
            <w:pPr>
              <w:pStyle w:val="23"/>
              <w:keepNext/>
              <w:jc w:val="center"/>
              <w:rPr>
                <w:rFonts w:hint="eastAsia" w:hAnsi="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vAlign w:val="center"/>
          </w:tcPr>
          <w:p w14:paraId="643D26CB">
            <w:pPr>
              <w:pStyle w:val="23"/>
              <w:keepNext/>
              <w:jc w:val="center"/>
              <w:rPr>
                <w:rFonts w:hint="eastAsia" w:hAnsi="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vAlign w:val="center"/>
          </w:tcPr>
          <w:p w14:paraId="17804D86">
            <w:pPr>
              <w:pStyle w:val="23"/>
              <w:keepNext/>
              <w:jc w:val="center"/>
              <w:rPr>
                <w:rFonts w:hint="eastAsia" w:hAnsi="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vAlign w:val="center"/>
          </w:tcPr>
          <w:p w14:paraId="3C804EE5">
            <w:pPr>
              <w:pStyle w:val="23"/>
              <w:keepNext/>
              <w:jc w:val="center"/>
              <w:rPr>
                <w:rFonts w:hint="eastAsia" w:hAnsi="宋体" w:cs="宋体"/>
                <w:color w:val="auto"/>
                <w:highlight w:val="none"/>
              </w:rPr>
            </w:pPr>
          </w:p>
        </w:tc>
      </w:tr>
      <w:tr w14:paraId="12104A1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vAlign w:val="center"/>
          </w:tcPr>
          <w:p w14:paraId="4BC84EB2">
            <w:pPr>
              <w:pStyle w:val="23"/>
              <w:keepNext/>
              <w:jc w:val="center"/>
              <w:rPr>
                <w:rFonts w:hint="eastAsia" w:hAnsi="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vAlign w:val="center"/>
          </w:tcPr>
          <w:p w14:paraId="579D67CE">
            <w:pPr>
              <w:pStyle w:val="23"/>
              <w:keepNext/>
              <w:jc w:val="center"/>
              <w:rPr>
                <w:rFonts w:hint="eastAsia" w:hAnsi="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vAlign w:val="center"/>
          </w:tcPr>
          <w:p w14:paraId="63DFF838">
            <w:pPr>
              <w:pStyle w:val="23"/>
              <w:keepNext/>
              <w:jc w:val="center"/>
              <w:rPr>
                <w:rFonts w:hint="eastAsia" w:hAnsi="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vAlign w:val="center"/>
          </w:tcPr>
          <w:p w14:paraId="3DCC4E98">
            <w:pPr>
              <w:pStyle w:val="23"/>
              <w:keepNext/>
              <w:jc w:val="center"/>
              <w:rPr>
                <w:rFonts w:hint="eastAsia" w:hAnsi="宋体" w:cs="宋体"/>
                <w:color w:val="auto"/>
                <w:highlight w:val="none"/>
              </w:rPr>
            </w:pPr>
          </w:p>
        </w:tc>
      </w:tr>
      <w:tr w14:paraId="4DD02E9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vAlign w:val="center"/>
          </w:tcPr>
          <w:p w14:paraId="264F8CFA">
            <w:pPr>
              <w:pStyle w:val="23"/>
              <w:keepNext/>
              <w:jc w:val="center"/>
              <w:rPr>
                <w:rFonts w:hint="eastAsia" w:hAnsi="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vAlign w:val="center"/>
          </w:tcPr>
          <w:p w14:paraId="444734B5">
            <w:pPr>
              <w:pStyle w:val="23"/>
              <w:keepNext/>
              <w:jc w:val="center"/>
              <w:rPr>
                <w:rFonts w:hint="eastAsia" w:hAnsi="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vAlign w:val="center"/>
          </w:tcPr>
          <w:p w14:paraId="3B79306F">
            <w:pPr>
              <w:pStyle w:val="23"/>
              <w:keepNext/>
              <w:jc w:val="center"/>
              <w:rPr>
                <w:rFonts w:hint="eastAsia" w:hAnsi="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vAlign w:val="center"/>
          </w:tcPr>
          <w:p w14:paraId="28B4A75D">
            <w:pPr>
              <w:pStyle w:val="23"/>
              <w:keepNext/>
              <w:jc w:val="center"/>
              <w:rPr>
                <w:rFonts w:hint="eastAsia" w:hAnsi="宋体" w:cs="宋体"/>
                <w:color w:val="auto"/>
                <w:highlight w:val="none"/>
              </w:rPr>
            </w:pPr>
          </w:p>
        </w:tc>
      </w:tr>
      <w:tr w14:paraId="7DB6172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3251" w:type="dxa"/>
            <w:gridSpan w:val="3"/>
            <w:tcBorders>
              <w:top w:val="single" w:color="000000" w:sz="4" w:space="0"/>
              <w:left w:val="single" w:color="000000" w:sz="4" w:space="0"/>
              <w:bottom w:val="single" w:color="000000" w:sz="4" w:space="0"/>
              <w:right w:val="single" w:color="000000" w:sz="4" w:space="0"/>
            </w:tcBorders>
            <w:vAlign w:val="center"/>
          </w:tcPr>
          <w:p w14:paraId="5C866967">
            <w:pPr>
              <w:pStyle w:val="23"/>
              <w:keepNext/>
              <w:jc w:val="center"/>
              <w:rPr>
                <w:rFonts w:hint="eastAsia" w:hAnsi="宋体" w:cs="宋体"/>
                <w:color w:val="auto"/>
                <w:highlight w:val="none"/>
              </w:rPr>
            </w:pPr>
          </w:p>
        </w:tc>
        <w:tc>
          <w:tcPr>
            <w:tcW w:w="2978" w:type="dxa"/>
            <w:gridSpan w:val="4"/>
            <w:tcBorders>
              <w:top w:val="single" w:color="000000" w:sz="4" w:space="0"/>
              <w:left w:val="single" w:color="000000" w:sz="4" w:space="0"/>
              <w:bottom w:val="single" w:color="000000" w:sz="4" w:space="0"/>
              <w:right w:val="single" w:color="000000" w:sz="4" w:space="0"/>
            </w:tcBorders>
            <w:vAlign w:val="center"/>
          </w:tcPr>
          <w:p w14:paraId="5DEAB044">
            <w:pPr>
              <w:pStyle w:val="23"/>
              <w:keepNext/>
              <w:jc w:val="center"/>
              <w:rPr>
                <w:rFonts w:hint="eastAsia" w:hAnsi="宋体" w:cs="宋体"/>
                <w:color w:val="auto"/>
                <w:highlight w:val="none"/>
              </w:rPr>
            </w:pPr>
          </w:p>
        </w:tc>
        <w:tc>
          <w:tcPr>
            <w:tcW w:w="2270" w:type="dxa"/>
            <w:gridSpan w:val="2"/>
            <w:tcBorders>
              <w:top w:val="single" w:color="000000" w:sz="4" w:space="0"/>
              <w:left w:val="single" w:color="000000" w:sz="4" w:space="0"/>
              <w:bottom w:val="single" w:color="000000" w:sz="4" w:space="0"/>
              <w:right w:val="single" w:color="000000" w:sz="4" w:space="0"/>
            </w:tcBorders>
            <w:vAlign w:val="center"/>
          </w:tcPr>
          <w:p w14:paraId="3BB87393">
            <w:pPr>
              <w:pStyle w:val="23"/>
              <w:keepNext/>
              <w:jc w:val="center"/>
              <w:rPr>
                <w:rFonts w:hint="eastAsia" w:hAnsi="宋体" w:cs="宋体"/>
                <w:color w:val="auto"/>
                <w:highlight w:val="none"/>
              </w:rPr>
            </w:pPr>
          </w:p>
        </w:tc>
        <w:tc>
          <w:tcPr>
            <w:tcW w:w="1401" w:type="dxa"/>
            <w:tcBorders>
              <w:top w:val="single" w:color="000000" w:sz="4" w:space="0"/>
              <w:left w:val="single" w:color="000000" w:sz="4" w:space="0"/>
              <w:bottom w:val="single" w:color="000000" w:sz="4" w:space="0"/>
              <w:right w:val="single" w:color="000000" w:sz="4" w:space="0"/>
            </w:tcBorders>
            <w:vAlign w:val="center"/>
          </w:tcPr>
          <w:p w14:paraId="1A72B032">
            <w:pPr>
              <w:pStyle w:val="23"/>
              <w:keepNext/>
              <w:jc w:val="center"/>
              <w:rPr>
                <w:rFonts w:hint="eastAsia" w:hAnsi="宋体" w:cs="宋体"/>
                <w:color w:val="auto"/>
                <w:highlight w:val="none"/>
              </w:rPr>
            </w:pPr>
          </w:p>
        </w:tc>
      </w:tr>
      <w:tr w14:paraId="01A56AD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jc w:val="center"/>
        </w:trPr>
        <w:tc>
          <w:tcPr>
            <w:tcW w:w="9900" w:type="dxa"/>
            <w:gridSpan w:val="10"/>
            <w:tcBorders>
              <w:top w:val="single" w:color="000000" w:sz="4" w:space="0"/>
              <w:left w:val="single" w:color="000000" w:sz="4" w:space="0"/>
              <w:bottom w:val="single" w:color="000000" w:sz="4" w:space="0"/>
              <w:right w:val="single" w:color="000000" w:sz="4" w:space="0"/>
            </w:tcBorders>
            <w:vAlign w:val="center"/>
          </w:tcPr>
          <w:p w14:paraId="1A96C1FE">
            <w:pPr>
              <w:pStyle w:val="23"/>
              <w:keepNext/>
              <w:rPr>
                <w:rFonts w:hint="eastAsia" w:hAnsi="宋体" w:cs="宋体"/>
                <w:color w:val="auto"/>
                <w:highlight w:val="none"/>
              </w:rPr>
            </w:pPr>
            <w:r>
              <w:rPr>
                <w:rFonts w:hint="eastAsia" w:hAnsi="宋体" w:cs="宋体"/>
                <w:color w:val="auto"/>
                <w:highlight w:val="none"/>
              </w:rPr>
              <w:t>简介：</w:t>
            </w:r>
          </w:p>
          <w:p w14:paraId="7FCD53F5">
            <w:pPr>
              <w:pStyle w:val="23"/>
              <w:keepNext/>
              <w:jc w:val="center"/>
              <w:rPr>
                <w:rFonts w:hint="eastAsia" w:hAnsi="宋体" w:cs="宋体"/>
                <w:color w:val="auto"/>
                <w:highlight w:val="none"/>
              </w:rPr>
            </w:pPr>
          </w:p>
          <w:p w14:paraId="71855447">
            <w:pPr>
              <w:pStyle w:val="23"/>
              <w:keepNext/>
              <w:jc w:val="center"/>
              <w:rPr>
                <w:rFonts w:hint="eastAsia" w:hAnsi="宋体" w:cs="宋体"/>
                <w:color w:val="auto"/>
                <w:highlight w:val="none"/>
              </w:rPr>
            </w:pPr>
          </w:p>
          <w:p w14:paraId="73D1C516">
            <w:pPr>
              <w:pStyle w:val="23"/>
              <w:keepNext/>
              <w:jc w:val="center"/>
              <w:rPr>
                <w:rFonts w:hint="eastAsia" w:hAnsi="宋体" w:cs="宋体"/>
                <w:color w:val="auto"/>
                <w:highlight w:val="none"/>
              </w:rPr>
            </w:pPr>
          </w:p>
          <w:p w14:paraId="23595F54">
            <w:pPr>
              <w:pStyle w:val="23"/>
              <w:keepNext/>
              <w:jc w:val="center"/>
              <w:rPr>
                <w:rFonts w:hint="eastAsia" w:hAnsi="宋体" w:cs="宋体"/>
                <w:color w:val="auto"/>
                <w:highlight w:val="none"/>
              </w:rPr>
            </w:pPr>
          </w:p>
          <w:p w14:paraId="0D16EF46">
            <w:pPr>
              <w:pStyle w:val="23"/>
              <w:keepNext/>
              <w:rPr>
                <w:rFonts w:hint="eastAsia" w:hAnsi="宋体" w:cs="宋体"/>
                <w:color w:val="auto"/>
                <w:highlight w:val="none"/>
              </w:rPr>
            </w:pPr>
          </w:p>
        </w:tc>
      </w:tr>
    </w:tbl>
    <w:p w14:paraId="7FB3DCFB">
      <w:pPr>
        <w:keepNext/>
        <w:spacing w:line="360" w:lineRule="auto"/>
        <w:ind w:left="-238" w:leftChars="-85" w:firstLine="420" w:firstLineChars="200"/>
        <w:jc w:val="left"/>
        <w:rPr>
          <w:rFonts w:hint="eastAsia" w:hAnsi="宋体" w:cs="宋体"/>
          <w:color w:val="auto"/>
          <w:sz w:val="21"/>
          <w:szCs w:val="21"/>
          <w:highlight w:val="none"/>
        </w:rPr>
      </w:pPr>
      <w:r>
        <w:rPr>
          <w:rFonts w:hint="eastAsia" w:hAnsi="宋体" w:cs="宋体"/>
          <w:color w:val="auto"/>
          <w:sz w:val="21"/>
          <w:szCs w:val="21"/>
          <w:highlight w:val="none"/>
        </w:rPr>
        <w:t>注：附项目负责人学历证、</w:t>
      </w:r>
      <w:r>
        <w:rPr>
          <w:rFonts w:hint="eastAsia" w:hAnsi="宋体" w:cs="宋体"/>
          <w:bCs/>
          <w:color w:val="auto"/>
          <w:sz w:val="21"/>
          <w:szCs w:val="21"/>
          <w:highlight w:val="none"/>
        </w:rPr>
        <w:t>职称证（如有）、</w:t>
      </w:r>
      <w:r>
        <w:rPr>
          <w:rFonts w:hint="eastAsia" w:hAnsi="宋体" w:cs="宋体"/>
          <w:color w:val="auto"/>
          <w:sz w:val="21"/>
          <w:szCs w:val="21"/>
          <w:highlight w:val="none"/>
        </w:rPr>
        <w:t>执业或职业或注册资格证书（如有）、身份证、近半年内的社保证明材料和劳动合同、项目负责人2021年以来类似项目经验证明材料、相关荣誉（如有）等相关资料复印件。</w:t>
      </w:r>
    </w:p>
    <w:p w14:paraId="2FCA4666">
      <w:pPr>
        <w:keepNext/>
        <w:spacing w:before="60" w:after="60" w:line="340" w:lineRule="exact"/>
        <w:ind w:hanging="35"/>
        <w:rPr>
          <w:rFonts w:hint="eastAsia" w:hAnsi="宋体" w:cs="宋体"/>
          <w:color w:val="auto"/>
          <w:sz w:val="21"/>
          <w:szCs w:val="21"/>
          <w:highlight w:val="none"/>
        </w:rPr>
      </w:pPr>
    </w:p>
    <w:p w14:paraId="1B1F5281">
      <w:pPr>
        <w:widowControl/>
        <w:jc w:val="left"/>
        <w:rPr>
          <w:rFonts w:hint="eastAsia" w:hAnsi="宋体"/>
          <w:b/>
          <w:bCs/>
          <w:color w:val="auto"/>
          <w:sz w:val="21"/>
          <w:szCs w:val="21"/>
          <w:highlight w:val="none"/>
        </w:rPr>
      </w:pPr>
    </w:p>
    <w:p w14:paraId="391FDB45">
      <w:pPr>
        <w:spacing w:before="60" w:after="60" w:line="360" w:lineRule="auto"/>
        <w:rPr>
          <w:rFonts w:hint="eastAsia" w:hAnsi="宋体"/>
          <w:color w:val="auto"/>
          <w:sz w:val="21"/>
          <w:szCs w:val="21"/>
          <w:highlight w:val="none"/>
        </w:rPr>
      </w:pPr>
      <w:r>
        <w:rPr>
          <w:rFonts w:hint="eastAsia" w:hAnsi="宋体"/>
          <w:color w:val="auto"/>
          <w:sz w:val="21"/>
          <w:szCs w:val="21"/>
          <w:highlight w:val="none"/>
        </w:rPr>
        <w:t>投标人（加盖单</w:t>
      </w:r>
      <w:r>
        <w:rPr>
          <w:rFonts w:hint="eastAsia" w:hAnsi="宋体"/>
          <w:color w:val="auto"/>
          <w:sz w:val="21"/>
          <w:szCs w:val="21"/>
          <w:highlight w:val="none"/>
          <w:lang w:eastAsia="zh-CN"/>
        </w:rPr>
        <w:t>位公</w:t>
      </w:r>
      <w:r>
        <w:rPr>
          <w:rFonts w:hint="eastAsia" w:hAnsi="宋体"/>
          <w:color w:val="auto"/>
          <w:sz w:val="21"/>
          <w:szCs w:val="21"/>
          <w:highlight w:val="none"/>
        </w:rPr>
        <w:t>章）：</w:t>
      </w:r>
      <w:r>
        <w:rPr>
          <w:rFonts w:hAnsi="宋体"/>
          <w:color w:val="auto"/>
          <w:sz w:val="21"/>
          <w:szCs w:val="21"/>
          <w:highlight w:val="none"/>
        </w:rPr>
        <w:t>______________</w:t>
      </w:r>
    </w:p>
    <w:p w14:paraId="0E5B3D47">
      <w:pPr>
        <w:spacing w:before="60" w:after="60" w:line="360" w:lineRule="auto"/>
        <w:rPr>
          <w:rFonts w:hint="eastAsia" w:hAnsi="宋体"/>
          <w:color w:val="auto"/>
          <w:sz w:val="21"/>
          <w:szCs w:val="21"/>
          <w:highlight w:val="none"/>
        </w:rPr>
      </w:pPr>
      <w:r>
        <w:rPr>
          <w:rFonts w:hint="eastAsia" w:hAnsi="宋体"/>
          <w:color w:val="auto"/>
          <w:sz w:val="21"/>
          <w:szCs w:val="21"/>
          <w:highlight w:val="none"/>
        </w:rPr>
        <w:t>法定代表人（负责人）或委托代理人（</w:t>
      </w:r>
      <w:r>
        <w:rPr>
          <w:rFonts w:hint="eastAsia" w:hAnsi="宋体"/>
          <w:color w:val="auto"/>
          <w:sz w:val="21"/>
          <w:szCs w:val="21"/>
          <w:highlight w:val="none"/>
          <w:lang w:eastAsia="zh-CN"/>
        </w:rPr>
        <w:t>签字或个人印章</w:t>
      </w:r>
      <w:r>
        <w:rPr>
          <w:rFonts w:hint="eastAsia" w:hAnsi="宋体"/>
          <w:color w:val="auto"/>
          <w:sz w:val="21"/>
          <w:szCs w:val="21"/>
          <w:highlight w:val="none"/>
        </w:rPr>
        <w:t>）：</w:t>
      </w:r>
      <w:r>
        <w:rPr>
          <w:rFonts w:hAnsi="宋体"/>
          <w:color w:val="auto"/>
          <w:sz w:val="21"/>
          <w:szCs w:val="21"/>
          <w:highlight w:val="none"/>
        </w:rPr>
        <w:t>________</w:t>
      </w:r>
    </w:p>
    <w:p w14:paraId="3610F7CC">
      <w:pPr>
        <w:keepNext/>
        <w:spacing w:before="60" w:after="60" w:line="480" w:lineRule="auto"/>
        <w:ind w:hanging="35"/>
        <w:rPr>
          <w:rFonts w:hint="eastAsia" w:hAnsi="宋体" w:cs="宋体"/>
          <w:color w:val="auto"/>
          <w:sz w:val="21"/>
          <w:szCs w:val="21"/>
          <w:highlight w:val="none"/>
        </w:rPr>
      </w:pPr>
      <w:r>
        <w:rPr>
          <w:rFonts w:hint="eastAsia" w:hAnsi="宋体"/>
          <w:color w:val="auto"/>
          <w:sz w:val="21"/>
          <w:szCs w:val="21"/>
          <w:highlight w:val="none"/>
        </w:rPr>
        <w:t>日期：</w:t>
      </w:r>
      <w:r>
        <w:rPr>
          <w:rFonts w:hAnsi="宋体"/>
          <w:color w:val="auto"/>
          <w:sz w:val="21"/>
          <w:szCs w:val="21"/>
          <w:highlight w:val="none"/>
        </w:rPr>
        <w:t>________</w:t>
      </w:r>
      <w:r>
        <w:rPr>
          <w:rFonts w:hint="eastAsia" w:hAnsi="宋体"/>
          <w:color w:val="auto"/>
          <w:sz w:val="21"/>
          <w:szCs w:val="21"/>
          <w:highlight w:val="none"/>
        </w:rPr>
        <w:t>年</w:t>
      </w:r>
      <w:r>
        <w:rPr>
          <w:rFonts w:hAnsi="宋体"/>
          <w:color w:val="auto"/>
          <w:sz w:val="21"/>
          <w:szCs w:val="21"/>
          <w:highlight w:val="none"/>
        </w:rPr>
        <w:t>_____</w:t>
      </w:r>
      <w:r>
        <w:rPr>
          <w:rFonts w:hint="eastAsia" w:hAnsi="宋体"/>
          <w:color w:val="auto"/>
          <w:sz w:val="21"/>
          <w:szCs w:val="21"/>
          <w:highlight w:val="none"/>
        </w:rPr>
        <w:t>月</w:t>
      </w:r>
      <w:r>
        <w:rPr>
          <w:rFonts w:hAnsi="宋体"/>
          <w:color w:val="auto"/>
          <w:sz w:val="21"/>
          <w:szCs w:val="21"/>
          <w:highlight w:val="none"/>
        </w:rPr>
        <w:t>_____</w:t>
      </w:r>
      <w:r>
        <w:rPr>
          <w:rFonts w:hint="eastAsia" w:hAnsi="宋体"/>
          <w:color w:val="auto"/>
          <w:sz w:val="21"/>
          <w:szCs w:val="21"/>
          <w:highlight w:val="none"/>
        </w:rPr>
        <w:t>日</w:t>
      </w:r>
    </w:p>
    <w:p w14:paraId="37D858AC">
      <w:pPr>
        <w:ind w:firstLine="422" w:firstLineChars="200"/>
        <w:rPr>
          <w:rFonts w:hint="eastAsia" w:hAnsi="宋体" w:cs="宋体"/>
          <w:b/>
          <w:color w:val="auto"/>
          <w:sz w:val="21"/>
          <w:szCs w:val="21"/>
          <w:highlight w:val="none"/>
        </w:rPr>
      </w:pPr>
      <w:r>
        <w:rPr>
          <w:rFonts w:hint="eastAsia" w:hAnsi="宋体" w:cs="宋体"/>
          <w:b/>
          <w:color w:val="auto"/>
          <w:sz w:val="21"/>
          <w:szCs w:val="21"/>
          <w:highlight w:val="none"/>
        </w:rPr>
        <w:br w:type="page"/>
      </w:r>
    </w:p>
    <w:p w14:paraId="2B74B849">
      <w:pPr>
        <w:pStyle w:val="51"/>
        <w:jc w:val="center"/>
        <w:rPr>
          <w:rFonts w:hint="eastAsia" w:ascii="宋体" w:hAnsi="宋体" w:cs="宋体"/>
          <w:b/>
          <w:color w:val="auto"/>
          <w:szCs w:val="21"/>
          <w:highlight w:val="none"/>
        </w:rPr>
      </w:pPr>
      <w:r>
        <w:rPr>
          <w:rFonts w:hint="eastAsia" w:ascii="宋体" w:hAnsi="宋体" w:cs="宋体"/>
          <w:b/>
          <w:color w:val="auto"/>
          <w:sz w:val="28"/>
          <w:szCs w:val="28"/>
          <w:highlight w:val="none"/>
        </w:rPr>
        <w:t>4.项目团队技术服务人员情况表</w:t>
      </w:r>
    </w:p>
    <w:p w14:paraId="256B4C61">
      <w:pPr>
        <w:pStyle w:val="51"/>
        <w:rPr>
          <w:rFonts w:hint="eastAsia" w:ascii="宋体" w:hAnsi="宋体" w:cs="宋体"/>
          <w:b/>
          <w:color w:val="auto"/>
          <w:szCs w:val="21"/>
          <w:highlight w:val="none"/>
        </w:rPr>
      </w:pPr>
    </w:p>
    <w:tbl>
      <w:tblPr>
        <w:tblStyle w:val="37"/>
        <w:tblW w:w="9090" w:type="dxa"/>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1149"/>
        <w:gridCol w:w="2204"/>
        <w:gridCol w:w="1296"/>
        <w:gridCol w:w="1825"/>
        <w:gridCol w:w="2616"/>
      </w:tblGrid>
      <w:tr w14:paraId="0F41F10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95" w:hRule="atLeast"/>
          <w:jc w:val="center"/>
        </w:trPr>
        <w:tc>
          <w:tcPr>
            <w:tcW w:w="1149" w:type="dxa"/>
            <w:tcBorders>
              <w:top w:val="single" w:color="000000" w:sz="4" w:space="0"/>
              <w:left w:val="single" w:color="000000" w:sz="4" w:space="0"/>
              <w:bottom w:val="single" w:color="000000" w:sz="4" w:space="0"/>
              <w:right w:val="single" w:color="000000" w:sz="4" w:space="0"/>
            </w:tcBorders>
            <w:vAlign w:val="center"/>
          </w:tcPr>
          <w:p w14:paraId="65EBAD8C">
            <w:pPr>
              <w:pStyle w:val="23"/>
              <w:jc w:val="center"/>
              <w:rPr>
                <w:rFonts w:hint="eastAsia" w:hAnsi="宋体" w:cs="宋体"/>
                <w:color w:val="auto"/>
                <w:highlight w:val="none"/>
              </w:rPr>
            </w:pPr>
            <w:r>
              <w:rPr>
                <w:rFonts w:hint="eastAsia" w:hAnsi="宋体" w:cs="宋体"/>
                <w:color w:val="auto"/>
                <w:highlight w:val="none"/>
              </w:rPr>
              <w:t>名称</w:t>
            </w:r>
          </w:p>
        </w:tc>
        <w:tc>
          <w:tcPr>
            <w:tcW w:w="2204" w:type="dxa"/>
            <w:tcBorders>
              <w:top w:val="single" w:color="000000" w:sz="4" w:space="0"/>
              <w:left w:val="single" w:color="000000" w:sz="4" w:space="0"/>
              <w:bottom w:val="single" w:color="000000" w:sz="4" w:space="0"/>
              <w:right w:val="single" w:color="auto" w:sz="4" w:space="0"/>
            </w:tcBorders>
            <w:vAlign w:val="center"/>
          </w:tcPr>
          <w:p w14:paraId="0DCCF77E">
            <w:pPr>
              <w:pStyle w:val="23"/>
              <w:jc w:val="center"/>
              <w:rPr>
                <w:rFonts w:hint="eastAsia" w:hAnsi="宋体" w:cs="宋体"/>
                <w:color w:val="auto"/>
                <w:highlight w:val="none"/>
              </w:rPr>
            </w:pPr>
            <w:r>
              <w:rPr>
                <w:rFonts w:hint="eastAsia" w:hAnsi="宋体" w:cs="宋体"/>
                <w:color w:val="auto"/>
                <w:highlight w:val="none"/>
              </w:rPr>
              <w:t>在本项目担任的职务</w:t>
            </w:r>
          </w:p>
        </w:tc>
        <w:tc>
          <w:tcPr>
            <w:tcW w:w="1296" w:type="dxa"/>
            <w:tcBorders>
              <w:top w:val="single" w:color="000000" w:sz="4" w:space="0"/>
              <w:left w:val="single" w:color="auto" w:sz="4" w:space="0"/>
              <w:bottom w:val="single" w:color="000000" w:sz="4" w:space="0"/>
              <w:right w:val="single" w:color="000000" w:sz="4" w:space="0"/>
            </w:tcBorders>
            <w:vAlign w:val="center"/>
          </w:tcPr>
          <w:p w14:paraId="0CE2D60A">
            <w:pPr>
              <w:pStyle w:val="23"/>
              <w:jc w:val="center"/>
              <w:rPr>
                <w:rFonts w:hint="eastAsia" w:hAnsi="宋体" w:cs="宋体"/>
                <w:color w:val="auto"/>
                <w:highlight w:val="none"/>
              </w:rPr>
            </w:pPr>
            <w:r>
              <w:rPr>
                <w:rFonts w:hint="eastAsia" w:hAnsi="宋体" w:cs="宋体"/>
                <w:color w:val="auto"/>
                <w:highlight w:val="none"/>
              </w:rPr>
              <w:t>姓名</w:t>
            </w:r>
          </w:p>
        </w:tc>
        <w:tc>
          <w:tcPr>
            <w:tcW w:w="1825" w:type="dxa"/>
            <w:tcBorders>
              <w:top w:val="single" w:color="000000" w:sz="4" w:space="0"/>
              <w:left w:val="single" w:color="000000" w:sz="4" w:space="0"/>
              <w:bottom w:val="single" w:color="000000" w:sz="4" w:space="0"/>
              <w:right w:val="single" w:color="000000" w:sz="4" w:space="0"/>
            </w:tcBorders>
            <w:vAlign w:val="center"/>
          </w:tcPr>
          <w:p w14:paraId="2C372356">
            <w:pPr>
              <w:pStyle w:val="23"/>
              <w:jc w:val="center"/>
              <w:rPr>
                <w:rFonts w:hint="eastAsia" w:hAnsi="宋体" w:cs="宋体"/>
                <w:color w:val="auto"/>
                <w:highlight w:val="none"/>
              </w:rPr>
            </w:pPr>
            <w:r>
              <w:rPr>
                <w:rFonts w:hint="eastAsia" w:hAnsi="宋体" w:cs="宋体"/>
                <w:color w:val="auto"/>
                <w:highlight w:val="none"/>
              </w:rPr>
              <w:t>职称或职业证书</w:t>
            </w:r>
          </w:p>
        </w:tc>
        <w:tc>
          <w:tcPr>
            <w:tcW w:w="2616" w:type="dxa"/>
            <w:tcBorders>
              <w:top w:val="single" w:color="000000" w:sz="4" w:space="0"/>
              <w:left w:val="single" w:color="auto" w:sz="4" w:space="0"/>
              <w:bottom w:val="single" w:color="000000" w:sz="4" w:space="0"/>
              <w:right w:val="single" w:color="000000" w:sz="4" w:space="0"/>
            </w:tcBorders>
            <w:vAlign w:val="center"/>
          </w:tcPr>
          <w:p w14:paraId="31DB058B">
            <w:pPr>
              <w:pStyle w:val="23"/>
              <w:rPr>
                <w:rFonts w:hint="eastAsia" w:hAnsi="宋体" w:cs="宋体"/>
                <w:color w:val="auto"/>
                <w:highlight w:val="none"/>
              </w:rPr>
            </w:pPr>
            <w:r>
              <w:rPr>
                <w:rFonts w:hint="eastAsia" w:hAnsi="宋体" w:cs="宋体"/>
                <w:color w:val="auto"/>
                <w:highlight w:val="none"/>
              </w:rPr>
              <w:t>简介：主要资历、经验及承担过的项目等</w:t>
            </w:r>
          </w:p>
        </w:tc>
      </w:tr>
      <w:tr w14:paraId="1CEDBEB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restart"/>
            <w:tcBorders>
              <w:top w:val="single" w:color="000000" w:sz="4" w:space="0"/>
              <w:left w:val="single" w:color="000000" w:sz="4" w:space="0"/>
              <w:bottom w:val="single" w:color="000000" w:sz="4" w:space="0"/>
              <w:right w:val="single" w:color="000000" w:sz="4" w:space="0"/>
            </w:tcBorders>
            <w:vAlign w:val="center"/>
          </w:tcPr>
          <w:p w14:paraId="7754B5CA">
            <w:pPr>
              <w:pStyle w:val="23"/>
              <w:jc w:val="center"/>
              <w:rPr>
                <w:rFonts w:hint="eastAsia" w:hAnsi="宋体" w:cs="宋体"/>
                <w:color w:val="auto"/>
                <w:highlight w:val="none"/>
              </w:rPr>
            </w:pPr>
            <w:r>
              <w:rPr>
                <w:rFonts w:hint="eastAsia" w:hAnsi="宋体" w:cs="宋体"/>
                <w:color w:val="auto"/>
                <w:highlight w:val="none"/>
              </w:rPr>
              <w:t>各</w:t>
            </w:r>
          </w:p>
          <w:p w14:paraId="0C35AA13">
            <w:pPr>
              <w:pStyle w:val="23"/>
              <w:jc w:val="center"/>
              <w:rPr>
                <w:rFonts w:hint="eastAsia" w:hAnsi="宋体" w:cs="宋体"/>
                <w:color w:val="auto"/>
                <w:highlight w:val="none"/>
              </w:rPr>
            </w:pPr>
            <w:r>
              <w:rPr>
                <w:rFonts w:hint="eastAsia" w:hAnsi="宋体" w:cs="宋体"/>
                <w:color w:val="auto"/>
                <w:highlight w:val="none"/>
              </w:rPr>
              <w:t>专</w:t>
            </w:r>
          </w:p>
          <w:p w14:paraId="4BE29D5C">
            <w:pPr>
              <w:pStyle w:val="23"/>
              <w:jc w:val="center"/>
              <w:rPr>
                <w:rFonts w:hint="eastAsia" w:hAnsi="宋体" w:cs="宋体"/>
                <w:color w:val="auto"/>
                <w:highlight w:val="none"/>
              </w:rPr>
            </w:pPr>
            <w:r>
              <w:rPr>
                <w:rFonts w:hint="eastAsia" w:hAnsi="宋体" w:cs="宋体"/>
                <w:color w:val="auto"/>
                <w:highlight w:val="none"/>
              </w:rPr>
              <w:t>业</w:t>
            </w:r>
          </w:p>
          <w:p w14:paraId="271B4595">
            <w:pPr>
              <w:pStyle w:val="23"/>
              <w:jc w:val="center"/>
              <w:rPr>
                <w:rFonts w:hint="eastAsia" w:hAnsi="宋体" w:cs="宋体"/>
                <w:color w:val="auto"/>
                <w:highlight w:val="none"/>
              </w:rPr>
            </w:pPr>
            <w:r>
              <w:rPr>
                <w:rFonts w:hint="eastAsia" w:hAnsi="宋体" w:cs="宋体"/>
                <w:color w:val="auto"/>
                <w:highlight w:val="none"/>
              </w:rPr>
              <w:t>主</w:t>
            </w:r>
          </w:p>
          <w:p w14:paraId="1BA6206A">
            <w:pPr>
              <w:pStyle w:val="23"/>
              <w:jc w:val="center"/>
              <w:rPr>
                <w:rFonts w:hint="eastAsia" w:hAnsi="宋体" w:cs="宋体"/>
                <w:color w:val="auto"/>
                <w:highlight w:val="none"/>
              </w:rPr>
            </w:pPr>
            <w:r>
              <w:rPr>
                <w:rFonts w:hint="eastAsia" w:hAnsi="宋体" w:cs="宋体"/>
                <w:color w:val="auto"/>
                <w:highlight w:val="none"/>
              </w:rPr>
              <w:t>要</w:t>
            </w:r>
          </w:p>
          <w:p w14:paraId="5DEFCC37">
            <w:pPr>
              <w:pStyle w:val="23"/>
              <w:jc w:val="center"/>
              <w:rPr>
                <w:rFonts w:hint="eastAsia" w:hAnsi="宋体" w:cs="宋体"/>
                <w:color w:val="auto"/>
                <w:highlight w:val="none"/>
              </w:rPr>
            </w:pPr>
            <w:r>
              <w:rPr>
                <w:rFonts w:hint="eastAsia" w:hAnsi="宋体" w:cs="宋体"/>
                <w:color w:val="auto"/>
                <w:highlight w:val="none"/>
              </w:rPr>
              <w:t>技</w:t>
            </w:r>
          </w:p>
          <w:p w14:paraId="694341F8">
            <w:pPr>
              <w:pStyle w:val="23"/>
              <w:jc w:val="center"/>
              <w:rPr>
                <w:rFonts w:hint="eastAsia" w:hAnsi="宋体" w:cs="宋体"/>
                <w:color w:val="auto"/>
                <w:highlight w:val="none"/>
              </w:rPr>
            </w:pPr>
            <w:r>
              <w:rPr>
                <w:rFonts w:hint="eastAsia" w:hAnsi="宋体" w:cs="宋体"/>
                <w:color w:val="auto"/>
                <w:highlight w:val="none"/>
              </w:rPr>
              <w:t>术</w:t>
            </w:r>
          </w:p>
          <w:p w14:paraId="4D0453EC">
            <w:pPr>
              <w:pStyle w:val="23"/>
              <w:jc w:val="center"/>
              <w:rPr>
                <w:rFonts w:hint="eastAsia" w:hAnsi="宋体" w:cs="宋体"/>
                <w:color w:val="auto"/>
                <w:highlight w:val="none"/>
              </w:rPr>
            </w:pPr>
            <w:r>
              <w:rPr>
                <w:rFonts w:hint="eastAsia" w:hAnsi="宋体" w:cs="宋体"/>
                <w:color w:val="auto"/>
                <w:highlight w:val="none"/>
              </w:rPr>
              <w:t>负</w:t>
            </w:r>
          </w:p>
          <w:p w14:paraId="4096C813">
            <w:pPr>
              <w:pStyle w:val="23"/>
              <w:jc w:val="center"/>
              <w:rPr>
                <w:rFonts w:hint="eastAsia" w:hAnsi="宋体" w:cs="宋体"/>
                <w:color w:val="auto"/>
                <w:highlight w:val="none"/>
              </w:rPr>
            </w:pPr>
            <w:r>
              <w:rPr>
                <w:rFonts w:hint="eastAsia" w:hAnsi="宋体" w:cs="宋体"/>
                <w:color w:val="auto"/>
                <w:highlight w:val="none"/>
              </w:rPr>
              <w:t>责</w:t>
            </w:r>
          </w:p>
          <w:p w14:paraId="7E6FBC1B">
            <w:pPr>
              <w:pStyle w:val="23"/>
              <w:jc w:val="center"/>
              <w:rPr>
                <w:rFonts w:hint="eastAsia" w:hAnsi="宋体" w:cs="宋体"/>
                <w:color w:val="auto"/>
                <w:highlight w:val="none"/>
              </w:rPr>
            </w:pPr>
            <w:r>
              <w:rPr>
                <w:rFonts w:hint="eastAsia" w:hAnsi="宋体" w:cs="宋体"/>
                <w:color w:val="auto"/>
                <w:highlight w:val="none"/>
              </w:rPr>
              <w:t>人</w:t>
            </w:r>
          </w:p>
        </w:tc>
        <w:tc>
          <w:tcPr>
            <w:tcW w:w="2204" w:type="dxa"/>
            <w:tcBorders>
              <w:top w:val="single" w:color="000000" w:sz="4" w:space="0"/>
              <w:left w:val="single" w:color="000000" w:sz="4" w:space="0"/>
              <w:bottom w:val="single" w:color="000000" w:sz="4" w:space="0"/>
              <w:right w:val="single" w:color="auto" w:sz="4" w:space="0"/>
            </w:tcBorders>
            <w:vAlign w:val="center"/>
          </w:tcPr>
          <w:p w14:paraId="59F0A4E6">
            <w:pPr>
              <w:pStyle w:val="23"/>
              <w:jc w:val="center"/>
              <w:rPr>
                <w:rFonts w:hint="eastAsia" w:hAnsi="宋体" w:cs="宋体"/>
                <w:color w:val="auto"/>
                <w:highlight w:val="none"/>
                <w:lang w:val="zh-CN"/>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2C3DED03">
            <w:pPr>
              <w:pStyle w:val="31"/>
              <w:ind w:right="210" w:firstLine="560"/>
              <w:jc w:val="center"/>
              <w:rPr>
                <w:rFonts w:hint="eastAsia" w:ascii="宋体" w:hAnsi="宋体" w:eastAsia="宋体" w:cs="宋体"/>
                <w:color w:val="auto"/>
                <w:sz w:val="21"/>
                <w:szCs w:val="21"/>
                <w:highlight w:val="none"/>
                <w:lang w:val="zh-CN"/>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2441CA03">
            <w:pPr>
              <w:pStyle w:val="31"/>
              <w:ind w:right="210" w:firstLine="560"/>
              <w:jc w:val="center"/>
              <w:rPr>
                <w:rFonts w:hint="eastAsia" w:ascii="宋体" w:hAnsi="宋体" w:eastAsia="宋体" w:cs="宋体"/>
                <w:color w:val="auto"/>
                <w:sz w:val="21"/>
                <w:szCs w:val="21"/>
                <w:highlight w:val="none"/>
                <w:lang w:val="zh-CN"/>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00164444">
            <w:pPr>
              <w:pStyle w:val="31"/>
              <w:ind w:right="210" w:firstLine="560"/>
              <w:jc w:val="center"/>
              <w:rPr>
                <w:rFonts w:hint="eastAsia" w:ascii="宋体" w:hAnsi="宋体" w:eastAsia="宋体" w:cs="宋体"/>
                <w:color w:val="auto"/>
                <w:sz w:val="21"/>
                <w:szCs w:val="21"/>
                <w:highlight w:val="none"/>
                <w:lang w:val="zh-CN"/>
              </w:rPr>
            </w:pPr>
          </w:p>
        </w:tc>
      </w:tr>
      <w:tr w14:paraId="4A035F0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1EF095AF">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3F159F09">
            <w:pPr>
              <w:pStyle w:val="23"/>
              <w:jc w:val="center"/>
              <w:rPr>
                <w:rFonts w:hint="eastAsia" w:hAnsi="宋体" w:cs="宋体"/>
                <w:color w:val="auto"/>
                <w:highlight w:val="none"/>
                <w:lang w:val="zh-CN"/>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312FCBA4">
            <w:pPr>
              <w:pStyle w:val="31"/>
              <w:ind w:right="210" w:firstLine="560"/>
              <w:jc w:val="center"/>
              <w:rPr>
                <w:rFonts w:hint="eastAsia" w:ascii="宋体" w:hAnsi="宋体" w:eastAsia="宋体" w:cs="宋体"/>
                <w:color w:val="auto"/>
                <w:sz w:val="21"/>
                <w:szCs w:val="21"/>
                <w:highlight w:val="none"/>
                <w:lang w:val="zh-CN"/>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2B510F46">
            <w:pPr>
              <w:pStyle w:val="31"/>
              <w:ind w:right="210" w:firstLine="560"/>
              <w:jc w:val="center"/>
              <w:rPr>
                <w:rFonts w:hint="eastAsia" w:ascii="宋体" w:hAnsi="宋体" w:eastAsia="宋体" w:cs="宋体"/>
                <w:color w:val="auto"/>
                <w:sz w:val="21"/>
                <w:szCs w:val="21"/>
                <w:highlight w:val="none"/>
                <w:lang w:val="zh-CN"/>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6BA37943">
            <w:pPr>
              <w:pStyle w:val="31"/>
              <w:ind w:right="210" w:firstLine="560"/>
              <w:jc w:val="center"/>
              <w:rPr>
                <w:rFonts w:hint="eastAsia" w:ascii="宋体" w:hAnsi="宋体" w:eastAsia="宋体" w:cs="宋体"/>
                <w:color w:val="auto"/>
                <w:sz w:val="21"/>
                <w:szCs w:val="21"/>
                <w:highlight w:val="none"/>
                <w:lang w:val="zh-CN"/>
              </w:rPr>
            </w:pPr>
          </w:p>
        </w:tc>
      </w:tr>
      <w:tr w14:paraId="3D4D053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6B03D8D0">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070430EB">
            <w:pPr>
              <w:pStyle w:val="23"/>
              <w:jc w:val="center"/>
              <w:rPr>
                <w:rFonts w:hint="eastAsia" w:hAnsi="宋体" w:cs="宋体"/>
                <w:color w:val="auto"/>
                <w:highlight w:val="none"/>
                <w:lang w:val="zh-CN"/>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48198D0C">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1DB42CED">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0CB5CDAA">
            <w:pPr>
              <w:pStyle w:val="23"/>
              <w:jc w:val="center"/>
              <w:rPr>
                <w:rFonts w:hint="eastAsia" w:hAnsi="宋体" w:cs="宋体"/>
                <w:color w:val="auto"/>
                <w:highlight w:val="none"/>
              </w:rPr>
            </w:pPr>
          </w:p>
        </w:tc>
      </w:tr>
      <w:tr w14:paraId="2803A42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591C6F05">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4232D328">
            <w:pPr>
              <w:pStyle w:val="23"/>
              <w:jc w:val="center"/>
              <w:rPr>
                <w:rFonts w:hint="eastAsia" w:hAnsi="宋体" w:cs="宋体"/>
                <w:color w:val="auto"/>
                <w:highlight w:val="none"/>
                <w:lang w:val="zh-CN"/>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0946FCAE">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6B3D51A9">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2F548E9D">
            <w:pPr>
              <w:pStyle w:val="23"/>
              <w:jc w:val="center"/>
              <w:rPr>
                <w:rFonts w:hint="eastAsia" w:hAnsi="宋体" w:cs="宋体"/>
                <w:color w:val="auto"/>
                <w:highlight w:val="none"/>
              </w:rPr>
            </w:pPr>
          </w:p>
        </w:tc>
      </w:tr>
      <w:tr w14:paraId="5D9D80A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5F422431">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481BF64D">
            <w:pPr>
              <w:pStyle w:val="23"/>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16C1EE05">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57A68210">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3A5A05EE">
            <w:pPr>
              <w:pStyle w:val="23"/>
              <w:jc w:val="center"/>
              <w:rPr>
                <w:rFonts w:hint="eastAsia" w:hAnsi="宋体" w:cs="宋体"/>
                <w:color w:val="auto"/>
                <w:highlight w:val="none"/>
              </w:rPr>
            </w:pPr>
          </w:p>
        </w:tc>
      </w:tr>
      <w:tr w14:paraId="685BBE7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782426D4">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16F43A79">
            <w:pPr>
              <w:pStyle w:val="23"/>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2B43CD8D">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39F640EC">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23A75A31">
            <w:pPr>
              <w:pStyle w:val="23"/>
              <w:jc w:val="center"/>
              <w:rPr>
                <w:rFonts w:hint="eastAsia" w:hAnsi="宋体" w:cs="宋体"/>
                <w:color w:val="auto"/>
                <w:highlight w:val="none"/>
              </w:rPr>
            </w:pPr>
          </w:p>
        </w:tc>
      </w:tr>
      <w:tr w14:paraId="426DA38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27D2348C">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0D74B68A">
            <w:pPr>
              <w:pStyle w:val="23"/>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44ACEE42">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6C8FBAD1">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5CFD191C">
            <w:pPr>
              <w:pStyle w:val="23"/>
              <w:jc w:val="center"/>
              <w:rPr>
                <w:rFonts w:hint="eastAsia" w:hAnsi="宋体" w:cs="宋体"/>
                <w:color w:val="auto"/>
                <w:highlight w:val="none"/>
              </w:rPr>
            </w:pPr>
          </w:p>
        </w:tc>
      </w:tr>
      <w:tr w14:paraId="7D37C9C4">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677C0B74">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69F3C112">
            <w:pPr>
              <w:pStyle w:val="23"/>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4275E16C">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5B9E7509">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04F2580A">
            <w:pPr>
              <w:pStyle w:val="23"/>
              <w:jc w:val="center"/>
              <w:rPr>
                <w:rFonts w:hint="eastAsia" w:hAnsi="宋体" w:cs="宋体"/>
                <w:color w:val="auto"/>
                <w:highlight w:val="none"/>
              </w:rPr>
            </w:pPr>
          </w:p>
        </w:tc>
      </w:tr>
      <w:tr w14:paraId="69A8CBAD">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747C7598">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38C918BD">
            <w:pPr>
              <w:pStyle w:val="23"/>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3FACB16F">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503E0451">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334AF404">
            <w:pPr>
              <w:pStyle w:val="23"/>
              <w:jc w:val="center"/>
              <w:rPr>
                <w:rFonts w:hint="eastAsia" w:hAnsi="宋体" w:cs="宋体"/>
                <w:color w:val="auto"/>
                <w:highlight w:val="none"/>
              </w:rPr>
            </w:pPr>
          </w:p>
        </w:tc>
      </w:tr>
      <w:tr w14:paraId="2FC8A71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7A6569A6">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77EFAADC">
            <w:pPr>
              <w:pStyle w:val="23"/>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1B2FCDEB">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27AA2917">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63F6BDB5">
            <w:pPr>
              <w:pStyle w:val="23"/>
              <w:jc w:val="center"/>
              <w:rPr>
                <w:rFonts w:hint="eastAsia" w:hAnsi="宋体" w:cs="宋体"/>
                <w:color w:val="auto"/>
                <w:highlight w:val="none"/>
              </w:rPr>
            </w:pPr>
          </w:p>
        </w:tc>
      </w:tr>
      <w:tr w14:paraId="029C466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1859A80A">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40DDE74D">
            <w:pPr>
              <w:pStyle w:val="23"/>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382DAD6F">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07F00327">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51834909">
            <w:pPr>
              <w:pStyle w:val="23"/>
              <w:jc w:val="center"/>
              <w:rPr>
                <w:rFonts w:hint="eastAsia" w:hAnsi="宋体" w:cs="宋体"/>
                <w:color w:val="auto"/>
                <w:highlight w:val="none"/>
              </w:rPr>
            </w:pPr>
          </w:p>
        </w:tc>
      </w:tr>
      <w:tr w14:paraId="3E7B8A9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5C5F1617">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3DF36C2C">
            <w:pPr>
              <w:pStyle w:val="23"/>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62BC6A0A">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52C91509">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57CEC17B">
            <w:pPr>
              <w:pStyle w:val="23"/>
              <w:jc w:val="center"/>
              <w:rPr>
                <w:rFonts w:hint="eastAsia" w:hAnsi="宋体" w:cs="宋体"/>
                <w:color w:val="auto"/>
                <w:highlight w:val="none"/>
              </w:rPr>
            </w:pPr>
          </w:p>
        </w:tc>
      </w:tr>
      <w:tr w14:paraId="6F907B75">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2824B279">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46BE01F0">
            <w:pPr>
              <w:pStyle w:val="23"/>
              <w:jc w:val="center"/>
              <w:rPr>
                <w:rFonts w:hint="eastAsia" w:hAnsi="宋体" w:cs="宋体"/>
                <w:color w:val="auto"/>
                <w:highlight w:val="none"/>
              </w:rPr>
            </w:pPr>
          </w:p>
        </w:tc>
        <w:tc>
          <w:tcPr>
            <w:tcW w:w="1296" w:type="dxa"/>
            <w:tcBorders>
              <w:top w:val="single" w:color="000000" w:sz="4" w:space="0"/>
              <w:left w:val="single" w:color="auto" w:sz="4" w:space="0"/>
              <w:bottom w:val="single" w:color="000000" w:sz="4" w:space="0"/>
              <w:right w:val="single" w:color="000000" w:sz="4" w:space="0"/>
            </w:tcBorders>
            <w:vAlign w:val="center"/>
          </w:tcPr>
          <w:p w14:paraId="01110CE8">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3C53B611">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20A55627">
            <w:pPr>
              <w:pStyle w:val="23"/>
              <w:jc w:val="center"/>
              <w:rPr>
                <w:rFonts w:hint="eastAsia" w:hAnsi="宋体" w:cs="宋体"/>
                <w:color w:val="auto"/>
                <w:highlight w:val="none"/>
              </w:rPr>
            </w:pPr>
          </w:p>
        </w:tc>
      </w:tr>
      <w:tr w14:paraId="2BDAF52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54" w:hRule="atLeast"/>
          <w:jc w:val="center"/>
        </w:trPr>
        <w:tc>
          <w:tcPr>
            <w:tcW w:w="1149" w:type="dxa"/>
            <w:vMerge w:val="continue"/>
            <w:tcBorders>
              <w:top w:val="single" w:color="000000" w:sz="4" w:space="0"/>
              <w:left w:val="single" w:color="000000" w:sz="4" w:space="0"/>
              <w:bottom w:val="single" w:color="000000" w:sz="4" w:space="0"/>
              <w:right w:val="single" w:color="000000" w:sz="4" w:space="0"/>
            </w:tcBorders>
            <w:vAlign w:val="center"/>
          </w:tcPr>
          <w:p w14:paraId="7184ABFF">
            <w:pPr>
              <w:widowControl/>
              <w:jc w:val="left"/>
              <w:rPr>
                <w:rFonts w:hint="eastAsia" w:hAnsi="宋体" w:cs="宋体"/>
                <w:color w:val="auto"/>
                <w:sz w:val="21"/>
                <w:szCs w:val="21"/>
                <w:highlight w:val="none"/>
              </w:rPr>
            </w:pPr>
          </w:p>
        </w:tc>
        <w:tc>
          <w:tcPr>
            <w:tcW w:w="2204" w:type="dxa"/>
            <w:tcBorders>
              <w:top w:val="single" w:color="000000" w:sz="4" w:space="0"/>
              <w:left w:val="single" w:color="000000" w:sz="4" w:space="0"/>
              <w:bottom w:val="single" w:color="000000" w:sz="4" w:space="0"/>
              <w:right w:val="single" w:color="auto" w:sz="4" w:space="0"/>
            </w:tcBorders>
            <w:vAlign w:val="center"/>
          </w:tcPr>
          <w:p w14:paraId="72315744">
            <w:pPr>
              <w:pStyle w:val="23"/>
              <w:jc w:val="center"/>
              <w:rPr>
                <w:rFonts w:hint="eastAsia" w:hAnsi="宋体" w:cs="宋体"/>
                <w:color w:val="auto"/>
                <w:highlight w:val="none"/>
              </w:rPr>
            </w:pPr>
            <w:r>
              <w:rPr>
                <w:rFonts w:hint="eastAsia" w:hAnsi="宋体" w:cs="宋体"/>
                <w:color w:val="auto"/>
                <w:highlight w:val="none"/>
              </w:rPr>
              <w:t>…</w:t>
            </w:r>
          </w:p>
        </w:tc>
        <w:tc>
          <w:tcPr>
            <w:tcW w:w="1296" w:type="dxa"/>
            <w:tcBorders>
              <w:top w:val="single" w:color="000000" w:sz="4" w:space="0"/>
              <w:left w:val="single" w:color="auto" w:sz="4" w:space="0"/>
              <w:bottom w:val="single" w:color="000000" w:sz="4" w:space="0"/>
              <w:right w:val="single" w:color="000000" w:sz="4" w:space="0"/>
            </w:tcBorders>
            <w:vAlign w:val="center"/>
          </w:tcPr>
          <w:p w14:paraId="2E686951">
            <w:pPr>
              <w:pStyle w:val="23"/>
              <w:jc w:val="center"/>
              <w:rPr>
                <w:rFonts w:hint="eastAsia" w:hAnsi="宋体" w:cs="宋体"/>
                <w:color w:val="auto"/>
                <w:highlight w:val="none"/>
              </w:rPr>
            </w:pPr>
          </w:p>
        </w:tc>
        <w:tc>
          <w:tcPr>
            <w:tcW w:w="1825" w:type="dxa"/>
            <w:tcBorders>
              <w:top w:val="single" w:color="000000" w:sz="4" w:space="0"/>
              <w:left w:val="single" w:color="000000" w:sz="4" w:space="0"/>
              <w:bottom w:val="single" w:color="000000" w:sz="4" w:space="0"/>
              <w:right w:val="single" w:color="000000" w:sz="4" w:space="0"/>
            </w:tcBorders>
            <w:vAlign w:val="center"/>
          </w:tcPr>
          <w:p w14:paraId="25AE7182">
            <w:pPr>
              <w:pStyle w:val="23"/>
              <w:jc w:val="center"/>
              <w:rPr>
                <w:rFonts w:hint="eastAsia" w:hAnsi="宋体" w:cs="宋体"/>
                <w:color w:val="auto"/>
                <w:highlight w:val="none"/>
              </w:rPr>
            </w:pPr>
          </w:p>
        </w:tc>
        <w:tc>
          <w:tcPr>
            <w:tcW w:w="2616" w:type="dxa"/>
            <w:tcBorders>
              <w:top w:val="single" w:color="000000" w:sz="4" w:space="0"/>
              <w:left w:val="single" w:color="auto" w:sz="4" w:space="0"/>
              <w:bottom w:val="single" w:color="000000" w:sz="4" w:space="0"/>
              <w:right w:val="single" w:color="000000" w:sz="4" w:space="0"/>
            </w:tcBorders>
            <w:vAlign w:val="center"/>
          </w:tcPr>
          <w:p w14:paraId="3EFB5336">
            <w:pPr>
              <w:pStyle w:val="23"/>
              <w:jc w:val="center"/>
              <w:rPr>
                <w:rFonts w:hint="eastAsia" w:hAnsi="宋体" w:cs="宋体"/>
                <w:color w:val="auto"/>
                <w:highlight w:val="none"/>
              </w:rPr>
            </w:pPr>
          </w:p>
        </w:tc>
      </w:tr>
    </w:tbl>
    <w:p w14:paraId="7FE48EED">
      <w:pPr>
        <w:pStyle w:val="15"/>
        <w:keepNext/>
        <w:tabs>
          <w:tab w:val="left" w:pos="750"/>
        </w:tabs>
        <w:spacing w:line="460" w:lineRule="exact"/>
        <w:rPr>
          <w:rFonts w:hint="eastAsia" w:asciiTheme="minorEastAsia" w:hAnsiTheme="minorEastAsia" w:eastAsiaTheme="minorEastAsia" w:cstheme="minorEastAsia"/>
          <w:color w:val="auto"/>
          <w:sz w:val="21"/>
          <w:szCs w:val="21"/>
          <w:highlight w:val="none"/>
        </w:rPr>
      </w:pPr>
      <w:bookmarkStart w:id="115" w:name="_Toc20416927"/>
      <w:bookmarkStart w:id="116" w:name="_Toc1143831"/>
      <w:bookmarkStart w:id="117" w:name="_Toc1467895"/>
      <w:bookmarkStart w:id="118" w:name="_Toc24466379"/>
      <w:bookmarkStart w:id="119" w:name="_Toc535398766"/>
      <w:bookmarkStart w:id="120" w:name="_Toc20650503"/>
      <w:bookmarkStart w:id="121" w:name="_Toc32323359"/>
      <w:bookmarkStart w:id="122" w:name="_Toc32409813"/>
      <w:r>
        <w:rPr>
          <w:rFonts w:hint="eastAsia" w:asciiTheme="minorEastAsia" w:hAnsiTheme="minorEastAsia" w:eastAsiaTheme="minorEastAsia" w:cstheme="minorEastAsia"/>
          <w:color w:val="auto"/>
          <w:sz w:val="21"/>
          <w:szCs w:val="21"/>
          <w:highlight w:val="none"/>
        </w:rPr>
        <w:t>注：1.提供每个人员的身份证、毕业证、职称证（如有）、职业（执业）资格证书（如有）、人员在职证明材料（如近半年内的社保证明和劳动合同）等相关资料复印件</w:t>
      </w:r>
      <w:bookmarkEnd w:id="115"/>
      <w:bookmarkEnd w:id="116"/>
      <w:bookmarkEnd w:id="117"/>
      <w:bookmarkEnd w:id="118"/>
      <w:bookmarkEnd w:id="119"/>
      <w:bookmarkEnd w:id="120"/>
      <w:bookmarkEnd w:id="121"/>
      <w:bookmarkEnd w:id="122"/>
      <w:r>
        <w:rPr>
          <w:rFonts w:hint="eastAsia" w:asciiTheme="minorEastAsia" w:hAnsiTheme="minorEastAsia" w:eastAsiaTheme="minorEastAsia" w:cstheme="minorEastAsia"/>
          <w:color w:val="auto"/>
          <w:sz w:val="21"/>
          <w:szCs w:val="21"/>
          <w:highlight w:val="none"/>
        </w:rPr>
        <w:t>。</w:t>
      </w:r>
    </w:p>
    <w:p w14:paraId="7A0CFC2E">
      <w:pPr>
        <w:pStyle w:val="15"/>
        <w:keepNext/>
        <w:tabs>
          <w:tab w:val="left" w:pos="750"/>
        </w:tabs>
        <w:spacing w:line="46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  2.项目团队技术服务人员中涉及</w:t>
      </w:r>
      <w:r>
        <w:rPr>
          <w:rFonts w:hint="eastAsia" w:asciiTheme="minorEastAsia" w:hAnsiTheme="minorEastAsia" w:eastAsiaTheme="minorEastAsia" w:cstheme="minorEastAsia"/>
          <w:color w:val="auto"/>
          <w:sz w:val="21"/>
          <w:szCs w:val="21"/>
          <w:highlight w:val="none"/>
          <w:lang w:eastAsia="zh-CN"/>
        </w:rPr>
        <w:t>现场</w:t>
      </w:r>
      <w:r>
        <w:rPr>
          <w:rFonts w:hint="eastAsia" w:asciiTheme="minorEastAsia" w:hAnsiTheme="minorEastAsia" w:eastAsiaTheme="minorEastAsia" w:cstheme="minorEastAsia"/>
          <w:color w:val="auto"/>
          <w:sz w:val="21"/>
          <w:szCs w:val="21"/>
          <w:highlight w:val="none"/>
        </w:rPr>
        <w:t>技术服务人员须在上表“在本项目担任的职务”中明确。</w:t>
      </w:r>
    </w:p>
    <w:p w14:paraId="21DCBDC5">
      <w:pPr>
        <w:pStyle w:val="23"/>
        <w:keepNext/>
        <w:snapToGrid w:val="0"/>
        <w:spacing w:line="360" w:lineRule="auto"/>
        <w:rPr>
          <w:rFonts w:hint="eastAsia" w:hAnsi="宋体" w:cs="宋体"/>
          <w:color w:val="auto"/>
          <w:highlight w:val="none"/>
        </w:rPr>
      </w:pPr>
    </w:p>
    <w:p w14:paraId="72A3F477">
      <w:pPr>
        <w:widowControl/>
        <w:jc w:val="left"/>
        <w:rPr>
          <w:rFonts w:hint="eastAsia" w:hAnsi="宋体"/>
          <w:b/>
          <w:bCs/>
          <w:color w:val="auto"/>
          <w:sz w:val="21"/>
          <w:szCs w:val="21"/>
          <w:highlight w:val="none"/>
        </w:rPr>
      </w:pPr>
    </w:p>
    <w:p w14:paraId="51E95C63">
      <w:pPr>
        <w:spacing w:before="60" w:after="60" w:line="360" w:lineRule="auto"/>
        <w:rPr>
          <w:rFonts w:hint="eastAsia" w:hAnsi="宋体"/>
          <w:color w:val="auto"/>
          <w:sz w:val="21"/>
          <w:szCs w:val="21"/>
          <w:highlight w:val="none"/>
        </w:rPr>
      </w:pPr>
      <w:r>
        <w:rPr>
          <w:rFonts w:hint="eastAsia" w:hAnsi="宋体"/>
          <w:color w:val="auto"/>
          <w:sz w:val="21"/>
          <w:szCs w:val="21"/>
          <w:highlight w:val="none"/>
        </w:rPr>
        <w:t>投标人（加盖单</w:t>
      </w:r>
      <w:r>
        <w:rPr>
          <w:rFonts w:hint="eastAsia" w:hAnsi="宋体"/>
          <w:color w:val="auto"/>
          <w:sz w:val="21"/>
          <w:szCs w:val="21"/>
          <w:highlight w:val="none"/>
          <w:lang w:eastAsia="zh-CN"/>
        </w:rPr>
        <w:t>位公</w:t>
      </w:r>
      <w:r>
        <w:rPr>
          <w:rFonts w:hint="eastAsia" w:hAnsi="宋体"/>
          <w:color w:val="auto"/>
          <w:sz w:val="21"/>
          <w:szCs w:val="21"/>
          <w:highlight w:val="none"/>
        </w:rPr>
        <w:t>章）：</w:t>
      </w:r>
      <w:r>
        <w:rPr>
          <w:rFonts w:hAnsi="宋体"/>
          <w:color w:val="auto"/>
          <w:sz w:val="21"/>
          <w:szCs w:val="21"/>
          <w:highlight w:val="none"/>
        </w:rPr>
        <w:t>______________</w:t>
      </w:r>
    </w:p>
    <w:p w14:paraId="2951F1D9">
      <w:pPr>
        <w:spacing w:before="60" w:after="60" w:line="360" w:lineRule="auto"/>
        <w:rPr>
          <w:rFonts w:hint="eastAsia" w:hAnsi="宋体"/>
          <w:color w:val="auto"/>
          <w:sz w:val="21"/>
          <w:szCs w:val="21"/>
          <w:highlight w:val="none"/>
        </w:rPr>
      </w:pPr>
      <w:r>
        <w:rPr>
          <w:rFonts w:hint="eastAsia" w:hAnsi="宋体"/>
          <w:color w:val="auto"/>
          <w:sz w:val="21"/>
          <w:szCs w:val="21"/>
          <w:highlight w:val="none"/>
        </w:rPr>
        <w:t>法定代表人（负责人）或委托代理人（</w:t>
      </w:r>
      <w:r>
        <w:rPr>
          <w:rFonts w:hint="eastAsia" w:hAnsi="宋体"/>
          <w:color w:val="auto"/>
          <w:sz w:val="21"/>
          <w:szCs w:val="21"/>
          <w:highlight w:val="none"/>
          <w:lang w:eastAsia="zh-CN"/>
        </w:rPr>
        <w:t>签字或个人印章</w:t>
      </w:r>
      <w:r>
        <w:rPr>
          <w:rFonts w:hint="eastAsia" w:hAnsi="宋体"/>
          <w:color w:val="auto"/>
          <w:sz w:val="21"/>
          <w:szCs w:val="21"/>
          <w:highlight w:val="none"/>
        </w:rPr>
        <w:t>）：</w:t>
      </w:r>
      <w:r>
        <w:rPr>
          <w:rFonts w:hAnsi="宋体"/>
          <w:color w:val="auto"/>
          <w:sz w:val="21"/>
          <w:szCs w:val="21"/>
          <w:highlight w:val="none"/>
        </w:rPr>
        <w:t>________</w:t>
      </w:r>
    </w:p>
    <w:p w14:paraId="195BD81B">
      <w:pPr>
        <w:keepNext/>
        <w:spacing w:before="60" w:after="60" w:line="480" w:lineRule="auto"/>
        <w:ind w:hanging="35"/>
        <w:rPr>
          <w:rFonts w:hint="eastAsia" w:hAnsi="宋体" w:cs="宋体"/>
          <w:color w:val="auto"/>
          <w:szCs w:val="21"/>
          <w:highlight w:val="none"/>
        </w:rPr>
      </w:pPr>
      <w:r>
        <w:rPr>
          <w:rFonts w:hint="eastAsia" w:hAnsi="宋体"/>
          <w:color w:val="auto"/>
          <w:sz w:val="21"/>
          <w:szCs w:val="21"/>
          <w:highlight w:val="none"/>
        </w:rPr>
        <w:t>日期：</w:t>
      </w:r>
      <w:r>
        <w:rPr>
          <w:rFonts w:hAnsi="宋体"/>
          <w:color w:val="auto"/>
          <w:sz w:val="21"/>
          <w:szCs w:val="21"/>
          <w:highlight w:val="none"/>
        </w:rPr>
        <w:t>________</w:t>
      </w:r>
      <w:r>
        <w:rPr>
          <w:rFonts w:hint="eastAsia" w:hAnsi="宋体"/>
          <w:color w:val="auto"/>
          <w:sz w:val="21"/>
          <w:szCs w:val="21"/>
          <w:highlight w:val="none"/>
        </w:rPr>
        <w:t>年</w:t>
      </w:r>
      <w:r>
        <w:rPr>
          <w:rFonts w:hAnsi="宋体"/>
          <w:color w:val="auto"/>
          <w:sz w:val="21"/>
          <w:szCs w:val="21"/>
          <w:highlight w:val="none"/>
        </w:rPr>
        <w:t>_____</w:t>
      </w:r>
      <w:r>
        <w:rPr>
          <w:rFonts w:hint="eastAsia" w:hAnsi="宋体"/>
          <w:color w:val="auto"/>
          <w:sz w:val="21"/>
          <w:szCs w:val="21"/>
          <w:highlight w:val="none"/>
        </w:rPr>
        <w:t>月</w:t>
      </w:r>
      <w:r>
        <w:rPr>
          <w:rFonts w:hAnsi="宋体"/>
          <w:color w:val="auto"/>
          <w:sz w:val="21"/>
          <w:szCs w:val="21"/>
          <w:highlight w:val="none"/>
        </w:rPr>
        <w:t>_____</w:t>
      </w:r>
      <w:r>
        <w:rPr>
          <w:rFonts w:hint="eastAsia" w:hAnsi="宋体"/>
          <w:color w:val="auto"/>
          <w:sz w:val="21"/>
          <w:szCs w:val="21"/>
          <w:highlight w:val="none"/>
        </w:rPr>
        <w:t>日</w:t>
      </w:r>
    </w:p>
    <w:p w14:paraId="31C7566C">
      <w:pPr>
        <w:spacing w:line="720" w:lineRule="exact"/>
        <w:rPr>
          <w:rFonts w:hint="eastAsia" w:hAnsi="宋体"/>
          <w:color w:val="auto"/>
          <w:sz w:val="24"/>
          <w:highlight w:val="none"/>
          <w:u w:val="single"/>
        </w:rPr>
      </w:pPr>
    </w:p>
    <w:p w14:paraId="006F27BD">
      <w:pPr>
        <w:rPr>
          <w:rFonts w:hint="eastAsia" w:hAnsi="宋体"/>
          <w:color w:val="auto"/>
          <w:szCs w:val="28"/>
          <w:highlight w:val="none"/>
        </w:rPr>
      </w:pPr>
      <w:r>
        <w:rPr>
          <w:rFonts w:hAnsi="宋体"/>
          <w:color w:val="auto"/>
          <w:szCs w:val="28"/>
          <w:highlight w:val="none"/>
        </w:rPr>
        <w:br w:type="page"/>
      </w:r>
    </w:p>
    <w:p w14:paraId="760622D1">
      <w:pPr>
        <w:pStyle w:val="6"/>
        <w:jc w:val="center"/>
        <w:rPr>
          <w:color w:val="auto"/>
          <w:highlight w:val="none"/>
        </w:rPr>
        <w:sectPr>
          <w:pgSz w:w="11906" w:h="16838"/>
          <w:pgMar w:top="1418" w:right="1134" w:bottom="1246" w:left="1134" w:header="851" w:footer="992" w:gutter="0"/>
          <w:pgBorders>
            <w:top w:val="none" w:sz="0" w:space="0"/>
            <w:left w:val="none" w:sz="0" w:space="0"/>
            <w:bottom w:val="none" w:sz="0" w:space="0"/>
            <w:right w:val="none" w:sz="0" w:space="0"/>
          </w:pgBorders>
          <w:cols w:space="720" w:num="1"/>
          <w:docGrid w:type="lines" w:linePitch="312" w:charSpace="0"/>
        </w:sectPr>
      </w:pPr>
      <w:bookmarkStart w:id="123" w:name="_Toc536109717"/>
      <w:bookmarkStart w:id="124" w:name="_Toc32409801"/>
    </w:p>
    <w:p w14:paraId="11C13442">
      <w:pPr>
        <w:pStyle w:val="6"/>
        <w:jc w:val="center"/>
        <w:rPr>
          <w:color w:val="auto"/>
          <w:highlight w:val="none"/>
        </w:rPr>
      </w:pPr>
      <w:bookmarkStart w:id="125" w:name="_Toc16113"/>
      <w:r>
        <w:rPr>
          <w:rFonts w:hint="eastAsia"/>
          <w:color w:val="auto"/>
          <w:highlight w:val="none"/>
        </w:rPr>
        <w:t>（</w:t>
      </w:r>
      <w:r>
        <w:rPr>
          <w:rFonts w:hint="eastAsia"/>
          <w:color w:val="auto"/>
          <w:highlight w:val="none"/>
          <w:lang w:val="en-US" w:eastAsia="zh-CN"/>
        </w:rPr>
        <w:t>十一</w:t>
      </w:r>
      <w:r>
        <w:rPr>
          <w:rFonts w:hint="eastAsia"/>
          <w:color w:val="auto"/>
          <w:highlight w:val="none"/>
        </w:rPr>
        <w:t>）</w:t>
      </w:r>
      <w:bookmarkEnd w:id="123"/>
      <w:bookmarkEnd w:id="124"/>
      <w:r>
        <w:rPr>
          <w:rFonts w:hint="eastAsia"/>
          <w:color w:val="auto"/>
          <w:highlight w:val="none"/>
        </w:rPr>
        <w:t>投标人（202</w:t>
      </w:r>
      <w:r>
        <w:rPr>
          <w:rFonts w:hint="eastAsia"/>
          <w:color w:val="auto"/>
          <w:highlight w:val="none"/>
          <w:lang w:val="en-US" w:eastAsia="zh-CN"/>
        </w:rPr>
        <w:t>2</w:t>
      </w:r>
      <w:r>
        <w:rPr>
          <w:rFonts w:hint="eastAsia"/>
          <w:color w:val="auto"/>
          <w:highlight w:val="none"/>
        </w:rPr>
        <w:t>年01月01日至今）项目实施经验</w:t>
      </w:r>
      <w:bookmarkEnd w:id="125"/>
    </w:p>
    <w:tbl>
      <w:tblPr>
        <w:tblStyle w:val="37"/>
        <w:tblW w:w="9612"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8"/>
        <w:gridCol w:w="1622"/>
        <w:gridCol w:w="1327"/>
        <w:gridCol w:w="2040"/>
        <w:gridCol w:w="1327"/>
        <w:gridCol w:w="2618"/>
      </w:tblGrid>
      <w:tr w14:paraId="063DA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06FD9499">
            <w:pPr>
              <w:jc w:val="center"/>
              <w:rPr>
                <w:rFonts w:hint="eastAsia" w:hAnsi="宋体" w:cs="宋体"/>
                <w:color w:val="auto"/>
                <w:sz w:val="21"/>
                <w:szCs w:val="21"/>
                <w:highlight w:val="none"/>
              </w:rPr>
            </w:pPr>
            <w:r>
              <w:rPr>
                <w:rFonts w:hint="eastAsia" w:hAnsi="宋体" w:cs="宋体"/>
                <w:color w:val="auto"/>
                <w:sz w:val="21"/>
                <w:szCs w:val="21"/>
                <w:highlight w:val="none"/>
              </w:rPr>
              <w:t>序号</w:t>
            </w:r>
          </w:p>
        </w:tc>
        <w:tc>
          <w:tcPr>
            <w:tcW w:w="1622" w:type="dxa"/>
            <w:tcBorders>
              <w:top w:val="single" w:color="auto" w:sz="4" w:space="0"/>
              <w:left w:val="single" w:color="auto" w:sz="4" w:space="0"/>
              <w:bottom w:val="single" w:color="auto" w:sz="4" w:space="0"/>
              <w:right w:val="single" w:color="auto" w:sz="4" w:space="0"/>
            </w:tcBorders>
            <w:vAlign w:val="center"/>
          </w:tcPr>
          <w:p w14:paraId="3F576D75">
            <w:pPr>
              <w:jc w:val="center"/>
              <w:rPr>
                <w:rFonts w:hint="eastAsia" w:hAnsi="宋体" w:cs="宋体"/>
                <w:color w:val="auto"/>
                <w:sz w:val="21"/>
                <w:szCs w:val="21"/>
                <w:highlight w:val="none"/>
              </w:rPr>
            </w:pPr>
            <w:r>
              <w:rPr>
                <w:rFonts w:hint="eastAsia" w:hAnsi="宋体" w:cs="宋体"/>
                <w:color w:val="auto"/>
                <w:sz w:val="21"/>
                <w:szCs w:val="21"/>
                <w:highlight w:val="none"/>
              </w:rPr>
              <w:t>用户名称</w:t>
            </w:r>
          </w:p>
        </w:tc>
        <w:tc>
          <w:tcPr>
            <w:tcW w:w="1327" w:type="dxa"/>
            <w:tcBorders>
              <w:top w:val="single" w:color="auto" w:sz="4" w:space="0"/>
              <w:left w:val="single" w:color="auto" w:sz="4" w:space="0"/>
              <w:bottom w:val="single" w:color="auto" w:sz="4" w:space="0"/>
              <w:right w:val="single" w:color="auto" w:sz="4" w:space="0"/>
            </w:tcBorders>
            <w:vAlign w:val="center"/>
          </w:tcPr>
          <w:p w14:paraId="5A4F8AE8">
            <w:pPr>
              <w:jc w:val="center"/>
              <w:rPr>
                <w:rFonts w:hint="eastAsia" w:hAnsi="宋体" w:cs="宋体"/>
                <w:color w:val="auto"/>
                <w:sz w:val="21"/>
                <w:szCs w:val="21"/>
                <w:highlight w:val="none"/>
              </w:rPr>
            </w:pPr>
            <w:r>
              <w:rPr>
                <w:rFonts w:hint="eastAsia" w:hAnsi="宋体" w:cs="宋体"/>
                <w:color w:val="auto"/>
                <w:sz w:val="21"/>
                <w:szCs w:val="21"/>
                <w:highlight w:val="none"/>
              </w:rPr>
              <w:t>项目状况</w:t>
            </w:r>
          </w:p>
        </w:tc>
        <w:tc>
          <w:tcPr>
            <w:tcW w:w="2040" w:type="dxa"/>
            <w:tcBorders>
              <w:top w:val="single" w:color="auto" w:sz="4" w:space="0"/>
              <w:left w:val="single" w:color="auto" w:sz="4" w:space="0"/>
              <w:bottom w:val="single" w:color="auto" w:sz="4" w:space="0"/>
              <w:right w:val="single" w:color="auto" w:sz="4" w:space="0"/>
            </w:tcBorders>
            <w:vAlign w:val="center"/>
          </w:tcPr>
          <w:p w14:paraId="61D3DF89">
            <w:pPr>
              <w:jc w:val="center"/>
              <w:rPr>
                <w:rFonts w:hint="eastAsia" w:hAnsi="宋体" w:cs="宋体"/>
                <w:color w:val="auto"/>
                <w:sz w:val="21"/>
                <w:szCs w:val="21"/>
                <w:highlight w:val="none"/>
              </w:rPr>
            </w:pPr>
            <w:r>
              <w:rPr>
                <w:rFonts w:hint="eastAsia" w:hAnsi="宋体" w:cs="宋体"/>
                <w:color w:val="auto"/>
                <w:sz w:val="21"/>
                <w:szCs w:val="21"/>
                <w:highlight w:val="none"/>
              </w:rPr>
              <w:t>服务起讫时间</w:t>
            </w:r>
          </w:p>
        </w:tc>
        <w:tc>
          <w:tcPr>
            <w:tcW w:w="1327" w:type="dxa"/>
            <w:tcBorders>
              <w:top w:val="single" w:color="auto" w:sz="4" w:space="0"/>
              <w:left w:val="single" w:color="auto" w:sz="4" w:space="0"/>
              <w:bottom w:val="single" w:color="auto" w:sz="4" w:space="0"/>
              <w:right w:val="single" w:color="auto" w:sz="4" w:space="0"/>
            </w:tcBorders>
            <w:vAlign w:val="center"/>
          </w:tcPr>
          <w:p w14:paraId="209FC812">
            <w:pPr>
              <w:jc w:val="center"/>
              <w:rPr>
                <w:rFonts w:hint="eastAsia" w:hAnsi="宋体" w:cs="宋体"/>
                <w:color w:val="auto"/>
                <w:sz w:val="21"/>
                <w:szCs w:val="21"/>
                <w:highlight w:val="none"/>
              </w:rPr>
            </w:pPr>
            <w:r>
              <w:rPr>
                <w:rFonts w:hint="eastAsia" w:hAnsi="宋体" w:cs="宋体"/>
                <w:color w:val="auto"/>
                <w:sz w:val="21"/>
                <w:szCs w:val="21"/>
                <w:highlight w:val="none"/>
              </w:rPr>
              <w:t>合同总价</w:t>
            </w:r>
          </w:p>
        </w:tc>
        <w:tc>
          <w:tcPr>
            <w:tcW w:w="2618" w:type="dxa"/>
            <w:tcBorders>
              <w:top w:val="single" w:color="auto" w:sz="4" w:space="0"/>
              <w:left w:val="single" w:color="auto" w:sz="4" w:space="0"/>
              <w:bottom w:val="single" w:color="auto" w:sz="4" w:space="0"/>
              <w:right w:val="single" w:color="auto" w:sz="4" w:space="0"/>
            </w:tcBorders>
            <w:vAlign w:val="center"/>
          </w:tcPr>
          <w:p w14:paraId="5EDC2BD4">
            <w:pPr>
              <w:jc w:val="center"/>
              <w:rPr>
                <w:rFonts w:hint="eastAsia" w:hAnsi="宋体" w:cs="宋体"/>
                <w:color w:val="auto"/>
                <w:sz w:val="21"/>
                <w:szCs w:val="21"/>
                <w:highlight w:val="none"/>
              </w:rPr>
            </w:pPr>
            <w:r>
              <w:rPr>
                <w:rFonts w:hint="eastAsia" w:hAnsi="宋体" w:cs="宋体"/>
                <w:color w:val="auto"/>
                <w:sz w:val="21"/>
                <w:szCs w:val="21"/>
                <w:highlight w:val="none"/>
              </w:rPr>
              <w:t>用户联系人姓名及电话</w:t>
            </w:r>
          </w:p>
        </w:tc>
      </w:tr>
      <w:tr w14:paraId="3F8EE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1A4CFE03">
            <w:pPr>
              <w:jc w:val="center"/>
              <w:rPr>
                <w:rFonts w:hint="eastAsia" w:hAnsi="宋体" w:cs="宋体"/>
                <w:color w:val="auto"/>
                <w:sz w:val="21"/>
                <w:szCs w:val="21"/>
                <w:highlight w:val="none"/>
              </w:rPr>
            </w:pPr>
            <w:r>
              <w:rPr>
                <w:rFonts w:hint="eastAsia" w:hAnsi="宋体" w:cs="宋体"/>
                <w:color w:val="auto"/>
                <w:sz w:val="21"/>
                <w:szCs w:val="21"/>
                <w:highlight w:val="none"/>
              </w:rPr>
              <w:t>1</w:t>
            </w:r>
          </w:p>
        </w:tc>
        <w:tc>
          <w:tcPr>
            <w:tcW w:w="1622" w:type="dxa"/>
            <w:tcBorders>
              <w:top w:val="single" w:color="auto" w:sz="4" w:space="0"/>
              <w:left w:val="single" w:color="auto" w:sz="4" w:space="0"/>
              <w:bottom w:val="single" w:color="auto" w:sz="4" w:space="0"/>
              <w:right w:val="single" w:color="auto" w:sz="4" w:space="0"/>
            </w:tcBorders>
            <w:vAlign w:val="center"/>
          </w:tcPr>
          <w:p w14:paraId="5FCC4CDE">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7BC3ED52">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5A32876B">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352D85D8">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7178EBF0">
            <w:pPr>
              <w:jc w:val="center"/>
              <w:rPr>
                <w:rFonts w:hint="eastAsia" w:hAnsi="宋体" w:cs="宋体"/>
                <w:color w:val="auto"/>
                <w:sz w:val="21"/>
                <w:szCs w:val="21"/>
                <w:highlight w:val="none"/>
              </w:rPr>
            </w:pPr>
          </w:p>
        </w:tc>
      </w:tr>
      <w:tr w14:paraId="635E38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419E25B2">
            <w:pPr>
              <w:jc w:val="center"/>
              <w:rPr>
                <w:rFonts w:hint="eastAsia" w:hAnsi="宋体" w:cs="宋体"/>
                <w:color w:val="auto"/>
                <w:sz w:val="21"/>
                <w:szCs w:val="21"/>
                <w:highlight w:val="none"/>
              </w:rPr>
            </w:pPr>
            <w:r>
              <w:rPr>
                <w:rFonts w:hint="eastAsia" w:hAnsi="宋体" w:cs="宋体"/>
                <w:color w:val="auto"/>
                <w:sz w:val="21"/>
                <w:szCs w:val="21"/>
                <w:highlight w:val="none"/>
              </w:rPr>
              <w:t>2</w:t>
            </w:r>
          </w:p>
        </w:tc>
        <w:tc>
          <w:tcPr>
            <w:tcW w:w="1622" w:type="dxa"/>
            <w:tcBorders>
              <w:top w:val="single" w:color="auto" w:sz="4" w:space="0"/>
              <w:left w:val="single" w:color="auto" w:sz="4" w:space="0"/>
              <w:bottom w:val="single" w:color="auto" w:sz="4" w:space="0"/>
              <w:right w:val="single" w:color="auto" w:sz="4" w:space="0"/>
            </w:tcBorders>
            <w:vAlign w:val="center"/>
          </w:tcPr>
          <w:p w14:paraId="11F687EE">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31EB0BB9">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5C7F74BB">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59D40E9E">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717399CD">
            <w:pPr>
              <w:jc w:val="center"/>
              <w:rPr>
                <w:rFonts w:hint="eastAsia" w:hAnsi="宋体" w:cs="宋体"/>
                <w:color w:val="auto"/>
                <w:sz w:val="21"/>
                <w:szCs w:val="21"/>
                <w:highlight w:val="none"/>
              </w:rPr>
            </w:pPr>
          </w:p>
        </w:tc>
      </w:tr>
      <w:tr w14:paraId="6DF60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634E3A11">
            <w:pPr>
              <w:jc w:val="center"/>
              <w:rPr>
                <w:rFonts w:hint="eastAsia" w:hAnsi="宋体" w:cs="宋体"/>
                <w:color w:val="auto"/>
                <w:sz w:val="21"/>
                <w:szCs w:val="21"/>
                <w:highlight w:val="none"/>
              </w:rPr>
            </w:pPr>
            <w:r>
              <w:rPr>
                <w:rFonts w:hint="eastAsia" w:hAnsi="宋体" w:cs="宋体"/>
                <w:color w:val="auto"/>
                <w:sz w:val="21"/>
                <w:szCs w:val="21"/>
                <w:highlight w:val="none"/>
              </w:rPr>
              <w:t>3</w:t>
            </w:r>
          </w:p>
        </w:tc>
        <w:tc>
          <w:tcPr>
            <w:tcW w:w="1622" w:type="dxa"/>
            <w:tcBorders>
              <w:top w:val="single" w:color="auto" w:sz="4" w:space="0"/>
              <w:left w:val="single" w:color="auto" w:sz="4" w:space="0"/>
              <w:bottom w:val="single" w:color="auto" w:sz="4" w:space="0"/>
              <w:right w:val="single" w:color="auto" w:sz="4" w:space="0"/>
            </w:tcBorders>
            <w:vAlign w:val="center"/>
          </w:tcPr>
          <w:p w14:paraId="48DCEECF">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633E16D6">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0CBDDB29">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3A2765B3">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16741601">
            <w:pPr>
              <w:jc w:val="center"/>
              <w:rPr>
                <w:rFonts w:hint="eastAsia" w:hAnsi="宋体" w:cs="宋体"/>
                <w:color w:val="auto"/>
                <w:sz w:val="21"/>
                <w:szCs w:val="21"/>
                <w:highlight w:val="none"/>
              </w:rPr>
            </w:pPr>
          </w:p>
        </w:tc>
      </w:tr>
      <w:tr w14:paraId="727C9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exact"/>
        </w:trPr>
        <w:tc>
          <w:tcPr>
            <w:tcW w:w="678" w:type="dxa"/>
            <w:tcBorders>
              <w:top w:val="single" w:color="auto" w:sz="4" w:space="0"/>
              <w:left w:val="single" w:color="auto" w:sz="4" w:space="0"/>
              <w:bottom w:val="single" w:color="auto" w:sz="4" w:space="0"/>
              <w:right w:val="single" w:color="auto" w:sz="4" w:space="0"/>
            </w:tcBorders>
            <w:vAlign w:val="center"/>
          </w:tcPr>
          <w:p w14:paraId="0864256F">
            <w:pPr>
              <w:jc w:val="center"/>
              <w:rPr>
                <w:rFonts w:hint="eastAsia" w:hAnsi="宋体" w:cs="宋体"/>
                <w:color w:val="auto"/>
                <w:sz w:val="21"/>
                <w:szCs w:val="21"/>
                <w:highlight w:val="none"/>
              </w:rPr>
            </w:pPr>
            <w:r>
              <w:rPr>
                <w:rFonts w:hint="eastAsia" w:hAnsi="宋体" w:cs="宋体"/>
                <w:color w:val="auto"/>
                <w:sz w:val="21"/>
                <w:szCs w:val="21"/>
                <w:highlight w:val="none"/>
              </w:rPr>
              <w:t>4</w:t>
            </w:r>
          </w:p>
        </w:tc>
        <w:tc>
          <w:tcPr>
            <w:tcW w:w="1622" w:type="dxa"/>
            <w:tcBorders>
              <w:top w:val="single" w:color="auto" w:sz="4" w:space="0"/>
              <w:left w:val="single" w:color="auto" w:sz="4" w:space="0"/>
              <w:bottom w:val="single" w:color="auto" w:sz="4" w:space="0"/>
              <w:right w:val="single" w:color="auto" w:sz="4" w:space="0"/>
            </w:tcBorders>
            <w:vAlign w:val="center"/>
          </w:tcPr>
          <w:p w14:paraId="6210B479">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3EB1DA4F">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4F6C24DA">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108B892A">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30B81D1D">
            <w:pPr>
              <w:jc w:val="center"/>
              <w:rPr>
                <w:rFonts w:hint="eastAsia" w:hAnsi="宋体" w:cs="宋体"/>
                <w:color w:val="auto"/>
                <w:sz w:val="21"/>
                <w:szCs w:val="21"/>
                <w:highlight w:val="none"/>
              </w:rPr>
            </w:pPr>
          </w:p>
        </w:tc>
      </w:tr>
      <w:tr w14:paraId="5376B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exact"/>
        </w:trPr>
        <w:tc>
          <w:tcPr>
            <w:tcW w:w="678" w:type="dxa"/>
            <w:tcBorders>
              <w:top w:val="single" w:color="auto" w:sz="4" w:space="0"/>
              <w:left w:val="single" w:color="auto" w:sz="4" w:space="0"/>
              <w:bottom w:val="single" w:color="auto" w:sz="4" w:space="0"/>
              <w:right w:val="single" w:color="auto" w:sz="4" w:space="0"/>
            </w:tcBorders>
            <w:vAlign w:val="center"/>
          </w:tcPr>
          <w:p w14:paraId="0FA5D949">
            <w:pPr>
              <w:jc w:val="center"/>
              <w:rPr>
                <w:rFonts w:hint="eastAsia" w:hAnsi="宋体" w:cs="宋体"/>
                <w:color w:val="auto"/>
                <w:sz w:val="21"/>
                <w:szCs w:val="21"/>
                <w:highlight w:val="none"/>
              </w:rPr>
            </w:pPr>
            <w:r>
              <w:rPr>
                <w:rFonts w:hint="eastAsia" w:hAnsi="宋体" w:cs="宋体"/>
                <w:color w:val="auto"/>
                <w:sz w:val="21"/>
                <w:szCs w:val="21"/>
                <w:highlight w:val="none"/>
              </w:rPr>
              <w:t>…</w:t>
            </w:r>
          </w:p>
        </w:tc>
        <w:tc>
          <w:tcPr>
            <w:tcW w:w="1622" w:type="dxa"/>
            <w:tcBorders>
              <w:top w:val="single" w:color="auto" w:sz="4" w:space="0"/>
              <w:left w:val="single" w:color="auto" w:sz="4" w:space="0"/>
              <w:bottom w:val="single" w:color="auto" w:sz="4" w:space="0"/>
              <w:right w:val="single" w:color="auto" w:sz="4" w:space="0"/>
            </w:tcBorders>
            <w:vAlign w:val="center"/>
          </w:tcPr>
          <w:p w14:paraId="4F5E668E">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11B7E28C">
            <w:pPr>
              <w:jc w:val="center"/>
              <w:rPr>
                <w:rFonts w:hint="eastAsia" w:hAnsi="宋体" w:cs="宋体"/>
                <w:color w:val="auto"/>
                <w:sz w:val="21"/>
                <w:szCs w:val="21"/>
                <w:highlight w:val="none"/>
              </w:rPr>
            </w:pPr>
          </w:p>
        </w:tc>
        <w:tc>
          <w:tcPr>
            <w:tcW w:w="2040" w:type="dxa"/>
            <w:tcBorders>
              <w:top w:val="single" w:color="auto" w:sz="4" w:space="0"/>
              <w:left w:val="single" w:color="auto" w:sz="4" w:space="0"/>
              <w:bottom w:val="single" w:color="auto" w:sz="4" w:space="0"/>
              <w:right w:val="single" w:color="auto" w:sz="4" w:space="0"/>
            </w:tcBorders>
            <w:vAlign w:val="center"/>
          </w:tcPr>
          <w:p w14:paraId="5D8C6D9C">
            <w:pPr>
              <w:jc w:val="center"/>
              <w:rPr>
                <w:rFonts w:hint="eastAsia" w:hAnsi="宋体" w:cs="宋体"/>
                <w:color w:val="auto"/>
                <w:sz w:val="21"/>
                <w:szCs w:val="21"/>
                <w:highlight w:val="none"/>
              </w:rPr>
            </w:pPr>
          </w:p>
        </w:tc>
        <w:tc>
          <w:tcPr>
            <w:tcW w:w="1327" w:type="dxa"/>
            <w:tcBorders>
              <w:top w:val="single" w:color="auto" w:sz="4" w:space="0"/>
              <w:left w:val="single" w:color="auto" w:sz="4" w:space="0"/>
              <w:bottom w:val="single" w:color="auto" w:sz="4" w:space="0"/>
              <w:right w:val="single" w:color="auto" w:sz="4" w:space="0"/>
            </w:tcBorders>
            <w:vAlign w:val="center"/>
          </w:tcPr>
          <w:p w14:paraId="621868B6">
            <w:pPr>
              <w:jc w:val="center"/>
              <w:rPr>
                <w:rFonts w:hint="eastAsia" w:hAnsi="宋体" w:cs="宋体"/>
                <w:color w:val="auto"/>
                <w:sz w:val="21"/>
                <w:szCs w:val="21"/>
                <w:highlight w:val="none"/>
              </w:rPr>
            </w:pPr>
          </w:p>
        </w:tc>
        <w:tc>
          <w:tcPr>
            <w:tcW w:w="2618" w:type="dxa"/>
            <w:tcBorders>
              <w:top w:val="single" w:color="auto" w:sz="4" w:space="0"/>
              <w:left w:val="single" w:color="auto" w:sz="4" w:space="0"/>
              <w:bottom w:val="single" w:color="auto" w:sz="4" w:space="0"/>
              <w:right w:val="single" w:color="auto" w:sz="4" w:space="0"/>
            </w:tcBorders>
            <w:vAlign w:val="center"/>
          </w:tcPr>
          <w:p w14:paraId="43B84904">
            <w:pPr>
              <w:jc w:val="center"/>
              <w:rPr>
                <w:rFonts w:hint="eastAsia" w:hAnsi="宋体" w:cs="宋体"/>
                <w:color w:val="auto"/>
                <w:sz w:val="21"/>
                <w:szCs w:val="21"/>
                <w:highlight w:val="none"/>
              </w:rPr>
            </w:pPr>
          </w:p>
        </w:tc>
      </w:tr>
    </w:tbl>
    <w:p w14:paraId="3856B7E1">
      <w:pPr>
        <w:spacing w:line="360" w:lineRule="auto"/>
        <w:ind w:left="-140" w:leftChars="-50" w:firstLine="105" w:firstLineChars="50"/>
        <w:rPr>
          <w:rFonts w:hint="eastAsia" w:hAnsi="宋体" w:cs="宋体"/>
          <w:color w:val="auto"/>
          <w:sz w:val="21"/>
          <w:szCs w:val="21"/>
          <w:highlight w:val="none"/>
        </w:rPr>
      </w:pPr>
      <w:r>
        <w:rPr>
          <w:rFonts w:hint="eastAsia" w:hAnsi="宋体" w:cs="宋体"/>
          <w:color w:val="auto"/>
          <w:sz w:val="21"/>
          <w:szCs w:val="21"/>
          <w:highlight w:val="none"/>
        </w:rPr>
        <w:t>注： 1. 投标人应在本表中列出正在经营的及已完成同类或项目经验证明材料，如有虚假，一经查实将导致其投标被拒绝。</w:t>
      </w:r>
    </w:p>
    <w:p w14:paraId="07AB709A">
      <w:pPr>
        <w:spacing w:line="360" w:lineRule="auto"/>
        <w:ind w:firstLine="504" w:firstLineChars="240"/>
        <w:rPr>
          <w:rFonts w:hint="eastAsia" w:hAnsi="宋体" w:cs="宋体"/>
          <w:color w:val="auto"/>
          <w:sz w:val="21"/>
          <w:szCs w:val="21"/>
          <w:highlight w:val="none"/>
        </w:rPr>
      </w:pPr>
      <w:r>
        <w:rPr>
          <w:rFonts w:hint="eastAsia" w:hAnsi="宋体" w:cs="宋体"/>
          <w:color w:val="auto"/>
          <w:sz w:val="21"/>
          <w:szCs w:val="21"/>
          <w:highlight w:val="none"/>
        </w:rPr>
        <w:t>2.项目概况包括：项目地址、项目规模、投入人力资源情况、项目负责人；</w:t>
      </w:r>
    </w:p>
    <w:p w14:paraId="0CA8B6D0">
      <w:pPr>
        <w:spacing w:line="360" w:lineRule="auto"/>
        <w:ind w:left="-87" w:leftChars="-31" w:firstLine="569" w:firstLineChars="271"/>
        <w:rPr>
          <w:rFonts w:hint="eastAsia" w:hAnsi="宋体" w:cs="宋体"/>
          <w:color w:val="auto"/>
          <w:sz w:val="21"/>
          <w:szCs w:val="21"/>
          <w:highlight w:val="none"/>
        </w:rPr>
      </w:pPr>
      <w:r>
        <w:rPr>
          <w:rFonts w:hint="eastAsia" w:hAnsi="宋体" w:cs="宋体"/>
          <w:color w:val="auto"/>
          <w:sz w:val="21"/>
          <w:szCs w:val="21"/>
          <w:highlight w:val="none"/>
        </w:rPr>
        <w:t>3.投标人应附合同和项目验收合格证明复印件为项目实施经验证明文件，证明文件缺漏的项目实施经验证明材料在评标时将不予考虑。</w:t>
      </w:r>
    </w:p>
    <w:p w14:paraId="46D9DB81">
      <w:pPr>
        <w:spacing w:line="440" w:lineRule="exact"/>
        <w:ind w:firstLine="1890" w:firstLineChars="900"/>
        <w:rPr>
          <w:rFonts w:hint="eastAsia" w:hAnsi="宋体" w:cs="宋体"/>
          <w:color w:val="auto"/>
          <w:sz w:val="21"/>
          <w:szCs w:val="21"/>
          <w:highlight w:val="none"/>
        </w:rPr>
      </w:pPr>
    </w:p>
    <w:p w14:paraId="1F5234D8">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投标人（盖单位公章）：______________</w:t>
      </w:r>
    </w:p>
    <w:p w14:paraId="6FED0A4C">
      <w:pPr>
        <w:spacing w:before="60" w:after="60" w:line="360" w:lineRule="auto"/>
        <w:rPr>
          <w:rFonts w:hint="eastAsia" w:hAnsi="宋体" w:cs="宋体"/>
          <w:color w:val="auto"/>
          <w:sz w:val="21"/>
          <w:szCs w:val="21"/>
          <w:highlight w:val="none"/>
        </w:rPr>
      </w:pPr>
      <w:r>
        <w:rPr>
          <w:rFonts w:hint="eastAsia" w:hAnsi="宋体" w:cs="宋体"/>
          <w:color w:val="auto"/>
          <w:sz w:val="21"/>
          <w:szCs w:val="21"/>
          <w:highlight w:val="none"/>
        </w:rPr>
        <w:t>法定代表人（负责人）或委托代理人（</w:t>
      </w:r>
      <w:r>
        <w:rPr>
          <w:rFonts w:hint="eastAsia" w:hAnsi="宋体" w:cs="宋体"/>
          <w:color w:val="auto"/>
          <w:sz w:val="21"/>
          <w:szCs w:val="21"/>
          <w:highlight w:val="none"/>
          <w:lang w:eastAsia="zh-CN"/>
        </w:rPr>
        <w:t>签字或个人印章</w:t>
      </w:r>
      <w:r>
        <w:rPr>
          <w:rFonts w:hint="eastAsia" w:hAnsi="宋体" w:cs="宋体"/>
          <w:color w:val="auto"/>
          <w:sz w:val="21"/>
          <w:szCs w:val="21"/>
          <w:highlight w:val="none"/>
        </w:rPr>
        <w:t>）：________</w:t>
      </w:r>
    </w:p>
    <w:p w14:paraId="79A9ED47">
      <w:pPr>
        <w:spacing w:line="720" w:lineRule="exact"/>
        <w:rPr>
          <w:rFonts w:hint="eastAsia" w:hAnsi="宋体" w:cs="宋体"/>
          <w:color w:val="auto"/>
          <w:sz w:val="21"/>
          <w:szCs w:val="21"/>
          <w:highlight w:val="none"/>
          <w:u w:val="single"/>
        </w:rPr>
      </w:pPr>
      <w:r>
        <w:rPr>
          <w:rFonts w:hint="eastAsia" w:hAnsi="宋体" w:cs="宋体"/>
          <w:color w:val="auto"/>
          <w:sz w:val="21"/>
          <w:szCs w:val="21"/>
          <w:highlight w:val="none"/>
        </w:rPr>
        <w:t>日期：________年_____月_____日</w:t>
      </w:r>
    </w:p>
    <w:p w14:paraId="4B5B52CB">
      <w:pPr>
        <w:rPr>
          <w:rFonts w:hint="eastAsia" w:hAnsi="宋体"/>
          <w:color w:val="auto"/>
          <w:szCs w:val="28"/>
          <w:highlight w:val="none"/>
        </w:rPr>
      </w:pPr>
      <w:r>
        <w:rPr>
          <w:rFonts w:hint="eastAsia" w:hAnsi="宋体"/>
          <w:color w:val="auto"/>
          <w:szCs w:val="28"/>
          <w:highlight w:val="none"/>
        </w:rPr>
        <w:br w:type="page"/>
      </w:r>
    </w:p>
    <w:p w14:paraId="7F8CEFAF">
      <w:pPr>
        <w:pStyle w:val="6"/>
        <w:jc w:val="center"/>
        <w:rPr>
          <w:color w:val="auto"/>
          <w:highlight w:val="none"/>
        </w:rPr>
      </w:pPr>
      <w:bookmarkStart w:id="126" w:name="_Toc470"/>
      <w:r>
        <w:rPr>
          <w:rFonts w:hint="eastAsia"/>
          <w:color w:val="auto"/>
          <w:highlight w:val="none"/>
        </w:rPr>
        <w:t>（十</w:t>
      </w:r>
      <w:r>
        <w:rPr>
          <w:rFonts w:hint="eastAsia"/>
          <w:color w:val="auto"/>
          <w:highlight w:val="none"/>
          <w:lang w:val="en-US" w:eastAsia="zh-CN"/>
        </w:rPr>
        <w:t>二</w:t>
      </w:r>
      <w:r>
        <w:rPr>
          <w:rFonts w:hint="eastAsia"/>
          <w:color w:val="auto"/>
          <w:highlight w:val="none"/>
        </w:rPr>
        <w:t>）投标保证书</w:t>
      </w:r>
      <w:bookmarkEnd w:id="126"/>
    </w:p>
    <w:p w14:paraId="692EB924">
      <w:pPr>
        <w:spacing w:line="400" w:lineRule="exact"/>
        <w:rPr>
          <w:rFonts w:hint="eastAsia" w:hAnsi="宋体"/>
          <w:color w:val="auto"/>
          <w:sz w:val="24"/>
          <w:highlight w:val="none"/>
        </w:rPr>
      </w:pPr>
    </w:p>
    <w:p w14:paraId="6C7F4173">
      <w:pPr>
        <w:spacing w:after="120" w:line="480" w:lineRule="exact"/>
        <w:rPr>
          <w:rFonts w:hint="eastAsia" w:hAnsi="宋体" w:eastAsia="宋体"/>
          <w:b/>
          <w:color w:val="auto"/>
          <w:sz w:val="21"/>
          <w:szCs w:val="21"/>
          <w:highlight w:val="none"/>
          <w:lang w:eastAsia="zh-CN"/>
        </w:rPr>
      </w:pPr>
      <w:r>
        <w:rPr>
          <w:rFonts w:hint="eastAsia" w:hAnsi="宋体"/>
          <w:b/>
          <w:color w:val="auto"/>
          <w:sz w:val="21"/>
          <w:szCs w:val="21"/>
          <w:highlight w:val="none"/>
        </w:rPr>
        <w:t>致：</w:t>
      </w:r>
      <w:r>
        <w:rPr>
          <w:rFonts w:hint="eastAsia" w:hAnsi="宋体"/>
          <w:b/>
          <w:color w:val="auto"/>
          <w:sz w:val="21"/>
          <w:szCs w:val="21"/>
          <w:highlight w:val="none"/>
          <w:lang w:eastAsia="zh-CN"/>
        </w:rPr>
        <w:t>保山市商务局</w:t>
      </w:r>
    </w:p>
    <w:p w14:paraId="4783E76D">
      <w:pPr>
        <w:spacing w:line="460" w:lineRule="exact"/>
        <w:ind w:firstLine="510"/>
        <w:rPr>
          <w:rFonts w:hint="eastAsia" w:hAnsi="宋体"/>
          <w:color w:val="auto"/>
          <w:sz w:val="21"/>
          <w:szCs w:val="21"/>
          <w:highlight w:val="none"/>
        </w:rPr>
      </w:pPr>
      <w:r>
        <w:rPr>
          <w:rFonts w:hint="eastAsia" w:hAnsi="宋体"/>
          <w:color w:val="auto"/>
          <w:sz w:val="21"/>
          <w:szCs w:val="21"/>
          <w:highlight w:val="none"/>
        </w:rPr>
        <w:t>本书作为</w:t>
      </w:r>
      <w:r>
        <w:rPr>
          <w:rFonts w:hAnsi="宋体"/>
          <w:color w:val="auto"/>
          <w:sz w:val="21"/>
          <w:szCs w:val="21"/>
          <w:highlight w:val="none"/>
        </w:rPr>
        <w:t>____________</w:t>
      </w:r>
      <w:r>
        <w:rPr>
          <w:rFonts w:hint="eastAsia" w:hAnsi="宋体"/>
          <w:color w:val="auto"/>
          <w:sz w:val="21"/>
          <w:szCs w:val="21"/>
          <w:highlight w:val="none"/>
        </w:rPr>
        <w:t>（投标人）对</w:t>
      </w:r>
      <w:r>
        <w:rPr>
          <w:rFonts w:hint="eastAsia" w:hAnsi="宋体"/>
          <w:color w:val="auto"/>
          <w:sz w:val="21"/>
          <w:szCs w:val="21"/>
          <w:highlight w:val="none"/>
          <w:u w:val="single"/>
        </w:rPr>
        <w:t xml:space="preserve">   </w:t>
      </w:r>
      <w:r>
        <w:rPr>
          <w:rFonts w:hint="eastAsia" w:hAnsi="宋体" w:cs="宋体"/>
          <w:color w:val="auto"/>
          <w:sz w:val="21"/>
          <w:szCs w:val="21"/>
          <w:highlight w:val="none"/>
          <w:u w:val="single"/>
        </w:rPr>
        <w:t>（项目名称、项目编号）</w:t>
      </w:r>
      <w:r>
        <w:rPr>
          <w:rFonts w:hint="eastAsia" w:hAnsi="宋体"/>
          <w:color w:val="auto"/>
          <w:sz w:val="21"/>
          <w:szCs w:val="21"/>
          <w:highlight w:val="none"/>
          <w:u w:val="single"/>
        </w:rPr>
        <w:t xml:space="preserve">  提供</w:t>
      </w:r>
      <w:r>
        <w:rPr>
          <w:rFonts w:hint="eastAsia" w:hAnsi="宋体"/>
          <w:color w:val="auto"/>
          <w:sz w:val="21"/>
          <w:szCs w:val="21"/>
          <w:highlight w:val="none"/>
        </w:rPr>
        <w:t>投标保证金的保证。</w:t>
      </w:r>
    </w:p>
    <w:p w14:paraId="7D7A6F69">
      <w:pPr>
        <w:spacing w:line="460" w:lineRule="exact"/>
        <w:ind w:firstLine="510"/>
        <w:rPr>
          <w:rFonts w:hint="eastAsia" w:hAnsi="宋体"/>
          <w:color w:val="auto"/>
          <w:sz w:val="21"/>
          <w:szCs w:val="21"/>
          <w:highlight w:val="none"/>
        </w:rPr>
      </w:pPr>
      <w:r>
        <w:rPr>
          <w:rFonts w:hint="eastAsia" w:hAnsi="宋体"/>
          <w:color w:val="auto"/>
          <w:sz w:val="21"/>
          <w:szCs w:val="21"/>
          <w:highlight w:val="none"/>
        </w:rPr>
        <w:t>由</w:t>
      </w:r>
      <w:r>
        <w:rPr>
          <w:rFonts w:hAnsi="宋体"/>
          <w:color w:val="auto"/>
          <w:sz w:val="21"/>
          <w:szCs w:val="21"/>
          <w:highlight w:val="none"/>
        </w:rPr>
        <w:t>____________</w:t>
      </w:r>
      <w:r>
        <w:rPr>
          <w:rFonts w:hint="eastAsia" w:hAnsi="宋体"/>
          <w:color w:val="auto"/>
          <w:sz w:val="21"/>
          <w:szCs w:val="21"/>
          <w:highlight w:val="none"/>
        </w:rPr>
        <w:t>（开户银行名称或投标人名称）提供的</w:t>
      </w:r>
      <w:r>
        <w:rPr>
          <w:rFonts w:hAnsi="宋体"/>
          <w:color w:val="auto"/>
          <w:sz w:val="21"/>
          <w:szCs w:val="21"/>
          <w:highlight w:val="none"/>
        </w:rPr>
        <w:t>_______</w:t>
      </w:r>
      <w:r>
        <w:rPr>
          <w:rFonts w:hint="eastAsia" w:hAnsi="宋体"/>
          <w:color w:val="auto"/>
          <w:sz w:val="21"/>
          <w:szCs w:val="21"/>
          <w:highlight w:val="none"/>
        </w:rPr>
        <w:t>（填投标保证金形式）总额为</w:t>
      </w:r>
      <w:r>
        <w:rPr>
          <w:rFonts w:hAnsi="宋体"/>
          <w:color w:val="auto"/>
          <w:sz w:val="21"/>
          <w:szCs w:val="21"/>
          <w:highlight w:val="none"/>
        </w:rPr>
        <w:t>___________________</w:t>
      </w:r>
      <w:r>
        <w:rPr>
          <w:rFonts w:hint="eastAsia" w:hAnsi="宋体"/>
          <w:color w:val="auto"/>
          <w:sz w:val="21"/>
          <w:szCs w:val="21"/>
          <w:highlight w:val="none"/>
        </w:rPr>
        <w:t>（人民币·元）。</w:t>
      </w:r>
    </w:p>
    <w:p w14:paraId="12B0DAB7">
      <w:pPr>
        <w:spacing w:line="460" w:lineRule="exact"/>
        <w:ind w:firstLine="510"/>
        <w:rPr>
          <w:rFonts w:hint="eastAsia" w:hAnsi="宋体"/>
          <w:color w:val="auto"/>
          <w:sz w:val="21"/>
          <w:szCs w:val="21"/>
          <w:highlight w:val="none"/>
        </w:rPr>
      </w:pPr>
      <w:r>
        <w:rPr>
          <w:rFonts w:hint="eastAsia" w:hAnsi="宋体"/>
          <w:color w:val="auto"/>
          <w:sz w:val="21"/>
          <w:szCs w:val="21"/>
          <w:highlight w:val="none"/>
        </w:rPr>
        <w:t>一旦发生下述行为，我单位（或公司）将放弃追索保证金的权利：</w:t>
      </w:r>
    </w:p>
    <w:p w14:paraId="12D9852B">
      <w:pPr>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（1）投标截止时间后，撤销投标书的；</w:t>
      </w:r>
    </w:p>
    <w:p w14:paraId="075D0360">
      <w:pPr>
        <w:autoSpaceDE w:val="0"/>
        <w:autoSpaceDN w:val="0"/>
        <w:adjustRightInd w:val="0"/>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（2）提供虚假材料谋取中标的；</w:t>
      </w:r>
    </w:p>
    <w:p w14:paraId="52486777">
      <w:pPr>
        <w:autoSpaceDE w:val="0"/>
        <w:autoSpaceDN w:val="0"/>
        <w:adjustRightInd w:val="0"/>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（3）有围标、串标行为的；</w:t>
      </w:r>
    </w:p>
    <w:p w14:paraId="0B0BC1CB">
      <w:pPr>
        <w:autoSpaceDE w:val="0"/>
        <w:autoSpaceDN w:val="0"/>
        <w:adjustRightInd w:val="0"/>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（4）无正当理由不与采购人订立合同，在签订合同时向采购人提出附加条件，或者不按照招标文件要求提交履约保证金的；</w:t>
      </w:r>
    </w:p>
    <w:p w14:paraId="4DFE78C5">
      <w:pPr>
        <w:autoSpaceDE w:val="0"/>
        <w:autoSpaceDN w:val="0"/>
        <w:adjustRightInd w:val="0"/>
        <w:spacing w:line="480" w:lineRule="exact"/>
        <w:ind w:firstLine="420" w:firstLineChars="200"/>
        <w:rPr>
          <w:rFonts w:hint="eastAsia" w:hAnsi="宋体"/>
          <w:color w:val="auto"/>
          <w:sz w:val="21"/>
          <w:szCs w:val="21"/>
          <w:highlight w:val="none"/>
        </w:rPr>
      </w:pPr>
      <w:r>
        <w:rPr>
          <w:rFonts w:hint="eastAsia" w:hAnsi="宋体"/>
          <w:color w:val="auto"/>
          <w:sz w:val="21"/>
          <w:szCs w:val="21"/>
          <w:highlight w:val="none"/>
        </w:rPr>
        <w:t>(5) 国家法律法规及招标文件规定的其他情形。</w:t>
      </w:r>
    </w:p>
    <w:p w14:paraId="0BB64433">
      <w:pPr>
        <w:spacing w:line="460" w:lineRule="exact"/>
        <w:ind w:firstLine="510"/>
        <w:rPr>
          <w:rFonts w:hint="eastAsia" w:hAnsi="宋体"/>
          <w:color w:val="auto"/>
          <w:sz w:val="21"/>
          <w:szCs w:val="21"/>
          <w:highlight w:val="none"/>
        </w:rPr>
      </w:pPr>
      <w:r>
        <w:rPr>
          <w:rFonts w:hint="eastAsia" w:hAnsi="宋体"/>
          <w:color w:val="auto"/>
          <w:sz w:val="21"/>
          <w:szCs w:val="21"/>
          <w:highlight w:val="none"/>
        </w:rPr>
        <w:t>本保证书自开标日起90日有效，除非贵方提前终止或解除本保证书。</w:t>
      </w:r>
    </w:p>
    <w:p w14:paraId="60F9DB8A">
      <w:pPr>
        <w:spacing w:before="60" w:after="60" w:line="500" w:lineRule="exact"/>
        <w:rPr>
          <w:rFonts w:hint="eastAsia" w:hAnsi="宋体"/>
          <w:color w:val="auto"/>
          <w:sz w:val="21"/>
          <w:szCs w:val="21"/>
          <w:highlight w:val="none"/>
        </w:rPr>
      </w:pPr>
    </w:p>
    <w:p w14:paraId="61EBA23F">
      <w:pPr>
        <w:spacing w:before="60" w:after="60" w:line="640" w:lineRule="exact"/>
        <w:ind w:firstLine="510"/>
        <w:rPr>
          <w:rFonts w:hint="eastAsia" w:hAnsi="宋体"/>
          <w:color w:val="auto"/>
          <w:sz w:val="21"/>
          <w:szCs w:val="21"/>
          <w:highlight w:val="none"/>
          <w:u w:val="single"/>
        </w:rPr>
      </w:pPr>
      <w:r>
        <w:rPr>
          <w:rFonts w:hint="eastAsia" w:hAnsi="宋体"/>
          <w:color w:val="auto"/>
          <w:sz w:val="21"/>
          <w:szCs w:val="21"/>
          <w:highlight w:val="none"/>
        </w:rPr>
        <w:t>投标人（加盖单</w:t>
      </w:r>
      <w:r>
        <w:rPr>
          <w:rFonts w:hint="eastAsia" w:hAnsi="宋体"/>
          <w:color w:val="auto"/>
          <w:sz w:val="21"/>
          <w:szCs w:val="21"/>
          <w:highlight w:val="none"/>
          <w:lang w:eastAsia="zh-CN"/>
        </w:rPr>
        <w:t>位公</w:t>
      </w:r>
      <w:r>
        <w:rPr>
          <w:rFonts w:hint="eastAsia" w:hAnsi="宋体"/>
          <w:color w:val="auto"/>
          <w:sz w:val="21"/>
          <w:szCs w:val="21"/>
          <w:highlight w:val="none"/>
        </w:rPr>
        <w:t>章）：</w:t>
      </w:r>
      <w:r>
        <w:rPr>
          <w:rFonts w:hint="eastAsia" w:hAnsi="宋体"/>
          <w:color w:val="auto"/>
          <w:sz w:val="21"/>
          <w:szCs w:val="21"/>
          <w:highlight w:val="none"/>
          <w:u w:val="single"/>
        </w:rPr>
        <w:t xml:space="preserve">               </w:t>
      </w:r>
    </w:p>
    <w:p w14:paraId="5E291EC8">
      <w:pPr>
        <w:spacing w:before="60" w:after="60" w:line="640" w:lineRule="exact"/>
        <w:ind w:firstLine="510"/>
        <w:rPr>
          <w:rFonts w:hint="eastAsia" w:hAnsi="宋体"/>
          <w:color w:val="auto"/>
          <w:sz w:val="21"/>
          <w:szCs w:val="21"/>
          <w:highlight w:val="none"/>
          <w:u w:val="single"/>
        </w:rPr>
      </w:pPr>
      <w:r>
        <w:rPr>
          <w:rFonts w:hint="eastAsia" w:hAnsi="宋体"/>
          <w:color w:val="auto"/>
          <w:sz w:val="21"/>
          <w:szCs w:val="21"/>
          <w:highlight w:val="none"/>
        </w:rPr>
        <w:t>法定代表人（负责人）或委托代理人（</w:t>
      </w:r>
      <w:r>
        <w:rPr>
          <w:rFonts w:hint="eastAsia" w:hAnsi="宋体"/>
          <w:color w:val="auto"/>
          <w:sz w:val="21"/>
          <w:szCs w:val="21"/>
          <w:highlight w:val="none"/>
          <w:lang w:eastAsia="zh-CN"/>
        </w:rPr>
        <w:t>签字或个人印章</w:t>
      </w:r>
      <w:r>
        <w:rPr>
          <w:rFonts w:hint="eastAsia" w:hAnsi="宋体"/>
          <w:color w:val="auto"/>
          <w:sz w:val="21"/>
          <w:szCs w:val="21"/>
          <w:highlight w:val="none"/>
        </w:rPr>
        <w:t>）：</w:t>
      </w:r>
      <w:r>
        <w:rPr>
          <w:rFonts w:hint="eastAsia" w:hAnsi="宋体"/>
          <w:color w:val="auto"/>
          <w:sz w:val="21"/>
          <w:szCs w:val="21"/>
          <w:highlight w:val="none"/>
          <w:u w:val="single"/>
        </w:rPr>
        <w:t xml:space="preserve">                </w:t>
      </w:r>
    </w:p>
    <w:p w14:paraId="1F70459D">
      <w:pPr>
        <w:spacing w:before="60" w:after="60" w:line="640" w:lineRule="exact"/>
        <w:ind w:firstLine="510"/>
        <w:rPr>
          <w:rFonts w:hint="eastAsia" w:hAnsi="宋体"/>
          <w:color w:val="auto"/>
          <w:sz w:val="21"/>
          <w:szCs w:val="21"/>
          <w:highlight w:val="none"/>
          <w:u w:val="single"/>
        </w:rPr>
      </w:pPr>
      <w:r>
        <w:rPr>
          <w:rFonts w:hint="eastAsia" w:hAnsi="宋体"/>
          <w:color w:val="auto"/>
          <w:sz w:val="21"/>
          <w:szCs w:val="21"/>
          <w:highlight w:val="none"/>
        </w:rPr>
        <w:t>开户银行：</w:t>
      </w:r>
      <w:r>
        <w:rPr>
          <w:rFonts w:hint="eastAsia" w:hAnsi="宋体"/>
          <w:color w:val="auto"/>
          <w:sz w:val="21"/>
          <w:szCs w:val="21"/>
          <w:highlight w:val="none"/>
          <w:u w:val="single"/>
        </w:rPr>
        <w:t xml:space="preserve">                </w:t>
      </w:r>
    </w:p>
    <w:p w14:paraId="3BA9BAD8">
      <w:pPr>
        <w:spacing w:before="60" w:after="60" w:line="640" w:lineRule="exact"/>
        <w:ind w:firstLine="510"/>
        <w:rPr>
          <w:rFonts w:hint="eastAsia" w:hAnsi="宋体"/>
          <w:color w:val="auto"/>
          <w:sz w:val="21"/>
          <w:szCs w:val="21"/>
          <w:highlight w:val="none"/>
          <w:u w:val="single"/>
        </w:rPr>
      </w:pPr>
      <w:r>
        <w:rPr>
          <w:rFonts w:hint="eastAsia" w:hAnsi="宋体"/>
          <w:color w:val="auto"/>
          <w:sz w:val="21"/>
          <w:szCs w:val="21"/>
          <w:highlight w:val="none"/>
        </w:rPr>
        <w:t>账 号：</w:t>
      </w:r>
      <w:r>
        <w:rPr>
          <w:rFonts w:hint="eastAsia" w:hAnsi="宋体"/>
          <w:color w:val="auto"/>
          <w:sz w:val="21"/>
          <w:szCs w:val="21"/>
          <w:highlight w:val="none"/>
          <w:u w:val="single"/>
        </w:rPr>
        <w:t xml:space="preserve">                </w:t>
      </w:r>
    </w:p>
    <w:p w14:paraId="4A4387AF">
      <w:pPr>
        <w:spacing w:before="60" w:after="60" w:line="640" w:lineRule="exact"/>
        <w:ind w:firstLine="510"/>
        <w:rPr>
          <w:rFonts w:hint="eastAsia" w:hAnsi="宋体"/>
          <w:color w:val="auto"/>
          <w:sz w:val="24"/>
          <w:highlight w:val="none"/>
        </w:rPr>
      </w:pPr>
      <w:r>
        <w:rPr>
          <w:rFonts w:hint="eastAsia" w:hAnsi="宋体"/>
          <w:color w:val="auto"/>
          <w:sz w:val="21"/>
          <w:szCs w:val="21"/>
          <w:highlight w:val="none"/>
        </w:rPr>
        <w:t>日 期：   年   月   日</w:t>
      </w:r>
    </w:p>
    <w:p w14:paraId="48477759">
      <w:pPr>
        <w:spacing w:before="60" w:after="60" w:line="640" w:lineRule="exact"/>
        <w:ind w:firstLine="510"/>
        <w:rPr>
          <w:rFonts w:hint="eastAsia" w:hAnsi="宋体"/>
          <w:color w:val="auto"/>
          <w:sz w:val="24"/>
          <w:highlight w:val="none"/>
        </w:rPr>
      </w:pPr>
    </w:p>
    <w:p w14:paraId="7FF0E677">
      <w:pPr>
        <w:autoSpaceDE w:val="0"/>
        <w:autoSpaceDN w:val="0"/>
        <w:spacing w:line="360" w:lineRule="auto"/>
        <w:jc w:val="center"/>
        <w:rPr>
          <w:rFonts w:hint="eastAsia" w:hAnsi="宋体"/>
          <w:b/>
          <w:bCs/>
          <w:color w:val="auto"/>
          <w:sz w:val="22"/>
          <w:szCs w:val="22"/>
          <w:highlight w:val="none"/>
          <w:lang w:val="zh-CN"/>
        </w:rPr>
      </w:pPr>
      <w:r>
        <w:rPr>
          <w:rFonts w:hAnsi="宋体"/>
          <w:color w:val="auto"/>
          <w:sz w:val="24"/>
          <w:highlight w:val="none"/>
        </w:rPr>
        <w:br w:type="page"/>
      </w:r>
      <w:r>
        <w:rPr>
          <w:rFonts w:hint="eastAsia" w:hAnsi="宋体"/>
          <w:b/>
          <w:bCs/>
          <w:color w:val="auto"/>
          <w:sz w:val="22"/>
          <w:szCs w:val="22"/>
          <w:highlight w:val="none"/>
          <w:lang w:val="zh-CN"/>
        </w:rPr>
        <w:t>投标保证金缴纳凭证</w:t>
      </w:r>
    </w:p>
    <w:tbl>
      <w:tblPr>
        <w:tblStyle w:val="37"/>
        <w:tblW w:w="86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0"/>
      </w:tblGrid>
      <w:tr w14:paraId="5CAE7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5" w:hRule="atLeast"/>
          <w:jc w:val="center"/>
        </w:trPr>
        <w:tc>
          <w:tcPr>
            <w:tcW w:w="8670" w:type="dxa"/>
            <w:vAlign w:val="center"/>
          </w:tcPr>
          <w:p w14:paraId="50D519B0">
            <w:pPr>
              <w:autoSpaceDE w:val="0"/>
              <w:autoSpaceDN w:val="0"/>
              <w:spacing w:line="360" w:lineRule="auto"/>
              <w:jc w:val="center"/>
              <w:rPr>
                <w:rFonts w:hint="eastAsia" w:hAnsi="宋体"/>
                <w:color w:val="auto"/>
                <w:sz w:val="21"/>
                <w:szCs w:val="21"/>
                <w:highlight w:val="none"/>
                <w:lang w:val="zh-CN"/>
              </w:rPr>
            </w:pPr>
            <w:r>
              <w:rPr>
                <w:rFonts w:hAnsi="宋体"/>
                <w:color w:val="auto"/>
                <w:sz w:val="21"/>
                <w:szCs w:val="21"/>
                <w:highlight w:val="none"/>
                <w:lang w:val="zh-CN"/>
              </w:rPr>
              <w:t>（复印件粘贴处）</w:t>
            </w:r>
          </w:p>
        </w:tc>
      </w:tr>
    </w:tbl>
    <w:p w14:paraId="36E08FAF">
      <w:pPr>
        <w:widowControl/>
        <w:jc w:val="left"/>
        <w:rPr>
          <w:rFonts w:hint="eastAsia" w:hAnsi="宋体"/>
          <w:color w:val="auto"/>
          <w:sz w:val="24"/>
          <w:highlight w:val="none"/>
        </w:rPr>
      </w:pPr>
      <w:r>
        <w:rPr>
          <w:rFonts w:hAnsi="宋体"/>
          <w:color w:val="auto"/>
          <w:sz w:val="24"/>
          <w:highlight w:val="none"/>
        </w:rPr>
        <w:br w:type="page"/>
      </w:r>
    </w:p>
    <w:p w14:paraId="00B0B119">
      <w:pPr>
        <w:pStyle w:val="6"/>
        <w:jc w:val="center"/>
        <w:rPr>
          <w:color w:val="auto"/>
          <w:highlight w:val="none"/>
        </w:rPr>
      </w:pPr>
      <w:bookmarkStart w:id="127" w:name="_Toc2620"/>
      <w:r>
        <w:rPr>
          <w:rFonts w:hint="eastAsia"/>
          <w:color w:val="auto"/>
          <w:highlight w:val="none"/>
        </w:rPr>
        <w:t>（十</w:t>
      </w:r>
      <w:r>
        <w:rPr>
          <w:rFonts w:hint="eastAsia"/>
          <w:color w:val="auto"/>
          <w:highlight w:val="none"/>
          <w:lang w:val="en-US" w:eastAsia="zh-CN"/>
        </w:rPr>
        <w:t>三</w:t>
      </w:r>
      <w:r>
        <w:rPr>
          <w:rFonts w:hint="eastAsia"/>
          <w:color w:val="auto"/>
          <w:highlight w:val="none"/>
        </w:rPr>
        <w:t>）投标人认为需要提供的其他技术文件</w:t>
      </w:r>
      <w:bookmarkEnd w:id="127"/>
    </w:p>
    <w:p w14:paraId="10DE768B">
      <w:pPr>
        <w:pStyle w:val="7"/>
        <w:numPr>
          <w:ilvl w:val="0"/>
          <w:numId w:val="0"/>
        </w:numPr>
        <w:spacing w:before="0" w:after="0" w:line="480" w:lineRule="exact"/>
        <w:rPr>
          <w:rFonts w:hint="eastAsia" w:ascii="宋体" w:hAnsi="宋体"/>
          <w:bCs/>
          <w:color w:val="auto"/>
          <w:sz w:val="44"/>
          <w:szCs w:val="44"/>
          <w:highlight w:val="none"/>
        </w:rPr>
      </w:pPr>
      <w:r>
        <w:rPr>
          <w:rFonts w:hAnsi="宋体"/>
          <w:color w:val="auto"/>
          <w:sz w:val="24"/>
          <w:highlight w:val="none"/>
        </w:rPr>
        <w:br w:type="page"/>
      </w:r>
    </w:p>
    <w:p w14:paraId="720B4F2A">
      <w:pPr>
        <w:pStyle w:val="6"/>
        <w:spacing w:line="360" w:lineRule="auto"/>
        <w:jc w:val="center"/>
        <w:rPr>
          <w:rFonts w:hint="eastAsia" w:ascii="宋体" w:hAnsi="宋体" w:eastAsia="宋体"/>
          <w:bCs w:val="0"/>
          <w:color w:val="auto"/>
          <w:sz w:val="44"/>
          <w:szCs w:val="44"/>
          <w:highlight w:val="none"/>
        </w:rPr>
      </w:pPr>
      <w:bookmarkStart w:id="128" w:name="_Toc30005"/>
      <w:r>
        <w:rPr>
          <w:rFonts w:hint="eastAsia" w:ascii="宋体" w:hAnsi="宋体" w:eastAsia="宋体"/>
          <w:bCs w:val="0"/>
          <w:color w:val="auto"/>
          <w:sz w:val="44"/>
          <w:szCs w:val="44"/>
          <w:highlight w:val="none"/>
        </w:rPr>
        <w:t>第六章   项目技术标准和要求</w:t>
      </w:r>
      <w:bookmarkEnd w:id="128"/>
    </w:p>
    <w:p w14:paraId="4918A050">
      <w:pPr>
        <w:pStyle w:val="7"/>
        <w:numPr>
          <w:ilvl w:val="0"/>
          <w:numId w:val="0"/>
        </w:numPr>
        <w:spacing w:before="0" w:after="0" w:line="480" w:lineRule="exact"/>
        <w:rPr>
          <w:rFonts w:hint="eastAsia" w:hAnsi="宋体"/>
          <w:color w:val="auto"/>
          <w:sz w:val="28"/>
          <w:szCs w:val="28"/>
          <w:highlight w:val="none"/>
        </w:rPr>
      </w:pPr>
    </w:p>
    <w:p w14:paraId="5BD79B88">
      <w:pPr>
        <w:numPr>
          <w:ilvl w:val="0"/>
          <w:numId w:val="0"/>
        </w:numPr>
        <w:spacing w:line="500" w:lineRule="exact"/>
        <w:rPr>
          <w:rFonts w:hint="eastAsia" w:hAnsi="宋体" w:cs="宋体"/>
          <w:b/>
          <w:color w:val="auto"/>
          <w:sz w:val="21"/>
          <w:szCs w:val="21"/>
          <w:highlight w:val="none"/>
        </w:rPr>
      </w:pPr>
      <w:r>
        <w:rPr>
          <w:rFonts w:hint="eastAsia" w:hAnsi="宋体" w:cs="宋体"/>
          <w:b/>
          <w:color w:val="auto"/>
          <w:sz w:val="21"/>
          <w:szCs w:val="21"/>
          <w:highlight w:val="none"/>
          <w:lang w:val="en-US" w:eastAsia="zh-CN"/>
        </w:rPr>
        <w:t>一、</w:t>
      </w:r>
      <w:r>
        <w:rPr>
          <w:rFonts w:hint="eastAsia" w:hAnsi="宋体" w:cs="宋体"/>
          <w:b/>
          <w:color w:val="auto"/>
          <w:sz w:val="21"/>
          <w:szCs w:val="21"/>
          <w:highlight w:val="none"/>
        </w:rPr>
        <w:t>项目概况</w:t>
      </w:r>
    </w:p>
    <w:p w14:paraId="73706E81">
      <w:pPr>
        <w:widowControl/>
        <w:spacing w:line="460" w:lineRule="exact"/>
        <w:ind w:firstLine="424" w:firstLineChars="202"/>
        <w:rPr>
          <w:rFonts w:hint="eastAsia" w:cs="宋体" w:asciiTheme="minorEastAsia" w:hAnsiTheme="minorEastAsia" w:eastAsiaTheme="minorEastAsia"/>
          <w:color w:val="auto"/>
          <w:sz w:val="21"/>
          <w:szCs w:val="21"/>
          <w:highlight w:val="none"/>
        </w:rPr>
      </w:pPr>
      <w:r>
        <w:rPr>
          <w:rFonts w:cs="宋体" w:asciiTheme="minorEastAsia" w:hAnsiTheme="minorEastAsia" w:eastAsiaTheme="minorEastAsia"/>
          <w:color w:val="auto"/>
          <w:sz w:val="21"/>
          <w:szCs w:val="21"/>
          <w:highlight w:val="none"/>
        </w:rPr>
        <w:t>1.项目编号：</w:t>
      </w:r>
      <w:r>
        <w:rPr>
          <w:rFonts w:hint="eastAsia" w:cs="宋体" w:asciiTheme="minorEastAsia" w:hAnsiTheme="minorEastAsia" w:eastAsiaTheme="minorEastAsia"/>
          <w:color w:val="auto"/>
          <w:sz w:val="21"/>
          <w:szCs w:val="21"/>
          <w:highlight w:val="none"/>
          <w:lang w:eastAsia="zh-CN"/>
        </w:rPr>
        <w:t>TRZBC2025-10</w:t>
      </w:r>
      <w:r>
        <w:rPr>
          <w:rFonts w:hint="eastAsia" w:cs="宋体" w:asciiTheme="minorEastAsia" w:hAnsiTheme="minorEastAsia" w:eastAsiaTheme="minorEastAsia"/>
          <w:color w:val="auto"/>
          <w:sz w:val="21"/>
          <w:szCs w:val="21"/>
          <w:highlight w:val="none"/>
        </w:rPr>
        <w:t>（</w:t>
      </w:r>
      <w:r>
        <w:rPr>
          <w:rFonts w:hint="eastAsia" w:cs="宋体" w:asciiTheme="minorEastAsia" w:hAnsiTheme="minorEastAsia" w:eastAsiaTheme="minorEastAsia"/>
          <w:color w:val="auto"/>
          <w:sz w:val="21"/>
          <w:szCs w:val="21"/>
          <w:highlight w:val="none"/>
          <w:lang w:eastAsia="zh-CN"/>
        </w:rPr>
        <w:t>政采云项目编号：BSZC2025-G3-00150-BSTR-0010</w:t>
      </w:r>
      <w:r>
        <w:rPr>
          <w:rFonts w:hint="eastAsia" w:cs="宋体" w:asciiTheme="minorEastAsia" w:hAnsiTheme="minorEastAsia" w:eastAsiaTheme="minorEastAsia"/>
          <w:color w:val="auto"/>
          <w:sz w:val="21"/>
          <w:szCs w:val="21"/>
          <w:highlight w:val="none"/>
        </w:rPr>
        <w:t>）</w:t>
      </w:r>
    </w:p>
    <w:p w14:paraId="084CDCCC">
      <w:pPr>
        <w:widowControl/>
        <w:spacing w:line="460" w:lineRule="exact"/>
        <w:ind w:firstLine="424" w:firstLineChars="202"/>
        <w:rPr>
          <w:rFonts w:hint="eastAsia" w:cs="宋体" w:asciiTheme="minorEastAsia" w:hAnsiTheme="minorEastAsia" w:eastAsiaTheme="minorEastAsia"/>
          <w:color w:val="auto"/>
          <w:sz w:val="21"/>
          <w:szCs w:val="21"/>
          <w:highlight w:val="none"/>
          <w:lang w:eastAsia="zh-CN"/>
        </w:rPr>
      </w:pPr>
      <w:r>
        <w:rPr>
          <w:rFonts w:cs="宋体" w:asciiTheme="minorEastAsia" w:hAnsiTheme="minorEastAsia" w:eastAsiaTheme="minorEastAsia"/>
          <w:color w:val="auto"/>
          <w:sz w:val="21"/>
          <w:szCs w:val="21"/>
          <w:highlight w:val="none"/>
        </w:rPr>
        <w:t>2.项目名称：</w:t>
      </w:r>
      <w:r>
        <w:rPr>
          <w:rFonts w:hint="eastAsia" w:cs="宋体" w:asciiTheme="minorEastAsia" w:hAnsiTheme="minorEastAsia" w:eastAsiaTheme="minorEastAsia"/>
          <w:color w:val="auto"/>
          <w:sz w:val="21"/>
          <w:szCs w:val="21"/>
          <w:highlight w:val="none"/>
          <w:lang w:eastAsia="zh-CN"/>
        </w:rPr>
        <w:t>保山市加油站流量数据采集系统</w:t>
      </w:r>
    </w:p>
    <w:p w14:paraId="3ED4240D">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3.预算金额：</w:t>
      </w:r>
      <w:r>
        <w:rPr>
          <w:rFonts w:hint="eastAsia" w:hAnsi="宋体" w:cs="宋体"/>
          <w:color w:val="auto"/>
          <w:sz w:val="21"/>
          <w:szCs w:val="21"/>
          <w:highlight w:val="none"/>
          <w:lang w:eastAsia="zh-CN"/>
        </w:rPr>
        <w:t>434.00万元</w:t>
      </w:r>
      <w:r>
        <w:rPr>
          <w:rFonts w:hint="eastAsia" w:hAnsi="宋体" w:cs="宋体"/>
          <w:color w:val="auto"/>
          <w:sz w:val="21"/>
          <w:szCs w:val="21"/>
          <w:highlight w:val="none"/>
        </w:rPr>
        <w:t>。</w:t>
      </w:r>
    </w:p>
    <w:p w14:paraId="687A249C">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4.最高限价：</w:t>
      </w:r>
      <w:r>
        <w:rPr>
          <w:rFonts w:hint="eastAsia" w:hAnsi="宋体" w:cs="宋体"/>
          <w:color w:val="auto"/>
          <w:sz w:val="21"/>
          <w:szCs w:val="21"/>
          <w:highlight w:val="none"/>
          <w:lang w:eastAsia="zh-CN"/>
        </w:rPr>
        <w:t>434.00万元</w:t>
      </w:r>
      <w:r>
        <w:rPr>
          <w:rFonts w:hint="eastAsia" w:hAnsi="宋体" w:cs="宋体"/>
          <w:color w:val="auto"/>
          <w:sz w:val="21"/>
          <w:szCs w:val="21"/>
          <w:highlight w:val="none"/>
        </w:rPr>
        <w:t>。</w:t>
      </w:r>
    </w:p>
    <w:p w14:paraId="13C13283">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5.采购需求：</w:t>
      </w:r>
    </w:p>
    <w:p w14:paraId="3AC22B43">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5.1采购内容：</w:t>
      </w:r>
      <w:r>
        <w:rPr>
          <w:rFonts w:hint="eastAsia" w:hAnsi="宋体" w:cs="宋体"/>
          <w:color w:val="auto"/>
          <w:sz w:val="21"/>
          <w:szCs w:val="21"/>
          <w:highlight w:val="none"/>
          <w:lang w:val="en-US" w:eastAsia="zh-CN"/>
        </w:rPr>
        <w:t>本项目包含开发设计保山市加油站流量数据采集系统，根据采购人要求进行系统安装部署，到各民营加油站通过安装数据采集工具（非介入式），实现加油站油品进、销、存数据采集及存储。保山市加油站流量数据采集系统安装部署后开展调试、试运行、检验验收、技术培训、技术支持及售后运维服务等。</w:t>
      </w:r>
    </w:p>
    <w:p w14:paraId="659C0480">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5.2项目服务地点：</w:t>
      </w:r>
      <w:r>
        <w:rPr>
          <w:rFonts w:hint="eastAsia" w:hAnsi="宋体" w:cs="宋体"/>
          <w:color w:val="auto"/>
          <w:sz w:val="21"/>
          <w:szCs w:val="21"/>
          <w:highlight w:val="none"/>
          <w:lang w:eastAsia="zh-CN"/>
        </w:rPr>
        <w:t>保山市商务局</w:t>
      </w:r>
      <w:r>
        <w:rPr>
          <w:rFonts w:hint="eastAsia" w:hAnsi="宋体" w:cs="宋体"/>
          <w:color w:val="auto"/>
          <w:sz w:val="21"/>
          <w:szCs w:val="21"/>
          <w:highlight w:val="none"/>
        </w:rPr>
        <w:t>指定地点。</w:t>
      </w:r>
    </w:p>
    <w:p w14:paraId="7015E46E">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5.3标段划分：本项目共划分为1个标段，拟参与投标的投标人必须整体投标不得拆分。</w:t>
      </w:r>
    </w:p>
    <w:p w14:paraId="68C67CA7">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5.4投标报价要求：</w:t>
      </w:r>
      <w:bookmarkStart w:id="129" w:name="OLE_LINK1"/>
      <w:r>
        <w:rPr>
          <w:rFonts w:hint="eastAsia" w:hAnsi="宋体" w:cs="宋体"/>
          <w:color w:val="auto"/>
          <w:sz w:val="21"/>
          <w:szCs w:val="21"/>
          <w:highlight w:val="none"/>
        </w:rPr>
        <w:t>参与本项目的投标人应按要求填报此项目投标总价报价，</w:t>
      </w:r>
      <w:r>
        <w:rPr>
          <w:rFonts w:hint="eastAsia" w:hAnsi="宋体" w:cs="宋体"/>
          <w:color w:val="auto"/>
          <w:sz w:val="21"/>
          <w:szCs w:val="21"/>
          <w:highlight w:val="none"/>
          <w:lang w:val="en-US" w:eastAsia="zh-CN"/>
        </w:rPr>
        <w:t>并自行编制相应的投标报价详细说明，投标报价须包含本项目全部建设和服务内容，以及项目实施过程中所产生的保山市加油站流量数据采集系统开发设计费、根据采购人要求进行系统安装部署服务费、到各民营加油站现场安装数据采集工具（非介入式）实施服务费，数据对接费</w:t>
      </w:r>
      <w:r>
        <w:rPr>
          <w:rFonts w:hint="eastAsia" w:hAnsi="宋体" w:cs="宋体"/>
          <w:color w:val="auto"/>
          <w:sz w:val="21"/>
          <w:szCs w:val="21"/>
          <w:highlight w:val="none"/>
        </w:rPr>
        <w:t>（含接口开发）</w:t>
      </w:r>
      <w:r>
        <w:rPr>
          <w:rFonts w:hint="eastAsia" w:hAnsi="宋体" w:cs="宋体"/>
          <w:color w:val="auto"/>
          <w:sz w:val="21"/>
          <w:szCs w:val="21"/>
          <w:highlight w:val="none"/>
          <w:lang w:eastAsia="zh-CN"/>
        </w:rPr>
        <w:t>、</w:t>
      </w:r>
      <w:r>
        <w:rPr>
          <w:rFonts w:hint="eastAsia" w:hAnsi="宋体" w:cs="宋体"/>
          <w:color w:val="auto"/>
          <w:sz w:val="21"/>
          <w:szCs w:val="21"/>
          <w:highlight w:val="none"/>
          <w:lang w:val="en-US" w:eastAsia="zh-CN"/>
        </w:rPr>
        <w:t>系统集成和信息数据整合服务费、</w:t>
      </w:r>
      <w:r>
        <w:rPr>
          <w:rFonts w:hint="eastAsia" w:ascii="宋体" w:hAnsi="宋体" w:eastAsia="宋体" w:cs="宋体"/>
          <w:color w:val="auto"/>
          <w:kern w:val="0"/>
          <w:sz w:val="21"/>
          <w:szCs w:val="21"/>
          <w:highlight w:val="none"/>
          <w:lang w:val="en-US" w:eastAsia="zh-CN"/>
        </w:rPr>
        <w:t>初验及终验的优化整改服务</w:t>
      </w:r>
      <w:r>
        <w:rPr>
          <w:rFonts w:hint="eastAsia" w:ascii="宋体" w:hAnsi="宋体" w:eastAsia="宋体" w:cs="宋体"/>
          <w:color w:val="auto"/>
          <w:kern w:val="0"/>
          <w:sz w:val="21"/>
          <w:szCs w:val="21"/>
          <w:highlight w:val="none"/>
        </w:rPr>
        <w:t>费</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项目检</w:t>
      </w:r>
      <w:r>
        <w:rPr>
          <w:rFonts w:hint="eastAsia" w:hAnsi="宋体" w:cs="宋体"/>
          <w:color w:val="auto"/>
          <w:kern w:val="0"/>
          <w:sz w:val="21"/>
          <w:szCs w:val="21"/>
          <w:highlight w:val="none"/>
          <w:lang w:val="en-US" w:eastAsia="zh-CN"/>
        </w:rPr>
        <w:t>测</w:t>
      </w:r>
      <w:r>
        <w:rPr>
          <w:rFonts w:hint="eastAsia" w:ascii="宋体" w:hAnsi="宋体" w:eastAsia="宋体" w:cs="宋体"/>
          <w:color w:val="auto"/>
          <w:kern w:val="0"/>
          <w:sz w:val="21"/>
          <w:szCs w:val="21"/>
          <w:highlight w:val="none"/>
          <w:lang w:val="en-US" w:eastAsia="zh-CN"/>
        </w:rPr>
        <w:t>验收费</w:t>
      </w:r>
      <w:r>
        <w:rPr>
          <w:rFonts w:hint="eastAsia" w:ascii="宋体" w:hAnsi="宋体" w:eastAsia="宋体" w:cs="宋体"/>
          <w:color w:val="auto"/>
          <w:kern w:val="0"/>
          <w:sz w:val="21"/>
          <w:szCs w:val="21"/>
          <w:highlight w:val="none"/>
        </w:rPr>
        <w:t>，</w:t>
      </w:r>
      <w:r>
        <w:rPr>
          <w:rFonts w:hint="eastAsia" w:hAnsi="宋体" w:cs="宋体"/>
          <w:color w:val="auto"/>
          <w:sz w:val="21"/>
          <w:szCs w:val="21"/>
          <w:highlight w:val="none"/>
          <w:lang w:val="en-US" w:eastAsia="zh-CN"/>
        </w:rPr>
        <w:t>配合协助采购人完成后续系统相关评测服务工作费，项目前期咨询服务费，项目管理费、人工费、差旅费，保险，税费，风险（不</w:t>
      </w:r>
      <w:r>
        <w:rPr>
          <w:rFonts w:hint="eastAsia" w:ascii="宋体" w:hAnsi="宋体" w:eastAsia="宋体" w:cs="宋体"/>
          <w:color w:val="auto"/>
          <w:kern w:val="0"/>
          <w:sz w:val="21"/>
          <w:szCs w:val="21"/>
          <w:highlight w:val="none"/>
        </w:rPr>
        <w:t>可预见费），技术</w:t>
      </w:r>
      <w:r>
        <w:rPr>
          <w:rFonts w:hint="eastAsia" w:ascii="宋体" w:hAnsi="宋体" w:eastAsia="宋体" w:cs="宋体"/>
          <w:color w:val="auto"/>
          <w:kern w:val="0"/>
          <w:sz w:val="21"/>
          <w:szCs w:val="21"/>
          <w:highlight w:val="none"/>
          <w:lang w:val="en-US" w:eastAsia="zh-CN"/>
        </w:rPr>
        <w:t>支持</w:t>
      </w:r>
      <w:r>
        <w:rPr>
          <w:rFonts w:hint="eastAsia" w:ascii="宋体" w:hAnsi="宋体" w:eastAsia="宋体" w:cs="宋体"/>
          <w:color w:val="auto"/>
          <w:kern w:val="0"/>
          <w:sz w:val="21"/>
          <w:szCs w:val="21"/>
          <w:highlight w:val="none"/>
        </w:rPr>
        <w:t>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技术培训及售后</w:t>
      </w:r>
      <w:r>
        <w:rPr>
          <w:rFonts w:hint="eastAsia" w:ascii="宋体" w:hAnsi="宋体" w:eastAsia="宋体" w:cs="宋体"/>
          <w:color w:val="auto"/>
          <w:kern w:val="0"/>
          <w:sz w:val="21"/>
          <w:szCs w:val="21"/>
          <w:highlight w:val="none"/>
          <w:lang w:val="en-US" w:eastAsia="zh-CN"/>
        </w:rPr>
        <w:t>运维</w:t>
      </w:r>
      <w:r>
        <w:rPr>
          <w:rFonts w:hint="eastAsia" w:ascii="宋体" w:hAnsi="宋体" w:eastAsia="宋体" w:cs="宋体"/>
          <w:color w:val="auto"/>
          <w:kern w:val="0"/>
          <w:sz w:val="21"/>
          <w:szCs w:val="21"/>
          <w:highlight w:val="none"/>
        </w:rPr>
        <w:t>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含现场运维服务</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rPr>
        <w:t>以及保证项目顺利开展的所有费用。</w:t>
      </w:r>
      <w:bookmarkEnd w:id="129"/>
    </w:p>
    <w:p w14:paraId="7483BA24">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5.5付款方式：采购人与中标人合同约定。</w:t>
      </w:r>
    </w:p>
    <w:p w14:paraId="4749BA22">
      <w:pPr>
        <w:widowControl/>
        <w:spacing w:line="460" w:lineRule="exact"/>
        <w:ind w:firstLine="424" w:firstLineChars="202"/>
        <w:rPr>
          <w:rFonts w:hint="eastAsia" w:hAnsi="宋体" w:cs="宋体"/>
          <w:color w:val="auto"/>
          <w:sz w:val="21"/>
          <w:szCs w:val="21"/>
          <w:highlight w:val="none"/>
        </w:rPr>
      </w:pPr>
      <w:r>
        <w:rPr>
          <w:rFonts w:hint="eastAsia" w:hAnsi="宋体" w:cs="宋体"/>
          <w:color w:val="auto"/>
          <w:sz w:val="21"/>
          <w:szCs w:val="21"/>
          <w:highlight w:val="none"/>
        </w:rPr>
        <w:t>6.合同履行期限：</w:t>
      </w:r>
      <w:r>
        <w:rPr>
          <w:rFonts w:hint="eastAsia" w:hAnsi="宋体" w:cs="宋体"/>
          <w:color w:val="auto"/>
          <w:sz w:val="21"/>
          <w:szCs w:val="21"/>
          <w:highlight w:val="none"/>
          <w:lang w:eastAsia="zh-CN"/>
        </w:rPr>
        <w:t>合同签订后45天内完成全部建设任务工作，达到项目验收标准。项目验收合格后提供不少于2年的免费售后运维服务</w:t>
      </w:r>
      <w:r>
        <w:rPr>
          <w:rFonts w:hint="eastAsia" w:hAnsi="宋体" w:cs="宋体"/>
          <w:color w:val="auto"/>
          <w:sz w:val="21"/>
          <w:szCs w:val="21"/>
          <w:highlight w:val="none"/>
        </w:rPr>
        <w:t>。</w:t>
      </w:r>
    </w:p>
    <w:p w14:paraId="6C9B3159">
      <w:pPr>
        <w:tabs>
          <w:tab w:val="left" w:pos="900"/>
          <w:tab w:val="left" w:pos="1800"/>
        </w:tabs>
        <w:snapToGrid w:val="0"/>
        <w:spacing w:line="520" w:lineRule="exact"/>
        <w:ind w:firstLine="420" w:firstLineChars="200"/>
        <w:rPr>
          <w:rFonts w:hint="eastAsia" w:hAnsi="宋体"/>
          <w:color w:val="auto"/>
          <w:sz w:val="24"/>
          <w:szCs w:val="24"/>
          <w:highlight w:val="none"/>
        </w:rPr>
      </w:pPr>
      <w:r>
        <w:rPr>
          <w:rFonts w:hint="eastAsia" w:cs="宋体" w:asciiTheme="minorEastAsia" w:hAnsiTheme="minorEastAsia" w:eastAsiaTheme="minorEastAsia"/>
          <w:color w:val="auto"/>
          <w:sz w:val="21"/>
          <w:szCs w:val="21"/>
          <w:highlight w:val="none"/>
        </w:rPr>
        <w:t>7</w:t>
      </w:r>
      <w:r>
        <w:rPr>
          <w:rFonts w:cs="宋体" w:asciiTheme="minorEastAsia" w:hAnsiTheme="minorEastAsia" w:eastAsiaTheme="minorEastAsia"/>
          <w:color w:val="auto"/>
          <w:sz w:val="21"/>
          <w:szCs w:val="21"/>
          <w:highlight w:val="none"/>
        </w:rPr>
        <w:t>.本项目不接受联合体</w:t>
      </w:r>
      <w:r>
        <w:rPr>
          <w:rFonts w:hint="eastAsia" w:cs="宋体" w:asciiTheme="minorEastAsia" w:hAnsiTheme="minorEastAsia" w:eastAsiaTheme="minorEastAsia"/>
          <w:color w:val="auto"/>
          <w:sz w:val="21"/>
          <w:szCs w:val="21"/>
          <w:highlight w:val="none"/>
        </w:rPr>
        <w:t>投标</w:t>
      </w:r>
      <w:r>
        <w:rPr>
          <w:rFonts w:cs="宋体" w:asciiTheme="minorEastAsia" w:hAnsiTheme="minorEastAsia" w:eastAsiaTheme="minorEastAsia"/>
          <w:color w:val="auto"/>
          <w:sz w:val="21"/>
          <w:szCs w:val="21"/>
          <w:highlight w:val="none"/>
        </w:rPr>
        <w:t>。</w:t>
      </w:r>
    </w:p>
    <w:p w14:paraId="75CF96D4">
      <w:pPr>
        <w:spacing w:line="460" w:lineRule="exact"/>
        <w:ind w:firstLine="561" w:firstLineChars="266"/>
        <w:rPr>
          <w:rFonts w:hint="eastAsia" w:hAnsi="宋体" w:cs="宋体"/>
          <w:b/>
          <w:color w:val="auto"/>
          <w:sz w:val="21"/>
          <w:szCs w:val="21"/>
          <w:highlight w:val="none"/>
        </w:rPr>
      </w:pPr>
      <w:r>
        <w:rPr>
          <w:rFonts w:hint="eastAsia" w:hAnsi="宋体" w:cs="宋体"/>
          <w:b/>
          <w:color w:val="auto"/>
          <w:sz w:val="21"/>
          <w:szCs w:val="21"/>
          <w:highlight w:val="none"/>
        </w:rPr>
        <w:t>二、项目采购需求</w:t>
      </w:r>
    </w:p>
    <w:p w14:paraId="6BC6CAAD">
      <w:pPr>
        <w:pStyle w:val="5"/>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（一）</w:t>
      </w:r>
      <w:r>
        <w:rPr>
          <w:rFonts w:hint="eastAsia" w:ascii="宋体" w:hAnsi="宋体" w:eastAsia="宋体" w:cs="宋体"/>
          <w:color w:val="auto"/>
          <w:sz w:val="21"/>
          <w:szCs w:val="21"/>
          <w:highlight w:val="none"/>
        </w:rPr>
        <w:t>建设背景</w:t>
      </w:r>
    </w:p>
    <w:p w14:paraId="25CD49B6">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进一步规范全市成品油零售市场监管、营造公平竞争的市场环境，切实加强成品油行业安全管理，根据市人民政府工作部署，决定建设“加油站流量数据采集系统”，充分利用技术手段有效保护消费者合法权益，</w:t>
      </w:r>
      <w:r>
        <w:rPr>
          <w:rFonts w:hint="eastAsia" w:ascii="宋体" w:hAnsi="宋体" w:eastAsia="宋体" w:cs="宋体"/>
          <w:color w:val="auto"/>
          <w:sz w:val="21"/>
          <w:szCs w:val="21"/>
          <w:highlight w:val="none"/>
          <w:u w:val="single"/>
        </w:rPr>
        <w:t>维护公平的市场秩序。</w:t>
      </w:r>
      <w:r>
        <w:rPr>
          <w:rFonts w:hint="eastAsia" w:ascii="宋体" w:hAnsi="宋体" w:eastAsia="宋体" w:cs="宋体"/>
          <w:color w:val="auto"/>
          <w:sz w:val="21"/>
          <w:szCs w:val="21"/>
          <w:highlight w:val="none"/>
        </w:rPr>
        <w:t>按照“全市统一推进、属地协调配合”的原则，运用大数据、物联网等信息化技术手段，立足全市加油站管理现状，对全市124座加油站，安装“数据采集系统”从而实现全市成品油数据全面采集和统一管理，</w:t>
      </w:r>
      <w:r>
        <w:rPr>
          <w:rFonts w:hint="eastAsia" w:ascii="宋体" w:hAnsi="宋体" w:eastAsia="宋体" w:cs="宋体"/>
          <w:color w:val="auto"/>
          <w:sz w:val="21"/>
          <w:szCs w:val="21"/>
          <w:highlight w:val="none"/>
          <w:u w:val="single"/>
        </w:rPr>
        <w:t>为商务、市场监管、应急、公安、税务</w:t>
      </w:r>
      <w:r>
        <w:rPr>
          <w:rFonts w:hint="eastAsia" w:ascii="宋体" w:hAnsi="宋体" w:eastAsia="宋体" w:cs="宋体"/>
          <w:color w:val="auto"/>
          <w:sz w:val="21"/>
          <w:szCs w:val="21"/>
          <w:highlight w:val="none"/>
        </w:rPr>
        <w:t>等部门提供更加精准的监管数据和</w:t>
      </w:r>
      <w:r>
        <w:rPr>
          <w:rFonts w:hint="eastAsia" w:ascii="宋体" w:hAnsi="宋体" w:eastAsia="宋体" w:cs="宋体"/>
          <w:color w:val="auto"/>
          <w:sz w:val="21"/>
          <w:szCs w:val="21"/>
          <w:highlight w:val="none"/>
          <w:u w:val="single"/>
        </w:rPr>
        <w:t>更加有效的监管手段</w:t>
      </w:r>
      <w:r>
        <w:rPr>
          <w:rFonts w:hint="eastAsia" w:ascii="宋体" w:hAnsi="宋体" w:eastAsia="宋体" w:cs="宋体"/>
          <w:color w:val="auto"/>
          <w:sz w:val="21"/>
          <w:szCs w:val="21"/>
          <w:highlight w:val="none"/>
        </w:rPr>
        <w:t>，营造公平有序的成品油市场环境。</w:t>
      </w:r>
    </w:p>
    <w:p w14:paraId="79836640">
      <w:pPr>
        <w:pStyle w:val="5"/>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（二）</w:t>
      </w:r>
      <w:r>
        <w:rPr>
          <w:rFonts w:hint="eastAsia" w:ascii="宋体" w:hAnsi="宋体" w:eastAsia="宋体" w:cs="宋体"/>
          <w:color w:val="auto"/>
          <w:sz w:val="21"/>
          <w:szCs w:val="21"/>
          <w:highlight w:val="none"/>
        </w:rPr>
        <w:t>项目概况</w:t>
      </w:r>
    </w:p>
    <w:p w14:paraId="7B6E5A73">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1.项目名称：保山市加油站流量数据采集系统建设安装项目</w:t>
      </w:r>
    </w:p>
    <w:p w14:paraId="3B721291">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2.预算金额：434万</w:t>
      </w:r>
    </w:p>
    <w:p w14:paraId="7F56E568">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3.最高限价：4</w:t>
      </w:r>
      <w:r>
        <w:rPr>
          <w:rFonts w:hint="eastAsia" w:hAnsi="宋体" w:cs="宋体"/>
          <w:color w:val="auto"/>
          <w:sz w:val="21"/>
          <w:szCs w:val="21"/>
          <w:highlight w:val="none"/>
          <w:lang w:val="en-US" w:eastAsia="zh-CN"/>
        </w:rPr>
        <w:t>34</w:t>
      </w:r>
      <w:r>
        <w:rPr>
          <w:rFonts w:hint="eastAsia" w:ascii="宋体" w:hAnsi="宋体" w:eastAsia="宋体" w:cs="宋体"/>
          <w:color w:val="auto"/>
          <w:sz w:val="21"/>
          <w:szCs w:val="21"/>
          <w:highlight w:val="none"/>
        </w:rPr>
        <w:t>万</w:t>
      </w:r>
    </w:p>
    <w:p w14:paraId="2F5CFCA8">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4.采购需求：</w:t>
      </w:r>
    </w:p>
    <w:p w14:paraId="57871479">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4.1采购内容：搭建和部署安装加油站流量数据采集系统，完成全市124座加油站数据采集，</w:t>
      </w:r>
      <w:r>
        <w:rPr>
          <w:rFonts w:hint="eastAsia" w:ascii="宋体" w:hAnsi="宋体" w:eastAsia="宋体" w:cs="宋体"/>
          <w:color w:val="auto"/>
          <w:sz w:val="21"/>
          <w:szCs w:val="21"/>
          <w:highlight w:val="none"/>
          <w:u w:val="single"/>
        </w:rPr>
        <w:t>并结合经营数据开展加油站企业风险分析与监控</w:t>
      </w:r>
      <w:r>
        <w:rPr>
          <w:rFonts w:hint="eastAsia" w:ascii="宋体" w:hAnsi="宋体" w:eastAsia="宋体" w:cs="宋体"/>
          <w:color w:val="auto"/>
          <w:sz w:val="21"/>
          <w:szCs w:val="21"/>
          <w:highlight w:val="none"/>
        </w:rPr>
        <w:t>，具体包括加油站流量数据采集系统部署和优化完善、系统集成调试和适配，部署安装完成后，开展试运行和检验验收，项目技术支持和培训，售后运维服务（在售后运维服务期限内根据政策和项目实际情况对系统进行免费升级、漏洞修复、系统运行维护等）。</w:t>
      </w:r>
    </w:p>
    <w:p w14:paraId="125521E0">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4.2项目服务地点：保山市商务局指定地点。</w:t>
      </w:r>
    </w:p>
    <w:p w14:paraId="007FFDB9">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5.合同履行期限：</w:t>
      </w:r>
      <w:bookmarkStart w:id="130" w:name="OLE_LINK2"/>
      <w:r>
        <w:rPr>
          <w:rFonts w:hint="eastAsia" w:ascii="宋体" w:hAnsi="宋体" w:eastAsia="宋体" w:cs="宋体"/>
          <w:color w:val="auto"/>
          <w:sz w:val="21"/>
          <w:szCs w:val="21"/>
          <w:highlight w:val="none"/>
        </w:rPr>
        <w:t>合同签订后</w:t>
      </w:r>
      <w:r>
        <w:rPr>
          <w:rFonts w:hint="eastAsia" w:ascii="宋体" w:hAnsi="宋体" w:eastAsia="宋体" w:cs="宋体"/>
          <w:color w:val="auto"/>
          <w:sz w:val="21"/>
          <w:szCs w:val="21"/>
          <w:highlight w:val="none"/>
          <w:u w:val="single"/>
        </w:rPr>
        <w:t>45天内</w:t>
      </w:r>
      <w:r>
        <w:rPr>
          <w:rFonts w:hint="eastAsia" w:ascii="宋体" w:hAnsi="宋体" w:eastAsia="宋体" w:cs="宋体"/>
          <w:color w:val="auto"/>
          <w:sz w:val="21"/>
          <w:szCs w:val="21"/>
          <w:highlight w:val="none"/>
        </w:rPr>
        <w:t>完成全部建设任务工作，达到项目验收标准。项目验收合格后提供</w:t>
      </w:r>
      <w:r>
        <w:rPr>
          <w:rFonts w:hint="eastAsia" w:ascii="宋体" w:hAnsi="宋体" w:eastAsia="宋体" w:cs="宋体"/>
          <w:color w:val="auto"/>
          <w:sz w:val="21"/>
          <w:szCs w:val="21"/>
          <w:highlight w:val="none"/>
          <w:u w:val="single"/>
        </w:rPr>
        <w:t>不少于2年</w:t>
      </w:r>
      <w:r>
        <w:rPr>
          <w:rFonts w:hint="eastAsia" w:ascii="宋体" w:hAnsi="宋体" w:eastAsia="宋体" w:cs="宋体"/>
          <w:color w:val="auto"/>
          <w:sz w:val="21"/>
          <w:szCs w:val="21"/>
          <w:highlight w:val="none"/>
        </w:rPr>
        <w:t>的免费售后运维服务</w:t>
      </w:r>
      <w:bookmarkEnd w:id="130"/>
      <w:r>
        <w:rPr>
          <w:rFonts w:hint="eastAsia" w:ascii="宋体" w:hAnsi="宋体" w:eastAsia="宋体" w:cs="宋体"/>
          <w:color w:val="auto"/>
          <w:sz w:val="21"/>
          <w:szCs w:val="21"/>
          <w:highlight w:val="none"/>
        </w:rPr>
        <w:t>。</w:t>
      </w:r>
    </w:p>
    <w:p w14:paraId="3E85923A">
      <w:pPr>
        <w:pStyle w:val="5"/>
        <w:pageBreakBefore w:val="0"/>
        <w:kinsoku/>
        <w:wordWrap/>
        <w:overflowPunct/>
        <w:topLinePunct w:val="0"/>
        <w:autoSpaceDE/>
        <w:autoSpaceDN/>
        <w:bidi w:val="0"/>
        <w:adjustRightInd/>
        <w:snapToGrid/>
        <w:spacing w:line="460" w:lineRule="exact"/>
        <w:ind w:left="0"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（三）</w:t>
      </w:r>
      <w:r>
        <w:rPr>
          <w:rFonts w:hint="eastAsia" w:ascii="宋体" w:hAnsi="宋体" w:eastAsia="宋体" w:cs="宋体"/>
          <w:color w:val="auto"/>
          <w:sz w:val="21"/>
          <w:szCs w:val="21"/>
          <w:highlight w:val="none"/>
        </w:rPr>
        <w:t>采购需求</w:t>
      </w:r>
    </w:p>
    <w:p w14:paraId="4B02902C">
      <w:pPr>
        <w:pStyle w:val="6"/>
        <w:pageBreakBefore w:val="0"/>
        <w:kinsoku/>
        <w:wordWrap/>
        <w:overflowPunct/>
        <w:topLinePunct w:val="0"/>
        <w:autoSpaceDE/>
        <w:autoSpaceDN/>
        <w:bidi w:val="0"/>
        <w:adjustRightInd/>
        <w:snapToGrid/>
        <w:spacing w:before="0" w:after="0" w:line="460" w:lineRule="exact"/>
        <w:ind w:left="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3.1系统功能和技术要求</w:t>
      </w:r>
    </w:p>
    <w:p w14:paraId="0E558916">
      <w:pPr>
        <w:pStyle w:val="7"/>
        <w:pageBreakBefore w:val="0"/>
        <w:tabs>
          <w:tab w:val="clear" w:pos="432"/>
        </w:tabs>
        <w:kinsoku/>
        <w:wordWrap/>
        <w:overflowPunct/>
        <w:topLinePunct w:val="0"/>
        <w:autoSpaceDE/>
        <w:autoSpaceDN/>
        <w:bidi w:val="0"/>
        <w:adjustRightInd/>
        <w:snapToGrid/>
        <w:spacing w:before="0" w:after="0" w:line="460" w:lineRule="exact"/>
        <w:ind w:left="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3.1.1 软件采集端</w:t>
      </w:r>
    </w:p>
    <w:p w14:paraId="0BC53156">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软件采集端主要包括交易数据采集、数据比对等功能</w:t>
      </w:r>
      <w:r>
        <w:rPr>
          <w:rFonts w:hint="eastAsia" w:ascii="宋体" w:hAnsi="宋体" w:eastAsia="宋体" w:cs="宋体"/>
          <w:color w:val="auto"/>
          <w:sz w:val="21"/>
          <w:szCs w:val="21"/>
          <w:highlight w:val="none"/>
        </w:rPr>
        <w:t>。其中交易数据采集支持适配不同的操作系统，通过许可证配置与数据管理端取得通信，通过深度解析并贯通底层通信协议，运用先进的软件绑定策略，实时获取加油站的交易信息，解译的数据支持加密传输至数据管理端，对于断网、中断等异常情况，提供数据离线存储、失败重传、自动升级等一系列的保障。</w:t>
      </w:r>
    </w:p>
    <w:tbl>
      <w:tblPr>
        <w:tblStyle w:val="38"/>
        <w:tblW w:w="97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476"/>
        <w:gridCol w:w="1875"/>
        <w:gridCol w:w="5697"/>
      </w:tblGrid>
      <w:tr w14:paraId="76CF8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745" w:type="dxa"/>
            <w:tcMar>
              <w:top w:w="0" w:type="dxa"/>
              <w:left w:w="108" w:type="dxa"/>
              <w:bottom w:w="0" w:type="dxa"/>
              <w:right w:w="108" w:type="dxa"/>
            </w:tcMar>
            <w:vAlign w:val="center"/>
          </w:tcPr>
          <w:p w14:paraId="45821D33">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76" w:type="dxa"/>
            <w:tcMar>
              <w:top w:w="0" w:type="dxa"/>
              <w:left w:w="108" w:type="dxa"/>
              <w:bottom w:w="0" w:type="dxa"/>
              <w:right w:w="108" w:type="dxa"/>
            </w:tcMar>
            <w:vAlign w:val="center"/>
          </w:tcPr>
          <w:p w14:paraId="6017302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一级功能</w:t>
            </w:r>
          </w:p>
        </w:tc>
        <w:tc>
          <w:tcPr>
            <w:tcW w:w="1875" w:type="dxa"/>
            <w:tcMar>
              <w:top w:w="0" w:type="dxa"/>
              <w:left w:w="108" w:type="dxa"/>
              <w:bottom w:w="0" w:type="dxa"/>
              <w:right w:w="108" w:type="dxa"/>
            </w:tcMar>
            <w:vAlign w:val="center"/>
          </w:tcPr>
          <w:p w14:paraId="71E98E4E">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二级功能</w:t>
            </w:r>
          </w:p>
        </w:tc>
        <w:tc>
          <w:tcPr>
            <w:tcW w:w="5697" w:type="dxa"/>
            <w:tcMar>
              <w:top w:w="0" w:type="dxa"/>
              <w:left w:w="108" w:type="dxa"/>
              <w:bottom w:w="0" w:type="dxa"/>
              <w:right w:w="108" w:type="dxa"/>
            </w:tcMar>
            <w:vAlign w:val="center"/>
          </w:tcPr>
          <w:p w14:paraId="6009471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功能描述或技术参数</w:t>
            </w:r>
          </w:p>
        </w:tc>
      </w:tr>
      <w:tr w14:paraId="6CEA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085F947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76" w:type="dxa"/>
            <w:tcMar>
              <w:top w:w="0" w:type="dxa"/>
              <w:left w:w="108" w:type="dxa"/>
              <w:bottom w:w="0" w:type="dxa"/>
              <w:right w:w="108" w:type="dxa"/>
            </w:tcMar>
            <w:vAlign w:val="center"/>
          </w:tcPr>
          <w:p w14:paraId="78B73920">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操作系统适配</w:t>
            </w:r>
          </w:p>
        </w:tc>
        <w:tc>
          <w:tcPr>
            <w:tcW w:w="1875" w:type="dxa"/>
            <w:tcMar>
              <w:top w:w="0" w:type="dxa"/>
              <w:left w:w="108" w:type="dxa"/>
              <w:bottom w:w="0" w:type="dxa"/>
              <w:right w:w="108" w:type="dxa"/>
            </w:tcMar>
            <w:vAlign w:val="center"/>
          </w:tcPr>
          <w:p w14:paraId="05EF5FA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操作系统适配库</w:t>
            </w:r>
          </w:p>
        </w:tc>
        <w:tc>
          <w:tcPr>
            <w:tcW w:w="5697" w:type="dxa"/>
            <w:tcMar>
              <w:top w:w="0" w:type="dxa"/>
              <w:left w:w="108" w:type="dxa"/>
              <w:bottom w:w="0" w:type="dxa"/>
              <w:right w:w="108" w:type="dxa"/>
            </w:tcMar>
            <w:vAlign w:val="center"/>
          </w:tcPr>
          <w:p w14:paraId="211B960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适配市面上主流加油站服务器的操作系统，如linux x86，window7,10,11,xp等。</w:t>
            </w:r>
          </w:p>
        </w:tc>
      </w:tr>
      <w:tr w14:paraId="052E4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0858B53A">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76" w:type="dxa"/>
            <w:vMerge w:val="restart"/>
            <w:tcMar>
              <w:top w:w="0" w:type="dxa"/>
              <w:left w:w="108" w:type="dxa"/>
              <w:bottom w:w="0" w:type="dxa"/>
              <w:right w:w="108" w:type="dxa"/>
            </w:tcMar>
            <w:vAlign w:val="center"/>
          </w:tcPr>
          <w:p w14:paraId="03A9CEA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数据报文采集</w:t>
            </w:r>
          </w:p>
        </w:tc>
        <w:tc>
          <w:tcPr>
            <w:tcW w:w="1875" w:type="dxa"/>
            <w:tcMar>
              <w:top w:w="0" w:type="dxa"/>
              <w:left w:w="108" w:type="dxa"/>
              <w:bottom w:w="0" w:type="dxa"/>
              <w:right w:w="108" w:type="dxa"/>
            </w:tcMar>
            <w:vAlign w:val="center"/>
          </w:tcPr>
          <w:p w14:paraId="1439669A">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规则协议库</w:t>
            </w:r>
          </w:p>
        </w:tc>
        <w:tc>
          <w:tcPr>
            <w:tcW w:w="5697" w:type="dxa"/>
            <w:tcMar>
              <w:top w:w="0" w:type="dxa"/>
              <w:left w:w="108" w:type="dxa"/>
              <w:bottom w:w="0" w:type="dxa"/>
              <w:right w:w="108" w:type="dxa"/>
            </w:tcMar>
            <w:vAlign w:val="center"/>
          </w:tcPr>
          <w:p w14:paraId="4B2BB1A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适配市面上主流加油站通讯类型的规则协议，如主流国营加油站规则协议；常见民营加油站规则协议；国外加油站规则协议等。</w:t>
            </w:r>
          </w:p>
        </w:tc>
      </w:tr>
      <w:tr w14:paraId="4EF0D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3CCBD8BA">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476" w:type="dxa"/>
            <w:vMerge w:val="continue"/>
            <w:tcMar>
              <w:top w:w="0" w:type="dxa"/>
              <w:left w:w="108" w:type="dxa"/>
              <w:bottom w:w="0" w:type="dxa"/>
              <w:right w:w="108" w:type="dxa"/>
            </w:tcMar>
            <w:vAlign w:val="center"/>
          </w:tcPr>
          <w:p w14:paraId="556128E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493C489E">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报文协议采集</w:t>
            </w:r>
          </w:p>
        </w:tc>
        <w:tc>
          <w:tcPr>
            <w:tcW w:w="5697" w:type="dxa"/>
            <w:tcMar>
              <w:top w:w="0" w:type="dxa"/>
              <w:left w:w="108" w:type="dxa"/>
              <w:bottom w:w="0" w:type="dxa"/>
              <w:right w:w="108" w:type="dxa"/>
            </w:tcMar>
            <w:vAlign w:val="center"/>
          </w:tcPr>
          <w:p w14:paraId="5347C575">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不同类型传输链路的加油数据进行采集，包含TCP/UDP网口、串口、HTTP端口三种方式。全面覆盖加油站数据报文的传输渠道，实时、安全、稳定地获取加油站真实交易流水信息，整个获取过程与加油站原有系统隔离，不影响加油站的正常运行。</w:t>
            </w:r>
          </w:p>
        </w:tc>
      </w:tr>
      <w:tr w14:paraId="193BC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719CA528">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476" w:type="dxa"/>
            <w:vMerge w:val="continue"/>
            <w:tcMar>
              <w:top w:w="0" w:type="dxa"/>
              <w:left w:w="108" w:type="dxa"/>
              <w:bottom w:w="0" w:type="dxa"/>
              <w:right w:w="108" w:type="dxa"/>
            </w:tcMar>
            <w:vAlign w:val="center"/>
          </w:tcPr>
          <w:p w14:paraId="45A7F88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2F67EE0A">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报文协议解析</w:t>
            </w:r>
          </w:p>
        </w:tc>
        <w:tc>
          <w:tcPr>
            <w:tcW w:w="5697" w:type="dxa"/>
            <w:tcMar>
              <w:top w:w="0" w:type="dxa"/>
              <w:left w:w="108" w:type="dxa"/>
              <w:bottom w:w="0" w:type="dxa"/>
              <w:right w:w="108" w:type="dxa"/>
            </w:tcMar>
            <w:vAlign w:val="center"/>
          </w:tcPr>
          <w:p w14:paraId="42E1077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基于规则协议库，支持对不同的报文进行匹配解析，实时获取加油站真实的交易流水信息，包括加油机枪号、交易时间、油品类型、单价、油量、金额，累计数，加油卡号，加油卡余额等。</w:t>
            </w:r>
          </w:p>
        </w:tc>
      </w:tr>
      <w:tr w14:paraId="0549FC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11B46915">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76" w:type="dxa"/>
            <w:vMerge w:val="restart"/>
            <w:tcMar>
              <w:top w:w="0" w:type="dxa"/>
              <w:left w:w="108" w:type="dxa"/>
              <w:bottom w:w="0" w:type="dxa"/>
              <w:right w:w="108" w:type="dxa"/>
            </w:tcMar>
            <w:vAlign w:val="center"/>
          </w:tcPr>
          <w:p w14:paraId="4F11F35C">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数据传输</w:t>
            </w:r>
          </w:p>
        </w:tc>
        <w:tc>
          <w:tcPr>
            <w:tcW w:w="1875" w:type="dxa"/>
            <w:tcMar>
              <w:top w:w="0" w:type="dxa"/>
              <w:left w:w="108" w:type="dxa"/>
              <w:bottom w:w="0" w:type="dxa"/>
              <w:right w:w="108" w:type="dxa"/>
            </w:tcMar>
            <w:vAlign w:val="center"/>
          </w:tcPr>
          <w:p w14:paraId="2559987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内外网数据实时传输</w:t>
            </w:r>
          </w:p>
        </w:tc>
        <w:tc>
          <w:tcPr>
            <w:tcW w:w="5697" w:type="dxa"/>
            <w:tcMar>
              <w:top w:w="0" w:type="dxa"/>
              <w:left w:w="108" w:type="dxa"/>
              <w:bottom w:w="0" w:type="dxa"/>
              <w:right w:w="108" w:type="dxa"/>
            </w:tcMar>
            <w:vAlign w:val="center"/>
          </w:tcPr>
          <w:p w14:paraId="45A1535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支持内外网逻辑隔离的加油站，通过外网代理服务，实现数据实时传输。能解决部分加油站无经营电脑、无加油机信号线等情况的数据采集传输。不能对加油机做任何改装（包含加装任何设备）</w:t>
            </w:r>
          </w:p>
        </w:tc>
      </w:tr>
      <w:tr w14:paraId="2C49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0B255729">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476" w:type="dxa"/>
            <w:vMerge w:val="continue"/>
            <w:tcMar>
              <w:top w:w="0" w:type="dxa"/>
              <w:left w:w="108" w:type="dxa"/>
              <w:bottom w:w="0" w:type="dxa"/>
              <w:right w:w="108" w:type="dxa"/>
            </w:tcMar>
            <w:vAlign w:val="center"/>
          </w:tcPr>
          <w:p w14:paraId="334D137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4EEFC88E">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内外网离线数据传输</w:t>
            </w:r>
          </w:p>
        </w:tc>
        <w:tc>
          <w:tcPr>
            <w:tcW w:w="5697" w:type="dxa"/>
            <w:tcMar>
              <w:top w:w="0" w:type="dxa"/>
              <w:left w:w="108" w:type="dxa"/>
              <w:bottom w:w="0" w:type="dxa"/>
              <w:right w:w="108" w:type="dxa"/>
            </w:tcMar>
            <w:vAlign w:val="center"/>
          </w:tcPr>
          <w:p w14:paraId="0C67C00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支持在内外网物理隔离的加油站，通过内网导出数据、外网导入上传至采集服务端。</w:t>
            </w:r>
          </w:p>
        </w:tc>
      </w:tr>
      <w:tr w14:paraId="5B68E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5890523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476" w:type="dxa"/>
            <w:vMerge w:val="continue"/>
            <w:tcMar>
              <w:top w:w="0" w:type="dxa"/>
              <w:left w:w="108" w:type="dxa"/>
              <w:bottom w:w="0" w:type="dxa"/>
              <w:right w:w="108" w:type="dxa"/>
            </w:tcMar>
            <w:vAlign w:val="center"/>
          </w:tcPr>
          <w:p w14:paraId="439685C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4AE3ABD1">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数据加密报送</w:t>
            </w:r>
          </w:p>
        </w:tc>
        <w:tc>
          <w:tcPr>
            <w:tcW w:w="5697" w:type="dxa"/>
            <w:tcMar>
              <w:top w:w="0" w:type="dxa"/>
              <w:left w:w="108" w:type="dxa"/>
              <w:bottom w:w="0" w:type="dxa"/>
              <w:right w:w="108" w:type="dxa"/>
            </w:tcMar>
            <w:vAlign w:val="center"/>
          </w:tcPr>
          <w:p w14:paraId="47EC9DF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采集的数据使用加密算法加密，确保数据传输过程中被篡改，以此保证数据的安全性</w:t>
            </w:r>
          </w:p>
        </w:tc>
      </w:tr>
      <w:tr w14:paraId="36752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7D9DA7AE">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476" w:type="dxa"/>
            <w:vMerge w:val="continue"/>
            <w:tcMar>
              <w:top w:w="0" w:type="dxa"/>
              <w:left w:w="108" w:type="dxa"/>
              <w:bottom w:w="0" w:type="dxa"/>
              <w:right w:w="108" w:type="dxa"/>
            </w:tcMar>
            <w:vAlign w:val="center"/>
          </w:tcPr>
          <w:p w14:paraId="143FA4E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4A1F4F41">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数据离线存储</w:t>
            </w:r>
          </w:p>
        </w:tc>
        <w:tc>
          <w:tcPr>
            <w:tcW w:w="5697" w:type="dxa"/>
            <w:tcMar>
              <w:top w:w="0" w:type="dxa"/>
              <w:left w:w="108" w:type="dxa"/>
              <w:bottom w:w="0" w:type="dxa"/>
              <w:right w:w="108" w:type="dxa"/>
            </w:tcMar>
            <w:vAlign w:val="center"/>
          </w:tcPr>
          <w:p w14:paraId="4631DA0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若发生断网，报文上传存储将加密保存所有未上传的交易流水数据，网络恢复后可实现重新上传。</w:t>
            </w:r>
          </w:p>
        </w:tc>
      </w:tr>
      <w:tr w14:paraId="62DDB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599D0449">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476" w:type="dxa"/>
            <w:vMerge w:val="restart"/>
            <w:tcMar>
              <w:top w:w="0" w:type="dxa"/>
              <w:left w:w="108" w:type="dxa"/>
              <w:bottom w:w="0" w:type="dxa"/>
              <w:right w:w="108" w:type="dxa"/>
            </w:tcMar>
            <w:vAlign w:val="center"/>
          </w:tcPr>
          <w:p w14:paraId="30B6199A">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采集控制</w:t>
            </w:r>
          </w:p>
        </w:tc>
        <w:tc>
          <w:tcPr>
            <w:tcW w:w="1875" w:type="dxa"/>
            <w:tcMar>
              <w:top w:w="0" w:type="dxa"/>
              <w:left w:w="108" w:type="dxa"/>
              <w:bottom w:w="0" w:type="dxa"/>
              <w:right w:w="108" w:type="dxa"/>
            </w:tcMar>
            <w:vAlign w:val="center"/>
          </w:tcPr>
          <w:p w14:paraId="229387A5">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失败重传</w:t>
            </w:r>
          </w:p>
        </w:tc>
        <w:tc>
          <w:tcPr>
            <w:tcW w:w="5697" w:type="dxa"/>
            <w:tcMar>
              <w:top w:w="0" w:type="dxa"/>
              <w:left w:w="108" w:type="dxa"/>
              <w:bottom w:w="0" w:type="dxa"/>
              <w:right w:w="108" w:type="dxa"/>
            </w:tcMar>
            <w:vAlign w:val="center"/>
          </w:tcPr>
          <w:p w14:paraId="10C0FBF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网络正常时，当出现数据传输失败，失败重传机制将实现传输失败数据的自动重新上传。</w:t>
            </w:r>
          </w:p>
        </w:tc>
      </w:tr>
      <w:tr w14:paraId="1EB3F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013AB055">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476" w:type="dxa"/>
            <w:vMerge w:val="continue"/>
            <w:tcMar>
              <w:top w:w="0" w:type="dxa"/>
              <w:left w:w="108" w:type="dxa"/>
              <w:bottom w:w="0" w:type="dxa"/>
              <w:right w:w="108" w:type="dxa"/>
            </w:tcMar>
            <w:vAlign w:val="center"/>
          </w:tcPr>
          <w:p w14:paraId="4918E13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7F0D00B9">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自动升级</w:t>
            </w:r>
          </w:p>
        </w:tc>
        <w:tc>
          <w:tcPr>
            <w:tcW w:w="5697" w:type="dxa"/>
            <w:tcMar>
              <w:top w:w="0" w:type="dxa"/>
              <w:left w:w="108" w:type="dxa"/>
              <w:bottom w:w="0" w:type="dxa"/>
              <w:right w:w="108" w:type="dxa"/>
            </w:tcMar>
            <w:vAlign w:val="center"/>
          </w:tcPr>
          <w:p w14:paraId="43975AC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采集客户端监测到服务端发布了新版本时，将自动完成新版本的安装升级。</w:t>
            </w:r>
          </w:p>
        </w:tc>
      </w:tr>
      <w:tr w14:paraId="4566E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1FBE6978">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476" w:type="dxa"/>
            <w:vMerge w:val="continue"/>
            <w:tcMar>
              <w:top w:w="0" w:type="dxa"/>
              <w:left w:w="108" w:type="dxa"/>
              <w:bottom w:w="0" w:type="dxa"/>
              <w:right w:w="108" w:type="dxa"/>
            </w:tcMar>
            <w:vAlign w:val="center"/>
          </w:tcPr>
          <w:p w14:paraId="11FEBC8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55B162B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日志记录上传</w:t>
            </w:r>
          </w:p>
        </w:tc>
        <w:tc>
          <w:tcPr>
            <w:tcW w:w="5697" w:type="dxa"/>
            <w:tcMar>
              <w:top w:w="0" w:type="dxa"/>
              <w:left w:w="108" w:type="dxa"/>
              <w:bottom w:w="0" w:type="dxa"/>
              <w:right w:w="108" w:type="dxa"/>
            </w:tcMar>
            <w:vAlign w:val="center"/>
          </w:tcPr>
          <w:p w14:paraId="5B85B2C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采集客户端的关键日志将上传至服务端，便于后续的问题监测与处理，如心跳记录、实时状态、问题日志等。</w:t>
            </w:r>
          </w:p>
        </w:tc>
      </w:tr>
      <w:tr w14:paraId="14FED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21169B6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476" w:type="dxa"/>
            <w:vMerge w:val="continue"/>
            <w:tcMar>
              <w:top w:w="0" w:type="dxa"/>
              <w:left w:w="108" w:type="dxa"/>
              <w:bottom w:w="0" w:type="dxa"/>
              <w:right w:w="108" w:type="dxa"/>
            </w:tcMar>
            <w:vAlign w:val="center"/>
          </w:tcPr>
          <w:p w14:paraId="63E3C83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72804D0E">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程序守护</w:t>
            </w:r>
          </w:p>
        </w:tc>
        <w:tc>
          <w:tcPr>
            <w:tcW w:w="5697" w:type="dxa"/>
            <w:tcMar>
              <w:top w:w="0" w:type="dxa"/>
              <w:left w:w="108" w:type="dxa"/>
              <w:bottom w:w="0" w:type="dxa"/>
              <w:right w:w="108" w:type="dxa"/>
            </w:tcMar>
            <w:vAlign w:val="center"/>
          </w:tcPr>
          <w:p w14:paraId="1748F5C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自动重启：当采集客户端异常退出时，守护进程能够自动检测到并重新启动该程序；</w:t>
            </w:r>
          </w:p>
          <w:p w14:paraId="100BBC2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自启动配置：系统启动时自动运行，进而保障采集客户端在系统启动后能够立即开始运行；</w:t>
            </w:r>
          </w:p>
          <w:p w14:paraId="74F070C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日志记录：程序守护实时记录运行日志，便于问题排查和监控；</w:t>
            </w:r>
          </w:p>
          <w:p w14:paraId="7791D08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自动维护：根据资源使用情况，自动清理资源，保障采集客户端的稳定运行。</w:t>
            </w:r>
          </w:p>
        </w:tc>
      </w:tr>
      <w:tr w14:paraId="7687A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27E2809B">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476" w:type="dxa"/>
            <w:vMerge w:val="continue"/>
            <w:tcMar>
              <w:top w:w="0" w:type="dxa"/>
              <w:left w:w="108" w:type="dxa"/>
              <w:bottom w:w="0" w:type="dxa"/>
              <w:right w:w="108" w:type="dxa"/>
            </w:tcMar>
            <w:vAlign w:val="center"/>
          </w:tcPr>
          <w:p w14:paraId="672D915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24089A3D">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断网重传</w:t>
            </w:r>
          </w:p>
        </w:tc>
        <w:tc>
          <w:tcPr>
            <w:tcW w:w="5697" w:type="dxa"/>
            <w:tcMar>
              <w:top w:w="0" w:type="dxa"/>
              <w:left w:w="108" w:type="dxa"/>
              <w:bottom w:w="0" w:type="dxa"/>
              <w:right w:w="108" w:type="dxa"/>
            </w:tcMar>
            <w:vAlign w:val="center"/>
          </w:tcPr>
          <w:p w14:paraId="76FFF71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网络中断导致数据传输失败时，断网重传机制在网络恢复后，将实现传输失败数据的自动重新上传</w:t>
            </w:r>
          </w:p>
        </w:tc>
      </w:tr>
      <w:tr w14:paraId="11245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4677B9BB">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476" w:type="dxa"/>
            <w:vMerge w:val="restart"/>
            <w:tcMar>
              <w:top w:w="0" w:type="dxa"/>
              <w:left w:w="108" w:type="dxa"/>
              <w:bottom w:w="0" w:type="dxa"/>
              <w:right w:w="108" w:type="dxa"/>
            </w:tcMar>
            <w:vAlign w:val="center"/>
          </w:tcPr>
          <w:p w14:paraId="562CAC4B">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采集管理</w:t>
            </w:r>
          </w:p>
        </w:tc>
        <w:tc>
          <w:tcPr>
            <w:tcW w:w="1875" w:type="dxa"/>
            <w:tcMar>
              <w:top w:w="0" w:type="dxa"/>
              <w:left w:w="108" w:type="dxa"/>
              <w:bottom w:w="0" w:type="dxa"/>
              <w:right w:w="108" w:type="dxa"/>
            </w:tcMar>
            <w:vAlign w:val="center"/>
          </w:tcPr>
          <w:p w14:paraId="1D7C729C">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许可证配置</w:t>
            </w:r>
          </w:p>
        </w:tc>
        <w:tc>
          <w:tcPr>
            <w:tcW w:w="5697" w:type="dxa"/>
            <w:tcMar>
              <w:top w:w="0" w:type="dxa"/>
              <w:left w:w="108" w:type="dxa"/>
              <w:bottom w:w="0" w:type="dxa"/>
              <w:right w:w="108" w:type="dxa"/>
            </w:tcMar>
            <w:vAlign w:val="center"/>
          </w:tcPr>
          <w:p w14:paraId="30FF633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每个加油站后台自动分配唯一的许可证编码，采集客户端通过配置该编码与采集服务端建立通信和连接。</w:t>
            </w:r>
          </w:p>
        </w:tc>
      </w:tr>
      <w:tr w14:paraId="29531E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08E3569B">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476" w:type="dxa"/>
            <w:vMerge w:val="continue"/>
            <w:tcMar>
              <w:top w:w="0" w:type="dxa"/>
              <w:left w:w="108" w:type="dxa"/>
              <w:bottom w:w="0" w:type="dxa"/>
              <w:right w:w="108" w:type="dxa"/>
            </w:tcMar>
            <w:vAlign w:val="center"/>
          </w:tcPr>
          <w:p w14:paraId="51C48CC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629B02C3">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上报采集记录</w:t>
            </w:r>
          </w:p>
        </w:tc>
        <w:tc>
          <w:tcPr>
            <w:tcW w:w="5697" w:type="dxa"/>
            <w:tcMar>
              <w:top w:w="0" w:type="dxa"/>
              <w:left w:w="108" w:type="dxa"/>
              <w:bottom w:w="0" w:type="dxa"/>
              <w:right w:w="108" w:type="dxa"/>
            </w:tcMar>
            <w:vAlign w:val="center"/>
          </w:tcPr>
          <w:p w14:paraId="12A4193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支持手动导入加油站交易流水数据，一键上传至采集服务端</w:t>
            </w:r>
          </w:p>
        </w:tc>
      </w:tr>
      <w:tr w14:paraId="2E4DD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07D5D910">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476" w:type="dxa"/>
            <w:vMerge w:val="continue"/>
            <w:tcMar>
              <w:top w:w="0" w:type="dxa"/>
              <w:left w:w="108" w:type="dxa"/>
              <w:bottom w:w="0" w:type="dxa"/>
              <w:right w:w="108" w:type="dxa"/>
            </w:tcMar>
            <w:vAlign w:val="center"/>
          </w:tcPr>
          <w:p w14:paraId="38B30115">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01ECEA11">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报送结果查询</w:t>
            </w:r>
          </w:p>
        </w:tc>
        <w:tc>
          <w:tcPr>
            <w:tcW w:w="5697" w:type="dxa"/>
            <w:tcMar>
              <w:top w:w="0" w:type="dxa"/>
              <w:left w:w="108" w:type="dxa"/>
              <w:bottom w:w="0" w:type="dxa"/>
              <w:right w:w="108" w:type="dxa"/>
            </w:tcMar>
            <w:vAlign w:val="center"/>
          </w:tcPr>
          <w:p w14:paraId="438E402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支持查询指定时间范围的采集数据报送记录，包括报送量、报送时间、报送状态等</w:t>
            </w:r>
          </w:p>
        </w:tc>
      </w:tr>
      <w:tr w14:paraId="35145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6AE3464D">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476" w:type="dxa"/>
            <w:vMerge w:val="restart"/>
            <w:tcMar>
              <w:top w:w="0" w:type="dxa"/>
              <w:left w:w="108" w:type="dxa"/>
              <w:bottom w:w="0" w:type="dxa"/>
              <w:right w:w="108" w:type="dxa"/>
            </w:tcMar>
            <w:vAlign w:val="center"/>
          </w:tcPr>
          <w:p w14:paraId="51888854">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4711653C">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性能参数</w:t>
            </w:r>
          </w:p>
          <w:p w14:paraId="27B3309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875" w:type="dxa"/>
            <w:tcMar>
              <w:top w:w="0" w:type="dxa"/>
              <w:left w:w="108" w:type="dxa"/>
              <w:bottom w:w="0" w:type="dxa"/>
              <w:right w:w="108" w:type="dxa"/>
            </w:tcMar>
            <w:vAlign w:val="center"/>
          </w:tcPr>
          <w:p w14:paraId="322FEAF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6827F2DB">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资源占用</w:t>
            </w:r>
          </w:p>
          <w:p w14:paraId="4A151E4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5697" w:type="dxa"/>
            <w:tcMar>
              <w:top w:w="0" w:type="dxa"/>
              <w:left w:w="108" w:type="dxa"/>
              <w:bottom w:w="0" w:type="dxa"/>
              <w:right w:w="108" w:type="dxa"/>
            </w:tcMar>
            <w:vAlign w:val="center"/>
          </w:tcPr>
          <w:p w14:paraId="3FA5036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CPU占用 ：平均占用CPU不超过5%。</w:t>
            </w:r>
          </w:p>
          <w:p w14:paraId="2C321EA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内存占用 ：</w:t>
            </w:r>
          </w:p>
          <w:p w14:paraId="711FCA4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平均占用内存不超过200MB。</w:t>
            </w:r>
          </w:p>
          <w:p w14:paraId="1D7C406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峰值内存占用不超过300MB。</w:t>
            </w:r>
          </w:p>
          <w:p w14:paraId="666B876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磁盘占用空间：</w:t>
            </w:r>
          </w:p>
          <w:p w14:paraId="62EE8DE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程序+必要数据占用空间300MB以内。</w:t>
            </w:r>
          </w:p>
          <w:p w14:paraId="23E59E4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日志占用空间可配置，默认最大10G。</w:t>
            </w:r>
          </w:p>
        </w:tc>
      </w:tr>
      <w:tr w14:paraId="4B623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7D94B165">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1476" w:type="dxa"/>
            <w:vMerge w:val="continue"/>
            <w:tcMar>
              <w:top w:w="0" w:type="dxa"/>
              <w:left w:w="108" w:type="dxa"/>
              <w:bottom w:w="0" w:type="dxa"/>
              <w:right w:w="108" w:type="dxa"/>
            </w:tcMar>
            <w:vAlign w:val="center"/>
          </w:tcPr>
          <w:p w14:paraId="2197D70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0A8DBCA9">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数据上传</w:t>
            </w:r>
          </w:p>
          <w:p w14:paraId="32D4CFC0">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p>
        </w:tc>
        <w:tc>
          <w:tcPr>
            <w:tcW w:w="5697" w:type="dxa"/>
            <w:tcMar>
              <w:top w:w="0" w:type="dxa"/>
              <w:left w:w="108" w:type="dxa"/>
              <w:bottom w:w="0" w:type="dxa"/>
              <w:right w:w="108" w:type="dxa"/>
            </w:tcMar>
            <w:vAlign w:val="center"/>
          </w:tcPr>
          <w:p w14:paraId="583D653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数据上传速度 ：服务器允许的情况下，支持每秒上传100条数据。</w:t>
            </w:r>
          </w:p>
        </w:tc>
      </w:tr>
      <w:tr w14:paraId="23E4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368F60AA">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1476" w:type="dxa"/>
            <w:vMerge w:val="continue"/>
            <w:tcMar>
              <w:top w:w="0" w:type="dxa"/>
              <w:left w:w="108" w:type="dxa"/>
              <w:bottom w:w="0" w:type="dxa"/>
              <w:right w:w="108" w:type="dxa"/>
            </w:tcMar>
            <w:vAlign w:val="center"/>
          </w:tcPr>
          <w:p w14:paraId="3EB2181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745449B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软件兼容</w:t>
            </w:r>
          </w:p>
        </w:tc>
        <w:tc>
          <w:tcPr>
            <w:tcW w:w="5697" w:type="dxa"/>
            <w:tcMar>
              <w:top w:w="0" w:type="dxa"/>
              <w:left w:w="108" w:type="dxa"/>
              <w:bottom w:w="0" w:type="dxa"/>
              <w:right w:w="108" w:type="dxa"/>
            </w:tcMar>
            <w:vAlign w:val="center"/>
          </w:tcPr>
          <w:p w14:paraId="3E7F6D6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通过常见安全软件360，腾讯安全助手，火绒等安全检测。</w:t>
            </w:r>
          </w:p>
        </w:tc>
      </w:tr>
      <w:tr w14:paraId="49E61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583FDBD9">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p>
        </w:tc>
        <w:tc>
          <w:tcPr>
            <w:tcW w:w="1476" w:type="dxa"/>
            <w:vMerge w:val="restart"/>
            <w:tcMar>
              <w:top w:w="0" w:type="dxa"/>
              <w:left w:w="108" w:type="dxa"/>
              <w:bottom w:w="0" w:type="dxa"/>
              <w:right w:w="108" w:type="dxa"/>
            </w:tcMar>
            <w:vAlign w:val="center"/>
          </w:tcPr>
          <w:p w14:paraId="34AE1DF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日常比对</w:t>
            </w:r>
          </w:p>
        </w:tc>
        <w:tc>
          <w:tcPr>
            <w:tcW w:w="1875" w:type="dxa"/>
            <w:tcMar>
              <w:top w:w="0" w:type="dxa"/>
              <w:left w:w="108" w:type="dxa"/>
              <w:bottom w:w="0" w:type="dxa"/>
              <w:right w:w="108" w:type="dxa"/>
            </w:tcMar>
            <w:vAlign w:val="center"/>
          </w:tcPr>
          <w:p w14:paraId="1D03C86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采集数据核对</w:t>
            </w:r>
          </w:p>
        </w:tc>
        <w:tc>
          <w:tcPr>
            <w:tcW w:w="5697" w:type="dxa"/>
            <w:tcMar>
              <w:top w:w="0" w:type="dxa"/>
              <w:left w:w="108" w:type="dxa"/>
              <w:bottom w:w="0" w:type="dxa"/>
              <w:right w:w="108" w:type="dxa"/>
            </w:tcMar>
            <w:vAlign w:val="center"/>
          </w:tcPr>
          <w:p w14:paraId="0DBC1703">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管理平台每日推送给加油站的采集数据概况展开查询，查询结果包括交易日期、枪号、油品类型、起泵码数、止泵码数、对应的采集时间、日累计加油量、确认状态等，查询条件包括交易日期、枪号、油品类型、确认状态。日周月季年等相关数据支持导出数据、对数据展开核实确认。</w:t>
            </w:r>
          </w:p>
          <w:p w14:paraId="713FE80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（需提供功能演示视频证明）</w:t>
            </w:r>
          </w:p>
        </w:tc>
      </w:tr>
      <w:tr w14:paraId="4A580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7102EF37">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476" w:type="dxa"/>
            <w:vMerge w:val="continue"/>
            <w:tcMar>
              <w:top w:w="0" w:type="dxa"/>
              <w:left w:w="108" w:type="dxa"/>
              <w:bottom w:w="0" w:type="dxa"/>
              <w:right w:w="108" w:type="dxa"/>
            </w:tcMar>
            <w:vAlign w:val="center"/>
          </w:tcPr>
          <w:p w14:paraId="7F92B98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66060E2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采集数据核对规则维护</w:t>
            </w:r>
          </w:p>
        </w:tc>
        <w:tc>
          <w:tcPr>
            <w:tcW w:w="5697" w:type="dxa"/>
            <w:tcMar>
              <w:top w:w="0" w:type="dxa"/>
              <w:left w:w="108" w:type="dxa"/>
              <w:bottom w:w="0" w:type="dxa"/>
              <w:right w:w="108" w:type="dxa"/>
            </w:tcMar>
            <w:vAlign w:val="center"/>
          </w:tcPr>
          <w:p w14:paraId="1682E3A1">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bookmarkStart w:id="131" w:name="OLE_LINK3"/>
            <w:r>
              <w:rPr>
                <w:rFonts w:hint="eastAsia" w:ascii="宋体" w:hAnsi="宋体" w:eastAsia="宋体" w:cs="宋体"/>
                <w:color w:val="auto"/>
                <w:sz w:val="21"/>
                <w:szCs w:val="21"/>
                <w:highlight w:val="none"/>
              </w:rPr>
              <w:t>▲</w:t>
            </w:r>
            <w:bookmarkEnd w:id="131"/>
            <w:r>
              <w:rPr>
                <w:rFonts w:hint="eastAsia" w:ascii="宋体" w:hAnsi="宋体" w:eastAsia="宋体" w:cs="宋体"/>
                <w:color w:val="auto"/>
                <w:sz w:val="21"/>
                <w:szCs w:val="21"/>
                <w:highlight w:val="none"/>
              </w:rPr>
              <w:t>采集数据核对支持选择不同的核对方式，设置管理平台推送数据的统计口径，包括按照自然日核对（即按日对每天0点至24点的数据进行汇总比对）、按照交接班时间核对（即按日对当天交接班时间至次日交接班时间的数量进行汇总比对），若选择按照交接班时间核对方式，设置交接班时间点。</w:t>
            </w:r>
          </w:p>
          <w:p w14:paraId="51A5825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（需提供功能演示视频证明）</w:t>
            </w:r>
          </w:p>
        </w:tc>
      </w:tr>
      <w:tr w14:paraId="1768FF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45" w:type="dxa"/>
            <w:tcMar>
              <w:top w:w="0" w:type="dxa"/>
              <w:left w:w="108" w:type="dxa"/>
              <w:bottom w:w="0" w:type="dxa"/>
              <w:right w:w="108" w:type="dxa"/>
            </w:tcMar>
            <w:vAlign w:val="center"/>
          </w:tcPr>
          <w:p w14:paraId="6055C51C">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476" w:type="dxa"/>
            <w:vMerge w:val="continue"/>
            <w:tcMar>
              <w:top w:w="0" w:type="dxa"/>
              <w:left w:w="108" w:type="dxa"/>
              <w:bottom w:w="0" w:type="dxa"/>
              <w:right w:w="108" w:type="dxa"/>
            </w:tcMar>
            <w:vAlign w:val="center"/>
          </w:tcPr>
          <w:p w14:paraId="25E900E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875" w:type="dxa"/>
            <w:tcMar>
              <w:top w:w="0" w:type="dxa"/>
              <w:left w:w="108" w:type="dxa"/>
              <w:bottom w:w="0" w:type="dxa"/>
              <w:right w:w="108" w:type="dxa"/>
            </w:tcMar>
            <w:vAlign w:val="center"/>
          </w:tcPr>
          <w:p w14:paraId="09F276C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加油明细比对</w:t>
            </w:r>
          </w:p>
        </w:tc>
        <w:tc>
          <w:tcPr>
            <w:tcW w:w="5697" w:type="dxa"/>
            <w:tcMar>
              <w:top w:w="0" w:type="dxa"/>
              <w:left w:w="108" w:type="dxa"/>
              <w:bottom w:w="0" w:type="dxa"/>
              <w:right w:w="108" w:type="dxa"/>
            </w:tcMar>
            <w:vAlign w:val="center"/>
          </w:tcPr>
          <w:p w14:paraId="7B7899E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▲支持发起新增明细比对，选择比对区间、下载导入模板，导入比对文件，向管理平台发起比对申请。支持对</w:t>
            </w:r>
            <w:r>
              <w:rPr>
                <w:rFonts w:hint="eastAsia" w:ascii="宋体" w:hAnsi="宋体" w:eastAsia="宋体" w:cs="宋体"/>
                <w:color w:val="auto"/>
                <w:sz w:val="21"/>
                <w:szCs w:val="21"/>
                <w:highlight w:val="none"/>
                <w:u w:val="single"/>
              </w:rPr>
              <w:t>比对记录</w:t>
            </w:r>
            <w:r>
              <w:rPr>
                <w:rFonts w:hint="eastAsia" w:ascii="宋体" w:hAnsi="宋体" w:eastAsia="宋体" w:cs="宋体"/>
                <w:color w:val="auto"/>
                <w:sz w:val="21"/>
                <w:szCs w:val="21"/>
                <w:highlight w:val="none"/>
              </w:rPr>
              <w:t>展开条件查询，查询条件包括比对时间、比对状态，查询结果包括比对区间、比对时间、比对状态、比对结果、是否已反馈、反馈时间、支持查看具体的反馈结果。</w:t>
            </w:r>
          </w:p>
          <w:p w14:paraId="3EE5804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（需提供功能演示视频证明）</w:t>
            </w:r>
          </w:p>
        </w:tc>
      </w:tr>
    </w:tbl>
    <w:p w14:paraId="75DA3554">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p>
    <w:p w14:paraId="5A8450E4">
      <w:pPr>
        <w:pStyle w:val="7"/>
        <w:pageBreakBefore w:val="0"/>
        <w:tabs>
          <w:tab w:val="clear" w:pos="432"/>
        </w:tabs>
        <w:kinsoku/>
        <w:wordWrap/>
        <w:overflowPunct/>
        <w:topLinePunct w:val="0"/>
        <w:autoSpaceDE/>
        <w:autoSpaceDN/>
        <w:bidi w:val="0"/>
        <w:adjustRightInd/>
        <w:snapToGrid/>
        <w:spacing w:before="0" w:after="0" w:line="460" w:lineRule="exact"/>
        <w:ind w:left="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3.1.2 数据管理端</w:t>
      </w:r>
    </w:p>
    <w:p w14:paraId="5D0EDE9C">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管理端实时接收采集端上传的数据，对其解密入库后同步至管理平台。数据管理端支持对采集器、加油站基础信息、采集运营、软件采集端展开统一的管理；支持对数据采集、数据质量展开统一的监控，全方位保障数据采集的持续性、有效性、稳定性。</w:t>
      </w:r>
    </w:p>
    <w:tbl>
      <w:tblPr>
        <w:tblStyle w:val="38"/>
        <w:tblW w:w="9817" w:type="dxa"/>
        <w:tblInd w:w="0" w:type="dxa"/>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fixed"/>
        <w:tblCellMar>
          <w:top w:w="0" w:type="dxa"/>
          <w:left w:w="108" w:type="dxa"/>
          <w:bottom w:w="0" w:type="dxa"/>
          <w:right w:w="108" w:type="dxa"/>
        </w:tblCellMar>
      </w:tblPr>
      <w:tblGrid>
        <w:gridCol w:w="750"/>
        <w:gridCol w:w="1980"/>
        <w:gridCol w:w="1785"/>
        <w:gridCol w:w="5302"/>
      </w:tblGrid>
      <w:tr w14:paraId="7F7B0F9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blHeader/>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C7C91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9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F15F20">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一级菜单</w:t>
            </w: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13E6308">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二级菜单</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350FF1">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描述</w:t>
            </w:r>
          </w:p>
        </w:tc>
      </w:tr>
      <w:tr w14:paraId="37BF522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8ABC3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8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A126F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采集器管理</w:t>
            </w: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7650A3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设备资产清单</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0B7E1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对接入采集端展开统一的管理，支持用户进行新增、导入、删除等操作。</w:t>
            </w:r>
          </w:p>
        </w:tc>
      </w:tr>
      <w:tr w14:paraId="53C5796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4E026F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8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E0CCCF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加油站基础信息</w:t>
            </w: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C136EF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加油站企业信息</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7F7A31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支持对需要采集的加油站企业展开基础信息维护。</w:t>
            </w:r>
          </w:p>
        </w:tc>
      </w:tr>
      <w:tr w14:paraId="6850FE3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0176F89">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1B9E57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D145C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加油站基本信息</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82345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支持对需要采集的加油站展开基础信息维护。</w:t>
            </w:r>
          </w:p>
        </w:tc>
      </w:tr>
      <w:tr w14:paraId="5AF6847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C6AE7E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98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71985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采集运营管理</w:t>
            </w: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D26B0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单户采集跟踪</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44380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▲支持对单户加油站展开采集跟踪，包括采集配置、采集概览、设备健康概况、链路健康概况等。（需提供功能演示视频证明）</w:t>
            </w:r>
          </w:p>
        </w:tc>
      </w:tr>
      <w:tr w14:paraId="62B632BD">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17BB0F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F7E8D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9C9F6A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采集运营分析</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74974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计不同地区的采集情况，包括应采集户数、已采集户数、未采集户数、无法采集户数等；统计不同采集状态的加油站户数，近一周、近一月、近三月的已采集户数，无法采集加油站清册及对应原因。（需提供功能演示视频证明）</w:t>
            </w:r>
          </w:p>
        </w:tc>
      </w:tr>
      <w:tr w14:paraId="1D08E4E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3AD2D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98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197961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数据采集监控</w:t>
            </w: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998124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数据采集设备监控</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F4A082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不同加油站当前的采集状态（包括正常状态、异常状态）进行实时跟踪和查看，支持查看加油站的采集终端在线率、最新心跳时间、距离当前时长、历史离线次数、历史离线明细等。（需提供功能演示视频证明）</w:t>
            </w:r>
          </w:p>
        </w:tc>
      </w:tr>
      <w:tr w14:paraId="61A3E7EF">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245FF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341D2C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47578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数据采集链路巡检</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A4CFA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不同加油站当前的采集链路状态（包括正常状态、异常状态）进行实时查看和跟踪，支持查看加油站的上传链路中断率、最新记录时间、距离当前时长、历史中断次数、历史中断明细等。（需提供功能演示视频证明）</w:t>
            </w:r>
          </w:p>
        </w:tc>
      </w:tr>
      <w:tr w14:paraId="74221A77">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E278D9">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009EE3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D9034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一站式采集监控详情</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B930A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指定加油站的采集监控详情进行查看跟踪，包括采集概览、采集基础信息、设备健康概况、链路健康概况。采集概览展示日采集、月采集概况；采集基础信息展示软件采集端的部署配置参数；设备健康概况展示软件采集端的当前状态、历史离线记录；链路健康概况展示软件采集端的当前状态、历史中断记录。（需提供功能演示视频证明）</w:t>
            </w:r>
          </w:p>
        </w:tc>
      </w:tr>
      <w:tr w14:paraId="66DFDDB9">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A621C6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98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724866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数据质量监控</w:t>
            </w: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C3381C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质量指标管理</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6CBC37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建立不同维度的指标把控数据质量，包括关键数据项丢失、数据项格式不一致、泵码数不连续、泵码异常清零等，为采集质量把关建立支撑。</w:t>
            </w:r>
          </w:p>
        </w:tc>
      </w:tr>
      <w:tr w14:paraId="5280EF28">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D61821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B575F8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561BB3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数据质量监控</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86D91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实时监测数据质量问题，每日汇总运行质量指标，及时发现、监控数据质量问题，每周统计数据质量情况，保证采集数据持续有效。</w:t>
            </w:r>
          </w:p>
        </w:tc>
      </w:tr>
      <w:tr w14:paraId="337040D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BC1092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D69BB9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69F8C39">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实时交易流水查询</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61D13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支持查看实时交易流水数据，包括</w:t>
            </w:r>
            <w:r>
              <w:rPr>
                <w:rFonts w:hint="eastAsia" w:hAnsi="宋体" w:cs="宋体"/>
                <w:color w:val="auto"/>
                <w:sz w:val="21"/>
                <w:szCs w:val="21"/>
                <w:highlight w:val="none"/>
                <w:lang w:eastAsia="zh-CN"/>
              </w:rPr>
              <w:t>企业名称</w:t>
            </w:r>
            <w:r>
              <w:rPr>
                <w:rFonts w:hint="eastAsia" w:ascii="宋体" w:hAnsi="宋体" w:eastAsia="宋体" w:cs="宋体"/>
                <w:color w:val="auto"/>
                <w:sz w:val="21"/>
                <w:szCs w:val="21"/>
                <w:highlight w:val="none"/>
              </w:rPr>
              <w:t>、加油机枪号、交易时间、油品类型、单价、油量、金额等</w:t>
            </w:r>
          </w:p>
        </w:tc>
      </w:tr>
      <w:tr w14:paraId="04BED18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DE97249">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8FA7A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BABFD0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实时泵码累计数查询</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5296C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支持查看不同加油站、不同加油枪的累计泵码数明细，动态统计期初/期末累计泵码数、区间增量累计泵码数/增量加油量。</w:t>
            </w:r>
          </w:p>
        </w:tc>
      </w:tr>
      <w:tr w14:paraId="2490E6E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9C3DC9">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AF4A4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B6F8EA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加油站、加油枪数据量丢失分析</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28D97B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▲支持查看不同加油站、不同属期的采集数据量、与其自身月平均采集量比对差异率，发现采集异常的加油站；</w:t>
            </w:r>
          </w:p>
          <w:p w14:paraId="63464036">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支持查看不同加油站、不同加油枪、不同属期的采集数量，与其自身加油站同油品的油枪采集量比对差异率，发现采集异常的油枪。（需提供功能演示视频证明）</w:t>
            </w:r>
          </w:p>
        </w:tc>
      </w:tr>
      <w:tr w14:paraId="574A858E">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EC213D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364ECE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AF444D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订单数据项丢失分析</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64C7E8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支持查看存在数据项丢失的加油站，支持查看具体的丢失明细，包括油品类型值丢失、单价值丢失、加油量值丢失、金额值丢失。</w:t>
            </w:r>
          </w:p>
        </w:tc>
      </w:tr>
      <w:tr w14:paraId="0F6275C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167FBE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98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3A862D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软件采集端管理</w:t>
            </w: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2D5F97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客户端发行管理</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49EFF2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根据市场上加油机的更新迭代，定期发布对应的客户端版本。</w:t>
            </w:r>
          </w:p>
        </w:tc>
      </w:tr>
      <w:tr w14:paraId="068DA85B">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A706A5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16</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F37A0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B5E2F1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远程升级管理</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AB4E05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▲支持远程升级指定客户端版本，支持指定白名单，定点升级指定客户端版本。（需提供功能演示视频证明）</w:t>
            </w:r>
          </w:p>
        </w:tc>
      </w:tr>
      <w:tr w14:paraId="08C3D4F6">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EC79C7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17</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9D12B7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FDA499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客户端升级记录</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EB6708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支持查看加油站的历史升级记录，包括加油站名称、升级时间、升级版本等。</w:t>
            </w:r>
          </w:p>
        </w:tc>
      </w:tr>
      <w:tr w14:paraId="4F72A7C5">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60258F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18</w:t>
            </w:r>
          </w:p>
        </w:tc>
        <w:tc>
          <w:tcPr>
            <w:tcW w:w="198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705ED4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数据接收解析</w:t>
            </w: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647865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数据接收解析</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A1B4D3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实时接收采集客户端上报的加油站交易数据，并对数据进行解析，包括超级集线器协议解析、数据报文协议解析。</w:t>
            </w:r>
          </w:p>
        </w:tc>
      </w:tr>
      <w:tr w14:paraId="76F958E1">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05A0CC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19</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9CD1565">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B133F1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数据解密</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F4A81C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对采集客户端上报的加油站交易数据进行安全解密，获取交易流水的明文信息，包括</w:t>
            </w:r>
            <w:r>
              <w:rPr>
                <w:rFonts w:hint="eastAsia" w:hAnsi="宋体" w:cs="宋体"/>
                <w:color w:val="auto"/>
                <w:sz w:val="21"/>
                <w:szCs w:val="21"/>
                <w:highlight w:val="none"/>
                <w:lang w:eastAsia="zh-CN"/>
              </w:rPr>
              <w:t>企业名称</w:t>
            </w:r>
            <w:r>
              <w:rPr>
                <w:rFonts w:hint="eastAsia" w:ascii="宋体" w:hAnsi="宋体" w:eastAsia="宋体" w:cs="宋体"/>
                <w:color w:val="auto"/>
                <w:sz w:val="21"/>
                <w:szCs w:val="21"/>
                <w:highlight w:val="none"/>
              </w:rPr>
              <w:t>、加油机枪号、交易时间、油品类型、单价、油量、金额等。</w:t>
            </w:r>
          </w:p>
        </w:tc>
      </w:tr>
      <w:tr w14:paraId="28C782EC">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52043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20</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A2AF71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175DCCB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数据入库</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5572418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解密后的数据实现直接入库，同时数据将实时同步至智能管理平台应用端。</w:t>
            </w:r>
          </w:p>
        </w:tc>
      </w:tr>
      <w:tr w14:paraId="6C2507C0">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2080C76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21</w:t>
            </w:r>
          </w:p>
        </w:tc>
        <w:tc>
          <w:tcPr>
            <w:tcW w:w="1980" w:type="dxa"/>
            <w:vMerge w:val="restart"/>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5D3DAC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系统运维</w:t>
            </w: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6423430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日志管理</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3506BEE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日志采集：负责生成交易数据采集日志、客户端在线状态日志、数据上传日志和软件运行状态日志。</w:t>
            </w:r>
          </w:p>
          <w:p w14:paraId="2CE2CB2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日志上传：将日志数据实时加密上传到云服务器。</w:t>
            </w:r>
          </w:p>
          <w:p w14:paraId="25C989C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日志存储模块：将日志数据存储到云数据库或日志存储服务中。</w:t>
            </w:r>
          </w:p>
          <w:p w14:paraId="23A52DC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日志查询模块：提供按时间、加油站、日志类型等条件的查询功能。</w:t>
            </w:r>
          </w:p>
          <w:p w14:paraId="77B7476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日志分析模块：对日志数据进行汇总和分析，生成统计报表。</w:t>
            </w:r>
          </w:p>
        </w:tc>
      </w:tr>
      <w:tr w14:paraId="37F21BCA">
        <w:tblPrEx>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CellMar>
            <w:top w:w="0" w:type="dxa"/>
            <w:left w:w="108" w:type="dxa"/>
            <w:bottom w:w="0" w:type="dxa"/>
            <w:right w:w="108" w:type="dxa"/>
          </w:tblCellMar>
        </w:tblPrEx>
        <w:trPr>
          <w:trHeight w:val="454" w:hRule="atLeast"/>
        </w:trPr>
        <w:tc>
          <w:tcPr>
            <w:tcW w:w="750"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2D8CAA9">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980" w:type="dxa"/>
            <w:vMerge w:val="continue"/>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7572F84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785"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4905FF2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资源监控</w:t>
            </w:r>
          </w:p>
        </w:tc>
        <w:tc>
          <w:tcPr>
            <w:tcW w:w="5302" w:type="dxa"/>
            <w:tcBorders>
              <w:top w:val="single" w:color="auto" w:sz="4" w:space="0"/>
              <w:left w:val="single" w:color="auto" w:sz="4" w:space="0"/>
              <w:bottom w:val="single" w:color="auto" w:sz="4" w:space="0"/>
              <w:right w:val="single" w:color="auto" w:sz="4" w:space="0"/>
            </w:tcBorders>
            <w:tcMar>
              <w:top w:w="0" w:type="dxa"/>
              <w:left w:w="108" w:type="dxa"/>
              <w:bottom w:w="0" w:type="dxa"/>
              <w:right w:w="108" w:type="dxa"/>
            </w:tcMar>
            <w:vAlign w:val="center"/>
          </w:tcPr>
          <w:p w14:paraId="058EBCD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资源监控：支持对服务器CPU，内存，数据库资源，网络带宽，请求队列等资源进行监控。</w:t>
            </w:r>
          </w:p>
        </w:tc>
      </w:tr>
    </w:tbl>
    <w:p w14:paraId="0B243C87">
      <w:pPr>
        <w:pStyle w:val="7"/>
        <w:pageBreakBefore w:val="0"/>
        <w:tabs>
          <w:tab w:val="clear" w:pos="432"/>
        </w:tabs>
        <w:kinsoku/>
        <w:wordWrap/>
        <w:overflowPunct/>
        <w:topLinePunct w:val="0"/>
        <w:autoSpaceDE/>
        <w:autoSpaceDN/>
        <w:bidi w:val="0"/>
        <w:adjustRightInd/>
        <w:snapToGrid/>
        <w:spacing w:before="0" w:after="0" w:line="460" w:lineRule="exact"/>
        <w:ind w:left="0" w:firstLine="422"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3.1.3 管理平台</w:t>
      </w:r>
    </w:p>
    <w:p w14:paraId="20624AC7">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管理平台包括全景监管、日常管理与分析、风险监控、作弊监控、日常比对五部分，对加油站开展全方位的日常管理与风险监控。</w:t>
      </w:r>
    </w:p>
    <w:tbl>
      <w:tblPr>
        <w:tblStyle w:val="38"/>
        <w:tblW w:w="9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995"/>
        <w:gridCol w:w="1635"/>
        <w:gridCol w:w="5488"/>
      </w:tblGrid>
      <w:tr w14:paraId="4813F0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780" w:type="dxa"/>
            <w:tcMar>
              <w:top w:w="0" w:type="dxa"/>
              <w:left w:w="108" w:type="dxa"/>
              <w:bottom w:w="0" w:type="dxa"/>
              <w:right w:w="108" w:type="dxa"/>
            </w:tcMar>
            <w:vAlign w:val="center"/>
          </w:tcPr>
          <w:p w14:paraId="458E74C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995" w:type="dxa"/>
            <w:tcMar>
              <w:top w:w="0" w:type="dxa"/>
              <w:left w:w="108" w:type="dxa"/>
              <w:bottom w:w="0" w:type="dxa"/>
              <w:right w:w="108" w:type="dxa"/>
            </w:tcMar>
            <w:vAlign w:val="center"/>
          </w:tcPr>
          <w:p w14:paraId="7CD4FD5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一级菜单</w:t>
            </w:r>
          </w:p>
        </w:tc>
        <w:tc>
          <w:tcPr>
            <w:tcW w:w="1635" w:type="dxa"/>
            <w:tcMar>
              <w:top w:w="0" w:type="dxa"/>
              <w:left w:w="108" w:type="dxa"/>
              <w:bottom w:w="0" w:type="dxa"/>
              <w:right w:w="108" w:type="dxa"/>
            </w:tcMar>
            <w:vAlign w:val="center"/>
          </w:tcPr>
          <w:p w14:paraId="747292D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二级菜单</w:t>
            </w:r>
          </w:p>
        </w:tc>
        <w:tc>
          <w:tcPr>
            <w:tcW w:w="5488" w:type="dxa"/>
            <w:tcMar>
              <w:top w:w="0" w:type="dxa"/>
              <w:left w:w="108" w:type="dxa"/>
              <w:bottom w:w="0" w:type="dxa"/>
              <w:right w:w="108" w:type="dxa"/>
            </w:tcMar>
            <w:vAlign w:val="center"/>
          </w:tcPr>
          <w:p w14:paraId="28818EE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描述</w:t>
            </w:r>
          </w:p>
        </w:tc>
      </w:tr>
      <w:tr w14:paraId="0AC10B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20E9E94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995" w:type="dxa"/>
            <w:vMerge w:val="restart"/>
            <w:tcMar>
              <w:top w:w="0" w:type="dxa"/>
              <w:left w:w="108" w:type="dxa"/>
              <w:bottom w:w="0" w:type="dxa"/>
              <w:right w:w="108" w:type="dxa"/>
            </w:tcMar>
            <w:vAlign w:val="center"/>
          </w:tcPr>
          <w:p w14:paraId="182C76D5">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全景监管</w:t>
            </w:r>
          </w:p>
        </w:tc>
        <w:tc>
          <w:tcPr>
            <w:tcW w:w="1635" w:type="dxa"/>
            <w:tcMar>
              <w:top w:w="0" w:type="dxa"/>
              <w:left w:w="108" w:type="dxa"/>
              <w:bottom w:w="0" w:type="dxa"/>
              <w:right w:w="108" w:type="dxa"/>
            </w:tcMar>
            <w:vAlign w:val="center"/>
          </w:tcPr>
          <w:p w14:paraId="375CCDD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数据采集概览</w:t>
            </w:r>
          </w:p>
        </w:tc>
        <w:tc>
          <w:tcPr>
            <w:tcW w:w="5488" w:type="dxa"/>
            <w:tcMar>
              <w:top w:w="0" w:type="dxa"/>
              <w:left w:w="108" w:type="dxa"/>
              <w:bottom w:w="0" w:type="dxa"/>
              <w:right w:w="108" w:type="dxa"/>
            </w:tcMar>
            <w:vAlign w:val="center"/>
          </w:tcPr>
          <w:p w14:paraId="5AD7EE6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监控所选地区内加油站基础数据采集情况，包括加油站数量信息、采集数据量信息、采集销售额信息、以及数据采集告警信息等信息。</w:t>
            </w:r>
          </w:p>
        </w:tc>
      </w:tr>
      <w:tr w14:paraId="618EF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6B0F293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995" w:type="dxa"/>
            <w:vMerge w:val="continue"/>
            <w:tcMar>
              <w:top w:w="0" w:type="dxa"/>
              <w:left w:w="108" w:type="dxa"/>
              <w:bottom w:w="0" w:type="dxa"/>
              <w:right w:w="108" w:type="dxa"/>
            </w:tcMar>
            <w:vAlign w:val="center"/>
          </w:tcPr>
          <w:p w14:paraId="397543C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3BC0ACB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加油站一户式画像</w:t>
            </w:r>
          </w:p>
        </w:tc>
        <w:tc>
          <w:tcPr>
            <w:tcW w:w="5488" w:type="dxa"/>
            <w:tcMar>
              <w:top w:w="0" w:type="dxa"/>
              <w:left w:w="108" w:type="dxa"/>
              <w:bottom w:w="0" w:type="dxa"/>
              <w:right w:w="108" w:type="dxa"/>
            </w:tcMar>
            <w:vAlign w:val="center"/>
          </w:tcPr>
          <w:p w14:paraId="240215B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屏展示单户加油站基础信息和经营情况，包括加油站内油机数量、油枪数量、油罐数量及容量等；实时加油金额、油量；按交易时间排列每笔加油交易金额；按月统计加油站销售额等信息。大屏展示所选地区内某加油站当日各种油品的销售量和销售额，提供当日油品交易采集实况以及采集质量情况，同时提供各类油品的单价、销售量、销售额占该街道/区县/全市的排名情况等信息。（需提供功能演示视频证明）</w:t>
            </w:r>
          </w:p>
        </w:tc>
      </w:tr>
      <w:tr w14:paraId="1D761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2884CF9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995" w:type="dxa"/>
            <w:vMerge w:val="continue"/>
            <w:tcMar>
              <w:top w:w="0" w:type="dxa"/>
              <w:left w:w="108" w:type="dxa"/>
              <w:bottom w:w="0" w:type="dxa"/>
              <w:right w:w="108" w:type="dxa"/>
            </w:tcMar>
            <w:vAlign w:val="center"/>
          </w:tcPr>
          <w:p w14:paraId="5FFC819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71792B3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加油站概览</w:t>
            </w:r>
          </w:p>
        </w:tc>
        <w:tc>
          <w:tcPr>
            <w:tcW w:w="5488" w:type="dxa"/>
            <w:tcMar>
              <w:top w:w="0" w:type="dxa"/>
              <w:left w:w="108" w:type="dxa"/>
              <w:bottom w:w="0" w:type="dxa"/>
              <w:right w:w="108" w:type="dxa"/>
            </w:tcMar>
            <w:vAlign w:val="center"/>
          </w:tcPr>
          <w:p w14:paraId="6185E01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展示全市某年内加油站汇总信息，包括加油站数量、油机数量、累计售油量、累计销售额等数据；所选年度内每月汇总销售金额、入库税款；企业销售排名；各类油品销售分布；各大企业加油量对比等信息。</w:t>
            </w:r>
          </w:p>
        </w:tc>
      </w:tr>
      <w:tr w14:paraId="2E283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26B4685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995" w:type="dxa"/>
            <w:vMerge w:val="continue"/>
            <w:tcMar>
              <w:top w:w="0" w:type="dxa"/>
              <w:left w:w="108" w:type="dxa"/>
              <w:bottom w:w="0" w:type="dxa"/>
              <w:right w:w="108" w:type="dxa"/>
            </w:tcMar>
            <w:vAlign w:val="center"/>
          </w:tcPr>
          <w:p w14:paraId="0D9C846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0476CF5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商务监管概览</w:t>
            </w:r>
          </w:p>
        </w:tc>
        <w:tc>
          <w:tcPr>
            <w:tcW w:w="5488" w:type="dxa"/>
            <w:tcMar>
              <w:top w:w="0" w:type="dxa"/>
              <w:left w:w="108" w:type="dxa"/>
              <w:bottom w:w="0" w:type="dxa"/>
              <w:right w:w="108" w:type="dxa"/>
            </w:tcMar>
            <w:vAlign w:val="center"/>
          </w:tcPr>
          <w:p w14:paraId="06E6AF8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屏展示全市及各区县内加油站销售监管信息，包括加油站数量、购进油量、销售油量、销售金额等信息；当日各类油品购进量和金额；当日各类油品销售量和金额；市内各区县按销售总额排名；市内加油站按销售总额排名；以及相关预测监控信息等信息。</w:t>
            </w:r>
          </w:p>
          <w:p w14:paraId="1F94277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大屏展示全市及各区县油品库存信息，包括各类油品库存、近7天全市各类油品变化、库存区域排名前十名、库存油品占比、以及各地区库存偏低监控。（需提供功能演示视频证明）</w:t>
            </w:r>
          </w:p>
        </w:tc>
      </w:tr>
      <w:tr w14:paraId="2273F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55A7BD0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995" w:type="dxa"/>
            <w:vMerge w:val="continue"/>
            <w:tcMar>
              <w:top w:w="0" w:type="dxa"/>
              <w:left w:w="108" w:type="dxa"/>
              <w:bottom w:w="0" w:type="dxa"/>
              <w:right w:w="108" w:type="dxa"/>
            </w:tcMar>
            <w:vAlign w:val="center"/>
          </w:tcPr>
          <w:p w14:paraId="635EB19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2FBA7BA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经营状况概览</w:t>
            </w:r>
          </w:p>
        </w:tc>
        <w:tc>
          <w:tcPr>
            <w:tcW w:w="5488" w:type="dxa"/>
            <w:tcMar>
              <w:top w:w="0" w:type="dxa"/>
              <w:left w:w="108" w:type="dxa"/>
              <w:bottom w:w="0" w:type="dxa"/>
              <w:right w:w="108" w:type="dxa"/>
            </w:tcMar>
            <w:vAlign w:val="center"/>
          </w:tcPr>
          <w:p w14:paraId="5A3D3A6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屏展示加油站在地图上的地理位置分布，不同图标区分正常加油站和异常加油站，统计加油站的收入总量及同比，展示不同油品的、不同月份的购进油量及金额的变化趋势；展示不同油品、不同月份的销售油量及金额的变化趋势。</w:t>
            </w:r>
          </w:p>
          <w:p w14:paraId="658B0DE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（需提供功能演示视频证明）</w:t>
            </w:r>
          </w:p>
        </w:tc>
      </w:tr>
      <w:tr w14:paraId="0B3900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1A4A961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995" w:type="dxa"/>
            <w:vMerge w:val="restart"/>
            <w:tcMar>
              <w:top w:w="0" w:type="dxa"/>
              <w:left w:w="108" w:type="dxa"/>
              <w:bottom w:w="0" w:type="dxa"/>
              <w:right w:w="108" w:type="dxa"/>
            </w:tcMar>
            <w:vAlign w:val="center"/>
          </w:tcPr>
          <w:p w14:paraId="32F6804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日常管理与分析</w:t>
            </w:r>
          </w:p>
          <w:p w14:paraId="4514C69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tc>
        <w:tc>
          <w:tcPr>
            <w:tcW w:w="1635" w:type="dxa"/>
            <w:tcMar>
              <w:top w:w="0" w:type="dxa"/>
              <w:left w:w="108" w:type="dxa"/>
              <w:bottom w:w="0" w:type="dxa"/>
              <w:right w:w="108" w:type="dxa"/>
            </w:tcMar>
            <w:vAlign w:val="center"/>
          </w:tcPr>
          <w:p w14:paraId="1B03F456">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纳统加油站汇总查询</w:t>
            </w:r>
          </w:p>
        </w:tc>
        <w:tc>
          <w:tcPr>
            <w:tcW w:w="5488" w:type="dxa"/>
            <w:tcMar>
              <w:top w:w="0" w:type="dxa"/>
              <w:left w:w="108" w:type="dxa"/>
              <w:bottom w:w="0" w:type="dxa"/>
              <w:right w:w="108" w:type="dxa"/>
            </w:tcMar>
            <w:vAlign w:val="center"/>
          </w:tcPr>
          <w:p w14:paraId="364F4CC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汇总全市上年销售总金额超过500万的加油站信息，可查询加油站属期内销售总量、销售总额、各类油品的销售量和销售额等数据。</w:t>
            </w:r>
          </w:p>
        </w:tc>
      </w:tr>
      <w:tr w14:paraId="71BD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07265CE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995" w:type="dxa"/>
            <w:vMerge w:val="continue"/>
            <w:tcMar>
              <w:top w:w="0" w:type="dxa"/>
              <w:left w:w="108" w:type="dxa"/>
              <w:bottom w:w="0" w:type="dxa"/>
              <w:right w:w="108" w:type="dxa"/>
            </w:tcMar>
            <w:vAlign w:val="center"/>
          </w:tcPr>
          <w:p w14:paraId="22942D4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20FCEF9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全域加油站油品单价排行榜</w:t>
            </w:r>
          </w:p>
        </w:tc>
        <w:tc>
          <w:tcPr>
            <w:tcW w:w="5488" w:type="dxa"/>
            <w:tcMar>
              <w:top w:w="0" w:type="dxa"/>
              <w:left w:w="108" w:type="dxa"/>
              <w:bottom w:w="0" w:type="dxa"/>
              <w:right w:w="108" w:type="dxa"/>
            </w:tcMar>
            <w:vAlign w:val="center"/>
          </w:tcPr>
          <w:p w14:paraId="13BAA90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支持所选地区内各类油品某个属期内在各个加油站的单价排行，提供对比分析。</w:t>
            </w:r>
          </w:p>
        </w:tc>
      </w:tr>
      <w:tr w14:paraId="7AF997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3C853A25">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995" w:type="dxa"/>
            <w:vMerge w:val="continue"/>
            <w:tcMar>
              <w:top w:w="0" w:type="dxa"/>
              <w:left w:w="108" w:type="dxa"/>
              <w:bottom w:w="0" w:type="dxa"/>
              <w:right w:w="108" w:type="dxa"/>
            </w:tcMar>
            <w:vAlign w:val="center"/>
          </w:tcPr>
          <w:p w14:paraId="4E6D56C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134CB7F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全域加油站油品保供分析</w:t>
            </w:r>
          </w:p>
        </w:tc>
        <w:tc>
          <w:tcPr>
            <w:tcW w:w="5488" w:type="dxa"/>
            <w:tcMar>
              <w:top w:w="0" w:type="dxa"/>
              <w:left w:w="108" w:type="dxa"/>
              <w:bottom w:w="0" w:type="dxa"/>
              <w:right w:w="108" w:type="dxa"/>
            </w:tcMar>
            <w:vAlign w:val="center"/>
          </w:tcPr>
          <w:p w14:paraId="0F41EF65">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支持所选地区内某个属期内各个加油站的预测销售总量、预测库存量、以及预测供应缺口，提供预测评估报告。</w:t>
            </w:r>
          </w:p>
        </w:tc>
      </w:tr>
      <w:tr w14:paraId="4B32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5BF0E05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995" w:type="dxa"/>
            <w:vMerge w:val="continue"/>
            <w:tcMar>
              <w:top w:w="0" w:type="dxa"/>
              <w:left w:w="108" w:type="dxa"/>
              <w:bottom w:w="0" w:type="dxa"/>
              <w:right w:w="108" w:type="dxa"/>
            </w:tcMar>
            <w:vAlign w:val="center"/>
          </w:tcPr>
          <w:p w14:paraId="019FA65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1E0FFAF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加油站销售统计</w:t>
            </w:r>
          </w:p>
        </w:tc>
        <w:tc>
          <w:tcPr>
            <w:tcW w:w="5488" w:type="dxa"/>
            <w:tcMar>
              <w:top w:w="0" w:type="dxa"/>
              <w:left w:w="108" w:type="dxa"/>
              <w:bottom w:w="0" w:type="dxa"/>
              <w:right w:w="108" w:type="dxa"/>
            </w:tcMar>
            <w:vAlign w:val="center"/>
          </w:tcPr>
          <w:p w14:paraId="021178F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统计所选地区内某年的加油站销售信息，包括加油站属期内销售总量、销售总额、各类油品的销售量和销售额等数据。</w:t>
            </w:r>
          </w:p>
        </w:tc>
      </w:tr>
      <w:tr w14:paraId="06F7C5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193850A9">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995" w:type="dxa"/>
            <w:vMerge w:val="continue"/>
            <w:tcMar>
              <w:top w:w="0" w:type="dxa"/>
              <w:left w:w="108" w:type="dxa"/>
              <w:bottom w:w="0" w:type="dxa"/>
              <w:right w:w="108" w:type="dxa"/>
            </w:tcMar>
            <w:vAlign w:val="center"/>
          </w:tcPr>
          <w:p w14:paraId="4AE2616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305C2F3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同区域加油站销售情况比对</w:t>
            </w:r>
          </w:p>
        </w:tc>
        <w:tc>
          <w:tcPr>
            <w:tcW w:w="5488" w:type="dxa"/>
            <w:tcMar>
              <w:top w:w="0" w:type="dxa"/>
              <w:left w:w="108" w:type="dxa"/>
              <w:bottom w:w="0" w:type="dxa"/>
              <w:right w:w="108" w:type="dxa"/>
            </w:tcMar>
            <w:vAlign w:val="center"/>
          </w:tcPr>
          <w:p w14:paraId="78D6484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提供同一行政区内同一属期内加油站销售总量、销售总额、以及各类油品的销售量和销售额的对比分析，同时汇总该行政区内销售总量、销售总额、平均销售总量、平均销售总额等数据。</w:t>
            </w:r>
          </w:p>
        </w:tc>
      </w:tr>
      <w:tr w14:paraId="36A67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3E3D162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1995" w:type="dxa"/>
            <w:vMerge w:val="continue"/>
            <w:tcMar>
              <w:top w:w="0" w:type="dxa"/>
              <w:left w:w="108" w:type="dxa"/>
              <w:bottom w:w="0" w:type="dxa"/>
              <w:right w:w="108" w:type="dxa"/>
            </w:tcMar>
            <w:vAlign w:val="center"/>
          </w:tcPr>
          <w:p w14:paraId="666EBD2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30CFE8AF">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同区域民营、国营加油站销售情况比对</w:t>
            </w:r>
          </w:p>
        </w:tc>
        <w:tc>
          <w:tcPr>
            <w:tcW w:w="5488" w:type="dxa"/>
            <w:tcMar>
              <w:top w:w="0" w:type="dxa"/>
              <w:left w:w="108" w:type="dxa"/>
              <w:bottom w:w="0" w:type="dxa"/>
              <w:right w:w="108" w:type="dxa"/>
            </w:tcMar>
            <w:vAlign w:val="center"/>
          </w:tcPr>
          <w:p w14:paraId="168C15B0">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提供同一行政区内同一属期内国营加油站和非国营加油站的销售总量、销售总额、以及各类油品的销售量和销售额的对比情况。</w:t>
            </w:r>
          </w:p>
        </w:tc>
      </w:tr>
      <w:tr w14:paraId="35CF1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61465AF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hAnsi="宋体" w:cs="宋体"/>
                <w:color w:val="auto"/>
                <w:sz w:val="21"/>
                <w:szCs w:val="21"/>
                <w:highlight w:val="none"/>
                <w:lang w:val="en-US" w:eastAsia="zh-CN"/>
              </w:rPr>
              <w:t>2</w:t>
            </w:r>
          </w:p>
        </w:tc>
        <w:tc>
          <w:tcPr>
            <w:tcW w:w="1995" w:type="dxa"/>
            <w:vMerge w:val="continue"/>
            <w:tcMar>
              <w:top w:w="0" w:type="dxa"/>
              <w:left w:w="108" w:type="dxa"/>
              <w:bottom w:w="0" w:type="dxa"/>
              <w:right w:w="108" w:type="dxa"/>
            </w:tcMar>
            <w:vAlign w:val="center"/>
          </w:tcPr>
          <w:p w14:paraId="51B205E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7D4AEAB3">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市场供销平衡监测</w:t>
            </w:r>
          </w:p>
        </w:tc>
        <w:tc>
          <w:tcPr>
            <w:tcW w:w="5488" w:type="dxa"/>
            <w:tcMar>
              <w:top w:w="0" w:type="dxa"/>
              <w:left w:w="108" w:type="dxa"/>
              <w:bottom w:w="0" w:type="dxa"/>
              <w:right w:w="108" w:type="dxa"/>
            </w:tcMar>
            <w:vAlign w:val="center"/>
          </w:tcPr>
          <w:p w14:paraId="303C3A8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▲支持对供应缺口大于监控值的加油站进行监控，并展示预测的销售总量、库存量、供应缺口等信息。（需提供功能演示视频证明）</w:t>
            </w:r>
          </w:p>
        </w:tc>
      </w:tr>
      <w:tr w14:paraId="07F16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424CB037">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hAnsi="宋体" w:cs="宋体"/>
                <w:color w:val="auto"/>
                <w:sz w:val="21"/>
                <w:szCs w:val="21"/>
                <w:highlight w:val="none"/>
                <w:lang w:val="en-US" w:eastAsia="zh-CN"/>
              </w:rPr>
              <w:t>3</w:t>
            </w:r>
          </w:p>
        </w:tc>
        <w:tc>
          <w:tcPr>
            <w:tcW w:w="1995" w:type="dxa"/>
            <w:vMerge w:val="continue"/>
            <w:tcMar>
              <w:top w:w="0" w:type="dxa"/>
              <w:left w:w="108" w:type="dxa"/>
              <w:bottom w:w="0" w:type="dxa"/>
              <w:right w:w="108" w:type="dxa"/>
            </w:tcMar>
            <w:vAlign w:val="center"/>
          </w:tcPr>
          <w:p w14:paraId="7AD6261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3AEF7489">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销售数量波动异常监测</w:t>
            </w:r>
          </w:p>
        </w:tc>
        <w:tc>
          <w:tcPr>
            <w:tcW w:w="5488" w:type="dxa"/>
            <w:tcMar>
              <w:top w:w="0" w:type="dxa"/>
              <w:left w:w="108" w:type="dxa"/>
              <w:bottom w:w="0" w:type="dxa"/>
              <w:right w:w="108" w:type="dxa"/>
            </w:tcMar>
            <w:vAlign w:val="center"/>
          </w:tcPr>
          <w:p w14:paraId="08EDE2A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支持对销售总量同比或环比超过5%的加油站进行监控，并展示对应属期、销售总量、同比数据、环比数据等信息。</w:t>
            </w:r>
          </w:p>
        </w:tc>
      </w:tr>
      <w:tr w14:paraId="12DC4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3A91B26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hAnsi="宋体" w:cs="宋体"/>
                <w:color w:val="auto"/>
                <w:sz w:val="21"/>
                <w:szCs w:val="21"/>
                <w:highlight w:val="none"/>
                <w:lang w:val="en-US" w:eastAsia="zh-CN"/>
              </w:rPr>
              <w:t>4</w:t>
            </w:r>
          </w:p>
        </w:tc>
        <w:tc>
          <w:tcPr>
            <w:tcW w:w="1995" w:type="dxa"/>
            <w:vMerge w:val="restart"/>
            <w:tcMar>
              <w:top w:w="0" w:type="dxa"/>
              <w:left w:w="108" w:type="dxa"/>
              <w:bottom w:w="0" w:type="dxa"/>
              <w:right w:w="108" w:type="dxa"/>
            </w:tcMar>
            <w:vAlign w:val="center"/>
          </w:tcPr>
          <w:p w14:paraId="5AE7E58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作弊监控</w:t>
            </w:r>
          </w:p>
        </w:tc>
        <w:tc>
          <w:tcPr>
            <w:tcW w:w="1635" w:type="dxa"/>
            <w:tcMar>
              <w:top w:w="0" w:type="dxa"/>
              <w:left w:w="108" w:type="dxa"/>
              <w:bottom w:w="0" w:type="dxa"/>
              <w:right w:w="108" w:type="dxa"/>
            </w:tcMar>
            <w:vAlign w:val="center"/>
          </w:tcPr>
          <w:p w14:paraId="2021FC22">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订单异常监测</w:t>
            </w:r>
          </w:p>
        </w:tc>
        <w:tc>
          <w:tcPr>
            <w:tcW w:w="5488" w:type="dxa"/>
            <w:tcMar>
              <w:top w:w="0" w:type="dxa"/>
              <w:left w:w="108" w:type="dxa"/>
              <w:bottom w:w="0" w:type="dxa"/>
              <w:right w:w="108" w:type="dxa"/>
            </w:tcMar>
            <w:vAlign w:val="center"/>
          </w:tcPr>
          <w:p w14:paraId="4591A9B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shd w:val="clear" w:color="auto" w:fill="FFFFFF"/>
              </w:rPr>
              <w:t>支持查询月订单数丢失、日周月季订单数丢失、订单金额篡改的加油站</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信息，查询结果包括社会信用代码、企业名称、</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时间、</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类型、异常说明、作弊指向、推送状态、</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状态，查询条件包括社会信用代码、企业名称、</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时间、推送状态、</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状态、</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类型。支持将</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信息推送至加油站。</w:t>
            </w:r>
          </w:p>
          <w:p w14:paraId="72232B11">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支持对</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信息展开对账，比对具体的报文采集数据与零售系统数据明细差异，自动标注正常和异常明细，支持导出明细数据。</w:t>
            </w:r>
          </w:p>
          <w:p w14:paraId="32C6C785">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支持自动生成监控报告，显示加油站基本情况、异常监控说明（监控点、监控描述、数据分析）等，支持下载报告。</w:t>
            </w:r>
          </w:p>
          <w:p w14:paraId="251D487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（需提供功能演示视频证明）</w:t>
            </w:r>
          </w:p>
        </w:tc>
      </w:tr>
      <w:tr w14:paraId="60FCF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65EE14D4">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15</w:t>
            </w:r>
          </w:p>
        </w:tc>
        <w:tc>
          <w:tcPr>
            <w:tcW w:w="1995" w:type="dxa"/>
            <w:vMerge w:val="continue"/>
            <w:tcMar>
              <w:top w:w="0" w:type="dxa"/>
              <w:left w:w="108" w:type="dxa"/>
              <w:bottom w:w="0" w:type="dxa"/>
              <w:right w:w="108" w:type="dxa"/>
            </w:tcMar>
            <w:vAlign w:val="center"/>
          </w:tcPr>
          <w:p w14:paraId="2D8BAE2C">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p>
        </w:tc>
        <w:tc>
          <w:tcPr>
            <w:tcW w:w="1635" w:type="dxa"/>
            <w:tcMar>
              <w:top w:w="0" w:type="dxa"/>
              <w:left w:w="108" w:type="dxa"/>
              <w:bottom w:w="0" w:type="dxa"/>
              <w:right w:w="108" w:type="dxa"/>
            </w:tcMar>
            <w:vAlign w:val="center"/>
          </w:tcPr>
          <w:p w14:paraId="034B8D08">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泵码异常监测</w:t>
            </w:r>
          </w:p>
        </w:tc>
        <w:tc>
          <w:tcPr>
            <w:tcW w:w="5488" w:type="dxa"/>
            <w:tcMar>
              <w:top w:w="0" w:type="dxa"/>
              <w:left w:w="108" w:type="dxa"/>
              <w:bottom w:w="0" w:type="dxa"/>
              <w:right w:w="108" w:type="dxa"/>
            </w:tcMar>
            <w:vAlign w:val="center"/>
          </w:tcPr>
          <w:p w14:paraId="06BB39DA">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支持查询泵码累计数异常、泵码不走字异常的加油站</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信息，查询结果包括</w:t>
            </w:r>
            <w:r>
              <w:rPr>
                <w:rFonts w:hint="eastAsia" w:hAnsi="宋体" w:cs="宋体"/>
                <w:color w:val="auto"/>
                <w:sz w:val="21"/>
                <w:szCs w:val="21"/>
                <w:highlight w:val="none"/>
                <w:shd w:val="clear" w:color="auto" w:fill="FFFFFF"/>
                <w:lang w:eastAsia="zh-CN"/>
              </w:rPr>
              <w:t>社会统一信用代码</w:t>
            </w:r>
            <w:r>
              <w:rPr>
                <w:rFonts w:hint="eastAsia" w:ascii="宋体" w:hAnsi="宋体" w:eastAsia="宋体" w:cs="宋体"/>
                <w:color w:val="auto"/>
                <w:sz w:val="21"/>
                <w:szCs w:val="21"/>
                <w:highlight w:val="none"/>
                <w:shd w:val="clear" w:color="auto" w:fill="FFFFFF"/>
              </w:rPr>
              <w:t>、</w:t>
            </w:r>
            <w:r>
              <w:rPr>
                <w:rFonts w:hint="eastAsia" w:hAnsi="宋体" w:cs="宋体"/>
                <w:color w:val="auto"/>
                <w:sz w:val="21"/>
                <w:szCs w:val="21"/>
                <w:highlight w:val="none"/>
                <w:shd w:val="clear" w:color="auto" w:fill="FFFFFF"/>
                <w:lang w:eastAsia="zh-CN"/>
              </w:rPr>
              <w:t>企业名称</w:t>
            </w:r>
            <w:r>
              <w:rPr>
                <w:rFonts w:hint="eastAsia" w:ascii="宋体" w:hAnsi="宋体" w:eastAsia="宋体" w:cs="宋体"/>
                <w:color w:val="auto"/>
                <w:sz w:val="21"/>
                <w:szCs w:val="21"/>
                <w:highlight w:val="none"/>
                <w:shd w:val="clear" w:color="auto" w:fill="FFFFFF"/>
              </w:rPr>
              <w:t>、</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时间、</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类型、异常说明、作弊指向、推送状态、</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状态，查询条件包括社会信用代码、企业名称、</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时间、推送状态、</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状态、</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类型。支持将</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信息推送至加油站。</w:t>
            </w:r>
          </w:p>
          <w:p w14:paraId="6616631C">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支持对</w:t>
            </w:r>
            <w:r>
              <w:rPr>
                <w:rFonts w:hint="eastAsia" w:ascii="宋体" w:hAnsi="宋体" w:eastAsia="宋体" w:cs="宋体"/>
                <w:color w:val="auto"/>
                <w:sz w:val="21"/>
                <w:szCs w:val="21"/>
                <w:highlight w:val="none"/>
              </w:rPr>
              <w:t>监控</w:t>
            </w:r>
            <w:r>
              <w:rPr>
                <w:rFonts w:hint="eastAsia" w:ascii="宋体" w:hAnsi="宋体" w:eastAsia="宋体" w:cs="宋体"/>
                <w:color w:val="auto"/>
                <w:sz w:val="21"/>
                <w:szCs w:val="21"/>
                <w:highlight w:val="none"/>
                <w:shd w:val="clear" w:color="auto" w:fill="FFFFFF"/>
              </w:rPr>
              <w:t>信息展开对账，自动提示疑似作弊指向，显示相关数据的具体明细，自动标注正常和异常明细，支持导出明细数据。</w:t>
            </w:r>
          </w:p>
          <w:p w14:paraId="217D742A">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支持自动生成监控报告，显示加油站基本情况、异常监控说明（监控点、监控描述、数据分析）等，支持下载报告。</w:t>
            </w:r>
          </w:p>
        </w:tc>
      </w:tr>
      <w:tr w14:paraId="62387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178E7C4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lang w:eastAsia="zh-CN"/>
              </w:rPr>
            </w:pPr>
            <w:r>
              <w:rPr>
                <w:rFonts w:hint="eastAsia" w:hAnsi="宋体" w:cs="宋体"/>
                <w:color w:val="auto"/>
                <w:sz w:val="21"/>
                <w:szCs w:val="21"/>
                <w:highlight w:val="none"/>
                <w:lang w:val="en-US" w:eastAsia="zh-CN"/>
              </w:rPr>
              <w:t>16</w:t>
            </w:r>
          </w:p>
        </w:tc>
        <w:tc>
          <w:tcPr>
            <w:tcW w:w="1995" w:type="dxa"/>
            <w:tcMar>
              <w:top w:w="0" w:type="dxa"/>
              <w:left w:w="108" w:type="dxa"/>
              <w:bottom w:w="0" w:type="dxa"/>
              <w:right w:w="108" w:type="dxa"/>
            </w:tcMar>
            <w:vAlign w:val="center"/>
          </w:tcPr>
          <w:p w14:paraId="749A49EB">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日常比对</w:t>
            </w:r>
          </w:p>
        </w:tc>
        <w:tc>
          <w:tcPr>
            <w:tcW w:w="1635" w:type="dxa"/>
            <w:tcMar>
              <w:top w:w="0" w:type="dxa"/>
              <w:left w:w="108" w:type="dxa"/>
              <w:bottom w:w="0" w:type="dxa"/>
              <w:right w:w="108" w:type="dxa"/>
            </w:tcMar>
            <w:vAlign w:val="center"/>
          </w:tcPr>
          <w:p w14:paraId="14F9B0F1">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每日汇总比对查询</w:t>
            </w:r>
          </w:p>
        </w:tc>
        <w:tc>
          <w:tcPr>
            <w:tcW w:w="5488" w:type="dxa"/>
            <w:tcMar>
              <w:top w:w="0" w:type="dxa"/>
              <w:left w:w="108" w:type="dxa"/>
              <w:bottom w:w="0" w:type="dxa"/>
              <w:right w:w="108" w:type="dxa"/>
            </w:tcMar>
            <w:vAlign w:val="center"/>
          </w:tcPr>
          <w:p w14:paraId="05A7591C">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bookmarkStart w:id="132" w:name="OLE_LINK4"/>
            <w:r>
              <w:rPr>
                <w:rFonts w:hint="eastAsia" w:ascii="宋体" w:hAnsi="宋体" w:eastAsia="宋体" w:cs="宋体"/>
                <w:color w:val="auto"/>
                <w:sz w:val="21"/>
                <w:szCs w:val="21"/>
                <w:highlight w:val="none"/>
              </w:rPr>
              <w:t>▲</w:t>
            </w:r>
            <w:bookmarkEnd w:id="132"/>
            <w:r>
              <w:rPr>
                <w:rFonts w:hint="eastAsia" w:ascii="宋体" w:hAnsi="宋体" w:eastAsia="宋体" w:cs="宋体"/>
                <w:color w:val="auto"/>
                <w:sz w:val="21"/>
                <w:szCs w:val="21"/>
                <w:highlight w:val="none"/>
              </w:rPr>
              <w:t>每日汇总比对查询支持对推送给加油站的比对记录展开条件查询，查询结果包括交易日期、</w:t>
            </w:r>
            <w:r>
              <w:rPr>
                <w:rFonts w:hint="eastAsia" w:ascii="宋体" w:hAnsi="宋体" w:eastAsia="宋体" w:cs="宋体"/>
                <w:color w:val="auto"/>
                <w:sz w:val="21"/>
                <w:szCs w:val="21"/>
                <w:highlight w:val="none"/>
                <w:shd w:val="clear" w:color="auto" w:fill="FFFFFF"/>
              </w:rPr>
              <w:t>社会信用代码、企业名称</w:t>
            </w:r>
            <w:r>
              <w:rPr>
                <w:rFonts w:hint="eastAsia" w:ascii="宋体" w:hAnsi="宋体" w:eastAsia="宋体" w:cs="宋体"/>
                <w:color w:val="auto"/>
                <w:sz w:val="21"/>
                <w:szCs w:val="21"/>
                <w:highlight w:val="none"/>
              </w:rPr>
              <w:t>、登记序号、日累计加油量、日累计金额、比对状态、比对时间、比对结果，查询条件包括交易日期、企业模糊搜索、比对状态、比对结果。</w:t>
            </w:r>
          </w:p>
          <w:p w14:paraId="247D0270">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支持查看具体的比对详情，包括日销售油品汇总数据、比对明细。日销售油品汇总数据支持查看对应比对记录下不同的枪号、油品类型、平台采集泵码数情况、客户端泵码数确认情况、平台采集汇总数量、加油站人员反馈上比对汇总数量。比对明细展示对应比对记录下的加油站比对记录及结果，包括交易时间、枪号、油品类型、平台采集数量、加油站人员反馈上比对数量、比对结果，展示加油站人员反馈的差异明细证明材料。</w:t>
            </w:r>
          </w:p>
          <w:p w14:paraId="3B37DBD9">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（需提供功能演示视频证明）</w:t>
            </w:r>
          </w:p>
        </w:tc>
      </w:tr>
      <w:tr w14:paraId="21C43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80" w:type="dxa"/>
            <w:tcMar>
              <w:top w:w="0" w:type="dxa"/>
              <w:left w:w="108" w:type="dxa"/>
              <w:bottom w:w="0" w:type="dxa"/>
              <w:right w:w="108" w:type="dxa"/>
            </w:tcMar>
            <w:vAlign w:val="center"/>
          </w:tcPr>
          <w:p w14:paraId="5AE805BD">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default" w:ascii="宋体" w:hAnsi="宋体" w:eastAsia="宋体" w:cs="宋体"/>
                <w:color w:val="auto"/>
                <w:sz w:val="21"/>
                <w:szCs w:val="21"/>
                <w:highlight w:val="none"/>
                <w:lang w:val="en-US" w:eastAsia="zh-CN"/>
              </w:rPr>
            </w:pPr>
            <w:r>
              <w:rPr>
                <w:rFonts w:hint="eastAsia" w:hAnsi="宋体" w:cs="宋体"/>
                <w:color w:val="auto"/>
                <w:sz w:val="21"/>
                <w:szCs w:val="21"/>
                <w:highlight w:val="none"/>
                <w:lang w:val="en-US" w:eastAsia="zh-CN"/>
              </w:rPr>
              <w:t>17</w:t>
            </w:r>
          </w:p>
        </w:tc>
        <w:tc>
          <w:tcPr>
            <w:tcW w:w="1995" w:type="dxa"/>
            <w:tcMar>
              <w:top w:w="0" w:type="dxa"/>
              <w:left w:w="108" w:type="dxa"/>
              <w:bottom w:w="0" w:type="dxa"/>
              <w:right w:w="108" w:type="dxa"/>
            </w:tcMar>
            <w:vAlign w:val="center"/>
          </w:tcPr>
          <w:p w14:paraId="1F4792BA">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其他要求</w:t>
            </w:r>
          </w:p>
        </w:tc>
        <w:tc>
          <w:tcPr>
            <w:tcW w:w="1635" w:type="dxa"/>
            <w:tcMar>
              <w:top w:w="0" w:type="dxa"/>
              <w:left w:w="108" w:type="dxa"/>
              <w:bottom w:w="0" w:type="dxa"/>
              <w:right w:w="108" w:type="dxa"/>
            </w:tcMar>
            <w:vAlign w:val="center"/>
          </w:tcPr>
          <w:p w14:paraId="7283234E">
            <w:pPr>
              <w:keepNext w:val="0"/>
              <w:keepLines w:val="0"/>
              <w:pageBreakBefore w:val="0"/>
              <w:widowControl w:val="0"/>
              <w:kinsoku/>
              <w:wordWrap/>
              <w:overflowPunct/>
              <w:topLinePunct w:val="0"/>
              <w:autoSpaceDE/>
              <w:autoSpaceDN/>
              <w:bidi w:val="0"/>
              <w:adjustRightInd/>
              <w:snapToGrid/>
              <w:spacing w:line="460" w:lineRule="exact"/>
              <w:ind w:left="0" w:firstLine="0" w:firstLineChars="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其他要求</w:t>
            </w:r>
          </w:p>
        </w:tc>
        <w:tc>
          <w:tcPr>
            <w:tcW w:w="5488" w:type="dxa"/>
            <w:tcMar>
              <w:top w:w="0" w:type="dxa"/>
              <w:left w:w="108" w:type="dxa"/>
              <w:bottom w:w="0" w:type="dxa"/>
              <w:right w:w="108" w:type="dxa"/>
            </w:tcMar>
            <w:vAlign w:val="center"/>
          </w:tcPr>
          <w:p w14:paraId="2356FC92">
            <w:pPr>
              <w:keepNext w:val="0"/>
              <w:keepLines w:val="0"/>
              <w:pageBreakBefore w:val="0"/>
              <w:widowControl w:val="0"/>
              <w:kinsoku/>
              <w:wordWrap/>
              <w:overflowPunct/>
              <w:topLinePunct w:val="0"/>
              <w:autoSpaceDE/>
              <w:autoSpaceDN/>
              <w:bidi w:val="0"/>
              <w:adjustRightInd/>
              <w:snapToGrid/>
              <w:spacing w:line="460" w:lineRule="exact"/>
              <w:ind w:left="0" w:firstLine="0" w:firstLineChars="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系统架构需为模块化设计，能实现用户权限分配功能，加油站业务、市、县两级商务等部门按职责分配不同权限的账户</w:t>
            </w:r>
          </w:p>
        </w:tc>
      </w:tr>
    </w:tbl>
    <w:p w14:paraId="5534A68F">
      <w:pPr>
        <w:pageBreakBefore w:val="0"/>
        <w:kinsoku/>
        <w:wordWrap/>
        <w:overflowPunct/>
        <w:topLinePunct w:val="0"/>
        <w:autoSpaceDE/>
        <w:autoSpaceDN/>
        <w:bidi w:val="0"/>
        <w:adjustRightInd/>
        <w:snapToGrid/>
        <w:spacing w:line="460" w:lineRule="exact"/>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1630D1D4">
      <w:pPr>
        <w:spacing w:line="460" w:lineRule="exact"/>
        <w:ind w:firstLine="561" w:firstLineChars="266"/>
        <w:rPr>
          <w:rFonts w:hint="default" w:hAnsi="宋体" w:eastAsia="宋体" w:cs="宋体"/>
          <w:b/>
          <w:bCs w:val="0"/>
          <w:color w:val="auto"/>
          <w:sz w:val="21"/>
          <w:szCs w:val="21"/>
          <w:highlight w:val="none"/>
          <w:lang w:val="en-US" w:eastAsia="zh-CN"/>
        </w:rPr>
      </w:pPr>
      <w:r>
        <w:rPr>
          <w:rFonts w:hint="eastAsia" w:hAnsi="宋体" w:cs="宋体"/>
          <w:b/>
          <w:bCs w:val="0"/>
          <w:color w:val="auto"/>
          <w:sz w:val="21"/>
          <w:szCs w:val="21"/>
          <w:highlight w:val="none"/>
          <w:lang w:val="en-US" w:eastAsia="zh-CN"/>
        </w:rPr>
        <w:t>3.2视频演示要求</w:t>
      </w:r>
    </w:p>
    <w:p w14:paraId="691BE82E">
      <w:pPr>
        <w:widowControl/>
        <w:spacing w:line="460" w:lineRule="exact"/>
        <w:ind w:firstLine="558" w:firstLineChars="266"/>
        <w:rPr>
          <w:color w:val="auto"/>
          <w:sz w:val="21"/>
          <w:szCs w:val="21"/>
          <w:highlight w:val="none"/>
        </w:rPr>
      </w:pPr>
      <w:r>
        <w:rPr>
          <w:rFonts w:hint="eastAsia"/>
          <w:color w:val="auto"/>
          <w:sz w:val="21"/>
          <w:szCs w:val="21"/>
          <w:highlight w:val="none"/>
        </w:rPr>
        <w:t>本项目需要对本次采购的“</w:t>
      </w:r>
      <w:r>
        <w:rPr>
          <w:rFonts w:hint="eastAsia"/>
          <w:color w:val="auto"/>
          <w:sz w:val="21"/>
          <w:szCs w:val="21"/>
          <w:highlight w:val="none"/>
          <w:lang w:eastAsia="zh-CN"/>
        </w:rPr>
        <w:t>保山市加油站流量数据采集系统</w:t>
      </w:r>
      <w:r>
        <w:rPr>
          <w:rFonts w:hint="eastAsia"/>
          <w:color w:val="auto"/>
          <w:sz w:val="21"/>
          <w:szCs w:val="21"/>
          <w:highlight w:val="none"/>
        </w:rPr>
        <w:t>”提供开发设计功能模块（demo）进行视频演示，演示方式采用视频并配音解说进行实现（格式：MP4）。视频演示须图像清晰、演示功能准确，配音解说须与视频显示内容一致。</w:t>
      </w:r>
    </w:p>
    <w:p w14:paraId="2F22D04B">
      <w:pPr>
        <w:widowControl/>
        <w:spacing w:line="460" w:lineRule="exact"/>
        <w:ind w:firstLine="558" w:firstLineChars="266"/>
        <w:rPr>
          <w:rFonts w:hint="eastAsia" w:ascii="宋体" w:hAnsi="宋体" w:eastAsia="宋体" w:cs="宋体"/>
          <w:color w:val="auto"/>
          <w:sz w:val="21"/>
          <w:szCs w:val="21"/>
          <w:highlight w:val="none"/>
        </w:rPr>
      </w:pPr>
      <w:r>
        <w:rPr>
          <w:rFonts w:hint="eastAsia"/>
          <w:color w:val="auto"/>
          <w:sz w:val="21"/>
          <w:szCs w:val="21"/>
          <w:highlight w:val="none"/>
        </w:rPr>
        <w:t>演示内容：</w:t>
      </w:r>
      <w:r>
        <w:rPr>
          <w:rFonts w:hint="eastAsia"/>
          <w:color w:val="auto"/>
          <w:sz w:val="21"/>
          <w:szCs w:val="21"/>
          <w:highlight w:val="none"/>
          <w:lang w:val="en-US" w:eastAsia="zh-CN"/>
        </w:rPr>
        <w:t>招标文件第六章采购需求中“二、项目采购需求”</w:t>
      </w:r>
      <w:r>
        <w:rPr>
          <w:rFonts w:hint="eastAsia" w:ascii="宋体" w:hAnsi="宋体" w:eastAsia="宋体" w:cs="宋体"/>
          <w:color w:val="auto"/>
          <w:sz w:val="21"/>
          <w:szCs w:val="21"/>
          <w:highlight w:val="none"/>
        </w:rPr>
        <w:t>标注“▲”的为演示内容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共</w:t>
      </w:r>
      <w:r>
        <w:rPr>
          <w:rFonts w:hint="eastAsia" w:hAnsi="宋体" w:cs="宋体"/>
          <w:color w:val="auto"/>
          <w:sz w:val="21"/>
          <w:szCs w:val="21"/>
          <w:highlight w:val="none"/>
          <w:lang w:val="en-US" w:eastAsia="zh-CN"/>
        </w:rPr>
        <w:t>16</w:t>
      </w:r>
      <w:r>
        <w:rPr>
          <w:rFonts w:hint="eastAsia" w:ascii="宋体" w:hAnsi="宋体" w:eastAsia="宋体" w:cs="宋体"/>
          <w:color w:val="auto"/>
          <w:sz w:val="21"/>
          <w:szCs w:val="21"/>
          <w:highlight w:val="none"/>
          <w:lang w:val="en-US" w:eastAsia="zh-CN"/>
        </w:rPr>
        <w:t>项功能</w:t>
      </w:r>
      <w:r>
        <w:rPr>
          <w:rFonts w:hint="eastAsia" w:ascii="宋体" w:hAnsi="宋体" w:eastAsia="宋体" w:cs="宋体"/>
          <w:color w:val="auto"/>
          <w:sz w:val="21"/>
          <w:szCs w:val="21"/>
          <w:highlight w:val="none"/>
          <w:lang w:eastAsia="zh-CN"/>
        </w:rPr>
        <w:t>），</w:t>
      </w:r>
      <w:r>
        <w:rPr>
          <w:rFonts w:hint="eastAsia"/>
          <w:color w:val="auto"/>
          <w:sz w:val="21"/>
          <w:szCs w:val="21"/>
          <w:highlight w:val="none"/>
          <w:lang w:val="en-US" w:eastAsia="zh-CN"/>
        </w:rPr>
        <w:t>请根据采购需求制作软件功能模块演示视频（demo）。其中各部分内容演示的功能模块必须演示系统功能的执行方式和相应的业务流程。</w:t>
      </w:r>
    </w:p>
    <w:p w14:paraId="4688F8BF">
      <w:pPr>
        <w:pStyle w:val="6"/>
        <w:pageBreakBefore w:val="0"/>
        <w:kinsoku/>
        <w:wordWrap/>
        <w:overflowPunct/>
        <w:topLinePunct w:val="0"/>
        <w:autoSpaceDE/>
        <w:autoSpaceDN/>
        <w:bidi w:val="0"/>
        <w:adjustRightInd/>
        <w:snapToGrid/>
        <w:spacing w:before="0" w:after="0" w:line="460" w:lineRule="exact"/>
        <w:ind w:left="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 xml:space="preserve"> 系统安装部署相关说明</w:t>
      </w:r>
    </w:p>
    <w:p w14:paraId="351A4A59">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软件采集端”须安装部署到保山市辖区内每一个加油站，并确保加油站流量数据采集准确、及时，具体涉及安装部署的加油站数量以采购人提供的实际站点数为准。“数据管理端”和“管理平台”两个系统模块基于政务云资源开展相关部署工作，具体由项目建设方申请并提供云资源（包括：计算、网络、存储、中间件等），从而实现系统的部署、信息数据存储、运行维护等。</w:t>
      </w:r>
    </w:p>
    <w:p w14:paraId="56B6A8AA">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w:t>
      </w:r>
      <w:r>
        <w:rPr>
          <w:rFonts w:hint="eastAsia" w:ascii="宋体" w:hAnsi="宋体" w:eastAsia="宋体" w:cs="宋体"/>
          <w:color w:val="auto"/>
          <w:sz w:val="21"/>
          <w:szCs w:val="21"/>
          <w:highlight w:val="none"/>
          <w:lang w:eastAsia="zh-CN"/>
        </w:rPr>
        <w:t>结合系统采集和汇总数据的实际情况</w:t>
      </w:r>
      <w:r>
        <w:rPr>
          <w:rFonts w:hint="eastAsia" w:ascii="宋体" w:hAnsi="宋体" w:eastAsia="宋体" w:cs="宋体"/>
          <w:color w:val="auto"/>
          <w:sz w:val="21"/>
          <w:szCs w:val="21"/>
          <w:highlight w:val="none"/>
        </w:rPr>
        <w:t>对云资源需求进行评估，</w:t>
      </w:r>
      <w:r>
        <w:rPr>
          <w:rFonts w:hint="eastAsia" w:ascii="宋体" w:hAnsi="宋体" w:eastAsia="宋体" w:cs="宋体"/>
          <w:color w:val="auto"/>
          <w:sz w:val="21"/>
          <w:szCs w:val="21"/>
          <w:highlight w:val="none"/>
          <w:lang w:eastAsia="zh-CN"/>
        </w:rPr>
        <w:t>向采购人提出</w:t>
      </w:r>
      <w:r>
        <w:rPr>
          <w:rFonts w:hint="eastAsia" w:ascii="宋体" w:hAnsi="宋体" w:eastAsia="宋体" w:cs="宋体"/>
          <w:color w:val="auto"/>
          <w:sz w:val="21"/>
          <w:szCs w:val="21"/>
          <w:highlight w:val="none"/>
        </w:rPr>
        <w:t>满足至少3年数据存储要求。</w:t>
      </w:r>
    </w:p>
    <w:p w14:paraId="64313F2B">
      <w:pPr>
        <w:pStyle w:val="6"/>
        <w:pageBreakBefore w:val="0"/>
        <w:kinsoku/>
        <w:wordWrap/>
        <w:overflowPunct/>
        <w:topLinePunct w:val="0"/>
        <w:autoSpaceDE/>
        <w:autoSpaceDN/>
        <w:bidi w:val="0"/>
        <w:adjustRightInd/>
        <w:snapToGrid/>
        <w:spacing w:before="0" w:after="0" w:line="460" w:lineRule="exact"/>
        <w:ind w:left="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 xml:space="preserve"> 项目实施及培训要求</w:t>
      </w:r>
    </w:p>
    <w:p w14:paraId="3480E114">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人应成立针对信息系统建设的项目工作组，同时，投标人需要提供完善的文档，并对项目进行过程中的文档进行有效的管理，并与采购人签署相应的系统和数据安全保密协议，接受采购人对项目各阶段评估分析和监督管理。</w:t>
      </w:r>
    </w:p>
    <w:p w14:paraId="1588B182">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为保证项目顺利完成，投标人需准备一份完整的培训计划，对各类系统操作人员进行相关的培训，同时需要负责培训的实施；包括培训文档的准备。与培训相关的费用，投标人应当一并计算在投标报价中。</w:t>
      </w:r>
    </w:p>
    <w:p w14:paraId="69F25838">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培训内容应包括系统特性、系统功能、故障诊断、安全技术与操作等方面的内容，使各类系统操作人员能独立操作使用相应的系统模块。对与信息系统的相关技术，投标人也需要提供必要的手段保证能够将其传授予相关技术人员。</w:t>
      </w:r>
    </w:p>
    <w:p w14:paraId="763C7FEE">
      <w:pPr>
        <w:pStyle w:val="6"/>
        <w:pageBreakBefore w:val="0"/>
        <w:kinsoku/>
        <w:wordWrap/>
        <w:overflowPunct/>
        <w:topLinePunct w:val="0"/>
        <w:autoSpaceDE/>
        <w:autoSpaceDN/>
        <w:bidi w:val="0"/>
        <w:adjustRightInd/>
        <w:snapToGrid/>
        <w:spacing w:before="0" w:after="0" w:line="460" w:lineRule="exact"/>
        <w:ind w:left="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验收要求</w:t>
      </w:r>
    </w:p>
    <w:p w14:paraId="6D629AC4">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系统完成安装部署（系统功能模块和相关技术指标达标），并与相应系统对接后，将进入为期30日历天的试运行阶段，在试运行阶段采购人将组建验收小组根据软件系统的运行稳定状况、数据校验错误率等方面进行项目初验，若软件系统的系统运行不稳定（如：经常出现系统运行逻辑错误、功能运转不正常、数据对接不正常的），中标人应无条件对软件系统进行免费整改调整和优化（不得向采购人收取其他任何费用），直至达到软件系统运行稳定为止。若最终达不到标准，采购人将根据合同要求对中标人追究其违约责任。 </w:t>
      </w:r>
    </w:p>
    <w:p w14:paraId="1201EB1F">
      <w:pPr>
        <w:pStyle w:val="6"/>
        <w:pageBreakBefore w:val="0"/>
        <w:kinsoku/>
        <w:wordWrap/>
        <w:overflowPunct/>
        <w:topLinePunct w:val="0"/>
        <w:autoSpaceDE/>
        <w:autoSpaceDN/>
        <w:bidi w:val="0"/>
        <w:adjustRightInd/>
        <w:snapToGrid/>
        <w:spacing w:before="0" w:after="0" w:line="460" w:lineRule="exact"/>
        <w:ind w:left="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售后运维服务要求</w:t>
      </w:r>
    </w:p>
    <w:p w14:paraId="0988F890">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为保障采购产品的售后运维服务要求，投标人应具有完善的售后服务体系，须针对本项目提供</w:t>
      </w:r>
      <w:r>
        <w:rPr>
          <w:rFonts w:hint="eastAsia" w:ascii="宋体" w:hAnsi="宋体" w:eastAsia="宋体" w:cs="宋体"/>
          <w:color w:val="auto"/>
          <w:sz w:val="21"/>
          <w:szCs w:val="21"/>
          <w:highlight w:val="none"/>
          <w:u w:val="single"/>
        </w:rPr>
        <w:t>不低于2年</w:t>
      </w:r>
      <w:r>
        <w:rPr>
          <w:rFonts w:hint="eastAsia" w:ascii="宋体" w:hAnsi="宋体" w:eastAsia="宋体" w:cs="宋体"/>
          <w:color w:val="auto"/>
          <w:sz w:val="21"/>
          <w:szCs w:val="21"/>
          <w:highlight w:val="none"/>
        </w:rPr>
        <w:t>的免费售后运维服务期限（自项目最终验收合格之日起计算），在售后运维服务期限内提供免费上门和驻场运维服务和相关技术支持服务。售后运维服务包括：</w:t>
      </w:r>
    </w:p>
    <w:p w14:paraId="384193EE">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提供不少于</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人本地</w:t>
      </w:r>
      <w:r>
        <w:rPr>
          <w:rFonts w:hint="eastAsia" w:ascii="宋体" w:hAnsi="宋体" w:eastAsia="宋体" w:cs="宋体"/>
          <w:color w:val="auto"/>
          <w:sz w:val="21"/>
          <w:szCs w:val="21"/>
          <w:highlight w:val="none"/>
          <w:lang w:eastAsia="zh-CN"/>
        </w:rPr>
        <w:t>现场</w:t>
      </w:r>
      <w:r>
        <w:rPr>
          <w:rFonts w:hint="eastAsia" w:ascii="宋体" w:hAnsi="宋体" w:eastAsia="宋体" w:cs="宋体"/>
          <w:color w:val="auto"/>
          <w:sz w:val="21"/>
          <w:szCs w:val="21"/>
          <w:highlight w:val="none"/>
        </w:rPr>
        <w:t>运维服务人员</w:t>
      </w:r>
      <w:r>
        <w:rPr>
          <w:rFonts w:hint="eastAsia" w:ascii="宋体" w:hAnsi="宋体" w:eastAsia="宋体" w:cs="宋体"/>
          <w:color w:val="auto"/>
          <w:sz w:val="21"/>
          <w:szCs w:val="21"/>
          <w:highlight w:val="none"/>
          <w:lang w:eastAsia="zh-CN"/>
        </w:rPr>
        <w:t>（市级</w:t>
      </w:r>
      <w:r>
        <w:rPr>
          <w:rFonts w:hint="eastAsia" w:ascii="宋体" w:hAnsi="宋体" w:eastAsia="宋体" w:cs="宋体"/>
          <w:color w:val="auto"/>
          <w:sz w:val="21"/>
          <w:szCs w:val="21"/>
          <w:highlight w:val="none"/>
          <w:lang w:val="en-US" w:eastAsia="zh-CN"/>
        </w:rPr>
        <w:t>1人，每个县区各1人</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，运维服务响应要求须提供365天*8小时上门维护服务，365天*24小时全天候上门应急服务，365天*24小时全天候远程和现场技术支持服务。</w:t>
      </w:r>
    </w:p>
    <w:p w14:paraId="456B4534">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对软件系统在运行中的故障排查、信息数据维护备份及恢复、系统及数据库适配调整提供运行维护工作。</w:t>
      </w:r>
    </w:p>
    <w:p w14:paraId="58790714">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在合同履行期限内，加油站流量数据采集系统出现或因外部原因形成各类漏洞、BUG，须无条件进行系统修复、整改，确保采集的加油站数据真实有效、安全不外泄。</w:t>
      </w:r>
    </w:p>
    <w:p w14:paraId="4467617B">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日常巡检：在售后运维服务期限内，每1个月对整体系统进行一次全方位的巡检工作，巡检结束须向采购人提供巡检报告，发现重大安全隐患和故障的，须及时报告并进行妥善处理和整改升级，确保采购人充分了解整体系统的运行情况。</w:t>
      </w:r>
    </w:p>
    <w:p w14:paraId="3FDFE8C1">
      <w:pPr>
        <w:pStyle w:val="6"/>
        <w:pageBreakBefore w:val="0"/>
        <w:kinsoku/>
        <w:wordWrap/>
        <w:overflowPunct/>
        <w:topLinePunct w:val="0"/>
        <w:autoSpaceDE/>
        <w:autoSpaceDN/>
        <w:bidi w:val="0"/>
        <w:adjustRightInd/>
        <w:snapToGrid/>
        <w:spacing w:before="0" w:after="0" w:line="460" w:lineRule="exact"/>
        <w:ind w:left="0" w:firstLine="422"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 xml:space="preserve"> 项目其他要求及说明</w:t>
      </w:r>
    </w:p>
    <w:p w14:paraId="3BBB1D9C">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3.7.1知识产权管理及相关要求</w:t>
      </w:r>
    </w:p>
    <w:p w14:paraId="198C6BEE">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）本次采购的系统平台是结合采购需求进行深度开发设计的软件系统，项目建成后，中标人将对本次采购的系统平台进行推广或用于其他商业、科研工作，验收通过后一年内必须经采购人同意。）</w:t>
      </w:r>
    </w:p>
    <w:p w14:paraId="3E8D3B03">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为保障采购人在使用该产品的任何一部分时，免受第三方提出的侵犯其专利权、商标权、著作权或其他知识产权的起诉，投标人须承诺提供的产品正版、合法，保障采购人合法权益，除已有产品知识产权外，与本项目相关的著作权归商务局所有。如因专利权、商标权或其它知识产权而引起的法律和经济纠纷，由投标人承担所有相关责任。</w:t>
      </w:r>
    </w:p>
    <w:p w14:paraId="20371F0F">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为保证本项目采购产品的质量，应标产品应和本次采购需求中规定的相关技术参数要求保持相当高的配合度，并根据项目实施现状配合协助采购人完成加油站流量数据采集系统与采购人指定相关信息系统和平台进行数据对接（含接口开发），开展加油站流量数据采集系统部署建设和优化调整、系统集成调试和适配等工作。</w:t>
      </w:r>
    </w:p>
    <w:p w14:paraId="014ECB2F">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投标人须承诺按照采购人要求完成辖区内所有加油站的流量数据采集工作，做好软件采集端与各加油站实际环境的兼容考虑，如因兼容性问题而导致产生的额外费用，由投标人负责承担。</w:t>
      </w:r>
    </w:p>
    <w:p w14:paraId="7EF4F711">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3.7.2</w:t>
      </w:r>
      <w:r>
        <w:rPr>
          <w:rFonts w:hint="eastAsia" w:ascii="宋体" w:hAnsi="宋体" w:eastAsia="宋体" w:cs="宋体"/>
          <w:color w:val="auto"/>
          <w:sz w:val="21"/>
          <w:szCs w:val="21"/>
          <w:highlight w:val="none"/>
        </w:rPr>
        <w:t>安全保密要求</w:t>
      </w:r>
    </w:p>
    <w:p w14:paraId="4234982E">
      <w:pPr>
        <w:pageBreakBefore w:val="0"/>
        <w:kinsoku/>
        <w:wordWrap/>
        <w:overflowPunct/>
        <w:topLinePunct w:val="0"/>
        <w:autoSpaceDE/>
        <w:autoSpaceDN/>
        <w:bidi w:val="0"/>
        <w:adjustRightInd/>
        <w:snapToGrid/>
        <w:spacing w:line="460" w:lineRule="exact"/>
        <w:ind w:left="0" w:firstLine="420" w:firstLineChars="200"/>
        <w:jc w:val="both"/>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对于采购人提供给各投标人的招标文件和其他业务需求说明文件，投标人有为采购人保密的义务；</w:t>
      </w:r>
    </w:p>
    <w:p w14:paraId="044D6635">
      <w:pPr>
        <w:spacing w:line="460" w:lineRule="exact"/>
        <w:ind w:firstLine="558" w:firstLineChars="266"/>
        <w:rPr>
          <w:rFonts w:hint="eastAsia" w:ascii="宋体" w:hAnsi="宋体" w:eastAsia="宋体" w:cs="宋体"/>
          <w:b w:val="0"/>
          <w:bCs/>
          <w:color w:val="auto"/>
          <w:sz w:val="21"/>
          <w:szCs w:val="21"/>
          <w:highlight w:val="none"/>
        </w:rPr>
      </w:pPr>
      <w:r>
        <w:rPr>
          <w:rFonts w:hint="eastAsia" w:hAnsi="宋体" w:cs="宋体"/>
          <w:b w:val="0"/>
          <w:bCs/>
          <w:color w:val="auto"/>
          <w:sz w:val="21"/>
          <w:szCs w:val="21"/>
          <w:highlight w:val="none"/>
          <w:lang w:eastAsia="zh-CN"/>
        </w:rPr>
        <w:t>（</w:t>
      </w:r>
      <w:r>
        <w:rPr>
          <w:rFonts w:hint="eastAsia" w:hAnsi="宋体" w:cs="宋体"/>
          <w:b w:val="0"/>
          <w:bCs/>
          <w:color w:val="auto"/>
          <w:sz w:val="21"/>
          <w:szCs w:val="21"/>
          <w:highlight w:val="none"/>
          <w:lang w:val="en-US" w:eastAsia="zh-CN"/>
        </w:rPr>
        <w:t>2</w:t>
      </w:r>
      <w:r>
        <w:rPr>
          <w:rFonts w:hint="eastAsia"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投标人需协助用户采取各种管理和技术的手段，确保用户的数据不外传和泄露；投标人需签署安全保密协议，在开发调试过程中接触用户数据要具体指定工程师；</w:t>
      </w:r>
    </w:p>
    <w:p w14:paraId="7A7E501C">
      <w:pPr>
        <w:spacing w:line="460" w:lineRule="exact"/>
        <w:ind w:firstLine="558" w:firstLineChars="266"/>
        <w:rPr>
          <w:rFonts w:hint="eastAsia" w:ascii="宋体" w:hAnsi="宋体" w:eastAsia="宋体" w:cs="宋体"/>
          <w:b w:val="0"/>
          <w:bCs/>
          <w:color w:val="auto"/>
          <w:sz w:val="21"/>
          <w:szCs w:val="21"/>
          <w:highlight w:val="none"/>
        </w:rPr>
      </w:pPr>
      <w:r>
        <w:rPr>
          <w:rFonts w:hint="eastAsia" w:hAnsi="宋体" w:cs="宋体"/>
          <w:b w:val="0"/>
          <w:bCs/>
          <w:color w:val="auto"/>
          <w:sz w:val="21"/>
          <w:szCs w:val="21"/>
          <w:highlight w:val="none"/>
          <w:lang w:eastAsia="zh-CN"/>
        </w:rPr>
        <w:t>（</w:t>
      </w:r>
      <w:r>
        <w:rPr>
          <w:rFonts w:hint="eastAsia" w:hAnsi="宋体" w:cs="宋体"/>
          <w:b w:val="0"/>
          <w:bCs/>
          <w:color w:val="auto"/>
          <w:sz w:val="21"/>
          <w:szCs w:val="21"/>
          <w:highlight w:val="none"/>
          <w:lang w:val="en-US" w:eastAsia="zh-CN"/>
        </w:rPr>
        <w:t>3</w:t>
      </w:r>
      <w:r>
        <w:rPr>
          <w:rFonts w:hint="eastAsia"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投标人应在采购人指定的工作机房内对数据进行处理，不得对用户的数据进行拷贝、备份并带出工作机房，同时不得对外泄露用户数据资料（包括自然人、法人和其他共享数据）的具体内容。否则由此引起的用户损失、相关社会和法律责任，由投标人负责承担；</w:t>
      </w:r>
    </w:p>
    <w:p w14:paraId="7BE3199A">
      <w:pPr>
        <w:spacing w:line="460" w:lineRule="exact"/>
        <w:ind w:firstLine="558" w:firstLineChars="266"/>
        <w:rPr>
          <w:rFonts w:hint="eastAsia" w:ascii="宋体" w:hAnsi="宋体" w:eastAsia="宋体" w:cs="宋体"/>
          <w:b w:val="0"/>
          <w:bCs/>
          <w:color w:val="auto"/>
          <w:sz w:val="21"/>
          <w:szCs w:val="21"/>
          <w:highlight w:val="none"/>
        </w:rPr>
      </w:pPr>
      <w:r>
        <w:rPr>
          <w:rFonts w:hint="eastAsia" w:hAnsi="宋体" w:cs="宋体"/>
          <w:b w:val="0"/>
          <w:bCs/>
          <w:color w:val="auto"/>
          <w:sz w:val="21"/>
          <w:szCs w:val="21"/>
          <w:highlight w:val="none"/>
          <w:lang w:eastAsia="zh-CN"/>
        </w:rPr>
        <w:t>（</w:t>
      </w:r>
      <w:r>
        <w:rPr>
          <w:rFonts w:hint="eastAsia" w:hAnsi="宋体" w:cs="宋体"/>
          <w:b w:val="0"/>
          <w:bCs/>
          <w:color w:val="auto"/>
          <w:sz w:val="21"/>
          <w:szCs w:val="21"/>
          <w:highlight w:val="none"/>
          <w:lang w:val="en-US" w:eastAsia="zh-CN"/>
        </w:rPr>
        <w:t>4</w:t>
      </w:r>
      <w:r>
        <w:rPr>
          <w:rFonts w:hint="eastAsia" w:hAnsi="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协助用户进行技术方案审理优化、进度质量控制和验收管理的一方，有为用户和</w:t>
      </w:r>
      <w:r>
        <w:rPr>
          <w:rFonts w:hint="eastAsia" w:hAnsi="宋体" w:cs="宋体"/>
          <w:b w:val="0"/>
          <w:bCs/>
          <w:color w:val="auto"/>
          <w:sz w:val="21"/>
          <w:szCs w:val="21"/>
          <w:highlight w:val="none"/>
          <w:lang w:val="en-US" w:eastAsia="zh-CN"/>
        </w:rPr>
        <w:t>包括</w:t>
      </w:r>
      <w:r>
        <w:rPr>
          <w:rFonts w:hint="eastAsia" w:ascii="宋体" w:hAnsi="宋体" w:eastAsia="宋体" w:cs="宋体"/>
          <w:b w:val="0"/>
          <w:bCs/>
          <w:color w:val="auto"/>
          <w:sz w:val="21"/>
          <w:szCs w:val="21"/>
          <w:highlight w:val="none"/>
        </w:rPr>
        <w:t>投标人提供的项目有关文件和技术信息保密的义务。</w:t>
      </w:r>
    </w:p>
    <w:p w14:paraId="446C2468">
      <w:pPr>
        <w:widowControl/>
        <w:spacing w:line="460" w:lineRule="exact"/>
        <w:ind w:firstLine="638" w:firstLineChars="266"/>
        <w:rPr>
          <w:rFonts w:hint="eastAsia" w:hAnsi="宋体"/>
          <w:color w:val="auto"/>
          <w:sz w:val="24"/>
          <w:highlight w:val="none"/>
        </w:rPr>
      </w:pPr>
    </w:p>
    <w:p w14:paraId="689153B6">
      <w:pPr>
        <w:pStyle w:val="6"/>
        <w:spacing w:line="360" w:lineRule="auto"/>
        <w:jc w:val="center"/>
        <w:rPr>
          <w:rFonts w:hint="eastAsia" w:ascii="宋体" w:hAnsi="宋体" w:eastAsia="宋体"/>
          <w:bCs w:val="0"/>
          <w:color w:val="auto"/>
          <w:sz w:val="44"/>
          <w:szCs w:val="44"/>
          <w:highlight w:val="none"/>
        </w:rPr>
      </w:pPr>
      <w:r>
        <w:rPr>
          <w:rFonts w:ascii="宋体" w:hAnsi="宋体" w:eastAsia="宋体"/>
          <w:bCs w:val="0"/>
          <w:color w:val="auto"/>
          <w:sz w:val="44"/>
          <w:szCs w:val="44"/>
          <w:highlight w:val="none"/>
        </w:rPr>
        <w:br w:type="page"/>
      </w:r>
      <w:bookmarkStart w:id="133" w:name="_Toc378"/>
      <w:r>
        <w:rPr>
          <w:rFonts w:hint="eastAsia" w:ascii="宋体" w:hAnsi="宋体" w:eastAsia="宋体"/>
          <w:bCs w:val="0"/>
          <w:color w:val="auto"/>
          <w:sz w:val="44"/>
          <w:szCs w:val="44"/>
          <w:highlight w:val="none"/>
        </w:rPr>
        <w:t>第七章 合同样本</w:t>
      </w:r>
      <w:bookmarkEnd w:id="133"/>
    </w:p>
    <w:tbl>
      <w:tblPr>
        <w:tblStyle w:val="37"/>
        <w:tblW w:w="9750" w:type="dxa"/>
        <w:jc w:val="center"/>
        <w:tblCellSpacing w:w="0" w:type="dxa"/>
        <w:tblLayout w:type="fixed"/>
        <w:tblCellMar>
          <w:top w:w="0" w:type="dxa"/>
          <w:left w:w="0" w:type="dxa"/>
          <w:bottom w:w="0" w:type="dxa"/>
          <w:right w:w="0" w:type="dxa"/>
        </w:tblCellMar>
      </w:tblPr>
      <w:tblGrid>
        <w:gridCol w:w="9750"/>
      </w:tblGrid>
      <w:tr w14:paraId="4DF69D72">
        <w:tblPrEx>
          <w:tblCellMar>
            <w:top w:w="0" w:type="dxa"/>
            <w:left w:w="0" w:type="dxa"/>
            <w:bottom w:w="0" w:type="dxa"/>
            <w:right w:w="0" w:type="dxa"/>
          </w:tblCellMar>
        </w:tblPrEx>
        <w:trPr>
          <w:tblCellSpacing w:w="0" w:type="dxa"/>
          <w:jc w:val="center"/>
        </w:trPr>
        <w:tc>
          <w:tcPr>
            <w:tcW w:w="9750" w:type="dxa"/>
            <w:vAlign w:val="center"/>
          </w:tcPr>
          <w:tbl>
            <w:tblPr>
              <w:tblStyle w:val="37"/>
              <w:tblW w:w="9750" w:type="dxa"/>
              <w:tblCellSpacing w:w="0" w:type="dxa"/>
              <w:tblInd w:w="0" w:type="dxa"/>
              <w:tblLayout w:type="fixed"/>
              <w:tblCellMar>
                <w:top w:w="0" w:type="dxa"/>
                <w:left w:w="0" w:type="dxa"/>
                <w:bottom w:w="0" w:type="dxa"/>
                <w:right w:w="0" w:type="dxa"/>
              </w:tblCellMar>
            </w:tblPr>
            <w:tblGrid>
              <w:gridCol w:w="1306"/>
              <w:gridCol w:w="1281"/>
              <w:gridCol w:w="1590"/>
              <w:gridCol w:w="996"/>
              <w:gridCol w:w="1138"/>
              <w:gridCol w:w="1305"/>
              <w:gridCol w:w="2134"/>
            </w:tblGrid>
            <w:tr w14:paraId="3D91B0EF">
              <w:tblPrEx>
                <w:tblCellMar>
                  <w:top w:w="0" w:type="dxa"/>
                  <w:left w:w="0" w:type="dxa"/>
                  <w:bottom w:w="0" w:type="dxa"/>
                  <w:right w:w="0" w:type="dxa"/>
                </w:tblCellMar>
              </w:tblPrEx>
              <w:trPr>
                <w:tblCellSpacing w:w="0" w:type="dxa"/>
              </w:trPr>
              <w:tc>
                <w:tcPr>
                  <w:tcW w:w="1306" w:type="dxa"/>
                  <w:vAlign w:val="center"/>
                </w:tcPr>
                <w:p w14:paraId="447D81FE">
                  <w:pPr>
                    <w:widowControl/>
                    <w:jc w:val="right"/>
                    <w:rPr>
                      <w:rFonts w:cs="宋体"/>
                      <w:color w:val="auto"/>
                      <w:sz w:val="24"/>
                      <w:szCs w:val="24"/>
                      <w:highlight w:val="none"/>
                    </w:rPr>
                  </w:pPr>
                  <w:r>
                    <w:rPr>
                      <w:rFonts w:hint="eastAsia" w:cs="Arial"/>
                      <w:color w:val="auto"/>
                      <w:sz w:val="24"/>
                      <w:szCs w:val="24"/>
                      <w:highlight w:val="none"/>
                    </w:rPr>
                    <w:t>合同编号：</w:t>
                  </w:r>
                </w:p>
              </w:tc>
              <w:tc>
                <w:tcPr>
                  <w:tcW w:w="1281" w:type="dxa"/>
                  <w:vAlign w:val="center"/>
                </w:tcPr>
                <w:p w14:paraId="7767D4D2">
                  <w:pPr>
                    <w:widowControl/>
                    <w:jc w:val="left"/>
                    <w:rPr>
                      <w:rFonts w:cs="宋体"/>
                      <w:color w:val="auto"/>
                      <w:sz w:val="24"/>
                      <w:szCs w:val="24"/>
                      <w:highlight w:val="none"/>
                    </w:rPr>
                  </w:pPr>
                </w:p>
              </w:tc>
              <w:tc>
                <w:tcPr>
                  <w:tcW w:w="1590" w:type="dxa"/>
                  <w:vAlign w:val="center"/>
                </w:tcPr>
                <w:p w14:paraId="7A661BB9">
                  <w:pPr>
                    <w:widowControl/>
                    <w:jc w:val="right"/>
                    <w:rPr>
                      <w:rFonts w:cs="宋体"/>
                      <w:color w:val="auto"/>
                      <w:sz w:val="24"/>
                      <w:szCs w:val="24"/>
                      <w:highlight w:val="none"/>
                    </w:rPr>
                  </w:pPr>
                  <w:r>
                    <w:rPr>
                      <w:rFonts w:hint="eastAsia" w:cs="Arial"/>
                      <w:color w:val="auto"/>
                      <w:sz w:val="24"/>
                      <w:szCs w:val="24"/>
                      <w:highlight w:val="none"/>
                    </w:rPr>
                    <w:t>合同自编号</w:t>
                  </w:r>
                  <w:r>
                    <w:rPr>
                      <w:rFonts w:cs="宋体"/>
                      <w:color w:val="auto"/>
                      <w:sz w:val="24"/>
                      <w:szCs w:val="24"/>
                      <w:highlight w:val="none"/>
                    </w:rPr>
                    <w:t>：</w:t>
                  </w:r>
                </w:p>
              </w:tc>
              <w:tc>
                <w:tcPr>
                  <w:tcW w:w="996" w:type="dxa"/>
                  <w:vAlign w:val="center"/>
                </w:tcPr>
                <w:p w14:paraId="7DA22A48">
                  <w:pPr>
                    <w:widowControl/>
                    <w:jc w:val="left"/>
                    <w:rPr>
                      <w:rFonts w:cs="宋体"/>
                      <w:color w:val="auto"/>
                      <w:sz w:val="24"/>
                      <w:szCs w:val="24"/>
                      <w:highlight w:val="none"/>
                    </w:rPr>
                  </w:pPr>
                </w:p>
              </w:tc>
              <w:tc>
                <w:tcPr>
                  <w:tcW w:w="1138" w:type="dxa"/>
                  <w:vAlign w:val="center"/>
                </w:tcPr>
                <w:p w14:paraId="5C6D4395">
                  <w:pPr>
                    <w:widowControl/>
                    <w:jc w:val="left"/>
                    <w:rPr>
                      <w:rFonts w:cs="宋体"/>
                      <w:color w:val="auto"/>
                      <w:sz w:val="24"/>
                      <w:szCs w:val="24"/>
                      <w:highlight w:val="none"/>
                    </w:rPr>
                  </w:pPr>
                </w:p>
              </w:tc>
              <w:tc>
                <w:tcPr>
                  <w:tcW w:w="1305" w:type="dxa"/>
                  <w:vAlign w:val="center"/>
                </w:tcPr>
                <w:p w14:paraId="4B824197">
                  <w:pPr>
                    <w:widowControl/>
                    <w:spacing w:before="100" w:beforeAutospacing="1" w:after="100" w:afterAutospacing="1"/>
                    <w:jc w:val="left"/>
                    <w:rPr>
                      <w:rFonts w:cs="宋体"/>
                      <w:color w:val="auto"/>
                      <w:sz w:val="24"/>
                      <w:szCs w:val="24"/>
                      <w:highlight w:val="none"/>
                    </w:rPr>
                  </w:pPr>
                  <w:r>
                    <w:rPr>
                      <w:rFonts w:hint="eastAsia" w:cs="Arial"/>
                      <w:color w:val="auto"/>
                      <w:sz w:val="24"/>
                      <w:szCs w:val="24"/>
                      <w:highlight w:val="none"/>
                    </w:rPr>
                    <w:t>项目编号</w:t>
                  </w:r>
                  <w:r>
                    <w:rPr>
                      <w:rFonts w:cs="宋体"/>
                      <w:color w:val="auto"/>
                      <w:sz w:val="24"/>
                      <w:szCs w:val="24"/>
                      <w:highlight w:val="none"/>
                    </w:rPr>
                    <w:t xml:space="preserve">： </w:t>
                  </w:r>
                </w:p>
              </w:tc>
              <w:tc>
                <w:tcPr>
                  <w:tcW w:w="2134" w:type="dxa"/>
                  <w:vAlign w:val="center"/>
                </w:tcPr>
                <w:p w14:paraId="2151AE90">
                  <w:pPr>
                    <w:widowControl/>
                    <w:jc w:val="left"/>
                    <w:rPr>
                      <w:rFonts w:cs="宋体"/>
                      <w:color w:val="auto"/>
                      <w:sz w:val="24"/>
                      <w:szCs w:val="24"/>
                      <w:highlight w:val="none"/>
                    </w:rPr>
                  </w:pPr>
                </w:p>
              </w:tc>
            </w:tr>
          </w:tbl>
          <w:p w14:paraId="564A558E">
            <w:pPr>
              <w:widowControl/>
              <w:spacing w:after="240"/>
              <w:jc w:val="left"/>
              <w:rPr>
                <w:rFonts w:cs="宋体"/>
                <w:color w:val="auto"/>
                <w:sz w:val="24"/>
                <w:szCs w:val="24"/>
                <w:highlight w:val="none"/>
              </w:rPr>
            </w:pPr>
          </w:p>
          <w:p w14:paraId="25462F52">
            <w:pPr>
              <w:pStyle w:val="2"/>
              <w:ind w:left="560"/>
              <w:rPr>
                <w:color w:val="auto"/>
                <w:highlight w:val="none"/>
              </w:rPr>
            </w:pPr>
          </w:p>
        </w:tc>
      </w:tr>
      <w:tr w14:paraId="0F43D410">
        <w:tblPrEx>
          <w:tblCellMar>
            <w:top w:w="0" w:type="dxa"/>
            <w:left w:w="0" w:type="dxa"/>
            <w:bottom w:w="0" w:type="dxa"/>
            <w:right w:w="0" w:type="dxa"/>
          </w:tblCellMar>
        </w:tblPrEx>
        <w:trPr>
          <w:trHeight w:val="1319" w:hRule="atLeast"/>
          <w:tblCellSpacing w:w="0" w:type="dxa"/>
          <w:jc w:val="center"/>
        </w:trPr>
        <w:tc>
          <w:tcPr>
            <w:tcW w:w="9750" w:type="dxa"/>
            <w:vAlign w:val="center"/>
          </w:tcPr>
          <w:p w14:paraId="3AE6C1DF">
            <w:pPr>
              <w:widowControl/>
              <w:spacing w:after="240"/>
              <w:jc w:val="left"/>
              <w:rPr>
                <w:rFonts w:cs="Arial"/>
                <w:color w:val="auto"/>
                <w:sz w:val="24"/>
                <w:szCs w:val="24"/>
                <w:highlight w:val="none"/>
              </w:rPr>
            </w:pPr>
            <w:r>
              <w:rPr>
                <w:rFonts w:hint="eastAsia" w:cs="Arial"/>
                <w:color w:val="auto"/>
                <w:sz w:val="24"/>
                <w:szCs w:val="24"/>
                <w:highlight w:val="none"/>
              </w:rPr>
              <w:t>●本合同须加盖甲乙双方骑缝章有效</w:t>
            </w:r>
          </w:p>
          <w:p w14:paraId="028E1138">
            <w:pPr>
              <w:pStyle w:val="2"/>
              <w:ind w:left="560"/>
              <w:rPr>
                <w:color w:val="auto"/>
                <w:highlight w:val="none"/>
              </w:rPr>
            </w:pPr>
          </w:p>
          <w:p w14:paraId="2C0A1593">
            <w:pPr>
              <w:pStyle w:val="2"/>
              <w:ind w:left="560"/>
              <w:rPr>
                <w:color w:val="auto"/>
                <w:highlight w:val="none"/>
              </w:rPr>
            </w:pPr>
          </w:p>
        </w:tc>
      </w:tr>
      <w:tr w14:paraId="0BED6066">
        <w:tblPrEx>
          <w:tblCellMar>
            <w:top w:w="0" w:type="dxa"/>
            <w:left w:w="0" w:type="dxa"/>
            <w:bottom w:w="0" w:type="dxa"/>
            <w:right w:w="0" w:type="dxa"/>
          </w:tblCellMar>
        </w:tblPrEx>
        <w:trPr>
          <w:tblCellSpacing w:w="0" w:type="dxa"/>
          <w:jc w:val="center"/>
        </w:trPr>
        <w:tc>
          <w:tcPr>
            <w:tcW w:w="9750" w:type="dxa"/>
            <w:vAlign w:val="center"/>
          </w:tcPr>
          <w:p w14:paraId="0D9583D3">
            <w:pPr>
              <w:widowControl/>
              <w:spacing w:after="240"/>
              <w:jc w:val="center"/>
              <w:rPr>
                <w:rFonts w:cs="宋体"/>
                <w:color w:val="auto"/>
                <w:sz w:val="24"/>
                <w:szCs w:val="24"/>
                <w:highlight w:val="none"/>
              </w:rPr>
            </w:pPr>
            <w:r>
              <w:rPr>
                <w:rFonts w:hint="eastAsia" w:cs="宋体"/>
                <w:color w:val="auto"/>
                <w:sz w:val="39"/>
                <w:szCs w:val="39"/>
                <w:highlight w:val="none"/>
              </w:rPr>
              <w:t>云南省政府采购</w:t>
            </w:r>
          </w:p>
        </w:tc>
      </w:tr>
      <w:tr w14:paraId="3C34681E">
        <w:tblPrEx>
          <w:tblCellMar>
            <w:top w:w="0" w:type="dxa"/>
            <w:left w:w="0" w:type="dxa"/>
            <w:bottom w:w="0" w:type="dxa"/>
            <w:right w:w="0" w:type="dxa"/>
          </w:tblCellMar>
        </w:tblPrEx>
        <w:trPr>
          <w:tblCellSpacing w:w="0" w:type="dxa"/>
          <w:jc w:val="center"/>
        </w:trPr>
        <w:tc>
          <w:tcPr>
            <w:tcW w:w="9750" w:type="dxa"/>
            <w:vAlign w:val="center"/>
          </w:tcPr>
          <w:p w14:paraId="2B218E1D">
            <w:pPr>
              <w:widowControl/>
              <w:spacing w:after="240"/>
              <w:jc w:val="center"/>
              <w:rPr>
                <w:rFonts w:cs="宋体"/>
                <w:color w:val="auto"/>
                <w:sz w:val="24"/>
                <w:szCs w:val="24"/>
                <w:highlight w:val="none"/>
              </w:rPr>
            </w:pPr>
            <w:r>
              <w:rPr>
                <w:rFonts w:cs="宋体"/>
                <w:color w:val="auto"/>
                <w:sz w:val="24"/>
                <w:szCs w:val="24"/>
                <w:highlight w:val="none"/>
              </w:rPr>
              <w:t xml:space="preserve">（委托采购） </w:t>
            </w:r>
          </w:p>
          <w:p w14:paraId="5EAC7126">
            <w:pPr>
              <w:pStyle w:val="2"/>
              <w:ind w:left="560"/>
              <w:rPr>
                <w:color w:val="auto"/>
                <w:highlight w:val="none"/>
              </w:rPr>
            </w:pPr>
          </w:p>
          <w:p w14:paraId="04A225AC">
            <w:pPr>
              <w:pStyle w:val="2"/>
              <w:ind w:left="560"/>
              <w:rPr>
                <w:color w:val="auto"/>
                <w:highlight w:val="none"/>
              </w:rPr>
            </w:pPr>
          </w:p>
        </w:tc>
      </w:tr>
      <w:tr w14:paraId="59C60D2B">
        <w:tblPrEx>
          <w:tblCellMar>
            <w:top w:w="0" w:type="dxa"/>
            <w:left w:w="0" w:type="dxa"/>
            <w:bottom w:w="0" w:type="dxa"/>
            <w:right w:w="0" w:type="dxa"/>
          </w:tblCellMar>
        </w:tblPrEx>
        <w:trPr>
          <w:tblCellSpacing w:w="0" w:type="dxa"/>
          <w:jc w:val="center"/>
        </w:trPr>
        <w:tc>
          <w:tcPr>
            <w:tcW w:w="9750" w:type="dxa"/>
            <w:vAlign w:val="center"/>
          </w:tcPr>
          <w:p w14:paraId="3D69A232">
            <w:pPr>
              <w:widowControl/>
              <w:spacing w:after="240"/>
              <w:jc w:val="center"/>
              <w:rPr>
                <w:rFonts w:cs="宋体"/>
                <w:color w:val="auto"/>
                <w:sz w:val="24"/>
                <w:szCs w:val="24"/>
                <w:highlight w:val="none"/>
              </w:rPr>
            </w:pPr>
            <w:r>
              <w:rPr>
                <w:rFonts w:hint="eastAsia" w:cs="Arial"/>
                <w:color w:val="auto"/>
                <w:sz w:val="63"/>
                <w:szCs w:val="63"/>
                <w:highlight w:val="none"/>
              </w:rPr>
              <w:t>合</w:t>
            </w:r>
          </w:p>
        </w:tc>
      </w:tr>
      <w:tr w14:paraId="52949F58">
        <w:tblPrEx>
          <w:tblCellMar>
            <w:top w:w="0" w:type="dxa"/>
            <w:left w:w="0" w:type="dxa"/>
            <w:bottom w:w="0" w:type="dxa"/>
            <w:right w:w="0" w:type="dxa"/>
          </w:tblCellMar>
        </w:tblPrEx>
        <w:trPr>
          <w:tblCellSpacing w:w="0" w:type="dxa"/>
          <w:jc w:val="center"/>
        </w:trPr>
        <w:tc>
          <w:tcPr>
            <w:tcW w:w="9750" w:type="dxa"/>
            <w:vAlign w:val="center"/>
          </w:tcPr>
          <w:p w14:paraId="69EBA795">
            <w:pPr>
              <w:widowControl/>
              <w:spacing w:after="240"/>
              <w:jc w:val="center"/>
              <w:rPr>
                <w:rFonts w:cs="宋体"/>
                <w:color w:val="auto"/>
                <w:sz w:val="24"/>
                <w:szCs w:val="24"/>
                <w:highlight w:val="none"/>
              </w:rPr>
            </w:pPr>
            <w:r>
              <w:rPr>
                <w:rFonts w:hint="eastAsia" w:cs="Arial"/>
                <w:color w:val="auto"/>
                <w:sz w:val="63"/>
                <w:szCs w:val="63"/>
                <w:highlight w:val="none"/>
              </w:rPr>
              <w:t>同</w:t>
            </w:r>
          </w:p>
        </w:tc>
      </w:tr>
      <w:tr w14:paraId="2CDE5184">
        <w:tblPrEx>
          <w:tblCellMar>
            <w:top w:w="0" w:type="dxa"/>
            <w:left w:w="0" w:type="dxa"/>
            <w:bottom w:w="0" w:type="dxa"/>
            <w:right w:w="0" w:type="dxa"/>
          </w:tblCellMar>
        </w:tblPrEx>
        <w:trPr>
          <w:tblCellSpacing w:w="0" w:type="dxa"/>
          <w:jc w:val="center"/>
        </w:trPr>
        <w:tc>
          <w:tcPr>
            <w:tcW w:w="9750" w:type="dxa"/>
            <w:vAlign w:val="center"/>
          </w:tcPr>
          <w:p w14:paraId="3DD331B5">
            <w:pPr>
              <w:widowControl/>
              <w:spacing w:after="240"/>
              <w:jc w:val="center"/>
              <w:rPr>
                <w:rFonts w:cs="Arial"/>
                <w:color w:val="auto"/>
                <w:sz w:val="63"/>
                <w:szCs w:val="63"/>
                <w:highlight w:val="none"/>
              </w:rPr>
            </w:pPr>
            <w:r>
              <w:rPr>
                <w:rFonts w:hint="eastAsia" w:cs="Arial"/>
                <w:color w:val="auto"/>
                <w:sz w:val="63"/>
                <w:szCs w:val="63"/>
                <w:highlight w:val="none"/>
              </w:rPr>
              <w:t>书</w:t>
            </w:r>
          </w:p>
          <w:p w14:paraId="0638DB99">
            <w:pPr>
              <w:pStyle w:val="2"/>
              <w:ind w:left="560"/>
              <w:rPr>
                <w:color w:val="auto"/>
                <w:highlight w:val="none"/>
              </w:rPr>
            </w:pPr>
          </w:p>
          <w:p w14:paraId="5BAE339C">
            <w:pPr>
              <w:pStyle w:val="2"/>
              <w:ind w:left="560"/>
              <w:rPr>
                <w:color w:val="auto"/>
                <w:highlight w:val="none"/>
              </w:rPr>
            </w:pPr>
          </w:p>
          <w:p w14:paraId="23433AE7">
            <w:pPr>
              <w:widowControl/>
              <w:spacing w:after="240"/>
              <w:jc w:val="center"/>
              <w:rPr>
                <w:rFonts w:cs="宋体"/>
                <w:color w:val="auto"/>
                <w:sz w:val="24"/>
                <w:szCs w:val="24"/>
                <w:highlight w:val="none"/>
              </w:rPr>
            </w:pPr>
          </w:p>
          <w:p w14:paraId="29FF9DB2">
            <w:pPr>
              <w:pStyle w:val="2"/>
              <w:ind w:left="560"/>
              <w:rPr>
                <w:color w:val="auto"/>
                <w:highlight w:val="none"/>
              </w:rPr>
            </w:pPr>
          </w:p>
        </w:tc>
      </w:tr>
      <w:tr w14:paraId="1991A944">
        <w:tblPrEx>
          <w:tblCellMar>
            <w:top w:w="0" w:type="dxa"/>
            <w:left w:w="0" w:type="dxa"/>
            <w:bottom w:w="0" w:type="dxa"/>
            <w:right w:w="0" w:type="dxa"/>
          </w:tblCellMar>
        </w:tblPrEx>
        <w:trPr>
          <w:tblCellSpacing w:w="0" w:type="dxa"/>
          <w:jc w:val="center"/>
        </w:trPr>
        <w:tc>
          <w:tcPr>
            <w:tcW w:w="9750" w:type="dxa"/>
            <w:vAlign w:val="center"/>
          </w:tcPr>
          <w:p w14:paraId="7F67E681">
            <w:pPr>
              <w:widowControl/>
              <w:spacing w:after="240"/>
              <w:jc w:val="center"/>
              <w:rPr>
                <w:rFonts w:cs="宋体"/>
                <w:color w:val="auto"/>
                <w:sz w:val="24"/>
                <w:szCs w:val="24"/>
                <w:highlight w:val="none"/>
              </w:rPr>
            </w:pPr>
            <w:r>
              <w:rPr>
                <w:rFonts w:hint="eastAsia" w:cs="宋体"/>
                <w:b/>
                <w:bCs/>
                <w:color w:val="auto"/>
                <w:sz w:val="27"/>
                <w:highlight w:val="none"/>
              </w:rPr>
              <w:t>签订地点：    </w:t>
            </w:r>
          </w:p>
        </w:tc>
      </w:tr>
      <w:tr w14:paraId="17B1AFDF">
        <w:tblPrEx>
          <w:tblCellMar>
            <w:top w:w="0" w:type="dxa"/>
            <w:left w:w="0" w:type="dxa"/>
            <w:bottom w:w="0" w:type="dxa"/>
            <w:right w:w="0" w:type="dxa"/>
          </w:tblCellMar>
        </w:tblPrEx>
        <w:trPr>
          <w:tblCellSpacing w:w="0" w:type="dxa"/>
          <w:jc w:val="center"/>
        </w:trPr>
        <w:tc>
          <w:tcPr>
            <w:tcW w:w="9750" w:type="dxa"/>
            <w:vAlign w:val="center"/>
          </w:tcPr>
          <w:p w14:paraId="663C0D69">
            <w:pPr>
              <w:widowControl/>
              <w:spacing w:after="240"/>
              <w:jc w:val="center"/>
              <w:rPr>
                <w:rFonts w:cs="宋体"/>
                <w:color w:val="auto"/>
                <w:sz w:val="24"/>
                <w:szCs w:val="24"/>
                <w:highlight w:val="none"/>
              </w:rPr>
            </w:pPr>
          </w:p>
        </w:tc>
      </w:tr>
      <w:tr w14:paraId="5BA195AC">
        <w:tblPrEx>
          <w:tblCellMar>
            <w:top w:w="0" w:type="dxa"/>
            <w:left w:w="0" w:type="dxa"/>
            <w:bottom w:w="0" w:type="dxa"/>
            <w:right w:w="0" w:type="dxa"/>
          </w:tblCellMar>
        </w:tblPrEx>
        <w:trPr>
          <w:trHeight w:val="910" w:hRule="atLeast"/>
          <w:tblCellSpacing w:w="0" w:type="dxa"/>
          <w:jc w:val="center"/>
        </w:trPr>
        <w:tc>
          <w:tcPr>
            <w:tcW w:w="9750" w:type="dxa"/>
            <w:vAlign w:val="center"/>
          </w:tcPr>
          <w:p w14:paraId="310B7F90">
            <w:pPr>
              <w:widowControl/>
              <w:spacing w:before="100" w:beforeAutospacing="1" w:after="100" w:afterAutospacing="1"/>
              <w:jc w:val="center"/>
              <w:rPr>
                <w:rFonts w:cs="宋体"/>
                <w:color w:val="auto"/>
                <w:sz w:val="24"/>
                <w:szCs w:val="24"/>
                <w:highlight w:val="none"/>
              </w:rPr>
            </w:pPr>
            <w:r>
              <w:rPr>
                <w:rFonts w:hint="eastAsia" w:cs="Arial"/>
                <w:b/>
                <w:bCs/>
                <w:color w:val="auto"/>
                <w:sz w:val="27"/>
                <w:highlight w:val="none"/>
              </w:rPr>
              <w:t>云南省签订合同制</w:t>
            </w:r>
          </w:p>
        </w:tc>
      </w:tr>
    </w:tbl>
    <w:p w14:paraId="2991C4B0">
      <w:pPr>
        <w:spacing w:line="720" w:lineRule="auto"/>
        <w:jc w:val="center"/>
        <w:rPr>
          <w:rFonts w:hint="eastAsia" w:hAnsi="宋体" w:cs="宋体"/>
          <w:b/>
          <w:color w:val="auto"/>
          <w:sz w:val="32"/>
          <w:szCs w:val="32"/>
          <w:highlight w:val="none"/>
        </w:rPr>
      </w:pPr>
      <w:r>
        <w:rPr>
          <w:rFonts w:hint="eastAsia" w:hAnsi="宋体" w:cs="宋体"/>
          <w:b/>
          <w:color w:val="auto"/>
          <w:sz w:val="30"/>
          <w:szCs w:val="30"/>
          <w:highlight w:val="none"/>
        </w:rPr>
        <w:t>政府采购合同书</w:t>
      </w:r>
      <w:r>
        <w:rPr>
          <w:rFonts w:hint="eastAsia" w:hAnsi="宋体" w:cs="宋体"/>
          <w:b/>
          <w:color w:val="auto"/>
          <w:sz w:val="32"/>
          <w:szCs w:val="32"/>
          <w:highlight w:val="none"/>
        </w:rPr>
        <w:t>（格式）</w:t>
      </w:r>
    </w:p>
    <w:p w14:paraId="50A17562">
      <w:pPr>
        <w:snapToGrid w:val="0"/>
        <w:spacing w:line="400" w:lineRule="exact"/>
        <w:ind w:right="480" w:firstLine="6720" w:firstLineChars="2400"/>
        <w:rPr>
          <w:rFonts w:hint="eastAsia" w:hAnsi="宋体" w:cs="宋体"/>
          <w:color w:val="auto"/>
          <w:szCs w:val="21"/>
          <w:highlight w:val="none"/>
        </w:rPr>
      </w:pPr>
    </w:p>
    <w:p w14:paraId="7C8748D0">
      <w:pPr>
        <w:spacing w:line="520" w:lineRule="exact"/>
        <w:rPr>
          <w:rFonts w:hint="eastAsia" w:hAnsi="宋体" w:cs="宋体"/>
          <w:color w:val="auto"/>
          <w:sz w:val="24"/>
          <w:szCs w:val="24"/>
          <w:highlight w:val="none"/>
        </w:rPr>
      </w:pPr>
      <w:r>
        <w:rPr>
          <w:rFonts w:hint="eastAsia" w:hAnsi="宋体" w:cs="宋体"/>
          <w:color w:val="auto"/>
          <w:sz w:val="24"/>
          <w:szCs w:val="24"/>
          <w:highlight w:val="none"/>
        </w:rPr>
        <w:t>项目名称：</w:t>
      </w:r>
    </w:p>
    <w:p w14:paraId="63329120">
      <w:pPr>
        <w:spacing w:line="520" w:lineRule="exact"/>
        <w:rPr>
          <w:rFonts w:hint="eastAsia" w:hAnsi="宋体" w:cs="宋体"/>
          <w:color w:val="auto"/>
          <w:sz w:val="24"/>
          <w:szCs w:val="24"/>
          <w:highlight w:val="none"/>
        </w:rPr>
      </w:pPr>
      <w:r>
        <w:rPr>
          <w:rFonts w:hint="eastAsia" w:hAnsi="宋体" w:cs="宋体"/>
          <w:color w:val="auto"/>
          <w:sz w:val="24"/>
          <w:szCs w:val="24"/>
          <w:highlight w:val="none"/>
        </w:rPr>
        <w:t>项目编号：</w:t>
      </w:r>
    </w:p>
    <w:p w14:paraId="79D1647F">
      <w:pPr>
        <w:spacing w:line="520" w:lineRule="exact"/>
        <w:rPr>
          <w:rFonts w:hint="eastAsia" w:hAnsi="宋体" w:cs="宋体"/>
          <w:color w:val="auto"/>
          <w:sz w:val="24"/>
          <w:szCs w:val="24"/>
          <w:highlight w:val="none"/>
        </w:rPr>
      </w:pPr>
      <w:r>
        <w:rPr>
          <w:rFonts w:hint="eastAsia" w:hAnsi="宋体" w:cs="宋体"/>
          <w:color w:val="auto"/>
          <w:sz w:val="24"/>
          <w:szCs w:val="24"/>
          <w:highlight w:val="none"/>
        </w:rPr>
        <w:t>分标号（有分标时填写）：</w:t>
      </w:r>
    </w:p>
    <w:p w14:paraId="4FCF760B">
      <w:pPr>
        <w:spacing w:line="520" w:lineRule="exact"/>
        <w:rPr>
          <w:rFonts w:hint="eastAsia" w:hAnsi="宋体" w:cs="宋体"/>
          <w:color w:val="auto"/>
          <w:sz w:val="24"/>
          <w:szCs w:val="24"/>
          <w:highlight w:val="none"/>
        </w:rPr>
      </w:pPr>
    </w:p>
    <w:p w14:paraId="33AFF562">
      <w:pPr>
        <w:spacing w:line="520" w:lineRule="exact"/>
        <w:rPr>
          <w:rFonts w:hint="eastAsia" w:hAnsi="宋体" w:cs="宋体"/>
          <w:color w:val="auto"/>
          <w:sz w:val="24"/>
          <w:szCs w:val="24"/>
          <w:highlight w:val="none"/>
        </w:rPr>
      </w:pPr>
      <w:r>
        <w:rPr>
          <w:rFonts w:hint="eastAsia" w:hAnsi="宋体" w:cs="宋体"/>
          <w:color w:val="auto"/>
          <w:sz w:val="24"/>
          <w:szCs w:val="24"/>
          <w:highlight w:val="none"/>
        </w:rPr>
        <w:t>甲方（买方）：</w:t>
      </w:r>
    </w:p>
    <w:p w14:paraId="628B7D19">
      <w:pPr>
        <w:spacing w:line="520" w:lineRule="exact"/>
        <w:rPr>
          <w:rFonts w:hint="eastAsia" w:hAnsi="宋体" w:cs="宋体"/>
          <w:color w:val="auto"/>
          <w:sz w:val="24"/>
          <w:szCs w:val="24"/>
          <w:highlight w:val="none"/>
        </w:rPr>
      </w:pPr>
      <w:r>
        <w:rPr>
          <w:rFonts w:hint="eastAsia" w:hAnsi="宋体" w:cs="宋体"/>
          <w:color w:val="auto"/>
          <w:sz w:val="24"/>
          <w:szCs w:val="24"/>
          <w:highlight w:val="none"/>
        </w:rPr>
        <w:t>乙方（卖方）：</w:t>
      </w:r>
    </w:p>
    <w:p w14:paraId="4AAAEDBA">
      <w:pPr>
        <w:spacing w:line="520" w:lineRule="exact"/>
        <w:rPr>
          <w:rFonts w:hint="eastAsia" w:hAnsi="宋体" w:cs="宋体"/>
          <w:b/>
          <w:color w:val="auto"/>
          <w:sz w:val="24"/>
          <w:szCs w:val="24"/>
          <w:highlight w:val="none"/>
        </w:rPr>
      </w:pPr>
    </w:p>
    <w:p w14:paraId="4966B647">
      <w:pPr>
        <w:spacing w:line="520" w:lineRule="exact"/>
        <w:ind w:firstLine="480" w:firstLineChars="200"/>
        <w:rPr>
          <w:rFonts w:hint="eastAsia" w:hAnsi="宋体" w:cs="宋体"/>
          <w:b/>
          <w:color w:val="auto"/>
          <w:sz w:val="24"/>
          <w:szCs w:val="24"/>
          <w:highlight w:val="none"/>
        </w:rPr>
      </w:pPr>
      <w:r>
        <w:rPr>
          <w:rFonts w:hint="eastAsia" w:hAnsi="宋体" w:cs="宋体"/>
          <w:color w:val="auto"/>
          <w:sz w:val="24"/>
          <w:szCs w:val="24"/>
          <w:highlight w:val="none"/>
        </w:rPr>
        <w:t>根据  年  月  日</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政府采购项目的采购结果，甲方接受乙方对本项目的投标文件，甲、乙双方同意签署本合同（以下简称合同）。</w:t>
      </w:r>
    </w:p>
    <w:p w14:paraId="4A2CD2ED">
      <w:pPr>
        <w:spacing w:line="520" w:lineRule="exact"/>
        <w:rPr>
          <w:rFonts w:hint="eastAsia" w:hAnsi="宋体" w:cs="宋体"/>
          <w:b/>
          <w:color w:val="auto"/>
          <w:sz w:val="24"/>
          <w:szCs w:val="24"/>
          <w:highlight w:val="none"/>
        </w:rPr>
      </w:pPr>
    </w:p>
    <w:p w14:paraId="176283C9">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  采购内容</w:t>
      </w:r>
    </w:p>
    <w:p w14:paraId="2C634095">
      <w:pPr>
        <w:tabs>
          <w:tab w:val="left" w:pos="5220"/>
        </w:tabs>
        <w:spacing w:line="520" w:lineRule="exact"/>
        <w:ind w:firstLine="480" w:firstLineChars="200"/>
        <w:rPr>
          <w:rFonts w:hint="eastAsia" w:hAnsi="宋体" w:cs="宋体"/>
          <w:color w:val="auto"/>
          <w:sz w:val="24"/>
          <w:szCs w:val="24"/>
          <w:highlight w:val="none"/>
          <w:u w:val="single"/>
        </w:rPr>
      </w:pPr>
      <w:r>
        <w:rPr>
          <w:rFonts w:hint="eastAsia" w:hAnsi="宋体" w:cs="宋体"/>
          <w:color w:val="auto"/>
          <w:sz w:val="24"/>
          <w:szCs w:val="24"/>
          <w:highlight w:val="none"/>
        </w:rPr>
        <w:t>1.1 服务名称：</w:t>
      </w:r>
    </w:p>
    <w:p w14:paraId="75F8F6DB">
      <w:pPr>
        <w:tabs>
          <w:tab w:val="left" w:pos="522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1.2采购内容：</w:t>
      </w:r>
    </w:p>
    <w:p w14:paraId="77AF7651">
      <w:pPr>
        <w:tabs>
          <w:tab w:val="left" w:pos="5145"/>
        </w:tabs>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2.  合同金额</w:t>
      </w:r>
    </w:p>
    <w:p w14:paraId="049F5ABF">
      <w:pPr>
        <w:tabs>
          <w:tab w:val="left" w:pos="5250"/>
          <w:tab w:val="left" w:pos="5940"/>
        </w:tabs>
        <w:spacing w:line="520" w:lineRule="exact"/>
        <w:ind w:firstLine="470" w:firstLineChars="196"/>
        <w:rPr>
          <w:rFonts w:hint="eastAsia" w:hAnsi="宋体" w:cs="宋体"/>
          <w:bCs/>
          <w:color w:val="auto"/>
          <w:sz w:val="24"/>
          <w:szCs w:val="24"/>
          <w:highlight w:val="none"/>
        </w:rPr>
      </w:pPr>
      <w:r>
        <w:rPr>
          <w:rFonts w:hint="eastAsia" w:hAnsi="宋体" w:cs="宋体"/>
          <w:bCs/>
          <w:color w:val="auto"/>
          <w:sz w:val="24"/>
          <w:szCs w:val="24"/>
          <w:highlight w:val="none"/>
        </w:rPr>
        <w:t>2.1 本合同金额为人民币（大写）：</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元（￥</w:t>
      </w:r>
      <w:r>
        <w:rPr>
          <w:rFonts w:hint="eastAsia" w:hAnsi="宋体" w:cs="宋体"/>
          <w:bCs/>
          <w:color w:val="auto"/>
          <w:sz w:val="24"/>
          <w:szCs w:val="24"/>
          <w:highlight w:val="none"/>
          <w:u w:val="single"/>
        </w:rPr>
        <w:t xml:space="preserve">　　　　　　 </w:t>
      </w:r>
      <w:r>
        <w:rPr>
          <w:rFonts w:hint="eastAsia" w:hAnsi="宋体" w:cs="宋体"/>
          <w:bCs/>
          <w:color w:val="auto"/>
          <w:sz w:val="24"/>
          <w:szCs w:val="24"/>
          <w:highlight w:val="none"/>
        </w:rPr>
        <w:t>元）。</w:t>
      </w:r>
    </w:p>
    <w:p w14:paraId="3041E518">
      <w:pPr>
        <w:tabs>
          <w:tab w:val="left" w:pos="5250"/>
          <w:tab w:val="left" w:pos="5940"/>
        </w:tabs>
        <w:spacing w:line="520" w:lineRule="exact"/>
        <w:ind w:firstLine="470" w:firstLineChars="196"/>
        <w:rPr>
          <w:rFonts w:hint="eastAsia" w:hAnsi="宋体" w:cs="宋体"/>
          <w:bCs/>
          <w:color w:val="auto"/>
          <w:sz w:val="24"/>
          <w:szCs w:val="24"/>
          <w:highlight w:val="none"/>
        </w:rPr>
      </w:pPr>
      <w:r>
        <w:rPr>
          <w:rFonts w:hint="eastAsia" w:hAnsi="宋体" w:cs="宋体"/>
          <w:bCs/>
          <w:color w:val="auto"/>
          <w:sz w:val="24"/>
          <w:szCs w:val="24"/>
          <w:highlight w:val="none"/>
        </w:rPr>
        <w:t>2.2合同金额明细表</w:t>
      </w:r>
    </w:p>
    <w:p w14:paraId="7E16E1A3">
      <w:pPr>
        <w:pStyle w:val="51"/>
        <w:spacing w:line="520" w:lineRule="exact"/>
        <w:rPr>
          <w:rFonts w:hint="eastAsia" w:ascii="宋体" w:hAnsi="宋体" w:cs="宋体"/>
          <w:color w:val="auto"/>
          <w:sz w:val="24"/>
          <w:szCs w:val="24"/>
          <w:highlight w:val="none"/>
        </w:rPr>
      </w:pPr>
    </w:p>
    <w:p w14:paraId="2538D4F9">
      <w:pPr>
        <w:pStyle w:val="51"/>
        <w:spacing w:line="520" w:lineRule="exact"/>
        <w:rPr>
          <w:rFonts w:hint="eastAsia" w:ascii="宋体" w:hAnsi="宋体" w:cs="宋体"/>
          <w:color w:val="auto"/>
          <w:sz w:val="24"/>
          <w:szCs w:val="24"/>
          <w:highlight w:val="none"/>
        </w:rPr>
      </w:pPr>
    </w:p>
    <w:p w14:paraId="46EE39B2">
      <w:pPr>
        <w:pStyle w:val="51"/>
        <w:spacing w:line="520" w:lineRule="exact"/>
        <w:rPr>
          <w:rFonts w:hint="eastAsia" w:ascii="宋体" w:hAnsi="宋体" w:cs="宋体"/>
          <w:color w:val="auto"/>
          <w:sz w:val="24"/>
          <w:szCs w:val="24"/>
          <w:highlight w:val="none"/>
        </w:rPr>
      </w:pPr>
    </w:p>
    <w:p w14:paraId="07E745C8">
      <w:pPr>
        <w:tabs>
          <w:tab w:val="left" w:pos="5940"/>
        </w:tabs>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3.  项目完成期限要求</w:t>
      </w:r>
    </w:p>
    <w:p w14:paraId="662B55A4">
      <w:pPr>
        <w:tabs>
          <w:tab w:val="left" w:pos="5220"/>
        </w:tabs>
        <w:spacing w:line="520" w:lineRule="exact"/>
        <w:ind w:firstLine="360"/>
        <w:rPr>
          <w:rFonts w:hint="eastAsia" w:hAnsi="宋体" w:cs="宋体"/>
          <w:bCs/>
          <w:color w:val="auto"/>
          <w:sz w:val="24"/>
          <w:szCs w:val="24"/>
          <w:highlight w:val="none"/>
          <w:u w:val="single"/>
        </w:rPr>
      </w:pPr>
      <w:r>
        <w:rPr>
          <w:rFonts w:hint="eastAsia" w:hAnsi="宋体" w:cs="宋体"/>
          <w:bCs/>
          <w:color w:val="auto"/>
          <w:sz w:val="24"/>
          <w:szCs w:val="24"/>
          <w:highlight w:val="none"/>
        </w:rPr>
        <w:t>3.1 项目完成期限（合同履行期限）：</w:t>
      </w:r>
    </w:p>
    <w:p w14:paraId="314EDD1F">
      <w:pPr>
        <w:spacing w:line="520" w:lineRule="exact"/>
        <w:ind w:firstLine="360"/>
        <w:rPr>
          <w:rFonts w:hint="eastAsia" w:hAnsi="宋体" w:cs="宋体"/>
          <w:bCs/>
          <w:color w:val="auto"/>
          <w:sz w:val="24"/>
          <w:szCs w:val="24"/>
          <w:highlight w:val="none"/>
        </w:rPr>
      </w:pPr>
      <w:r>
        <w:rPr>
          <w:rFonts w:hint="eastAsia" w:hAnsi="宋体" w:cs="宋体"/>
          <w:bCs/>
          <w:color w:val="auto"/>
          <w:sz w:val="24"/>
          <w:szCs w:val="24"/>
          <w:highlight w:val="none"/>
        </w:rPr>
        <w:t>3.2 项目实施地点：</w:t>
      </w:r>
    </w:p>
    <w:p w14:paraId="75831F3A">
      <w:pPr>
        <w:spacing w:line="520" w:lineRule="exact"/>
        <w:ind w:firstLine="360"/>
        <w:rPr>
          <w:rFonts w:hint="eastAsia" w:hAnsi="宋体" w:cs="宋体"/>
          <w:b/>
          <w:color w:val="auto"/>
          <w:sz w:val="24"/>
          <w:szCs w:val="24"/>
          <w:highlight w:val="none"/>
        </w:rPr>
      </w:pPr>
      <w:r>
        <w:rPr>
          <w:rFonts w:hint="eastAsia" w:hAnsi="宋体" w:cs="宋体"/>
          <w:bCs/>
          <w:color w:val="auto"/>
          <w:sz w:val="24"/>
          <w:szCs w:val="24"/>
          <w:highlight w:val="none"/>
        </w:rPr>
        <w:t>3.3</w:t>
      </w:r>
      <w:r>
        <w:rPr>
          <w:rFonts w:hint="eastAsia" w:hAnsi="宋体" w:cs="宋体"/>
          <w:color w:val="auto"/>
          <w:sz w:val="24"/>
          <w:szCs w:val="24"/>
          <w:highlight w:val="none"/>
        </w:rPr>
        <w:t>乙方必须按</w:t>
      </w:r>
      <w:r>
        <w:rPr>
          <w:rFonts w:hint="eastAsia" w:hAnsi="宋体" w:cs="宋体"/>
          <w:color w:val="auto"/>
          <w:sz w:val="24"/>
          <w:szCs w:val="24"/>
          <w:highlight w:val="none"/>
          <w:lang w:val="en-US" w:eastAsia="zh-CN"/>
        </w:rPr>
        <w:t>投标</w:t>
      </w:r>
      <w:r>
        <w:rPr>
          <w:rFonts w:hint="eastAsia" w:hAnsi="宋体" w:cs="宋体"/>
          <w:color w:val="auto"/>
          <w:sz w:val="24"/>
          <w:szCs w:val="24"/>
          <w:highlight w:val="none"/>
        </w:rPr>
        <w:t>文件承诺的技术标准、性能要求、质量标准等向甲方提供符合采购要求及验收要求的服务成果。</w:t>
      </w:r>
    </w:p>
    <w:p w14:paraId="366CD31F">
      <w:pPr>
        <w:spacing w:line="520" w:lineRule="exact"/>
        <w:ind w:left="410" w:hanging="410" w:hangingChars="170"/>
        <w:rPr>
          <w:rFonts w:hint="eastAsia" w:hAnsi="宋体" w:cs="宋体"/>
          <w:b/>
          <w:color w:val="auto"/>
          <w:sz w:val="24"/>
          <w:szCs w:val="24"/>
          <w:highlight w:val="none"/>
        </w:rPr>
      </w:pPr>
      <w:r>
        <w:rPr>
          <w:rFonts w:hint="eastAsia" w:hAnsi="宋体" w:cs="宋体"/>
          <w:b/>
          <w:bCs/>
          <w:color w:val="auto"/>
          <w:sz w:val="24"/>
          <w:szCs w:val="24"/>
          <w:highlight w:val="none"/>
        </w:rPr>
        <w:t>4.  履约保证金</w:t>
      </w:r>
    </w:p>
    <w:p w14:paraId="7F30642F">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乙方在签订后向甲方提供合同总金额</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%的履约保证金。</w:t>
      </w:r>
    </w:p>
    <w:p w14:paraId="12CECB7F">
      <w:pPr>
        <w:spacing w:line="520" w:lineRule="exact"/>
        <w:ind w:left="412" w:hanging="412" w:hangingChars="171"/>
        <w:rPr>
          <w:rFonts w:hint="eastAsia" w:hAnsi="宋体" w:cs="宋体"/>
          <w:b/>
          <w:color w:val="auto"/>
          <w:sz w:val="24"/>
          <w:szCs w:val="24"/>
          <w:highlight w:val="none"/>
        </w:rPr>
      </w:pPr>
      <w:r>
        <w:rPr>
          <w:rFonts w:hint="eastAsia" w:hAnsi="宋体" w:cs="宋体"/>
          <w:b/>
          <w:bCs/>
          <w:color w:val="auto"/>
          <w:sz w:val="24"/>
          <w:szCs w:val="24"/>
          <w:highlight w:val="none"/>
        </w:rPr>
        <w:t>5.  产权</w:t>
      </w:r>
    </w:p>
    <w:p w14:paraId="3D332177">
      <w:pPr>
        <w:spacing w:line="520" w:lineRule="exact"/>
        <w:ind w:firstLine="480" w:firstLineChars="200"/>
        <w:rPr>
          <w:rFonts w:hint="eastAsia" w:hAnsi="宋体" w:cs="宋体"/>
          <w:b/>
          <w:color w:val="auto"/>
          <w:sz w:val="24"/>
          <w:szCs w:val="24"/>
          <w:highlight w:val="none"/>
        </w:rPr>
      </w:pPr>
      <w:r>
        <w:rPr>
          <w:rFonts w:hint="eastAsia" w:hAnsi="宋体" w:cs="宋体"/>
          <w:color w:val="auto"/>
          <w:sz w:val="24"/>
          <w:szCs w:val="24"/>
          <w:highlight w:val="none"/>
        </w:rPr>
        <w:t>5.1 乙方应保证所提供的服务或其任何一部分均不会侵犯任何第三方的专利权、商标权或著作权</w:t>
      </w:r>
      <w:r>
        <w:rPr>
          <w:rFonts w:hint="eastAsia" w:hAnsi="宋体" w:cs="宋体"/>
          <w:bCs/>
          <w:color w:val="auto"/>
          <w:sz w:val="24"/>
          <w:szCs w:val="24"/>
          <w:highlight w:val="none"/>
        </w:rPr>
        <w:t>。</w:t>
      </w:r>
    </w:p>
    <w:p w14:paraId="0E8751DF">
      <w:pPr>
        <w:spacing w:line="520" w:lineRule="exact"/>
        <w:ind w:firstLine="480" w:firstLineChars="200"/>
        <w:rPr>
          <w:rFonts w:hint="eastAsia" w:hAnsi="宋体" w:cs="宋体"/>
          <w:b/>
          <w:color w:val="auto"/>
          <w:sz w:val="24"/>
          <w:szCs w:val="24"/>
          <w:highlight w:val="none"/>
        </w:rPr>
      </w:pPr>
      <w:r>
        <w:rPr>
          <w:rFonts w:hint="eastAsia" w:hAnsi="宋体" w:cs="宋体"/>
          <w:color w:val="auto"/>
          <w:sz w:val="24"/>
          <w:szCs w:val="24"/>
          <w:highlight w:val="none"/>
        </w:rPr>
        <w:t>5.2 乙方保证所交付服务的所有权完全属于乙方且无任何抵押、查封等产权瑕疵。如乙方所交付服务有产权瑕疵的，视为乙方违约，按照本合同第10.3项的约定处理。但在已经全部支付完合同款后才发现有产权瑕疵的，乙方除了支付违约金还应负担甲方由此产生的一切损失。</w:t>
      </w:r>
    </w:p>
    <w:p w14:paraId="5083D892">
      <w:pPr>
        <w:spacing w:line="520" w:lineRule="exact"/>
        <w:rPr>
          <w:rFonts w:hint="eastAsia" w:hAnsi="宋体" w:cs="宋体"/>
          <w:b/>
          <w:color w:val="auto"/>
          <w:sz w:val="24"/>
          <w:szCs w:val="24"/>
          <w:highlight w:val="none"/>
        </w:rPr>
      </w:pPr>
      <w:r>
        <w:rPr>
          <w:rFonts w:hint="eastAsia" w:hAnsi="宋体" w:cs="宋体"/>
          <w:b/>
          <w:bCs/>
          <w:color w:val="auto"/>
          <w:sz w:val="24"/>
          <w:szCs w:val="24"/>
          <w:highlight w:val="none"/>
        </w:rPr>
        <w:t>6.  技术资料</w:t>
      </w:r>
    </w:p>
    <w:p w14:paraId="5506D73E">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6.1 甲方向乙方提供服务的有关技术资料。</w:t>
      </w:r>
    </w:p>
    <w:p w14:paraId="58EDDB44">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6.2 乙方应在采购文件规定的时间向甲方提供使用服务的有关技术资料。</w:t>
      </w:r>
    </w:p>
    <w:p w14:paraId="323F1297">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6.3 没有甲方事先书面同意，乙方不得将甲方提供的有关合同或任何合同条文、规格、计划、图纸、样品或资料提供给与履行本合同无关的其他任何人。即使向与履行本合同有关的人员提供，也应注意保密并限于履行合同的必需范围。</w:t>
      </w:r>
    </w:p>
    <w:p w14:paraId="2B81A2DC">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7.  验收</w:t>
      </w:r>
    </w:p>
    <w:p w14:paraId="41C5D22B">
      <w:pPr>
        <w:tabs>
          <w:tab w:val="left" w:pos="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7.1 乙方应对提交的服务成果作出全面检查和整理，并列出清单，作为甲方验收和使用的技术条件依据，清单应随提交的服务成果交给甲方。</w:t>
      </w:r>
    </w:p>
    <w:p w14:paraId="4DB37D40">
      <w:pPr>
        <w:tabs>
          <w:tab w:val="left" w:pos="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7.2 乙方在指定地点提交服务成果后，甲方应在  个工作日内依据采购文件、乙方的竞标文件等组织验收，验收完毕后作出书面验收报告。验收时乙方必须在现场。</w:t>
      </w:r>
    </w:p>
    <w:p w14:paraId="22EC086E">
      <w:pPr>
        <w:tabs>
          <w:tab w:val="left" w:pos="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7.3 对复杂的服务，甲方可请国家认可的专业机构参与验收，并由其出具验收报告，相关费用由甲方承担。</w:t>
      </w:r>
    </w:p>
    <w:p w14:paraId="05DB56AE">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8.  合同款支付</w:t>
      </w:r>
    </w:p>
    <w:p w14:paraId="3F57FD3A">
      <w:pPr>
        <w:tabs>
          <w:tab w:val="left" w:pos="5145"/>
          <w:tab w:val="left" w:pos="5355"/>
          <w:tab w:val="left" w:pos="6195"/>
        </w:tabs>
        <w:spacing w:line="520" w:lineRule="exact"/>
        <w:ind w:firstLine="480" w:firstLineChars="200"/>
        <w:rPr>
          <w:rFonts w:hint="eastAsia" w:hAnsi="宋体" w:cs="宋体"/>
          <w:bCs/>
          <w:color w:val="auto"/>
          <w:sz w:val="24"/>
          <w:szCs w:val="24"/>
          <w:highlight w:val="none"/>
          <w:u w:val="single"/>
        </w:rPr>
      </w:pPr>
      <w:r>
        <w:rPr>
          <w:rFonts w:hint="eastAsia" w:hAnsi="宋体" w:cs="宋体"/>
          <w:bCs/>
          <w:color w:val="auto"/>
          <w:sz w:val="24"/>
          <w:szCs w:val="24"/>
          <w:highlight w:val="none"/>
        </w:rPr>
        <w:t>8.1 付款方式：    。</w:t>
      </w:r>
    </w:p>
    <w:p w14:paraId="360A5ACC">
      <w:pPr>
        <w:tabs>
          <w:tab w:val="left" w:pos="5145"/>
          <w:tab w:val="left" w:pos="5355"/>
          <w:tab w:val="left" w:pos="6195"/>
        </w:tabs>
        <w:spacing w:line="520" w:lineRule="exact"/>
        <w:ind w:firstLine="480" w:firstLineChars="200"/>
        <w:rPr>
          <w:rFonts w:hint="eastAsia" w:hAnsi="宋体" w:cs="宋体"/>
          <w:bCs/>
          <w:color w:val="auto"/>
          <w:sz w:val="24"/>
          <w:szCs w:val="24"/>
          <w:highlight w:val="none"/>
          <w:u w:val="single"/>
        </w:rPr>
      </w:pPr>
      <w:r>
        <w:rPr>
          <w:rFonts w:hint="eastAsia" w:hAnsi="宋体" w:cs="宋体"/>
          <w:color w:val="auto"/>
          <w:sz w:val="24"/>
          <w:szCs w:val="24"/>
          <w:highlight w:val="none"/>
        </w:rPr>
        <w:t>8.2 付款流程：甲方在上述规定时间内向财政部门提交付款申请，财政部门受理后则视为甲方已向乙方进行支付合同款项。</w:t>
      </w:r>
    </w:p>
    <w:p w14:paraId="650243BC">
      <w:pPr>
        <w:tabs>
          <w:tab w:val="left" w:pos="5145"/>
          <w:tab w:val="left" w:pos="5355"/>
          <w:tab w:val="left" w:pos="6195"/>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8.3 政府采购过程中，如采购人、供应商或采购代理机构存在违法行为，政府采购监督管理部门可视情况书面通知采购人暂停采购活动，并延期支付合同款。</w:t>
      </w:r>
    </w:p>
    <w:p w14:paraId="57BE8F1B">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 xml:space="preserve">9.  </w:t>
      </w:r>
      <w:r>
        <w:rPr>
          <w:rFonts w:hint="eastAsia" w:hAnsi="宋体" w:cs="宋体"/>
          <w:b/>
          <w:bCs/>
          <w:color w:val="auto"/>
          <w:sz w:val="24"/>
          <w:szCs w:val="24"/>
          <w:highlight w:val="none"/>
          <w:lang w:eastAsia="zh-CN"/>
        </w:rPr>
        <w:t>售后运维服务</w:t>
      </w:r>
      <w:r>
        <w:rPr>
          <w:rFonts w:hint="eastAsia" w:hAnsi="宋体" w:cs="宋体"/>
          <w:b/>
          <w:bCs/>
          <w:color w:val="auto"/>
          <w:sz w:val="24"/>
          <w:szCs w:val="24"/>
          <w:highlight w:val="none"/>
        </w:rPr>
        <w:t>要求</w:t>
      </w:r>
    </w:p>
    <w:p w14:paraId="0C43AE18">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9.1 乙方提供服务的质量保证期为：</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（自提交服务验收合格之日起计）</w:t>
      </w:r>
    </w:p>
    <w:p w14:paraId="0C3DA743">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9.2在本合同第9.1项约定的质量保证期内，乙方应对服务出现的问题负责处理解决并承担一切费用。</w:t>
      </w:r>
    </w:p>
    <w:p w14:paraId="17945BAA">
      <w:pPr>
        <w:tabs>
          <w:tab w:val="left" w:pos="5250"/>
        </w:tabs>
        <w:spacing w:line="520" w:lineRule="exact"/>
        <w:ind w:firstLine="480" w:firstLineChars="200"/>
        <w:rPr>
          <w:rFonts w:hint="eastAsia" w:hAnsi="宋体" w:cs="宋体"/>
          <w:color w:val="auto"/>
          <w:sz w:val="24"/>
          <w:szCs w:val="24"/>
          <w:highlight w:val="none"/>
          <w:u w:val="single"/>
        </w:rPr>
      </w:pPr>
      <w:r>
        <w:rPr>
          <w:rFonts w:hint="eastAsia" w:hAnsi="宋体" w:cs="宋体"/>
          <w:color w:val="auto"/>
          <w:sz w:val="24"/>
          <w:szCs w:val="24"/>
          <w:highlight w:val="none"/>
        </w:rPr>
        <w:t>9.3 其他</w:t>
      </w:r>
      <w:r>
        <w:rPr>
          <w:rFonts w:hint="eastAsia" w:hAnsi="宋体" w:cs="宋体"/>
          <w:color w:val="auto"/>
          <w:sz w:val="24"/>
          <w:szCs w:val="24"/>
          <w:highlight w:val="none"/>
          <w:lang w:eastAsia="zh-CN"/>
        </w:rPr>
        <w:t>售后运维服务</w:t>
      </w:r>
      <w:r>
        <w:rPr>
          <w:rFonts w:hint="eastAsia" w:hAnsi="宋体" w:cs="宋体"/>
          <w:color w:val="auto"/>
          <w:sz w:val="24"/>
          <w:szCs w:val="24"/>
          <w:highlight w:val="none"/>
        </w:rPr>
        <w:t>要求：</w:t>
      </w:r>
      <w:r>
        <w:rPr>
          <w:rFonts w:hint="eastAsia" w:hAnsi="宋体" w:cs="宋体"/>
          <w:color w:val="auto"/>
          <w:sz w:val="24"/>
          <w:szCs w:val="24"/>
          <w:highlight w:val="none"/>
          <w:u w:val="single"/>
        </w:rPr>
        <w:t xml:space="preserve">                         。</w:t>
      </w:r>
    </w:p>
    <w:p w14:paraId="2F5BE868">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10.  违约责任</w:t>
      </w:r>
    </w:p>
    <w:p w14:paraId="6F09FF50">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10.1 甲方无正当理由拒收服务的，甲方向乙方偿付拒收服务费总值的违约金。</w:t>
      </w:r>
    </w:p>
    <w:p w14:paraId="3D3B5A79">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10.2 甲方无故逾期验收或办理合同款支付手续的，甲方应按逾期付款总额每日向乙方支付违约金。</w:t>
      </w:r>
    </w:p>
    <w:p w14:paraId="3AC1CE0F">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10.3 乙方逾期交付服务的，乙方应按逾期提供服务总额每日向甲方支付违约金，由甲方从待付服务费中扣除。逾期超过约定日期</w:t>
      </w:r>
      <w:r>
        <w:rPr>
          <w:rFonts w:hint="eastAsia" w:hAnsi="宋体" w:cs="宋体"/>
          <w:color w:val="auto"/>
          <w:sz w:val="24"/>
          <w:szCs w:val="24"/>
          <w:highlight w:val="none"/>
          <w:u w:val="single"/>
          <w:lang w:val="en-US" w:eastAsia="zh-CN"/>
        </w:rPr>
        <w:t xml:space="preserve">   </w:t>
      </w:r>
      <w:r>
        <w:rPr>
          <w:rFonts w:hint="eastAsia" w:hAnsi="宋体" w:cs="宋体"/>
          <w:color w:val="auto"/>
          <w:sz w:val="24"/>
          <w:szCs w:val="24"/>
          <w:highlight w:val="none"/>
        </w:rPr>
        <w:t>个工作日不能提供服务的，甲方可解除本合同。乙方因逾期提供服务或因其他违约行为导致甲方解除合同的，乙方应向甲方支付合同总值的违约金，如造成甲方损失超过违约金的，超出部分由乙方继续承担赔偿责任。</w:t>
      </w:r>
    </w:p>
    <w:p w14:paraId="7E26C1D9">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11.  不可抗力事件处理</w:t>
      </w:r>
    </w:p>
    <w:p w14:paraId="3EAC345E">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11.1 在合同有效期内，任何一方因不可抗力事件导致不能履行合同，则合同履行期可延长，其延长期与不可抗力影响期相同。</w:t>
      </w:r>
    </w:p>
    <w:p w14:paraId="3EE2217C">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11.2 不可抗力事件发生后，应立即通知对方，并寄送有关权威机构出具的证明。</w:t>
      </w:r>
    </w:p>
    <w:p w14:paraId="67B01BDA">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11.3 不可抗力事件延续120天以上，双方应通过友好协商，确定是否继续履行合同。</w:t>
      </w:r>
    </w:p>
    <w:p w14:paraId="60EF21E2">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12.  诉讼</w:t>
      </w:r>
    </w:p>
    <w:p w14:paraId="06D2608B">
      <w:pPr>
        <w:tabs>
          <w:tab w:val="left" w:pos="0"/>
        </w:tabs>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12.1 双方在执行合同中所发生的一切争议，应通过协商解决。如协商不成，可向合同签订的法院起诉，合同签订地在此约定为保山市隆阳区。</w:t>
      </w:r>
    </w:p>
    <w:p w14:paraId="64051737">
      <w:pPr>
        <w:spacing w:line="520" w:lineRule="exact"/>
        <w:rPr>
          <w:rFonts w:hint="eastAsia" w:hAnsi="宋体" w:cs="宋体"/>
          <w:b/>
          <w:bCs/>
          <w:color w:val="auto"/>
          <w:sz w:val="24"/>
          <w:szCs w:val="24"/>
          <w:highlight w:val="none"/>
        </w:rPr>
      </w:pPr>
      <w:r>
        <w:rPr>
          <w:rFonts w:hint="eastAsia" w:hAnsi="宋体" w:cs="宋体"/>
          <w:b/>
          <w:bCs/>
          <w:color w:val="auto"/>
          <w:sz w:val="24"/>
          <w:szCs w:val="24"/>
          <w:highlight w:val="none"/>
        </w:rPr>
        <w:t>13.  合同生效及其他</w:t>
      </w:r>
    </w:p>
    <w:p w14:paraId="3B0CCEFC">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13.1 合同经双方法定代表人或授权委托代理人签字并加盖单位公章后生效。</w:t>
      </w:r>
    </w:p>
    <w:p w14:paraId="759C0854">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13.2 合同执行中涉及采购资金和采购内容修改或补充的，须经本级财政部门审批，并签订书面补充协议报政府采购监督管理部门备案，方可作为主合同不可分割的一部分。</w:t>
      </w:r>
    </w:p>
    <w:p w14:paraId="2E1F2593">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13.3 下述合同附件为本合同不可分割的部分并与本合同具有同等效力：</w:t>
      </w:r>
    </w:p>
    <w:p w14:paraId="45F699F9">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w:t>
      </w:r>
      <w:r>
        <w:rPr>
          <w:rFonts w:hint="eastAsia" w:hAnsi="宋体" w:cs="宋体"/>
          <w:color w:val="auto"/>
          <w:sz w:val="24"/>
          <w:szCs w:val="24"/>
          <w:highlight w:val="none"/>
          <w:lang w:val="en-US" w:eastAsia="zh-CN"/>
        </w:rPr>
        <w:t>中标</w:t>
      </w:r>
      <w:r>
        <w:rPr>
          <w:rFonts w:hint="eastAsia" w:hAnsi="宋体" w:cs="宋体"/>
          <w:color w:val="auto"/>
          <w:sz w:val="24"/>
          <w:szCs w:val="24"/>
          <w:highlight w:val="none"/>
        </w:rPr>
        <w:t>通知书；</w:t>
      </w:r>
    </w:p>
    <w:p w14:paraId="0891CB79">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（2）采购需求；</w:t>
      </w:r>
    </w:p>
    <w:p w14:paraId="43ACA999">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（3）文件的澄清和修改；</w:t>
      </w:r>
    </w:p>
    <w:p w14:paraId="574FE1D6">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（4）投标文件；</w:t>
      </w:r>
    </w:p>
    <w:p w14:paraId="7367F439">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（5）相关技术资料表、商务条款偏离表；</w:t>
      </w:r>
    </w:p>
    <w:p w14:paraId="294D695B">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（6）中标人澄清函（如有）；</w:t>
      </w:r>
    </w:p>
    <w:p w14:paraId="23D68D02">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（7）其他与本合同相关的资料。</w:t>
      </w:r>
    </w:p>
    <w:p w14:paraId="06949E04">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13.4 本合同未尽事宜，遵照《中华人民共和国民法典》有关条文执行。</w:t>
      </w:r>
    </w:p>
    <w:p w14:paraId="2A312D4B">
      <w:pPr>
        <w:spacing w:line="52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13.5本合同一式陆份，具有同等法律效力，甲方肆份，乙方贰份，政府采购监督管理部门一份，由采购人自合同签订之日起三个工作日内报本级政府采购监督管理部门备案。</w:t>
      </w:r>
    </w:p>
    <w:p w14:paraId="2794418B">
      <w:pPr>
        <w:spacing w:line="520" w:lineRule="exact"/>
        <w:ind w:firstLine="360"/>
        <w:rPr>
          <w:rFonts w:hint="eastAsia" w:hAnsi="宋体" w:cs="宋体"/>
          <w:color w:val="auto"/>
          <w:sz w:val="24"/>
          <w:szCs w:val="24"/>
          <w:highlight w:val="none"/>
        </w:rPr>
      </w:pPr>
    </w:p>
    <w:p w14:paraId="7A768756">
      <w:pPr>
        <w:spacing w:line="520" w:lineRule="exact"/>
        <w:rPr>
          <w:rFonts w:hint="eastAsia" w:hAnsi="宋体" w:cs="宋体"/>
          <w:b/>
          <w:color w:val="auto"/>
          <w:sz w:val="24"/>
          <w:szCs w:val="24"/>
          <w:highlight w:val="none"/>
        </w:rPr>
      </w:pPr>
      <w:r>
        <w:rPr>
          <w:rFonts w:hint="eastAsia" w:hAnsi="宋体" w:cs="宋体"/>
          <w:b/>
          <w:color w:val="auto"/>
          <w:sz w:val="24"/>
          <w:szCs w:val="24"/>
          <w:highlight w:val="none"/>
        </w:rPr>
        <w:t>注：1、本合同书仅供签订正式合同时参</w:t>
      </w:r>
      <w:r>
        <w:rPr>
          <w:rFonts w:hint="eastAsia" w:hAnsi="宋体" w:cs="宋体"/>
          <w:b/>
          <w:color w:val="auto"/>
          <w:sz w:val="24"/>
          <w:szCs w:val="24"/>
          <w:highlight w:val="none"/>
          <w:lang w:eastAsia="zh-CN"/>
        </w:rPr>
        <w:t>考使</w:t>
      </w:r>
      <w:r>
        <w:rPr>
          <w:rFonts w:hint="eastAsia" w:hAnsi="宋体" w:cs="宋体"/>
          <w:b/>
          <w:color w:val="auto"/>
          <w:sz w:val="24"/>
          <w:szCs w:val="24"/>
          <w:highlight w:val="none"/>
        </w:rPr>
        <w:t>用，正式合同书应包括此参考格式之内容。</w:t>
      </w:r>
    </w:p>
    <w:p w14:paraId="3D507AB6">
      <w:pPr>
        <w:spacing w:line="520" w:lineRule="exact"/>
        <w:ind w:firstLine="480"/>
        <w:rPr>
          <w:color w:val="auto"/>
          <w:sz w:val="24"/>
          <w:szCs w:val="24"/>
          <w:highlight w:val="none"/>
        </w:rPr>
      </w:pPr>
      <w:r>
        <w:rPr>
          <w:rFonts w:hint="eastAsia" w:hAnsi="宋体" w:cs="宋体"/>
          <w:b/>
          <w:color w:val="auto"/>
          <w:sz w:val="24"/>
          <w:szCs w:val="24"/>
          <w:highlight w:val="none"/>
        </w:rPr>
        <w:t>2、合同签订双方可根据项目的具体要求进行修订，但合同条款不得与采购文件和中标人递交的投标文件有实质性偏离。</w:t>
      </w:r>
      <w:r>
        <w:rPr>
          <w:rFonts w:hAnsi="宋体" w:cs="宋体"/>
          <w:color w:val="auto"/>
          <w:sz w:val="24"/>
          <w:szCs w:val="24"/>
          <w:highlight w:val="none"/>
        </w:rPr>
        <w:br w:type="page"/>
      </w:r>
    </w:p>
    <w:p w14:paraId="5A57B1E9">
      <w:pPr>
        <w:spacing w:line="520" w:lineRule="exact"/>
        <w:ind w:firstLine="480"/>
        <w:rPr>
          <w:color w:val="auto"/>
          <w:sz w:val="21"/>
          <w:szCs w:val="21"/>
          <w:highlight w:val="none"/>
        </w:rPr>
      </w:pPr>
    </w:p>
    <w:tbl>
      <w:tblPr>
        <w:tblStyle w:val="37"/>
        <w:tblW w:w="9704" w:type="dxa"/>
        <w:jc w:val="center"/>
        <w:tblCellSpacing w:w="0" w:type="dxa"/>
        <w:tblLayout w:type="fixed"/>
        <w:tblCellMar>
          <w:top w:w="0" w:type="dxa"/>
          <w:left w:w="0" w:type="dxa"/>
          <w:bottom w:w="0" w:type="dxa"/>
          <w:right w:w="0" w:type="dxa"/>
        </w:tblCellMar>
      </w:tblPr>
      <w:tblGrid>
        <w:gridCol w:w="1650"/>
        <w:gridCol w:w="8054"/>
      </w:tblGrid>
      <w:tr w14:paraId="5D21CDAB">
        <w:tblPrEx>
          <w:tblCellMar>
            <w:top w:w="0" w:type="dxa"/>
            <w:left w:w="0" w:type="dxa"/>
            <w:bottom w:w="0" w:type="dxa"/>
            <w:right w:w="0" w:type="dxa"/>
          </w:tblCellMar>
        </w:tblPrEx>
        <w:trPr>
          <w:tblCellSpacing w:w="0" w:type="dxa"/>
          <w:jc w:val="center"/>
        </w:trPr>
        <w:tc>
          <w:tcPr>
            <w:tcW w:w="9704" w:type="dxa"/>
            <w:gridSpan w:val="2"/>
            <w:vAlign w:val="center"/>
          </w:tcPr>
          <w:p w14:paraId="72B958EB">
            <w:pPr>
              <w:widowControl/>
              <w:spacing w:after="240"/>
              <w:jc w:val="left"/>
              <w:rPr>
                <w:rFonts w:cs="宋体"/>
                <w:color w:val="auto"/>
                <w:sz w:val="24"/>
                <w:szCs w:val="24"/>
                <w:highlight w:val="none"/>
              </w:rPr>
            </w:pPr>
          </w:p>
          <w:p w14:paraId="714BE973">
            <w:pPr>
              <w:widowControl/>
              <w:spacing w:after="240"/>
              <w:jc w:val="left"/>
              <w:rPr>
                <w:rFonts w:hint="eastAsia" w:eastAsia="宋体" w:cs="宋体"/>
                <w:color w:val="auto"/>
                <w:sz w:val="24"/>
                <w:szCs w:val="24"/>
                <w:highlight w:val="none"/>
                <w:lang w:eastAsia="zh-CN"/>
              </w:rPr>
            </w:pPr>
            <w:r>
              <w:rPr>
                <w:rFonts w:cs="宋体"/>
                <w:color w:val="auto"/>
                <w:sz w:val="24"/>
                <w:szCs w:val="24"/>
                <w:highlight w:val="none"/>
              </w:rPr>
              <w:t>甲方（采购人公章）名 称：</w:t>
            </w:r>
            <w:r>
              <w:rPr>
                <w:rFonts w:hint="eastAsia" w:cs="宋体"/>
                <w:color w:val="auto"/>
                <w:sz w:val="24"/>
                <w:szCs w:val="24"/>
                <w:highlight w:val="none"/>
                <w:lang w:eastAsia="zh-CN"/>
              </w:rPr>
              <w:t>保山市商务局</w:t>
            </w:r>
          </w:p>
        </w:tc>
      </w:tr>
      <w:tr w14:paraId="0023269E">
        <w:tblPrEx>
          <w:tblCellMar>
            <w:top w:w="0" w:type="dxa"/>
            <w:left w:w="0" w:type="dxa"/>
            <w:bottom w:w="0" w:type="dxa"/>
            <w:right w:w="0" w:type="dxa"/>
          </w:tblCellMar>
        </w:tblPrEx>
        <w:trPr>
          <w:tblCellSpacing w:w="0" w:type="dxa"/>
          <w:jc w:val="center"/>
        </w:trPr>
        <w:tc>
          <w:tcPr>
            <w:tcW w:w="1650" w:type="dxa"/>
            <w:vAlign w:val="center"/>
          </w:tcPr>
          <w:p w14:paraId="21066C54">
            <w:pPr>
              <w:widowControl/>
              <w:jc w:val="left"/>
              <w:rPr>
                <w:rFonts w:cs="宋体"/>
                <w:color w:val="auto"/>
                <w:sz w:val="24"/>
                <w:szCs w:val="24"/>
                <w:highlight w:val="none"/>
              </w:rPr>
            </w:pPr>
          </w:p>
        </w:tc>
        <w:tc>
          <w:tcPr>
            <w:tcW w:w="8054" w:type="dxa"/>
            <w:vAlign w:val="center"/>
          </w:tcPr>
          <w:p w14:paraId="7318DCE6">
            <w:pPr>
              <w:widowControl/>
              <w:spacing w:after="240"/>
              <w:jc w:val="left"/>
              <w:rPr>
                <w:rFonts w:cs="宋体"/>
                <w:color w:val="auto"/>
                <w:sz w:val="24"/>
                <w:szCs w:val="24"/>
                <w:highlight w:val="none"/>
              </w:rPr>
            </w:pPr>
            <w:r>
              <w:rPr>
                <w:rFonts w:cs="宋体"/>
                <w:color w:val="auto"/>
                <w:sz w:val="24"/>
                <w:szCs w:val="24"/>
                <w:highlight w:val="none"/>
              </w:rPr>
              <w:t>地 址：</w:t>
            </w:r>
          </w:p>
        </w:tc>
      </w:tr>
      <w:tr w14:paraId="60BE2DB5">
        <w:tblPrEx>
          <w:tblCellMar>
            <w:top w:w="0" w:type="dxa"/>
            <w:left w:w="0" w:type="dxa"/>
            <w:bottom w:w="0" w:type="dxa"/>
            <w:right w:w="0" w:type="dxa"/>
          </w:tblCellMar>
        </w:tblPrEx>
        <w:trPr>
          <w:tblCellSpacing w:w="0" w:type="dxa"/>
          <w:jc w:val="center"/>
        </w:trPr>
        <w:tc>
          <w:tcPr>
            <w:tcW w:w="1650" w:type="dxa"/>
            <w:vAlign w:val="center"/>
          </w:tcPr>
          <w:p w14:paraId="7E11B6F8">
            <w:pPr>
              <w:widowControl/>
              <w:jc w:val="left"/>
              <w:rPr>
                <w:rFonts w:cs="宋体"/>
                <w:color w:val="auto"/>
                <w:sz w:val="24"/>
                <w:szCs w:val="24"/>
                <w:highlight w:val="none"/>
              </w:rPr>
            </w:pPr>
          </w:p>
        </w:tc>
        <w:tc>
          <w:tcPr>
            <w:tcW w:w="8054" w:type="dxa"/>
            <w:vAlign w:val="center"/>
          </w:tcPr>
          <w:p w14:paraId="2BF410C1">
            <w:pPr>
              <w:widowControl/>
              <w:spacing w:after="240"/>
              <w:jc w:val="left"/>
              <w:rPr>
                <w:rFonts w:cs="宋体"/>
                <w:color w:val="auto"/>
                <w:sz w:val="24"/>
                <w:szCs w:val="24"/>
                <w:highlight w:val="none"/>
              </w:rPr>
            </w:pPr>
            <w:r>
              <w:rPr>
                <w:rFonts w:cs="宋体"/>
                <w:color w:val="auto"/>
                <w:sz w:val="24"/>
                <w:szCs w:val="24"/>
                <w:highlight w:val="none"/>
              </w:rPr>
              <w:t>邮 编：</w:t>
            </w:r>
          </w:p>
        </w:tc>
      </w:tr>
      <w:tr w14:paraId="32A42108">
        <w:tblPrEx>
          <w:tblCellMar>
            <w:top w:w="0" w:type="dxa"/>
            <w:left w:w="0" w:type="dxa"/>
            <w:bottom w:w="0" w:type="dxa"/>
            <w:right w:w="0" w:type="dxa"/>
          </w:tblCellMar>
        </w:tblPrEx>
        <w:trPr>
          <w:tblCellSpacing w:w="0" w:type="dxa"/>
          <w:jc w:val="center"/>
        </w:trPr>
        <w:tc>
          <w:tcPr>
            <w:tcW w:w="1650" w:type="dxa"/>
            <w:vAlign w:val="center"/>
          </w:tcPr>
          <w:p w14:paraId="699BAA12">
            <w:pPr>
              <w:widowControl/>
              <w:jc w:val="left"/>
              <w:rPr>
                <w:rFonts w:cs="宋体"/>
                <w:color w:val="auto"/>
                <w:sz w:val="24"/>
                <w:szCs w:val="24"/>
                <w:highlight w:val="none"/>
              </w:rPr>
            </w:pPr>
          </w:p>
        </w:tc>
        <w:tc>
          <w:tcPr>
            <w:tcW w:w="8054" w:type="dxa"/>
            <w:vAlign w:val="center"/>
          </w:tcPr>
          <w:p w14:paraId="70757FA8">
            <w:pPr>
              <w:widowControl/>
              <w:spacing w:after="240"/>
              <w:jc w:val="left"/>
              <w:rPr>
                <w:rFonts w:cs="宋体"/>
                <w:color w:val="auto"/>
                <w:sz w:val="24"/>
                <w:szCs w:val="24"/>
                <w:highlight w:val="none"/>
              </w:rPr>
            </w:pPr>
            <w:r>
              <w:rPr>
                <w:rFonts w:cs="宋体"/>
                <w:color w:val="auto"/>
                <w:sz w:val="24"/>
                <w:szCs w:val="24"/>
                <w:highlight w:val="none"/>
              </w:rPr>
              <w:t>法定代表人（负责人）或委托代理人：</w:t>
            </w:r>
          </w:p>
        </w:tc>
      </w:tr>
      <w:tr w14:paraId="298157E6">
        <w:tblPrEx>
          <w:tblCellMar>
            <w:top w:w="0" w:type="dxa"/>
            <w:left w:w="0" w:type="dxa"/>
            <w:bottom w:w="0" w:type="dxa"/>
            <w:right w:w="0" w:type="dxa"/>
          </w:tblCellMar>
        </w:tblPrEx>
        <w:trPr>
          <w:tblCellSpacing w:w="0" w:type="dxa"/>
          <w:jc w:val="center"/>
        </w:trPr>
        <w:tc>
          <w:tcPr>
            <w:tcW w:w="1650" w:type="dxa"/>
            <w:vAlign w:val="center"/>
          </w:tcPr>
          <w:p w14:paraId="36B6D0CC">
            <w:pPr>
              <w:widowControl/>
              <w:jc w:val="left"/>
              <w:rPr>
                <w:rFonts w:cs="宋体"/>
                <w:color w:val="auto"/>
                <w:sz w:val="24"/>
                <w:szCs w:val="24"/>
                <w:highlight w:val="none"/>
              </w:rPr>
            </w:pPr>
          </w:p>
        </w:tc>
        <w:tc>
          <w:tcPr>
            <w:tcW w:w="8054" w:type="dxa"/>
            <w:vAlign w:val="center"/>
          </w:tcPr>
          <w:p w14:paraId="192465CF">
            <w:pPr>
              <w:widowControl/>
              <w:spacing w:after="240"/>
              <w:jc w:val="left"/>
              <w:rPr>
                <w:rFonts w:cs="宋体"/>
                <w:color w:val="auto"/>
                <w:sz w:val="24"/>
                <w:szCs w:val="24"/>
                <w:highlight w:val="none"/>
              </w:rPr>
            </w:pPr>
            <w:r>
              <w:rPr>
                <w:rFonts w:hint="eastAsia" w:cs="宋体"/>
                <w:color w:val="auto"/>
                <w:sz w:val="24"/>
                <w:szCs w:val="24"/>
                <w:highlight w:val="none"/>
              </w:rPr>
              <w:t>联系人</w:t>
            </w:r>
            <w:r>
              <w:rPr>
                <w:rFonts w:cs="宋体"/>
                <w:color w:val="auto"/>
                <w:sz w:val="24"/>
                <w:szCs w:val="24"/>
                <w:highlight w:val="none"/>
              </w:rPr>
              <w:t>：</w:t>
            </w:r>
          </w:p>
        </w:tc>
      </w:tr>
      <w:tr w14:paraId="4F71391A">
        <w:tblPrEx>
          <w:tblCellMar>
            <w:top w:w="0" w:type="dxa"/>
            <w:left w:w="0" w:type="dxa"/>
            <w:bottom w:w="0" w:type="dxa"/>
            <w:right w:w="0" w:type="dxa"/>
          </w:tblCellMar>
        </w:tblPrEx>
        <w:trPr>
          <w:tblCellSpacing w:w="0" w:type="dxa"/>
          <w:jc w:val="center"/>
        </w:trPr>
        <w:tc>
          <w:tcPr>
            <w:tcW w:w="1650" w:type="dxa"/>
            <w:vAlign w:val="center"/>
          </w:tcPr>
          <w:p w14:paraId="2AD56C1D">
            <w:pPr>
              <w:widowControl/>
              <w:jc w:val="left"/>
              <w:rPr>
                <w:rFonts w:cs="宋体"/>
                <w:color w:val="auto"/>
                <w:sz w:val="24"/>
                <w:szCs w:val="24"/>
                <w:highlight w:val="none"/>
              </w:rPr>
            </w:pPr>
          </w:p>
        </w:tc>
        <w:tc>
          <w:tcPr>
            <w:tcW w:w="8054" w:type="dxa"/>
            <w:vAlign w:val="center"/>
          </w:tcPr>
          <w:p w14:paraId="64E66ED1">
            <w:pPr>
              <w:widowControl/>
              <w:spacing w:after="240"/>
              <w:jc w:val="left"/>
              <w:rPr>
                <w:rFonts w:cs="宋体"/>
                <w:color w:val="auto"/>
                <w:sz w:val="24"/>
                <w:szCs w:val="24"/>
                <w:highlight w:val="none"/>
              </w:rPr>
            </w:pPr>
            <w:r>
              <w:rPr>
                <w:rFonts w:cs="宋体"/>
                <w:color w:val="auto"/>
                <w:sz w:val="24"/>
                <w:szCs w:val="24"/>
                <w:highlight w:val="none"/>
              </w:rPr>
              <w:t>电 话：</w:t>
            </w:r>
          </w:p>
        </w:tc>
      </w:tr>
      <w:tr w14:paraId="210F5E78">
        <w:tblPrEx>
          <w:tblCellMar>
            <w:top w:w="0" w:type="dxa"/>
            <w:left w:w="0" w:type="dxa"/>
            <w:bottom w:w="0" w:type="dxa"/>
            <w:right w:w="0" w:type="dxa"/>
          </w:tblCellMar>
        </w:tblPrEx>
        <w:trPr>
          <w:trHeight w:val="673" w:hRule="atLeast"/>
          <w:tblCellSpacing w:w="0" w:type="dxa"/>
          <w:jc w:val="center"/>
        </w:trPr>
        <w:tc>
          <w:tcPr>
            <w:tcW w:w="1650" w:type="dxa"/>
            <w:vAlign w:val="center"/>
          </w:tcPr>
          <w:p w14:paraId="6C92B42B">
            <w:pPr>
              <w:widowControl/>
              <w:jc w:val="left"/>
              <w:rPr>
                <w:rFonts w:cs="宋体"/>
                <w:color w:val="auto"/>
                <w:sz w:val="24"/>
                <w:szCs w:val="24"/>
                <w:highlight w:val="none"/>
              </w:rPr>
            </w:pPr>
          </w:p>
        </w:tc>
        <w:tc>
          <w:tcPr>
            <w:tcW w:w="8054" w:type="dxa"/>
            <w:vAlign w:val="center"/>
          </w:tcPr>
          <w:p w14:paraId="134152C4">
            <w:pPr>
              <w:widowControl/>
              <w:spacing w:after="240"/>
              <w:jc w:val="left"/>
              <w:rPr>
                <w:rFonts w:cs="宋体"/>
                <w:color w:val="auto"/>
                <w:sz w:val="24"/>
                <w:szCs w:val="24"/>
                <w:highlight w:val="none"/>
              </w:rPr>
            </w:pPr>
            <w:r>
              <w:rPr>
                <w:rFonts w:cs="宋体"/>
                <w:color w:val="auto"/>
                <w:sz w:val="24"/>
                <w:szCs w:val="24"/>
                <w:highlight w:val="none"/>
              </w:rPr>
              <w:t>签订日期：</w:t>
            </w:r>
          </w:p>
        </w:tc>
      </w:tr>
      <w:tr w14:paraId="1B9DEE22">
        <w:tblPrEx>
          <w:tblCellMar>
            <w:top w:w="0" w:type="dxa"/>
            <w:left w:w="0" w:type="dxa"/>
            <w:bottom w:w="0" w:type="dxa"/>
            <w:right w:w="0" w:type="dxa"/>
          </w:tblCellMar>
        </w:tblPrEx>
        <w:trPr>
          <w:tblCellSpacing w:w="0" w:type="dxa"/>
          <w:jc w:val="center"/>
        </w:trPr>
        <w:tc>
          <w:tcPr>
            <w:tcW w:w="9704" w:type="dxa"/>
            <w:gridSpan w:val="2"/>
            <w:vAlign w:val="center"/>
          </w:tcPr>
          <w:p w14:paraId="71768C02">
            <w:pPr>
              <w:widowControl/>
              <w:spacing w:after="240"/>
              <w:jc w:val="left"/>
              <w:rPr>
                <w:rFonts w:cs="宋体"/>
                <w:color w:val="auto"/>
                <w:sz w:val="24"/>
                <w:szCs w:val="24"/>
                <w:highlight w:val="none"/>
              </w:rPr>
            </w:pPr>
            <w:r>
              <w:rPr>
                <w:rFonts w:cs="宋体"/>
                <w:color w:val="auto"/>
                <w:sz w:val="24"/>
                <w:szCs w:val="24"/>
                <w:highlight w:val="none"/>
              </w:rPr>
              <w:t>乙方（</w:t>
            </w:r>
            <w:r>
              <w:rPr>
                <w:rFonts w:hint="eastAsia" w:cs="宋体"/>
                <w:color w:val="auto"/>
                <w:sz w:val="24"/>
                <w:szCs w:val="24"/>
                <w:highlight w:val="none"/>
              </w:rPr>
              <w:t>中标人</w:t>
            </w:r>
            <w:r>
              <w:rPr>
                <w:rFonts w:cs="宋体"/>
                <w:color w:val="auto"/>
                <w:sz w:val="24"/>
                <w:szCs w:val="24"/>
                <w:highlight w:val="none"/>
              </w:rPr>
              <w:t xml:space="preserve">公章）名 称： </w:t>
            </w:r>
          </w:p>
        </w:tc>
      </w:tr>
      <w:tr w14:paraId="466E0770">
        <w:tblPrEx>
          <w:tblCellMar>
            <w:top w:w="0" w:type="dxa"/>
            <w:left w:w="0" w:type="dxa"/>
            <w:bottom w:w="0" w:type="dxa"/>
            <w:right w:w="0" w:type="dxa"/>
          </w:tblCellMar>
        </w:tblPrEx>
        <w:trPr>
          <w:tblCellSpacing w:w="0" w:type="dxa"/>
          <w:jc w:val="center"/>
        </w:trPr>
        <w:tc>
          <w:tcPr>
            <w:tcW w:w="1650" w:type="dxa"/>
            <w:vAlign w:val="center"/>
          </w:tcPr>
          <w:p w14:paraId="155F2A49">
            <w:pPr>
              <w:widowControl/>
              <w:jc w:val="left"/>
              <w:rPr>
                <w:rFonts w:cs="宋体"/>
                <w:color w:val="auto"/>
                <w:sz w:val="24"/>
                <w:szCs w:val="24"/>
                <w:highlight w:val="none"/>
              </w:rPr>
            </w:pPr>
          </w:p>
        </w:tc>
        <w:tc>
          <w:tcPr>
            <w:tcW w:w="8054" w:type="dxa"/>
            <w:vAlign w:val="center"/>
          </w:tcPr>
          <w:p w14:paraId="62D45E16">
            <w:pPr>
              <w:widowControl/>
              <w:spacing w:after="240"/>
              <w:jc w:val="left"/>
              <w:rPr>
                <w:rFonts w:cs="宋体"/>
                <w:color w:val="auto"/>
                <w:sz w:val="24"/>
                <w:szCs w:val="24"/>
                <w:highlight w:val="none"/>
              </w:rPr>
            </w:pPr>
            <w:r>
              <w:rPr>
                <w:rFonts w:cs="宋体"/>
                <w:color w:val="auto"/>
                <w:sz w:val="24"/>
                <w:szCs w:val="24"/>
                <w:highlight w:val="none"/>
              </w:rPr>
              <w:t>地 址：</w:t>
            </w:r>
          </w:p>
        </w:tc>
      </w:tr>
      <w:tr w14:paraId="1A8B7A48">
        <w:tblPrEx>
          <w:tblCellMar>
            <w:top w:w="0" w:type="dxa"/>
            <w:left w:w="0" w:type="dxa"/>
            <w:bottom w:w="0" w:type="dxa"/>
            <w:right w:w="0" w:type="dxa"/>
          </w:tblCellMar>
        </w:tblPrEx>
        <w:trPr>
          <w:tblCellSpacing w:w="0" w:type="dxa"/>
          <w:jc w:val="center"/>
        </w:trPr>
        <w:tc>
          <w:tcPr>
            <w:tcW w:w="1650" w:type="dxa"/>
            <w:vAlign w:val="center"/>
          </w:tcPr>
          <w:p w14:paraId="75167DE5">
            <w:pPr>
              <w:widowControl/>
              <w:jc w:val="left"/>
              <w:rPr>
                <w:rFonts w:cs="宋体"/>
                <w:color w:val="auto"/>
                <w:sz w:val="24"/>
                <w:szCs w:val="24"/>
                <w:highlight w:val="none"/>
              </w:rPr>
            </w:pPr>
          </w:p>
        </w:tc>
        <w:tc>
          <w:tcPr>
            <w:tcW w:w="8054" w:type="dxa"/>
            <w:vAlign w:val="center"/>
          </w:tcPr>
          <w:p w14:paraId="6391D57F">
            <w:pPr>
              <w:widowControl/>
              <w:spacing w:after="240"/>
              <w:jc w:val="left"/>
              <w:rPr>
                <w:rFonts w:cs="宋体"/>
                <w:color w:val="auto"/>
                <w:sz w:val="24"/>
                <w:szCs w:val="24"/>
                <w:highlight w:val="none"/>
              </w:rPr>
            </w:pPr>
            <w:r>
              <w:rPr>
                <w:rFonts w:cs="宋体"/>
                <w:color w:val="auto"/>
                <w:sz w:val="24"/>
                <w:szCs w:val="24"/>
                <w:highlight w:val="none"/>
              </w:rPr>
              <w:t>邮 编：</w:t>
            </w:r>
          </w:p>
        </w:tc>
      </w:tr>
      <w:tr w14:paraId="1467F705">
        <w:tblPrEx>
          <w:tblCellMar>
            <w:top w:w="0" w:type="dxa"/>
            <w:left w:w="0" w:type="dxa"/>
            <w:bottom w:w="0" w:type="dxa"/>
            <w:right w:w="0" w:type="dxa"/>
          </w:tblCellMar>
        </w:tblPrEx>
        <w:trPr>
          <w:tblCellSpacing w:w="0" w:type="dxa"/>
          <w:jc w:val="center"/>
        </w:trPr>
        <w:tc>
          <w:tcPr>
            <w:tcW w:w="1650" w:type="dxa"/>
            <w:vAlign w:val="center"/>
          </w:tcPr>
          <w:p w14:paraId="33F79D81">
            <w:pPr>
              <w:widowControl/>
              <w:jc w:val="left"/>
              <w:rPr>
                <w:rFonts w:cs="宋体"/>
                <w:color w:val="auto"/>
                <w:sz w:val="24"/>
                <w:szCs w:val="24"/>
                <w:highlight w:val="none"/>
              </w:rPr>
            </w:pPr>
          </w:p>
        </w:tc>
        <w:tc>
          <w:tcPr>
            <w:tcW w:w="8054" w:type="dxa"/>
            <w:vAlign w:val="center"/>
          </w:tcPr>
          <w:p w14:paraId="00F397CC">
            <w:pPr>
              <w:widowControl/>
              <w:spacing w:after="240"/>
              <w:jc w:val="left"/>
              <w:rPr>
                <w:rFonts w:cs="宋体"/>
                <w:color w:val="auto"/>
                <w:sz w:val="24"/>
                <w:szCs w:val="24"/>
                <w:highlight w:val="none"/>
              </w:rPr>
            </w:pPr>
            <w:r>
              <w:rPr>
                <w:rFonts w:cs="宋体"/>
                <w:color w:val="auto"/>
                <w:sz w:val="24"/>
                <w:szCs w:val="24"/>
                <w:highlight w:val="none"/>
              </w:rPr>
              <w:t>法定代表人（负责人）或委托代理人：</w:t>
            </w:r>
          </w:p>
        </w:tc>
      </w:tr>
      <w:tr w14:paraId="684C82F0">
        <w:tblPrEx>
          <w:tblCellMar>
            <w:top w:w="0" w:type="dxa"/>
            <w:left w:w="0" w:type="dxa"/>
            <w:bottom w:w="0" w:type="dxa"/>
            <w:right w:w="0" w:type="dxa"/>
          </w:tblCellMar>
        </w:tblPrEx>
        <w:trPr>
          <w:tblCellSpacing w:w="0" w:type="dxa"/>
          <w:jc w:val="center"/>
        </w:trPr>
        <w:tc>
          <w:tcPr>
            <w:tcW w:w="1650" w:type="dxa"/>
            <w:vAlign w:val="center"/>
          </w:tcPr>
          <w:p w14:paraId="169D9FEF">
            <w:pPr>
              <w:widowControl/>
              <w:jc w:val="left"/>
              <w:rPr>
                <w:rFonts w:cs="宋体"/>
                <w:color w:val="auto"/>
                <w:sz w:val="24"/>
                <w:szCs w:val="24"/>
                <w:highlight w:val="none"/>
              </w:rPr>
            </w:pPr>
          </w:p>
        </w:tc>
        <w:tc>
          <w:tcPr>
            <w:tcW w:w="8054" w:type="dxa"/>
            <w:vAlign w:val="center"/>
          </w:tcPr>
          <w:p w14:paraId="5CED8BD4">
            <w:pPr>
              <w:widowControl/>
              <w:spacing w:after="240"/>
              <w:jc w:val="left"/>
              <w:rPr>
                <w:rFonts w:cs="宋体"/>
                <w:color w:val="auto"/>
                <w:sz w:val="24"/>
                <w:szCs w:val="24"/>
                <w:highlight w:val="none"/>
              </w:rPr>
            </w:pPr>
            <w:r>
              <w:rPr>
                <w:rFonts w:hint="eastAsia" w:cs="宋体"/>
                <w:color w:val="auto"/>
                <w:sz w:val="24"/>
                <w:szCs w:val="24"/>
                <w:highlight w:val="none"/>
              </w:rPr>
              <w:t>项目负责人：</w:t>
            </w:r>
          </w:p>
          <w:p w14:paraId="35DBFB42">
            <w:pPr>
              <w:widowControl/>
              <w:spacing w:after="240"/>
              <w:jc w:val="left"/>
              <w:rPr>
                <w:rFonts w:cs="宋体"/>
                <w:color w:val="auto"/>
                <w:sz w:val="24"/>
                <w:szCs w:val="24"/>
                <w:highlight w:val="none"/>
              </w:rPr>
            </w:pPr>
            <w:r>
              <w:rPr>
                <w:rFonts w:cs="宋体"/>
                <w:color w:val="auto"/>
                <w:sz w:val="24"/>
                <w:szCs w:val="24"/>
                <w:highlight w:val="none"/>
              </w:rPr>
              <w:t>经办人：</w:t>
            </w:r>
          </w:p>
        </w:tc>
      </w:tr>
      <w:tr w14:paraId="0403EB6C">
        <w:tblPrEx>
          <w:tblCellMar>
            <w:top w:w="0" w:type="dxa"/>
            <w:left w:w="0" w:type="dxa"/>
            <w:bottom w:w="0" w:type="dxa"/>
            <w:right w:w="0" w:type="dxa"/>
          </w:tblCellMar>
        </w:tblPrEx>
        <w:trPr>
          <w:tblCellSpacing w:w="0" w:type="dxa"/>
          <w:jc w:val="center"/>
        </w:trPr>
        <w:tc>
          <w:tcPr>
            <w:tcW w:w="1650" w:type="dxa"/>
            <w:vAlign w:val="center"/>
          </w:tcPr>
          <w:p w14:paraId="2AABB814">
            <w:pPr>
              <w:widowControl/>
              <w:jc w:val="left"/>
              <w:rPr>
                <w:rFonts w:cs="宋体"/>
                <w:color w:val="auto"/>
                <w:sz w:val="24"/>
                <w:szCs w:val="24"/>
                <w:highlight w:val="none"/>
              </w:rPr>
            </w:pPr>
          </w:p>
        </w:tc>
        <w:tc>
          <w:tcPr>
            <w:tcW w:w="8054" w:type="dxa"/>
            <w:vAlign w:val="center"/>
          </w:tcPr>
          <w:p w14:paraId="01A49C07">
            <w:pPr>
              <w:widowControl/>
              <w:spacing w:after="240"/>
              <w:jc w:val="left"/>
              <w:rPr>
                <w:rFonts w:cs="宋体"/>
                <w:color w:val="auto"/>
                <w:sz w:val="24"/>
                <w:szCs w:val="24"/>
                <w:highlight w:val="none"/>
              </w:rPr>
            </w:pPr>
            <w:r>
              <w:rPr>
                <w:rFonts w:cs="宋体"/>
                <w:color w:val="auto"/>
                <w:sz w:val="24"/>
                <w:szCs w:val="24"/>
                <w:highlight w:val="none"/>
              </w:rPr>
              <w:t>电 话：</w:t>
            </w:r>
          </w:p>
        </w:tc>
      </w:tr>
      <w:tr w14:paraId="385404A2">
        <w:tblPrEx>
          <w:tblCellMar>
            <w:top w:w="0" w:type="dxa"/>
            <w:left w:w="0" w:type="dxa"/>
            <w:bottom w:w="0" w:type="dxa"/>
            <w:right w:w="0" w:type="dxa"/>
          </w:tblCellMar>
        </w:tblPrEx>
        <w:trPr>
          <w:tblCellSpacing w:w="0" w:type="dxa"/>
          <w:jc w:val="center"/>
        </w:trPr>
        <w:tc>
          <w:tcPr>
            <w:tcW w:w="1650" w:type="dxa"/>
            <w:vAlign w:val="center"/>
          </w:tcPr>
          <w:p w14:paraId="13403BB8">
            <w:pPr>
              <w:widowControl/>
              <w:jc w:val="left"/>
              <w:rPr>
                <w:rFonts w:cs="宋体"/>
                <w:color w:val="auto"/>
                <w:sz w:val="24"/>
                <w:szCs w:val="24"/>
                <w:highlight w:val="none"/>
              </w:rPr>
            </w:pPr>
          </w:p>
        </w:tc>
        <w:tc>
          <w:tcPr>
            <w:tcW w:w="8054" w:type="dxa"/>
            <w:vAlign w:val="center"/>
          </w:tcPr>
          <w:p w14:paraId="5AD080FE">
            <w:pPr>
              <w:widowControl/>
              <w:spacing w:after="240"/>
              <w:jc w:val="left"/>
              <w:rPr>
                <w:rFonts w:cs="宋体"/>
                <w:color w:val="auto"/>
                <w:sz w:val="24"/>
                <w:szCs w:val="24"/>
                <w:highlight w:val="none"/>
              </w:rPr>
            </w:pPr>
            <w:r>
              <w:rPr>
                <w:rFonts w:cs="宋体"/>
                <w:color w:val="auto"/>
                <w:sz w:val="24"/>
                <w:szCs w:val="24"/>
                <w:highlight w:val="none"/>
              </w:rPr>
              <w:t>签订日期：</w:t>
            </w:r>
          </w:p>
        </w:tc>
      </w:tr>
    </w:tbl>
    <w:p w14:paraId="5D053CD4">
      <w:pPr>
        <w:spacing w:line="520" w:lineRule="exact"/>
        <w:ind w:firstLine="480"/>
        <w:rPr>
          <w:rFonts w:hint="eastAsia" w:asciiTheme="minorEastAsia" w:hAnsiTheme="minorEastAsia" w:eastAsiaTheme="minorEastAsia"/>
          <w:color w:val="auto"/>
          <w:highlight w:val="none"/>
        </w:rPr>
      </w:pPr>
    </w:p>
    <w:sectPr>
      <w:pgSz w:w="11906" w:h="16838"/>
      <w:pgMar w:top="1418" w:right="1134" w:bottom="1246" w:left="1134" w:header="851" w:footer="992" w:gutter="0"/>
      <w:pgBorders>
        <w:top w:val="none" w:sz="0" w:space="0"/>
        <w:left w:val="none" w:sz="0" w:space="0"/>
        <w:bottom w:val="none" w:sz="0" w:space="0"/>
        <w:right w:val="none" w:sz="0" w:space="0"/>
      </w:pgBorders>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MS Sans Serif">
    <w:altName w:val="Arial"/>
    <w:panose1 w:val="00000000000000000000"/>
    <w:charset w:val="00"/>
    <w:family w:val="swiss"/>
    <w:pitch w:val="default"/>
    <w:sig w:usb0="00000000" w:usb1="00000000" w:usb2="00000000" w:usb3="00000000" w:csb0="0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华文楷体">
    <w:altName w:val="宋体"/>
    <w:panose1 w:val="02010600040101010101"/>
    <w:charset w:val="86"/>
    <w:family w:val="auto"/>
    <w:pitch w:val="default"/>
    <w:sig w:usb0="00000000" w:usb1="0000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F1643B">
    <w:pPr>
      <w:pStyle w:val="27"/>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F1B1EA0">
                          <w:pPr>
                            <w:pStyle w:val="27"/>
                          </w:pPr>
                          <w:r>
                            <w:fldChar w:fldCharType="begin"/>
                          </w:r>
                          <w:r>
                            <w:instrText xml:space="preserve"> PAGE  \* MERGEFORMAT </w:instrText>
                          </w:r>
                          <w:r>
                            <w:fldChar w:fldCharType="separate"/>
                          </w:r>
                          <w:r>
                            <w:t>91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B4HF0wAgAAY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eEybMsbPXO&#10;8ggd5fF2dQyQs1M5itIrge7EDWav69PwTuJw/7nvoh7/Dcv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s0lY7tAAAAAFAQAADwAAAAAAAAABACAAAAAiAAAAZHJzL2Rvd25yZXYueG1sUEsBAhQAFAAA&#10;AAgAh07iQFB4HF0wAgAAYwQAAA4AAAAAAAAAAQAgAAAAHwEAAGRycy9lMm9Eb2MueG1sUEsFBgAA&#10;AAAGAAYAWQEAAMEFAAAAAA==&#10;">
              <v:fill on="f" focussize="0,0"/>
              <v:stroke on="f" weight="0.5pt"/>
              <v:imagedata o:title=""/>
              <o:lock v:ext="edit" aspectratio="f"/>
              <v:textbox inset="0mm,0mm,0mm,0mm" style="mso-fit-shape-to-text:t;">
                <w:txbxContent>
                  <w:p w14:paraId="0F1B1EA0">
                    <w:pPr>
                      <w:pStyle w:val="27"/>
                    </w:pPr>
                    <w:r>
                      <w:fldChar w:fldCharType="begin"/>
                    </w:r>
                    <w:r>
                      <w:instrText xml:space="preserve"> PAGE  \* MERGEFORMAT </w:instrText>
                    </w:r>
                    <w:r>
                      <w:fldChar w:fldCharType="separate"/>
                    </w:r>
                    <w:r>
                      <w:t>91</w:t>
                    </w:r>
                    <w:r>
                      <w:fldChar w:fldCharType="end"/>
                    </w:r>
                  </w:p>
                </w:txbxContent>
              </v:textbox>
            </v:shape>
          </w:pict>
        </mc:Fallback>
      </mc:AlternateContent>
    </w:r>
  </w:p>
  <w:p w14:paraId="0BBCEB6D">
    <w:pPr>
      <w:pStyle w:val="27"/>
      <w:ind w:right="360"/>
      <w:jc w:val="right"/>
    </w:pPr>
    <w:r>
      <w:rPr>
        <w:rFonts w:hint="eastAsia" w:hAnsi="宋体"/>
      </w:rPr>
      <w:t>保山市天瑞建设工程招标咨询有限公司编制</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FDB47">
    <w:pPr>
      <w:pStyle w:val="2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2558A7A">
                          <w:pPr>
                            <w:pStyle w:val="27"/>
                          </w:pPr>
                          <w:r>
                            <w:fldChar w:fldCharType="begin"/>
                          </w:r>
                          <w:r>
                            <w:instrText xml:space="preserve"> PAGE  \* MERGEFORMAT </w:instrText>
                          </w:r>
                          <w:r>
                            <w:fldChar w:fldCharType="separate"/>
                          </w:r>
                          <w:r>
                            <w:t>58</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iC+ss0BAACnAwAADgAAAGRycy9lMm9Eb2MueG1srVNLbtswEN0X6B0I&#10;7mspD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9iC+ss0BAACnAwAADgAAAAAAAAABACAAAAAeAQAAZHJzL2Uy&#10;b0RvYy54bWxQSwUGAAAAAAYABgBZAQAAXQUAAAAA&#10;">
              <v:fill on="f" focussize="0,0"/>
              <v:stroke on="f"/>
              <v:imagedata o:title=""/>
              <o:lock v:ext="edit" aspectratio="f"/>
              <v:textbox inset="0mm,0mm,0mm,0mm" style="mso-fit-shape-to-text:t;">
                <w:txbxContent>
                  <w:p w14:paraId="22558A7A">
                    <w:pPr>
                      <w:pStyle w:val="27"/>
                    </w:pPr>
                    <w:r>
                      <w:fldChar w:fldCharType="begin"/>
                    </w:r>
                    <w:r>
                      <w:instrText xml:space="preserve"> PAGE  \* MERGEFORMAT </w:instrText>
                    </w:r>
                    <w:r>
                      <w:fldChar w:fldCharType="separate"/>
                    </w:r>
                    <w:r>
                      <w:t>58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2A20F">
    <w:pPr>
      <w:pStyle w:val="2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D026B4B">
                          <w:pPr>
                            <w:pStyle w:val="27"/>
                          </w:pPr>
                          <w:r>
                            <w:fldChar w:fldCharType="begin"/>
                          </w:r>
                          <w:r>
                            <w:instrText xml:space="preserve"> PAGE  \* MERGEFORMAT </w:instrText>
                          </w:r>
                          <w:r>
                            <w:fldChar w:fldCharType="separate"/>
                          </w:r>
                          <w:r>
                            <w:t>73</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SAYMIBAACN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JiPXgPDukLBw6SejjlBTMZxSYTRtVF6DP+8l6+kv2v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Av0gGDCAQAAjQMAAA4AAAAAAAAAAQAgAAAAHgEAAGRycy9lMm9Eb2MueG1sUEsF&#10;BgAAAAAGAAYAWQEAAFIFAAAAAA==&#10;">
              <v:fill on="f" focussize="0,0"/>
              <v:stroke on="f"/>
              <v:imagedata o:title=""/>
              <o:lock v:ext="edit" aspectratio="f"/>
              <v:textbox inset="0mm,0mm,0mm,0mm" style="mso-fit-shape-to-text:t;">
                <w:txbxContent>
                  <w:p w14:paraId="6D026B4B">
                    <w:pPr>
                      <w:pStyle w:val="27"/>
                    </w:pPr>
                    <w:r>
                      <w:fldChar w:fldCharType="begin"/>
                    </w:r>
                    <w:r>
                      <w:instrText xml:space="preserve"> PAGE  \* MERGEFORMAT </w:instrText>
                    </w:r>
                    <w:r>
                      <w:fldChar w:fldCharType="separate"/>
                    </w:r>
                    <w:r>
                      <w:t>73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74A34F">
    <w:pPr>
      <w:pStyle w:val="28"/>
      <w:rPr>
        <w:rFonts w:hint="eastAsia" w:eastAsia="宋体"/>
        <w:lang w:eastAsia="zh-CN"/>
      </w:rPr>
    </w:pPr>
    <w:r>
      <w:rPr>
        <w:rFonts w:hint="eastAsia"/>
        <w:lang w:eastAsia="zh-CN"/>
      </w:rPr>
      <w:t>保山市加油站流量数据采集系统</w:t>
    </w:r>
    <w:r>
      <w:rPr>
        <w:rFonts w:hint="eastAsia"/>
      </w:rPr>
      <w:t xml:space="preserve">招标文件     </w:t>
    </w:r>
    <w:r>
      <w:rPr>
        <w:rFonts w:hint="eastAsia"/>
        <w:lang w:val="en-US" w:eastAsia="zh-CN"/>
      </w:rPr>
      <w:t xml:space="preserve">                      </w:t>
    </w:r>
    <w:r>
      <w:rPr>
        <w:rFonts w:hint="eastAsia"/>
      </w:rPr>
      <w:t xml:space="preserve">            项目编号：</w:t>
    </w:r>
    <w:r>
      <w:rPr>
        <w:rFonts w:hint="eastAsia"/>
        <w:lang w:eastAsia="zh-CN"/>
      </w:rPr>
      <w:t>TRZBC2025-10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B"/>
    <w:multiLevelType w:val="multilevel"/>
    <w:tmpl w:val="0000000B"/>
    <w:lvl w:ilvl="0" w:tentative="0">
      <w:start w:val="1"/>
      <w:numFmt w:val="none"/>
      <w:lvlText w:val=""/>
      <w:lvlJc w:val="left"/>
      <w:pPr>
        <w:tabs>
          <w:tab w:val="left" w:pos="432"/>
        </w:tabs>
        <w:ind w:left="432" w:hanging="432"/>
      </w:pPr>
      <w:rPr>
        <w:rFonts w:hint="eastAsia"/>
      </w:rPr>
    </w:lvl>
    <w:lvl w:ilvl="1" w:tentative="0">
      <w:start w:val="1"/>
      <w:numFmt w:val="none"/>
      <w:lvlText w:val=" "/>
      <w:lvlJc w:val="left"/>
      <w:pPr>
        <w:tabs>
          <w:tab w:val="left" w:pos="576"/>
        </w:tabs>
        <w:ind w:left="576" w:hanging="576"/>
      </w:pPr>
      <w:rPr>
        <w:rFonts w:hint="eastAsia"/>
      </w:rPr>
    </w:lvl>
    <w:lvl w:ilvl="2" w:tentative="0">
      <w:start w:val="1"/>
      <w:numFmt w:val="none"/>
      <w:pStyle w:val="7"/>
      <w:lvlText w:val=""/>
      <w:lvlJc w:val="left"/>
      <w:pPr>
        <w:tabs>
          <w:tab w:val="left" w:pos="720"/>
        </w:tabs>
        <w:ind w:left="720" w:hanging="720"/>
      </w:pPr>
      <w:rPr>
        <w:rFonts w:hint="eastAsia"/>
      </w:rPr>
    </w:lvl>
    <w:lvl w:ilvl="3" w:tentative="0">
      <w:start w:val="1"/>
      <w:numFmt w:val="none"/>
      <w:lvlText w:val="    "/>
      <w:lvlJc w:val="left"/>
      <w:pPr>
        <w:tabs>
          <w:tab w:val="left" w:pos="864"/>
        </w:tabs>
        <w:ind w:left="864" w:hanging="864"/>
      </w:pPr>
      <w:rPr>
        <w:rFonts w:hint="eastAsia"/>
      </w:rPr>
    </w:lvl>
    <w:lvl w:ilvl="4" w:tentative="0">
      <w:start w:val="1"/>
      <w:numFmt w:val="none"/>
      <w:lvlText w:val="      "/>
      <w:lvlJc w:val="left"/>
      <w:pPr>
        <w:tabs>
          <w:tab w:val="left" w:pos="1008"/>
        </w:tabs>
        <w:ind w:left="1008" w:hanging="1008"/>
      </w:pPr>
      <w:rPr>
        <w:rFonts w:hint="eastAsia"/>
      </w:rPr>
    </w:lvl>
    <w:lvl w:ilvl="5" w:tentative="0">
      <w:start w:val="1"/>
      <w:numFmt w:val="none"/>
      <w:lvlText w:val="           "/>
      <w:lvlJc w:val="left"/>
      <w:pPr>
        <w:tabs>
          <w:tab w:val="left" w:pos="1440"/>
        </w:tabs>
        <w:ind w:left="1152" w:hanging="1152"/>
      </w:pPr>
      <w:rPr>
        <w:rFonts w:hint="eastAsia"/>
      </w:rPr>
    </w:lvl>
    <w:lvl w:ilvl="6" w:tentative="0">
      <w:start w:val="1"/>
      <w:numFmt w:val="decimal"/>
      <w:lvlText w:val="%1.%2.%3.%4.%5.%6.%7"/>
      <w:lvlJc w:val="left"/>
      <w:pPr>
        <w:tabs>
          <w:tab w:val="left" w:pos="2520"/>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1">
    <w:nsid w:val="140079A2"/>
    <w:multiLevelType w:val="multilevel"/>
    <w:tmpl w:val="140079A2"/>
    <w:lvl w:ilvl="0" w:tentative="0">
      <w:start w:val="1"/>
      <w:numFmt w:val="decimal"/>
      <w:lvlText w:val="%1."/>
      <w:lvlJc w:val="left"/>
      <w:pPr>
        <w:ind w:left="1242" w:hanging="382"/>
      </w:pPr>
      <w:rPr>
        <w:rFonts w:hint="default" w:ascii="仿宋" w:hAnsi="仿宋" w:eastAsia="仿宋"/>
        <w:spacing w:val="0"/>
        <w:sz w:val="24"/>
        <w:szCs w:val="24"/>
      </w:rPr>
    </w:lvl>
    <w:lvl w:ilvl="1" w:tentative="0">
      <w:start w:val="0"/>
      <w:numFmt w:val="bullet"/>
      <w:lvlText w:val="•"/>
      <w:lvlJc w:val="left"/>
      <w:pPr>
        <w:ind w:left="2010" w:hanging="382"/>
      </w:pPr>
      <w:rPr>
        <w:rFonts w:hint="default" w:ascii="Times New Roman" w:hAnsi="Times New Roman" w:cs="Times New Roman"/>
      </w:rPr>
    </w:lvl>
    <w:lvl w:ilvl="2" w:tentative="0">
      <w:start w:val="0"/>
      <w:numFmt w:val="bullet"/>
      <w:lvlText w:val="•"/>
      <w:lvlJc w:val="left"/>
      <w:pPr>
        <w:ind w:left="2781" w:hanging="382"/>
      </w:pPr>
      <w:rPr>
        <w:rFonts w:hint="default" w:ascii="Times New Roman" w:hAnsi="Times New Roman" w:cs="Times New Roman"/>
      </w:rPr>
    </w:lvl>
    <w:lvl w:ilvl="3" w:tentative="0">
      <w:start w:val="0"/>
      <w:numFmt w:val="bullet"/>
      <w:lvlText w:val="•"/>
      <w:lvlJc w:val="left"/>
      <w:pPr>
        <w:ind w:left="3551" w:hanging="382"/>
      </w:pPr>
      <w:rPr>
        <w:rFonts w:hint="default" w:ascii="Times New Roman" w:hAnsi="Times New Roman" w:cs="Times New Roman"/>
      </w:rPr>
    </w:lvl>
    <w:lvl w:ilvl="4" w:tentative="0">
      <w:start w:val="0"/>
      <w:numFmt w:val="bullet"/>
      <w:lvlText w:val="•"/>
      <w:lvlJc w:val="left"/>
      <w:pPr>
        <w:ind w:left="4322" w:hanging="382"/>
      </w:pPr>
      <w:rPr>
        <w:rFonts w:hint="default" w:ascii="Times New Roman" w:hAnsi="Times New Roman" w:cs="Times New Roman"/>
      </w:rPr>
    </w:lvl>
    <w:lvl w:ilvl="5" w:tentative="0">
      <w:start w:val="0"/>
      <w:numFmt w:val="bullet"/>
      <w:lvlText w:val="•"/>
      <w:lvlJc w:val="left"/>
      <w:pPr>
        <w:ind w:left="5093" w:hanging="382"/>
      </w:pPr>
      <w:rPr>
        <w:rFonts w:hint="default" w:ascii="Times New Roman" w:hAnsi="Times New Roman" w:cs="Times New Roman"/>
      </w:rPr>
    </w:lvl>
    <w:lvl w:ilvl="6" w:tentative="0">
      <w:start w:val="0"/>
      <w:numFmt w:val="bullet"/>
      <w:lvlText w:val="•"/>
      <w:lvlJc w:val="left"/>
      <w:pPr>
        <w:ind w:left="5863" w:hanging="382"/>
      </w:pPr>
      <w:rPr>
        <w:rFonts w:hint="default" w:ascii="Times New Roman" w:hAnsi="Times New Roman" w:cs="Times New Roman"/>
      </w:rPr>
    </w:lvl>
    <w:lvl w:ilvl="7" w:tentative="0">
      <w:start w:val="0"/>
      <w:numFmt w:val="bullet"/>
      <w:lvlText w:val="•"/>
      <w:lvlJc w:val="left"/>
      <w:pPr>
        <w:ind w:left="6634" w:hanging="382"/>
      </w:pPr>
      <w:rPr>
        <w:rFonts w:hint="default" w:ascii="Times New Roman" w:hAnsi="Times New Roman" w:cs="Times New Roman"/>
      </w:rPr>
    </w:lvl>
    <w:lvl w:ilvl="8" w:tentative="0">
      <w:start w:val="0"/>
      <w:numFmt w:val="bullet"/>
      <w:lvlText w:val="•"/>
      <w:lvlJc w:val="left"/>
      <w:pPr>
        <w:ind w:left="7404" w:hanging="382"/>
      </w:pPr>
      <w:rPr>
        <w:rFonts w:hint="default" w:ascii="Times New Roman" w:hAnsi="Times New Roman" w:cs="Times New Roman"/>
      </w:rPr>
    </w:lvl>
  </w:abstractNum>
  <w:abstractNum w:abstractNumId="2">
    <w:nsid w:val="420C153B"/>
    <w:multiLevelType w:val="multilevel"/>
    <w:tmpl w:val="420C153B"/>
    <w:lvl w:ilvl="0" w:tentative="0">
      <w:start w:val="1"/>
      <w:numFmt w:val="decimal"/>
      <w:pStyle w:val="108"/>
      <w:lvlText w:val="%1."/>
      <w:lvlJc w:val="left"/>
      <w:pPr>
        <w:tabs>
          <w:tab w:val="left" w:pos="709"/>
        </w:tabs>
        <w:ind w:left="709" w:hanging="709"/>
      </w:pPr>
      <w:rPr>
        <w:rFonts w:cs="Times New Roman"/>
      </w:rPr>
    </w:lvl>
    <w:lvl w:ilvl="1" w:tentative="0">
      <w:start w:val="1"/>
      <w:numFmt w:val="decimal"/>
      <w:lvlText w:val="%1.%2"/>
      <w:lvlJc w:val="left"/>
      <w:pPr>
        <w:tabs>
          <w:tab w:val="left" w:pos="709"/>
        </w:tabs>
        <w:ind w:left="709" w:hanging="709"/>
      </w:pPr>
      <w:rPr>
        <w:rFonts w:cs="Times New Roman"/>
      </w:rPr>
    </w:lvl>
    <w:lvl w:ilvl="2" w:tentative="0">
      <w:start w:val="1"/>
      <w:numFmt w:val="decimal"/>
      <w:lvlText w:val="%1.%2.%3."/>
      <w:lvlJc w:val="left"/>
      <w:pPr>
        <w:tabs>
          <w:tab w:val="left" w:pos="425"/>
        </w:tabs>
        <w:ind w:left="425" w:hanging="425"/>
      </w:pPr>
      <w:rPr>
        <w:rFonts w:cs="Times New Roman"/>
      </w:rPr>
    </w:lvl>
    <w:lvl w:ilvl="3" w:tentative="0">
      <w:start w:val="1"/>
      <w:numFmt w:val="decimal"/>
      <w:lvlText w:val="%1.%2.%3.%4."/>
      <w:lvlJc w:val="left"/>
      <w:pPr>
        <w:tabs>
          <w:tab w:val="left" w:pos="851"/>
        </w:tabs>
        <w:ind w:left="851" w:hanging="851"/>
      </w:pPr>
      <w:rPr>
        <w:rFonts w:cs="Times New Roman"/>
      </w:rPr>
    </w:lvl>
    <w:lvl w:ilvl="4" w:tentative="0">
      <w:start w:val="1"/>
      <w:numFmt w:val="decimal"/>
      <w:lvlText w:val="%1.%2.%3.%4.%5."/>
      <w:lvlJc w:val="left"/>
      <w:pPr>
        <w:tabs>
          <w:tab w:val="left" w:pos="992"/>
        </w:tabs>
        <w:ind w:left="992" w:hanging="992"/>
      </w:pPr>
      <w:rPr>
        <w:rFonts w:cs="Times New Roman"/>
      </w:rPr>
    </w:lvl>
    <w:lvl w:ilvl="5" w:tentative="0">
      <w:start w:val="1"/>
      <w:numFmt w:val="decimal"/>
      <w:lvlText w:val="%1.%2.%3.%4.%5.%6."/>
      <w:lvlJc w:val="left"/>
      <w:pPr>
        <w:tabs>
          <w:tab w:val="left" w:pos="1134"/>
        </w:tabs>
        <w:ind w:left="1134" w:hanging="1134"/>
      </w:pPr>
      <w:rPr>
        <w:rFonts w:cs="Times New Roman"/>
      </w:rPr>
    </w:lvl>
    <w:lvl w:ilvl="6" w:tentative="0">
      <w:start w:val="1"/>
      <w:numFmt w:val="decimal"/>
      <w:lvlText w:val="%1.%2.%3.%4.%5.%6.%7."/>
      <w:lvlJc w:val="left"/>
      <w:pPr>
        <w:tabs>
          <w:tab w:val="left" w:pos="1276"/>
        </w:tabs>
        <w:ind w:left="1276" w:hanging="1276"/>
      </w:pPr>
      <w:rPr>
        <w:rFonts w:cs="Times New Roman"/>
      </w:rPr>
    </w:lvl>
    <w:lvl w:ilvl="7" w:tentative="0">
      <w:start w:val="1"/>
      <w:numFmt w:val="decimal"/>
      <w:lvlText w:val="%1.%2.%3.%4.%5.%6.%7.%8."/>
      <w:lvlJc w:val="left"/>
      <w:pPr>
        <w:tabs>
          <w:tab w:val="left" w:pos="1418"/>
        </w:tabs>
        <w:ind w:left="1418" w:hanging="1418"/>
      </w:pPr>
      <w:rPr>
        <w:rFonts w:cs="Times New Roman"/>
      </w:rPr>
    </w:lvl>
    <w:lvl w:ilvl="8" w:tentative="0">
      <w:start w:val="1"/>
      <w:numFmt w:val="decimal"/>
      <w:lvlText w:val="%1.%2.%3.%4.%5.%6.%7.%8.%9."/>
      <w:lvlJc w:val="left"/>
      <w:pPr>
        <w:tabs>
          <w:tab w:val="left" w:pos="1559"/>
        </w:tabs>
        <w:ind w:left="1559" w:hanging="1559"/>
      </w:pPr>
      <w:rPr>
        <w:rFonts w:cs="Times New Roman"/>
      </w:rPr>
    </w:lvl>
  </w:abstractNum>
  <w:abstractNum w:abstractNumId="3">
    <w:nsid w:val="56D2FB0D"/>
    <w:multiLevelType w:val="singleLevel"/>
    <w:tmpl w:val="56D2FB0D"/>
    <w:lvl w:ilvl="0" w:tentative="0">
      <w:start w:val="1"/>
      <w:numFmt w:val="decimal"/>
      <w:suff w:val="nothing"/>
      <w:lvlText w:val="（%1）"/>
      <w:lvlJc w:val="left"/>
    </w:lvl>
  </w:abstractNum>
  <w:abstractNum w:abstractNumId="4">
    <w:nsid w:val="56D30047"/>
    <w:multiLevelType w:val="singleLevel"/>
    <w:tmpl w:val="56D30047"/>
    <w:lvl w:ilvl="0" w:tentative="0">
      <w:start w:val="1"/>
      <w:numFmt w:val="decimal"/>
      <w:suff w:val="nothing"/>
      <w:lvlText w:val="（%1）"/>
      <w:lvlJc w:val="left"/>
    </w:lvl>
  </w:abstractNum>
  <w:abstractNum w:abstractNumId="5">
    <w:nsid w:val="56D305CA"/>
    <w:multiLevelType w:val="multilevel"/>
    <w:tmpl w:val="56D305CA"/>
    <w:lvl w:ilvl="0" w:tentative="0">
      <w:start w:val="3"/>
      <w:numFmt w:val="decimal"/>
      <w:suff w:val="nothing"/>
      <w:lvlText w:val="%1."/>
      <w:lvlJc w:val="left"/>
    </w:lvl>
    <w:lvl w:ilvl="1" w:tentative="0">
      <w:start w:val="6"/>
      <w:numFmt w:val="decimal"/>
      <w:isLgl/>
      <w:lvlText w:val="%1.%2"/>
      <w:lvlJc w:val="left"/>
      <w:pPr>
        <w:tabs>
          <w:tab w:val="left" w:pos="960"/>
        </w:tabs>
        <w:ind w:left="960" w:hanging="480"/>
      </w:pPr>
      <w:rPr>
        <w:rFonts w:hint="default"/>
      </w:rPr>
    </w:lvl>
    <w:lvl w:ilvl="2" w:tentative="0">
      <w:start w:val="1"/>
      <w:numFmt w:val="decimal"/>
      <w:isLgl/>
      <w:lvlText w:val="%1.%2.%3"/>
      <w:lvlJc w:val="left"/>
      <w:pPr>
        <w:tabs>
          <w:tab w:val="left" w:pos="1680"/>
        </w:tabs>
        <w:ind w:left="1680" w:hanging="720"/>
      </w:pPr>
      <w:rPr>
        <w:rFonts w:hint="default"/>
      </w:rPr>
    </w:lvl>
    <w:lvl w:ilvl="3" w:tentative="0">
      <w:start w:val="1"/>
      <w:numFmt w:val="decimal"/>
      <w:isLgl/>
      <w:lvlText w:val="%1.%2.%3.%4"/>
      <w:lvlJc w:val="left"/>
      <w:pPr>
        <w:tabs>
          <w:tab w:val="left" w:pos="2520"/>
        </w:tabs>
        <w:ind w:left="2520" w:hanging="1080"/>
      </w:pPr>
      <w:rPr>
        <w:rFonts w:hint="default"/>
      </w:rPr>
    </w:lvl>
    <w:lvl w:ilvl="4" w:tentative="0">
      <w:start w:val="1"/>
      <w:numFmt w:val="decimal"/>
      <w:isLgl/>
      <w:lvlText w:val="%1.%2.%3.%4.%5"/>
      <w:lvlJc w:val="left"/>
      <w:pPr>
        <w:tabs>
          <w:tab w:val="left" w:pos="3000"/>
        </w:tabs>
        <w:ind w:left="3000" w:hanging="1080"/>
      </w:pPr>
      <w:rPr>
        <w:rFonts w:hint="default"/>
      </w:rPr>
    </w:lvl>
    <w:lvl w:ilvl="5" w:tentative="0">
      <w:start w:val="1"/>
      <w:numFmt w:val="decimal"/>
      <w:isLgl/>
      <w:lvlText w:val="%1.%2.%3.%4.%5.%6"/>
      <w:lvlJc w:val="left"/>
      <w:pPr>
        <w:tabs>
          <w:tab w:val="left" w:pos="3840"/>
        </w:tabs>
        <w:ind w:left="3840" w:hanging="1440"/>
      </w:pPr>
      <w:rPr>
        <w:rFonts w:hint="default"/>
      </w:rPr>
    </w:lvl>
    <w:lvl w:ilvl="6" w:tentative="0">
      <w:start w:val="1"/>
      <w:numFmt w:val="decimal"/>
      <w:isLgl/>
      <w:lvlText w:val="%1.%2.%3.%4.%5.%6.%7"/>
      <w:lvlJc w:val="left"/>
      <w:pPr>
        <w:tabs>
          <w:tab w:val="left" w:pos="4680"/>
        </w:tabs>
        <w:ind w:left="4680" w:hanging="1800"/>
      </w:pPr>
      <w:rPr>
        <w:rFonts w:hint="default"/>
      </w:rPr>
    </w:lvl>
    <w:lvl w:ilvl="7" w:tentative="0">
      <w:start w:val="1"/>
      <w:numFmt w:val="decimal"/>
      <w:isLgl/>
      <w:lvlText w:val="%1.%2.%3.%4.%5.%6.%7.%8"/>
      <w:lvlJc w:val="left"/>
      <w:pPr>
        <w:tabs>
          <w:tab w:val="left" w:pos="5160"/>
        </w:tabs>
        <w:ind w:left="5160" w:hanging="1800"/>
      </w:pPr>
      <w:rPr>
        <w:rFonts w:hint="default"/>
      </w:rPr>
    </w:lvl>
    <w:lvl w:ilvl="8" w:tentative="0">
      <w:start w:val="1"/>
      <w:numFmt w:val="decimal"/>
      <w:isLgl/>
      <w:lvlText w:val="%1.%2.%3.%4.%5.%6.%7.%8.%9"/>
      <w:lvlJc w:val="left"/>
      <w:pPr>
        <w:tabs>
          <w:tab w:val="left" w:pos="6000"/>
        </w:tabs>
        <w:ind w:left="6000" w:hanging="2160"/>
      </w:pPr>
      <w:rPr>
        <w:rFonts w:hint="default"/>
      </w:rPr>
    </w:lvl>
  </w:abstractNum>
  <w:abstractNum w:abstractNumId="6">
    <w:nsid w:val="56D646B7"/>
    <w:multiLevelType w:val="singleLevel"/>
    <w:tmpl w:val="56D646B7"/>
    <w:lvl w:ilvl="0" w:tentative="0">
      <w:start w:val="1"/>
      <w:numFmt w:val="decimal"/>
      <w:suff w:val="nothing"/>
      <w:lvlText w:val="%1."/>
      <w:lvlJc w:val="left"/>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4"/>
  </w:num>
  <w:num w:numId="5">
    <w:abstractNumId w:val="5"/>
  </w:num>
  <w:num w:numId="6">
    <w:abstractNumId w:val="1"/>
    <w:lvlOverride w:ilvl="0">
      <w:startOverride w:val="1"/>
    </w:lvlOverride>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40"/>
  <w:drawingGridVerticalSpacing w:val="38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g4YjViMzVjODRlNDk3ZDY3MTlhMWU4MTAwNmJhOGEifQ=="/>
  </w:docVars>
  <w:rsids>
    <w:rsidRoot w:val="000072BF"/>
    <w:rsid w:val="00001127"/>
    <w:rsid w:val="0000140E"/>
    <w:rsid w:val="0000491E"/>
    <w:rsid w:val="000063F6"/>
    <w:rsid w:val="00006C05"/>
    <w:rsid w:val="000072BF"/>
    <w:rsid w:val="00007959"/>
    <w:rsid w:val="00007BAB"/>
    <w:rsid w:val="000108CA"/>
    <w:rsid w:val="00010A6A"/>
    <w:rsid w:val="00010E48"/>
    <w:rsid w:val="00012E9F"/>
    <w:rsid w:val="000132CE"/>
    <w:rsid w:val="00014BD0"/>
    <w:rsid w:val="000178B6"/>
    <w:rsid w:val="00021827"/>
    <w:rsid w:val="0002392D"/>
    <w:rsid w:val="00023D48"/>
    <w:rsid w:val="00025687"/>
    <w:rsid w:val="00025E2E"/>
    <w:rsid w:val="000264A7"/>
    <w:rsid w:val="000304D7"/>
    <w:rsid w:val="00031568"/>
    <w:rsid w:val="000337C6"/>
    <w:rsid w:val="00033B3B"/>
    <w:rsid w:val="00034A0D"/>
    <w:rsid w:val="000355BB"/>
    <w:rsid w:val="00035D6A"/>
    <w:rsid w:val="000417A3"/>
    <w:rsid w:val="00044436"/>
    <w:rsid w:val="00045C6A"/>
    <w:rsid w:val="0005004D"/>
    <w:rsid w:val="00050FA7"/>
    <w:rsid w:val="00053551"/>
    <w:rsid w:val="00054597"/>
    <w:rsid w:val="00054954"/>
    <w:rsid w:val="00055B04"/>
    <w:rsid w:val="0005730F"/>
    <w:rsid w:val="00057B3B"/>
    <w:rsid w:val="000612C0"/>
    <w:rsid w:val="000612CE"/>
    <w:rsid w:val="00062522"/>
    <w:rsid w:val="00063527"/>
    <w:rsid w:val="00070A81"/>
    <w:rsid w:val="00070FC3"/>
    <w:rsid w:val="0007110C"/>
    <w:rsid w:val="00073D15"/>
    <w:rsid w:val="000754EF"/>
    <w:rsid w:val="00075D7F"/>
    <w:rsid w:val="00082982"/>
    <w:rsid w:val="00082A4A"/>
    <w:rsid w:val="0008381A"/>
    <w:rsid w:val="00083A5E"/>
    <w:rsid w:val="000916CA"/>
    <w:rsid w:val="00093CD1"/>
    <w:rsid w:val="00095825"/>
    <w:rsid w:val="00097240"/>
    <w:rsid w:val="00097C6E"/>
    <w:rsid w:val="000A106B"/>
    <w:rsid w:val="000A2152"/>
    <w:rsid w:val="000A27F2"/>
    <w:rsid w:val="000A3B31"/>
    <w:rsid w:val="000A61E5"/>
    <w:rsid w:val="000A703A"/>
    <w:rsid w:val="000B08E6"/>
    <w:rsid w:val="000B1D24"/>
    <w:rsid w:val="000B2252"/>
    <w:rsid w:val="000B286C"/>
    <w:rsid w:val="000B3159"/>
    <w:rsid w:val="000B32A4"/>
    <w:rsid w:val="000B3F0E"/>
    <w:rsid w:val="000B60DA"/>
    <w:rsid w:val="000B6467"/>
    <w:rsid w:val="000B7392"/>
    <w:rsid w:val="000B73B6"/>
    <w:rsid w:val="000C2B6E"/>
    <w:rsid w:val="000C2CF7"/>
    <w:rsid w:val="000C3267"/>
    <w:rsid w:val="000C5204"/>
    <w:rsid w:val="000C5381"/>
    <w:rsid w:val="000C5D04"/>
    <w:rsid w:val="000C6BB8"/>
    <w:rsid w:val="000C7242"/>
    <w:rsid w:val="000C7F29"/>
    <w:rsid w:val="000D3EA9"/>
    <w:rsid w:val="000D46A5"/>
    <w:rsid w:val="000E0188"/>
    <w:rsid w:val="000E03DF"/>
    <w:rsid w:val="000E0B77"/>
    <w:rsid w:val="000E1772"/>
    <w:rsid w:val="000E3B59"/>
    <w:rsid w:val="000E4051"/>
    <w:rsid w:val="000E41E4"/>
    <w:rsid w:val="000E481A"/>
    <w:rsid w:val="000E5FBF"/>
    <w:rsid w:val="000E6CAB"/>
    <w:rsid w:val="000F006A"/>
    <w:rsid w:val="000F0BDB"/>
    <w:rsid w:val="000F0D8F"/>
    <w:rsid w:val="000F4B1D"/>
    <w:rsid w:val="000F5C17"/>
    <w:rsid w:val="000F6442"/>
    <w:rsid w:val="000F69EA"/>
    <w:rsid w:val="0010007E"/>
    <w:rsid w:val="001007F8"/>
    <w:rsid w:val="00100DE1"/>
    <w:rsid w:val="001044EB"/>
    <w:rsid w:val="00105800"/>
    <w:rsid w:val="00106750"/>
    <w:rsid w:val="00106AAE"/>
    <w:rsid w:val="00107707"/>
    <w:rsid w:val="00112C18"/>
    <w:rsid w:val="00114DE4"/>
    <w:rsid w:val="00115238"/>
    <w:rsid w:val="001171E4"/>
    <w:rsid w:val="00120F90"/>
    <w:rsid w:val="00123CD5"/>
    <w:rsid w:val="001249B1"/>
    <w:rsid w:val="00125377"/>
    <w:rsid w:val="00126355"/>
    <w:rsid w:val="00126CD1"/>
    <w:rsid w:val="00126E4D"/>
    <w:rsid w:val="00130492"/>
    <w:rsid w:val="00131366"/>
    <w:rsid w:val="00131C5D"/>
    <w:rsid w:val="00132E2A"/>
    <w:rsid w:val="00133B62"/>
    <w:rsid w:val="00134FF5"/>
    <w:rsid w:val="0013568F"/>
    <w:rsid w:val="001358AD"/>
    <w:rsid w:val="00135D79"/>
    <w:rsid w:val="00136243"/>
    <w:rsid w:val="00136CE9"/>
    <w:rsid w:val="00136ED3"/>
    <w:rsid w:val="00140B4B"/>
    <w:rsid w:val="00141C1C"/>
    <w:rsid w:val="0014251C"/>
    <w:rsid w:val="00142F45"/>
    <w:rsid w:val="0014366B"/>
    <w:rsid w:val="00145674"/>
    <w:rsid w:val="0014669F"/>
    <w:rsid w:val="001524A1"/>
    <w:rsid w:val="00155754"/>
    <w:rsid w:val="001561A6"/>
    <w:rsid w:val="00157289"/>
    <w:rsid w:val="00160087"/>
    <w:rsid w:val="00160AA7"/>
    <w:rsid w:val="00160DAD"/>
    <w:rsid w:val="00165737"/>
    <w:rsid w:val="00165D60"/>
    <w:rsid w:val="001672EA"/>
    <w:rsid w:val="00167432"/>
    <w:rsid w:val="00167802"/>
    <w:rsid w:val="00170A1C"/>
    <w:rsid w:val="001711B7"/>
    <w:rsid w:val="00171356"/>
    <w:rsid w:val="001719D9"/>
    <w:rsid w:val="00171E4C"/>
    <w:rsid w:val="00176091"/>
    <w:rsid w:val="0017630E"/>
    <w:rsid w:val="00177769"/>
    <w:rsid w:val="00181415"/>
    <w:rsid w:val="001836A5"/>
    <w:rsid w:val="00183DC3"/>
    <w:rsid w:val="00190824"/>
    <w:rsid w:val="00192D71"/>
    <w:rsid w:val="001949A5"/>
    <w:rsid w:val="00194F3B"/>
    <w:rsid w:val="0019656F"/>
    <w:rsid w:val="001A1108"/>
    <w:rsid w:val="001A1886"/>
    <w:rsid w:val="001A1D37"/>
    <w:rsid w:val="001A35E8"/>
    <w:rsid w:val="001A439D"/>
    <w:rsid w:val="001A457F"/>
    <w:rsid w:val="001A5106"/>
    <w:rsid w:val="001A5450"/>
    <w:rsid w:val="001A59CA"/>
    <w:rsid w:val="001A64C4"/>
    <w:rsid w:val="001A7B06"/>
    <w:rsid w:val="001B0769"/>
    <w:rsid w:val="001B1C5B"/>
    <w:rsid w:val="001B2E10"/>
    <w:rsid w:val="001B422C"/>
    <w:rsid w:val="001B5D38"/>
    <w:rsid w:val="001B7164"/>
    <w:rsid w:val="001C005D"/>
    <w:rsid w:val="001C27F1"/>
    <w:rsid w:val="001C2ADE"/>
    <w:rsid w:val="001C36A0"/>
    <w:rsid w:val="001D0109"/>
    <w:rsid w:val="001D064C"/>
    <w:rsid w:val="001D1F44"/>
    <w:rsid w:val="001D6211"/>
    <w:rsid w:val="001D6FB7"/>
    <w:rsid w:val="001E0E24"/>
    <w:rsid w:val="001E2731"/>
    <w:rsid w:val="001E41F3"/>
    <w:rsid w:val="001E58B5"/>
    <w:rsid w:val="001E69A7"/>
    <w:rsid w:val="001F092C"/>
    <w:rsid w:val="001F0B7C"/>
    <w:rsid w:val="001F0F21"/>
    <w:rsid w:val="001F1EFC"/>
    <w:rsid w:val="001F2471"/>
    <w:rsid w:val="001F4EAB"/>
    <w:rsid w:val="001F4F87"/>
    <w:rsid w:val="001F5D6F"/>
    <w:rsid w:val="001F608B"/>
    <w:rsid w:val="001F64EA"/>
    <w:rsid w:val="001F66FF"/>
    <w:rsid w:val="001F6B1D"/>
    <w:rsid w:val="001F78AD"/>
    <w:rsid w:val="001F7E16"/>
    <w:rsid w:val="002054F3"/>
    <w:rsid w:val="00206157"/>
    <w:rsid w:val="002065B7"/>
    <w:rsid w:val="00207F5C"/>
    <w:rsid w:val="002101B2"/>
    <w:rsid w:val="00211DB2"/>
    <w:rsid w:val="00213C2A"/>
    <w:rsid w:val="00215413"/>
    <w:rsid w:val="00215AA4"/>
    <w:rsid w:val="0021707F"/>
    <w:rsid w:val="00217372"/>
    <w:rsid w:val="00220EF0"/>
    <w:rsid w:val="0022250B"/>
    <w:rsid w:val="002232F2"/>
    <w:rsid w:val="00225AB7"/>
    <w:rsid w:val="0023214D"/>
    <w:rsid w:val="00233A72"/>
    <w:rsid w:val="002377C8"/>
    <w:rsid w:val="00237FC0"/>
    <w:rsid w:val="00241A85"/>
    <w:rsid w:val="002429B1"/>
    <w:rsid w:val="002445AD"/>
    <w:rsid w:val="00245A16"/>
    <w:rsid w:val="00247EC2"/>
    <w:rsid w:val="0025073D"/>
    <w:rsid w:val="00250F98"/>
    <w:rsid w:val="002510EF"/>
    <w:rsid w:val="002519E5"/>
    <w:rsid w:val="002542E7"/>
    <w:rsid w:val="00254751"/>
    <w:rsid w:val="00256228"/>
    <w:rsid w:val="002569C2"/>
    <w:rsid w:val="00257093"/>
    <w:rsid w:val="002611FB"/>
    <w:rsid w:val="002630BB"/>
    <w:rsid w:val="00265867"/>
    <w:rsid w:val="002677BC"/>
    <w:rsid w:val="00270446"/>
    <w:rsid w:val="00273041"/>
    <w:rsid w:val="00276294"/>
    <w:rsid w:val="002766FF"/>
    <w:rsid w:val="00276EBF"/>
    <w:rsid w:val="00280AA0"/>
    <w:rsid w:val="002823BA"/>
    <w:rsid w:val="00283F9A"/>
    <w:rsid w:val="00284370"/>
    <w:rsid w:val="00291C77"/>
    <w:rsid w:val="00293852"/>
    <w:rsid w:val="002940EE"/>
    <w:rsid w:val="002956B0"/>
    <w:rsid w:val="00295D08"/>
    <w:rsid w:val="0029630E"/>
    <w:rsid w:val="00296F5C"/>
    <w:rsid w:val="00297D25"/>
    <w:rsid w:val="002A0610"/>
    <w:rsid w:val="002A0F77"/>
    <w:rsid w:val="002A1294"/>
    <w:rsid w:val="002A14AE"/>
    <w:rsid w:val="002A177F"/>
    <w:rsid w:val="002A20BB"/>
    <w:rsid w:val="002A4546"/>
    <w:rsid w:val="002A5BF6"/>
    <w:rsid w:val="002A64BF"/>
    <w:rsid w:val="002A755A"/>
    <w:rsid w:val="002B0263"/>
    <w:rsid w:val="002B1EB1"/>
    <w:rsid w:val="002B333D"/>
    <w:rsid w:val="002B48FB"/>
    <w:rsid w:val="002B4F52"/>
    <w:rsid w:val="002B52ED"/>
    <w:rsid w:val="002B59DA"/>
    <w:rsid w:val="002B5B8C"/>
    <w:rsid w:val="002B65AA"/>
    <w:rsid w:val="002B7653"/>
    <w:rsid w:val="002C0437"/>
    <w:rsid w:val="002C14BB"/>
    <w:rsid w:val="002C220C"/>
    <w:rsid w:val="002C326B"/>
    <w:rsid w:val="002C377B"/>
    <w:rsid w:val="002C3B73"/>
    <w:rsid w:val="002C7D92"/>
    <w:rsid w:val="002C7F07"/>
    <w:rsid w:val="002D1019"/>
    <w:rsid w:val="002D1DF8"/>
    <w:rsid w:val="002D2911"/>
    <w:rsid w:val="002D39F0"/>
    <w:rsid w:val="002D6985"/>
    <w:rsid w:val="002E2B88"/>
    <w:rsid w:val="002E3574"/>
    <w:rsid w:val="002E3C12"/>
    <w:rsid w:val="002E6A21"/>
    <w:rsid w:val="002E6C1E"/>
    <w:rsid w:val="002E7306"/>
    <w:rsid w:val="002F00E5"/>
    <w:rsid w:val="002F0801"/>
    <w:rsid w:val="002F216D"/>
    <w:rsid w:val="002F640D"/>
    <w:rsid w:val="002F716B"/>
    <w:rsid w:val="002F736B"/>
    <w:rsid w:val="00300C5F"/>
    <w:rsid w:val="00303FAA"/>
    <w:rsid w:val="003056A3"/>
    <w:rsid w:val="00305CE7"/>
    <w:rsid w:val="0030697E"/>
    <w:rsid w:val="00307D03"/>
    <w:rsid w:val="00311915"/>
    <w:rsid w:val="00315566"/>
    <w:rsid w:val="00315F5C"/>
    <w:rsid w:val="00316072"/>
    <w:rsid w:val="0031646B"/>
    <w:rsid w:val="00320D74"/>
    <w:rsid w:val="00320F92"/>
    <w:rsid w:val="0032275F"/>
    <w:rsid w:val="00323B78"/>
    <w:rsid w:val="00325103"/>
    <w:rsid w:val="00326AB0"/>
    <w:rsid w:val="00331A0B"/>
    <w:rsid w:val="00332D9E"/>
    <w:rsid w:val="003331EB"/>
    <w:rsid w:val="0033347D"/>
    <w:rsid w:val="0033470D"/>
    <w:rsid w:val="00336354"/>
    <w:rsid w:val="0033682F"/>
    <w:rsid w:val="003414BC"/>
    <w:rsid w:val="0034286A"/>
    <w:rsid w:val="00344072"/>
    <w:rsid w:val="00344FA2"/>
    <w:rsid w:val="00347575"/>
    <w:rsid w:val="00350CD7"/>
    <w:rsid w:val="0035154A"/>
    <w:rsid w:val="0035212C"/>
    <w:rsid w:val="0035312C"/>
    <w:rsid w:val="003531F6"/>
    <w:rsid w:val="0035327C"/>
    <w:rsid w:val="0035388F"/>
    <w:rsid w:val="00354256"/>
    <w:rsid w:val="00362D91"/>
    <w:rsid w:val="00362E1F"/>
    <w:rsid w:val="00363018"/>
    <w:rsid w:val="003631C0"/>
    <w:rsid w:val="00366941"/>
    <w:rsid w:val="00366B94"/>
    <w:rsid w:val="00373211"/>
    <w:rsid w:val="0037368C"/>
    <w:rsid w:val="00375686"/>
    <w:rsid w:val="00377E16"/>
    <w:rsid w:val="00380D6F"/>
    <w:rsid w:val="00382640"/>
    <w:rsid w:val="00383878"/>
    <w:rsid w:val="003849A4"/>
    <w:rsid w:val="00385FA1"/>
    <w:rsid w:val="00386F64"/>
    <w:rsid w:val="00390243"/>
    <w:rsid w:val="0039208D"/>
    <w:rsid w:val="00392B7E"/>
    <w:rsid w:val="003936BF"/>
    <w:rsid w:val="00394588"/>
    <w:rsid w:val="0039497E"/>
    <w:rsid w:val="003A01A8"/>
    <w:rsid w:val="003A12B7"/>
    <w:rsid w:val="003A3A0A"/>
    <w:rsid w:val="003A3B73"/>
    <w:rsid w:val="003A442B"/>
    <w:rsid w:val="003A4DB8"/>
    <w:rsid w:val="003A4E43"/>
    <w:rsid w:val="003B0433"/>
    <w:rsid w:val="003B1AFE"/>
    <w:rsid w:val="003B1FF7"/>
    <w:rsid w:val="003B2C6E"/>
    <w:rsid w:val="003B2F4A"/>
    <w:rsid w:val="003B3FCF"/>
    <w:rsid w:val="003B4357"/>
    <w:rsid w:val="003B6E32"/>
    <w:rsid w:val="003B70EE"/>
    <w:rsid w:val="003B7F41"/>
    <w:rsid w:val="003B7F6A"/>
    <w:rsid w:val="003C017F"/>
    <w:rsid w:val="003C2790"/>
    <w:rsid w:val="003C7974"/>
    <w:rsid w:val="003D05B3"/>
    <w:rsid w:val="003D1370"/>
    <w:rsid w:val="003D2362"/>
    <w:rsid w:val="003D24A0"/>
    <w:rsid w:val="003D2A5D"/>
    <w:rsid w:val="003D2F1B"/>
    <w:rsid w:val="003D2F58"/>
    <w:rsid w:val="003D4CE7"/>
    <w:rsid w:val="003D7253"/>
    <w:rsid w:val="003E05EC"/>
    <w:rsid w:val="003E0D9D"/>
    <w:rsid w:val="003E0E83"/>
    <w:rsid w:val="003E15F5"/>
    <w:rsid w:val="003E1A93"/>
    <w:rsid w:val="003E23B6"/>
    <w:rsid w:val="003E3741"/>
    <w:rsid w:val="003E5069"/>
    <w:rsid w:val="003E51A5"/>
    <w:rsid w:val="003E5ADC"/>
    <w:rsid w:val="003E68AA"/>
    <w:rsid w:val="003F0F2F"/>
    <w:rsid w:val="003F1DE2"/>
    <w:rsid w:val="003F218A"/>
    <w:rsid w:val="003F27B7"/>
    <w:rsid w:val="003F3CC3"/>
    <w:rsid w:val="003F4A5E"/>
    <w:rsid w:val="003F5438"/>
    <w:rsid w:val="003F6199"/>
    <w:rsid w:val="004014B8"/>
    <w:rsid w:val="004016E2"/>
    <w:rsid w:val="00401959"/>
    <w:rsid w:val="00403617"/>
    <w:rsid w:val="00403B5E"/>
    <w:rsid w:val="004075AD"/>
    <w:rsid w:val="00411129"/>
    <w:rsid w:val="00411377"/>
    <w:rsid w:val="004149C2"/>
    <w:rsid w:val="00414D43"/>
    <w:rsid w:val="0041526C"/>
    <w:rsid w:val="00416564"/>
    <w:rsid w:val="00417A14"/>
    <w:rsid w:val="00417F6A"/>
    <w:rsid w:val="00420498"/>
    <w:rsid w:val="0042450D"/>
    <w:rsid w:val="00426BD2"/>
    <w:rsid w:val="00427E35"/>
    <w:rsid w:val="004317AC"/>
    <w:rsid w:val="004331C8"/>
    <w:rsid w:val="00433C2B"/>
    <w:rsid w:val="004368FD"/>
    <w:rsid w:val="00436CAF"/>
    <w:rsid w:val="0043719E"/>
    <w:rsid w:val="00437F53"/>
    <w:rsid w:val="0044129A"/>
    <w:rsid w:val="004417F8"/>
    <w:rsid w:val="004421A7"/>
    <w:rsid w:val="00443541"/>
    <w:rsid w:val="0044396C"/>
    <w:rsid w:val="004453A5"/>
    <w:rsid w:val="00445868"/>
    <w:rsid w:val="00450153"/>
    <w:rsid w:val="004516C6"/>
    <w:rsid w:val="00452A03"/>
    <w:rsid w:val="0045341B"/>
    <w:rsid w:val="00455399"/>
    <w:rsid w:val="0045714E"/>
    <w:rsid w:val="004579D2"/>
    <w:rsid w:val="00457AB1"/>
    <w:rsid w:val="004606A9"/>
    <w:rsid w:val="0046081C"/>
    <w:rsid w:val="00460FEE"/>
    <w:rsid w:val="00461A0A"/>
    <w:rsid w:val="0046202A"/>
    <w:rsid w:val="00463C6C"/>
    <w:rsid w:val="004653A2"/>
    <w:rsid w:val="00466422"/>
    <w:rsid w:val="0046687B"/>
    <w:rsid w:val="004700DD"/>
    <w:rsid w:val="00472D43"/>
    <w:rsid w:val="00472E00"/>
    <w:rsid w:val="00473112"/>
    <w:rsid w:val="00473829"/>
    <w:rsid w:val="00474640"/>
    <w:rsid w:val="004767A9"/>
    <w:rsid w:val="00477492"/>
    <w:rsid w:val="004779AB"/>
    <w:rsid w:val="004801B8"/>
    <w:rsid w:val="00480B36"/>
    <w:rsid w:val="00483F09"/>
    <w:rsid w:val="00484CAF"/>
    <w:rsid w:val="0048651E"/>
    <w:rsid w:val="00486836"/>
    <w:rsid w:val="00487813"/>
    <w:rsid w:val="0049002D"/>
    <w:rsid w:val="004901AF"/>
    <w:rsid w:val="004921FF"/>
    <w:rsid w:val="004934E5"/>
    <w:rsid w:val="00493AEF"/>
    <w:rsid w:val="00494F2B"/>
    <w:rsid w:val="00495619"/>
    <w:rsid w:val="0049564F"/>
    <w:rsid w:val="00496027"/>
    <w:rsid w:val="00496BFB"/>
    <w:rsid w:val="00497804"/>
    <w:rsid w:val="00497DB7"/>
    <w:rsid w:val="004A1609"/>
    <w:rsid w:val="004A1790"/>
    <w:rsid w:val="004A28AA"/>
    <w:rsid w:val="004A692C"/>
    <w:rsid w:val="004B0BA6"/>
    <w:rsid w:val="004B44D6"/>
    <w:rsid w:val="004B48CF"/>
    <w:rsid w:val="004C0C38"/>
    <w:rsid w:val="004C25FA"/>
    <w:rsid w:val="004C3845"/>
    <w:rsid w:val="004C3F70"/>
    <w:rsid w:val="004C4358"/>
    <w:rsid w:val="004C48FA"/>
    <w:rsid w:val="004C4931"/>
    <w:rsid w:val="004D190F"/>
    <w:rsid w:val="004D230D"/>
    <w:rsid w:val="004D311D"/>
    <w:rsid w:val="004D40F9"/>
    <w:rsid w:val="004D4D71"/>
    <w:rsid w:val="004D5777"/>
    <w:rsid w:val="004D5BAA"/>
    <w:rsid w:val="004D64FB"/>
    <w:rsid w:val="004D6917"/>
    <w:rsid w:val="004E02BD"/>
    <w:rsid w:val="004E092C"/>
    <w:rsid w:val="004E1638"/>
    <w:rsid w:val="004E2869"/>
    <w:rsid w:val="004E3BBA"/>
    <w:rsid w:val="004E4D1F"/>
    <w:rsid w:val="004E6318"/>
    <w:rsid w:val="004E77AA"/>
    <w:rsid w:val="004F3608"/>
    <w:rsid w:val="004F3807"/>
    <w:rsid w:val="004F5645"/>
    <w:rsid w:val="004F618D"/>
    <w:rsid w:val="004F759E"/>
    <w:rsid w:val="00501719"/>
    <w:rsid w:val="00502132"/>
    <w:rsid w:val="005031AB"/>
    <w:rsid w:val="005047C8"/>
    <w:rsid w:val="00505472"/>
    <w:rsid w:val="00505F3D"/>
    <w:rsid w:val="0050647C"/>
    <w:rsid w:val="00507695"/>
    <w:rsid w:val="00507ED9"/>
    <w:rsid w:val="00511113"/>
    <w:rsid w:val="00511E44"/>
    <w:rsid w:val="005130F1"/>
    <w:rsid w:val="00514A57"/>
    <w:rsid w:val="00516185"/>
    <w:rsid w:val="00517E89"/>
    <w:rsid w:val="00520B17"/>
    <w:rsid w:val="00521AE1"/>
    <w:rsid w:val="00525ACE"/>
    <w:rsid w:val="00526A2A"/>
    <w:rsid w:val="00527083"/>
    <w:rsid w:val="00527AAD"/>
    <w:rsid w:val="005316F1"/>
    <w:rsid w:val="00532BC5"/>
    <w:rsid w:val="00536205"/>
    <w:rsid w:val="00536A42"/>
    <w:rsid w:val="00537341"/>
    <w:rsid w:val="0053744D"/>
    <w:rsid w:val="00537A05"/>
    <w:rsid w:val="00540CAE"/>
    <w:rsid w:val="005410E2"/>
    <w:rsid w:val="00541752"/>
    <w:rsid w:val="00545593"/>
    <w:rsid w:val="00547C77"/>
    <w:rsid w:val="00551A5C"/>
    <w:rsid w:val="005520AC"/>
    <w:rsid w:val="00552ABF"/>
    <w:rsid w:val="005569B1"/>
    <w:rsid w:val="0055781A"/>
    <w:rsid w:val="0056027C"/>
    <w:rsid w:val="00561B19"/>
    <w:rsid w:val="00562C78"/>
    <w:rsid w:val="00563353"/>
    <w:rsid w:val="0056358A"/>
    <w:rsid w:val="005641B5"/>
    <w:rsid w:val="00564EF1"/>
    <w:rsid w:val="00565530"/>
    <w:rsid w:val="00566E19"/>
    <w:rsid w:val="00571C02"/>
    <w:rsid w:val="005761DF"/>
    <w:rsid w:val="005778ED"/>
    <w:rsid w:val="00577DBD"/>
    <w:rsid w:val="00581899"/>
    <w:rsid w:val="00581C7A"/>
    <w:rsid w:val="00581CDB"/>
    <w:rsid w:val="00582E91"/>
    <w:rsid w:val="00583616"/>
    <w:rsid w:val="005867D7"/>
    <w:rsid w:val="0058705A"/>
    <w:rsid w:val="005871D4"/>
    <w:rsid w:val="00587A66"/>
    <w:rsid w:val="005903D7"/>
    <w:rsid w:val="005909B2"/>
    <w:rsid w:val="00590B4B"/>
    <w:rsid w:val="00590E8F"/>
    <w:rsid w:val="00590ED1"/>
    <w:rsid w:val="005914BE"/>
    <w:rsid w:val="005922AF"/>
    <w:rsid w:val="0059385C"/>
    <w:rsid w:val="0059455C"/>
    <w:rsid w:val="0059488C"/>
    <w:rsid w:val="00594E9B"/>
    <w:rsid w:val="00596081"/>
    <w:rsid w:val="005A0DE5"/>
    <w:rsid w:val="005A3A74"/>
    <w:rsid w:val="005A3C3A"/>
    <w:rsid w:val="005A59BE"/>
    <w:rsid w:val="005A6B79"/>
    <w:rsid w:val="005B0316"/>
    <w:rsid w:val="005B0432"/>
    <w:rsid w:val="005B2049"/>
    <w:rsid w:val="005B489C"/>
    <w:rsid w:val="005B4AE1"/>
    <w:rsid w:val="005B5BE9"/>
    <w:rsid w:val="005B6670"/>
    <w:rsid w:val="005B6793"/>
    <w:rsid w:val="005B6923"/>
    <w:rsid w:val="005B7867"/>
    <w:rsid w:val="005B7D32"/>
    <w:rsid w:val="005C6B03"/>
    <w:rsid w:val="005D290D"/>
    <w:rsid w:val="005D7857"/>
    <w:rsid w:val="005D7BD2"/>
    <w:rsid w:val="005E02C1"/>
    <w:rsid w:val="005E4186"/>
    <w:rsid w:val="005E6FB8"/>
    <w:rsid w:val="005E792C"/>
    <w:rsid w:val="005F01E4"/>
    <w:rsid w:val="005F3030"/>
    <w:rsid w:val="005F3710"/>
    <w:rsid w:val="005F38B6"/>
    <w:rsid w:val="005F44C5"/>
    <w:rsid w:val="005F59CD"/>
    <w:rsid w:val="005F634C"/>
    <w:rsid w:val="00604A55"/>
    <w:rsid w:val="00604F2B"/>
    <w:rsid w:val="00610DA6"/>
    <w:rsid w:val="00616AD7"/>
    <w:rsid w:val="00616FA7"/>
    <w:rsid w:val="00617288"/>
    <w:rsid w:val="00617E7A"/>
    <w:rsid w:val="00622B18"/>
    <w:rsid w:val="006236F7"/>
    <w:rsid w:val="00623CE1"/>
    <w:rsid w:val="00623DA3"/>
    <w:rsid w:val="00624E91"/>
    <w:rsid w:val="006273A5"/>
    <w:rsid w:val="006274DA"/>
    <w:rsid w:val="00630184"/>
    <w:rsid w:val="006308BF"/>
    <w:rsid w:val="00630D6B"/>
    <w:rsid w:val="00637140"/>
    <w:rsid w:val="006377B9"/>
    <w:rsid w:val="00641783"/>
    <w:rsid w:val="00643E73"/>
    <w:rsid w:val="00645392"/>
    <w:rsid w:val="00645F4B"/>
    <w:rsid w:val="006465AF"/>
    <w:rsid w:val="00646601"/>
    <w:rsid w:val="00646A9E"/>
    <w:rsid w:val="00650628"/>
    <w:rsid w:val="00653A94"/>
    <w:rsid w:val="006542E6"/>
    <w:rsid w:val="00654FA4"/>
    <w:rsid w:val="006554D4"/>
    <w:rsid w:val="00655657"/>
    <w:rsid w:val="00655A4A"/>
    <w:rsid w:val="0065600F"/>
    <w:rsid w:val="006562EF"/>
    <w:rsid w:val="0065640D"/>
    <w:rsid w:val="00656A3F"/>
    <w:rsid w:val="00657B08"/>
    <w:rsid w:val="00657CE6"/>
    <w:rsid w:val="00657DF7"/>
    <w:rsid w:val="00660778"/>
    <w:rsid w:val="00660EFB"/>
    <w:rsid w:val="0066149E"/>
    <w:rsid w:val="006621DB"/>
    <w:rsid w:val="00662664"/>
    <w:rsid w:val="00662F9B"/>
    <w:rsid w:val="00663DDA"/>
    <w:rsid w:val="00664FE9"/>
    <w:rsid w:val="00666772"/>
    <w:rsid w:val="0066730F"/>
    <w:rsid w:val="00673486"/>
    <w:rsid w:val="00673AA5"/>
    <w:rsid w:val="00674503"/>
    <w:rsid w:val="0067659B"/>
    <w:rsid w:val="006776FE"/>
    <w:rsid w:val="0068036B"/>
    <w:rsid w:val="00683505"/>
    <w:rsid w:val="00684D7A"/>
    <w:rsid w:val="00686A39"/>
    <w:rsid w:val="00690851"/>
    <w:rsid w:val="006916EA"/>
    <w:rsid w:val="0069224D"/>
    <w:rsid w:val="006A01E4"/>
    <w:rsid w:val="006A0486"/>
    <w:rsid w:val="006A06F5"/>
    <w:rsid w:val="006A1061"/>
    <w:rsid w:val="006A1087"/>
    <w:rsid w:val="006A12D3"/>
    <w:rsid w:val="006A25E3"/>
    <w:rsid w:val="006A2AC8"/>
    <w:rsid w:val="006A4831"/>
    <w:rsid w:val="006A5B22"/>
    <w:rsid w:val="006A5FC8"/>
    <w:rsid w:val="006A775D"/>
    <w:rsid w:val="006B1BD1"/>
    <w:rsid w:val="006B2D97"/>
    <w:rsid w:val="006B3EBC"/>
    <w:rsid w:val="006B4595"/>
    <w:rsid w:val="006B4871"/>
    <w:rsid w:val="006B578D"/>
    <w:rsid w:val="006B6052"/>
    <w:rsid w:val="006C0B36"/>
    <w:rsid w:val="006C1FC0"/>
    <w:rsid w:val="006C24C5"/>
    <w:rsid w:val="006C294B"/>
    <w:rsid w:val="006C5A82"/>
    <w:rsid w:val="006C5CC1"/>
    <w:rsid w:val="006D115E"/>
    <w:rsid w:val="006D17AF"/>
    <w:rsid w:val="006D1F2F"/>
    <w:rsid w:val="006D28A3"/>
    <w:rsid w:val="006D3062"/>
    <w:rsid w:val="006D307B"/>
    <w:rsid w:val="006D41ED"/>
    <w:rsid w:val="006D53BA"/>
    <w:rsid w:val="006D5923"/>
    <w:rsid w:val="006D653B"/>
    <w:rsid w:val="006D7F34"/>
    <w:rsid w:val="006E0039"/>
    <w:rsid w:val="006E4123"/>
    <w:rsid w:val="006E549A"/>
    <w:rsid w:val="006E5949"/>
    <w:rsid w:val="006F07C9"/>
    <w:rsid w:val="006F0A49"/>
    <w:rsid w:val="006F21AB"/>
    <w:rsid w:val="006F3360"/>
    <w:rsid w:val="006F3588"/>
    <w:rsid w:val="006F5DC1"/>
    <w:rsid w:val="00700EDB"/>
    <w:rsid w:val="00700FE7"/>
    <w:rsid w:val="007013DA"/>
    <w:rsid w:val="0070165B"/>
    <w:rsid w:val="0070184C"/>
    <w:rsid w:val="00701B27"/>
    <w:rsid w:val="0070242E"/>
    <w:rsid w:val="0070356A"/>
    <w:rsid w:val="00703E78"/>
    <w:rsid w:val="00706712"/>
    <w:rsid w:val="007070B4"/>
    <w:rsid w:val="007076C6"/>
    <w:rsid w:val="00707C3F"/>
    <w:rsid w:val="00710BF5"/>
    <w:rsid w:val="00712E8B"/>
    <w:rsid w:val="00714B2D"/>
    <w:rsid w:val="00717CD1"/>
    <w:rsid w:val="00723E0D"/>
    <w:rsid w:val="007247EB"/>
    <w:rsid w:val="00730CE8"/>
    <w:rsid w:val="00736AFE"/>
    <w:rsid w:val="00736F99"/>
    <w:rsid w:val="00737208"/>
    <w:rsid w:val="00742D6F"/>
    <w:rsid w:val="00744705"/>
    <w:rsid w:val="00744E19"/>
    <w:rsid w:val="007459BD"/>
    <w:rsid w:val="0074666F"/>
    <w:rsid w:val="00747FA7"/>
    <w:rsid w:val="007513E6"/>
    <w:rsid w:val="007521B5"/>
    <w:rsid w:val="0075552B"/>
    <w:rsid w:val="00756D83"/>
    <w:rsid w:val="00757BAF"/>
    <w:rsid w:val="00757D4A"/>
    <w:rsid w:val="00762530"/>
    <w:rsid w:val="00763F27"/>
    <w:rsid w:val="00764A77"/>
    <w:rsid w:val="00764CA0"/>
    <w:rsid w:val="00772336"/>
    <w:rsid w:val="0077343A"/>
    <w:rsid w:val="00774A71"/>
    <w:rsid w:val="00774E72"/>
    <w:rsid w:val="00775D3F"/>
    <w:rsid w:val="00776F5C"/>
    <w:rsid w:val="007809F9"/>
    <w:rsid w:val="007819BE"/>
    <w:rsid w:val="00781ECB"/>
    <w:rsid w:val="007839DD"/>
    <w:rsid w:val="00790C1D"/>
    <w:rsid w:val="007946CF"/>
    <w:rsid w:val="007957FB"/>
    <w:rsid w:val="00796D5E"/>
    <w:rsid w:val="007A182C"/>
    <w:rsid w:val="007A39A5"/>
    <w:rsid w:val="007A751A"/>
    <w:rsid w:val="007B15A4"/>
    <w:rsid w:val="007B1D38"/>
    <w:rsid w:val="007B346D"/>
    <w:rsid w:val="007B3C54"/>
    <w:rsid w:val="007B53AC"/>
    <w:rsid w:val="007B5667"/>
    <w:rsid w:val="007B6ECF"/>
    <w:rsid w:val="007C061A"/>
    <w:rsid w:val="007C08E6"/>
    <w:rsid w:val="007C46FC"/>
    <w:rsid w:val="007C6330"/>
    <w:rsid w:val="007C6F8A"/>
    <w:rsid w:val="007D06CE"/>
    <w:rsid w:val="007D19FE"/>
    <w:rsid w:val="007D1CEF"/>
    <w:rsid w:val="007D63F8"/>
    <w:rsid w:val="007D64BB"/>
    <w:rsid w:val="007D6D88"/>
    <w:rsid w:val="007D6E67"/>
    <w:rsid w:val="007E11D3"/>
    <w:rsid w:val="007E20D5"/>
    <w:rsid w:val="007E2D91"/>
    <w:rsid w:val="007E3A2C"/>
    <w:rsid w:val="007E4815"/>
    <w:rsid w:val="007E59BC"/>
    <w:rsid w:val="007E5DFB"/>
    <w:rsid w:val="007E6F92"/>
    <w:rsid w:val="007E7B49"/>
    <w:rsid w:val="007F19E7"/>
    <w:rsid w:val="007F6B04"/>
    <w:rsid w:val="007F6D46"/>
    <w:rsid w:val="00806C48"/>
    <w:rsid w:val="00810E95"/>
    <w:rsid w:val="00813396"/>
    <w:rsid w:val="008149A2"/>
    <w:rsid w:val="00814B17"/>
    <w:rsid w:val="008160E9"/>
    <w:rsid w:val="008165F6"/>
    <w:rsid w:val="0081674E"/>
    <w:rsid w:val="0081674F"/>
    <w:rsid w:val="00820379"/>
    <w:rsid w:val="0082077B"/>
    <w:rsid w:val="0082118E"/>
    <w:rsid w:val="008213C8"/>
    <w:rsid w:val="00821454"/>
    <w:rsid w:val="008251F7"/>
    <w:rsid w:val="008253CA"/>
    <w:rsid w:val="0082772A"/>
    <w:rsid w:val="0083263F"/>
    <w:rsid w:val="00841CEE"/>
    <w:rsid w:val="00841E2B"/>
    <w:rsid w:val="00842474"/>
    <w:rsid w:val="0084471A"/>
    <w:rsid w:val="008509B8"/>
    <w:rsid w:val="00850C44"/>
    <w:rsid w:val="008514FC"/>
    <w:rsid w:val="00854651"/>
    <w:rsid w:val="00855A9E"/>
    <w:rsid w:val="008562C2"/>
    <w:rsid w:val="00856C8B"/>
    <w:rsid w:val="00856DF1"/>
    <w:rsid w:val="0086234B"/>
    <w:rsid w:val="008623E8"/>
    <w:rsid w:val="00862B52"/>
    <w:rsid w:val="00863865"/>
    <w:rsid w:val="00863921"/>
    <w:rsid w:val="00863932"/>
    <w:rsid w:val="00863C09"/>
    <w:rsid w:val="00865E95"/>
    <w:rsid w:val="00866878"/>
    <w:rsid w:val="008672A8"/>
    <w:rsid w:val="008675C6"/>
    <w:rsid w:val="008701C9"/>
    <w:rsid w:val="00871B69"/>
    <w:rsid w:val="00872519"/>
    <w:rsid w:val="00873B9E"/>
    <w:rsid w:val="00873E8A"/>
    <w:rsid w:val="00874614"/>
    <w:rsid w:val="0087471D"/>
    <w:rsid w:val="0088441F"/>
    <w:rsid w:val="008852EE"/>
    <w:rsid w:val="00886659"/>
    <w:rsid w:val="00890551"/>
    <w:rsid w:val="008916E8"/>
    <w:rsid w:val="008919F1"/>
    <w:rsid w:val="00895249"/>
    <w:rsid w:val="008952F2"/>
    <w:rsid w:val="008A2B4B"/>
    <w:rsid w:val="008A2DAF"/>
    <w:rsid w:val="008A4A9D"/>
    <w:rsid w:val="008A69EA"/>
    <w:rsid w:val="008A6AB2"/>
    <w:rsid w:val="008A7353"/>
    <w:rsid w:val="008B0168"/>
    <w:rsid w:val="008B6428"/>
    <w:rsid w:val="008C156B"/>
    <w:rsid w:val="008C538D"/>
    <w:rsid w:val="008C58DD"/>
    <w:rsid w:val="008C6A16"/>
    <w:rsid w:val="008D06CF"/>
    <w:rsid w:val="008D4283"/>
    <w:rsid w:val="008D621E"/>
    <w:rsid w:val="008D640C"/>
    <w:rsid w:val="008E02DB"/>
    <w:rsid w:val="008E1395"/>
    <w:rsid w:val="008E45C0"/>
    <w:rsid w:val="008F2FFB"/>
    <w:rsid w:val="008F573C"/>
    <w:rsid w:val="008F7171"/>
    <w:rsid w:val="0090254A"/>
    <w:rsid w:val="0090378A"/>
    <w:rsid w:val="009042ED"/>
    <w:rsid w:val="00905822"/>
    <w:rsid w:val="00906F73"/>
    <w:rsid w:val="009145F3"/>
    <w:rsid w:val="00916033"/>
    <w:rsid w:val="00916695"/>
    <w:rsid w:val="00916859"/>
    <w:rsid w:val="00922D9F"/>
    <w:rsid w:val="00923357"/>
    <w:rsid w:val="0092362A"/>
    <w:rsid w:val="009243B2"/>
    <w:rsid w:val="00924CD6"/>
    <w:rsid w:val="00926F1F"/>
    <w:rsid w:val="00932BF1"/>
    <w:rsid w:val="00932DAA"/>
    <w:rsid w:val="00934F27"/>
    <w:rsid w:val="009359EE"/>
    <w:rsid w:val="00942216"/>
    <w:rsid w:val="009430B4"/>
    <w:rsid w:val="00943E2E"/>
    <w:rsid w:val="00944242"/>
    <w:rsid w:val="00945E55"/>
    <w:rsid w:val="00946173"/>
    <w:rsid w:val="00946B1E"/>
    <w:rsid w:val="00947CFA"/>
    <w:rsid w:val="00953759"/>
    <w:rsid w:val="00953A4C"/>
    <w:rsid w:val="009545B8"/>
    <w:rsid w:val="00955D4C"/>
    <w:rsid w:val="009607B9"/>
    <w:rsid w:val="00961330"/>
    <w:rsid w:val="00961C07"/>
    <w:rsid w:val="00962586"/>
    <w:rsid w:val="009675C0"/>
    <w:rsid w:val="009678E9"/>
    <w:rsid w:val="00967D3D"/>
    <w:rsid w:val="00967E58"/>
    <w:rsid w:val="009759D7"/>
    <w:rsid w:val="00975BFD"/>
    <w:rsid w:val="00977272"/>
    <w:rsid w:val="009775DD"/>
    <w:rsid w:val="00977756"/>
    <w:rsid w:val="00977E57"/>
    <w:rsid w:val="00980F63"/>
    <w:rsid w:val="0098488B"/>
    <w:rsid w:val="00984B38"/>
    <w:rsid w:val="009868DB"/>
    <w:rsid w:val="00992D64"/>
    <w:rsid w:val="00994A0C"/>
    <w:rsid w:val="00997237"/>
    <w:rsid w:val="009A0768"/>
    <w:rsid w:val="009A15DB"/>
    <w:rsid w:val="009A181D"/>
    <w:rsid w:val="009A3881"/>
    <w:rsid w:val="009A6370"/>
    <w:rsid w:val="009A66B7"/>
    <w:rsid w:val="009B12AD"/>
    <w:rsid w:val="009B3531"/>
    <w:rsid w:val="009B4B13"/>
    <w:rsid w:val="009B5FB3"/>
    <w:rsid w:val="009B6026"/>
    <w:rsid w:val="009B64C8"/>
    <w:rsid w:val="009B7F2D"/>
    <w:rsid w:val="009C2DE0"/>
    <w:rsid w:val="009C36DC"/>
    <w:rsid w:val="009C42C7"/>
    <w:rsid w:val="009C43BD"/>
    <w:rsid w:val="009C5CEE"/>
    <w:rsid w:val="009C7147"/>
    <w:rsid w:val="009C79CE"/>
    <w:rsid w:val="009D14DE"/>
    <w:rsid w:val="009D1AA8"/>
    <w:rsid w:val="009D3234"/>
    <w:rsid w:val="009D3AA3"/>
    <w:rsid w:val="009D4B33"/>
    <w:rsid w:val="009D4D28"/>
    <w:rsid w:val="009D66D8"/>
    <w:rsid w:val="009E04C6"/>
    <w:rsid w:val="009E117F"/>
    <w:rsid w:val="009E3284"/>
    <w:rsid w:val="009E337E"/>
    <w:rsid w:val="009E33F2"/>
    <w:rsid w:val="009E5338"/>
    <w:rsid w:val="009E560D"/>
    <w:rsid w:val="009E5736"/>
    <w:rsid w:val="009E57F4"/>
    <w:rsid w:val="009E5C28"/>
    <w:rsid w:val="009E784A"/>
    <w:rsid w:val="009F1EAA"/>
    <w:rsid w:val="009F3DE2"/>
    <w:rsid w:val="009F436F"/>
    <w:rsid w:val="009F4A01"/>
    <w:rsid w:val="009F591E"/>
    <w:rsid w:val="009F7E61"/>
    <w:rsid w:val="00A007CE"/>
    <w:rsid w:val="00A01DCC"/>
    <w:rsid w:val="00A035C1"/>
    <w:rsid w:val="00A036E0"/>
    <w:rsid w:val="00A037D5"/>
    <w:rsid w:val="00A04EC0"/>
    <w:rsid w:val="00A060D5"/>
    <w:rsid w:val="00A0648B"/>
    <w:rsid w:val="00A07426"/>
    <w:rsid w:val="00A0752E"/>
    <w:rsid w:val="00A07E94"/>
    <w:rsid w:val="00A10606"/>
    <w:rsid w:val="00A1202E"/>
    <w:rsid w:val="00A12BEB"/>
    <w:rsid w:val="00A13801"/>
    <w:rsid w:val="00A14619"/>
    <w:rsid w:val="00A1557D"/>
    <w:rsid w:val="00A15E76"/>
    <w:rsid w:val="00A21C86"/>
    <w:rsid w:val="00A23C68"/>
    <w:rsid w:val="00A26402"/>
    <w:rsid w:val="00A26F9E"/>
    <w:rsid w:val="00A27206"/>
    <w:rsid w:val="00A30466"/>
    <w:rsid w:val="00A30C88"/>
    <w:rsid w:val="00A31DAE"/>
    <w:rsid w:val="00A31E00"/>
    <w:rsid w:val="00A31E06"/>
    <w:rsid w:val="00A32637"/>
    <w:rsid w:val="00A3349C"/>
    <w:rsid w:val="00A34AB2"/>
    <w:rsid w:val="00A35A5D"/>
    <w:rsid w:val="00A36586"/>
    <w:rsid w:val="00A36F7E"/>
    <w:rsid w:val="00A3701C"/>
    <w:rsid w:val="00A37199"/>
    <w:rsid w:val="00A37AEB"/>
    <w:rsid w:val="00A401CE"/>
    <w:rsid w:val="00A42967"/>
    <w:rsid w:val="00A44066"/>
    <w:rsid w:val="00A45858"/>
    <w:rsid w:val="00A459C3"/>
    <w:rsid w:val="00A466D0"/>
    <w:rsid w:val="00A46771"/>
    <w:rsid w:val="00A471BC"/>
    <w:rsid w:val="00A47720"/>
    <w:rsid w:val="00A505F5"/>
    <w:rsid w:val="00A5631E"/>
    <w:rsid w:val="00A56C4C"/>
    <w:rsid w:val="00A57741"/>
    <w:rsid w:val="00A616BB"/>
    <w:rsid w:val="00A64C02"/>
    <w:rsid w:val="00A6574B"/>
    <w:rsid w:val="00A65A1D"/>
    <w:rsid w:val="00A6776F"/>
    <w:rsid w:val="00A74193"/>
    <w:rsid w:val="00A7589C"/>
    <w:rsid w:val="00A77B46"/>
    <w:rsid w:val="00A81B6F"/>
    <w:rsid w:val="00A820EF"/>
    <w:rsid w:val="00A8316F"/>
    <w:rsid w:val="00A83B10"/>
    <w:rsid w:val="00A8558C"/>
    <w:rsid w:val="00A9153B"/>
    <w:rsid w:val="00A94C04"/>
    <w:rsid w:val="00A976A1"/>
    <w:rsid w:val="00A97D34"/>
    <w:rsid w:val="00AA11F6"/>
    <w:rsid w:val="00AA23DB"/>
    <w:rsid w:val="00AA2B6D"/>
    <w:rsid w:val="00AA3D49"/>
    <w:rsid w:val="00AA4A66"/>
    <w:rsid w:val="00AA75B9"/>
    <w:rsid w:val="00AB0A0C"/>
    <w:rsid w:val="00AB0ABC"/>
    <w:rsid w:val="00AB19DE"/>
    <w:rsid w:val="00AB1BD2"/>
    <w:rsid w:val="00AB35F0"/>
    <w:rsid w:val="00AB4722"/>
    <w:rsid w:val="00AB5421"/>
    <w:rsid w:val="00AB7853"/>
    <w:rsid w:val="00AC03A8"/>
    <w:rsid w:val="00AC3DCA"/>
    <w:rsid w:val="00AC424A"/>
    <w:rsid w:val="00AC573D"/>
    <w:rsid w:val="00AC6089"/>
    <w:rsid w:val="00AD115C"/>
    <w:rsid w:val="00AD19C5"/>
    <w:rsid w:val="00AD31CC"/>
    <w:rsid w:val="00AD3C5C"/>
    <w:rsid w:val="00AD3DD7"/>
    <w:rsid w:val="00AD5DAC"/>
    <w:rsid w:val="00AE0BD5"/>
    <w:rsid w:val="00AE49BC"/>
    <w:rsid w:val="00AE6720"/>
    <w:rsid w:val="00AE6C6F"/>
    <w:rsid w:val="00AE7D65"/>
    <w:rsid w:val="00AF1681"/>
    <w:rsid w:val="00AF5443"/>
    <w:rsid w:val="00AF560A"/>
    <w:rsid w:val="00AF7EF0"/>
    <w:rsid w:val="00B022F9"/>
    <w:rsid w:val="00B02CEE"/>
    <w:rsid w:val="00B02DC5"/>
    <w:rsid w:val="00B05F68"/>
    <w:rsid w:val="00B06C93"/>
    <w:rsid w:val="00B0785A"/>
    <w:rsid w:val="00B10E0C"/>
    <w:rsid w:val="00B1297E"/>
    <w:rsid w:val="00B1430D"/>
    <w:rsid w:val="00B159DF"/>
    <w:rsid w:val="00B176E7"/>
    <w:rsid w:val="00B17A34"/>
    <w:rsid w:val="00B17CEA"/>
    <w:rsid w:val="00B209B5"/>
    <w:rsid w:val="00B22658"/>
    <w:rsid w:val="00B24405"/>
    <w:rsid w:val="00B25E60"/>
    <w:rsid w:val="00B30E8E"/>
    <w:rsid w:val="00B36214"/>
    <w:rsid w:val="00B40C27"/>
    <w:rsid w:val="00B41314"/>
    <w:rsid w:val="00B4242F"/>
    <w:rsid w:val="00B42A32"/>
    <w:rsid w:val="00B42E79"/>
    <w:rsid w:val="00B45123"/>
    <w:rsid w:val="00B45F44"/>
    <w:rsid w:val="00B47691"/>
    <w:rsid w:val="00B47C30"/>
    <w:rsid w:val="00B5016E"/>
    <w:rsid w:val="00B505BE"/>
    <w:rsid w:val="00B51590"/>
    <w:rsid w:val="00B522C1"/>
    <w:rsid w:val="00B53376"/>
    <w:rsid w:val="00B56ECB"/>
    <w:rsid w:val="00B65B10"/>
    <w:rsid w:val="00B70BEE"/>
    <w:rsid w:val="00B71096"/>
    <w:rsid w:val="00B71333"/>
    <w:rsid w:val="00B719F3"/>
    <w:rsid w:val="00B73B2A"/>
    <w:rsid w:val="00B743C2"/>
    <w:rsid w:val="00B75F6A"/>
    <w:rsid w:val="00B76276"/>
    <w:rsid w:val="00B77E31"/>
    <w:rsid w:val="00B824D5"/>
    <w:rsid w:val="00B82D71"/>
    <w:rsid w:val="00B840C5"/>
    <w:rsid w:val="00B84667"/>
    <w:rsid w:val="00B860C6"/>
    <w:rsid w:val="00B9064B"/>
    <w:rsid w:val="00B9231C"/>
    <w:rsid w:val="00B9440F"/>
    <w:rsid w:val="00B95347"/>
    <w:rsid w:val="00B95378"/>
    <w:rsid w:val="00B96573"/>
    <w:rsid w:val="00B97C83"/>
    <w:rsid w:val="00BA11FF"/>
    <w:rsid w:val="00BA13B2"/>
    <w:rsid w:val="00BA33DE"/>
    <w:rsid w:val="00BA3E4D"/>
    <w:rsid w:val="00BA5408"/>
    <w:rsid w:val="00BB0F12"/>
    <w:rsid w:val="00BB1265"/>
    <w:rsid w:val="00BB54B2"/>
    <w:rsid w:val="00BC07C5"/>
    <w:rsid w:val="00BC28F4"/>
    <w:rsid w:val="00BC2AEC"/>
    <w:rsid w:val="00BC2CF6"/>
    <w:rsid w:val="00BC4903"/>
    <w:rsid w:val="00BD2DDE"/>
    <w:rsid w:val="00BD31AC"/>
    <w:rsid w:val="00BD395E"/>
    <w:rsid w:val="00BD660B"/>
    <w:rsid w:val="00BD669F"/>
    <w:rsid w:val="00BD7010"/>
    <w:rsid w:val="00BD7F7A"/>
    <w:rsid w:val="00BE09EB"/>
    <w:rsid w:val="00BE3192"/>
    <w:rsid w:val="00BE632E"/>
    <w:rsid w:val="00BF0720"/>
    <w:rsid w:val="00BF0B27"/>
    <w:rsid w:val="00BF0D1B"/>
    <w:rsid w:val="00BF1195"/>
    <w:rsid w:val="00BF53E6"/>
    <w:rsid w:val="00BF61B4"/>
    <w:rsid w:val="00BF6A12"/>
    <w:rsid w:val="00BF74D3"/>
    <w:rsid w:val="00C0063D"/>
    <w:rsid w:val="00C02D47"/>
    <w:rsid w:val="00C0543D"/>
    <w:rsid w:val="00C05B46"/>
    <w:rsid w:val="00C05DE6"/>
    <w:rsid w:val="00C06B61"/>
    <w:rsid w:val="00C07866"/>
    <w:rsid w:val="00C10005"/>
    <w:rsid w:val="00C10026"/>
    <w:rsid w:val="00C11980"/>
    <w:rsid w:val="00C12CA6"/>
    <w:rsid w:val="00C12ED5"/>
    <w:rsid w:val="00C13033"/>
    <w:rsid w:val="00C152ED"/>
    <w:rsid w:val="00C15AE7"/>
    <w:rsid w:val="00C166FD"/>
    <w:rsid w:val="00C1689B"/>
    <w:rsid w:val="00C16CA3"/>
    <w:rsid w:val="00C22657"/>
    <w:rsid w:val="00C22C89"/>
    <w:rsid w:val="00C22DF2"/>
    <w:rsid w:val="00C23E45"/>
    <w:rsid w:val="00C327C5"/>
    <w:rsid w:val="00C32E00"/>
    <w:rsid w:val="00C33002"/>
    <w:rsid w:val="00C349AF"/>
    <w:rsid w:val="00C43C05"/>
    <w:rsid w:val="00C45E5F"/>
    <w:rsid w:val="00C473C2"/>
    <w:rsid w:val="00C51B8F"/>
    <w:rsid w:val="00C5273B"/>
    <w:rsid w:val="00C539C8"/>
    <w:rsid w:val="00C53A98"/>
    <w:rsid w:val="00C53D58"/>
    <w:rsid w:val="00C54F3E"/>
    <w:rsid w:val="00C5513F"/>
    <w:rsid w:val="00C55D1F"/>
    <w:rsid w:val="00C60B6F"/>
    <w:rsid w:val="00C61693"/>
    <w:rsid w:val="00C61C9A"/>
    <w:rsid w:val="00C62C33"/>
    <w:rsid w:val="00C62FC7"/>
    <w:rsid w:val="00C63A86"/>
    <w:rsid w:val="00C64638"/>
    <w:rsid w:val="00C650C5"/>
    <w:rsid w:val="00C677A1"/>
    <w:rsid w:val="00C679C6"/>
    <w:rsid w:val="00C72057"/>
    <w:rsid w:val="00C722AE"/>
    <w:rsid w:val="00C733DE"/>
    <w:rsid w:val="00C7351D"/>
    <w:rsid w:val="00C754A4"/>
    <w:rsid w:val="00C76313"/>
    <w:rsid w:val="00C8016D"/>
    <w:rsid w:val="00C86030"/>
    <w:rsid w:val="00C8679F"/>
    <w:rsid w:val="00C92248"/>
    <w:rsid w:val="00C92433"/>
    <w:rsid w:val="00C96066"/>
    <w:rsid w:val="00C976B2"/>
    <w:rsid w:val="00C97809"/>
    <w:rsid w:val="00CA0B1B"/>
    <w:rsid w:val="00CA1B13"/>
    <w:rsid w:val="00CA1CAA"/>
    <w:rsid w:val="00CA3C0D"/>
    <w:rsid w:val="00CA4E46"/>
    <w:rsid w:val="00CA5FC1"/>
    <w:rsid w:val="00CA62F1"/>
    <w:rsid w:val="00CB0624"/>
    <w:rsid w:val="00CB13C1"/>
    <w:rsid w:val="00CB14D9"/>
    <w:rsid w:val="00CB2577"/>
    <w:rsid w:val="00CB442A"/>
    <w:rsid w:val="00CB4B7F"/>
    <w:rsid w:val="00CB54C2"/>
    <w:rsid w:val="00CB6B28"/>
    <w:rsid w:val="00CB6BB3"/>
    <w:rsid w:val="00CC0E3C"/>
    <w:rsid w:val="00CC2CC5"/>
    <w:rsid w:val="00CC53F6"/>
    <w:rsid w:val="00CC714D"/>
    <w:rsid w:val="00CC7D95"/>
    <w:rsid w:val="00CC7E21"/>
    <w:rsid w:val="00CD042E"/>
    <w:rsid w:val="00CD06A4"/>
    <w:rsid w:val="00CD0F4E"/>
    <w:rsid w:val="00CD350C"/>
    <w:rsid w:val="00CD4341"/>
    <w:rsid w:val="00CD50E5"/>
    <w:rsid w:val="00CD6A20"/>
    <w:rsid w:val="00CE0940"/>
    <w:rsid w:val="00CE2A92"/>
    <w:rsid w:val="00CE2B42"/>
    <w:rsid w:val="00CE30BF"/>
    <w:rsid w:val="00CE3820"/>
    <w:rsid w:val="00CE6790"/>
    <w:rsid w:val="00CF00E5"/>
    <w:rsid w:val="00CF1D25"/>
    <w:rsid w:val="00CF3235"/>
    <w:rsid w:val="00CF4039"/>
    <w:rsid w:val="00CF7104"/>
    <w:rsid w:val="00D001E2"/>
    <w:rsid w:val="00D0243F"/>
    <w:rsid w:val="00D027A8"/>
    <w:rsid w:val="00D02E8D"/>
    <w:rsid w:val="00D0716C"/>
    <w:rsid w:val="00D07608"/>
    <w:rsid w:val="00D1094A"/>
    <w:rsid w:val="00D10DD0"/>
    <w:rsid w:val="00D112A7"/>
    <w:rsid w:val="00D11FEE"/>
    <w:rsid w:val="00D14703"/>
    <w:rsid w:val="00D2054F"/>
    <w:rsid w:val="00D210FD"/>
    <w:rsid w:val="00D2144B"/>
    <w:rsid w:val="00D21B83"/>
    <w:rsid w:val="00D24572"/>
    <w:rsid w:val="00D25B7B"/>
    <w:rsid w:val="00D26843"/>
    <w:rsid w:val="00D30429"/>
    <w:rsid w:val="00D30D14"/>
    <w:rsid w:val="00D3164E"/>
    <w:rsid w:val="00D31BFC"/>
    <w:rsid w:val="00D3308A"/>
    <w:rsid w:val="00D3416F"/>
    <w:rsid w:val="00D36439"/>
    <w:rsid w:val="00D36D47"/>
    <w:rsid w:val="00D37C34"/>
    <w:rsid w:val="00D37F25"/>
    <w:rsid w:val="00D40519"/>
    <w:rsid w:val="00D422AA"/>
    <w:rsid w:val="00D42754"/>
    <w:rsid w:val="00D42F7C"/>
    <w:rsid w:val="00D47B28"/>
    <w:rsid w:val="00D50C61"/>
    <w:rsid w:val="00D5123D"/>
    <w:rsid w:val="00D520F2"/>
    <w:rsid w:val="00D545E9"/>
    <w:rsid w:val="00D5548E"/>
    <w:rsid w:val="00D57F5E"/>
    <w:rsid w:val="00D62FAE"/>
    <w:rsid w:val="00D63AF1"/>
    <w:rsid w:val="00D646DC"/>
    <w:rsid w:val="00D65331"/>
    <w:rsid w:val="00D65E49"/>
    <w:rsid w:val="00D66F22"/>
    <w:rsid w:val="00D67C96"/>
    <w:rsid w:val="00D70467"/>
    <w:rsid w:val="00D71607"/>
    <w:rsid w:val="00D71635"/>
    <w:rsid w:val="00D71AD0"/>
    <w:rsid w:val="00D71DAD"/>
    <w:rsid w:val="00D729CF"/>
    <w:rsid w:val="00D73491"/>
    <w:rsid w:val="00D80484"/>
    <w:rsid w:val="00D82E48"/>
    <w:rsid w:val="00D8417A"/>
    <w:rsid w:val="00D84F10"/>
    <w:rsid w:val="00D86BDC"/>
    <w:rsid w:val="00D94FAC"/>
    <w:rsid w:val="00D95FCE"/>
    <w:rsid w:val="00D96842"/>
    <w:rsid w:val="00D9710D"/>
    <w:rsid w:val="00DA00C3"/>
    <w:rsid w:val="00DA0207"/>
    <w:rsid w:val="00DA0752"/>
    <w:rsid w:val="00DA0CC5"/>
    <w:rsid w:val="00DA2A3A"/>
    <w:rsid w:val="00DA3046"/>
    <w:rsid w:val="00DA4A7A"/>
    <w:rsid w:val="00DA4BD5"/>
    <w:rsid w:val="00DA7095"/>
    <w:rsid w:val="00DA7930"/>
    <w:rsid w:val="00DB0119"/>
    <w:rsid w:val="00DB01F3"/>
    <w:rsid w:val="00DB035A"/>
    <w:rsid w:val="00DB0592"/>
    <w:rsid w:val="00DB16AA"/>
    <w:rsid w:val="00DB2F12"/>
    <w:rsid w:val="00DB42A7"/>
    <w:rsid w:val="00DB64AA"/>
    <w:rsid w:val="00DC59AE"/>
    <w:rsid w:val="00DC6955"/>
    <w:rsid w:val="00DC6C3A"/>
    <w:rsid w:val="00DD0AC0"/>
    <w:rsid w:val="00DD1A26"/>
    <w:rsid w:val="00DD306F"/>
    <w:rsid w:val="00DD3E20"/>
    <w:rsid w:val="00DD402E"/>
    <w:rsid w:val="00DD53D4"/>
    <w:rsid w:val="00DD6F15"/>
    <w:rsid w:val="00DD70E4"/>
    <w:rsid w:val="00DD781D"/>
    <w:rsid w:val="00DE03AE"/>
    <w:rsid w:val="00DE1E4A"/>
    <w:rsid w:val="00DE5B2E"/>
    <w:rsid w:val="00DE6BB1"/>
    <w:rsid w:val="00DE7DDC"/>
    <w:rsid w:val="00DF084A"/>
    <w:rsid w:val="00DF1085"/>
    <w:rsid w:val="00DF213C"/>
    <w:rsid w:val="00DF22D3"/>
    <w:rsid w:val="00DF4928"/>
    <w:rsid w:val="00DF60DD"/>
    <w:rsid w:val="00DF6101"/>
    <w:rsid w:val="00DF751B"/>
    <w:rsid w:val="00E00302"/>
    <w:rsid w:val="00E009F8"/>
    <w:rsid w:val="00E0359D"/>
    <w:rsid w:val="00E037D4"/>
    <w:rsid w:val="00E06993"/>
    <w:rsid w:val="00E07267"/>
    <w:rsid w:val="00E108D5"/>
    <w:rsid w:val="00E121DB"/>
    <w:rsid w:val="00E12A2A"/>
    <w:rsid w:val="00E144F2"/>
    <w:rsid w:val="00E14A9E"/>
    <w:rsid w:val="00E154A5"/>
    <w:rsid w:val="00E15985"/>
    <w:rsid w:val="00E20B46"/>
    <w:rsid w:val="00E21D93"/>
    <w:rsid w:val="00E26DBF"/>
    <w:rsid w:val="00E30A96"/>
    <w:rsid w:val="00E336CF"/>
    <w:rsid w:val="00E33B14"/>
    <w:rsid w:val="00E346C0"/>
    <w:rsid w:val="00E3749E"/>
    <w:rsid w:val="00E37CA7"/>
    <w:rsid w:val="00E40029"/>
    <w:rsid w:val="00E43609"/>
    <w:rsid w:val="00E43821"/>
    <w:rsid w:val="00E43AAF"/>
    <w:rsid w:val="00E46DB7"/>
    <w:rsid w:val="00E4759B"/>
    <w:rsid w:val="00E50573"/>
    <w:rsid w:val="00E513B3"/>
    <w:rsid w:val="00E537A2"/>
    <w:rsid w:val="00E53E4F"/>
    <w:rsid w:val="00E5565B"/>
    <w:rsid w:val="00E56D0F"/>
    <w:rsid w:val="00E57CE2"/>
    <w:rsid w:val="00E57D42"/>
    <w:rsid w:val="00E57ED2"/>
    <w:rsid w:val="00E60C6B"/>
    <w:rsid w:val="00E6127A"/>
    <w:rsid w:val="00E62037"/>
    <w:rsid w:val="00E6329A"/>
    <w:rsid w:val="00E63D24"/>
    <w:rsid w:val="00E63F16"/>
    <w:rsid w:val="00E6547F"/>
    <w:rsid w:val="00E6756E"/>
    <w:rsid w:val="00E71A88"/>
    <w:rsid w:val="00E75B5F"/>
    <w:rsid w:val="00E766F6"/>
    <w:rsid w:val="00E801BD"/>
    <w:rsid w:val="00E850B9"/>
    <w:rsid w:val="00E86D49"/>
    <w:rsid w:val="00E92BF2"/>
    <w:rsid w:val="00E9359D"/>
    <w:rsid w:val="00E94435"/>
    <w:rsid w:val="00E95476"/>
    <w:rsid w:val="00E964BE"/>
    <w:rsid w:val="00E976F2"/>
    <w:rsid w:val="00E97AC1"/>
    <w:rsid w:val="00EA004B"/>
    <w:rsid w:val="00EA2217"/>
    <w:rsid w:val="00EA5CA7"/>
    <w:rsid w:val="00EB1DA7"/>
    <w:rsid w:val="00EB23B6"/>
    <w:rsid w:val="00EB61AA"/>
    <w:rsid w:val="00EB6C6B"/>
    <w:rsid w:val="00EB7644"/>
    <w:rsid w:val="00EB767A"/>
    <w:rsid w:val="00EB7D51"/>
    <w:rsid w:val="00EC1749"/>
    <w:rsid w:val="00EC5C36"/>
    <w:rsid w:val="00EC786F"/>
    <w:rsid w:val="00ED0380"/>
    <w:rsid w:val="00ED1E2A"/>
    <w:rsid w:val="00ED201D"/>
    <w:rsid w:val="00ED2F8C"/>
    <w:rsid w:val="00ED32D5"/>
    <w:rsid w:val="00ED5AD3"/>
    <w:rsid w:val="00ED67D0"/>
    <w:rsid w:val="00ED696C"/>
    <w:rsid w:val="00ED6C49"/>
    <w:rsid w:val="00ED74A7"/>
    <w:rsid w:val="00ED7ADF"/>
    <w:rsid w:val="00EE13E4"/>
    <w:rsid w:val="00EE1769"/>
    <w:rsid w:val="00EE1B0C"/>
    <w:rsid w:val="00EE2F09"/>
    <w:rsid w:val="00EE4338"/>
    <w:rsid w:val="00EF0AF3"/>
    <w:rsid w:val="00EF0FC6"/>
    <w:rsid w:val="00EF1685"/>
    <w:rsid w:val="00EF2325"/>
    <w:rsid w:val="00EF4E11"/>
    <w:rsid w:val="00EF7086"/>
    <w:rsid w:val="00F0051B"/>
    <w:rsid w:val="00F0077C"/>
    <w:rsid w:val="00F023B7"/>
    <w:rsid w:val="00F027BB"/>
    <w:rsid w:val="00F02E73"/>
    <w:rsid w:val="00F046F1"/>
    <w:rsid w:val="00F17574"/>
    <w:rsid w:val="00F17920"/>
    <w:rsid w:val="00F20362"/>
    <w:rsid w:val="00F2149E"/>
    <w:rsid w:val="00F21685"/>
    <w:rsid w:val="00F21C53"/>
    <w:rsid w:val="00F22379"/>
    <w:rsid w:val="00F2258E"/>
    <w:rsid w:val="00F23200"/>
    <w:rsid w:val="00F27511"/>
    <w:rsid w:val="00F27C05"/>
    <w:rsid w:val="00F31DBF"/>
    <w:rsid w:val="00F3220A"/>
    <w:rsid w:val="00F33308"/>
    <w:rsid w:val="00F336BA"/>
    <w:rsid w:val="00F33B02"/>
    <w:rsid w:val="00F345FB"/>
    <w:rsid w:val="00F35C2A"/>
    <w:rsid w:val="00F374D9"/>
    <w:rsid w:val="00F378B0"/>
    <w:rsid w:val="00F426F3"/>
    <w:rsid w:val="00F43B8E"/>
    <w:rsid w:val="00F4414A"/>
    <w:rsid w:val="00F4561D"/>
    <w:rsid w:val="00F45A26"/>
    <w:rsid w:val="00F45F53"/>
    <w:rsid w:val="00F46463"/>
    <w:rsid w:val="00F47B35"/>
    <w:rsid w:val="00F5037B"/>
    <w:rsid w:val="00F5117B"/>
    <w:rsid w:val="00F51A52"/>
    <w:rsid w:val="00F51EB7"/>
    <w:rsid w:val="00F5336B"/>
    <w:rsid w:val="00F5338A"/>
    <w:rsid w:val="00F53A0B"/>
    <w:rsid w:val="00F55E1F"/>
    <w:rsid w:val="00F55F72"/>
    <w:rsid w:val="00F566F5"/>
    <w:rsid w:val="00F569A0"/>
    <w:rsid w:val="00F60E25"/>
    <w:rsid w:val="00F61FED"/>
    <w:rsid w:val="00F63075"/>
    <w:rsid w:val="00F63291"/>
    <w:rsid w:val="00F6430F"/>
    <w:rsid w:val="00F65ADD"/>
    <w:rsid w:val="00F7475E"/>
    <w:rsid w:val="00F75923"/>
    <w:rsid w:val="00F76D56"/>
    <w:rsid w:val="00F76F4C"/>
    <w:rsid w:val="00F77F59"/>
    <w:rsid w:val="00F80590"/>
    <w:rsid w:val="00F85C49"/>
    <w:rsid w:val="00F86123"/>
    <w:rsid w:val="00F861F6"/>
    <w:rsid w:val="00F864F8"/>
    <w:rsid w:val="00F9113E"/>
    <w:rsid w:val="00F94328"/>
    <w:rsid w:val="00F9448B"/>
    <w:rsid w:val="00F94E75"/>
    <w:rsid w:val="00F96CFB"/>
    <w:rsid w:val="00FA043A"/>
    <w:rsid w:val="00FA248A"/>
    <w:rsid w:val="00FA4AFA"/>
    <w:rsid w:val="00FA740F"/>
    <w:rsid w:val="00FA78D0"/>
    <w:rsid w:val="00FB1BAE"/>
    <w:rsid w:val="00FB42E8"/>
    <w:rsid w:val="00FB557C"/>
    <w:rsid w:val="00FB5924"/>
    <w:rsid w:val="00FB6249"/>
    <w:rsid w:val="00FB637D"/>
    <w:rsid w:val="00FB71F6"/>
    <w:rsid w:val="00FC0448"/>
    <w:rsid w:val="00FC04E0"/>
    <w:rsid w:val="00FC2938"/>
    <w:rsid w:val="00FC2AF4"/>
    <w:rsid w:val="00FC387D"/>
    <w:rsid w:val="00FC3F96"/>
    <w:rsid w:val="00FC4621"/>
    <w:rsid w:val="00FC6136"/>
    <w:rsid w:val="00FD1F6E"/>
    <w:rsid w:val="00FD22EA"/>
    <w:rsid w:val="00FD24BF"/>
    <w:rsid w:val="00FD4DE0"/>
    <w:rsid w:val="00FE0BDA"/>
    <w:rsid w:val="00FE16D4"/>
    <w:rsid w:val="00FE1760"/>
    <w:rsid w:val="00FE1B33"/>
    <w:rsid w:val="00FE2958"/>
    <w:rsid w:val="00FE2E22"/>
    <w:rsid w:val="00FE3462"/>
    <w:rsid w:val="00FE536E"/>
    <w:rsid w:val="00FE5976"/>
    <w:rsid w:val="00FE633A"/>
    <w:rsid w:val="00FF124A"/>
    <w:rsid w:val="00FF2966"/>
    <w:rsid w:val="00FF31BA"/>
    <w:rsid w:val="00FF3772"/>
    <w:rsid w:val="00FF4C45"/>
    <w:rsid w:val="00FF5E06"/>
    <w:rsid w:val="00FF6875"/>
    <w:rsid w:val="00FF7A30"/>
    <w:rsid w:val="01086C64"/>
    <w:rsid w:val="010A1426"/>
    <w:rsid w:val="011131BD"/>
    <w:rsid w:val="0116266C"/>
    <w:rsid w:val="012C3843"/>
    <w:rsid w:val="013C34D8"/>
    <w:rsid w:val="01463C70"/>
    <w:rsid w:val="014F4893"/>
    <w:rsid w:val="014F5F03"/>
    <w:rsid w:val="014F6641"/>
    <w:rsid w:val="01534B43"/>
    <w:rsid w:val="015A7B77"/>
    <w:rsid w:val="015D43A1"/>
    <w:rsid w:val="015E4AD6"/>
    <w:rsid w:val="016124C5"/>
    <w:rsid w:val="01695955"/>
    <w:rsid w:val="016E59F3"/>
    <w:rsid w:val="017054DE"/>
    <w:rsid w:val="017D13CB"/>
    <w:rsid w:val="018949C7"/>
    <w:rsid w:val="01BB2C25"/>
    <w:rsid w:val="01C8126F"/>
    <w:rsid w:val="01C94F17"/>
    <w:rsid w:val="01C97D42"/>
    <w:rsid w:val="01F33098"/>
    <w:rsid w:val="01FC2C01"/>
    <w:rsid w:val="020149A5"/>
    <w:rsid w:val="02036A74"/>
    <w:rsid w:val="020411DA"/>
    <w:rsid w:val="02072A78"/>
    <w:rsid w:val="02145195"/>
    <w:rsid w:val="0232503D"/>
    <w:rsid w:val="02342499"/>
    <w:rsid w:val="02376971"/>
    <w:rsid w:val="02380E83"/>
    <w:rsid w:val="025D1946"/>
    <w:rsid w:val="02825024"/>
    <w:rsid w:val="02862195"/>
    <w:rsid w:val="028B5457"/>
    <w:rsid w:val="029307AF"/>
    <w:rsid w:val="02A97FA7"/>
    <w:rsid w:val="02B01361"/>
    <w:rsid w:val="02BE3A7E"/>
    <w:rsid w:val="02C0725B"/>
    <w:rsid w:val="02CE3596"/>
    <w:rsid w:val="02D212D8"/>
    <w:rsid w:val="02DA63DE"/>
    <w:rsid w:val="02DB675D"/>
    <w:rsid w:val="02EB188F"/>
    <w:rsid w:val="02F33413"/>
    <w:rsid w:val="02FC4FF1"/>
    <w:rsid w:val="03031C3D"/>
    <w:rsid w:val="030D0562"/>
    <w:rsid w:val="030E1BF4"/>
    <w:rsid w:val="030F6088"/>
    <w:rsid w:val="03101F14"/>
    <w:rsid w:val="032064E7"/>
    <w:rsid w:val="03210BC6"/>
    <w:rsid w:val="03217B69"/>
    <w:rsid w:val="032D06D0"/>
    <w:rsid w:val="03302C1B"/>
    <w:rsid w:val="033E696D"/>
    <w:rsid w:val="033F4E09"/>
    <w:rsid w:val="03431CA1"/>
    <w:rsid w:val="03457CFC"/>
    <w:rsid w:val="03597303"/>
    <w:rsid w:val="035D2856"/>
    <w:rsid w:val="035F2C2C"/>
    <w:rsid w:val="03606D67"/>
    <w:rsid w:val="03661A20"/>
    <w:rsid w:val="036978DB"/>
    <w:rsid w:val="036E13C0"/>
    <w:rsid w:val="03793528"/>
    <w:rsid w:val="037C2AF6"/>
    <w:rsid w:val="037D7B0A"/>
    <w:rsid w:val="03800D34"/>
    <w:rsid w:val="03830824"/>
    <w:rsid w:val="039E6955"/>
    <w:rsid w:val="03A10E4B"/>
    <w:rsid w:val="03A42787"/>
    <w:rsid w:val="03AD58A1"/>
    <w:rsid w:val="03AE2AAF"/>
    <w:rsid w:val="03B94246"/>
    <w:rsid w:val="03BC7892"/>
    <w:rsid w:val="03BD5AE4"/>
    <w:rsid w:val="03CC2D68"/>
    <w:rsid w:val="03CE1C3B"/>
    <w:rsid w:val="03E543DB"/>
    <w:rsid w:val="03F759BD"/>
    <w:rsid w:val="0400583E"/>
    <w:rsid w:val="04080C00"/>
    <w:rsid w:val="04094AFD"/>
    <w:rsid w:val="040C12D6"/>
    <w:rsid w:val="041B16D3"/>
    <w:rsid w:val="041E02A6"/>
    <w:rsid w:val="042518DB"/>
    <w:rsid w:val="042552AA"/>
    <w:rsid w:val="042D72D2"/>
    <w:rsid w:val="04310280"/>
    <w:rsid w:val="043A1855"/>
    <w:rsid w:val="043D6204"/>
    <w:rsid w:val="044010E1"/>
    <w:rsid w:val="0440490F"/>
    <w:rsid w:val="04443687"/>
    <w:rsid w:val="044C6E68"/>
    <w:rsid w:val="045B70AB"/>
    <w:rsid w:val="045D2E23"/>
    <w:rsid w:val="045F303F"/>
    <w:rsid w:val="046C750A"/>
    <w:rsid w:val="046E515B"/>
    <w:rsid w:val="048D195A"/>
    <w:rsid w:val="048E56D2"/>
    <w:rsid w:val="04903021"/>
    <w:rsid w:val="049531C8"/>
    <w:rsid w:val="049B394B"/>
    <w:rsid w:val="04C325B9"/>
    <w:rsid w:val="04C540C6"/>
    <w:rsid w:val="04D70E27"/>
    <w:rsid w:val="04E2157A"/>
    <w:rsid w:val="04E677C1"/>
    <w:rsid w:val="04F918BB"/>
    <w:rsid w:val="04FD0162"/>
    <w:rsid w:val="050339CA"/>
    <w:rsid w:val="05170C7F"/>
    <w:rsid w:val="052F2A11"/>
    <w:rsid w:val="053316C9"/>
    <w:rsid w:val="0543590B"/>
    <w:rsid w:val="0549670F"/>
    <w:rsid w:val="054D765A"/>
    <w:rsid w:val="05592701"/>
    <w:rsid w:val="05654685"/>
    <w:rsid w:val="0566523D"/>
    <w:rsid w:val="056A57F8"/>
    <w:rsid w:val="057523EE"/>
    <w:rsid w:val="057F6DC9"/>
    <w:rsid w:val="058021A2"/>
    <w:rsid w:val="0580326D"/>
    <w:rsid w:val="058B39C0"/>
    <w:rsid w:val="05A25EBF"/>
    <w:rsid w:val="05A3087A"/>
    <w:rsid w:val="05A64CE0"/>
    <w:rsid w:val="05A80173"/>
    <w:rsid w:val="05B44CC5"/>
    <w:rsid w:val="05CA273A"/>
    <w:rsid w:val="05D11D1B"/>
    <w:rsid w:val="05D45367"/>
    <w:rsid w:val="05D65A75"/>
    <w:rsid w:val="05DA2426"/>
    <w:rsid w:val="05DD592B"/>
    <w:rsid w:val="05E03D0C"/>
    <w:rsid w:val="05E12708"/>
    <w:rsid w:val="05E4659E"/>
    <w:rsid w:val="05E97064"/>
    <w:rsid w:val="05EA6F2B"/>
    <w:rsid w:val="05ED01D7"/>
    <w:rsid w:val="05FE0636"/>
    <w:rsid w:val="061D615F"/>
    <w:rsid w:val="06242F11"/>
    <w:rsid w:val="06287461"/>
    <w:rsid w:val="064417FB"/>
    <w:rsid w:val="065B15E4"/>
    <w:rsid w:val="065F39CC"/>
    <w:rsid w:val="06606764"/>
    <w:rsid w:val="0662512B"/>
    <w:rsid w:val="06632E6C"/>
    <w:rsid w:val="066A45CD"/>
    <w:rsid w:val="066F5090"/>
    <w:rsid w:val="067E1BD0"/>
    <w:rsid w:val="06846D8D"/>
    <w:rsid w:val="068723D9"/>
    <w:rsid w:val="068A1C09"/>
    <w:rsid w:val="069A210C"/>
    <w:rsid w:val="069A65B0"/>
    <w:rsid w:val="069B0ABE"/>
    <w:rsid w:val="06A81000"/>
    <w:rsid w:val="06AE640A"/>
    <w:rsid w:val="06B55198"/>
    <w:rsid w:val="06B754DD"/>
    <w:rsid w:val="06C13B3D"/>
    <w:rsid w:val="06C919E1"/>
    <w:rsid w:val="06D511C9"/>
    <w:rsid w:val="06D80E87"/>
    <w:rsid w:val="06E6018A"/>
    <w:rsid w:val="06EB5121"/>
    <w:rsid w:val="06F37A6F"/>
    <w:rsid w:val="06F832D7"/>
    <w:rsid w:val="07013F3A"/>
    <w:rsid w:val="07097292"/>
    <w:rsid w:val="070A6F33"/>
    <w:rsid w:val="070A7192"/>
    <w:rsid w:val="0718605C"/>
    <w:rsid w:val="071B6E72"/>
    <w:rsid w:val="071C5217"/>
    <w:rsid w:val="07240C85"/>
    <w:rsid w:val="072462FD"/>
    <w:rsid w:val="07273F13"/>
    <w:rsid w:val="072E0AA7"/>
    <w:rsid w:val="07354B47"/>
    <w:rsid w:val="07397B77"/>
    <w:rsid w:val="074402CA"/>
    <w:rsid w:val="07445783"/>
    <w:rsid w:val="07470439"/>
    <w:rsid w:val="07484826"/>
    <w:rsid w:val="0752203A"/>
    <w:rsid w:val="0755711F"/>
    <w:rsid w:val="0755728C"/>
    <w:rsid w:val="076E65DD"/>
    <w:rsid w:val="077063E1"/>
    <w:rsid w:val="07740BAF"/>
    <w:rsid w:val="077C7570"/>
    <w:rsid w:val="07811241"/>
    <w:rsid w:val="07837045"/>
    <w:rsid w:val="07862691"/>
    <w:rsid w:val="079923C4"/>
    <w:rsid w:val="079A613C"/>
    <w:rsid w:val="079E3E7E"/>
    <w:rsid w:val="079E79DA"/>
    <w:rsid w:val="079F6970"/>
    <w:rsid w:val="07A62D33"/>
    <w:rsid w:val="07A75C76"/>
    <w:rsid w:val="07AB19A2"/>
    <w:rsid w:val="07B64182"/>
    <w:rsid w:val="07C12195"/>
    <w:rsid w:val="07C17B6D"/>
    <w:rsid w:val="07CB62B5"/>
    <w:rsid w:val="07E953EA"/>
    <w:rsid w:val="07EA270D"/>
    <w:rsid w:val="07FF4EC7"/>
    <w:rsid w:val="080A32C2"/>
    <w:rsid w:val="080B1FDA"/>
    <w:rsid w:val="081606E4"/>
    <w:rsid w:val="0818225B"/>
    <w:rsid w:val="081D2FF5"/>
    <w:rsid w:val="081D3018"/>
    <w:rsid w:val="081E4AEB"/>
    <w:rsid w:val="08204893"/>
    <w:rsid w:val="08225745"/>
    <w:rsid w:val="08372E6A"/>
    <w:rsid w:val="08430582"/>
    <w:rsid w:val="084F33CB"/>
    <w:rsid w:val="08601134"/>
    <w:rsid w:val="08606AB8"/>
    <w:rsid w:val="086852D3"/>
    <w:rsid w:val="086C0A51"/>
    <w:rsid w:val="087143C3"/>
    <w:rsid w:val="087370B9"/>
    <w:rsid w:val="087679A3"/>
    <w:rsid w:val="08777BE0"/>
    <w:rsid w:val="087D5B89"/>
    <w:rsid w:val="088A61B1"/>
    <w:rsid w:val="088E4FD3"/>
    <w:rsid w:val="08940648"/>
    <w:rsid w:val="08997D49"/>
    <w:rsid w:val="089E23F4"/>
    <w:rsid w:val="08A35785"/>
    <w:rsid w:val="08A60BF7"/>
    <w:rsid w:val="08A708AD"/>
    <w:rsid w:val="08AB3A01"/>
    <w:rsid w:val="08B03E69"/>
    <w:rsid w:val="08B161B3"/>
    <w:rsid w:val="08B27E06"/>
    <w:rsid w:val="08C25A1E"/>
    <w:rsid w:val="08D37B58"/>
    <w:rsid w:val="08E12275"/>
    <w:rsid w:val="08E458C1"/>
    <w:rsid w:val="08F33D56"/>
    <w:rsid w:val="08FD6892"/>
    <w:rsid w:val="08FE3363"/>
    <w:rsid w:val="090F2EFE"/>
    <w:rsid w:val="093C7F4C"/>
    <w:rsid w:val="093E4477"/>
    <w:rsid w:val="09441843"/>
    <w:rsid w:val="094905AC"/>
    <w:rsid w:val="09491BC8"/>
    <w:rsid w:val="0951690E"/>
    <w:rsid w:val="09540C99"/>
    <w:rsid w:val="09585107"/>
    <w:rsid w:val="095E3AB5"/>
    <w:rsid w:val="09657E30"/>
    <w:rsid w:val="096A04BC"/>
    <w:rsid w:val="096E162E"/>
    <w:rsid w:val="097924AD"/>
    <w:rsid w:val="09813405"/>
    <w:rsid w:val="098552F6"/>
    <w:rsid w:val="09903D2D"/>
    <w:rsid w:val="0992531D"/>
    <w:rsid w:val="099B67B3"/>
    <w:rsid w:val="09C20894"/>
    <w:rsid w:val="09C556F2"/>
    <w:rsid w:val="09D37BC5"/>
    <w:rsid w:val="09D43B87"/>
    <w:rsid w:val="09D75426"/>
    <w:rsid w:val="09DE50CA"/>
    <w:rsid w:val="0A1B6300"/>
    <w:rsid w:val="0A21777C"/>
    <w:rsid w:val="0A323F62"/>
    <w:rsid w:val="0A3676D6"/>
    <w:rsid w:val="0A374116"/>
    <w:rsid w:val="0A397E8E"/>
    <w:rsid w:val="0A3E23FE"/>
    <w:rsid w:val="0A5B7DD0"/>
    <w:rsid w:val="0A5C0B3F"/>
    <w:rsid w:val="0A7378DD"/>
    <w:rsid w:val="0A951E77"/>
    <w:rsid w:val="0AA6125B"/>
    <w:rsid w:val="0AB063A2"/>
    <w:rsid w:val="0AB539B9"/>
    <w:rsid w:val="0AB60822"/>
    <w:rsid w:val="0AC40089"/>
    <w:rsid w:val="0AE34C36"/>
    <w:rsid w:val="0AFD710E"/>
    <w:rsid w:val="0AFE4579"/>
    <w:rsid w:val="0B01622E"/>
    <w:rsid w:val="0B026EC9"/>
    <w:rsid w:val="0B0C7351"/>
    <w:rsid w:val="0B183F48"/>
    <w:rsid w:val="0B1962C1"/>
    <w:rsid w:val="0B1D50BA"/>
    <w:rsid w:val="0B1F0E32"/>
    <w:rsid w:val="0B1F52D6"/>
    <w:rsid w:val="0B205C4E"/>
    <w:rsid w:val="0B297F03"/>
    <w:rsid w:val="0B312954"/>
    <w:rsid w:val="0B354AFA"/>
    <w:rsid w:val="0B401DD6"/>
    <w:rsid w:val="0B4E7969"/>
    <w:rsid w:val="0B541DC7"/>
    <w:rsid w:val="0B621946"/>
    <w:rsid w:val="0B6658C1"/>
    <w:rsid w:val="0B770C6E"/>
    <w:rsid w:val="0B7B4809"/>
    <w:rsid w:val="0B7F0BFB"/>
    <w:rsid w:val="0B873AB9"/>
    <w:rsid w:val="0B9510F4"/>
    <w:rsid w:val="0BA53A2D"/>
    <w:rsid w:val="0BAF1B6E"/>
    <w:rsid w:val="0BB56CA2"/>
    <w:rsid w:val="0BB579E9"/>
    <w:rsid w:val="0BF95B27"/>
    <w:rsid w:val="0BFF4052"/>
    <w:rsid w:val="0C105DFF"/>
    <w:rsid w:val="0C177D5B"/>
    <w:rsid w:val="0C182DB8"/>
    <w:rsid w:val="0C3152C1"/>
    <w:rsid w:val="0C355241"/>
    <w:rsid w:val="0C37664F"/>
    <w:rsid w:val="0C394176"/>
    <w:rsid w:val="0C3A4E1C"/>
    <w:rsid w:val="0C473E0A"/>
    <w:rsid w:val="0C542D5E"/>
    <w:rsid w:val="0C5E1E2E"/>
    <w:rsid w:val="0C5E3BDC"/>
    <w:rsid w:val="0C5E77C9"/>
    <w:rsid w:val="0C6D4563"/>
    <w:rsid w:val="0C825B1D"/>
    <w:rsid w:val="0C970E9C"/>
    <w:rsid w:val="0CBE1FA6"/>
    <w:rsid w:val="0CC417A8"/>
    <w:rsid w:val="0CC779D3"/>
    <w:rsid w:val="0CCA7F6F"/>
    <w:rsid w:val="0CD45A1D"/>
    <w:rsid w:val="0CD82D1D"/>
    <w:rsid w:val="0CD8627D"/>
    <w:rsid w:val="0CDF2F6F"/>
    <w:rsid w:val="0CEC768D"/>
    <w:rsid w:val="0D0227BA"/>
    <w:rsid w:val="0D0D2160"/>
    <w:rsid w:val="0D1D75F3"/>
    <w:rsid w:val="0D215336"/>
    <w:rsid w:val="0D237401"/>
    <w:rsid w:val="0D240982"/>
    <w:rsid w:val="0D29243C"/>
    <w:rsid w:val="0D3037CB"/>
    <w:rsid w:val="0D312C9C"/>
    <w:rsid w:val="0D354DA4"/>
    <w:rsid w:val="0D450893"/>
    <w:rsid w:val="0D5F19BA"/>
    <w:rsid w:val="0D637C2D"/>
    <w:rsid w:val="0D650A0F"/>
    <w:rsid w:val="0D662B71"/>
    <w:rsid w:val="0D676AC1"/>
    <w:rsid w:val="0D6C6ADC"/>
    <w:rsid w:val="0D7031F0"/>
    <w:rsid w:val="0D782A7C"/>
    <w:rsid w:val="0D7C07BE"/>
    <w:rsid w:val="0D7F02AE"/>
    <w:rsid w:val="0D7F39F3"/>
    <w:rsid w:val="0D7F47A4"/>
    <w:rsid w:val="0D8623D3"/>
    <w:rsid w:val="0D8C75AD"/>
    <w:rsid w:val="0D945ED5"/>
    <w:rsid w:val="0D9553DC"/>
    <w:rsid w:val="0DBA3F2C"/>
    <w:rsid w:val="0DC454CA"/>
    <w:rsid w:val="0DD128FD"/>
    <w:rsid w:val="0DD423A8"/>
    <w:rsid w:val="0DD759F4"/>
    <w:rsid w:val="0DE20414"/>
    <w:rsid w:val="0DF36426"/>
    <w:rsid w:val="0DFC545B"/>
    <w:rsid w:val="0E241EB1"/>
    <w:rsid w:val="0E3177FA"/>
    <w:rsid w:val="0E3706E7"/>
    <w:rsid w:val="0E39317E"/>
    <w:rsid w:val="0E3A41D5"/>
    <w:rsid w:val="0E3B7858"/>
    <w:rsid w:val="0E3F0C08"/>
    <w:rsid w:val="0E425004"/>
    <w:rsid w:val="0E440BB0"/>
    <w:rsid w:val="0E480FA0"/>
    <w:rsid w:val="0E4B22C7"/>
    <w:rsid w:val="0E543DF2"/>
    <w:rsid w:val="0E7C659C"/>
    <w:rsid w:val="0E805742"/>
    <w:rsid w:val="0E813745"/>
    <w:rsid w:val="0E8813E4"/>
    <w:rsid w:val="0E883192"/>
    <w:rsid w:val="0E975183"/>
    <w:rsid w:val="0EA004DC"/>
    <w:rsid w:val="0EA7186A"/>
    <w:rsid w:val="0EAD6A25"/>
    <w:rsid w:val="0ED148DA"/>
    <w:rsid w:val="0ED92450"/>
    <w:rsid w:val="0EDB59B8"/>
    <w:rsid w:val="0EDC703A"/>
    <w:rsid w:val="0EE752CD"/>
    <w:rsid w:val="0EE8119B"/>
    <w:rsid w:val="0EEC26ED"/>
    <w:rsid w:val="0EF00994"/>
    <w:rsid w:val="0EF218B5"/>
    <w:rsid w:val="0EF56A7A"/>
    <w:rsid w:val="0F066038"/>
    <w:rsid w:val="0F117DC1"/>
    <w:rsid w:val="0F1B23BF"/>
    <w:rsid w:val="0F251C7F"/>
    <w:rsid w:val="0F38025F"/>
    <w:rsid w:val="0F39623B"/>
    <w:rsid w:val="0F45027E"/>
    <w:rsid w:val="0F475D53"/>
    <w:rsid w:val="0F5764BE"/>
    <w:rsid w:val="0F6459AD"/>
    <w:rsid w:val="0F737E43"/>
    <w:rsid w:val="0F81030D"/>
    <w:rsid w:val="0F827BE2"/>
    <w:rsid w:val="0F8309E5"/>
    <w:rsid w:val="0F8932E2"/>
    <w:rsid w:val="0F8F594E"/>
    <w:rsid w:val="0F985657"/>
    <w:rsid w:val="0FBC30F4"/>
    <w:rsid w:val="0FC401FA"/>
    <w:rsid w:val="0FC93A62"/>
    <w:rsid w:val="0FD6061F"/>
    <w:rsid w:val="0FD83CA6"/>
    <w:rsid w:val="0FF70217"/>
    <w:rsid w:val="0FFE2CF5"/>
    <w:rsid w:val="10026020"/>
    <w:rsid w:val="100D48FD"/>
    <w:rsid w:val="10190546"/>
    <w:rsid w:val="10274FD4"/>
    <w:rsid w:val="102E38C6"/>
    <w:rsid w:val="1031492B"/>
    <w:rsid w:val="10324003"/>
    <w:rsid w:val="1032785A"/>
    <w:rsid w:val="10374E70"/>
    <w:rsid w:val="10382694"/>
    <w:rsid w:val="103F17D0"/>
    <w:rsid w:val="1040224D"/>
    <w:rsid w:val="105300C1"/>
    <w:rsid w:val="1053212B"/>
    <w:rsid w:val="10555467"/>
    <w:rsid w:val="105C48D7"/>
    <w:rsid w:val="105E41AB"/>
    <w:rsid w:val="10627354"/>
    <w:rsid w:val="107A6B0B"/>
    <w:rsid w:val="1081365F"/>
    <w:rsid w:val="10952C7D"/>
    <w:rsid w:val="10986240"/>
    <w:rsid w:val="10B1077E"/>
    <w:rsid w:val="10B162D6"/>
    <w:rsid w:val="10B65D95"/>
    <w:rsid w:val="10C364AD"/>
    <w:rsid w:val="10C55FD8"/>
    <w:rsid w:val="10C65213"/>
    <w:rsid w:val="10DB3A4D"/>
    <w:rsid w:val="10E5667A"/>
    <w:rsid w:val="10EA3C90"/>
    <w:rsid w:val="10EE2B84"/>
    <w:rsid w:val="10EF71F3"/>
    <w:rsid w:val="10F43AC4"/>
    <w:rsid w:val="10FE629D"/>
    <w:rsid w:val="111927C8"/>
    <w:rsid w:val="11194576"/>
    <w:rsid w:val="111D4066"/>
    <w:rsid w:val="111D5839"/>
    <w:rsid w:val="11203B56"/>
    <w:rsid w:val="11247572"/>
    <w:rsid w:val="1127475F"/>
    <w:rsid w:val="112B53FC"/>
    <w:rsid w:val="112F5B47"/>
    <w:rsid w:val="11616084"/>
    <w:rsid w:val="116C28F7"/>
    <w:rsid w:val="117532E4"/>
    <w:rsid w:val="117B00BB"/>
    <w:rsid w:val="117B0D8C"/>
    <w:rsid w:val="11812847"/>
    <w:rsid w:val="1185547F"/>
    <w:rsid w:val="118714DF"/>
    <w:rsid w:val="11910BD4"/>
    <w:rsid w:val="11A110D7"/>
    <w:rsid w:val="11AF7E92"/>
    <w:rsid w:val="11B147AE"/>
    <w:rsid w:val="11BC011F"/>
    <w:rsid w:val="11C049F1"/>
    <w:rsid w:val="11C24C0D"/>
    <w:rsid w:val="11D010D8"/>
    <w:rsid w:val="11D43A3D"/>
    <w:rsid w:val="11D5049D"/>
    <w:rsid w:val="11DF608A"/>
    <w:rsid w:val="11ED1C8A"/>
    <w:rsid w:val="11ED440A"/>
    <w:rsid w:val="120E39AF"/>
    <w:rsid w:val="121D3354"/>
    <w:rsid w:val="121E1FB4"/>
    <w:rsid w:val="121E5D7B"/>
    <w:rsid w:val="121E6AEB"/>
    <w:rsid w:val="12201FEA"/>
    <w:rsid w:val="122A25C8"/>
    <w:rsid w:val="122A278C"/>
    <w:rsid w:val="12307DC9"/>
    <w:rsid w:val="125A65E4"/>
    <w:rsid w:val="126637EB"/>
    <w:rsid w:val="12680669"/>
    <w:rsid w:val="126E39D3"/>
    <w:rsid w:val="12706417"/>
    <w:rsid w:val="127E0B34"/>
    <w:rsid w:val="128B14A3"/>
    <w:rsid w:val="128D5195"/>
    <w:rsid w:val="1299436B"/>
    <w:rsid w:val="12A02537"/>
    <w:rsid w:val="12AE60A6"/>
    <w:rsid w:val="12C312F3"/>
    <w:rsid w:val="12C348D8"/>
    <w:rsid w:val="12C66037"/>
    <w:rsid w:val="12C9796E"/>
    <w:rsid w:val="12CD40F3"/>
    <w:rsid w:val="12CD5618"/>
    <w:rsid w:val="12CF75E2"/>
    <w:rsid w:val="12D8372B"/>
    <w:rsid w:val="12DB4D5B"/>
    <w:rsid w:val="12DB7D35"/>
    <w:rsid w:val="12DD14E8"/>
    <w:rsid w:val="12EF777D"/>
    <w:rsid w:val="12EF7943"/>
    <w:rsid w:val="12F4756B"/>
    <w:rsid w:val="12F64B6E"/>
    <w:rsid w:val="12F86B39"/>
    <w:rsid w:val="1300701E"/>
    <w:rsid w:val="13141F14"/>
    <w:rsid w:val="131D034D"/>
    <w:rsid w:val="131E2FC6"/>
    <w:rsid w:val="13286CF2"/>
    <w:rsid w:val="132E6DCE"/>
    <w:rsid w:val="1330111B"/>
    <w:rsid w:val="1337349D"/>
    <w:rsid w:val="13385187"/>
    <w:rsid w:val="133F0FD6"/>
    <w:rsid w:val="13410E50"/>
    <w:rsid w:val="1348179A"/>
    <w:rsid w:val="134C0770"/>
    <w:rsid w:val="134C3473"/>
    <w:rsid w:val="134D0507"/>
    <w:rsid w:val="1360023A"/>
    <w:rsid w:val="13702B73"/>
    <w:rsid w:val="13791725"/>
    <w:rsid w:val="1380268A"/>
    <w:rsid w:val="13A20852"/>
    <w:rsid w:val="13A24CF6"/>
    <w:rsid w:val="13A91BE1"/>
    <w:rsid w:val="13AC157B"/>
    <w:rsid w:val="13C54288"/>
    <w:rsid w:val="13CE33F5"/>
    <w:rsid w:val="13D50C28"/>
    <w:rsid w:val="13E470BD"/>
    <w:rsid w:val="13E56991"/>
    <w:rsid w:val="13E744B7"/>
    <w:rsid w:val="13EB044B"/>
    <w:rsid w:val="13F01035"/>
    <w:rsid w:val="141F00F5"/>
    <w:rsid w:val="1437543F"/>
    <w:rsid w:val="14396C44"/>
    <w:rsid w:val="143A6CDD"/>
    <w:rsid w:val="143D39C0"/>
    <w:rsid w:val="144933C4"/>
    <w:rsid w:val="145B51A4"/>
    <w:rsid w:val="145C30F7"/>
    <w:rsid w:val="146B50E8"/>
    <w:rsid w:val="14783B21"/>
    <w:rsid w:val="14787805"/>
    <w:rsid w:val="1479563A"/>
    <w:rsid w:val="147C72F5"/>
    <w:rsid w:val="147F6DE6"/>
    <w:rsid w:val="14861704"/>
    <w:rsid w:val="148B12E6"/>
    <w:rsid w:val="148F527B"/>
    <w:rsid w:val="149A3C1F"/>
    <w:rsid w:val="149C1746"/>
    <w:rsid w:val="149C7998"/>
    <w:rsid w:val="14A5330C"/>
    <w:rsid w:val="14B16F70"/>
    <w:rsid w:val="14BC3B96"/>
    <w:rsid w:val="14D81917"/>
    <w:rsid w:val="14DC5FE6"/>
    <w:rsid w:val="14EA399C"/>
    <w:rsid w:val="14EB4064"/>
    <w:rsid w:val="14EB6229"/>
    <w:rsid w:val="14EF3F6B"/>
    <w:rsid w:val="14F779D9"/>
    <w:rsid w:val="15001CD4"/>
    <w:rsid w:val="15093384"/>
    <w:rsid w:val="150A4901"/>
    <w:rsid w:val="150F2719"/>
    <w:rsid w:val="151D7059"/>
    <w:rsid w:val="15212515"/>
    <w:rsid w:val="152E4A94"/>
    <w:rsid w:val="153B1DB4"/>
    <w:rsid w:val="154B7030"/>
    <w:rsid w:val="154F67B8"/>
    <w:rsid w:val="157409F8"/>
    <w:rsid w:val="15787ABD"/>
    <w:rsid w:val="157B75AD"/>
    <w:rsid w:val="15997A33"/>
    <w:rsid w:val="15A417A0"/>
    <w:rsid w:val="15AC59B8"/>
    <w:rsid w:val="15B11221"/>
    <w:rsid w:val="15B36D47"/>
    <w:rsid w:val="15BB3E4D"/>
    <w:rsid w:val="15C01464"/>
    <w:rsid w:val="15C73F04"/>
    <w:rsid w:val="15D2013C"/>
    <w:rsid w:val="15E3096C"/>
    <w:rsid w:val="15EF58A5"/>
    <w:rsid w:val="1605367F"/>
    <w:rsid w:val="16094BB9"/>
    <w:rsid w:val="160E7A0D"/>
    <w:rsid w:val="1615355E"/>
    <w:rsid w:val="16183950"/>
    <w:rsid w:val="161F618A"/>
    <w:rsid w:val="162B5097"/>
    <w:rsid w:val="1638549E"/>
    <w:rsid w:val="163D4862"/>
    <w:rsid w:val="164B1656"/>
    <w:rsid w:val="16525E01"/>
    <w:rsid w:val="165627BA"/>
    <w:rsid w:val="16585B40"/>
    <w:rsid w:val="16637F4C"/>
    <w:rsid w:val="16816E45"/>
    <w:rsid w:val="16873D30"/>
    <w:rsid w:val="16893F4C"/>
    <w:rsid w:val="16935FB9"/>
    <w:rsid w:val="16940921"/>
    <w:rsid w:val="16AA639C"/>
    <w:rsid w:val="16AE14EF"/>
    <w:rsid w:val="16B43E2E"/>
    <w:rsid w:val="16CB4564"/>
    <w:rsid w:val="16D23251"/>
    <w:rsid w:val="16DB6033"/>
    <w:rsid w:val="16E6314C"/>
    <w:rsid w:val="16E77900"/>
    <w:rsid w:val="16ED6288"/>
    <w:rsid w:val="16EF3DAF"/>
    <w:rsid w:val="16F076FE"/>
    <w:rsid w:val="16F13FCB"/>
    <w:rsid w:val="16F94C2D"/>
    <w:rsid w:val="16FB4072"/>
    <w:rsid w:val="170F61FF"/>
    <w:rsid w:val="17101F77"/>
    <w:rsid w:val="171E6442"/>
    <w:rsid w:val="17215F32"/>
    <w:rsid w:val="17253C74"/>
    <w:rsid w:val="172C5003"/>
    <w:rsid w:val="173739A8"/>
    <w:rsid w:val="17424826"/>
    <w:rsid w:val="174D42AB"/>
    <w:rsid w:val="1760369B"/>
    <w:rsid w:val="177469AA"/>
    <w:rsid w:val="17852965"/>
    <w:rsid w:val="17876BDA"/>
    <w:rsid w:val="178F0FE3"/>
    <w:rsid w:val="17B13A8C"/>
    <w:rsid w:val="17B1645B"/>
    <w:rsid w:val="17B165EA"/>
    <w:rsid w:val="17CC7A8D"/>
    <w:rsid w:val="17D631C0"/>
    <w:rsid w:val="17DB5730"/>
    <w:rsid w:val="17DE788F"/>
    <w:rsid w:val="17E064BA"/>
    <w:rsid w:val="17E958A0"/>
    <w:rsid w:val="17FC3D52"/>
    <w:rsid w:val="1800023D"/>
    <w:rsid w:val="18047D2E"/>
    <w:rsid w:val="18062254"/>
    <w:rsid w:val="180D0D79"/>
    <w:rsid w:val="180D4CD7"/>
    <w:rsid w:val="180D75BF"/>
    <w:rsid w:val="181810E3"/>
    <w:rsid w:val="1824469F"/>
    <w:rsid w:val="182757CA"/>
    <w:rsid w:val="183B3024"/>
    <w:rsid w:val="184055B9"/>
    <w:rsid w:val="184D6FA7"/>
    <w:rsid w:val="184D7FB5"/>
    <w:rsid w:val="185A07A3"/>
    <w:rsid w:val="185A5BA0"/>
    <w:rsid w:val="185D743E"/>
    <w:rsid w:val="185F1807"/>
    <w:rsid w:val="1863235F"/>
    <w:rsid w:val="18673E19"/>
    <w:rsid w:val="18701DE2"/>
    <w:rsid w:val="187A1D9E"/>
    <w:rsid w:val="187F2FB0"/>
    <w:rsid w:val="188430C7"/>
    <w:rsid w:val="188C4D77"/>
    <w:rsid w:val="188D7D18"/>
    <w:rsid w:val="18904F0A"/>
    <w:rsid w:val="18925671"/>
    <w:rsid w:val="189866C8"/>
    <w:rsid w:val="18A24E51"/>
    <w:rsid w:val="18A72D74"/>
    <w:rsid w:val="18AD3F21"/>
    <w:rsid w:val="18BC5F12"/>
    <w:rsid w:val="18D07A46"/>
    <w:rsid w:val="18D331C9"/>
    <w:rsid w:val="18D86AC4"/>
    <w:rsid w:val="18DA6CE0"/>
    <w:rsid w:val="18DC1D03"/>
    <w:rsid w:val="18DF60A5"/>
    <w:rsid w:val="18F50C19"/>
    <w:rsid w:val="18F57676"/>
    <w:rsid w:val="18F85CE3"/>
    <w:rsid w:val="19031D93"/>
    <w:rsid w:val="19063631"/>
    <w:rsid w:val="19102702"/>
    <w:rsid w:val="1910625E"/>
    <w:rsid w:val="19152BDA"/>
    <w:rsid w:val="19204FCE"/>
    <w:rsid w:val="19206870"/>
    <w:rsid w:val="192173E3"/>
    <w:rsid w:val="192E7DCB"/>
    <w:rsid w:val="194028CF"/>
    <w:rsid w:val="194203E4"/>
    <w:rsid w:val="19445F08"/>
    <w:rsid w:val="194660D8"/>
    <w:rsid w:val="194674E2"/>
    <w:rsid w:val="194F1CD5"/>
    <w:rsid w:val="194F4DD1"/>
    <w:rsid w:val="19584F64"/>
    <w:rsid w:val="196C2483"/>
    <w:rsid w:val="198540F4"/>
    <w:rsid w:val="198A6011"/>
    <w:rsid w:val="19924659"/>
    <w:rsid w:val="199767A0"/>
    <w:rsid w:val="199926F8"/>
    <w:rsid w:val="199A4C29"/>
    <w:rsid w:val="19A35324"/>
    <w:rsid w:val="19AE0C58"/>
    <w:rsid w:val="19B44871"/>
    <w:rsid w:val="19BB266E"/>
    <w:rsid w:val="19CC487B"/>
    <w:rsid w:val="19D144C1"/>
    <w:rsid w:val="19D656C2"/>
    <w:rsid w:val="19DA212E"/>
    <w:rsid w:val="19E752A3"/>
    <w:rsid w:val="19EA6AAF"/>
    <w:rsid w:val="19ED29B7"/>
    <w:rsid w:val="19F45B80"/>
    <w:rsid w:val="19F65454"/>
    <w:rsid w:val="1A02204B"/>
    <w:rsid w:val="1A026195"/>
    <w:rsid w:val="1A051B3B"/>
    <w:rsid w:val="1A085DD8"/>
    <w:rsid w:val="1A2D0E85"/>
    <w:rsid w:val="1A312930"/>
    <w:rsid w:val="1A3F3CC7"/>
    <w:rsid w:val="1A4268EB"/>
    <w:rsid w:val="1A4A453E"/>
    <w:rsid w:val="1A4C6DBB"/>
    <w:rsid w:val="1A516B2E"/>
    <w:rsid w:val="1A5B5BFF"/>
    <w:rsid w:val="1A620D3B"/>
    <w:rsid w:val="1A6374B3"/>
    <w:rsid w:val="1A670100"/>
    <w:rsid w:val="1A702CF1"/>
    <w:rsid w:val="1A7602D2"/>
    <w:rsid w:val="1A826A90"/>
    <w:rsid w:val="1A831D72"/>
    <w:rsid w:val="1A892250"/>
    <w:rsid w:val="1A930EF5"/>
    <w:rsid w:val="1A9C297F"/>
    <w:rsid w:val="1A9D78C2"/>
    <w:rsid w:val="1A9F3D3E"/>
    <w:rsid w:val="1AAB21F7"/>
    <w:rsid w:val="1AC9700C"/>
    <w:rsid w:val="1ADA57F2"/>
    <w:rsid w:val="1ADF238C"/>
    <w:rsid w:val="1AE54D49"/>
    <w:rsid w:val="1AE56525"/>
    <w:rsid w:val="1AF20311"/>
    <w:rsid w:val="1AF35E37"/>
    <w:rsid w:val="1B081E13"/>
    <w:rsid w:val="1B0B3181"/>
    <w:rsid w:val="1B216501"/>
    <w:rsid w:val="1B2470F4"/>
    <w:rsid w:val="1B4B5C73"/>
    <w:rsid w:val="1B720792"/>
    <w:rsid w:val="1B746F78"/>
    <w:rsid w:val="1B793BCF"/>
    <w:rsid w:val="1B7E6EF2"/>
    <w:rsid w:val="1B917B2A"/>
    <w:rsid w:val="1B976543"/>
    <w:rsid w:val="1B993A77"/>
    <w:rsid w:val="1BA50EE0"/>
    <w:rsid w:val="1BB77BD7"/>
    <w:rsid w:val="1BC04907"/>
    <w:rsid w:val="1BCC11CE"/>
    <w:rsid w:val="1BD26992"/>
    <w:rsid w:val="1BD70E38"/>
    <w:rsid w:val="1BD9327F"/>
    <w:rsid w:val="1BDD4B1E"/>
    <w:rsid w:val="1BE85270"/>
    <w:rsid w:val="1BEA2F39"/>
    <w:rsid w:val="1C0914B5"/>
    <w:rsid w:val="1C100A5A"/>
    <w:rsid w:val="1C161DDD"/>
    <w:rsid w:val="1C203BF3"/>
    <w:rsid w:val="1C222F92"/>
    <w:rsid w:val="1C3B5CE8"/>
    <w:rsid w:val="1C3E1334"/>
    <w:rsid w:val="1C3F5BE8"/>
    <w:rsid w:val="1C4F5EF0"/>
    <w:rsid w:val="1C4F7B96"/>
    <w:rsid w:val="1C591AE1"/>
    <w:rsid w:val="1C5D7521"/>
    <w:rsid w:val="1C5E0883"/>
    <w:rsid w:val="1C5F1621"/>
    <w:rsid w:val="1C62632F"/>
    <w:rsid w:val="1C6425E2"/>
    <w:rsid w:val="1C6C1EF5"/>
    <w:rsid w:val="1C6F14EE"/>
    <w:rsid w:val="1C9F6277"/>
    <w:rsid w:val="1CA234AD"/>
    <w:rsid w:val="1CA70C88"/>
    <w:rsid w:val="1CA74E49"/>
    <w:rsid w:val="1CAF6F51"/>
    <w:rsid w:val="1CB05D8E"/>
    <w:rsid w:val="1CBF3D37"/>
    <w:rsid w:val="1CCA3FD1"/>
    <w:rsid w:val="1CCB1BEA"/>
    <w:rsid w:val="1CD46F6C"/>
    <w:rsid w:val="1CDA2E0B"/>
    <w:rsid w:val="1CDF6673"/>
    <w:rsid w:val="1CE007B0"/>
    <w:rsid w:val="1CE5338C"/>
    <w:rsid w:val="1D04257E"/>
    <w:rsid w:val="1D054610"/>
    <w:rsid w:val="1D3E783E"/>
    <w:rsid w:val="1D4316AD"/>
    <w:rsid w:val="1D455796"/>
    <w:rsid w:val="1D4A4435"/>
    <w:rsid w:val="1D4F1A4B"/>
    <w:rsid w:val="1D507571"/>
    <w:rsid w:val="1D507F5F"/>
    <w:rsid w:val="1D5F70F7"/>
    <w:rsid w:val="1D750DFB"/>
    <w:rsid w:val="1D7B0F21"/>
    <w:rsid w:val="1D8A4831"/>
    <w:rsid w:val="1D8A760F"/>
    <w:rsid w:val="1DA90ACE"/>
    <w:rsid w:val="1DAA0909"/>
    <w:rsid w:val="1DB61054"/>
    <w:rsid w:val="1DC15D79"/>
    <w:rsid w:val="1DD01570"/>
    <w:rsid w:val="1DD107F8"/>
    <w:rsid w:val="1DD15853"/>
    <w:rsid w:val="1DD71DF7"/>
    <w:rsid w:val="1DD73D67"/>
    <w:rsid w:val="1DDA1BEE"/>
    <w:rsid w:val="1DEC54EC"/>
    <w:rsid w:val="1E083FBE"/>
    <w:rsid w:val="1E1A3944"/>
    <w:rsid w:val="1E30040C"/>
    <w:rsid w:val="1E344882"/>
    <w:rsid w:val="1E360515"/>
    <w:rsid w:val="1E390B15"/>
    <w:rsid w:val="1E4324A1"/>
    <w:rsid w:val="1E4458F1"/>
    <w:rsid w:val="1E5170FD"/>
    <w:rsid w:val="1E592455"/>
    <w:rsid w:val="1E674B72"/>
    <w:rsid w:val="1E6D1BAD"/>
    <w:rsid w:val="1E6D7CAF"/>
    <w:rsid w:val="1E7B061E"/>
    <w:rsid w:val="1E7D7EF2"/>
    <w:rsid w:val="1E851A7D"/>
    <w:rsid w:val="1E946D28"/>
    <w:rsid w:val="1EAC4C7B"/>
    <w:rsid w:val="1EB05EE2"/>
    <w:rsid w:val="1EB31B66"/>
    <w:rsid w:val="1EB8717C"/>
    <w:rsid w:val="1EBF050A"/>
    <w:rsid w:val="1EDF41B4"/>
    <w:rsid w:val="1EED664D"/>
    <w:rsid w:val="1EF02DBA"/>
    <w:rsid w:val="1EFB6DC5"/>
    <w:rsid w:val="1F0D14E1"/>
    <w:rsid w:val="1F132604"/>
    <w:rsid w:val="1F170346"/>
    <w:rsid w:val="1F196151"/>
    <w:rsid w:val="1F3F789D"/>
    <w:rsid w:val="1F400656"/>
    <w:rsid w:val="1F461963"/>
    <w:rsid w:val="1F5570C1"/>
    <w:rsid w:val="1F5F3A9B"/>
    <w:rsid w:val="1F6F66B0"/>
    <w:rsid w:val="1F7C7944"/>
    <w:rsid w:val="1F7E48B7"/>
    <w:rsid w:val="1F9D69AD"/>
    <w:rsid w:val="1F9F7C74"/>
    <w:rsid w:val="1FA176A9"/>
    <w:rsid w:val="1FA3607E"/>
    <w:rsid w:val="1FA567E1"/>
    <w:rsid w:val="1FAF67D1"/>
    <w:rsid w:val="1FB6502C"/>
    <w:rsid w:val="1FC524E9"/>
    <w:rsid w:val="1FCD13A1"/>
    <w:rsid w:val="1FD40B49"/>
    <w:rsid w:val="1FD819B2"/>
    <w:rsid w:val="1FDE70B6"/>
    <w:rsid w:val="1FE83A91"/>
    <w:rsid w:val="1FEA15B7"/>
    <w:rsid w:val="1FF36F03"/>
    <w:rsid w:val="1FFF643B"/>
    <w:rsid w:val="200135A9"/>
    <w:rsid w:val="20034F03"/>
    <w:rsid w:val="2009699D"/>
    <w:rsid w:val="20185446"/>
    <w:rsid w:val="201E7CD7"/>
    <w:rsid w:val="2027280B"/>
    <w:rsid w:val="202848F8"/>
    <w:rsid w:val="202E7D97"/>
    <w:rsid w:val="2030626D"/>
    <w:rsid w:val="2033249B"/>
    <w:rsid w:val="203A6F6B"/>
    <w:rsid w:val="20401B1F"/>
    <w:rsid w:val="20607ACB"/>
    <w:rsid w:val="20623843"/>
    <w:rsid w:val="206B43DE"/>
    <w:rsid w:val="206C2914"/>
    <w:rsid w:val="20716543"/>
    <w:rsid w:val="208A0FEC"/>
    <w:rsid w:val="208C2C5B"/>
    <w:rsid w:val="20987265"/>
    <w:rsid w:val="209D2FFE"/>
    <w:rsid w:val="20A06EA1"/>
    <w:rsid w:val="20A16929"/>
    <w:rsid w:val="20AB3EC2"/>
    <w:rsid w:val="20B47E17"/>
    <w:rsid w:val="20C20786"/>
    <w:rsid w:val="20C77B4A"/>
    <w:rsid w:val="20CD3904"/>
    <w:rsid w:val="20D44015"/>
    <w:rsid w:val="20DB53A4"/>
    <w:rsid w:val="20E10FBD"/>
    <w:rsid w:val="20E51AC6"/>
    <w:rsid w:val="20F03AF9"/>
    <w:rsid w:val="20F44BDA"/>
    <w:rsid w:val="21001AD6"/>
    <w:rsid w:val="21076199"/>
    <w:rsid w:val="210D73EA"/>
    <w:rsid w:val="21157E5B"/>
    <w:rsid w:val="21204F6E"/>
    <w:rsid w:val="21205910"/>
    <w:rsid w:val="21224D81"/>
    <w:rsid w:val="213760C2"/>
    <w:rsid w:val="21543AA8"/>
    <w:rsid w:val="21625939"/>
    <w:rsid w:val="21695B1C"/>
    <w:rsid w:val="217079BC"/>
    <w:rsid w:val="21867A05"/>
    <w:rsid w:val="218B6DCA"/>
    <w:rsid w:val="21937A2C"/>
    <w:rsid w:val="219826A7"/>
    <w:rsid w:val="219D58C9"/>
    <w:rsid w:val="219F0AC7"/>
    <w:rsid w:val="21A00985"/>
    <w:rsid w:val="21A8797C"/>
    <w:rsid w:val="21AC3DC2"/>
    <w:rsid w:val="21B04A82"/>
    <w:rsid w:val="21BE719F"/>
    <w:rsid w:val="21C24356"/>
    <w:rsid w:val="21C260D3"/>
    <w:rsid w:val="21C85928"/>
    <w:rsid w:val="21C916A0"/>
    <w:rsid w:val="21CB12DF"/>
    <w:rsid w:val="21D70261"/>
    <w:rsid w:val="21DA62E0"/>
    <w:rsid w:val="21E77118"/>
    <w:rsid w:val="21EF5F52"/>
    <w:rsid w:val="21F00B60"/>
    <w:rsid w:val="21F90759"/>
    <w:rsid w:val="21FE57EE"/>
    <w:rsid w:val="22066450"/>
    <w:rsid w:val="221A1EFC"/>
    <w:rsid w:val="221A55CD"/>
    <w:rsid w:val="221E379A"/>
    <w:rsid w:val="222F3BF9"/>
    <w:rsid w:val="22581750"/>
    <w:rsid w:val="22596EC8"/>
    <w:rsid w:val="22643B2A"/>
    <w:rsid w:val="2267302D"/>
    <w:rsid w:val="22765384"/>
    <w:rsid w:val="227A3683"/>
    <w:rsid w:val="228965D3"/>
    <w:rsid w:val="228A0E2F"/>
    <w:rsid w:val="228F54CC"/>
    <w:rsid w:val="22926C59"/>
    <w:rsid w:val="22995516"/>
    <w:rsid w:val="22AB5E06"/>
    <w:rsid w:val="22AC0867"/>
    <w:rsid w:val="22BF31CF"/>
    <w:rsid w:val="22D32730"/>
    <w:rsid w:val="22D47138"/>
    <w:rsid w:val="22D64075"/>
    <w:rsid w:val="22E42C35"/>
    <w:rsid w:val="22E54C87"/>
    <w:rsid w:val="22EB084B"/>
    <w:rsid w:val="22FB1D2D"/>
    <w:rsid w:val="22FD7853"/>
    <w:rsid w:val="23190AF3"/>
    <w:rsid w:val="231D6147"/>
    <w:rsid w:val="232B5A8E"/>
    <w:rsid w:val="23333DD5"/>
    <w:rsid w:val="233B037C"/>
    <w:rsid w:val="234D0F8D"/>
    <w:rsid w:val="236A498B"/>
    <w:rsid w:val="236E24FF"/>
    <w:rsid w:val="23764AF4"/>
    <w:rsid w:val="239301B8"/>
    <w:rsid w:val="239312F5"/>
    <w:rsid w:val="239C21B8"/>
    <w:rsid w:val="239F158F"/>
    <w:rsid w:val="23AB79FA"/>
    <w:rsid w:val="23B14C77"/>
    <w:rsid w:val="23B343B6"/>
    <w:rsid w:val="23B6792D"/>
    <w:rsid w:val="23C8740E"/>
    <w:rsid w:val="23CA5FC4"/>
    <w:rsid w:val="23CF5A5D"/>
    <w:rsid w:val="23D7358B"/>
    <w:rsid w:val="23E822B1"/>
    <w:rsid w:val="23E909AC"/>
    <w:rsid w:val="23EF1892"/>
    <w:rsid w:val="23FC3FAF"/>
    <w:rsid w:val="24015121"/>
    <w:rsid w:val="240F5A90"/>
    <w:rsid w:val="24107A5A"/>
    <w:rsid w:val="241A2687"/>
    <w:rsid w:val="24217A5F"/>
    <w:rsid w:val="242F7EE0"/>
    <w:rsid w:val="24452828"/>
    <w:rsid w:val="24525D5B"/>
    <w:rsid w:val="24531847"/>
    <w:rsid w:val="24632CB5"/>
    <w:rsid w:val="24642706"/>
    <w:rsid w:val="24681644"/>
    <w:rsid w:val="246E3050"/>
    <w:rsid w:val="246F070F"/>
    <w:rsid w:val="2474508C"/>
    <w:rsid w:val="247B3126"/>
    <w:rsid w:val="248144B4"/>
    <w:rsid w:val="2483647E"/>
    <w:rsid w:val="248D775C"/>
    <w:rsid w:val="249266C1"/>
    <w:rsid w:val="24936A23"/>
    <w:rsid w:val="24967F5F"/>
    <w:rsid w:val="24971900"/>
    <w:rsid w:val="24A0025B"/>
    <w:rsid w:val="24A106B2"/>
    <w:rsid w:val="24A32186"/>
    <w:rsid w:val="24B03B5D"/>
    <w:rsid w:val="24B46637"/>
    <w:rsid w:val="24BD65B2"/>
    <w:rsid w:val="24C820E3"/>
    <w:rsid w:val="24C874D4"/>
    <w:rsid w:val="24C90335"/>
    <w:rsid w:val="24DB5972"/>
    <w:rsid w:val="24DC16EA"/>
    <w:rsid w:val="24DE1906"/>
    <w:rsid w:val="24EC0600"/>
    <w:rsid w:val="24F627AC"/>
    <w:rsid w:val="24FC7D81"/>
    <w:rsid w:val="25007ACF"/>
    <w:rsid w:val="250F386E"/>
    <w:rsid w:val="251B66B7"/>
    <w:rsid w:val="251F3AB0"/>
    <w:rsid w:val="25257535"/>
    <w:rsid w:val="25262F8B"/>
    <w:rsid w:val="25287ED0"/>
    <w:rsid w:val="25387269"/>
    <w:rsid w:val="25391E57"/>
    <w:rsid w:val="253A6130"/>
    <w:rsid w:val="253F5CBC"/>
    <w:rsid w:val="25402651"/>
    <w:rsid w:val="25474FA8"/>
    <w:rsid w:val="255B5BEE"/>
    <w:rsid w:val="256B319A"/>
    <w:rsid w:val="256F255E"/>
    <w:rsid w:val="257162D7"/>
    <w:rsid w:val="257227BA"/>
    <w:rsid w:val="25812095"/>
    <w:rsid w:val="258204E4"/>
    <w:rsid w:val="25822292"/>
    <w:rsid w:val="25860928"/>
    <w:rsid w:val="258E0855"/>
    <w:rsid w:val="259326F1"/>
    <w:rsid w:val="25AD37B3"/>
    <w:rsid w:val="25AF5AD6"/>
    <w:rsid w:val="25B05051"/>
    <w:rsid w:val="25B06DFF"/>
    <w:rsid w:val="25C1695A"/>
    <w:rsid w:val="25C66622"/>
    <w:rsid w:val="25C97EC1"/>
    <w:rsid w:val="25D24FC7"/>
    <w:rsid w:val="25DB6D3F"/>
    <w:rsid w:val="25ED49A6"/>
    <w:rsid w:val="25F02265"/>
    <w:rsid w:val="2604287D"/>
    <w:rsid w:val="260E3B25"/>
    <w:rsid w:val="2610044F"/>
    <w:rsid w:val="26121868"/>
    <w:rsid w:val="26143832"/>
    <w:rsid w:val="2626177D"/>
    <w:rsid w:val="262F00B9"/>
    <w:rsid w:val="26330312"/>
    <w:rsid w:val="2637307C"/>
    <w:rsid w:val="26387C84"/>
    <w:rsid w:val="264B24A9"/>
    <w:rsid w:val="264F7447"/>
    <w:rsid w:val="265E240F"/>
    <w:rsid w:val="26741DCB"/>
    <w:rsid w:val="267B2845"/>
    <w:rsid w:val="26B40B71"/>
    <w:rsid w:val="26C1503C"/>
    <w:rsid w:val="26C746AA"/>
    <w:rsid w:val="26CB6C26"/>
    <w:rsid w:val="26CF552F"/>
    <w:rsid w:val="26D1468A"/>
    <w:rsid w:val="26D25359"/>
    <w:rsid w:val="26D528A9"/>
    <w:rsid w:val="26D70D00"/>
    <w:rsid w:val="26D7660D"/>
    <w:rsid w:val="26E11F8E"/>
    <w:rsid w:val="26F22E8B"/>
    <w:rsid w:val="26F92A28"/>
    <w:rsid w:val="26FE0374"/>
    <w:rsid w:val="26FE1CAB"/>
    <w:rsid w:val="271909D4"/>
    <w:rsid w:val="27204648"/>
    <w:rsid w:val="27335F39"/>
    <w:rsid w:val="27447A7C"/>
    <w:rsid w:val="27455C6D"/>
    <w:rsid w:val="274E0D01"/>
    <w:rsid w:val="27565784"/>
    <w:rsid w:val="275C51BA"/>
    <w:rsid w:val="27615186"/>
    <w:rsid w:val="27682B6B"/>
    <w:rsid w:val="277C53C2"/>
    <w:rsid w:val="277E7202"/>
    <w:rsid w:val="278B39A6"/>
    <w:rsid w:val="278C564A"/>
    <w:rsid w:val="279544FE"/>
    <w:rsid w:val="27955252"/>
    <w:rsid w:val="27960276"/>
    <w:rsid w:val="279C73CC"/>
    <w:rsid w:val="279D25D9"/>
    <w:rsid w:val="27A9326C"/>
    <w:rsid w:val="27B91A8A"/>
    <w:rsid w:val="27BA6BDA"/>
    <w:rsid w:val="27CB4B01"/>
    <w:rsid w:val="27DF1C1D"/>
    <w:rsid w:val="27ED433A"/>
    <w:rsid w:val="27F743F5"/>
    <w:rsid w:val="27FA6A57"/>
    <w:rsid w:val="27FD0D2F"/>
    <w:rsid w:val="27FE7525"/>
    <w:rsid w:val="280477E3"/>
    <w:rsid w:val="280C74A6"/>
    <w:rsid w:val="28151E87"/>
    <w:rsid w:val="28211A6B"/>
    <w:rsid w:val="2834453D"/>
    <w:rsid w:val="28373807"/>
    <w:rsid w:val="283B19EF"/>
    <w:rsid w:val="283B4950"/>
    <w:rsid w:val="283F26BC"/>
    <w:rsid w:val="28433F5A"/>
    <w:rsid w:val="284D4DD9"/>
    <w:rsid w:val="28560831"/>
    <w:rsid w:val="2858552C"/>
    <w:rsid w:val="2859377E"/>
    <w:rsid w:val="286A598B"/>
    <w:rsid w:val="28833BA0"/>
    <w:rsid w:val="28840018"/>
    <w:rsid w:val="28991DCC"/>
    <w:rsid w:val="28B0085E"/>
    <w:rsid w:val="28B05368"/>
    <w:rsid w:val="28C01A4F"/>
    <w:rsid w:val="28C037FD"/>
    <w:rsid w:val="28D472A8"/>
    <w:rsid w:val="28D56B7C"/>
    <w:rsid w:val="28DC43AF"/>
    <w:rsid w:val="28E73FFA"/>
    <w:rsid w:val="28F214DC"/>
    <w:rsid w:val="28F36F76"/>
    <w:rsid w:val="28F519E7"/>
    <w:rsid w:val="28FB2748"/>
    <w:rsid w:val="29171209"/>
    <w:rsid w:val="29272FC4"/>
    <w:rsid w:val="292C49EE"/>
    <w:rsid w:val="29347D47"/>
    <w:rsid w:val="293D2E5D"/>
    <w:rsid w:val="294301F5"/>
    <w:rsid w:val="29491A44"/>
    <w:rsid w:val="29593F67"/>
    <w:rsid w:val="295D104C"/>
    <w:rsid w:val="29851F68"/>
    <w:rsid w:val="29984105"/>
    <w:rsid w:val="29A0362E"/>
    <w:rsid w:val="29A97E6C"/>
    <w:rsid w:val="29D82DC8"/>
    <w:rsid w:val="29E7224E"/>
    <w:rsid w:val="29F41C75"/>
    <w:rsid w:val="29F62591"/>
    <w:rsid w:val="29FA076A"/>
    <w:rsid w:val="29FF7627"/>
    <w:rsid w:val="2A0140CD"/>
    <w:rsid w:val="2A0B07AD"/>
    <w:rsid w:val="2A1D6A2D"/>
    <w:rsid w:val="2A245994"/>
    <w:rsid w:val="2A2B2EF8"/>
    <w:rsid w:val="2A2F26E2"/>
    <w:rsid w:val="2A3004CC"/>
    <w:rsid w:val="2A337FFE"/>
    <w:rsid w:val="2A391AB9"/>
    <w:rsid w:val="2A4A348B"/>
    <w:rsid w:val="2A4B4C8A"/>
    <w:rsid w:val="2A4B5348"/>
    <w:rsid w:val="2A522B7B"/>
    <w:rsid w:val="2A565BDB"/>
    <w:rsid w:val="2A687D75"/>
    <w:rsid w:val="2A6D1762"/>
    <w:rsid w:val="2A6E594A"/>
    <w:rsid w:val="2A6F54DA"/>
    <w:rsid w:val="2A887940"/>
    <w:rsid w:val="2AA624EE"/>
    <w:rsid w:val="2AAA2E79"/>
    <w:rsid w:val="2AB44E6A"/>
    <w:rsid w:val="2AC84BEB"/>
    <w:rsid w:val="2ACB0237"/>
    <w:rsid w:val="2ACF673B"/>
    <w:rsid w:val="2ADD7F15"/>
    <w:rsid w:val="2AFC6642"/>
    <w:rsid w:val="2AFC7C94"/>
    <w:rsid w:val="2AFF1E1F"/>
    <w:rsid w:val="2AFF2EA8"/>
    <w:rsid w:val="2B0674C1"/>
    <w:rsid w:val="2B073965"/>
    <w:rsid w:val="2B0760E4"/>
    <w:rsid w:val="2B0A6FB1"/>
    <w:rsid w:val="2B0C6412"/>
    <w:rsid w:val="2B141BDE"/>
    <w:rsid w:val="2B1478F6"/>
    <w:rsid w:val="2B1716CE"/>
    <w:rsid w:val="2B17413C"/>
    <w:rsid w:val="2B274B2D"/>
    <w:rsid w:val="2B275402"/>
    <w:rsid w:val="2B2838DB"/>
    <w:rsid w:val="2B350611"/>
    <w:rsid w:val="2B4D6D25"/>
    <w:rsid w:val="2B544339"/>
    <w:rsid w:val="2B5446D0"/>
    <w:rsid w:val="2B5F6386"/>
    <w:rsid w:val="2B7D3EBC"/>
    <w:rsid w:val="2B996EB9"/>
    <w:rsid w:val="2B9E76FA"/>
    <w:rsid w:val="2BA30F6E"/>
    <w:rsid w:val="2BB50BA5"/>
    <w:rsid w:val="2BC37160"/>
    <w:rsid w:val="2BC453B2"/>
    <w:rsid w:val="2BDB00FF"/>
    <w:rsid w:val="2BE772F2"/>
    <w:rsid w:val="2BF6650A"/>
    <w:rsid w:val="2BF91D68"/>
    <w:rsid w:val="2C0E0D23"/>
    <w:rsid w:val="2C124D89"/>
    <w:rsid w:val="2C154579"/>
    <w:rsid w:val="2C1F3EF3"/>
    <w:rsid w:val="2C202EC4"/>
    <w:rsid w:val="2C2036A9"/>
    <w:rsid w:val="2C2A3340"/>
    <w:rsid w:val="2C2E6CCF"/>
    <w:rsid w:val="2C305C3B"/>
    <w:rsid w:val="2C376479"/>
    <w:rsid w:val="2C3A0591"/>
    <w:rsid w:val="2C5F50DB"/>
    <w:rsid w:val="2C6B4A8F"/>
    <w:rsid w:val="2C825543"/>
    <w:rsid w:val="2C8D5A6F"/>
    <w:rsid w:val="2C923EDB"/>
    <w:rsid w:val="2C92443B"/>
    <w:rsid w:val="2CA52ED6"/>
    <w:rsid w:val="2CA90A4C"/>
    <w:rsid w:val="2CB1338F"/>
    <w:rsid w:val="2CC22ED0"/>
    <w:rsid w:val="2CC47634"/>
    <w:rsid w:val="2CC94C4A"/>
    <w:rsid w:val="2CF10D5A"/>
    <w:rsid w:val="2CFC5020"/>
    <w:rsid w:val="2CFE70ED"/>
    <w:rsid w:val="2D031F0A"/>
    <w:rsid w:val="2D186A37"/>
    <w:rsid w:val="2D1F12BC"/>
    <w:rsid w:val="2D1F6B19"/>
    <w:rsid w:val="2D236108"/>
    <w:rsid w:val="2D241E80"/>
    <w:rsid w:val="2D2B1461"/>
    <w:rsid w:val="2D367DBD"/>
    <w:rsid w:val="2D3E693D"/>
    <w:rsid w:val="2D4402E1"/>
    <w:rsid w:val="2D4A3C0B"/>
    <w:rsid w:val="2D4D7629"/>
    <w:rsid w:val="2D4E2469"/>
    <w:rsid w:val="2D510738"/>
    <w:rsid w:val="2D6A01DB"/>
    <w:rsid w:val="2D7050C6"/>
    <w:rsid w:val="2D727A5B"/>
    <w:rsid w:val="2D7339BD"/>
    <w:rsid w:val="2D81692A"/>
    <w:rsid w:val="2D9708A4"/>
    <w:rsid w:val="2DA05C62"/>
    <w:rsid w:val="2DA4527D"/>
    <w:rsid w:val="2DA51213"/>
    <w:rsid w:val="2DA54B8B"/>
    <w:rsid w:val="2DAF2092"/>
    <w:rsid w:val="2DB7195A"/>
    <w:rsid w:val="2DC24EE3"/>
    <w:rsid w:val="2DC518B5"/>
    <w:rsid w:val="2DCF7395"/>
    <w:rsid w:val="2DD1025A"/>
    <w:rsid w:val="2DD170C2"/>
    <w:rsid w:val="2DDD7CDF"/>
    <w:rsid w:val="2DE73F83"/>
    <w:rsid w:val="2E0163EF"/>
    <w:rsid w:val="2E073865"/>
    <w:rsid w:val="2E30540C"/>
    <w:rsid w:val="2E375631"/>
    <w:rsid w:val="2E3903BB"/>
    <w:rsid w:val="2E3C5442"/>
    <w:rsid w:val="2E4722CA"/>
    <w:rsid w:val="2E4D75B5"/>
    <w:rsid w:val="2E5A72C5"/>
    <w:rsid w:val="2E690493"/>
    <w:rsid w:val="2E7A52DF"/>
    <w:rsid w:val="2E7F1A64"/>
    <w:rsid w:val="2E820D75"/>
    <w:rsid w:val="2E8B665B"/>
    <w:rsid w:val="2E905A1F"/>
    <w:rsid w:val="2E916F82"/>
    <w:rsid w:val="2EA76DB2"/>
    <w:rsid w:val="2EA8720D"/>
    <w:rsid w:val="2EB26EB4"/>
    <w:rsid w:val="2EB6421E"/>
    <w:rsid w:val="2EB80AC2"/>
    <w:rsid w:val="2ECE3D79"/>
    <w:rsid w:val="2EE26290"/>
    <w:rsid w:val="2EE61AE3"/>
    <w:rsid w:val="2EFC30B5"/>
    <w:rsid w:val="2EFD43BB"/>
    <w:rsid w:val="2F0D6706"/>
    <w:rsid w:val="2F1C5003"/>
    <w:rsid w:val="2F210D6D"/>
    <w:rsid w:val="2F2E7AAF"/>
    <w:rsid w:val="2F360B18"/>
    <w:rsid w:val="2F590507"/>
    <w:rsid w:val="2F631386"/>
    <w:rsid w:val="2F650C5A"/>
    <w:rsid w:val="2F666780"/>
    <w:rsid w:val="2F6B3D97"/>
    <w:rsid w:val="2F786B4C"/>
    <w:rsid w:val="2F8512FC"/>
    <w:rsid w:val="2F9B28CE"/>
    <w:rsid w:val="2F9C6646"/>
    <w:rsid w:val="2FC260AC"/>
    <w:rsid w:val="2FCA31B3"/>
    <w:rsid w:val="2FCD4A51"/>
    <w:rsid w:val="2FCD537C"/>
    <w:rsid w:val="2FE050AA"/>
    <w:rsid w:val="2FE543C3"/>
    <w:rsid w:val="2FEC2B4C"/>
    <w:rsid w:val="2FF26950"/>
    <w:rsid w:val="2FF66463"/>
    <w:rsid w:val="2FF81272"/>
    <w:rsid w:val="2FFA779F"/>
    <w:rsid w:val="2FFB336C"/>
    <w:rsid w:val="2FFB3907"/>
    <w:rsid w:val="3017590C"/>
    <w:rsid w:val="30325911"/>
    <w:rsid w:val="303B19BB"/>
    <w:rsid w:val="304764C2"/>
    <w:rsid w:val="3050190A"/>
    <w:rsid w:val="30573A3A"/>
    <w:rsid w:val="30676840"/>
    <w:rsid w:val="30736576"/>
    <w:rsid w:val="3078676B"/>
    <w:rsid w:val="30893C43"/>
    <w:rsid w:val="309967C8"/>
    <w:rsid w:val="30A532D8"/>
    <w:rsid w:val="30A92DC8"/>
    <w:rsid w:val="30AC4667"/>
    <w:rsid w:val="30BF25EC"/>
    <w:rsid w:val="30C8785A"/>
    <w:rsid w:val="30D15875"/>
    <w:rsid w:val="30DA7426"/>
    <w:rsid w:val="30DB6EB9"/>
    <w:rsid w:val="30DD6F16"/>
    <w:rsid w:val="30E67B79"/>
    <w:rsid w:val="30EE2ED1"/>
    <w:rsid w:val="30F1651D"/>
    <w:rsid w:val="30FD4EC2"/>
    <w:rsid w:val="31025886"/>
    <w:rsid w:val="31046251"/>
    <w:rsid w:val="310D6069"/>
    <w:rsid w:val="31105B45"/>
    <w:rsid w:val="311A1F18"/>
    <w:rsid w:val="312A1B32"/>
    <w:rsid w:val="313136FF"/>
    <w:rsid w:val="3138467B"/>
    <w:rsid w:val="313E2043"/>
    <w:rsid w:val="313E5C07"/>
    <w:rsid w:val="31466869"/>
    <w:rsid w:val="31572824"/>
    <w:rsid w:val="316311C9"/>
    <w:rsid w:val="31663AC4"/>
    <w:rsid w:val="316E7B6E"/>
    <w:rsid w:val="3173284C"/>
    <w:rsid w:val="318D4D20"/>
    <w:rsid w:val="319D4FDD"/>
    <w:rsid w:val="319E48F7"/>
    <w:rsid w:val="31A17E1B"/>
    <w:rsid w:val="31B1601B"/>
    <w:rsid w:val="31BE28A4"/>
    <w:rsid w:val="31C73F29"/>
    <w:rsid w:val="31CD0D39"/>
    <w:rsid w:val="31D0549A"/>
    <w:rsid w:val="31DA3AEF"/>
    <w:rsid w:val="31E5266C"/>
    <w:rsid w:val="31EE26A2"/>
    <w:rsid w:val="31F91B2E"/>
    <w:rsid w:val="32026C34"/>
    <w:rsid w:val="320318B4"/>
    <w:rsid w:val="32171FB4"/>
    <w:rsid w:val="32181796"/>
    <w:rsid w:val="3225597D"/>
    <w:rsid w:val="322E49F9"/>
    <w:rsid w:val="32330EEB"/>
    <w:rsid w:val="32364B30"/>
    <w:rsid w:val="323963CE"/>
    <w:rsid w:val="323C0F4E"/>
    <w:rsid w:val="3244724D"/>
    <w:rsid w:val="324B1648"/>
    <w:rsid w:val="3250348C"/>
    <w:rsid w:val="32581235"/>
    <w:rsid w:val="3258433F"/>
    <w:rsid w:val="3258636B"/>
    <w:rsid w:val="325B7FD6"/>
    <w:rsid w:val="325D0BB5"/>
    <w:rsid w:val="32621481"/>
    <w:rsid w:val="329362BA"/>
    <w:rsid w:val="32AA29C1"/>
    <w:rsid w:val="32B27636"/>
    <w:rsid w:val="32B31CDC"/>
    <w:rsid w:val="32BA750F"/>
    <w:rsid w:val="32D01FD9"/>
    <w:rsid w:val="32F347CF"/>
    <w:rsid w:val="32FC175E"/>
    <w:rsid w:val="33004414"/>
    <w:rsid w:val="331108DD"/>
    <w:rsid w:val="331523C1"/>
    <w:rsid w:val="33184235"/>
    <w:rsid w:val="331F3816"/>
    <w:rsid w:val="332C05E2"/>
    <w:rsid w:val="33321C39"/>
    <w:rsid w:val="334D0383"/>
    <w:rsid w:val="336F53BC"/>
    <w:rsid w:val="3371204F"/>
    <w:rsid w:val="338F274A"/>
    <w:rsid w:val="33960E8A"/>
    <w:rsid w:val="33981EAF"/>
    <w:rsid w:val="33A361F5"/>
    <w:rsid w:val="33A855B9"/>
    <w:rsid w:val="33AB50A9"/>
    <w:rsid w:val="33AE3AEC"/>
    <w:rsid w:val="33AF4B9A"/>
    <w:rsid w:val="33DA5F86"/>
    <w:rsid w:val="33DB773D"/>
    <w:rsid w:val="33DC1707"/>
    <w:rsid w:val="33F14B6C"/>
    <w:rsid w:val="33F97BC3"/>
    <w:rsid w:val="340731E4"/>
    <w:rsid w:val="341B6A4C"/>
    <w:rsid w:val="341D06FC"/>
    <w:rsid w:val="34256ACA"/>
    <w:rsid w:val="3428494C"/>
    <w:rsid w:val="342E3E29"/>
    <w:rsid w:val="34371CE9"/>
    <w:rsid w:val="343E5F1E"/>
    <w:rsid w:val="344277BC"/>
    <w:rsid w:val="34491DD2"/>
    <w:rsid w:val="34546879"/>
    <w:rsid w:val="346076B1"/>
    <w:rsid w:val="346314E0"/>
    <w:rsid w:val="34673F86"/>
    <w:rsid w:val="34711E4F"/>
    <w:rsid w:val="34750B27"/>
    <w:rsid w:val="34763909"/>
    <w:rsid w:val="347C5A95"/>
    <w:rsid w:val="347E4289"/>
    <w:rsid w:val="348154F2"/>
    <w:rsid w:val="34820207"/>
    <w:rsid w:val="34842926"/>
    <w:rsid w:val="348C0A37"/>
    <w:rsid w:val="348F22D5"/>
    <w:rsid w:val="3496630F"/>
    <w:rsid w:val="34983880"/>
    <w:rsid w:val="34A762FB"/>
    <w:rsid w:val="34B85CD0"/>
    <w:rsid w:val="34C150B5"/>
    <w:rsid w:val="34CC6681"/>
    <w:rsid w:val="34D32B0A"/>
    <w:rsid w:val="34D56D0F"/>
    <w:rsid w:val="34DF500B"/>
    <w:rsid w:val="34E15227"/>
    <w:rsid w:val="34E23D89"/>
    <w:rsid w:val="34E72111"/>
    <w:rsid w:val="34E85657"/>
    <w:rsid w:val="34EF0FC6"/>
    <w:rsid w:val="34EF3BFF"/>
    <w:rsid w:val="350E769E"/>
    <w:rsid w:val="351A4295"/>
    <w:rsid w:val="351C625F"/>
    <w:rsid w:val="35213875"/>
    <w:rsid w:val="352A7547"/>
    <w:rsid w:val="352E101F"/>
    <w:rsid w:val="35357C69"/>
    <w:rsid w:val="35395D69"/>
    <w:rsid w:val="353F1C65"/>
    <w:rsid w:val="354D6418"/>
    <w:rsid w:val="3552799D"/>
    <w:rsid w:val="355407A8"/>
    <w:rsid w:val="355A0026"/>
    <w:rsid w:val="355A627E"/>
    <w:rsid w:val="355D6CD6"/>
    <w:rsid w:val="355D7C7B"/>
    <w:rsid w:val="356C2617"/>
    <w:rsid w:val="357175FF"/>
    <w:rsid w:val="35717CBC"/>
    <w:rsid w:val="35757A7E"/>
    <w:rsid w:val="3577244E"/>
    <w:rsid w:val="358856A2"/>
    <w:rsid w:val="35917DCF"/>
    <w:rsid w:val="35A3118C"/>
    <w:rsid w:val="35A804C7"/>
    <w:rsid w:val="35AA20E5"/>
    <w:rsid w:val="35B64B86"/>
    <w:rsid w:val="35BB78D2"/>
    <w:rsid w:val="35C91CF6"/>
    <w:rsid w:val="35D11805"/>
    <w:rsid w:val="35D419DA"/>
    <w:rsid w:val="35D6236E"/>
    <w:rsid w:val="35F5126F"/>
    <w:rsid w:val="35F745D6"/>
    <w:rsid w:val="35F90123"/>
    <w:rsid w:val="360B30A2"/>
    <w:rsid w:val="361C1AAD"/>
    <w:rsid w:val="36301896"/>
    <w:rsid w:val="36316394"/>
    <w:rsid w:val="36401C22"/>
    <w:rsid w:val="364610BA"/>
    <w:rsid w:val="36481A4A"/>
    <w:rsid w:val="366A1737"/>
    <w:rsid w:val="367A5617"/>
    <w:rsid w:val="367E60DF"/>
    <w:rsid w:val="36857E34"/>
    <w:rsid w:val="368943FB"/>
    <w:rsid w:val="369F17C7"/>
    <w:rsid w:val="369F3613"/>
    <w:rsid w:val="369F7856"/>
    <w:rsid w:val="36A53526"/>
    <w:rsid w:val="36AE2339"/>
    <w:rsid w:val="36B9703B"/>
    <w:rsid w:val="36C941C4"/>
    <w:rsid w:val="36DD557A"/>
    <w:rsid w:val="36EA5EE9"/>
    <w:rsid w:val="36F124CE"/>
    <w:rsid w:val="36F30C44"/>
    <w:rsid w:val="36FB1EA4"/>
    <w:rsid w:val="36FF7BE6"/>
    <w:rsid w:val="37054AD1"/>
    <w:rsid w:val="370756AF"/>
    <w:rsid w:val="37184804"/>
    <w:rsid w:val="372D208E"/>
    <w:rsid w:val="372E2279"/>
    <w:rsid w:val="372F2FE1"/>
    <w:rsid w:val="37307DA0"/>
    <w:rsid w:val="373158C6"/>
    <w:rsid w:val="37335AE2"/>
    <w:rsid w:val="37346684"/>
    <w:rsid w:val="37546D06"/>
    <w:rsid w:val="37585548"/>
    <w:rsid w:val="375F15B5"/>
    <w:rsid w:val="375F45E1"/>
    <w:rsid w:val="376C68FE"/>
    <w:rsid w:val="37736187"/>
    <w:rsid w:val="377E29CE"/>
    <w:rsid w:val="37875D5D"/>
    <w:rsid w:val="378E03DF"/>
    <w:rsid w:val="3798060A"/>
    <w:rsid w:val="37983B97"/>
    <w:rsid w:val="37A42790"/>
    <w:rsid w:val="37A84A17"/>
    <w:rsid w:val="37B35C4A"/>
    <w:rsid w:val="37B42E46"/>
    <w:rsid w:val="37BB7829"/>
    <w:rsid w:val="37C42B4F"/>
    <w:rsid w:val="37C97400"/>
    <w:rsid w:val="37E74B44"/>
    <w:rsid w:val="37F012DD"/>
    <w:rsid w:val="37F05781"/>
    <w:rsid w:val="38184D3B"/>
    <w:rsid w:val="381B5D14"/>
    <w:rsid w:val="383E64EC"/>
    <w:rsid w:val="38467CC8"/>
    <w:rsid w:val="38487F1B"/>
    <w:rsid w:val="384A0187"/>
    <w:rsid w:val="38675A43"/>
    <w:rsid w:val="387104BC"/>
    <w:rsid w:val="387119AC"/>
    <w:rsid w:val="387141C0"/>
    <w:rsid w:val="38741F0E"/>
    <w:rsid w:val="38752EFE"/>
    <w:rsid w:val="387719FE"/>
    <w:rsid w:val="387B504A"/>
    <w:rsid w:val="387D5266"/>
    <w:rsid w:val="387E4B3B"/>
    <w:rsid w:val="3898506E"/>
    <w:rsid w:val="389A3789"/>
    <w:rsid w:val="38AF0F59"/>
    <w:rsid w:val="38AF73EA"/>
    <w:rsid w:val="38B1475B"/>
    <w:rsid w:val="38B85882"/>
    <w:rsid w:val="38C346E3"/>
    <w:rsid w:val="38CA6E75"/>
    <w:rsid w:val="38CD7870"/>
    <w:rsid w:val="38D806EF"/>
    <w:rsid w:val="38E47094"/>
    <w:rsid w:val="38E835B2"/>
    <w:rsid w:val="39064BD6"/>
    <w:rsid w:val="39094D4C"/>
    <w:rsid w:val="390C65EA"/>
    <w:rsid w:val="390F1C37"/>
    <w:rsid w:val="391A0CE7"/>
    <w:rsid w:val="391D4354"/>
    <w:rsid w:val="3922196A"/>
    <w:rsid w:val="39290401"/>
    <w:rsid w:val="393618B9"/>
    <w:rsid w:val="393D0756"/>
    <w:rsid w:val="394A2C6F"/>
    <w:rsid w:val="394D5347"/>
    <w:rsid w:val="39586914"/>
    <w:rsid w:val="395B16E1"/>
    <w:rsid w:val="395F496C"/>
    <w:rsid w:val="39691347"/>
    <w:rsid w:val="397D5450"/>
    <w:rsid w:val="39804AD4"/>
    <w:rsid w:val="39846181"/>
    <w:rsid w:val="399C50DC"/>
    <w:rsid w:val="399F745E"/>
    <w:rsid w:val="39A405D1"/>
    <w:rsid w:val="39A46622"/>
    <w:rsid w:val="39A618CD"/>
    <w:rsid w:val="39B06F76"/>
    <w:rsid w:val="39B527DE"/>
    <w:rsid w:val="39BC0097"/>
    <w:rsid w:val="39D07618"/>
    <w:rsid w:val="39D30EB6"/>
    <w:rsid w:val="39D55A01"/>
    <w:rsid w:val="39E25C88"/>
    <w:rsid w:val="39F22086"/>
    <w:rsid w:val="39F46D6D"/>
    <w:rsid w:val="3A0808C5"/>
    <w:rsid w:val="3A081016"/>
    <w:rsid w:val="3A08176F"/>
    <w:rsid w:val="3A0B2CF9"/>
    <w:rsid w:val="3A1313E9"/>
    <w:rsid w:val="3A156948"/>
    <w:rsid w:val="3A1E124C"/>
    <w:rsid w:val="3A262C4D"/>
    <w:rsid w:val="3A43428E"/>
    <w:rsid w:val="3A5215D7"/>
    <w:rsid w:val="3A535CE8"/>
    <w:rsid w:val="3A5B3385"/>
    <w:rsid w:val="3A5F67E9"/>
    <w:rsid w:val="3A663AD8"/>
    <w:rsid w:val="3A667F7C"/>
    <w:rsid w:val="3A6844E3"/>
    <w:rsid w:val="3A6B16E8"/>
    <w:rsid w:val="3A75112A"/>
    <w:rsid w:val="3A7B3A28"/>
    <w:rsid w:val="3A834537"/>
    <w:rsid w:val="3A900B55"/>
    <w:rsid w:val="3A9952BB"/>
    <w:rsid w:val="3A9D37AC"/>
    <w:rsid w:val="3AB46F3A"/>
    <w:rsid w:val="3ABE1B66"/>
    <w:rsid w:val="3AC21656"/>
    <w:rsid w:val="3ACA5240"/>
    <w:rsid w:val="3AD0485E"/>
    <w:rsid w:val="3AD46C94"/>
    <w:rsid w:val="3AE32D17"/>
    <w:rsid w:val="3AE34D2F"/>
    <w:rsid w:val="3AEF1D20"/>
    <w:rsid w:val="3AF811CC"/>
    <w:rsid w:val="3AFD61EB"/>
    <w:rsid w:val="3B023801"/>
    <w:rsid w:val="3B024F0B"/>
    <w:rsid w:val="3B04426E"/>
    <w:rsid w:val="3B07342C"/>
    <w:rsid w:val="3B0752BB"/>
    <w:rsid w:val="3B196D9D"/>
    <w:rsid w:val="3B1A08AC"/>
    <w:rsid w:val="3B1B0D67"/>
    <w:rsid w:val="3B1D0027"/>
    <w:rsid w:val="3B1F2605"/>
    <w:rsid w:val="3B2F65C0"/>
    <w:rsid w:val="3B35727E"/>
    <w:rsid w:val="3B3616FD"/>
    <w:rsid w:val="3B3F0042"/>
    <w:rsid w:val="3B3F61FF"/>
    <w:rsid w:val="3B467D63"/>
    <w:rsid w:val="3B4E4C98"/>
    <w:rsid w:val="3B5610D1"/>
    <w:rsid w:val="3B692D15"/>
    <w:rsid w:val="3B7010B2"/>
    <w:rsid w:val="3B8561E0"/>
    <w:rsid w:val="3B866FF0"/>
    <w:rsid w:val="3B8E1539"/>
    <w:rsid w:val="3B992AF8"/>
    <w:rsid w:val="3B9C1EA7"/>
    <w:rsid w:val="3B9E5263"/>
    <w:rsid w:val="3BA50AE5"/>
    <w:rsid w:val="3BAD60C9"/>
    <w:rsid w:val="3BB20EFB"/>
    <w:rsid w:val="3BB52F3F"/>
    <w:rsid w:val="3BC046A9"/>
    <w:rsid w:val="3BD20FA1"/>
    <w:rsid w:val="3BE03C86"/>
    <w:rsid w:val="3BF21AC7"/>
    <w:rsid w:val="3BF92411"/>
    <w:rsid w:val="3C0637C5"/>
    <w:rsid w:val="3C096343"/>
    <w:rsid w:val="3C105729"/>
    <w:rsid w:val="3C256AF1"/>
    <w:rsid w:val="3C265C15"/>
    <w:rsid w:val="3C3C1CDF"/>
    <w:rsid w:val="3C3D7460"/>
    <w:rsid w:val="3C4247F2"/>
    <w:rsid w:val="3C4B384D"/>
    <w:rsid w:val="3C522566"/>
    <w:rsid w:val="3C572F9F"/>
    <w:rsid w:val="3C5A58BF"/>
    <w:rsid w:val="3C5B34B7"/>
    <w:rsid w:val="3C5E09DA"/>
    <w:rsid w:val="3C5F6A31"/>
    <w:rsid w:val="3C6727D2"/>
    <w:rsid w:val="3C6866D6"/>
    <w:rsid w:val="3C70144A"/>
    <w:rsid w:val="3C77021F"/>
    <w:rsid w:val="3C834471"/>
    <w:rsid w:val="3C860462"/>
    <w:rsid w:val="3C8D359E"/>
    <w:rsid w:val="3CAB1C76"/>
    <w:rsid w:val="3CAB4D29"/>
    <w:rsid w:val="3CAC611A"/>
    <w:rsid w:val="3CB6212B"/>
    <w:rsid w:val="3CBD6A1B"/>
    <w:rsid w:val="3CD016DD"/>
    <w:rsid w:val="3CD13DD3"/>
    <w:rsid w:val="3CD63197"/>
    <w:rsid w:val="3CD967E3"/>
    <w:rsid w:val="3CE30CFC"/>
    <w:rsid w:val="3CEA279F"/>
    <w:rsid w:val="3CEA6C43"/>
    <w:rsid w:val="3D0C641A"/>
    <w:rsid w:val="3D0E20C9"/>
    <w:rsid w:val="3D131211"/>
    <w:rsid w:val="3D1837B0"/>
    <w:rsid w:val="3D233F03"/>
    <w:rsid w:val="3D344362"/>
    <w:rsid w:val="3D455749"/>
    <w:rsid w:val="3D4F6AA6"/>
    <w:rsid w:val="3D6F7148"/>
    <w:rsid w:val="3D712EC0"/>
    <w:rsid w:val="3D736C38"/>
    <w:rsid w:val="3D826776"/>
    <w:rsid w:val="3D973978"/>
    <w:rsid w:val="3D9D0BFE"/>
    <w:rsid w:val="3DA01938"/>
    <w:rsid w:val="3DA451BA"/>
    <w:rsid w:val="3DB02FBD"/>
    <w:rsid w:val="3DC87FF6"/>
    <w:rsid w:val="3DCC66DC"/>
    <w:rsid w:val="3DCF0F61"/>
    <w:rsid w:val="3DD33817"/>
    <w:rsid w:val="3DD52FFD"/>
    <w:rsid w:val="3DD776F7"/>
    <w:rsid w:val="3DDD2303"/>
    <w:rsid w:val="3DEB55B3"/>
    <w:rsid w:val="3DED6027"/>
    <w:rsid w:val="3DFA1107"/>
    <w:rsid w:val="3DFA611C"/>
    <w:rsid w:val="3DFE06F4"/>
    <w:rsid w:val="3E0109F8"/>
    <w:rsid w:val="3E045AE2"/>
    <w:rsid w:val="3E077380"/>
    <w:rsid w:val="3E0C5804"/>
    <w:rsid w:val="3E163FEE"/>
    <w:rsid w:val="3E1E24A7"/>
    <w:rsid w:val="3E204A00"/>
    <w:rsid w:val="3E2706FB"/>
    <w:rsid w:val="3E3B41B2"/>
    <w:rsid w:val="3E4203B8"/>
    <w:rsid w:val="3E4822BA"/>
    <w:rsid w:val="3E493DC2"/>
    <w:rsid w:val="3E4D3FD8"/>
    <w:rsid w:val="3E506F79"/>
    <w:rsid w:val="3E5636F5"/>
    <w:rsid w:val="3E601943"/>
    <w:rsid w:val="3E614560"/>
    <w:rsid w:val="3E670F9D"/>
    <w:rsid w:val="3E6C161B"/>
    <w:rsid w:val="3E730D7F"/>
    <w:rsid w:val="3E743935"/>
    <w:rsid w:val="3E8310FD"/>
    <w:rsid w:val="3E854E75"/>
    <w:rsid w:val="3E9C718F"/>
    <w:rsid w:val="3E9F580B"/>
    <w:rsid w:val="3EA34660"/>
    <w:rsid w:val="3EAD43CC"/>
    <w:rsid w:val="3EAD7F28"/>
    <w:rsid w:val="3EC11C25"/>
    <w:rsid w:val="3EC60FE9"/>
    <w:rsid w:val="3ED23E32"/>
    <w:rsid w:val="3EE80F60"/>
    <w:rsid w:val="3EE91A20"/>
    <w:rsid w:val="3EEC6CA2"/>
    <w:rsid w:val="3EEF088A"/>
    <w:rsid w:val="3EF47B3D"/>
    <w:rsid w:val="3EF94F1B"/>
    <w:rsid w:val="3F0365C7"/>
    <w:rsid w:val="3F0F0BE2"/>
    <w:rsid w:val="3F1803C8"/>
    <w:rsid w:val="3F220916"/>
    <w:rsid w:val="3F373C95"/>
    <w:rsid w:val="3F561268"/>
    <w:rsid w:val="3F5F0D03"/>
    <w:rsid w:val="3F601A73"/>
    <w:rsid w:val="3F6E3B5B"/>
    <w:rsid w:val="3F724CCD"/>
    <w:rsid w:val="3F8630B0"/>
    <w:rsid w:val="3F9335C1"/>
    <w:rsid w:val="3F9D6C41"/>
    <w:rsid w:val="3FB84DD6"/>
    <w:rsid w:val="3FC45529"/>
    <w:rsid w:val="3FC61A40"/>
    <w:rsid w:val="3FD37E62"/>
    <w:rsid w:val="3FD544E6"/>
    <w:rsid w:val="3FDF3E39"/>
    <w:rsid w:val="3FE169B6"/>
    <w:rsid w:val="3FEE07F8"/>
    <w:rsid w:val="3FFC140D"/>
    <w:rsid w:val="40055B41"/>
    <w:rsid w:val="400B75FC"/>
    <w:rsid w:val="400E59F9"/>
    <w:rsid w:val="400F4510"/>
    <w:rsid w:val="40153FD6"/>
    <w:rsid w:val="4021514C"/>
    <w:rsid w:val="402B4847"/>
    <w:rsid w:val="402F139F"/>
    <w:rsid w:val="404B5C4A"/>
    <w:rsid w:val="405014B2"/>
    <w:rsid w:val="40837C7B"/>
    <w:rsid w:val="408E08DA"/>
    <w:rsid w:val="40923879"/>
    <w:rsid w:val="40BB6124"/>
    <w:rsid w:val="40D02FFE"/>
    <w:rsid w:val="40DB02E1"/>
    <w:rsid w:val="40ED0AAF"/>
    <w:rsid w:val="40F736DC"/>
    <w:rsid w:val="40FB141E"/>
    <w:rsid w:val="40FF4D48"/>
    <w:rsid w:val="4105229D"/>
    <w:rsid w:val="41126768"/>
    <w:rsid w:val="41134F23"/>
    <w:rsid w:val="411A40CF"/>
    <w:rsid w:val="411C3143"/>
    <w:rsid w:val="41377F7D"/>
    <w:rsid w:val="413B5CBF"/>
    <w:rsid w:val="414E1B6D"/>
    <w:rsid w:val="41634231"/>
    <w:rsid w:val="416A3D71"/>
    <w:rsid w:val="416B088F"/>
    <w:rsid w:val="417078E5"/>
    <w:rsid w:val="41856F3A"/>
    <w:rsid w:val="41994793"/>
    <w:rsid w:val="419B5BF7"/>
    <w:rsid w:val="41BB5B1D"/>
    <w:rsid w:val="41C45CB4"/>
    <w:rsid w:val="41CF4659"/>
    <w:rsid w:val="41D40344"/>
    <w:rsid w:val="41DE04EF"/>
    <w:rsid w:val="41E57896"/>
    <w:rsid w:val="41F12885"/>
    <w:rsid w:val="41F36599"/>
    <w:rsid w:val="41F91A2B"/>
    <w:rsid w:val="41FD2F74"/>
    <w:rsid w:val="42177BFE"/>
    <w:rsid w:val="42181B5C"/>
    <w:rsid w:val="421B33FA"/>
    <w:rsid w:val="421D3616"/>
    <w:rsid w:val="42267C08"/>
    <w:rsid w:val="422B07CD"/>
    <w:rsid w:val="4234138D"/>
    <w:rsid w:val="42365F67"/>
    <w:rsid w:val="423774C3"/>
    <w:rsid w:val="423E2E20"/>
    <w:rsid w:val="42415557"/>
    <w:rsid w:val="42492C9C"/>
    <w:rsid w:val="424A34B0"/>
    <w:rsid w:val="42521F95"/>
    <w:rsid w:val="426245F1"/>
    <w:rsid w:val="4267663F"/>
    <w:rsid w:val="426A0E03"/>
    <w:rsid w:val="426D6123"/>
    <w:rsid w:val="42703746"/>
    <w:rsid w:val="427114DC"/>
    <w:rsid w:val="427C5A23"/>
    <w:rsid w:val="42817701"/>
    <w:rsid w:val="42834FCF"/>
    <w:rsid w:val="42870A90"/>
    <w:rsid w:val="4289012F"/>
    <w:rsid w:val="428E3AAD"/>
    <w:rsid w:val="42917A7F"/>
    <w:rsid w:val="42923059"/>
    <w:rsid w:val="42A507A7"/>
    <w:rsid w:val="42AE6A68"/>
    <w:rsid w:val="42B86E9B"/>
    <w:rsid w:val="42C459E2"/>
    <w:rsid w:val="42D263AC"/>
    <w:rsid w:val="42D737C5"/>
    <w:rsid w:val="42D77C69"/>
    <w:rsid w:val="42F36125"/>
    <w:rsid w:val="43044103"/>
    <w:rsid w:val="4313237B"/>
    <w:rsid w:val="43140575"/>
    <w:rsid w:val="431B0487"/>
    <w:rsid w:val="431C742A"/>
    <w:rsid w:val="432033BE"/>
    <w:rsid w:val="432A5D9F"/>
    <w:rsid w:val="433704DE"/>
    <w:rsid w:val="43394075"/>
    <w:rsid w:val="433D0B92"/>
    <w:rsid w:val="434F69ED"/>
    <w:rsid w:val="43505326"/>
    <w:rsid w:val="435766B4"/>
    <w:rsid w:val="43584C99"/>
    <w:rsid w:val="435F5AD1"/>
    <w:rsid w:val="436B215F"/>
    <w:rsid w:val="436C336A"/>
    <w:rsid w:val="436D5ED7"/>
    <w:rsid w:val="437A4C70"/>
    <w:rsid w:val="438A5246"/>
    <w:rsid w:val="43AD2778"/>
    <w:rsid w:val="43B835F7"/>
    <w:rsid w:val="43CF28BC"/>
    <w:rsid w:val="43D23F8D"/>
    <w:rsid w:val="43D815DD"/>
    <w:rsid w:val="43D84B60"/>
    <w:rsid w:val="43DF71C6"/>
    <w:rsid w:val="43E268C5"/>
    <w:rsid w:val="43E528FB"/>
    <w:rsid w:val="43EA520C"/>
    <w:rsid w:val="43F65A46"/>
    <w:rsid w:val="43FC55F1"/>
    <w:rsid w:val="44062F6B"/>
    <w:rsid w:val="441219F8"/>
    <w:rsid w:val="44136A7F"/>
    <w:rsid w:val="441F577B"/>
    <w:rsid w:val="44225DA7"/>
    <w:rsid w:val="442671C8"/>
    <w:rsid w:val="44290050"/>
    <w:rsid w:val="442B1CB9"/>
    <w:rsid w:val="44344982"/>
    <w:rsid w:val="44376E65"/>
    <w:rsid w:val="44557097"/>
    <w:rsid w:val="44674861"/>
    <w:rsid w:val="44897F08"/>
    <w:rsid w:val="4491572C"/>
    <w:rsid w:val="449F6565"/>
    <w:rsid w:val="44A46D96"/>
    <w:rsid w:val="44AA135B"/>
    <w:rsid w:val="44B55D88"/>
    <w:rsid w:val="44BE6249"/>
    <w:rsid w:val="44C958CE"/>
    <w:rsid w:val="44D34460"/>
    <w:rsid w:val="44D75CFE"/>
    <w:rsid w:val="44DF2C9A"/>
    <w:rsid w:val="44E0071B"/>
    <w:rsid w:val="44F854AA"/>
    <w:rsid w:val="44F87A23"/>
    <w:rsid w:val="45015418"/>
    <w:rsid w:val="45085EB8"/>
    <w:rsid w:val="45097E82"/>
    <w:rsid w:val="450A60D4"/>
    <w:rsid w:val="450B1E4C"/>
    <w:rsid w:val="450B4C3A"/>
    <w:rsid w:val="450D7972"/>
    <w:rsid w:val="451F26F1"/>
    <w:rsid w:val="4521341D"/>
    <w:rsid w:val="452E0FC6"/>
    <w:rsid w:val="453A628D"/>
    <w:rsid w:val="454D5FC1"/>
    <w:rsid w:val="45576E3F"/>
    <w:rsid w:val="45684BA8"/>
    <w:rsid w:val="456C596F"/>
    <w:rsid w:val="45772895"/>
    <w:rsid w:val="45801494"/>
    <w:rsid w:val="459C5503"/>
    <w:rsid w:val="45A06797"/>
    <w:rsid w:val="45A713FD"/>
    <w:rsid w:val="45AD2F03"/>
    <w:rsid w:val="45B222C8"/>
    <w:rsid w:val="45B80B6A"/>
    <w:rsid w:val="45BA4303"/>
    <w:rsid w:val="45CF2E79"/>
    <w:rsid w:val="45D71050"/>
    <w:rsid w:val="45E52BA0"/>
    <w:rsid w:val="45EB289C"/>
    <w:rsid w:val="45F145F1"/>
    <w:rsid w:val="45F3102E"/>
    <w:rsid w:val="46095A4C"/>
    <w:rsid w:val="46115240"/>
    <w:rsid w:val="463F1DAD"/>
    <w:rsid w:val="46420831"/>
    <w:rsid w:val="4654512D"/>
    <w:rsid w:val="465E2BBD"/>
    <w:rsid w:val="4662784A"/>
    <w:rsid w:val="466C06C8"/>
    <w:rsid w:val="4677696F"/>
    <w:rsid w:val="467D516A"/>
    <w:rsid w:val="468331B6"/>
    <w:rsid w:val="468E4AE3"/>
    <w:rsid w:val="46902048"/>
    <w:rsid w:val="46963997"/>
    <w:rsid w:val="469A6FE4"/>
    <w:rsid w:val="46A77952"/>
    <w:rsid w:val="46AA452D"/>
    <w:rsid w:val="46B207D1"/>
    <w:rsid w:val="46D06EA9"/>
    <w:rsid w:val="46D97270"/>
    <w:rsid w:val="46DA6E91"/>
    <w:rsid w:val="47064679"/>
    <w:rsid w:val="47095F17"/>
    <w:rsid w:val="47241EE6"/>
    <w:rsid w:val="47246A79"/>
    <w:rsid w:val="472B3393"/>
    <w:rsid w:val="472D336E"/>
    <w:rsid w:val="473A67BC"/>
    <w:rsid w:val="473B751F"/>
    <w:rsid w:val="473C62ED"/>
    <w:rsid w:val="4740313F"/>
    <w:rsid w:val="474A246F"/>
    <w:rsid w:val="474E7DCE"/>
    <w:rsid w:val="47514BAE"/>
    <w:rsid w:val="4754480D"/>
    <w:rsid w:val="475F3D89"/>
    <w:rsid w:val="47633879"/>
    <w:rsid w:val="476D2268"/>
    <w:rsid w:val="476F4CAD"/>
    <w:rsid w:val="477C3392"/>
    <w:rsid w:val="478D7F75"/>
    <w:rsid w:val="47A1053F"/>
    <w:rsid w:val="47A53945"/>
    <w:rsid w:val="47AD0DCF"/>
    <w:rsid w:val="47B50951"/>
    <w:rsid w:val="47C36A0E"/>
    <w:rsid w:val="47C63E08"/>
    <w:rsid w:val="47D71C0C"/>
    <w:rsid w:val="47DF0FED"/>
    <w:rsid w:val="47EB386F"/>
    <w:rsid w:val="47EC042F"/>
    <w:rsid w:val="47EF6F11"/>
    <w:rsid w:val="47F16027"/>
    <w:rsid w:val="47F210A1"/>
    <w:rsid w:val="47F6064A"/>
    <w:rsid w:val="47F8383C"/>
    <w:rsid w:val="47FC782A"/>
    <w:rsid w:val="480908C5"/>
    <w:rsid w:val="480B6323"/>
    <w:rsid w:val="48195416"/>
    <w:rsid w:val="481C49F5"/>
    <w:rsid w:val="481E59F2"/>
    <w:rsid w:val="4828061F"/>
    <w:rsid w:val="482D3E87"/>
    <w:rsid w:val="48345216"/>
    <w:rsid w:val="483861EC"/>
    <w:rsid w:val="483B59A8"/>
    <w:rsid w:val="483C5127"/>
    <w:rsid w:val="484A6F23"/>
    <w:rsid w:val="484C53BE"/>
    <w:rsid w:val="484D62D8"/>
    <w:rsid w:val="485D0FF3"/>
    <w:rsid w:val="485F3534"/>
    <w:rsid w:val="48646CC4"/>
    <w:rsid w:val="48677399"/>
    <w:rsid w:val="486A6E89"/>
    <w:rsid w:val="48714F9B"/>
    <w:rsid w:val="487B1097"/>
    <w:rsid w:val="487D17B2"/>
    <w:rsid w:val="487E65AC"/>
    <w:rsid w:val="48873C0C"/>
    <w:rsid w:val="48934632"/>
    <w:rsid w:val="489772F0"/>
    <w:rsid w:val="489807FE"/>
    <w:rsid w:val="489B644E"/>
    <w:rsid w:val="489F2FD7"/>
    <w:rsid w:val="48BD1CA8"/>
    <w:rsid w:val="48DB11B2"/>
    <w:rsid w:val="48E3171C"/>
    <w:rsid w:val="48E40A1B"/>
    <w:rsid w:val="48E62B6C"/>
    <w:rsid w:val="48E649AE"/>
    <w:rsid w:val="48EE7ABB"/>
    <w:rsid w:val="48F055E1"/>
    <w:rsid w:val="48F2260D"/>
    <w:rsid w:val="490E5A67"/>
    <w:rsid w:val="4910762D"/>
    <w:rsid w:val="492601CA"/>
    <w:rsid w:val="49320DB8"/>
    <w:rsid w:val="49354808"/>
    <w:rsid w:val="494770EC"/>
    <w:rsid w:val="495042D1"/>
    <w:rsid w:val="49575FF0"/>
    <w:rsid w:val="495851E9"/>
    <w:rsid w:val="495A7761"/>
    <w:rsid w:val="496A6DF5"/>
    <w:rsid w:val="497D0831"/>
    <w:rsid w:val="498118A6"/>
    <w:rsid w:val="49816239"/>
    <w:rsid w:val="49852879"/>
    <w:rsid w:val="49896D28"/>
    <w:rsid w:val="498D5180"/>
    <w:rsid w:val="49902920"/>
    <w:rsid w:val="49971F00"/>
    <w:rsid w:val="4999690A"/>
    <w:rsid w:val="499A10EF"/>
    <w:rsid w:val="49AF2386"/>
    <w:rsid w:val="49D22F38"/>
    <w:rsid w:val="49E42E32"/>
    <w:rsid w:val="49EF3AEA"/>
    <w:rsid w:val="49F509D5"/>
    <w:rsid w:val="4A081EFA"/>
    <w:rsid w:val="4A0E636B"/>
    <w:rsid w:val="4A192ACE"/>
    <w:rsid w:val="4A1B48DF"/>
    <w:rsid w:val="4A201EF6"/>
    <w:rsid w:val="4A243EC7"/>
    <w:rsid w:val="4A2C28C8"/>
    <w:rsid w:val="4A2F3EE7"/>
    <w:rsid w:val="4A4C72AA"/>
    <w:rsid w:val="4A5C5CE8"/>
    <w:rsid w:val="4A61284F"/>
    <w:rsid w:val="4A631DE2"/>
    <w:rsid w:val="4A8173A9"/>
    <w:rsid w:val="4A871F75"/>
    <w:rsid w:val="4A8E3303"/>
    <w:rsid w:val="4A941E17"/>
    <w:rsid w:val="4ACA1E61"/>
    <w:rsid w:val="4AD134FA"/>
    <w:rsid w:val="4AD4401C"/>
    <w:rsid w:val="4AD8632C"/>
    <w:rsid w:val="4ADB406F"/>
    <w:rsid w:val="4AE40AB2"/>
    <w:rsid w:val="4AEB2504"/>
    <w:rsid w:val="4AF13892"/>
    <w:rsid w:val="4B006D13"/>
    <w:rsid w:val="4B0A7451"/>
    <w:rsid w:val="4B12573E"/>
    <w:rsid w:val="4B143967"/>
    <w:rsid w:val="4B1D6F30"/>
    <w:rsid w:val="4B217CD3"/>
    <w:rsid w:val="4B35377F"/>
    <w:rsid w:val="4B3E713C"/>
    <w:rsid w:val="4B517221"/>
    <w:rsid w:val="4B5217BF"/>
    <w:rsid w:val="4B5D1A93"/>
    <w:rsid w:val="4B5D2E6D"/>
    <w:rsid w:val="4B60512F"/>
    <w:rsid w:val="4B6A45F5"/>
    <w:rsid w:val="4B6E0A3F"/>
    <w:rsid w:val="4B71239F"/>
    <w:rsid w:val="4B726C8C"/>
    <w:rsid w:val="4B75360D"/>
    <w:rsid w:val="4B797B0F"/>
    <w:rsid w:val="4B893ACB"/>
    <w:rsid w:val="4B995EC1"/>
    <w:rsid w:val="4B9F639D"/>
    <w:rsid w:val="4BA64B4B"/>
    <w:rsid w:val="4BAD53BF"/>
    <w:rsid w:val="4BB167B4"/>
    <w:rsid w:val="4BB52334"/>
    <w:rsid w:val="4BBF755A"/>
    <w:rsid w:val="4BC66ACD"/>
    <w:rsid w:val="4BC87F01"/>
    <w:rsid w:val="4BD32786"/>
    <w:rsid w:val="4BDA0271"/>
    <w:rsid w:val="4BE40D01"/>
    <w:rsid w:val="4BE62047"/>
    <w:rsid w:val="4BED5E07"/>
    <w:rsid w:val="4BF2602B"/>
    <w:rsid w:val="4BFA506D"/>
    <w:rsid w:val="4BFF5B3B"/>
    <w:rsid w:val="4C0373D9"/>
    <w:rsid w:val="4C061C77"/>
    <w:rsid w:val="4C0C0625"/>
    <w:rsid w:val="4C123AC0"/>
    <w:rsid w:val="4C1415E6"/>
    <w:rsid w:val="4C1621E1"/>
    <w:rsid w:val="4C2537F3"/>
    <w:rsid w:val="4C352402"/>
    <w:rsid w:val="4C373527"/>
    <w:rsid w:val="4C4C6FD2"/>
    <w:rsid w:val="4C59775A"/>
    <w:rsid w:val="4C5D389F"/>
    <w:rsid w:val="4C602A7D"/>
    <w:rsid w:val="4C612DC3"/>
    <w:rsid w:val="4C63273B"/>
    <w:rsid w:val="4C753E98"/>
    <w:rsid w:val="4C767332"/>
    <w:rsid w:val="4C8F5A79"/>
    <w:rsid w:val="4C94563B"/>
    <w:rsid w:val="4C983248"/>
    <w:rsid w:val="4C9B1D07"/>
    <w:rsid w:val="4CA24E44"/>
    <w:rsid w:val="4CB84D79"/>
    <w:rsid w:val="4CBA258C"/>
    <w:rsid w:val="4CBA7A74"/>
    <w:rsid w:val="4CC32763"/>
    <w:rsid w:val="4CC823D1"/>
    <w:rsid w:val="4CD314A1"/>
    <w:rsid w:val="4CD4551D"/>
    <w:rsid w:val="4CD50BB3"/>
    <w:rsid w:val="4CE0596C"/>
    <w:rsid w:val="4CE27B91"/>
    <w:rsid w:val="4CF12E00"/>
    <w:rsid w:val="4CFF067F"/>
    <w:rsid w:val="4D193ED6"/>
    <w:rsid w:val="4D1E3D56"/>
    <w:rsid w:val="4D1F603C"/>
    <w:rsid w:val="4D2C698A"/>
    <w:rsid w:val="4D3006A2"/>
    <w:rsid w:val="4D3D2DBF"/>
    <w:rsid w:val="4D4545BE"/>
    <w:rsid w:val="4D4C652D"/>
    <w:rsid w:val="4D5700C8"/>
    <w:rsid w:val="4D616AAD"/>
    <w:rsid w:val="4D664D3B"/>
    <w:rsid w:val="4D673998"/>
    <w:rsid w:val="4D74733E"/>
    <w:rsid w:val="4D7F0BFD"/>
    <w:rsid w:val="4D8057DD"/>
    <w:rsid w:val="4D8B3B2A"/>
    <w:rsid w:val="4D8B405A"/>
    <w:rsid w:val="4D8E361A"/>
    <w:rsid w:val="4D924EB8"/>
    <w:rsid w:val="4DA737D8"/>
    <w:rsid w:val="4DA86541"/>
    <w:rsid w:val="4DA92202"/>
    <w:rsid w:val="4DAD28CA"/>
    <w:rsid w:val="4DAE7818"/>
    <w:rsid w:val="4DBC1F35"/>
    <w:rsid w:val="4DC81654"/>
    <w:rsid w:val="4DE6376B"/>
    <w:rsid w:val="4DEA5B15"/>
    <w:rsid w:val="4DEF230B"/>
    <w:rsid w:val="4DF44835"/>
    <w:rsid w:val="4DF53699"/>
    <w:rsid w:val="4DF7391F"/>
    <w:rsid w:val="4E0337FE"/>
    <w:rsid w:val="4E10612E"/>
    <w:rsid w:val="4E140A69"/>
    <w:rsid w:val="4E151645"/>
    <w:rsid w:val="4E1E499E"/>
    <w:rsid w:val="4E2374AB"/>
    <w:rsid w:val="4E262B85"/>
    <w:rsid w:val="4E2B62C1"/>
    <w:rsid w:val="4E2C0D76"/>
    <w:rsid w:val="4E3046D1"/>
    <w:rsid w:val="4E395334"/>
    <w:rsid w:val="4E3C3076"/>
    <w:rsid w:val="4E3E0B9C"/>
    <w:rsid w:val="4E451F2B"/>
    <w:rsid w:val="4E6600F3"/>
    <w:rsid w:val="4E760336"/>
    <w:rsid w:val="4E771829"/>
    <w:rsid w:val="4E7740AE"/>
    <w:rsid w:val="4E7C6A13"/>
    <w:rsid w:val="4E7F40B7"/>
    <w:rsid w:val="4E802F63"/>
    <w:rsid w:val="4E834801"/>
    <w:rsid w:val="4E850579"/>
    <w:rsid w:val="4E9F7009"/>
    <w:rsid w:val="4EA65F89"/>
    <w:rsid w:val="4EAF077C"/>
    <w:rsid w:val="4EB70E3E"/>
    <w:rsid w:val="4EBE1CDD"/>
    <w:rsid w:val="4EBE7F2F"/>
    <w:rsid w:val="4EC24CB8"/>
    <w:rsid w:val="4ED015FC"/>
    <w:rsid w:val="4ED573B9"/>
    <w:rsid w:val="4EEC684A"/>
    <w:rsid w:val="4EEE25C2"/>
    <w:rsid w:val="4EEE6F4F"/>
    <w:rsid w:val="4EF0595D"/>
    <w:rsid w:val="4EF94AC3"/>
    <w:rsid w:val="4F053468"/>
    <w:rsid w:val="4F093D4B"/>
    <w:rsid w:val="4F10078B"/>
    <w:rsid w:val="4F1638C7"/>
    <w:rsid w:val="4F314719"/>
    <w:rsid w:val="4F3258DF"/>
    <w:rsid w:val="4F396F7C"/>
    <w:rsid w:val="4F3B332E"/>
    <w:rsid w:val="4F3F6884"/>
    <w:rsid w:val="4F533E4B"/>
    <w:rsid w:val="4F57124F"/>
    <w:rsid w:val="4F5F0A3F"/>
    <w:rsid w:val="4F6665FD"/>
    <w:rsid w:val="4F6B272A"/>
    <w:rsid w:val="4F6D27B1"/>
    <w:rsid w:val="4F732AC8"/>
    <w:rsid w:val="4F7C115C"/>
    <w:rsid w:val="4F7D348C"/>
    <w:rsid w:val="4F7F51A7"/>
    <w:rsid w:val="4F9C7EC6"/>
    <w:rsid w:val="4FA42C81"/>
    <w:rsid w:val="4FAA4EE6"/>
    <w:rsid w:val="4FAE3B00"/>
    <w:rsid w:val="4FBA6948"/>
    <w:rsid w:val="4FC21359"/>
    <w:rsid w:val="4FC32DF7"/>
    <w:rsid w:val="4FD20B4A"/>
    <w:rsid w:val="4FD41CE9"/>
    <w:rsid w:val="4FD80505"/>
    <w:rsid w:val="4FD95020"/>
    <w:rsid w:val="4FE52FDF"/>
    <w:rsid w:val="4FF46A7D"/>
    <w:rsid w:val="50305A6C"/>
    <w:rsid w:val="50326C26"/>
    <w:rsid w:val="50346555"/>
    <w:rsid w:val="503B2116"/>
    <w:rsid w:val="503C1161"/>
    <w:rsid w:val="50501E08"/>
    <w:rsid w:val="50506965"/>
    <w:rsid w:val="50553883"/>
    <w:rsid w:val="50591CBD"/>
    <w:rsid w:val="505C17AE"/>
    <w:rsid w:val="506643DA"/>
    <w:rsid w:val="50666188"/>
    <w:rsid w:val="506737F2"/>
    <w:rsid w:val="50681E96"/>
    <w:rsid w:val="506B7C43"/>
    <w:rsid w:val="50715B8A"/>
    <w:rsid w:val="50854DD4"/>
    <w:rsid w:val="508F1B83"/>
    <w:rsid w:val="50937573"/>
    <w:rsid w:val="50946DC2"/>
    <w:rsid w:val="50966A6E"/>
    <w:rsid w:val="5097353C"/>
    <w:rsid w:val="509B4084"/>
    <w:rsid w:val="509C4E6C"/>
    <w:rsid w:val="50A3118B"/>
    <w:rsid w:val="50AE0678"/>
    <w:rsid w:val="50B03D7C"/>
    <w:rsid w:val="50B23A39"/>
    <w:rsid w:val="50CA3508"/>
    <w:rsid w:val="50CA4969"/>
    <w:rsid w:val="50CE6FD2"/>
    <w:rsid w:val="50D5061B"/>
    <w:rsid w:val="50EB2841"/>
    <w:rsid w:val="50ED14DC"/>
    <w:rsid w:val="50F33EC0"/>
    <w:rsid w:val="510C31D4"/>
    <w:rsid w:val="51123E4F"/>
    <w:rsid w:val="5116195C"/>
    <w:rsid w:val="511D40E7"/>
    <w:rsid w:val="511F2F07"/>
    <w:rsid w:val="512A07CE"/>
    <w:rsid w:val="512B50A2"/>
    <w:rsid w:val="51305DFD"/>
    <w:rsid w:val="51360251"/>
    <w:rsid w:val="51366528"/>
    <w:rsid w:val="513E4021"/>
    <w:rsid w:val="51542485"/>
    <w:rsid w:val="516C3C72"/>
    <w:rsid w:val="516E3547"/>
    <w:rsid w:val="51805B51"/>
    <w:rsid w:val="51823496"/>
    <w:rsid w:val="51856AE2"/>
    <w:rsid w:val="51A200D0"/>
    <w:rsid w:val="51A528A0"/>
    <w:rsid w:val="51AA02F7"/>
    <w:rsid w:val="51AC5C98"/>
    <w:rsid w:val="51AE7DE7"/>
    <w:rsid w:val="51B95814"/>
    <w:rsid w:val="51C575AF"/>
    <w:rsid w:val="51C8534D"/>
    <w:rsid w:val="51CC4980"/>
    <w:rsid w:val="51D92CB9"/>
    <w:rsid w:val="51EB63C3"/>
    <w:rsid w:val="51EE28D9"/>
    <w:rsid w:val="51EF7344"/>
    <w:rsid w:val="51F15F26"/>
    <w:rsid w:val="51F36142"/>
    <w:rsid w:val="51F779E0"/>
    <w:rsid w:val="51FD48CA"/>
    <w:rsid w:val="520338D8"/>
    <w:rsid w:val="520420FD"/>
    <w:rsid w:val="520B5239"/>
    <w:rsid w:val="5212481A"/>
    <w:rsid w:val="521C4BBD"/>
    <w:rsid w:val="522037C5"/>
    <w:rsid w:val="522307D5"/>
    <w:rsid w:val="522E5D3A"/>
    <w:rsid w:val="523B3F32"/>
    <w:rsid w:val="52434EB9"/>
    <w:rsid w:val="5247070E"/>
    <w:rsid w:val="52552541"/>
    <w:rsid w:val="52552958"/>
    <w:rsid w:val="525C788D"/>
    <w:rsid w:val="526306E9"/>
    <w:rsid w:val="52635D60"/>
    <w:rsid w:val="52696AED"/>
    <w:rsid w:val="52742DDF"/>
    <w:rsid w:val="52831274"/>
    <w:rsid w:val="528F5286"/>
    <w:rsid w:val="52990BE9"/>
    <w:rsid w:val="52A82A88"/>
    <w:rsid w:val="52B02227"/>
    <w:rsid w:val="52CD0741"/>
    <w:rsid w:val="52CD5925"/>
    <w:rsid w:val="52D7336D"/>
    <w:rsid w:val="530F37B2"/>
    <w:rsid w:val="53126132"/>
    <w:rsid w:val="531367DE"/>
    <w:rsid w:val="531D7670"/>
    <w:rsid w:val="533B173C"/>
    <w:rsid w:val="533E0D5C"/>
    <w:rsid w:val="53417F80"/>
    <w:rsid w:val="534A3B3F"/>
    <w:rsid w:val="535D7D17"/>
    <w:rsid w:val="53605111"/>
    <w:rsid w:val="53620EBE"/>
    <w:rsid w:val="53695B54"/>
    <w:rsid w:val="536D782E"/>
    <w:rsid w:val="53733096"/>
    <w:rsid w:val="53887C35"/>
    <w:rsid w:val="53894F6C"/>
    <w:rsid w:val="538C4158"/>
    <w:rsid w:val="539C2D37"/>
    <w:rsid w:val="53A771E4"/>
    <w:rsid w:val="53A95E5E"/>
    <w:rsid w:val="53AE2320"/>
    <w:rsid w:val="53B06098"/>
    <w:rsid w:val="53B10062"/>
    <w:rsid w:val="53BB67EB"/>
    <w:rsid w:val="53C421A6"/>
    <w:rsid w:val="53C438F2"/>
    <w:rsid w:val="53CC6C4A"/>
    <w:rsid w:val="53D37FD9"/>
    <w:rsid w:val="53E30BC0"/>
    <w:rsid w:val="53ED2A94"/>
    <w:rsid w:val="53F73CC7"/>
    <w:rsid w:val="53F817ED"/>
    <w:rsid w:val="5409320B"/>
    <w:rsid w:val="54145A91"/>
    <w:rsid w:val="541F321E"/>
    <w:rsid w:val="54210D44"/>
    <w:rsid w:val="544834FC"/>
    <w:rsid w:val="5449029B"/>
    <w:rsid w:val="544D591B"/>
    <w:rsid w:val="544E58B1"/>
    <w:rsid w:val="5453288A"/>
    <w:rsid w:val="54642849"/>
    <w:rsid w:val="546C3A0C"/>
    <w:rsid w:val="546E5AC1"/>
    <w:rsid w:val="54701995"/>
    <w:rsid w:val="54825801"/>
    <w:rsid w:val="54831787"/>
    <w:rsid w:val="548553F0"/>
    <w:rsid w:val="548E5CAE"/>
    <w:rsid w:val="54992FD0"/>
    <w:rsid w:val="549D01D5"/>
    <w:rsid w:val="549D2B88"/>
    <w:rsid w:val="54A11E85"/>
    <w:rsid w:val="54AC4E44"/>
    <w:rsid w:val="54B17356"/>
    <w:rsid w:val="54BA6AA3"/>
    <w:rsid w:val="54BF0D1B"/>
    <w:rsid w:val="54C16083"/>
    <w:rsid w:val="54C75945"/>
    <w:rsid w:val="54CE480A"/>
    <w:rsid w:val="54CF6529"/>
    <w:rsid w:val="54D1276A"/>
    <w:rsid w:val="54D23DEC"/>
    <w:rsid w:val="54E5197C"/>
    <w:rsid w:val="54FF2C49"/>
    <w:rsid w:val="55085A60"/>
    <w:rsid w:val="550B5550"/>
    <w:rsid w:val="5515048D"/>
    <w:rsid w:val="551663CF"/>
    <w:rsid w:val="55176D6D"/>
    <w:rsid w:val="55200BD7"/>
    <w:rsid w:val="55234417"/>
    <w:rsid w:val="552A1E7A"/>
    <w:rsid w:val="5531145B"/>
    <w:rsid w:val="553B7BE4"/>
    <w:rsid w:val="553C49F7"/>
    <w:rsid w:val="55400D0F"/>
    <w:rsid w:val="55456CB4"/>
    <w:rsid w:val="55746A8E"/>
    <w:rsid w:val="557B04A7"/>
    <w:rsid w:val="557D644E"/>
    <w:rsid w:val="558167B1"/>
    <w:rsid w:val="558700E6"/>
    <w:rsid w:val="558E2409"/>
    <w:rsid w:val="55902E4B"/>
    <w:rsid w:val="55935C72"/>
    <w:rsid w:val="55974A50"/>
    <w:rsid w:val="559F7C8A"/>
    <w:rsid w:val="55AE6607"/>
    <w:rsid w:val="55CA0CDC"/>
    <w:rsid w:val="55CC4CE0"/>
    <w:rsid w:val="55D24836"/>
    <w:rsid w:val="55E311B9"/>
    <w:rsid w:val="55E71B19"/>
    <w:rsid w:val="55EF10B1"/>
    <w:rsid w:val="55F61D5C"/>
    <w:rsid w:val="55F93F3C"/>
    <w:rsid w:val="56044479"/>
    <w:rsid w:val="56124994"/>
    <w:rsid w:val="561439D5"/>
    <w:rsid w:val="561C1EA0"/>
    <w:rsid w:val="561F3061"/>
    <w:rsid w:val="56226FF5"/>
    <w:rsid w:val="5623022D"/>
    <w:rsid w:val="562B5EAA"/>
    <w:rsid w:val="56312D95"/>
    <w:rsid w:val="56344AF0"/>
    <w:rsid w:val="565C15FA"/>
    <w:rsid w:val="566233FF"/>
    <w:rsid w:val="5667626A"/>
    <w:rsid w:val="566D67EB"/>
    <w:rsid w:val="567A4851"/>
    <w:rsid w:val="567B780A"/>
    <w:rsid w:val="567C4958"/>
    <w:rsid w:val="568455BA"/>
    <w:rsid w:val="568B2322"/>
    <w:rsid w:val="569A3F08"/>
    <w:rsid w:val="569C6DA8"/>
    <w:rsid w:val="56A25A40"/>
    <w:rsid w:val="56A7547E"/>
    <w:rsid w:val="56A950C0"/>
    <w:rsid w:val="56B866E7"/>
    <w:rsid w:val="56BD48C7"/>
    <w:rsid w:val="56C43B9A"/>
    <w:rsid w:val="56C836F9"/>
    <w:rsid w:val="56E85B49"/>
    <w:rsid w:val="56E97B5B"/>
    <w:rsid w:val="570748B7"/>
    <w:rsid w:val="570A0F13"/>
    <w:rsid w:val="572B1EDA"/>
    <w:rsid w:val="572C012C"/>
    <w:rsid w:val="572C2443"/>
    <w:rsid w:val="572C4F00"/>
    <w:rsid w:val="57315C98"/>
    <w:rsid w:val="5737262D"/>
    <w:rsid w:val="574249AC"/>
    <w:rsid w:val="574B7235"/>
    <w:rsid w:val="574D74B3"/>
    <w:rsid w:val="57523381"/>
    <w:rsid w:val="57630B4C"/>
    <w:rsid w:val="577B3125"/>
    <w:rsid w:val="57850F55"/>
    <w:rsid w:val="57A439FC"/>
    <w:rsid w:val="57AA3916"/>
    <w:rsid w:val="57B83763"/>
    <w:rsid w:val="57C33019"/>
    <w:rsid w:val="57C974C9"/>
    <w:rsid w:val="57CB1AC4"/>
    <w:rsid w:val="57D52571"/>
    <w:rsid w:val="57D936E4"/>
    <w:rsid w:val="57DB113B"/>
    <w:rsid w:val="57DB28FB"/>
    <w:rsid w:val="5814471C"/>
    <w:rsid w:val="582C415B"/>
    <w:rsid w:val="58433163"/>
    <w:rsid w:val="58466FCB"/>
    <w:rsid w:val="584D343E"/>
    <w:rsid w:val="58626FCF"/>
    <w:rsid w:val="586B07E0"/>
    <w:rsid w:val="586B6A32"/>
    <w:rsid w:val="58701FCB"/>
    <w:rsid w:val="5873180F"/>
    <w:rsid w:val="588A580E"/>
    <w:rsid w:val="588B2B5D"/>
    <w:rsid w:val="589268FC"/>
    <w:rsid w:val="58BA31BA"/>
    <w:rsid w:val="58C03568"/>
    <w:rsid w:val="58D72319"/>
    <w:rsid w:val="58EE3AE1"/>
    <w:rsid w:val="58F702C5"/>
    <w:rsid w:val="59034EBC"/>
    <w:rsid w:val="59151B75"/>
    <w:rsid w:val="591C5F7E"/>
    <w:rsid w:val="592F3F03"/>
    <w:rsid w:val="593343FF"/>
    <w:rsid w:val="59367040"/>
    <w:rsid w:val="59397C10"/>
    <w:rsid w:val="59527BF2"/>
    <w:rsid w:val="59686B4C"/>
    <w:rsid w:val="596E38D3"/>
    <w:rsid w:val="59771406"/>
    <w:rsid w:val="597B0EF6"/>
    <w:rsid w:val="59806267"/>
    <w:rsid w:val="59914BC8"/>
    <w:rsid w:val="599A3CBE"/>
    <w:rsid w:val="599B64F4"/>
    <w:rsid w:val="59BC0163"/>
    <w:rsid w:val="59D13ABB"/>
    <w:rsid w:val="59D979CB"/>
    <w:rsid w:val="59E06FAB"/>
    <w:rsid w:val="59E44A57"/>
    <w:rsid w:val="59EC5008"/>
    <w:rsid w:val="59F004D4"/>
    <w:rsid w:val="59F15AC9"/>
    <w:rsid w:val="59FB2037"/>
    <w:rsid w:val="59FF5D6D"/>
    <w:rsid w:val="5A0966E9"/>
    <w:rsid w:val="5A0D0F2A"/>
    <w:rsid w:val="5A0E58C7"/>
    <w:rsid w:val="5A181C21"/>
    <w:rsid w:val="5A4B7536"/>
    <w:rsid w:val="5A4E2167"/>
    <w:rsid w:val="5A5359CF"/>
    <w:rsid w:val="5A56726E"/>
    <w:rsid w:val="5A571BE9"/>
    <w:rsid w:val="5A5917FB"/>
    <w:rsid w:val="5A5F4374"/>
    <w:rsid w:val="5A743FEE"/>
    <w:rsid w:val="5A81078E"/>
    <w:rsid w:val="5A865DA5"/>
    <w:rsid w:val="5A8E6DB3"/>
    <w:rsid w:val="5A986342"/>
    <w:rsid w:val="5AA8066B"/>
    <w:rsid w:val="5AB6202D"/>
    <w:rsid w:val="5ABF4E13"/>
    <w:rsid w:val="5AC468CD"/>
    <w:rsid w:val="5ACF620B"/>
    <w:rsid w:val="5AD36E31"/>
    <w:rsid w:val="5AD703AE"/>
    <w:rsid w:val="5AEA3722"/>
    <w:rsid w:val="5AEA3CD9"/>
    <w:rsid w:val="5AEE6358"/>
    <w:rsid w:val="5AEE7138"/>
    <w:rsid w:val="5AFA67D1"/>
    <w:rsid w:val="5AFE32A0"/>
    <w:rsid w:val="5B04316E"/>
    <w:rsid w:val="5B0968EE"/>
    <w:rsid w:val="5B0F4685"/>
    <w:rsid w:val="5B150ED7"/>
    <w:rsid w:val="5B286E5C"/>
    <w:rsid w:val="5B3550D5"/>
    <w:rsid w:val="5B363095"/>
    <w:rsid w:val="5B3C2907"/>
    <w:rsid w:val="5B4812AC"/>
    <w:rsid w:val="5B4922C9"/>
    <w:rsid w:val="5B6854AA"/>
    <w:rsid w:val="5B6A1223"/>
    <w:rsid w:val="5B6D2AC1"/>
    <w:rsid w:val="5B751975"/>
    <w:rsid w:val="5B765E19"/>
    <w:rsid w:val="5B7A6F8C"/>
    <w:rsid w:val="5B7C4AB2"/>
    <w:rsid w:val="5B811EE9"/>
    <w:rsid w:val="5B8B64E7"/>
    <w:rsid w:val="5BA05EEC"/>
    <w:rsid w:val="5BA069F2"/>
    <w:rsid w:val="5BA54009"/>
    <w:rsid w:val="5BD46EBF"/>
    <w:rsid w:val="5BDE576D"/>
    <w:rsid w:val="5BE30063"/>
    <w:rsid w:val="5BF02794"/>
    <w:rsid w:val="5BF449E8"/>
    <w:rsid w:val="5BFD2097"/>
    <w:rsid w:val="5C0056E3"/>
    <w:rsid w:val="5C050F4B"/>
    <w:rsid w:val="5C076A71"/>
    <w:rsid w:val="5C0E6052"/>
    <w:rsid w:val="5C1271C4"/>
    <w:rsid w:val="5C164F06"/>
    <w:rsid w:val="5C1D44E7"/>
    <w:rsid w:val="5C2018E1"/>
    <w:rsid w:val="5C2F44B3"/>
    <w:rsid w:val="5C325E65"/>
    <w:rsid w:val="5C397382"/>
    <w:rsid w:val="5C427C1E"/>
    <w:rsid w:val="5C4E764E"/>
    <w:rsid w:val="5C5F2336"/>
    <w:rsid w:val="5C7B0540"/>
    <w:rsid w:val="5C8961F4"/>
    <w:rsid w:val="5C8B66DE"/>
    <w:rsid w:val="5C8D59C8"/>
    <w:rsid w:val="5C9D59A0"/>
    <w:rsid w:val="5CA15BF1"/>
    <w:rsid w:val="5CA249EC"/>
    <w:rsid w:val="5CAF478F"/>
    <w:rsid w:val="5CBD35D4"/>
    <w:rsid w:val="5CC05393"/>
    <w:rsid w:val="5CC15D6D"/>
    <w:rsid w:val="5CC93B2E"/>
    <w:rsid w:val="5CC977C8"/>
    <w:rsid w:val="5CD32DF8"/>
    <w:rsid w:val="5CDE2BD0"/>
    <w:rsid w:val="5CF6176C"/>
    <w:rsid w:val="5CF94EA1"/>
    <w:rsid w:val="5D095BA1"/>
    <w:rsid w:val="5D1458EA"/>
    <w:rsid w:val="5D1A4185"/>
    <w:rsid w:val="5D1F7DEB"/>
    <w:rsid w:val="5D262F36"/>
    <w:rsid w:val="5D2A4A6D"/>
    <w:rsid w:val="5D2C4F72"/>
    <w:rsid w:val="5D3D1041"/>
    <w:rsid w:val="5D465377"/>
    <w:rsid w:val="5D4A2337"/>
    <w:rsid w:val="5D663C6C"/>
    <w:rsid w:val="5D6E48CE"/>
    <w:rsid w:val="5D7A4E55"/>
    <w:rsid w:val="5D801C36"/>
    <w:rsid w:val="5D82261B"/>
    <w:rsid w:val="5D891708"/>
    <w:rsid w:val="5D8B722E"/>
    <w:rsid w:val="5D9316CA"/>
    <w:rsid w:val="5D9367F1"/>
    <w:rsid w:val="5D936BB8"/>
    <w:rsid w:val="5D97431D"/>
    <w:rsid w:val="5DA55197"/>
    <w:rsid w:val="5DAF73C1"/>
    <w:rsid w:val="5DC170F4"/>
    <w:rsid w:val="5DDE5A59"/>
    <w:rsid w:val="5DDF39D9"/>
    <w:rsid w:val="5DE11544"/>
    <w:rsid w:val="5DEB5F1F"/>
    <w:rsid w:val="5DFA48AC"/>
    <w:rsid w:val="5DFB2EBF"/>
    <w:rsid w:val="5E005E6E"/>
    <w:rsid w:val="5E062D59"/>
    <w:rsid w:val="5E134288"/>
    <w:rsid w:val="5E197A93"/>
    <w:rsid w:val="5E1B6804"/>
    <w:rsid w:val="5E2C27BF"/>
    <w:rsid w:val="5E360DD2"/>
    <w:rsid w:val="5E3B6EA6"/>
    <w:rsid w:val="5E3C677A"/>
    <w:rsid w:val="5E414336"/>
    <w:rsid w:val="5E4C5503"/>
    <w:rsid w:val="5E542C08"/>
    <w:rsid w:val="5E5514CA"/>
    <w:rsid w:val="5E5568A8"/>
    <w:rsid w:val="5E671A49"/>
    <w:rsid w:val="5E6A467A"/>
    <w:rsid w:val="5E700844"/>
    <w:rsid w:val="5E7928D2"/>
    <w:rsid w:val="5E824AD5"/>
    <w:rsid w:val="5E843D51"/>
    <w:rsid w:val="5E9B16F3"/>
    <w:rsid w:val="5EA02575"/>
    <w:rsid w:val="5EA306D2"/>
    <w:rsid w:val="5EA41270"/>
    <w:rsid w:val="5EB50A07"/>
    <w:rsid w:val="5EB81FFB"/>
    <w:rsid w:val="5EC7569F"/>
    <w:rsid w:val="5ED52E57"/>
    <w:rsid w:val="5EDF4B83"/>
    <w:rsid w:val="5EE412EC"/>
    <w:rsid w:val="5EE825CE"/>
    <w:rsid w:val="5EF3322C"/>
    <w:rsid w:val="5EFA28BD"/>
    <w:rsid w:val="5F0436EB"/>
    <w:rsid w:val="5F04373C"/>
    <w:rsid w:val="5F0C558A"/>
    <w:rsid w:val="5F121FCF"/>
    <w:rsid w:val="5F1916CC"/>
    <w:rsid w:val="5F221E14"/>
    <w:rsid w:val="5F27742B"/>
    <w:rsid w:val="5F322057"/>
    <w:rsid w:val="5F426012"/>
    <w:rsid w:val="5F465B03"/>
    <w:rsid w:val="5F4D6E91"/>
    <w:rsid w:val="5F6E6E08"/>
    <w:rsid w:val="5F7753BE"/>
    <w:rsid w:val="5F9433E4"/>
    <w:rsid w:val="5F9F3465"/>
    <w:rsid w:val="5FA93772"/>
    <w:rsid w:val="5FB7134F"/>
    <w:rsid w:val="5FB94527"/>
    <w:rsid w:val="5FC0745B"/>
    <w:rsid w:val="5FC131EA"/>
    <w:rsid w:val="5FD749AD"/>
    <w:rsid w:val="5FD879FC"/>
    <w:rsid w:val="5FDC7263"/>
    <w:rsid w:val="5FE44ED2"/>
    <w:rsid w:val="5FF358A6"/>
    <w:rsid w:val="5FF74F7E"/>
    <w:rsid w:val="5FFB68ED"/>
    <w:rsid w:val="5FFC2665"/>
    <w:rsid w:val="60017C7C"/>
    <w:rsid w:val="600323AE"/>
    <w:rsid w:val="600339F4"/>
    <w:rsid w:val="60077B92"/>
    <w:rsid w:val="60173560"/>
    <w:rsid w:val="601E25DC"/>
    <w:rsid w:val="60263A9A"/>
    <w:rsid w:val="602C2E66"/>
    <w:rsid w:val="6037369D"/>
    <w:rsid w:val="60382285"/>
    <w:rsid w:val="603E2348"/>
    <w:rsid w:val="606131E6"/>
    <w:rsid w:val="606A3A73"/>
    <w:rsid w:val="60966616"/>
    <w:rsid w:val="60AA20C1"/>
    <w:rsid w:val="60B44CEE"/>
    <w:rsid w:val="60B47AF9"/>
    <w:rsid w:val="60B80DB8"/>
    <w:rsid w:val="60CB3A82"/>
    <w:rsid w:val="60D31618"/>
    <w:rsid w:val="60DB5A1A"/>
    <w:rsid w:val="60E70C20"/>
    <w:rsid w:val="60E863B5"/>
    <w:rsid w:val="60E92BEA"/>
    <w:rsid w:val="60EE50B8"/>
    <w:rsid w:val="60FB46CB"/>
    <w:rsid w:val="611750CF"/>
    <w:rsid w:val="612D48F1"/>
    <w:rsid w:val="61363955"/>
    <w:rsid w:val="61397B7D"/>
    <w:rsid w:val="6142054C"/>
    <w:rsid w:val="61446113"/>
    <w:rsid w:val="6151253D"/>
    <w:rsid w:val="615A5895"/>
    <w:rsid w:val="615B4A72"/>
    <w:rsid w:val="615F2EAC"/>
    <w:rsid w:val="61691F7C"/>
    <w:rsid w:val="6171498D"/>
    <w:rsid w:val="61834DEC"/>
    <w:rsid w:val="61972646"/>
    <w:rsid w:val="61B76844"/>
    <w:rsid w:val="61BC1323"/>
    <w:rsid w:val="61CB0AD4"/>
    <w:rsid w:val="61CC1C61"/>
    <w:rsid w:val="61D513C0"/>
    <w:rsid w:val="61F02009"/>
    <w:rsid w:val="61F335F4"/>
    <w:rsid w:val="62000EBC"/>
    <w:rsid w:val="620B4DE2"/>
    <w:rsid w:val="620F1CE8"/>
    <w:rsid w:val="62232D89"/>
    <w:rsid w:val="623E2002"/>
    <w:rsid w:val="624502F4"/>
    <w:rsid w:val="624F78B5"/>
    <w:rsid w:val="62566677"/>
    <w:rsid w:val="62581C80"/>
    <w:rsid w:val="625A074E"/>
    <w:rsid w:val="625B68E6"/>
    <w:rsid w:val="6260353D"/>
    <w:rsid w:val="62610D92"/>
    <w:rsid w:val="627821ED"/>
    <w:rsid w:val="627A3EB2"/>
    <w:rsid w:val="629A05EE"/>
    <w:rsid w:val="62B32E3B"/>
    <w:rsid w:val="62BE4137"/>
    <w:rsid w:val="62C50B89"/>
    <w:rsid w:val="62D508D8"/>
    <w:rsid w:val="62D7209B"/>
    <w:rsid w:val="62D85D42"/>
    <w:rsid w:val="62DF26A5"/>
    <w:rsid w:val="62E250F0"/>
    <w:rsid w:val="62E312EC"/>
    <w:rsid w:val="62EE39CE"/>
    <w:rsid w:val="62F66C4B"/>
    <w:rsid w:val="62FA7330"/>
    <w:rsid w:val="62FB6C04"/>
    <w:rsid w:val="63027F93"/>
    <w:rsid w:val="630755A9"/>
    <w:rsid w:val="63250213"/>
    <w:rsid w:val="63250BED"/>
    <w:rsid w:val="632C3261"/>
    <w:rsid w:val="63387E58"/>
    <w:rsid w:val="634E4F86"/>
    <w:rsid w:val="63526AAF"/>
    <w:rsid w:val="635D341B"/>
    <w:rsid w:val="635D53AC"/>
    <w:rsid w:val="63617251"/>
    <w:rsid w:val="63701D14"/>
    <w:rsid w:val="63756002"/>
    <w:rsid w:val="637E48A2"/>
    <w:rsid w:val="638825FB"/>
    <w:rsid w:val="638D1F52"/>
    <w:rsid w:val="639A641D"/>
    <w:rsid w:val="63AE3C76"/>
    <w:rsid w:val="63B212A3"/>
    <w:rsid w:val="63B219B9"/>
    <w:rsid w:val="63D74F7B"/>
    <w:rsid w:val="63D87F9C"/>
    <w:rsid w:val="63D94B6E"/>
    <w:rsid w:val="63DB2028"/>
    <w:rsid w:val="63EB4ECB"/>
    <w:rsid w:val="63EF49BB"/>
    <w:rsid w:val="63FC70D8"/>
    <w:rsid w:val="64054193"/>
    <w:rsid w:val="6408772E"/>
    <w:rsid w:val="640B731B"/>
    <w:rsid w:val="640F6E0B"/>
    <w:rsid w:val="64153CF6"/>
    <w:rsid w:val="641C7E74"/>
    <w:rsid w:val="64371EBE"/>
    <w:rsid w:val="643F0D73"/>
    <w:rsid w:val="64482A94"/>
    <w:rsid w:val="644840CB"/>
    <w:rsid w:val="64616F3B"/>
    <w:rsid w:val="64632CB3"/>
    <w:rsid w:val="646A4D94"/>
    <w:rsid w:val="647E4B8D"/>
    <w:rsid w:val="648669A1"/>
    <w:rsid w:val="648D343B"/>
    <w:rsid w:val="649C538F"/>
    <w:rsid w:val="64AA2690"/>
    <w:rsid w:val="64AD03D2"/>
    <w:rsid w:val="64AF7CA6"/>
    <w:rsid w:val="64B452BD"/>
    <w:rsid w:val="64BB6D8A"/>
    <w:rsid w:val="64C179D9"/>
    <w:rsid w:val="64DB4F3F"/>
    <w:rsid w:val="64DC40FC"/>
    <w:rsid w:val="64DE2339"/>
    <w:rsid w:val="64E21E2A"/>
    <w:rsid w:val="64FD4EB5"/>
    <w:rsid w:val="650417B4"/>
    <w:rsid w:val="650E5F14"/>
    <w:rsid w:val="65187666"/>
    <w:rsid w:val="65247367"/>
    <w:rsid w:val="654F7F9F"/>
    <w:rsid w:val="655B4BDA"/>
    <w:rsid w:val="655D3BA6"/>
    <w:rsid w:val="655E7095"/>
    <w:rsid w:val="656D441E"/>
    <w:rsid w:val="657038D9"/>
    <w:rsid w:val="657131AE"/>
    <w:rsid w:val="657D1B52"/>
    <w:rsid w:val="658B6451"/>
    <w:rsid w:val="659536BB"/>
    <w:rsid w:val="65997DFD"/>
    <w:rsid w:val="65A40001"/>
    <w:rsid w:val="65B5753E"/>
    <w:rsid w:val="65BF6897"/>
    <w:rsid w:val="65C14135"/>
    <w:rsid w:val="65C22647"/>
    <w:rsid w:val="65C56FC1"/>
    <w:rsid w:val="65CA3AA1"/>
    <w:rsid w:val="65CC4346"/>
    <w:rsid w:val="65CC501A"/>
    <w:rsid w:val="65D02D84"/>
    <w:rsid w:val="65DD0843"/>
    <w:rsid w:val="65F101BF"/>
    <w:rsid w:val="65F20792"/>
    <w:rsid w:val="65FA708D"/>
    <w:rsid w:val="66080D5A"/>
    <w:rsid w:val="660A1AE2"/>
    <w:rsid w:val="66170870"/>
    <w:rsid w:val="6627667E"/>
    <w:rsid w:val="662B7094"/>
    <w:rsid w:val="662C6383"/>
    <w:rsid w:val="6637091A"/>
    <w:rsid w:val="663A1628"/>
    <w:rsid w:val="663E7534"/>
    <w:rsid w:val="6655487D"/>
    <w:rsid w:val="6660394E"/>
    <w:rsid w:val="6663343E"/>
    <w:rsid w:val="6671147A"/>
    <w:rsid w:val="668005C9"/>
    <w:rsid w:val="66901FF9"/>
    <w:rsid w:val="66A001EE"/>
    <w:rsid w:val="66A80876"/>
    <w:rsid w:val="66AF21DF"/>
    <w:rsid w:val="66AF471E"/>
    <w:rsid w:val="66BD4EB0"/>
    <w:rsid w:val="66C235E6"/>
    <w:rsid w:val="66C4797B"/>
    <w:rsid w:val="66CB4B3F"/>
    <w:rsid w:val="66CF63DE"/>
    <w:rsid w:val="66FF0F75"/>
    <w:rsid w:val="67010561"/>
    <w:rsid w:val="67095D94"/>
    <w:rsid w:val="671C168D"/>
    <w:rsid w:val="67256946"/>
    <w:rsid w:val="672E5D0F"/>
    <w:rsid w:val="672F50CE"/>
    <w:rsid w:val="67344FE3"/>
    <w:rsid w:val="675C3383"/>
    <w:rsid w:val="6760797E"/>
    <w:rsid w:val="67611BBB"/>
    <w:rsid w:val="676314F1"/>
    <w:rsid w:val="67670D0C"/>
    <w:rsid w:val="676A6106"/>
    <w:rsid w:val="676C50EE"/>
    <w:rsid w:val="677C7773"/>
    <w:rsid w:val="678E6299"/>
    <w:rsid w:val="67A76795"/>
    <w:rsid w:val="67B0426C"/>
    <w:rsid w:val="67B57F54"/>
    <w:rsid w:val="67B97DDD"/>
    <w:rsid w:val="67DA561C"/>
    <w:rsid w:val="67F0485E"/>
    <w:rsid w:val="681C1928"/>
    <w:rsid w:val="68224AD1"/>
    <w:rsid w:val="6850657F"/>
    <w:rsid w:val="686053D0"/>
    <w:rsid w:val="68667AE0"/>
    <w:rsid w:val="68710AB1"/>
    <w:rsid w:val="687425CE"/>
    <w:rsid w:val="68757459"/>
    <w:rsid w:val="6894168D"/>
    <w:rsid w:val="689618A9"/>
    <w:rsid w:val="689C2C37"/>
    <w:rsid w:val="689C6E97"/>
    <w:rsid w:val="689F715F"/>
    <w:rsid w:val="68A8338A"/>
    <w:rsid w:val="68AB4C28"/>
    <w:rsid w:val="68B00491"/>
    <w:rsid w:val="68B91BAE"/>
    <w:rsid w:val="68C911ED"/>
    <w:rsid w:val="68CF3A3A"/>
    <w:rsid w:val="68D51C51"/>
    <w:rsid w:val="68DD74D8"/>
    <w:rsid w:val="68E1064A"/>
    <w:rsid w:val="68E86BFA"/>
    <w:rsid w:val="68EB2432"/>
    <w:rsid w:val="68EC771B"/>
    <w:rsid w:val="69006D22"/>
    <w:rsid w:val="6904782B"/>
    <w:rsid w:val="69086C34"/>
    <w:rsid w:val="69124CA8"/>
    <w:rsid w:val="69256789"/>
    <w:rsid w:val="694C1F68"/>
    <w:rsid w:val="694F4082"/>
    <w:rsid w:val="695C3AB5"/>
    <w:rsid w:val="696D52BC"/>
    <w:rsid w:val="697176F0"/>
    <w:rsid w:val="69736A48"/>
    <w:rsid w:val="69775092"/>
    <w:rsid w:val="6987701B"/>
    <w:rsid w:val="698A2A90"/>
    <w:rsid w:val="699835BA"/>
    <w:rsid w:val="699D7D47"/>
    <w:rsid w:val="69AE49D0"/>
    <w:rsid w:val="69AF0EE7"/>
    <w:rsid w:val="69B144C0"/>
    <w:rsid w:val="69B3090F"/>
    <w:rsid w:val="69DD72DF"/>
    <w:rsid w:val="69EC72A7"/>
    <w:rsid w:val="69FD14B4"/>
    <w:rsid w:val="69FE4AF1"/>
    <w:rsid w:val="6A024D1C"/>
    <w:rsid w:val="6A044156"/>
    <w:rsid w:val="6A061C0F"/>
    <w:rsid w:val="6A1F4B45"/>
    <w:rsid w:val="6A242416"/>
    <w:rsid w:val="6A3F7D69"/>
    <w:rsid w:val="6A4175F2"/>
    <w:rsid w:val="6A420E75"/>
    <w:rsid w:val="6A5079C7"/>
    <w:rsid w:val="6A540158"/>
    <w:rsid w:val="6A672C87"/>
    <w:rsid w:val="6A75729C"/>
    <w:rsid w:val="6A794FDE"/>
    <w:rsid w:val="6A902328"/>
    <w:rsid w:val="6A927E4E"/>
    <w:rsid w:val="6AA10091"/>
    <w:rsid w:val="6AA96AA9"/>
    <w:rsid w:val="6AAF0A00"/>
    <w:rsid w:val="6AAF3105"/>
    <w:rsid w:val="6AB14817"/>
    <w:rsid w:val="6AB528A3"/>
    <w:rsid w:val="6ABA4192"/>
    <w:rsid w:val="6ABE2C83"/>
    <w:rsid w:val="6AC41408"/>
    <w:rsid w:val="6ACA30B7"/>
    <w:rsid w:val="6ACE1BA7"/>
    <w:rsid w:val="6AD42215"/>
    <w:rsid w:val="6ADA17F5"/>
    <w:rsid w:val="6AE61F48"/>
    <w:rsid w:val="6AF1546D"/>
    <w:rsid w:val="6AF324D6"/>
    <w:rsid w:val="6B113469"/>
    <w:rsid w:val="6B195B02"/>
    <w:rsid w:val="6B1C5D1F"/>
    <w:rsid w:val="6B340F05"/>
    <w:rsid w:val="6B482C03"/>
    <w:rsid w:val="6B6D177C"/>
    <w:rsid w:val="6B930322"/>
    <w:rsid w:val="6BB55625"/>
    <w:rsid w:val="6BB64010"/>
    <w:rsid w:val="6BC32289"/>
    <w:rsid w:val="6BC54253"/>
    <w:rsid w:val="6BC81F96"/>
    <w:rsid w:val="6BCA7159"/>
    <w:rsid w:val="6BD10E4A"/>
    <w:rsid w:val="6BD61FBC"/>
    <w:rsid w:val="6BDA04D7"/>
    <w:rsid w:val="6BE06B74"/>
    <w:rsid w:val="6BE4345E"/>
    <w:rsid w:val="6BE51F21"/>
    <w:rsid w:val="6BEA5A68"/>
    <w:rsid w:val="6BEA64FC"/>
    <w:rsid w:val="6BF0713D"/>
    <w:rsid w:val="6BF642E0"/>
    <w:rsid w:val="6BFA2912"/>
    <w:rsid w:val="6BFB7C75"/>
    <w:rsid w:val="6C0C11E0"/>
    <w:rsid w:val="6C1C0317"/>
    <w:rsid w:val="6C202F44"/>
    <w:rsid w:val="6C223454"/>
    <w:rsid w:val="6C26176A"/>
    <w:rsid w:val="6C2E004A"/>
    <w:rsid w:val="6C2E5427"/>
    <w:rsid w:val="6C360CAD"/>
    <w:rsid w:val="6C37655B"/>
    <w:rsid w:val="6C53185F"/>
    <w:rsid w:val="6C6C46CF"/>
    <w:rsid w:val="6C7E24CF"/>
    <w:rsid w:val="6C8B724B"/>
    <w:rsid w:val="6C9F2CF6"/>
    <w:rsid w:val="6CAC3E0C"/>
    <w:rsid w:val="6CB73B9C"/>
    <w:rsid w:val="6CC83FFB"/>
    <w:rsid w:val="6CC843F9"/>
    <w:rsid w:val="6CD75FEC"/>
    <w:rsid w:val="6CDD1263"/>
    <w:rsid w:val="6CEE0BD6"/>
    <w:rsid w:val="6CF44DF0"/>
    <w:rsid w:val="6CF46B9E"/>
    <w:rsid w:val="6D0006D3"/>
    <w:rsid w:val="6D06067F"/>
    <w:rsid w:val="6D076B7D"/>
    <w:rsid w:val="6D0A4613"/>
    <w:rsid w:val="6D12171A"/>
    <w:rsid w:val="6D1A3698"/>
    <w:rsid w:val="6D394241"/>
    <w:rsid w:val="6D5405A3"/>
    <w:rsid w:val="6D611D5A"/>
    <w:rsid w:val="6D637718"/>
    <w:rsid w:val="6D7B72BF"/>
    <w:rsid w:val="6D874D7F"/>
    <w:rsid w:val="6D8819DC"/>
    <w:rsid w:val="6D8A15A1"/>
    <w:rsid w:val="6D9234DB"/>
    <w:rsid w:val="6D9C4B09"/>
    <w:rsid w:val="6DA854E0"/>
    <w:rsid w:val="6DAA3F36"/>
    <w:rsid w:val="6DB1246A"/>
    <w:rsid w:val="6DBD7B21"/>
    <w:rsid w:val="6DD4629B"/>
    <w:rsid w:val="6DDF0252"/>
    <w:rsid w:val="6DE14E91"/>
    <w:rsid w:val="6DE91E99"/>
    <w:rsid w:val="6DEE4DF9"/>
    <w:rsid w:val="6DF66FAF"/>
    <w:rsid w:val="6E072901"/>
    <w:rsid w:val="6E076CD8"/>
    <w:rsid w:val="6E0C7F17"/>
    <w:rsid w:val="6E10219F"/>
    <w:rsid w:val="6E176DA8"/>
    <w:rsid w:val="6E1958AC"/>
    <w:rsid w:val="6E302627"/>
    <w:rsid w:val="6E376CB2"/>
    <w:rsid w:val="6E386F5E"/>
    <w:rsid w:val="6E4507E3"/>
    <w:rsid w:val="6E4833ED"/>
    <w:rsid w:val="6E49116B"/>
    <w:rsid w:val="6E5B2C4D"/>
    <w:rsid w:val="6E5D2F46"/>
    <w:rsid w:val="6E677844"/>
    <w:rsid w:val="6E6F43E5"/>
    <w:rsid w:val="6E7E30C2"/>
    <w:rsid w:val="6E801271"/>
    <w:rsid w:val="6E82642B"/>
    <w:rsid w:val="6E934195"/>
    <w:rsid w:val="6E9A3C2D"/>
    <w:rsid w:val="6E9C74ED"/>
    <w:rsid w:val="6E9D3265"/>
    <w:rsid w:val="6EA168B2"/>
    <w:rsid w:val="6EBF3031"/>
    <w:rsid w:val="6EC31E6C"/>
    <w:rsid w:val="6ED8604B"/>
    <w:rsid w:val="6EE75B75"/>
    <w:rsid w:val="6EEA46FD"/>
    <w:rsid w:val="6EEE3C72"/>
    <w:rsid w:val="6EF22505"/>
    <w:rsid w:val="6F07576D"/>
    <w:rsid w:val="6F102042"/>
    <w:rsid w:val="6F163899"/>
    <w:rsid w:val="6F2A2001"/>
    <w:rsid w:val="6F2B1415"/>
    <w:rsid w:val="6F2F210F"/>
    <w:rsid w:val="6F35524C"/>
    <w:rsid w:val="6F4162E7"/>
    <w:rsid w:val="6F5053F2"/>
    <w:rsid w:val="6F5A2F04"/>
    <w:rsid w:val="6F62333D"/>
    <w:rsid w:val="6F761BB0"/>
    <w:rsid w:val="6F7B5355"/>
    <w:rsid w:val="6F7B6582"/>
    <w:rsid w:val="6F830A7F"/>
    <w:rsid w:val="6F8473B0"/>
    <w:rsid w:val="6F86196C"/>
    <w:rsid w:val="6F864031"/>
    <w:rsid w:val="6F8A37EA"/>
    <w:rsid w:val="6F957231"/>
    <w:rsid w:val="6F9B77A5"/>
    <w:rsid w:val="6FB76E31"/>
    <w:rsid w:val="6FBE63B8"/>
    <w:rsid w:val="6FC566E6"/>
    <w:rsid w:val="6FCA1E38"/>
    <w:rsid w:val="6FCA71E0"/>
    <w:rsid w:val="6FD1766A"/>
    <w:rsid w:val="6FD75DF0"/>
    <w:rsid w:val="6FDC36EA"/>
    <w:rsid w:val="6FDD6763"/>
    <w:rsid w:val="6FE55EDD"/>
    <w:rsid w:val="6FE56C72"/>
    <w:rsid w:val="6FE872A8"/>
    <w:rsid w:val="6FF9271D"/>
    <w:rsid w:val="6FFE7D34"/>
    <w:rsid w:val="70057314"/>
    <w:rsid w:val="700D7BA6"/>
    <w:rsid w:val="70162811"/>
    <w:rsid w:val="7023779A"/>
    <w:rsid w:val="70293533"/>
    <w:rsid w:val="702F7EED"/>
    <w:rsid w:val="7038498C"/>
    <w:rsid w:val="703C3596"/>
    <w:rsid w:val="70447E3C"/>
    <w:rsid w:val="704E4817"/>
    <w:rsid w:val="704E60CB"/>
    <w:rsid w:val="706165C6"/>
    <w:rsid w:val="706250EF"/>
    <w:rsid w:val="706437CE"/>
    <w:rsid w:val="70710506"/>
    <w:rsid w:val="70834969"/>
    <w:rsid w:val="708E10B8"/>
    <w:rsid w:val="708F0AF3"/>
    <w:rsid w:val="709366CE"/>
    <w:rsid w:val="70967F6C"/>
    <w:rsid w:val="70A703CB"/>
    <w:rsid w:val="70BB79D3"/>
    <w:rsid w:val="70C64CF5"/>
    <w:rsid w:val="70CA1555"/>
    <w:rsid w:val="70D94A29"/>
    <w:rsid w:val="70DE3740"/>
    <w:rsid w:val="70E17439"/>
    <w:rsid w:val="70E7726F"/>
    <w:rsid w:val="70F112FE"/>
    <w:rsid w:val="70FD0CB3"/>
    <w:rsid w:val="710220C4"/>
    <w:rsid w:val="71086014"/>
    <w:rsid w:val="71123A97"/>
    <w:rsid w:val="711E68DF"/>
    <w:rsid w:val="71240115"/>
    <w:rsid w:val="71261F6E"/>
    <w:rsid w:val="7129767D"/>
    <w:rsid w:val="71357D58"/>
    <w:rsid w:val="713E7CD2"/>
    <w:rsid w:val="714479C8"/>
    <w:rsid w:val="71484A3D"/>
    <w:rsid w:val="71545C47"/>
    <w:rsid w:val="715D14A7"/>
    <w:rsid w:val="716D48E6"/>
    <w:rsid w:val="717402AD"/>
    <w:rsid w:val="71744751"/>
    <w:rsid w:val="71761BE2"/>
    <w:rsid w:val="717870B6"/>
    <w:rsid w:val="717D2E76"/>
    <w:rsid w:val="717F6C52"/>
    <w:rsid w:val="71837B47"/>
    <w:rsid w:val="718D136F"/>
    <w:rsid w:val="719E17CE"/>
    <w:rsid w:val="719E532A"/>
    <w:rsid w:val="71A87999"/>
    <w:rsid w:val="71B12CD7"/>
    <w:rsid w:val="71B97C16"/>
    <w:rsid w:val="71C02D4E"/>
    <w:rsid w:val="71C153B5"/>
    <w:rsid w:val="71D40D2D"/>
    <w:rsid w:val="71D60F68"/>
    <w:rsid w:val="71F72C8D"/>
    <w:rsid w:val="71FE04BF"/>
    <w:rsid w:val="71FE6305"/>
    <w:rsid w:val="72081FCD"/>
    <w:rsid w:val="720A0C12"/>
    <w:rsid w:val="720D24B0"/>
    <w:rsid w:val="720F447A"/>
    <w:rsid w:val="720F655D"/>
    <w:rsid w:val="72200254"/>
    <w:rsid w:val="72255A4C"/>
    <w:rsid w:val="72333507"/>
    <w:rsid w:val="72395053"/>
    <w:rsid w:val="723F4D5F"/>
    <w:rsid w:val="72427F2D"/>
    <w:rsid w:val="724E3F2F"/>
    <w:rsid w:val="72690127"/>
    <w:rsid w:val="726B684E"/>
    <w:rsid w:val="726F4DEB"/>
    <w:rsid w:val="72760055"/>
    <w:rsid w:val="727D5DD0"/>
    <w:rsid w:val="728C4332"/>
    <w:rsid w:val="72913F07"/>
    <w:rsid w:val="72993336"/>
    <w:rsid w:val="72AB13CD"/>
    <w:rsid w:val="72C214EC"/>
    <w:rsid w:val="72C60FDD"/>
    <w:rsid w:val="72D336FA"/>
    <w:rsid w:val="72DB610A"/>
    <w:rsid w:val="72E512AD"/>
    <w:rsid w:val="72E90D42"/>
    <w:rsid w:val="72E927FF"/>
    <w:rsid w:val="72FF629D"/>
    <w:rsid w:val="73013DC3"/>
    <w:rsid w:val="73041B05"/>
    <w:rsid w:val="730D6C09"/>
    <w:rsid w:val="731224AE"/>
    <w:rsid w:val="732D21D9"/>
    <w:rsid w:val="73303423"/>
    <w:rsid w:val="733817AF"/>
    <w:rsid w:val="735635E4"/>
    <w:rsid w:val="735B764F"/>
    <w:rsid w:val="73657C18"/>
    <w:rsid w:val="7366631C"/>
    <w:rsid w:val="736F5FA9"/>
    <w:rsid w:val="737427E7"/>
    <w:rsid w:val="737C169B"/>
    <w:rsid w:val="73877F55"/>
    <w:rsid w:val="738844E4"/>
    <w:rsid w:val="73922C6D"/>
    <w:rsid w:val="739C3AEB"/>
    <w:rsid w:val="739D59F7"/>
    <w:rsid w:val="739F4877"/>
    <w:rsid w:val="73A10265"/>
    <w:rsid w:val="73A265D4"/>
    <w:rsid w:val="73B13A3B"/>
    <w:rsid w:val="73B2330F"/>
    <w:rsid w:val="73BA097D"/>
    <w:rsid w:val="73C03C7E"/>
    <w:rsid w:val="73D23A0B"/>
    <w:rsid w:val="73D9089C"/>
    <w:rsid w:val="73DE4104"/>
    <w:rsid w:val="73DF0C28"/>
    <w:rsid w:val="73E060CE"/>
    <w:rsid w:val="73E41EB2"/>
    <w:rsid w:val="73E5545F"/>
    <w:rsid w:val="73E831D5"/>
    <w:rsid w:val="740F3B71"/>
    <w:rsid w:val="741140C2"/>
    <w:rsid w:val="741B5358"/>
    <w:rsid w:val="74375745"/>
    <w:rsid w:val="74383473"/>
    <w:rsid w:val="743C5E3D"/>
    <w:rsid w:val="745148D6"/>
    <w:rsid w:val="7452064E"/>
    <w:rsid w:val="745E3EBD"/>
    <w:rsid w:val="74620891"/>
    <w:rsid w:val="746C1710"/>
    <w:rsid w:val="74786C6B"/>
    <w:rsid w:val="747A2889"/>
    <w:rsid w:val="74820F33"/>
    <w:rsid w:val="74823F04"/>
    <w:rsid w:val="748A4B39"/>
    <w:rsid w:val="749312CB"/>
    <w:rsid w:val="74A344B3"/>
    <w:rsid w:val="74A72748"/>
    <w:rsid w:val="74AF1419"/>
    <w:rsid w:val="74B66E2F"/>
    <w:rsid w:val="74BD06EE"/>
    <w:rsid w:val="74BE7A92"/>
    <w:rsid w:val="74C9120A"/>
    <w:rsid w:val="74D02E07"/>
    <w:rsid w:val="74E474F8"/>
    <w:rsid w:val="74EC2851"/>
    <w:rsid w:val="74F6543C"/>
    <w:rsid w:val="74F859FB"/>
    <w:rsid w:val="75042415"/>
    <w:rsid w:val="750758DC"/>
    <w:rsid w:val="75196D51"/>
    <w:rsid w:val="752221C3"/>
    <w:rsid w:val="752B5A68"/>
    <w:rsid w:val="75373CCB"/>
    <w:rsid w:val="753A180E"/>
    <w:rsid w:val="753D30AC"/>
    <w:rsid w:val="75646EFD"/>
    <w:rsid w:val="756613B3"/>
    <w:rsid w:val="756849F0"/>
    <w:rsid w:val="757B07AC"/>
    <w:rsid w:val="75840CDB"/>
    <w:rsid w:val="75975410"/>
    <w:rsid w:val="75A35605"/>
    <w:rsid w:val="75AC1EA4"/>
    <w:rsid w:val="75B54435"/>
    <w:rsid w:val="75CA715B"/>
    <w:rsid w:val="75D02172"/>
    <w:rsid w:val="75E74549"/>
    <w:rsid w:val="75EB2B08"/>
    <w:rsid w:val="75FA7285"/>
    <w:rsid w:val="760065B4"/>
    <w:rsid w:val="760360A4"/>
    <w:rsid w:val="760C31AA"/>
    <w:rsid w:val="76115319"/>
    <w:rsid w:val="763E0E8A"/>
    <w:rsid w:val="764364A0"/>
    <w:rsid w:val="764A3CD3"/>
    <w:rsid w:val="7653307E"/>
    <w:rsid w:val="765B1A3C"/>
    <w:rsid w:val="765B474D"/>
    <w:rsid w:val="765C1B6C"/>
    <w:rsid w:val="76764AC8"/>
    <w:rsid w:val="76796B5A"/>
    <w:rsid w:val="767B0BC5"/>
    <w:rsid w:val="76804D81"/>
    <w:rsid w:val="769A2923"/>
    <w:rsid w:val="769B1CAF"/>
    <w:rsid w:val="76A2766B"/>
    <w:rsid w:val="76B34539"/>
    <w:rsid w:val="76B455F0"/>
    <w:rsid w:val="76C9109B"/>
    <w:rsid w:val="76D35A76"/>
    <w:rsid w:val="76E47C83"/>
    <w:rsid w:val="76E61C4D"/>
    <w:rsid w:val="77040325"/>
    <w:rsid w:val="771816DB"/>
    <w:rsid w:val="771E05C9"/>
    <w:rsid w:val="772938E8"/>
    <w:rsid w:val="77324E93"/>
    <w:rsid w:val="773F310C"/>
    <w:rsid w:val="77470212"/>
    <w:rsid w:val="775D3592"/>
    <w:rsid w:val="77611A98"/>
    <w:rsid w:val="77623AE4"/>
    <w:rsid w:val="777035B9"/>
    <w:rsid w:val="777474B8"/>
    <w:rsid w:val="77827EF9"/>
    <w:rsid w:val="77934172"/>
    <w:rsid w:val="77937D0A"/>
    <w:rsid w:val="779A6D27"/>
    <w:rsid w:val="779C1A04"/>
    <w:rsid w:val="77A318EC"/>
    <w:rsid w:val="77CD4BBB"/>
    <w:rsid w:val="77D61BF0"/>
    <w:rsid w:val="77DE0431"/>
    <w:rsid w:val="77E67A2B"/>
    <w:rsid w:val="77F63D39"/>
    <w:rsid w:val="77FA3327"/>
    <w:rsid w:val="77FA5F49"/>
    <w:rsid w:val="783B3BF7"/>
    <w:rsid w:val="7840713B"/>
    <w:rsid w:val="7844752F"/>
    <w:rsid w:val="784D3606"/>
    <w:rsid w:val="78570929"/>
    <w:rsid w:val="786264D7"/>
    <w:rsid w:val="7869596B"/>
    <w:rsid w:val="786C7F30"/>
    <w:rsid w:val="7875549E"/>
    <w:rsid w:val="787C0BC1"/>
    <w:rsid w:val="787C544D"/>
    <w:rsid w:val="78864247"/>
    <w:rsid w:val="788B412F"/>
    <w:rsid w:val="789C2C49"/>
    <w:rsid w:val="78A77A8D"/>
    <w:rsid w:val="78AF2513"/>
    <w:rsid w:val="78B2790D"/>
    <w:rsid w:val="78D855C6"/>
    <w:rsid w:val="78DD498A"/>
    <w:rsid w:val="78F607DD"/>
    <w:rsid w:val="78FA3D25"/>
    <w:rsid w:val="790E7239"/>
    <w:rsid w:val="79112886"/>
    <w:rsid w:val="79132AA2"/>
    <w:rsid w:val="791D0951"/>
    <w:rsid w:val="792527C2"/>
    <w:rsid w:val="792813C0"/>
    <w:rsid w:val="792C5912"/>
    <w:rsid w:val="79314CD6"/>
    <w:rsid w:val="793A002E"/>
    <w:rsid w:val="793C4EF8"/>
    <w:rsid w:val="797C169A"/>
    <w:rsid w:val="79865629"/>
    <w:rsid w:val="79894B12"/>
    <w:rsid w:val="79A33E26"/>
    <w:rsid w:val="79A53FA3"/>
    <w:rsid w:val="79AE0C83"/>
    <w:rsid w:val="79B0094A"/>
    <w:rsid w:val="79BE2A0E"/>
    <w:rsid w:val="79CB0C87"/>
    <w:rsid w:val="79CB6ED9"/>
    <w:rsid w:val="79D77D74"/>
    <w:rsid w:val="79F71A7C"/>
    <w:rsid w:val="79FA2362"/>
    <w:rsid w:val="79FB5304"/>
    <w:rsid w:val="7A0338FD"/>
    <w:rsid w:val="7A067F11"/>
    <w:rsid w:val="7A081EDB"/>
    <w:rsid w:val="7A0D1276"/>
    <w:rsid w:val="7A0D5743"/>
    <w:rsid w:val="7A1820DA"/>
    <w:rsid w:val="7A1847B2"/>
    <w:rsid w:val="7A2D7B93"/>
    <w:rsid w:val="7A3251AA"/>
    <w:rsid w:val="7A400E8E"/>
    <w:rsid w:val="7A4152DC"/>
    <w:rsid w:val="7A523156"/>
    <w:rsid w:val="7A530E81"/>
    <w:rsid w:val="7A546ECE"/>
    <w:rsid w:val="7A5B1398"/>
    <w:rsid w:val="7A750E83"/>
    <w:rsid w:val="7A822A1F"/>
    <w:rsid w:val="7A8A6D94"/>
    <w:rsid w:val="7A8F1D2D"/>
    <w:rsid w:val="7AA406F8"/>
    <w:rsid w:val="7AAD5F02"/>
    <w:rsid w:val="7AAE4487"/>
    <w:rsid w:val="7AB373E1"/>
    <w:rsid w:val="7AB83901"/>
    <w:rsid w:val="7AC177D0"/>
    <w:rsid w:val="7AD85D51"/>
    <w:rsid w:val="7AD968B7"/>
    <w:rsid w:val="7AF34939"/>
    <w:rsid w:val="7AF536F6"/>
    <w:rsid w:val="7AF61D8B"/>
    <w:rsid w:val="7AF80259"/>
    <w:rsid w:val="7B29350D"/>
    <w:rsid w:val="7B2C7E4B"/>
    <w:rsid w:val="7B486307"/>
    <w:rsid w:val="7B487E2F"/>
    <w:rsid w:val="7B6E2211"/>
    <w:rsid w:val="7B705F89"/>
    <w:rsid w:val="7B7470FC"/>
    <w:rsid w:val="7B8A1910"/>
    <w:rsid w:val="7B8D6D92"/>
    <w:rsid w:val="7B95573E"/>
    <w:rsid w:val="7B9A2996"/>
    <w:rsid w:val="7BA56A97"/>
    <w:rsid w:val="7BAC2D3A"/>
    <w:rsid w:val="7BB5399C"/>
    <w:rsid w:val="7BB73824"/>
    <w:rsid w:val="7BBA5457"/>
    <w:rsid w:val="7BBD6CF5"/>
    <w:rsid w:val="7BC04D1F"/>
    <w:rsid w:val="7BC473B5"/>
    <w:rsid w:val="7BE0021F"/>
    <w:rsid w:val="7BE7739F"/>
    <w:rsid w:val="7BEE3352"/>
    <w:rsid w:val="7BF070CA"/>
    <w:rsid w:val="7C025299"/>
    <w:rsid w:val="7C0B7A60"/>
    <w:rsid w:val="7C172CEB"/>
    <w:rsid w:val="7C176606"/>
    <w:rsid w:val="7C2619F1"/>
    <w:rsid w:val="7C2D1BED"/>
    <w:rsid w:val="7C2D3E7B"/>
    <w:rsid w:val="7C2F7BF3"/>
    <w:rsid w:val="7C322D26"/>
    <w:rsid w:val="7C4A4A2C"/>
    <w:rsid w:val="7C60507B"/>
    <w:rsid w:val="7C664A57"/>
    <w:rsid w:val="7C6A0C2B"/>
    <w:rsid w:val="7C6D3EE4"/>
    <w:rsid w:val="7C6F1B7B"/>
    <w:rsid w:val="7C743857"/>
    <w:rsid w:val="7C972256"/>
    <w:rsid w:val="7CA0464C"/>
    <w:rsid w:val="7CA73C2D"/>
    <w:rsid w:val="7CA7686B"/>
    <w:rsid w:val="7CA83501"/>
    <w:rsid w:val="7CAB1522"/>
    <w:rsid w:val="7CBC0D5A"/>
    <w:rsid w:val="7CBE3583"/>
    <w:rsid w:val="7CE427BB"/>
    <w:rsid w:val="7CF0718F"/>
    <w:rsid w:val="7D0276F9"/>
    <w:rsid w:val="7D0A7D18"/>
    <w:rsid w:val="7D1105CB"/>
    <w:rsid w:val="7D1868D9"/>
    <w:rsid w:val="7D1961AD"/>
    <w:rsid w:val="7D1B715F"/>
    <w:rsid w:val="7D221166"/>
    <w:rsid w:val="7D254B52"/>
    <w:rsid w:val="7D33726F"/>
    <w:rsid w:val="7D380D29"/>
    <w:rsid w:val="7D39535A"/>
    <w:rsid w:val="7D3D633F"/>
    <w:rsid w:val="7D4476CE"/>
    <w:rsid w:val="7D4A280A"/>
    <w:rsid w:val="7D77054E"/>
    <w:rsid w:val="7D98037D"/>
    <w:rsid w:val="7DA93E8E"/>
    <w:rsid w:val="7DAB4284"/>
    <w:rsid w:val="7DB12889"/>
    <w:rsid w:val="7DB83977"/>
    <w:rsid w:val="7DBD6255"/>
    <w:rsid w:val="7DC26844"/>
    <w:rsid w:val="7DE22A43"/>
    <w:rsid w:val="7DEB18F7"/>
    <w:rsid w:val="7DF12600"/>
    <w:rsid w:val="7DF369FE"/>
    <w:rsid w:val="7DF764EE"/>
    <w:rsid w:val="7DFB6294"/>
    <w:rsid w:val="7DFC4D28"/>
    <w:rsid w:val="7DFF53A3"/>
    <w:rsid w:val="7E002EC9"/>
    <w:rsid w:val="7E0E5C00"/>
    <w:rsid w:val="7E0F44BF"/>
    <w:rsid w:val="7E1302A3"/>
    <w:rsid w:val="7E156974"/>
    <w:rsid w:val="7E161FF2"/>
    <w:rsid w:val="7E233C95"/>
    <w:rsid w:val="7E2E7A36"/>
    <w:rsid w:val="7E3C03A5"/>
    <w:rsid w:val="7E571891"/>
    <w:rsid w:val="7E5D57D2"/>
    <w:rsid w:val="7E5D5A37"/>
    <w:rsid w:val="7E6873EC"/>
    <w:rsid w:val="7E6B2A38"/>
    <w:rsid w:val="7E794DA6"/>
    <w:rsid w:val="7E7C69F3"/>
    <w:rsid w:val="7E7F0292"/>
    <w:rsid w:val="7E8345C7"/>
    <w:rsid w:val="7E85231C"/>
    <w:rsid w:val="7E8B6C36"/>
    <w:rsid w:val="7E954A46"/>
    <w:rsid w:val="7E955828"/>
    <w:rsid w:val="7E9608A6"/>
    <w:rsid w:val="7EB32033"/>
    <w:rsid w:val="7EBD5E33"/>
    <w:rsid w:val="7EC47257"/>
    <w:rsid w:val="7EC9775F"/>
    <w:rsid w:val="7EE57BDF"/>
    <w:rsid w:val="7F187F76"/>
    <w:rsid w:val="7F1B26B0"/>
    <w:rsid w:val="7F211C9E"/>
    <w:rsid w:val="7F221CF3"/>
    <w:rsid w:val="7F2C0419"/>
    <w:rsid w:val="7F2C0507"/>
    <w:rsid w:val="7F315A30"/>
    <w:rsid w:val="7F345520"/>
    <w:rsid w:val="7F376DBE"/>
    <w:rsid w:val="7F3B788F"/>
    <w:rsid w:val="7F413799"/>
    <w:rsid w:val="7F44278E"/>
    <w:rsid w:val="7F4B0997"/>
    <w:rsid w:val="7F4D520C"/>
    <w:rsid w:val="7F572FBC"/>
    <w:rsid w:val="7F711680"/>
    <w:rsid w:val="7F7D0C75"/>
    <w:rsid w:val="7F7E679B"/>
    <w:rsid w:val="7F806F63"/>
    <w:rsid w:val="7F843806"/>
    <w:rsid w:val="7F89761A"/>
    <w:rsid w:val="7F8A5140"/>
    <w:rsid w:val="7F8E4C30"/>
    <w:rsid w:val="7F8F6BFA"/>
    <w:rsid w:val="7F954211"/>
    <w:rsid w:val="7F9F0C78"/>
    <w:rsid w:val="7FA17792"/>
    <w:rsid w:val="7FA50424"/>
    <w:rsid w:val="7FB16B71"/>
    <w:rsid w:val="7FB5625E"/>
    <w:rsid w:val="7FBD5515"/>
    <w:rsid w:val="7FD90B07"/>
    <w:rsid w:val="7FDB3BED"/>
    <w:rsid w:val="7FDB6D2A"/>
    <w:rsid w:val="7FDE556A"/>
    <w:rsid w:val="7FE9455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qFormat="1" w:unhideWhenUsed="0" w:uiPriority="0" w:semiHidden="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qFormat="1" w:unhideWhenUsed="0" w:uiPriority="0" w:semiHidden="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28"/>
      <w:lang w:val="en-US" w:eastAsia="zh-CN" w:bidi="ar-SA"/>
    </w:rPr>
  </w:style>
  <w:style w:type="paragraph" w:styleId="5">
    <w:name w:val="heading 1"/>
    <w:basedOn w:val="1"/>
    <w:next w:val="1"/>
    <w:link w:val="60"/>
    <w:qFormat/>
    <w:uiPriority w:val="0"/>
    <w:pPr>
      <w:keepNext/>
      <w:widowControl/>
      <w:tabs>
        <w:tab w:val="left" w:pos="432"/>
      </w:tabs>
      <w:ind w:left="432" w:hanging="432"/>
      <w:jc w:val="center"/>
      <w:outlineLvl w:val="0"/>
    </w:pPr>
    <w:rPr>
      <w:rFonts w:ascii="黑体" w:eastAsia="黑体"/>
      <w:sz w:val="52"/>
    </w:rPr>
  </w:style>
  <w:style w:type="paragraph" w:styleId="6">
    <w:name w:val="heading 2"/>
    <w:basedOn w:val="1"/>
    <w:next w:val="1"/>
    <w:link w:val="114"/>
    <w:qFormat/>
    <w:uiPriority w:val="9"/>
    <w:pPr>
      <w:keepNext/>
      <w:keepLines/>
      <w:widowControl/>
      <w:spacing w:before="260" w:after="260" w:line="416" w:lineRule="auto"/>
      <w:jc w:val="left"/>
      <w:outlineLvl w:val="1"/>
    </w:pPr>
    <w:rPr>
      <w:rFonts w:ascii="Arial" w:hAnsi="Arial" w:eastAsia="黑体"/>
      <w:b/>
      <w:bCs/>
      <w:sz w:val="32"/>
      <w:szCs w:val="32"/>
    </w:rPr>
  </w:style>
  <w:style w:type="paragraph" w:styleId="7">
    <w:name w:val="heading 3"/>
    <w:basedOn w:val="1"/>
    <w:next w:val="1"/>
    <w:link w:val="64"/>
    <w:qFormat/>
    <w:uiPriority w:val="0"/>
    <w:pPr>
      <w:keepNext/>
      <w:keepLines/>
      <w:widowControl/>
      <w:numPr>
        <w:ilvl w:val="2"/>
        <w:numId w:val="1"/>
      </w:numPr>
      <w:tabs>
        <w:tab w:val="left" w:pos="432"/>
      </w:tabs>
      <w:spacing w:before="120" w:after="120" w:line="360" w:lineRule="auto"/>
      <w:jc w:val="center"/>
      <w:outlineLvl w:val="2"/>
    </w:pPr>
    <w:rPr>
      <w:rFonts w:ascii="Times New Roman"/>
      <w:b/>
      <w:sz w:val="32"/>
    </w:rPr>
  </w:style>
  <w:style w:type="paragraph" w:styleId="8">
    <w:name w:val="heading 4"/>
    <w:basedOn w:val="1"/>
    <w:next w:val="1"/>
    <w:link w:val="81"/>
    <w:qFormat/>
    <w:uiPriority w:val="0"/>
    <w:pPr>
      <w:keepNext/>
      <w:keepLines/>
      <w:widowControl/>
      <w:spacing w:before="280" w:after="290" w:line="376" w:lineRule="auto"/>
      <w:jc w:val="left"/>
      <w:outlineLvl w:val="3"/>
    </w:pPr>
    <w:rPr>
      <w:rFonts w:ascii="Arial" w:hAnsi="Arial" w:eastAsia="黑体"/>
      <w:b/>
      <w:bCs/>
      <w:szCs w:val="28"/>
    </w:rPr>
  </w:style>
  <w:style w:type="paragraph" w:styleId="9">
    <w:name w:val="heading 5"/>
    <w:basedOn w:val="1"/>
    <w:next w:val="1"/>
    <w:link w:val="65"/>
    <w:qFormat/>
    <w:uiPriority w:val="0"/>
    <w:pPr>
      <w:keepNext/>
      <w:keepLines/>
      <w:widowControl/>
      <w:spacing w:before="280" w:after="290" w:line="376" w:lineRule="auto"/>
      <w:jc w:val="left"/>
      <w:outlineLvl w:val="4"/>
    </w:pPr>
    <w:rPr>
      <w:rFonts w:ascii="Times New Roman"/>
      <w:b/>
      <w:bCs/>
      <w:szCs w:val="28"/>
    </w:rPr>
  </w:style>
  <w:style w:type="paragraph" w:styleId="10">
    <w:name w:val="heading 6"/>
    <w:basedOn w:val="1"/>
    <w:next w:val="1"/>
    <w:link w:val="54"/>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sz w:val="24"/>
      <w:szCs w:val="24"/>
    </w:rPr>
  </w:style>
  <w:style w:type="paragraph" w:styleId="11">
    <w:name w:val="heading 7"/>
    <w:basedOn w:val="1"/>
    <w:next w:val="1"/>
    <w:link w:val="56"/>
    <w:qFormat/>
    <w:uiPriority w:val="0"/>
    <w:pPr>
      <w:keepNext/>
      <w:keepLines/>
      <w:widowControl/>
      <w:tabs>
        <w:tab w:val="left" w:pos="2520"/>
      </w:tabs>
      <w:spacing w:before="240" w:after="64" w:line="320" w:lineRule="auto"/>
      <w:ind w:left="1296" w:hanging="1296"/>
      <w:jc w:val="left"/>
      <w:outlineLvl w:val="6"/>
    </w:pPr>
    <w:rPr>
      <w:rFonts w:ascii="Times New Roman"/>
      <w:b/>
      <w:bCs/>
      <w:sz w:val="24"/>
      <w:szCs w:val="24"/>
    </w:rPr>
  </w:style>
  <w:style w:type="paragraph" w:styleId="12">
    <w:name w:val="heading 8"/>
    <w:basedOn w:val="1"/>
    <w:next w:val="1"/>
    <w:link w:val="76"/>
    <w:qFormat/>
    <w:uiPriority w:val="0"/>
    <w:pPr>
      <w:keepNext/>
      <w:keepLines/>
      <w:widowControl/>
      <w:tabs>
        <w:tab w:val="left" w:pos="1440"/>
      </w:tabs>
      <w:spacing w:before="240" w:after="64" w:line="320" w:lineRule="auto"/>
      <w:ind w:left="1440" w:hanging="1440"/>
      <w:jc w:val="left"/>
      <w:outlineLvl w:val="7"/>
    </w:pPr>
    <w:rPr>
      <w:rFonts w:ascii="Arial" w:hAnsi="Arial" w:eastAsia="黑体"/>
      <w:sz w:val="24"/>
      <w:szCs w:val="24"/>
    </w:rPr>
  </w:style>
  <w:style w:type="paragraph" w:styleId="13">
    <w:name w:val="heading 9"/>
    <w:basedOn w:val="1"/>
    <w:next w:val="1"/>
    <w:link w:val="69"/>
    <w:qFormat/>
    <w:uiPriority w:val="0"/>
    <w:pPr>
      <w:keepNext/>
      <w:keepLines/>
      <w:widowControl/>
      <w:tabs>
        <w:tab w:val="left" w:pos="1584"/>
      </w:tabs>
      <w:spacing w:before="240" w:after="64" w:line="320" w:lineRule="auto"/>
      <w:ind w:left="1584" w:hanging="1584"/>
      <w:jc w:val="left"/>
      <w:outlineLvl w:val="8"/>
    </w:pPr>
    <w:rPr>
      <w:rFonts w:ascii="Arial" w:hAnsi="Arial" w:eastAsia="黑体"/>
      <w:sz w:val="21"/>
      <w:szCs w:val="21"/>
    </w:rPr>
  </w:style>
  <w:style w:type="character" w:default="1" w:styleId="39">
    <w:name w:val="Default Paragraph Font"/>
    <w:unhideWhenUsed/>
    <w:qFormat/>
    <w:uiPriority w:val="1"/>
  </w:style>
  <w:style w:type="table" w:default="1" w:styleId="37">
    <w:name w:val="Normal Table"/>
    <w:unhideWhenUsed/>
    <w:qFormat/>
    <w:uiPriority w:val="99"/>
    <w:tblPr>
      <w:tblCellMar>
        <w:top w:w="0" w:type="dxa"/>
        <w:left w:w="108" w:type="dxa"/>
        <w:bottom w:w="0" w:type="dxa"/>
        <w:right w:w="108" w:type="dxa"/>
      </w:tblCellMar>
    </w:tblPr>
  </w:style>
  <w:style w:type="paragraph" w:styleId="2">
    <w:name w:val="Body Text First Indent 2"/>
    <w:basedOn w:val="3"/>
    <w:unhideWhenUsed/>
    <w:qFormat/>
    <w:uiPriority w:val="99"/>
    <w:pPr>
      <w:ind w:left="200" w:leftChars="200" w:firstLine="420" w:firstLineChars="200"/>
    </w:pPr>
    <w:rPr>
      <w:sz w:val="21"/>
      <w:szCs w:val="24"/>
    </w:rPr>
  </w:style>
  <w:style w:type="paragraph" w:styleId="3">
    <w:name w:val="Body Text Indent"/>
    <w:basedOn w:val="1"/>
    <w:next w:val="4"/>
    <w:link w:val="71"/>
    <w:qFormat/>
    <w:uiPriority w:val="99"/>
    <w:pPr>
      <w:widowControl/>
      <w:spacing w:after="120"/>
      <w:ind w:left="420"/>
      <w:jc w:val="left"/>
    </w:pPr>
    <w:rPr>
      <w:sz w:val="20"/>
    </w:rPr>
  </w:style>
  <w:style w:type="paragraph" w:customStyle="1" w:styleId="4">
    <w:name w:val="样式 正文文字缩进 + 小四 首行缩进:  2 字符"/>
    <w:basedOn w:val="1"/>
    <w:qFormat/>
    <w:uiPriority w:val="0"/>
    <w:pPr>
      <w:spacing w:line="600" w:lineRule="exact"/>
      <w:jc w:val="center"/>
    </w:pPr>
    <w:rPr>
      <w:b/>
      <w:u w:val="double"/>
    </w:rPr>
  </w:style>
  <w:style w:type="paragraph" w:styleId="14">
    <w:name w:val="index 8"/>
    <w:basedOn w:val="1"/>
    <w:next w:val="1"/>
    <w:qFormat/>
    <w:uiPriority w:val="0"/>
    <w:pPr>
      <w:ind w:left="1400" w:leftChars="1400"/>
    </w:pPr>
  </w:style>
  <w:style w:type="paragraph" w:styleId="15">
    <w:name w:val="Normal Indent"/>
    <w:basedOn w:val="1"/>
    <w:next w:val="1"/>
    <w:link w:val="84"/>
    <w:qFormat/>
    <w:uiPriority w:val="0"/>
    <w:pPr>
      <w:widowControl/>
      <w:ind w:firstLine="420"/>
      <w:jc w:val="left"/>
    </w:pPr>
    <w:rPr>
      <w:rFonts w:ascii="Times New Roman"/>
      <w:sz w:val="20"/>
    </w:rPr>
  </w:style>
  <w:style w:type="paragraph" w:styleId="16">
    <w:name w:val="caption"/>
    <w:basedOn w:val="1"/>
    <w:next w:val="1"/>
    <w:link w:val="83"/>
    <w:qFormat/>
    <w:uiPriority w:val="0"/>
    <w:pPr>
      <w:spacing w:line="360" w:lineRule="auto"/>
      <w:ind w:firstLine="200" w:firstLineChars="200"/>
    </w:pPr>
    <w:rPr>
      <w:rFonts w:ascii="Arial" w:hAnsi="Arial" w:eastAsia="黑体"/>
      <w:kern w:val="2"/>
      <w:sz w:val="20"/>
    </w:rPr>
  </w:style>
  <w:style w:type="paragraph" w:styleId="17">
    <w:name w:val="Document Map"/>
    <w:basedOn w:val="1"/>
    <w:link w:val="63"/>
    <w:qFormat/>
    <w:uiPriority w:val="0"/>
    <w:pPr>
      <w:widowControl/>
      <w:shd w:val="clear" w:color="auto" w:fill="000080"/>
      <w:jc w:val="left"/>
    </w:pPr>
    <w:rPr>
      <w:rFonts w:ascii="Times New Roman"/>
      <w:sz w:val="20"/>
    </w:rPr>
  </w:style>
  <w:style w:type="paragraph" w:styleId="18">
    <w:name w:val="toa heading"/>
    <w:basedOn w:val="1"/>
    <w:next w:val="1"/>
    <w:qFormat/>
    <w:uiPriority w:val="0"/>
    <w:pPr>
      <w:spacing w:before="120"/>
    </w:pPr>
    <w:rPr>
      <w:rFonts w:ascii="Arial" w:hAnsi="Arial" w:eastAsia="微软雅黑"/>
      <w:sz w:val="24"/>
      <w:szCs w:val="21"/>
    </w:rPr>
  </w:style>
  <w:style w:type="paragraph" w:styleId="19">
    <w:name w:val="annotation text"/>
    <w:basedOn w:val="1"/>
    <w:link w:val="67"/>
    <w:qFormat/>
    <w:uiPriority w:val="0"/>
    <w:pPr>
      <w:jc w:val="left"/>
    </w:pPr>
    <w:rPr>
      <w:rFonts w:ascii="Times New Roman"/>
      <w:kern w:val="2"/>
      <w:sz w:val="21"/>
      <w:szCs w:val="24"/>
    </w:rPr>
  </w:style>
  <w:style w:type="paragraph" w:styleId="20">
    <w:name w:val="Body Text 3"/>
    <w:basedOn w:val="1"/>
    <w:link w:val="59"/>
    <w:qFormat/>
    <w:uiPriority w:val="0"/>
    <w:pPr>
      <w:spacing w:after="120"/>
    </w:pPr>
    <w:rPr>
      <w:rFonts w:ascii="Times New Roman"/>
      <w:kern w:val="2"/>
      <w:sz w:val="16"/>
      <w:szCs w:val="16"/>
    </w:rPr>
  </w:style>
  <w:style w:type="paragraph" w:styleId="21">
    <w:name w:val="Body Text"/>
    <w:basedOn w:val="1"/>
    <w:next w:val="1"/>
    <w:link w:val="72"/>
    <w:qFormat/>
    <w:uiPriority w:val="0"/>
    <w:pPr>
      <w:widowControl/>
      <w:spacing w:after="120"/>
      <w:jc w:val="left"/>
    </w:pPr>
    <w:rPr>
      <w:sz w:val="20"/>
    </w:rPr>
  </w:style>
  <w:style w:type="paragraph" w:styleId="22">
    <w:name w:val="toc 3"/>
    <w:basedOn w:val="1"/>
    <w:next w:val="1"/>
    <w:qFormat/>
    <w:uiPriority w:val="39"/>
    <w:pPr>
      <w:widowControl/>
      <w:tabs>
        <w:tab w:val="right" w:leader="dot" w:pos="9218"/>
      </w:tabs>
      <w:spacing w:line="360" w:lineRule="auto"/>
      <w:ind w:left="840"/>
      <w:jc w:val="left"/>
    </w:pPr>
    <w:rPr>
      <w:rFonts w:ascii="仿宋_GB2312" w:hAnsi="华文中宋" w:eastAsia="仿宋_GB2312"/>
      <w:b/>
      <w:sz w:val="24"/>
    </w:rPr>
  </w:style>
  <w:style w:type="paragraph" w:styleId="23">
    <w:name w:val="Plain Text"/>
    <w:basedOn w:val="1"/>
    <w:link w:val="80"/>
    <w:qFormat/>
    <w:uiPriority w:val="0"/>
    <w:rPr>
      <w:rFonts w:hAnsi="Courier New"/>
      <w:kern w:val="2"/>
      <w:sz w:val="21"/>
      <w:szCs w:val="21"/>
    </w:rPr>
  </w:style>
  <w:style w:type="paragraph" w:styleId="24">
    <w:name w:val="Date"/>
    <w:basedOn w:val="1"/>
    <w:next w:val="1"/>
    <w:link w:val="66"/>
    <w:qFormat/>
    <w:uiPriority w:val="0"/>
    <w:rPr>
      <w:rFonts w:ascii="Times New Roman"/>
      <w:kern w:val="2"/>
      <w:sz w:val="24"/>
    </w:rPr>
  </w:style>
  <w:style w:type="paragraph" w:styleId="25">
    <w:name w:val="Body Text Indent 2"/>
    <w:basedOn w:val="1"/>
    <w:link w:val="68"/>
    <w:qFormat/>
    <w:uiPriority w:val="0"/>
    <w:pPr>
      <w:widowControl/>
      <w:overflowPunct w:val="0"/>
      <w:autoSpaceDE w:val="0"/>
      <w:autoSpaceDN w:val="0"/>
      <w:adjustRightInd w:val="0"/>
      <w:spacing w:line="360" w:lineRule="auto"/>
      <w:ind w:firstLine="555"/>
      <w:textAlignment w:val="baseline"/>
    </w:pPr>
    <w:rPr>
      <w:rFonts w:hAnsi="MS Sans Serif"/>
      <w:spacing w:val="12"/>
      <w:sz w:val="24"/>
    </w:rPr>
  </w:style>
  <w:style w:type="paragraph" w:styleId="26">
    <w:name w:val="Balloon Text"/>
    <w:basedOn w:val="1"/>
    <w:link w:val="70"/>
    <w:qFormat/>
    <w:uiPriority w:val="0"/>
    <w:rPr>
      <w:rFonts w:ascii="Times New Roman"/>
      <w:kern w:val="2"/>
      <w:sz w:val="18"/>
      <w:szCs w:val="18"/>
    </w:rPr>
  </w:style>
  <w:style w:type="paragraph" w:styleId="27">
    <w:name w:val="footer"/>
    <w:basedOn w:val="1"/>
    <w:link w:val="77"/>
    <w:qFormat/>
    <w:uiPriority w:val="0"/>
    <w:pPr>
      <w:tabs>
        <w:tab w:val="center" w:pos="4153"/>
        <w:tab w:val="right" w:pos="8306"/>
      </w:tabs>
      <w:snapToGrid w:val="0"/>
      <w:jc w:val="left"/>
    </w:pPr>
    <w:rPr>
      <w:rFonts w:ascii="Times New Roman"/>
      <w:kern w:val="2"/>
      <w:sz w:val="18"/>
      <w:szCs w:val="18"/>
    </w:rPr>
  </w:style>
  <w:style w:type="paragraph" w:styleId="28">
    <w:name w:val="header"/>
    <w:basedOn w:val="1"/>
    <w:link w:val="73"/>
    <w:qFormat/>
    <w:uiPriority w:val="0"/>
    <w:pPr>
      <w:pBdr>
        <w:bottom w:val="single" w:color="auto" w:sz="6" w:space="1"/>
      </w:pBdr>
      <w:tabs>
        <w:tab w:val="center" w:pos="4153"/>
        <w:tab w:val="right" w:pos="8306"/>
      </w:tabs>
      <w:snapToGrid w:val="0"/>
      <w:jc w:val="center"/>
    </w:pPr>
    <w:rPr>
      <w:rFonts w:ascii="Times New Roman"/>
      <w:kern w:val="2"/>
      <w:sz w:val="18"/>
      <w:szCs w:val="18"/>
    </w:rPr>
  </w:style>
  <w:style w:type="paragraph" w:styleId="29">
    <w:name w:val="toc 1"/>
    <w:basedOn w:val="1"/>
    <w:next w:val="1"/>
    <w:qFormat/>
    <w:uiPriority w:val="39"/>
  </w:style>
  <w:style w:type="paragraph" w:styleId="30">
    <w:name w:val="Body Text Indent 3"/>
    <w:basedOn w:val="1"/>
    <w:link w:val="79"/>
    <w:qFormat/>
    <w:uiPriority w:val="0"/>
    <w:pPr>
      <w:widowControl/>
      <w:overflowPunct w:val="0"/>
      <w:autoSpaceDE w:val="0"/>
      <w:autoSpaceDN w:val="0"/>
      <w:adjustRightInd w:val="0"/>
      <w:spacing w:line="360" w:lineRule="auto"/>
      <w:ind w:firstLine="540"/>
      <w:textAlignment w:val="baseline"/>
    </w:pPr>
    <w:rPr>
      <w:rFonts w:hAnsi="MS Sans Serif"/>
      <w:color w:val="000000"/>
      <w:sz w:val="24"/>
    </w:rPr>
  </w:style>
  <w:style w:type="paragraph" w:styleId="31">
    <w:name w:val="toc 2"/>
    <w:basedOn w:val="1"/>
    <w:next w:val="1"/>
    <w:qFormat/>
    <w:uiPriority w:val="39"/>
    <w:pPr>
      <w:widowControl/>
      <w:tabs>
        <w:tab w:val="left" w:pos="1260"/>
        <w:tab w:val="right" w:leader="dot" w:pos="9218"/>
      </w:tabs>
      <w:spacing w:line="360" w:lineRule="auto"/>
      <w:ind w:left="420"/>
      <w:jc w:val="left"/>
    </w:pPr>
    <w:rPr>
      <w:rFonts w:ascii="仿宋_GB2312" w:eastAsia="仿宋_GB2312"/>
      <w:b/>
      <w:sz w:val="24"/>
    </w:rPr>
  </w:style>
  <w:style w:type="paragraph" w:styleId="32">
    <w:name w:val="Body Text 2"/>
    <w:basedOn w:val="1"/>
    <w:qFormat/>
    <w:uiPriority w:val="99"/>
    <w:rPr>
      <w:rFonts w:cs="宋体"/>
      <w:sz w:val="20"/>
    </w:rPr>
  </w:style>
  <w:style w:type="paragraph" w:styleId="33">
    <w:name w:val="Normal (Web)"/>
    <w:basedOn w:val="1"/>
    <w:qFormat/>
    <w:uiPriority w:val="99"/>
    <w:pPr>
      <w:widowControl/>
      <w:spacing w:before="100" w:beforeAutospacing="1" w:after="100" w:afterAutospacing="1"/>
      <w:jc w:val="left"/>
    </w:pPr>
    <w:rPr>
      <w:rFonts w:ascii="Times New Roman" w:hAnsi="宋体"/>
      <w:sz w:val="24"/>
      <w:szCs w:val="24"/>
    </w:rPr>
  </w:style>
  <w:style w:type="paragraph" w:styleId="34">
    <w:name w:val="Title"/>
    <w:next w:val="1"/>
    <w:qFormat/>
    <w:uiPriority w:val="10"/>
    <w:pPr>
      <w:jc w:val="center"/>
    </w:pPr>
    <w:rPr>
      <w:rFonts w:ascii="Times New Roman" w:hAnsi="Times New Roman" w:eastAsia="宋体" w:cs="Times New Roman"/>
      <w:b/>
      <w:bCs/>
      <w:szCs w:val="32"/>
      <w:lang w:val="en-US" w:eastAsia="zh-CN" w:bidi="ar-SA"/>
    </w:rPr>
  </w:style>
  <w:style w:type="paragraph" w:styleId="35">
    <w:name w:val="annotation subject"/>
    <w:basedOn w:val="19"/>
    <w:next w:val="19"/>
    <w:link w:val="58"/>
    <w:qFormat/>
    <w:uiPriority w:val="0"/>
    <w:pPr>
      <w:widowControl/>
    </w:pPr>
    <w:rPr>
      <w:b/>
      <w:bCs/>
      <w:kern w:val="0"/>
      <w:sz w:val="20"/>
      <w:szCs w:val="20"/>
    </w:rPr>
  </w:style>
  <w:style w:type="paragraph" w:styleId="36">
    <w:name w:val="Body Text First Indent"/>
    <w:basedOn w:val="1"/>
    <w:qFormat/>
    <w:uiPriority w:val="0"/>
    <w:pPr>
      <w:ind w:firstLine="480" w:firstLineChars="200"/>
    </w:pPr>
    <w:rPr>
      <w:szCs w:val="21"/>
    </w:rPr>
  </w:style>
  <w:style w:type="table" w:styleId="38">
    <w:name w:val="Table Grid"/>
    <w:basedOn w:val="3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0">
    <w:name w:val="Strong"/>
    <w:qFormat/>
    <w:uiPriority w:val="0"/>
    <w:rPr>
      <w:b/>
      <w:bCs/>
    </w:rPr>
  </w:style>
  <w:style w:type="character" w:styleId="41">
    <w:name w:val="page number"/>
    <w:basedOn w:val="39"/>
    <w:qFormat/>
    <w:uiPriority w:val="0"/>
  </w:style>
  <w:style w:type="character" w:styleId="42">
    <w:name w:val="FollowedHyperlink"/>
    <w:qFormat/>
    <w:uiPriority w:val="0"/>
    <w:rPr>
      <w:color w:val="800080"/>
      <w:u w:val="single"/>
    </w:rPr>
  </w:style>
  <w:style w:type="character" w:styleId="43">
    <w:name w:val="Hyperlink"/>
    <w:qFormat/>
    <w:uiPriority w:val="99"/>
    <w:rPr>
      <w:color w:val="0000FF"/>
      <w:u w:val="single"/>
    </w:rPr>
  </w:style>
  <w:style w:type="character" w:styleId="44">
    <w:name w:val="annotation reference"/>
    <w:qFormat/>
    <w:uiPriority w:val="0"/>
    <w:rPr>
      <w:sz w:val="21"/>
      <w:szCs w:val="21"/>
    </w:rPr>
  </w:style>
  <w:style w:type="paragraph" w:customStyle="1" w:styleId="45">
    <w:name w:val="无缩进正文"/>
    <w:basedOn w:val="1"/>
    <w:next w:val="1"/>
    <w:qFormat/>
    <w:uiPriority w:val="0"/>
  </w:style>
  <w:style w:type="paragraph" w:customStyle="1" w:styleId="46">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7">
    <w:name w:val="正文文本首行缩进 21"/>
    <w:basedOn w:val="3"/>
    <w:qFormat/>
    <w:uiPriority w:val="99"/>
    <w:pPr>
      <w:spacing w:line="200" w:lineRule="atLeast"/>
      <w:ind w:firstLine="420"/>
    </w:pPr>
    <w:rPr>
      <w:rFonts w:hAnsi="Courier New"/>
      <w:spacing w:val="-4"/>
      <w:sz w:val="18"/>
    </w:rPr>
  </w:style>
  <w:style w:type="paragraph" w:customStyle="1" w:styleId="48">
    <w:name w:val="正文（自定义）"/>
    <w:basedOn w:val="1"/>
    <w:qFormat/>
    <w:uiPriority w:val="0"/>
    <w:pPr>
      <w:ind w:firstLine="200" w:firstLineChars="200"/>
    </w:pPr>
    <w:rPr>
      <w:rFonts w:ascii="仿宋_GB2312" w:hAnsi="仿宋_GB2312" w:eastAsia="仿宋_GB2312"/>
      <w:sz w:val="32"/>
    </w:rPr>
  </w:style>
  <w:style w:type="paragraph" w:customStyle="1" w:styleId="49">
    <w:name w:val="图表目录1"/>
    <w:basedOn w:val="50"/>
    <w:next w:val="50"/>
    <w:qFormat/>
    <w:uiPriority w:val="0"/>
    <w:pPr>
      <w:spacing w:beforeAutospacing="1" w:afterAutospacing="1"/>
      <w:ind w:left="200" w:leftChars="200" w:hanging="200" w:hangingChars="200"/>
    </w:pPr>
  </w:style>
  <w:style w:type="paragraph" w:customStyle="1" w:styleId="50">
    <w:name w:val="正文 New New New New New New New New New New New New New New New New New New New New New New New New New New New New New New New New New New New New New New New New New New New New New New New New New New New New New New New New New New New New New New Ne"/>
    <w:next w:val="49"/>
    <w:qFormat/>
    <w:uiPriority w:val="0"/>
    <w:pPr>
      <w:widowControl w:val="0"/>
      <w:jc w:val="both"/>
    </w:pPr>
    <w:rPr>
      <w:rFonts w:ascii="Times New Roman" w:hAnsi="Times New Roman" w:eastAsia="宋体" w:cs="黑体"/>
      <w:kern w:val="2"/>
      <w:sz w:val="21"/>
      <w:szCs w:val="24"/>
      <w:lang w:val="en-US" w:eastAsia="zh-CN" w:bidi="ar-SA"/>
    </w:rPr>
  </w:style>
  <w:style w:type="paragraph" w:customStyle="1" w:styleId="51">
    <w:name w:val="无间隔1"/>
    <w:next w:val="1"/>
    <w:qFormat/>
    <w:uiPriority w:val="0"/>
    <w:pPr>
      <w:widowControl w:val="0"/>
      <w:jc w:val="both"/>
    </w:pPr>
    <w:rPr>
      <w:rFonts w:ascii="Calibri" w:hAnsi="Calibri" w:eastAsia="宋体" w:cs="Times New Roman"/>
      <w:kern w:val="2"/>
      <w:sz w:val="21"/>
      <w:szCs w:val="22"/>
      <w:lang w:val="en-US" w:eastAsia="zh-CN" w:bidi="ar-SA"/>
    </w:rPr>
  </w:style>
  <w:style w:type="character" w:customStyle="1" w:styleId="52">
    <w:name w:val="grame"/>
    <w:qFormat/>
    <w:uiPriority w:val="0"/>
  </w:style>
  <w:style w:type="character" w:customStyle="1" w:styleId="53">
    <w:name w:val="style11"/>
    <w:qFormat/>
    <w:uiPriority w:val="0"/>
    <w:rPr>
      <w:color w:val="000000"/>
      <w:sz w:val="18"/>
      <w:szCs w:val="18"/>
    </w:rPr>
  </w:style>
  <w:style w:type="character" w:customStyle="1" w:styleId="54">
    <w:name w:val="标题 6 字符"/>
    <w:link w:val="10"/>
    <w:qFormat/>
    <w:uiPriority w:val="0"/>
    <w:rPr>
      <w:rFonts w:ascii="Arial" w:hAnsi="Arial" w:eastAsia="黑体"/>
      <w:b/>
      <w:bCs/>
      <w:sz w:val="24"/>
      <w:szCs w:val="24"/>
    </w:rPr>
  </w:style>
  <w:style w:type="character" w:customStyle="1" w:styleId="55">
    <w:name w:val="批注框文本 Char"/>
    <w:qFormat/>
    <w:uiPriority w:val="0"/>
    <w:rPr>
      <w:rFonts w:eastAsia="宋体"/>
      <w:kern w:val="2"/>
      <w:sz w:val="18"/>
      <w:szCs w:val="18"/>
      <w:lang w:val="en-US" w:eastAsia="zh-CN" w:bidi="ar-SA"/>
    </w:rPr>
  </w:style>
  <w:style w:type="character" w:customStyle="1" w:styleId="56">
    <w:name w:val="标题 7 字符"/>
    <w:link w:val="11"/>
    <w:qFormat/>
    <w:uiPriority w:val="0"/>
    <w:rPr>
      <w:b/>
      <w:bCs/>
      <w:sz w:val="24"/>
      <w:szCs w:val="24"/>
    </w:rPr>
  </w:style>
  <w:style w:type="character" w:customStyle="1" w:styleId="57">
    <w:name w:val="纯文本 Char1"/>
    <w:qFormat/>
    <w:uiPriority w:val="99"/>
    <w:rPr>
      <w:rFonts w:ascii="宋体" w:hAnsi="Courier New" w:cs="Courier New"/>
      <w:kern w:val="2"/>
      <w:sz w:val="21"/>
      <w:szCs w:val="21"/>
    </w:rPr>
  </w:style>
  <w:style w:type="character" w:customStyle="1" w:styleId="58">
    <w:name w:val="批注主题 字符"/>
    <w:link w:val="35"/>
    <w:qFormat/>
    <w:uiPriority w:val="0"/>
    <w:rPr>
      <w:b/>
      <w:bCs/>
    </w:rPr>
  </w:style>
  <w:style w:type="character" w:customStyle="1" w:styleId="59">
    <w:name w:val="正文文本 3 字符"/>
    <w:link w:val="20"/>
    <w:qFormat/>
    <w:uiPriority w:val="0"/>
    <w:rPr>
      <w:kern w:val="2"/>
      <w:sz w:val="16"/>
      <w:szCs w:val="16"/>
    </w:rPr>
  </w:style>
  <w:style w:type="character" w:customStyle="1" w:styleId="60">
    <w:name w:val="标题 1 字符"/>
    <w:link w:val="5"/>
    <w:qFormat/>
    <w:uiPriority w:val="0"/>
    <w:rPr>
      <w:rFonts w:ascii="黑体" w:eastAsia="黑体"/>
      <w:sz w:val="52"/>
    </w:rPr>
  </w:style>
  <w:style w:type="character" w:customStyle="1" w:styleId="61">
    <w:name w:val="超级链接"/>
    <w:qFormat/>
    <w:uiPriority w:val="0"/>
    <w:rPr>
      <w:rFonts w:ascii="Times New Roman" w:eastAsia="宋体"/>
      <w:color w:val="0000FF"/>
      <w:sz w:val="21"/>
      <w:u w:val="single" w:color="0000FF"/>
      <w:vertAlign w:val="baseline"/>
      <w:lang w:val="en-US" w:eastAsia="zh-CN"/>
    </w:rPr>
  </w:style>
  <w:style w:type="character" w:customStyle="1" w:styleId="62">
    <w:name w:val="链接"/>
    <w:qFormat/>
    <w:uiPriority w:val="0"/>
    <w:rPr>
      <w:rFonts w:ascii="Times New Roman" w:eastAsia="宋体"/>
      <w:color w:val="0000FF"/>
      <w:sz w:val="21"/>
      <w:u w:val="single" w:color="0000FF"/>
      <w:vertAlign w:val="baseline"/>
      <w:lang w:val="en-US" w:eastAsia="zh-CN"/>
    </w:rPr>
  </w:style>
  <w:style w:type="character" w:customStyle="1" w:styleId="63">
    <w:name w:val="文档结构图 字符"/>
    <w:link w:val="17"/>
    <w:qFormat/>
    <w:uiPriority w:val="0"/>
    <w:rPr>
      <w:shd w:val="clear" w:color="auto" w:fill="000080"/>
    </w:rPr>
  </w:style>
  <w:style w:type="character" w:customStyle="1" w:styleId="64">
    <w:name w:val="标题 3 字符"/>
    <w:link w:val="7"/>
    <w:qFormat/>
    <w:uiPriority w:val="0"/>
    <w:rPr>
      <w:b/>
      <w:sz w:val="32"/>
    </w:rPr>
  </w:style>
  <w:style w:type="character" w:customStyle="1" w:styleId="65">
    <w:name w:val="标题 5 字符"/>
    <w:link w:val="9"/>
    <w:qFormat/>
    <w:uiPriority w:val="0"/>
    <w:rPr>
      <w:b/>
      <w:bCs/>
      <w:sz w:val="28"/>
      <w:szCs w:val="28"/>
    </w:rPr>
  </w:style>
  <w:style w:type="character" w:customStyle="1" w:styleId="66">
    <w:name w:val="日期 字符"/>
    <w:link w:val="24"/>
    <w:qFormat/>
    <w:uiPriority w:val="0"/>
    <w:rPr>
      <w:kern w:val="2"/>
      <w:sz w:val="24"/>
    </w:rPr>
  </w:style>
  <w:style w:type="character" w:customStyle="1" w:styleId="67">
    <w:name w:val="批注文字 字符"/>
    <w:link w:val="19"/>
    <w:qFormat/>
    <w:uiPriority w:val="0"/>
    <w:rPr>
      <w:kern w:val="2"/>
      <w:sz w:val="21"/>
      <w:szCs w:val="24"/>
    </w:rPr>
  </w:style>
  <w:style w:type="character" w:customStyle="1" w:styleId="68">
    <w:name w:val="正文文本缩进 2 字符"/>
    <w:link w:val="25"/>
    <w:qFormat/>
    <w:uiPriority w:val="0"/>
    <w:rPr>
      <w:rFonts w:ascii="宋体" w:hAnsi="MS Sans Serif"/>
      <w:spacing w:val="12"/>
      <w:sz w:val="24"/>
    </w:rPr>
  </w:style>
  <w:style w:type="character" w:customStyle="1" w:styleId="69">
    <w:name w:val="标题 9 字符"/>
    <w:link w:val="13"/>
    <w:qFormat/>
    <w:uiPriority w:val="0"/>
    <w:rPr>
      <w:rFonts w:ascii="Arial" w:hAnsi="Arial" w:eastAsia="黑体"/>
      <w:sz w:val="21"/>
      <w:szCs w:val="21"/>
    </w:rPr>
  </w:style>
  <w:style w:type="character" w:customStyle="1" w:styleId="70">
    <w:name w:val="批注框文本 字符"/>
    <w:link w:val="26"/>
    <w:qFormat/>
    <w:uiPriority w:val="0"/>
    <w:rPr>
      <w:kern w:val="2"/>
      <w:sz w:val="18"/>
      <w:szCs w:val="18"/>
    </w:rPr>
  </w:style>
  <w:style w:type="character" w:customStyle="1" w:styleId="71">
    <w:name w:val="正文文本缩进 字符"/>
    <w:basedOn w:val="39"/>
    <w:link w:val="3"/>
    <w:qFormat/>
    <w:uiPriority w:val="99"/>
  </w:style>
  <w:style w:type="character" w:customStyle="1" w:styleId="72">
    <w:name w:val="正文文本 字符"/>
    <w:basedOn w:val="39"/>
    <w:link w:val="21"/>
    <w:qFormat/>
    <w:uiPriority w:val="0"/>
  </w:style>
  <w:style w:type="character" w:customStyle="1" w:styleId="73">
    <w:name w:val="页眉 字符"/>
    <w:link w:val="28"/>
    <w:qFormat/>
    <w:uiPriority w:val="0"/>
    <w:rPr>
      <w:kern w:val="2"/>
      <w:sz w:val="18"/>
      <w:szCs w:val="18"/>
    </w:rPr>
  </w:style>
  <w:style w:type="character" w:customStyle="1" w:styleId="74">
    <w:name w:val="cpx12hei21"/>
    <w:qFormat/>
    <w:uiPriority w:val="0"/>
    <w:rPr>
      <w:rFonts w:hint="default"/>
      <w:color w:val="0C0C0E"/>
      <w:sz w:val="18"/>
      <w:szCs w:val="18"/>
      <w:u w:val="none"/>
    </w:rPr>
  </w:style>
  <w:style w:type="character" w:customStyle="1" w:styleId="75">
    <w:name w:val="标题 2 字符"/>
    <w:link w:val="6"/>
    <w:qFormat/>
    <w:uiPriority w:val="9"/>
    <w:rPr>
      <w:rFonts w:ascii="Arial" w:hAnsi="Arial" w:eastAsia="黑体"/>
      <w:b/>
      <w:bCs/>
      <w:sz w:val="32"/>
      <w:szCs w:val="32"/>
    </w:rPr>
  </w:style>
  <w:style w:type="character" w:customStyle="1" w:styleId="76">
    <w:name w:val="标题 8 字符"/>
    <w:link w:val="12"/>
    <w:qFormat/>
    <w:uiPriority w:val="0"/>
    <w:rPr>
      <w:rFonts w:ascii="Arial" w:hAnsi="Arial" w:eastAsia="黑体"/>
      <w:sz w:val="24"/>
      <w:szCs w:val="24"/>
    </w:rPr>
  </w:style>
  <w:style w:type="character" w:customStyle="1" w:styleId="77">
    <w:name w:val="页脚 字符"/>
    <w:link w:val="27"/>
    <w:qFormat/>
    <w:uiPriority w:val="0"/>
    <w:rPr>
      <w:kern w:val="2"/>
      <w:sz w:val="18"/>
      <w:szCs w:val="18"/>
    </w:rPr>
  </w:style>
  <w:style w:type="character" w:customStyle="1" w:styleId="78">
    <w:name w:val="页脚 Char"/>
    <w:qFormat/>
    <w:uiPriority w:val="99"/>
    <w:rPr>
      <w:rFonts w:eastAsia="宋体"/>
      <w:kern w:val="2"/>
      <w:sz w:val="18"/>
      <w:lang w:val="en-US" w:eastAsia="zh-CN" w:bidi="ar-SA"/>
    </w:rPr>
  </w:style>
  <w:style w:type="character" w:customStyle="1" w:styleId="79">
    <w:name w:val="正文文本缩进 3 字符"/>
    <w:link w:val="30"/>
    <w:qFormat/>
    <w:uiPriority w:val="0"/>
    <w:rPr>
      <w:rFonts w:ascii="宋体" w:hAnsi="MS Sans Serif"/>
      <w:color w:val="000000"/>
      <w:sz w:val="24"/>
    </w:rPr>
  </w:style>
  <w:style w:type="character" w:customStyle="1" w:styleId="80">
    <w:name w:val="纯文本 字符"/>
    <w:link w:val="23"/>
    <w:qFormat/>
    <w:uiPriority w:val="0"/>
    <w:rPr>
      <w:rFonts w:ascii="宋体" w:hAnsi="Courier New" w:cs="Courier New"/>
      <w:kern w:val="2"/>
      <w:sz w:val="21"/>
      <w:szCs w:val="21"/>
    </w:rPr>
  </w:style>
  <w:style w:type="character" w:customStyle="1" w:styleId="81">
    <w:name w:val="标题 4 字符"/>
    <w:link w:val="8"/>
    <w:qFormat/>
    <w:uiPriority w:val="0"/>
    <w:rPr>
      <w:rFonts w:ascii="Arial" w:hAnsi="Arial" w:eastAsia="黑体"/>
      <w:b/>
      <w:bCs/>
      <w:sz w:val="28"/>
      <w:szCs w:val="28"/>
    </w:rPr>
  </w:style>
  <w:style w:type="character" w:customStyle="1" w:styleId="82">
    <w:name w:val="批注主题 Char1"/>
    <w:qFormat/>
    <w:uiPriority w:val="0"/>
    <w:rPr>
      <w:b/>
      <w:bCs/>
      <w:kern w:val="2"/>
      <w:sz w:val="21"/>
      <w:szCs w:val="24"/>
    </w:rPr>
  </w:style>
  <w:style w:type="character" w:customStyle="1" w:styleId="83">
    <w:name w:val="题注 字符"/>
    <w:link w:val="16"/>
    <w:qFormat/>
    <w:uiPriority w:val="0"/>
    <w:rPr>
      <w:rFonts w:ascii="Arial" w:hAnsi="Arial" w:eastAsia="黑体"/>
      <w:kern w:val="2"/>
    </w:rPr>
  </w:style>
  <w:style w:type="character" w:customStyle="1" w:styleId="84">
    <w:name w:val="正文缩进 字符"/>
    <w:link w:val="15"/>
    <w:qFormat/>
    <w:uiPriority w:val="0"/>
    <w:rPr>
      <w:rFonts w:eastAsia="宋体"/>
      <w:lang w:val="en-US" w:eastAsia="zh-CN" w:bidi="ar-SA"/>
    </w:rPr>
  </w:style>
  <w:style w:type="character" w:customStyle="1" w:styleId="85">
    <w:name w:val="纯文本 Char"/>
    <w:qFormat/>
    <w:uiPriority w:val="0"/>
    <w:rPr>
      <w:rFonts w:ascii="宋体" w:hAnsi="Courier New" w:eastAsia="宋体"/>
      <w:kern w:val="2"/>
      <w:sz w:val="21"/>
      <w:lang w:val="en-US" w:eastAsia="zh-CN" w:bidi="ar-SA"/>
    </w:rPr>
  </w:style>
  <w:style w:type="paragraph" w:customStyle="1" w:styleId="86">
    <w:name w:val="Table Paragraph"/>
    <w:basedOn w:val="1"/>
    <w:qFormat/>
    <w:uiPriority w:val="1"/>
    <w:pPr>
      <w:jc w:val="left"/>
    </w:pPr>
    <w:rPr>
      <w:rFonts w:ascii="Calibri" w:hAnsi="Calibri"/>
      <w:sz w:val="22"/>
      <w:szCs w:val="22"/>
      <w:lang w:eastAsia="en-US"/>
    </w:rPr>
  </w:style>
  <w:style w:type="paragraph" w:customStyle="1" w:styleId="87">
    <w:name w:val="附件1."/>
    <w:basedOn w:val="5"/>
    <w:qFormat/>
    <w:uiPriority w:val="0"/>
    <w:pPr>
      <w:keepNext w:val="0"/>
      <w:widowControl w:val="0"/>
      <w:tabs>
        <w:tab w:val="left" w:pos="360"/>
        <w:tab w:val="left" w:pos="420"/>
        <w:tab w:val="clear" w:pos="432"/>
      </w:tabs>
      <w:spacing w:line="360" w:lineRule="auto"/>
      <w:ind w:left="567" w:hanging="567"/>
      <w:jc w:val="both"/>
    </w:pPr>
    <w:rPr>
      <w:rFonts w:ascii="Times New Roman" w:eastAsia="宋体"/>
      <w:bCs/>
      <w:kern w:val="44"/>
      <w:sz w:val="24"/>
      <w:szCs w:val="44"/>
    </w:rPr>
  </w:style>
  <w:style w:type="paragraph" w:customStyle="1" w:styleId="88">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89">
    <w:name w:val="List Paragraph"/>
    <w:basedOn w:val="1"/>
    <w:qFormat/>
    <w:uiPriority w:val="0"/>
    <w:pPr>
      <w:spacing w:line="360" w:lineRule="auto"/>
      <w:ind w:firstLine="420" w:firstLineChars="200"/>
    </w:pPr>
    <w:rPr>
      <w:sz w:val="24"/>
    </w:rPr>
  </w:style>
  <w:style w:type="paragraph" w:customStyle="1" w:styleId="90">
    <w:name w:val="Absatz2AL"/>
    <w:basedOn w:val="21"/>
    <w:next w:val="1"/>
    <w:qFormat/>
    <w:uiPriority w:val="0"/>
    <w:pPr>
      <w:overflowPunct w:val="0"/>
      <w:autoSpaceDE w:val="0"/>
      <w:autoSpaceDN w:val="0"/>
      <w:adjustRightInd w:val="0"/>
      <w:spacing w:after="0"/>
      <w:jc w:val="both"/>
    </w:pPr>
    <w:rPr>
      <w:rFonts w:eastAsia="楷体_GB2312"/>
      <w:sz w:val="24"/>
      <w:lang w:val="de-DE"/>
    </w:rPr>
  </w:style>
  <w:style w:type="paragraph" w:customStyle="1" w:styleId="91">
    <w:name w:val="样式 标题 2H2Heading 2 HiddenHeading 2 CCBSheading 22nd levelh..."/>
    <w:basedOn w:val="6"/>
    <w:qFormat/>
    <w:uiPriority w:val="0"/>
    <w:pPr>
      <w:widowControl w:val="0"/>
      <w:spacing w:before="120" w:after="0" w:line="240" w:lineRule="auto"/>
      <w:ind w:left="576" w:hanging="576"/>
      <w:jc w:val="both"/>
    </w:pPr>
    <w:rPr>
      <w:rFonts w:ascii="宋体" w:hAnsi="宋体" w:cs="宋体"/>
      <w:b w:val="0"/>
      <w:bCs w:val="0"/>
      <w:color w:val="000000"/>
      <w:sz w:val="28"/>
      <w:szCs w:val="28"/>
    </w:rPr>
  </w:style>
  <w:style w:type="paragraph" w:customStyle="1" w:styleId="92">
    <w:name w:val="正文1"/>
    <w:qFormat/>
    <w:uiPriority w:val="0"/>
    <w:pPr>
      <w:widowControl w:val="0"/>
      <w:adjustRightInd w:val="0"/>
      <w:spacing w:line="312" w:lineRule="atLeast"/>
      <w:jc w:val="both"/>
      <w:textAlignment w:val="baseline"/>
    </w:pPr>
    <w:rPr>
      <w:rFonts w:ascii="宋体" w:hAnsi="Times New Roman" w:eastAsia="宋体" w:cs="Times New Roman"/>
      <w:sz w:val="28"/>
      <w:lang w:val="en-US" w:eastAsia="zh-CN" w:bidi="ar-SA"/>
    </w:rPr>
  </w:style>
  <w:style w:type="paragraph" w:customStyle="1" w:styleId="93">
    <w:name w:val="TOC 标题1"/>
    <w:basedOn w:val="5"/>
    <w:next w:val="1"/>
    <w:qFormat/>
    <w:uiPriority w:val="39"/>
    <w:pPr>
      <w:keepLines/>
      <w:spacing w:before="480" w:line="276" w:lineRule="auto"/>
      <w:ind w:left="0" w:firstLine="0"/>
      <w:jc w:val="left"/>
      <w:outlineLvl w:val="9"/>
    </w:pPr>
    <w:rPr>
      <w:rFonts w:ascii="Cambria" w:hAnsi="Cambria" w:eastAsia="宋体"/>
      <w:b/>
      <w:bCs/>
      <w:color w:val="365F91"/>
      <w:sz w:val="28"/>
      <w:szCs w:val="28"/>
    </w:rPr>
  </w:style>
  <w:style w:type="paragraph" w:customStyle="1" w:styleId="9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95">
    <w:name w:val="Char Char Char Char Char Char1 Char Char Char Char Char Char Char"/>
    <w:basedOn w:val="1"/>
    <w:qFormat/>
    <w:uiPriority w:val="0"/>
  </w:style>
  <w:style w:type="paragraph" w:customStyle="1" w:styleId="96">
    <w:name w:val="_Style 2"/>
    <w:basedOn w:val="1"/>
    <w:semiHidden/>
    <w:qFormat/>
    <w:uiPriority w:val="0"/>
    <w:rPr>
      <w:szCs w:val="21"/>
    </w:rPr>
  </w:style>
  <w:style w:type="table" w:customStyle="1" w:styleId="97">
    <w:name w:val="Table Normal"/>
    <w:unhideWhenUsed/>
    <w:qFormat/>
    <w:uiPriority w:val="2"/>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98">
    <w:name w:val="Char Char Char Char"/>
    <w:basedOn w:val="1"/>
    <w:qFormat/>
    <w:uiPriority w:val="0"/>
    <w:pPr>
      <w:widowControl/>
      <w:spacing w:after="160" w:line="240" w:lineRule="exact"/>
      <w:jc w:val="left"/>
    </w:pPr>
    <w:rPr>
      <w:rFonts w:ascii="Verdana" w:hAnsi="Verdana"/>
      <w:sz w:val="20"/>
      <w:szCs w:val="24"/>
      <w:lang w:eastAsia="en-US"/>
    </w:rPr>
  </w:style>
  <w:style w:type="paragraph" w:customStyle="1" w:styleId="99">
    <w:name w:val="Char Char Char Char1"/>
    <w:basedOn w:val="1"/>
    <w:qFormat/>
    <w:uiPriority w:val="0"/>
    <w:pPr>
      <w:widowControl/>
      <w:spacing w:after="160" w:line="240" w:lineRule="exact"/>
      <w:jc w:val="left"/>
    </w:pPr>
    <w:rPr>
      <w:rFonts w:ascii="Verdana" w:hAnsi="Verdana"/>
      <w:sz w:val="20"/>
      <w:szCs w:val="24"/>
      <w:lang w:eastAsia="en-US"/>
    </w:rPr>
  </w:style>
  <w:style w:type="paragraph" w:customStyle="1" w:styleId="100">
    <w:name w:val="Char"/>
    <w:basedOn w:val="1"/>
    <w:qFormat/>
    <w:uiPriority w:val="0"/>
    <w:rPr>
      <w:rFonts w:ascii="Times New Roman"/>
      <w:kern w:val="2"/>
      <w:sz w:val="21"/>
      <w:szCs w:val="24"/>
    </w:rPr>
  </w:style>
  <w:style w:type="paragraph" w:customStyle="1" w:styleId="101">
    <w:name w:val="列出段落1"/>
    <w:basedOn w:val="1"/>
    <w:qFormat/>
    <w:uiPriority w:val="99"/>
    <w:pPr>
      <w:ind w:firstLine="420" w:firstLineChars="200"/>
    </w:pPr>
    <w:rPr>
      <w:rFonts w:ascii="Calibri" w:hAnsi="Calibri" w:cs="黑体"/>
      <w:kern w:val="2"/>
      <w:sz w:val="21"/>
      <w:szCs w:val="22"/>
    </w:rPr>
  </w:style>
  <w:style w:type="paragraph" w:customStyle="1" w:styleId="102">
    <w:name w:val="p2"/>
    <w:basedOn w:val="1"/>
    <w:qFormat/>
    <w:uiPriority w:val="99"/>
    <w:pPr>
      <w:widowControl/>
      <w:spacing w:line="480" w:lineRule="auto"/>
      <w:ind w:firstLine="420"/>
      <w:jc w:val="left"/>
    </w:pPr>
    <w:rPr>
      <w:rFonts w:hAnsi="宋体" w:cs="宋体"/>
      <w:sz w:val="21"/>
      <w:szCs w:val="21"/>
    </w:rPr>
  </w:style>
  <w:style w:type="paragraph" w:customStyle="1" w:styleId="103">
    <w:name w:val="p0"/>
    <w:basedOn w:val="1"/>
    <w:qFormat/>
    <w:uiPriority w:val="0"/>
    <w:pPr>
      <w:widowControl/>
    </w:pPr>
    <w:rPr>
      <w:rFonts w:ascii="Times New Roman"/>
      <w:sz w:val="21"/>
      <w:szCs w:val="21"/>
    </w:rPr>
  </w:style>
  <w:style w:type="character" w:customStyle="1" w:styleId="104">
    <w:name w:val="font21"/>
    <w:basedOn w:val="39"/>
    <w:qFormat/>
    <w:uiPriority w:val="0"/>
    <w:rPr>
      <w:rFonts w:ascii="宋体" w:hAnsi="宋体" w:eastAsia="宋体" w:cs="宋体"/>
      <w:color w:val="000000"/>
      <w:sz w:val="24"/>
      <w:szCs w:val="24"/>
      <w:u w:val="none"/>
    </w:rPr>
  </w:style>
  <w:style w:type="character" w:customStyle="1" w:styleId="105">
    <w:name w:val="font31"/>
    <w:basedOn w:val="39"/>
    <w:qFormat/>
    <w:uiPriority w:val="0"/>
    <w:rPr>
      <w:rFonts w:hint="eastAsia" w:ascii="宋体" w:hAnsi="宋体" w:eastAsia="宋体" w:cs="宋体"/>
      <w:color w:val="000000"/>
      <w:sz w:val="22"/>
      <w:szCs w:val="22"/>
      <w:u w:val="none"/>
    </w:rPr>
  </w:style>
  <w:style w:type="paragraph" w:customStyle="1" w:styleId="106">
    <w:name w:val="标题 11"/>
    <w:basedOn w:val="1"/>
    <w:qFormat/>
    <w:uiPriority w:val="1"/>
    <w:pPr>
      <w:autoSpaceDE w:val="0"/>
      <w:autoSpaceDN w:val="0"/>
      <w:spacing w:before="38"/>
      <w:ind w:left="1482" w:right="1677"/>
      <w:jc w:val="center"/>
      <w:outlineLvl w:val="1"/>
    </w:pPr>
    <w:rPr>
      <w:rFonts w:hAnsi="宋体" w:cs="宋体"/>
      <w:b/>
      <w:bCs/>
      <w:sz w:val="36"/>
      <w:szCs w:val="36"/>
      <w:lang w:val="zh-CN" w:bidi="zh-CN"/>
    </w:rPr>
  </w:style>
  <w:style w:type="paragraph" w:customStyle="1" w:styleId="107">
    <w:name w:val="列出段落2"/>
    <w:basedOn w:val="1"/>
    <w:unhideWhenUsed/>
    <w:qFormat/>
    <w:uiPriority w:val="0"/>
    <w:pPr>
      <w:ind w:firstLine="420" w:firstLineChars="200"/>
    </w:pPr>
  </w:style>
  <w:style w:type="paragraph" w:customStyle="1" w:styleId="108">
    <w:name w:val="样式1"/>
    <w:basedOn w:val="1"/>
    <w:qFormat/>
    <w:uiPriority w:val="0"/>
    <w:pPr>
      <w:numPr>
        <w:ilvl w:val="0"/>
        <w:numId w:val="2"/>
      </w:numPr>
      <w:adjustRightInd w:val="0"/>
    </w:pPr>
    <w:rPr>
      <w:sz w:val="21"/>
      <w:szCs w:val="21"/>
    </w:rPr>
  </w:style>
  <w:style w:type="paragraph" w:customStyle="1" w:styleId="109">
    <w:name w:val="正文文本缩进1"/>
    <w:basedOn w:val="1"/>
    <w:qFormat/>
    <w:uiPriority w:val="0"/>
    <w:pPr>
      <w:spacing w:line="200" w:lineRule="exact"/>
      <w:ind w:firstLine="301"/>
    </w:pPr>
    <w:rPr>
      <w:rFonts w:ascii="Times New Roman"/>
      <w:spacing w:val="-4"/>
      <w:sz w:val="18"/>
    </w:rPr>
  </w:style>
  <w:style w:type="paragraph" w:customStyle="1" w:styleId="110">
    <w:name w:val="一级条标题"/>
    <w:basedOn w:val="1"/>
    <w:next w:val="1"/>
    <w:qFormat/>
    <w:uiPriority w:val="99"/>
    <w:pPr>
      <w:widowControl/>
      <w:ind w:left="420"/>
      <w:outlineLvl w:val="2"/>
    </w:pPr>
    <w:rPr>
      <w:rFonts w:ascii="黑体" w:eastAsia="黑体" w:cs="黑体"/>
    </w:rPr>
  </w:style>
  <w:style w:type="paragraph" w:customStyle="1" w:styleId="111">
    <w:name w:val="表格段落"/>
    <w:qFormat/>
    <w:locked/>
    <w:uiPriority w:val="0"/>
    <w:pPr>
      <w:spacing w:line="300" w:lineRule="auto"/>
    </w:pPr>
    <w:rPr>
      <w:rFonts w:ascii="Times New Roman" w:hAnsi="Times New Roman" w:eastAsia="宋体" w:cs="Times New Roman"/>
      <w:kern w:val="2"/>
      <w:sz w:val="24"/>
      <w:szCs w:val="22"/>
      <w:lang w:val="en-US" w:eastAsia="zh-CN" w:bidi="ar-SA"/>
    </w:rPr>
  </w:style>
  <w:style w:type="paragraph" w:customStyle="1" w:styleId="112">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113">
    <w:name w:val="font11"/>
    <w:basedOn w:val="39"/>
    <w:qFormat/>
    <w:uiPriority w:val="0"/>
    <w:rPr>
      <w:rFonts w:hint="eastAsia" w:ascii="宋体" w:hAnsi="宋体" w:eastAsia="宋体" w:cs="宋体"/>
      <w:color w:val="000000"/>
      <w:sz w:val="21"/>
      <w:szCs w:val="21"/>
      <w:u w:val="none"/>
    </w:rPr>
  </w:style>
  <w:style w:type="character" w:customStyle="1" w:styleId="114">
    <w:name w:val="标题 2 Char"/>
    <w:link w:val="6"/>
    <w:qFormat/>
    <w:uiPriority w:val="9"/>
    <w:rPr>
      <w:rFonts w:ascii="Arial" w:hAnsi="Arial" w:eastAsia="黑体"/>
      <w:b/>
      <w:bCs/>
      <w:sz w:val="32"/>
      <w:szCs w:val="32"/>
    </w:rPr>
  </w:style>
  <w:style w:type="paragraph" w:customStyle="1" w:styleId="115">
    <w:name w:val="首行缩进:  0.85 厘米"/>
    <w:basedOn w:val="1"/>
    <w:qFormat/>
    <w:uiPriority w:val="0"/>
    <w:pPr>
      <w:widowControl/>
      <w:spacing w:after="100"/>
      <w:ind w:firstLine="482" w:firstLineChars="0"/>
      <w:jc w:val="left"/>
    </w:pPr>
    <w:rPr>
      <w:rFonts w:ascii="Times New Roman" w:hAnsi="Times New Roman" w:eastAsia="宋体" w:cs="宋体"/>
      <w:kern w:val="0"/>
      <w:szCs w:val="20"/>
      <w:lang w:val="zh-CN" w:eastAsia="en-US" w:bidi="en-US"/>
    </w:rPr>
  </w:style>
  <w:style w:type="paragraph" w:customStyle="1" w:styleId="116">
    <w:name w:val="方案正文"/>
    <w:qFormat/>
    <w:uiPriority w:val="0"/>
    <w:pPr>
      <w:adjustRightInd w:val="0"/>
      <w:snapToGrid w:val="0"/>
      <w:spacing w:line="360" w:lineRule="auto"/>
      <w:ind w:firstLine="480" w:firstLineChars="200"/>
      <w:jc w:val="both"/>
    </w:pPr>
    <w:rPr>
      <w:rFonts w:ascii="Times New Roman" w:hAnsi="Times New Roman" w:eastAsia="宋体" w:cstheme="minorBidi"/>
      <w:kern w:val="2"/>
      <w:sz w:val="24"/>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C4B3A07-7CB2-4D34-9AE4-B4E2B4D6496B}">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91</Pages>
  <Words>14748</Words>
  <Characters>16261</Characters>
  <Lines>358</Lines>
  <Paragraphs>101</Paragraphs>
  <TotalTime>52</TotalTime>
  <ScaleCrop>false</ScaleCrop>
  <LinksUpToDate>false</LinksUpToDate>
  <CharactersWithSpaces>16639</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2018-01-25T07:30:00Z</dcterms:created>
  <dc:creator>微软用户</dc:creator>
  <cp:lastModifiedBy>王飞</cp:lastModifiedBy>
  <cp:lastPrinted>2025-03-24T10:01:57Z</cp:lastPrinted>
  <dcterms:modified xsi:type="dcterms:W3CDTF">2025-03-24T10:18:29Z</dcterms:modified>
  <dc:title>保山中心城市棚户区改造火车站片区房屋征收与拆除项目</dc:title>
  <cp:revision>380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FFFF43BF22664A66AC564FEEDD398C4A_13</vt:lpwstr>
  </property>
  <property fmtid="{D5CDD505-2E9C-101B-9397-08002B2CF9AE}" pid="4" name="KSOSaveFontToCloudKey">
    <vt:lpwstr>592266204_btnclosed</vt:lpwstr>
  </property>
  <property fmtid="{D5CDD505-2E9C-101B-9397-08002B2CF9AE}" pid="5" name="KSOTemplateDocerSaveRecord">
    <vt:lpwstr>eyJoZGlkIjoiMjI1MGFkOTliMWMxZjRlNmI3ODIxY2E1NGNhODc3MGUiLCJ1c2VySWQiOiI1OTIyNjYyMDQifQ==</vt:lpwstr>
  </property>
</Properties>
</file>