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6E5D97">
      <w:pPr>
        <w:pStyle w:val="3"/>
        <w:jc w:val="center"/>
        <w:rPr>
          <w:rFonts w:hint="eastAsia" w:eastAsia="宋体"/>
          <w:color w:val="auto"/>
          <w:lang w:eastAsia="zh-CN"/>
        </w:rPr>
      </w:pPr>
      <w:bookmarkStart w:id="0" w:name="_Toc243750440"/>
      <w:r>
        <w:rPr>
          <w:rFonts w:hint="eastAsia"/>
          <w:color w:val="auto"/>
          <w:lang w:eastAsia="zh-CN"/>
        </w:rPr>
        <w:t>迪庆藏族自治州博物馆可移动文物预防性保护（二期）</w:t>
      </w:r>
    </w:p>
    <w:p w14:paraId="43CC2192">
      <w:pPr>
        <w:spacing w:line="360" w:lineRule="auto"/>
        <w:jc w:val="center"/>
        <w:rPr>
          <w:rFonts w:ascii="宋体" w:hAnsi="宋体"/>
          <w:color w:val="auto"/>
          <w:sz w:val="44"/>
        </w:rPr>
      </w:pPr>
    </w:p>
    <w:p w14:paraId="04F8054C">
      <w:pPr>
        <w:spacing w:line="360" w:lineRule="auto"/>
        <w:jc w:val="center"/>
        <w:rPr>
          <w:rFonts w:ascii="宋体" w:hAnsi="宋体"/>
          <w:color w:val="auto"/>
          <w:sz w:val="44"/>
        </w:rPr>
      </w:pPr>
    </w:p>
    <w:p w14:paraId="68A86C2F">
      <w:pPr>
        <w:spacing w:line="360" w:lineRule="auto"/>
        <w:jc w:val="center"/>
        <w:rPr>
          <w:rFonts w:ascii="宋体" w:hAnsi="宋体"/>
          <w:color w:val="auto"/>
          <w:sz w:val="44"/>
        </w:rPr>
      </w:pPr>
    </w:p>
    <w:p w14:paraId="553947AB">
      <w:pPr>
        <w:spacing w:line="360" w:lineRule="auto"/>
        <w:jc w:val="center"/>
        <w:rPr>
          <w:rFonts w:ascii="宋体" w:hAnsi="宋体"/>
          <w:color w:val="auto"/>
          <w:sz w:val="44"/>
        </w:rPr>
      </w:pPr>
    </w:p>
    <w:p w14:paraId="446F4949">
      <w:pPr>
        <w:spacing w:line="360" w:lineRule="auto"/>
        <w:jc w:val="center"/>
        <w:rPr>
          <w:rFonts w:ascii="宋体" w:hAnsi="宋体"/>
          <w:color w:val="auto"/>
          <w:sz w:val="44"/>
        </w:rPr>
      </w:pPr>
    </w:p>
    <w:p w14:paraId="215A9DDF">
      <w:pPr>
        <w:spacing w:line="360" w:lineRule="auto"/>
        <w:jc w:val="center"/>
        <w:rPr>
          <w:rFonts w:ascii="宋体" w:hAnsi="宋体"/>
          <w:b/>
          <w:bCs/>
          <w:color w:val="auto"/>
          <w:sz w:val="84"/>
          <w:szCs w:val="84"/>
        </w:rPr>
      </w:pPr>
      <w:r>
        <w:rPr>
          <w:rFonts w:hint="eastAsia" w:ascii="宋体" w:hAnsi="宋体"/>
          <w:b/>
          <w:bCs/>
          <w:color w:val="auto"/>
          <w:sz w:val="84"/>
          <w:szCs w:val="84"/>
        </w:rPr>
        <w:t>招标文件</w:t>
      </w:r>
    </w:p>
    <w:p w14:paraId="311CAEAF">
      <w:pPr>
        <w:spacing w:line="360" w:lineRule="auto"/>
        <w:rPr>
          <w:rFonts w:ascii="宋体" w:hAnsi="宋体"/>
          <w:color w:val="auto"/>
        </w:rPr>
      </w:pPr>
    </w:p>
    <w:p w14:paraId="1068CE7E">
      <w:pPr>
        <w:spacing w:line="360" w:lineRule="auto"/>
        <w:rPr>
          <w:rFonts w:ascii="宋体" w:hAnsi="宋体"/>
          <w:color w:val="auto"/>
        </w:rPr>
      </w:pPr>
    </w:p>
    <w:p w14:paraId="62FBE4F9">
      <w:pPr>
        <w:spacing w:line="360" w:lineRule="auto"/>
        <w:rPr>
          <w:rFonts w:ascii="宋体" w:hAnsi="宋体"/>
          <w:color w:val="auto"/>
        </w:rPr>
      </w:pPr>
    </w:p>
    <w:p w14:paraId="6CAE6E7B">
      <w:pPr>
        <w:spacing w:line="360" w:lineRule="auto"/>
        <w:rPr>
          <w:rFonts w:ascii="宋体" w:hAnsi="宋体"/>
          <w:color w:val="auto"/>
        </w:rPr>
      </w:pPr>
    </w:p>
    <w:p w14:paraId="679E15FB">
      <w:pPr>
        <w:spacing w:line="360" w:lineRule="auto"/>
        <w:rPr>
          <w:rFonts w:ascii="宋体" w:hAnsi="宋体"/>
          <w:color w:val="auto"/>
        </w:rPr>
      </w:pPr>
    </w:p>
    <w:p w14:paraId="102499E8">
      <w:pPr>
        <w:spacing w:line="360" w:lineRule="auto"/>
        <w:rPr>
          <w:rFonts w:ascii="宋体" w:hAnsi="宋体"/>
          <w:color w:val="auto"/>
        </w:rPr>
      </w:pPr>
    </w:p>
    <w:p w14:paraId="67291B19">
      <w:pPr>
        <w:spacing w:line="360" w:lineRule="auto"/>
        <w:rPr>
          <w:rFonts w:ascii="宋体" w:hAnsi="宋体"/>
          <w:color w:val="auto"/>
        </w:rPr>
      </w:pPr>
    </w:p>
    <w:p w14:paraId="3B693664">
      <w:pPr>
        <w:spacing w:line="360" w:lineRule="auto"/>
        <w:rPr>
          <w:rFonts w:ascii="宋体" w:hAnsi="宋体"/>
          <w:color w:val="auto"/>
        </w:rPr>
      </w:pPr>
    </w:p>
    <w:p w14:paraId="03825891">
      <w:pPr>
        <w:spacing w:after="240" w:line="360" w:lineRule="auto"/>
        <w:jc w:val="center"/>
        <w:rPr>
          <w:rFonts w:hint="eastAsia" w:ascii="宋体" w:hAnsi="宋体"/>
          <w:b/>
          <w:bCs/>
          <w:color w:val="auto"/>
          <w:sz w:val="32"/>
          <w:lang w:eastAsia="zh-CN"/>
        </w:rPr>
      </w:pPr>
      <w:r>
        <w:rPr>
          <w:rFonts w:hint="eastAsia" w:ascii="宋体" w:hAnsi="宋体"/>
          <w:b/>
          <w:bCs/>
          <w:color w:val="auto"/>
          <w:sz w:val="32"/>
        </w:rPr>
        <w:t>采购人：</w:t>
      </w:r>
      <w:r>
        <w:rPr>
          <w:rFonts w:hint="eastAsia" w:ascii="宋体" w:hAnsi="宋体"/>
          <w:b/>
          <w:bCs/>
          <w:color w:val="auto"/>
          <w:sz w:val="32"/>
          <w:lang w:eastAsia="zh-CN"/>
        </w:rPr>
        <w:t>迪庆藏族自治州博物馆</w:t>
      </w:r>
    </w:p>
    <w:p w14:paraId="2DFEBFB6">
      <w:pPr>
        <w:spacing w:after="240" w:line="360" w:lineRule="auto"/>
        <w:jc w:val="center"/>
        <w:rPr>
          <w:rFonts w:ascii="宋体" w:hAnsi="宋体"/>
          <w:b/>
          <w:bCs/>
          <w:color w:val="auto"/>
          <w:sz w:val="32"/>
        </w:rPr>
      </w:pPr>
      <w:r>
        <w:rPr>
          <w:rFonts w:hint="eastAsia" w:ascii="宋体" w:hAnsi="宋体"/>
          <w:b/>
          <w:bCs/>
          <w:color w:val="auto"/>
          <w:sz w:val="32"/>
        </w:rPr>
        <w:t>采购代理机构：云南哲崇项目管理有限公司</w:t>
      </w:r>
    </w:p>
    <w:p w14:paraId="44483767">
      <w:pPr>
        <w:spacing w:after="240" w:line="360" w:lineRule="auto"/>
        <w:jc w:val="center"/>
        <w:rPr>
          <w:rFonts w:ascii="宋体" w:hAnsi="宋体" w:cs="Arial"/>
          <w:b/>
          <w:bCs/>
          <w:color w:val="auto"/>
          <w:sz w:val="28"/>
        </w:rPr>
      </w:pPr>
      <w:r>
        <w:rPr>
          <w:rFonts w:hint="eastAsia" w:ascii="宋体" w:hAnsi="宋体" w:cs="Arial"/>
          <w:b/>
          <w:bCs/>
          <w:color w:val="auto"/>
          <w:sz w:val="32"/>
        </w:rPr>
        <w:t>日    期：2025年</w:t>
      </w:r>
      <w:r>
        <w:rPr>
          <w:rFonts w:hint="eastAsia" w:ascii="宋体" w:hAnsi="宋体" w:cs="Arial"/>
          <w:b/>
          <w:bCs/>
          <w:color w:val="auto"/>
          <w:sz w:val="32"/>
          <w:lang w:val="en-US" w:eastAsia="zh-CN"/>
        </w:rPr>
        <w:t>5</w:t>
      </w:r>
      <w:r>
        <w:rPr>
          <w:rFonts w:hint="eastAsia" w:ascii="宋体" w:hAnsi="宋体" w:cs="Arial"/>
          <w:b/>
          <w:bCs/>
          <w:color w:val="auto"/>
          <w:sz w:val="32"/>
        </w:rPr>
        <w:t>月</w:t>
      </w:r>
    </w:p>
    <w:bookmarkEnd w:id="0"/>
    <w:p w14:paraId="6CDD2FEF">
      <w:pPr>
        <w:pageBreakBefore/>
        <w:spacing w:line="360" w:lineRule="auto"/>
        <w:jc w:val="center"/>
        <w:rPr>
          <w:rFonts w:ascii="宋体" w:hAnsi="宋体"/>
          <w:b/>
          <w:bCs/>
          <w:color w:val="auto"/>
          <w:sz w:val="32"/>
        </w:rPr>
        <w:sectPr>
          <w:headerReference r:id="rId5" w:type="first"/>
          <w:headerReference r:id="rId3" w:type="default"/>
          <w:footerReference r:id="rId6" w:type="default"/>
          <w:headerReference r:id="rId4" w:type="even"/>
          <w:footerReference r:id="rId7" w:type="even"/>
          <w:pgSz w:w="11906" w:h="16838"/>
          <w:pgMar w:top="1440" w:right="1800" w:bottom="1440" w:left="1800" w:header="851" w:footer="992" w:gutter="0"/>
          <w:pgNumType w:start="0"/>
          <w:cols w:space="708" w:num="1"/>
          <w:titlePg/>
          <w:docGrid w:type="lines" w:linePitch="312" w:charSpace="0"/>
        </w:sectPr>
      </w:pPr>
      <w:bookmarkStart w:id="1" w:name="_Toc152042286"/>
      <w:bookmarkStart w:id="2" w:name="_Toc144974478"/>
    </w:p>
    <w:p w14:paraId="77141EC7">
      <w:pPr>
        <w:pageBreakBefore/>
        <w:spacing w:line="360" w:lineRule="auto"/>
        <w:jc w:val="center"/>
        <w:rPr>
          <w:rFonts w:ascii="宋体" w:hAnsi="宋体"/>
          <w:b/>
          <w:bCs/>
          <w:color w:val="auto"/>
          <w:sz w:val="32"/>
        </w:rPr>
      </w:pPr>
      <w:r>
        <w:rPr>
          <w:rFonts w:hint="eastAsia" w:ascii="宋体" w:hAnsi="宋体"/>
          <w:b/>
          <w:bCs/>
          <w:color w:val="auto"/>
          <w:sz w:val="32"/>
        </w:rPr>
        <w:t>目     录</w:t>
      </w:r>
      <w:bookmarkEnd w:id="1"/>
      <w:bookmarkEnd w:id="2"/>
    </w:p>
    <w:p w14:paraId="76ED5EB5">
      <w:pPr>
        <w:pStyle w:val="20"/>
        <w:tabs>
          <w:tab w:val="right" w:leader="dot" w:pos="8306"/>
        </w:tabs>
        <w:rPr>
          <w:color w:val="auto"/>
        </w:rPr>
      </w:pPr>
      <w:r>
        <w:rPr>
          <w:rFonts w:hint="eastAsia" w:ascii="宋体" w:hAnsi="宋体" w:cs="宋体"/>
          <w:color w:val="auto"/>
          <w:sz w:val="24"/>
        </w:rPr>
        <w:fldChar w:fldCharType="begin"/>
      </w:r>
      <w:r>
        <w:rPr>
          <w:rFonts w:hint="eastAsia" w:ascii="宋体" w:hAnsi="宋体" w:cs="宋体"/>
          <w:color w:val="auto"/>
          <w:sz w:val="24"/>
        </w:rPr>
        <w:instrText xml:space="preserve"> TOC \o "1-3" \h \z \u </w:instrText>
      </w:r>
      <w:r>
        <w:rPr>
          <w:rFonts w:hint="eastAsia" w:ascii="宋体" w:hAnsi="宋体" w:cs="宋体"/>
          <w:color w:val="auto"/>
          <w:sz w:val="24"/>
        </w:rPr>
        <w:fldChar w:fldCharType="separate"/>
      </w:r>
    </w:p>
    <w:p w14:paraId="5C57788C">
      <w:pPr>
        <w:pStyle w:val="20"/>
        <w:tabs>
          <w:tab w:val="right" w:leader="dot" w:pos="8306"/>
        </w:tabs>
        <w:rPr>
          <w:color w:val="auto"/>
          <w:sz w:val="28"/>
          <w:szCs w:val="28"/>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\l _Toc20798 </w:instrText>
      </w:r>
      <w:r>
        <w:rPr>
          <w:rFonts w:hint="eastAsia" w:ascii="宋体" w:hAnsi="宋体" w:cs="宋体"/>
          <w:color w:val="auto"/>
          <w:sz w:val="28"/>
          <w:szCs w:val="28"/>
        </w:rPr>
        <w:fldChar w:fldCharType="separate"/>
      </w:r>
      <w:r>
        <w:rPr>
          <w:rFonts w:hint="default"/>
          <w:bCs/>
          <w:color w:val="auto"/>
          <w:sz w:val="28"/>
          <w:szCs w:val="28"/>
        </w:rPr>
        <w:t xml:space="preserve">第一章 </w:t>
      </w:r>
      <w:r>
        <w:rPr>
          <w:rFonts w:hint="eastAsia"/>
          <w:bCs/>
          <w:color w:val="auto"/>
          <w:sz w:val="28"/>
          <w:szCs w:val="28"/>
        </w:rPr>
        <w:t>招标公告</w:t>
      </w:r>
      <w:r>
        <w:rPr>
          <w:color w:val="auto"/>
          <w:sz w:val="28"/>
          <w:szCs w:val="28"/>
        </w:rPr>
        <w:tab/>
      </w:r>
      <w:r>
        <w:rPr>
          <w:color w:val="auto"/>
          <w:sz w:val="28"/>
          <w:szCs w:val="28"/>
        </w:rPr>
        <w:fldChar w:fldCharType="begin"/>
      </w:r>
      <w:r>
        <w:rPr>
          <w:color w:val="auto"/>
          <w:sz w:val="28"/>
          <w:szCs w:val="28"/>
        </w:rPr>
        <w:instrText xml:space="preserve"> PAGEREF _Toc20798 \h </w:instrText>
      </w:r>
      <w:r>
        <w:rPr>
          <w:color w:val="auto"/>
          <w:sz w:val="28"/>
          <w:szCs w:val="28"/>
        </w:rPr>
        <w:fldChar w:fldCharType="separate"/>
      </w:r>
      <w:r>
        <w:rPr>
          <w:color w:val="auto"/>
          <w:sz w:val="28"/>
          <w:szCs w:val="28"/>
        </w:rPr>
        <w:t>1</w:t>
      </w:r>
      <w:r>
        <w:rPr>
          <w:color w:val="auto"/>
          <w:sz w:val="28"/>
          <w:szCs w:val="28"/>
        </w:rPr>
        <w:fldChar w:fldCharType="end"/>
      </w:r>
      <w:r>
        <w:rPr>
          <w:rFonts w:hint="eastAsia" w:ascii="宋体" w:hAnsi="宋体" w:cs="宋体"/>
          <w:color w:val="auto"/>
          <w:sz w:val="28"/>
          <w:szCs w:val="28"/>
        </w:rPr>
        <w:fldChar w:fldCharType="end"/>
      </w:r>
    </w:p>
    <w:p w14:paraId="3A7FE5AC">
      <w:pPr>
        <w:pStyle w:val="9"/>
        <w:tabs>
          <w:tab w:val="right" w:leader="dot" w:pos="8306"/>
        </w:tabs>
        <w:rPr>
          <w:color w:val="auto"/>
          <w:sz w:val="28"/>
          <w:szCs w:val="28"/>
        </w:rPr>
      </w:pPr>
    </w:p>
    <w:p w14:paraId="4FE54DE3">
      <w:pPr>
        <w:pStyle w:val="20"/>
        <w:tabs>
          <w:tab w:val="right" w:leader="dot" w:pos="8306"/>
        </w:tabs>
        <w:rPr>
          <w:color w:val="auto"/>
          <w:sz w:val="28"/>
          <w:szCs w:val="28"/>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\l _Toc15753 </w:instrText>
      </w:r>
      <w:r>
        <w:rPr>
          <w:rFonts w:hint="eastAsia" w:ascii="宋体" w:hAnsi="宋体" w:cs="宋体"/>
          <w:color w:val="auto"/>
          <w:sz w:val="28"/>
          <w:szCs w:val="28"/>
        </w:rPr>
        <w:fldChar w:fldCharType="separate"/>
      </w:r>
      <w:r>
        <w:rPr>
          <w:rFonts w:hint="eastAsia"/>
          <w:color w:val="auto"/>
          <w:sz w:val="28"/>
          <w:szCs w:val="28"/>
        </w:rPr>
        <w:t>第二章 投标人须知</w:t>
      </w:r>
      <w:r>
        <w:rPr>
          <w:color w:val="auto"/>
          <w:sz w:val="28"/>
          <w:szCs w:val="28"/>
        </w:rPr>
        <w:tab/>
      </w:r>
      <w:r>
        <w:rPr>
          <w:color w:val="auto"/>
          <w:sz w:val="28"/>
          <w:szCs w:val="28"/>
        </w:rPr>
        <w:fldChar w:fldCharType="begin"/>
      </w:r>
      <w:r>
        <w:rPr>
          <w:color w:val="auto"/>
          <w:sz w:val="28"/>
          <w:szCs w:val="28"/>
        </w:rPr>
        <w:instrText xml:space="preserve"> PAGEREF _Toc15753 \h </w:instrText>
      </w:r>
      <w:r>
        <w:rPr>
          <w:color w:val="auto"/>
          <w:sz w:val="28"/>
          <w:szCs w:val="28"/>
        </w:rPr>
        <w:fldChar w:fldCharType="separate"/>
      </w:r>
      <w:r>
        <w:rPr>
          <w:color w:val="auto"/>
          <w:sz w:val="28"/>
          <w:szCs w:val="28"/>
        </w:rPr>
        <w:t>6</w:t>
      </w:r>
      <w:r>
        <w:rPr>
          <w:color w:val="auto"/>
          <w:sz w:val="28"/>
          <w:szCs w:val="28"/>
        </w:rPr>
        <w:fldChar w:fldCharType="end"/>
      </w:r>
      <w:r>
        <w:rPr>
          <w:rFonts w:hint="eastAsia" w:ascii="宋体" w:hAnsi="宋体" w:cs="宋体"/>
          <w:color w:val="auto"/>
          <w:sz w:val="28"/>
          <w:szCs w:val="28"/>
        </w:rPr>
        <w:fldChar w:fldCharType="end"/>
      </w:r>
    </w:p>
    <w:p w14:paraId="04D9DF5E">
      <w:pPr>
        <w:pStyle w:val="15"/>
        <w:tabs>
          <w:tab w:val="right" w:leader="dot" w:pos="8306"/>
        </w:tabs>
        <w:rPr>
          <w:color w:val="auto"/>
          <w:sz w:val="28"/>
          <w:szCs w:val="28"/>
        </w:rPr>
      </w:pPr>
    </w:p>
    <w:p w14:paraId="65C36491">
      <w:pPr>
        <w:pStyle w:val="20"/>
        <w:tabs>
          <w:tab w:val="right" w:leader="dot" w:pos="8306"/>
        </w:tabs>
        <w:rPr>
          <w:color w:val="auto"/>
          <w:sz w:val="28"/>
          <w:szCs w:val="28"/>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\l _Toc31055 </w:instrText>
      </w:r>
      <w:r>
        <w:rPr>
          <w:rFonts w:hint="eastAsia" w:ascii="宋体" w:hAnsi="宋体" w:cs="宋体"/>
          <w:color w:val="auto"/>
          <w:sz w:val="28"/>
          <w:szCs w:val="28"/>
        </w:rPr>
        <w:fldChar w:fldCharType="separate"/>
      </w:r>
      <w:r>
        <w:rPr>
          <w:rFonts w:hint="eastAsia"/>
          <w:color w:val="auto"/>
          <w:sz w:val="28"/>
          <w:szCs w:val="28"/>
        </w:rPr>
        <w:t>第三章 评标办法</w:t>
      </w:r>
      <w:r>
        <w:rPr>
          <w:color w:val="auto"/>
          <w:sz w:val="28"/>
          <w:szCs w:val="28"/>
        </w:rPr>
        <w:tab/>
      </w:r>
      <w:r>
        <w:rPr>
          <w:color w:val="auto"/>
          <w:sz w:val="28"/>
          <w:szCs w:val="28"/>
        </w:rPr>
        <w:fldChar w:fldCharType="begin"/>
      </w:r>
      <w:r>
        <w:rPr>
          <w:color w:val="auto"/>
          <w:sz w:val="28"/>
          <w:szCs w:val="28"/>
        </w:rPr>
        <w:instrText xml:space="preserve"> PAGEREF _Toc31055 \h </w:instrText>
      </w:r>
      <w:r>
        <w:rPr>
          <w:color w:val="auto"/>
          <w:sz w:val="28"/>
          <w:szCs w:val="28"/>
        </w:rPr>
        <w:fldChar w:fldCharType="separate"/>
      </w:r>
      <w:r>
        <w:rPr>
          <w:color w:val="auto"/>
          <w:sz w:val="28"/>
          <w:szCs w:val="28"/>
        </w:rPr>
        <w:t>22</w:t>
      </w:r>
      <w:r>
        <w:rPr>
          <w:color w:val="auto"/>
          <w:sz w:val="28"/>
          <w:szCs w:val="28"/>
        </w:rPr>
        <w:fldChar w:fldCharType="end"/>
      </w:r>
      <w:r>
        <w:rPr>
          <w:rFonts w:hint="eastAsia" w:ascii="宋体" w:hAnsi="宋体" w:cs="宋体"/>
          <w:color w:val="auto"/>
          <w:sz w:val="28"/>
          <w:szCs w:val="28"/>
        </w:rPr>
        <w:fldChar w:fldCharType="end"/>
      </w:r>
    </w:p>
    <w:p w14:paraId="2C2FDACF">
      <w:pPr>
        <w:pStyle w:val="15"/>
        <w:tabs>
          <w:tab w:val="right" w:leader="dot" w:pos="8306"/>
        </w:tabs>
        <w:rPr>
          <w:color w:val="auto"/>
          <w:sz w:val="28"/>
          <w:szCs w:val="28"/>
        </w:rPr>
      </w:pPr>
    </w:p>
    <w:p w14:paraId="3E4BB78C">
      <w:pPr>
        <w:pStyle w:val="20"/>
        <w:tabs>
          <w:tab w:val="right" w:leader="dot" w:pos="8306"/>
        </w:tabs>
        <w:rPr>
          <w:color w:val="auto"/>
          <w:sz w:val="28"/>
          <w:szCs w:val="28"/>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\l _Toc23276 </w:instrText>
      </w:r>
      <w:r>
        <w:rPr>
          <w:rFonts w:hint="eastAsia" w:ascii="宋体" w:hAnsi="宋体" w:cs="宋体"/>
          <w:color w:val="auto"/>
          <w:sz w:val="28"/>
          <w:szCs w:val="28"/>
        </w:rPr>
        <w:fldChar w:fldCharType="separate"/>
      </w:r>
      <w:r>
        <w:rPr>
          <w:rFonts w:hint="eastAsia"/>
          <w:color w:val="auto"/>
          <w:sz w:val="28"/>
          <w:szCs w:val="28"/>
        </w:rPr>
        <w:t>第四章 合同主要条款及格式</w:t>
      </w:r>
      <w:r>
        <w:rPr>
          <w:color w:val="auto"/>
          <w:sz w:val="28"/>
          <w:szCs w:val="28"/>
        </w:rPr>
        <w:tab/>
      </w:r>
      <w:r>
        <w:rPr>
          <w:color w:val="auto"/>
          <w:sz w:val="28"/>
          <w:szCs w:val="28"/>
        </w:rPr>
        <w:fldChar w:fldCharType="begin"/>
      </w:r>
      <w:r>
        <w:rPr>
          <w:color w:val="auto"/>
          <w:sz w:val="28"/>
          <w:szCs w:val="28"/>
        </w:rPr>
        <w:instrText xml:space="preserve"> PAGEREF _Toc23276 \h </w:instrText>
      </w:r>
      <w:r>
        <w:rPr>
          <w:color w:val="auto"/>
          <w:sz w:val="28"/>
          <w:szCs w:val="28"/>
        </w:rPr>
        <w:fldChar w:fldCharType="separate"/>
      </w:r>
      <w:r>
        <w:rPr>
          <w:color w:val="auto"/>
          <w:sz w:val="28"/>
          <w:szCs w:val="28"/>
        </w:rPr>
        <w:t>30</w:t>
      </w:r>
      <w:r>
        <w:rPr>
          <w:color w:val="auto"/>
          <w:sz w:val="28"/>
          <w:szCs w:val="28"/>
        </w:rPr>
        <w:fldChar w:fldCharType="end"/>
      </w:r>
      <w:r>
        <w:rPr>
          <w:rFonts w:hint="eastAsia" w:ascii="宋体" w:hAnsi="宋体" w:cs="宋体"/>
          <w:color w:val="auto"/>
          <w:sz w:val="28"/>
          <w:szCs w:val="28"/>
        </w:rPr>
        <w:fldChar w:fldCharType="end"/>
      </w:r>
    </w:p>
    <w:p w14:paraId="096040F8">
      <w:pPr>
        <w:pStyle w:val="9"/>
        <w:tabs>
          <w:tab w:val="right" w:leader="dot" w:pos="8306"/>
        </w:tabs>
        <w:rPr>
          <w:color w:val="auto"/>
          <w:sz w:val="28"/>
          <w:szCs w:val="28"/>
        </w:rPr>
      </w:pPr>
    </w:p>
    <w:p w14:paraId="4F0B31EC">
      <w:pPr>
        <w:pStyle w:val="20"/>
        <w:tabs>
          <w:tab w:val="right" w:leader="dot" w:pos="8306"/>
        </w:tabs>
        <w:rPr>
          <w:color w:val="auto"/>
          <w:sz w:val="28"/>
          <w:szCs w:val="28"/>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\l _Toc24245 </w:instrText>
      </w:r>
      <w:r>
        <w:rPr>
          <w:rFonts w:hint="eastAsia" w:ascii="宋体" w:hAnsi="宋体" w:cs="宋体"/>
          <w:color w:val="auto"/>
          <w:sz w:val="28"/>
          <w:szCs w:val="28"/>
        </w:rPr>
        <w:fldChar w:fldCharType="separate"/>
      </w:r>
      <w:r>
        <w:rPr>
          <w:rFonts w:hint="eastAsia"/>
          <w:color w:val="auto"/>
          <w:sz w:val="28"/>
          <w:szCs w:val="28"/>
        </w:rPr>
        <w:t>第五章 采购需求</w:t>
      </w:r>
      <w:r>
        <w:rPr>
          <w:color w:val="auto"/>
          <w:sz w:val="28"/>
          <w:szCs w:val="28"/>
        </w:rPr>
        <w:tab/>
      </w:r>
      <w:r>
        <w:rPr>
          <w:color w:val="auto"/>
          <w:sz w:val="28"/>
          <w:szCs w:val="28"/>
        </w:rPr>
        <w:fldChar w:fldCharType="begin"/>
      </w:r>
      <w:r>
        <w:rPr>
          <w:color w:val="auto"/>
          <w:sz w:val="28"/>
          <w:szCs w:val="28"/>
        </w:rPr>
        <w:instrText xml:space="preserve"> PAGEREF _Toc24245 \h </w:instrText>
      </w:r>
      <w:r>
        <w:rPr>
          <w:color w:val="auto"/>
          <w:sz w:val="28"/>
          <w:szCs w:val="28"/>
        </w:rPr>
        <w:fldChar w:fldCharType="separate"/>
      </w:r>
      <w:r>
        <w:rPr>
          <w:color w:val="auto"/>
          <w:sz w:val="28"/>
          <w:szCs w:val="28"/>
        </w:rPr>
        <w:t>50</w:t>
      </w:r>
      <w:r>
        <w:rPr>
          <w:color w:val="auto"/>
          <w:sz w:val="28"/>
          <w:szCs w:val="28"/>
        </w:rPr>
        <w:fldChar w:fldCharType="end"/>
      </w:r>
      <w:r>
        <w:rPr>
          <w:rFonts w:hint="eastAsia" w:ascii="宋体" w:hAnsi="宋体" w:cs="宋体"/>
          <w:color w:val="auto"/>
          <w:sz w:val="28"/>
          <w:szCs w:val="28"/>
        </w:rPr>
        <w:fldChar w:fldCharType="end"/>
      </w:r>
    </w:p>
    <w:p w14:paraId="1F3F6A74">
      <w:pPr>
        <w:pStyle w:val="9"/>
        <w:tabs>
          <w:tab w:val="right" w:leader="dot" w:pos="8306"/>
        </w:tabs>
        <w:rPr>
          <w:color w:val="auto"/>
          <w:sz w:val="28"/>
          <w:szCs w:val="28"/>
        </w:rPr>
      </w:pPr>
    </w:p>
    <w:p w14:paraId="1D574443">
      <w:pPr>
        <w:pStyle w:val="20"/>
        <w:tabs>
          <w:tab w:val="right" w:leader="dot" w:pos="8306"/>
        </w:tabs>
        <w:rPr>
          <w:color w:val="auto"/>
          <w:sz w:val="28"/>
          <w:szCs w:val="28"/>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\l _Toc31176 </w:instrText>
      </w:r>
      <w:r>
        <w:rPr>
          <w:rFonts w:hint="eastAsia" w:ascii="宋体" w:hAnsi="宋体" w:cs="宋体"/>
          <w:color w:val="auto"/>
          <w:sz w:val="28"/>
          <w:szCs w:val="28"/>
        </w:rPr>
        <w:fldChar w:fldCharType="separate"/>
      </w:r>
      <w:r>
        <w:rPr>
          <w:rFonts w:hint="eastAsia"/>
          <w:color w:val="auto"/>
          <w:sz w:val="28"/>
          <w:szCs w:val="28"/>
        </w:rPr>
        <w:t>第六章 投标文件部分格式</w:t>
      </w:r>
      <w:r>
        <w:rPr>
          <w:color w:val="auto"/>
          <w:sz w:val="28"/>
          <w:szCs w:val="28"/>
        </w:rPr>
        <w:tab/>
      </w:r>
      <w:r>
        <w:rPr>
          <w:color w:val="auto"/>
          <w:sz w:val="28"/>
          <w:szCs w:val="28"/>
        </w:rPr>
        <w:fldChar w:fldCharType="begin"/>
      </w:r>
      <w:r>
        <w:rPr>
          <w:color w:val="auto"/>
          <w:sz w:val="28"/>
          <w:szCs w:val="28"/>
        </w:rPr>
        <w:instrText xml:space="preserve"> PAGEREF _Toc31176 \h </w:instrText>
      </w:r>
      <w:r>
        <w:rPr>
          <w:color w:val="auto"/>
          <w:sz w:val="28"/>
          <w:szCs w:val="28"/>
        </w:rPr>
        <w:fldChar w:fldCharType="separate"/>
      </w:r>
      <w:r>
        <w:rPr>
          <w:color w:val="auto"/>
          <w:sz w:val="28"/>
          <w:szCs w:val="28"/>
        </w:rPr>
        <w:t>61</w:t>
      </w:r>
      <w:r>
        <w:rPr>
          <w:color w:val="auto"/>
          <w:sz w:val="28"/>
          <w:szCs w:val="28"/>
        </w:rPr>
        <w:fldChar w:fldCharType="end"/>
      </w:r>
      <w:r>
        <w:rPr>
          <w:rFonts w:hint="eastAsia" w:ascii="宋体" w:hAnsi="宋体" w:cs="宋体"/>
          <w:color w:val="auto"/>
          <w:sz w:val="28"/>
          <w:szCs w:val="28"/>
        </w:rPr>
        <w:fldChar w:fldCharType="end"/>
      </w:r>
    </w:p>
    <w:p w14:paraId="1884D4F0">
      <w:pPr>
        <w:pStyle w:val="15"/>
        <w:tabs>
          <w:tab w:val="right" w:leader="dot" w:pos="8306"/>
        </w:tabs>
        <w:rPr>
          <w:color w:val="auto"/>
        </w:rPr>
      </w:pPr>
    </w:p>
    <w:p w14:paraId="2FBF117E">
      <w:pPr>
        <w:pStyle w:val="9"/>
        <w:tabs>
          <w:tab w:val="right" w:leader="dot" w:pos="8296"/>
        </w:tabs>
        <w:spacing w:line="360" w:lineRule="auto"/>
        <w:rPr>
          <w:rFonts w:ascii="宋体" w:hAnsi="宋体"/>
          <w:color w:val="auto"/>
        </w:rPr>
        <w:sectPr>
          <w:footerReference r:id="rId9" w:type="first"/>
          <w:footerReference r:id="rId8" w:type="default"/>
          <w:pgSz w:w="11906" w:h="16838"/>
          <w:pgMar w:top="1440" w:right="1800" w:bottom="1440" w:left="1800" w:header="851" w:footer="992" w:gutter="0"/>
          <w:pgNumType w:start="1"/>
          <w:cols w:space="708" w:num="1"/>
          <w:titlePg/>
          <w:docGrid w:type="lines" w:linePitch="312" w:charSpace="0"/>
        </w:sectPr>
      </w:pPr>
      <w:r>
        <w:rPr>
          <w:rFonts w:hint="eastAsia" w:ascii="宋体" w:hAnsi="宋体" w:cs="宋体"/>
          <w:color w:val="auto"/>
        </w:rPr>
        <w:fldChar w:fldCharType="end"/>
      </w:r>
    </w:p>
    <w:p w14:paraId="68A6081B">
      <w:pPr>
        <w:pStyle w:val="3"/>
        <w:numPr>
          <w:ilvl w:val="0"/>
          <w:numId w:val="1"/>
        </w:numPr>
        <w:spacing w:before="120" w:after="120" w:line="360" w:lineRule="auto"/>
        <w:jc w:val="center"/>
        <w:rPr>
          <w:rStyle w:val="74"/>
          <w:b/>
          <w:bCs/>
          <w:color w:val="auto"/>
        </w:rPr>
      </w:pPr>
      <w:bookmarkStart w:id="3" w:name="_Toc152042303"/>
      <w:bookmarkStart w:id="4" w:name="_Toc152045527"/>
      <w:bookmarkStart w:id="5" w:name="_Toc144974495"/>
      <w:r>
        <w:rPr>
          <w:rStyle w:val="74"/>
          <w:rFonts w:hint="eastAsia"/>
          <w:b/>
          <w:bCs/>
          <w:color w:val="auto"/>
        </w:rPr>
        <w:t xml:space="preserve"> </w:t>
      </w:r>
      <w:bookmarkStart w:id="6" w:name="_Toc20798"/>
      <w:r>
        <w:rPr>
          <w:rStyle w:val="74"/>
          <w:rFonts w:hint="eastAsia"/>
          <w:b/>
          <w:bCs/>
          <w:color w:val="auto"/>
        </w:rPr>
        <w:t>招标公告</w:t>
      </w:r>
      <w:bookmarkEnd w:id="6"/>
    </w:p>
    <w:p w14:paraId="551E4F0A">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olor w:val="auto"/>
          <w:szCs w:val="21"/>
        </w:rPr>
      </w:pPr>
      <w:r>
        <w:rPr>
          <w:rFonts w:hint="eastAsia" w:ascii="宋体" w:hAnsi="宋体"/>
          <w:color w:val="auto"/>
          <w:szCs w:val="21"/>
        </w:rPr>
        <w:t>项目概况</w:t>
      </w:r>
    </w:p>
    <w:p w14:paraId="443B1CBA">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olor w:val="auto"/>
          <w:szCs w:val="21"/>
        </w:rPr>
      </w:pPr>
      <w:r>
        <w:rPr>
          <w:rFonts w:hint="eastAsia" w:ascii="宋体" w:hAnsi="宋体"/>
          <w:color w:val="auto"/>
          <w:szCs w:val="21"/>
          <w:u w:val="single"/>
          <w:lang w:eastAsia="zh-CN"/>
        </w:rPr>
        <w:t>迪庆藏族自治州博物馆可移动文物预防性保护（二期）</w:t>
      </w:r>
      <w:r>
        <w:rPr>
          <w:rFonts w:hint="eastAsia" w:ascii="宋体" w:hAnsi="宋体"/>
          <w:color w:val="auto"/>
          <w:szCs w:val="21"/>
        </w:rPr>
        <w:t>的潜在投标人</w:t>
      </w:r>
      <w:r>
        <w:rPr>
          <w:rFonts w:hint="eastAsia" w:ascii="宋体" w:hAnsi="宋体" w:cs="宋体"/>
          <w:color w:val="auto"/>
          <w:szCs w:val="21"/>
        </w:rPr>
        <w:t>应在</w:t>
      </w:r>
      <w:r>
        <w:rPr>
          <w:rFonts w:hint="eastAsia" w:ascii="宋体" w:hAnsi="宋体" w:cs="宋体"/>
          <w:color w:val="auto"/>
          <w:szCs w:val="21"/>
          <w:u w:val="single"/>
        </w:rPr>
        <w:t>“政采云”平台（网址：http：//www.zcygov.cn）</w:t>
      </w:r>
      <w:r>
        <w:rPr>
          <w:rFonts w:hint="eastAsia" w:ascii="宋体" w:hAnsi="宋体" w:cs="宋体"/>
          <w:color w:val="auto"/>
          <w:szCs w:val="21"/>
        </w:rPr>
        <w:t>获取（下载）采购文件</w:t>
      </w:r>
      <w:r>
        <w:rPr>
          <w:rFonts w:hint="eastAsia" w:ascii="宋体" w:hAnsi="宋体"/>
          <w:color w:val="auto"/>
          <w:szCs w:val="21"/>
        </w:rPr>
        <w:t>，并于</w:t>
      </w:r>
      <w:r>
        <w:rPr>
          <w:rFonts w:hint="eastAsia" w:ascii="宋体" w:hAnsi="宋体"/>
          <w:color w:val="auto"/>
          <w:szCs w:val="21"/>
          <w:u w:val="single"/>
          <w:lang w:eastAsia="zh-CN"/>
        </w:rPr>
        <w:t>2025年5月29日</w:t>
      </w:r>
      <w:r>
        <w:rPr>
          <w:rFonts w:hint="eastAsia" w:ascii="宋体" w:hAnsi="宋体"/>
          <w:color w:val="auto"/>
          <w:szCs w:val="21"/>
          <w:u w:val="single"/>
        </w:rPr>
        <w:t>14点</w:t>
      </w:r>
      <w:r>
        <w:rPr>
          <w:rFonts w:hint="eastAsia" w:ascii="宋体" w:hAnsi="宋体"/>
          <w:color w:val="auto"/>
          <w:szCs w:val="21"/>
          <w:u w:val="single"/>
          <w:lang w:val="en-US" w:eastAsia="zh-CN"/>
        </w:rPr>
        <w:t>0</w:t>
      </w:r>
      <w:r>
        <w:rPr>
          <w:rFonts w:hint="eastAsia" w:ascii="宋体" w:hAnsi="宋体"/>
          <w:color w:val="auto"/>
          <w:szCs w:val="21"/>
          <w:u w:val="single"/>
        </w:rPr>
        <w:t>0分</w:t>
      </w:r>
      <w:r>
        <w:rPr>
          <w:rFonts w:hint="eastAsia" w:ascii="宋体" w:hAnsi="宋体"/>
          <w:color w:val="auto"/>
          <w:szCs w:val="21"/>
        </w:rPr>
        <w:t>（北京时间）前递交投标文件。</w:t>
      </w:r>
    </w:p>
    <w:p w14:paraId="31ABCEFC">
      <w:pPr>
        <w:pStyle w:val="44"/>
        <w:spacing w:line="360" w:lineRule="auto"/>
        <w:rPr>
          <w:rFonts w:ascii="宋体" w:hAnsi="宋体" w:eastAsia="宋体"/>
          <w:b/>
          <w:color w:val="auto"/>
        </w:rPr>
      </w:pPr>
      <w:bookmarkStart w:id="7" w:name="_Toc12248"/>
      <w:bookmarkStart w:id="8" w:name="_Toc2598"/>
      <w:bookmarkStart w:id="9" w:name="_Toc28228"/>
      <w:r>
        <w:rPr>
          <w:rFonts w:hint="eastAsia" w:ascii="宋体" w:hAnsi="宋体" w:eastAsia="宋体"/>
          <w:b/>
          <w:color w:val="auto"/>
        </w:rPr>
        <w:t>一、项目基本情况</w:t>
      </w:r>
      <w:bookmarkEnd w:id="7"/>
      <w:bookmarkEnd w:id="8"/>
      <w:bookmarkEnd w:id="9"/>
    </w:p>
    <w:p w14:paraId="7859C48F">
      <w:pPr>
        <w:spacing w:line="360" w:lineRule="auto"/>
        <w:ind w:firstLine="420" w:firstLineChars="200"/>
        <w:rPr>
          <w:rFonts w:hint="eastAsia" w:ascii="宋体" w:hAnsi="宋体" w:eastAsia="宋体"/>
          <w:color w:val="auto"/>
          <w:szCs w:val="21"/>
          <w:lang w:eastAsia="zh-CN"/>
        </w:rPr>
      </w:pPr>
      <w:r>
        <w:rPr>
          <w:rFonts w:ascii="宋体" w:hAnsi="宋体"/>
          <w:color w:val="auto"/>
          <w:szCs w:val="21"/>
        </w:rPr>
        <w:t>项目</w:t>
      </w:r>
      <w:r>
        <w:rPr>
          <w:rFonts w:hint="eastAsia" w:ascii="宋体" w:hAnsi="宋体"/>
          <w:color w:val="auto"/>
          <w:szCs w:val="21"/>
        </w:rPr>
        <w:t>编号：</w:t>
      </w:r>
      <w:r>
        <w:rPr>
          <w:rFonts w:hint="eastAsia" w:ascii="宋体" w:hAnsi="宋体" w:cs="Times New Roman"/>
          <w:color w:val="auto"/>
          <w:szCs w:val="21"/>
          <w:lang w:eastAsia="zh-CN"/>
        </w:rPr>
        <w:t>DQZC2025-G1-00088-YNZC-0003</w:t>
      </w:r>
    </w:p>
    <w:p w14:paraId="24316CE0">
      <w:pPr>
        <w:spacing w:line="360" w:lineRule="auto"/>
        <w:ind w:firstLine="420" w:firstLineChars="200"/>
        <w:rPr>
          <w:rFonts w:hint="eastAsia" w:ascii="宋体" w:hAnsi="宋体" w:eastAsia="宋体"/>
          <w:color w:val="auto"/>
          <w:szCs w:val="21"/>
          <w:lang w:eastAsia="zh-CN"/>
        </w:rPr>
      </w:pPr>
      <w:r>
        <w:rPr>
          <w:rFonts w:hint="eastAsia" w:ascii="宋体" w:hAnsi="宋体"/>
          <w:color w:val="auto"/>
          <w:szCs w:val="21"/>
        </w:rPr>
        <w:t>项目名称：</w:t>
      </w:r>
      <w:r>
        <w:rPr>
          <w:rFonts w:hint="eastAsia" w:ascii="宋体" w:hAnsi="宋体"/>
          <w:color w:val="auto"/>
          <w:szCs w:val="21"/>
          <w:lang w:eastAsia="zh-CN"/>
        </w:rPr>
        <w:t>迪庆藏族自治州博物馆可移动文物预防性保护（二期）</w:t>
      </w:r>
    </w:p>
    <w:p w14:paraId="1CF15018">
      <w:pPr>
        <w:spacing w:line="360" w:lineRule="auto"/>
        <w:ind w:firstLine="420" w:firstLineChars="200"/>
        <w:rPr>
          <w:rFonts w:hint="eastAsia" w:ascii="宋体" w:hAnsi="宋体"/>
          <w:color w:val="auto"/>
          <w:szCs w:val="21"/>
          <w:lang w:val="en-US" w:eastAsia="zh-CN"/>
        </w:rPr>
      </w:pPr>
      <w:r>
        <w:rPr>
          <w:rFonts w:hint="eastAsia" w:ascii="宋体" w:hAnsi="宋体"/>
          <w:color w:val="auto"/>
          <w:szCs w:val="21"/>
        </w:rPr>
        <w:t>预算金额：11</w:t>
      </w:r>
      <w:r>
        <w:rPr>
          <w:rFonts w:hint="eastAsia" w:ascii="宋体" w:hAnsi="宋体"/>
          <w:color w:val="auto"/>
          <w:szCs w:val="21"/>
          <w:lang w:val="en-US" w:eastAsia="zh-CN"/>
        </w:rPr>
        <w:t>80000.00元</w:t>
      </w:r>
    </w:p>
    <w:p w14:paraId="52B380F9">
      <w:pPr>
        <w:spacing w:line="360" w:lineRule="auto"/>
        <w:ind w:firstLine="420" w:firstLineChars="200"/>
        <w:rPr>
          <w:rFonts w:ascii="宋体" w:hAnsi="宋体"/>
          <w:color w:val="auto"/>
          <w:szCs w:val="21"/>
        </w:rPr>
      </w:pPr>
      <w:r>
        <w:rPr>
          <w:rFonts w:hint="eastAsia" w:ascii="宋体" w:hAnsi="宋体"/>
          <w:color w:val="auto"/>
          <w:szCs w:val="21"/>
        </w:rPr>
        <w:t>最高限价：11</w:t>
      </w:r>
      <w:r>
        <w:rPr>
          <w:rFonts w:hint="eastAsia" w:ascii="宋体" w:hAnsi="宋体"/>
          <w:color w:val="auto"/>
          <w:szCs w:val="21"/>
          <w:lang w:val="en-US" w:eastAsia="zh-CN"/>
        </w:rPr>
        <w:t>80000.00元</w:t>
      </w:r>
    </w:p>
    <w:p w14:paraId="1FCEEFFF">
      <w:pPr>
        <w:spacing w:line="360" w:lineRule="auto"/>
        <w:ind w:firstLine="420" w:firstLineChars="200"/>
        <w:rPr>
          <w:rFonts w:ascii="宋体" w:hAnsi="宋体"/>
          <w:color w:val="auto"/>
          <w:szCs w:val="21"/>
        </w:rPr>
      </w:pPr>
      <w:r>
        <w:rPr>
          <w:rFonts w:hint="eastAsia" w:ascii="宋体" w:hAnsi="宋体"/>
          <w:color w:val="auto"/>
          <w:szCs w:val="21"/>
        </w:rPr>
        <w:t>采购需求：本次采购项目的主要目标是为了进一步提升博物馆可移动文物的预防性保护水平。核心宗旨是通过引入先进的设备和技术，为文物创造一个稳定、洁净的保存及展览环境，进一步完善文物展藏设施，从而全面确保文物的安全与完整性，充分发挥博物馆在文化遗产传承中的作用</w:t>
      </w:r>
      <w:r>
        <w:rPr>
          <w:rFonts w:hint="eastAsia" w:ascii="宋体" w:hAnsi="宋体"/>
          <w:color w:val="auto"/>
          <w:szCs w:val="21"/>
          <w:lang w:eastAsia="zh-CN"/>
        </w:rPr>
        <w:t>；</w:t>
      </w:r>
      <w:r>
        <w:rPr>
          <w:rFonts w:hint="eastAsia" w:ascii="宋体" w:hAnsi="宋体"/>
          <w:color w:val="auto"/>
          <w:szCs w:val="21"/>
        </w:rPr>
        <w:t>具体需求包括：馆藏文物无线环境监测系统、展厅展柜改造、文物储藏设施。本项目不接受进口产品投标，投标人须对所投产品的所有项目内容进行整体投标报价，不得缺项漏项，否则按不实质性响应招标文件要求处理；具体技术参数要求详见第五章《采购需求》。</w:t>
      </w:r>
    </w:p>
    <w:p w14:paraId="5950A02B">
      <w:pPr>
        <w:spacing w:line="360" w:lineRule="auto"/>
        <w:ind w:firstLine="420" w:firstLineChars="200"/>
        <w:rPr>
          <w:rFonts w:ascii="宋体" w:hAnsi="宋体"/>
          <w:color w:val="auto"/>
          <w:szCs w:val="21"/>
        </w:rPr>
      </w:pPr>
      <w:r>
        <w:rPr>
          <w:rFonts w:hint="eastAsia" w:ascii="宋体" w:hAnsi="宋体"/>
          <w:color w:val="auto"/>
          <w:szCs w:val="21"/>
        </w:rPr>
        <w:t>合同履行期限（供货期）：合同签订后120日历天完成全部项目内容，完成安装调试试运行并通过验收交付使用。</w:t>
      </w:r>
    </w:p>
    <w:p w14:paraId="2573DBE1">
      <w:pPr>
        <w:spacing w:line="360" w:lineRule="auto"/>
        <w:ind w:firstLine="420" w:firstLineChars="200"/>
        <w:rPr>
          <w:rFonts w:ascii="宋体" w:hAnsi="宋体"/>
          <w:color w:val="auto"/>
          <w:szCs w:val="21"/>
        </w:rPr>
      </w:pPr>
      <w:bookmarkStart w:id="10" w:name="_Toc152045514"/>
      <w:bookmarkStart w:id="11" w:name="_Toc525741995"/>
      <w:bookmarkStart w:id="12" w:name="_Toc152042290"/>
      <w:bookmarkStart w:id="13" w:name="_Toc144974482"/>
      <w:bookmarkStart w:id="14" w:name="_Toc257099836"/>
      <w:bookmarkStart w:id="15" w:name="_Toc179632530"/>
      <w:bookmarkStart w:id="16" w:name="_Toc525742081"/>
      <w:r>
        <w:rPr>
          <w:rFonts w:hint="eastAsia" w:ascii="宋体" w:hAnsi="宋体"/>
          <w:color w:val="auto"/>
          <w:szCs w:val="21"/>
        </w:rPr>
        <w:t>本项目</w:t>
      </w:r>
      <w:r>
        <w:rPr>
          <w:rFonts w:hint="eastAsia" w:ascii="宋体" w:hAnsi="宋体"/>
          <w:b/>
          <w:color w:val="auto"/>
          <w:szCs w:val="21"/>
          <w:u w:val="single"/>
        </w:rPr>
        <w:t>不</w:t>
      </w:r>
      <w:r>
        <w:rPr>
          <w:rFonts w:hint="eastAsia" w:ascii="宋体" w:hAnsi="宋体"/>
          <w:color w:val="auto"/>
          <w:szCs w:val="21"/>
        </w:rPr>
        <w:t>接受联合体投标。</w:t>
      </w:r>
    </w:p>
    <w:p w14:paraId="775D902C">
      <w:pPr>
        <w:spacing w:line="360" w:lineRule="auto"/>
        <w:outlineLvl w:val="1"/>
        <w:rPr>
          <w:rFonts w:ascii="宋体" w:hAnsi="宋体"/>
          <w:b/>
          <w:color w:val="auto"/>
          <w:sz w:val="28"/>
          <w:szCs w:val="28"/>
        </w:rPr>
      </w:pPr>
      <w:bookmarkStart w:id="17" w:name="_Toc19697"/>
      <w:bookmarkStart w:id="18" w:name="_Toc3042"/>
      <w:bookmarkStart w:id="19" w:name="_Toc20833"/>
      <w:r>
        <w:rPr>
          <w:rFonts w:hint="eastAsia" w:ascii="宋体" w:hAnsi="宋体"/>
          <w:b/>
          <w:color w:val="auto"/>
          <w:sz w:val="28"/>
          <w:szCs w:val="28"/>
        </w:rPr>
        <w:t>二、申请人的</w:t>
      </w:r>
      <w:r>
        <w:rPr>
          <w:rFonts w:ascii="宋体" w:hAnsi="宋体"/>
          <w:b/>
          <w:color w:val="auto"/>
          <w:sz w:val="28"/>
          <w:szCs w:val="36"/>
        </w:rPr>
        <w:t>资格要求</w:t>
      </w:r>
      <w:bookmarkEnd w:id="10"/>
      <w:bookmarkEnd w:id="11"/>
      <w:bookmarkEnd w:id="12"/>
      <w:bookmarkEnd w:id="13"/>
      <w:bookmarkEnd w:id="14"/>
      <w:bookmarkEnd w:id="15"/>
      <w:bookmarkEnd w:id="16"/>
      <w:bookmarkEnd w:id="17"/>
      <w:bookmarkEnd w:id="18"/>
      <w:bookmarkEnd w:id="19"/>
    </w:p>
    <w:p w14:paraId="000A4F09">
      <w:pPr>
        <w:spacing w:line="360" w:lineRule="auto"/>
        <w:ind w:firstLine="420" w:firstLineChars="200"/>
        <w:rPr>
          <w:rFonts w:ascii="宋体" w:hAnsi="宋体"/>
          <w:color w:val="auto"/>
          <w:szCs w:val="21"/>
        </w:rPr>
      </w:pPr>
      <w:bookmarkStart w:id="20" w:name="_Toc26852"/>
      <w:bookmarkStart w:id="21" w:name="_Toc152045515"/>
      <w:bookmarkStart w:id="22" w:name="_Toc525741996"/>
      <w:bookmarkStart w:id="23" w:name="_Toc525742082"/>
      <w:bookmarkStart w:id="24" w:name="_Toc144974483"/>
      <w:bookmarkStart w:id="25" w:name="_Toc28727"/>
      <w:bookmarkStart w:id="26" w:name="_Toc179632531"/>
      <w:bookmarkStart w:id="27" w:name="_Toc257099837"/>
      <w:bookmarkStart w:id="28" w:name="_Toc152042291"/>
      <w:bookmarkStart w:id="29" w:name="_Toc26300"/>
      <w:r>
        <w:rPr>
          <w:rFonts w:hint="eastAsia" w:ascii="宋体" w:hAnsi="宋体"/>
          <w:color w:val="auto"/>
          <w:szCs w:val="21"/>
        </w:rPr>
        <w:t>1.满足《中华人民共和国政府采购法》第二十二条规定。</w:t>
      </w:r>
    </w:p>
    <w:p w14:paraId="0C5C19F2">
      <w:pPr>
        <w:spacing w:line="360" w:lineRule="auto"/>
        <w:ind w:firstLine="420" w:firstLineChars="200"/>
        <w:rPr>
          <w:rFonts w:ascii="宋体" w:hAnsi="宋体"/>
          <w:color w:val="auto"/>
          <w:szCs w:val="21"/>
          <w:lang w:val="zh-CN"/>
        </w:rPr>
      </w:pPr>
      <w:r>
        <w:rPr>
          <w:rFonts w:hint="eastAsia" w:ascii="宋体" w:hAnsi="宋体"/>
          <w:color w:val="auto"/>
          <w:szCs w:val="21"/>
        </w:rPr>
        <w:t>2.落实政府采购政策需满足的资格要求：</w:t>
      </w:r>
      <w:r>
        <w:rPr>
          <w:rFonts w:hint="eastAsia" w:ascii="宋体" w:hAnsi="宋体"/>
          <w:color w:val="auto"/>
          <w:szCs w:val="21"/>
          <w:lang w:val="zh-CN"/>
        </w:rPr>
        <w:t>本项目</w:t>
      </w:r>
      <w:r>
        <w:rPr>
          <w:rFonts w:hint="eastAsia" w:ascii="宋体" w:hAnsi="宋体"/>
          <w:color w:val="auto"/>
          <w:szCs w:val="21"/>
        </w:rPr>
        <w:t>非</w:t>
      </w:r>
      <w:r>
        <w:rPr>
          <w:rFonts w:hint="eastAsia" w:ascii="宋体" w:hAnsi="宋体"/>
          <w:color w:val="auto"/>
          <w:szCs w:val="21"/>
          <w:lang w:val="zh-CN"/>
        </w:rPr>
        <w:t>专门面向中小企业采购的项目扶持中小企业政策：评审时对符合要求的小型和微型企业给予10%的价格扣除，用扣除后的价格参加评审；监狱企业和残疾人福利性单位视同小型、微型企业。</w:t>
      </w:r>
    </w:p>
    <w:p w14:paraId="181A3509">
      <w:pPr>
        <w:spacing w:line="360" w:lineRule="auto"/>
        <w:ind w:firstLine="420" w:firstLineChars="200"/>
        <w:rPr>
          <w:rFonts w:ascii="宋体" w:hAnsi="宋体"/>
          <w:color w:val="auto"/>
          <w:szCs w:val="21"/>
        </w:rPr>
      </w:pPr>
      <w:r>
        <w:rPr>
          <w:rFonts w:hint="eastAsia" w:ascii="宋体" w:hAnsi="宋体"/>
          <w:color w:val="auto"/>
          <w:szCs w:val="21"/>
        </w:rPr>
        <w:t>3.本项目的特定资格要求：</w:t>
      </w:r>
      <w:r>
        <w:rPr>
          <w:rFonts w:hint="eastAsia" w:ascii="宋体" w:hAnsi="宋体"/>
          <w:color w:val="auto"/>
          <w:szCs w:val="21"/>
          <w:lang w:val="en-US" w:eastAsia="zh-CN"/>
        </w:rPr>
        <w:t>无。</w:t>
      </w:r>
    </w:p>
    <w:p w14:paraId="6BE5AB73">
      <w:pPr>
        <w:pStyle w:val="44"/>
        <w:spacing w:line="360" w:lineRule="auto"/>
        <w:rPr>
          <w:rFonts w:ascii="宋体" w:hAnsi="宋体" w:eastAsia="宋体"/>
          <w:b/>
          <w:color w:val="auto"/>
        </w:rPr>
      </w:pPr>
      <w:bookmarkStart w:id="30" w:name="_Toc6084"/>
      <w:r>
        <w:rPr>
          <w:rFonts w:hint="eastAsia" w:ascii="宋体" w:hAnsi="宋体" w:eastAsia="宋体"/>
          <w:b/>
          <w:color w:val="auto"/>
        </w:rPr>
        <w:t>三、获取</w:t>
      </w:r>
      <w:bookmarkEnd w:id="20"/>
      <w:bookmarkEnd w:id="21"/>
      <w:bookmarkEnd w:id="22"/>
      <w:bookmarkEnd w:id="23"/>
      <w:bookmarkEnd w:id="24"/>
      <w:bookmarkEnd w:id="25"/>
      <w:bookmarkEnd w:id="26"/>
      <w:bookmarkEnd w:id="27"/>
      <w:bookmarkEnd w:id="28"/>
      <w:r>
        <w:rPr>
          <w:rFonts w:hint="eastAsia" w:ascii="宋体" w:hAnsi="宋体" w:eastAsia="宋体"/>
          <w:b/>
          <w:color w:val="auto"/>
        </w:rPr>
        <w:t>采购文件</w:t>
      </w:r>
      <w:bookmarkEnd w:id="29"/>
      <w:bookmarkEnd w:id="30"/>
    </w:p>
    <w:p w14:paraId="1EC46756">
      <w:pPr>
        <w:spacing w:line="360" w:lineRule="auto"/>
        <w:ind w:firstLine="420" w:firstLineChars="200"/>
        <w:rPr>
          <w:rFonts w:ascii="宋体" w:hAnsi="宋体" w:cs="宋体"/>
          <w:color w:val="auto"/>
          <w:kern w:val="0"/>
          <w:sz w:val="24"/>
        </w:rPr>
      </w:pPr>
      <w:r>
        <w:rPr>
          <w:rFonts w:hint="eastAsia" w:ascii="宋体" w:hAnsi="宋体"/>
          <w:color w:val="auto"/>
          <w:szCs w:val="21"/>
        </w:rPr>
        <w:t>时间：</w:t>
      </w:r>
      <w:r>
        <w:rPr>
          <w:rFonts w:hint="eastAsia" w:ascii="宋体" w:hAnsi="宋体"/>
          <w:bCs/>
          <w:color w:val="auto"/>
          <w:szCs w:val="21"/>
        </w:rPr>
        <w:t>2025</w:t>
      </w:r>
      <w:r>
        <w:rPr>
          <w:rFonts w:hint="eastAsia" w:ascii="宋体" w:hAnsi="宋体"/>
          <w:bCs/>
          <w:color w:val="auto"/>
          <w:szCs w:val="21"/>
          <w:lang w:val="en-US" w:eastAsia="zh-CN"/>
        </w:rPr>
        <w:t>年</w:t>
      </w:r>
      <w:r>
        <w:rPr>
          <w:rFonts w:hint="eastAsia" w:ascii="宋体" w:hAnsi="宋体"/>
          <w:bCs/>
          <w:color w:val="auto"/>
          <w:szCs w:val="21"/>
        </w:rPr>
        <w:t>5</w:t>
      </w:r>
      <w:r>
        <w:rPr>
          <w:rFonts w:hint="eastAsia" w:ascii="宋体" w:hAnsi="宋体"/>
          <w:bCs/>
          <w:color w:val="auto"/>
          <w:szCs w:val="21"/>
          <w:lang w:val="en-US" w:eastAsia="zh-CN"/>
        </w:rPr>
        <w:t>月</w:t>
      </w:r>
      <w:r>
        <w:rPr>
          <w:rFonts w:hint="eastAsia" w:ascii="宋体" w:hAnsi="宋体"/>
          <w:bCs/>
          <w:color w:val="auto"/>
          <w:szCs w:val="21"/>
        </w:rPr>
        <w:t>9</w:t>
      </w:r>
      <w:r>
        <w:rPr>
          <w:rFonts w:hint="eastAsia" w:ascii="宋体" w:hAnsi="宋体"/>
          <w:bCs/>
          <w:color w:val="auto"/>
          <w:szCs w:val="21"/>
          <w:lang w:val="en-US" w:eastAsia="zh-CN"/>
        </w:rPr>
        <w:t>日</w:t>
      </w:r>
      <w:r>
        <w:rPr>
          <w:rFonts w:hint="eastAsia" w:ascii="宋体" w:hAnsi="宋体"/>
          <w:bCs/>
          <w:color w:val="auto"/>
          <w:szCs w:val="21"/>
        </w:rPr>
        <w:t>至2025年</w:t>
      </w:r>
      <w:r>
        <w:rPr>
          <w:rFonts w:hint="eastAsia" w:ascii="宋体" w:hAnsi="宋体"/>
          <w:bCs/>
          <w:color w:val="auto"/>
          <w:szCs w:val="21"/>
          <w:lang w:val="en-US" w:eastAsia="zh-CN"/>
        </w:rPr>
        <w:t>5</w:t>
      </w:r>
      <w:r>
        <w:rPr>
          <w:rFonts w:hint="eastAsia" w:ascii="宋体" w:hAnsi="宋体"/>
          <w:bCs/>
          <w:color w:val="auto"/>
          <w:szCs w:val="21"/>
        </w:rPr>
        <w:t>月</w:t>
      </w:r>
      <w:r>
        <w:rPr>
          <w:rFonts w:hint="eastAsia" w:ascii="宋体" w:hAnsi="宋体"/>
          <w:bCs/>
          <w:color w:val="auto"/>
          <w:szCs w:val="21"/>
          <w:lang w:val="en-US" w:eastAsia="zh-CN"/>
        </w:rPr>
        <w:t>16</w:t>
      </w:r>
      <w:r>
        <w:rPr>
          <w:rFonts w:hint="eastAsia" w:ascii="宋体" w:hAnsi="宋体"/>
          <w:bCs/>
          <w:color w:val="auto"/>
          <w:szCs w:val="21"/>
        </w:rPr>
        <w:t>日,每天上午0</w:t>
      </w:r>
      <w:r>
        <w:rPr>
          <w:rFonts w:hint="eastAsia" w:ascii="宋体" w:hAnsi="宋体"/>
          <w:bCs/>
          <w:color w:val="auto"/>
          <w:szCs w:val="21"/>
          <w:lang w:val="en-US" w:eastAsia="zh-CN"/>
        </w:rPr>
        <w:t>6</w:t>
      </w:r>
      <w:r>
        <w:rPr>
          <w:rFonts w:hint="eastAsia" w:ascii="宋体" w:hAnsi="宋体"/>
          <w:bCs/>
          <w:color w:val="auto"/>
          <w:szCs w:val="21"/>
        </w:rPr>
        <w:t>时00分至12时00分，下午12时00分至23时59分（北京时间）。</w:t>
      </w:r>
    </w:p>
    <w:p w14:paraId="4D1B67D0">
      <w:pPr>
        <w:spacing w:line="360" w:lineRule="auto"/>
        <w:ind w:firstLine="420" w:firstLineChars="200"/>
        <w:rPr>
          <w:rFonts w:ascii="宋体" w:hAnsi="宋体"/>
          <w:color w:val="auto"/>
          <w:szCs w:val="21"/>
        </w:rPr>
      </w:pPr>
      <w:r>
        <w:rPr>
          <w:rFonts w:hint="eastAsia" w:ascii="宋体" w:hAnsi="宋体"/>
          <w:color w:val="auto"/>
          <w:szCs w:val="21"/>
        </w:rPr>
        <w:t>地点：</w:t>
      </w:r>
      <w:r>
        <w:rPr>
          <w:rFonts w:hint="eastAsia" w:ascii="宋体" w:hAnsi="宋体"/>
          <w:bCs/>
          <w:color w:val="auto"/>
          <w:szCs w:val="21"/>
        </w:rPr>
        <w:t>政采云平台线上获取（https://www.zcygov.cn/）</w:t>
      </w:r>
      <w:r>
        <w:rPr>
          <w:rFonts w:hint="eastAsia" w:ascii="宋体" w:hAnsi="宋体"/>
          <w:color w:val="auto"/>
          <w:szCs w:val="21"/>
        </w:rPr>
        <w:t>。</w:t>
      </w:r>
    </w:p>
    <w:p w14:paraId="6417FEDA">
      <w:pPr>
        <w:spacing w:line="360" w:lineRule="auto"/>
        <w:ind w:firstLine="420" w:firstLineChars="200"/>
        <w:rPr>
          <w:rFonts w:ascii="宋体" w:hAnsi="宋体" w:cs="宋体"/>
          <w:color w:val="auto"/>
          <w:szCs w:val="21"/>
        </w:rPr>
      </w:pPr>
      <w:r>
        <w:rPr>
          <w:rFonts w:hint="eastAsia" w:ascii="宋体" w:hAnsi="宋体"/>
          <w:color w:val="auto"/>
          <w:szCs w:val="21"/>
        </w:rPr>
        <w:t>方式：</w:t>
      </w:r>
      <w:r>
        <w:rPr>
          <w:rFonts w:hint="eastAsia" w:ascii="宋体" w:hAnsi="宋体" w:cs="宋体"/>
          <w:color w:val="auto"/>
          <w:szCs w:val="21"/>
        </w:rPr>
        <w:t xml:space="preserve">网上下载。本项目不发放纸质采购文件，投标人可自行在“政采云”平台（http：//www.zcygov.cn）下载采购文件（操作路径：登录“政采云”平台-项目采购-获取采购文件-找到本项目-点击“申请获取采购文件”），电子投标文件制作需要基于“政采云”平台（http：//www.zcygov.cn）获取的采购文件编制。 </w:t>
      </w:r>
    </w:p>
    <w:p w14:paraId="006F07C0">
      <w:pPr>
        <w:pStyle w:val="22"/>
        <w:shd w:val="clear" w:color="auto" w:fill="FFFFFF"/>
        <w:spacing w:before="0" w:beforeAutospacing="0" w:after="0" w:afterAutospacing="0" w:line="360" w:lineRule="auto"/>
        <w:ind w:firstLine="420" w:firstLineChars="200"/>
        <w:jc w:val="both"/>
        <w:rPr>
          <w:rFonts w:ascii="宋体" w:hAnsi="宋体"/>
          <w:color w:val="auto"/>
          <w:kern w:val="2"/>
          <w:sz w:val="21"/>
          <w:szCs w:val="21"/>
        </w:rPr>
      </w:pPr>
      <w:r>
        <w:rPr>
          <w:rFonts w:hint="eastAsia" w:ascii="宋体" w:hAnsi="宋体"/>
          <w:color w:val="auto"/>
          <w:kern w:val="2"/>
          <w:sz w:val="21"/>
          <w:szCs w:val="21"/>
        </w:rPr>
        <w:t>售价：</w:t>
      </w:r>
      <w:r>
        <w:rPr>
          <w:rFonts w:hint="eastAsia" w:ascii="宋体" w:hAnsi="宋体"/>
          <w:color w:val="auto"/>
          <w:kern w:val="2"/>
          <w:sz w:val="21"/>
          <w:szCs w:val="21"/>
          <w:lang w:val="en-US" w:eastAsia="zh-CN"/>
        </w:rPr>
        <w:t>0.00</w:t>
      </w:r>
      <w:r>
        <w:rPr>
          <w:rFonts w:hint="eastAsia" w:ascii="宋体" w:hAnsi="宋体"/>
          <w:color w:val="auto"/>
          <w:kern w:val="2"/>
          <w:sz w:val="21"/>
          <w:szCs w:val="21"/>
        </w:rPr>
        <w:t>元。</w:t>
      </w:r>
    </w:p>
    <w:p w14:paraId="09C9E2A5">
      <w:pPr>
        <w:pStyle w:val="7"/>
        <w:keepNext w:val="0"/>
        <w:widowControl/>
        <w:shd w:val="clear" w:color="auto" w:fill="FFFFFF"/>
        <w:spacing w:before="0" w:line="360" w:lineRule="auto"/>
        <w:ind w:left="225"/>
        <w:jc w:val="left"/>
        <w:rPr>
          <w:rFonts w:ascii="宋体" w:hAnsi="宋体" w:eastAsia="宋体" w:cs="宋体"/>
          <w:color w:val="auto"/>
          <w:sz w:val="28"/>
        </w:rPr>
      </w:pPr>
      <w:bookmarkStart w:id="31" w:name="_Toc4933"/>
      <w:bookmarkStart w:id="32" w:name="_Toc2846"/>
      <w:bookmarkStart w:id="33" w:name="_Toc283810638"/>
      <w:r>
        <w:rPr>
          <w:rFonts w:hint="eastAsia" w:ascii="宋体" w:hAnsi="宋体" w:eastAsia="宋体" w:cs="宋体"/>
          <w:color w:val="auto"/>
          <w:sz w:val="28"/>
        </w:rPr>
        <w:t>四、提交投标文件截止时间、开标时间和地点</w:t>
      </w:r>
      <w:bookmarkEnd w:id="31"/>
      <w:bookmarkEnd w:id="32"/>
    </w:p>
    <w:p w14:paraId="5A7E564D">
      <w:pPr>
        <w:pStyle w:val="22"/>
        <w:shd w:val="clear" w:color="auto" w:fill="FFFFFF"/>
        <w:spacing w:before="0" w:beforeAutospacing="0" w:after="0" w:afterAutospacing="0" w:line="360" w:lineRule="auto"/>
        <w:ind w:firstLine="630" w:firstLineChars="300"/>
        <w:jc w:val="both"/>
        <w:rPr>
          <w:rFonts w:ascii="宋体" w:hAnsi="宋体" w:cs="宋体"/>
          <w:color w:val="auto"/>
          <w:sz w:val="21"/>
          <w:szCs w:val="21"/>
          <w:shd w:val="clear" w:color="auto" w:fill="FFFFFF"/>
        </w:rPr>
      </w:pPr>
      <w:r>
        <w:rPr>
          <w:rFonts w:hint="eastAsia" w:ascii="宋体" w:hAnsi="宋体" w:cs="宋体"/>
          <w:color w:val="auto"/>
          <w:sz w:val="21"/>
          <w:szCs w:val="21"/>
          <w:shd w:val="clear" w:color="auto" w:fill="FFFFFF"/>
        </w:rPr>
        <w:t>投标文件递交的截止时间（投标截止时间，北京时间）为</w:t>
      </w:r>
      <w:r>
        <w:rPr>
          <w:rFonts w:hint="eastAsia" w:ascii="宋体" w:hAnsi="宋体" w:cs="宋体"/>
          <w:color w:val="auto"/>
          <w:sz w:val="21"/>
          <w:szCs w:val="21"/>
          <w:shd w:val="clear" w:color="auto" w:fill="FFFFFF"/>
          <w:lang w:eastAsia="zh-CN"/>
        </w:rPr>
        <w:t>2025年5月29日</w:t>
      </w:r>
      <w:r>
        <w:rPr>
          <w:rFonts w:hint="eastAsia" w:ascii="宋体" w:hAnsi="宋体" w:cs="宋体"/>
          <w:color w:val="auto"/>
          <w:sz w:val="21"/>
          <w:szCs w:val="21"/>
          <w:shd w:val="clear" w:color="auto" w:fill="FFFFFF"/>
        </w:rPr>
        <w:t>14点</w:t>
      </w:r>
      <w:r>
        <w:rPr>
          <w:rFonts w:hint="eastAsia" w:ascii="宋体" w:hAnsi="宋体" w:cs="宋体"/>
          <w:color w:val="auto"/>
          <w:sz w:val="21"/>
          <w:szCs w:val="21"/>
          <w:shd w:val="clear" w:color="auto" w:fill="FFFFFF"/>
          <w:lang w:val="en-US" w:eastAsia="zh-CN"/>
        </w:rPr>
        <w:t>0</w:t>
      </w:r>
      <w:r>
        <w:rPr>
          <w:rFonts w:hint="eastAsia" w:ascii="宋体" w:hAnsi="宋体" w:cs="宋体"/>
          <w:color w:val="auto"/>
          <w:sz w:val="21"/>
          <w:szCs w:val="21"/>
          <w:shd w:val="clear" w:color="auto" w:fill="FFFFFF"/>
        </w:rPr>
        <w:t>0分。</w:t>
      </w:r>
    </w:p>
    <w:p w14:paraId="200FD6F8">
      <w:pPr>
        <w:pStyle w:val="7"/>
        <w:keepNext w:val="0"/>
        <w:widowControl/>
        <w:shd w:val="clear" w:color="auto" w:fill="FFFFFF"/>
        <w:spacing w:before="0" w:line="360" w:lineRule="auto"/>
        <w:ind w:left="225" w:firstLine="420" w:firstLineChars="200"/>
        <w:jc w:val="left"/>
        <w:rPr>
          <w:rFonts w:ascii="宋体" w:hAnsi="宋体" w:eastAsia="宋体" w:cs="宋体"/>
          <w:b w:val="0"/>
          <w:color w:val="auto"/>
          <w:sz w:val="21"/>
          <w:szCs w:val="21"/>
          <w:shd w:val="clear" w:color="auto" w:fill="FFFFFF"/>
        </w:rPr>
      </w:pPr>
      <w:r>
        <w:rPr>
          <w:rFonts w:hint="eastAsia" w:ascii="宋体" w:hAnsi="宋体" w:eastAsia="宋体" w:cs="宋体"/>
          <w:b w:val="0"/>
          <w:color w:val="auto"/>
          <w:sz w:val="21"/>
          <w:szCs w:val="21"/>
          <w:shd w:val="clear" w:color="auto" w:fill="FFFFFF"/>
        </w:rPr>
        <w:t>地点：</w:t>
      </w:r>
      <w:bookmarkEnd w:id="33"/>
      <w:r>
        <w:rPr>
          <w:rFonts w:hint="eastAsia" w:ascii="宋体" w:hAnsi="宋体" w:eastAsia="宋体" w:cs="宋体"/>
          <w:b w:val="0"/>
          <w:color w:val="auto"/>
          <w:sz w:val="21"/>
          <w:szCs w:val="21"/>
          <w:shd w:val="clear" w:color="auto" w:fill="FFFFFF"/>
        </w:rPr>
        <w:t>（1）投标文件提交方式：本项目为全流程电子化项目，通过“政采云”平台（http：//www.zcygov.cn）实行在线电子响应，投标人应先安装“政采云电子交易客户端”（请自行前往“政采云”平台进行下载），并按照本项目采购文件和“政采云”平台的要求编制、加密后在投标截止时间前通过网络上传至“政采云”平台，投标人在“政采云”平台提交电子版投标文件时，请填写参加远程采购活动经办人联系方式，电子投标文件具体操作流程详见“政采云”平台中《政府采购项目电子交易管理操作指南-供应商》。</w:t>
      </w:r>
    </w:p>
    <w:p w14:paraId="5A0A72BD">
      <w:pPr>
        <w:pStyle w:val="7"/>
        <w:keepNext w:val="0"/>
        <w:widowControl/>
        <w:shd w:val="clear" w:color="auto" w:fill="FFFFFF"/>
        <w:spacing w:before="0" w:line="360" w:lineRule="auto"/>
        <w:ind w:left="225" w:firstLine="420" w:firstLineChars="200"/>
        <w:jc w:val="left"/>
        <w:rPr>
          <w:rFonts w:ascii="宋体" w:hAnsi="宋体" w:eastAsia="宋体" w:cs="宋体"/>
          <w:b w:val="0"/>
          <w:color w:val="auto"/>
          <w:sz w:val="21"/>
          <w:szCs w:val="21"/>
          <w:shd w:val="clear" w:color="auto" w:fill="FFFFFF"/>
        </w:rPr>
      </w:pPr>
      <w:r>
        <w:rPr>
          <w:rFonts w:hint="eastAsia" w:ascii="宋体" w:hAnsi="宋体" w:eastAsia="宋体" w:cs="宋体"/>
          <w:b w:val="0"/>
          <w:color w:val="auto"/>
          <w:sz w:val="21"/>
          <w:szCs w:val="21"/>
          <w:shd w:val="clear" w:color="auto" w:fill="FFFFFF"/>
        </w:rPr>
        <w:t>（2）未进行网上注册并办理云南CA数字证书（CA认证）的投标人将无法参与本项目政府采购活动，潜在投标人应当在投标截止时间前，在云南CA在线数字证书办理网（https://cap.yunnanca.net/login）进行注册以及企业数字证书（CA）的办理，并进入政府采购云平台，绑定企业数字证书（CA）后在网上获取采购文件及其它采购资料，数字证书（CA）办理流程详见云南CA在线数字证书办理网（https://cap.yunnanca.net/login），如果投标人之前已经在云南CA在线数字证书办理网进行过注册并办理过企业数字证书（CA），直接绑定即可，无需重复办理。</w:t>
      </w:r>
    </w:p>
    <w:p w14:paraId="725CF694">
      <w:pPr>
        <w:pStyle w:val="7"/>
        <w:keepNext w:val="0"/>
        <w:widowControl/>
        <w:shd w:val="clear" w:color="auto" w:fill="FFFFFF"/>
        <w:spacing w:before="0" w:line="360" w:lineRule="auto"/>
        <w:ind w:left="225" w:firstLine="420" w:firstLineChars="200"/>
        <w:jc w:val="left"/>
        <w:rPr>
          <w:rFonts w:ascii="宋体" w:hAnsi="宋体" w:eastAsia="宋体" w:cs="宋体"/>
          <w:b w:val="0"/>
          <w:color w:val="auto"/>
          <w:sz w:val="21"/>
          <w:szCs w:val="21"/>
          <w:shd w:val="clear" w:color="auto" w:fill="FFFFFF"/>
        </w:rPr>
      </w:pPr>
      <w:r>
        <w:rPr>
          <w:rFonts w:hint="eastAsia" w:ascii="宋体" w:hAnsi="宋体" w:eastAsia="宋体" w:cs="宋体"/>
          <w:b w:val="0"/>
          <w:color w:val="auto"/>
          <w:sz w:val="21"/>
          <w:szCs w:val="21"/>
          <w:shd w:val="clear" w:color="auto" w:fill="FFFFFF"/>
        </w:rPr>
        <w:t>（3）为确保网上操作合法、有效和安全，请投标人确保在电子响应过程中能够对相关数据电文进行加密和使用电子签章，妥善保管CA数字证书并使用有效的CA数字证书参与整个采购活动。</w:t>
      </w:r>
    </w:p>
    <w:p w14:paraId="575A4510">
      <w:pPr>
        <w:pStyle w:val="7"/>
        <w:keepNext w:val="0"/>
        <w:widowControl/>
        <w:shd w:val="clear" w:color="auto" w:fill="FFFFFF"/>
        <w:spacing w:before="0" w:line="360" w:lineRule="auto"/>
        <w:ind w:left="225" w:firstLine="420" w:firstLineChars="200"/>
        <w:jc w:val="left"/>
        <w:rPr>
          <w:rFonts w:ascii="宋体" w:hAnsi="宋体" w:eastAsia="宋体" w:cs="宋体"/>
          <w:b w:val="0"/>
          <w:color w:val="auto"/>
          <w:sz w:val="21"/>
          <w:szCs w:val="21"/>
          <w:shd w:val="clear" w:color="auto" w:fill="FFFFFF"/>
        </w:rPr>
      </w:pPr>
      <w:r>
        <w:rPr>
          <w:rFonts w:hint="eastAsia" w:ascii="宋体" w:hAnsi="宋体" w:eastAsia="宋体" w:cs="宋体"/>
          <w:b w:val="0"/>
          <w:color w:val="auto"/>
          <w:sz w:val="21"/>
          <w:szCs w:val="21"/>
          <w:shd w:val="clear" w:color="auto" w:fill="FFFFFF"/>
        </w:rPr>
        <w:t>注：投标人应当在投标文件提交截止时间前完成电子投标文件的上传、递交，投标文件提交截止时间前可以补充、修改或者撤回投标文件。补充或者修改投标文件的，应当先行撤回原文件，补充、修改后重新上传、递交。投标文件提交截止时间前未完成上传、递交的，视为撤回投标文件。投标文件提交截止时间以后上传递交的投标文件的，“政采云”平台将予以拒收。</w:t>
      </w:r>
    </w:p>
    <w:p w14:paraId="4FCCDB98">
      <w:pPr>
        <w:pStyle w:val="7"/>
        <w:keepNext w:val="0"/>
        <w:widowControl/>
        <w:shd w:val="clear" w:color="auto" w:fill="FFFFFF"/>
        <w:spacing w:before="0" w:line="360" w:lineRule="auto"/>
        <w:ind w:left="225" w:firstLine="420" w:firstLineChars="200"/>
        <w:jc w:val="left"/>
        <w:rPr>
          <w:rFonts w:ascii="宋体" w:hAnsi="宋体" w:eastAsia="宋体" w:cs="宋体"/>
          <w:b w:val="0"/>
          <w:color w:val="auto"/>
          <w:sz w:val="21"/>
          <w:szCs w:val="21"/>
          <w:shd w:val="clear" w:color="auto" w:fill="FFFFFF"/>
        </w:rPr>
      </w:pPr>
      <w:r>
        <w:rPr>
          <w:rFonts w:hint="eastAsia" w:ascii="宋体" w:hAnsi="宋体" w:eastAsia="宋体" w:cs="宋体"/>
          <w:b w:val="0"/>
          <w:color w:val="auto"/>
          <w:sz w:val="21"/>
          <w:szCs w:val="21"/>
          <w:shd w:val="clear" w:color="auto" w:fill="FFFFFF"/>
        </w:rPr>
        <w:t>CA证书在线解密：投标文件开启时，需要投标人使用制作投标文件时用来加密的有效数字证书（CA认证）在具备有摄像头及语音功能且互联网网络状况良好的电脑登录“政采云”平台远程开标大厅按规定时间（解密时长为30分钟）对加密的投标文件进行解密，由于投标人自身原因或误操作导致投标文件无法解密或开启的均视为撤回投标文件。</w:t>
      </w:r>
    </w:p>
    <w:p w14:paraId="60A9DCDA">
      <w:pPr>
        <w:pStyle w:val="7"/>
        <w:keepNext w:val="0"/>
        <w:widowControl/>
        <w:shd w:val="clear" w:color="auto" w:fill="FFFFFF"/>
        <w:spacing w:before="0" w:line="360" w:lineRule="auto"/>
        <w:ind w:left="225"/>
        <w:jc w:val="left"/>
        <w:rPr>
          <w:rFonts w:ascii="宋体" w:hAnsi="宋体" w:eastAsia="宋体" w:cs="宋体"/>
          <w:bCs/>
          <w:color w:val="auto"/>
          <w:sz w:val="28"/>
          <w:szCs w:val="28"/>
          <w:shd w:val="clear" w:color="auto" w:fill="FFFFFF"/>
        </w:rPr>
      </w:pPr>
      <w:bookmarkStart w:id="34" w:name="_Toc3535"/>
      <w:bookmarkStart w:id="35" w:name="_Toc3824"/>
      <w:r>
        <w:rPr>
          <w:rFonts w:hint="eastAsia" w:ascii="宋体" w:hAnsi="宋体" w:eastAsia="宋体" w:cs="宋体"/>
          <w:bCs/>
          <w:color w:val="auto"/>
          <w:sz w:val="28"/>
          <w:szCs w:val="28"/>
          <w:shd w:val="clear" w:color="auto" w:fill="FFFFFF"/>
        </w:rPr>
        <w:t>五、公告期限</w:t>
      </w:r>
      <w:bookmarkEnd w:id="34"/>
      <w:bookmarkEnd w:id="35"/>
    </w:p>
    <w:p w14:paraId="3D61B4B9">
      <w:pPr>
        <w:pStyle w:val="22"/>
        <w:shd w:val="clear" w:color="auto" w:fill="FFFFFF"/>
        <w:spacing w:before="0" w:beforeAutospacing="0" w:after="0" w:afterAutospacing="0" w:line="360" w:lineRule="auto"/>
        <w:ind w:firstLine="630" w:firstLineChars="300"/>
        <w:jc w:val="both"/>
        <w:rPr>
          <w:rFonts w:ascii="宋体" w:hAnsi="宋体" w:cs="宋体"/>
          <w:color w:val="auto"/>
          <w:sz w:val="21"/>
          <w:szCs w:val="21"/>
          <w:shd w:val="clear" w:color="auto" w:fill="FFFFFF"/>
        </w:rPr>
      </w:pPr>
      <w:r>
        <w:rPr>
          <w:rFonts w:hint="eastAsia" w:ascii="宋体" w:hAnsi="宋体" w:cs="宋体"/>
          <w:color w:val="auto"/>
          <w:sz w:val="21"/>
          <w:szCs w:val="21"/>
          <w:shd w:val="clear" w:color="auto" w:fill="FFFFFF"/>
        </w:rPr>
        <w:t>自本公告发布之日起5个工作日。</w:t>
      </w:r>
    </w:p>
    <w:p w14:paraId="609DFA4D">
      <w:pPr>
        <w:pStyle w:val="7"/>
        <w:keepNext w:val="0"/>
        <w:widowControl/>
        <w:shd w:val="clear" w:color="auto" w:fill="FFFFFF"/>
        <w:spacing w:before="0" w:line="360" w:lineRule="auto"/>
        <w:ind w:left="225"/>
        <w:jc w:val="left"/>
        <w:rPr>
          <w:rFonts w:ascii="宋体" w:hAnsi="宋体" w:eastAsia="宋体" w:cs="宋体"/>
          <w:color w:val="auto"/>
          <w:sz w:val="21"/>
          <w:szCs w:val="21"/>
          <w:shd w:val="clear" w:color="auto" w:fill="FFFFFF"/>
        </w:rPr>
      </w:pPr>
      <w:bookmarkStart w:id="36" w:name="_Toc3056"/>
      <w:bookmarkStart w:id="37" w:name="_Toc7643"/>
      <w:r>
        <w:rPr>
          <w:rFonts w:hint="eastAsia" w:ascii="宋体" w:hAnsi="宋体" w:eastAsia="宋体" w:cs="宋体"/>
          <w:bCs/>
          <w:color w:val="auto"/>
          <w:sz w:val="28"/>
          <w:szCs w:val="28"/>
          <w:shd w:val="clear" w:color="auto" w:fill="FFFFFF"/>
        </w:rPr>
        <w:t>六、其他补充事宜</w:t>
      </w:r>
      <w:bookmarkEnd w:id="36"/>
      <w:bookmarkEnd w:id="37"/>
    </w:p>
    <w:p w14:paraId="02062DC0">
      <w:pPr>
        <w:spacing w:line="360" w:lineRule="auto"/>
        <w:ind w:firstLine="420" w:firstLineChars="200"/>
        <w:rPr>
          <w:rFonts w:ascii="宋体" w:hAnsi="宋体"/>
          <w:color w:val="auto"/>
          <w:szCs w:val="21"/>
        </w:rPr>
      </w:pPr>
      <w:bookmarkStart w:id="38" w:name="_Toc28760"/>
      <w:bookmarkStart w:id="39" w:name="_Toc16945"/>
      <w:r>
        <w:rPr>
          <w:rFonts w:hint="eastAsia" w:ascii="宋体" w:hAnsi="宋体"/>
          <w:color w:val="auto"/>
          <w:szCs w:val="21"/>
        </w:rPr>
        <w:t>1、满足《中华人民共和国政府采购法》第二十二条规定的具体内容：</w:t>
      </w:r>
    </w:p>
    <w:p w14:paraId="5FF84C50">
      <w:pPr>
        <w:spacing w:line="360" w:lineRule="auto"/>
        <w:ind w:firstLine="420" w:firstLineChars="200"/>
        <w:rPr>
          <w:rFonts w:ascii="宋体" w:hAnsi="宋体"/>
          <w:color w:val="auto"/>
          <w:szCs w:val="21"/>
        </w:rPr>
      </w:pPr>
      <w:r>
        <w:rPr>
          <w:rFonts w:hint="eastAsia" w:ascii="宋体" w:hAnsi="宋体"/>
          <w:color w:val="auto"/>
          <w:szCs w:val="21"/>
        </w:rPr>
        <w:t>1.1</w:t>
      </w:r>
      <w:r>
        <w:rPr>
          <w:rFonts w:hint="eastAsia" w:ascii="宋体" w:hAnsi="宋体"/>
          <w:color w:val="auto"/>
        </w:rPr>
        <w:t>具有独立承担民事责任的能力：投标人须具备法人或者其他组织的营业执照等证明文件，若为自然人的提供自然人的身份证明。</w:t>
      </w:r>
    </w:p>
    <w:p w14:paraId="00C377F7">
      <w:pPr>
        <w:spacing w:line="360" w:lineRule="auto"/>
        <w:ind w:firstLine="420" w:firstLineChars="200"/>
        <w:rPr>
          <w:rFonts w:ascii="宋体" w:hAnsi="宋体"/>
          <w:color w:val="auto"/>
        </w:rPr>
      </w:pPr>
      <w:r>
        <w:rPr>
          <w:rFonts w:hint="eastAsia" w:ascii="宋体" w:hAnsi="宋体"/>
          <w:color w:val="auto"/>
          <w:szCs w:val="21"/>
        </w:rPr>
        <w:t>1.2</w:t>
      </w:r>
      <w:r>
        <w:rPr>
          <w:rFonts w:hint="eastAsia" w:ascii="宋体" w:hAnsi="宋体"/>
          <w:color w:val="auto"/>
        </w:rPr>
        <w:t>具有良好的商业信誉和健全的财务会计制度：</w:t>
      </w:r>
    </w:p>
    <w:p w14:paraId="222D1487">
      <w:pPr>
        <w:spacing w:line="360" w:lineRule="auto"/>
        <w:ind w:firstLine="420" w:firstLineChars="200"/>
        <w:rPr>
          <w:rFonts w:ascii="宋体" w:hAnsi="宋体"/>
          <w:color w:val="auto"/>
        </w:rPr>
      </w:pPr>
      <w:r>
        <w:rPr>
          <w:rFonts w:hint="eastAsia" w:ascii="宋体" w:hAnsi="宋体"/>
          <w:color w:val="auto"/>
        </w:rPr>
        <w:t>①具有良好的商业信誉：提供承诺书或声明函；</w:t>
      </w:r>
    </w:p>
    <w:p w14:paraId="30A9F7A7">
      <w:pPr>
        <w:spacing w:line="360" w:lineRule="auto"/>
        <w:ind w:firstLine="420" w:firstLineChars="200"/>
        <w:rPr>
          <w:rFonts w:ascii="宋体" w:hAnsi="宋体"/>
          <w:color w:val="auto"/>
          <w:szCs w:val="21"/>
        </w:rPr>
      </w:pPr>
      <w:r>
        <w:rPr>
          <w:rFonts w:hint="eastAsia" w:ascii="宋体" w:hAnsi="宋体"/>
          <w:color w:val="auto"/>
        </w:rPr>
        <w:t>②具有健全的财务会计制度：提供经审计的财务报告或银行出具的资信证明，或财政部门认可的政府采购专业担保机构针对本项目出具的投标担保函。</w:t>
      </w:r>
    </w:p>
    <w:p w14:paraId="18D90931">
      <w:pPr>
        <w:spacing w:line="360" w:lineRule="auto"/>
        <w:ind w:firstLine="420" w:firstLineChars="200"/>
        <w:rPr>
          <w:rFonts w:ascii="宋体" w:hAnsi="宋体"/>
          <w:color w:val="auto"/>
          <w:szCs w:val="21"/>
        </w:rPr>
      </w:pPr>
      <w:r>
        <w:rPr>
          <w:rFonts w:hint="eastAsia" w:ascii="宋体" w:hAnsi="宋体"/>
          <w:color w:val="auto"/>
          <w:szCs w:val="21"/>
        </w:rPr>
        <w:t>1.3</w:t>
      </w:r>
      <w:r>
        <w:rPr>
          <w:rFonts w:hint="eastAsia" w:ascii="宋体" w:hAnsi="宋体"/>
          <w:color w:val="auto"/>
        </w:rPr>
        <w:t>具有履行合同所必须的设备和专业技术能力：提供证明材料或声明函。</w:t>
      </w:r>
    </w:p>
    <w:p w14:paraId="6EE7D24E">
      <w:pPr>
        <w:spacing w:line="360" w:lineRule="auto"/>
        <w:ind w:firstLine="420" w:firstLineChars="200"/>
        <w:rPr>
          <w:rFonts w:ascii="宋体" w:hAnsi="宋体"/>
          <w:color w:val="auto"/>
          <w:szCs w:val="21"/>
        </w:rPr>
      </w:pPr>
      <w:r>
        <w:rPr>
          <w:rFonts w:hint="eastAsia" w:ascii="宋体" w:hAnsi="宋体"/>
          <w:color w:val="auto"/>
          <w:szCs w:val="21"/>
        </w:rPr>
        <w:t>1.4有依法缴纳税收和社会保障资金的良好记录：投标人须提供本项目投标文件递交截止时间前任意时间段的纳税证明材料和社会保障资金证明材料；若依法免缴或暂缓缴纳或新成立企业的，可提供声明函或承诺函并加盖投标单位电子签章。</w:t>
      </w:r>
    </w:p>
    <w:p w14:paraId="686DE6D0">
      <w:pPr>
        <w:spacing w:line="360" w:lineRule="auto"/>
        <w:ind w:firstLine="420" w:firstLineChars="200"/>
        <w:rPr>
          <w:rFonts w:ascii="宋体" w:hAnsi="宋体"/>
          <w:color w:val="auto"/>
          <w:szCs w:val="21"/>
        </w:rPr>
      </w:pPr>
      <w:r>
        <w:rPr>
          <w:rFonts w:hint="eastAsia" w:ascii="宋体" w:hAnsi="宋体"/>
          <w:color w:val="auto"/>
          <w:szCs w:val="21"/>
        </w:rPr>
        <w:t>1.5参加政府采购活动前三年内，在经营活动中没有重大违法记录。提供参加政府采购活动前三年内在经营活动中没有重大违法记录的书面声明。</w:t>
      </w:r>
    </w:p>
    <w:p w14:paraId="72B4B166">
      <w:pPr>
        <w:spacing w:line="360" w:lineRule="auto"/>
        <w:ind w:firstLine="420" w:firstLineChars="200"/>
        <w:rPr>
          <w:rFonts w:ascii="宋体" w:hAnsi="宋体"/>
          <w:color w:val="auto"/>
          <w:szCs w:val="21"/>
        </w:rPr>
      </w:pPr>
      <w:r>
        <w:rPr>
          <w:rFonts w:hint="eastAsia" w:ascii="宋体" w:hAnsi="宋体"/>
          <w:color w:val="auto"/>
          <w:szCs w:val="21"/>
        </w:rPr>
        <w:t>1.6法律、行政法规规定的其他条件。</w:t>
      </w:r>
    </w:p>
    <w:p w14:paraId="2B488D61">
      <w:pPr>
        <w:spacing w:line="360" w:lineRule="auto"/>
        <w:ind w:firstLine="420" w:firstLineChars="200"/>
        <w:rPr>
          <w:rFonts w:ascii="宋体" w:hAnsi="宋体"/>
          <w:color w:val="auto"/>
          <w:szCs w:val="21"/>
        </w:rPr>
      </w:pPr>
      <w:r>
        <w:rPr>
          <w:rFonts w:hint="eastAsia" w:ascii="宋体" w:hAnsi="宋体"/>
          <w:color w:val="auto"/>
          <w:szCs w:val="21"/>
        </w:rPr>
        <w:t>1.6.1 单位负责人为同一人或者存在直接控股、管理关系的不同供应商，不得参加同一合同项下的政府采购活动。（提供承诺函，格式自拟）</w:t>
      </w:r>
    </w:p>
    <w:p w14:paraId="1707BE62">
      <w:pPr>
        <w:spacing w:line="360" w:lineRule="auto"/>
        <w:ind w:firstLine="420" w:firstLineChars="200"/>
        <w:rPr>
          <w:rFonts w:ascii="宋体" w:hAnsi="宋体"/>
          <w:color w:val="auto"/>
          <w:szCs w:val="21"/>
        </w:rPr>
      </w:pPr>
      <w:r>
        <w:rPr>
          <w:rFonts w:hint="eastAsia" w:ascii="宋体" w:hAnsi="宋体"/>
          <w:color w:val="auto"/>
          <w:szCs w:val="21"/>
        </w:rPr>
        <w:t>为采购项目提供整体设计、规范编制或者项目管理、监理、检测等服务的供应商，不得再参加该采购项目的其他采购活动。（提供承诺函，格式自拟）</w:t>
      </w:r>
    </w:p>
    <w:p w14:paraId="4961F2E5">
      <w:pPr>
        <w:spacing w:line="360" w:lineRule="auto"/>
        <w:ind w:firstLine="420" w:firstLineChars="200"/>
        <w:rPr>
          <w:rFonts w:ascii="宋体" w:hAnsi="宋体"/>
          <w:color w:val="auto"/>
          <w:szCs w:val="21"/>
        </w:rPr>
      </w:pPr>
      <w:r>
        <w:rPr>
          <w:rFonts w:hint="eastAsia" w:ascii="宋体" w:hAnsi="宋体"/>
          <w:color w:val="auto"/>
          <w:szCs w:val="21"/>
        </w:rPr>
        <w:t>1.6.2投标人应在“信用中国”网站(www.creditchina.gov.cn)未被列入失信被执行人记录、重大税收违法失信主体且在中国政府采购网(www.ccgp.gov.cn)没有政府采购严重违法失信行为记录。（提供承诺函，格式自拟）</w:t>
      </w:r>
    </w:p>
    <w:p w14:paraId="656FC818">
      <w:pPr>
        <w:spacing w:line="360" w:lineRule="auto"/>
        <w:ind w:firstLine="420" w:firstLineChars="200"/>
        <w:rPr>
          <w:rFonts w:ascii="宋体" w:hAnsi="宋体"/>
          <w:color w:val="auto"/>
        </w:rPr>
      </w:pPr>
      <w:r>
        <w:rPr>
          <w:rFonts w:hint="eastAsia" w:ascii="宋体" w:hAnsi="宋体"/>
          <w:color w:val="auto"/>
        </w:rPr>
        <w:t>按照《政府采购货物和服务招标投标管理办法》(财政部令第87号)、《财政部关于在政府采购活动中查询及使用信用记录有关问题的通知》(财库[2016]125号)的相关要求，采购人或采购代理机构在投标文件递交的截止时间后将对投标人的信用信息在“信用中国”网站（www.creditchina.gov.cn）及中国政府采购网（www.ccgp.gov.cn）上进行查询，并以截图方式存档，评标时由相关工作人员统一提供给项目评标委员会。信用信息使用规则：投标人如被列入“信用中国”网站（www.creditchina.gov.cn）失信被执行人（或失信惩戒人）或重大税收违法案件当事人名单的，或被列入中国政府采购网（www.ccgp.gov.cn）政府采购严重违法失信行为信息记录（被禁止在一定期限内参加政府采购活动，但期限届满的除外）名单的，不得参与本次政府采购活动。</w:t>
      </w:r>
    </w:p>
    <w:p w14:paraId="35E152B9">
      <w:pPr>
        <w:spacing w:line="360" w:lineRule="auto"/>
        <w:ind w:firstLine="420" w:firstLineChars="200"/>
        <w:rPr>
          <w:rFonts w:ascii="宋体" w:hAnsi="宋体"/>
          <w:color w:val="auto"/>
        </w:rPr>
      </w:pPr>
      <w:r>
        <w:rPr>
          <w:rFonts w:hint="eastAsia" w:ascii="宋体" w:hAnsi="宋体"/>
          <w:color w:val="auto"/>
        </w:rPr>
        <w:t>2、资金来源：财政拨款。</w:t>
      </w:r>
    </w:p>
    <w:p w14:paraId="5C00729D">
      <w:pPr>
        <w:spacing w:line="360" w:lineRule="auto"/>
        <w:ind w:firstLine="420" w:firstLineChars="200"/>
        <w:rPr>
          <w:rFonts w:ascii="宋体" w:hAnsi="宋体"/>
          <w:color w:val="auto"/>
          <w:szCs w:val="21"/>
        </w:rPr>
      </w:pPr>
      <w:r>
        <w:rPr>
          <w:rFonts w:hint="eastAsia" w:ascii="宋体" w:hAnsi="宋体"/>
          <w:color w:val="auto"/>
        </w:rPr>
        <w:t>3、</w:t>
      </w:r>
      <w:r>
        <w:rPr>
          <w:rFonts w:hint="eastAsia" w:ascii="宋体" w:hAnsi="宋体" w:cs="宋体"/>
          <w:color w:val="auto"/>
          <w:szCs w:val="21"/>
        </w:rPr>
        <w:t>采购项目需要落实的政府采购政策：《中华人民共和国政府采购法》；《中华人民共和国政府采购法实施条例》；中华人民共和国财政部令第87号《政府采购货物和服务招标投标管理办法》；关于印发《政府采购促进中小企业发展管理办法》的通知（财库〔2020〕46号）；《关于进一步加大政府采购支持中小企业力度的通知》（财库〔2022〕19号）；《关于政府采购支持监狱企业发展有关问题的通知》(财库[2014]68号)；《关于促进残疾人就业政府采购政策的通知》(财库[2017]141号)；《关于调整优化节能产品、环境标志产品政府采购执行机制的通知》财库【2019】9号。</w:t>
      </w:r>
      <w:r>
        <w:rPr>
          <w:rFonts w:hint="eastAsia" w:ascii="宋体" w:hAnsi="宋体"/>
          <w:color w:val="auto"/>
          <w:szCs w:val="21"/>
        </w:rPr>
        <w:t>本项目不专门面向中小企业采购，为落实《财政部关于进一步加大政府采购支持中小企业力度的通知》财库〔2022〕19号；《关于政府采购支持监狱企业发展有关问题的通知》(财库[2014]68号)；《关于促进残疾人就业政府采购政策的通知》(财库[2017]141号)，投标人为小微型企业、监狱企业、残疾人企业的可享受上述政策。</w:t>
      </w:r>
    </w:p>
    <w:p w14:paraId="6BDEB267">
      <w:pPr>
        <w:spacing w:line="360" w:lineRule="auto"/>
        <w:ind w:firstLine="420" w:firstLineChars="200"/>
        <w:rPr>
          <w:rFonts w:ascii="宋体" w:hAnsi="宋体"/>
          <w:color w:val="auto"/>
        </w:rPr>
      </w:pPr>
      <w:r>
        <w:rPr>
          <w:rFonts w:hint="eastAsia" w:ascii="宋体" w:hAnsi="宋体"/>
          <w:color w:val="auto"/>
          <w:szCs w:val="21"/>
        </w:rPr>
        <w:t>4、</w:t>
      </w:r>
      <w:r>
        <w:rPr>
          <w:rFonts w:hint="eastAsia" w:ascii="宋体" w:hAnsi="宋体"/>
          <w:color w:val="auto"/>
        </w:rPr>
        <w:t>开标方式：网上开标</w:t>
      </w:r>
    </w:p>
    <w:p w14:paraId="5C0CC103">
      <w:pPr>
        <w:spacing w:line="360" w:lineRule="auto"/>
        <w:ind w:firstLine="420" w:firstLineChars="200"/>
        <w:rPr>
          <w:rFonts w:ascii="宋体" w:hAnsi="宋体"/>
          <w:color w:val="auto"/>
        </w:rPr>
      </w:pPr>
      <w:r>
        <w:rPr>
          <w:rFonts w:hint="eastAsia" w:ascii="宋体" w:hAnsi="宋体"/>
          <w:color w:val="auto"/>
        </w:rPr>
        <w:t>5、投标有效期：投标截止时间起90日历天</w:t>
      </w:r>
    </w:p>
    <w:p w14:paraId="338B46FC">
      <w:pPr>
        <w:spacing w:line="360" w:lineRule="auto"/>
        <w:ind w:firstLine="420" w:firstLineChars="200"/>
        <w:rPr>
          <w:rFonts w:ascii="宋体" w:hAnsi="宋体"/>
          <w:color w:val="auto"/>
        </w:rPr>
      </w:pPr>
      <w:r>
        <w:rPr>
          <w:rFonts w:hint="eastAsia" w:ascii="宋体" w:hAnsi="宋体"/>
          <w:color w:val="auto"/>
        </w:rPr>
        <w:t>6、是否需要缴纳投标保证金：是</w:t>
      </w:r>
    </w:p>
    <w:p w14:paraId="3C4C6BEC">
      <w:pPr>
        <w:spacing w:line="360" w:lineRule="auto"/>
        <w:ind w:firstLine="420" w:firstLineChars="200"/>
        <w:rPr>
          <w:rFonts w:ascii="宋体" w:hAnsi="宋体"/>
          <w:color w:val="auto"/>
        </w:rPr>
      </w:pPr>
      <w:r>
        <w:rPr>
          <w:rFonts w:hint="eastAsia" w:ascii="宋体" w:hAnsi="宋体"/>
          <w:color w:val="auto"/>
        </w:rPr>
        <w:t>7、保证金缴纳金额（元）：</w:t>
      </w:r>
      <w:r>
        <w:rPr>
          <w:rFonts w:hint="eastAsia" w:ascii="宋体" w:hAnsi="宋体"/>
          <w:color w:val="auto"/>
          <w:lang w:val="en-US" w:eastAsia="zh-CN"/>
        </w:rPr>
        <w:t>1</w:t>
      </w:r>
      <w:r>
        <w:rPr>
          <w:rFonts w:hint="eastAsia" w:ascii="宋体" w:hAnsi="宋体"/>
          <w:color w:val="auto"/>
        </w:rPr>
        <w:t>00</w:t>
      </w:r>
      <w:r>
        <w:rPr>
          <w:rFonts w:hint="eastAsia" w:ascii="宋体" w:hAnsi="宋体"/>
          <w:color w:val="auto"/>
          <w:lang w:val="en-US" w:eastAsia="zh-CN"/>
        </w:rPr>
        <w:t>0</w:t>
      </w:r>
      <w:r>
        <w:rPr>
          <w:rFonts w:hint="eastAsia" w:ascii="宋体" w:hAnsi="宋体"/>
          <w:color w:val="auto"/>
        </w:rPr>
        <w:t>0.00。</w:t>
      </w:r>
    </w:p>
    <w:p w14:paraId="44B8199E">
      <w:pPr>
        <w:spacing w:line="360" w:lineRule="auto"/>
        <w:ind w:firstLine="420" w:firstLineChars="200"/>
        <w:rPr>
          <w:rFonts w:ascii="宋体" w:hAnsi="宋体"/>
          <w:color w:val="auto"/>
        </w:rPr>
      </w:pPr>
      <w:r>
        <w:rPr>
          <w:rFonts w:hint="eastAsia" w:ascii="宋体" w:hAnsi="宋体"/>
          <w:color w:val="auto"/>
        </w:rPr>
        <w:t>8、保证金缴纳方式：支票、汇票、本票、保函、转账、网银、电汇等非现金形式。</w:t>
      </w:r>
    </w:p>
    <w:p w14:paraId="09CC511C">
      <w:pPr>
        <w:spacing w:line="360" w:lineRule="auto"/>
        <w:ind w:firstLine="420" w:firstLineChars="200"/>
        <w:rPr>
          <w:rFonts w:ascii="宋体" w:hAnsi="宋体"/>
          <w:color w:val="auto"/>
        </w:rPr>
      </w:pPr>
      <w:r>
        <w:rPr>
          <w:rFonts w:hint="eastAsia" w:ascii="宋体" w:hAnsi="宋体"/>
          <w:color w:val="auto"/>
        </w:rPr>
        <w:t>9、保证金缴纳截止时间：同投标文件提交截止时间。</w:t>
      </w:r>
    </w:p>
    <w:p w14:paraId="73736BE4">
      <w:pPr>
        <w:spacing w:line="360" w:lineRule="auto"/>
        <w:ind w:firstLine="420" w:firstLineChars="200"/>
        <w:rPr>
          <w:rFonts w:ascii="宋体" w:hAnsi="宋体"/>
          <w:color w:val="auto"/>
        </w:rPr>
      </w:pPr>
      <w:r>
        <w:rPr>
          <w:rFonts w:hint="eastAsia" w:ascii="宋体" w:hAnsi="宋体"/>
          <w:color w:val="auto"/>
        </w:rPr>
        <w:t>10、其他：</w:t>
      </w:r>
    </w:p>
    <w:p w14:paraId="727C0BC5">
      <w:pPr>
        <w:spacing w:line="360" w:lineRule="auto"/>
        <w:ind w:firstLine="420" w:firstLineChars="200"/>
        <w:rPr>
          <w:rFonts w:ascii="宋体" w:hAnsi="宋体" w:cs="宋体"/>
          <w:color w:val="auto"/>
          <w:kern w:val="0"/>
          <w:szCs w:val="21"/>
          <w:shd w:val="clear" w:color="auto" w:fill="FFFFFF"/>
        </w:rPr>
      </w:pPr>
      <w:r>
        <w:rPr>
          <w:rFonts w:hint="eastAsia" w:ascii="宋体" w:hAnsi="宋体"/>
          <w:color w:val="auto"/>
        </w:rPr>
        <w:t>10.1本次招标公告在《云南省政府采购</w:t>
      </w:r>
      <w:r>
        <w:rPr>
          <w:rFonts w:hint="eastAsia" w:ascii="宋体" w:hAnsi="宋体" w:cs="宋体"/>
          <w:color w:val="auto"/>
          <w:kern w:val="0"/>
          <w:szCs w:val="21"/>
          <w:shd w:val="clear" w:color="auto" w:fill="FFFFFF"/>
        </w:rPr>
        <w:t>网》上发布，采购人及采购代理机构对其他网站发布或转载的公告内容不承担任何责任。</w:t>
      </w:r>
    </w:p>
    <w:p w14:paraId="78F3B340">
      <w:pPr>
        <w:spacing w:line="360" w:lineRule="auto"/>
        <w:ind w:firstLine="420" w:firstLineChars="200"/>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10.2本项目执行政府采购促进中小企业发展、支持监狱企业、促进残疾人就业、强制采购和优先采购节能、环保产品等政府采购政策。</w:t>
      </w:r>
    </w:p>
    <w:p w14:paraId="0941AE5F">
      <w:pPr>
        <w:pStyle w:val="7"/>
        <w:keepNext w:val="0"/>
        <w:widowControl/>
        <w:shd w:val="clear" w:color="auto" w:fill="FFFFFF"/>
        <w:spacing w:before="0" w:line="360" w:lineRule="auto"/>
        <w:ind w:left="225"/>
        <w:jc w:val="left"/>
        <w:rPr>
          <w:rFonts w:ascii="宋体" w:hAnsi="宋体" w:eastAsia="宋体" w:cs="宋体"/>
          <w:bCs/>
          <w:color w:val="auto"/>
          <w:sz w:val="28"/>
          <w:szCs w:val="28"/>
          <w:shd w:val="clear" w:color="auto" w:fill="FFFFFF"/>
        </w:rPr>
      </w:pPr>
      <w:r>
        <w:rPr>
          <w:rFonts w:hint="eastAsia" w:ascii="宋体" w:hAnsi="宋体" w:eastAsia="宋体" w:cs="宋体"/>
          <w:bCs/>
          <w:color w:val="auto"/>
          <w:sz w:val="28"/>
          <w:szCs w:val="28"/>
          <w:shd w:val="clear" w:color="auto" w:fill="FFFFFF"/>
        </w:rPr>
        <w:t>七、对本次招标提出询问，请按以下方式联系。</w:t>
      </w:r>
      <w:bookmarkEnd w:id="38"/>
      <w:bookmarkEnd w:id="39"/>
    </w:p>
    <w:p w14:paraId="2D138627">
      <w:pPr>
        <w:spacing w:line="360" w:lineRule="auto"/>
        <w:ind w:firstLine="420" w:firstLineChars="200"/>
        <w:rPr>
          <w:rFonts w:ascii="宋体" w:hAnsi="宋体" w:cs="宋体"/>
          <w:color w:val="auto"/>
          <w:kern w:val="0"/>
          <w:szCs w:val="21"/>
          <w:shd w:val="clear" w:color="auto" w:fill="FFFFFF"/>
        </w:rPr>
      </w:pPr>
      <w:bookmarkStart w:id="40" w:name="_Toc18450"/>
      <w:r>
        <w:rPr>
          <w:rFonts w:hint="eastAsia" w:ascii="宋体" w:hAnsi="宋体" w:cs="宋体"/>
          <w:color w:val="auto"/>
          <w:kern w:val="0"/>
          <w:szCs w:val="21"/>
          <w:shd w:val="clear" w:color="auto" w:fill="FFFFFF"/>
        </w:rPr>
        <w:t>1.采购人信息</w:t>
      </w:r>
    </w:p>
    <w:p w14:paraId="125278AC">
      <w:pPr>
        <w:spacing w:line="360" w:lineRule="auto"/>
        <w:ind w:firstLine="420" w:firstLineChars="200"/>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rPr>
        <w:t>名   称：</w:t>
      </w:r>
      <w:r>
        <w:rPr>
          <w:rFonts w:hint="eastAsia" w:ascii="宋体" w:hAnsi="宋体" w:cs="宋体"/>
          <w:color w:val="auto"/>
          <w:kern w:val="0"/>
          <w:szCs w:val="21"/>
          <w:shd w:val="clear" w:color="auto" w:fill="FFFFFF"/>
          <w:lang w:eastAsia="zh-CN"/>
        </w:rPr>
        <w:t>迪庆藏族自治州博物馆</w:t>
      </w:r>
    </w:p>
    <w:p w14:paraId="71262666">
      <w:pPr>
        <w:spacing w:line="360" w:lineRule="auto"/>
        <w:ind w:firstLine="420" w:firstLineChars="200"/>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地</w:t>
      </w:r>
      <w:r>
        <w:rPr>
          <w:rFonts w:hint="eastAsia" w:ascii="宋体" w:hAnsi="宋体" w:cs="宋体"/>
          <w:color w:val="auto"/>
          <w:kern w:val="0"/>
          <w:szCs w:val="21"/>
          <w:shd w:val="clear" w:color="auto" w:fill="FFFFFF"/>
          <w:lang w:val="en-US" w:eastAsia="zh-CN"/>
        </w:rPr>
        <w:t xml:space="preserve">   </w:t>
      </w:r>
      <w:r>
        <w:rPr>
          <w:rFonts w:hint="eastAsia" w:ascii="宋体" w:hAnsi="宋体" w:cs="宋体"/>
          <w:color w:val="auto"/>
          <w:kern w:val="0"/>
          <w:szCs w:val="21"/>
          <w:shd w:val="clear" w:color="auto" w:fill="FFFFFF"/>
        </w:rPr>
        <w:t>址：云南省迪庆州香格里拉市建塘镇独克宗古城月光广场旁</w:t>
      </w:r>
    </w:p>
    <w:p w14:paraId="06421EA5">
      <w:pPr>
        <w:spacing w:line="360" w:lineRule="auto"/>
        <w:ind w:firstLine="420" w:firstLineChars="200"/>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联系方式：0887-8226610</w:t>
      </w:r>
    </w:p>
    <w:p w14:paraId="6D177D6C">
      <w:pPr>
        <w:spacing w:line="360" w:lineRule="auto"/>
        <w:ind w:firstLine="420" w:firstLineChars="200"/>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2.采购代理机构信息</w:t>
      </w:r>
    </w:p>
    <w:p w14:paraId="02017FE5">
      <w:pPr>
        <w:spacing w:line="360" w:lineRule="auto"/>
        <w:ind w:firstLine="420" w:firstLineChars="200"/>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名 称：云南哲崇项目管理有限公司</w:t>
      </w:r>
    </w:p>
    <w:p w14:paraId="7BCD8729">
      <w:pPr>
        <w:spacing w:line="360" w:lineRule="auto"/>
        <w:ind w:firstLine="420" w:firstLineChars="200"/>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地　址：香格里拉市建塘镇建塘社区香巴拉小镇5组团508栋3单元201室</w:t>
      </w:r>
    </w:p>
    <w:p w14:paraId="7BFBE77D">
      <w:pPr>
        <w:spacing w:line="360" w:lineRule="auto"/>
        <w:ind w:firstLine="420" w:firstLineChars="200"/>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联系方式：19108876770</w:t>
      </w:r>
    </w:p>
    <w:p w14:paraId="336C1E5F">
      <w:pPr>
        <w:spacing w:line="360" w:lineRule="auto"/>
        <w:ind w:firstLine="420" w:firstLineChars="200"/>
        <w:rPr>
          <w:rFonts w:ascii="宋体" w:hAnsi="宋体" w:cs="宋体"/>
          <w:color w:val="auto"/>
          <w:kern w:val="0"/>
          <w:szCs w:val="21"/>
          <w:shd w:val="clear" w:color="auto" w:fill="FFFFFF"/>
        </w:rPr>
      </w:pPr>
    </w:p>
    <w:p w14:paraId="26FFD8B7">
      <w:pPr>
        <w:spacing w:line="360" w:lineRule="auto"/>
        <w:ind w:firstLine="420" w:firstLineChars="200"/>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3.项目联系方式</w:t>
      </w:r>
    </w:p>
    <w:p w14:paraId="5AD93E20">
      <w:pPr>
        <w:spacing w:line="360" w:lineRule="auto"/>
        <w:ind w:firstLine="420" w:firstLineChars="200"/>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项目联系人：和晓婷</w:t>
      </w:r>
    </w:p>
    <w:p w14:paraId="5B39A5E6">
      <w:pPr>
        <w:spacing w:line="360" w:lineRule="auto"/>
        <w:ind w:firstLine="420" w:firstLineChars="200"/>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电　话：19108876770</w:t>
      </w:r>
    </w:p>
    <w:p w14:paraId="5807CD0A">
      <w:pPr>
        <w:spacing w:line="360" w:lineRule="auto"/>
        <w:ind w:firstLine="420" w:firstLineChars="200"/>
        <w:rPr>
          <w:rFonts w:ascii="宋体" w:hAnsi="宋体" w:cs="宋体"/>
          <w:color w:val="auto"/>
          <w:kern w:val="0"/>
          <w:szCs w:val="21"/>
          <w:shd w:val="clear" w:color="auto" w:fill="FFFFFF"/>
        </w:rPr>
      </w:pPr>
    </w:p>
    <w:p w14:paraId="01486932">
      <w:pPr>
        <w:spacing w:line="360" w:lineRule="auto"/>
        <w:ind w:firstLine="420" w:firstLineChars="200"/>
        <w:rPr>
          <w:rFonts w:ascii="宋体" w:hAnsi="宋体" w:cs="宋体"/>
          <w:color w:val="auto"/>
          <w:szCs w:val="21"/>
          <w:shd w:val="clear" w:color="auto" w:fill="FFFFFF"/>
        </w:rPr>
      </w:pPr>
    </w:p>
    <w:bookmarkEnd w:id="40"/>
    <w:p w14:paraId="09099E86">
      <w:pPr>
        <w:pStyle w:val="22"/>
        <w:shd w:val="clear" w:color="auto" w:fill="FFFFFF"/>
        <w:spacing w:before="0" w:beforeAutospacing="0" w:after="0" w:afterAutospacing="0" w:line="360" w:lineRule="auto"/>
        <w:ind w:firstLine="420" w:firstLineChars="200"/>
        <w:jc w:val="both"/>
        <w:rPr>
          <w:rFonts w:hint="eastAsia" w:ascii="宋体" w:hAnsi="宋体" w:eastAsia="宋体" w:cs="宋体"/>
          <w:color w:val="auto"/>
          <w:kern w:val="0"/>
          <w:sz w:val="21"/>
          <w:szCs w:val="21"/>
          <w:shd w:val="clear" w:color="auto" w:fill="FFFFFF"/>
          <w:lang w:val="en-US" w:eastAsia="zh-CN" w:bidi="ar-SA"/>
        </w:rPr>
      </w:pPr>
    </w:p>
    <w:p w14:paraId="45B49105">
      <w:pPr>
        <w:adjustRightInd w:val="0"/>
        <w:snapToGrid w:val="0"/>
        <w:spacing w:line="360" w:lineRule="auto"/>
        <w:jc w:val="center"/>
        <w:outlineLvl w:val="0"/>
        <w:rPr>
          <w:rFonts w:ascii="宋体" w:hAnsi="宋体"/>
          <w:color w:val="auto"/>
          <w:sz w:val="32"/>
        </w:rPr>
      </w:pPr>
      <w:r>
        <w:rPr>
          <w:rFonts w:hint="eastAsia" w:ascii="宋体" w:hAnsi="宋体"/>
          <w:color w:val="auto"/>
        </w:rPr>
        <w:br w:type="page"/>
      </w:r>
      <w:bookmarkStart w:id="41" w:name="_Toc15753"/>
      <w:r>
        <w:rPr>
          <w:rStyle w:val="74"/>
          <w:rFonts w:hint="eastAsia"/>
          <w:color w:val="auto"/>
        </w:rPr>
        <w:t>第二章 投标人须知</w:t>
      </w:r>
      <w:bookmarkEnd w:id="3"/>
      <w:bookmarkEnd w:id="4"/>
      <w:bookmarkEnd w:id="5"/>
      <w:bookmarkEnd w:id="41"/>
    </w:p>
    <w:p w14:paraId="1416F24F">
      <w:pPr>
        <w:pStyle w:val="44"/>
        <w:spacing w:line="360" w:lineRule="auto"/>
        <w:jc w:val="center"/>
        <w:rPr>
          <w:rFonts w:ascii="宋体" w:hAnsi="宋体" w:eastAsia="宋体"/>
          <w:color w:val="auto"/>
        </w:rPr>
      </w:pPr>
      <w:bookmarkStart w:id="42" w:name="_Toc525742087"/>
      <w:bookmarkStart w:id="43" w:name="_Toc3354"/>
      <w:bookmarkStart w:id="44" w:name="_Toc14828"/>
      <w:bookmarkStart w:id="45" w:name="_Toc25956"/>
      <w:bookmarkStart w:id="46" w:name="_Toc144974496"/>
      <w:bookmarkStart w:id="47" w:name="_Toc152045528"/>
      <w:bookmarkStart w:id="48" w:name="_Toc525742001"/>
      <w:bookmarkStart w:id="49" w:name="_Toc152042304"/>
      <w:r>
        <w:rPr>
          <w:rFonts w:hint="eastAsia" w:ascii="宋体" w:hAnsi="宋体" w:eastAsia="宋体"/>
          <w:color w:val="auto"/>
        </w:rPr>
        <w:t>投标人须知前附表</w:t>
      </w:r>
      <w:bookmarkEnd w:id="42"/>
      <w:bookmarkEnd w:id="43"/>
      <w:bookmarkEnd w:id="44"/>
      <w:bookmarkEnd w:id="45"/>
      <w:bookmarkEnd w:id="46"/>
      <w:bookmarkEnd w:id="47"/>
      <w:bookmarkEnd w:id="48"/>
      <w:bookmarkEnd w:id="49"/>
    </w:p>
    <w:tbl>
      <w:tblPr>
        <w:tblStyle w:val="27"/>
        <w:tblW w:w="0" w:type="auto"/>
        <w:jc w:val="center"/>
        <w:tblLayout w:type="fixed"/>
        <w:tblCellMar>
          <w:top w:w="0" w:type="dxa"/>
          <w:left w:w="108" w:type="dxa"/>
          <w:bottom w:w="0" w:type="dxa"/>
          <w:right w:w="108" w:type="dxa"/>
        </w:tblCellMar>
      </w:tblPr>
      <w:tblGrid>
        <w:gridCol w:w="1077"/>
        <w:gridCol w:w="1925"/>
        <w:gridCol w:w="5980"/>
      </w:tblGrid>
      <w:tr w14:paraId="57B5B203">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6B894047">
            <w:pPr>
              <w:adjustRightInd w:val="0"/>
              <w:spacing w:line="360" w:lineRule="auto"/>
              <w:jc w:val="center"/>
              <w:textAlignment w:val="baseline"/>
              <w:rPr>
                <w:rFonts w:ascii="宋体" w:hAnsi="宋体"/>
                <w:b/>
                <w:color w:val="auto"/>
                <w:szCs w:val="21"/>
              </w:rPr>
            </w:pPr>
            <w:r>
              <w:rPr>
                <w:rFonts w:ascii="宋体" w:hAnsi="宋体"/>
                <w:b/>
                <w:color w:val="auto"/>
                <w:szCs w:val="21"/>
              </w:rPr>
              <w:t>条款号</w:t>
            </w:r>
          </w:p>
        </w:tc>
        <w:tc>
          <w:tcPr>
            <w:tcW w:w="1925" w:type="dxa"/>
            <w:tcBorders>
              <w:top w:val="single" w:color="auto" w:sz="4" w:space="0"/>
              <w:left w:val="single" w:color="auto" w:sz="4" w:space="0"/>
              <w:bottom w:val="single" w:color="auto" w:sz="4" w:space="0"/>
              <w:right w:val="single" w:color="auto" w:sz="4" w:space="0"/>
            </w:tcBorders>
            <w:vAlign w:val="center"/>
          </w:tcPr>
          <w:p w14:paraId="7D3B6DE3">
            <w:pPr>
              <w:adjustRightInd w:val="0"/>
              <w:spacing w:line="360" w:lineRule="auto"/>
              <w:jc w:val="center"/>
              <w:textAlignment w:val="baseline"/>
              <w:rPr>
                <w:rFonts w:ascii="宋体" w:hAnsi="宋体"/>
                <w:b/>
                <w:color w:val="auto"/>
                <w:szCs w:val="21"/>
              </w:rPr>
            </w:pPr>
            <w:r>
              <w:rPr>
                <w:rFonts w:ascii="宋体" w:hAnsi="宋体"/>
                <w:b/>
                <w:color w:val="auto"/>
                <w:szCs w:val="21"/>
              </w:rPr>
              <w:t>条  款  名  称</w:t>
            </w:r>
          </w:p>
        </w:tc>
        <w:tc>
          <w:tcPr>
            <w:tcW w:w="5980" w:type="dxa"/>
            <w:tcBorders>
              <w:top w:val="single" w:color="auto" w:sz="4" w:space="0"/>
              <w:left w:val="single" w:color="auto" w:sz="4" w:space="0"/>
              <w:bottom w:val="single" w:color="auto" w:sz="4" w:space="0"/>
              <w:right w:val="single" w:color="auto" w:sz="4" w:space="0"/>
            </w:tcBorders>
            <w:vAlign w:val="center"/>
          </w:tcPr>
          <w:p w14:paraId="20D4B307">
            <w:pPr>
              <w:adjustRightInd w:val="0"/>
              <w:spacing w:line="360" w:lineRule="auto"/>
              <w:jc w:val="center"/>
              <w:textAlignment w:val="baseline"/>
              <w:rPr>
                <w:rFonts w:ascii="宋体" w:hAnsi="宋体"/>
                <w:b/>
                <w:color w:val="auto"/>
                <w:szCs w:val="21"/>
              </w:rPr>
            </w:pPr>
            <w:r>
              <w:rPr>
                <w:rFonts w:ascii="宋体" w:hAnsi="宋体"/>
                <w:b/>
                <w:color w:val="auto"/>
                <w:szCs w:val="21"/>
              </w:rPr>
              <w:t>编  列  内  容</w:t>
            </w:r>
          </w:p>
        </w:tc>
      </w:tr>
      <w:tr w14:paraId="0027AC61">
        <w:tblPrEx>
          <w:tblCellMar>
            <w:top w:w="0" w:type="dxa"/>
            <w:left w:w="108" w:type="dxa"/>
            <w:bottom w:w="0" w:type="dxa"/>
            <w:right w:w="108" w:type="dxa"/>
          </w:tblCellMar>
        </w:tblPrEx>
        <w:trPr>
          <w:trHeight w:val="1420" w:hRule="atLeast"/>
          <w:jc w:val="center"/>
        </w:trPr>
        <w:tc>
          <w:tcPr>
            <w:tcW w:w="1077" w:type="dxa"/>
            <w:tcBorders>
              <w:top w:val="single" w:color="auto" w:sz="4" w:space="0"/>
              <w:left w:val="single" w:color="auto" w:sz="4" w:space="0"/>
              <w:bottom w:val="single" w:color="auto" w:sz="4" w:space="0"/>
              <w:right w:val="single" w:color="auto" w:sz="4" w:space="0"/>
            </w:tcBorders>
            <w:vAlign w:val="center"/>
          </w:tcPr>
          <w:p w14:paraId="34CF07DF">
            <w:pPr>
              <w:adjustRightInd w:val="0"/>
              <w:spacing w:line="360" w:lineRule="auto"/>
              <w:jc w:val="center"/>
              <w:textAlignment w:val="baseline"/>
              <w:rPr>
                <w:rFonts w:ascii="宋体" w:hAnsi="宋体"/>
                <w:color w:val="auto"/>
                <w:szCs w:val="21"/>
              </w:rPr>
            </w:pPr>
            <w:r>
              <w:rPr>
                <w:rFonts w:ascii="宋体" w:hAnsi="宋体"/>
                <w:color w:val="auto"/>
                <w:szCs w:val="21"/>
              </w:rPr>
              <w:t>1.1.2</w:t>
            </w:r>
          </w:p>
        </w:tc>
        <w:tc>
          <w:tcPr>
            <w:tcW w:w="1925" w:type="dxa"/>
            <w:tcBorders>
              <w:top w:val="single" w:color="auto" w:sz="4" w:space="0"/>
              <w:left w:val="single" w:color="auto" w:sz="4" w:space="0"/>
              <w:bottom w:val="single" w:color="auto" w:sz="4" w:space="0"/>
              <w:right w:val="single" w:color="auto" w:sz="4" w:space="0"/>
            </w:tcBorders>
            <w:vAlign w:val="center"/>
          </w:tcPr>
          <w:p w14:paraId="4D417CE8">
            <w:pPr>
              <w:adjustRightInd w:val="0"/>
              <w:spacing w:line="360" w:lineRule="auto"/>
              <w:jc w:val="center"/>
              <w:textAlignment w:val="baseline"/>
              <w:rPr>
                <w:rFonts w:ascii="宋体" w:hAnsi="宋体"/>
                <w:color w:val="auto"/>
                <w:szCs w:val="21"/>
              </w:rPr>
            </w:pPr>
            <w:r>
              <w:rPr>
                <w:rFonts w:ascii="宋体" w:hAnsi="宋体"/>
                <w:color w:val="auto"/>
                <w:szCs w:val="21"/>
              </w:rPr>
              <w:t>采购人</w:t>
            </w:r>
          </w:p>
        </w:tc>
        <w:tc>
          <w:tcPr>
            <w:tcW w:w="5980" w:type="dxa"/>
            <w:tcBorders>
              <w:top w:val="single" w:color="auto" w:sz="4" w:space="0"/>
              <w:left w:val="single" w:color="auto" w:sz="4" w:space="0"/>
              <w:bottom w:val="single" w:color="auto" w:sz="4" w:space="0"/>
              <w:right w:val="single" w:color="auto" w:sz="4" w:space="0"/>
            </w:tcBorders>
            <w:vAlign w:val="center"/>
          </w:tcPr>
          <w:p w14:paraId="40E009A4">
            <w:pPr>
              <w:tabs>
                <w:tab w:val="left" w:pos="3061"/>
              </w:tabs>
              <w:adjustRightInd w:val="0"/>
              <w:spacing w:line="360" w:lineRule="auto"/>
              <w:textAlignment w:val="baseline"/>
              <w:rPr>
                <w:rFonts w:hint="eastAsia" w:ascii="宋体" w:hAnsi="宋体" w:eastAsia="宋体" w:cs="Times New Roman"/>
                <w:color w:val="auto"/>
                <w:szCs w:val="21"/>
                <w:lang w:eastAsia="zh-CN"/>
              </w:rPr>
            </w:pPr>
            <w:r>
              <w:rPr>
                <w:rFonts w:hint="eastAsia" w:ascii="宋体" w:hAnsi="宋体" w:eastAsia="宋体" w:cs="Times New Roman"/>
                <w:color w:val="auto"/>
                <w:szCs w:val="21"/>
              </w:rPr>
              <w:t>名称：</w:t>
            </w:r>
            <w:r>
              <w:rPr>
                <w:rFonts w:hint="eastAsia" w:ascii="宋体" w:hAnsi="宋体" w:eastAsia="宋体" w:cs="Times New Roman"/>
                <w:color w:val="auto"/>
                <w:szCs w:val="21"/>
                <w:lang w:eastAsia="zh-CN"/>
              </w:rPr>
              <w:t>迪庆藏族自治州博物馆</w:t>
            </w:r>
          </w:p>
          <w:p w14:paraId="70E10FC8">
            <w:pPr>
              <w:tabs>
                <w:tab w:val="left" w:pos="3061"/>
              </w:tabs>
              <w:adjustRightInd w:val="0"/>
              <w:spacing w:line="360" w:lineRule="auto"/>
              <w:textAlignment w:val="baseline"/>
              <w:rPr>
                <w:rFonts w:hint="eastAsia" w:ascii="宋体" w:hAnsi="宋体" w:eastAsia="宋体" w:cs="Times New Roman"/>
                <w:color w:val="auto"/>
                <w:szCs w:val="21"/>
                <w:lang w:eastAsia="zh-CN"/>
              </w:rPr>
            </w:pPr>
            <w:r>
              <w:rPr>
                <w:rFonts w:hint="eastAsia" w:ascii="宋体" w:hAnsi="宋体" w:eastAsia="宋体" w:cs="Times New Roman"/>
                <w:color w:val="auto"/>
                <w:szCs w:val="21"/>
              </w:rPr>
              <w:t>地址：</w:t>
            </w:r>
            <w:r>
              <w:rPr>
                <w:rFonts w:hint="eastAsia" w:ascii="宋体" w:hAnsi="宋体" w:eastAsia="宋体" w:cs="Times New Roman"/>
                <w:color w:val="auto"/>
                <w:szCs w:val="21"/>
                <w:lang w:eastAsia="zh-CN"/>
              </w:rPr>
              <w:t>云南省迪庆州香格里拉市建塘镇独克宗古城月光广场旁</w:t>
            </w:r>
          </w:p>
          <w:p w14:paraId="14E5D86A">
            <w:pPr>
              <w:tabs>
                <w:tab w:val="left" w:pos="3061"/>
              </w:tabs>
              <w:adjustRightInd w:val="0"/>
              <w:spacing w:line="360" w:lineRule="auto"/>
              <w:textAlignment w:val="baseline"/>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联系人：</w:t>
            </w:r>
            <w:r>
              <w:rPr>
                <w:rFonts w:hint="eastAsia" w:ascii="宋体" w:hAnsi="宋体" w:cs="Times New Roman"/>
                <w:color w:val="auto"/>
                <w:szCs w:val="21"/>
                <w:lang w:val="en-US" w:eastAsia="zh-CN"/>
              </w:rPr>
              <w:t>余老师</w:t>
            </w:r>
          </w:p>
          <w:p w14:paraId="3FB854E5">
            <w:pPr>
              <w:tabs>
                <w:tab w:val="left" w:pos="3061"/>
              </w:tabs>
              <w:adjustRightInd w:val="0"/>
              <w:spacing w:line="360" w:lineRule="auto"/>
              <w:textAlignment w:val="baseline"/>
              <w:rPr>
                <w:rFonts w:ascii="宋体" w:hAnsi="宋体"/>
                <w:color w:val="auto"/>
                <w:szCs w:val="21"/>
              </w:rPr>
            </w:pPr>
            <w:r>
              <w:rPr>
                <w:rFonts w:hint="eastAsia" w:ascii="宋体" w:hAnsi="宋体" w:eastAsia="宋体" w:cs="Times New Roman"/>
                <w:color w:val="auto"/>
                <w:szCs w:val="21"/>
              </w:rPr>
              <w:t>联系方式：</w:t>
            </w:r>
            <w:r>
              <w:rPr>
                <w:rFonts w:hint="eastAsia" w:ascii="宋体" w:hAnsi="宋体" w:eastAsia="宋体" w:cs="Times New Roman"/>
                <w:color w:val="auto"/>
                <w:szCs w:val="21"/>
                <w:lang w:eastAsia="zh-CN"/>
              </w:rPr>
              <w:t>0887-8226610</w:t>
            </w:r>
          </w:p>
        </w:tc>
      </w:tr>
      <w:tr w14:paraId="4059B68F">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7D0877B0">
            <w:pPr>
              <w:adjustRightInd w:val="0"/>
              <w:spacing w:line="360" w:lineRule="auto"/>
              <w:jc w:val="center"/>
              <w:textAlignment w:val="baseline"/>
              <w:rPr>
                <w:rFonts w:ascii="宋体" w:hAnsi="宋体"/>
                <w:color w:val="auto"/>
                <w:szCs w:val="21"/>
              </w:rPr>
            </w:pPr>
            <w:r>
              <w:rPr>
                <w:rFonts w:hint="eastAsia" w:ascii="宋体" w:hAnsi="宋体"/>
                <w:color w:val="auto"/>
                <w:szCs w:val="21"/>
              </w:rPr>
              <w:t>1.1.3</w:t>
            </w:r>
          </w:p>
        </w:tc>
        <w:tc>
          <w:tcPr>
            <w:tcW w:w="1925" w:type="dxa"/>
            <w:tcBorders>
              <w:top w:val="single" w:color="auto" w:sz="4" w:space="0"/>
              <w:left w:val="single" w:color="auto" w:sz="4" w:space="0"/>
              <w:bottom w:val="single" w:color="auto" w:sz="4" w:space="0"/>
              <w:right w:val="single" w:color="auto" w:sz="4" w:space="0"/>
            </w:tcBorders>
            <w:vAlign w:val="center"/>
          </w:tcPr>
          <w:p w14:paraId="1A2F5724">
            <w:pPr>
              <w:spacing w:line="360" w:lineRule="auto"/>
              <w:jc w:val="center"/>
              <w:rPr>
                <w:rFonts w:ascii="宋体" w:hAnsi="宋体"/>
                <w:color w:val="auto"/>
                <w:szCs w:val="21"/>
              </w:rPr>
            </w:pPr>
            <w:r>
              <w:rPr>
                <w:rFonts w:hint="eastAsia" w:ascii="宋体" w:hAnsi="宋体"/>
                <w:color w:val="auto"/>
                <w:szCs w:val="21"/>
              </w:rPr>
              <w:t>采购代理机构</w:t>
            </w:r>
          </w:p>
        </w:tc>
        <w:tc>
          <w:tcPr>
            <w:tcW w:w="5980" w:type="dxa"/>
            <w:tcBorders>
              <w:top w:val="single" w:color="auto" w:sz="4" w:space="0"/>
              <w:left w:val="single" w:color="auto" w:sz="4" w:space="0"/>
              <w:bottom w:val="single" w:color="auto" w:sz="4" w:space="0"/>
              <w:right w:val="single" w:color="auto" w:sz="4" w:space="0"/>
            </w:tcBorders>
            <w:vAlign w:val="center"/>
          </w:tcPr>
          <w:p w14:paraId="72C1185E">
            <w:pPr>
              <w:tabs>
                <w:tab w:val="left" w:pos="3061"/>
              </w:tabs>
              <w:adjustRightInd w:val="0"/>
              <w:spacing w:line="360" w:lineRule="auto"/>
              <w:textAlignment w:val="baseline"/>
              <w:rPr>
                <w:rFonts w:ascii="宋体" w:hAnsi="宋体"/>
                <w:color w:val="auto"/>
                <w:szCs w:val="21"/>
              </w:rPr>
            </w:pPr>
            <w:r>
              <w:rPr>
                <w:rFonts w:hint="eastAsia" w:ascii="宋体" w:hAnsi="宋体"/>
                <w:color w:val="auto"/>
                <w:szCs w:val="21"/>
              </w:rPr>
              <w:t>名 称：云南哲崇项目管理有限公司</w:t>
            </w:r>
          </w:p>
          <w:p w14:paraId="03DF1CB2">
            <w:pPr>
              <w:tabs>
                <w:tab w:val="left" w:pos="3061"/>
              </w:tabs>
              <w:adjustRightInd w:val="0"/>
              <w:spacing w:line="360" w:lineRule="auto"/>
              <w:textAlignment w:val="baseline"/>
              <w:rPr>
                <w:rFonts w:ascii="宋体" w:hAnsi="宋体"/>
                <w:color w:val="auto"/>
                <w:szCs w:val="21"/>
              </w:rPr>
            </w:pPr>
            <w:r>
              <w:rPr>
                <w:rFonts w:hint="eastAsia" w:ascii="宋体" w:hAnsi="宋体"/>
                <w:color w:val="auto"/>
                <w:szCs w:val="21"/>
              </w:rPr>
              <w:t>地  址：香格里拉市建塘镇建塘社区香巴拉小镇5组团508栋3单元201室</w:t>
            </w:r>
          </w:p>
          <w:p w14:paraId="3057D7C7">
            <w:pPr>
              <w:tabs>
                <w:tab w:val="left" w:pos="3061"/>
              </w:tabs>
              <w:adjustRightInd w:val="0"/>
              <w:spacing w:line="360" w:lineRule="auto"/>
              <w:textAlignment w:val="baseline"/>
              <w:rPr>
                <w:rFonts w:ascii="宋体" w:hAnsi="宋体"/>
                <w:color w:val="auto"/>
                <w:szCs w:val="21"/>
              </w:rPr>
            </w:pPr>
            <w:r>
              <w:rPr>
                <w:rFonts w:hint="eastAsia" w:ascii="宋体" w:hAnsi="宋体"/>
                <w:color w:val="auto"/>
                <w:szCs w:val="21"/>
              </w:rPr>
              <w:t>联系人：和晓婷</w:t>
            </w:r>
          </w:p>
          <w:p w14:paraId="3872642E">
            <w:pPr>
              <w:tabs>
                <w:tab w:val="left" w:pos="3061"/>
              </w:tabs>
              <w:adjustRightInd w:val="0"/>
              <w:spacing w:line="360" w:lineRule="auto"/>
              <w:textAlignment w:val="baseline"/>
              <w:rPr>
                <w:rFonts w:ascii="宋体" w:hAnsi="宋体"/>
                <w:color w:val="auto"/>
                <w:szCs w:val="21"/>
              </w:rPr>
            </w:pPr>
            <w:r>
              <w:rPr>
                <w:rFonts w:hint="eastAsia" w:ascii="宋体" w:hAnsi="宋体"/>
                <w:color w:val="auto"/>
                <w:szCs w:val="21"/>
              </w:rPr>
              <w:t>电　话：19108876770</w:t>
            </w:r>
          </w:p>
        </w:tc>
      </w:tr>
      <w:tr w14:paraId="2DA1264A">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389FC912">
            <w:pPr>
              <w:adjustRightInd w:val="0"/>
              <w:spacing w:line="360" w:lineRule="auto"/>
              <w:jc w:val="center"/>
              <w:textAlignment w:val="baseline"/>
              <w:rPr>
                <w:rFonts w:ascii="宋体" w:hAnsi="宋体"/>
                <w:color w:val="auto"/>
                <w:szCs w:val="21"/>
              </w:rPr>
            </w:pPr>
            <w:r>
              <w:rPr>
                <w:rFonts w:ascii="宋体" w:hAnsi="宋体"/>
                <w:color w:val="auto"/>
                <w:szCs w:val="21"/>
              </w:rPr>
              <w:t>1.1.</w:t>
            </w:r>
            <w:r>
              <w:rPr>
                <w:rFonts w:hint="eastAsia" w:ascii="宋体" w:hAnsi="宋体"/>
                <w:color w:val="auto"/>
                <w:szCs w:val="21"/>
              </w:rPr>
              <w:t>4</w:t>
            </w:r>
          </w:p>
        </w:tc>
        <w:tc>
          <w:tcPr>
            <w:tcW w:w="1925" w:type="dxa"/>
            <w:tcBorders>
              <w:top w:val="single" w:color="auto" w:sz="4" w:space="0"/>
              <w:left w:val="single" w:color="auto" w:sz="4" w:space="0"/>
              <w:bottom w:val="single" w:color="auto" w:sz="4" w:space="0"/>
              <w:right w:val="single" w:color="auto" w:sz="4" w:space="0"/>
            </w:tcBorders>
            <w:vAlign w:val="center"/>
          </w:tcPr>
          <w:p w14:paraId="327D80BE">
            <w:pPr>
              <w:adjustRightInd w:val="0"/>
              <w:spacing w:line="360" w:lineRule="auto"/>
              <w:jc w:val="center"/>
              <w:textAlignment w:val="baseline"/>
              <w:rPr>
                <w:rFonts w:ascii="宋体" w:hAnsi="宋体"/>
                <w:color w:val="auto"/>
                <w:szCs w:val="21"/>
              </w:rPr>
            </w:pPr>
            <w:r>
              <w:rPr>
                <w:rFonts w:ascii="宋体" w:hAnsi="宋体"/>
                <w:color w:val="auto"/>
                <w:szCs w:val="21"/>
              </w:rPr>
              <w:t>项目名称</w:t>
            </w:r>
          </w:p>
        </w:tc>
        <w:tc>
          <w:tcPr>
            <w:tcW w:w="5980" w:type="dxa"/>
            <w:tcBorders>
              <w:top w:val="single" w:color="auto" w:sz="4" w:space="0"/>
              <w:left w:val="single" w:color="auto" w:sz="4" w:space="0"/>
              <w:bottom w:val="single" w:color="auto" w:sz="4" w:space="0"/>
              <w:right w:val="single" w:color="auto" w:sz="4" w:space="0"/>
            </w:tcBorders>
            <w:vAlign w:val="center"/>
          </w:tcPr>
          <w:p w14:paraId="6728E437">
            <w:pPr>
              <w:tabs>
                <w:tab w:val="left" w:pos="3061"/>
              </w:tabs>
              <w:adjustRightInd w:val="0"/>
              <w:spacing w:line="360" w:lineRule="auto"/>
              <w:textAlignment w:val="baseline"/>
              <w:rPr>
                <w:rFonts w:hint="eastAsia" w:ascii="宋体" w:hAnsi="宋体" w:eastAsia="宋体"/>
                <w:color w:val="auto"/>
                <w:szCs w:val="21"/>
                <w:lang w:eastAsia="zh-CN"/>
              </w:rPr>
            </w:pPr>
            <w:r>
              <w:rPr>
                <w:rFonts w:hint="eastAsia" w:ascii="宋体" w:hAnsi="宋体"/>
                <w:color w:val="auto"/>
                <w:szCs w:val="21"/>
                <w:lang w:eastAsia="zh-CN"/>
              </w:rPr>
              <w:t>迪庆藏族自治州博物馆可移动文物预防性保护（二期）</w:t>
            </w:r>
          </w:p>
        </w:tc>
      </w:tr>
      <w:tr w14:paraId="29CD872B">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366E4635">
            <w:pPr>
              <w:adjustRightInd w:val="0"/>
              <w:spacing w:line="360" w:lineRule="auto"/>
              <w:jc w:val="center"/>
              <w:textAlignment w:val="baseline"/>
              <w:rPr>
                <w:rFonts w:ascii="宋体" w:hAnsi="宋体"/>
                <w:color w:val="auto"/>
                <w:szCs w:val="21"/>
              </w:rPr>
            </w:pPr>
            <w:r>
              <w:rPr>
                <w:rFonts w:ascii="宋体" w:hAnsi="宋体"/>
                <w:color w:val="auto"/>
                <w:szCs w:val="21"/>
              </w:rPr>
              <w:t>1.1.</w:t>
            </w:r>
            <w:r>
              <w:rPr>
                <w:rFonts w:hint="eastAsia" w:ascii="宋体" w:hAnsi="宋体"/>
                <w:color w:val="auto"/>
                <w:szCs w:val="21"/>
              </w:rPr>
              <w:t>5</w:t>
            </w:r>
          </w:p>
        </w:tc>
        <w:tc>
          <w:tcPr>
            <w:tcW w:w="1925" w:type="dxa"/>
            <w:tcBorders>
              <w:top w:val="single" w:color="auto" w:sz="4" w:space="0"/>
              <w:left w:val="single" w:color="auto" w:sz="4" w:space="0"/>
              <w:bottom w:val="single" w:color="auto" w:sz="4" w:space="0"/>
              <w:right w:val="single" w:color="auto" w:sz="4" w:space="0"/>
            </w:tcBorders>
            <w:vAlign w:val="center"/>
          </w:tcPr>
          <w:p w14:paraId="0F063991">
            <w:pPr>
              <w:spacing w:line="360" w:lineRule="auto"/>
              <w:jc w:val="center"/>
              <w:rPr>
                <w:rFonts w:ascii="宋体" w:hAnsi="宋体"/>
                <w:color w:val="auto"/>
                <w:szCs w:val="21"/>
              </w:rPr>
            </w:pPr>
            <w:r>
              <w:rPr>
                <w:rFonts w:hint="eastAsia" w:ascii="宋体" w:hAnsi="宋体"/>
                <w:color w:val="auto"/>
                <w:szCs w:val="21"/>
              </w:rPr>
              <w:t>供货地点</w:t>
            </w:r>
          </w:p>
        </w:tc>
        <w:tc>
          <w:tcPr>
            <w:tcW w:w="5980" w:type="dxa"/>
            <w:tcBorders>
              <w:top w:val="single" w:color="auto" w:sz="4" w:space="0"/>
              <w:left w:val="single" w:color="auto" w:sz="4" w:space="0"/>
              <w:bottom w:val="single" w:color="auto" w:sz="4" w:space="0"/>
              <w:right w:val="single" w:color="auto" w:sz="4" w:space="0"/>
            </w:tcBorders>
            <w:vAlign w:val="center"/>
          </w:tcPr>
          <w:p w14:paraId="6E47E5C0">
            <w:pPr>
              <w:spacing w:line="360" w:lineRule="auto"/>
              <w:rPr>
                <w:rFonts w:ascii="宋体" w:hAnsi="宋体"/>
                <w:color w:val="auto"/>
                <w:szCs w:val="21"/>
              </w:rPr>
            </w:pPr>
            <w:r>
              <w:rPr>
                <w:rFonts w:hint="eastAsia" w:ascii="宋体" w:hAnsi="宋体"/>
                <w:color w:val="auto"/>
                <w:szCs w:val="21"/>
              </w:rPr>
              <w:t>迪庆藏族自治州博物馆馆内指定地点</w:t>
            </w:r>
          </w:p>
        </w:tc>
      </w:tr>
      <w:tr w14:paraId="55F53D82">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1E941D2A">
            <w:pPr>
              <w:adjustRightInd w:val="0"/>
              <w:spacing w:line="360" w:lineRule="auto"/>
              <w:jc w:val="center"/>
              <w:textAlignment w:val="baseline"/>
              <w:rPr>
                <w:rFonts w:ascii="宋体" w:hAnsi="宋体"/>
                <w:color w:val="auto"/>
                <w:szCs w:val="21"/>
              </w:rPr>
            </w:pPr>
            <w:r>
              <w:rPr>
                <w:rFonts w:ascii="宋体" w:hAnsi="宋体"/>
                <w:color w:val="auto"/>
                <w:szCs w:val="21"/>
              </w:rPr>
              <w:t>1.2.1</w:t>
            </w:r>
          </w:p>
        </w:tc>
        <w:tc>
          <w:tcPr>
            <w:tcW w:w="1925" w:type="dxa"/>
            <w:tcBorders>
              <w:top w:val="single" w:color="auto" w:sz="4" w:space="0"/>
              <w:left w:val="single" w:color="auto" w:sz="4" w:space="0"/>
              <w:bottom w:val="single" w:color="auto" w:sz="4" w:space="0"/>
              <w:right w:val="single" w:color="auto" w:sz="4" w:space="0"/>
            </w:tcBorders>
            <w:vAlign w:val="center"/>
          </w:tcPr>
          <w:p w14:paraId="2C310861">
            <w:pPr>
              <w:adjustRightInd w:val="0"/>
              <w:spacing w:line="360" w:lineRule="auto"/>
              <w:jc w:val="center"/>
              <w:textAlignment w:val="baseline"/>
              <w:rPr>
                <w:rFonts w:ascii="宋体" w:hAnsi="宋体"/>
                <w:color w:val="auto"/>
                <w:szCs w:val="21"/>
              </w:rPr>
            </w:pPr>
            <w:r>
              <w:rPr>
                <w:rFonts w:ascii="宋体" w:hAnsi="宋体"/>
                <w:color w:val="auto"/>
                <w:szCs w:val="21"/>
              </w:rPr>
              <w:t>资金来源</w:t>
            </w:r>
          </w:p>
        </w:tc>
        <w:tc>
          <w:tcPr>
            <w:tcW w:w="5980" w:type="dxa"/>
            <w:tcBorders>
              <w:top w:val="single" w:color="auto" w:sz="4" w:space="0"/>
              <w:left w:val="single" w:color="auto" w:sz="4" w:space="0"/>
              <w:bottom w:val="single" w:color="auto" w:sz="4" w:space="0"/>
              <w:right w:val="single" w:color="auto" w:sz="4" w:space="0"/>
            </w:tcBorders>
            <w:vAlign w:val="center"/>
          </w:tcPr>
          <w:p w14:paraId="14758E00">
            <w:pPr>
              <w:adjustRightInd w:val="0"/>
              <w:spacing w:line="360" w:lineRule="auto"/>
              <w:textAlignment w:val="baseline"/>
              <w:rPr>
                <w:rFonts w:ascii="宋体" w:hAnsi="宋体"/>
                <w:color w:val="auto"/>
                <w:szCs w:val="21"/>
              </w:rPr>
            </w:pPr>
            <w:r>
              <w:rPr>
                <w:rFonts w:hint="eastAsia" w:ascii="宋体" w:hAnsi="宋体"/>
                <w:color w:val="auto"/>
                <w:szCs w:val="21"/>
              </w:rPr>
              <w:t>财政拨款</w:t>
            </w:r>
          </w:p>
        </w:tc>
      </w:tr>
      <w:tr w14:paraId="7C17D1ED">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2580FD57">
            <w:pPr>
              <w:adjustRightInd w:val="0"/>
              <w:spacing w:line="360" w:lineRule="auto"/>
              <w:jc w:val="center"/>
              <w:textAlignment w:val="baseline"/>
              <w:rPr>
                <w:rFonts w:ascii="宋体" w:hAnsi="宋体"/>
                <w:color w:val="auto"/>
                <w:szCs w:val="21"/>
              </w:rPr>
            </w:pPr>
            <w:r>
              <w:rPr>
                <w:rFonts w:ascii="宋体" w:hAnsi="宋体"/>
                <w:color w:val="auto"/>
                <w:szCs w:val="21"/>
              </w:rPr>
              <w:t>1.2.2</w:t>
            </w:r>
          </w:p>
        </w:tc>
        <w:tc>
          <w:tcPr>
            <w:tcW w:w="1925" w:type="dxa"/>
            <w:tcBorders>
              <w:top w:val="single" w:color="auto" w:sz="4" w:space="0"/>
              <w:left w:val="single" w:color="auto" w:sz="4" w:space="0"/>
              <w:bottom w:val="single" w:color="auto" w:sz="4" w:space="0"/>
              <w:right w:val="single" w:color="auto" w:sz="4" w:space="0"/>
            </w:tcBorders>
            <w:vAlign w:val="center"/>
          </w:tcPr>
          <w:p w14:paraId="6A74943D">
            <w:pPr>
              <w:adjustRightInd w:val="0"/>
              <w:spacing w:line="360" w:lineRule="auto"/>
              <w:jc w:val="center"/>
              <w:textAlignment w:val="baseline"/>
              <w:rPr>
                <w:rFonts w:ascii="宋体" w:hAnsi="宋体"/>
                <w:color w:val="auto"/>
                <w:szCs w:val="21"/>
              </w:rPr>
            </w:pPr>
            <w:r>
              <w:rPr>
                <w:rFonts w:ascii="宋体" w:hAnsi="宋体"/>
                <w:color w:val="auto"/>
                <w:szCs w:val="21"/>
              </w:rPr>
              <w:t>出资比例</w:t>
            </w:r>
          </w:p>
        </w:tc>
        <w:tc>
          <w:tcPr>
            <w:tcW w:w="5980" w:type="dxa"/>
            <w:tcBorders>
              <w:top w:val="single" w:color="auto" w:sz="4" w:space="0"/>
              <w:left w:val="single" w:color="auto" w:sz="4" w:space="0"/>
              <w:bottom w:val="single" w:color="auto" w:sz="4" w:space="0"/>
              <w:right w:val="single" w:color="auto" w:sz="4" w:space="0"/>
            </w:tcBorders>
            <w:vAlign w:val="center"/>
          </w:tcPr>
          <w:p w14:paraId="2E1D067F">
            <w:pPr>
              <w:adjustRightInd w:val="0"/>
              <w:spacing w:line="360" w:lineRule="auto"/>
              <w:textAlignment w:val="baseline"/>
              <w:rPr>
                <w:rFonts w:ascii="宋体" w:hAnsi="宋体"/>
                <w:color w:val="auto"/>
                <w:szCs w:val="21"/>
              </w:rPr>
            </w:pPr>
            <w:r>
              <w:rPr>
                <w:rFonts w:hint="eastAsia" w:ascii="宋体" w:hAnsi="宋体"/>
                <w:color w:val="auto"/>
                <w:szCs w:val="21"/>
              </w:rPr>
              <w:t>100%</w:t>
            </w:r>
          </w:p>
        </w:tc>
      </w:tr>
      <w:tr w14:paraId="6F1DC3D2">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47F61355">
            <w:pPr>
              <w:adjustRightInd w:val="0"/>
              <w:spacing w:line="360" w:lineRule="auto"/>
              <w:jc w:val="center"/>
              <w:textAlignment w:val="baseline"/>
              <w:rPr>
                <w:rFonts w:ascii="宋体" w:hAnsi="宋体"/>
                <w:color w:val="auto"/>
                <w:szCs w:val="21"/>
              </w:rPr>
            </w:pPr>
            <w:r>
              <w:rPr>
                <w:rFonts w:ascii="宋体" w:hAnsi="宋体"/>
                <w:color w:val="auto"/>
                <w:szCs w:val="21"/>
              </w:rPr>
              <w:t>1.2.3</w:t>
            </w:r>
          </w:p>
        </w:tc>
        <w:tc>
          <w:tcPr>
            <w:tcW w:w="1925" w:type="dxa"/>
            <w:tcBorders>
              <w:top w:val="single" w:color="auto" w:sz="4" w:space="0"/>
              <w:left w:val="single" w:color="auto" w:sz="4" w:space="0"/>
              <w:bottom w:val="single" w:color="auto" w:sz="4" w:space="0"/>
              <w:right w:val="single" w:color="auto" w:sz="4" w:space="0"/>
            </w:tcBorders>
            <w:vAlign w:val="center"/>
          </w:tcPr>
          <w:p w14:paraId="18DE2FD1">
            <w:pPr>
              <w:adjustRightInd w:val="0"/>
              <w:spacing w:line="360" w:lineRule="auto"/>
              <w:jc w:val="center"/>
              <w:textAlignment w:val="baseline"/>
              <w:rPr>
                <w:rFonts w:ascii="宋体" w:hAnsi="宋体"/>
                <w:color w:val="auto"/>
                <w:szCs w:val="21"/>
              </w:rPr>
            </w:pPr>
            <w:r>
              <w:rPr>
                <w:rFonts w:hint="eastAsia" w:ascii="宋体" w:hAnsi="宋体"/>
                <w:color w:val="auto"/>
                <w:szCs w:val="21"/>
              </w:rPr>
              <w:t>资金</w:t>
            </w:r>
            <w:r>
              <w:rPr>
                <w:rFonts w:ascii="宋体" w:hAnsi="宋体"/>
                <w:color w:val="auto"/>
                <w:szCs w:val="21"/>
              </w:rPr>
              <w:t>落实情况</w:t>
            </w:r>
          </w:p>
        </w:tc>
        <w:tc>
          <w:tcPr>
            <w:tcW w:w="5980" w:type="dxa"/>
            <w:tcBorders>
              <w:top w:val="single" w:color="auto" w:sz="4" w:space="0"/>
              <w:left w:val="single" w:color="auto" w:sz="4" w:space="0"/>
              <w:bottom w:val="single" w:color="auto" w:sz="4" w:space="0"/>
              <w:right w:val="single" w:color="auto" w:sz="4" w:space="0"/>
            </w:tcBorders>
            <w:vAlign w:val="center"/>
          </w:tcPr>
          <w:p w14:paraId="1E0812A5">
            <w:pPr>
              <w:adjustRightInd w:val="0"/>
              <w:spacing w:line="360" w:lineRule="auto"/>
              <w:textAlignment w:val="baseline"/>
              <w:rPr>
                <w:rFonts w:ascii="宋体" w:hAnsi="宋体"/>
                <w:color w:val="auto"/>
                <w:szCs w:val="21"/>
              </w:rPr>
            </w:pPr>
            <w:r>
              <w:rPr>
                <w:rFonts w:hint="eastAsia" w:ascii="宋体" w:hAnsi="宋体"/>
                <w:color w:val="auto"/>
                <w:szCs w:val="21"/>
              </w:rPr>
              <w:t>已落实</w:t>
            </w:r>
          </w:p>
        </w:tc>
      </w:tr>
      <w:tr w14:paraId="15C93336">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2EFE5391">
            <w:pPr>
              <w:adjustRightInd w:val="0"/>
              <w:spacing w:line="360" w:lineRule="auto"/>
              <w:jc w:val="center"/>
              <w:textAlignment w:val="baseline"/>
              <w:rPr>
                <w:rFonts w:ascii="宋体" w:hAnsi="宋体"/>
                <w:color w:val="auto"/>
                <w:szCs w:val="21"/>
              </w:rPr>
            </w:pPr>
            <w:r>
              <w:rPr>
                <w:rFonts w:hint="eastAsia" w:ascii="宋体" w:hAnsi="宋体"/>
                <w:color w:val="auto"/>
                <w:szCs w:val="21"/>
              </w:rPr>
              <w:t>1.2.4</w:t>
            </w:r>
          </w:p>
        </w:tc>
        <w:tc>
          <w:tcPr>
            <w:tcW w:w="1925" w:type="dxa"/>
            <w:tcBorders>
              <w:top w:val="single" w:color="auto" w:sz="4" w:space="0"/>
              <w:left w:val="single" w:color="auto" w:sz="4" w:space="0"/>
              <w:bottom w:val="single" w:color="auto" w:sz="4" w:space="0"/>
              <w:right w:val="single" w:color="auto" w:sz="4" w:space="0"/>
            </w:tcBorders>
            <w:vAlign w:val="center"/>
          </w:tcPr>
          <w:p w14:paraId="31026458">
            <w:pPr>
              <w:adjustRightInd w:val="0"/>
              <w:spacing w:line="360" w:lineRule="auto"/>
              <w:jc w:val="center"/>
              <w:textAlignment w:val="baseline"/>
              <w:rPr>
                <w:rFonts w:ascii="宋体" w:hAnsi="宋体"/>
                <w:color w:val="auto"/>
                <w:szCs w:val="21"/>
              </w:rPr>
            </w:pPr>
            <w:r>
              <w:rPr>
                <w:rFonts w:hint="eastAsia" w:ascii="宋体" w:hAnsi="宋体"/>
                <w:color w:val="auto"/>
                <w:szCs w:val="21"/>
              </w:rPr>
              <w:t>最高限价</w:t>
            </w:r>
          </w:p>
        </w:tc>
        <w:tc>
          <w:tcPr>
            <w:tcW w:w="5980" w:type="dxa"/>
            <w:tcBorders>
              <w:top w:val="single" w:color="auto" w:sz="4" w:space="0"/>
              <w:left w:val="single" w:color="auto" w:sz="4" w:space="0"/>
              <w:bottom w:val="single" w:color="auto" w:sz="4" w:space="0"/>
              <w:right w:val="single" w:color="auto" w:sz="4" w:space="0"/>
            </w:tcBorders>
            <w:vAlign w:val="center"/>
          </w:tcPr>
          <w:p w14:paraId="647D06A5">
            <w:pPr>
              <w:adjustRightInd w:val="0"/>
              <w:spacing w:line="360" w:lineRule="auto"/>
              <w:textAlignment w:val="baseline"/>
              <w:rPr>
                <w:rFonts w:ascii="宋体" w:hAnsi="宋体"/>
                <w:color w:val="auto"/>
                <w:szCs w:val="21"/>
              </w:rPr>
            </w:pPr>
            <w:r>
              <w:rPr>
                <w:rFonts w:hint="eastAsia" w:ascii="宋体" w:hAnsi="宋体"/>
                <w:color w:val="auto"/>
                <w:szCs w:val="21"/>
                <w:lang w:val="en-US" w:eastAsia="zh-CN"/>
              </w:rPr>
              <w:t>1180000</w:t>
            </w:r>
            <w:r>
              <w:rPr>
                <w:rFonts w:hint="eastAsia" w:ascii="宋体" w:hAnsi="宋体"/>
                <w:color w:val="auto"/>
                <w:szCs w:val="21"/>
              </w:rPr>
              <w:t>.00元</w:t>
            </w:r>
          </w:p>
        </w:tc>
      </w:tr>
      <w:tr w14:paraId="4C02135D">
        <w:tblPrEx>
          <w:tblCellMar>
            <w:top w:w="0" w:type="dxa"/>
            <w:left w:w="108" w:type="dxa"/>
            <w:bottom w:w="0" w:type="dxa"/>
            <w:right w:w="108" w:type="dxa"/>
          </w:tblCellMar>
        </w:tblPrEx>
        <w:trPr>
          <w:trHeight w:val="3048" w:hRule="atLeast"/>
          <w:jc w:val="center"/>
        </w:trPr>
        <w:tc>
          <w:tcPr>
            <w:tcW w:w="1077" w:type="dxa"/>
            <w:tcBorders>
              <w:top w:val="single" w:color="auto" w:sz="4" w:space="0"/>
              <w:left w:val="single" w:color="auto" w:sz="4" w:space="0"/>
              <w:bottom w:val="single" w:color="auto" w:sz="4" w:space="0"/>
              <w:right w:val="single" w:color="auto" w:sz="4" w:space="0"/>
            </w:tcBorders>
            <w:vAlign w:val="center"/>
          </w:tcPr>
          <w:p w14:paraId="5DF36B35">
            <w:pPr>
              <w:adjustRightInd w:val="0"/>
              <w:spacing w:line="360" w:lineRule="auto"/>
              <w:jc w:val="center"/>
              <w:textAlignment w:val="baseline"/>
              <w:rPr>
                <w:rFonts w:ascii="宋体" w:hAnsi="宋体"/>
                <w:color w:val="auto"/>
                <w:szCs w:val="21"/>
              </w:rPr>
            </w:pPr>
            <w:r>
              <w:rPr>
                <w:rFonts w:ascii="宋体" w:hAnsi="宋体"/>
                <w:color w:val="auto"/>
                <w:szCs w:val="21"/>
              </w:rPr>
              <w:t>1.</w:t>
            </w:r>
            <w:r>
              <w:rPr>
                <w:rFonts w:hint="eastAsia" w:ascii="宋体" w:hAnsi="宋体"/>
                <w:color w:val="auto"/>
                <w:szCs w:val="21"/>
              </w:rPr>
              <w:t>3</w:t>
            </w:r>
            <w:r>
              <w:rPr>
                <w:rFonts w:ascii="宋体" w:hAnsi="宋体"/>
                <w:color w:val="auto"/>
                <w:szCs w:val="21"/>
              </w:rPr>
              <w:t>.1</w:t>
            </w:r>
          </w:p>
        </w:tc>
        <w:tc>
          <w:tcPr>
            <w:tcW w:w="1925" w:type="dxa"/>
            <w:tcBorders>
              <w:top w:val="single" w:color="auto" w:sz="4" w:space="0"/>
              <w:left w:val="single" w:color="auto" w:sz="4" w:space="0"/>
              <w:bottom w:val="single" w:color="auto" w:sz="4" w:space="0"/>
              <w:right w:val="single" w:color="auto" w:sz="4" w:space="0"/>
            </w:tcBorders>
            <w:vAlign w:val="center"/>
          </w:tcPr>
          <w:p w14:paraId="0C29D93A">
            <w:pPr>
              <w:spacing w:line="360" w:lineRule="auto"/>
              <w:jc w:val="center"/>
              <w:rPr>
                <w:rFonts w:ascii="宋体" w:hAnsi="宋体"/>
                <w:color w:val="auto"/>
                <w:szCs w:val="21"/>
              </w:rPr>
            </w:pPr>
            <w:r>
              <w:rPr>
                <w:rFonts w:hint="eastAsia" w:ascii="宋体" w:hAnsi="宋体"/>
                <w:color w:val="auto"/>
                <w:szCs w:val="21"/>
              </w:rPr>
              <w:t>采购范围</w:t>
            </w:r>
          </w:p>
        </w:tc>
        <w:tc>
          <w:tcPr>
            <w:tcW w:w="5980" w:type="dxa"/>
            <w:tcBorders>
              <w:top w:val="single" w:color="auto" w:sz="4" w:space="0"/>
              <w:left w:val="single" w:color="auto" w:sz="4" w:space="0"/>
              <w:bottom w:val="single" w:color="auto" w:sz="4" w:space="0"/>
              <w:right w:val="single" w:color="auto" w:sz="4" w:space="0"/>
            </w:tcBorders>
            <w:vAlign w:val="center"/>
          </w:tcPr>
          <w:p w14:paraId="3DCD889F">
            <w:pPr>
              <w:spacing w:line="360" w:lineRule="auto"/>
              <w:rPr>
                <w:rFonts w:ascii="宋体" w:hAnsi="宋体"/>
                <w:color w:val="auto"/>
                <w:szCs w:val="21"/>
              </w:rPr>
            </w:pPr>
            <w:r>
              <w:rPr>
                <w:rFonts w:hint="eastAsia" w:ascii="宋体" w:hAnsi="宋体"/>
                <w:color w:val="auto"/>
                <w:szCs w:val="21"/>
              </w:rPr>
              <w:t>本次采购项目的主要目标是为了进一步提升博物馆可移动文物的预防性保护水平。核心宗旨是通过引入先进的设备和技术，为文物创造一个稳定、洁净的保存及展览环境，进一步完善文物展藏设施，从而全面确保文物的安全与完整性，充分发挥博物馆在文化遗产传承中的作用</w:t>
            </w:r>
            <w:r>
              <w:rPr>
                <w:rFonts w:hint="eastAsia" w:ascii="宋体" w:hAnsi="宋体"/>
                <w:color w:val="auto"/>
                <w:szCs w:val="21"/>
                <w:lang w:eastAsia="zh-CN"/>
              </w:rPr>
              <w:t>；</w:t>
            </w:r>
            <w:r>
              <w:rPr>
                <w:rFonts w:hint="eastAsia" w:ascii="宋体" w:hAnsi="宋体"/>
                <w:color w:val="auto"/>
                <w:szCs w:val="21"/>
              </w:rPr>
              <w:t>具体需求包括：馆藏文物无线环境监测系统、展厅展柜改造、文物储藏设施。本项目不接受进口产品投标，投标人须对所投产品的所有项目内容进行整体投标报价，不得缺项漏项，否则按不实质性响应招标文件要求处理；具体技术参数要求详见第五章《采购需求》。</w:t>
            </w:r>
          </w:p>
        </w:tc>
      </w:tr>
      <w:tr w14:paraId="434982DA">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64EAC588">
            <w:pPr>
              <w:adjustRightInd w:val="0"/>
              <w:spacing w:line="360" w:lineRule="auto"/>
              <w:jc w:val="center"/>
              <w:textAlignment w:val="baseline"/>
              <w:rPr>
                <w:rFonts w:ascii="宋体" w:hAnsi="宋体"/>
                <w:color w:val="auto"/>
                <w:szCs w:val="21"/>
              </w:rPr>
            </w:pPr>
            <w:r>
              <w:rPr>
                <w:rFonts w:ascii="宋体" w:hAnsi="宋体"/>
                <w:color w:val="auto"/>
                <w:szCs w:val="21"/>
              </w:rPr>
              <w:t>1.3.2</w:t>
            </w:r>
          </w:p>
        </w:tc>
        <w:tc>
          <w:tcPr>
            <w:tcW w:w="1925" w:type="dxa"/>
            <w:tcBorders>
              <w:top w:val="single" w:color="auto" w:sz="4" w:space="0"/>
              <w:left w:val="single" w:color="auto" w:sz="4" w:space="0"/>
              <w:bottom w:val="single" w:color="auto" w:sz="4" w:space="0"/>
              <w:right w:val="single" w:color="auto" w:sz="4" w:space="0"/>
            </w:tcBorders>
            <w:vAlign w:val="center"/>
          </w:tcPr>
          <w:p w14:paraId="710CE587">
            <w:pPr>
              <w:spacing w:line="360" w:lineRule="auto"/>
              <w:jc w:val="center"/>
              <w:rPr>
                <w:rFonts w:ascii="宋体" w:hAnsi="宋体"/>
                <w:color w:val="auto"/>
                <w:szCs w:val="21"/>
              </w:rPr>
            </w:pPr>
            <w:r>
              <w:rPr>
                <w:rFonts w:hint="eastAsia" w:ascii="宋体" w:hAnsi="宋体"/>
                <w:color w:val="auto"/>
                <w:szCs w:val="21"/>
              </w:rPr>
              <w:t>供货期、</w:t>
            </w:r>
            <w:r>
              <w:rPr>
                <w:rFonts w:hint="eastAsia" w:ascii="宋体" w:hAnsi="宋体"/>
                <w:bCs/>
                <w:color w:val="auto"/>
                <w:szCs w:val="21"/>
              </w:rPr>
              <w:t>质保期</w:t>
            </w:r>
          </w:p>
        </w:tc>
        <w:tc>
          <w:tcPr>
            <w:tcW w:w="5980" w:type="dxa"/>
            <w:tcBorders>
              <w:top w:val="single" w:color="auto" w:sz="4" w:space="0"/>
              <w:left w:val="single" w:color="auto" w:sz="4" w:space="0"/>
              <w:bottom w:val="single" w:color="auto" w:sz="4" w:space="0"/>
              <w:right w:val="single" w:color="auto" w:sz="4" w:space="0"/>
            </w:tcBorders>
            <w:vAlign w:val="center"/>
          </w:tcPr>
          <w:p w14:paraId="26A3FA7B">
            <w:pPr>
              <w:overflowPunct w:val="0"/>
              <w:snapToGrid w:val="0"/>
              <w:rPr>
                <w:rFonts w:ascii="宋体" w:hAnsi="宋体"/>
                <w:bCs/>
                <w:color w:val="auto"/>
                <w:szCs w:val="21"/>
              </w:rPr>
            </w:pPr>
            <w:r>
              <w:rPr>
                <w:rFonts w:hint="eastAsia" w:ascii="宋体" w:hAnsi="宋体"/>
                <w:color w:val="auto"/>
                <w:szCs w:val="21"/>
              </w:rPr>
              <w:t>供货期：</w:t>
            </w:r>
            <w:r>
              <w:rPr>
                <w:rFonts w:hAnsi="宋体"/>
                <w:color w:val="auto"/>
                <w:szCs w:val="21"/>
              </w:rPr>
              <w:t>合同签订后</w:t>
            </w:r>
            <w:r>
              <w:rPr>
                <w:rFonts w:hint="eastAsia"/>
                <w:color w:val="auto"/>
                <w:szCs w:val="21"/>
                <w:lang w:eastAsia="zh-CN"/>
              </w:rPr>
              <w:t>120日历天</w:t>
            </w:r>
            <w:r>
              <w:rPr>
                <w:rFonts w:hAnsi="宋体"/>
                <w:color w:val="auto"/>
                <w:szCs w:val="21"/>
              </w:rPr>
              <w:t>完成全部项目内容，完成安装调试试运行并通过验收交付使用。</w:t>
            </w:r>
          </w:p>
          <w:p w14:paraId="5E2B55A9">
            <w:pPr>
              <w:adjustRightInd w:val="0"/>
              <w:spacing w:line="360" w:lineRule="auto"/>
              <w:textAlignment w:val="baseline"/>
              <w:rPr>
                <w:rFonts w:ascii="宋体" w:hAnsi="宋体"/>
                <w:color w:val="auto"/>
                <w:szCs w:val="21"/>
              </w:rPr>
            </w:pPr>
            <w:r>
              <w:rPr>
                <w:rFonts w:hint="eastAsia" w:ascii="宋体" w:hAnsi="宋体"/>
                <w:bCs/>
                <w:color w:val="auto"/>
                <w:szCs w:val="21"/>
              </w:rPr>
              <w:t xml:space="preserve">质保期:验收合格日起 1 </w:t>
            </w:r>
            <w:bookmarkStart w:id="712" w:name="_GoBack"/>
            <w:bookmarkEnd w:id="712"/>
            <w:r>
              <w:rPr>
                <w:rFonts w:hint="eastAsia" w:ascii="宋体" w:hAnsi="宋体"/>
                <w:bCs/>
                <w:color w:val="auto"/>
                <w:szCs w:val="21"/>
              </w:rPr>
              <w:t>年。</w:t>
            </w:r>
          </w:p>
        </w:tc>
      </w:tr>
      <w:tr w14:paraId="3886B057">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7E2FD0CC">
            <w:pPr>
              <w:adjustRightInd w:val="0"/>
              <w:spacing w:line="360" w:lineRule="auto"/>
              <w:jc w:val="center"/>
              <w:textAlignment w:val="baseline"/>
              <w:rPr>
                <w:rFonts w:ascii="宋体" w:hAnsi="宋体"/>
                <w:color w:val="auto"/>
                <w:szCs w:val="21"/>
              </w:rPr>
            </w:pPr>
            <w:r>
              <w:rPr>
                <w:rFonts w:ascii="宋体" w:hAnsi="宋体"/>
                <w:color w:val="auto"/>
                <w:szCs w:val="21"/>
              </w:rPr>
              <w:t>1.3.3</w:t>
            </w:r>
          </w:p>
        </w:tc>
        <w:tc>
          <w:tcPr>
            <w:tcW w:w="1925" w:type="dxa"/>
            <w:tcBorders>
              <w:top w:val="single" w:color="auto" w:sz="4" w:space="0"/>
              <w:left w:val="single" w:color="auto" w:sz="4" w:space="0"/>
              <w:bottom w:val="single" w:color="auto" w:sz="4" w:space="0"/>
              <w:right w:val="single" w:color="auto" w:sz="4" w:space="0"/>
            </w:tcBorders>
            <w:vAlign w:val="center"/>
          </w:tcPr>
          <w:p w14:paraId="31539A82">
            <w:pPr>
              <w:adjustRightInd w:val="0"/>
              <w:spacing w:line="360" w:lineRule="auto"/>
              <w:jc w:val="center"/>
              <w:textAlignment w:val="baseline"/>
              <w:rPr>
                <w:rFonts w:ascii="宋体" w:hAnsi="宋体"/>
                <w:color w:val="auto"/>
                <w:szCs w:val="21"/>
              </w:rPr>
            </w:pPr>
            <w:r>
              <w:rPr>
                <w:rFonts w:hint="eastAsia" w:ascii="宋体" w:hAnsi="宋体"/>
                <w:color w:val="auto"/>
                <w:szCs w:val="21"/>
              </w:rPr>
              <w:t>质量标准</w:t>
            </w:r>
          </w:p>
        </w:tc>
        <w:tc>
          <w:tcPr>
            <w:tcW w:w="5980" w:type="dxa"/>
            <w:tcBorders>
              <w:top w:val="single" w:color="auto" w:sz="4" w:space="0"/>
              <w:left w:val="single" w:color="auto" w:sz="4" w:space="0"/>
              <w:bottom w:val="single" w:color="auto" w:sz="4" w:space="0"/>
              <w:right w:val="single" w:color="auto" w:sz="4" w:space="0"/>
            </w:tcBorders>
            <w:vAlign w:val="center"/>
          </w:tcPr>
          <w:p w14:paraId="3D9E9E1B">
            <w:pPr>
              <w:adjustRightInd w:val="0"/>
              <w:spacing w:line="360" w:lineRule="auto"/>
              <w:textAlignment w:val="baseline"/>
              <w:rPr>
                <w:rFonts w:ascii="宋体" w:hAnsi="宋体"/>
                <w:color w:val="auto"/>
                <w:szCs w:val="21"/>
              </w:rPr>
            </w:pPr>
            <w:r>
              <w:rPr>
                <w:rFonts w:hint="eastAsia" w:ascii="宋体" w:hAnsi="宋体"/>
                <w:color w:val="auto"/>
                <w:szCs w:val="21"/>
              </w:rPr>
              <w:t>（1）采购标的需满足的质量、安全要求：保证所提供货物符合采购人要求且达到合格验收标准。所投产品必须是正规渠道全新的原装正品，符合国家强制标准规定；满足本文件相关要求，验收时不满足采购人要求的产品将被拒收或者取消供货合同，并依法追究供应商相关法律责任和对采购人造成的经济损失，如拒不服从配合的，视为违约，采购人有权与其解除合同。</w:t>
            </w:r>
          </w:p>
          <w:p w14:paraId="313451A4">
            <w:pPr>
              <w:adjustRightInd w:val="0"/>
              <w:spacing w:line="360" w:lineRule="auto"/>
              <w:textAlignment w:val="baseline"/>
              <w:rPr>
                <w:rFonts w:ascii="宋体" w:hAnsi="宋体"/>
                <w:color w:val="auto"/>
                <w:szCs w:val="21"/>
              </w:rPr>
            </w:pPr>
            <w:r>
              <w:rPr>
                <w:rFonts w:hint="eastAsia" w:ascii="宋体" w:hAnsi="宋体"/>
                <w:color w:val="auto"/>
                <w:szCs w:val="21"/>
              </w:rPr>
              <w:t>（2）采购标的需满足的技术规格、物理特性要求：详见《三、采购标的需满足的质量、安全、技术规格、物理特性等要求：》。</w:t>
            </w:r>
          </w:p>
          <w:p w14:paraId="48C67033">
            <w:pPr>
              <w:adjustRightInd w:val="0"/>
              <w:spacing w:line="360" w:lineRule="auto"/>
              <w:textAlignment w:val="baseline"/>
              <w:rPr>
                <w:rFonts w:ascii="宋体" w:hAnsi="宋体"/>
                <w:color w:val="auto"/>
                <w:szCs w:val="21"/>
              </w:rPr>
            </w:pPr>
            <w:r>
              <w:rPr>
                <w:rFonts w:hint="eastAsia" w:ascii="宋体" w:hAnsi="宋体"/>
                <w:color w:val="auto"/>
                <w:szCs w:val="21"/>
              </w:rPr>
              <w:t>（3）售后要求：投标人保证提供货物、设备正常、持续使用的技术支持等售后服务。</w:t>
            </w:r>
          </w:p>
        </w:tc>
      </w:tr>
      <w:tr w14:paraId="7B84738E">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3C27CB24">
            <w:pPr>
              <w:adjustRightInd w:val="0"/>
              <w:spacing w:line="360" w:lineRule="auto"/>
              <w:jc w:val="center"/>
              <w:textAlignment w:val="baseline"/>
              <w:rPr>
                <w:rFonts w:ascii="宋体" w:hAnsi="宋体"/>
                <w:color w:val="auto"/>
                <w:szCs w:val="21"/>
              </w:rPr>
            </w:pPr>
            <w:r>
              <w:rPr>
                <w:rFonts w:ascii="宋体" w:hAnsi="宋体"/>
                <w:color w:val="auto"/>
                <w:szCs w:val="21"/>
              </w:rPr>
              <w:t>1.4.1</w:t>
            </w:r>
          </w:p>
        </w:tc>
        <w:tc>
          <w:tcPr>
            <w:tcW w:w="1925" w:type="dxa"/>
            <w:tcBorders>
              <w:top w:val="single" w:color="auto" w:sz="4" w:space="0"/>
              <w:left w:val="single" w:color="auto" w:sz="4" w:space="0"/>
              <w:bottom w:val="single" w:color="auto" w:sz="4" w:space="0"/>
              <w:right w:val="single" w:color="auto" w:sz="4" w:space="0"/>
            </w:tcBorders>
            <w:vAlign w:val="center"/>
          </w:tcPr>
          <w:p w14:paraId="1DDA401A">
            <w:pPr>
              <w:adjustRightInd w:val="0"/>
              <w:spacing w:line="360" w:lineRule="auto"/>
              <w:jc w:val="center"/>
              <w:textAlignment w:val="baseline"/>
              <w:rPr>
                <w:rFonts w:ascii="宋体" w:hAnsi="宋体"/>
                <w:color w:val="auto"/>
                <w:szCs w:val="21"/>
              </w:rPr>
            </w:pPr>
            <w:r>
              <w:rPr>
                <w:rFonts w:hint="eastAsia" w:ascii="宋体" w:hAnsi="宋体"/>
                <w:color w:val="auto"/>
                <w:szCs w:val="21"/>
              </w:rPr>
              <w:t>投标人</w:t>
            </w:r>
            <w:r>
              <w:rPr>
                <w:rFonts w:ascii="宋体" w:hAnsi="宋体"/>
                <w:color w:val="auto"/>
                <w:szCs w:val="21"/>
              </w:rPr>
              <w:t>资质条件、能力和信誉</w:t>
            </w:r>
          </w:p>
        </w:tc>
        <w:tc>
          <w:tcPr>
            <w:tcW w:w="5980" w:type="dxa"/>
            <w:tcBorders>
              <w:top w:val="single" w:color="auto" w:sz="4" w:space="0"/>
              <w:left w:val="single" w:color="auto" w:sz="4" w:space="0"/>
              <w:bottom w:val="single" w:color="auto" w:sz="4" w:space="0"/>
              <w:right w:val="single" w:color="auto" w:sz="4" w:space="0"/>
            </w:tcBorders>
            <w:vAlign w:val="center"/>
          </w:tcPr>
          <w:p w14:paraId="3DDA32AF">
            <w:pPr>
              <w:spacing w:line="360" w:lineRule="auto"/>
              <w:rPr>
                <w:rFonts w:ascii="宋体" w:hAnsi="宋体"/>
                <w:bCs/>
                <w:color w:val="auto"/>
                <w:szCs w:val="21"/>
              </w:rPr>
            </w:pPr>
            <w:r>
              <w:rPr>
                <w:rFonts w:ascii="宋体" w:hAnsi="宋体"/>
                <w:bCs/>
                <w:color w:val="auto"/>
                <w:szCs w:val="21"/>
              </w:rPr>
              <w:t>1</w:t>
            </w:r>
            <w:r>
              <w:rPr>
                <w:rFonts w:hint="eastAsia" w:ascii="宋体" w:hAnsi="宋体"/>
                <w:bCs/>
                <w:color w:val="auto"/>
                <w:szCs w:val="21"/>
              </w:rPr>
              <w:t>.满足</w:t>
            </w:r>
            <w:r>
              <w:rPr>
                <w:rFonts w:ascii="宋体" w:hAnsi="宋体"/>
                <w:bCs/>
                <w:color w:val="auto"/>
                <w:szCs w:val="21"/>
              </w:rPr>
              <w:t>《中华人民共和国政府采购法》第二十二条规定：</w:t>
            </w:r>
          </w:p>
          <w:p w14:paraId="0F510308">
            <w:pPr>
              <w:spacing w:line="360" w:lineRule="auto"/>
              <w:rPr>
                <w:rFonts w:ascii="宋体" w:hAnsi="宋体"/>
                <w:color w:val="auto"/>
                <w:szCs w:val="21"/>
              </w:rPr>
            </w:pPr>
            <w:r>
              <w:rPr>
                <w:rFonts w:hint="eastAsia" w:ascii="宋体" w:hAnsi="宋体"/>
                <w:color w:val="auto"/>
                <w:szCs w:val="21"/>
              </w:rPr>
              <w:t>1.1</w:t>
            </w:r>
            <w:r>
              <w:rPr>
                <w:rFonts w:hint="eastAsia" w:ascii="宋体" w:hAnsi="宋体"/>
                <w:color w:val="auto"/>
              </w:rPr>
              <w:t>具有独立承担民事责任的能力：投标人须具备法人或者其他组织的营业执照等证明文件，若为自然人的提供自然人的身份证明。</w:t>
            </w:r>
          </w:p>
          <w:p w14:paraId="432EF82C">
            <w:pPr>
              <w:spacing w:line="360" w:lineRule="auto"/>
              <w:rPr>
                <w:rFonts w:ascii="宋体" w:hAnsi="宋体"/>
                <w:color w:val="auto"/>
                <w:szCs w:val="21"/>
              </w:rPr>
            </w:pPr>
            <w:r>
              <w:rPr>
                <w:rFonts w:hint="eastAsia" w:ascii="宋体" w:hAnsi="宋体"/>
                <w:color w:val="auto"/>
                <w:szCs w:val="21"/>
              </w:rPr>
              <w:t>1.2具有良好的商业信誉和健全的财务会计制度：</w:t>
            </w:r>
          </w:p>
          <w:p w14:paraId="6A2D232D">
            <w:pPr>
              <w:spacing w:line="360" w:lineRule="auto"/>
              <w:rPr>
                <w:rFonts w:ascii="宋体" w:hAnsi="宋体"/>
                <w:color w:val="auto"/>
                <w:szCs w:val="21"/>
              </w:rPr>
            </w:pPr>
            <w:r>
              <w:rPr>
                <w:rFonts w:hint="eastAsia" w:ascii="宋体" w:hAnsi="宋体"/>
                <w:color w:val="auto"/>
                <w:szCs w:val="21"/>
              </w:rPr>
              <w:t>①具有良好的商业信誉：提供承诺书或声明函；</w:t>
            </w:r>
          </w:p>
          <w:p w14:paraId="6F873594">
            <w:pPr>
              <w:spacing w:line="360" w:lineRule="auto"/>
              <w:rPr>
                <w:rFonts w:ascii="宋体" w:hAnsi="宋体"/>
                <w:color w:val="auto"/>
                <w:szCs w:val="21"/>
              </w:rPr>
            </w:pPr>
            <w:r>
              <w:rPr>
                <w:rFonts w:hint="eastAsia" w:ascii="宋体" w:hAnsi="宋体"/>
                <w:color w:val="auto"/>
                <w:szCs w:val="21"/>
              </w:rPr>
              <w:t>②具有健全的财务会计制度：提供经审计的财务报告或银行出具的资信证明，或财政部门认可的政府采购专业担保机构针对本项目出具的投标担保函。</w:t>
            </w:r>
          </w:p>
          <w:p w14:paraId="737B0733">
            <w:pPr>
              <w:spacing w:line="360" w:lineRule="auto"/>
              <w:rPr>
                <w:rFonts w:ascii="宋体" w:hAnsi="宋体"/>
                <w:color w:val="auto"/>
                <w:szCs w:val="21"/>
              </w:rPr>
            </w:pPr>
            <w:r>
              <w:rPr>
                <w:rFonts w:hint="eastAsia" w:ascii="宋体" w:hAnsi="宋体"/>
                <w:color w:val="auto"/>
                <w:szCs w:val="21"/>
              </w:rPr>
              <w:t>1.3</w:t>
            </w:r>
            <w:r>
              <w:rPr>
                <w:rFonts w:hint="eastAsia" w:ascii="宋体" w:hAnsi="宋体"/>
                <w:color w:val="auto"/>
              </w:rPr>
              <w:t>具有履行合同所必须的设备和专业技术能力：提供证明材料或声明函。</w:t>
            </w:r>
          </w:p>
          <w:p w14:paraId="5B285C3F">
            <w:pPr>
              <w:spacing w:line="360" w:lineRule="auto"/>
              <w:rPr>
                <w:rFonts w:ascii="宋体" w:hAnsi="宋体"/>
                <w:color w:val="auto"/>
                <w:szCs w:val="21"/>
              </w:rPr>
            </w:pPr>
            <w:r>
              <w:rPr>
                <w:rFonts w:hint="eastAsia" w:ascii="宋体" w:hAnsi="宋体"/>
                <w:color w:val="auto"/>
                <w:szCs w:val="21"/>
              </w:rPr>
              <w:t>1.4有依法缴纳税收和社会保障资金的良好记录：投标人须提供本项目投标文件递交截止时间前任意时间段的纳税证明材料和社会保障资金证明材料；若依法免缴或暂缓缴纳或新成立企业的，可提供声明函或承诺函并加盖投标单位电子签章。</w:t>
            </w:r>
          </w:p>
          <w:p w14:paraId="4E682524">
            <w:pPr>
              <w:spacing w:line="360" w:lineRule="auto"/>
              <w:rPr>
                <w:rFonts w:ascii="宋体" w:hAnsi="宋体"/>
                <w:color w:val="auto"/>
                <w:szCs w:val="21"/>
              </w:rPr>
            </w:pPr>
            <w:r>
              <w:rPr>
                <w:rFonts w:hint="eastAsia" w:ascii="宋体" w:hAnsi="宋体"/>
                <w:color w:val="auto"/>
                <w:szCs w:val="21"/>
              </w:rPr>
              <w:t>1.5参加政府采购活动前三年内，在经营活动中没有重大违法记录。提供参加政府采购活动前三年内在经营活动中没有重大违法记录的书面声明。</w:t>
            </w:r>
          </w:p>
          <w:p w14:paraId="53AD1141">
            <w:pPr>
              <w:spacing w:line="360" w:lineRule="auto"/>
              <w:rPr>
                <w:rFonts w:ascii="宋体" w:hAnsi="宋体"/>
                <w:color w:val="auto"/>
                <w:szCs w:val="21"/>
              </w:rPr>
            </w:pPr>
            <w:r>
              <w:rPr>
                <w:rFonts w:hint="eastAsia" w:ascii="宋体" w:hAnsi="宋体"/>
                <w:color w:val="auto"/>
                <w:szCs w:val="21"/>
              </w:rPr>
              <w:t>1.6法律、行政法规规定的其他条件。</w:t>
            </w:r>
          </w:p>
          <w:p w14:paraId="0F5DBB24">
            <w:pPr>
              <w:spacing w:line="360" w:lineRule="auto"/>
              <w:ind w:firstLine="420" w:firstLineChars="200"/>
              <w:rPr>
                <w:rFonts w:ascii="宋体" w:hAnsi="宋体"/>
                <w:color w:val="auto"/>
              </w:rPr>
            </w:pPr>
            <w:r>
              <w:rPr>
                <w:rFonts w:hint="eastAsia" w:ascii="宋体" w:hAnsi="宋体"/>
                <w:color w:val="auto"/>
              </w:rPr>
              <w:t>按照《政府采购货物和服务招标投标管理办法》(财政部令第87号)、《财政部关于在政府采购活动中查询及使用信用记录有关问题的通知》(财库[2016]125号)的相关要求，采购人或采购代理机构在投标文件递交的截止时间后将对投标人的信用信息在“信用中国”网站（www.creditchina.gov.cn）及中国政府采购网（www.ccgp.gov.cn）上进行查询，并以截图方式存档，评标时由相关工作人员统一提供给项目评标委员会。信用信息使用规则：投标人如被列入“信用中国”网站（www.creditchina.gov.cn）失信被执行人（或失信惩戒人）或重大税收违法案件当事人名单的，或被列入中国政府采购网（www.ccgp.gov.cn）政府采购严重违法失信行为信息记录（被禁止在一定期限内参加政府采购活动，但期限届满的除外）名单的，不得参与本次政府采购活动。</w:t>
            </w:r>
          </w:p>
          <w:p w14:paraId="05B97768">
            <w:pPr>
              <w:spacing w:line="360" w:lineRule="auto"/>
              <w:rPr>
                <w:rFonts w:ascii="宋体" w:hAnsi="宋体"/>
                <w:color w:val="auto"/>
                <w:szCs w:val="21"/>
              </w:rPr>
            </w:pPr>
            <w:r>
              <w:rPr>
                <w:rFonts w:hint="eastAsia" w:ascii="宋体" w:hAnsi="宋体"/>
                <w:color w:val="auto"/>
                <w:szCs w:val="21"/>
              </w:rPr>
              <w:t>2.落实政府采购政策需满足的资格要求：</w:t>
            </w:r>
            <w:r>
              <w:rPr>
                <w:rFonts w:hint="eastAsia" w:ascii="宋体" w:hAnsi="宋体"/>
                <w:color w:val="auto"/>
                <w:szCs w:val="21"/>
                <w:lang w:val="zh-CN"/>
              </w:rPr>
              <w:t>本项目</w:t>
            </w:r>
            <w:r>
              <w:rPr>
                <w:rFonts w:hint="eastAsia" w:ascii="宋体" w:hAnsi="宋体"/>
                <w:color w:val="auto"/>
                <w:szCs w:val="21"/>
              </w:rPr>
              <w:t>非</w:t>
            </w:r>
            <w:r>
              <w:rPr>
                <w:rFonts w:hint="eastAsia" w:ascii="宋体" w:hAnsi="宋体"/>
                <w:color w:val="auto"/>
                <w:szCs w:val="21"/>
                <w:lang w:val="zh-CN"/>
              </w:rPr>
              <w:t>专门面向中小企业采购的项目扶持中小企业政策：评审时对符合要求的小型和微型企业给予10%的价格扣除，用扣除后的价格参加评审；监狱企业和残疾人福利性单位视同小型、微型企业。</w:t>
            </w:r>
          </w:p>
          <w:p w14:paraId="11E8B36B">
            <w:pPr>
              <w:spacing w:line="360" w:lineRule="auto"/>
              <w:ind w:firstLine="420" w:firstLineChars="200"/>
              <w:rPr>
                <w:rFonts w:ascii="宋体" w:hAnsi="宋体"/>
                <w:color w:val="auto"/>
                <w:szCs w:val="21"/>
              </w:rPr>
            </w:pPr>
            <w:r>
              <w:rPr>
                <w:rFonts w:hint="eastAsia" w:ascii="宋体" w:hAnsi="宋体"/>
                <w:color w:val="auto"/>
                <w:szCs w:val="21"/>
              </w:rPr>
              <w:t>3.本项目的特定资格要求：</w:t>
            </w:r>
            <w:r>
              <w:rPr>
                <w:rFonts w:hint="eastAsia" w:ascii="宋体" w:hAnsi="宋体"/>
                <w:color w:val="auto"/>
                <w:szCs w:val="21"/>
                <w:lang w:val="en-US" w:eastAsia="zh-CN"/>
              </w:rPr>
              <w:t>无。</w:t>
            </w:r>
          </w:p>
        </w:tc>
      </w:tr>
      <w:tr w14:paraId="54E022BB">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69448E71">
            <w:pPr>
              <w:adjustRightInd w:val="0"/>
              <w:spacing w:line="360" w:lineRule="auto"/>
              <w:jc w:val="center"/>
              <w:textAlignment w:val="baseline"/>
              <w:rPr>
                <w:rFonts w:ascii="宋体" w:hAnsi="宋体"/>
                <w:color w:val="auto"/>
                <w:szCs w:val="21"/>
              </w:rPr>
            </w:pPr>
            <w:r>
              <w:rPr>
                <w:rFonts w:ascii="宋体" w:hAnsi="宋体"/>
                <w:color w:val="auto"/>
                <w:szCs w:val="21"/>
              </w:rPr>
              <w:t>1.4.</w:t>
            </w:r>
            <w:r>
              <w:rPr>
                <w:rFonts w:hint="eastAsia" w:ascii="宋体" w:hAnsi="宋体"/>
                <w:color w:val="auto"/>
                <w:szCs w:val="21"/>
              </w:rPr>
              <w:t>2</w:t>
            </w:r>
          </w:p>
        </w:tc>
        <w:tc>
          <w:tcPr>
            <w:tcW w:w="1925" w:type="dxa"/>
            <w:tcBorders>
              <w:top w:val="single" w:color="auto" w:sz="4" w:space="0"/>
              <w:left w:val="single" w:color="auto" w:sz="4" w:space="0"/>
              <w:bottom w:val="single" w:color="auto" w:sz="4" w:space="0"/>
              <w:right w:val="single" w:color="auto" w:sz="4" w:space="0"/>
            </w:tcBorders>
            <w:vAlign w:val="center"/>
          </w:tcPr>
          <w:p w14:paraId="263B4D26">
            <w:pPr>
              <w:adjustRightInd w:val="0"/>
              <w:spacing w:line="360" w:lineRule="auto"/>
              <w:jc w:val="center"/>
              <w:textAlignment w:val="baseline"/>
              <w:rPr>
                <w:rFonts w:ascii="宋体" w:hAnsi="宋体"/>
                <w:color w:val="auto"/>
                <w:szCs w:val="21"/>
              </w:rPr>
            </w:pPr>
            <w:r>
              <w:rPr>
                <w:rFonts w:ascii="宋体" w:hAnsi="宋体"/>
                <w:color w:val="auto"/>
                <w:szCs w:val="21"/>
              </w:rPr>
              <w:t>是否接受联合体投标</w:t>
            </w:r>
          </w:p>
        </w:tc>
        <w:tc>
          <w:tcPr>
            <w:tcW w:w="5980" w:type="dxa"/>
            <w:tcBorders>
              <w:top w:val="single" w:color="auto" w:sz="4" w:space="0"/>
              <w:left w:val="single" w:color="auto" w:sz="4" w:space="0"/>
              <w:bottom w:val="single" w:color="auto" w:sz="4" w:space="0"/>
              <w:right w:val="single" w:color="auto" w:sz="4" w:space="0"/>
            </w:tcBorders>
            <w:vAlign w:val="center"/>
          </w:tcPr>
          <w:p w14:paraId="32206F80">
            <w:pPr>
              <w:spacing w:line="360" w:lineRule="auto"/>
              <w:rPr>
                <w:rFonts w:ascii="宋体" w:hAnsi="宋体"/>
                <w:color w:val="auto"/>
                <w:szCs w:val="21"/>
              </w:rPr>
            </w:pPr>
            <w:r>
              <w:rPr>
                <w:rFonts w:ascii="Wingdings 2" w:hAnsi="Wingdings 2"/>
                <w:color w:val="auto"/>
                <w:sz w:val="32"/>
                <w:szCs w:val="32"/>
              </w:rPr>
              <w:t></w:t>
            </w:r>
            <w:r>
              <w:rPr>
                <w:rFonts w:hint="eastAsia" w:ascii="宋体" w:hAnsi="宋体"/>
                <w:color w:val="auto"/>
              </w:rPr>
              <w:t>不</w:t>
            </w:r>
            <w:r>
              <w:rPr>
                <w:rFonts w:hint="eastAsia" w:ascii="宋体" w:hAnsi="宋体"/>
                <w:color w:val="auto"/>
                <w:szCs w:val="21"/>
              </w:rPr>
              <w:t>接受</w:t>
            </w:r>
          </w:p>
          <w:p w14:paraId="6C0763DB">
            <w:pPr>
              <w:spacing w:line="360" w:lineRule="auto"/>
              <w:rPr>
                <w:rFonts w:ascii="宋体" w:hAnsi="宋体"/>
                <w:color w:val="auto"/>
                <w:szCs w:val="21"/>
              </w:rPr>
            </w:pPr>
            <w:r>
              <w:rPr>
                <w:rFonts w:ascii="宋体" w:hAnsi="宋体"/>
                <w:color w:val="auto"/>
                <w:sz w:val="32"/>
                <w:szCs w:val="32"/>
              </w:rPr>
              <w:t>□</w:t>
            </w:r>
            <w:r>
              <w:rPr>
                <w:rFonts w:hint="eastAsia" w:ascii="宋体" w:hAnsi="宋体"/>
                <w:color w:val="auto"/>
                <w:szCs w:val="21"/>
              </w:rPr>
              <w:t>接受</w:t>
            </w:r>
          </w:p>
        </w:tc>
      </w:tr>
      <w:tr w14:paraId="52A17B61">
        <w:tblPrEx>
          <w:tblCellMar>
            <w:top w:w="0" w:type="dxa"/>
            <w:left w:w="108" w:type="dxa"/>
            <w:bottom w:w="0" w:type="dxa"/>
            <w:right w:w="108" w:type="dxa"/>
          </w:tblCellMar>
        </w:tblPrEx>
        <w:trPr>
          <w:trHeight w:val="43" w:hRule="atLeast"/>
          <w:jc w:val="center"/>
        </w:trPr>
        <w:tc>
          <w:tcPr>
            <w:tcW w:w="1077" w:type="dxa"/>
            <w:tcBorders>
              <w:top w:val="single" w:color="auto" w:sz="4" w:space="0"/>
              <w:left w:val="single" w:color="auto" w:sz="4" w:space="0"/>
              <w:bottom w:val="single" w:color="auto" w:sz="4" w:space="0"/>
              <w:right w:val="single" w:color="auto" w:sz="4" w:space="0"/>
            </w:tcBorders>
            <w:vAlign w:val="center"/>
          </w:tcPr>
          <w:p w14:paraId="38D4F4F1">
            <w:pPr>
              <w:adjustRightInd w:val="0"/>
              <w:spacing w:line="360" w:lineRule="auto"/>
              <w:jc w:val="center"/>
              <w:textAlignment w:val="baseline"/>
              <w:rPr>
                <w:rFonts w:ascii="宋体" w:hAnsi="宋体"/>
                <w:color w:val="auto"/>
                <w:szCs w:val="21"/>
              </w:rPr>
            </w:pPr>
            <w:r>
              <w:rPr>
                <w:rFonts w:ascii="宋体" w:hAnsi="宋体"/>
                <w:color w:val="auto"/>
                <w:szCs w:val="21"/>
              </w:rPr>
              <w:t>1.</w:t>
            </w:r>
            <w:r>
              <w:rPr>
                <w:rFonts w:hint="eastAsia" w:ascii="宋体" w:hAnsi="宋体"/>
                <w:color w:val="auto"/>
                <w:szCs w:val="21"/>
              </w:rPr>
              <w:t>9</w:t>
            </w:r>
            <w:r>
              <w:rPr>
                <w:rFonts w:ascii="宋体" w:hAnsi="宋体"/>
                <w:color w:val="auto"/>
                <w:szCs w:val="21"/>
              </w:rPr>
              <w:t>.1</w:t>
            </w:r>
          </w:p>
        </w:tc>
        <w:tc>
          <w:tcPr>
            <w:tcW w:w="1925" w:type="dxa"/>
            <w:tcBorders>
              <w:top w:val="single" w:color="auto" w:sz="4" w:space="0"/>
              <w:left w:val="single" w:color="auto" w:sz="4" w:space="0"/>
              <w:bottom w:val="single" w:color="auto" w:sz="4" w:space="0"/>
              <w:right w:val="single" w:color="auto" w:sz="4" w:space="0"/>
            </w:tcBorders>
            <w:vAlign w:val="center"/>
          </w:tcPr>
          <w:p w14:paraId="1AC1157D">
            <w:pPr>
              <w:adjustRightInd w:val="0"/>
              <w:spacing w:line="360" w:lineRule="auto"/>
              <w:jc w:val="center"/>
              <w:textAlignment w:val="baseline"/>
              <w:rPr>
                <w:rFonts w:ascii="宋体" w:hAnsi="宋体"/>
                <w:color w:val="auto"/>
                <w:szCs w:val="21"/>
              </w:rPr>
            </w:pPr>
            <w:r>
              <w:rPr>
                <w:rFonts w:ascii="宋体" w:hAnsi="宋体"/>
                <w:color w:val="auto"/>
                <w:szCs w:val="21"/>
              </w:rPr>
              <w:t>踏勘</w:t>
            </w:r>
            <w:r>
              <w:rPr>
                <w:rFonts w:hint="eastAsia" w:ascii="宋体" w:hAnsi="宋体"/>
                <w:color w:val="auto"/>
                <w:szCs w:val="21"/>
              </w:rPr>
              <w:t>现场</w:t>
            </w:r>
          </w:p>
        </w:tc>
        <w:tc>
          <w:tcPr>
            <w:tcW w:w="5980" w:type="dxa"/>
            <w:tcBorders>
              <w:top w:val="single" w:color="auto" w:sz="4" w:space="0"/>
              <w:left w:val="single" w:color="auto" w:sz="4" w:space="0"/>
              <w:bottom w:val="single" w:color="auto" w:sz="4" w:space="0"/>
              <w:right w:val="single" w:color="auto" w:sz="4" w:space="0"/>
            </w:tcBorders>
            <w:vAlign w:val="center"/>
          </w:tcPr>
          <w:p w14:paraId="6266F5DB">
            <w:pPr>
              <w:adjustRightInd w:val="0"/>
              <w:spacing w:line="360" w:lineRule="auto"/>
              <w:textAlignment w:val="baseline"/>
              <w:rPr>
                <w:rFonts w:ascii="宋体" w:hAnsi="宋体"/>
                <w:color w:val="auto"/>
                <w:szCs w:val="21"/>
              </w:rPr>
            </w:pPr>
            <w:r>
              <w:rPr>
                <w:rFonts w:ascii="Wingdings 2" w:hAnsi="Wingdings 2"/>
                <w:color w:val="auto"/>
                <w:sz w:val="32"/>
                <w:szCs w:val="32"/>
              </w:rPr>
              <w:t></w:t>
            </w:r>
            <w:r>
              <w:rPr>
                <w:rFonts w:hint="eastAsia" w:ascii="宋体" w:hAnsi="宋体"/>
                <w:color w:val="auto"/>
                <w:szCs w:val="21"/>
              </w:rPr>
              <w:t>不组织，投标人自行踏勘</w:t>
            </w:r>
          </w:p>
          <w:p w14:paraId="7DD6E51F">
            <w:pPr>
              <w:adjustRightInd w:val="0"/>
              <w:spacing w:line="360" w:lineRule="auto"/>
              <w:textAlignment w:val="baseline"/>
              <w:rPr>
                <w:rFonts w:ascii="宋体" w:hAnsi="宋体"/>
                <w:color w:val="auto"/>
                <w:szCs w:val="21"/>
              </w:rPr>
            </w:pPr>
            <w:r>
              <w:rPr>
                <w:rFonts w:ascii="宋体" w:hAnsi="宋体"/>
                <w:color w:val="auto"/>
                <w:sz w:val="32"/>
                <w:szCs w:val="32"/>
              </w:rPr>
              <w:t>□</w:t>
            </w:r>
            <w:r>
              <w:rPr>
                <w:rFonts w:hint="eastAsia" w:ascii="宋体" w:hAnsi="宋体"/>
                <w:color w:val="auto"/>
                <w:szCs w:val="21"/>
              </w:rPr>
              <w:t>组织</w:t>
            </w:r>
          </w:p>
        </w:tc>
      </w:tr>
      <w:tr w14:paraId="26974152">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69FEAEAD">
            <w:pPr>
              <w:adjustRightInd w:val="0"/>
              <w:spacing w:line="360" w:lineRule="auto"/>
              <w:jc w:val="center"/>
              <w:textAlignment w:val="baseline"/>
              <w:rPr>
                <w:rFonts w:ascii="宋体" w:hAnsi="宋体"/>
                <w:color w:val="auto"/>
                <w:szCs w:val="21"/>
              </w:rPr>
            </w:pPr>
            <w:r>
              <w:rPr>
                <w:rFonts w:ascii="宋体" w:hAnsi="宋体"/>
                <w:color w:val="auto"/>
                <w:szCs w:val="21"/>
              </w:rPr>
              <w:t>1.10.1</w:t>
            </w:r>
          </w:p>
        </w:tc>
        <w:tc>
          <w:tcPr>
            <w:tcW w:w="1925" w:type="dxa"/>
            <w:tcBorders>
              <w:top w:val="single" w:color="auto" w:sz="4" w:space="0"/>
              <w:left w:val="single" w:color="auto" w:sz="4" w:space="0"/>
              <w:bottom w:val="single" w:color="auto" w:sz="4" w:space="0"/>
              <w:right w:val="single" w:color="auto" w:sz="4" w:space="0"/>
            </w:tcBorders>
            <w:vAlign w:val="center"/>
          </w:tcPr>
          <w:p w14:paraId="13C92378">
            <w:pPr>
              <w:adjustRightInd w:val="0"/>
              <w:spacing w:line="360" w:lineRule="auto"/>
              <w:jc w:val="center"/>
              <w:textAlignment w:val="baseline"/>
              <w:rPr>
                <w:rFonts w:ascii="宋体" w:hAnsi="宋体"/>
                <w:color w:val="auto"/>
                <w:szCs w:val="21"/>
              </w:rPr>
            </w:pPr>
            <w:r>
              <w:rPr>
                <w:rFonts w:ascii="宋体" w:hAnsi="宋体"/>
                <w:color w:val="auto"/>
                <w:szCs w:val="21"/>
              </w:rPr>
              <w:t>投标预备会</w:t>
            </w:r>
          </w:p>
        </w:tc>
        <w:tc>
          <w:tcPr>
            <w:tcW w:w="5980" w:type="dxa"/>
            <w:tcBorders>
              <w:top w:val="single" w:color="auto" w:sz="4" w:space="0"/>
              <w:left w:val="single" w:color="auto" w:sz="4" w:space="0"/>
              <w:bottom w:val="single" w:color="auto" w:sz="4" w:space="0"/>
              <w:right w:val="single" w:color="auto" w:sz="4" w:space="0"/>
            </w:tcBorders>
            <w:vAlign w:val="center"/>
          </w:tcPr>
          <w:p w14:paraId="35B7839E">
            <w:pPr>
              <w:spacing w:line="360" w:lineRule="auto"/>
              <w:rPr>
                <w:rFonts w:ascii="宋体" w:hAnsi="宋体"/>
                <w:color w:val="auto"/>
                <w:szCs w:val="21"/>
              </w:rPr>
            </w:pPr>
            <w:r>
              <w:rPr>
                <w:rFonts w:ascii="Wingdings 2" w:hAnsi="Wingdings 2"/>
                <w:color w:val="auto"/>
                <w:sz w:val="32"/>
                <w:szCs w:val="32"/>
              </w:rPr>
              <w:t></w:t>
            </w:r>
            <w:r>
              <w:rPr>
                <w:rFonts w:hint="eastAsia" w:ascii="宋体" w:hAnsi="宋体"/>
                <w:color w:val="auto"/>
                <w:szCs w:val="21"/>
              </w:rPr>
              <w:t>不</w:t>
            </w:r>
            <w:r>
              <w:rPr>
                <w:rFonts w:ascii="宋体" w:hAnsi="宋体"/>
                <w:color w:val="auto"/>
                <w:szCs w:val="21"/>
              </w:rPr>
              <w:t>召开</w:t>
            </w:r>
          </w:p>
          <w:p w14:paraId="515019BC">
            <w:pPr>
              <w:adjustRightInd w:val="0"/>
              <w:spacing w:line="360" w:lineRule="auto"/>
              <w:textAlignment w:val="baseline"/>
              <w:rPr>
                <w:rFonts w:ascii="宋体" w:hAnsi="宋体"/>
                <w:color w:val="auto"/>
                <w:szCs w:val="21"/>
              </w:rPr>
            </w:pPr>
            <w:r>
              <w:rPr>
                <w:rFonts w:ascii="Wingdings 2" w:hAnsi="Wingdings 2"/>
                <w:color w:val="auto"/>
                <w:sz w:val="32"/>
                <w:szCs w:val="32"/>
              </w:rPr>
              <w:t></w:t>
            </w:r>
            <w:r>
              <w:rPr>
                <w:rFonts w:ascii="宋体" w:hAnsi="宋体"/>
                <w:color w:val="auto"/>
                <w:szCs w:val="21"/>
              </w:rPr>
              <w:t>召开</w:t>
            </w:r>
            <w:r>
              <w:rPr>
                <w:rFonts w:hint="eastAsia" w:ascii="宋体" w:hAnsi="宋体"/>
                <w:color w:val="auto"/>
                <w:szCs w:val="21"/>
              </w:rPr>
              <w:t>，</w:t>
            </w:r>
            <w:r>
              <w:rPr>
                <w:rFonts w:ascii="宋体" w:hAnsi="宋体"/>
                <w:color w:val="auto"/>
                <w:szCs w:val="21"/>
              </w:rPr>
              <w:t>召开时间：</w:t>
            </w:r>
          </w:p>
          <w:p w14:paraId="56244B70">
            <w:pPr>
              <w:adjustRightInd w:val="0"/>
              <w:spacing w:line="360" w:lineRule="auto"/>
              <w:ind w:firstLine="945" w:firstLineChars="450"/>
              <w:textAlignment w:val="baseline"/>
              <w:rPr>
                <w:rFonts w:ascii="宋体" w:hAnsi="宋体"/>
                <w:color w:val="auto"/>
                <w:szCs w:val="21"/>
              </w:rPr>
            </w:pPr>
            <w:r>
              <w:rPr>
                <w:rFonts w:ascii="宋体" w:hAnsi="宋体"/>
                <w:color w:val="auto"/>
                <w:szCs w:val="21"/>
              </w:rPr>
              <w:t>召开地点：</w:t>
            </w:r>
          </w:p>
        </w:tc>
      </w:tr>
      <w:tr w14:paraId="24DA97E5">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0BB4FD74">
            <w:pPr>
              <w:adjustRightInd w:val="0"/>
              <w:spacing w:line="360" w:lineRule="auto"/>
              <w:jc w:val="center"/>
              <w:textAlignment w:val="baseline"/>
              <w:rPr>
                <w:rFonts w:ascii="宋体" w:hAnsi="宋体"/>
                <w:color w:val="auto"/>
                <w:szCs w:val="21"/>
              </w:rPr>
            </w:pPr>
            <w:r>
              <w:rPr>
                <w:rFonts w:ascii="宋体" w:hAnsi="宋体"/>
                <w:color w:val="auto"/>
                <w:szCs w:val="21"/>
              </w:rPr>
              <w:t>1.10.2</w:t>
            </w:r>
          </w:p>
        </w:tc>
        <w:tc>
          <w:tcPr>
            <w:tcW w:w="1925" w:type="dxa"/>
            <w:tcBorders>
              <w:top w:val="single" w:color="auto" w:sz="4" w:space="0"/>
              <w:left w:val="single" w:color="auto" w:sz="4" w:space="0"/>
              <w:bottom w:val="single" w:color="auto" w:sz="4" w:space="0"/>
              <w:right w:val="single" w:color="auto" w:sz="4" w:space="0"/>
            </w:tcBorders>
            <w:vAlign w:val="center"/>
          </w:tcPr>
          <w:p w14:paraId="1F3333F3">
            <w:pPr>
              <w:pStyle w:val="11"/>
              <w:rPr>
                <w:color w:val="auto"/>
              </w:rPr>
            </w:pPr>
            <w:r>
              <w:rPr>
                <w:rFonts w:hint="eastAsia"/>
                <w:color w:val="auto"/>
              </w:rPr>
              <w:t>投标人提出质疑的截止时间和方法</w:t>
            </w:r>
          </w:p>
        </w:tc>
        <w:tc>
          <w:tcPr>
            <w:tcW w:w="5980" w:type="dxa"/>
            <w:tcBorders>
              <w:top w:val="single" w:color="auto" w:sz="4" w:space="0"/>
              <w:left w:val="single" w:color="auto" w:sz="4" w:space="0"/>
              <w:bottom w:val="single" w:color="auto" w:sz="4" w:space="0"/>
              <w:right w:val="single" w:color="auto" w:sz="4" w:space="0"/>
            </w:tcBorders>
            <w:vAlign w:val="center"/>
          </w:tcPr>
          <w:p w14:paraId="35DAACA1">
            <w:pPr>
              <w:adjustRightInd w:val="0"/>
              <w:spacing w:line="360" w:lineRule="auto"/>
              <w:textAlignment w:val="baseline"/>
              <w:rPr>
                <w:color w:val="auto"/>
              </w:rPr>
            </w:pPr>
            <w:r>
              <w:rPr>
                <w:rFonts w:hint="eastAsia"/>
                <w:color w:val="auto"/>
              </w:rPr>
              <w:t>时间：</w:t>
            </w:r>
            <w:r>
              <w:rPr>
                <w:rFonts w:hint="eastAsia" w:ascii="宋体" w:hAnsi="宋体" w:cs="宋体"/>
                <w:color w:val="auto"/>
              </w:rPr>
              <w:t>在知道或者应知其权益受到损害之日起7个工作日内</w:t>
            </w:r>
            <w:r>
              <w:rPr>
                <w:rFonts w:hint="eastAsia"/>
                <w:color w:val="auto"/>
              </w:rPr>
              <w:t>。</w:t>
            </w:r>
          </w:p>
          <w:p w14:paraId="453E5F6A">
            <w:pPr>
              <w:spacing w:line="360" w:lineRule="auto"/>
              <w:rPr>
                <w:rFonts w:ascii="宋体" w:hAnsi="宋体"/>
                <w:color w:val="auto"/>
                <w:szCs w:val="21"/>
              </w:rPr>
            </w:pPr>
            <w:r>
              <w:rPr>
                <w:rFonts w:hint="eastAsia"/>
                <w:color w:val="auto"/>
              </w:rPr>
              <w:t>方法：以书面形式递交至采购人或采购代理机构。</w:t>
            </w:r>
          </w:p>
        </w:tc>
      </w:tr>
      <w:tr w14:paraId="3D26D1F0">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57B0BC56">
            <w:pPr>
              <w:adjustRightInd w:val="0"/>
              <w:spacing w:line="360" w:lineRule="auto"/>
              <w:jc w:val="center"/>
              <w:textAlignment w:val="baseline"/>
              <w:rPr>
                <w:rFonts w:ascii="宋体" w:hAnsi="宋体"/>
                <w:color w:val="auto"/>
                <w:szCs w:val="21"/>
              </w:rPr>
            </w:pPr>
            <w:r>
              <w:rPr>
                <w:rFonts w:ascii="宋体" w:hAnsi="宋体"/>
                <w:color w:val="auto"/>
                <w:szCs w:val="21"/>
              </w:rPr>
              <w:t>1.10.3</w:t>
            </w:r>
          </w:p>
        </w:tc>
        <w:tc>
          <w:tcPr>
            <w:tcW w:w="1925" w:type="dxa"/>
            <w:tcBorders>
              <w:top w:val="single" w:color="auto" w:sz="4" w:space="0"/>
              <w:left w:val="single" w:color="auto" w:sz="4" w:space="0"/>
              <w:bottom w:val="single" w:color="auto" w:sz="4" w:space="0"/>
              <w:right w:val="single" w:color="auto" w:sz="4" w:space="0"/>
            </w:tcBorders>
            <w:vAlign w:val="center"/>
          </w:tcPr>
          <w:p w14:paraId="0F65EAB7">
            <w:pPr>
              <w:adjustRightInd w:val="0"/>
              <w:spacing w:line="360" w:lineRule="auto"/>
              <w:jc w:val="center"/>
              <w:textAlignment w:val="baseline"/>
              <w:rPr>
                <w:rFonts w:ascii="宋体" w:hAnsi="宋体"/>
                <w:color w:val="auto"/>
                <w:szCs w:val="21"/>
              </w:rPr>
            </w:pPr>
            <w:r>
              <w:rPr>
                <w:rFonts w:hint="eastAsia" w:ascii="宋体" w:hAnsi="宋体"/>
                <w:color w:val="auto"/>
                <w:szCs w:val="21"/>
              </w:rPr>
              <w:t>澄清或修改的时间和方法</w:t>
            </w:r>
          </w:p>
        </w:tc>
        <w:tc>
          <w:tcPr>
            <w:tcW w:w="5980" w:type="dxa"/>
            <w:tcBorders>
              <w:top w:val="single" w:color="auto" w:sz="4" w:space="0"/>
              <w:left w:val="single" w:color="auto" w:sz="4" w:space="0"/>
              <w:bottom w:val="single" w:color="auto" w:sz="4" w:space="0"/>
              <w:right w:val="single" w:color="auto" w:sz="4" w:space="0"/>
            </w:tcBorders>
            <w:vAlign w:val="center"/>
          </w:tcPr>
          <w:p w14:paraId="1C480AA8">
            <w:pPr>
              <w:adjustRightInd w:val="0"/>
              <w:spacing w:line="360" w:lineRule="auto"/>
              <w:jc w:val="left"/>
              <w:textAlignment w:val="baseline"/>
              <w:rPr>
                <w:rFonts w:ascii="宋体" w:hAnsi="宋体"/>
                <w:color w:val="auto"/>
                <w:szCs w:val="21"/>
              </w:rPr>
            </w:pPr>
            <w:r>
              <w:rPr>
                <w:rFonts w:hint="eastAsia" w:ascii="宋体" w:hAnsi="宋体"/>
                <w:color w:val="auto"/>
                <w:szCs w:val="21"/>
              </w:rPr>
              <w:t>采购人或者采购代理机构可以对已发出的采购文件进行必要的澄清或者修改。澄清或者修改在原公告发布媒体上发布，所有获取了采购文件的潜在投标人登录原公告发布媒体上下载和查看，投标人无须回函确认。澄清或者修改的内容为采购文件的组成部分。</w:t>
            </w:r>
          </w:p>
          <w:p w14:paraId="6D065158">
            <w:pPr>
              <w:adjustRightInd w:val="0"/>
              <w:spacing w:line="360" w:lineRule="auto"/>
              <w:jc w:val="left"/>
              <w:textAlignment w:val="baseline"/>
              <w:rPr>
                <w:rFonts w:ascii="宋体" w:hAnsi="宋体"/>
                <w:color w:val="auto"/>
                <w:szCs w:val="21"/>
              </w:rPr>
            </w:pPr>
            <w:r>
              <w:rPr>
                <w:rFonts w:hint="eastAsia" w:ascii="宋体" w:hAnsi="宋体"/>
                <w:color w:val="auto"/>
                <w:szCs w:val="21"/>
              </w:rPr>
              <w:t>澄清或者修改的内容可能影响投标文件编制的，采购人或者采购代理机构在投标截止时间至少15日前，以书面形式通知所有获取采购文件的潜在投标人；不足15日的，采购人或者采购代理机构顺延提交投标文件的截止时间。</w:t>
            </w:r>
          </w:p>
        </w:tc>
      </w:tr>
      <w:tr w14:paraId="3B0FB6C6">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07E7561E">
            <w:pPr>
              <w:adjustRightInd w:val="0"/>
              <w:spacing w:line="360" w:lineRule="auto"/>
              <w:jc w:val="center"/>
              <w:textAlignment w:val="baseline"/>
              <w:rPr>
                <w:rFonts w:ascii="宋体" w:hAnsi="宋体"/>
                <w:color w:val="auto"/>
                <w:szCs w:val="21"/>
              </w:rPr>
            </w:pPr>
            <w:r>
              <w:rPr>
                <w:rFonts w:hint="eastAsia" w:ascii="宋体" w:hAnsi="宋体"/>
                <w:color w:val="auto"/>
                <w:szCs w:val="21"/>
              </w:rPr>
              <w:t>1.10.4</w:t>
            </w:r>
          </w:p>
        </w:tc>
        <w:tc>
          <w:tcPr>
            <w:tcW w:w="1925" w:type="dxa"/>
            <w:tcBorders>
              <w:top w:val="single" w:color="auto" w:sz="4" w:space="0"/>
              <w:left w:val="single" w:color="auto" w:sz="4" w:space="0"/>
              <w:bottom w:val="single" w:color="auto" w:sz="4" w:space="0"/>
              <w:right w:val="single" w:color="auto" w:sz="4" w:space="0"/>
            </w:tcBorders>
            <w:vAlign w:val="center"/>
          </w:tcPr>
          <w:p w14:paraId="2C574953">
            <w:pPr>
              <w:adjustRightInd w:val="0"/>
              <w:spacing w:line="360" w:lineRule="auto"/>
              <w:jc w:val="center"/>
              <w:textAlignment w:val="baseline"/>
              <w:rPr>
                <w:rFonts w:ascii="宋体" w:hAnsi="宋体"/>
                <w:color w:val="auto"/>
              </w:rPr>
            </w:pPr>
            <w:r>
              <w:rPr>
                <w:rFonts w:ascii="宋体" w:hAnsi="宋体"/>
                <w:color w:val="auto"/>
              </w:rPr>
              <w:t>澄清或</w:t>
            </w:r>
            <w:r>
              <w:rPr>
                <w:rFonts w:hint="eastAsia" w:ascii="宋体" w:hAnsi="宋体"/>
                <w:color w:val="auto"/>
              </w:rPr>
              <w:t>修改</w:t>
            </w:r>
            <w:r>
              <w:rPr>
                <w:rFonts w:ascii="宋体" w:hAnsi="宋体"/>
                <w:color w:val="auto"/>
              </w:rPr>
              <w:t>的发布媒介</w:t>
            </w:r>
          </w:p>
        </w:tc>
        <w:tc>
          <w:tcPr>
            <w:tcW w:w="5980" w:type="dxa"/>
            <w:tcBorders>
              <w:top w:val="single" w:color="auto" w:sz="4" w:space="0"/>
              <w:left w:val="single" w:color="auto" w:sz="4" w:space="0"/>
              <w:bottom w:val="single" w:color="auto" w:sz="4" w:space="0"/>
              <w:right w:val="single" w:color="auto" w:sz="4" w:space="0"/>
            </w:tcBorders>
            <w:vAlign w:val="center"/>
          </w:tcPr>
          <w:p w14:paraId="66C12BB4">
            <w:pPr>
              <w:adjustRightInd w:val="0"/>
              <w:spacing w:line="360" w:lineRule="auto"/>
              <w:textAlignment w:val="baseline"/>
              <w:rPr>
                <w:rFonts w:ascii="宋体" w:hAnsi="宋体"/>
                <w:color w:val="auto"/>
              </w:rPr>
            </w:pPr>
            <w:r>
              <w:rPr>
                <w:rFonts w:hint="eastAsia" w:ascii="宋体" w:hAnsi="宋体"/>
                <w:color w:val="auto"/>
              </w:rPr>
              <w:t xml:space="preserve">《云南省政府采购网》上发布。 </w:t>
            </w:r>
          </w:p>
        </w:tc>
      </w:tr>
      <w:tr w14:paraId="50A5B272">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08E9CCFE">
            <w:pPr>
              <w:adjustRightInd w:val="0"/>
              <w:spacing w:line="360" w:lineRule="auto"/>
              <w:jc w:val="center"/>
              <w:textAlignment w:val="baseline"/>
              <w:rPr>
                <w:rFonts w:ascii="宋体" w:hAnsi="宋体"/>
                <w:color w:val="auto"/>
                <w:szCs w:val="21"/>
              </w:rPr>
            </w:pPr>
            <w:r>
              <w:rPr>
                <w:rFonts w:ascii="宋体" w:hAnsi="宋体"/>
                <w:color w:val="auto"/>
                <w:szCs w:val="21"/>
              </w:rPr>
              <w:t>1.1</w:t>
            </w:r>
            <w:r>
              <w:rPr>
                <w:rFonts w:hint="eastAsia" w:ascii="宋体" w:hAnsi="宋体"/>
                <w:color w:val="auto"/>
                <w:szCs w:val="21"/>
              </w:rPr>
              <w:t>1</w:t>
            </w:r>
          </w:p>
        </w:tc>
        <w:tc>
          <w:tcPr>
            <w:tcW w:w="1925" w:type="dxa"/>
            <w:tcBorders>
              <w:top w:val="single" w:color="auto" w:sz="4" w:space="0"/>
              <w:left w:val="single" w:color="auto" w:sz="4" w:space="0"/>
              <w:bottom w:val="single" w:color="auto" w:sz="4" w:space="0"/>
              <w:right w:val="single" w:color="auto" w:sz="4" w:space="0"/>
            </w:tcBorders>
            <w:vAlign w:val="center"/>
          </w:tcPr>
          <w:p w14:paraId="17B7F0B8">
            <w:pPr>
              <w:adjustRightInd w:val="0"/>
              <w:spacing w:line="360" w:lineRule="auto"/>
              <w:jc w:val="center"/>
              <w:textAlignment w:val="baseline"/>
              <w:rPr>
                <w:rFonts w:ascii="宋体" w:hAnsi="宋体"/>
                <w:color w:val="auto"/>
                <w:szCs w:val="21"/>
              </w:rPr>
            </w:pPr>
            <w:r>
              <w:rPr>
                <w:rFonts w:ascii="宋体" w:hAnsi="宋体"/>
                <w:color w:val="auto"/>
                <w:szCs w:val="21"/>
              </w:rPr>
              <w:t>分包</w:t>
            </w:r>
          </w:p>
        </w:tc>
        <w:tc>
          <w:tcPr>
            <w:tcW w:w="5980" w:type="dxa"/>
            <w:tcBorders>
              <w:top w:val="single" w:color="auto" w:sz="4" w:space="0"/>
              <w:left w:val="single" w:color="auto" w:sz="4" w:space="0"/>
              <w:bottom w:val="single" w:color="auto" w:sz="4" w:space="0"/>
              <w:right w:val="single" w:color="auto" w:sz="4" w:space="0"/>
            </w:tcBorders>
            <w:vAlign w:val="center"/>
          </w:tcPr>
          <w:p w14:paraId="36772B77">
            <w:pPr>
              <w:spacing w:line="360" w:lineRule="auto"/>
              <w:rPr>
                <w:rFonts w:ascii="宋体" w:hAnsi="宋体"/>
                <w:color w:val="auto"/>
                <w:szCs w:val="21"/>
              </w:rPr>
            </w:pPr>
            <w:r>
              <w:rPr>
                <w:rFonts w:hint="eastAsia" w:ascii="宋体" w:hAnsi="宋体"/>
                <w:color w:val="auto"/>
                <w:szCs w:val="21"/>
              </w:rPr>
              <w:t>不允许。</w:t>
            </w:r>
          </w:p>
        </w:tc>
      </w:tr>
      <w:tr w14:paraId="58A7952A">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2293C13D">
            <w:pPr>
              <w:adjustRightInd w:val="0"/>
              <w:spacing w:line="360" w:lineRule="auto"/>
              <w:jc w:val="center"/>
              <w:textAlignment w:val="baseline"/>
              <w:rPr>
                <w:rFonts w:ascii="宋体" w:hAnsi="宋体"/>
                <w:color w:val="auto"/>
                <w:szCs w:val="21"/>
              </w:rPr>
            </w:pPr>
            <w:r>
              <w:rPr>
                <w:rFonts w:hint="eastAsia" w:ascii="宋体" w:hAnsi="宋体"/>
                <w:color w:val="auto"/>
                <w:szCs w:val="21"/>
              </w:rPr>
              <w:t>1.12</w:t>
            </w:r>
          </w:p>
        </w:tc>
        <w:tc>
          <w:tcPr>
            <w:tcW w:w="1925" w:type="dxa"/>
            <w:tcBorders>
              <w:top w:val="single" w:color="auto" w:sz="4" w:space="0"/>
              <w:left w:val="single" w:color="auto" w:sz="4" w:space="0"/>
              <w:bottom w:val="single" w:color="auto" w:sz="4" w:space="0"/>
              <w:right w:val="single" w:color="auto" w:sz="4" w:space="0"/>
            </w:tcBorders>
            <w:vAlign w:val="center"/>
          </w:tcPr>
          <w:p w14:paraId="52339C62">
            <w:pPr>
              <w:adjustRightInd w:val="0"/>
              <w:spacing w:line="360" w:lineRule="auto"/>
              <w:jc w:val="center"/>
              <w:textAlignment w:val="baseline"/>
              <w:rPr>
                <w:rFonts w:ascii="宋体" w:hAnsi="宋体"/>
                <w:color w:val="auto"/>
                <w:szCs w:val="21"/>
              </w:rPr>
            </w:pPr>
            <w:r>
              <w:rPr>
                <w:rFonts w:hint="eastAsia" w:ascii="宋体" w:hAnsi="宋体"/>
                <w:color w:val="auto"/>
                <w:szCs w:val="21"/>
              </w:rPr>
              <w:t>偏离</w:t>
            </w:r>
          </w:p>
        </w:tc>
        <w:tc>
          <w:tcPr>
            <w:tcW w:w="5980" w:type="dxa"/>
            <w:tcBorders>
              <w:top w:val="single" w:color="auto" w:sz="4" w:space="0"/>
              <w:left w:val="single" w:color="auto" w:sz="4" w:space="0"/>
              <w:bottom w:val="single" w:color="auto" w:sz="4" w:space="0"/>
              <w:right w:val="single" w:color="auto" w:sz="4" w:space="0"/>
            </w:tcBorders>
            <w:vAlign w:val="center"/>
          </w:tcPr>
          <w:p w14:paraId="5A0DCE83">
            <w:pPr>
              <w:spacing w:line="360" w:lineRule="auto"/>
              <w:rPr>
                <w:rFonts w:ascii="宋体" w:hAnsi="宋体"/>
                <w:color w:val="auto"/>
                <w:szCs w:val="21"/>
              </w:rPr>
            </w:pPr>
            <w:r>
              <w:rPr>
                <w:rFonts w:hint="eastAsia" w:ascii="宋体" w:hAnsi="宋体"/>
                <w:color w:val="auto"/>
              </w:rPr>
              <w:t>允许，标注“★”号的为重要技术参数，未标注“★”号的为一般技术技术参数，上述参数均作为技术部分评审项，具体评分标准详见第三章评标办法。</w:t>
            </w:r>
          </w:p>
        </w:tc>
      </w:tr>
      <w:tr w14:paraId="404CD331">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5E7D0649">
            <w:pPr>
              <w:adjustRightInd w:val="0"/>
              <w:spacing w:line="360" w:lineRule="auto"/>
              <w:jc w:val="center"/>
              <w:textAlignment w:val="baseline"/>
              <w:rPr>
                <w:rFonts w:ascii="宋体" w:hAnsi="宋体"/>
                <w:color w:val="auto"/>
                <w:szCs w:val="21"/>
              </w:rPr>
            </w:pPr>
            <w:r>
              <w:rPr>
                <w:rFonts w:ascii="宋体" w:hAnsi="宋体"/>
                <w:color w:val="auto"/>
                <w:szCs w:val="21"/>
              </w:rPr>
              <w:t>2.1</w:t>
            </w:r>
          </w:p>
        </w:tc>
        <w:tc>
          <w:tcPr>
            <w:tcW w:w="1925" w:type="dxa"/>
            <w:tcBorders>
              <w:top w:val="single" w:color="auto" w:sz="4" w:space="0"/>
              <w:left w:val="single" w:color="auto" w:sz="4" w:space="0"/>
              <w:bottom w:val="single" w:color="auto" w:sz="4" w:space="0"/>
              <w:right w:val="single" w:color="auto" w:sz="4" w:space="0"/>
            </w:tcBorders>
            <w:vAlign w:val="center"/>
          </w:tcPr>
          <w:p w14:paraId="0B47EED0">
            <w:pPr>
              <w:adjustRightInd w:val="0"/>
              <w:spacing w:line="360" w:lineRule="auto"/>
              <w:jc w:val="center"/>
              <w:textAlignment w:val="baseline"/>
              <w:rPr>
                <w:rFonts w:ascii="宋体" w:hAnsi="宋体"/>
                <w:color w:val="auto"/>
                <w:szCs w:val="21"/>
              </w:rPr>
            </w:pPr>
            <w:r>
              <w:rPr>
                <w:rFonts w:ascii="宋体" w:hAnsi="宋体"/>
                <w:color w:val="auto"/>
                <w:szCs w:val="21"/>
              </w:rPr>
              <w:t>构成</w:t>
            </w:r>
            <w:r>
              <w:rPr>
                <w:rFonts w:hint="eastAsia" w:ascii="宋体" w:hAnsi="宋体"/>
                <w:color w:val="auto"/>
                <w:szCs w:val="21"/>
              </w:rPr>
              <w:t>采购文件</w:t>
            </w:r>
            <w:r>
              <w:rPr>
                <w:rFonts w:ascii="宋体" w:hAnsi="宋体"/>
                <w:color w:val="auto"/>
                <w:szCs w:val="21"/>
              </w:rPr>
              <w:t>的其他材料</w:t>
            </w:r>
          </w:p>
        </w:tc>
        <w:tc>
          <w:tcPr>
            <w:tcW w:w="5980" w:type="dxa"/>
            <w:tcBorders>
              <w:top w:val="single" w:color="auto" w:sz="4" w:space="0"/>
              <w:left w:val="single" w:color="auto" w:sz="4" w:space="0"/>
              <w:bottom w:val="single" w:color="auto" w:sz="4" w:space="0"/>
              <w:right w:val="single" w:color="auto" w:sz="4" w:space="0"/>
            </w:tcBorders>
            <w:vAlign w:val="center"/>
          </w:tcPr>
          <w:p w14:paraId="5F4081DF">
            <w:pPr>
              <w:adjustRightInd w:val="0"/>
              <w:spacing w:line="360" w:lineRule="auto"/>
              <w:textAlignment w:val="baseline"/>
              <w:rPr>
                <w:rFonts w:ascii="宋体" w:hAnsi="宋体"/>
                <w:color w:val="auto"/>
                <w:szCs w:val="21"/>
              </w:rPr>
            </w:pPr>
            <w:r>
              <w:rPr>
                <w:rFonts w:hint="eastAsia" w:ascii="宋体" w:hAnsi="宋体"/>
                <w:color w:val="auto"/>
                <w:szCs w:val="21"/>
              </w:rPr>
              <w:t>详见须知2.1。</w:t>
            </w:r>
          </w:p>
        </w:tc>
      </w:tr>
      <w:tr w14:paraId="21657325">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6B09A619">
            <w:pPr>
              <w:adjustRightInd w:val="0"/>
              <w:spacing w:line="360" w:lineRule="auto"/>
              <w:jc w:val="center"/>
              <w:textAlignment w:val="baseline"/>
              <w:rPr>
                <w:rFonts w:ascii="宋体" w:hAnsi="宋体"/>
                <w:color w:val="auto"/>
                <w:szCs w:val="21"/>
              </w:rPr>
            </w:pPr>
            <w:r>
              <w:rPr>
                <w:rFonts w:ascii="宋体" w:hAnsi="宋体"/>
                <w:color w:val="auto"/>
                <w:szCs w:val="21"/>
              </w:rPr>
              <w:t>2.2.2</w:t>
            </w:r>
          </w:p>
        </w:tc>
        <w:tc>
          <w:tcPr>
            <w:tcW w:w="1925" w:type="dxa"/>
            <w:tcBorders>
              <w:top w:val="single" w:color="auto" w:sz="4" w:space="0"/>
              <w:left w:val="single" w:color="auto" w:sz="4" w:space="0"/>
              <w:bottom w:val="single" w:color="auto" w:sz="4" w:space="0"/>
              <w:right w:val="single" w:color="auto" w:sz="4" w:space="0"/>
            </w:tcBorders>
            <w:vAlign w:val="center"/>
          </w:tcPr>
          <w:p w14:paraId="1E032E1D">
            <w:pPr>
              <w:adjustRightInd w:val="0"/>
              <w:spacing w:line="360" w:lineRule="auto"/>
              <w:jc w:val="center"/>
              <w:textAlignment w:val="baseline"/>
              <w:rPr>
                <w:rFonts w:ascii="宋体" w:hAnsi="宋体"/>
                <w:color w:val="auto"/>
                <w:szCs w:val="21"/>
              </w:rPr>
            </w:pPr>
            <w:r>
              <w:rPr>
                <w:rFonts w:ascii="宋体" w:hAnsi="宋体"/>
                <w:color w:val="auto"/>
                <w:szCs w:val="21"/>
              </w:rPr>
              <w:t>投标截止时间</w:t>
            </w:r>
          </w:p>
        </w:tc>
        <w:tc>
          <w:tcPr>
            <w:tcW w:w="5980" w:type="dxa"/>
            <w:tcBorders>
              <w:top w:val="single" w:color="auto" w:sz="4" w:space="0"/>
              <w:left w:val="single" w:color="auto" w:sz="4" w:space="0"/>
              <w:bottom w:val="single" w:color="auto" w:sz="4" w:space="0"/>
              <w:right w:val="single" w:color="auto" w:sz="4" w:space="0"/>
            </w:tcBorders>
            <w:vAlign w:val="center"/>
          </w:tcPr>
          <w:p w14:paraId="46E5BCCF">
            <w:pPr>
              <w:adjustRightInd w:val="0"/>
              <w:spacing w:line="360" w:lineRule="auto"/>
              <w:textAlignment w:val="baseline"/>
              <w:rPr>
                <w:rFonts w:ascii="宋体" w:hAnsi="宋体"/>
                <w:color w:val="auto"/>
                <w:szCs w:val="21"/>
              </w:rPr>
            </w:pPr>
            <w:r>
              <w:rPr>
                <w:rFonts w:hint="eastAsia" w:ascii="宋体" w:hAnsi="宋体"/>
                <w:color w:val="auto"/>
                <w:szCs w:val="21"/>
              </w:rPr>
              <w:t>以网上公告时间为准</w:t>
            </w:r>
          </w:p>
        </w:tc>
      </w:tr>
      <w:tr w14:paraId="4CB3F04B">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7E0D10AE">
            <w:pPr>
              <w:adjustRightInd w:val="0"/>
              <w:spacing w:line="360" w:lineRule="auto"/>
              <w:jc w:val="center"/>
              <w:textAlignment w:val="baseline"/>
              <w:rPr>
                <w:rFonts w:ascii="宋体" w:hAnsi="宋体"/>
                <w:color w:val="auto"/>
                <w:szCs w:val="21"/>
              </w:rPr>
            </w:pPr>
            <w:r>
              <w:rPr>
                <w:rFonts w:ascii="宋体" w:hAnsi="宋体"/>
                <w:color w:val="auto"/>
                <w:szCs w:val="21"/>
              </w:rPr>
              <w:t>2.2.3</w:t>
            </w:r>
          </w:p>
        </w:tc>
        <w:tc>
          <w:tcPr>
            <w:tcW w:w="1925" w:type="dxa"/>
            <w:tcBorders>
              <w:top w:val="single" w:color="auto" w:sz="4" w:space="0"/>
              <w:left w:val="single" w:color="auto" w:sz="4" w:space="0"/>
              <w:bottom w:val="single" w:color="auto" w:sz="4" w:space="0"/>
              <w:right w:val="single" w:color="auto" w:sz="4" w:space="0"/>
            </w:tcBorders>
            <w:vAlign w:val="center"/>
          </w:tcPr>
          <w:p w14:paraId="1AAE5020">
            <w:pPr>
              <w:adjustRightInd w:val="0"/>
              <w:spacing w:line="360" w:lineRule="auto"/>
              <w:jc w:val="center"/>
              <w:textAlignment w:val="baseline"/>
              <w:rPr>
                <w:rFonts w:ascii="宋体" w:hAnsi="宋体"/>
                <w:color w:val="auto"/>
                <w:szCs w:val="21"/>
              </w:rPr>
            </w:pPr>
            <w:r>
              <w:rPr>
                <w:rFonts w:ascii="宋体" w:hAnsi="宋体"/>
                <w:color w:val="auto"/>
                <w:szCs w:val="21"/>
              </w:rPr>
              <w:t>投标人确认收到</w:t>
            </w:r>
            <w:r>
              <w:rPr>
                <w:rFonts w:hint="eastAsia" w:ascii="宋体" w:hAnsi="宋体"/>
                <w:color w:val="auto"/>
                <w:szCs w:val="21"/>
              </w:rPr>
              <w:t>采购文件</w:t>
            </w:r>
            <w:r>
              <w:rPr>
                <w:rFonts w:ascii="宋体" w:hAnsi="宋体"/>
                <w:color w:val="auto"/>
                <w:szCs w:val="21"/>
              </w:rPr>
              <w:t>澄清的时间</w:t>
            </w:r>
          </w:p>
        </w:tc>
        <w:tc>
          <w:tcPr>
            <w:tcW w:w="5980" w:type="dxa"/>
            <w:tcBorders>
              <w:top w:val="single" w:color="auto" w:sz="4" w:space="0"/>
              <w:left w:val="single" w:color="auto" w:sz="4" w:space="0"/>
              <w:bottom w:val="single" w:color="auto" w:sz="4" w:space="0"/>
              <w:right w:val="single" w:color="auto" w:sz="4" w:space="0"/>
            </w:tcBorders>
            <w:vAlign w:val="center"/>
          </w:tcPr>
          <w:p w14:paraId="2645E5ED">
            <w:pPr>
              <w:adjustRightInd w:val="0"/>
              <w:spacing w:line="360" w:lineRule="auto"/>
              <w:textAlignment w:val="baseline"/>
              <w:rPr>
                <w:rFonts w:ascii="宋体" w:hAnsi="宋体"/>
                <w:color w:val="auto"/>
                <w:szCs w:val="21"/>
              </w:rPr>
            </w:pPr>
            <w:r>
              <w:rPr>
                <w:rFonts w:hint="eastAsia" w:ascii="宋体" w:hAnsi="宋体"/>
                <w:color w:val="auto"/>
              </w:rPr>
              <w:t>投标人自行登录</w:t>
            </w:r>
            <w:r>
              <w:rPr>
                <w:rFonts w:hint="eastAsia"/>
                <w:color w:val="auto"/>
              </w:rPr>
              <w:t>原公告发布媒体上下载和查看，</w:t>
            </w:r>
            <w:r>
              <w:rPr>
                <w:rFonts w:hint="eastAsia" w:ascii="宋体" w:hAnsi="宋体"/>
                <w:color w:val="auto"/>
              </w:rPr>
              <w:t>投标人无须回函确认。</w:t>
            </w:r>
          </w:p>
        </w:tc>
      </w:tr>
      <w:tr w14:paraId="68C9893A">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5C260CC7">
            <w:pPr>
              <w:adjustRightInd w:val="0"/>
              <w:spacing w:line="360" w:lineRule="auto"/>
              <w:jc w:val="center"/>
              <w:textAlignment w:val="baseline"/>
              <w:rPr>
                <w:rFonts w:ascii="宋体" w:hAnsi="宋体"/>
                <w:color w:val="auto"/>
                <w:szCs w:val="21"/>
              </w:rPr>
            </w:pPr>
            <w:r>
              <w:rPr>
                <w:rFonts w:ascii="宋体" w:hAnsi="宋体"/>
                <w:color w:val="auto"/>
                <w:szCs w:val="21"/>
              </w:rPr>
              <w:t>2.3.2</w:t>
            </w:r>
          </w:p>
        </w:tc>
        <w:tc>
          <w:tcPr>
            <w:tcW w:w="1925" w:type="dxa"/>
            <w:tcBorders>
              <w:top w:val="single" w:color="auto" w:sz="4" w:space="0"/>
              <w:left w:val="single" w:color="auto" w:sz="4" w:space="0"/>
              <w:bottom w:val="single" w:color="auto" w:sz="4" w:space="0"/>
              <w:right w:val="single" w:color="auto" w:sz="4" w:space="0"/>
            </w:tcBorders>
            <w:vAlign w:val="center"/>
          </w:tcPr>
          <w:p w14:paraId="068EF97E">
            <w:pPr>
              <w:adjustRightInd w:val="0"/>
              <w:spacing w:line="360" w:lineRule="auto"/>
              <w:jc w:val="center"/>
              <w:textAlignment w:val="baseline"/>
              <w:rPr>
                <w:rFonts w:ascii="宋体" w:hAnsi="宋体"/>
                <w:color w:val="auto"/>
                <w:szCs w:val="21"/>
              </w:rPr>
            </w:pPr>
            <w:r>
              <w:rPr>
                <w:rFonts w:ascii="宋体" w:hAnsi="宋体"/>
                <w:color w:val="auto"/>
                <w:szCs w:val="21"/>
              </w:rPr>
              <w:t>投标人确认收到</w:t>
            </w:r>
            <w:r>
              <w:rPr>
                <w:rFonts w:hint="eastAsia" w:ascii="宋体" w:hAnsi="宋体"/>
                <w:color w:val="auto"/>
                <w:szCs w:val="21"/>
              </w:rPr>
              <w:t>采购文件</w:t>
            </w:r>
            <w:r>
              <w:rPr>
                <w:rFonts w:ascii="宋体" w:hAnsi="宋体"/>
                <w:color w:val="auto"/>
                <w:szCs w:val="21"/>
              </w:rPr>
              <w:t>修改的时间</w:t>
            </w:r>
          </w:p>
        </w:tc>
        <w:tc>
          <w:tcPr>
            <w:tcW w:w="5980" w:type="dxa"/>
            <w:tcBorders>
              <w:top w:val="single" w:color="auto" w:sz="4" w:space="0"/>
              <w:left w:val="single" w:color="auto" w:sz="4" w:space="0"/>
              <w:bottom w:val="single" w:color="auto" w:sz="4" w:space="0"/>
              <w:right w:val="single" w:color="auto" w:sz="4" w:space="0"/>
            </w:tcBorders>
            <w:vAlign w:val="center"/>
          </w:tcPr>
          <w:p w14:paraId="72D49635">
            <w:pPr>
              <w:adjustRightInd w:val="0"/>
              <w:spacing w:line="360" w:lineRule="auto"/>
              <w:textAlignment w:val="baseline"/>
              <w:rPr>
                <w:rFonts w:ascii="宋体" w:hAnsi="宋体"/>
                <w:color w:val="auto"/>
                <w:szCs w:val="21"/>
              </w:rPr>
            </w:pPr>
            <w:r>
              <w:rPr>
                <w:rFonts w:hint="eastAsia" w:ascii="宋体" w:hAnsi="宋体"/>
                <w:color w:val="auto"/>
              </w:rPr>
              <w:t>投标人自行登录</w:t>
            </w:r>
            <w:r>
              <w:rPr>
                <w:rFonts w:hint="eastAsia"/>
                <w:color w:val="auto"/>
              </w:rPr>
              <w:t>原公告发布媒体上下载和查看，</w:t>
            </w:r>
            <w:r>
              <w:rPr>
                <w:rFonts w:hint="eastAsia" w:ascii="宋体" w:hAnsi="宋体"/>
                <w:color w:val="auto"/>
              </w:rPr>
              <w:t>投标人无须回函确认</w:t>
            </w:r>
            <w:r>
              <w:rPr>
                <w:rFonts w:hint="eastAsia"/>
                <w:color w:val="auto"/>
              </w:rPr>
              <w:t>。</w:t>
            </w:r>
          </w:p>
        </w:tc>
      </w:tr>
      <w:tr w14:paraId="294278F3">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36353C19">
            <w:pPr>
              <w:adjustRightInd w:val="0"/>
              <w:spacing w:line="360" w:lineRule="auto"/>
              <w:jc w:val="center"/>
              <w:textAlignment w:val="baseline"/>
              <w:rPr>
                <w:rFonts w:ascii="宋体" w:hAnsi="宋体"/>
                <w:color w:val="auto"/>
                <w:szCs w:val="21"/>
              </w:rPr>
            </w:pPr>
            <w:r>
              <w:rPr>
                <w:rFonts w:ascii="宋体" w:hAnsi="宋体"/>
                <w:color w:val="auto"/>
                <w:szCs w:val="21"/>
              </w:rPr>
              <w:t>3.1</w:t>
            </w:r>
          </w:p>
        </w:tc>
        <w:tc>
          <w:tcPr>
            <w:tcW w:w="1925" w:type="dxa"/>
            <w:tcBorders>
              <w:top w:val="single" w:color="auto" w:sz="4" w:space="0"/>
              <w:left w:val="single" w:color="auto" w:sz="4" w:space="0"/>
              <w:bottom w:val="single" w:color="auto" w:sz="4" w:space="0"/>
              <w:right w:val="single" w:color="auto" w:sz="4" w:space="0"/>
            </w:tcBorders>
            <w:vAlign w:val="center"/>
          </w:tcPr>
          <w:p w14:paraId="1903A5D7">
            <w:pPr>
              <w:adjustRightInd w:val="0"/>
              <w:spacing w:line="360" w:lineRule="auto"/>
              <w:jc w:val="center"/>
              <w:textAlignment w:val="baseline"/>
              <w:rPr>
                <w:rFonts w:ascii="宋体" w:hAnsi="宋体"/>
                <w:color w:val="auto"/>
                <w:szCs w:val="21"/>
              </w:rPr>
            </w:pPr>
            <w:r>
              <w:rPr>
                <w:rFonts w:ascii="宋体" w:hAnsi="宋体"/>
                <w:color w:val="auto"/>
                <w:szCs w:val="21"/>
              </w:rPr>
              <w:t>构成投标文件的其他材料</w:t>
            </w:r>
          </w:p>
        </w:tc>
        <w:tc>
          <w:tcPr>
            <w:tcW w:w="5980" w:type="dxa"/>
            <w:tcBorders>
              <w:top w:val="single" w:color="auto" w:sz="4" w:space="0"/>
              <w:left w:val="single" w:color="auto" w:sz="4" w:space="0"/>
              <w:bottom w:val="single" w:color="auto" w:sz="4" w:space="0"/>
              <w:right w:val="single" w:color="auto" w:sz="4" w:space="0"/>
            </w:tcBorders>
            <w:vAlign w:val="center"/>
          </w:tcPr>
          <w:p w14:paraId="7E9EB71F">
            <w:pPr>
              <w:adjustRightInd w:val="0"/>
              <w:spacing w:line="360" w:lineRule="auto"/>
              <w:textAlignment w:val="baseline"/>
              <w:rPr>
                <w:rFonts w:ascii="宋体" w:hAnsi="宋体"/>
                <w:color w:val="auto"/>
                <w:szCs w:val="21"/>
              </w:rPr>
            </w:pPr>
            <w:r>
              <w:rPr>
                <w:rFonts w:hint="eastAsia" w:ascii="宋体" w:hAnsi="宋体"/>
                <w:color w:val="auto"/>
                <w:szCs w:val="21"/>
              </w:rPr>
              <w:t>详见须知3.1。</w:t>
            </w:r>
          </w:p>
        </w:tc>
      </w:tr>
      <w:tr w14:paraId="712CE802">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669192A2">
            <w:pPr>
              <w:adjustRightInd w:val="0"/>
              <w:spacing w:line="360" w:lineRule="auto"/>
              <w:jc w:val="center"/>
              <w:textAlignment w:val="baseline"/>
              <w:rPr>
                <w:rFonts w:ascii="宋体" w:hAnsi="宋体"/>
                <w:color w:val="auto"/>
                <w:szCs w:val="21"/>
              </w:rPr>
            </w:pPr>
            <w:r>
              <w:rPr>
                <w:rFonts w:hint="eastAsia" w:ascii="宋体" w:hAnsi="宋体"/>
                <w:color w:val="auto"/>
                <w:szCs w:val="21"/>
              </w:rPr>
              <w:t>3.2.1</w:t>
            </w:r>
          </w:p>
        </w:tc>
        <w:tc>
          <w:tcPr>
            <w:tcW w:w="1925" w:type="dxa"/>
            <w:tcBorders>
              <w:top w:val="single" w:color="auto" w:sz="4" w:space="0"/>
              <w:left w:val="single" w:color="auto" w:sz="4" w:space="0"/>
              <w:bottom w:val="single" w:color="auto" w:sz="4" w:space="0"/>
              <w:right w:val="single" w:color="auto" w:sz="4" w:space="0"/>
            </w:tcBorders>
            <w:vAlign w:val="center"/>
          </w:tcPr>
          <w:p w14:paraId="37CEA226">
            <w:pPr>
              <w:adjustRightInd w:val="0"/>
              <w:spacing w:line="360" w:lineRule="auto"/>
              <w:jc w:val="center"/>
              <w:textAlignment w:val="baseline"/>
              <w:rPr>
                <w:rFonts w:ascii="宋体" w:hAnsi="宋体"/>
                <w:color w:val="auto"/>
                <w:szCs w:val="21"/>
              </w:rPr>
            </w:pPr>
            <w:r>
              <w:rPr>
                <w:rFonts w:hint="eastAsia" w:ascii="宋体" w:hAnsi="宋体"/>
                <w:color w:val="auto"/>
                <w:szCs w:val="21"/>
              </w:rPr>
              <w:t>报价方式及说明</w:t>
            </w:r>
          </w:p>
        </w:tc>
        <w:tc>
          <w:tcPr>
            <w:tcW w:w="5980" w:type="dxa"/>
            <w:tcBorders>
              <w:top w:val="single" w:color="auto" w:sz="4" w:space="0"/>
              <w:left w:val="single" w:color="auto" w:sz="4" w:space="0"/>
              <w:bottom w:val="single" w:color="auto" w:sz="4" w:space="0"/>
              <w:right w:val="single" w:color="auto" w:sz="4" w:space="0"/>
            </w:tcBorders>
            <w:vAlign w:val="center"/>
          </w:tcPr>
          <w:p w14:paraId="7E86770B">
            <w:pPr>
              <w:adjustRightInd w:val="0"/>
              <w:spacing w:line="360" w:lineRule="auto"/>
              <w:textAlignment w:val="baseline"/>
              <w:rPr>
                <w:rFonts w:ascii="宋体" w:hAnsi="宋体"/>
                <w:b/>
                <w:bCs/>
                <w:color w:val="auto"/>
              </w:rPr>
            </w:pPr>
            <w:r>
              <w:rPr>
                <w:rFonts w:hint="eastAsia" w:ascii="宋体" w:hAnsi="宋体"/>
                <w:b/>
                <w:bCs/>
                <w:color w:val="auto"/>
              </w:rPr>
              <w:t>1、本项目采用含税包干价形式进行报价，投标人根据采购范围及采购需求，并依据市场竞争原则自行考虑完成本项目的所有费用。按照招标文件第六章投标文件格式填报总价和各项报价。</w:t>
            </w:r>
          </w:p>
          <w:p w14:paraId="224545EB">
            <w:pPr>
              <w:pStyle w:val="11"/>
              <w:rPr>
                <w:rFonts w:cs="Times New Roman"/>
                <w:b/>
                <w:bCs/>
                <w:color w:val="auto"/>
                <w:szCs w:val="24"/>
              </w:rPr>
            </w:pPr>
            <w:r>
              <w:rPr>
                <w:rFonts w:hint="eastAsia"/>
                <w:b/>
                <w:bCs/>
                <w:color w:val="auto"/>
              </w:rPr>
              <w:t>2、</w:t>
            </w:r>
            <w:r>
              <w:rPr>
                <w:rFonts w:hint="eastAsia" w:cs="Times New Roman"/>
                <w:b/>
                <w:bCs/>
                <w:color w:val="auto"/>
                <w:szCs w:val="24"/>
              </w:rPr>
              <w:t>报价：投标人所报的各项单价及合计总价不得高于最高限价，否则为无效标。</w:t>
            </w:r>
          </w:p>
          <w:p w14:paraId="28E0D828">
            <w:pPr>
              <w:pStyle w:val="11"/>
              <w:rPr>
                <w:rFonts w:cs="Times New Roman"/>
                <w:b/>
                <w:bCs/>
                <w:color w:val="auto"/>
                <w:szCs w:val="24"/>
              </w:rPr>
            </w:pPr>
            <w:r>
              <w:rPr>
                <w:rFonts w:hint="eastAsia" w:cs="Times New Roman"/>
                <w:b/>
                <w:bCs/>
                <w:color w:val="auto"/>
                <w:szCs w:val="24"/>
              </w:rPr>
              <w:t>本项目总价最高限价（含税）：</w:t>
            </w:r>
            <w:r>
              <w:rPr>
                <w:rFonts w:hint="eastAsia" w:cs="Times New Roman"/>
                <w:b/>
                <w:bCs/>
                <w:color w:val="auto"/>
                <w:szCs w:val="24"/>
                <w:lang w:val="en-US" w:eastAsia="zh-CN"/>
              </w:rPr>
              <w:t>1180000</w:t>
            </w:r>
            <w:r>
              <w:rPr>
                <w:rFonts w:hint="eastAsia" w:cs="Times New Roman"/>
                <w:b/>
                <w:bCs/>
                <w:color w:val="auto"/>
                <w:szCs w:val="24"/>
              </w:rPr>
              <w:t>.00元。</w:t>
            </w:r>
          </w:p>
          <w:p w14:paraId="6BCBCE17">
            <w:pPr>
              <w:adjustRightInd w:val="0"/>
              <w:spacing w:line="360" w:lineRule="auto"/>
              <w:textAlignment w:val="baseline"/>
              <w:rPr>
                <w:rFonts w:ascii="宋体" w:hAnsi="宋体"/>
                <w:b/>
                <w:bCs/>
                <w:color w:val="auto"/>
              </w:rPr>
            </w:pPr>
            <w:r>
              <w:rPr>
                <w:rFonts w:hint="eastAsia" w:ascii="宋体" w:hAnsi="宋体"/>
                <w:b/>
                <w:bCs/>
                <w:color w:val="auto"/>
              </w:rPr>
              <w:t>3、投标报价含货物价格（含利润）、货物运输、装卸、保险、税收、安装、调试、检验、培训、售后服务、中标服务费等所需全部费用，都应包括在投标总报价中，采购人不再另行支付。</w:t>
            </w:r>
          </w:p>
          <w:p w14:paraId="3C7AD37D">
            <w:pPr>
              <w:adjustRightInd w:val="0"/>
              <w:spacing w:line="360" w:lineRule="auto"/>
              <w:textAlignment w:val="baseline"/>
              <w:rPr>
                <w:rFonts w:ascii="宋体" w:hAnsi="宋体"/>
                <w:color w:val="auto"/>
              </w:rPr>
            </w:pPr>
            <w:r>
              <w:rPr>
                <w:rFonts w:hint="eastAsia" w:ascii="宋体" w:hAnsi="宋体"/>
                <w:b/>
                <w:bCs/>
                <w:color w:val="auto"/>
              </w:rPr>
              <w:t>4、</w:t>
            </w:r>
            <w:r>
              <w:rPr>
                <w:rFonts w:hint="eastAsia" w:ascii="宋体" w:hAnsi="宋体"/>
                <w:b/>
                <w:color w:val="auto"/>
                <w:szCs w:val="21"/>
              </w:rPr>
              <w:t>此报价在合同履行期间不能调整。</w:t>
            </w:r>
          </w:p>
        </w:tc>
      </w:tr>
      <w:tr w14:paraId="7F27DDD7">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509036C6">
            <w:pPr>
              <w:adjustRightInd w:val="0"/>
              <w:spacing w:line="360" w:lineRule="auto"/>
              <w:jc w:val="center"/>
              <w:textAlignment w:val="baseline"/>
              <w:rPr>
                <w:rFonts w:ascii="宋体" w:hAnsi="宋体"/>
                <w:color w:val="auto"/>
                <w:szCs w:val="21"/>
              </w:rPr>
            </w:pPr>
            <w:r>
              <w:rPr>
                <w:rFonts w:ascii="宋体" w:hAnsi="宋体"/>
                <w:color w:val="auto"/>
                <w:szCs w:val="21"/>
              </w:rPr>
              <w:t>3.3</w:t>
            </w:r>
            <w:r>
              <w:rPr>
                <w:rFonts w:hint="eastAsia" w:ascii="宋体" w:hAnsi="宋体"/>
                <w:color w:val="auto"/>
                <w:szCs w:val="21"/>
              </w:rPr>
              <w:t>.1</w:t>
            </w:r>
          </w:p>
        </w:tc>
        <w:tc>
          <w:tcPr>
            <w:tcW w:w="1925" w:type="dxa"/>
            <w:tcBorders>
              <w:top w:val="single" w:color="auto" w:sz="4" w:space="0"/>
              <w:left w:val="single" w:color="auto" w:sz="4" w:space="0"/>
              <w:bottom w:val="single" w:color="auto" w:sz="4" w:space="0"/>
              <w:right w:val="single" w:color="auto" w:sz="4" w:space="0"/>
            </w:tcBorders>
            <w:vAlign w:val="center"/>
          </w:tcPr>
          <w:p w14:paraId="787A4EDD">
            <w:pPr>
              <w:adjustRightInd w:val="0"/>
              <w:spacing w:line="360" w:lineRule="auto"/>
              <w:jc w:val="center"/>
              <w:textAlignment w:val="baseline"/>
              <w:rPr>
                <w:rFonts w:ascii="宋体" w:hAnsi="宋体"/>
                <w:color w:val="auto"/>
                <w:szCs w:val="21"/>
              </w:rPr>
            </w:pPr>
            <w:r>
              <w:rPr>
                <w:rFonts w:ascii="宋体" w:hAnsi="宋体"/>
                <w:color w:val="auto"/>
                <w:szCs w:val="21"/>
              </w:rPr>
              <w:t>投标有效期</w:t>
            </w:r>
          </w:p>
        </w:tc>
        <w:tc>
          <w:tcPr>
            <w:tcW w:w="5980" w:type="dxa"/>
            <w:tcBorders>
              <w:top w:val="single" w:color="auto" w:sz="4" w:space="0"/>
              <w:left w:val="single" w:color="auto" w:sz="4" w:space="0"/>
              <w:bottom w:val="single" w:color="auto" w:sz="4" w:space="0"/>
              <w:right w:val="single" w:color="auto" w:sz="4" w:space="0"/>
            </w:tcBorders>
            <w:vAlign w:val="center"/>
          </w:tcPr>
          <w:p w14:paraId="364625C0">
            <w:pPr>
              <w:adjustRightInd w:val="0"/>
              <w:spacing w:line="360" w:lineRule="auto"/>
              <w:textAlignment w:val="baseline"/>
              <w:rPr>
                <w:rFonts w:ascii="宋体" w:hAnsi="宋体"/>
                <w:color w:val="auto"/>
                <w:szCs w:val="21"/>
              </w:rPr>
            </w:pPr>
            <w:r>
              <w:rPr>
                <w:rFonts w:hint="eastAsia" w:ascii="宋体" w:hAnsi="宋体"/>
                <w:color w:val="auto"/>
                <w:szCs w:val="21"/>
              </w:rPr>
              <w:t>投标截止时间起90日历天</w:t>
            </w:r>
          </w:p>
        </w:tc>
      </w:tr>
      <w:tr w14:paraId="079EAA8A">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0EE4E6BC">
            <w:pPr>
              <w:adjustRightInd w:val="0"/>
              <w:spacing w:line="360" w:lineRule="auto"/>
              <w:jc w:val="center"/>
              <w:textAlignment w:val="baseline"/>
              <w:rPr>
                <w:rFonts w:ascii="宋体" w:hAnsi="宋体"/>
                <w:color w:val="auto"/>
                <w:szCs w:val="21"/>
              </w:rPr>
            </w:pPr>
            <w:r>
              <w:rPr>
                <w:rFonts w:ascii="宋体" w:hAnsi="宋体"/>
                <w:color w:val="auto"/>
                <w:szCs w:val="21"/>
              </w:rPr>
              <w:t>3.4.1</w:t>
            </w:r>
          </w:p>
        </w:tc>
        <w:tc>
          <w:tcPr>
            <w:tcW w:w="1925" w:type="dxa"/>
            <w:tcBorders>
              <w:top w:val="single" w:color="auto" w:sz="4" w:space="0"/>
              <w:left w:val="single" w:color="auto" w:sz="4" w:space="0"/>
              <w:bottom w:val="single" w:color="auto" w:sz="4" w:space="0"/>
              <w:right w:val="single" w:color="auto" w:sz="4" w:space="0"/>
            </w:tcBorders>
            <w:vAlign w:val="center"/>
          </w:tcPr>
          <w:p w14:paraId="45A1A7DE">
            <w:pPr>
              <w:adjustRightInd w:val="0"/>
              <w:spacing w:line="360" w:lineRule="auto"/>
              <w:jc w:val="center"/>
              <w:textAlignment w:val="baseline"/>
              <w:rPr>
                <w:rFonts w:ascii="宋体" w:hAnsi="宋体"/>
                <w:color w:val="auto"/>
                <w:szCs w:val="21"/>
              </w:rPr>
            </w:pPr>
            <w:r>
              <w:rPr>
                <w:rFonts w:ascii="宋体" w:hAnsi="宋体"/>
                <w:color w:val="auto"/>
                <w:szCs w:val="21"/>
              </w:rPr>
              <w:t>投标保证金</w:t>
            </w:r>
          </w:p>
        </w:tc>
        <w:tc>
          <w:tcPr>
            <w:tcW w:w="5980" w:type="dxa"/>
            <w:tcBorders>
              <w:top w:val="single" w:color="auto" w:sz="4" w:space="0"/>
              <w:left w:val="single" w:color="auto" w:sz="4" w:space="0"/>
              <w:bottom w:val="single" w:color="auto" w:sz="4" w:space="0"/>
              <w:right w:val="single" w:color="auto" w:sz="4" w:space="0"/>
            </w:tcBorders>
            <w:vAlign w:val="center"/>
          </w:tcPr>
          <w:p w14:paraId="07B56D65">
            <w:pPr>
              <w:numPr>
                <w:ilvl w:val="0"/>
                <w:numId w:val="2"/>
              </w:numPr>
              <w:spacing w:line="360" w:lineRule="auto"/>
              <w:rPr>
                <w:rFonts w:ascii="宋体" w:hAnsi="宋体"/>
                <w:b/>
                <w:bCs/>
                <w:color w:val="auto"/>
                <w:szCs w:val="21"/>
              </w:rPr>
            </w:pPr>
            <w:r>
              <w:rPr>
                <w:rFonts w:hint="eastAsia" w:ascii="宋体" w:hAnsi="宋体"/>
                <w:color w:val="auto"/>
                <w:szCs w:val="21"/>
              </w:rPr>
              <w:t>投标保证金的金额：</w:t>
            </w:r>
            <w:r>
              <w:rPr>
                <w:rFonts w:hint="eastAsia" w:ascii="宋体" w:hAnsi="宋体"/>
                <w:color w:val="auto"/>
                <w:szCs w:val="21"/>
                <w:lang w:val="en-US" w:eastAsia="zh-CN"/>
              </w:rPr>
              <w:t>10</w:t>
            </w:r>
            <w:r>
              <w:rPr>
                <w:rFonts w:hint="eastAsia" w:ascii="宋体" w:hAnsi="宋体"/>
                <w:color w:val="auto"/>
                <w:szCs w:val="21"/>
              </w:rPr>
              <w:t>000.00元</w:t>
            </w:r>
          </w:p>
          <w:p w14:paraId="27428916">
            <w:pPr>
              <w:numPr>
                <w:ilvl w:val="0"/>
                <w:numId w:val="2"/>
              </w:numPr>
              <w:spacing w:line="360" w:lineRule="auto"/>
              <w:rPr>
                <w:rFonts w:ascii="宋体" w:hAnsi="宋体"/>
                <w:color w:val="auto"/>
                <w:szCs w:val="21"/>
              </w:rPr>
            </w:pPr>
            <w:r>
              <w:rPr>
                <w:rFonts w:hint="eastAsia" w:ascii="宋体" w:hAnsi="宋体"/>
                <w:color w:val="auto"/>
                <w:szCs w:val="21"/>
              </w:rPr>
              <w:t>账户名称：云南哲崇项目管理有限公司</w:t>
            </w:r>
          </w:p>
          <w:p w14:paraId="00524462">
            <w:pPr>
              <w:spacing w:line="360" w:lineRule="auto"/>
              <w:rPr>
                <w:rFonts w:ascii="宋体" w:hAnsi="宋体"/>
                <w:color w:val="auto"/>
                <w:szCs w:val="21"/>
              </w:rPr>
            </w:pPr>
            <w:r>
              <w:rPr>
                <w:rFonts w:hint="eastAsia" w:ascii="宋体" w:hAnsi="宋体"/>
                <w:color w:val="auto"/>
                <w:szCs w:val="21"/>
              </w:rPr>
              <w:t>(3)开 户 行：中国工商银行股份有限公司香格里拉长征北路支行</w:t>
            </w:r>
          </w:p>
          <w:p w14:paraId="0E2673EF">
            <w:pPr>
              <w:spacing w:line="360" w:lineRule="auto"/>
              <w:rPr>
                <w:rFonts w:ascii="宋体" w:hAnsi="宋体"/>
                <w:color w:val="auto"/>
                <w:szCs w:val="21"/>
              </w:rPr>
            </w:pPr>
            <w:r>
              <w:rPr>
                <w:rFonts w:hint="eastAsia" w:ascii="宋体" w:hAnsi="宋体"/>
                <w:color w:val="auto"/>
                <w:szCs w:val="21"/>
              </w:rPr>
              <w:t>(4)账    号：2514024609200068250</w:t>
            </w:r>
          </w:p>
          <w:p w14:paraId="2E1A12C5">
            <w:pPr>
              <w:spacing w:line="360" w:lineRule="auto"/>
              <w:rPr>
                <w:rFonts w:ascii="宋体" w:hAnsi="宋体"/>
                <w:color w:val="auto"/>
                <w:szCs w:val="21"/>
              </w:rPr>
            </w:pPr>
            <w:r>
              <w:rPr>
                <w:rFonts w:hint="eastAsia" w:ascii="宋体" w:hAnsi="宋体"/>
                <w:color w:val="auto"/>
                <w:szCs w:val="21"/>
              </w:rPr>
              <w:t>(5)提交截止时间：同投标文件递交截止时间</w:t>
            </w:r>
          </w:p>
          <w:p w14:paraId="4F12DEC7">
            <w:pPr>
              <w:spacing w:line="360" w:lineRule="auto"/>
              <w:rPr>
                <w:rFonts w:ascii="宋体" w:hAnsi="宋体"/>
                <w:color w:val="auto"/>
                <w:szCs w:val="21"/>
              </w:rPr>
            </w:pPr>
            <w:r>
              <w:rPr>
                <w:rFonts w:hint="eastAsia" w:ascii="宋体" w:hAnsi="宋体"/>
                <w:color w:val="auto"/>
                <w:szCs w:val="21"/>
              </w:rPr>
              <w:t>(6)提交方式：支票、汇票、本票、保函、银行转账、电汇等非现金形式</w:t>
            </w:r>
          </w:p>
          <w:p w14:paraId="6B7E4C89">
            <w:pPr>
              <w:spacing w:line="360" w:lineRule="auto"/>
              <w:rPr>
                <w:rFonts w:ascii="宋体" w:hAnsi="宋体"/>
                <w:color w:val="auto"/>
                <w:szCs w:val="21"/>
              </w:rPr>
            </w:pPr>
            <w:r>
              <w:rPr>
                <w:rFonts w:hint="eastAsia" w:ascii="宋体" w:hAnsi="宋体"/>
                <w:color w:val="auto"/>
                <w:szCs w:val="21"/>
              </w:rPr>
              <w:t>(7)有效期限：投标保证金在投标有效期内保持有效</w:t>
            </w:r>
          </w:p>
          <w:p w14:paraId="6BEF0EA0">
            <w:pPr>
              <w:spacing w:line="360" w:lineRule="auto"/>
              <w:rPr>
                <w:rFonts w:ascii="宋体" w:hAnsi="宋体"/>
                <w:color w:val="auto"/>
                <w:szCs w:val="21"/>
              </w:rPr>
            </w:pPr>
            <w:r>
              <w:rPr>
                <w:rFonts w:hint="eastAsia" w:ascii="宋体" w:hAnsi="宋体"/>
                <w:color w:val="auto"/>
                <w:szCs w:val="21"/>
              </w:rPr>
              <w:t>(8)注意事项：</w:t>
            </w:r>
          </w:p>
          <w:p w14:paraId="6C23D708">
            <w:pPr>
              <w:spacing w:line="360" w:lineRule="auto"/>
              <w:rPr>
                <w:rFonts w:ascii="宋体" w:hAnsi="宋体"/>
                <w:color w:val="auto"/>
                <w:szCs w:val="21"/>
              </w:rPr>
            </w:pPr>
            <w:r>
              <w:rPr>
                <w:rFonts w:hint="eastAsia" w:ascii="宋体" w:hAnsi="宋体"/>
                <w:color w:val="auto"/>
                <w:szCs w:val="21"/>
              </w:rPr>
              <w:t>在保证金“摘要”一栏和“用途”一栏里注明“投标保证金”；在“备注”一栏里注明“项目名称”。</w:t>
            </w:r>
          </w:p>
          <w:p w14:paraId="14CF24D5">
            <w:pPr>
              <w:spacing w:line="360" w:lineRule="auto"/>
              <w:rPr>
                <w:rFonts w:ascii="宋体" w:hAnsi="宋体"/>
                <w:color w:val="auto"/>
                <w:szCs w:val="21"/>
              </w:rPr>
            </w:pPr>
            <w:r>
              <w:rPr>
                <w:rFonts w:hint="eastAsia" w:ascii="宋体" w:hAnsi="宋体"/>
                <w:color w:val="auto"/>
                <w:szCs w:val="21"/>
              </w:rPr>
              <w:t>(9)投标保证金的退还要求：</w:t>
            </w:r>
          </w:p>
          <w:p w14:paraId="24777C08">
            <w:pPr>
              <w:spacing w:line="360" w:lineRule="auto"/>
              <w:rPr>
                <w:rFonts w:ascii="宋体" w:hAnsi="宋体"/>
                <w:color w:val="auto"/>
                <w:szCs w:val="21"/>
              </w:rPr>
            </w:pPr>
            <w:r>
              <w:rPr>
                <w:rFonts w:hint="eastAsia" w:ascii="宋体" w:hAnsi="宋体"/>
                <w:color w:val="auto"/>
                <w:szCs w:val="21"/>
              </w:rPr>
              <w:t>①未中标人的投标保证金在中标通知书发出之日起5个工作日内退还；由采购代理机构财务部直接办理投标保证金的退还事宜，未中标人无需到采购代理机构现场办理；</w:t>
            </w:r>
          </w:p>
          <w:p w14:paraId="0317D968">
            <w:pPr>
              <w:spacing w:line="360" w:lineRule="auto"/>
              <w:rPr>
                <w:rFonts w:ascii="宋体" w:hAnsi="宋体"/>
                <w:color w:val="auto"/>
                <w:szCs w:val="21"/>
              </w:rPr>
            </w:pPr>
            <w:r>
              <w:rPr>
                <w:rFonts w:hint="eastAsia" w:ascii="宋体" w:hAnsi="宋体"/>
                <w:color w:val="auto"/>
                <w:szCs w:val="21"/>
              </w:rPr>
              <w:t>②中标人的投标保证金自采购合同签订之日起5个工作日内退还中标人的投标保证金；请中标人及时将与采购人签订的合同书扫描件发至采购代理机构，由采购代理机构财务部直接办理投标保证金的退还事宜，中标人无需到采购代理机构现场办理。</w:t>
            </w:r>
          </w:p>
        </w:tc>
      </w:tr>
      <w:tr w14:paraId="3668EC40">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45622F15">
            <w:pPr>
              <w:adjustRightInd w:val="0"/>
              <w:spacing w:line="360" w:lineRule="auto"/>
              <w:jc w:val="center"/>
              <w:textAlignment w:val="baseline"/>
              <w:rPr>
                <w:rFonts w:ascii="宋体" w:hAnsi="宋体"/>
                <w:color w:val="auto"/>
                <w:szCs w:val="21"/>
              </w:rPr>
            </w:pPr>
            <w:r>
              <w:rPr>
                <w:rFonts w:ascii="宋体" w:hAnsi="宋体"/>
                <w:color w:val="auto"/>
                <w:szCs w:val="21"/>
              </w:rPr>
              <w:t>3.</w:t>
            </w:r>
            <w:r>
              <w:rPr>
                <w:rFonts w:hint="eastAsia" w:ascii="宋体" w:hAnsi="宋体"/>
                <w:color w:val="auto"/>
                <w:szCs w:val="21"/>
              </w:rPr>
              <w:t>6</w:t>
            </w:r>
          </w:p>
        </w:tc>
        <w:tc>
          <w:tcPr>
            <w:tcW w:w="1925" w:type="dxa"/>
            <w:tcBorders>
              <w:top w:val="single" w:color="auto" w:sz="4" w:space="0"/>
              <w:left w:val="single" w:color="auto" w:sz="4" w:space="0"/>
              <w:bottom w:val="single" w:color="auto" w:sz="4" w:space="0"/>
              <w:right w:val="single" w:color="auto" w:sz="4" w:space="0"/>
            </w:tcBorders>
            <w:vAlign w:val="center"/>
          </w:tcPr>
          <w:p w14:paraId="1F5059A5">
            <w:pPr>
              <w:adjustRightInd w:val="0"/>
              <w:spacing w:line="360" w:lineRule="auto"/>
              <w:jc w:val="center"/>
              <w:textAlignment w:val="baseline"/>
              <w:rPr>
                <w:rFonts w:ascii="宋体" w:hAnsi="宋体"/>
                <w:color w:val="auto"/>
                <w:szCs w:val="21"/>
              </w:rPr>
            </w:pPr>
            <w:r>
              <w:rPr>
                <w:rFonts w:ascii="宋体" w:hAnsi="宋体"/>
                <w:color w:val="auto"/>
                <w:szCs w:val="21"/>
              </w:rPr>
              <w:t>是否允许</w:t>
            </w:r>
            <w:r>
              <w:rPr>
                <w:rFonts w:hint="eastAsia" w:ascii="宋体" w:hAnsi="宋体"/>
                <w:color w:val="auto"/>
                <w:szCs w:val="21"/>
              </w:rPr>
              <w:t>递交备</w:t>
            </w:r>
            <w:r>
              <w:rPr>
                <w:rFonts w:ascii="宋体" w:hAnsi="宋体"/>
                <w:color w:val="auto"/>
                <w:szCs w:val="21"/>
              </w:rPr>
              <w:t>选投标方案</w:t>
            </w:r>
          </w:p>
        </w:tc>
        <w:tc>
          <w:tcPr>
            <w:tcW w:w="5980" w:type="dxa"/>
            <w:tcBorders>
              <w:top w:val="single" w:color="auto" w:sz="4" w:space="0"/>
              <w:left w:val="single" w:color="auto" w:sz="4" w:space="0"/>
              <w:bottom w:val="single" w:color="auto" w:sz="4" w:space="0"/>
              <w:right w:val="single" w:color="auto" w:sz="4" w:space="0"/>
            </w:tcBorders>
            <w:vAlign w:val="center"/>
          </w:tcPr>
          <w:p w14:paraId="5DFD840D">
            <w:pPr>
              <w:spacing w:line="360" w:lineRule="auto"/>
              <w:rPr>
                <w:rFonts w:ascii="宋体" w:hAnsi="宋体"/>
                <w:color w:val="auto"/>
                <w:szCs w:val="21"/>
              </w:rPr>
            </w:pPr>
            <w:r>
              <w:rPr>
                <w:rFonts w:hint="eastAsia" w:ascii="宋体" w:hAnsi="宋体"/>
                <w:color w:val="auto"/>
                <w:szCs w:val="21"/>
              </w:rPr>
              <w:t>不允许。</w:t>
            </w:r>
          </w:p>
        </w:tc>
      </w:tr>
      <w:tr w14:paraId="31E142CB">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47D3F4AD">
            <w:pPr>
              <w:widowControl/>
              <w:spacing w:line="360" w:lineRule="auto"/>
              <w:jc w:val="center"/>
              <w:rPr>
                <w:rFonts w:ascii="宋体" w:hAnsi="宋体" w:cs="宋体"/>
                <w:color w:val="auto"/>
                <w:kern w:val="0"/>
                <w:szCs w:val="21"/>
              </w:rPr>
            </w:pPr>
            <w:r>
              <w:rPr>
                <w:rFonts w:hint="eastAsia" w:ascii="宋体" w:hAnsi="宋体" w:cs="宋体"/>
                <w:color w:val="auto"/>
                <w:kern w:val="0"/>
                <w:szCs w:val="21"/>
              </w:rPr>
              <w:t>3.7.1</w:t>
            </w:r>
          </w:p>
        </w:tc>
        <w:tc>
          <w:tcPr>
            <w:tcW w:w="1925" w:type="dxa"/>
            <w:tcBorders>
              <w:top w:val="single" w:color="auto" w:sz="4" w:space="0"/>
              <w:left w:val="single" w:color="auto" w:sz="4" w:space="0"/>
              <w:bottom w:val="single" w:color="auto" w:sz="4" w:space="0"/>
              <w:right w:val="single" w:color="auto" w:sz="4" w:space="0"/>
            </w:tcBorders>
            <w:vAlign w:val="center"/>
          </w:tcPr>
          <w:p w14:paraId="7CFFB376">
            <w:pPr>
              <w:widowControl/>
              <w:spacing w:line="360" w:lineRule="auto"/>
              <w:jc w:val="center"/>
              <w:rPr>
                <w:rFonts w:ascii="宋体" w:hAnsi="宋体" w:cs="宋体"/>
                <w:color w:val="auto"/>
                <w:kern w:val="0"/>
                <w:szCs w:val="21"/>
              </w:rPr>
            </w:pPr>
            <w:r>
              <w:rPr>
                <w:rFonts w:hint="eastAsia" w:ascii="宋体" w:hAnsi="宋体" w:cs="宋体"/>
                <w:color w:val="auto"/>
                <w:kern w:val="0"/>
                <w:szCs w:val="21"/>
              </w:rPr>
              <w:t>投标文件格式</w:t>
            </w:r>
          </w:p>
        </w:tc>
        <w:tc>
          <w:tcPr>
            <w:tcW w:w="5980" w:type="dxa"/>
            <w:tcBorders>
              <w:top w:val="single" w:color="auto" w:sz="4" w:space="0"/>
              <w:left w:val="single" w:color="auto" w:sz="4" w:space="0"/>
              <w:bottom w:val="single" w:color="auto" w:sz="4" w:space="0"/>
              <w:right w:val="single" w:color="auto" w:sz="4" w:space="0"/>
            </w:tcBorders>
            <w:vAlign w:val="center"/>
          </w:tcPr>
          <w:p w14:paraId="7F555B62">
            <w:pPr>
              <w:autoSpaceDE w:val="0"/>
              <w:autoSpaceDN w:val="0"/>
              <w:adjustRightInd w:val="0"/>
              <w:spacing w:line="360" w:lineRule="auto"/>
              <w:jc w:val="left"/>
              <w:rPr>
                <w:rFonts w:ascii="宋体" w:hAnsi="宋体" w:cs="宋?"/>
                <w:color w:val="auto"/>
                <w:kern w:val="0"/>
                <w:szCs w:val="21"/>
              </w:rPr>
            </w:pPr>
            <w:r>
              <w:rPr>
                <w:rFonts w:hint="eastAsia" w:ascii="宋体" w:hAnsi="宋体" w:cs="宋?"/>
                <w:color w:val="auto"/>
                <w:kern w:val="0"/>
                <w:szCs w:val="21"/>
              </w:rPr>
              <w:t>1.投标文件电子版要求：按照本采购文件“第六章投标文件部分格式”编写（第六章未附格式的，由投标人自行拟定），不可涂改并在规定加盖公章处加盖电子公章，否则投标文件按无效投标处理。</w:t>
            </w:r>
          </w:p>
          <w:p w14:paraId="18989AA5">
            <w:pPr>
              <w:widowControl/>
              <w:wordWrap w:val="0"/>
              <w:spacing w:line="360" w:lineRule="auto"/>
              <w:rPr>
                <w:rFonts w:ascii="宋体" w:hAnsi="宋体" w:cs="宋体"/>
                <w:color w:val="auto"/>
                <w:kern w:val="0"/>
                <w:szCs w:val="21"/>
              </w:rPr>
            </w:pPr>
            <w:r>
              <w:rPr>
                <w:rFonts w:hint="eastAsia" w:ascii="宋体" w:hAnsi="宋体" w:cs="宋?"/>
                <w:color w:val="auto"/>
                <w:kern w:val="0"/>
                <w:szCs w:val="21"/>
              </w:rPr>
              <w:t>2.投标文件电子版密封方式：电子投标文件通过平台有效CA加密后在“政采云”平台投送。（操作方式见“政采云”平台中《政府采购项目电子交易管理操作指南-供应商》 ）</w:t>
            </w:r>
          </w:p>
        </w:tc>
      </w:tr>
      <w:tr w14:paraId="118E9E9F">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49360DED">
            <w:pPr>
              <w:widowControl/>
              <w:wordWrap w:val="0"/>
              <w:spacing w:line="360" w:lineRule="auto"/>
              <w:jc w:val="center"/>
              <w:rPr>
                <w:rFonts w:ascii="宋体" w:hAnsi="宋体" w:cs="宋体"/>
                <w:color w:val="auto"/>
                <w:kern w:val="0"/>
                <w:szCs w:val="21"/>
              </w:rPr>
            </w:pPr>
            <w:r>
              <w:rPr>
                <w:rFonts w:hint="eastAsia" w:ascii="宋体" w:hAnsi="宋体" w:cs="宋体"/>
                <w:color w:val="auto"/>
                <w:kern w:val="0"/>
                <w:szCs w:val="21"/>
              </w:rPr>
              <w:t>3.7.3</w:t>
            </w:r>
          </w:p>
        </w:tc>
        <w:tc>
          <w:tcPr>
            <w:tcW w:w="1925" w:type="dxa"/>
            <w:tcBorders>
              <w:top w:val="single" w:color="auto" w:sz="4" w:space="0"/>
              <w:left w:val="single" w:color="auto" w:sz="4" w:space="0"/>
              <w:bottom w:val="single" w:color="auto" w:sz="4" w:space="0"/>
              <w:right w:val="single" w:color="auto" w:sz="4" w:space="0"/>
            </w:tcBorders>
            <w:vAlign w:val="center"/>
          </w:tcPr>
          <w:p w14:paraId="17E555F8">
            <w:pPr>
              <w:widowControl/>
              <w:spacing w:line="360" w:lineRule="auto"/>
              <w:jc w:val="center"/>
              <w:rPr>
                <w:rFonts w:ascii="宋体" w:hAnsi="宋体" w:cs="宋体"/>
                <w:color w:val="auto"/>
                <w:kern w:val="0"/>
                <w:szCs w:val="21"/>
              </w:rPr>
            </w:pPr>
            <w:r>
              <w:rPr>
                <w:rFonts w:hint="eastAsia" w:ascii="宋体" w:hAnsi="宋体" w:cs="宋?"/>
                <w:color w:val="auto"/>
                <w:kern w:val="0"/>
                <w:szCs w:val="21"/>
              </w:rPr>
              <w:t>签字或盖章要求</w:t>
            </w:r>
          </w:p>
        </w:tc>
        <w:tc>
          <w:tcPr>
            <w:tcW w:w="5980" w:type="dxa"/>
            <w:tcBorders>
              <w:top w:val="single" w:color="auto" w:sz="4" w:space="0"/>
              <w:left w:val="single" w:color="auto" w:sz="4" w:space="0"/>
              <w:bottom w:val="single" w:color="auto" w:sz="4" w:space="0"/>
              <w:right w:val="single" w:color="auto" w:sz="4" w:space="0"/>
            </w:tcBorders>
            <w:vAlign w:val="center"/>
          </w:tcPr>
          <w:p w14:paraId="09AA241E">
            <w:pPr>
              <w:widowControl/>
              <w:wordWrap w:val="0"/>
              <w:spacing w:line="360" w:lineRule="auto"/>
              <w:jc w:val="left"/>
              <w:rPr>
                <w:rFonts w:ascii="宋体" w:hAnsi="宋体" w:cs="宋体"/>
                <w:color w:val="auto"/>
                <w:kern w:val="0"/>
                <w:szCs w:val="21"/>
              </w:rPr>
            </w:pPr>
            <w:r>
              <w:rPr>
                <w:rFonts w:hint="eastAsia" w:ascii="宋体" w:hAnsi="宋体" w:cs="宋体"/>
                <w:color w:val="auto"/>
                <w:kern w:val="0"/>
                <w:szCs w:val="21"/>
              </w:rPr>
              <w:t>按照投标文件格式，采用单位数字证书电子签章和个人数字证书电子签章（或电子签名）。</w:t>
            </w:r>
          </w:p>
        </w:tc>
      </w:tr>
      <w:tr w14:paraId="66F754F7">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0B26F36A">
            <w:pPr>
              <w:widowControl/>
              <w:wordWrap w:val="0"/>
              <w:spacing w:line="360" w:lineRule="auto"/>
              <w:jc w:val="center"/>
              <w:rPr>
                <w:rFonts w:ascii="宋体" w:hAnsi="宋体" w:cs="宋体"/>
                <w:color w:val="auto"/>
                <w:kern w:val="0"/>
                <w:szCs w:val="21"/>
              </w:rPr>
            </w:pPr>
            <w:r>
              <w:rPr>
                <w:rFonts w:hint="eastAsia" w:ascii="宋体" w:hAnsi="宋体" w:cs="宋体"/>
                <w:color w:val="auto"/>
                <w:kern w:val="0"/>
                <w:szCs w:val="21"/>
              </w:rPr>
              <w:t>3.7.4</w:t>
            </w:r>
          </w:p>
        </w:tc>
        <w:tc>
          <w:tcPr>
            <w:tcW w:w="1925" w:type="dxa"/>
            <w:tcBorders>
              <w:top w:val="single" w:color="auto" w:sz="4" w:space="0"/>
              <w:left w:val="single" w:color="auto" w:sz="4" w:space="0"/>
              <w:bottom w:val="single" w:color="auto" w:sz="4" w:space="0"/>
              <w:right w:val="single" w:color="auto" w:sz="4" w:space="0"/>
            </w:tcBorders>
            <w:vAlign w:val="center"/>
          </w:tcPr>
          <w:p w14:paraId="11065ADD">
            <w:pPr>
              <w:adjustRightInd w:val="0"/>
              <w:spacing w:line="360" w:lineRule="auto"/>
              <w:jc w:val="center"/>
              <w:textAlignment w:val="baseline"/>
              <w:rPr>
                <w:rFonts w:ascii="宋体" w:hAnsi="宋体" w:cs="宋体"/>
                <w:color w:val="auto"/>
                <w:kern w:val="0"/>
                <w:szCs w:val="21"/>
              </w:rPr>
            </w:pPr>
            <w:r>
              <w:rPr>
                <w:rFonts w:hint="eastAsia" w:ascii="宋体" w:hAnsi="宋体"/>
                <w:color w:val="auto"/>
              </w:rPr>
              <w:t>投标文件编制方法</w:t>
            </w:r>
          </w:p>
        </w:tc>
        <w:tc>
          <w:tcPr>
            <w:tcW w:w="5980" w:type="dxa"/>
            <w:tcBorders>
              <w:top w:val="single" w:color="auto" w:sz="4" w:space="0"/>
              <w:left w:val="single" w:color="auto" w:sz="4" w:space="0"/>
              <w:bottom w:val="single" w:color="auto" w:sz="4" w:space="0"/>
              <w:right w:val="single" w:color="auto" w:sz="4" w:space="0"/>
            </w:tcBorders>
            <w:vAlign w:val="center"/>
          </w:tcPr>
          <w:p w14:paraId="362D53D9">
            <w:pPr>
              <w:adjustRightInd w:val="0"/>
              <w:spacing w:line="360" w:lineRule="auto"/>
              <w:textAlignment w:val="baseline"/>
              <w:rPr>
                <w:rFonts w:ascii="宋体" w:hAnsi="宋体" w:cs="宋体"/>
                <w:color w:val="auto"/>
                <w:kern w:val="0"/>
                <w:szCs w:val="21"/>
              </w:rPr>
            </w:pPr>
            <w:r>
              <w:rPr>
                <w:rFonts w:hint="eastAsia"/>
                <w:color w:val="auto"/>
              </w:rPr>
              <w:t>详见“政采云”平台中《政府采购项目电子交易管理操作指南-供应商》”。</w:t>
            </w:r>
          </w:p>
        </w:tc>
      </w:tr>
      <w:tr w14:paraId="65233797">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1CD0F274">
            <w:pPr>
              <w:widowControl/>
              <w:wordWrap w:val="0"/>
              <w:spacing w:line="360" w:lineRule="auto"/>
              <w:jc w:val="center"/>
              <w:rPr>
                <w:rFonts w:ascii="宋体" w:hAnsi="宋体" w:cs="宋体"/>
                <w:color w:val="auto"/>
                <w:kern w:val="0"/>
                <w:szCs w:val="21"/>
              </w:rPr>
            </w:pPr>
            <w:r>
              <w:rPr>
                <w:rFonts w:hint="eastAsia" w:ascii="宋体" w:hAnsi="宋体" w:cs="宋体"/>
                <w:color w:val="auto"/>
                <w:kern w:val="0"/>
                <w:szCs w:val="21"/>
              </w:rPr>
              <w:t>3.7.5</w:t>
            </w:r>
          </w:p>
        </w:tc>
        <w:tc>
          <w:tcPr>
            <w:tcW w:w="1925" w:type="dxa"/>
            <w:tcBorders>
              <w:top w:val="single" w:color="auto" w:sz="4" w:space="0"/>
              <w:left w:val="single" w:color="auto" w:sz="4" w:space="0"/>
              <w:bottom w:val="single" w:color="auto" w:sz="4" w:space="0"/>
              <w:right w:val="single" w:color="auto" w:sz="4" w:space="0"/>
            </w:tcBorders>
            <w:vAlign w:val="center"/>
          </w:tcPr>
          <w:p w14:paraId="67AB3035">
            <w:pPr>
              <w:adjustRightInd w:val="0"/>
              <w:spacing w:line="360" w:lineRule="auto"/>
              <w:jc w:val="center"/>
              <w:textAlignment w:val="baseline"/>
              <w:rPr>
                <w:rFonts w:ascii="宋体" w:hAnsi="宋体"/>
                <w:color w:val="auto"/>
              </w:rPr>
            </w:pPr>
            <w:r>
              <w:rPr>
                <w:rFonts w:hint="eastAsia"/>
                <w:color w:val="auto"/>
              </w:rPr>
              <w:t>“开标一览表”数据一致性要求</w:t>
            </w:r>
          </w:p>
        </w:tc>
        <w:tc>
          <w:tcPr>
            <w:tcW w:w="5980" w:type="dxa"/>
            <w:tcBorders>
              <w:top w:val="single" w:color="auto" w:sz="4" w:space="0"/>
              <w:left w:val="single" w:color="auto" w:sz="4" w:space="0"/>
              <w:bottom w:val="single" w:color="auto" w:sz="4" w:space="0"/>
              <w:right w:val="single" w:color="auto" w:sz="4" w:space="0"/>
            </w:tcBorders>
            <w:vAlign w:val="center"/>
          </w:tcPr>
          <w:p w14:paraId="53838A2A">
            <w:pPr>
              <w:adjustRightInd w:val="0"/>
              <w:spacing w:line="360" w:lineRule="auto"/>
              <w:textAlignment w:val="baseline"/>
              <w:rPr>
                <w:color w:val="auto"/>
              </w:rPr>
            </w:pPr>
            <w:r>
              <w:rPr>
                <w:rFonts w:hint="eastAsia"/>
                <w:color w:val="auto"/>
              </w:rPr>
              <w:t>本项目采用“政采云”平台进行电子开评标，供应商在投标文件正文内 “开标一览表”填写的报价金额需与投标文件编制时填入软件端“开标一览表”的数据保持一致，如出现不一致的，以“开标一览表”的数据为准。</w:t>
            </w:r>
          </w:p>
        </w:tc>
      </w:tr>
      <w:tr w14:paraId="2189A2ED">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7AA5DCA4">
            <w:pPr>
              <w:widowControl/>
              <w:spacing w:line="360" w:lineRule="auto"/>
              <w:jc w:val="center"/>
              <w:rPr>
                <w:rFonts w:ascii="宋体" w:hAnsi="宋体" w:cs="宋体"/>
                <w:color w:val="auto"/>
                <w:kern w:val="0"/>
                <w:szCs w:val="21"/>
              </w:rPr>
            </w:pPr>
            <w:r>
              <w:rPr>
                <w:rFonts w:hint="eastAsia" w:ascii="宋体" w:hAnsi="宋体" w:cs="宋体"/>
                <w:color w:val="auto"/>
                <w:kern w:val="0"/>
                <w:szCs w:val="21"/>
              </w:rPr>
              <w:t>4.1.1</w:t>
            </w:r>
          </w:p>
        </w:tc>
        <w:tc>
          <w:tcPr>
            <w:tcW w:w="1925" w:type="dxa"/>
            <w:tcBorders>
              <w:top w:val="single" w:color="auto" w:sz="4" w:space="0"/>
              <w:left w:val="single" w:color="auto" w:sz="4" w:space="0"/>
              <w:bottom w:val="single" w:color="auto" w:sz="4" w:space="0"/>
              <w:right w:val="single" w:color="auto" w:sz="4" w:space="0"/>
            </w:tcBorders>
            <w:vAlign w:val="center"/>
          </w:tcPr>
          <w:p w14:paraId="054D2945">
            <w:pPr>
              <w:spacing w:line="360" w:lineRule="auto"/>
              <w:jc w:val="center"/>
              <w:rPr>
                <w:rFonts w:ascii="宋体" w:hAnsi="宋体"/>
                <w:color w:val="auto"/>
                <w:szCs w:val="21"/>
              </w:rPr>
            </w:pPr>
            <w:r>
              <w:rPr>
                <w:rFonts w:hint="eastAsia" w:ascii="宋体" w:hAnsi="宋体"/>
                <w:color w:val="auto"/>
                <w:szCs w:val="21"/>
              </w:rPr>
              <w:t>投标文件的加密</w:t>
            </w:r>
          </w:p>
        </w:tc>
        <w:tc>
          <w:tcPr>
            <w:tcW w:w="5980" w:type="dxa"/>
            <w:tcBorders>
              <w:top w:val="single" w:color="auto" w:sz="4" w:space="0"/>
              <w:left w:val="single" w:color="auto" w:sz="4" w:space="0"/>
              <w:bottom w:val="single" w:color="auto" w:sz="4" w:space="0"/>
              <w:right w:val="single" w:color="auto" w:sz="4" w:space="0"/>
            </w:tcBorders>
            <w:vAlign w:val="center"/>
          </w:tcPr>
          <w:p w14:paraId="3C485E3F">
            <w:pPr>
              <w:spacing w:line="360" w:lineRule="auto"/>
              <w:rPr>
                <w:rFonts w:ascii="宋体" w:hAnsi="宋体"/>
                <w:color w:val="auto"/>
                <w:szCs w:val="21"/>
              </w:rPr>
            </w:pPr>
            <w:r>
              <w:rPr>
                <w:rFonts w:hint="eastAsia" w:ascii="宋体" w:hAnsi="宋体"/>
                <w:color w:val="auto"/>
              </w:rPr>
              <w:t>详见</w:t>
            </w:r>
            <w:r>
              <w:rPr>
                <w:rFonts w:hint="eastAsia"/>
                <w:color w:val="auto"/>
              </w:rPr>
              <w:t>“政采云”平台中《政府采购项目电子交易管理操作指南-供应商》”</w:t>
            </w:r>
            <w:r>
              <w:rPr>
                <w:rFonts w:hint="eastAsia" w:ascii="宋体" w:hAnsi="宋体"/>
                <w:color w:val="auto"/>
              </w:rPr>
              <w:t>。</w:t>
            </w:r>
          </w:p>
        </w:tc>
      </w:tr>
      <w:tr w14:paraId="6E0043CF">
        <w:tblPrEx>
          <w:tblCellMar>
            <w:top w:w="0" w:type="dxa"/>
            <w:left w:w="108" w:type="dxa"/>
            <w:bottom w:w="0" w:type="dxa"/>
            <w:right w:w="108" w:type="dxa"/>
          </w:tblCellMar>
        </w:tblPrEx>
        <w:trPr>
          <w:trHeight w:val="635" w:hRule="atLeast"/>
          <w:jc w:val="center"/>
        </w:trPr>
        <w:tc>
          <w:tcPr>
            <w:tcW w:w="1077" w:type="dxa"/>
            <w:tcBorders>
              <w:top w:val="single" w:color="auto" w:sz="4" w:space="0"/>
              <w:left w:val="single" w:color="auto" w:sz="4" w:space="0"/>
              <w:bottom w:val="single" w:color="auto" w:sz="4" w:space="0"/>
              <w:right w:val="single" w:color="auto" w:sz="4" w:space="0"/>
            </w:tcBorders>
            <w:vAlign w:val="center"/>
          </w:tcPr>
          <w:p w14:paraId="4A7C7CA4">
            <w:pPr>
              <w:adjustRightInd w:val="0"/>
              <w:spacing w:line="360" w:lineRule="auto"/>
              <w:jc w:val="center"/>
              <w:textAlignment w:val="baseline"/>
              <w:rPr>
                <w:rFonts w:ascii="宋体" w:hAnsi="宋体"/>
                <w:color w:val="auto"/>
                <w:szCs w:val="21"/>
              </w:rPr>
            </w:pPr>
            <w:r>
              <w:rPr>
                <w:rFonts w:ascii="宋体" w:hAnsi="宋体"/>
                <w:color w:val="auto"/>
                <w:szCs w:val="21"/>
              </w:rPr>
              <w:t>4.2.3</w:t>
            </w:r>
          </w:p>
        </w:tc>
        <w:tc>
          <w:tcPr>
            <w:tcW w:w="1925" w:type="dxa"/>
            <w:tcBorders>
              <w:top w:val="single" w:color="auto" w:sz="4" w:space="0"/>
              <w:left w:val="single" w:color="auto" w:sz="4" w:space="0"/>
              <w:bottom w:val="single" w:color="auto" w:sz="4" w:space="0"/>
              <w:right w:val="single" w:color="auto" w:sz="4" w:space="0"/>
            </w:tcBorders>
            <w:vAlign w:val="center"/>
          </w:tcPr>
          <w:p w14:paraId="19564FB6">
            <w:pPr>
              <w:adjustRightInd w:val="0"/>
              <w:spacing w:line="360" w:lineRule="auto"/>
              <w:jc w:val="center"/>
              <w:textAlignment w:val="baseline"/>
              <w:rPr>
                <w:rFonts w:ascii="宋体" w:hAnsi="宋体"/>
                <w:color w:val="auto"/>
                <w:szCs w:val="21"/>
              </w:rPr>
            </w:pPr>
            <w:r>
              <w:rPr>
                <w:rFonts w:ascii="宋体" w:hAnsi="宋体"/>
                <w:color w:val="auto"/>
                <w:szCs w:val="21"/>
              </w:rPr>
              <w:t>是否退还投标文件</w:t>
            </w:r>
          </w:p>
        </w:tc>
        <w:tc>
          <w:tcPr>
            <w:tcW w:w="5980" w:type="dxa"/>
            <w:tcBorders>
              <w:top w:val="single" w:color="auto" w:sz="4" w:space="0"/>
              <w:left w:val="single" w:color="auto" w:sz="4" w:space="0"/>
              <w:bottom w:val="single" w:color="auto" w:sz="4" w:space="0"/>
              <w:right w:val="single" w:color="auto" w:sz="4" w:space="0"/>
            </w:tcBorders>
            <w:vAlign w:val="center"/>
          </w:tcPr>
          <w:p w14:paraId="20E5BDCC">
            <w:pPr>
              <w:spacing w:line="360" w:lineRule="auto"/>
              <w:rPr>
                <w:rFonts w:ascii="宋体" w:hAnsi="宋体"/>
                <w:color w:val="auto"/>
                <w:szCs w:val="21"/>
              </w:rPr>
            </w:pPr>
            <w:r>
              <w:rPr>
                <w:rFonts w:hint="eastAsia" w:ascii="宋体" w:hAnsi="宋体"/>
                <w:color w:val="auto"/>
                <w:szCs w:val="21"/>
              </w:rPr>
              <w:t>否。</w:t>
            </w:r>
          </w:p>
        </w:tc>
      </w:tr>
      <w:tr w14:paraId="7313A090">
        <w:tblPrEx>
          <w:tblCellMar>
            <w:top w:w="0" w:type="dxa"/>
            <w:left w:w="108" w:type="dxa"/>
            <w:bottom w:w="0" w:type="dxa"/>
            <w:right w:w="108" w:type="dxa"/>
          </w:tblCellMar>
        </w:tblPrEx>
        <w:trPr>
          <w:trHeight w:val="470" w:hRule="atLeast"/>
          <w:jc w:val="center"/>
        </w:trPr>
        <w:tc>
          <w:tcPr>
            <w:tcW w:w="1077" w:type="dxa"/>
            <w:tcBorders>
              <w:top w:val="single" w:color="auto" w:sz="4" w:space="0"/>
              <w:left w:val="single" w:color="auto" w:sz="4" w:space="0"/>
              <w:bottom w:val="single" w:color="auto" w:sz="4" w:space="0"/>
              <w:right w:val="single" w:color="auto" w:sz="4" w:space="0"/>
            </w:tcBorders>
            <w:vAlign w:val="center"/>
          </w:tcPr>
          <w:p w14:paraId="53D7B054">
            <w:pPr>
              <w:adjustRightInd w:val="0"/>
              <w:spacing w:line="360" w:lineRule="auto"/>
              <w:jc w:val="center"/>
              <w:textAlignment w:val="baseline"/>
              <w:rPr>
                <w:rFonts w:ascii="宋体" w:hAnsi="宋体"/>
                <w:color w:val="auto"/>
                <w:szCs w:val="21"/>
              </w:rPr>
            </w:pPr>
            <w:r>
              <w:rPr>
                <w:rFonts w:ascii="宋体" w:hAnsi="宋体"/>
                <w:color w:val="auto"/>
                <w:szCs w:val="21"/>
              </w:rPr>
              <w:t>5.1</w:t>
            </w:r>
          </w:p>
        </w:tc>
        <w:tc>
          <w:tcPr>
            <w:tcW w:w="1925" w:type="dxa"/>
            <w:tcBorders>
              <w:top w:val="single" w:color="auto" w:sz="4" w:space="0"/>
              <w:left w:val="single" w:color="auto" w:sz="4" w:space="0"/>
              <w:bottom w:val="single" w:color="auto" w:sz="4" w:space="0"/>
              <w:right w:val="single" w:color="auto" w:sz="4" w:space="0"/>
            </w:tcBorders>
            <w:vAlign w:val="center"/>
          </w:tcPr>
          <w:p w14:paraId="0A44CF72">
            <w:pPr>
              <w:adjustRightInd w:val="0"/>
              <w:spacing w:line="360" w:lineRule="auto"/>
              <w:jc w:val="center"/>
              <w:textAlignment w:val="baseline"/>
              <w:rPr>
                <w:rFonts w:ascii="宋体" w:hAnsi="宋体"/>
                <w:color w:val="auto"/>
                <w:szCs w:val="21"/>
              </w:rPr>
            </w:pPr>
            <w:r>
              <w:rPr>
                <w:rFonts w:hint="eastAsia" w:ascii="宋体" w:hAnsi="宋体"/>
                <w:color w:val="auto"/>
                <w:szCs w:val="21"/>
              </w:rPr>
              <w:t>开标时间和地点</w:t>
            </w:r>
          </w:p>
        </w:tc>
        <w:tc>
          <w:tcPr>
            <w:tcW w:w="5980" w:type="dxa"/>
            <w:tcBorders>
              <w:top w:val="single" w:color="auto" w:sz="4" w:space="0"/>
              <w:left w:val="single" w:color="auto" w:sz="4" w:space="0"/>
              <w:bottom w:val="single" w:color="auto" w:sz="4" w:space="0"/>
              <w:right w:val="single" w:color="auto" w:sz="4" w:space="0"/>
            </w:tcBorders>
            <w:vAlign w:val="center"/>
          </w:tcPr>
          <w:p w14:paraId="53CEC0E6">
            <w:pPr>
              <w:adjustRightInd w:val="0"/>
              <w:spacing w:line="360" w:lineRule="auto"/>
              <w:textAlignment w:val="baseline"/>
              <w:rPr>
                <w:rFonts w:ascii="宋体" w:hAnsi="宋体"/>
                <w:color w:val="auto"/>
                <w:szCs w:val="21"/>
              </w:rPr>
            </w:pPr>
            <w:r>
              <w:rPr>
                <w:rFonts w:ascii="宋体" w:hAnsi="宋体"/>
                <w:color w:val="auto"/>
                <w:szCs w:val="21"/>
              </w:rPr>
              <w:t>开标时间</w:t>
            </w:r>
            <w:r>
              <w:rPr>
                <w:rFonts w:hint="eastAsia" w:ascii="宋体" w:hAnsi="宋体"/>
                <w:color w:val="auto"/>
                <w:szCs w:val="21"/>
              </w:rPr>
              <w:t>：以网上公告时间为准，同投标截止时间（详见“政采云”平台（http：//www.zcygov.cn））。</w:t>
            </w:r>
          </w:p>
          <w:p w14:paraId="683DA42F">
            <w:pPr>
              <w:adjustRightInd w:val="0"/>
              <w:spacing w:line="360" w:lineRule="auto"/>
              <w:textAlignment w:val="baseline"/>
              <w:rPr>
                <w:rFonts w:ascii="宋体" w:hAnsi="宋体"/>
                <w:color w:val="auto"/>
                <w:szCs w:val="21"/>
              </w:rPr>
            </w:pPr>
            <w:r>
              <w:rPr>
                <w:rFonts w:ascii="宋体" w:hAnsi="宋体"/>
                <w:color w:val="auto"/>
                <w:szCs w:val="21"/>
              </w:rPr>
              <w:t>开标地点</w:t>
            </w:r>
            <w:r>
              <w:rPr>
                <w:rFonts w:hint="eastAsia" w:ascii="宋体" w:hAnsi="宋体"/>
                <w:color w:val="auto"/>
                <w:szCs w:val="21"/>
              </w:rPr>
              <w:t>：</w:t>
            </w:r>
            <w:r>
              <w:rPr>
                <w:rFonts w:hint="eastAsia" w:ascii="宋体" w:hAnsi="宋体" w:cs="宋体"/>
                <w:color w:val="auto"/>
                <w:szCs w:val="21"/>
                <w:shd w:val="clear" w:color="auto" w:fill="FFFFFF"/>
              </w:rPr>
              <w:t>政府采购云平台远程开标大厅。</w:t>
            </w:r>
          </w:p>
        </w:tc>
      </w:tr>
      <w:tr w14:paraId="6EC228FF">
        <w:tblPrEx>
          <w:tblCellMar>
            <w:top w:w="0" w:type="dxa"/>
            <w:left w:w="108" w:type="dxa"/>
            <w:bottom w:w="0" w:type="dxa"/>
            <w:right w:w="108" w:type="dxa"/>
          </w:tblCellMar>
        </w:tblPrEx>
        <w:trPr>
          <w:trHeight w:val="416" w:hRule="atLeast"/>
          <w:jc w:val="center"/>
        </w:trPr>
        <w:tc>
          <w:tcPr>
            <w:tcW w:w="1077" w:type="dxa"/>
            <w:tcBorders>
              <w:top w:val="single" w:color="auto" w:sz="4" w:space="0"/>
              <w:left w:val="single" w:color="auto" w:sz="4" w:space="0"/>
              <w:bottom w:val="single" w:color="auto" w:sz="4" w:space="0"/>
              <w:right w:val="single" w:color="auto" w:sz="4" w:space="0"/>
            </w:tcBorders>
            <w:vAlign w:val="center"/>
          </w:tcPr>
          <w:p w14:paraId="1F604F5D">
            <w:pPr>
              <w:adjustRightInd w:val="0"/>
              <w:spacing w:line="360" w:lineRule="auto"/>
              <w:jc w:val="center"/>
              <w:textAlignment w:val="baseline"/>
              <w:rPr>
                <w:rFonts w:ascii="宋体" w:hAnsi="宋体"/>
                <w:color w:val="auto"/>
                <w:szCs w:val="21"/>
              </w:rPr>
            </w:pPr>
            <w:r>
              <w:rPr>
                <w:rFonts w:hint="eastAsia" w:ascii="宋体" w:hAnsi="宋体"/>
                <w:color w:val="auto"/>
                <w:szCs w:val="21"/>
              </w:rPr>
              <w:t>5.2</w:t>
            </w:r>
          </w:p>
        </w:tc>
        <w:tc>
          <w:tcPr>
            <w:tcW w:w="1925" w:type="dxa"/>
            <w:tcBorders>
              <w:top w:val="single" w:color="auto" w:sz="4" w:space="0"/>
              <w:left w:val="single" w:color="auto" w:sz="4" w:space="0"/>
              <w:bottom w:val="single" w:color="auto" w:sz="4" w:space="0"/>
              <w:right w:val="single" w:color="auto" w:sz="4" w:space="0"/>
            </w:tcBorders>
            <w:vAlign w:val="center"/>
          </w:tcPr>
          <w:p w14:paraId="082F917F">
            <w:pPr>
              <w:adjustRightInd w:val="0"/>
              <w:spacing w:line="360" w:lineRule="auto"/>
              <w:jc w:val="center"/>
              <w:textAlignment w:val="baseline"/>
              <w:rPr>
                <w:rFonts w:ascii="宋体" w:hAnsi="宋体"/>
                <w:color w:val="auto"/>
                <w:szCs w:val="21"/>
              </w:rPr>
            </w:pPr>
            <w:r>
              <w:rPr>
                <w:rFonts w:hint="eastAsia" w:ascii="宋体" w:hAnsi="宋体"/>
                <w:color w:val="auto"/>
                <w:szCs w:val="21"/>
              </w:rPr>
              <w:t>开标程序</w:t>
            </w:r>
          </w:p>
        </w:tc>
        <w:tc>
          <w:tcPr>
            <w:tcW w:w="5980" w:type="dxa"/>
            <w:tcBorders>
              <w:top w:val="single" w:color="auto" w:sz="4" w:space="0"/>
              <w:left w:val="single" w:color="auto" w:sz="4" w:space="0"/>
              <w:bottom w:val="single" w:color="auto" w:sz="4" w:space="0"/>
              <w:right w:val="single" w:color="auto" w:sz="4" w:space="0"/>
            </w:tcBorders>
            <w:vAlign w:val="center"/>
          </w:tcPr>
          <w:p w14:paraId="3AC1B2EB">
            <w:pPr>
              <w:adjustRightInd w:val="0"/>
              <w:spacing w:line="360" w:lineRule="auto"/>
              <w:textAlignment w:val="baseline"/>
              <w:rPr>
                <w:rFonts w:ascii="宋体" w:hAnsi="宋体"/>
                <w:color w:val="auto"/>
                <w:szCs w:val="21"/>
              </w:rPr>
            </w:pPr>
            <w:r>
              <w:rPr>
                <w:rFonts w:hint="eastAsia" w:ascii="宋体" w:hAnsi="宋体"/>
                <w:color w:val="auto"/>
                <w:szCs w:val="21"/>
              </w:rPr>
              <w:t>本项目采用在线开标的方式</w:t>
            </w:r>
          </w:p>
          <w:p w14:paraId="275876D8">
            <w:pPr>
              <w:adjustRightInd w:val="0"/>
              <w:spacing w:line="360" w:lineRule="auto"/>
              <w:textAlignment w:val="baseline"/>
              <w:rPr>
                <w:rFonts w:ascii="宋体" w:hAnsi="宋体"/>
                <w:color w:val="auto"/>
                <w:szCs w:val="21"/>
              </w:rPr>
            </w:pPr>
            <w:r>
              <w:rPr>
                <w:rFonts w:hint="eastAsia" w:ascii="宋体" w:hAnsi="宋体"/>
                <w:color w:val="auto"/>
                <w:szCs w:val="21"/>
              </w:rPr>
              <w:t>在线开标操作流程详见</w:t>
            </w:r>
            <w:r>
              <w:rPr>
                <w:rFonts w:hint="eastAsia"/>
                <w:color w:val="auto"/>
              </w:rPr>
              <w:t>“政采云”平台中《政府采购项目电子交易管理操作指南-供应商》”</w:t>
            </w:r>
            <w:r>
              <w:rPr>
                <w:rFonts w:hint="eastAsia" w:ascii="宋体" w:hAnsi="宋体"/>
                <w:color w:val="auto"/>
              </w:rPr>
              <w:t>。</w:t>
            </w:r>
          </w:p>
          <w:p w14:paraId="4FED2F02">
            <w:pPr>
              <w:adjustRightInd w:val="0"/>
              <w:spacing w:line="360" w:lineRule="auto"/>
              <w:textAlignment w:val="baseline"/>
              <w:rPr>
                <w:rFonts w:ascii="宋体" w:hAnsi="宋体"/>
                <w:color w:val="auto"/>
                <w:szCs w:val="21"/>
              </w:rPr>
            </w:pPr>
            <w:r>
              <w:rPr>
                <w:rFonts w:hint="eastAsia" w:ascii="宋体" w:hAnsi="宋体"/>
                <w:color w:val="auto"/>
                <w:szCs w:val="21"/>
              </w:rPr>
              <w:t>（1）开标签到及文件解密：采购代理机构将在“投标人须知前附表”规定的时间通过电子交易平台组织投标文件开启，采购机构依托电子交易平台发起开始解密指令，投标人的法定代表人或其委托代理人须使用加密时所用的CA锁按平台提示和采购文件的规定登录到“政采云”平台电子开标大厅签到，并在发起解密指令之时起30分钟内完成对电子投标文件在线解密。发起解密指令之时起5分钟内投标人还未进行解密的，代理机构将通知投标人，投标人没预留联系方式或预留联系方式无效，导致代理机构无法联系到投标人进行解密的，视为投标文件无效。</w:t>
            </w:r>
          </w:p>
          <w:p w14:paraId="3A7155AF">
            <w:pPr>
              <w:adjustRightInd w:val="0"/>
              <w:spacing w:line="360" w:lineRule="auto"/>
              <w:textAlignment w:val="baseline"/>
              <w:rPr>
                <w:rFonts w:ascii="宋体" w:hAnsi="宋体"/>
                <w:color w:val="auto"/>
                <w:szCs w:val="21"/>
              </w:rPr>
            </w:pPr>
            <w:r>
              <w:rPr>
                <w:rFonts w:hint="eastAsia" w:ascii="宋体" w:hAnsi="宋体"/>
                <w:color w:val="auto"/>
                <w:szCs w:val="21"/>
              </w:rPr>
              <w:t>（2）开标一览表确认及签字：投标人查看已公布的所有投标人名称、投标报价和招标文件规定的其他开标内容。确认本单位内容无误后进行在线CA签章，因投标人原因未签字的，视为认可开标结果。</w:t>
            </w:r>
          </w:p>
          <w:p w14:paraId="51B3CDDB">
            <w:pPr>
              <w:adjustRightInd w:val="0"/>
              <w:spacing w:line="360" w:lineRule="auto"/>
              <w:textAlignment w:val="baseline"/>
              <w:rPr>
                <w:rFonts w:ascii="宋体" w:hAnsi="宋体"/>
                <w:color w:val="auto"/>
                <w:szCs w:val="21"/>
              </w:rPr>
            </w:pPr>
            <w:r>
              <w:rPr>
                <w:rFonts w:hint="eastAsia" w:ascii="宋体" w:hAnsi="宋体"/>
                <w:color w:val="auto"/>
                <w:szCs w:val="21"/>
              </w:rPr>
              <w:t>（3）开标异议：对开标有异议的，请于项目负责人询问各投标人有无异议的时候，通过开标系统以文字信息方式提出，项目负责人将异议及采购人回复内容一并记录在开标一览表上。</w:t>
            </w:r>
          </w:p>
          <w:p w14:paraId="4886CD80">
            <w:pPr>
              <w:adjustRightInd w:val="0"/>
              <w:spacing w:line="360" w:lineRule="auto"/>
              <w:textAlignment w:val="baseline"/>
              <w:rPr>
                <w:rFonts w:ascii="宋体" w:hAnsi="宋体"/>
                <w:color w:val="auto"/>
                <w:szCs w:val="21"/>
              </w:rPr>
            </w:pPr>
            <w:r>
              <w:rPr>
                <w:rFonts w:hint="eastAsia" w:ascii="宋体" w:hAnsi="宋体"/>
                <w:color w:val="auto"/>
                <w:szCs w:val="21"/>
              </w:rPr>
              <w:t>（4）开标结束。</w:t>
            </w:r>
          </w:p>
        </w:tc>
      </w:tr>
      <w:tr w14:paraId="19DC822C">
        <w:tblPrEx>
          <w:tblCellMar>
            <w:top w:w="0" w:type="dxa"/>
            <w:left w:w="108" w:type="dxa"/>
            <w:bottom w:w="0" w:type="dxa"/>
            <w:right w:w="108" w:type="dxa"/>
          </w:tblCellMar>
        </w:tblPrEx>
        <w:trPr>
          <w:trHeight w:val="880" w:hRule="atLeast"/>
          <w:jc w:val="center"/>
        </w:trPr>
        <w:tc>
          <w:tcPr>
            <w:tcW w:w="1077" w:type="dxa"/>
            <w:tcBorders>
              <w:top w:val="single" w:color="auto" w:sz="4" w:space="0"/>
              <w:left w:val="single" w:color="auto" w:sz="4" w:space="0"/>
              <w:right w:val="single" w:color="auto" w:sz="4" w:space="0"/>
            </w:tcBorders>
            <w:vAlign w:val="center"/>
          </w:tcPr>
          <w:p w14:paraId="2D629683">
            <w:pPr>
              <w:adjustRightInd w:val="0"/>
              <w:spacing w:line="360" w:lineRule="auto"/>
              <w:jc w:val="center"/>
              <w:textAlignment w:val="baseline"/>
              <w:rPr>
                <w:rFonts w:ascii="宋体" w:hAnsi="宋体"/>
                <w:color w:val="auto"/>
                <w:szCs w:val="21"/>
              </w:rPr>
            </w:pPr>
            <w:r>
              <w:rPr>
                <w:rFonts w:ascii="宋体" w:hAnsi="宋体"/>
                <w:color w:val="auto"/>
                <w:szCs w:val="21"/>
              </w:rPr>
              <w:t>6.1.1</w:t>
            </w:r>
          </w:p>
        </w:tc>
        <w:tc>
          <w:tcPr>
            <w:tcW w:w="1925" w:type="dxa"/>
            <w:tcBorders>
              <w:top w:val="single" w:color="auto" w:sz="4" w:space="0"/>
              <w:left w:val="single" w:color="auto" w:sz="4" w:space="0"/>
              <w:right w:val="single" w:color="auto" w:sz="4" w:space="0"/>
            </w:tcBorders>
            <w:vAlign w:val="center"/>
          </w:tcPr>
          <w:p w14:paraId="56E4444C">
            <w:pPr>
              <w:adjustRightInd w:val="0"/>
              <w:spacing w:line="360" w:lineRule="auto"/>
              <w:jc w:val="center"/>
              <w:textAlignment w:val="baseline"/>
              <w:rPr>
                <w:rFonts w:ascii="宋体" w:hAnsi="宋体"/>
                <w:color w:val="auto"/>
                <w:szCs w:val="21"/>
              </w:rPr>
            </w:pPr>
            <w:r>
              <w:rPr>
                <w:rFonts w:hint="eastAsia" w:ascii="宋体" w:hAnsi="宋体"/>
                <w:color w:val="auto"/>
                <w:szCs w:val="21"/>
              </w:rPr>
              <w:t>评标委员会的组建</w:t>
            </w:r>
          </w:p>
        </w:tc>
        <w:tc>
          <w:tcPr>
            <w:tcW w:w="5980" w:type="dxa"/>
            <w:tcBorders>
              <w:top w:val="single" w:color="auto" w:sz="4" w:space="0"/>
              <w:left w:val="single" w:color="auto" w:sz="4" w:space="0"/>
              <w:right w:val="single" w:color="auto" w:sz="4" w:space="0"/>
            </w:tcBorders>
            <w:vAlign w:val="center"/>
          </w:tcPr>
          <w:p w14:paraId="0AD4F87E">
            <w:pPr>
              <w:adjustRightInd w:val="0"/>
              <w:spacing w:line="360" w:lineRule="auto"/>
              <w:textAlignment w:val="baseline"/>
              <w:rPr>
                <w:rFonts w:ascii="宋体" w:hAnsi="宋体"/>
                <w:color w:val="auto"/>
                <w:szCs w:val="21"/>
              </w:rPr>
            </w:pPr>
            <w:r>
              <w:rPr>
                <w:rFonts w:hint="eastAsia" w:ascii="宋体" w:hAnsi="宋体"/>
                <w:color w:val="auto"/>
                <w:szCs w:val="21"/>
              </w:rPr>
              <w:t>评标委员会构成：由采购人代表和评审专家组成，成员人数为5人以上单数，其中评审专家不少于成员总数的三分之二。</w:t>
            </w:r>
          </w:p>
          <w:p w14:paraId="4EC374D8">
            <w:pPr>
              <w:adjustRightInd w:val="0"/>
              <w:spacing w:line="360" w:lineRule="auto"/>
              <w:textAlignment w:val="baseline"/>
              <w:rPr>
                <w:rFonts w:ascii="宋体" w:hAnsi="宋体"/>
                <w:color w:val="auto"/>
                <w:szCs w:val="21"/>
              </w:rPr>
            </w:pPr>
            <w:r>
              <w:rPr>
                <w:rFonts w:hint="eastAsia" w:ascii="宋体" w:hAnsi="宋体"/>
                <w:color w:val="auto"/>
                <w:szCs w:val="21"/>
              </w:rPr>
              <w:t>评标专家确定方式：在云南省政府采购专家管理子系统中随机抽取。</w:t>
            </w:r>
          </w:p>
        </w:tc>
      </w:tr>
      <w:tr w14:paraId="5A87B8AA">
        <w:tblPrEx>
          <w:tblCellMar>
            <w:top w:w="0" w:type="dxa"/>
            <w:left w:w="108" w:type="dxa"/>
            <w:bottom w:w="0" w:type="dxa"/>
            <w:right w:w="108" w:type="dxa"/>
          </w:tblCellMar>
        </w:tblPrEx>
        <w:trPr>
          <w:trHeight w:val="679" w:hRule="atLeast"/>
          <w:jc w:val="center"/>
        </w:trPr>
        <w:tc>
          <w:tcPr>
            <w:tcW w:w="1077" w:type="dxa"/>
            <w:tcBorders>
              <w:top w:val="single" w:color="auto" w:sz="4" w:space="0"/>
              <w:left w:val="single" w:color="auto" w:sz="4" w:space="0"/>
              <w:right w:val="single" w:color="auto" w:sz="4" w:space="0"/>
            </w:tcBorders>
            <w:vAlign w:val="center"/>
          </w:tcPr>
          <w:p w14:paraId="429CB151">
            <w:pPr>
              <w:adjustRightInd w:val="0"/>
              <w:spacing w:line="360" w:lineRule="auto"/>
              <w:jc w:val="center"/>
              <w:textAlignment w:val="baseline"/>
              <w:rPr>
                <w:rFonts w:ascii="宋体" w:hAnsi="宋体"/>
                <w:color w:val="auto"/>
                <w:szCs w:val="21"/>
              </w:rPr>
            </w:pPr>
            <w:r>
              <w:rPr>
                <w:rFonts w:hint="eastAsia" w:ascii="宋体" w:hAnsi="宋体"/>
                <w:color w:val="auto"/>
                <w:szCs w:val="21"/>
              </w:rPr>
              <w:t>6.3</w:t>
            </w:r>
          </w:p>
        </w:tc>
        <w:tc>
          <w:tcPr>
            <w:tcW w:w="1925" w:type="dxa"/>
            <w:tcBorders>
              <w:top w:val="single" w:color="auto" w:sz="4" w:space="0"/>
              <w:left w:val="single" w:color="auto" w:sz="4" w:space="0"/>
              <w:right w:val="single" w:color="auto" w:sz="4" w:space="0"/>
            </w:tcBorders>
            <w:vAlign w:val="center"/>
          </w:tcPr>
          <w:p w14:paraId="2AC8660A">
            <w:pPr>
              <w:adjustRightInd w:val="0"/>
              <w:spacing w:line="360" w:lineRule="auto"/>
              <w:jc w:val="center"/>
              <w:textAlignment w:val="baseline"/>
              <w:rPr>
                <w:rFonts w:ascii="宋体" w:hAnsi="宋体"/>
                <w:color w:val="auto"/>
                <w:szCs w:val="21"/>
              </w:rPr>
            </w:pPr>
            <w:r>
              <w:rPr>
                <w:rFonts w:hint="eastAsia" w:ascii="宋体" w:hAnsi="宋体"/>
                <w:color w:val="auto"/>
                <w:szCs w:val="21"/>
              </w:rPr>
              <w:t>评标办法</w:t>
            </w:r>
          </w:p>
        </w:tc>
        <w:tc>
          <w:tcPr>
            <w:tcW w:w="5980" w:type="dxa"/>
            <w:tcBorders>
              <w:top w:val="single" w:color="auto" w:sz="4" w:space="0"/>
              <w:left w:val="single" w:color="auto" w:sz="4" w:space="0"/>
              <w:right w:val="single" w:color="auto" w:sz="4" w:space="0"/>
            </w:tcBorders>
            <w:vAlign w:val="center"/>
          </w:tcPr>
          <w:p w14:paraId="33370C37">
            <w:pPr>
              <w:adjustRightInd w:val="0"/>
              <w:spacing w:line="360" w:lineRule="auto"/>
              <w:textAlignment w:val="baseline"/>
              <w:rPr>
                <w:rFonts w:ascii="宋体" w:hAnsi="宋体"/>
                <w:color w:val="auto"/>
                <w:szCs w:val="21"/>
              </w:rPr>
            </w:pPr>
            <w:r>
              <w:rPr>
                <w:rFonts w:hint="eastAsia" w:ascii="宋体" w:hAnsi="宋体"/>
                <w:color w:val="auto"/>
                <w:szCs w:val="21"/>
              </w:rPr>
              <w:t>详见第三章《评标办法》。</w:t>
            </w:r>
          </w:p>
        </w:tc>
      </w:tr>
      <w:tr w14:paraId="4255A40B">
        <w:tblPrEx>
          <w:tblCellMar>
            <w:top w:w="0" w:type="dxa"/>
            <w:left w:w="108" w:type="dxa"/>
            <w:bottom w:w="0" w:type="dxa"/>
            <w:right w:w="108" w:type="dxa"/>
          </w:tblCellMar>
        </w:tblPrEx>
        <w:trPr>
          <w:trHeight w:val="470" w:hRule="atLeast"/>
          <w:jc w:val="center"/>
        </w:trPr>
        <w:tc>
          <w:tcPr>
            <w:tcW w:w="1077" w:type="dxa"/>
            <w:tcBorders>
              <w:top w:val="single" w:color="auto" w:sz="4" w:space="0"/>
              <w:left w:val="single" w:color="auto" w:sz="4" w:space="0"/>
              <w:right w:val="single" w:color="auto" w:sz="4" w:space="0"/>
            </w:tcBorders>
            <w:vAlign w:val="center"/>
          </w:tcPr>
          <w:p w14:paraId="2AE75090">
            <w:pPr>
              <w:adjustRightInd w:val="0"/>
              <w:spacing w:line="360" w:lineRule="auto"/>
              <w:jc w:val="center"/>
              <w:textAlignment w:val="baseline"/>
              <w:rPr>
                <w:rFonts w:ascii="宋体" w:hAnsi="宋体"/>
                <w:color w:val="auto"/>
                <w:szCs w:val="21"/>
              </w:rPr>
            </w:pPr>
            <w:r>
              <w:rPr>
                <w:rFonts w:ascii="宋体" w:hAnsi="宋体"/>
                <w:color w:val="auto"/>
                <w:szCs w:val="21"/>
              </w:rPr>
              <w:t>7.1</w:t>
            </w:r>
          </w:p>
        </w:tc>
        <w:tc>
          <w:tcPr>
            <w:tcW w:w="1925" w:type="dxa"/>
            <w:tcBorders>
              <w:top w:val="single" w:color="auto" w:sz="4" w:space="0"/>
              <w:left w:val="single" w:color="auto" w:sz="4" w:space="0"/>
              <w:right w:val="single" w:color="auto" w:sz="4" w:space="0"/>
            </w:tcBorders>
            <w:vAlign w:val="center"/>
          </w:tcPr>
          <w:p w14:paraId="09283EB4">
            <w:pPr>
              <w:adjustRightInd w:val="0"/>
              <w:spacing w:line="360" w:lineRule="auto"/>
              <w:jc w:val="center"/>
              <w:textAlignment w:val="baseline"/>
              <w:rPr>
                <w:rFonts w:ascii="宋体" w:hAnsi="宋体"/>
                <w:color w:val="auto"/>
                <w:szCs w:val="21"/>
              </w:rPr>
            </w:pPr>
            <w:r>
              <w:rPr>
                <w:rFonts w:hint="eastAsia" w:ascii="宋体" w:hAnsi="宋体"/>
                <w:color w:val="auto"/>
                <w:szCs w:val="21"/>
              </w:rPr>
              <w:t>是否授权评标委员会确定中标人</w:t>
            </w:r>
          </w:p>
        </w:tc>
        <w:tc>
          <w:tcPr>
            <w:tcW w:w="5980" w:type="dxa"/>
            <w:tcBorders>
              <w:top w:val="single" w:color="auto" w:sz="4" w:space="0"/>
              <w:left w:val="single" w:color="auto" w:sz="4" w:space="0"/>
              <w:right w:val="single" w:color="auto" w:sz="4" w:space="0"/>
            </w:tcBorders>
            <w:vAlign w:val="center"/>
          </w:tcPr>
          <w:p w14:paraId="3B9C8E93">
            <w:pPr>
              <w:adjustRightInd w:val="0"/>
              <w:spacing w:line="360" w:lineRule="auto"/>
              <w:textAlignment w:val="baseline"/>
              <w:rPr>
                <w:rFonts w:ascii="宋体" w:hAnsi="宋体"/>
                <w:color w:val="auto"/>
                <w:szCs w:val="21"/>
              </w:rPr>
            </w:pPr>
            <w:r>
              <w:rPr>
                <w:rFonts w:hint="eastAsia" w:ascii="宋体" w:hAnsi="宋体"/>
                <w:color w:val="auto"/>
                <w:szCs w:val="21"/>
              </w:rPr>
              <w:t>□是</w:t>
            </w:r>
          </w:p>
          <w:p w14:paraId="5DCD0167">
            <w:pPr>
              <w:adjustRightInd w:val="0"/>
              <w:spacing w:line="360" w:lineRule="auto"/>
              <w:textAlignment w:val="baseline"/>
              <w:rPr>
                <w:rFonts w:ascii="宋体" w:hAnsi="宋体"/>
                <w:color w:val="auto"/>
                <w:szCs w:val="21"/>
              </w:rPr>
            </w:pPr>
            <w:r>
              <w:rPr>
                <w:rFonts w:ascii="Wingdings 2" w:hAnsi="Wingdings 2"/>
                <w:color w:val="auto"/>
                <w:sz w:val="32"/>
                <w:szCs w:val="32"/>
              </w:rPr>
              <w:sym w:font="Wingdings 2" w:char="0052"/>
            </w:r>
            <w:r>
              <w:rPr>
                <w:rFonts w:hint="eastAsia" w:ascii="宋体" w:hAnsi="宋体"/>
                <w:color w:val="auto"/>
                <w:szCs w:val="21"/>
              </w:rPr>
              <w:t>否，推荐的中标候选人数：按照投标人得分高低推荐第一至第三中标候选人。</w:t>
            </w:r>
          </w:p>
        </w:tc>
      </w:tr>
      <w:tr w14:paraId="4DCF8DB7">
        <w:tblPrEx>
          <w:tblCellMar>
            <w:top w:w="0" w:type="dxa"/>
            <w:left w:w="108" w:type="dxa"/>
            <w:bottom w:w="0" w:type="dxa"/>
            <w:right w:w="108" w:type="dxa"/>
          </w:tblCellMar>
        </w:tblPrEx>
        <w:trPr>
          <w:trHeight w:val="580" w:hRule="atLeast"/>
          <w:jc w:val="center"/>
        </w:trPr>
        <w:tc>
          <w:tcPr>
            <w:tcW w:w="1077" w:type="dxa"/>
            <w:tcBorders>
              <w:top w:val="single" w:color="auto" w:sz="4" w:space="0"/>
              <w:left w:val="single" w:color="auto" w:sz="4" w:space="0"/>
              <w:right w:val="single" w:color="auto" w:sz="4" w:space="0"/>
            </w:tcBorders>
            <w:vAlign w:val="center"/>
          </w:tcPr>
          <w:p w14:paraId="76BD9ACE">
            <w:pPr>
              <w:adjustRightInd w:val="0"/>
              <w:spacing w:line="360" w:lineRule="auto"/>
              <w:jc w:val="center"/>
              <w:textAlignment w:val="baseline"/>
              <w:rPr>
                <w:rFonts w:ascii="宋体" w:hAnsi="宋体"/>
                <w:color w:val="auto"/>
                <w:szCs w:val="21"/>
              </w:rPr>
            </w:pPr>
            <w:r>
              <w:rPr>
                <w:rFonts w:hint="eastAsia" w:ascii="宋体" w:hAnsi="宋体"/>
                <w:color w:val="auto"/>
                <w:szCs w:val="21"/>
              </w:rPr>
              <w:t>7.3.1</w:t>
            </w:r>
          </w:p>
        </w:tc>
        <w:tc>
          <w:tcPr>
            <w:tcW w:w="1925" w:type="dxa"/>
            <w:tcBorders>
              <w:top w:val="single" w:color="auto" w:sz="4" w:space="0"/>
              <w:left w:val="single" w:color="auto" w:sz="4" w:space="0"/>
              <w:right w:val="single" w:color="auto" w:sz="4" w:space="0"/>
            </w:tcBorders>
            <w:vAlign w:val="center"/>
          </w:tcPr>
          <w:p w14:paraId="63D18984">
            <w:pPr>
              <w:adjustRightInd w:val="0"/>
              <w:spacing w:line="360" w:lineRule="auto"/>
              <w:jc w:val="center"/>
              <w:textAlignment w:val="baseline"/>
              <w:rPr>
                <w:rFonts w:ascii="宋体" w:hAnsi="宋体"/>
                <w:color w:val="auto"/>
                <w:szCs w:val="21"/>
              </w:rPr>
            </w:pPr>
            <w:r>
              <w:rPr>
                <w:rFonts w:ascii="宋体" w:hAnsi="宋体"/>
                <w:color w:val="auto"/>
                <w:szCs w:val="21"/>
              </w:rPr>
              <w:t>履约担保</w:t>
            </w:r>
          </w:p>
        </w:tc>
        <w:tc>
          <w:tcPr>
            <w:tcW w:w="5980" w:type="dxa"/>
            <w:tcBorders>
              <w:top w:val="single" w:color="auto" w:sz="4" w:space="0"/>
              <w:left w:val="single" w:color="auto" w:sz="4" w:space="0"/>
              <w:right w:val="single" w:color="auto" w:sz="4" w:space="0"/>
            </w:tcBorders>
            <w:vAlign w:val="center"/>
          </w:tcPr>
          <w:p w14:paraId="11DEBAB1">
            <w:pPr>
              <w:tabs>
                <w:tab w:val="left" w:pos="1820"/>
                <w:tab w:val="center" w:pos="3042"/>
              </w:tabs>
              <w:adjustRightInd w:val="0"/>
              <w:spacing w:line="360" w:lineRule="auto"/>
              <w:jc w:val="left"/>
              <w:textAlignment w:val="baseline"/>
              <w:rPr>
                <w:rFonts w:ascii="宋体" w:hAnsi="宋体"/>
                <w:color w:val="auto"/>
                <w:szCs w:val="21"/>
              </w:rPr>
            </w:pPr>
            <w:r>
              <w:rPr>
                <w:rFonts w:ascii="Wingdings 2" w:hAnsi="Wingdings 2"/>
                <w:color w:val="auto"/>
                <w:sz w:val="32"/>
                <w:szCs w:val="32"/>
              </w:rPr>
              <w:t>□</w:t>
            </w:r>
            <w:r>
              <w:rPr>
                <w:rFonts w:hint="eastAsia" w:ascii="宋体" w:hAnsi="宋体"/>
                <w:color w:val="auto"/>
                <w:szCs w:val="21"/>
              </w:rPr>
              <w:t>要求</w:t>
            </w:r>
          </w:p>
          <w:p w14:paraId="742A5B43">
            <w:pPr>
              <w:tabs>
                <w:tab w:val="left" w:pos="1820"/>
                <w:tab w:val="center" w:pos="3042"/>
              </w:tabs>
              <w:adjustRightInd w:val="0"/>
              <w:spacing w:line="360" w:lineRule="auto"/>
              <w:jc w:val="left"/>
              <w:textAlignment w:val="baseline"/>
              <w:rPr>
                <w:rFonts w:ascii="宋体" w:hAnsi="宋体"/>
                <w:color w:val="auto"/>
                <w:szCs w:val="21"/>
                <w:u w:val="single"/>
              </w:rPr>
            </w:pPr>
            <w:r>
              <w:rPr>
                <w:rFonts w:hint="eastAsia" w:ascii="宋体" w:hAnsi="宋体"/>
                <w:color w:val="auto"/>
                <w:szCs w:val="21"/>
              </w:rPr>
              <w:t>履约担保的形式：</w:t>
            </w:r>
            <w:r>
              <w:rPr>
                <w:rFonts w:hint="eastAsia" w:ascii="宋体" w:hAnsi="宋体"/>
                <w:color w:val="auto"/>
                <w:szCs w:val="21"/>
                <w:u w:val="single"/>
              </w:rPr>
              <w:t xml:space="preserve">  /  </w:t>
            </w:r>
            <w:r>
              <w:rPr>
                <w:rFonts w:hint="eastAsia" w:ascii="宋体" w:hAnsi="宋体"/>
                <w:color w:val="auto"/>
                <w:szCs w:val="21"/>
              </w:rPr>
              <w:t>等非现金形式提交；</w:t>
            </w:r>
          </w:p>
          <w:p w14:paraId="19CA6B58">
            <w:pPr>
              <w:tabs>
                <w:tab w:val="left" w:pos="1820"/>
                <w:tab w:val="center" w:pos="3042"/>
              </w:tabs>
              <w:adjustRightInd w:val="0"/>
              <w:spacing w:line="360" w:lineRule="auto"/>
              <w:jc w:val="left"/>
              <w:textAlignment w:val="baseline"/>
              <w:rPr>
                <w:rFonts w:ascii="宋体" w:hAnsi="宋体"/>
                <w:color w:val="auto"/>
                <w:szCs w:val="21"/>
                <w:u w:val="single"/>
              </w:rPr>
            </w:pPr>
            <w:r>
              <w:rPr>
                <w:rFonts w:hint="eastAsia" w:ascii="宋体" w:hAnsi="宋体"/>
                <w:color w:val="auto"/>
                <w:szCs w:val="21"/>
              </w:rPr>
              <w:t>履约担保的金额：</w:t>
            </w:r>
            <w:r>
              <w:rPr>
                <w:rFonts w:hint="eastAsia" w:ascii="宋体" w:hAnsi="宋体"/>
                <w:color w:val="auto"/>
                <w:szCs w:val="21"/>
                <w:u w:val="single"/>
              </w:rPr>
              <w:t xml:space="preserve">   / </w:t>
            </w:r>
            <w:r>
              <w:rPr>
                <w:rFonts w:hint="eastAsia" w:ascii="宋体" w:hAnsi="宋体"/>
                <w:color w:val="auto"/>
                <w:szCs w:val="21"/>
              </w:rPr>
              <w:t>。</w:t>
            </w:r>
          </w:p>
          <w:p w14:paraId="225F1345">
            <w:pPr>
              <w:pStyle w:val="12"/>
              <w:ind w:firstLine="0" w:firstLineChars="0"/>
              <w:rPr>
                <w:color w:val="auto"/>
              </w:rPr>
            </w:pPr>
            <w:r>
              <w:rPr>
                <w:rFonts w:hint="eastAsia" w:ascii="Segoe UI Emoji" w:hAnsi="Segoe UI Emoji" w:cs="Segoe UI Emoji"/>
                <w:color w:val="auto"/>
                <w:kern w:val="2"/>
                <w:sz w:val="21"/>
                <w:szCs w:val="21"/>
                <w:lang w:eastAsia="zh-CN"/>
              </w:rPr>
              <w:t>☑</w:t>
            </w:r>
            <w:r>
              <w:rPr>
                <w:rFonts w:hint="eastAsia"/>
                <w:color w:val="auto"/>
                <w:kern w:val="2"/>
                <w:sz w:val="21"/>
                <w:szCs w:val="21"/>
              </w:rPr>
              <w:t>不要求</w:t>
            </w:r>
          </w:p>
        </w:tc>
      </w:tr>
      <w:tr w14:paraId="3F9F5479">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73058668">
            <w:pPr>
              <w:adjustRightInd w:val="0"/>
              <w:spacing w:line="360" w:lineRule="auto"/>
              <w:jc w:val="center"/>
              <w:textAlignment w:val="baseline"/>
              <w:rPr>
                <w:rFonts w:ascii="宋体" w:hAnsi="宋体"/>
                <w:color w:val="auto"/>
                <w:szCs w:val="21"/>
              </w:rPr>
            </w:pPr>
            <w:r>
              <w:rPr>
                <w:rFonts w:hint="eastAsia" w:ascii="宋体" w:hAnsi="宋体"/>
                <w:color w:val="auto"/>
                <w:szCs w:val="21"/>
              </w:rPr>
              <w:t>10.1</w:t>
            </w:r>
          </w:p>
        </w:tc>
        <w:tc>
          <w:tcPr>
            <w:tcW w:w="1925" w:type="dxa"/>
            <w:tcBorders>
              <w:top w:val="single" w:color="auto" w:sz="4" w:space="0"/>
              <w:left w:val="single" w:color="auto" w:sz="4" w:space="0"/>
              <w:bottom w:val="single" w:color="auto" w:sz="4" w:space="0"/>
              <w:right w:val="single" w:color="auto" w:sz="4" w:space="0"/>
            </w:tcBorders>
            <w:vAlign w:val="center"/>
          </w:tcPr>
          <w:p w14:paraId="419704DC">
            <w:pPr>
              <w:spacing w:line="360" w:lineRule="auto"/>
              <w:jc w:val="center"/>
              <w:rPr>
                <w:rFonts w:ascii="宋体" w:hAnsi="宋体"/>
                <w:color w:val="auto"/>
                <w:szCs w:val="21"/>
              </w:rPr>
            </w:pPr>
            <w:r>
              <w:rPr>
                <w:rFonts w:hint="eastAsia" w:ascii="宋体" w:hAnsi="宋体"/>
                <w:color w:val="auto"/>
                <w:szCs w:val="21"/>
              </w:rPr>
              <w:t>同义词语</w:t>
            </w:r>
          </w:p>
        </w:tc>
        <w:tc>
          <w:tcPr>
            <w:tcW w:w="5980" w:type="dxa"/>
            <w:tcBorders>
              <w:top w:val="single" w:color="auto" w:sz="4" w:space="0"/>
              <w:left w:val="single" w:color="auto" w:sz="4" w:space="0"/>
              <w:bottom w:val="single" w:color="auto" w:sz="4" w:space="0"/>
              <w:right w:val="single" w:color="auto" w:sz="4" w:space="0"/>
            </w:tcBorders>
            <w:vAlign w:val="center"/>
          </w:tcPr>
          <w:p w14:paraId="4839FC7A">
            <w:pPr>
              <w:spacing w:line="360" w:lineRule="auto"/>
              <w:rPr>
                <w:rFonts w:ascii="宋体" w:hAnsi="宋体"/>
                <w:color w:val="auto"/>
                <w:szCs w:val="21"/>
              </w:rPr>
            </w:pPr>
            <w:r>
              <w:rPr>
                <w:rFonts w:hint="eastAsia" w:ascii="宋体" w:hAnsi="宋体"/>
                <w:color w:val="auto"/>
                <w:szCs w:val="21"/>
              </w:rPr>
              <w:t>构成采购文件组成部分的“通用合同条款”、“专用合同条款”、“采购需求”等章节中出现的措辞“发包人”和“承包人”，在招标投标阶段应当分别按“采购人”和“投标人”进行理解。</w:t>
            </w:r>
          </w:p>
        </w:tc>
      </w:tr>
      <w:tr w14:paraId="7129D290">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2FA627E0">
            <w:pPr>
              <w:adjustRightInd w:val="0"/>
              <w:spacing w:line="360" w:lineRule="auto"/>
              <w:jc w:val="center"/>
              <w:textAlignment w:val="baseline"/>
              <w:rPr>
                <w:rFonts w:ascii="宋体" w:hAnsi="宋体"/>
                <w:color w:val="auto"/>
                <w:szCs w:val="21"/>
              </w:rPr>
            </w:pPr>
            <w:r>
              <w:rPr>
                <w:rFonts w:hint="eastAsia" w:ascii="宋体" w:hAnsi="宋体"/>
                <w:color w:val="auto"/>
                <w:szCs w:val="21"/>
              </w:rPr>
              <w:t>10.2</w:t>
            </w:r>
          </w:p>
        </w:tc>
        <w:tc>
          <w:tcPr>
            <w:tcW w:w="1925" w:type="dxa"/>
            <w:tcBorders>
              <w:top w:val="single" w:color="auto" w:sz="4" w:space="0"/>
              <w:left w:val="single" w:color="auto" w:sz="4" w:space="0"/>
              <w:bottom w:val="single" w:color="auto" w:sz="4" w:space="0"/>
              <w:right w:val="single" w:color="auto" w:sz="4" w:space="0"/>
            </w:tcBorders>
            <w:vAlign w:val="center"/>
          </w:tcPr>
          <w:p w14:paraId="45D36F46">
            <w:pPr>
              <w:spacing w:line="360" w:lineRule="auto"/>
              <w:jc w:val="center"/>
              <w:rPr>
                <w:rFonts w:ascii="宋体" w:hAnsi="宋体"/>
                <w:color w:val="auto"/>
              </w:rPr>
            </w:pPr>
            <w:r>
              <w:rPr>
                <w:rFonts w:hint="eastAsia" w:ascii="宋体" w:hAnsi="宋体"/>
                <w:color w:val="auto"/>
              </w:rPr>
              <w:t>采购文件内容冲突的解决及优先适用次序</w:t>
            </w:r>
          </w:p>
        </w:tc>
        <w:tc>
          <w:tcPr>
            <w:tcW w:w="5980" w:type="dxa"/>
            <w:tcBorders>
              <w:top w:val="single" w:color="auto" w:sz="4" w:space="0"/>
              <w:left w:val="single" w:color="auto" w:sz="4" w:space="0"/>
              <w:bottom w:val="single" w:color="auto" w:sz="4" w:space="0"/>
              <w:right w:val="single" w:color="auto" w:sz="4" w:space="0"/>
            </w:tcBorders>
            <w:vAlign w:val="center"/>
          </w:tcPr>
          <w:p w14:paraId="2050E581">
            <w:pPr>
              <w:spacing w:line="360" w:lineRule="auto"/>
              <w:rPr>
                <w:rFonts w:ascii="宋体" w:hAnsi="宋体"/>
                <w:color w:val="auto"/>
              </w:rPr>
            </w:pPr>
            <w:r>
              <w:rPr>
                <w:rFonts w:hint="eastAsia" w:ascii="宋体" w:hAnsi="宋体"/>
                <w:color w:val="auto"/>
              </w:rPr>
              <w:t>采购文件中采购人编制的内容前后有矛盾或不一致，有时间先后顺序的，以时间在后的修改、澄清或补正文件为准；没有时间先后顺序的，以公平的原则进行处理。</w:t>
            </w:r>
          </w:p>
        </w:tc>
      </w:tr>
      <w:tr w14:paraId="441E4917">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1771FF69">
            <w:pPr>
              <w:adjustRightInd w:val="0"/>
              <w:spacing w:line="360" w:lineRule="auto"/>
              <w:jc w:val="center"/>
              <w:textAlignment w:val="baseline"/>
              <w:rPr>
                <w:rFonts w:ascii="宋体" w:hAnsi="宋体"/>
                <w:color w:val="auto"/>
                <w:szCs w:val="21"/>
              </w:rPr>
            </w:pPr>
            <w:r>
              <w:rPr>
                <w:rFonts w:hint="eastAsia" w:ascii="宋体" w:hAnsi="宋体"/>
                <w:color w:val="auto"/>
                <w:szCs w:val="21"/>
              </w:rPr>
              <w:t>10.3</w:t>
            </w:r>
          </w:p>
        </w:tc>
        <w:tc>
          <w:tcPr>
            <w:tcW w:w="1925" w:type="dxa"/>
            <w:tcBorders>
              <w:top w:val="single" w:color="auto" w:sz="4" w:space="0"/>
              <w:left w:val="single" w:color="auto" w:sz="4" w:space="0"/>
              <w:bottom w:val="single" w:color="auto" w:sz="4" w:space="0"/>
              <w:right w:val="single" w:color="auto" w:sz="4" w:space="0"/>
            </w:tcBorders>
            <w:vAlign w:val="center"/>
          </w:tcPr>
          <w:p w14:paraId="3DE7F787">
            <w:pPr>
              <w:spacing w:line="360" w:lineRule="auto"/>
              <w:jc w:val="center"/>
              <w:rPr>
                <w:rFonts w:ascii="宋体" w:hAnsi="宋体"/>
                <w:color w:val="auto"/>
              </w:rPr>
            </w:pPr>
            <w:r>
              <w:rPr>
                <w:rFonts w:hint="eastAsia" w:ascii="宋体" w:hAnsi="宋体"/>
                <w:color w:val="auto"/>
              </w:rPr>
              <w:t>采购文件的解释</w:t>
            </w:r>
          </w:p>
        </w:tc>
        <w:tc>
          <w:tcPr>
            <w:tcW w:w="5980" w:type="dxa"/>
            <w:tcBorders>
              <w:top w:val="single" w:color="auto" w:sz="4" w:space="0"/>
              <w:left w:val="single" w:color="auto" w:sz="4" w:space="0"/>
              <w:bottom w:val="single" w:color="auto" w:sz="4" w:space="0"/>
              <w:right w:val="single" w:color="auto" w:sz="4" w:space="0"/>
            </w:tcBorders>
            <w:vAlign w:val="center"/>
          </w:tcPr>
          <w:p w14:paraId="0699FF46">
            <w:pPr>
              <w:spacing w:line="360" w:lineRule="auto"/>
              <w:rPr>
                <w:rFonts w:ascii="宋体" w:hAnsi="宋体"/>
                <w:color w:val="auto"/>
              </w:rPr>
            </w:pPr>
            <w:r>
              <w:rPr>
                <w:rFonts w:hint="eastAsia" w:ascii="宋体" w:hAnsi="宋体"/>
                <w:color w:val="auto"/>
              </w:rPr>
              <w:t>采购人自行编写的内容由采购人（招标代理机构）解释。对采购人自行编写的内容理解有争议的，按照采购文件所使用的词句、采购文件的有关条款、招标的目的、习惯以及诚实信用原则，确定该条款的真实意思。有两种以上解释的，作出不利于采购人一方的解释。</w:t>
            </w:r>
          </w:p>
        </w:tc>
      </w:tr>
      <w:tr w14:paraId="4658165F">
        <w:tblPrEx>
          <w:tblCellMar>
            <w:top w:w="0" w:type="dxa"/>
            <w:left w:w="108" w:type="dxa"/>
            <w:bottom w:w="0" w:type="dxa"/>
            <w:right w:w="108" w:type="dxa"/>
          </w:tblCellMar>
        </w:tblPrEx>
        <w:trPr>
          <w:trHeight w:val="795" w:hRule="atLeast"/>
          <w:jc w:val="center"/>
        </w:trPr>
        <w:tc>
          <w:tcPr>
            <w:tcW w:w="1077" w:type="dxa"/>
            <w:tcBorders>
              <w:top w:val="single" w:color="auto" w:sz="4" w:space="0"/>
              <w:left w:val="single" w:color="auto" w:sz="4" w:space="0"/>
              <w:bottom w:val="single" w:color="auto" w:sz="4" w:space="0"/>
              <w:right w:val="single" w:color="auto" w:sz="4" w:space="0"/>
            </w:tcBorders>
            <w:vAlign w:val="center"/>
          </w:tcPr>
          <w:p w14:paraId="6157964E">
            <w:pPr>
              <w:adjustRightInd w:val="0"/>
              <w:spacing w:line="360" w:lineRule="auto"/>
              <w:jc w:val="center"/>
              <w:textAlignment w:val="baseline"/>
              <w:rPr>
                <w:rFonts w:ascii="宋体" w:hAnsi="宋体"/>
                <w:color w:val="auto"/>
                <w:szCs w:val="21"/>
              </w:rPr>
            </w:pPr>
            <w:r>
              <w:rPr>
                <w:rFonts w:hint="eastAsia" w:ascii="宋体" w:hAnsi="宋体"/>
                <w:color w:val="auto"/>
                <w:szCs w:val="21"/>
              </w:rPr>
              <w:t>10.4</w:t>
            </w:r>
          </w:p>
        </w:tc>
        <w:tc>
          <w:tcPr>
            <w:tcW w:w="1925" w:type="dxa"/>
            <w:tcBorders>
              <w:top w:val="single" w:color="auto" w:sz="4" w:space="0"/>
              <w:left w:val="single" w:color="auto" w:sz="4" w:space="0"/>
              <w:bottom w:val="single" w:color="auto" w:sz="4" w:space="0"/>
              <w:right w:val="single" w:color="auto" w:sz="4" w:space="0"/>
            </w:tcBorders>
            <w:vAlign w:val="center"/>
          </w:tcPr>
          <w:p w14:paraId="319F53A0">
            <w:pPr>
              <w:spacing w:line="360" w:lineRule="auto"/>
              <w:jc w:val="center"/>
              <w:rPr>
                <w:rFonts w:ascii="宋体" w:hAnsi="宋体"/>
                <w:color w:val="auto"/>
              </w:rPr>
            </w:pPr>
            <w:r>
              <w:rPr>
                <w:rFonts w:hint="eastAsia" w:ascii="宋体" w:hAnsi="宋体"/>
                <w:color w:val="auto"/>
              </w:rPr>
              <w:t>中标后须提交的投标文件</w:t>
            </w:r>
          </w:p>
        </w:tc>
        <w:tc>
          <w:tcPr>
            <w:tcW w:w="5980" w:type="dxa"/>
            <w:tcBorders>
              <w:top w:val="single" w:color="auto" w:sz="4" w:space="0"/>
              <w:left w:val="single" w:color="auto" w:sz="4" w:space="0"/>
              <w:bottom w:val="single" w:color="auto" w:sz="4" w:space="0"/>
              <w:right w:val="single" w:color="auto" w:sz="4" w:space="0"/>
            </w:tcBorders>
            <w:vAlign w:val="center"/>
          </w:tcPr>
          <w:p w14:paraId="125F9189">
            <w:pPr>
              <w:spacing w:line="360" w:lineRule="auto"/>
              <w:jc w:val="center"/>
              <w:rPr>
                <w:rFonts w:ascii="宋体" w:hAnsi="宋体"/>
                <w:color w:val="auto"/>
              </w:rPr>
            </w:pPr>
            <w:r>
              <w:rPr>
                <w:rFonts w:hint="eastAsia" w:ascii="宋体" w:hAnsi="宋体"/>
                <w:b/>
                <w:bCs/>
                <w:color w:val="auto"/>
              </w:rPr>
              <w:t>不要求</w:t>
            </w:r>
          </w:p>
        </w:tc>
      </w:tr>
      <w:tr w14:paraId="6EC77C34">
        <w:tblPrEx>
          <w:tblCellMar>
            <w:top w:w="0" w:type="dxa"/>
            <w:left w:w="108" w:type="dxa"/>
            <w:bottom w:w="0" w:type="dxa"/>
            <w:right w:w="108" w:type="dxa"/>
          </w:tblCellMar>
        </w:tblPrEx>
        <w:trPr>
          <w:trHeight w:val="1120" w:hRule="atLeast"/>
          <w:jc w:val="center"/>
        </w:trPr>
        <w:tc>
          <w:tcPr>
            <w:tcW w:w="1077" w:type="dxa"/>
            <w:tcBorders>
              <w:top w:val="single" w:color="auto" w:sz="4" w:space="0"/>
              <w:left w:val="single" w:color="auto" w:sz="4" w:space="0"/>
              <w:bottom w:val="single" w:color="auto" w:sz="4" w:space="0"/>
              <w:right w:val="single" w:color="auto" w:sz="4" w:space="0"/>
            </w:tcBorders>
            <w:vAlign w:val="center"/>
          </w:tcPr>
          <w:p w14:paraId="66A2F69B">
            <w:pPr>
              <w:adjustRightInd w:val="0"/>
              <w:spacing w:line="360" w:lineRule="auto"/>
              <w:jc w:val="center"/>
              <w:textAlignment w:val="baseline"/>
              <w:rPr>
                <w:rFonts w:ascii="宋体" w:hAnsi="宋体"/>
                <w:color w:val="auto"/>
                <w:szCs w:val="21"/>
              </w:rPr>
            </w:pPr>
            <w:r>
              <w:rPr>
                <w:rFonts w:hint="eastAsia" w:ascii="宋体" w:hAnsi="宋体"/>
                <w:color w:val="auto"/>
                <w:szCs w:val="21"/>
              </w:rPr>
              <w:t>10.5</w:t>
            </w:r>
          </w:p>
        </w:tc>
        <w:tc>
          <w:tcPr>
            <w:tcW w:w="1925" w:type="dxa"/>
            <w:tcBorders>
              <w:top w:val="single" w:color="auto" w:sz="4" w:space="0"/>
              <w:left w:val="single" w:color="auto" w:sz="4" w:space="0"/>
              <w:bottom w:val="single" w:color="auto" w:sz="4" w:space="0"/>
              <w:right w:val="single" w:color="auto" w:sz="4" w:space="0"/>
            </w:tcBorders>
            <w:vAlign w:val="center"/>
          </w:tcPr>
          <w:p w14:paraId="4032CB40">
            <w:pPr>
              <w:spacing w:line="360" w:lineRule="auto"/>
              <w:jc w:val="center"/>
              <w:rPr>
                <w:rFonts w:ascii="宋体" w:hAnsi="宋体"/>
                <w:color w:val="auto"/>
              </w:rPr>
            </w:pPr>
            <w:r>
              <w:rPr>
                <w:rFonts w:hint="eastAsia" w:ascii="宋体" w:hAnsi="宋体"/>
                <w:color w:val="auto"/>
              </w:rPr>
              <w:t>结果公示</w:t>
            </w:r>
          </w:p>
        </w:tc>
        <w:tc>
          <w:tcPr>
            <w:tcW w:w="5980" w:type="dxa"/>
            <w:tcBorders>
              <w:top w:val="single" w:color="auto" w:sz="4" w:space="0"/>
              <w:left w:val="single" w:color="auto" w:sz="4" w:space="0"/>
              <w:bottom w:val="single" w:color="auto" w:sz="4" w:space="0"/>
              <w:right w:val="single" w:color="auto" w:sz="4" w:space="0"/>
            </w:tcBorders>
            <w:vAlign w:val="center"/>
          </w:tcPr>
          <w:p w14:paraId="7E6E3D4A">
            <w:pPr>
              <w:spacing w:line="360" w:lineRule="auto"/>
              <w:rPr>
                <w:rFonts w:ascii="宋体" w:hAnsi="宋体"/>
                <w:color w:val="auto"/>
              </w:rPr>
            </w:pPr>
            <w:r>
              <w:rPr>
                <w:rFonts w:hint="eastAsia" w:ascii="宋体" w:hAnsi="宋体"/>
                <w:color w:val="auto"/>
              </w:rPr>
              <w:t>采购人或采购代理机构自中标人确定之日起2个工作日内，在</w:t>
            </w:r>
            <w:r>
              <w:rPr>
                <w:rFonts w:hint="eastAsia" w:ascii="宋体" w:hAnsi="宋体" w:cs="宋体"/>
                <w:color w:val="auto"/>
              </w:rPr>
              <w:t>《云南省政府采购网》上</w:t>
            </w:r>
            <w:r>
              <w:rPr>
                <w:rFonts w:hint="eastAsia" w:ascii="宋体" w:hAnsi="宋体"/>
                <w:color w:val="auto"/>
              </w:rPr>
              <w:t>予以公示，公示期为1个工作日。</w:t>
            </w:r>
          </w:p>
        </w:tc>
      </w:tr>
      <w:tr w14:paraId="6F9EB28A">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50FB2A4D">
            <w:pPr>
              <w:adjustRightInd w:val="0"/>
              <w:spacing w:line="360" w:lineRule="auto"/>
              <w:jc w:val="center"/>
              <w:textAlignment w:val="baseline"/>
              <w:rPr>
                <w:rFonts w:ascii="宋体" w:hAnsi="宋体"/>
                <w:color w:val="auto"/>
                <w:szCs w:val="21"/>
              </w:rPr>
            </w:pPr>
            <w:bookmarkStart w:id="50" w:name="_Toc525742088"/>
            <w:bookmarkStart w:id="51" w:name="_Toc525742002"/>
            <w:r>
              <w:rPr>
                <w:rFonts w:hint="eastAsia" w:ascii="宋体" w:hAnsi="宋体"/>
                <w:color w:val="auto"/>
              </w:rPr>
              <w:t>10.6</w:t>
            </w:r>
          </w:p>
        </w:tc>
        <w:tc>
          <w:tcPr>
            <w:tcW w:w="1925" w:type="dxa"/>
            <w:tcBorders>
              <w:top w:val="single" w:color="auto" w:sz="4" w:space="0"/>
              <w:left w:val="single" w:color="auto" w:sz="4" w:space="0"/>
              <w:bottom w:val="single" w:color="auto" w:sz="4" w:space="0"/>
              <w:right w:val="single" w:color="auto" w:sz="4" w:space="0"/>
            </w:tcBorders>
            <w:vAlign w:val="center"/>
          </w:tcPr>
          <w:p w14:paraId="23CE7267">
            <w:pPr>
              <w:spacing w:line="360" w:lineRule="auto"/>
              <w:jc w:val="center"/>
              <w:rPr>
                <w:rFonts w:ascii="宋体" w:hAnsi="宋体"/>
                <w:color w:val="auto"/>
              </w:rPr>
            </w:pPr>
            <w:r>
              <w:rPr>
                <w:rFonts w:hint="eastAsia" w:ascii="宋体" w:hAnsi="宋体"/>
                <w:color w:val="auto"/>
              </w:rPr>
              <w:t>质疑提出的时间与方式</w:t>
            </w:r>
          </w:p>
        </w:tc>
        <w:tc>
          <w:tcPr>
            <w:tcW w:w="5980" w:type="dxa"/>
            <w:tcBorders>
              <w:top w:val="single" w:color="auto" w:sz="4" w:space="0"/>
              <w:left w:val="single" w:color="auto" w:sz="4" w:space="0"/>
              <w:bottom w:val="single" w:color="auto" w:sz="4" w:space="0"/>
              <w:right w:val="single" w:color="auto" w:sz="4" w:space="0"/>
            </w:tcBorders>
            <w:vAlign w:val="center"/>
          </w:tcPr>
          <w:p w14:paraId="6A4BB816">
            <w:pPr>
              <w:spacing w:line="360" w:lineRule="auto"/>
              <w:jc w:val="left"/>
              <w:rPr>
                <w:rFonts w:ascii="宋体" w:hAnsi="宋体"/>
                <w:color w:val="auto"/>
              </w:rPr>
            </w:pPr>
            <w:r>
              <w:rPr>
                <w:rFonts w:hint="eastAsia" w:ascii="宋体" w:hAnsi="宋体"/>
                <w:color w:val="auto"/>
              </w:rPr>
              <w:t>质疑提出方式：以书面形式提交。</w:t>
            </w:r>
          </w:p>
          <w:p w14:paraId="7DDFB953">
            <w:pPr>
              <w:spacing w:line="360" w:lineRule="auto"/>
              <w:rPr>
                <w:rFonts w:hint="eastAsia" w:ascii="宋体" w:hAnsi="宋体"/>
                <w:color w:val="auto"/>
                <w:lang w:eastAsia="zh-CN"/>
              </w:rPr>
            </w:pPr>
            <w:r>
              <w:rPr>
                <w:rFonts w:hint="eastAsia" w:ascii="宋体" w:hAnsi="宋体"/>
                <w:color w:val="auto"/>
              </w:rPr>
              <w:t>采购人联系部门：</w:t>
            </w:r>
            <w:r>
              <w:rPr>
                <w:rFonts w:hint="eastAsia" w:ascii="宋体" w:hAnsi="宋体"/>
                <w:color w:val="auto"/>
                <w:lang w:eastAsia="zh-CN"/>
              </w:rPr>
              <w:t>迪庆藏族自治州博物馆</w:t>
            </w:r>
          </w:p>
          <w:p w14:paraId="70DBA157">
            <w:pPr>
              <w:spacing w:line="360" w:lineRule="auto"/>
              <w:rPr>
                <w:rFonts w:hint="eastAsia" w:ascii="宋体" w:hAnsi="宋体" w:cs="宋体"/>
                <w:color w:val="auto"/>
                <w:szCs w:val="21"/>
                <w:shd w:val="clear" w:color="auto" w:fill="FFFFFF"/>
              </w:rPr>
            </w:pPr>
            <w:r>
              <w:rPr>
                <w:rFonts w:hint="eastAsia" w:ascii="宋体" w:hAnsi="宋体" w:cs="宋体"/>
                <w:color w:val="auto"/>
                <w:szCs w:val="21"/>
                <w:shd w:val="clear" w:color="auto" w:fill="FFFFFF"/>
              </w:rPr>
              <w:t>地址：云南省迪庆州香格里拉市建塘镇独克宗古城月光广场旁</w:t>
            </w:r>
          </w:p>
          <w:p w14:paraId="585EBBE5">
            <w:pPr>
              <w:spacing w:line="360" w:lineRule="auto"/>
              <w:rPr>
                <w:rFonts w:hint="eastAsia" w:ascii="宋体" w:hAnsi="宋体" w:cs="宋体"/>
                <w:color w:val="auto"/>
                <w:szCs w:val="21"/>
                <w:shd w:val="clear" w:color="auto" w:fill="FFFFFF"/>
              </w:rPr>
            </w:pPr>
            <w:r>
              <w:rPr>
                <w:rFonts w:hint="eastAsia" w:ascii="宋体" w:hAnsi="宋体" w:cs="宋体"/>
                <w:color w:val="auto"/>
                <w:szCs w:val="21"/>
                <w:shd w:val="clear" w:color="auto" w:fill="FFFFFF"/>
              </w:rPr>
              <w:t>联系方式：0887-8226610</w:t>
            </w:r>
          </w:p>
          <w:p w14:paraId="7C6C23C9">
            <w:pPr>
              <w:spacing w:line="360" w:lineRule="auto"/>
              <w:rPr>
                <w:rFonts w:ascii="宋体" w:hAnsi="宋体"/>
                <w:color w:val="auto"/>
                <w:szCs w:val="21"/>
              </w:rPr>
            </w:pPr>
            <w:r>
              <w:rPr>
                <w:rFonts w:hint="eastAsia" w:ascii="宋体" w:hAnsi="宋体"/>
                <w:color w:val="auto"/>
              </w:rPr>
              <w:t>采购代理机构联系部门：</w:t>
            </w:r>
            <w:r>
              <w:rPr>
                <w:rFonts w:hint="eastAsia" w:ascii="宋体" w:hAnsi="宋体"/>
                <w:color w:val="auto"/>
                <w:szCs w:val="21"/>
              </w:rPr>
              <w:t>云南哲崇项目管理有限公司</w:t>
            </w:r>
          </w:p>
          <w:p w14:paraId="59F89358">
            <w:pPr>
              <w:spacing w:line="360" w:lineRule="auto"/>
              <w:rPr>
                <w:rFonts w:ascii="宋体" w:hAnsi="宋体"/>
                <w:color w:val="auto"/>
                <w:szCs w:val="21"/>
              </w:rPr>
            </w:pPr>
            <w:r>
              <w:rPr>
                <w:rFonts w:hint="eastAsia" w:ascii="宋体" w:hAnsi="宋体"/>
                <w:color w:val="auto"/>
                <w:szCs w:val="21"/>
              </w:rPr>
              <w:t>地  址：香格里拉市建塘镇建塘社区香巴拉小镇5组团508栋3单元201室</w:t>
            </w:r>
          </w:p>
          <w:p w14:paraId="5666A7BB">
            <w:pPr>
              <w:spacing w:line="360" w:lineRule="auto"/>
              <w:rPr>
                <w:rFonts w:ascii="宋体" w:hAnsi="宋体"/>
                <w:color w:val="auto"/>
                <w:szCs w:val="21"/>
              </w:rPr>
            </w:pPr>
            <w:r>
              <w:rPr>
                <w:rFonts w:hint="eastAsia" w:ascii="宋体" w:hAnsi="宋体"/>
                <w:color w:val="auto"/>
                <w:szCs w:val="21"/>
              </w:rPr>
              <w:t>联系人：和晓婷</w:t>
            </w:r>
          </w:p>
          <w:p w14:paraId="4AF382DC">
            <w:pPr>
              <w:spacing w:line="360" w:lineRule="auto"/>
              <w:jc w:val="left"/>
              <w:rPr>
                <w:rFonts w:ascii="宋体" w:hAnsi="宋体"/>
                <w:color w:val="auto"/>
              </w:rPr>
            </w:pPr>
            <w:r>
              <w:rPr>
                <w:rFonts w:hint="eastAsia" w:ascii="宋体" w:hAnsi="宋体"/>
                <w:color w:val="auto"/>
                <w:szCs w:val="21"/>
              </w:rPr>
              <w:t>电　话：19108876770</w:t>
            </w:r>
          </w:p>
          <w:p w14:paraId="420A8C37">
            <w:pPr>
              <w:spacing w:line="360" w:lineRule="auto"/>
              <w:jc w:val="left"/>
              <w:rPr>
                <w:rFonts w:ascii="宋体" w:hAnsi="宋体"/>
                <w:color w:val="auto"/>
              </w:rPr>
            </w:pPr>
            <w:r>
              <w:rPr>
                <w:rFonts w:hint="eastAsia" w:ascii="宋体" w:hAnsi="宋体"/>
                <w:color w:val="auto"/>
              </w:rPr>
              <w:t>投标人认为采购文件、采购过程、中标或者成交结果使自己的权益受到损害的，可以在知道或者应知其权益受到损害之日起7个工作日内，以书面形式向采购人、采购代理机构提出质疑。</w:t>
            </w:r>
          </w:p>
        </w:tc>
      </w:tr>
    </w:tbl>
    <w:p w14:paraId="33B0118E">
      <w:pPr>
        <w:pStyle w:val="42"/>
        <w:spacing w:line="360" w:lineRule="auto"/>
        <w:outlineLvl w:val="9"/>
        <w:rPr>
          <w:rFonts w:ascii="宋体" w:hAnsi="宋体" w:eastAsia="宋体"/>
          <w:b/>
          <w:color w:val="auto"/>
        </w:rPr>
      </w:pPr>
      <w:bookmarkStart w:id="52" w:name="_Toc14550"/>
    </w:p>
    <w:p w14:paraId="39F631A4">
      <w:pPr>
        <w:spacing w:line="360" w:lineRule="auto"/>
        <w:jc w:val="left"/>
        <w:rPr>
          <w:rFonts w:ascii="宋体" w:hAnsi="宋体"/>
          <w:color w:val="auto"/>
        </w:rPr>
      </w:pPr>
    </w:p>
    <w:p w14:paraId="00C45956">
      <w:pPr>
        <w:spacing w:line="360" w:lineRule="auto"/>
        <w:jc w:val="left"/>
        <w:rPr>
          <w:rFonts w:ascii="宋体" w:hAnsi="宋体"/>
          <w:color w:val="auto"/>
        </w:rPr>
      </w:pPr>
    </w:p>
    <w:p w14:paraId="457294A4">
      <w:pPr>
        <w:spacing w:line="360" w:lineRule="auto"/>
        <w:jc w:val="left"/>
        <w:rPr>
          <w:rFonts w:ascii="宋体" w:hAnsi="宋体"/>
          <w:color w:val="auto"/>
        </w:rPr>
      </w:pPr>
    </w:p>
    <w:p w14:paraId="3B3E8012">
      <w:pPr>
        <w:spacing w:line="360" w:lineRule="auto"/>
        <w:jc w:val="left"/>
        <w:rPr>
          <w:rFonts w:ascii="宋体" w:hAnsi="宋体"/>
          <w:color w:val="auto"/>
        </w:rPr>
      </w:pPr>
    </w:p>
    <w:p w14:paraId="104452C2">
      <w:pPr>
        <w:spacing w:line="360" w:lineRule="auto"/>
        <w:jc w:val="left"/>
        <w:rPr>
          <w:rFonts w:ascii="宋体" w:hAnsi="宋体"/>
          <w:color w:val="auto"/>
        </w:rPr>
      </w:pPr>
    </w:p>
    <w:p w14:paraId="30C2A1C1">
      <w:pPr>
        <w:spacing w:line="360" w:lineRule="auto"/>
        <w:jc w:val="left"/>
        <w:rPr>
          <w:rFonts w:ascii="宋体" w:hAnsi="宋体"/>
          <w:color w:val="auto"/>
        </w:rPr>
      </w:pPr>
    </w:p>
    <w:p w14:paraId="58E2FC22">
      <w:pPr>
        <w:pStyle w:val="42"/>
        <w:spacing w:line="360" w:lineRule="auto"/>
        <w:outlineLvl w:val="1"/>
        <w:rPr>
          <w:rFonts w:ascii="宋体" w:hAnsi="宋体" w:eastAsia="宋体"/>
          <w:b/>
          <w:color w:val="auto"/>
        </w:rPr>
      </w:pPr>
      <w:bookmarkStart w:id="53" w:name="_Toc18943"/>
      <w:bookmarkStart w:id="54" w:name="_Toc1401"/>
      <w:bookmarkStart w:id="55" w:name="_Toc24027"/>
      <w:r>
        <w:rPr>
          <w:rFonts w:hint="eastAsia" w:ascii="宋体" w:hAnsi="宋体" w:eastAsia="宋体"/>
          <w:b/>
          <w:color w:val="auto"/>
        </w:rPr>
        <w:t xml:space="preserve">1. </w:t>
      </w:r>
      <w:bookmarkStart w:id="56" w:name="_Toc152045529"/>
      <w:bookmarkStart w:id="57" w:name="_Toc152042305"/>
      <w:bookmarkStart w:id="58" w:name="_Toc144974497"/>
      <w:r>
        <w:rPr>
          <w:rFonts w:hint="eastAsia" w:ascii="宋体" w:hAnsi="宋体" w:eastAsia="宋体"/>
          <w:b/>
          <w:color w:val="auto"/>
        </w:rPr>
        <w:t>总则</w:t>
      </w:r>
      <w:bookmarkEnd w:id="50"/>
      <w:bookmarkEnd w:id="51"/>
      <w:bookmarkEnd w:id="52"/>
      <w:bookmarkEnd w:id="53"/>
      <w:bookmarkEnd w:id="54"/>
      <w:bookmarkEnd w:id="55"/>
      <w:bookmarkEnd w:id="56"/>
      <w:bookmarkEnd w:id="57"/>
      <w:bookmarkEnd w:id="58"/>
      <w:bookmarkStart w:id="59" w:name="_Toc144974498"/>
      <w:bookmarkStart w:id="60" w:name="_Toc152045530"/>
      <w:bookmarkStart w:id="61" w:name="_Toc152042306"/>
    </w:p>
    <w:p w14:paraId="400CA676">
      <w:pPr>
        <w:pStyle w:val="42"/>
        <w:spacing w:line="360" w:lineRule="auto"/>
        <w:rPr>
          <w:rFonts w:ascii="宋体" w:hAnsi="宋体" w:eastAsia="宋体"/>
          <w:color w:val="auto"/>
        </w:rPr>
      </w:pPr>
      <w:bookmarkStart w:id="62" w:name="_Toc16439"/>
      <w:bookmarkStart w:id="63" w:name="_Toc525742003"/>
      <w:bookmarkStart w:id="64" w:name="_Toc20001"/>
      <w:bookmarkStart w:id="65" w:name="_Toc26703"/>
      <w:bookmarkStart w:id="66" w:name="_Toc525742089"/>
      <w:bookmarkStart w:id="67" w:name="_Toc8185"/>
      <w:r>
        <w:rPr>
          <w:rFonts w:hint="eastAsia" w:ascii="宋体" w:hAnsi="宋体" w:eastAsia="宋体"/>
          <w:color w:val="auto"/>
        </w:rPr>
        <w:t>1.1 项目概况</w:t>
      </w:r>
      <w:bookmarkEnd w:id="59"/>
      <w:bookmarkEnd w:id="60"/>
      <w:bookmarkEnd w:id="61"/>
      <w:bookmarkEnd w:id="62"/>
      <w:bookmarkEnd w:id="63"/>
      <w:bookmarkEnd w:id="64"/>
      <w:bookmarkEnd w:id="65"/>
      <w:bookmarkEnd w:id="66"/>
      <w:bookmarkEnd w:id="67"/>
    </w:p>
    <w:p w14:paraId="055E2689">
      <w:pPr>
        <w:spacing w:line="360" w:lineRule="auto"/>
        <w:ind w:firstLine="420" w:firstLineChars="200"/>
        <w:rPr>
          <w:rFonts w:ascii="宋体" w:hAnsi="宋体"/>
          <w:color w:val="auto"/>
        </w:rPr>
      </w:pPr>
      <w:r>
        <w:rPr>
          <w:rFonts w:hint="eastAsia" w:ascii="宋体" w:hAnsi="宋体"/>
          <w:color w:val="auto"/>
        </w:rPr>
        <w:t>1.1.1根据</w:t>
      </w:r>
      <w:r>
        <w:rPr>
          <w:rFonts w:ascii="宋体" w:hAnsi="宋体"/>
          <w:color w:val="auto"/>
        </w:rPr>
        <w:t>《中华人民共和国政府采购法》、</w:t>
      </w:r>
      <w:r>
        <w:rPr>
          <w:rFonts w:hint="eastAsia" w:ascii="宋体" w:hAnsi="宋体"/>
          <w:color w:val="auto"/>
          <w:szCs w:val="21"/>
        </w:rPr>
        <w:t>《中华人民共和国政府采购法实施条例》、</w:t>
      </w:r>
      <w:r>
        <w:rPr>
          <w:rFonts w:ascii="宋体" w:hAnsi="宋体"/>
          <w:color w:val="auto"/>
        </w:rPr>
        <w:t>《政府采购货物和服务招标投标管理办法》</w:t>
      </w:r>
      <w:r>
        <w:rPr>
          <w:rFonts w:hint="eastAsia" w:ascii="宋体" w:hAnsi="宋体"/>
          <w:color w:val="auto"/>
        </w:rPr>
        <w:t>等有关法律、法规和规章的规定，本招标项目已具备招标条件，现对本项目进行招标。</w:t>
      </w:r>
    </w:p>
    <w:p w14:paraId="17D023F1">
      <w:pPr>
        <w:spacing w:line="360" w:lineRule="auto"/>
        <w:ind w:firstLine="420" w:firstLineChars="200"/>
        <w:rPr>
          <w:rFonts w:ascii="宋体" w:hAnsi="宋体"/>
          <w:color w:val="auto"/>
        </w:rPr>
      </w:pPr>
      <w:r>
        <w:rPr>
          <w:rFonts w:hint="eastAsia" w:ascii="宋体" w:hAnsi="宋体"/>
          <w:color w:val="auto"/>
        </w:rPr>
        <w:t>1.1.2 本招标项目</w:t>
      </w:r>
      <w:r>
        <w:rPr>
          <w:rFonts w:ascii="宋体" w:hAnsi="宋体"/>
          <w:color w:val="auto"/>
        </w:rPr>
        <w:t>采购人</w:t>
      </w:r>
      <w:r>
        <w:rPr>
          <w:rFonts w:hint="eastAsia" w:ascii="宋体" w:hAnsi="宋体"/>
          <w:color w:val="auto"/>
        </w:rPr>
        <w:t>：见</w:t>
      </w:r>
      <w:r>
        <w:rPr>
          <w:rFonts w:ascii="宋体" w:hAnsi="宋体"/>
          <w:color w:val="auto"/>
        </w:rPr>
        <w:t>投标人</w:t>
      </w:r>
      <w:r>
        <w:rPr>
          <w:rFonts w:hint="eastAsia" w:ascii="宋体" w:hAnsi="宋体"/>
          <w:color w:val="auto"/>
        </w:rPr>
        <w:t>须知前附表。</w:t>
      </w:r>
    </w:p>
    <w:p w14:paraId="189B1C5C">
      <w:pPr>
        <w:spacing w:line="360" w:lineRule="auto"/>
        <w:ind w:firstLine="420" w:firstLineChars="200"/>
        <w:rPr>
          <w:rFonts w:ascii="宋体" w:hAnsi="宋体"/>
          <w:color w:val="auto"/>
        </w:rPr>
      </w:pPr>
      <w:r>
        <w:rPr>
          <w:rFonts w:hint="eastAsia" w:ascii="宋体" w:hAnsi="宋体"/>
          <w:color w:val="auto"/>
        </w:rPr>
        <w:t>1.1.3 本招标项目采购</w:t>
      </w:r>
      <w:r>
        <w:rPr>
          <w:rFonts w:hint="eastAsia" w:ascii="宋体" w:hAnsi="宋体"/>
          <w:color w:val="auto"/>
          <w:szCs w:val="21"/>
        </w:rPr>
        <w:t>代理机构</w:t>
      </w:r>
      <w:r>
        <w:rPr>
          <w:rFonts w:hint="eastAsia" w:ascii="宋体" w:hAnsi="宋体"/>
          <w:color w:val="auto"/>
        </w:rPr>
        <w:t>：见</w:t>
      </w:r>
      <w:r>
        <w:rPr>
          <w:rFonts w:ascii="宋体" w:hAnsi="宋体"/>
          <w:color w:val="auto"/>
        </w:rPr>
        <w:t>投标人</w:t>
      </w:r>
      <w:r>
        <w:rPr>
          <w:rFonts w:hint="eastAsia" w:ascii="宋体" w:hAnsi="宋体"/>
          <w:color w:val="auto"/>
        </w:rPr>
        <w:t>须知前附表</w:t>
      </w:r>
    </w:p>
    <w:p w14:paraId="7F05FF22">
      <w:pPr>
        <w:spacing w:line="360" w:lineRule="auto"/>
        <w:ind w:firstLine="420" w:firstLineChars="200"/>
        <w:rPr>
          <w:rFonts w:ascii="宋体" w:hAnsi="宋体"/>
          <w:color w:val="auto"/>
        </w:rPr>
      </w:pPr>
      <w:r>
        <w:rPr>
          <w:rFonts w:hint="eastAsia" w:ascii="宋体" w:hAnsi="宋体"/>
          <w:color w:val="auto"/>
        </w:rPr>
        <w:t>1.1.4 本招标项目名称：见</w:t>
      </w:r>
      <w:r>
        <w:rPr>
          <w:rFonts w:ascii="宋体" w:hAnsi="宋体"/>
          <w:color w:val="auto"/>
        </w:rPr>
        <w:t>投标人</w:t>
      </w:r>
      <w:r>
        <w:rPr>
          <w:rFonts w:hint="eastAsia" w:ascii="宋体" w:hAnsi="宋体"/>
          <w:color w:val="auto"/>
        </w:rPr>
        <w:t>须知前附表。</w:t>
      </w:r>
    </w:p>
    <w:p w14:paraId="494536C5">
      <w:pPr>
        <w:spacing w:line="360" w:lineRule="auto"/>
        <w:ind w:firstLine="420" w:firstLineChars="200"/>
        <w:rPr>
          <w:rFonts w:ascii="宋体" w:hAnsi="宋体"/>
          <w:color w:val="auto"/>
        </w:rPr>
      </w:pPr>
      <w:r>
        <w:rPr>
          <w:rFonts w:hint="eastAsia" w:ascii="宋体" w:hAnsi="宋体"/>
          <w:color w:val="auto"/>
        </w:rPr>
        <w:t>1.1.5 本项目供货地点：见</w:t>
      </w:r>
      <w:r>
        <w:rPr>
          <w:rFonts w:ascii="宋体" w:hAnsi="宋体"/>
          <w:color w:val="auto"/>
        </w:rPr>
        <w:t>投标人</w:t>
      </w:r>
      <w:r>
        <w:rPr>
          <w:rFonts w:hint="eastAsia" w:ascii="宋体" w:hAnsi="宋体"/>
          <w:color w:val="auto"/>
        </w:rPr>
        <w:t>须知前附表。</w:t>
      </w:r>
    </w:p>
    <w:p w14:paraId="1D262E95">
      <w:pPr>
        <w:pStyle w:val="42"/>
        <w:spacing w:line="360" w:lineRule="auto"/>
        <w:rPr>
          <w:rFonts w:ascii="宋体" w:hAnsi="宋体" w:eastAsia="宋体"/>
          <w:color w:val="auto"/>
        </w:rPr>
      </w:pPr>
      <w:bookmarkStart w:id="68" w:name="_Toc525742004"/>
      <w:bookmarkStart w:id="69" w:name="_Toc525742090"/>
      <w:bookmarkStart w:id="70" w:name="_Toc144974499"/>
      <w:bookmarkStart w:id="71" w:name="_Toc152042307"/>
      <w:bookmarkStart w:id="72" w:name="_Toc152045531"/>
      <w:bookmarkStart w:id="73" w:name="_Toc19302"/>
      <w:bookmarkStart w:id="74" w:name="_Toc4372"/>
      <w:bookmarkStart w:id="75" w:name="_Toc16248"/>
      <w:bookmarkStart w:id="76" w:name="_Toc8793"/>
      <w:r>
        <w:rPr>
          <w:rFonts w:hint="eastAsia" w:ascii="宋体" w:hAnsi="宋体" w:eastAsia="宋体"/>
          <w:color w:val="auto"/>
        </w:rPr>
        <w:t>1.2 资金来源、出资比例、落实情况</w:t>
      </w:r>
      <w:bookmarkEnd w:id="68"/>
      <w:bookmarkEnd w:id="69"/>
      <w:bookmarkEnd w:id="70"/>
      <w:bookmarkEnd w:id="71"/>
      <w:bookmarkEnd w:id="72"/>
      <w:r>
        <w:rPr>
          <w:rFonts w:hint="eastAsia" w:ascii="宋体" w:hAnsi="宋体" w:eastAsia="宋体"/>
          <w:color w:val="auto"/>
        </w:rPr>
        <w:t>、</w:t>
      </w:r>
      <w:bookmarkEnd w:id="73"/>
      <w:r>
        <w:rPr>
          <w:rFonts w:hint="eastAsia" w:ascii="宋体" w:hAnsi="宋体" w:eastAsia="宋体"/>
          <w:color w:val="auto"/>
        </w:rPr>
        <w:t>最高限价</w:t>
      </w:r>
      <w:bookmarkEnd w:id="74"/>
      <w:bookmarkEnd w:id="75"/>
      <w:bookmarkEnd w:id="76"/>
    </w:p>
    <w:p w14:paraId="6E313345">
      <w:pPr>
        <w:spacing w:line="360" w:lineRule="auto"/>
        <w:ind w:firstLine="420" w:firstLineChars="200"/>
        <w:rPr>
          <w:rFonts w:ascii="宋体" w:hAnsi="宋体"/>
          <w:color w:val="auto"/>
        </w:rPr>
      </w:pPr>
      <w:r>
        <w:rPr>
          <w:rFonts w:hint="eastAsia" w:ascii="宋体" w:hAnsi="宋体"/>
          <w:color w:val="auto"/>
        </w:rPr>
        <w:t>1.2.1 本招标项目的资金来源：见</w:t>
      </w:r>
      <w:r>
        <w:rPr>
          <w:rFonts w:ascii="宋体" w:hAnsi="宋体"/>
          <w:color w:val="auto"/>
        </w:rPr>
        <w:t>投标人</w:t>
      </w:r>
      <w:r>
        <w:rPr>
          <w:rFonts w:hint="eastAsia" w:ascii="宋体" w:hAnsi="宋体"/>
          <w:color w:val="auto"/>
        </w:rPr>
        <w:t>须知前附表。</w:t>
      </w:r>
    </w:p>
    <w:p w14:paraId="2EA061E6">
      <w:pPr>
        <w:spacing w:line="360" w:lineRule="auto"/>
        <w:ind w:firstLine="420" w:firstLineChars="200"/>
        <w:rPr>
          <w:rFonts w:ascii="宋体" w:hAnsi="宋体"/>
          <w:color w:val="auto"/>
        </w:rPr>
      </w:pPr>
      <w:r>
        <w:rPr>
          <w:rFonts w:hint="eastAsia" w:ascii="宋体" w:hAnsi="宋体"/>
          <w:color w:val="auto"/>
        </w:rPr>
        <w:t>1.2.2 本招标项目的出资比例：见</w:t>
      </w:r>
      <w:r>
        <w:rPr>
          <w:rFonts w:ascii="宋体" w:hAnsi="宋体"/>
          <w:color w:val="auto"/>
        </w:rPr>
        <w:t>投标人</w:t>
      </w:r>
      <w:r>
        <w:rPr>
          <w:rFonts w:hint="eastAsia" w:ascii="宋体" w:hAnsi="宋体"/>
          <w:color w:val="auto"/>
        </w:rPr>
        <w:t>须知前附表。</w:t>
      </w:r>
    </w:p>
    <w:p w14:paraId="06AC8060">
      <w:pPr>
        <w:spacing w:line="360" w:lineRule="auto"/>
        <w:ind w:firstLine="420" w:firstLineChars="200"/>
        <w:rPr>
          <w:rFonts w:ascii="宋体" w:hAnsi="宋体"/>
          <w:color w:val="auto"/>
        </w:rPr>
      </w:pPr>
      <w:r>
        <w:rPr>
          <w:rFonts w:hint="eastAsia" w:ascii="宋体" w:hAnsi="宋体"/>
          <w:color w:val="auto"/>
        </w:rPr>
        <w:t>1.2.3 本招标项目的资金落实情况：见</w:t>
      </w:r>
      <w:r>
        <w:rPr>
          <w:rFonts w:ascii="宋体" w:hAnsi="宋体"/>
          <w:color w:val="auto"/>
        </w:rPr>
        <w:t>投标人</w:t>
      </w:r>
      <w:r>
        <w:rPr>
          <w:rFonts w:hint="eastAsia" w:ascii="宋体" w:hAnsi="宋体"/>
          <w:color w:val="auto"/>
        </w:rPr>
        <w:t>须知前附表。</w:t>
      </w:r>
    </w:p>
    <w:p w14:paraId="124202F3">
      <w:pPr>
        <w:spacing w:line="360" w:lineRule="auto"/>
        <w:ind w:firstLine="420" w:firstLineChars="200"/>
        <w:rPr>
          <w:rFonts w:ascii="宋体" w:hAnsi="宋体"/>
          <w:color w:val="auto"/>
        </w:rPr>
      </w:pPr>
      <w:r>
        <w:rPr>
          <w:rFonts w:hint="eastAsia" w:ascii="宋体" w:hAnsi="宋体"/>
          <w:color w:val="auto"/>
        </w:rPr>
        <w:t>1.2.4 本招标项目的</w:t>
      </w:r>
      <w:r>
        <w:rPr>
          <w:rFonts w:hint="eastAsia" w:ascii="宋体" w:hAnsi="宋体"/>
          <w:color w:val="auto"/>
          <w:szCs w:val="21"/>
        </w:rPr>
        <w:t>最高限价：</w:t>
      </w:r>
      <w:r>
        <w:rPr>
          <w:rFonts w:hint="eastAsia" w:ascii="宋体" w:hAnsi="宋体"/>
          <w:color w:val="auto"/>
        </w:rPr>
        <w:t>见</w:t>
      </w:r>
      <w:r>
        <w:rPr>
          <w:rFonts w:ascii="宋体" w:hAnsi="宋体"/>
          <w:color w:val="auto"/>
        </w:rPr>
        <w:t>投标人</w:t>
      </w:r>
      <w:r>
        <w:rPr>
          <w:rFonts w:hint="eastAsia" w:ascii="宋体" w:hAnsi="宋体"/>
          <w:color w:val="auto"/>
        </w:rPr>
        <w:t>须知前附表。</w:t>
      </w:r>
    </w:p>
    <w:p w14:paraId="590B6B34">
      <w:pPr>
        <w:pStyle w:val="42"/>
        <w:spacing w:line="360" w:lineRule="auto"/>
        <w:rPr>
          <w:rFonts w:ascii="宋体" w:hAnsi="宋体" w:eastAsia="宋体"/>
          <w:color w:val="auto"/>
        </w:rPr>
      </w:pPr>
      <w:bookmarkStart w:id="77" w:name="_Toc16586"/>
      <w:bookmarkStart w:id="78" w:name="_Toc152045532"/>
      <w:bookmarkStart w:id="79" w:name="_Toc144974500"/>
      <w:bookmarkStart w:id="80" w:name="_Toc525742005"/>
      <w:bookmarkStart w:id="81" w:name="_Toc152042308"/>
      <w:bookmarkStart w:id="82" w:name="_Toc24492"/>
      <w:bookmarkStart w:id="83" w:name="_Toc525742091"/>
      <w:bookmarkStart w:id="84" w:name="_Toc22944"/>
      <w:bookmarkStart w:id="85" w:name="_Toc17733"/>
      <w:r>
        <w:rPr>
          <w:rFonts w:hint="eastAsia" w:ascii="宋体" w:hAnsi="宋体" w:eastAsia="宋体"/>
          <w:color w:val="auto"/>
        </w:rPr>
        <w:t>1.3 采购范围、供货期、质保期和</w:t>
      </w:r>
      <w:bookmarkEnd w:id="77"/>
      <w:bookmarkEnd w:id="78"/>
      <w:bookmarkEnd w:id="79"/>
      <w:bookmarkEnd w:id="80"/>
      <w:bookmarkEnd w:id="81"/>
      <w:bookmarkEnd w:id="82"/>
      <w:bookmarkEnd w:id="83"/>
      <w:r>
        <w:rPr>
          <w:rFonts w:hint="eastAsia" w:ascii="宋体" w:hAnsi="宋体" w:eastAsia="宋体"/>
          <w:color w:val="auto"/>
        </w:rPr>
        <w:t>质量标准</w:t>
      </w:r>
      <w:bookmarkEnd w:id="84"/>
      <w:bookmarkEnd w:id="85"/>
    </w:p>
    <w:p w14:paraId="0764D17B">
      <w:pPr>
        <w:spacing w:line="360" w:lineRule="auto"/>
        <w:ind w:firstLine="420" w:firstLineChars="200"/>
        <w:rPr>
          <w:rFonts w:ascii="宋体" w:hAnsi="宋体"/>
          <w:color w:val="auto"/>
        </w:rPr>
      </w:pPr>
      <w:r>
        <w:rPr>
          <w:rFonts w:hint="eastAsia" w:ascii="宋体" w:hAnsi="宋体"/>
          <w:color w:val="auto"/>
        </w:rPr>
        <w:t>1.3.1 本次采购范围：见</w:t>
      </w:r>
      <w:r>
        <w:rPr>
          <w:rFonts w:ascii="宋体" w:hAnsi="宋体"/>
          <w:color w:val="auto"/>
        </w:rPr>
        <w:t>投标人</w:t>
      </w:r>
      <w:r>
        <w:rPr>
          <w:rFonts w:hint="eastAsia" w:ascii="宋体" w:hAnsi="宋体"/>
          <w:color w:val="auto"/>
        </w:rPr>
        <w:t>须知前附表。</w:t>
      </w:r>
    </w:p>
    <w:p w14:paraId="240786D7">
      <w:pPr>
        <w:spacing w:line="360" w:lineRule="auto"/>
        <w:ind w:firstLine="420" w:firstLineChars="200"/>
        <w:rPr>
          <w:rFonts w:ascii="宋体" w:hAnsi="宋体"/>
          <w:color w:val="auto"/>
        </w:rPr>
      </w:pPr>
      <w:r>
        <w:rPr>
          <w:rFonts w:hint="eastAsia" w:ascii="宋体" w:hAnsi="宋体"/>
          <w:color w:val="auto"/>
        </w:rPr>
        <w:t>1.3.2 本项目的供货期、</w:t>
      </w:r>
      <w:r>
        <w:rPr>
          <w:rFonts w:hint="eastAsia" w:ascii="宋体" w:hAnsi="宋体"/>
          <w:bCs/>
          <w:color w:val="auto"/>
          <w:szCs w:val="21"/>
        </w:rPr>
        <w:t>质保期</w:t>
      </w:r>
      <w:r>
        <w:rPr>
          <w:rFonts w:hint="eastAsia" w:ascii="宋体" w:hAnsi="宋体"/>
          <w:color w:val="auto"/>
        </w:rPr>
        <w:t>：见</w:t>
      </w:r>
      <w:r>
        <w:rPr>
          <w:rFonts w:ascii="宋体" w:hAnsi="宋体"/>
          <w:color w:val="auto"/>
        </w:rPr>
        <w:t>投标人</w:t>
      </w:r>
      <w:r>
        <w:rPr>
          <w:rFonts w:hint="eastAsia" w:ascii="宋体" w:hAnsi="宋体"/>
          <w:color w:val="auto"/>
        </w:rPr>
        <w:t>须知前附表。</w:t>
      </w:r>
    </w:p>
    <w:p w14:paraId="11C57B3F">
      <w:pPr>
        <w:spacing w:line="360" w:lineRule="auto"/>
        <w:ind w:firstLine="420" w:firstLineChars="200"/>
        <w:rPr>
          <w:rFonts w:ascii="宋体" w:hAnsi="宋体"/>
          <w:color w:val="auto"/>
        </w:rPr>
      </w:pPr>
      <w:r>
        <w:rPr>
          <w:rFonts w:hint="eastAsia" w:ascii="宋体" w:hAnsi="宋体"/>
          <w:color w:val="auto"/>
        </w:rPr>
        <w:t>1.3.3 本项目的质量标准：见</w:t>
      </w:r>
      <w:r>
        <w:rPr>
          <w:rFonts w:ascii="宋体" w:hAnsi="宋体"/>
          <w:color w:val="auto"/>
        </w:rPr>
        <w:t>投标人</w:t>
      </w:r>
      <w:r>
        <w:rPr>
          <w:rFonts w:hint="eastAsia" w:ascii="宋体" w:hAnsi="宋体"/>
          <w:color w:val="auto"/>
        </w:rPr>
        <w:t>须知前附表。</w:t>
      </w:r>
    </w:p>
    <w:p w14:paraId="63F6C7AB">
      <w:pPr>
        <w:pStyle w:val="42"/>
        <w:spacing w:line="360" w:lineRule="auto"/>
        <w:rPr>
          <w:rFonts w:ascii="宋体" w:hAnsi="宋体" w:eastAsia="宋体"/>
          <w:color w:val="auto"/>
        </w:rPr>
      </w:pPr>
      <w:bookmarkStart w:id="86" w:name="_Toc525742006"/>
      <w:bookmarkStart w:id="87" w:name="_Toc152045533"/>
      <w:bookmarkStart w:id="88" w:name="_Toc144974501"/>
      <w:bookmarkStart w:id="89" w:name="_Toc525742092"/>
      <w:bookmarkStart w:id="90" w:name="_Toc152042309"/>
      <w:bookmarkStart w:id="91" w:name="_Toc27418"/>
      <w:bookmarkStart w:id="92" w:name="_Toc21333"/>
      <w:bookmarkStart w:id="93" w:name="_Toc6675"/>
      <w:bookmarkStart w:id="94" w:name="_Toc4538"/>
      <w:r>
        <w:rPr>
          <w:rFonts w:hint="eastAsia" w:ascii="宋体" w:hAnsi="宋体" w:eastAsia="宋体"/>
          <w:color w:val="auto"/>
        </w:rPr>
        <w:t>1.4投标人资质条件、能力和信誉</w:t>
      </w:r>
      <w:bookmarkEnd w:id="86"/>
      <w:bookmarkEnd w:id="87"/>
      <w:bookmarkEnd w:id="88"/>
      <w:bookmarkEnd w:id="89"/>
      <w:bookmarkEnd w:id="90"/>
      <w:r>
        <w:rPr>
          <w:rFonts w:hint="eastAsia" w:ascii="宋体" w:hAnsi="宋体" w:eastAsia="宋体"/>
          <w:color w:val="auto"/>
        </w:rPr>
        <w:t>以及联合体要求</w:t>
      </w:r>
      <w:bookmarkEnd w:id="91"/>
      <w:bookmarkEnd w:id="92"/>
      <w:bookmarkEnd w:id="93"/>
      <w:bookmarkEnd w:id="94"/>
    </w:p>
    <w:p w14:paraId="6598D47D">
      <w:pPr>
        <w:spacing w:line="360" w:lineRule="auto"/>
        <w:ind w:firstLine="472" w:firstLineChars="225"/>
        <w:rPr>
          <w:rFonts w:ascii="宋体" w:hAnsi="宋体"/>
          <w:color w:val="auto"/>
        </w:rPr>
      </w:pPr>
      <w:r>
        <w:rPr>
          <w:rFonts w:hint="eastAsia" w:ascii="宋体" w:hAnsi="宋体"/>
          <w:color w:val="auto"/>
        </w:rPr>
        <w:t>1.4.1投标人资质条件、能力和信誉要求详见本须知前附表1.4.1。</w:t>
      </w:r>
    </w:p>
    <w:p w14:paraId="3E089177">
      <w:pPr>
        <w:spacing w:line="360" w:lineRule="auto"/>
        <w:ind w:firstLine="472" w:firstLineChars="225"/>
        <w:outlineLvl w:val="3"/>
        <w:rPr>
          <w:rFonts w:ascii="宋体" w:hAnsi="宋体"/>
          <w:color w:val="auto"/>
        </w:rPr>
      </w:pPr>
      <w:r>
        <w:rPr>
          <w:rFonts w:hint="eastAsia" w:ascii="宋体" w:hAnsi="宋体"/>
          <w:color w:val="auto"/>
        </w:rPr>
        <w:t>1.4.2本项目招标是否为联合体投标详见本须知前附表。</w:t>
      </w:r>
    </w:p>
    <w:p w14:paraId="2E1FCB76">
      <w:pPr>
        <w:pStyle w:val="42"/>
        <w:spacing w:line="360" w:lineRule="auto"/>
        <w:rPr>
          <w:rFonts w:ascii="宋体" w:hAnsi="宋体" w:eastAsia="宋体"/>
          <w:color w:val="auto"/>
        </w:rPr>
      </w:pPr>
      <w:bookmarkStart w:id="95" w:name="_Toc144974503"/>
      <w:bookmarkStart w:id="96" w:name="_Toc14171"/>
      <w:bookmarkStart w:id="97" w:name="_Toc6434"/>
      <w:bookmarkStart w:id="98" w:name="_Toc525742093"/>
      <w:bookmarkStart w:id="99" w:name="_Toc152045535"/>
      <w:bookmarkStart w:id="100" w:name="_Toc22887"/>
      <w:bookmarkStart w:id="101" w:name="_Toc152042311"/>
      <w:bookmarkStart w:id="102" w:name="_Toc29385"/>
      <w:bookmarkStart w:id="103" w:name="_Toc525742007"/>
      <w:r>
        <w:rPr>
          <w:rFonts w:hint="eastAsia" w:ascii="宋体" w:hAnsi="宋体" w:eastAsia="宋体"/>
          <w:color w:val="auto"/>
        </w:rPr>
        <w:t>1.5 费用承担</w:t>
      </w:r>
      <w:bookmarkEnd w:id="95"/>
      <w:bookmarkEnd w:id="96"/>
      <w:bookmarkEnd w:id="97"/>
      <w:bookmarkEnd w:id="98"/>
      <w:bookmarkEnd w:id="99"/>
      <w:bookmarkEnd w:id="100"/>
      <w:bookmarkEnd w:id="101"/>
      <w:bookmarkEnd w:id="102"/>
      <w:bookmarkEnd w:id="103"/>
    </w:p>
    <w:p w14:paraId="5C564D3E">
      <w:pPr>
        <w:spacing w:line="360" w:lineRule="auto"/>
        <w:ind w:firstLine="420" w:firstLineChars="200"/>
        <w:outlineLvl w:val="3"/>
        <w:rPr>
          <w:rFonts w:ascii="宋体" w:hAnsi="宋体"/>
          <w:color w:val="auto"/>
        </w:rPr>
      </w:pPr>
      <w:bookmarkStart w:id="104" w:name="_Toc144974504"/>
      <w:bookmarkStart w:id="105" w:name="_Toc152042312"/>
      <w:bookmarkStart w:id="106" w:name="_Toc152045536"/>
      <w:r>
        <w:rPr>
          <w:rFonts w:hint="eastAsia" w:ascii="宋体" w:hAnsi="宋体"/>
          <w:color w:val="auto"/>
        </w:rPr>
        <w:t>1.5.1投标人应承担其参加本招标活动自身所发生的一切费用。</w:t>
      </w:r>
    </w:p>
    <w:p w14:paraId="52B146DC">
      <w:pPr>
        <w:spacing w:line="360" w:lineRule="auto"/>
        <w:ind w:firstLine="420" w:firstLineChars="200"/>
        <w:rPr>
          <w:rFonts w:ascii="宋体" w:hAnsi="宋体"/>
          <w:color w:val="auto"/>
        </w:rPr>
      </w:pPr>
      <w:r>
        <w:rPr>
          <w:rFonts w:hint="eastAsia" w:ascii="宋体" w:hAnsi="宋体"/>
          <w:color w:val="auto"/>
        </w:rPr>
        <w:t>1.5.2中标人需承担招标代理费，本项目招标代理费以本项目中标价为计费基数，按照《关于印发&lt;云南省建设工程招标代理服务收费指导意见（试行）》的通知云建招协〔2023〕51号收费标准货物类计算后收取，由中标人在领取中标通知书时一次性支付招标代理服务费。</w:t>
      </w:r>
    </w:p>
    <w:p w14:paraId="445FAC4E">
      <w:pPr>
        <w:spacing w:line="360" w:lineRule="auto"/>
        <w:ind w:firstLine="420" w:firstLineChars="200"/>
        <w:rPr>
          <w:rFonts w:ascii="宋体" w:hAnsi="宋体"/>
          <w:color w:val="auto"/>
        </w:rPr>
      </w:pPr>
      <w:r>
        <w:rPr>
          <w:rFonts w:hint="eastAsia" w:ascii="宋体" w:hAnsi="宋体"/>
          <w:color w:val="auto"/>
        </w:rPr>
        <w:t>1.5.4无论投标结果如何，</w:t>
      </w:r>
      <w:r>
        <w:rPr>
          <w:rFonts w:ascii="宋体" w:hAnsi="宋体"/>
          <w:color w:val="auto"/>
        </w:rPr>
        <w:t>投标人应承担其参加本</w:t>
      </w:r>
      <w:r>
        <w:rPr>
          <w:rFonts w:hint="eastAsia" w:ascii="宋体" w:hAnsi="宋体"/>
          <w:color w:val="auto"/>
        </w:rPr>
        <w:t>次</w:t>
      </w:r>
      <w:r>
        <w:rPr>
          <w:rFonts w:ascii="宋体" w:hAnsi="宋体"/>
          <w:color w:val="auto"/>
        </w:rPr>
        <w:t>招标活动自身所发生的费用</w:t>
      </w:r>
      <w:r>
        <w:rPr>
          <w:rFonts w:hint="eastAsia" w:ascii="宋体" w:hAnsi="宋体"/>
          <w:color w:val="auto"/>
        </w:rPr>
        <w:t>，采购人不给予投标人经济补偿。</w:t>
      </w:r>
    </w:p>
    <w:p w14:paraId="31E2203F">
      <w:pPr>
        <w:pStyle w:val="42"/>
        <w:spacing w:line="360" w:lineRule="auto"/>
        <w:rPr>
          <w:rFonts w:ascii="宋体" w:hAnsi="宋体" w:eastAsia="宋体"/>
          <w:color w:val="auto"/>
        </w:rPr>
      </w:pPr>
      <w:bookmarkStart w:id="107" w:name="_Toc1556"/>
      <w:bookmarkStart w:id="108" w:name="_Toc525742008"/>
      <w:bookmarkStart w:id="109" w:name="_Toc24759"/>
      <w:bookmarkStart w:id="110" w:name="_Toc30282"/>
      <w:bookmarkStart w:id="111" w:name="_Toc22340"/>
      <w:bookmarkStart w:id="112" w:name="_Toc525742094"/>
      <w:r>
        <w:rPr>
          <w:rFonts w:hint="eastAsia" w:ascii="宋体" w:hAnsi="宋体" w:eastAsia="宋体"/>
          <w:color w:val="auto"/>
        </w:rPr>
        <w:t>1.6 保密</w:t>
      </w:r>
      <w:bookmarkEnd w:id="104"/>
      <w:bookmarkEnd w:id="105"/>
      <w:bookmarkEnd w:id="106"/>
      <w:bookmarkEnd w:id="107"/>
      <w:bookmarkEnd w:id="108"/>
      <w:bookmarkEnd w:id="109"/>
      <w:bookmarkEnd w:id="110"/>
      <w:bookmarkEnd w:id="111"/>
      <w:bookmarkEnd w:id="112"/>
    </w:p>
    <w:p w14:paraId="2640484F">
      <w:pPr>
        <w:spacing w:line="360" w:lineRule="auto"/>
        <w:ind w:firstLine="420" w:firstLineChars="200"/>
        <w:rPr>
          <w:rFonts w:ascii="宋体" w:hAnsi="宋体"/>
          <w:color w:val="auto"/>
        </w:rPr>
      </w:pPr>
      <w:r>
        <w:rPr>
          <w:rFonts w:hint="eastAsia" w:ascii="宋体" w:hAnsi="宋体"/>
          <w:color w:val="auto"/>
        </w:rPr>
        <w:t xml:space="preserve">参与招标投标活动的各方应对采购文件和投标文件中的商业和技术等秘密保密，违者应对由此造成的后果承担法律责任。 </w:t>
      </w:r>
    </w:p>
    <w:p w14:paraId="16302F99">
      <w:pPr>
        <w:pStyle w:val="42"/>
        <w:spacing w:line="360" w:lineRule="auto"/>
        <w:rPr>
          <w:rFonts w:ascii="宋体" w:hAnsi="宋体" w:eastAsia="宋体"/>
          <w:color w:val="auto"/>
        </w:rPr>
      </w:pPr>
      <w:bookmarkStart w:id="113" w:name="_Toc144974505"/>
      <w:bookmarkStart w:id="114" w:name="_Toc525742009"/>
      <w:bookmarkStart w:id="115" w:name="_Toc7464"/>
      <w:bookmarkStart w:id="116" w:name="_Toc525742095"/>
      <w:bookmarkStart w:id="117" w:name="_Toc5213"/>
      <w:bookmarkStart w:id="118" w:name="_Toc152042313"/>
      <w:bookmarkStart w:id="119" w:name="_Toc18000"/>
      <w:bookmarkStart w:id="120" w:name="_Toc4029"/>
      <w:bookmarkStart w:id="121" w:name="_Toc152045537"/>
      <w:r>
        <w:rPr>
          <w:rFonts w:hint="eastAsia" w:ascii="宋体" w:hAnsi="宋体" w:eastAsia="宋体"/>
          <w:color w:val="auto"/>
        </w:rPr>
        <w:t>1.7 语言</w:t>
      </w:r>
      <w:bookmarkEnd w:id="113"/>
      <w:r>
        <w:rPr>
          <w:rFonts w:hint="eastAsia" w:ascii="宋体" w:hAnsi="宋体" w:eastAsia="宋体"/>
          <w:color w:val="auto"/>
        </w:rPr>
        <w:t>文字</w:t>
      </w:r>
      <w:bookmarkEnd w:id="114"/>
      <w:bookmarkEnd w:id="115"/>
      <w:bookmarkEnd w:id="116"/>
      <w:bookmarkEnd w:id="117"/>
      <w:bookmarkEnd w:id="118"/>
      <w:bookmarkEnd w:id="119"/>
      <w:bookmarkEnd w:id="120"/>
      <w:bookmarkEnd w:id="121"/>
    </w:p>
    <w:p w14:paraId="607AC95D">
      <w:pPr>
        <w:spacing w:line="360" w:lineRule="auto"/>
        <w:ind w:firstLine="420" w:firstLineChars="200"/>
        <w:rPr>
          <w:rFonts w:ascii="宋体" w:hAnsi="宋体"/>
          <w:color w:val="auto"/>
        </w:rPr>
      </w:pPr>
      <w:r>
        <w:rPr>
          <w:rFonts w:hint="eastAsia" w:ascii="宋体" w:hAnsi="宋体"/>
          <w:color w:val="auto"/>
        </w:rPr>
        <w:t>除专用术语外，与招标投标有关的语言均使用中文。必要时专用术语应附有中文注释。</w:t>
      </w:r>
    </w:p>
    <w:p w14:paraId="1BDBAC0E">
      <w:pPr>
        <w:pStyle w:val="42"/>
        <w:spacing w:line="360" w:lineRule="auto"/>
        <w:rPr>
          <w:rFonts w:ascii="宋体" w:hAnsi="宋体" w:eastAsia="宋体"/>
          <w:color w:val="auto"/>
        </w:rPr>
      </w:pPr>
      <w:bookmarkStart w:id="122" w:name="_Toc525742010"/>
      <w:bookmarkStart w:id="123" w:name="_Toc152042314"/>
      <w:bookmarkStart w:id="124" w:name="_Toc32230"/>
      <w:bookmarkStart w:id="125" w:name="_Toc525742096"/>
      <w:bookmarkStart w:id="126" w:name="_Toc28601"/>
      <w:bookmarkStart w:id="127" w:name="_Toc144974506"/>
      <w:bookmarkStart w:id="128" w:name="_Toc152045538"/>
      <w:bookmarkStart w:id="129" w:name="_Toc20346"/>
      <w:bookmarkStart w:id="130" w:name="_Toc3154"/>
      <w:r>
        <w:rPr>
          <w:rFonts w:hint="eastAsia" w:ascii="宋体" w:hAnsi="宋体" w:eastAsia="宋体"/>
          <w:color w:val="auto"/>
        </w:rPr>
        <w:t>1.8 计量单位</w:t>
      </w:r>
      <w:bookmarkEnd w:id="122"/>
      <w:bookmarkEnd w:id="123"/>
      <w:bookmarkEnd w:id="124"/>
      <w:bookmarkEnd w:id="125"/>
      <w:bookmarkEnd w:id="126"/>
      <w:bookmarkEnd w:id="127"/>
      <w:bookmarkEnd w:id="128"/>
      <w:bookmarkEnd w:id="129"/>
      <w:bookmarkEnd w:id="130"/>
    </w:p>
    <w:p w14:paraId="088A9E93">
      <w:pPr>
        <w:spacing w:line="360" w:lineRule="auto"/>
        <w:ind w:firstLine="420" w:firstLineChars="200"/>
        <w:rPr>
          <w:rFonts w:ascii="宋体" w:hAnsi="宋体"/>
          <w:color w:val="auto"/>
        </w:rPr>
      </w:pPr>
      <w:r>
        <w:rPr>
          <w:rFonts w:hint="eastAsia" w:ascii="宋体" w:hAnsi="宋体"/>
          <w:color w:val="auto"/>
        </w:rPr>
        <w:t>所有计量均采用中华人民共和国法定计量单位。</w:t>
      </w:r>
    </w:p>
    <w:p w14:paraId="3AB56687">
      <w:pPr>
        <w:pStyle w:val="42"/>
        <w:spacing w:line="360" w:lineRule="auto"/>
        <w:rPr>
          <w:rFonts w:ascii="宋体" w:hAnsi="宋体" w:eastAsia="宋体"/>
          <w:color w:val="auto"/>
        </w:rPr>
      </w:pPr>
      <w:bookmarkStart w:id="131" w:name="_Toc22933"/>
      <w:bookmarkStart w:id="132" w:name="_Toc23579"/>
      <w:bookmarkStart w:id="133" w:name="_Toc152045539"/>
      <w:bookmarkStart w:id="134" w:name="_Toc3567"/>
      <w:bookmarkStart w:id="135" w:name="_Toc525742011"/>
      <w:bookmarkStart w:id="136" w:name="_Toc28396"/>
      <w:bookmarkStart w:id="137" w:name="_Toc152042315"/>
      <w:bookmarkStart w:id="138" w:name="_Toc144974507"/>
      <w:bookmarkStart w:id="139" w:name="_Toc525742097"/>
      <w:r>
        <w:rPr>
          <w:rFonts w:hint="eastAsia" w:ascii="宋体" w:hAnsi="宋体" w:eastAsia="宋体"/>
          <w:color w:val="auto"/>
        </w:rPr>
        <w:t>1.9 踏勘现场</w:t>
      </w:r>
      <w:bookmarkEnd w:id="131"/>
      <w:bookmarkEnd w:id="132"/>
      <w:bookmarkEnd w:id="133"/>
      <w:bookmarkEnd w:id="134"/>
      <w:bookmarkEnd w:id="135"/>
      <w:bookmarkEnd w:id="136"/>
      <w:bookmarkEnd w:id="137"/>
      <w:bookmarkEnd w:id="138"/>
      <w:bookmarkEnd w:id="139"/>
    </w:p>
    <w:p w14:paraId="3A9A938A">
      <w:pPr>
        <w:spacing w:line="360" w:lineRule="auto"/>
        <w:ind w:firstLine="420" w:firstLineChars="200"/>
        <w:rPr>
          <w:rFonts w:ascii="宋体" w:hAnsi="宋体"/>
          <w:color w:val="auto"/>
        </w:rPr>
      </w:pPr>
      <w:r>
        <w:rPr>
          <w:rFonts w:hint="eastAsia" w:ascii="宋体" w:hAnsi="宋体"/>
          <w:color w:val="auto"/>
        </w:rPr>
        <w:t>投标人不组织踏勘现场。</w:t>
      </w:r>
    </w:p>
    <w:p w14:paraId="7D86EFA7">
      <w:pPr>
        <w:pStyle w:val="42"/>
        <w:spacing w:line="360" w:lineRule="auto"/>
        <w:rPr>
          <w:rFonts w:ascii="宋体" w:hAnsi="宋体" w:eastAsia="宋体"/>
          <w:color w:val="auto"/>
        </w:rPr>
      </w:pPr>
      <w:bookmarkStart w:id="140" w:name="_Toc18659"/>
      <w:bookmarkStart w:id="141" w:name="_Toc4526"/>
      <w:bookmarkStart w:id="142" w:name="_Toc525742098"/>
      <w:bookmarkStart w:id="143" w:name="_Toc152045540"/>
      <w:bookmarkStart w:id="144" w:name="_Toc14618"/>
      <w:bookmarkStart w:id="145" w:name="_Toc13252"/>
      <w:bookmarkStart w:id="146" w:name="_Toc152042316"/>
      <w:bookmarkStart w:id="147" w:name="_Toc144974508"/>
      <w:bookmarkStart w:id="148" w:name="_Toc525742012"/>
      <w:r>
        <w:rPr>
          <w:rFonts w:hint="eastAsia" w:ascii="宋体" w:hAnsi="宋体" w:eastAsia="宋体"/>
          <w:color w:val="auto"/>
        </w:rPr>
        <w:t>1.10 投标预备会</w:t>
      </w:r>
      <w:bookmarkEnd w:id="140"/>
      <w:bookmarkEnd w:id="141"/>
      <w:bookmarkEnd w:id="142"/>
      <w:bookmarkEnd w:id="143"/>
      <w:bookmarkEnd w:id="144"/>
      <w:bookmarkEnd w:id="145"/>
      <w:bookmarkEnd w:id="146"/>
      <w:bookmarkEnd w:id="147"/>
      <w:bookmarkEnd w:id="148"/>
    </w:p>
    <w:p w14:paraId="76D4B450">
      <w:pPr>
        <w:spacing w:line="360" w:lineRule="auto"/>
        <w:ind w:firstLine="420" w:firstLineChars="200"/>
        <w:rPr>
          <w:rFonts w:ascii="宋体" w:hAnsi="宋体"/>
          <w:color w:val="auto"/>
        </w:rPr>
      </w:pPr>
      <w:r>
        <w:rPr>
          <w:rFonts w:hint="eastAsia" w:ascii="宋体" w:hAnsi="宋体"/>
          <w:color w:val="auto"/>
        </w:rPr>
        <w:t>1.10.1 采购人不集中召开投标预备会，实行网上答疑。投标人若有疑问，需要采购人予以答疑，应以不署名的形式在“政采云”平台（http：//www.zcygov.cn）提出。</w:t>
      </w:r>
    </w:p>
    <w:p w14:paraId="21ABBD8B">
      <w:pPr>
        <w:spacing w:line="360" w:lineRule="auto"/>
        <w:ind w:firstLine="420" w:firstLineChars="200"/>
        <w:rPr>
          <w:rFonts w:ascii="宋体" w:hAnsi="宋体"/>
          <w:color w:val="auto"/>
        </w:rPr>
      </w:pPr>
      <w:r>
        <w:rPr>
          <w:rFonts w:hint="eastAsia" w:ascii="宋体" w:hAnsi="宋体"/>
          <w:color w:val="auto"/>
        </w:rPr>
        <w:t>1.10.2投标人提出质疑的截止时间和方法：见投标人须知前附表。</w:t>
      </w:r>
    </w:p>
    <w:p w14:paraId="26B6FF98">
      <w:pPr>
        <w:spacing w:line="360" w:lineRule="auto"/>
        <w:ind w:firstLine="420" w:firstLineChars="200"/>
        <w:rPr>
          <w:rFonts w:ascii="宋体" w:hAnsi="宋体"/>
          <w:color w:val="auto"/>
        </w:rPr>
      </w:pPr>
      <w:r>
        <w:rPr>
          <w:rFonts w:hint="eastAsia" w:ascii="宋体" w:hAnsi="宋体"/>
          <w:color w:val="auto"/>
        </w:rPr>
        <w:t>1.10.3澄清或修改的时间和方法：见投标人须知前附表。</w:t>
      </w:r>
    </w:p>
    <w:p w14:paraId="0A534665">
      <w:pPr>
        <w:pStyle w:val="42"/>
        <w:spacing w:line="360" w:lineRule="auto"/>
        <w:rPr>
          <w:rFonts w:ascii="宋体" w:hAnsi="宋体" w:eastAsia="宋体"/>
          <w:color w:val="auto"/>
        </w:rPr>
      </w:pPr>
      <w:bookmarkStart w:id="149" w:name="_Toc14938"/>
      <w:bookmarkStart w:id="150" w:name="_Toc152045541"/>
      <w:bookmarkStart w:id="151" w:name="_Toc152042317"/>
      <w:bookmarkStart w:id="152" w:name="_Toc144974509"/>
      <w:bookmarkStart w:id="153" w:name="_Toc9779"/>
      <w:bookmarkStart w:id="154" w:name="_Toc525742099"/>
      <w:bookmarkStart w:id="155" w:name="_Toc5862"/>
      <w:bookmarkStart w:id="156" w:name="_Toc525742013"/>
      <w:bookmarkStart w:id="157" w:name="_Toc3018"/>
      <w:r>
        <w:rPr>
          <w:rFonts w:hint="eastAsia" w:ascii="宋体" w:hAnsi="宋体" w:eastAsia="宋体"/>
          <w:color w:val="auto"/>
        </w:rPr>
        <w:t>1.11 分包</w:t>
      </w:r>
      <w:bookmarkEnd w:id="149"/>
      <w:bookmarkEnd w:id="150"/>
      <w:bookmarkEnd w:id="151"/>
      <w:bookmarkEnd w:id="152"/>
      <w:bookmarkEnd w:id="153"/>
      <w:bookmarkEnd w:id="154"/>
      <w:bookmarkEnd w:id="155"/>
      <w:bookmarkEnd w:id="156"/>
      <w:bookmarkEnd w:id="157"/>
    </w:p>
    <w:p w14:paraId="2C2334CB">
      <w:pPr>
        <w:pStyle w:val="42"/>
        <w:spacing w:line="360" w:lineRule="auto"/>
        <w:ind w:firstLine="420" w:firstLineChars="200"/>
        <w:outlineLvl w:val="3"/>
        <w:rPr>
          <w:rFonts w:ascii="宋体" w:hAnsi="宋体"/>
          <w:color w:val="auto"/>
        </w:rPr>
      </w:pPr>
      <w:bookmarkStart w:id="158" w:name="_Toc27649"/>
      <w:bookmarkStart w:id="159" w:name="_Toc11078"/>
      <w:r>
        <w:rPr>
          <w:rFonts w:hint="eastAsia" w:ascii="宋体" w:hAnsi="宋体" w:eastAsia="宋体" w:cs="Times New Roman"/>
          <w:color w:val="auto"/>
          <w:kern w:val="2"/>
          <w:sz w:val="21"/>
          <w:szCs w:val="24"/>
        </w:rPr>
        <w:t>不允许分包。</w:t>
      </w:r>
      <w:bookmarkEnd w:id="158"/>
      <w:bookmarkEnd w:id="159"/>
      <w:bookmarkStart w:id="160" w:name="_Toc10731362"/>
      <w:bookmarkStart w:id="161" w:name="_Toc10563717"/>
      <w:bookmarkStart w:id="162" w:name="_Toc91753653"/>
      <w:bookmarkStart w:id="163" w:name="_Toc525742100"/>
      <w:bookmarkStart w:id="164" w:name="_Toc525742014"/>
    </w:p>
    <w:p w14:paraId="6CDD4955">
      <w:pPr>
        <w:pStyle w:val="42"/>
        <w:spacing w:line="360" w:lineRule="auto"/>
        <w:rPr>
          <w:rFonts w:ascii="宋体" w:hAnsi="宋体" w:eastAsia="宋体"/>
          <w:color w:val="auto"/>
        </w:rPr>
      </w:pPr>
      <w:bookmarkStart w:id="165" w:name="_Toc16042"/>
      <w:bookmarkStart w:id="166" w:name="_Toc20951"/>
      <w:bookmarkStart w:id="167" w:name="_Toc17323"/>
      <w:r>
        <w:rPr>
          <w:rFonts w:hint="eastAsia" w:ascii="宋体" w:hAnsi="宋体" w:eastAsia="宋体"/>
          <w:color w:val="auto"/>
        </w:rPr>
        <w:t>1.12 偏离</w:t>
      </w:r>
      <w:bookmarkEnd w:id="160"/>
      <w:bookmarkEnd w:id="161"/>
      <w:bookmarkEnd w:id="162"/>
      <w:bookmarkEnd w:id="163"/>
      <w:bookmarkEnd w:id="164"/>
      <w:bookmarkEnd w:id="165"/>
      <w:bookmarkEnd w:id="166"/>
      <w:bookmarkEnd w:id="167"/>
    </w:p>
    <w:p w14:paraId="3557FEAC">
      <w:pPr>
        <w:pStyle w:val="42"/>
        <w:spacing w:line="360" w:lineRule="auto"/>
        <w:ind w:firstLine="420" w:firstLineChars="200"/>
        <w:rPr>
          <w:rFonts w:ascii="宋体" w:hAnsi="宋体" w:eastAsia="宋体" w:cs="Times New Roman"/>
          <w:color w:val="auto"/>
          <w:kern w:val="2"/>
          <w:sz w:val="21"/>
          <w:szCs w:val="24"/>
        </w:rPr>
      </w:pPr>
      <w:bookmarkStart w:id="168" w:name="_Toc14483"/>
      <w:bookmarkStart w:id="169" w:name="_Toc3439"/>
      <w:r>
        <w:rPr>
          <w:rFonts w:hint="eastAsia" w:ascii="宋体" w:hAnsi="宋体" w:eastAsia="宋体" w:cs="Times New Roman"/>
          <w:color w:val="auto"/>
          <w:kern w:val="2"/>
          <w:sz w:val="21"/>
          <w:szCs w:val="24"/>
        </w:rPr>
        <w:t>投标人须知前附表允许投标文件偏离采购文件某些要求的，偏离应当符合采购文件规定的偏离范围和幅度。</w:t>
      </w:r>
      <w:bookmarkEnd w:id="168"/>
      <w:bookmarkEnd w:id="169"/>
      <w:bookmarkStart w:id="170" w:name="_Toc12390"/>
      <w:bookmarkStart w:id="171" w:name="_Toc20007"/>
    </w:p>
    <w:p w14:paraId="1E0BC5D3">
      <w:pPr>
        <w:pStyle w:val="42"/>
        <w:spacing w:line="360" w:lineRule="auto"/>
        <w:rPr>
          <w:rFonts w:ascii="宋体" w:hAnsi="宋体" w:eastAsia="宋体"/>
          <w:color w:val="auto"/>
        </w:rPr>
      </w:pPr>
      <w:bookmarkStart w:id="172" w:name="_Toc16412"/>
      <w:bookmarkStart w:id="173" w:name="_Toc14848"/>
      <w:r>
        <w:rPr>
          <w:rFonts w:hint="eastAsia" w:ascii="宋体" w:hAnsi="宋体" w:eastAsia="宋体"/>
          <w:color w:val="auto"/>
        </w:rPr>
        <w:t>1.13电子化招投标说明</w:t>
      </w:r>
      <w:bookmarkEnd w:id="170"/>
      <w:bookmarkEnd w:id="171"/>
      <w:bookmarkEnd w:id="172"/>
      <w:bookmarkEnd w:id="173"/>
    </w:p>
    <w:p w14:paraId="065D04F5">
      <w:pPr>
        <w:spacing w:line="360" w:lineRule="auto"/>
        <w:ind w:firstLine="420" w:firstLineChars="200"/>
        <w:rPr>
          <w:rFonts w:ascii="宋体" w:hAnsi="宋体"/>
          <w:color w:val="auto"/>
        </w:rPr>
      </w:pPr>
      <w:r>
        <w:rPr>
          <w:rFonts w:ascii="宋体" w:hAnsi="宋体"/>
          <w:color w:val="auto"/>
        </w:rPr>
        <w:t>本项目采用</w:t>
      </w:r>
      <w:r>
        <w:rPr>
          <w:rFonts w:hint="eastAsia" w:ascii="宋体" w:hAnsi="宋体"/>
          <w:color w:val="auto"/>
        </w:rPr>
        <w:t>云南省政采云平台</w:t>
      </w:r>
      <w:r>
        <w:rPr>
          <w:rFonts w:ascii="宋体" w:hAnsi="宋体"/>
          <w:color w:val="auto"/>
        </w:rPr>
        <w:t>进行全流程电子化交易，如项目在</w:t>
      </w:r>
      <w:r>
        <w:rPr>
          <w:rFonts w:hint="eastAsia" w:ascii="宋体" w:hAnsi="宋体"/>
          <w:color w:val="auto"/>
        </w:rPr>
        <w:t>招标过程</w:t>
      </w:r>
      <w:r>
        <w:rPr>
          <w:rFonts w:ascii="宋体" w:hAnsi="宋体"/>
          <w:color w:val="auto"/>
        </w:rPr>
        <w:t>中遇到停电、网络故障、系统故障等不可抗力因素，导致项目无法正常电子化交易的</w:t>
      </w:r>
      <w:r>
        <w:rPr>
          <w:rFonts w:hint="eastAsia" w:ascii="宋体" w:hAnsi="宋体"/>
          <w:color w:val="auto"/>
        </w:rPr>
        <w:t>，</w:t>
      </w:r>
      <w:r>
        <w:rPr>
          <w:rFonts w:ascii="宋体" w:hAnsi="宋体"/>
          <w:color w:val="auto"/>
        </w:rPr>
        <w:t>暂停招标活动。</w:t>
      </w:r>
    </w:p>
    <w:p w14:paraId="11E9AF44">
      <w:pPr>
        <w:spacing w:line="360" w:lineRule="auto"/>
        <w:ind w:firstLine="420" w:firstLineChars="200"/>
        <w:rPr>
          <w:rFonts w:ascii="宋体" w:hAnsi="宋体"/>
          <w:color w:val="auto"/>
        </w:rPr>
      </w:pPr>
      <w:r>
        <w:rPr>
          <w:rFonts w:hint="eastAsia" w:ascii="宋体" w:hAnsi="宋体"/>
          <w:color w:val="auto"/>
        </w:rPr>
        <w:t>采购过程中出现以下情形，导致电子交易平台无法正常运行，或者无法保证电子交易的公平、公正和安全时，采购机构可中止电子交易活动：</w:t>
      </w:r>
    </w:p>
    <w:p w14:paraId="1CB2D2BA">
      <w:pPr>
        <w:spacing w:line="360" w:lineRule="auto"/>
        <w:ind w:firstLine="420" w:firstLineChars="200"/>
        <w:rPr>
          <w:rFonts w:ascii="宋体" w:hAnsi="宋体"/>
          <w:color w:val="auto"/>
        </w:rPr>
      </w:pPr>
      <w:r>
        <w:rPr>
          <w:rFonts w:hint="eastAsia" w:ascii="宋体" w:hAnsi="宋体"/>
          <w:color w:val="auto"/>
        </w:rPr>
        <w:t xml:space="preserve">（1）电子交易平台发生故障而无法登录访问的； </w:t>
      </w:r>
    </w:p>
    <w:p w14:paraId="6D4DCB35">
      <w:pPr>
        <w:spacing w:line="360" w:lineRule="auto"/>
        <w:ind w:firstLine="420" w:firstLineChars="200"/>
        <w:rPr>
          <w:rFonts w:ascii="宋体" w:hAnsi="宋体"/>
          <w:color w:val="auto"/>
        </w:rPr>
      </w:pPr>
      <w:r>
        <w:rPr>
          <w:rFonts w:hint="eastAsia" w:ascii="宋体" w:hAnsi="宋体"/>
          <w:color w:val="auto"/>
        </w:rPr>
        <w:t>（2）电子交易平台应用或数据库出现错误，不能进行正常操作的；</w:t>
      </w:r>
    </w:p>
    <w:p w14:paraId="5E51DBF1">
      <w:pPr>
        <w:spacing w:line="360" w:lineRule="auto"/>
        <w:ind w:firstLine="420" w:firstLineChars="200"/>
        <w:rPr>
          <w:rFonts w:ascii="宋体" w:hAnsi="宋体"/>
          <w:color w:val="auto"/>
        </w:rPr>
      </w:pPr>
      <w:r>
        <w:rPr>
          <w:rFonts w:hint="eastAsia" w:ascii="宋体" w:hAnsi="宋体"/>
          <w:color w:val="auto"/>
        </w:rPr>
        <w:t>（3）电子交易平台发现严重安全漏洞，有潜在泄密危险的；</w:t>
      </w:r>
    </w:p>
    <w:p w14:paraId="4329AFB4">
      <w:pPr>
        <w:spacing w:line="360" w:lineRule="auto"/>
        <w:ind w:firstLine="420" w:firstLineChars="200"/>
        <w:rPr>
          <w:rFonts w:ascii="宋体" w:hAnsi="宋体"/>
          <w:color w:val="auto"/>
        </w:rPr>
      </w:pPr>
      <w:r>
        <w:rPr>
          <w:rFonts w:hint="eastAsia" w:ascii="宋体" w:hAnsi="宋体"/>
          <w:color w:val="auto"/>
        </w:rPr>
        <w:t xml:space="preserve">（4）病毒发作导致不能进行正常操作的； </w:t>
      </w:r>
    </w:p>
    <w:p w14:paraId="3FED18A3">
      <w:pPr>
        <w:spacing w:line="360" w:lineRule="auto"/>
        <w:ind w:firstLine="420" w:firstLineChars="200"/>
        <w:rPr>
          <w:rFonts w:ascii="宋体" w:hAnsi="宋体"/>
          <w:color w:val="auto"/>
        </w:rPr>
      </w:pPr>
      <w:r>
        <w:rPr>
          <w:rFonts w:hint="eastAsia" w:ascii="宋体" w:hAnsi="宋体"/>
          <w:color w:val="auto"/>
        </w:rPr>
        <w:t>（5）其他无法保证电子交易的公平、公正和安全的情况。</w:t>
      </w:r>
    </w:p>
    <w:p w14:paraId="26528BE0">
      <w:pPr>
        <w:spacing w:line="360" w:lineRule="auto"/>
        <w:ind w:firstLine="420" w:firstLineChars="200"/>
        <w:rPr>
          <w:rFonts w:ascii="宋体" w:hAnsi="宋体"/>
          <w:color w:val="auto"/>
        </w:rPr>
      </w:pPr>
      <w:r>
        <w:rPr>
          <w:rFonts w:hint="eastAsia" w:ascii="宋体" w:hAnsi="宋体"/>
          <w:color w:val="auto"/>
        </w:rPr>
        <w:t>出现以上情形，不影响采购公平、公正性的，采购组织机构可以待上述情形消除后继续组织电子交易活动；影响或可能影响采购公平、公正性的，经采购代理机构确认后，应当重新采购。采购代理机构必须对原有的资料及信息作出妥善保密处理，并报财政部门备案</w:t>
      </w:r>
      <w:r>
        <w:rPr>
          <w:rFonts w:ascii="宋体" w:hAnsi="宋体"/>
          <w:color w:val="auto"/>
        </w:rPr>
        <w:t>。</w:t>
      </w:r>
    </w:p>
    <w:p w14:paraId="72BB5DFC">
      <w:pPr>
        <w:pStyle w:val="44"/>
        <w:spacing w:line="360" w:lineRule="auto"/>
        <w:rPr>
          <w:rFonts w:ascii="宋体" w:hAnsi="宋体" w:eastAsia="宋体"/>
          <w:b/>
          <w:color w:val="auto"/>
        </w:rPr>
      </w:pPr>
      <w:bookmarkStart w:id="174" w:name="_Toc152045542"/>
      <w:bookmarkStart w:id="175" w:name="_Toc4083"/>
      <w:bookmarkStart w:id="176" w:name="_Toc144974510"/>
      <w:bookmarkStart w:id="177" w:name="_Toc525742015"/>
      <w:bookmarkStart w:id="178" w:name="_Toc152042318"/>
      <w:bookmarkStart w:id="179" w:name="_Toc27214"/>
      <w:bookmarkStart w:id="180" w:name="_Toc525742101"/>
      <w:bookmarkStart w:id="181" w:name="_Toc3748"/>
      <w:bookmarkStart w:id="182" w:name="_Toc19515"/>
      <w:r>
        <w:rPr>
          <w:rFonts w:hint="eastAsia" w:ascii="宋体" w:hAnsi="宋体" w:eastAsia="宋体"/>
          <w:b/>
          <w:color w:val="auto"/>
        </w:rPr>
        <w:t xml:space="preserve">2. </w:t>
      </w:r>
      <w:bookmarkEnd w:id="174"/>
      <w:bookmarkEnd w:id="175"/>
      <w:bookmarkEnd w:id="176"/>
      <w:bookmarkEnd w:id="177"/>
      <w:bookmarkEnd w:id="178"/>
      <w:bookmarkEnd w:id="179"/>
      <w:bookmarkEnd w:id="180"/>
      <w:r>
        <w:rPr>
          <w:rFonts w:hint="eastAsia" w:ascii="宋体" w:hAnsi="宋体" w:eastAsia="宋体"/>
          <w:b/>
          <w:color w:val="auto"/>
        </w:rPr>
        <w:t>采购文件</w:t>
      </w:r>
      <w:bookmarkEnd w:id="181"/>
      <w:bookmarkEnd w:id="182"/>
    </w:p>
    <w:p w14:paraId="51AD015C">
      <w:pPr>
        <w:pStyle w:val="42"/>
        <w:spacing w:line="360" w:lineRule="auto"/>
        <w:rPr>
          <w:rFonts w:ascii="宋体" w:hAnsi="宋体" w:eastAsia="宋体"/>
          <w:color w:val="auto"/>
        </w:rPr>
      </w:pPr>
      <w:bookmarkStart w:id="183" w:name="_Toc152042319"/>
      <w:bookmarkStart w:id="184" w:name="_Toc23006"/>
      <w:bookmarkStart w:id="185" w:name="_Toc32224"/>
      <w:bookmarkStart w:id="186" w:name="_Toc144974511"/>
      <w:bookmarkStart w:id="187" w:name="_Toc5821"/>
      <w:bookmarkStart w:id="188" w:name="_Toc525742016"/>
      <w:bookmarkStart w:id="189" w:name="_Toc525742102"/>
      <w:bookmarkStart w:id="190" w:name="_Toc152045543"/>
      <w:bookmarkStart w:id="191" w:name="_Toc23010"/>
      <w:r>
        <w:rPr>
          <w:rFonts w:hint="eastAsia" w:ascii="宋体" w:hAnsi="宋体" w:eastAsia="宋体"/>
          <w:color w:val="auto"/>
        </w:rPr>
        <w:t>2.1 采购文件的组成</w:t>
      </w:r>
      <w:bookmarkEnd w:id="183"/>
      <w:bookmarkEnd w:id="184"/>
      <w:bookmarkEnd w:id="185"/>
      <w:bookmarkEnd w:id="186"/>
      <w:bookmarkEnd w:id="187"/>
      <w:bookmarkEnd w:id="188"/>
      <w:bookmarkEnd w:id="189"/>
      <w:bookmarkEnd w:id="190"/>
      <w:bookmarkEnd w:id="191"/>
    </w:p>
    <w:p w14:paraId="1D10B672">
      <w:pPr>
        <w:pStyle w:val="41"/>
        <w:spacing w:line="360" w:lineRule="auto"/>
        <w:ind w:firstLine="420" w:firstLineChars="200"/>
        <w:rPr>
          <w:color w:val="auto"/>
        </w:rPr>
      </w:pPr>
      <w:r>
        <w:rPr>
          <w:rFonts w:hint="eastAsia"/>
          <w:color w:val="auto"/>
        </w:rPr>
        <w:t>2.1.1本采购文件电子版（doc或docx）包括：采购公告（或投标邀请书）、投标人须知、评标办法、合同主要条款及格式、采购需求、投标文件部分格式、投标人须知前附表规定的其他材料；</w:t>
      </w:r>
    </w:p>
    <w:p w14:paraId="67B08020">
      <w:pPr>
        <w:pStyle w:val="41"/>
        <w:spacing w:line="360" w:lineRule="auto"/>
        <w:ind w:firstLine="420" w:firstLineChars="200"/>
        <w:rPr>
          <w:color w:val="auto"/>
        </w:rPr>
      </w:pPr>
      <w:r>
        <w:rPr>
          <w:rFonts w:hint="eastAsia"/>
          <w:color w:val="auto"/>
        </w:rPr>
        <w:t>2.1.2采购文件为独立文件，另附；用于编制加密投标文件。需使用平台下载的通用投标文件编制工具打开。</w:t>
      </w:r>
    </w:p>
    <w:p w14:paraId="3D146288">
      <w:pPr>
        <w:pStyle w:val="41"/>
        <w:spacing w:line="360" w:lineRule="auto"/>
        <w:ind w:firstLine="420" w:firstLineChars="200"/>
        <w:rPr>
          <w:color w:val="auto"/>
        </w:rPr>
      </w:pPr>
      <w:r>
        <w:rPr>
          <w:rFonts w:hint="eastAsia"/>
          <w:color w:val="auto"/>
        </w:rPr>
        <w:t>根据本章第1.10款、第2.2款和第2.3款对采购文件所作的澄清、修改，构成采购文件的组成部分。</w:t>
      </w:r>
    </w:p>
    <w:p w14:paraId="7F184F66">
      <w:pPr>
        <w:pStyle w:val="42"/>
        <w:spacing w:line="360" w:lineRule="auto"/>
        <w:rPr>
          <w:rFonts w:ascii="宋体" w:hAnsi="宋体" w:eastAsia="宋体"/>
          <w:color w:val="auto"/>
        </w:rPr>
      </w:pPr>
      <w:bookmarkStart w:id="192" w:name="_Toc144974512"/>
      <w:bookmarkStart w:id="193" w:name="_Toc525742103"/>
      <w:bookmarkStart w:id="194" w:name="_Toc152042320"/>
      <w:bookmarkStart w:id="195" w:name="_Toc27736"/>
      <w:bookmarkStart w:id="196" w:name="_Toc25006"/>
      <w:bookmarkStart w:id="197" w:name="_Toc525742017"/>
      <w:bookmarkStart w:id="198" w:name="_Toc20249"/>
      <w:bookmarkStart w:id="199" w:name="_Toc152045544"/>
      <w:bookmarkStart w:id="200" w:name="_Toc21548"/>
      <w:r>
        <w:rPr>
          <w:rFonts w:hint="eastAsia" w:ascii="宋体" w:hAnsi="宋体" w:eastAsia="宋体"/>
          <w:color w:val="auto"/>
        </w:rPr>
        <w:t>2.2 采购文件的澄清</w:t>
      </w:r>
      <w:bookmarkEnd w:id="192"/>
      <w:bookmarkEnd w:id="193"/>
      <w:bookmarkEnd w:id="194"/>
      <w:bookmarkEnd w:id="195"/>
      <w:bookmarkEnd w:id="196"/>
      <w:bookmarkEnd w:id="197"/>
      <w:bookmarkEnd w:id="198"/>
      <w:bookmarkEnd w:id="199"/>
      <w:bookmarkEnd w:id="200"/>
    </w:p>
    <w:p w14:paraId="781E4787">
      <w:pPr>
        <w:spacing w:line="360" w:lineRule="auto"/>
        <w:ind w:firstLine="420" w:firstLineChars="200"/>
        <w:rPr>
          <w:rFonts w:ascii="宋体" w:hAnsi="宋体"/>
          <w:color w:val="auto"/>
        </w:rPr>
      </w:pPr>
      <w:r>
        <w:rPr>
          <w:rFonts w:hint="eastAsia" w:ascii="宋体" w:hAnsi="宋体"/>
          <w:color w:val="auto"/>
        </w:rPr>
        <w:t>2.2.1同1.10.2的时间要求。</w:t>
      </w:r>
    </w:p>
    <w:p w14:paraId="06718D33">
      <w:pPr>
        <w:spacing w:line="360" w:lineRule="auto"/>
        <w:ind w:firstLine="420" w:firstLineChars="200"/>
        <w:outlineLvl w:val="3"/>
        <w:rPr>
          <w:rFonts w:ascii="宋体" w:hAnsi="宋体"/>
          <w:color w:val="auto"/>
        </w:rPr>
      </w:pPr>
      <w:r>
        <w:rPr>
          <w:rFonts w:hint="eastAsia" w:ascii="宋体" w:hAnsi="宋体"/>
          <w:color w:val="auto"/>
        </w:rPr>
        <w:t>2.2.2投标截止时间：见投标人须知前附表。</w:t>
      </w:r>
    </w:p>
    <w:p w14:paraId="6EB13E7D">
      <w:pPr>
        <w:spacing w:line="360" w:lineRule="auto"/>
        <w:ind w:firstLine="420" w:firstLineChars="200"/>
        <w:rPr>
          <w:rFonts w:ascii="宋体" w:hAnsi="宋体"/>
          <w:color w:val="auto"/>
        </w:rPr>
      </w:pPr>
      <w:r>
        <w:rPr>
          <w:rFonts w:hint="eastAsia" w:ascii="宋体" w:hAnsi="宋体"/>
          <w:color w:val="auto"/>
        </w:rPr>
        <w:t>2.2.3投标人自行登录“政采云”平台（http：//www.zcygov.cn）获取澄清，无须回复确认已收到该澄清。</w:t>
      </w:r>
    </w:p>
    <w:p w14:paraId="438476EA">
      <w:pPr>
        <w:pStyle w:val="42"/>
        <w:spacing w:line="360" w:lineRule="auto"/>
        <w:rPr>
          <w:rFonts w:ascii="宋体" w:hAnsi="宋体" w:eastAsia="宋体"/>
          <w:color w:val="auto"/>
        </w:rPr>
      </w:pPr>
      <w:bookmarkStart w:id="201" w:name="_Toc18024"/>
      <w:bookmarkStart w:id="202" w:name="_Toc18889"/>
      <w:bookmarkStart w:id="203" w:name="_Toc152042321"/>
      <w:bookmarkStart w:id="204" w:name="_Toc144974513"/>
      <w:bookmarkStart w:id="205" w:name="_Toc525742018"/>
      <w:bookmarkStart w:id="206" w:name="_Toc152045545"/>
      <w:bookmarkStart w:id="207" w:name="_Toc525742104"/>
      <w:bookmarkStart w:id="208" w:name="_Toc27394"/>
      <w:bookmarkStart w:id="209" w:name="_Toc1567"/>
      <w:r>
        <w:rPr>
          <w:rFonts w:hint="eastAsia" w:ascii="宋体" w:hAnsi="宋体" w:eastAsia="宋体"/>
          <w:color w:val="auto"/>
        </w:rPr>
        <w:t>2.3 采购文件的修改</w:t>
      </w:r>
      <w:bookmarkEnd w:id="201"/>
      <w:bookmarkEnd w:id="202"/>
      <w:bookmarkEnd w:id="203"/>
      <w:bookmarkEnd w:id="204"/>
      <w:bookmarkEnd w:id="205"/>
      <w:bookmarkEnd w:id="206"/>
      <w:bookmarkEnd w:id="207"/>
      <w:bookmarkEnd w:id="208"/>
      <w:bookmarkEnd w:id="209"/>
    </w:p>
    <w:p w14:paraId="3718A164">
      <w:pPr>
        <w:spacing w:line="360" w:lineRule="auto"/>
        <w:ind w:firstLine="420" w:firstLineChars="200"/>
        <w:rPr>
          <w:rFonts w:ascii="宋体" w:hAnsi="宋体"/>
          <w:color w:val="auto"/>
        </w:rPr>
      </w:pPr>
      <w:r>
        <w:rPr>
          <w:rFonts w:hint="eastAsia" w:ascii="宋体" w:hAnsi="宋体"/>
          <w:color w:val="auto"/>
        </w:rPr>
        <w:t>2.3.1采购人或者采购代理机构可以对已发出的采购文件进行必要的修改。修改在原公告发布媒体上发布，所有获取了采购文件的潜在投标人登录原公告发布媒体上下载和查看，修改的内容为采购文件的组成部分，并具有约束力。</w:t>
      </w:r>
    </w:p>
    <w:p w14:paraId="17EA8982">
      <w:pPr>
        <w:spacing w:line="360" w:lineRule="auto"/>
        <w:ind w:firstLine="420" w:firstLineChars="200"/>
        <w:rPr>
          <w:rFonts w:ascii="宋体" w:hAnsi="宋体"/>
          <w:color w:val="auto"/>
        </w:rPr>
      </w:pPr>
      <w:r>
        <w:rPr>
          <w:rFonts w:hint="eastAsia" w:ascii="宋体" w:hAnsi="宋体"/>
          <w:color w:val="auto"/>
        </w:rPr>
        <w:t>修改的内容可能影响投标文件编制的，采购人或者采购代理机构在投标截止时间至少15日前，以书面形式通知所有获取采购文件的潜在投标人；不足15日的，采购人或者采购代理机构顺延提交投标文件的截止时间。</w:t>
      </w:r>
    </w:p>
    <w:p w14:paraId="55334C5F">
      <w:pPr>
        <w:spacing w:line="360" w:lineRule="auto"/>
        <w:ind w:firstLine="420" w:firstLineChars="200"/>
        <w:rPr>
          <w:rFonts w:ascii="宋体" w:hAnsi="宋体"/>
          <w:color w:val="auto"/>
        </w:rPr>
      </w:pPr>
      <w:r>
        <w:rPr>
          <w:rFonts w:hint="eastAsia" w:ascii="宋体" w:hAnsi="宋体"/>
          <w:color w:val="auto"/>
        </w:rPr>
        <w:t>2.3.2投标人自行登录收取修改内容，无须回复确认已收到该修改。投标人应在截标时间前随时查看原公告发布媒体中有关该采购项目采购文件的答疑、补遗内容。否则，由此引起的投标损失自负。</w:t>
      </w:r>
    </w:p>
    <w:p w14:paraId="4FDD123D">
      <w:pPr>
        <w:spacing w:line="360" w:lineRule="auto"/>
        <w:ind w:firstLine="420" w:firstLineChars="200"/>
        <w:rPr>
          <w:rFonts w:ascii="宋体" w:hAnsi="宋体"/>
          <w:color w:val="auto"/>
        </w:rPr>
      </w:pPr>
      <w:r>
        <w:rPr>
          <w:rFonts w:hint="eastAsia" w:ascii="宋体" w:hAnsi="宋体"/>
          <w:color w:val="auto"/>
        </w:rPr>
        <w:t>2.3.3采购文件、采购文件澄清、采购文件修改文件内容均以网上发布的为准，当采购文件、采购文件澄清、采购文件修改文件内容相互矛盾时，以最后发出的为准。</w:t>
      </w:r>
    </w:p>
    <w:p w14:paraId="3F5BC8E7">
      <w:pPr>
        <w:pStyle w:val="44"/>
        <w:spacing w:line="360" w:lineRule="auto"/>
        <w:rPr>
          <w:rFonts w:ascii="宋体" w:hAnsi="宋体" w:eastAsia="宋体"/>
          <w:b/>
          <w:color w:val="auto"/>
        </w:rPr>
      </w:pPr>
      <w:bookmarkStart w:id="210" w:name="_Toc525742019"/>
      <w:bookmarkStart w:id="211" w:name="_Toc525742105"/>
      <w:bookmarkStart w:id="212" w:name="_Toc152042322"/>
      <w:bookmarkStart w:id="213" w:name="_Toc30912"/>
      <w:bookmarkStart w:id="214" w:name="_Toc152045546"/>
      <w:bookmarkStart w:id="215" w:name="_Toc2097"/>
      <w:bookmarkStart w:id="216" w:name="_Toc26365"/>
      <w:bookmarkStart w:id="217" w:name="_Toc144974514"/>
      <w:bookmarkStart w:id="218" w:name="_Toc4257"/>
      <w:r>
        <w:rPr>
          <w:rFonts w:hint="eastAsia" w:ascii="宋体" w:hAnsi="宋体" w:eastAsia="宋体"/>
          <w:b/>
          <w:color w:val="auto"/>
        </w:rPr>
        <w:t>3. 投标文件</w:t>
      </w:r>
      <w:bookmarkEnd w:id="210"/>
      <w:bookmarkEnd w:id="211"/>
      <w:bookmarkEnd w:id="212"/>
      <w:bookmarkEnd w:id="213"/>
      <w:bookmarkEnd w:id="214"/>
      <w:bookmarkEnd w:id="215"/>
      <w:bookmarkEnd w:id="216"/>
      <w:bookmarkEnd w:id="217"/>
      <w:bookmarkEnd w:id="218"/>
    </w:p>
    <w:p w14:paraId="00FEF1F4">
      <w:pPr>
        <w:pStyle w:val="42"/>
        <w:spacing w:line="360" w:lineRule="auto"/>
        <w:rPr>
          <w:rFonts w:ascii="宋体" w:hAnsi="宋体" w:eastAsia="宋体"/>
          <w:color w:val="auto"/>
        </w:rPr>
      </w:pPr>
      <w:bookmarkStart w:id="219" w:name="_Toc152045547"/>
      <w:bookmarkStart w:id="220" w:name="_Toc29380"/>
      <w:bookmarkStart w:id="221" w:name="_Toc19788"/>
      <w:bookmarkStart w:id="222" w:name="_Toc28883"/>
      <w:bookmarkStart w:id="223" w:name="_Toc144974515"/>
      <w:bookmarkStart w:id="224" w:name="_Toc525742106"/>
      <w:bookmarkStart w:id="225" w:name="_Toc525742020"/>
      <w:bookmarkStart w:id="226" w:name="_Toc152042323"/>
      <w:bookmarkStart w:id="227" w:name="_Toc5311"/>
      <w:r>
        <w:rPr>
          <w:rFonts w:hint="eastAsia" w:ascii="宋体" w:hAnsi="宋体" w:eastAsia="宋体"/>
          <w:color w:val="auto"/>
        </w:rPr>
        <w:t>3.1 投标文件的组成</w:t>
      </w:r>
      <w:bookmarkEnd w:id="219"/>
      <w:bookmarkEnd w:id="220"/>
      <w:bookmarkEnd w:id="221"/>
      <w:bookmarkEnd w:id="222"/>
      <w:bookmarkEnd w:id="223"/>
      <w:bookmarkEnd w:id="224"/>
      <w:bookmarkEnd w:id="225"/>
      <w:bookmarkEnd w:id="226"/>
      <w:bookmarkEnd w:id="227"/>
    </w:p>
    <w:p w14:paraId="2A012097">
      <w:pPr>
        <w:spacing w:line="360" w:lineRule="auto"/>
        <w:ind w:firstLine="420" w:firstLineChars="200"/>
        <w:rPr>
          <w:rFonts w:ascii="宋体" w:hAnsi="宋体"/>
          <w:color w:val="auto"/>
        </w:rPr>
      </w:pPr>
      <w:r>
        <w:rPr>
          <w:rFonts w:hint="eastAsia" w:ascii="宋体" w:hAnsi="宋体"/>
          <w:color w:val="auto"/>
        </w:rPr>
        <w:t>3.1.1投标文件全部采用电子文档，具体格式详见采购文件第六章。</w:t>
      </w:r>
    </w:p>
    <w:p w14:paraId="5B51CACD">
      <w:pPr>
        <w:pStyle w:val="42"/>
        <w:spacing w:line="360" w:lineRule="auto"/>
        <w:rPr>
          <w:rFonts w:ascii="宋体" w:hAnsi="宋体" w:eastAsia="宋体"/>
          <w:color w:val="auto"/>
        </w:rPr>
      </w:pPr>
      <w:bookmarkStart w:id="228" w:name="_Toc30491"/>
      <w:bookmarkStart w:id="229" w:name="_Toc144974516"/>
      <w:bookmarkStart w:id="230" w:name="_Toc525742107"/>
      <w:bookmarkStart w:id="231" w:name="_Toc152045548"/>
      <w:bookmarkStart w:id="232" w:name="_Toc525742021"/>
      <w:bookmarkStart w:id="233" w:name="_Toc152042324"/>
      <w:bookmarkStart w:id="234" w:name="_Toc17757"/>
      <w:bookmarkStart w:id="235" w:name="_Toc10651"/>
      <w:bookmarkStart w:id="236" w:name="_Toc26049"/>
      <w:r>
        <w:rPr>
          <w:rFonts w:hint="eastAsia" w:ascii="宋体" w:hAnsi="宋体" w:eastAsia="宋体"/>
          <w:color w:val="auto"/>
        </w:rPr>
        <w:t>3.2 投标报价</w:t>
      </w:r>
      <w:bookmarkEnd w:id="228"/>
      <w:bookmarkEnd w:id="229"/>
      <w:bookmarkEnd w:id="230"/>
      <w:bookmarkEnd w:id="231"/>
      <w:bookmarkEnd w:id="232"/>
      <w:bookmarkEnd w:id="233"/>
      <w:bookmarkEnd w:id="234"/>
      <w:bookmarkEnd w:id="235"/>
      <w:bookmarkEnd w:id="236"/>
    </w:p>
    <w:p w14:paraId="669AADF7">
      <w:pPr>
        <w:spacing w:line="360" w:lineRule="auto"/>
        <w:ind w:firstLine="420" w:firstLineChars="200"/>
        <w:outlineLvl w:val="3"/>
        <w:rPr>
          <w:rFonts w:ascii="宋体" w:hAnsi="宋体"/>
          <w:color w:val="auto"/>
        </w:rPr>
      </w:pPr>
      <w:r>
        <w:rPr>
          <w:rFonts w:hint="eastAsia" w:ascii="宋体" w:hAnsi="宋体"/>
          <w:color w:val="auto"/>
        </w:rPr>
        <w:t>3.2.1</w:t>
      </w:r>
      <w:r>
        <w:rPr>
          <w:rFonts w:hint="eastAsia" w:ascii="宋体" w:hAnsi="宋体"/>
          <w:color w:val="auto"/>
          <w:szCs w:val="21"/>
        </w:rPr>
        <w:t>本项目的报价方式及说明按照投标人须知前附表的规定。</w:t>
      </w:r>
    </w:p>
    <w:p w14:paraId="64901391">
      <w:pPr>
        <w:spacing w:line="360" w:lineRule="auto"/>
        <w:ind w:firstLine="420" w:firstLineChars="200"/>
        <w:rPr>
          <w:rFonts w:ascii="宋体" w:hAnsi="宋体"/>
          <w:color w:val="auto"/>
        </w:rPr>
      </w:pPr>
      <w:r>
        <w:rPr>
          <w:rFonts w:hint="eastAsia" w:ascii="宋体" w:hAnsi="宋体"/>
          <w:color w:val="auto"/>
        </w:rPr>
        <w:t>3.2.2</w:t>
      </w:r>
      <w:r>
        <w:rPr>
          <w:rFonts w:hint="eastAsia" w:ascii="宋体" w:hAnsi="宋体"/>
          <w:bCs/>
          <w:color w:val="auto"/>
        </w:rPr>
        <w:t>投标人的投标报价，应是完成采购范围中所有工作内容的唯一报价。</w:t>
      </w:r>
    </w:p>
    <w:p w14:paraId="5251BF72">
      <w:pPr>
        <w:spacing w:line="360" w:lineRule="auto"/>
        <w:ind w:firstLine="420" w:firstLineChars="200"/>
        <w:rPr>
          <w:rFonts w:ascii="宋体" w:hAnsi="宋体"/>
          <w:bCs/>
          <w:color w:val="auto"/>
        </w:rPr>
      </w:pPr>
      <w:r>
        <w:rPr>
          <w:rFonts w:hint="eastAsia" w:ascii="宋体" w:hAnsi="宋体"/>
          <w:color w:val="auto"/>
        </w:rPr>
        <w:t>3.2.</w:t>
      </w:r>
      <w:r>
        <w:rPr>
          <w:rFonts w:hint="eastAsia" w:ascii="宋体" w:hAnsi="宋体"/>
          <w:bCs/>
          <w:color w:val="auto"/>
        </w:rPr>
        <w:t>3在合同实施期间，中标价不因国家政策或法规、标准的变化而调整。</w:t>
      </w:r>
    </w:p>
    <w:p w14:paraId="146CA5D9">
      <w:pPr>
        <w:pStyle w:val="42"/>
        <w:spacing w:line="360" w:lineRule="auto"/>
        <w:rPr>
          <w:rFonts w:ascii="宋体" w:hAnsi="宋体" w:eastAsia="宋体"/>
          <w:color w:val="auto"/>
        </w:rPr>
      </w:pPr>
      <w:bookmarkStart w:id="237" w:name="_Toc16020"/>
      <w:bookmarkStart w:id="238" w:name="_Toc525742022"/>
      <w:bookmarkStart w:id="239" w:name="_Toc27482"/>
      <w:bookmarkStart w:id="240" w:name="_Toc152045549"/>
      <w:bookmarkStart w:id="241" w:name="_Toc152042325"/>
      <w:bookmarkStart w:id="242" w:name="_Toc4792"/>
      <w:bookmarkStart w:id="243" w:name="_Toc8978"/>
      <w:bookmarkStart w:id="244" w:name="_Toc525742108"/>
      <w:bookmarkStart w:id="245" w:name="_Toc144974517"/>
      <w:r>
        <w:rPr>
          <w:rFonts w:hint="eastAsia" w:ascii="宋体" w:hAnsi="宋体" w:eastAsia="宋体"/>
          <w:color w:val="auto"/>
        </w:rPr>
        <w:t>3.3 投标有效期</w:t>
      </w:r>
      <w:bookmarkEnd w:id="237"/>
      <w:bookmarkEnd w:id="238"/>
      <w:bookmarkEnd w:id="239"/>
      <w:bookmarkEnd w:id="240"/>
      <w:bookmarkEnd w:id="241"/>
      <w:bookmarkEnd w:id="242"/>
      <w:bookmarkEnd w:id="243"/>
      <w:bookmarkEnd w:id="244"/>
      <w:bookmarkEnd w:id="245"/>
    </w:p>
    <w:p w14:paraId="0EF217D9">
      <w:pPr>
        <w:spacing w:line="360" w:lineRule="auto"/>
        <w:ind w:firstLine="420" w:firstLineChars="200"/>
        <w:rPr>
          <w:rFonts w:ascii="宋体" w:hAnsi="宋体"/>
          <w:color w:val="auto"/>
        </w:rPr>
      </w:pPr>
      <w:r>
        <w:rPr>
          <w:rFonts w:hint="eastAsia" w:ascii="宋体" w:hAnsi="宋体"/>
          <w:color w:val="auto"/>
        </w:rPr>
        <w:t>3.3.1 投标有效期从提交投标文件的截止之日起算。具体日期详见“</w:t>
      </w:r>
      <w:r>
        <w:rPr>
          <w:rFonts w:ascii="宋体" w:hAnsi="宋体"/>
          <w:color w:val="auto"/>
        </w:rPr>
        <w:t>投标人</w:t>
      </w:r>
      <w:r>
        <w:rPr>
          <w:rFonts w:hint="eastAsia" w:ascii="宋体" w:hAnsi="宋体"/>
          <w:color w:val="auto"/>
        </w:rPr>
        <w:t>须知前附表”。投标文件中承诺的有效期应当不少于采购文件载明的投标有效期。</w:t>
      </w:r>
    </w:p>
    <w:p w14:paraId="5034B13D">
      <w:pPr>
        <w:spacing w:line="360" w:lineRule="auto"/>
        <w:ind w:firstLine="420" w:firstLineChars="200"/>
        <w:rPr>
          <w:rFonts w:ascii="宋体" w:hAnsi="宋体"/>
          <w:color w:val="auto"/>
        </w:rPr>
      </w:pPr>
      <w:r>
        <w:rPr>
          <w:rFonts w:hint="eastAsia" w:ascii="宋体" w:hAnsi="宋体"/>
          <w:color w:val="auto"/>
        </w:rPr>
        <w:t xml:space="preserve">3.3.2投标有效期内投标人撤销投标文件的，采购人或者采购代理机构可以不退还投标保证金。 </w:t>
      </w:r>
    </w:p>
    <w:p w14:paraId="43C18BA3">
      <w:pPr>
        <w:spacing w:line="360" w:lineRule="auto"/>
        <w:ind w:firstLine="420" w:firstLineChars="200"/>
        <w:rPr>
          <w:rFonts w:ascii="宋体" w:hAnsi="宋体"/>
          <w:color w:val="auto"/>
        </w:rPr>
      </w:pPr>
      <w:bookmarkStart w:id="246" w:name="_Toc525742023"/>
      <w:bookmarkStart w:id="247" w:name="_Toc32406"/>
      <w:bookmarkStart w:id="248" w:name="_Toc353290322"/>
      <w:bookmarkStart w:id="249" w:name="_Toc152045550"/>
      <w:bookmarkStart w:id="250" w:name="_Toc152042326"/>
      <w:bookmarkStart w:id="251" w:name="_Toc144974518"/>
      <w:bookmarkStart w:id="252" w:name="_Toc5949"/>
      <w:bookmarkStart w:id="253" w:name="_Toc525742109"/>
      <w:r>
        <w:rPr>
          <w:rFonts w:hint="eastAsia" w:ascii="宋体" w:hAnsi="宋体"/>
          <w:color w:val="auto"/>
        </w:rPr>
        <w:t>3.4 投标保证金</w:t>
      </w:r>
      <w:bookmarkEnd w:id="246"/>
      <w:bookmarkEnd w:id="247"/>
      <w:bookmarkEnd w:id="248"/>
      <w:bookmarkEnd w:id="249"/>
      <w:bookmarkEnd w:id="250"/>
      <w:bookmarkEnd w:id="251"/>
      <w:bookmarkEnd w:id="252"/>
      <w:bookmarkEnd w:id="253"/>
    </w:p>
    <w:p w14:paraId="206914BC">
      <w:pPr>
        <w:spacing w:line="360" w:lineRule="auto"/>
        <w:ind w:firstLine="420" w:firstLineChars="200"/>
        <w:rPr>
          <w:rFonts w:ascii="宋体" w:hAnsi="宋体"/>
          <w:color w:val="auto"/>
        </w:rPr>
      </w:pPr>
      <w:r>
        <w:rPr>
          <w:rFonts w:hint="eastAsia" w:ascii="宋体" w:hAnsi="宋体"/>
          <w:color w:val="auto"/>
        </w:rPr>
        <w:t>详见投标人须知前附表。</w:t>
      </w:r>
    </w:p>
    <w:p w14:paraId="63B310C1">
      <w:pPr>
        <w:pStyle w:val="42"/>
        <w:spacing w:line="360" w:lineRule="auto"/>
        <w:rPr>
          <w:rFonts w:ascii="宋体" w:hAnsi="宋体" w:eastAsia="宋体"/>
          <w:color w:val="auto"/>
        </w:rPr>
      </w:pPr>
      <w:bookmarkStart w:id="254" w:name="_Toc9528"/>
      <w:bookmarkStart w:id="255" w:name="_Toc18589"/>
      <w:bookmarkStart w:id="256" w:name="_Toc1518"/>
      <w:bookmarkStart w:id="257" w:name="_Toc16121"/>
      <w:bookmarkStart w:id="258" w:name="_Toc525742111"/>
      <w:bookmarkStart w:id="259" w:name="_Toc152045553"/>
      <w:bookmarkStart w:id="260" w:name="_Toc144974521"/>
      <w:bookmarkStart w:id="261" w:name="_Toc152042329"/>
      <w:bookmarkStart w:id="262" w:name="_Toc525742025"/>
      <w:r>
        <w:rPr>
          <w:rFonts w:hint="eastAsia" w:ascii="宋体" w:hAnsi="宋体" w:eastAsia="宋体"/>
          <w:color w:val="auto"/>
        </w:rPr>
        <w:t>3.5 投标货币</w:t>
      </w:r>
      <w:bookmarkEnd w:id="254"/>
      <w:bookmarkEnd w:id="255"/>
      <w:bookmarkEnd w:id="256"/>
      <w:bookmarkEnd w:id="257"/>
    </w:p>
    <w:p w14:paraId="1BEA3F7A">
      <w:pPr>
        <w:spacing w:line="360" w:lineRule="auto"/>
        <w:ind w:firstLine="420" w:firstLineChars="200"/>
        <w:rPr>
          <w:rFonts w:ascii="宋体" w:hAnsi="宋体"/>
          <w:color w:val="auto"/>
        </w:rPr>
      </w:pPr>
      <w:r>
        <w:rPr>
          <w:rFonts w:hint="eastAsia" w:ascii="宋体" w:hAnsi="宋体"/>
          <w:color w:val="auto"/>
        </w:rPr>
        <w:t>本项目投标报价采用的币种为人民币。</w:t>
      </w:r>
    </w:p>
    <w:p w14:paraId="2979F3F3">
      <w:pPr>
        <w:pStyle w:val="42"/>
        <w:spacing w:line="360" w:lineRule="auto"/>
        <w:rPr>
          <w:rFonts w:ascii="宋体" w:hAnsi="宋体" w:eastAsia="宋体"/>
          <w:color w:val="auto"/>
        </w:rPr>
      </w:pPr>
      <w:bookmarkStart w:id="263" w:name="_Toc12119"/>
      <w:bookmarkStart w:id="264" w:name="_Toc27390"/>
      <w:bookmarkStart w:id="265" w:name="_Toc26285"/>
      <w:bookmarkStart w:id="266" w:name="_Toc2365"/>
      <w:r>
        <w:rPr>
          <w:rFonts w:hint="eastAsia" w:ascii="宋体" w:hAnsi="宋体" w:eastAsia="宋体"/>
          <w:color w:val="auto"/>
        </w:rPr>
        <w:t>3.6备选投标方案</w:t>
      </w:r>
      <w:bookmarkEnd w:id="258"/>
      <w:bookmarkEnd w:id="259"/>
      <w:bookmarkEnd w:id="260"/>
      <w:bookmarkEnd w:id="261"/>
      <w:bookmarkEnd w:id="262"/>
      <w:bookmarkEnd w:id="263"/>
      <w:bookmarkEnd w:id="264"/>
      <w:bookmarkEnd w:id="265"/>
      <w:bookmarkEnd w:id="266"/>
    </w:p>
    <w:p w14:paraId="7B6CB7EC">
      <w:pPr>
        <w:spacing w:line="360" w:lineRule="auto"/>
        <w:ind w:firstLine="420" w:firstLineChars="200"/>
        <w:rPr>
          <w:rFonts w:ascii="宋体" w:hAnsi="宋体"/>
          <w:color w:val="auto"/>
        </w:rPr>
      </w:pPr>
      <w:r>
        <w:rPr>
          <w:rFonts w:hint="eastAsia" w:ascii="宋体" w:hAnsi="宋体"/>
          <w:color w:val="auto"/>
        </w:rPr>
        <w:t>除</w:t>
      </w:r>
      <w:r>
        <w:rPr>
          <w:rFonts w:ascii="宋体" w:hAnsi="宋体"/>
          <w:color w:val="auto"/>
        </w:rPr>
        <w:t>投标人</w:t>
      </w:r>
      <w:r>
        <w:rPr>
          <w:rFonts w:hint="eastAsia" w:ascii="宋体" w:hAnsi="宋体"/>
          <w:color w:val="auto"/>
        </w:rPr>
        <w:t>须知前附表另有规定外，</w:t>
      </w:r>
      <w:r>
        <w:rPr>
          <w:rFonts w:ascii="宋体" w:hAnsi="宋体"/>
          <w:color w:val="auto"/>
        </w:rPr>
        <w:t>投标人</w:t>
      </w:r>
      <w:r>
        <w:rPr>
          <w:rFonts w:hint="eastAsia" w:ascii="宋体" w:hAnsi="宋体"/>
          <w:color w:val="auto"/>
        </w:rPr>
        <w:t>不得递交备选投标方案。允许</w:t>
      </w:r>
      <w:r>
        <w:rPr>
          <w:rFonts w:ascii="宋体" w:hAnsi="宋体"/>
          <w:color w:val="auto"/>
        </w:rPr>
        <w:t>投标人</w:t>
      </w:r>
      <w:r>
        <w:rPr>
          <w:rFonts w:hint="eastAsia" w:ascii="宋体" w:hAnsi="宋体"/>
          <w:color w:val="auto"/>
        </w:rPr>
        <w:t>递交备选投标方案的，只有中标人所递交的备选投标方案方可予以考虑。评标委员会认为中标人的备选投标方案优于其按照采购文件要求编制的投标方案的，</w:t>
      </w:r>
      <w:r>
        <w:rPr>
          <w:rFonts w:ascii="宋体" w:hAnsi="宋体"/>
          <w:color w:val="auto"/>
        </w:rPr>
        <w:t>采购人</w:t>
      </w:r>
      <w:r>
        <w:rPr>
          <w:rFonts w:hint="eastAsia" w:ascii="宋体" w:hAnsi="宋体"/>
          <w:color w:val="auto"/>
        </w:rPr>
        <w:t>可以接受该备选投标方案。</w:t>
      </w:r>
    </w:p>
    <w:p w14:paraId="316F1E00">
      <w:pPr>
        <w:pStyle w:val="42"/>
        <w:spacing w:line="360" w:lineRule="auto"/>
        <w:rPr>
          <w:rFonts w:ascii="宋体" w:hAnsi="宋体" w:eastAsia="宋体"/>
          <w:color w:val="auto"/>
        </w:rPr>
      </w:pPr>
      <w:bookmarkStart w:id="267" w:name="_Toc152042330"/>
      <w:bookmarkStart w:id="268" w:name="_Toc15227"/>
      <w:bookmarkStart w:id="269" w:name="_Toc525742112"/>
      <w:bookmarkStart w:id="270" w:name="_Toc7321"/>
      <w:bookmarkStart w:id="271" w:name="_Toc525742026"/>
      <w:bookmarkStart w:id="272" w:name="_Toc144974522"/>
      <w:bookmarkStart w:id="273" w:name="_Toc152045554"/>
      <w:bookmarkStart w:id="274" w:name="_Toc28862"/>
      <w:bookmarkStart w:id="275" w:name="_Toc14873"/>
      <w:r>
        <w:rPr>
          <w:rFonts w:hint="eastAsia" w:ascii="宋体" w:hAnsi="宋体" w:eastAsia="宋体"/>
          <w:color w:val="auto"/>
        </w:rPr>
        <w:t>3.7投标文件的编制</w:t>
      </w:r>
      <w:bookmarkEnd w:id="267"/>
      <w:bookmarkEnd w:id="268"/>
      <w:bookmarkEnd w:id="269"/>
      <w:bookmarkEnd w:id="270"/>
      <w:bookmarkEnd w:id="271"/>
      <w:bookmarkEnd w:id="272"/>
      <w:bookmarkEnd w:id="273"/>
      <w:bookmarkEnd w:id="274"/>
      <w:bookmarkEnd w:id="275"/>
    </w:p>
    <w:p w14:paraId="6D6E45C2">
      <w:pPr>
        <w:spacing w:line="360" w:lineRule="auto"/>
        <w:ind w:firstLine="420" w:firstLineChars="200"/>
        <w:rPr>
          <w:rFonts w:ascii="宋体" w:hAnsi="宋体"/>
          <w:color w:val="auto"/>
        </w:rPr>
      </w:pPr>
      <w:r>
        <w:rPr>
          <w:rFonts w:hint="eastAsia" w:ascii="宋体" w:hAnsi="宋体"/>
          <w:color w:val="auto"/>
        </w:rPr>
        <w:t>3.7.1投标文件应按第六章“投标文件部分格式”进行编写，如有必要，可以增加附页，作为投标文件的组成部分。其中，投标函在满足采购文件实质性要求的基础上，可以提出比采购文件要求更有利于采购人的承诺。</w:t>
      </w:r>
    </w:p>
    <w:p w14:paraId="724DB59E">
      <w:pPr>
        <w:spacing w:line="360" w:lineRule="auto"/>
        <w:ind w:firstLine="420" w:firstLineChars="200"/>
        <w:rPr>
          <w:rFonts w:ascii="宋体" w:hAnsi="宋体"/>
          <w:color w:val="auto"/>
        </w:rPr>
      </w:pPr>
      <w:r>
        <w:rPr>
          <w:rFonts w:hint="eastAsia" w:ascii="宋体" w:hAnsi="宋体"/>
          <w:color w:val="auto"/>
        </w:rPr>
        <w:t>3.7.2投标文件应当对采购文件有关供货期要求、投标有效期、质量标准、采购需求、采购范围等实质性内容作出响应。</w:t>
      </w:r>
    </w:p>
    <w:p w14:paraId="1ADEF881">
      <w:pPr>
        <w:spacing w:line="360" w:lineRule="auto"/>
        <w:ind w:firstLine="420" w:firstLineChars="200"/>
        <w:rPr>
          <w:rFonts w:ascii="宋体" w:hAnsi="宋体"/>
          <w:color w:val="auto"/>
        </w:rPr>
      </w:pPr>
      <w:r>
        <w:rPr>
          <w:rFonts w:hint="eastAsia" w:ascii="宋体" w:hAnsi="宋体"/>
          <w:color w:val="auto"/>
        </w:rPr>
        <w:t>3.7.3</w:t>
      </w:r>
      <w:r>
        <w:rPr>
          <w:rFonts w:hint="eastAsia" w:ascii="宋体" w:hAnsi="宋体" w:cs="宋?"/>
          <w:color w:val="auto"/>
          <w:kern w:val="0"/>
          <w:szCs w:val="21"/>
        </w:rPr>
        <w:t>签字或盖章要求</w:t>
      </w:r>
      <w:r>
        <w:rPr>
          <w:rFonts w:hint="eastAsia" w:ascii="宋体" w:hAnsi="宋体"/>
          <w:color w:val="auto"/>
        </w:rPr>
        <w:t>：见投标人须知前附表。</w:t>
      </w:r>
    </w:p>
    <w:p w14:paraId="1562C3C3">
      <w:pPr>
        <w:spacing w:line="360" w:lineRule="auto"/>
        <w:ind w:firstLine="420" w:firstLineChars="200"/>
        <w:rPr>
          <w:rFonts w:ascii="宋体" w:hAnsi="宋体"/>
          <w:color w:val="auto"/>
        </w:rPr>
      </w:pPr>
      <w:r>
        <w:rPr>
          <w:rFonts w:hint="eastAsia" w:ascii="宋体" w:hAnsi="宋体"/>
          <w:color w:val="auto"/>
        </w:rPr>
        <w:t>3.7.4投标文件编制方法：见投标人须知前附表。</w:t>
      </w:r>
    </w:p>
    <w:p w14:paraId="44BCFDCB">
      <w:pPr>
        <w:spacing w:line="360" w:lineRule="auto"/>
        <w:ind w:firstLine="420" w:firstLineChars="200"/>
        <w:rPr>
          <w:rFonts w:ascii="宋体" w:hAnsi="宋体"/>
          <w:color w:val="auto"/>
        </w:rPr>
      </w:pPr>
      <w:r>
        <w:rPr>
          <w:rFonts w:hint="eastAsia" w:ascii="宋体" w:hAnsi="宋体"/>
          <w:color w:val="auto"/>
        </w:rPr>
        <w:t>3.7.5</w:t>
      </w:r>
      <w:r>
        <w:rPr>
          <w:rFonts w:hint="eastAsia"/>
          <w:color w:val="auto"/>
        </w:rPr>
        <w:t>“开标一览表”数据一致性要求：</w:t>
      </w:r>
      <w:r>
        <w:rPr>
          <w:rFonts w:hint="eastAsia" w:ascii="宋体" w:hAnsi="宋体"/>
          <w:color w:val="auto"/>
        </w:rPr>
        <w:t>见投标人须知前附表。</w:t>
      </w:r>
    </w:p>
    <w:p w14:paraId="5476D580">
      <w:pPr>
        <w:pStyle w:val="44"/>
        <w:spacing w:line="360" w:lineRule="auto"/>
        <w:rPr>
          <w:rFonts w:ascii="宋体" w:hAnsi="宋体" w:eastAsia="宋体"/>
          <w:b/>
          <w:color w:val="auto"/>
        </w:rPr>
      </w:pPr>
      <w:bookmarkStart w:id="276" w:name="_Toc525742027"/>
      <w:bookmarkStart w:id="277" w:name="_Toc12078"/>
      <w:bookmarkStart w:id="278" w:name="_Toc144974523"/>
      <w:bookmarkStart w:id="279" w:name="_Toc152042331"/>
      <w:bookmarkStart w:id="280" w:name="_Toc12620"/>
      <w:bookmarkStart w:id="281" w:name="_Toc525742113"/>
      <w:bookmarkStart w:id="282" w:name="_Toc13486"/>
      <w:bookmarkStart w:id="283" w:name="_Toc152045555"/>
      <w:bookmarkStart w:id="284" w:name="_Toc31564"/>
      <w:r>
        <w:rPr>
          <w:rFonts w:hint="eastAsia" w:ascii="宋体" w:hAnsi="宋体" w:eastAsia="宋体"/>
          <w:b/>
          <w:color w:val="auto"/>
        </w:rPr>
        <w:t>4. 投标</w:t>
      </w:r>
      <w:bookmarkEnd w:id="276"/>
      <w:bookmarkEnd w:id="277"/>
      <w:bookmarkEnd w:id="278"/>
      <w:bookmarkEnd w:id="279"/>
      <w:bookmarkEnd w:id="280"/>
      <w:bookmarkEnd w:id="281"/>
      <w:bookmarkEnd w:id="282"/>
      <w:bookmarkEnd w:id="283"/>
      <w:bookmarkEnd w:id="284"/>
    </w:p>
    <w:p w14:paraId="02426CF4">
      <w:pPr>
        <w:pStyle w:val="42"/>
        <w:spacing w:line="360" w:lineRule="auto"/>
        <w:rPr>
          <w:rFonts w:ascii="宋体" w:hAnsi="宋体" w:eastAsia="宋体"/>
          <w:color w:val="auto"/>
        </w:rPr>
      </w:pPr>
      <w:bookmarkStart w:id="285" w:name="_Toc525742114"/>
      <w:bookmarkStart w:id="286" w:name="_Toc152042332"/>
      <w:bookmarkStart w:id="287" w:name="_Toc144974524"/>
      <w:bookmarkStart w:id="288" w:name="_Toc525742028"/>
      <w:bookmarkStart w:id="289" w:name="_Toc152045556"/>
      <w:bookmarkStart w:id="290" w:name="_Toc12466"/>
      <w:bookmarkStart w:id="291" w:name="_Toc6222"/>
      <w:bookmarkStart w:id="292" w:name="_Toc11603"/>
      <w:bookmarkStart w:id="293" w:name="_Toc11048"/>
      <w:r>
        <w:rPr>
          <w:rFonts w:hint="eastAsia" w:ascii="宋体" w:hAnsi="宋体" w:eastAsia="宋体"/>
          <w:color w:val="auto"/>
        </w:rPr>
        <w:t>4.1 投标文件</w:t>
      </w:r>
      <w:bookmarkEnd w:id="285"/>
      <w:bookmarkEnd w:id="286"/>
      <w:bookmarkEnd w:id="287"/>
      <w:bookmarkEnd w:id="288"/>
      <w:bookmarkEnd w:id="289"/>
      <w:r>
        <w:rPr>
          <w:rFonts w:hint="eastAsia" w:ascii="宋体" w:hAnsi="宋体" w:eastAsia="宋体"/>
          <w:color w:val="auto"/>
        </w:rPr>
        <w:t>加密</w:t>
      </w:r>
      <w:bookmarkEnd w:id="290"/>
      <w:bookmarkEnd w:id="291"/>
      <w:bookmarkEnd w:id="292"/>
      <w:bookmarkEnd w:id="293"/>
    </w:p>
    <w:p w14:paraId="56E4E85A">
      <w:pPr>
        <w:spacing w:line="360" w:lineRule="auto"/>
        <w:ind w:firstLine="420" w:firstLineChars="200"/>
        <w:rPr>
          <w:rFonts w:ascii="宋体" w:hAnsi="宋体"/>
          <w:color w:val="auto"/>
        </w:rPr>
      </w:pPr>
      <w:r>
        <w:rPr>
          <w:rFonts w:hint="eastAsia" w:ascii="宋体" w:hAnsi="宋体"/>
          <w:color w:val="auto"/>
        </w:rPr>
        <w:t>详见</w:t>
      </w:r>
      <w:r>
        <w:rPr>
          <w:rFonts w:hint="eastAsia"/>
          <w:color w:val="auto"/>
        </w:rPr>
        <w:t>“政采云”平台中《政府采购项目电子交易管理操作指南-供应商》”</w:t>
      </w:r>
      <w:r>
        <w:rPr>
          <w:rFonts w:hint="eastAsia" w:ascii="宋体" w:hAnsi="宋体"/>
          <w:color w:val="auto"/>
        </w:rPr>
        <w:t>。</w:t>
      </w:r>
    </w:p>
    <w:p w14:paraId="764DE7AE">
      <w:pPr>
        <w:pStyle w:val="42"/>
        <w:spacing w:line="360" w:lineRule="auto"/>
        <w:rPr>
          <w:rFonts w:ascii="宋体" w:hAnsi="宋体" w:eastAsia="宋体"/>
          <w:color w:val="auto"/>
        </w:rPr>
      </w:pPr>
      <w:bookmarkStart w:id="294" w:name="_Toc144974525"/>
      <w:bookmarkStart w:id="295" w:name="_Toc26843"/>
      <w:bookmarkStart w:id="296" w:name="_Toc152045557"/>
      <w:bookmarkStart w:id="297" w:name="_Toc12819"/>
      <w:bookmarkStart w:id="298" w:name="_Toc525742029"/>
      <w:bookmarkStart w:id="299" w:name="_Toc9841"/>
      <w:bookmarkStart w:id="300" w:name="_Toc525742115"/>
      <w:bookmarkStart w:id="301" w:name="_Toc8041"/>
      <w:bookmarkStart w:id="302" w:name="_Toc152042333"/>
      <w:r>
        <w:rPr>
          <w:rFonts w:hint="eastAsia" w:ascii="宋体" w:hAnsi="宋体" w:eastAsia="宋体"/>
          <w:color w:val="auto"/>
        </w:rPr>
        <w:t>4.2 投标文件的递交</w:t>
      </w:r>
      <w:bookmarkEnd w:id="294"/>
      <w:bookmarkEnd w:id="295"/>
      <w:bookmarkEnd w:id="296"/>
      <w:bookmarkEnd w:id="297"/>
      <w:bookmarkEnd w:id="298"/>
      <w:bookmarkEnd w:id="299"/>
      <w:bookmarkEnd w:id="300"/>
      <w:bookmarkEnd w:id="301"/>
      <w:bookmarkEnd w:id="302"/>
    </w:p>
    <w:p w14:paraId="6E680F0E">
      <w:pPr>
        <w:spacing w:line="360" w:lineRule="auto"/>
        <w:ind w:firstLine="420" w:firstLineChars="200"/>
        <w:rPr>
          <w:rFonts w:ascii="宋体" w:hAnsi="宋体"/>
          <w:color w:val="auto"/>
        </w:rPr>
      </w:pPr>
      <w:r>
        <w:rPr>
          <w:rFonts w:hint="eastAsia" w:ascii="宋体" w:hAnsi="宋体"/>
          <w:color w:val="auto"/>
        </w:rPr>
        <w:t>4.2.1投标人应在本章第2.2.2项规定的投标截止时间前递交投标文件。</w:t>
      </w:r>
    </w:p>
    <w:p w14:paraId="188AD231">
      <w:pPr>
        <w:spacing w:line="360" w:lineRule="auto"/>
        <w:ind w:firstLine="420" w:firstLineChars="200"/>
        <w:rPr>
          <w:rFonts w:ascii="宋体" w:hAnsi="宋体"/>
          <w:color w:val="auto"/>
        </w:rPr>
      </w:pPr>
      <w:r>
        <w:rPr>
          <w:rFonts w:hint="eastAsia" w:ascii="宋体" w:hAnsi="宋体"/>
          <w:color w:val="auto"/>
        </w:rPr>
        <w:t>4.2.3除投标人须知前附表另有规定外，投标人所递交的投标文件不予退还。</w:t>
      </w:r>
    </w:p>
    <w:p w14:paraId="5085C964">
      <w:pPr>
        <w:pStyle w:val="42"/>
        <w:spacing w:line="360" w:lineRule="auto"/>
        <w:rPr>
          <w:rFonts w:ascii="宋体" w:hAnsi="宋体" w:eastAsia="宋体"/>
          <w:color w:val="auto"/>
        </w:rPr>
      </w:pPr>
      <w:bookmarkStart w:id="303" w:name="_Toc144974526"/>
      <w:bookmarkStart w:id="304" w:name="_Toc18198"/>
      <w:bookmarkStart w:id="305" w:name="_Toc15103"/>
      <w:bookmarkStart w:id="306" w:name="_Toc13703"/>
      <w:bookmarkStart w:id="307" w:name="_Toc13916"/>
      <w:bookmarkStart w:id="308" w:name="_Toc525742116"/>
      <w:bookmarkStart w:id="309" w:name="_Toc152045558"/>
      <w:bookmarkStart w:id="310" w:name="_Toc152042334"/>
      <w:bookmarkStart w:id="311" w:name="_Toc525742030"/>
      <w:r>
        <w:rPr>
          <w:rFonts w:hint="eastAsia" w:ascii="宋体" w:hAnsi="宋体" w:eastAsia="宋体"/>
          <w:color w:val="auto"/>
        </w:rPr>
        <w:t>4.3 投标文件的修改与撤回</w:t>
      </w:r>
      <w:bookmarkEnd w:id="303"/>
      <w:bookmarkEnd w:id="304"/>
      <w:bookmarkEnd w:id="305"/>
      <w:bookmarkEnd w:id="306"/>
      <w:bookmarkEnd w:id="307"/>
      <w:bookmarkEnd w:id="308"/>
      <w:bookmarkEnd w:id="309"/>
      <w:bookmarkEnd w:id="310"/>
      <w:bookmarkEnd w:id="311"/>
    </w:p>
    <w:p w14:paraId="353532CD">
      <w:pPr>
        <w:spacing w:line="360" w:lineRule="auto"/>
        <w:ind w:firstLine="420" w:firstLineChars="200"/>
        <w:rPr>
          <w:rFonts w:ascii="宋体" w:hAnsi="宋体"/>
          <w:color w:val="auto"/>
        </w:rPr>
      </w:pPr>
      <w:r>
        <w:rPr>
          <w:rFonts w:hint="eastAsia" w:ascii="宋体" w:hAnsi="宋体"/>
          <w:color w:val="auto"/>
        </w:rPr>
        <w:t>4.3.1 投标人在投标截止时间前，可以对所递交的投标文件进行补充、修改或者撤回。</w:t>
      </w:r>
    </w:p>
    <w:p w14:paraId="297A92FF">
      <w:pPr>
        <w:spacing w:line="360" w:lineRule="auto"/>
        <w:ind w:firstLine="420" w:firstLineChars="200"/>
        <w:rPr>
          <w:rFonts w:ascii="宋体" w:hAnsi="宋体"/>
          <w:color w:val="auto"/>
        </w:rPr>
      </w:pPr>
      <w:bookmarkStart w:id="312" w:name="_Toc144974527"/>
      <w:bookmarkStart w:id="313" w:name="_Toc152042335"/>
      <w:bookmarkStart w:id="314" w:name="_Toc152045559"/>
      <w:r>
        <w:rPr>
          <w:rFonts w:hint="eastAsia" w:ascii="宋体" w:hAnsi="宋体"/>
          <w:color w:val="auto"/>
        </w:rPr>
        <w:t>4.3.2修改的投标文件应按照本章第3条、第4条规定进行编制和递交。</w:t>
      </w:r>
    </w:p>
    <w:p w14:paraId="15FD72BF">
      <w:pPr>
        <w:pStyle w:val="44"/>
        <w:spacing w:line="360" w:lineRule="auto"/>
        <w:rPr>
          <w:rFonts w:ascii="宋体" w:hAnsi="宋体" w:eastAsia="宋体"/>
          <w:b/>
          <w:color w:val="auto"/>
        </w:rPr>
      </w:pPr>
      <w:bookmarkStart w:id="315" w:name="_Toc13605"/>
      <w:bookmarkStart w:id="316" w:name="_Toc31691"/>
      <w:bookmarkStart w:id="317" w:name="_Toc525742031"/>
      <w:bookmarkStart w:id="318" w:name="_Toc24764"/>
      <w:bookmarkStart w:id="319" w:name="_Toc27836"/>
      <w:bookmarkStart w:id="320" w:name="_Toc525742117"/>
      <w:r>
        <w:rPr>
          <w:rFonts w:hint="eastAsia" w:ascii="宋体" w:hAnsi="宋体" w:eastAsia="宋体"/>
          <w:b/>
          <w:color w:val="auto"/>
        </w:rPr>
        <w:t>5. 开标</w:t>
      </w:r>
      <w:bookmarkEnd w:id="312"/>
      <w:bookmarkEnd w:id="313"/>
      <w:bookmarkEnd w:id="314"/>
      <w:bookmarkEnd w:id="315"/>
      <w:bookmarkEnd w:id="316"/>
      <w:bookmarkEnd w:id="317"/>
      <w:bookmarkEnd w:id="318"/>
      <w:bookmarkEnd w:id="319"/>
      <w:bookmarkEnd w:id="320"/>
    </w:p>
    <w:p w14:paraId="26E3EB05">
      <w:pPr>
        <w:pStyle w:val="42"/>
        <w:spacing w:line="360" w:lineRule="auto"/>
        <w:rPr>
          <w:rFonts w:ascii="宋体" w:hAnsi="宋体" w:eastAsia="宋体"/>
          <w:color w:val="auto"/>
        </w:rPr>
      </w:pPr>
      <w:bookmarkStart w:id="321" w:name="_Toc152045560"/>
      <w:bookmarkStart w:id="322" w:name="_Toc24156"/>
      <w:bookmarkStart w:id="323" w:name="_Toc152042336"/>
      <w:bookmarkStart w:id="324" w:name="_Toc307"/>
      <w:bookmarkStart w:id="325" w:name="_Toc29923"/>
      <w:bookmarkStart w:id="326" w:name="_Toc525742118"/>
      <w:bookmarkStart w:id="327" w:name="_Toc525742032"/>
      <w:bookmarkStart w:id="328" w:name="_Toc1249"/>
      <w:bookmarkStart w:id="329" w:name="_Toc144974528"/>
      <w:r>
        <w:rPr>
          <w:rFonts w:hint="eastAsia" w:ascii="宋体" w:hAnsi="宋体" w:eastAsia="宋体"/>
          <w:color w:val="auto"/>
        </w:rPr>
        <w:t>5.1 开标时间和地点</w:t>
      </w:r>
      <w:bookmarkEnd w:id="321"/>
      <w:bookmarkEnd w:id="322"/>
      <w:bookmarkEnd w:id="323"/>
      <w:bookmarkEnd w:id="324"/>
      <w:bookmarkEnd w:id="325"/>
      <w:bookmarkEnd w:id="326"/>
      <w:bookmarkEnd w:id="327"/>
      <w:bookmarkEnd w:id="328"/>
      <w:bookmarkEnd w:id="329"/>
    </w:p>
    <w:p w14:paraId="3AD3AEB8">
      <w:pPr>
        <w:spacing w:line="360" w:lineRule="auto"/>
        <w:ind w:firstLine="420" w:firstLineChars="200"/>
        <w:rPr>
          <w:rFonts w:ascii="宋体" w:hAnsi="宋体"/>
          <w:color w:val="auto"/>
        </w:rPr>
      </w:pPr>
      <w:r>
        <w:rPr>
          <w:rFonts w:hint="eastAsia" w:ascii="宋体" w:hAnsi="宋体"/>
          <w:color w:val="auto"/>
        </w:rPr>
        <w:t>采购人在本须知前附表规定的投标截止时间（开标时间）和投标人须知前附表规定的地点公开开标，所有投标人的法定代表人或其委托代理人需提前登陆政采云平台。</w:t>
      </w:r>
    </w:p>
    <w:p w14:paraId="77142EE4">
      <w:pPr>
        <w:spacing w:line="360" w:lineRule="auto"/>
        <w:ind w:firstLine="420" w:firstLineChars="200"/>
        <w:rPr>
          <w:rFonts w:ascii="宋体" w:hAnsi="宋体"/>
          <w:color w:val="auto"/>
        </w:rPr>
      </w:pPr>
      <w:r>
        <w:rPr>
          <w:rFonts w:ascii="宋体" w:hAnsi="宋体"/>
          <w:color w:val="auto"/>
        </w:rPr>
        <w:t>开标地点</w:t>
      </w:r>
      <w:r>
        <w:rPr>
          <w:rFonts w:hint="eastAsia" w:ascii="宋体" w:hAnsi="宋体"/>
          <w:color w:val="auto"/>
        </w:rPr>
        <w:t>：</w:t>
      </w:r>
      <w:r>
        <w:rPr>
          <w:rFonts w:hint="eastAsia" w:ascii="宋体" w:hAnsi="宋体" w:cs="宋体"/>
          <w:color w:val="auto"/>
          <w:szCs w:val="21"/>
          <w:shd w:val="clear" w:color="auto" w:fill="FFFFFF"/>
        </w:rPr>
        <w:t>政府采购云平台远程开标大厅</w:t>
      </w:r>
      <w:r>
        <w:rPr>
          <w:rFonts w:hint="eastAsia" w:ascii="宋体" w:hAnsi="宋体"/>
          <w:color w:val="auto"/>
        </w:rPr>
        <w:t>。</w:t>
      </w:r>
    </w:p>
    <w:p w14:paraId="52833522">
      <w:pPr>
        <w:pStyle w:val="42"/>
        <w:spacing w:line="360" w:lineRule="auto"/>
        <w:rPr>
          <w:rFonts w:ascii="宋体" w:hAnsi="宋体" w:eastAsia="宋体"/>
          <w:color w:val="auto"/>
        </w:rPr>
      </w:pPr>
      <w:bookmarkStart w:id="330" w:name="_Toc525742033"/>
      <w:bookmarkStart w:id="331" w:name="_Toc23235"/>
      <w:bookmarkStart w:id="332" w:name="_Toc152042337"/>
      <w:bookmarkStart w:id="333" w:name="_Toc11437"/>
      <w:bookmarkStart w:id="334" w:name="_Toc152045561"/>
      <w:bookmarkStart w:id="335" w:name="_Toc525742119"/>
      <w:bookmarkStart w:id="336" w:name="_Toc144974529"/>
      <w:bookmarkStart w:id="337" w:name="_Toc1974"/>
      <w:bookmarkStart w:id="338" w:name="_Toc30704"/>
      <w:r>
        <w:rPr>
          <w:rFonts w:hint="eastAsia" w:ascii="宋体" w:hAnsi="宋体" w:eastAsia="宋体"/>
          <w:color w:val="auto"/>
        </w:rPr>
        <w:t>5.2 开标</w:t>
      </w:r>
      <w:bookmarkEnd w:id="330"/>
      <w:bookmarkEnd w:id="331"/>
      <w:bookmarkEnd w:id="332"/>
      <w:bookmarkEnd w:id="333"/>
      <w:bookmarkEnd w:id="334"/>
      <w:bookmarkEnd w:id="335"/>
      <w:bookmarkEnd w:id="336"/>
      <w:r>
        <w:rPr>
          <w:rFonts w:hint="eastAsia" w:ascii="宋体" w:hAnsi="宋体" w:eastAsia="宋体"/>
          <w:color w:val="auto"/>
        </w:rPr>
        <w:t>程序</w:t>
      </w:r>
      <w:bookmarkEnd w:id="337"/>
      <w:bookmarkEnd w:id="338"/>
    </w:p>
    <w:p w14:paraId="3B5B57A9">
      <w:pPr>
        <w:pStyle w:val="42"/>
        <w:spacing w:line="360" w:lineRule="auto"/>
        <w:ind w:firstLine="420" w:firstLineChars="200"/>
        <w:outlineLvl w:val="3"/>
        <w:rPr>
          <w:rFonts w:ascii="宋体" w:hAnsi="宋体" w:eastAsia="宋体"/>
          <w:color w:val="auto"/>
          <w:sz w:val="21"/>
          <w:szCs w:val="21"/>
        </w:rPr>
      </w:pPr>
      <w:bookmarkStart w:id="339" w:name="_Toc846"/>
      <w:bookmarkStart w:id="340" w:name="_Toc28056"/>
      <w:bookmarkStart w:id="341" w:name="_Toc530"/>
      <w:bookmarkStart w:id="342" w:name="_Toc525742120"/>
      <w:bookmarkStart w:id="343" w:name="_Toc525742034"/>
      <w:r>
        <w:rPr>
          <w:rFonts w:hint="eastAsia" w:ascii="宋体" w:hAnsi="宋体" w:eastAsia="宋体"/>
          <w:color w:val="auto"/>
          <w:sz w:val="21"/>
          <w:szCs w:val="21"/>
        </w:rPr>
        <w:t>详见投标人须知前附表。</w:t>
      </w:r>
      <w:bookmarkEnd w:id="339"/>
      <w:bookmarkEnd w:id="340"/>
      <w:bookmarkEnd w:id="341"/>
    </w:p>
    <w:p w14:paraId="156D0AA3">
      <w:pPr>
        <w:pStyle w:val="42"/>
        <w:spacing w:line="360" w:lineRule="auto"/>
        <w:rPr>
          <w:rFonts w:ascii="宋体" w:hAnsi="宋体" w:eastAsia="宋体"/>
          <w:color w:val="auto"/>
        </w:rPr>
      </w:pPr>
      <w:bookmarkStart w:id="344" w:name="_Toc6581"/>
      <w:bookmarkStart w:id="345" w:name="_Toc11928"/>
      <w:bookmarkStart w:id="346" w:name="_Toc9621"/>
      <w:bookmarkStart w:id="347" w:name="_Toc9580"/>
      <w:r>
        <w:rPr>
          <w:rFonts w:hint="eastAsia" w:ascii="宋体" w:hAnsi="宋体" w:eastAsia="宋体"/>
          <w:bCs/>
          <w:color w:val="auto"/>
        </w:rPr>
        <w:t>5.3投标文件不予受理情形</w:t>
      </w:r>
      <w:bookmarkEnd w:id="342"/>
      <w:bookmarkEnd w:id="343"/>
      <w:bookmarkEnd w:id="344"/>
      <w:bookmarkEnd w:id="345"/>
      <w:bookmarkEnd w:id="346"/>
      <w:bookmarkEnd w:id="347"/>
    </w:p>
    <w:p w14:paraId="01F5F97A">
      <w:pPr>
        <w:pStyle w:val="41"/>
        <w:spacing w:line="360" w:lineRule="auto"/>
        <w:ind w:firstLine="420" w:firstLineChars="200"/>
        <w:rPr>
          <w:color w:val="auto"/>
        </w:rPr>
      </w:pPr>
      <w:r>
        <w:rPr>
          <w:rFonts w:hint="eastAsia"/>
          <w:color w:val="auto"/>
        </w:rPr>
        <w:t>投标文件有下列情形之一的，采购人不予受理：</w:t>
      </w:r>
    </w:p>
    <w:p w14:paraId="221B1673">
      <w:pPr>
        <w:pStyle w:val="41"/>
        <w:spacing w:line="360" w:lineRule="auto"/>
        <w:ind w:firstLine="420" w:firstLineChars="200"/>
        <w:rPr>
          <w:color w:val="auto"/>
        </w:rPr>
      </w:pPr>
      <w:bookmarkStart w:id="348" w:name="_Toc152042338"/>
      <w:bookmarkStart w:id="349" w:name="_Toc13282"/>
      <w:bookmarkStart w:id="350" w:name="_Toc525742035"/>
      <w:bookmarkStart w:id="351" w:name="_Toc152045562"/>
      <w:bookmarkStart w:id="352" w:name="_Toc525742121"/>
      <w:bookmarkStart w:id="353" w:name="_Toc144974530"/>
      <w:r>
        <w:rPr>
          <w:rFonts w:hint="eastAsia"/>
          <w:color w:val="auto"/>
        </w:rPr>
        <w:t>（1）在4.2.1项规定的“投标截止时间”以后逾期上传的；</w:t>
      </w:r>
    </w:p>
    <w:p w14:paraId="735AB971">
      <w:pPr>
        <w:pStyle w:val="41"/>
        <w:spacing w:line="360" w:lineRule="auto"/>
        <w:ind w:firstLine="420" w:firstLineChars="200"/>
        <w:rPr>
          <w:color w:val="auto"/>
        </w:rPr>
      </w:pPr>
      <w:r>
        <w:rPr>
          <w:rFonts w:hint="eastAsia"/>
          <w:color w:val="auto"/>
        </w:rPr>
        <w:t>（2）不符合4.1.1项规定的“投标文件的加密”要求的。</w:t>
      </w:r>
    </w:p>
    <w:p w14:paraId="73F003EE">
      <w:pPr>
        <w:pStyle w:val="44"/>
        <w:spacing w:line="360" w:lineRule="auto"/>
        <w:rPr>
          <w:rFonts w:ascii="宋体" w:hAnsi="宋体" w:eastAsia="宋体"/>
          <w:b/>
          <w:color w:val="auto"/>
        </w:rPr>
      </w:pPr>
      <w:bookmarkStart w:id="354" w:name="_Toc896"/>
      <w:bookmarkStart w:id="355" w:name="_Toc20677"/>
      <w:bookmarkStart w:id="356" w:name="_Toc9076"/>
      <w:r>
        <w:rPr>
          <w:rFonts w:hint="eastAsia" w:ascii="宋体" w:hAnsi="宋体" w:eastAsia="宋体"/>
          <w:b/>
          <w:color w:val="auto"/>
        </w:rPr>
        <w:t>6. 评标</w:t>
      </w:r>
      <w:bookmarkEnd w:id="348"/>
      <w:bookmarkEnd w:id="349"/>
      <w:bookmarkEnd w:id="350"/>
      <w:bookmarkEnd w:id="351"/>
      <w:bookmarkEnd w:id="352"/>
      <w:bookmarkEnd w:id="353"/>
      <w:bookmarkEnd w:id="354"/>
      <w:bookmarkEnd w:id="355"/>
      <w:bookmarkEnd w:id="356"/>
    </w:p>
    <w:p w14:paraId="702C905C">
      <w:pPr>
        <w:pStyle w:val="42"/>
        <w:spacing w:line="360" w:lineRule="auto"/>
        <w:rPr>
          <w:rFonts w:ascii="宋体" w:hAnsi="宋体" w:eastAsia="宋体"/>
          <w:color w:val="auto"/>
        </w:rPr>
      </w:pPr>
      <w:bookmarkStart w:id="357" w:name="_Toc929"/>
      <w:bookmarkStart w:id="358" w:name="_Toc8278"/>
      <w:bookmarkStart w:id="359" w:name="_Toc4574"/>
      <w:bookmarkStart w:id="360" w:name="_Toc8542"/>
      <w:bookmarkStart w:id="361" w:name="_Toc525742122"/>
      <w:bookmarkStart w:id="362" w:name="_Toc525742036"/>
      <w:bookmarkStart w:id="363" w:name="_Toc353290334"/>
      <w:r>
        <w:rPr>
          <w:rFonts w:hint="eastAsia" w:ascii="宋体" w:hAnsi="宋体" w:eastAsia="宋体"/>
          <w:color w:val="auto"/>
        </w:rPr>
        <w:t>6.1 评标委员会</w:t>
      </w:r>
      <w:bookmarkEnd w:id="357"/>
      <w:bookmarkEnd w:id="358"/>
      <w:bookmarkEnd w:id="359"/>
      <w:bookmarkEnd w:id="360"/>
      <w:bookmarkEnd w:id="361"/>
      <w:bookmarkEnd w:id="362"/>
      <w:bookmarkEnd w:id="363"/>
    </w:p>
    <w:p w14:paraId="47E37E03">
      <w:pPr>
        <w:spacing w:line="360" w:lineRule="auto"/>
        <w:ind w:firstLine="420" w:firstLineChars="200"/>
        <w:rPr>
          <w:rFonts w:ascii="宋体" w:hAnsi="宋体"/>
          <w:color w:val="auto"/>
          <w:szCs w:val="21"/>
        </w:rPr>
      </w:pPr>
      <w:r>
        <w:rPr>
          <w:rFonts w:hint="eastAsia" w:ascii="宋体" w:hAnsi="宋体"/>
          <w:color w:val="auto"/>
          <w:szCs w:val="21"/>
        </w:rPr>
        <w:t>6.1.1 评标由采购人依法组建的评标委员会负责。评标委员会由</w:t>
      </w:r>
      <w:r>
        <w:rPr>
          <w:rFonts w:hint="eastAsia"/>
          <w:color w:val="auto"/>
        </w:rPr>
        <w:t>采购人代表及</w:t>
      </w:r>
      <w:r>
        <w:rPr>
          <w:rFonts w:hint="eastAsia" w:ascii="宋体" w:hAnsi="宋体"/>
          <w:color w:val="auto"/>
          <w:szCs w:val="21"/>
        </w:rPr>
        <w:t>云南省政府采购专家管理子系统中随机抽取的有关技术、经济方面的专家组成。评标委员会成员人数以及技术、经济等方面专家确定方式见投标人须知前附表。</w:t>
      </w:r>
    </w:p>
    <w:p w14:paraId="3A26CFFE">
      <w:pPr>
        <w:spacing w:line="360" w:lineRule="auto"/>
        <w:ind w:firstLine="424" w:firstLineChars="202"/>
        <w:outlineLvl w:val="3"/>
        <w:rPr>
          <w:rFonts w:ascii="宋体" w:hAnsi="宋体"/>
          <w:color w:val="auto"/>
          <w:szCs w:val="21"/>
        </w:rPr>
      </w:pPr>
      <w:r>
        <w:rPr>
          <w:rFonts w:hint="eastAsia" w:ascii="宋体" w:hAnsi="宋体"/>
          <w:color w:val="auto"/>
          <w:szCs w:val="21"/>
        </w:rPr>
        <w:t>6.1.2 评标委员会成员有下列情形之一的，应当回避：</w:t>
      </w:r>
    </w:p>
    <w:p w14:paraId="6CA1AB94">
      <w:pPr>
        <w:spacing w:line="360" w:lineRule="auto"/>
        <w:ind w:left="67" w:leftChars="32" w:firstLine="275" w:firstLineChars="131"/>
        <w:rPr>
          <w:rFonts w:ascii="宋体" w:hAnsi="宋体"/>
          <w:color w:val="auto"/>
          <w:szCs w:val="21"/>
        </w:rPr>
      </w:pPr>
      <w:r>
        <w:rPr>
          <w:rFonts w:hint="eastAsia" w:ascii="宋体" w:hAnsi="宋体"/>
          <w:color w:val="auto"/>
          <w:szCs w:val="21"/>
        </w:rPr>
        <w:t>（1）采购人或投标人的主要负责人的近亲属；</w:t>
      </w:r>
    </w:p>
    <w:p w14:paraId="151F1CB7">
      <w:pPr>
        <w:spacing w:line="360" w:lineRule="auto"/>
        <w:ind w:left="67" w:leftChars="32" w:firstLine="275" w:firstLineChars="131"/>
        <w:rPr>
          <w:rFonts w:ascii="宋体" w:hAnsi="宋体"/>
          <w:color w:val="auto"/>
          <w:szCs w:val="21"/>
        </w:rPr>
      </w:pPr>
      <w:r>
        <w:rPr>
          <w:rFonts w:hint="eastAsia" w:ascii="宋体" w:hAnsi="宋体"/>
          <w:color w:val="auto"/>
          <w:szCs w:val="21"/>
        </w:rPr>
        <w:t>（2）项目主管部门或者行政监督部门的人员；</w:t>
      </w:r>
    </w:p>
    <w:p w14:paraId="3B5A2FAB">
      <w:pPr>
        <w:spacing w:line="360" w:lineRule="auto"/>
        <w:ind w:left="67" w:leftChars="32" w:firstLine="275" w:firstLineChars="131"/>
        <w:rPr>
          <w:rFonts w:ascii="宋体" w:hAnsi="宋体"/>
          <w:color w:val="auto"/>
          <w:szCs w:val="21"/>
        </w:rPr>
      </w:pPr>
      <w:r>
        <w:rPr>
          <w:rFonts w:hint="eastAsia" w:ascii="宋体" w:hAnsi="宋体"/>
          <w:color w:val="auto"/>
          <w:szCs w:val="21"/>
        </w:rPr>
        <w:t>（3）与投标人有经济利益关系，可能影响对投标公正评审的；</w:t>
      </w:r>
    </w:p>
    <w:p w14:paraId="49574140">
      <w:pPr>
        <w:spacing w:line="360" w:lineRule="auto"/>
        <w:ind w:left="67" w:leftChars="32" w:firstLine="275" w:firstLineChars="131"/>
        <w:rPr>
          <w:rFonts w:ascii="宋体" w:hAnsi="宋体"/>
          <w:color w:val="auto"/>
          <w:szCs w:val="21"/>
        </w:rPr>
      </w:pPr>
      <w:r>
        <w:rPr>
          <w:rFonts w:hint="eastAsia" w:ascii="宋体" w:hAnsi="宋体"/>
          <w:color w:val="auto"/>
          <w:szCs w:val="21"/>
        </w:rPr>
        <w:t>（4）曾因在招标、评标以及其他与招标投标有关活动中从事违法行为而受过行政处罚或刑事处罚的。</w:t>
      </w:r>
    </w:p>
    <w:p w14:paraId="60D461C4">
      <w:pPr>
        <w:pStyle w:val="42"/>
        <w:spacing w:line="360" w:lineRule="auto"/>
        <w:rPr>
          <w:rFonts w:ascii="宋体" w:hAnsi="宋体" w:eastAsia="宋体"/>
          <w:color w:val="auto"/>
          <w:sz w:val="21"/>
          <w:szCs w:val="21"/>
        </w:rPr>
      </w:pPr>
      <w:bookmarkStart w:id="364" w:name="_Toc6723"/>
      <w:bookmarkStart w:id="365" w:name="_Toc525742123"/>
      <w:bookmarkStart w:id="366" w:name="_Toc152045564"/>
      <w:bookmarkStart w:id="367" w:name="_Toc3936"/>
      <w:bookmarkStart w:id="368" w:name="_Toc15647"/>
      <w:bookmarkStart w:id="369" w:name="_Toc152042340"/>
      <w:bookmarkStart w:id="370" w:name="_Toc144974532"/>
      <w:bookmarkStart w:id="371" w:name="_Toc525742037"/>
      <w:bookmarkStart w:id="372" w:name="_Toc16172"/>
      <w:r>
        <w:rPr>
          <w:rFonts w:hint="eastAsia" w:ascii="宋体" w:hAnsi="宋体" w:eastAsia="宋体"/>
          <w:color w:val="auto"/>
        </w:rPr>
        <w:t>6.2 评标原则</w:t>
      </w:r>
      <w:bookmarkEnd w:id="364"/>
      <w:bookmarkEnd w:id="365"/>
      <w:bookmarkEnd w:id="366"/>
      <w:bookmarkEnd w:id="367"/>
      <w:bookmarkEnd w:id="368"/>
      <w:bookmarkEnd w:id="369"/>
      <w:bookmarkEnd w:id="370"/>
      <w:bookmarkEnd w:id="371"/>
      <w:bookmarkEnd w:id="372"/>
      <w:r>
        <w:rPr>
          <w:rFonts w:ascii="宋体" w:hAnsi="宋体" w:eastAsia="宋体"/>
          <w:color w:val="auto"/>
          <w:sz w:val="21"/>
          <w:szCs w:val="21"/>
        </w:rPr>
        <w:tab/>
      </w:r>
    </w:p>
    <w:p w14:paraId="7120D081">
      <w:pPr>
        <w:spacing w:line="360" w:lineRule="auto"/>
        <w:ind w:firstLine="420" w:firstLineChars="200"/>
        <w:rPr>
          <w:rFonts w:ascii="宋体" w:hAnsi="宋体"/>
          <w:color w:val="auto"/>
          <w:szCs w:val="21"/>
        </w:rPr>
      </w:pPr>
      <w:r>
        <w:rPr>
          <w:rFonts w:hint="eastAsia" w:ascii="宋体" w:hAnsi="宋体"/>
          <w:color w:val="auto"/>
          <w:szCs w:val="21"/>
        </w:rPr>
        <w:t>评标活动遵循公平、公正、科学和择优的原则。</w:t>
      </w:r>
    </w:p>
    <w:p w14:paraId="3BEE151C">
      <w:pPr>
        <w:pStyle w:val="42"/>
        <w:spacing w:line="360" w:lineRule="auto"/>
        <w:rPr>
          <w:rFonts w:ascii="宋体" w:hAnsi="宋体" w:eastAsia="宋体"/>
          <w:color w:val="auto"/>
        </w:rPr>
      </w:pPr>
      <w:bookmarkStart w:id="373" w:name="_Toc152045565"/>
      <w:bookmarkStart w:id="374" w:name="_Toc32693"/>
      <w:bookmarkStart w:id="375" w:name="_Toc30119"/>
      <w:bookmarkStart w:id="376" w:name="_Toc144974533"/>
      <w:bookmarkStart w:id="377" w:name="_Toc7863"/>
      <w:bookmarkStart w:id="378" w:name="_Toc525742038"/>
      <w:bookmarkStart w:id="379" w:name="_Toc152042341"/>
      <w:bookmarkStart w:id="380" w:name="_Toc525742124"/>
      <w:bookmarkStart w:id="381" w:name="_Toc9253"/>
      <w:r>
        <w:rPr>
          <w:rFonts w:hint="eastAsia" w:ascii="宋体" w:hAnsi="宋体" w:eastAsia="宋体"/>
          <w:color w:val="auto"/>
        </w:rPr>
        <w:t>6.3 评标</w:t>
      </w:r>
      <w:bookmarkEnd w:id="373"/>
      <w:bookmarkEnd w:id="374"/>
      <w:bookmarkEnd w:id="375"/>
      <w:bookmarkEnd w:id="376"/>
      <w:bookmarkEnd w:id="377"/>
      <w:bookmarkEnd w:id="378"/>
      <w:bookmarkEnd w:id="379"/>
      <w:bookmarkEnd w:id="380"/>
      <w:bookmarkEnd w:id="381"/>
    </w:p>
    <w:p w14:paraId="35993B46">
      <w:pPr>
        <w:spacing w:line="360" w:lineRule="auto"/>
        <w:ind w:firstLine="420" w:firstLineChars="200"/>
        <w:rPr>
          <w:rFonts w:ascii="宋体" w:hAnsi="宋体"/>
          <w:color w:val="auto"/>
          <w:szCs w:val="21"/>
        </w:rPr>
      </w:pPr>
      <w:r>
        <w:rPr>
          <w:rFonts w:hint="eastAsia" w:ascii="宋体" w:hAnsi="宋体"/>
          <w:color w:val="auto"/>
          <w:szCs w:val="21"/>
        </w:rPr>
        <w:t>6.3.1评标委员会按照第三章“评标办法”规定的方法、评审因素、标准和程序对投标文件进行评审。第三章“评标办法”没有规定的方法、评审因素和标准，不作为评标依据。</w:t>
      </w:r>
    </w:p>
    <w:p w14:paraId="452ECD63">
      <w:pPr>
        <w:spacing w:line="360" w:lineRule="auto"/>
        <w:ind w:firstLine="420" w:firstLineChars="200"/>
        <w:rPr>
          <w:rFonts w:ascii="宋体" w:hAnsi="宋体"/>
          <w:color w:val="auto"/>
          <w:szCs w:val="21"/>
        </w:rPr>
      </w:pPr>
      <w:r>
        <w:rPr>
          <w:rFonts w:hint="eastAsia" w:ascii="宋体" w:hAnsi="宋体"/>
          <w:color w:val="auto"/>
          <w:szCs w:val="21"/>
        </w:rPr>
        <w:t>6.3.2本次评标活动应当接受采购人邀请到场的监督单位依法实施的监督。</w:t>
      </w:r>
    </w:p>
    <w:p w14:paraId="6566A4B0">
      <w:pPr>
        <w:pStyle w:val="44"/>
        <w:spacing w:line="360" w:lineRule="auto"/>
        <w:rPr>
          <w:rFonts w:ascii="宋体" w:hAnsi="宋体" w:eastAsia="宋体"/>
          <w:b/>
          <w:color w:val="auto"/>
        </w:rPr>
      </w:pPr>
      <w:bookmarkStart w:id="382" w:name="_Toc144974534"/>
      <w:bookmarkStart w:id="383" w:name="_Toc15186"/>
      <w:bookmarkStart w:id="384" w:name="_Toc12928"/>
      <w:bookmarkStart w:id="385" w:name="_Toc21679"/>
      <w:bookmarkStart w:id="386" w:name="_Toc27232"/>
      <w:bookmarkStart w:id="387" w:name="_Toc152042342"/>
      <w:bookmarkStart w:id="388" w:name="_Toc525742125"/>
      <w:bookmarkStart w:id="389" w:name="_Toc525742039"/>
      <w:bookmarkStart w:id="390" w:name="_Toc152045566"/>
      <w:r>
        <w:rPr>
          <w:rFonts w:hint="eastAsia" w:ascii="宋体" w:hAnsi="宋体" w:eastAsia="宋体"/>
          <w:b/>
          <w:color w:val="auto"/>
        </w:rPr>
        <w:t>7. 合同授予</w:t>
      </w:r>
      <w:bookmarkEnd w:id="382"/>
      <w:bookmarkEnd w:id="383"/>
      <w:bookmarkEnd w:id="384"/>
      <w:bookmarkEnd w:id="385"/>
      <w:bookmarkEnd w:id="386"/>
      <w:bookmarkEnd w:id="387"/>
      <w:bookmarkEnd w:id="388"/>
      <w:bookmarkEnd w:id="389"/>
      <w:bookmarkEnd w:id="390"/>
    </w:p>
    <w:p w14:paraId="33196A4F">
      <w:pPr>
        <w:pStyle w:val="42"/>
        <w:spacing w:line="360" w:lineRule="auto"/>
        <w:rPr>
          <w:rFonts w:ascii="宋体" w:hAnsi="宋体" w:eastAsia="宋体"/>
          <w:color w:val="auto"/>
        </w:rPr>
      </w:pPr>
      <w:bookmarkStart w:id="391" w:name="_Toc152042343"/>
      <w:bookmarkStart w:id="392" w:name="_Toc9804"/>
      <w:bookmarkStart w:id="393" w:name="_Toc9863"/>
      <w:bookmarkStart w:id="394" w:name="_Toc152045567"/>
      <w:bookmarkStart w:id="395" w:name="_Toc525742126"/>
      <w:bookmarkStart w:id="396" w:name="_Toc525742040"/>
      <w:bookmarkStart w:id="397" w:name="_Toc448"/>
      <w:bookmarkStart w:id="398" w:name="_Toc2237"/>
      <w:bookmarkStart w:id="399" w:name="_Toc144974535"/>
      <w:r>
        <w:rPr>
          <w:rFonts w:hint="eastAsia" w:ascii="宋体" w:hAnsi="宋体" w:eastAsia="宋体"/>
          <w:color w:val="auto"/>
        </w:rPr>
        <w:t>7.1 定标方式</w:t>
      </w:r>
      <w:bookmarkEnd w:id="391"/>
      <w:bookmarkEnd w:id="392"/>
      <w:bookmarkEnd w:id="393"/>
      <w:bookmarkEnd w:id="394"/>
      <w:bookmarkEnd w:id="395"/>
      <w:bookmarkEnd w:id="396"/>
      <w:bookmarkEnd w:id="397"/>
      <w:bookmarkEnd w:id="398"/>
      <w:bookmarkEnd w:id="399"/>
    </w:p>
    <w:p w14:paraId="637B7124">
      <w:pPr>
        <w:spacing w:line="360" w:lineRule="auto"/>
        <w:ind w:firstLine="420" w:firstLineChars="200"/>
        <w:rPr>
          <w:rFonts w:ascii="宋体" w:hAnsi="宋体"/>
          <w:color w:val="auto"/>
          <w:szCs w:val="21"/>
        </w:rPr>
      </w:pPr>
      <w:r>
        <w:rPr>
          <w:rFonts w:hint="eastAsia" w:ascii="宋体" w:hAnsi="宋体"/>
          <w:color w:val="auto"/>
          <w:szCs w:val="21"/>
        </w:rPr>
        <w:t>评标委员会依据本须知前附表规定的评标办法，对投标文件进行评审和比较，向</w:t>
      </w:r>
      <w:r>
        <w:rPr>
          <w:rFonts w:ascii="宋体" w:hAnsi="宋体"/>
          <w:color w:val="auto"/>
          <w:szCs w:val="21"/>
        </w:rPr>
        <w:t>采购人</w:t>
      </w:r>
      <w:r>
        <w:rPr>
          <w:rFonts w:hint="eastAsia" w:ascii="宋体" w:hAnsi="宋体"/>
          <w:color w:val="auto"/>
          <w:szCs w:val="21"/>
        </w:rPr>
        <w:t>提出书面评标报告，并按照</w:t>
      </w:r>
      <w:r>
        <w:rPr>
          <w:rFonts w:ascii="宋体" w:hAnsi="宋体"/>
          <w:color w:val="auto"/>
          <w:szCs w:val="21"/>
        </w:rPr>
        <w:t>投标人</w:t>
      </w:r>
      <w:r>
        <w:rPr>
          <w:rFonts w:hint="eastAsia" w:ascii="宋体" w:hAnsi="宋体"/>
          <w:color w:val="auto"/>
          <w:szCs w:val="21"/>
        </w:rPr>
        <w:t>得分由高到低的顺序推荐前三名中标候选人。</w:t>
      </w:r>
    </w:p>
    <w:p w14:paraId="31E3A526">
      <w:pPr>
        <w:pStyle w:val="42"/>
        <w:spacing w:line="360" w:lineRule="auto"/>
        <w:rPr>
          <w:rFonts w:ascii="宋体" w:hAnsi="宋体" w:eastAsia="宋体"/>
          <w:color w:val="auto"/>
        </w:rPr>
      </w:pPr>
      <w:bookmarkStart w:id="400" w:name="_Toc28008"/>
      <w:bookmarkStart w:id="401" w:name="_Toc152045568"/>
      <w:bookmarkStart w:id="402" w:name="_Toc10813"/>
      <w:bookmarkStart w:id="403" w:name="_Toc152042344"/>
      <w:bookmarkStart w:id="404" w:name="_Toc12288"/>
      <w:bookmarkStart w:id="405" w:name="_Toc22044"/>
      <w:bookmarkStart w:id="406" w:name="_Toc525742127"/>
      <w:bookmarkStart w:id="407" w:name="_Toc525742041"/>
      <w:bookmarkStart w:id="408" w:name="_Toc144974536"/>
      <w:r>
        <w:rPr>
          <w:rFonts w:hint="eastAsia" w:ascii="宋体" w:hAnsi="宋体" w:eastAsia="宋体"/>
          <w:color w:val="auto"/>
        </w:rPr>
        <w:t>7.2 中标通知</w:t>
      </w:r>
      <w:bookmarkEnd w:id="400"/>
      <w:bookmarkEnd w:id="401"/>
      <w:bookmarkEnd w:id="402"/>
      <w:bookmarkEnd w:id="403"/>
      <w:bookmarkEnd w:id="404"/>
      <w:bookmarkEnd w:id="405"/>
      <w:bookmarkEnd w:id="406"/>
      <w:bookmarkEnd w:id="407"/>
      <w:bookmarkEnd w:id="408"/>
    </w:p>
    <w:p w14:paraId="70ADB2D3">
      <w:pPr>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采购人将向中标单位发出中标通知书，确认其投标已被接受。投标人在收到中标通知书后，应立即派代表与采购人进行合同谈判。并在</w:t>
      </w:r>
      <w:r>
        <w:rPr>
          <w:rFonts w:hint="eastAsia" w:ascii="宋体" w:hAnsi="宋体"/>
          <w:color w:val="auto"/>
        </w:rPr>
        <w:t>中标通知书发出之日起30天内</w:t>
      </w:r>
      <w:r>
        <w:rPr>
          <w:rFonts w:hint="eastAsia" w:ascii="宋体" w:hAnsi="宋体" w:cs="宋体"/>
          <w:color w:val="auto"/>
          <w:kern w:val="0"/>
          <w:szCs w:val="21"/>
        </w:rPr>
        <w:t>与采购人签订合同。</w:t>
      </w:r>
    </w:p>
    <w:p w14:paraId="1F9F1FE8">
      <w:pPr>
        <w:pStyle w:val="42"/>
        <w:spacing w:line="360" w:lineRule="auto"/>
        <w:rPr>
          <w:rFonts w:ascii="宋体" w:hAnsi="宋体" w:eastAsia="宋体"/>
          <w:bCs/>
          <w:color w:val="auto"/>
        </w:rPr>
      </w:pPr>
      <w:bookmarkStart w:id="409" w:name="_Toc152042345"/>
      <w:bookmarkStart w:id="410" w:name="_Toc5867"/>
      <w:bookmarkStart w:id="411" w:name="_Toc381981960"/>
      <w:bookmarkStart w:id="412" w:name="_Toc416180604"/>
      <w:bookmarkStart w:id="413" w:name="_Toc3228"/>
      <w:bookmarkStart w:id="414" w:name="_Toc8213"/>
      <w:bookmarkStart w:id="415" w:name="_Toc519633794"/>
      <w:bookmarkStart w:id="416" w:name="_Toc144974537"/>
      <w:bookmarkStart w:id="417" w:name="_Toc6301"/>
      <w:bookmarkStart w:id="418" w:name="_Toc152045569"/>
      <w:bookmarkStart w:id="419" w:name="_Toc519633947"/>
      <w:r>
        <w:rPr>
          <w:rFonts w:hint="eastAsia" w:ascii="宋体" w:hAnsi="宋体" w:eastAsia="宋体"/>
          <w:bCs/>
          <w:color w:val="auto"/>
        </w:rPr>
        <w:t>7.3 履约担保</w:t>
      </w:r>
      <w:bookmarkEnd w:id="409"/>
      <w:bookmarkEnd w:id="410"/>
      <w:bookmarkEnd w:id="411"/>
      <w:bookmarkEnd w:id="412"/>
      <w:bookmarkEnd w:id="413"/>
      <w:bookmarkEnd w:id="414"/>
      <w:bookmarkEnd w:id="415"/>
      <w:bookmarkEnd w:id="416"/>
      <w:bookmarkEnd w:id="417"/>
      <w:bookmarkEnd w:id="418"/>
      <w:bookmarkEnd w:id="419"/>
    </w:p>
    <w:p w14:paraId="4CD98241">
      <w:pPr>
        <w:spacing w:line="360" w:lineRule="auto"/>
        <w:ind w:firstLine="420" w:firstLineChars="200"/>
        <w:rPr>
          <w:rFonts w:ascii="宋体" w:hAnsi="宋体"/>
          <w:color w:val="auto"/>
          <w:szCs w:val="21"/>
        </w:rPr>
      </w:pPr>
      <w:r>
        <w:rPr>
          <w:rFonts w:hint="eastAsia" w:ascii="宋体" w:hAnsi="宋体"/>
          <w:color w:val="auto"/>
        </w:rPr>
        <w:t>见投标人须知前附表。</w:t>
      </w:r>
    </w:p>
    <w:p w14:paraId="20990BC7">
      <w:pPr>
        <w:pStyle w:val="42"/>
        <w:spacing w:line="360" w:lineRule="auto"/>
        <w:rPr>
          <w:rFonts w:ascii="宋体" w:hAnsi="宋体" w:eastAsia="宋体"/>
          <w:color w:val="auto"/>
        </w:rPr>
      </w:pPr>
      <w:bookmarkStart w:id="420" w:name="_Toc2464"/>
      <w:bookmarkStart w:id="421" w:name="_Toc152042346"/>
      <w:bookmarkStart w:id="422" w:name="_Toc152045570"/>
      <w:bookmarkStart w:id="423" w:name="_Toc20401"/>
      <w:bookmarkStart w:id="424" w:name="_Toc13917"/>
      <w:bookmarkStart w:id="425" w:name="_Toc144974538"/>
      <w:bookmarkStart w:id="426" w:name="_Toc12995"/>
      <w:bookmarkStart w:id="427" w:name="_Toc525742042"/>
      <w:bookmarkStart w:id="428" w:name="_Toc525742128"/>
      <w:r>
        <w:rPr>
          <w:rFonts w:hint="eastAsia" w:ascii="宋体" w:hAnsi="宋体" w:eastAsia="宋体"/>
          <w:color w:val="auto"/>
        </w:rPr>
        <w:t>7.4 签订合同</w:t>
      </w:r>
      <w:bookmarkEnd w:id="420"/>
      <w:bookmarkEnd w:id="421"/>
      <w:bookmarkEnd w:id="422"/>
      <w:bookmarkEnd w:id="423"/>
      <w:bookmarkEnd w:id="424"/>
      <w:bookmarkEnd w:id="425"/>
      <w:bookmarkEnd w:id="426"/>
      <w:bookmarkEnd w:id="427"/>
      <w:bookmarkEnd w:id="428"/>
    </w:p>
    <w:p w14:paraId="790D80DE">
      <w:pPr>
        <w:spacing w:line="360" w:lineRule="auto"/>
        <w:ind w:firstLine="420" w:firstLineChars="200"/>
        <w:rPr>
          <w:rFonts w:ascii="宋体" w:hAnsi="宋体"/>
          <w:color w:val="auto"/>
        </w:rPr>
      </w:pPr>
      <w:r>
        <w:rPr>
          <w:rFonts w:hint="eastAsia" w:ascii="宋体" w:hAnsi="宋体"/>
          <w:color w:val="auto"/>
        </w:rPr>
        <w:t>7.4.1采购人应当自中标通知书发出之日起30日内，按照采购文件和中标人投标文件的规定，与中标人签订书面合同。所签订的合同不得对采购文件确定的事项和中标人投标文件作实质性修改。</w:t>
      </w:r>
    </w:p>
    <w:p w14:paraId="18E19D7B">
      <w:pPr>
        <w:spacing w:line="360" w:lineRule="auto"/>
        <w:ind w:firstLine="420" w:firstLineChars="200"/>
        <w:rPr>
          <w:rFonts w:ascii="宋体" w:hAnsi="宋体"/>
          <w:color w:val="auto"/>
        </w:rPr>
      </w:pPr>
      <w:r>
        <w:rPr>
          <w:rFonts w:hint="eastAsia" w:ascii="宋体" w:hAnsi="宋体"/>
          <w:color w:val="auto"/>
        </w:rPr>
        <w:t xml:space="preserve">7.4.2投标人中标或成交后无正当理由拒不与采购人签订政府采购合同的，采购人可以按照评审报告推荐的中标或者成交候选人名单排序，确定下一候选人为中标或者成交投标人，也可以重新开展政府采购活动。 </w:t>
      </w:r>
    </w:p>
    <w:p w14:paraId="38678309">
      <w:pPr>
        <w:pStyle w:val="44"/>
        <w:spacing w:line="360" w:lineRule="auto"/>
        <w:rPr>
          <w:rFonts w:ascii="宋体" w:hAnsi="宋体" w:eastAsia="宋体"/>
          <w:b/>
          <w:color w:val="auto"/>
        </w:rPr>
      </w:pPr>
      <w:bookmarkStart w:id="429" w:name="_Toc152045571"/>
      <w:bookmarkStart w:id="430" w:name="_Toc525742129"/>
      <w:bookmarkStart w:id="431" w:name="_Toc26422"/>
      <w:bookmarkStart w:id="432" w:name="_Toc13355"/>
      <w:bookmarkStart w:id="433" w:name="_Toc525742043"/>
      <w:bookmarkStart w:id="434" w:name="_Toc27873"/>
      <w:bookmarkStart w:id="435" w:name="_Toc144974539"/>
      <w:bookmarkStart w:id="436" w:name="_Toc7581"/>
      <w:bookmarkStart w:id="437" w:name="_Toc152042347"/>
      <w:r>
        <w:rPr>
          <w:rFonts w:hint="eastAsia" w:ascii="宋体" w:hAnsi="宋体" w:eastAsia="宋体"/>
          <w:b/>
          <w:color w:val="auto"/>
        </w:rPr>
        <w:t>8. 重新招标</w:t>
      </w:r>
      <w:bookmarkEnd w:id="429"/>
      <w:bookmarkEnd w:id="430"/>
      <w:bookmarkEnd w:id="431"/>
      <w:bookmarkEnd w:id="432"/>
      <w:bookmarkEnd w:id="433"/>
      <w:bookmarkEnd w:id="434"/>
      <w:bookmarkEnd w:id="435"/>
      <w:bookmarkEnd w:id="436"/>
      <w:bookmarkEnd w:id="437"/>
    </w:p>
    <w:p w14:paraId="1B4D58C5">
      <w:pPr>
        <w:pStyle w:val="42"/>
        <w:spacing w:line="360" w:lineRule="auto"/>
        <w:rPr>
          <w:rFonts w:ascii="宋体" w:hAnsi="宋体" w:eastAsia="宋体"/>
          <w:color w:val="auto"/>
        </w:rPr>
      </w:pPr>
      <w:bookmarkStart w:id="438" w:name="_Toc525742130"/>
      <w:bookmarkStart w:id="439" w:name="_Toc26884"/>
      <w:bookmarkStart w:id="440" w:name="_Toc16512"/>
      <w:bookmarkStart w:id="441" w:name="_Toc525742044"/>
      <w:bookmarkStart w:id="442" w:name="_Toc353290344"/>
      <w:bookmarkStart w:id="443" w:name="_Toc22104"/>
      <w:bookmarkStart w:id="444" w:name="_Toc18550"/>
      <w:r>
        <w:rPr>
          <w:rFonts w:hint="eastAsia" w:ascii="宋体" w:hAnsi="宋体" w:eastAsia="宋体"/>
          <w:color w:val="auto"/>
        </w:rPr>
        <w:t>8.1 重新招标</w:t>
      </w:r>
      <w:bookmarkEnd w:id="438"/>
      <w:bookmarkEnd w:id="439"/>
      <w:bookmarkEnd w:id="440"/>
      <w:bookmarkEnd w:id="441"/>
      <w:bookmarkEnd w:id="442"/>
      <w:bookmarkEnd w:id="443"/>
      <w:bookmarkEnd w:id="444"/>
    </w:p>
    <w:p w14:paraId="675076AE">
      <w:pPr>
        <w:spacing w:line="360" w:lineRule="auto"/>
        <w:ind w:firstLine="420" w:firstLineChars="200"/>
        <w:rPr>
          <w:rFonts w:ascii="宋体" w:hAnsi="宋体"/>
          <w:color w:val="auto"/>
          <w:szCs w:val="21"/>
        </w:rPr>
      </w:pPr>
      <w:r>
        <w:rPr>
          <w:rFonts w:hint="eastAsia" w:ascii="宋体" w:hAnsi="宋体"/>
          <w:color w:val="auto"/>
          <w:szCs w:val="21"/>
        </w:rPr>
        <w:t>有下列情形之一的，采购人将重新招标：</w:t>
      </w:r>
    </w:p>
    <w:p w14:paraId="72E8C6DC">
      <w:pPr>
        <w:spacing w:line="360" w:lineRule="auto"/>
        <w:ind w:firstLine="359" w:firstLineChars="171"/>
        <w:rPr>
          <w:rFonts w:ascii="宋体" w:hAnsi="宋体"/>
          <w:color w:val="auto"/>
          <w:szCs w:val="21"/>
        </w:rPr>
      </w:pPr>
      <w:r>
        <w:rPr>
          <w:rFonts w:hint="eastAsia" w:ascii="宋体" w:hAnsi="宋体"/>
          <w:color w:val="auto"/>
          <w:szCs w:val="21"/>
        </w:rPr>
        <w:t>（1）投标截止时间止，投标人少于3个的；</w:t>
      </w:r>
    </w:p>
    <w:p w14:paraId="39F582B8">
      <w:pPr>
        <w:spacing w:line="360" w:lineRule="auto"/>
        <w:ind w:firstLine="359" w:firstLineChars="171"/>
        <w:rPr>
          <w:rFonts w:ascii="宋体" w:hAnsi="宋体"/>
          <w:color w:val="auto"/>
          <w:szCs w:val="21"/>
        </w:rPr>
      </w:pPr>
      <w:r>
        <w:rPr>
          <w:rFonts w:hint="eastAsia" w:ascii="宋体" w:hAnsi="宋体"/>
          <w:color w:val="auto"/>
          <w:szCs w:val="21"/>
        </w:rPr>
        <w:t>（2）通过资格审查或符合性审查的投标人不足3家的；</w:t>
      </w:r>
    </w:p>
    <w:p w14:paraId="09B101CA">
      <w:pPr>
        <w:spacing w:line="360" w:lineRule="auto"/>
        <w:ind w:firstLine="359" w:firstLineChars="171"/>
        <w:rPr>
          <w:rFonts w:ascii="宋体" w:hAnsi="宋体"/>
          <w:color w:val="auto"/>
          <w:szCs w:val="21"/>
        </w:rPr>
      </w:pPr>
      <w:r>
        <w:rPr>
          <w:rFonts w:hint="eastAsia" w:ascii="宋体" w:hAnsi="宋体"/>
          <w:color w:val="auto"/>
          <w:szCs w:val="21"/>
        </w:rPr>
        <w:t>（3）法律法规规定的其他情形。</w:t>
      </w:r>
    </w:p>
    <w:p w14:paraId="00FBB282">
      <w:pPr>
        <w:pStyle w:val="44"/>
        <w:spacing w:line="360" w:lineRule="auto"/>
        <w:rPr>
          <w:rFonts w:ascii="宋体" w:hAnsi="宋体" w:eastAsia="宋体"/>
          <w:b/>
          <w:color w:val="auto"/>
        </w:rPr>
      </w:pPr>
      <w:bookmarkStart w:id="445" w:name="_Toc20125"/>
      <w:bookmarkStart w:id="446" w:name="_Toc25341"/>
      <w:bookmarkStart w:id="447" w:name="_Toc525742045"/>
      <w:bookmarkStart w:id="448" w:name="_Toc14010"/>
      <w:bookmarkStart w:id="449" w:name="_Toc152042350"/>
      <w:bookmarkStart w:id="450" w:name="_Toc25977"/>
      <w:bookmarkStart w:id="451" w:name="_Toc144974542"/>
      <w:bookmarkStart w:id="452" w:name="_Toc152045574"/>
      <w:bookmarkStart w:id="453" w:name="_Toc525742131"/>
      <w:r>
        <w:rPr>
          <w:rFonts w:hint="eastAsia" w:ascii="宋体" w:hAnsi="宋体" w:eastAsia="宋体"/>
          <w:b/>
          <w:color w:val="auto"/>
        </w:rPr>
        <w:t>9. 纪律和监督</w:t>
      </w:r>
      <w:bookmarkEnd w:id="445"/>
      <w:bookmarkEnd w:id="446"/>
      <w:bookmarkEnd w:id="447"/>
      <w:bookmarkEnd w:id="448"/>
      <w:bookmarkEnd w:id="449"/>
      <w:bookmarkEnd w:id="450"/>
      <w:bookmarkEnd w:id="451"/>
      <w:bookmarkEnd w:id="452"/>
      <w:bookmarkEnd w:id="453"/>
    </w:p>
    <w:p w14:paraId="351D0BBE">
      <w:pPr>
        <w:pStyle w:val="42"/>
        <w:spacing w:line="360" w:lineRule="auto"/>
        <w:rPr>
          <w:rFonts w:ascii="宋体" w:hAnsi="宋体" w:eastAsia="宋体"/>
          <w:color w:val="auto"/>
        </w:rPr>
      </w:pPr>
      <w:bookmarkStart w:id="454" w:name="_Toc22931"/>
      <w:bookmarkStart w:id="455" w:name="_Toc27832"/>
      <w:bookmarkStart w:id="456" w:name="_Toc28799"/>
      <w:bookmarkStart w:id="457" w:name="_Toc144974543"/>
      <w:bookmarkStart w:id="458" w:name="_Toc152042351"/>
      <w:bookmarkStart w:id="459" w:name="_Toc525742132"/>
      <w:bookmarkStart w:id="460" w:name="_Toc18194"/>
      <w:bookmarkStart w:id="461" w:name="_Toc152045575"/>
      <w:bookmarkStart w:id="462" w:name="_Toc525742046"/>
      <w:r>
        <w:rPr>
          <w:rFonts w:hint="eastAsia" w:ascii="宋体" w:hAnsi="宋体" w:eastAsia="宋体"/>
          <w:color w:val="auto"/>
        </w:rPr>
        <w:t>9.1 对</w:t>
      </w:r>
      <w:r>
        <w:rPr>
          <w:rFonts w:ascii="宋体" w:hAnsi="宋体" w:eastAsia="宋体"/>
          <w:color w:val="auto"/>
        </w:rPr>
        <w:t>采购人</w:t>
      </w:r>
      <w:r>
        <w:rPr>
          <w:rFonts w:hint="eastAsia" w:ascii="宋体" w:hAnsi="宋体" w:eastAsia="宋体"/>
          <w:color w:val="auto"/>
        </w:rPr>
        <w:t>的纪律要求</w:t>
      </w:r>
      <w:bookmarkEnd w:id="454"/>
      <w:bookmarkEnd w:id="455"/>
      <w:bookmarkEnd w:id="456"/>
      <w:bookmarkEnd w:id="457"/>
      <w:bookmarkEnd w:id="458"/>
      <w:bookmarkEnd w:id="459"/>
      <w:bookmarkEnd w:id="460"/>
      <w:bookmarkEnd w:id="461"/>
      <w:bookmarkEnd w:id="462"/>
    </w:p>
    <w:p w14:paraId="6C50504C">
      <w:pPr>
        <w:spacing w:line="360" w:lineRule="auto"/>
        <w:ind w:firstLine="420" w:firstLineChars="200"/>
        <w:rPr>
          <w:rFonts w:ascii="宋体" w:hAnsi="宋体"/>
          <w:color w:val="auto"/>
          <w:szCs w:val="21"/>
        </w:rPr>
      </w:pPr>
      <w:r>
        <w:rPr>
          <w:rFonts w:ascii="宋体" w:hAnsi="宋体"/>
          <w:color w:val="auto"/>
          <w:szCs w:val="21"/>
        </w:rPr>
        <w:t>采购人</w:t>
      </w:r>
      <w:r>
        <w:rPr>
          <w:rFonts w:hint="eastAsia" w:ascii="宋体" w:hAnsi="宋体"/>
          <w:color w:val="auto"/>
          <w:szCs w:val="21"/>
        </w:rPr>
        <w:t>不得泄漏招标投标活动中应当保密的情况和资料，不得与</w:t>
      </w:r>
      <w:r>
        <w:rPr>
          <w:rFonts w:ascii="宋体" w:hAnsi="宋体"/>
          <w:color w:val="auto"/>
          <w:szCs w:val="21"/>
        </w:rPr>
        <w:t>投标人</w:t>
      </w:r>
      <w:r>
        <w:rPr>
          <w:rFonts w:hint="eastAsia" w:ascii="宋体" w:hAnsi="宋体"/>
          <w:color w:val="auto"/>
          <w:szCs w:val="21"/>
        </w:rPr>
        <w:t>串通损害国家利益、社会公共利益或者他人合法权益。</w:t>
      </w:r>
    </w:p>
    <w:p w14:paraId="4C6009A3">
      <w:pPr>
        <w:pStyle w:val="42"/>
        <w:spacing w:line="360" w:lineRule="auto"/>
        <w:rPr>
          <w:rFonts w:ascii="宋体" w:hAnsi="宋体" w:eastAsia="宋体"/>
          <w:color w:val="auto"/>
        </w:rPr>
      </w:pPr>
      <w:bookmarkStart w:id="463" w:name="_Toc26071"/>
      <w:bookmarkStart w:id="464" w:name="_Toc5647"/>
      <w:bookmarkStart w:id="465" w:name="_Toc13796"/>
      <w:bookmarkStart w:id="466" w:name="_Toc152042352"/>
      <w:bookmarkStart w:id="467" w:name="_Toc525742133"/>
      <w:bookmarkStart w:id="468" w:name="_Toc144974544"/>
      <w:bookmarkStart w:id="469" w:name="_Toc25960"/>
      <w:bookmarkStart w:id="470" w:name="_Toc525742047"/>
      <w:bookmarkStart w:id="471" w:name="_Toc152045576"/>
      <w:r>
        <w:rPr>
          <w:rFonts w:hint="eastAsia" w:ascii="宋体" w:hAnsi="宋体" w:eastAsia="宋体"/>
          <w:color w:val="auto"/>
        </w:rPr>
        <w:t>9.2 对</w:t>
      </w:r>
      <w:r>
        <w:rPr>
          <w:rFonts w:ascii="宋体" w:hAnsi="宋体" w:eastAsia="宋体"/>
          <w:color w:val="auto"/>
        </w:rPr>
        <w:t>投标人</w:t>
      </w:r>
      <w:r>
        <w:rPr>
          <w:rFonts w:hint="eastAsia" w:ascii="宋体" w:hAnsi="宋体" w:eastAsia="宋体"/>
          <w:color w:val="auto"/>
        </w:rPr>
        <w:t>的纪律要求</w:t>
      </w:r>
      <w:bookmarkEnd w:id="463"/>
      <w:bookmarkEnd w:id="464"/>
      <w:bookmarkEnd w:id="465"/>
      <w:bookmarkEnd w:id="466"/>
      <w:bookmarkEnd w:id="467"/>
      <w:bookmarkEnd w:id="468"/>
      <w:bookmarkEnd w:id="469"/>
      <w:bookmarkEnd w:id="470"/>
      <w:bookmarkEnd w:id="471"/>
    </w:p>
    <w:p w14:paraId="10DA2125">
      <w:pPr>
        <w:spacing w:line="360" w:lineRule="auto"/>
        <w:ind w:firstLine="420" w:firstLineChars="200"/>
        <w:rPr>
          <w:rFonts w:ascii="宋体" w:hAnsi="宋体"/>
          <w:color w:val="auto"/>
          <w:szCs w:val="21"/>
        </w:rPr>
      </w:pPr>
      <w:r>
        <w:rPr>
          <w:rFonts w:ascii="宋体" w:hAnsi="宋体"/>
          <w:color w:val="auto"/>
          <w:szCs w:val="21"/>
        </w:rPr>
        <w:t>投标人</w:t>
      </w:r>
      <w:r>
        <w:rPr>
          <w:rFonts w:hint="eastAsia" w:ascii="宋体" w:hAnsi="宋体"/>
          <w:color w:val="auto"/>
          <w:szCs w:val="21"/>
        </w:rPr>
        <w:t>不得相互串通投标或者与</w:t>
      </w:r>
      <w:r>
        <w:rPr>
          <w:rFonts w:ascii="宋体" w:hAnsi="宋体"/>
          <w:color w:val="auto"/>
          <w:szCs w:val="21"/>
        </w:rPr>
        <w:t>采购人</w:t>
      </w:r>
      <w:r>
        <w:rPr>
          <w:rFonts w:hint="eastAsia" w:ascii="宋体" w:hAnsi="宋体"/>
          <w:color w:val="auto"/>
          <w:szCs w:val="21"/>
        </w:rPr>
        <w:t>串通投标，不得向</w:t>
      </w:r>
      <w:r>
        <w:rPr>
          <w:rFonts w:ascii="宋体" w:hAnsi="宋体"/>
          <w:color w:val="auto"/>
          <w:szCs w:val="21"/>
        </w:rPr>
        <w:t>采购人</w:t>
      </w:r>
      <w:r>
        <w:rPr>
          <w:rFonts w:hint="eastAsia" w:ascii="宋体" w:hAnsi="宋体"/>
          <w:color w:val="auto"/>
          <w:szCs w:val="21"/>
        </w:rPr>
        <w:t>或者评标委员会成员行贿谋取中标，不得以他人名义投标或者以其他方式弄虚作假骗取中标；</w:t>
      </w:r>
      <w:r>
        <w:rPr>
          <w:rFonts w:ascii="宋体" w:hAnsi="宋体"/>
          <w:color w:val="auto"/>
          <w:szCs w:val="21"/>
        </w:rPr>
        <w:t>投标人</w:t>
      </w:r>
      <w:r>
        <w:rPr>
          <w:rFonts w:hint="eastAsia" w:ascii="宋体" w:hAnsi="宋体"/>
          <w:color w:val="auto"/>
          <w:szCs w:val="21"/>
        </w:rPr>
        <w:t>不得以任何方式干扰、影响评标工作。</w:t>
      </w:r>
    </w:p>
    <w:p w14:paraId="5C8054CD">
      <w:pPr>
        <w:pStyle w:val="42"/>
        <w:spacing w:line="360" w:lineRule="auto"/>
        <w:rPr>
          <w:rFonts w:ascii="宋体" w:hAnsi="宋体" w:eastAsia="宋体"/>
          <w:color w:val="auto"/>
        </w:rPr>
      </w:pPr>
      <w:bookmarkStart w:id="472" w:name="_Toc144974545"/>
      <w:bookmarkStart w:id="473" w:name="_Toc26547"/>
      <w:bookmarkStart w:id="474" w:name="_Toc152042353"/>
      <w:bookmarkStart w:id="475" w:name="_Toc525742048"/>
      <w:bookmarkStart w:id="476" w:name="_Toc17314"/>
      <w:bookmarkStart w:id="477" w:name="_Toc152045577"/>
      <w:bookmarkStart w:id="478" w:name="_Toc525742134"/>
      <w:bookmarkStart w:id="479" w:name="_Toc32601"/>
      <w:bookmarkStart w:id="480" w:name="_Toc25334"/>
      <w:r>
        <w:rPr>
          <w:rFonts w:hint="eastAsia" w:ascii="宋体" w:hAnsi="宋体" w:eastAsia="宋体"/>
          <w:color w:val="auto"/>
        </w:rPr>
        <w:t>9.3 对评标委员会成员的纪律要求</w:t>
      </w:r>
      <w:bookmarkEnd w:id="472"/>
      <w:bookmarkEnd w:id="473"/>
      <w:bookmarkEnd w:id="474"/>
      <w:bookmarkEnd w:id="475"/>
      <w:bookmarkEnd w:id="476"/>
      <w:bookmarkEnd w:id="477"/>
      <w:bookmarkEnd w:id="478"/>
      <w:bookmarkEnd w:id="479"/>
      <w:bookmarkEnd w:id="480"/>
    </w:p>
    <w:p w14:paraId="0287C2DB">
      <w:pPr>
        <w:spacing w:line="360" w:lineRule="auto"/>
        <w:ind w:firstLine="420" w:firstLineChars="200"/>
        <w:rPr>
          <w:rFonts w:ascii="宋体" w:hAnsi="宋体"/>
          <w:color w:val="auto"/>
        </w:rPr>
      </w:pPr>
      <w:r>
        <w:rPr>
          <w:rFonts w:hint="eastAsia" w:ascii="宋体" w:hAnsi="宋体"/>
          <w:color w:val="auto"/>
        </w:rPr>
        <w:t>评标委员会成员不得有下列行为：（一）确定参与评标至评标结束前私自接触投标人；（二）接受投标人提出的与投标文件不一致的澄清或者说明，除“对于投标文件中含义不明确、同类问题表述不一致或者有明显文字和计算错误的内容，评标委员会应当以书面形式要求投标人作出必要的澄清、说明或者补正。”外；（三）违反评标纪律发表倾向性意见或者征询采购人的倾向性意见；（四）对需要专业判断的主观评审因素协商评分；（五）在评标过程中擅离职守，影响评标程序正常进行的；（六）记录、复制或者带走任何评标资料；（七）其他不遵守评标纪律的行为。</w:t>
      </w:r>
    </w:p>
    <w:p w14:paraId="6C1AEE44">
      <w:pPr>
        <w:spacing w:line="360" w:lineRule="auto"/>
        <w:ind w:firstLine="420" w:firstLineChars="200"/>
        <w:rPr>
          <w:rFonts w:ascii="宋体" w:hAnsi="宋体"/>
          <w:color w:val="auto"/>
        </w:rPr>
      </w:pPr>
      <w:r>
        <w:rPr>
          <w:rFonts w:hint="eastAsia" w:ascii="宋体" w:hAnsi="宋体"/>
          <w:color w:val="auto"/>
        </w:rPr>
        <w:t>评标委员会成员有前款第一至七项行为之一的，其评审意见无效，并不得获取评审劳务报酬和报销异地评审差旅费。</w:t>
      </w:r>
    </w:p>
    <w:p w14:paraId="3C4E783C">
      <w:pPr>
        <w:pStyle w:val="42"/>
        <w:spacing w:line="360" w:lineRule="auto"/>
        <w:rPr>
          <w:rFonts w:ascii="宋体" w:hAnsi="宋体" w:eastAsia="宋体"/>
          <w:color w:val="auto"/>
        </w:rPr>
      </w:pPr>
      <w:bookmarkStart w:id="481" w:name="_Toc525742135"/>
      <w:bookmarkStart w:id="482" w:name="_Toc152045578"/>
      <w:bookmarkStart w:id="483" w:name="_Toc17854"/>
      <w:bookmarkStart w:id="484" w:name="_Toc27259"/>
      <w:bookmarkStart w:id="485" w:name="_Toc15051"/>
      <w:bookmarkStart w:id="486" w:name="_Toc525742049"/>
      <w:bookmarkStart w:id="487" w:name="_Toc152042354"/>
      <w:bookmarkStart w:id="488" w:name="_Toc15086"/>
      <w:bookmarkStart w:id="489" w:name="_Toc144974546"/>
      <w:r>
        <w:rPr>
          <w:rFonts w:hint="eastAsia" w:ascii="宋体" w:hAnsi="宋体" w:eastAsia="宋体"/>
          <w:color w:val="auto"/>
        </w:rPr>
        <w:t>9.4 对与评标活动有关的工作人员的纪律要求</w:t>
      </w:r>
      <w:bookmarkEnd w:id="481"/>
      <w:bookmarkEnd w:id="482"/>
      <w:bookmarkEnd w:id="483"/>
      <w:bookmarkEnd w:id="484"/>
      <w:bookmarkEnd w:id="485"/>
      <w:bookmarkEnd w:id="486"/>
      <w:bookmarkEnd w:id="487"/>
      <w:bookmarkEnd w:id="488"/>
    </w:p>
    <w:p w14:paraId="5D5D5E6C">
      <w:pPr>
        <w:spacing w:line="360" w:lineRule="auto"/>
        <w:ind w:firstLine="420" w:firstLineChars="200"/>
        <w:rPr>
          <w:rFonts w:ascii="宋体" w:hAnsi="宋体"/>
          <w:color w:val="auto"/>
          <w:szCs w:val="21"/>
        </w:rPr>
      </w:pPr>
      <w:bookmarkStart w:id="490" w:name="_Toc152042355"/>
      <w:r>
        <w:rPr>
          <w:rFonts w:hint="eastAsia" w:ascii="宋体" w:hAnsi="宋体"/>
          <w:color w:val="auto"/>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490"/>
    </w:p>
    <w:bookmarkEnd w:id="489"/>
    <w:p w14:paraId="29712918">
      <w:pPr>
        <w:pStyle w:val="42"/>
        <w:spacing w:line="360" w:lineRule="auto"/>
        <w:rPr>
          <w:rFonts w:ascii="宋体" w:hAnsi="宋体" w:eastAsia="宋体"/>
          <w:color w:val="auto"/>
        </w:rPr>
      </w:pPr>
      <w:bookmarkStart w:id="491" w:name="_Toc525742136"/>
      <w:bookmarkStart w:id="492" w:name="_Toc29506"/>
      <w:bookmarkStart w:id="493" w:name="_Toc5421"/>
      <w:bookmarkStart w:id="494" w:name="_Toc525742050"/>
      <w:bookmarkStart w:id="495" w:name="_Toc353290351"/>
      <w:bookmarkStart w:id="496" w:name="_Toc2104"/>
      <w:bookmarkStart w:id="497" w:name="_Toc4218"/>
      <w:bookmarkStart w:id="498" w:name="_Toc152042356"/>
      <w:bookmarkStart w:id="499" w:name="_Toc152045579"/>
      <w:r>
        <w:rPr>
          <w:rFonts w:hint="eastAsia" w:ascii="宋体" w:hAnsi="宋体" w:eastAsia="宋体"/>
          <w:color w:val="auto"/>
        </w:rPr>
        <w:t>9.5 投诉</w:t>
      </w:r>
      <w:bookmarkEnd w:id="491"/>
      <w:bookmarkEnd w:id="492"/>
      <w:bookmarkEnd w:id="493"/>
      <w:bookmarkEnd w:id="494"/>
      <w:bookmarkEnd w:id="495"/>
      <w:bookmarkEnd w:id="496"/>
      <w:bookmarkEnd w:id="497"/>
      <w:bookmarkEnd w:id="498"/>
      <w:bookmarkEnd w:id="499"/>
    </w:p>
    <w:p w14:paraId="67F82949">
      <w:pPr>
        <w:spacing w:line="360" w:lineRule="auto"/>
        <w:ind w:firstLine="420" w:firstLineChars="200"/>
        <w:rPr>
          <w:rFonts w:hint="eastAsia" w:ascii="宋体" w:hAnsi="宋体"/>
          <w:color w:val="auto"/>
          <w:szCs w:val="21"/>
        </w:rPr>
      </w:pPr>
      <w:r>
        <w:rPr>
          <w:rFonts w:hint="eastAsia" w:ascii="宋体" w:hAnsi="宋体"/>
          <w:color w:val="auto"/>
          <w:szCs w:val="21"/>
        </w:rPr>
        <w:t>投标人和其他利害关系人认为本次招标活动违反法律、法规和规章规定的，有权向有关行政监督部门投诉。</w:t>
      </w:r>
    </w:p>
    <w:p w14:paraId="13CC35DC">
      <w:pPr>
        <w:bidi w:val="0"/>
        <w:rPr>
          <w:rFonts w:ascii="Times New Roman" w:hAnsi="Times New Roman" w:eastAsia="宋体" w:cs="Times New Roman"/>
          <w:color w:val="auto"/>
          <w:kern w:val="2"/>
          <w:sz w:val="21"/>
          <w:szCs w:val="24"/>
          <w:lang w:val="en-US" w:eastAsia="zh-CN" w:bidi="ar-SA"/>
        </w:rPr>
      </w:pPr>
    </w:p>
    <w:p w14:paraId="5049B3C5">
      <w:pPr>
        <w:pStyle w:val="44"/>
        <w:spacing w:line="360" w:lineRule="auto"/>
        <w:rPr>
          <w:rFonts w:ascii="宋体" w:hAnsi="宋体" w:eastAsia="宋体" w:cs="Times New Roman"/>
          <w:color w:val="auto"/>
          <w:kern w:val="2"/>
          <w:sz w:val="24"/>
          <w:szCs w:val="24"/>
        </w:rPr>
      </w:pPr>
      <w:bookmarkStart w:id="500" w:name="_Toc13735"/>
      <w:bookmarkStart w:id="501" w:name="_Toc16216"/>
      <w:bookmarkStart w:id="502" w:name="_Toc24119"/>
      <w:bookmarkStart w:id="503" w:name="_Toc525742051"/>
      <w:bookmarkStart w:id="504" w:name="_Toc525742137"/>
      <w:bookmarkStart w:id="505" w:name="_Toc27407"/>
      <w:r>
        <w:rPr>
          <w:rFonts w:hint="eastAsia" w:ascii="宋体" w:hAnsi="宋体" w:eastAsia="宋体" w:cs="Times New Roman"/>
          <w:color w:val="auto"/>
          <w:kern w:val="2"/>
          <w:sz w:val="24"/>
          <w:szCs w:val="24"/>
        </w:rPr>
        <w:t>10 其他事项</w:t>
      </w:r>
      <w:bookmarkEnd w:id="500"/>
      <w:bookmarkEnd w:id="501"/>
      <w:bookmarkEnd w:id="502"/>
      <w:bookmarkEnd w:id="503"/>
      <w:bookmarkEnd w:id="504"/>
      <w:bookmarkEnd w:id="505"/>
    </w:p>
    <w:p w14:paraId="4C6DCBD8">
      <w:pPr>
        <w:pStyle w:val="44"/>
        <w:spacing w:line="360" w:lineRule="auto"/>
        <w:outlineLvl w:val="2"/>
        <w:rPr>
          <w:rFonts w:ascii="宋体" w:hAnsi="宋体" w:eastAsia="宋体" w:cs="Times New Roman"/>
          <w:color w:val="auto"/>
          <w:kern w:val="2"/>
          <w:sz w:val="21"/>
          <w:szCs w:val="21"/>
        </w:rPr>
      </w:pPr>
      <w:bookmarkStart w:id="506" w:name="_Toc26632"/>
      <w:bookmarkStart w:id="507" w:name="_Toc21343"/>
      <w:bookmarkStart w:id="508" w:name="_Toc16264"/>
      <w:bookmarkStart w:id="509" w:name="_Toc11992"/>
      <w:r>
        <w:rPr>
          <w:rFonts w:hint="eastAsia" w:ascii="宋体" w:hAnsi="宋体" w:eastAsia="宋体" w:cs="Times New Roman"/>
          <w:color w:val="auto"/>
          <w:kern w:val="2"/>
          <w:sz w:val="21"/>
          <w:szCs w:val="21"/>
        </w:rPr>
        <w:t>详见投标人须知前附表。</w:t>
      </w:r>
      <w:bookmarkEnd w:id="506"/>
      <w:bookmarkEnd w:id="507"/>
      <w:bookmarkEnd w:id="508"/>
      <w:bookmarkEnd w:id="509"/>
    </w:p>
    <w:p w14:paraId="4530CD62">
      <w:pPr>
        <w:pStyle w:val="3"/>
        <w:jc w:val="center"/>
        <w:rPr>
          <w:color w:val="auto"/>
        </w:rPr>
      </w:pPr>
      <w:bookmarkStart w:id="510" w:name="_Toc144974565"/>
      <w:bookmarkStart w:id="511" w:name="_Toc152045598"/>
      <w:bookmarkStart w:id="512" w:name="_Toc152042375"/>
    </w:p>
    <w:p w14:paraId="799F3F08">
      <w:pPr>
        <w:pStyle w:val="3"/>
        <w:jc w:val="center"/>
        <w:rPr>
          <w:color w:val="auto"/>
        </w:rPr>
      </w:pPr>
    </w:p>
    <w:p w14:paraId="5D290E0E">
      <w:pPr>
        <w:pStyle w:val="3"/>
        <w:jc w:val="center"/>
        <w:rPr>
          <w:color w:val="auto"/>
        </w:rPr>
      </w:pPr>
    </w:p>
    <w:p w14:paraId="1357C430">
      <w:pPr>
        <w:pStyle w:val="3"/>
        <w:jc w:val="center"/>
        <w:rPr>
          <w:color w:val="auto"/>
        </w:rPr>
      </w:pPr>
    </w:p>
    <w:p w14:paraId="6F3B431A">
      <w:pPr>
        <w:pStyle w:val="3"/>
        <w:jc w:val="center"/>
        <w:rPr>
          <w:color w:val="auto"/>
        </w:rPr>
      </w:pPr>
    </w:p>
    <w:p w14:paraId="19D7302C">
      <w:pPr>
        <w:pStyle w:val="3"/>
        <w:jc w:val="center"/>
        <w:rPr>
          <w:color w:val="auto"/>
        </w:rPr>
      </w:pPr>
    </w:p>
    <w:p w14:paraId="05B22513">
      <w:pPr>
        <w:pStyle w:val="3"/>
        <w:jc w:val="center"/>
        <w:rPr>
          <w:color w:val="auto"/>
        </w:rPr>
      </w:pPr>
    </w:p>
    <w:p w14:paraId="0E603BD3">
      <w:pPr>
        <w:pStyle w:val="3"/>
        <w:jc w:val="center"/>
        <w:rPr>
          <w:color w:val="auto"/>
        </w:rPr>
      </w:pPr>
    </w:p>
    <w:p w14:paraId="39500E4F">
      <w:pPr>
        <w:pStyle w:val="3"/>
        <w:jc w:val="center"/>
        <w:rPr>
          <w:color w:val="auto"/>
        </w:rPr>
      </w:pPr>
    </w:p>
    <w:p w14:paraId="1896F526">
      <w:pPr>
        <w:pStyle w:val="3"/>
        <w:jc w:val="center"/>
        <w:rPr>
          <w:color w:val="auto"/>
        </w:rPr>
      </w:pPr>
    </w:p>
    <w:p w14:paraId="5DEC5C06">
      <w:pPr>
        <w:pStyle w:val="3"/>
        <w:jc w:val="center"/>
        <w:rPr>
          <w:color w:val="auto"/>
        </w:rPr>
      </w:pPr>
    </w:p>
    <w:p w14:paraId="640E90E4">
      <w:pPr>
        <w:pStyle w:val="3"/>
        <w:jc w:val="center"/>
        <w:rPr>
          <w:color w:val="auto"/>
        </w:rPr>
      </w:pPr>
      <w:bookmarkStart w:id="513" w:name="_Toc31055"/>
      <w:r>
        <w:rPr>
          <w:rFonts w:hint="eastAsia"/>
          <w:color w:val="auto"/>
        </w:rPr>
        <w:t xml:space="preserve">第三章 </w:t>
      </w:r>
      <w:bookmarkEnd w:id="510"/>
      <w:bookmarkEnd w:id="511"/>
      <w:bookmarkEnd w:id="512"/>
      <w:bookmarkStart w:id="514" w:name="_Toc152045609"/>
      <w:bookmarkStart w:id="515" w:name="_Toc144974577"/>
      <w:bookmarkStart w:id="516" w:name="_Toc152042387"/>
      <w:r>
        <w:rPr>
          <w:rFonts w:hint="eastAsia"/>
          <w:color w:val="auto"/>
        </w:rPr>
        <w:t>评标办法</w:t>
      </w:r>
      <w:bookmarkEnd w:id="513"/>
    </w:p>
    <w:tbl>
      <w:tblPr>
        <w:tblStyle w:val="2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49"/>
        <w:gridCol w:w="2992"/>
        <w:gridCol w:w="4961"/>
      </w:tblGrid>
      <w:tr w14:paraId="0607A1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49" w:type="dxa"/>
            <w:tcBorders>
              <w:top w:val="single" w:color="auto" w:sz="4" w:space="0"/>
              <w:bottom w:val="single" w:color="auto" w:sz="4" w:space="0"/>
              <w:right w:val="single" w:color="auto" w:sz="4" w:space="0"/>
            </w:tcBorders>
            <w:vAlign w:val="center"/>
          </w:tcPr>
          <w:p w14:paraId="6E209636">
            <w:pPr>
              <w:adjustRightInd w:val="0"/>
              <w:spacing w:line="360" w:lineRule="auto"/>
              <w:jc w:val="center"/>
              <w:textAlignment w:val="baseline"/>
              <w:rPr>
                <w:rFonts w:ascii="宋体" w:hAnsi="宋体"/>
                <w:b/>
                <w:color w:val="auto"/>
                <w:szCs w:val="21"/>
              </w:rPr>
            </w:pPr>
            <w:r>
              <w:rPr>
                <w:rFonts w:ascii="宋体" w:hAnsi="宋体"/>
                <w:b/>
                <w:color w:val="auto"/>
                <w:szCs w:val="21"/>
              </w:rPr>
              <w:t>条款号</w:t>
            </w:r>
          </w:p>
        </w:tc>
        <w:tc>
          <w:tcPr>
            <w:tcW w:w="2992" w:type="dxa"/>
            <w:tcBorders>
              <w:top w:val="single" w:color="auto" w:sz="4" w:space="0"/>
              <w:left w:val="single" w:color="auto" w:sz="4" w:space="0"/>
              <w:bottom w:val="single" w:color="auto" w:sz="4" w:space="0"/>
              <w:right w:val="single" w:color="auto" w:sz="4" w:space="0"/>
            </w:tcBorders>
            <w:vAlign w:val="center"/>
          </w:tcPr>
          <w:p w14:paraId="5EA52BC3">
            <w:pPr>
              <w:adjustRightInd w:val="0"/>
              <w:spacing w:line="360" w:lineRule="auto"/>
              <w:jc w:val="center"/>
              <w:textAlignment w:val="baseline"/>
              <w:rPr>
                <w:rFonts w:ascii="宋体" w:hAnsi="宋体"/>
                <w:b/>
                <w:color w:val="auto"/>
                <w:szCs w:val="21"/>
              </w:rPr>
            </w:pPr>
            <w:r>
              <w:rPr>
                <w:rFonts w:ascii="宋体" w:hAnsi="宋体"/>
                <w:b/>
                <w:color w:val="auto"/>
                <w:szCs w:val="21"/>
              </w:rPr>
              <w:t>评审因素</w:t>
            </w:r>
          </w:p>
        </w:tc>
        <w:tc>
          <w:tcPr>
            <w:tcW w:w="4961" w:type="dxa"/>
            <w:tcBorders>
              <w:top w:val="single" w:color="auto" w:sz="4" w:space="0"/>
              <w:left w:val="single" w:color="auto" w:sz="4" w:space="0"/>
              <w:bottom w:val="single" w:color="auto" w:sz="4" w:space="0"/>
              <w:right w:val="single" w:color="auto" w:sz="4" w:space="0"/>
            </w:tcBorders>
            <w:vAlign w:val="center"/>
          </w:tcPr>
          <w:p w14:paraId="47E82561">
            <w:pPr>
              <w:adjustRightInd w:val="0"/>
              <w:spacing w:line="360" w:lineRule="auto"/>
              <w:jc w:val="center"/>
              <w:textAlignment w:val="baseline"/>
              <w:rPr>
                <w:rFonts w:ascii="宋体" w:hAnsi="宋体"/>
                <w:b/>
                <w:color w:val="auto"/>
                <w:szCs w:val="21"/>
              </w:rPr>
            </w:pPr>
            <w:r>
              <w:rPr>
                <w:rFonts w:ascii="宋体" w:hAnsi="宋体"/>
                <w:b/>
                <w:color w:val="auto"/>
                <w:szCs w:val="21"/>
              </w:rPr>
              <w:t>评审标准</w:t>
            </w:r>
          </w:p>
        </w:tc>
      </w:tr>
      <w:tr w14:paraId="6D2961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49" w:type="dxa"/>
            <w:vMerge w:val="restart"/>
            <w:tcBorders>
              <w:top w:val="single" w:color="auto" w:sz="4" w:space="0"/>
              <w:right w:val="single" w:color="auto" w:sz="4" w:space="0"/>
            </w:tcBorders>
            <w:vAlign w:val="center"/>
          </w:tcPr>
          <w:p w14:paraId="6C222BBC">
            <w:pPr>
              <w:adjustRightInd w:val="0"/>
              <w:spacing w:line="360" w:lineRule="auto"/>
              <w:jc w:val="center"/>
              <w:textAlignment w:val="baseline"/>
              <w:rPr>
                <w:rFonts w:ascii="宋体" w:hAnsi="宋体"/>
                <w:color w:val="auto"/>
                <w:szCs w:val="21"/>
              </w:rPr>
            </w:pPr>
            <w:r>
              <w:rPr>
                <w:rFonts w:hint="eastAsia" w:ascii="宋体" w:hAnsi="宋体"/>
                <w:color w:val="auto"/>
                <w:szCs w:val="21"/>
              </w:rPr>
              <w:t>资格审查87号令</w:t>
            </w:r>
          </w:p>
        </w:tc>
        <w:tc>
          <w:tcPr>
            <w:tcW w:w="2992" w:type="dxa"/>
            <w:tcBorders>
              <w:top w:val="single" w:color="auto" w:sz="4" w:space="0"/>
              <w:left w:val="single" w:color="auto" w:sz="4" w:space="0"/>
              <w:bottom w:val="single" w:color="auto" w:sz="4" w:space="0"/>
              <w:right w:val="single" w:color="auto" w:sz="4" w:space="0"/>
            </w:tcBorders>
            <w:vAlign w:val="center"/>
          </w:tcPr>
          <w:p w14:paraId="335F6A63">
            <w:pPr>
              <w:adjustRightInd w:val="0"/>
              <w:spacing w:line="360" w:lineRule="auto"/>
              <w:jc w:val="center"/>
              <w:textAlignment w:val="baseline"/>
              <w:rPr>
                <w:rFonts w:ascii="宋体" w:hAnsi="宋体"/>
                <w:color w:val="auto"/>
                <w:szCs w:val="21"/>
              </w:rPr>
            </w:pPr>
            <w:r>
              <w:rPr>
                <w:rFonts w:hint="eastAsia" w:ascii="宋体" w:hAnsi="宋体"/>
                <w:color w:val="auto"/>
                <w:szCs w:val="21"/>
              </w:rPr>
              <w:t>具有独立承担民事责任的能力</w:t>
            </w:r>
          </w:p>
        </w:tc>
        <w:tc>
          <w:tcPr>
            <w:tcW w:w="4961" w:type="dxa"/>
            <w:tcBorders>
              <w:top w:val="single" w:color="auto" w:sz="4" w:space="0"/>
              <w:left w:val="single" w:color="auto" w:sz="4" w:space="0"/>
              <w:bottom w:val="single" w:color="auto" w:sz="4" w:space="0"/>
              <w:right w:val="single" w:color="auto" w:sz="4" w:space="0"/>
            </w:tcBorders>
            <w:vAlign w:val="center"/>
          </w:tcPr>
          <w:p w14:paraId="506F4090">
            <w:pPr>
              <w:adjustRightInd w:val="0"/>
              <w:spacing w:line="360" w:lineRule="auto"/>
              <w:textAlignment w:val="baseline"/>
              <w:rPr>
                <w:rFonts w:ascii="宋体" w:hAnsi="宋体"/>
                <w:color w:val="auto"/>
                <w:szCs w:val="21"/>
              </w:rPr>
            </w:pPr>
            <w:r>
              <w:rPr>
                <w:rFonts w:hint="eastAsia" w:ascii="宋体" w:hAnsi="宋体"/>
                <w:color w:val="auto"/>
                <w:szCs w:val="21"/>
              </w:rPr>
              <w:t>符合第二章 “</w:t>
            </w:r>
            <w:r>
              <w:rPr>
                <w:rFonts w:ascii="宋体" w:hAnsi="宋体"/>
                <w:color w:val="auto"/>
                <w:szCs w:val="21"/>
              </w:rPr>
              <w:t>投标人</w:t>
            </w:r>
            <w:r>
              <w:rPr>
                <w:rFonts w:hint="eastAsia" w:ascii="宋体" w:hAnsi="宋体"/>
                <w:color w:val="auto"/>
                <w:szCs w:val="21"/>
              </w:rPr>
              <w:t>须知前附表”第1.4.1项规定</w:t>
            </w:r>
          </w:p>
        </w:tc>
      </w:tr>
      <w:tr w14:paraId="686CD1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49" w:type="dxa"/>
            <w:vMerge w:val="continue"/>
            <w:tcBorders>
              <w:right w:val="single" w:color="auto" w:sz="4" w:space="0"/>
            </w:tcBorders>
            <w:vAlign w:val="center"/>
          </w:tcPr>
          <w:p w14:paraId="75E879FD">
            <w:pPr>
              <w:adjustRightInd w:val="0"/>
              <w:spacing w:line="360" w:lineRule="auto"/>
              <w:jc w:val="center"/>
              <w:textAlignment w:val="baseline"/>
              <w:rPr>
                <w:rFonts w:ascii="宋体" w:hAnsi="宋体"/>
                <w:color w:val="auto"/>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03DC6EB1">
            <w:pPr>
              <w:adjustRightInd w:val="0"/>
              <w:spacing w:line="360" w:lineRule="auto"/>
              <w:jc w:val="center"/>
              <w:textAlignment w:val="baseline"/>
              <w:rPr>
                <w:rFonts w:ascii="宋体" w:hAnsi="宋体"/>
                <w:color w:val="auto"/>
                <w:szCs w:val="21"/>
              </w:rPr>
            </w:pPr>
            <w:r>
              <w:rPr>
                <w:rFonts w:hint="eastAsia" w:ascii="宋体" w:hAnsi="宋体"/>
                <w:color w:val="auto"/>
                <w:szCs w:val="21"/>
              </w:rPr>
              <w:t>具有良好的商业信誉和健全的财务会计制度</w:t>
            </w:r>
          </w:p>
        </w:tc>
        <w:tc>
          <w:tcPr>
            <w:tcW w:w="4961" w:type="dxa"/>
            <w:tcBorders>
              <w:top w:val="single" w:color="auto" w:sz="4" w:space="0"/>
              <w:left w:val="single" w:color="auto" w:sz="4" w:space="0"/>
              <w:bottom w:val="single" w:color="auto" w:sz="4" w:space="0"/>
              <w:right w:val="single" w:color="auto" w:sz="4" w:space="0"/>
            </w:tcBorders>
            <w:vAlign w:val="center"/>
          </w:tcPr>
          <w:p w14:paraId="2C5BAD7E">
            <w:pPr>
              <w:adjustRightInd w:val="0"/>
              <w:spacing w:line="360" w:lineRule="auto"/>
              <w:textAlignment w:val="baseline"/>
              <w:rPr>
                <w:rFonts w:ascii="宋体" w:hAnsi="宋体"/>
                <w:color w:val="auto"/>
                <w:szCs w:val="21"/>
              </w:rPr>
            </w:pPr>
            <w:r>
              <w:rPr>
                <w:rFonts w:hint="eastAsia" w:ascii="宋体" w:hAnsi="宋体"/>
                <w:color w:val="auto"/>
                <w:szCs w:val="21"/>
              </w:rPr>
              <w:t>符合第二章 “</w:t>
            </w:r>
            <w:r>
              <w:rPr>
                <w:rFonts w:ascii="宋体" w:hAnsi="宋体"/>
                <w:color w:val="auto"/>
                <w:szCs w:val="21"/>
              </w:rPr>
              <w:t>投标人</w:t>
            </w:r>
            <w:r>
              <w:rPr>
                <w:rFonts w:hint="eastAsia" w:ascii="宋体" w:hAnsi="宋体"/>
                <w:color w:val="auto"/>
                <w:szCs w:val="21"/>
              </w:rPr>
              <w:t>须知前附表”第1.4.1项规定</w:t>
            </w:r>
          </w:p>
        </w:tc>
      </w:tr>
      <w:tr w14:paraId="47A91F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49" w:type="dxa"/>
            <w:vMerge w:val="continue"/>
            <w:tcBorders>
              <w:right w:val="single" w:color="auto" w:sz="4" w:space="0"/>
            </w:tcBorders>
            <w:vAlign w:val="center"/>
          </w:tcPr>
          <w:p w14:paraId="382D7AD3">
            <w:pPr>
              <w:adjustRightInd w:val="0"/>
              <w:spacing w:line="360" w:lineRule="auto"/>
              <w:jc w:val="center"/>
              <w:textAlignment w:val="baseline"/>
              <w:rPr>
                <w:rFonts w:ascii="宋体" w:hAnsi="宋体"/>
                <w:b/>
                <w:color w:val="auto"/>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0F731630">
            <w:pPr>
              <w:spacing w:line="360" w:lineRule="auto"/>
              <w:jc w:val="center"/>
              <w:rPr>
                <w:rFonts w:ascii="宋体" w:hAnsi="宋体"/>
                <w:color w:val="auto"/>
                <w:szCs w:val="21"/>
              </w:rPr>
            </w:pPr>
            <w:r>
              <w:rPr>
                <w:rFonts w:hint="eastAsia" w:ascii="宋体" w:hAnsi="宋体"/>
                <w:color w:val="auto"/>
                <w:szCs w:val="21"/>
              </w:rPr>
              <w:t>具有履行合同所必需的设备和专业技术能力</w:t>
            </w:r>
          </w:p>
        </w:tc>
        <w:tc>
          <w:tcPr>
            <w:tcW w:w="4961" w:type="dxa"/>
            <w:tcBorders>
              <w:top w:val="single" w:color="auto" w:sz="4" w:space="0"/>
              <w:left w:val="single" w:color="auto" w:sz="4" w:space="0"/>
              <w:bottom w:val="single" w:color="auto" w:sz="4" w:space="0"/>
              <w:right w:val="single" w:color="auto" w:sz="4" w:space="0"/>
            </w:tcBorders>
            <w:vAlign w:val="center"/>
          </w:tcPr>
          <w:p w14:paraId="36DD1A50">
            <w:pPr>
              <w:adjustRightInd w:val="0"/>
              <w:spacing w:line="360" w:lineRule="auto"/>
              <w:jc w:val="left"/>
              <w:textAlignment w:val="baseline"/>
              <w:rPr>
                <w:rFonts w:ascii="宋体" w:hAnsi="宋体"/>
                <w:color w:val="auto"/>
                <w:szCs w:val="21"/>
              </w:rPr>
            </w:pPr>
            <w:r>
              <w:rPr>
                <w:rFonts w:hint="eastAsia" w:ascii="宋体" w:hAnsi="宋体"/>
                <w:color w:val="auto"/>
                <w:szCs w:val="21"/>
              </w:rPr>
              <w:t>符合第二章 “</w:t>
            </w:r>
            <w:r>
              <w:rPr>
                <w:rFonts w:ascii="宋体" w:hAnsi="宋体"/>
                <w:color w:val="auto"/>
                <w:szCs w:val="21"/>
              </w:rPr>
              <w:t>投标人</w:t>
            </w:r>
            <w:r>
              <w:rPr>
                <w:rFonts w:hint="eastAsia" w:ascii="宋体" w:hAnsi="宋体"/>
                <w:color w:val="auto"/>
                <w:szCs w:val="21"/>
              </w:rPr>
              <w:t>须知前附表”第1.4.1项规定</w:t>
            </w:r>
          </w:p>
        </w:tc>
      </w:tr>
      <w:tr w14:paraId="0D7C49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49" w:type="dxa"/>
            <w:vMerge w:val="continue"/>
            <w:tcBorders>
              <w:right w:val="single" w:color="auto" w:sz="4" w:space="0"/>
            </w:tcBorders>
            <w:vAlign w:val="center"/>
          </w:tcPr>
          <w:p w14:paraId="38AA0D45">
            <w:pPr>
              <w:adjustRightInd w:val="0"/>
              <w:spacing w:line="360" w:lineRule="auto"/>
              <w:jc w:val="center"/>
              <w:textAlignment w:val="baseline"/>
              <w:rPr>
                <w:rFonts w:ascii="宋体" w:hAnsi="宋体"/>
                <w:b/>
                <w:color w:val="auto"/>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0BDBBA9D">
            <w:pPr>
              <w:adjustRightInd w:val="0"/>
              <w:spacing w:line="360" w:lineRule="auto"/>
              <w:jc w:val="center"/>
              <w:textAlignment w:val="baseline"/>
              <w:rPr>
                <w:rFonts w:ascii="宋体" w:hAnsi="宋体"/>
                <w:color w:val="auto"/>
                <w:szCs w:val="21"/>
              </w:rPr>
            </w:pPr>
            <w:r>
              <w:rPr>
                <w:rFonts w:hint="eastAsia" w:ascii="宋体" w:hAnsi="宋体"/>
                <w:color w:val="auto"/>
                <w:szCs w:val="21"/>
              </w:rPr>
              <w:t>有依法缴纳税收和缴纳社会保障资金的良好记录</w:t>
            </w:r>
          </w:p>
        </w:tc>
        <w:tc>
          <w:tcPr>
            <w:tcW w:w="4961" w:type="dxa"/>
            <w:tcBorders>
              <w:top w:val="single" w:color="auto" w:sz="4" w:space="0"/>
              <w:left w:val="single" w:color="auto" w:sz="4" w:space="0"/>
              <w:bottom w:val="single" w:color="auto" w:sz="4" w:space="0"/>
              <w:right w:val="single" w:color="auto" w:sz="4" w:space="0"/>
            </w:tcBorders>
            <w:vAlign w:val="center"/>
          </w:tcPr>
          <w:p w14:paraId="1ACEB714">
            <w:pPr>
              <w:adjustRightInd w:val="0"/>
              <w:spacing w:line="360" w:lineRule="auto"/>
              <w:jc w:val="left"/>
              <w:textAlignment w:val="baseline"/>
              <w:rPr>
                <w:rFonts w:ascii="宋体" w:hAnsi="宋体"/>
                <w:color w:val="auto"/>
                <w:szCs w:val="21"/>
              </w:rPr>
            </w:pPr>
            <w:r>
              <w:rPr>
                <w:rFonts w:hint="eastAsia" w:ascii="宋体" w:hAnsi="宋体"/>
                <w:color w:val="auto"/>
                <w:szCs w:val="21"/>
              </w:rPr>
              <w:t>符合第二章 “</w:t>
            </w:r>
            <w:r>
              <w:rPr>
                <w:rFonts w:ascii="宋体" w:hAnsi="宋体"/>
                <w:color w:val="auto"/>
                <w:szCs w:val="21"/>
              </w:rPr>
              <w:t>投标人</w:t>
            </w:r>
            <w:r>
              <w:rPr>
                <w:rFonts w:hint="eastAsia" w:ascii="宋体" w:hAnsi="宋体"/>
                <w:color w:val="auto"/>
                <w:szCs w:val="21"/>
              </w:rPr>
              <w:t>须知前附表”第1.4.1项规定</w:t>
            </w:r>
          </w:p>
        </w:tc>
      </w:tr>
      <w:tr w14:paraId="6812F9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49" w:type="dxa"/>
            <w:vMerge w:val="continue"/>
            <w:tcBorders>
              <w:right w:val="single" w:color="auto" w:sz="4" w:space="0"/>
            </w:tcBorders>
            <w:vAlign w:val="center"/>
          </w:tcPr>
          <w:p w14:paraId="483AA6C4">
            <w:pPr>
              <w:adjustRightInd w:val="0"/>
              <w:spacing w:line="360" w:lineRule="auto"/>
              <w:jc w:val="center"/>
              <w:textAlignment w:val="baseline"/>
              <w:rPr>
                <w:rFonts w:ascii="宋体" w:hAnsi="宋体"/>
                <w:b/>
                <w:color w:val="auto"/>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3369988E">
            <w:pPr>
              <w:spacing w:line="360" w:lineRule="auto"/>
              <w:jc w:val="center"/>
              <w:rPr>
                <w:rFonts w:ascii="宋体" w:hAnsi="宋体"/>
                <w:color w:val="auto"/>
                <w:szCs w:val="21"/>
              </w:rPr>
            </w:pPr>
            <w:r>
              <w:rPr>
                <w:rFonts w:hint="eastAsia" w:ascii="宋体" w:hAnsi="宋体"/>
                <w:color w:val="auto"/>
                <w:szCs w:val="21"/>
              </w:rPr>
              <w:t>参加政府采购活动前三年内，在经营活动中没有重大违法记录</w:t>
            </w:r>
          </w:p>
        </w:tc>
        <w:tc>
          <w:tcPr>
            <w:tcW w:w="4961" w:type="dxa"/>
            <w:tcBorders>
              <w:top w:val="single" w:color="auto" w:sz="4" w:space="0"/>
              <w:left w:val="single" w:color="auto" w:sz="4" w:space="0"/>
              <w:bottom w:val="single" w:color="auto" w:sz="4" w:space="0"/>
              <w:right w:val="single" w:color="auto" w:sz="4" w:space="0"/>
            </w:tcBorders>
            <w:vAlign w:val="center"/>
          </w:tcPr>
          <w:p w14:paraId="17865848">
            <w:pPr>
              <w:adjustRightInd w:val="0"/>
              <w:spacing w:line="360" w:lineRule="auto"/>
              <w:jc w:val="left"/>
              <w:textAlignment w:val="baseline"/>
              <w:rPr>
                <w:rFonts w:ascii="宋体" w:hAnsi="宋体"/>
                <w:color w:val="auto"/>
                <w:szCs w:val="21"/>
              </w:rPr>
            </w:pPr>
            <w:r>
              <w:rPr>
                <w:rFonts w:hint="eastAsia" w:ascii="宋体" w:hAnsi="宋体"/>
                <w:color w:val="auto"/>
                <w:szCs w:val="21"/>
              </w:rPr>
              <w:t>符合第二章 “</w:t>
            </w:r>
            <w:r>
              <w:rPr>
                <w:rFonts w:ascii="宋体" w:hAnsi="宋体"/>
                <w:color w:val="auto"/>
                <w:szCs w:val="21"/>
              </w:rPr>
              <w:t>投标人</w:t>
            </w:r>
            <w:r>
              <w:rPr>
                <w:rFonts w:hint="eastAsia" w:ascii="宋体" w:hAnsi="宋体"/>
                <w:color w:val="auto"/>
                <w:szCs w:val="21"/>
              </w:rPr>
              <w:t>须知前附表”第1.4.1项规定</w:t>
            </w:r>
          </w:p>
        </w:tc>
      </w:tr>
      <w:tr w14:paraId="777C3A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49" w:type="dxa"/>
            <w:vMerge w:val="continue"/>
            <w:tcBorders>
              <w:right w:val="single" w:color="auto" w:sz="4" w:space="0"/>
            </w:tcBorders>
            <w:vAlign w:val="center"/>
          </w:tcPr>
          <w:p w14:paraId="4289E04D">
            <w:pPr>
              <w:adjustRightInd w:val="0"/>
              <w:spacing w:line="360" w:lineRule="auto"/>
              <w:jc w:val="center"/>
              <w:textAlignment w:val="baseline"/>
              <w:rPr>
                <w:rFonts w:ascii="宋体" w:hAnsi="宋体"/>
                <w:b/>
                <w:color w:val="auto"/>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1B6CCDA3">
            <w:pPr>
              <w:adjustRightInd w:val="0"/>
              <w:spacing w:line="360" w:lineRule="auto"/>
              <w:jc w:val="center"/>
              <w:textAlignment w:val="baseline"/>
              <w:rPr>
                <w:rFonts w:ascii="宋体" w:hAnsi="宋体"/>
                <w:color w:val="auto"/>
                <w:szCs w:val="21"/>
              </w:rPr>
            </w:pPr>
            <w:r>
              <w:rPr>
                <w:rFonts w:hint="eastAsia" w:ascii="宋体" w:hAnsi="宋体"/>
                <w:color w:val="auto"/>
                <w:szCs w:val="21"/>
              </w:rPr>
              <w:t>法律、行政法规规定的其他条件</w:t>
            </w:r>
          </w:p>
        </w:tc>
        <w:tc>
          <w:tcPr>
            <w:tcW w:w="4961" w:type="dxa"/>
            <w:tcBorders>
              <w:top w:val="single" w:color="auto" w:sz="4" w:space="0"/>
              <w:left w:val="single" w:color="auto" w:sz="4" w:space="0"/>
              <w:bottom w:val="single" w:color="auto" w:sz="4" w:space="0"/>
              <w:right w:val="single" w:color="auto" w:sz="4" w:space="0"/>
            </w:tcBorders>
            <w:vAlign w:val="center"/>
          </w:tcPr>
          <w:p w14:paraId="44090570">
            <w:pPr>
              <w:adjustRightInd w:val="0"/>
              <w:spacing w:line="360" w:lineRule="auto"/>
              <w:jc w:val="left"/>
              <w:textAlignment w:val="baseline"/>
              <w:rPr>
                <w:rFonts w:ascii="宋体" w:hAnsi="宋体"/>
                <w:color w:val="auto"/>
                <w:szCs w:val="21"/>
              </w:rPr>
            </w:pPr>
            <w:r>
              <w:rPr>
                <w:rFonts w:hint="eastAsia" w:ascii="宋体" w:hAnsi="宋体"/>
                <w:color w:val="auto"/>
                <w:szCs w:val="21"/>
              </w:rPr>
              <w:t>符合第二章 “</w:t>
            </w:r>
            <w:r>
              <w:rPr>
                <w:rFonts w:ascii="宋体" w:hAnsi="宋体"/>
                <w:color w:val="auto"/>
                <w:szCs w:val="21"/>
              </w:rPr>
              <w:t>投标人</w:t>
            </w:r>
            <w:r>
              <w:rPr>
                <w:rFonts w:hint="eastAsia" w:ascii="宋体" w:hAnsi="宋体"/>
                <w:color w:val="auto"/>
                <w:szCs w:val="21"/>
              </w:rPr>
              <w:t>须知前附表”第1.4.1项规定</w:t>
            </w:r>
          </w:p>
        </w:tc>
      </w:tr>
      <w:tr w14:paraId="14A81D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149" w:type="dxa"/>
            <w:vMerge w:val="continue"/>
            <w:tcBorders>
              <w:right w:val="single" w:color="auto" w:sz="4" w:space="0"/>
            </w:tcBorders>
            <w:vAlign w:val="center"/>
          </w:tcPr>
          <w:p w14:paraId="140D2DE6">
            <w:pPr>
              <w:adjustRightInd w:val="0"/>
              <w:spacing w:line="360" w:lineRule="auto"/>
              <w:jc w:val="center"/>
              <w:textAlignment w:val="baseline"/>
              <w:rPr>
                <w:rFonts w:ascii="宋体" w:hAnsi="宋体"/>
                <w:b/>
                <w:color w:val="auto"/>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4E295E0C">
            <w:pPr>
              <w:adjustRightInd w:val="0"/>
              <w:spacing w:line="360" w:lineRule="auto"/>
              <w:ind w:firstLine="210" w:firstLineChars="100"/>
              <w:jc w:val="center"/>
              <w:textAlignment w:val="baseline"/>
              <w:rPr>
                <w:rFonts w:ascii="宋体" w:hAnsi="宋体"/>
                <w:color w:val="auto"/>
                <w:kern w:val="10"/>
                <w:szCs w:val="21"/>
              </w:rPr>
            </w:pPr>
            <w:r>
              <w:rPr>
                <w:rFonts w:hint="eastAsia" w:ascii="宋体" w:hAnsi="宋体"/>
                <w:color w:val="auto"/>
                <w:szCs w:val="21"/>
              </w:rPr>
              <w:t>落实政府采购政策需满足的资格要求</w:t>
            </w:r>
          </w:p>
        </w:tc>
        <w:tc>
          <w:tcPr>
            <w:tcW w:w="4961" w:type="dxa"/>
            <w:tcBorders>
              <w:top w:val="single" w:color="auto" w:sz="4" w:space="0"/>
              <w:left w:val="single" w:color="auto" w:sz="4" w:space="0"/>
              <w:bottom w:val="single" w:color="auto" w:sz="4" w:space="0"/>
              <w:right w:val="single" w:color="auto" w:sz="4" w:space="0"/>
            </w:tcBorders>
            <w:vAlign w:val="center"/>
          </w:tcPr>
          <w:p w14:paraId="7F4AD874">
            <w:pPr>
              <w:adjustRightInd w:val="0"/>
              <w:spacing w:line="360" w:lineRule="auto"/>
              <w:textAlignment w:val="baseline"/>
              <w:rPr>
                <w:rFonts w:ascii="宋体" w:hAnsi="宋体"/>
                <w:color w:val="auto"/>
                <w:szCs w:val="21"/>
              </w:rPr>
            </w:pPr>
            <w:r>
              <w:rPr>
                <w:rFonts w:hint="eastAsia" w:ascii="宋体" w:hAnsi="宋体"/>
                <w:color w:val="auto"/>
              </w:rPr>
              <w:t>符合第二章 “投标人须知前附表”第1.4.1项规定</w:t>
            </w:r>
          </w:p>
        </w:tc>
      </w:tr>
      <w:tr w14:paraId="42524D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49" w:type="dxa"/>
            <w:vMerge w:val="continue"/>
            <w:tcBorders>
              <w:bottom w:val="single" w:color="auto" w:sz="4" w:space="0"/>
              <w:right w:val="single" w:color="auto" w:sz="4" w:space="0"/>
            </w:tcBorders>
            <w:vAlign w:val="center"/>
          </w:tcPr>
          <w:p w14:paraId="7FEB7750">
            <w:pPr>
              <w:adjustRightInd w:val="0"/>
              <w:spacing w:line="360" w:lineRule="auto"/>
              <w:jc w:val="center"/>
              <w:textAlignment w:val="baseline"/>
              <w:rPr>
                <w:rFonts w:ascii="宋体" w:hAnsi="宋体"/>
                <w:b/>
                <w:color w:val="auto"/>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5F2DC187">
            <w:pPr>
              <w:adjustRightInd w:val="0"/>
              <w:spacing w:line="360" w:lineRule="auto"/>
              <w:jc w:val="center"/>
              <w:textAlignment w:val="baseline"/>
              <w:rPr>
                <w:rFonts w:ascii="宋体" w:hAnsi="宋体"/>
                <w:color w:val="auto"/>
                <w:szCs w:val="21"/>
              </w:rPr>
            </w:pPr>
            <w:r>
              <w:rPr>
                <w:rFonts w:hint="eastAsia" w:ascii="宋体" w:hAnsi="宋体"/>
                <w:color w:val="auto"/>
                <w:szCs w:val="21"/>
              </w:rPr>
              <w:t>联合体</w:t>
            </w:r>
          </w:p>
        </w:tc>
        <w:tc>
          <w:tcPr>
            <w:tcW w:w="4961" w:type="dxa"/>
            <w:tcBorders>
              <w:top w:val="single" w:color="auto" w:sz="4" w:space="0"/>
              <w:left w:val="single" w:color="auto" w:sz="4" w:space="0"/>
              <w:bottom w:val="single" w:color="auto" w:sz="4" w:space="0"/>
              <w:right w:val="single" w:color="auto" w:sz="4" w:space="0"/>
            </w:tcBorders>
            <w:vAlign w:val="center"/>
          </w:tcPr>
          <w:p w14:paraId="6C1F8414">
            <w:pPr>
              <w:adjustRightInd w:val="0"/>
              <w:spacing w:line="360" w:lineRule="auto"/>
              <w:jc w:val="left"/>
              <w:textAlignment w:val="baseline"/>
              <w:rPr>
                <w:rFonts w:ascii="宋体" w:hAnsi="宋体"/>
                <w:color w:val="auto"/>
              </w:rPr>
            </w:pPr>
            <w:r>
              <w:rPr>
                <w:rFonts w:hint="eastAsia" w:ascii="宋体" w:hAnsi="宋体"/>
                <w:color w:val="auto"/>
              </w:rPr>
              <w:t>符合第二章 “投标人须知前附表”第1.4.2项规定。</w:t>
            </w:r>
          </w:p>
        </w:tc>
      </w:tr>
      <w:tr w14:paraId="3CB26A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49" w:type="dxa"/>
            <w:vMerge w:val="restart"/>
            <w:tcBorders>
              <w:top w:val="single" w:color="auto" w:sz="4" w:space="0"/>
              <w:right w:val="single" w:color="auto" w:sz="4" w:space="0"/>
            </w:tcBorders>
            <w:vAlign w:val="center"/>
          </w:tcPr>
          <w:p w14:paraId="2B7011BB">
            <w:pPr>
              <w:adjustRightInd w:val="0"/>
              <w:spacing w:line="360" w:lineRule="auto"/>
              <w:jc w:val="center"/>
              <w:textAlignment w:val="baseline"/>
              <w:rPr>
                <w:rFonts w:ascii="宋体" w:hAnsi="宋体"/>
                <w:color w:val="auto"/>
                <w:szCs w:val="21"/>
              </w:rPr>
            </w:pPr>
            <w:r>
              <w:rPr>
                <w:rFonts w:hint="eastAsia" w:ascii="宋体" w:hAnsi="宋体"/>
                <w:color w:val="auto"/>
                <w:szCs w:val="21"/>
              </w:rPr>
              <w:t>形式与响应性评审标准</w:t>
            </w:r>
          </w:p>
        </w:tc>
        <w:tc>
          <w:tcPr>
            <w:tcW w:w="2992" w:type="dxa"/>
            <w:tcBorders>
              <w:top w:val="single" w:color="auto" w:sz="4" w:space="0"/>
              <w:left w:val="single" w:color="auto" w:sz="4" w:space="0"/>
              <w:bottom w:val="single" w:color="auto" w:sz="4" w:space="0"/>
              <w:right w:val="single" w:color="auto" w:sz="4" w:space="0"/>
            </w:tcBorders>
            <w:vAlign w:val="center"/>
          </w:tcPr>
          <w:p w14:paraId="3FF86B28">
            <w:pPr>
              <w:adjustRightInd w:val="0"/>
              <w:spacing w:line="360" w:lineRule="auto"/>
              <w:jc w:val="center"/>
              <w:textAlignment w:val="baseline"/>
              <w:rPr>
                <w:rFonts w:ascii="宋体" w:hAnsi="宋体"/>
                <w:color w:val="auto"/>
                <w:szCs w:val="21"/>
              </w:rPr>
            </w:pPr>
            <w:r>
              <w:rPr>
                <w:rFonts w:ascii="宋体" w:hAnsi="宋体"/>
                <w:color w:val="auto"/>
                <w:szCs w:val="21"/>
              </w:rPr>
              <w:t>投标人名称</w:t>
            </w:r>
          </w:p>
        </w:tc>
        <w:tc>
          <w:tcPr>
            <w:tcW w:w="4961" w:type="dxa"/>
            <w:tcBorders>
              <w:top w:val="single" w:color="auto" w:sz="4" w:space="0"/>
              <w:left w:val="single" w:color="auto" w:sz="4" w:space="0"/>
              <w:bottom w:val="single" w:color="auto" w:sz="4" w:space="0"/>
              <w:right w:val="single" w:color="auto" w:sz="4" w:space="0"/>
            </w:tcBorders>
            <w:vAlign w:val="center"/>
          </w:tcPr>
          <w:p w14:paraId="4BFA3EE1">
            <w:pPr>
              <w:adjustRightInd w:val="0"/>
              <w:spacing w:line="360" w:lineRule="auto"/>
              <w:textAlignment w:val="baseline"/>
              <w:rPr>
                <w:rFonts w:ascii="宋体" w:hAnsi="宋体"/>
                <w:color w:val="auto"/>
                <w:szCs w:val="21"/>
              </w:rPr>
            </w:pPr>
            <w:r>
              <w:rPr>
                <w:rFonts w:ascii="宋体" w:hAnsi="宋体"/>
                <w:color w:val="auto"/>
                <w:szCs w:val="21"/>
              </w:rPr>
              <w:t>与</w:t>
            </w:r>
            <w:r>
              <w:rPr>
                <w:rFonts w:hint="eastAsia" w:ascii="宋体" w:hAnsi="宋体"/>
                <w:color w:val="auto"/>
                <w:szCs w:val="21"/>
              </w:rPr>
              <w:t>法人或者其他组织的营业执照等证明文件</w:t>
            </w:r>
            <w:r>
              <w:rPr>
                <w:rFonts w:ascii="宋体" w:hAnsi="宋体"/>
                <w:color w:val="auto"/>
                <w:szCs w:val="21"/>
              </w:rPr>
              <w:t>一致</w:t>
            </w:r>
            <w:r>
              <w:rPr>
                <w:rFonts w:hint="eastAsia" w:ascii="宋体" w:hAnsi="宋体"/>
                <w:color w:val="auto"/>
                <w:szCs w:val="21"/>
              </w:rPr>
              <w:t>，若为自然人的与自然人的身份证明一致</w:t>
            </w:r>
          </w:p>
        </w:tc>
      </w:tr>
      <w:tr w14:paraId="640A5C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49" w:type="dxa"/>
            <w:vMerge w:val="continue"/>
            <w:tcBorders>
              <w:right w:val="single" w:color="auto" w:sz="4" w:space="0"/>
            </w:tcBorders>
            <w:vAlign w:val="center"/>
          </w:tcPr>
          <w:p w14:paraId="5A57C2AA">
            <w:pPr>
              <w:adjustRightInd w:val="0"/>
              <w:spacing w:line="360" w:lineRule="auto"/>
              <w:jc w:val="center"/>
              <w:textAlignment w:val="baseline"/>
              <w:rPr>
                <w:rFonts w:ascii="宋体" w:hAnsi="宋体"/>
                <w:color w:val="auto"/>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1D9F3F08">
            <w:pPr>
              <w:adjustRightInd w:val="0"/>
              <w:spacing w:line="360" w:lineRule="auto"/>
              <w:jc w:val="center"/>
              <w:textAlignment w:val="baseline"/>
              <w:rPr>
                <w:rFonts w:ascii="宋体" w:hAnsi="宋体"/>
                <w:color w:val="auto"/>
                <w:szCs w:val="21"/>
              </w:rPr>
            </w:pPr>
            <w:r>
              <w:rPr>
                <w:rFonts w:hint="eastAsia" w:ascii="宋体" w:hAnsi="宋体"/>
                <w:color w:val="auto"/>
                <w:szCs w:val="21"/>
              </w:rPr>
              <w:t>投标文件的签署</w:t>
            </w:r>
          </w:p>
        </w:tc>
        <w:tc>
          <w:tcPr>
            <w:tcW w:w="4961" w:type="dxa"/>
            <w:tcBorders>
              <w:top w:val="single" w:color="auto" w:sz="4" w:space="0"/>
              <w:left w:val="single" w:color="auto" w:sz="4" w:space="0"/>
              <w:bottom w:val="single" w:color="auto" w:sz="4" w:space="0"/>
              <w:right w:val="single" w:color="auto" w:sz="4" w:space="0"/>
            </w:tcBorders>
            <w:vAlign w:val="center"/>
          </w:tcPr>
          <w:p w14:paraId="2761BF9F">
            <w:pPr>
              <w:adjustRightInd w:val="0"/>
              <w:spacing w:line="360" w:lineRule="auto"/>
              <w:textAlignment w:val="baseline"/>
              <w:rPr>
                <w:rFonts w:ascii="宋体" w:hAnsi="宋体"/>
                <w:color w:val="auto"/>
                <w:szCs w:val="21"/>
              </w:rPr>
            </w:pPr>
            <w:r>
              <w:rPr>
                <w:rFonts w:hint="eastAsia" w:ascii="宋体" w:hAnsi="宋体"/>
                <w:color w:val="auto"/>
                <w:szCs w:val="21"/>
              </w:rPr>
              <w:t>符合第二章“投标人须知前附表”第3.7.3项要求</w:t>
            </w:r>
          </w:p>
        </w:tc>
      </w:tr>
      <w:tr w14:paraId="7CBF08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49" w:type="dxa"/>
            <w:vMerge w:val="continue"/>
            <w:tcBorders>
              <w:right w:val="single" w:color="auto" w:sz="4" w:space="0"/>
            </w:tcBorders>
            <w:vAlign w:val="center"/>
          </w:tcPr>
          <w:p w14:paraId="1C2F1CB8">
            <w:pPr>
              <w:adjustRightInd w:val="0"/>
              <w:spacing w:line="360" w:lineRule="auto"/>
              <w:jc w:val="center"/>
              <w:textAlignment w:val="baseline"/>
              <w:rPr>
                <w:rFonts w:ascii="宋体" w:hAnsi="宋体"/>
                <w:color w:val="auto"/>
                <w:szCs w:val="21"/>
              </w:rPr>
            </w:pPr>
          </w:p>
        </w:tc>
        <w:tc>
          <w:tcPr>
            <w:tcW w:w="2992" w:type="dxa"/>
            <w:tcBorders>
              <w:top w:val="single" w:color="auto" w:sz="4" w:space="0"/>
              <w:left w:val="single" w:color="auto" w:sz="4" w:space="0"/>
              <w:right w:val="single" w:color="auto" w:sz="4" w:space="0"/>
            </w:tcBorders>
            <w:vAlign w:val="center"/>
          </w:tcPr>
          <w:p w14:paraId="48A285EA">
            <w:pPr>
              <w:adjustRightInd w:val="0"/>
              <w:spacing w:line="360" w:lineRule="auto"/>
              <w:jc w:val="center"/>
              <w:textAlignment w:val="baseline"/>
              <w:rPr>
                <w:rFonts w:ascii="宋体" w:hAnsi="宋体"/>
                <w:color w:val="auto"/>
                <w:szCs w:val="21"/>
              </w:rPr>
            </w:pPr>
            <w:r>
              <w:rPr>
                <w:rFonts w:ascii="宋体" w:hAnsi="宋体"/>
                <w:color w:val="auto"/>
                <w:szCs w:val="21"/>
              </w:rPr>
              <w:t>投标文件格式</w:t>
            </w:r>
          </w:p>
        </w:tc>
        <w:tc>
          <w:tcPr>
            <w:tcW w:w="4961" w:type="dxa"/>
            <w:tcBorders>
              <w:top w:val="single" w:color="auto" w:sz="4" w:space="0"/>
              <w:left w:val="single" w:color="auto" w:sz="4" w:space="0"/>
              <w:right w:val="single" w:color="auto" w:sz="4" w:space="0"/>
            </w:tcBorders>
            <w:vAlign w:val="center"/>
          </w:tcPr>
          <w:p w14:paraId="326F4824">
            <w:pPr>
              <w:adjustRightInd w:val="0"/>
              <w:spacing w:line="360" w:lineRule="auto"/>
              <w:textAlignment w:val="baseline"/>
              <w:rPr>
                <w:rFonts w:ascii="宋体" w:hAnsi="宋体"/>
                <w:color w:val="auto"/>
                <w:szCs w:val="21"/>
              </w:rPr>
            </w:pPr>
            <w:r>
              <w:rPr>
                <w:rFonts w:hint="eastAsia" w:ascii="宋体" w:hAnsi="宋体"/>
                <w:color w:val="auto"/>
                <w:szCs w:val="21"/>
              </w:rPr>
              <w:t>符合电子投标文件编制及报送要求和第二章“投标人须知前附表”第3.7.1项要求</w:t>
            </w:r>
          </w:p>
        </w:tc>
      </w:tr>
      <w:tr w14:paraId="1FEABB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49" w:type="dxa"/>
            <w:vMerge w:val="continue"/>
            <w:tcBorders>
              <w:right w:val="single" w:color="auto" w:sz="4" w:space="0"/>
            </w:tcBorders>
            <w:vAlign w:val="center"/>
          </w:tcPr>
          <w:p w14:paraId="1C9C84F4">
            <w:pPr>
              <w:adjustRightInd w:val="0"/>
              <w:spacing w:line="360" w:lineRule="auto"/>
              <w:jc w:val="center"/>
              <w:textAlignment w:val="baseline"/>
              <w:rPr>
                <w:rFonts w:ascii="宋体" w:hAnsi="宋体"/>
                <w:color w:val="auto"/>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17C9719D">
            <w:pPr>
              <w:adjustRightInd w:val="0"/>
              <w:spacing w:line="360" w:lineRule="auto"/>
              <w:jc w:val="center"/>
              <w:textAlignment w:val="baseline"/>
              <w:rPr>
                <w:rFonts w:ascii="宋体" w:hAnsi="宋体"/>
                <w:color w:val="auto"/>
                <w:szCs w:val="21"/>
              </w:rPr>
            </w:pPr>
            <w:r>
              <w:rPr>
                <w:rFonts w:hint="eastAsia" w:ascii="宋体" w:hAnsi="宋体"/>
                <w:color w:val="auto"/>
                <w:szCs w:val="21"/>
              </w:rPr>
              <w:t>投标唯一性</w:t>
            </w:r>
          </w:p>
        </w:tc>
        <w:tc>
          <w:tcPr>
            <w:tcW w:w="4961" w:type="dxa"/>
            <w:tcBorders>
              <w:top w:val="single" w:color="auto" w:sz="4" w:space="0"/>
              <w:left w:val="single" w:color="auto" w:sz="4" w:space="0"/>
              <w:bottom w:val="single" w:color="auto" w:sz="4" w:space="0"/>
              <w:right w:val="single" w:color="auto" w:sz="4" w:space="0"/>
            </w:tcBorders>
            <w:vAlign w:val="center"/>
          </w:tcPr>
          <w:p w14:paraId="54DE6590">
            <w:pPr>
              <w:adjustRightInd w:val="0"/>
              <w:spacing w:line="360" w:lineRule="auto"/>
              <w:textAlignment w:val="baseline"/>
              <w:rPr>
                <w:rFonts w:ascii="宋体" w:hAnsi="宋体"/>
                <w:color w:val="auto"/>
                <w:szCs w:val="21"/>
              </w:rPr>
            </w:pPr>
            <w:r>
              <w:rPr>
                <w:rFonts w:hint="eastAsia" w:ascii="宋体" w:hAnsi="宋体"/>
                <w:color w:val="auto"/>
                <w:szCs w:val="21"/>
              </w:rPr>
              <w:t>法定代表人为同一人的两个及两个以上法人，母公司、全资子公司及其控股公司，都不得同时投标</w:t>
            </w:r>
            <w:r>
              <w:rPr>
                <w:rFonts w:ascii="宋体" w:hAnsi="宋体"/>
                <w:color w:val="auto"/>
                <w:szCs w:val="21"/>
              </w:rPr>
              <w:t xml:space="preserve"> </w:t>
            </w:r>
          </w:p>
        </w:tc>
      </w:tr>
      <w:tr w14:paraId="14C17A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49" w:type="dxa"/>
            <w:vMerge w:val="continue"/>
            <w:tcBorders>
              <w:right w:val="single" w:color="auto" w:sz="4" w:space="0"/>
            </w:tcBorders>
            <w:vAlign w:val="center"/>
          </w:tcPr>
          <w:p w14:paraId="7327EA2C">
            <w:pPr>
              <w:adjustRightInd w:val="0"/>
              <w:spacing w:line="360" w:lineRule="auto"/>
              <w:jc w:val="center"/>
              <w:textAlignment w:val="baseline"/>
              <w:rPr>
                <w:rFonts w:ascii="宋体" w:hAnsi="宋体"/>
                <w:color w:val="auto"/>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19A0981E">
            <w:pPr>
              <w:adjustRightInd w:val="0"/>
              <w:spacing w:line="360" w:lineRule="auto"/>
              <w:jc w:val="center"/>
              <w:textAlignment w:val="baseline"/>
              <w:rPr>
                <w:rFonts w:ascii="宋体" w:hAnsi="宋体"/>
                <w:color w:val="auto"/>
                <w:szCs w:val="21"/>
              </w:rPr>
            </w:pPr>
            <w:r>
              <w:rPr>
                <w:rFonts w:ascii="宋体" w:hAnsi="宋体"/>
                <w:color w:val="auto"/>
                <w:szCs w:val="21"/>
              </w:rPr>
              <w:t>报价唯一</w:t>
            </w:r>
          </w:p>
        </w:tc>
        <w:tc>
          <w:tcPr>
            <w:tcW w:w="4961" w:type="dxa"/>
            <w:tcBorders>
              <w:top w:val="single" w:color="auto" w:sz="4" w:space="0"/>
              <w:left w:val="single" w:color="auto" w:sz="4" w:space="0"/>
              <w:bottom w:val="single" w:color="auto" w:sz="4" w:space="0"/>
              <w:right w:val="single" w:color="auto" w:sz="4" w:space="0"/>
            </w:tcBorders>
            <w:vAlign w:val="center"/>
          </w:tcPr>
          <w:p w14:paraId="7F09BF50">
            <w:pPr>
              <w:adjustRightInd w:val="0"/>
              <w:spacing w:line="360" w:lineRule="auto"/>
              <w:textAlignment w:val="baseline"/>
              <w:rPr>
                <w:rFonts w:ascii="宋体" w:hAnsi="宋体"/>
                <w:color w:val="auto"/>
                <w:szCs w:val="21"/>
              </w:rPr>
            </w:pPr>
            <w:r>
              <w:rPr>
                <w:rFonts w:ascii="宋体" w:hAnsi="宋体"/>
                <w:color w:val="auto"/>
                <w:szCs w:val="21"/>
              </w:rPr>
              <w:t>只能有一个有效报价</w:t>
            </w:r>
          </w:p>
        </w:tc>
      </w:tr>
      <w:tr w14:paraId="728CAC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49" w:type="dxa"/>
            <w:vMerge w:val="continue"/>
            <w:tcBorders>
              <w:right w:val="single" w:color="auto" w:sz="4" w:space="0"/>
            </w:tcBorders>
            <w:vAlign w:val="center"/>
          </w:tcPr>
          <w:p w14:paraId="379BF69B">
            <w:pPr>
              <w:adjustRightInd w:val="0"/>
              <w:spacing w:line="360" w:lineRule="auto"/>
              <w:jc w:val="center"/>
              <w:textAlignment w:val="baseline"/>
              <w:rPr>
                <w:rFonts w:ascii="宋体" w:hAnsi="宋体"/>
                <w:color w:val="auto"/>
                <w:szCs w:val="21"/>
              </w:rPr>
            </w:pPr>
          </w:p>
        </w:tc>
        <w:tc>
          <w:tcPr>
            <w:tcW w:w="2992" w:type="dxa"/>
            <w:tcBorders>
              <w:top w:val="single" w:color="auto" w:sz="4" w:space="0"/>
              <w:left w:val="single" w:color="auto" w:sz="4" w:space="0"/>
              <w:right w:val="single" w:color="auto" w:sz="4" w:space="0"/>
            </w:tcBorders>
            <w:vAlign w:val="center"/>
          </w:tcPr>
          <w:p w14:paraId="4E7F3BB7">
            <w:pPr>
              <w:adjustRightInd w:val="0"/>
              <w:spacing w:line="360" w:lineRule="auto"/>
              <w:jc w:val="center"/>
              <w:textAlignment w:val="baseline"/>
              <w:rPr>
                <w:rFonts w:ascii="宋体" w:hAnsi="宋体"/>
                <w:color w:val="auto"/>
                <w:szCs w:val="21"/>
              </w:rPr>
            </w:pPr>
            <w:r>
              <w:rPr>
                <w:rFonts w:ascii="宋体" w:hAnsi="宋体"/>
                <w:color w:val="auto"/>
                <w:szCs w:val="21"/>
              </w:rPr>
              <w:t>投标内容</w:t>
            </w:r>
          </w:p>
        </w:tc>
        <w:tc>
          <w:tcPr>
            <w:tcW w:w="4961" w:type="dxa"/>
            <w:tcBorders>
              <w:top w:val="single" w:color="auto" w:sz="4" w:space="0"/>
              <w:left w:val="single" w:color="auto" w:sz="4" w:space="0"/>
              <w:right w:val="single" w:color="auto" w:sz="4" w:space="0"/>
            </w:tcBorders>
            <w:vAlign w:val="center"/>
          </w:tcPr>
          <w:p w14:paraId="1A517C61">
            <w:pPr>
              <w:adjustRightInd w:val="0"/>
              <w:spacing w:line="360" w:lineRule="auto"/>
              <w:textAlignment w:val="baseline"/>
              <w:rPr>
                <w:rFonts w:ascii="宋体" w:hAnsi="宋体"/>
                <w:color w:val="auto"/>
                <w:szCs w:val="21"/>
              </w:rPr>
            </w:pPr>
            <w:r>
              <w:rPr>
                <w:rFonts w:ascii="宋体" w:hAnsi="宋体"/>
                <w:color w:val="auto"/>
                <w:szCs w:val="21"/>
              </w:rPr>
              <w:t>符合第二章“投标人须知前附表”第1.3.1项规定</w:t>
            </w:r>
          </w:p>
        </w:tc>
      </w:tr>
      <w:tr w14:paraId="35779E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49" w:type="dxa"/>
            <w:vMerge w:val="continue"/>
            <w:tcBorders>
              <w:right w:val="single" w:color="auto" w:sz="4" w:space="0"/>
            </w:tcBorders>
            <w:vAlign w:val="center"/>
          </w:tcPr>
          <w:p w14:paraId="2B3AAC25">
            <w:pPr>
              <w:adjustRightInd w:val="0"/>
              <w:spacing w:line="360" w:lineRule="auto"/>
              <w:jc w:val="center"/>
              <w:textAlignment w:val="baseline"/>
              <w:rPr>
                <w:rFonts w:ascii="宋体" w:hAnsi="宋体"/>
                <w:color w:val="auto"/>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6392834C">
            <w:pPr>
              <w:adjustRightInd w:val="0"/>
              <w:spacing w:line="360" w:lineRule="auto"/>
              <w:jc w:val="center"/>
              <w:textAlignment w:val="baseline"/>
              <w:rPr>
                <w:rFonts w:ascii="宋体" w:hAnsi="宋体"/>
                <w:color w:val="auto"/>
                <w:szCs w:val="21"/>
              </w:rPr>
            </w:pPr>
            <w:r>
              <w:rPr>
                <w:rFonts w:hint="eastAsia" w:ascii="宋体" w:hAnsi="宋体"/>
                <w:color w:val="auto"/>
                <w:szCs w:val="21"/>
              </w:rPr>
              <w:t>供货期</w:t>
            </w:r>
          </w:p>
        </w:tc>
        <w:tc>
          <w:tcPr>
            <w:tcW w:w="4961" w:type="dxa"/>
            <w:tcBorders>
              <w:top w:val="single" w:color="auto" w:sz="4" w:space="0"/>
              <w:left w:val="single" w:color="auto" w:sz="4" w:space="0"/>
              <w:bottom w:val="single" w:color="auto" w:sz="4" w:space="0"/>
              <w:right w:val="single" w:color="auto" w:sz="4" w:space="0"/>
            </w:tcBorders>
            <w:vAlign w:val="center"/>
          </w:tcPr>
          <w:p w14:paraId="168A6558">
            <w:pPr>
              <w:adjustRightInd w:val="0"/>
              <w:spacing w:line="360" w:lineRule="auto"/>
              <w:jc w:val="left"/>
              <w:textAlignment w:val="baseline"/>
              <w:rPr>
                <w:rFonts w:ascii="宋体" w:hAnsi="宋体"/>
                <w:color w:val="auto"/>
                <w:szCs w:val="21"/>
              </w:rPr>
            </w:pPr>
            <w:r>
              <w:rPr>
                <w:rFonts w:hint="eastAsia" w:ascii="宋体" w:hAnsi="宋体"/>
                <w:color w:val="auto"/>
                <w:szCs w:val="21"/>
              </w:rPr>
              <w:t>符合第二章“</w:t>
            </w:r>
            <w:r>
              <w:rPr>
                <w:rFonts w:ascii="宋体" w:hAnsi="宋体"/>
                <w:color w:val="auto"/>
                <w:szCs w:val="21"/>
              </w:rPr>
              <w:t>投标人</w:t>
            </w:r>
            <w:r>
              <w:rPr>
                <w:rFonts w:hint="eastAsia" w:ascii="宋体" w:hAnsi="宋体"/>
                <w:color w:val="auto"/>
                <w:szCs w:val="21"/>
              </w:rPr>
              <w:t>须知前附表”第1.3.2项规定</w:t>
            </w:r>
          </w:p>
        </w:tc>
      </w:tr>
      <w:tr w14:paraId="4ADD0A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49" w:type="dxa"/>
            <w:vMerge w:val="continue"/>
            <w:tcBorders>
              <w:right w:val="single" w:color="auto" w:sz="4" w:space="0"/>
            </w:tcBorders>
            <w:vAlign w:val="center"/>
          </w:tcPr>
          <w:p w14:paraId="75FC0CE8">
            <w:pPr>
              <w:adjustRightInd w:val="0"/>
              <w:spacing w:line="360" w:lineRule="auto"/>
              <w:jc w:val="center"/>
              <w:textAlignment w:val="baseline"/>
              <w:rPr>
                <w:rFonts w:ascii="宋体" w:hAnsi="宋体"/>
                <w:color w:val="auto"/>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5C9E7BA1">
            <w:pPr>
              <w:adjustRightInd w:val="0"/>
              <w:spacing w:line="360" w:lineRule="auto"/>
              <w:jc w:val="center"/>
              <w:textAlignment w:val="baseline"/>
              <w:rPr>
                <w:rFonts w:ascii="宋体" w:hAnsi="宋体"/>
                <w:color w:val="auto"/>
                <w:szCs w:val="21"/>
              </w:rPr>
            </w:pPr>
            <w:r>
              <w:rPr>
                <w:rFonts w:hint="eastAsia" w:ascii="宋体" w:hAnsi="宋体"/>
                <w:color w:val="auto"/>
                <w:szCs w:val="21"/>
              </w:rPr>
              <w:t>质量标准</w:t>
            </w:r>
          </w:p>
        </w:tc>
        <w:tc>
          <w:tcPr>
            <w:tcW w:w="4961" w:type="dxa"/>
            <w:tcBorders>
              <w:top w:val="single" w:color="auto" w:sz="4" w:space="0"/>
              <w:left w:val="single" w:color="auto" w:sz="4" w:space="0"/>
              <w:bottom w:val="single" w:color="auto" w:sz="4" w:space="0"/>
              <w:right w:val="single" w:color="auto" w:sz="4" w:space="0"/>
            </w:tcBorders>
            <w:vAlign w:val="center"/>
          </w:tcPr>
          <w:p w14:paraId="64DF0E1C">
            <w:pPr>
              <w:adjustRightInd w:val="0"/>
              <w:spacing w:line="360" w:lineRule="auto"/>
              <w:jc w:val="left"/>
              <w:textAlignment w:val="baseline"/>
              <w:rPr>
                <w:rFonts w:ascii="宋体" w:hAnsi="宋体"/>
                <w:color w:val="auto"/>
                <w:szCs w:val="21"/>
              </w:rPr>
            </w:pPr>
            <w:r>
              <w:rPr>
                <w:rFonts w:hint="eastAsia" w:ascii="宋体" w:hAnsi="宋体"/>
                <w:color w:val="auto"/>
                <w:szCs w:val="21"/>
              </w:rPr>
              <w:t>符合第二章“投标人须知前附表”第1.3.3项规定</w:t>
            </w:r>
          </w:p>
        </w:tc>
      </w:tr>
      <w:tr w14:paraId="5C6969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49" w:type="dxa"/>
            <w:vMerge w:val="continue"/>
            <w:tcBorders>
              <w:right w:val="single" w:color="auto" w:sz="4" w:space="0"/>
            </w:tcBorders>
            <w:vAlign w:val="center"/>
          </w:tcPr>
          <w:p w14:paraId="013D68D4">
            <w:pPr>
              <w:adjustRightInd w:val="0"/>
              <w:spacing w:line="360" w:lineRule="auto"/>
              <w:jc w:val="center"/>
              <w:textAlignment w:val="baseline"/>
              <w:rPr>
                <w:rFonts w:ascii="宋体" w:hAnsi="宋体"/>
                <w:color w:val="auto"/>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078FCA9D">
            <w:pPr>
              <w:adjustRightInd w:val="0"/>
              <w:spacing w:line="360" w:lineRule="auto"/>
              <w:jc w:val="center"/>
              <w:textAlignment w:val="baseline"/>
              <w:rPr>
                <w:rFonts w:ascii="宋体" w:hAnsi="宋体"/>
                <w:color w:val="auto"/>
                <w:szCs w:val="21"/>
              </w:rPr>
            </w:pPr>
            <w:r>
              <w:rPr>
                <w:rFonts w:ascii="宋体" w:hAnsi="宋体"/>
                <w:color w:val="auto"/>
                <w:szCs w:val="21"/>
              </w:rPr>
              <w:t>投标保证金</w:t>
            </w:r>
          </w:p>
        </w:tc>
        <w:tc>
          <w:tcPr>
            <w:tcW w:w="4961" w:type="dxa"/>
            <w:tcBorders>
              <w:top w:val="single" w:color="auto" w:sz="4" w:space="0"/>
              <w:left w:val="single" w:color="auto" w:sz="4" w:space="0"/>
              <w:bottom w:val="single" w:color="auto" w:sz="4" w:space="0"/>
              <w:right w:val="single" w:color="auto" w:sz="4" w:space="0"/>
            </w:tcBorders>
            <w:vAlign w:val="center"/>
          </w:tcPr>
          <w:p w14:paraId="30315620">
            <w:pPr>
              <w:adjustRightInd w:val="0"/>
              <w:spacing w:line="360" w:lineRule="auto"/>
              <w:jc w:val="left"/>
              <w:textAlignment w:val="baseline"/>
              <w:rPr>
                <w:rFonts w:ascii="宋体" w:hAnsi="宋体"/>
                <w:color w:val="auto"/>
                <w:szCs w:val="21"/>
              </w:rPr>
            </w:pPr>
            <w:r>
              <w:rPr>
                <w:rFonts w:hint="eastAsia" w:ascii="宋体" w:hAnsi="宋体"/>
                <w:color w:val="auto"/>
                <w:szCs w:val="21"/>
              </w:rPr>
              <w:t>符合第二章“</w:t>
            </w:r>
            <w:r>
              <w:rPr>
                <w:rFonts w:ascii="宋体" w:hAnsi="宋体"/>
                <w:color w:val="auto"/>
                <w:szCs w:val="21"/>
              </w:rPr>
              <w:t>投标人</w:t>
            </w:r>
            <w:r>
              <w:rPr>
                <w:rFonts w:hint="eastAsia" w:ascii="宋体" w:hAnsi="宋体"/>
                <w:color w:val="auto"/>
                <w:szCs w:val="21"/>
              </w:rPr>
              <w:t>须知前附表”第3.4.1项规定</w:t>
            </w:r>
          </w:p>
        </w:tc>
      </w:tr>
      <w:tr w14:paraId="748028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49" w:type="dxa"/>
            <w:vMerge w:val="continue"/>
            <w:tcBorders>
              <w:right w:val="single" w:color="auto" w:sz="4" w:space="0"/>
            </w:tcBorders>
            <w:vAlign w:val="center"/>
          </w:tcPr>
          <w:p w14:paraId="523EE1DD">
            <w:pPr>
              <w:adjustRightInd w:val="0"/>
              <w:spacing w:line="360" w:lineRule="auto"/>
              <w:jc w:val="center"/>
              <w:textAlignment w:val="baseline"/>
              <w:rPr>
                <w:rFonts w:ascii="宋体" w:hAnsi="宋体"/>
                <w:color w:val="auto"/>
                <w:szCs w:val="21"/>
              </w:rPr>
            </w:pPr>
          </w:p>
        </w:tc>
        <w:tc>
          <w:tcPr>
            <w:tcW w:w="2992" w:type="dxa"/>
            <w:tcBorders>
              <w:top w:val="single" w:color="auto" w:sz="4" w:space="0"/>
              <w:left w:val="single" w:color="auto" w:sz="4" w:space="0"/>
              <w:right w:val="single" w:color="auto" w:sz="4" w:space="0"/>
            </w:tcBorders>
            <w:vAlign w:val="center"/>
          </w:tcPr>
          <w:p w14:paraId="78096B89">
            <w:pPr>
              <w:adjustRightInd w:val="0"/>
              <w:spacing w:line="360" w:lineRule="auto"/>
              <w:jc w:val="center"/>
              <w:textAlignment w:val="baseline"/>
              <w:rPr>
                <w:rFonts w:ascii="宋体" w:hAnsi="宋体"/>
                <w:color w:val="auto"/>
                <w:szCs w:val="21"/>
              </w:rPr>
            </w:pPr>
            <w:r>
              <w:rPr>
                <w:rFonts w:ascii="宋体" w:hAnsi="宋体"/>
                <w:color w:val="auto"/>
                <w:szCs w:val="21"/>
              </w:rPr>
              <w:t>权利义务</w:t>
            </w:r>
          </w:p>
        </w:tc>
        <w:tc>
          <w:tcPr>
            <w:tcW w:w="4961" w:type="dxa"/>
            <w:tcBorders>
              <w:top w:val="single" w:color="auto" w:sz="4" w:space="0"/>
              <w:left w:val="single" w:color="auto" w:sz="4" w:space="0"/>
              <w:right w:val="single" w:color="auto" w:sz="4" w:space="0"/>
            </w:tcBorders>
            <w:vAlign w:val="center"/>
          </w:tcPr>
          <w:p w14:paraId="5B04DACE">
            <w:pPr>
              <w:adjustRightInd w:val="0"/>
              <w:spacing w:line="360" w:lineRule="auto"/>
              <w:textAlignment w:val="baseline"/>
              <w:rPr>
                <w:rFonts w:ascii="宋体" w:hAnsi="宋体"/>
                <w:color w:val="auto"/>
                <w:szCs w:val="21"/>
              </w:rPr>
            </w:pPr>
            <w:r>
              <w:rPr>
                <w:rFonts w:ascii="宋体" w:hAnsi="宋体"/>
                <w:color w:val="auto"/>
                <w:szCs w:val="21"/>
              </w:rPr>
              <w:t>符合第四章“合同条款及格式”规定</w:t>
            </w:r>
          </w:p>
        </w:tc>
      </w:tr>
    </w:tbl>
    <w:p w14:paraId="3C350D5A">
      <w:pPr>
        <w:tabs>
          <w:tab w:val="left" w:pos="1080"/>
        </w:tabs>
        <w:spacing w:line="360" w:lineRule="auto"/>
        <w:outlineLvl w:val="1"/>
        <w:rPr>
          <w:rFonts w:ascii="宋体" w:hAnsi="宋体"/>
          <w:color w:val="auto"/>
          <w:sz w:val="24"/>
        </w:rPr>
      </w:pPr>
      <w:bookmarkStart w:id="517" w:name="_Toc21872"/>
      <w:bookmarkStart w:id="518" w:name="_Toc3179"/>
      <w:bookmarkStart w:id="519" w:name="_Toc26399"/>
      <w:r>
        <w:rPr>
          <w:rFonts w:hint="eastAsia" w:ascii="宋体" w:hAnsi="宋体"/>
          <w:color w:val="auto"/>
          <w:sz w:val="24"/>
        </w:rPr>
        <w:t>1. 评标办法</w:t>
      </w:r>
      <w:bookmarkEnd w:id="517"/>
      <w:bookmarkEnd w:id="518"/>
      <w:bookmarkEnd w:id="519"/>
    </w:p>
    <w:p w14:paraId="03D73C91">
      <w:pPr>
        <w:tabs>
          <w:tab w:val="left" w:pos="1080"/>
        </w:tabs>
        <w:spacing w:line="360" w:lineRule="auto"/>
        <w:ind w:firstLine="514" w:firstLineChars="245"/>
        <w:rPr>
          <w:rFonts w:ascii="宋体" w:hAnsi="宋体"/>
          <w:color w:val="auto"/>
          <w:szCs w:val="21"/>
        </w:rPr>
      </w:pPr>
      <w:r>
        <w:rPr>
          <w:rFonts w:hint="eastAsia" w:ascii="宋体" w:hAnsi="宋体"/>
          <w:color w:val="auto"/>
          <w:szCs w:val="21"/>
        </w:rPr>
        <w:t>1.1综合评分法，是指投标文件满足采购文件全部实质性要求，且按照评审因素的量化指标评审得分最高的投标人为中标候选人的评标方法。</w:t>
      </w:r>
    </w:p>
    <w:p w14:paraId="00D33E4D">
      <w:pPr>
        <w:tabs>
          <w:tab w:val="left" w:pos="1080"/>
        </w:tabs>
        <w:spacing w:line="360" w:lineRule="auto"/>
        <w:ind w:firstLine="514" w:firstLineChars="245"/>
        <w:rPr>
          <w:rFonts w:ascii="宋体" w:hAnsi="宋体"/>
          <w:color w:val="auto"/>
          <w:szCs w:val="21"/>
        </w:rPr>
      </w:pPr>
      <w:r>
        <w:rPr>
          <w:rFonts w:hint="eastAsia" w:ascii="宋体" w:hAnsi="宋体"/>
          <w:color w:val="auto"/>
          <w:szCs w:val="21"/>
        </w:rPr>
        <w:t>评标结果按评审后得分由高到低顺序排列。得分相同的，按投标报价由低到高顺序排列。得分且投标报价相同的并列。投标文件满足采购文件全部实质性要求，且按照评审因素的量化指标评审得分最高的投标人为排名第一的中标候选人。</w:t>
      </w:r>
    </w:p>
    <w:p w14:paraId="3DE97162">
      <w:pPr>
        <w:tabs>
          <w:tab w:val="left" w:pos="1080"/>
        </w:tabs>
        <w:spacing w:line="360" w:lineRule="auto"/>
        <w:ind w:firstLine="514" w:firstLineChars="245"/>
        <w:rPr>
          <w:rFonts w:ascii="宋体" w:hAnsi="宋体"/>
          <w:color w:val="auto"/>
          <w:szCs w:val="21"/>
        </w:rPr>
      </w:pPr>
      <w:r>
        <w:rPr>
          <w:rFonts w:hint="eastAsia" w:ascii="宋体" w:hAnsi="宋体"/>
          <w:color w:val="auto"/>
          <w:szCs w:val="21"/>
        </w:rPr>
        <w:t>1.2本办法是评标委员会确定中标候选人的依据，在评标过程中应充分体现公平、公正、科学、择优的原则。</w:t>
      </w:r>
    </w:p>
    <w:p w14:paraId="4B0A1B6D">
      <w:pPr>
        <w:tabs>
          <w:tab w:val="left" w:pos="1080"/>
        </w:tabs>
        <w:spacing w:line="360" w:lineRule="auto"/>
        <w:ind w:firstLine="514" w:firstLineChars="245"/>
        <w:outlineLvl w:val="2"/>
        <w:rPr>
          <w:rFonts w:ascii="宋体" w:hAnsi="宋体"/>
          <w:color w:val="auto"/>
          <w:szCs w:val="21"/>
        </w:rPr>
      </w:pPr>
      <w:bookmarkStart w:id="520" w:name="_Toc28783"/>
      <w:bookmarkStart w:id="521" w:name="_Toc24316"/>
      <w:bookmarkStart w:id="522" w:name="_Toc18948"/>
      <w:r>
        <w:rPr>
          <w:rFonts w:hint="eastAsia" w:ascii="宋体" w:hAnsi="宋体"/>
          <w:color w:val="auto"/>
          <w:szCs w:val="21"/>
        </w:rPr>
        <w:t>1.3本评标办法，满分为100分，分值保留小数点后两位。</w:t>
      </w:r>
      <w:bookmarkEnd w:id="520"/>
      <w:bookmarkEnd w:id="521"/>
      <w:bookmarkEnd w:id="522"/>
    </w:p>
    <w:p w14:paraId="6145F586">
      <w:pPr>
        <w:tabs>
          <w:tab w:val="left" w:pos="1080"/>
        </w:tabs>
        <w:spacing w:line="360" w:lineRule="auto"/>
        <w:ind w:firstLine="517" w:firstLineChars="245"/>
        <w:rPr>
          <w:rFonts w:ascii="宋体" w:hAnsi="宋体"/>
          <w:b/>
          <w:color w:val="auto"/>
          <w:szCs w:val="21"/>
        </w:rPr>
      </w:pPr>
      <w:r>
        <w:rPr>
          <w:rFonts w:hint="eastAsia" w:ascii="宋体" w:hAnsi="宋体"/>
          <w:b/>
          <w:color w:val="auto"/>
          <w:szCs w:val="21"/>
        </w:rPr>
        <w:t>投标人的最终得分＝商务部分评审得分+技术部分评审得分</w:t>
      </w:r>
    </w:p>
    <w:p w14:paraId="60C7F8D7">
      <w:pPr>
        <w:tabs>
          <w:tab w:val="left" w:pos="1080"/>
        </w:tabs>
        <w:spacing w:line="360" w:lineRule="auto"/>
        <w:ind w:firstLine="514" w:firstLineChars="245"/>
        <w:rPr>
          <w:rFonts w:ascii="宋体" w:hAnsi="宋体"/>
          <w:color w:val="auto"/>
          <w:szCs w:val="21"/>
        </w:rPr>
      </w:pPr>
      <w:r>
        <w:rPr>
          <w:rFonts w:hint="eastAsia" w:ascii="宋体" w:hAnsi="宋体"/>
          <w:color w:val="auto"/>
          <w:szCs w:val="21"/>
        </w:rPr>
        <w:t>1.4 评标过程中如遇特殊问题，由评标委员会根据有关法律、法规研究决定。</w:t>
      </w:r>
    </w:p>
    <w:p w14:paraId="1A5F990B">
      <w:pPr>
        <w:tabs>
          <w:tab w:val="left" w:pos="1080"/>
        </w:tabs>
        <w:spacing w:line="360" w:lineRule="auto"/>
        <w:outlineLvl w:val="1"/>
        <w:rPr>
          <w:rFonts w:ascii="宋体" w:hAnsi="宋体"/>
          <w:color w:val="auto"/>
          <w:sz w:val="24"/>
        </w:rPr>
      </w:pPr>
      <w:bookmarkStart w:id="523" w:name="_Toc8332"/>
      <w:bookmarkStart w:id="524" w:name="_Toc7161"/>
      <w:bookmarkStart w:id="525" w:name="_Toc17455"/>
      <w:r>
        <w:rPr>
          <w:rFonts w:hint="eastAsia" w:ascii="宋体" w:hAnsi="宋体"/>
          <w:color w:val="auto"/>
          <w:sz w:val="24"/>
        </w:rPr>
        <w:t>2. 评审标准</w:t>
      </w:r>
      <w:bookmarkEnd w:id="523"/>
      <w:bookmarkEnd w:id="524"/>
      <w:bookmarkEnd w:id="525"/>
    </w:p>
    <w:p w14:paraId="6914F59A">
      <w:pPr>
        <w:tabs>
          <w:tab w:val="left" w:pos="1080"/>
        </w:tabs>
        <w:spacing w:line="360" w:lineRule="auto"/>
        <w:ind w:firstLine="517" w:firstLineChars="245"/>
        <w:outlineLvl w:val="2"/>
        <w:rPr>
          <w:rFonts w:ascii="宋体" w:hAnsi="宋体"/>
          <w:b/>
          <w:color w:val="auto"/>
          <w:szCs w:val="21"/>
        </w:rPr>
      </w:pPr>
      <w:bookmarkStart w:id="526" w:name="_Toc21186"/>
      <w:bookmarkStart w:id="527" w:name="_Toc5795"/>
      <w:bookmarkStart w:id="528" w:name="_Toc25133"/>
      <w:r>
        <w:rPr>
          <w:rFonts w:hint="eastAsia" w:ascii="宋体" w:hAnsi="宋体"/>
          <w:b/>
          <w:color w:val="auto"/>
          <w:szCs w:val="21"/>
        </w:rPr>
        <w:t>2.1评审标准</w:t>
      </w:r>
      <w:bookmarkEnd w:id="526"/>
      <w:bookmarkEnd w:id="527"/>
      <w:bookmarkEnd w:id="528"/>
    </w:p>
    <w:p w14:paraId="548118E8">
      <w:pPr>
        <w:tabs>
          <w:tab w:val="left" w:pos="1080"/>
        </w:tabs>
        <w:spacing w:line="360" w:lineRule="auto"/>
        <w:ind w:firstLine="514" w:firstLineChars="245"/>
        <w:outlineLvl w:val="3"/>
        <w:rPr>
          <w:rFonts w:ascii="宋体" w:hAnsi="宋体"/>
          <w:color w:val="auto"/>
          <w:szCs w:val="21"/>
        </w:rPr>
      </w:pPr>
      <w:bookmarkStart w:id="529" w:name="_Toc272409736"/>
      <w:bookmarkStart w:id="530" w:name="_Toc364411744"/>
      <w:bookmarkStart w:id="531" w:name="_Toc328383214"/>
      <w:bookmarkStart w:id="532" w:name="_Toc272420726"/>
      <w:bookmarkStart w:id="533" w:name="_Toc261957638"/>
      <w:r>
        <w:rPr>
          <w:rFonts w:hint="eastAsia" w:ascii="宋体" w:hAnsi="宋体"/>
          <w:color w:val="auto"/>
          <w:szCs w:val="21"/>
        </w:rPr>
        <w:t>2.1.1资格审查评审标准：见评标办法前附表。</w:t>
      </w:r>
      <w:bookmarkEnd w:id="529"/>
      <w:bookmarkEnd w:id="530"/>
      <w:bookmarkEnd w:id="531"/>
      <w:bookmarkEnd w:id="532"/>
      <w:bookmarkEnd w:id="533"/>
    </w:p>
    <w:p w14:paraId="7DA5DF97">
      <w:pPr>
        <w:tabs>
          <w:tab w:val="left" w:pos="1080"/>
        </w:tabs>
        <w:spacing w:line="360" w:lineRule="auto"/>
        <w:ind w:firstLine="514" w:firstLineChars="245"/>
        <w:rPr>
          <w:rFonts w:ascii="宋体" w:hAnsi="宋体"/>
          <w:color w:val="auto"/>
          <w:szCs w:val="21"/>
        </w:rPr>
      </w:pPr>
      <w:r>
        <w:rPr>
          <w:rFonts w:hint="eastAsia" w:ascii="宋体" w:hAnsi="宋体"/>
          <w:color w:val="auto"/>
          <w:szCs w:val="21"/>
        </w:rPr>
        <w:t>根据</w:t>
      </w:r>
      <w:r>
        <w:rPr>
          <w:rFonts w:ascii="宋体" w:hAnsi="宋体"/>
          <w:bCs/>
          <w:color w:val="auto"/>
          <w:szCs w:val="21"/>
        </w:rPr>
        <w:t>中华人民共和国财政部令第87号</w:t>
      </w:r>
      <w:r>
        <w:rPr>
          <w:rFonts w:hint="eastAsia" w:ascii="宋体" w:hAnsi="宋体"/>
          <w:bCs/>
          <w:color w:val="auto"/>
          <w:szCs w:val="21"/>
        </w:rPr>
        <w:t>《</w:t>
      </w:r>
      <w:r>
        <w:rPr>
          <w:rFonts w:ascii="宋体" w:hAnsi="宋体"/>
          <w:bCs/>
          <w:color w:val="auto"/>
          <w:szCs w:val="21"/>
        </w:rPr>
        <w:t>政府采购货物和服务招标投标管理办法</w:t>
      </w:r>
      <w:r>
        <w:rPr>
          <w:rFonts w:hint="eastAsia" w:ascii="宋体" w:hAnsi="宋体"/>
          <w:bCs/>
          <w:color w:val="auto"/>
          <w:szCs w:val="21"/>
        </w:rPr>
        <w:t>》第四十四条“公开招标采购项目开标结束后，采购人或者采购代理机构应当依法对投标人的资格进行审查。合格投标人不足3家的，不得评标”</w:t>
      </w:r>
      <w:r>
        <w:rPr>
          <w:rFonts w:hint="eastAsia" w:ascii="宋体" w:hAnsi="宋体"/>
          <w:color w:val="auto"/>
          <w:szCs w:val="21"/>
        </w:rPr>
        <w:t>。</w:t>
      </w:r>
    </w:p>
    <w:p w14:paraId="4B73EE17">
      <w:pPr>
        <w:tabs>
          <w:tab w:val="left" w:pos="1080"/>
        </w:tabs>
        <w:spacing w:line="360" w:lineRule="auto"/>
        <w:ind w:firstLine="514" w:firstLineChars="245"/>
        <w:outlineLvl w:val="3"/>
        <w:rPr>
          <w:rFonts w:ascii="宋体" w:hAnsi="宋体"/>
          <w:color w:val="auto"/>
          <w:szCs w:val="21"/>
        </w:rPr>
      </w:pPr>
      <w:bookmarkStart w:id="534" w:name="_Toc364411745"/>
      <w:r>
        <w:rPr>
          <w:rFonts w:hint="eastAsia" w:ascii="宋体" w:hAnsi="宋体"/>
          <w:color w:val="auto"/>
          <w:szCs w:val="21"/>
        </w:rPr>
        <w:t>2.1.2形式与响应性评审标准：见评标办法前附表。</w:t>
      </w:r>
      <w:bookmarkEnd w:id="534"/>
    </w:p>
    <w:p w14:paraId="2972661F">
      <w:pPr>
        <w:tabs>
          <w:tab w:val="left" w:pos="1080"/>
        </w:tabs>
        <w:spacing w:line="360" w:lineRule="auto"/>
        <w:ind w:firstLine="514" w:firstLineChars="245"/>
        <w:rPr>
          <w:rFonts w:ascii="宋体" w:hAnsi="宋体"/>
          <w:color w:val="auto"/>
          <w:szCs w:val="21"/>
        </w:rPr>
      </w:pPr>
      <w:bookmarkStart w:id="535" w:name="_Toc364411746"/>
      <w:r>
        <w:rPr>
          <w:rFonts w:hint="eastAsia" w:ascii="宋体" w:hAnsi="宋体"/>
          <w:color w:val="auto"/>
          <w:szCs w:val="21"/>
        </w:rPr>
        <w:t>形式与响应性评审不能满足评审标准的投标人，不得通过形式与响应性评审，不得进入初步评审。</w:t>
      </w:r>
      <w:bookmarkEnd w:id="535"/>
    </w:p>
    <w:p w14:paraId="2C170462">
      <w:pPr>
        <w:tabs>
          <w:tab w:val="left" w:pos="1080"/>
        </w:tabs>
        <w:spacing w:line="360" w:lineRule="auto"/>
        <w:ind w:firstLine="517" w:firstLineChars="245"/>
        <w:outlineLvl w:val="3"/>
        <w:rPr>
          <w:rFonts w:ascii="宋体" w:hAnsi="宋体"/>
          <w:b/>
          <w:color w:val="auto"/>
          <w:szCs w:val="21"/>
        </w:rPr>
      </w:pPr>
      <w:r>
        <w:rPr>
          <w:rFonts w:hint="eastAsia" w:ascii="宋体" w:hAnsi="宋体"/>
          <w:b/>
          <w:color w:val="auto"/>
          <w:szCs w:val="21"/>
        </w:rPr>
        <w:t>2.1.3 初步评审</w:t>
      </w:r>
    </w:p>
    <w:p w14:paraId="78B6C260">
      <w:pPr>
        <w:tabs>
          <w:tab w:val="left" w:pos="1080"/>
        </w:tabs>
        <w:spacing w:line="360" w:lineRule="auto"/>
        <w:ind w:firstLine="517" w:firstLineChars="245"/>
        <w:rPr>
          <w:rFonts w:ascii="宋体" w:hAnsi="宋体"/>
          <w:b/>
          <w:color w:val="auto"/>
          <w:szCs w:val="21"/>
        </w:rPr>
      </w:pPr>
      <w:r>
        <w:rPr>
          <w:rFonts w:hint="eastAsia" w:ascii="宋体" w:hAnsi="宋体"/>
          <w:b/>
          <w:color w:val="auto"/>
          <w:szCs w:val="21"/>
        </w:rPr>
        <w:t>通过资格审查评审标准及形式与响应性评审标准的投标人，评标委员会将对各投标文件进行初步评审。应符合下列情形，否则投标文件按无效标处理：</w:t>
      </w:r>
    </w:p>
    <w:p w14:paraId="7758BE23">
      <w:pPr>
        <w:spacing w:line="360" w:lineRule="auto"/>
        <w:ind w:firstLine="424" w:firstLineChars="201"/>
        <w:rPr>
          <w:rFonts w:ascii="宋体" w:hAnsi="宋体"/>
          <w:b/>
          <w:color w:val="auto"/>
        </w:rPr>
      </w:pPr>
      <w:r>
        <w:rPr>
          <w:rFonts w:hint="eastAsia" w:ascii="宋体" w:hAnsi="宋体"/>
          <w:b/>
          <w:color w:val="auto"/>
        </w:rPr>
        <w:t>（1）投标函满足第六章“投标函”要求的；</w:t>
      </w:r>
    </w:p>
    <w:p w14:paraId="74169B5D">
      <w:pPr>
        <w:spacing w:line="360" w:lineRule="auto"/>
        <w:ind w:firstLine="424" w:firstLineChars="201"/>
        <w:rPr>
          <w:rFonts w:ascii="宋体" w:hAnsi="宋体"/>
          <w:b/>
          <w:color w:val="auto"/>
        </w:rPr>
      </w:pPr>
      <w:r>
        <w:rPr>
          <w:rFonts w:hint="eastAsia" w:ascii="宋体" w:hAnsi="宋体"/>
          <w:b/>
          <w:color w:val="auto"/>
        </w:rPr>
        <w:t>（2）供货期满足投标人须知1.3.2条的；</w:t>
      </w:r>
    </w:p>
    <w:p w14:paraId="5BD98C0B">
      <w:pPr>
        <w:spacing w:line="360" w:lineRule="auto"/>
        <w:ind w:firstLine="424" w:firstLineChars="201"/>
        <w:rPr>
          <w:rFonts w:ascii="宋体" w:hAnsi="宋体"/>
          <w:b/>
          <w:color w:val="auto"/>
        </w:rPr>
      </w:pPr>
      <w:r>
        <w:rPr>
          <w:rFonts w:hint="eastAsia" w:ascii="宋体" w:hAnsi="宋体"/>
          <w:b/>
          <w:color w:val="auto"/>
        </w:rPr>
        <w:t>（3）质量标准满足投标人须知1.3.3条的；</w:t>
      </w:r>
    </w:p>
    <w:p w14:paraId="75A7D775">
      <w:pPr>
        <w:spacing w:line="360" w:lineRule="auto"/>
        <w:ind w:firstLine="424" w:firstLineChars="201"/>
        <w:rPr>
          <w:rFonts w:ascii="宋体" w:hAnsi="宋体"/>
          <w:b/>
          <w:color w:val="auto"/>
        </w:rPr>
      </w:pPr>
      <w:r>
        <w:rPr>
          <w:rFonts w:hint="eastAsia" w:ascii="宋体" w:hAnsi="宋体"/>
          <w:b/>
          <w:color w:val="auto"/>
        </w:rPr>
        <w:t>（4）资质条件、能力和信誉满足投标人须知1.4.1条的；</w:t>
      </w:r>
    </w:p>
    <w:p w14:paraId="5476EFA6">
      <w:pPr>
        <w:spacing w:line="360" w:lineRule="auto"/>
        <w:ind w:firstLine="424" w:firstLineChars="201"/>
        <w:rPr>
          <w:rFonts w:ascii="宋体" w:hAnsi="宋体"/>
          <w:b/>
          <w:color w:val="auto"/>
        </w:rPr>
      </w:pPr>
      <w:r>
        <w:rPr>
          <w:rFonts w:hint="eastAsia" w:ascii="宋体" w:hAnsi="宋体"/>
          <w:b/>
          <w:color w:val="auto"/>
        </w:rPr>
        <w:t>（5）联合体投标满足投标人须知1.4.2条的；</w:t>
      </w:r>
    </w:p>
    <w:p w14:paraId="01DAAF7B">
      <w:pPr>
        <w:spacing w:line="360" w:lineRule="auto"/>
        <w:ind w:firstLine="424" w:firstLineChars="201"/>
        <w:rPr>
          <w:rFonts w:ascii="宋体" w:hAnsi="宋体"/>
          <w:b/>
          <w:color w:val="auto"/>
        </w:rPr>
      </w:pPr>
      <w:r>
        <w:rPr>
          <w:rFonts w:hint="eastAsia" w:ascii="宋体" w:hAnsi="宋体"/>
          <w:b/>
          <w:color w:val="auto"/>
        </w:rPr>
        <w:t>（6）分包满足投标人须知1.11条的；</w:t>
      </w:r>
    </w:p>
    <w:p w14:paraId="6CB0D445">
      <w:pPr>
        <w:spacing w:line="360" w:lineRule="auto"/>
        <w:ind w:firstLine="424" w:firstLineChars="201"/>
        <w:rPr>
          <w:rFonts w:ascii="宋体" w:hAnsi="宋体"/>
          <w:b/>
          <w:color w:val="auto"/>
        </w:rPr>
      </w:pPr>
      <w:r>
        <w:rPr>
          <w:rFonts w:hint="eastAsia" w:ascii="宋体" w:hAnsi="宋体"/>
          <w:b/>
          <w:color w:val="auto"/>
        </w:rPr>
        <w:t>（7）偏离满足投标人须知1.12条的；</w:t>
      </w:r>
    </w:p>
    <w:p w14:paraId="738A7E9E">
      <w:pPr>
        <w:spacing w:line="360" w:lineRule="auto"/>
        <w:ind w:firstLine="424" w:firstLineChars="201"/>
        <w:rPr>
          <w:rFonts w:ascii="宋体" w:hAnsi="宋体"/>
          <w:b/>
          <w:color w:val="auto"/>
        </w:rPr>
      </w:pPr>
      <w:r>
        <w:rPr>
          <w:rFonts w:hint="eastAsia" w:ascii="宋体" w:hAnsi="宋体"/>
          <w:b/>
          <w:color w:val="auto"/>
        </w:rPr>
        <w:t>（8）投标报价符合采购文件要求，且未超过采购人最高限价，未低于成本报价的；</w:t>
      </w:r>
    </w:p>
    <w:p w14:paraId="7229B994">
      <w:pPr>
        <w:spacing w:line="360" w:lineRule="auto"/>
        <w:ind w:firstLine="424" w:firstLineChars="201"/>
        <w:rPr>
          <w:rFonts w:ascii="宋体" w:hAnsi="宋体"/>
          <w:b/>
          <w:color w:val="auto"/>
        </w:rPr>
      </w:pPr>
      <w:r>
        <w:rPr>
          <w:rFonts w:hint="eastAsia" w:ascii="宋体" w:hAnsi="宋体"/>
          <w:b/>
          <w:color w:val="auto"/>
        </w:rPr>
        <w:t>（9）投标有效期满足投标人须知3.3.1条的；</w:t>
      </w:r>
    </w:p>
    <w:p w14:paraId="3EC761B2">
      <w:pPr>
        <w:spacing w:line="360" w:lineRule="auto"/>
        <w:ind w:firstLine="424" w:firstLineChars="201"/>
        <w:rPr>
          <w:rFonts w:ascii="宋体" w:hAnsi="宋体"/>
          <w:b/>
          <w:color w:val="auto"/>
        </w:rPr>
      </w:pPr>
      <w:r>
        <w:rPr>
          <w:rFonts w:hint="eastAsia" w:ascii="宋体" w:hAnsi="宋体"/>
          <w:b/>
          <w:color w:val="auto"/>
        </w:rPr>
        <w:t>（10）投标保证金满足投标人须知3.4.1条的；</w:t>
      </w:r>
    </w:p>
    <w:p w14:paraId="0B98F2F3">
      <w:pPr>
        <w:spacing w:line="360" w:lineRule="auto"/>
        <w:ind w:firstLine="424" w:firstLineChars="201"/>
        <w:rPr>
          <w:rFonts w:ascii="宋体" w:hAnsi="宋体"/>
          <w:b/>
          <w:color w:val="auto"/>
        </w:rPr>
      </w:pPr>
      <w:r>
        <w:rPr>
          <w:rFonts w:hint="eastAsia" w:ascii="宋体" w:hAnsi="宋体"/>
          <w:b/>
          <w:color w:val="auto"/>
        </w:rPr>
        <w:t>（11）投标人按照评标委员会要求对投标文件进行澄清、说明、补正的；</w:t>
      </w:r>
    </w:p>
    <w:p w14:paraId="2FA4EC6B">
      <w:pPr>
        <w:spacing w:line="360" w:lineRule="auto"/>
        <w:ind w:firstLine="424" w:firstLineChars="201"/>
        <w:rPr>
          <w:rFonts w:ascii="宋体" w:hAnsi="宋体"/>
          <w:b/>
          <w:color w:val="auto"/>
        </w:rPr>
      </w:pPr>
      <w:r>
        <w:rPr>
          <w:rFonts w:hint="eastAsia" w:ascii="宋体" w:hAnsi="宋体"/>
          <w:b/>
          <w:color w:val="auto"/>
        </w:rPr>
        <w:t>（12）不存在投标人在投标文件上电子签名与其他投标人在投标文件上的电子签名一致的；</w:t>
      </w:r>
    </w:p>
    <w:p w14:paraId="4260F073">
      <w:pPr>
        <w:spacing w:line="360" w:lineRule="auto"/>
        <w:ind w:firstLine="424" w:firstLineChars="201"/>
        <w:rPr>
          <w:rFonts w:ascii="宋体" w:hAnsi="宋体"/>
          <w:b/>
          <w:color w:val="auto"/>
        </w:rPr>
      </w:pPr>
      <w:r>
        <w:rPr>
          <w:rFonts w:hint="eastAsia" w:ascii="宋体" w:hAnsi="宋体"/>
          <w:b/>
          <w:color w:val="auto"/>
        </w:rPr>
        <w:t>（13）不存在不同投标人委托同一人投标的；</w:t>
      </w:r>
    </w:p>
    <w:p w14:paraId="0478386F">
      <w:pPr>
        <w:spacing w:line="360" w:lineRule="auto"/>
        <w:ind w:firstLine="424" w:firstLineChars="201"/>
        <w:rPr>
          <w:rFonts w:ascii="宋体" w:hAnsi="宋体"/>
          <w:b/>
          <w:color w:val="auto"/>
        </w:rPr>
      </w:pPr>
      <w:r>
        <w:rPr>
          <w:rFonts w:hint="eastAsia" w:ascii="宋体" w:hAnsi="宋体"/>
          <w:b/>
          <w:color w:val="auto"/>
        </w:rPr>
        <w:t>（14）不存在投标文件中各电子标书未加签有效的投标人数字证书（USBKEY）的；</w:t>
      </w:r>
    </w:p>
    <w:p w14:paraId="4283436A">
      <w:pPr>
        <w:spacing w:line="360" w:lineRule="auto"/>
        <w:ind w:firstLine="424" w:firstLineChars="201"/>
        <w:rPr>
          <w:rFonts w:ascii="宋体" w:hAnsi="宋体"/>
          <w:b/>
          <w:color w:val="auto"/>
        </w:rPr>
      </w:pPr>
      <w:r>
        <w:rPr>
          <w:rFonts w:hint="eastAsia" w:ascii="宋体" w:hAnsi="宋体"/>
          <w:b/>
          <w:color w:val="auto"/>
        </w:rPr>
        <w:t>（15）不存在不同投标人的投标文件内容存在非正常一致的；</w:t>
      </w:r>
    </w:p>
    <w:p w14:paraId="3CA1A0B4">
      <w:pPr>
        <w:spacing w:line="360" w:lineRule="auto"/>
        <w:ind w:firstLine="424" w:firstLineChars="201"/>
        <w:rPr>
          <w:rFonts w:ascii="宋体" w:hAnsi="宋体"/>
          <w:b/>
          <w:color w:val="auto"/>
        </w:rPr>
      </w:pPr>
      <w:r>
        <w:rPr>
          <w:rFonts w:hint="eastAsia" w:ascii="宋体" w:hAnsi="宋体"/>
          <w:b/>
          <w:color w:val="auto"/>
        </w:rPr>
        <w:t>（16）不存在不同投标人的投标文件错漏之处一致的；</w:t>
      </w:r>
    </w:p>
    <w:p w14:paraId="5F8AE8F6">
      <w:pPr>
        <w:spacing w:line="360" w:lineRule="auto"/>
        <w:ind w:firstLine="424" w:firstLineChars="201"/>
        <w:rPr>
          <w:rFonts w:ascii="宋体" w:hAnsi="宋体"/>
          <w:b/>
          <w:color w:val="auto"/>
        </w:rPr>
      </w:pPr>
      <w:r>
        <w:rPr>
          <w:rFonts w:hint="eastAsia" w:ascii="宋体" w:hAnsi="宋体"/>
          <w:b/>
          <w:color w:val="auto"/>
        </w:rPr>
        <w:t>（17）不存在不同投标人的投标报价或者报价组成异常一致或者呈规律性变化的；</w:t>
      </w:r>
    </w:p>
    <w:p w14:paraId="7BD509F6">
      <w:pPr>
        <w:spacing w:line="360" w:lineRule="auto"/>
        <w:ind w:firstLine="424" w:firstLineChars="201"/>
        <w:rPr>
          <w:rFonts w:ascii="宋体" w:hAnsi="宋体"/>
          <w:b/>
          <w:color w:val="auto"/>
        </w:rPr>
      </w:pPr>
      <w:r>
        <w:rPr>
          <w:rFonts w:hint="eastAsia" w:ascii="宋体" w:hAnsi="宋体"/>
          <w:b/>
          <w:color w:val="auto"/>
        </w:rPr>
        <w:t>（18）不存在不同投标人的投标文件载明的项目管理机构成员出现相同人员的；</w:t>
      </w:r>
    </w:p>
    <w:p w14:paraId="0E46EEB8">
      <w:pPr>
        <w:spacing w:line="360" w:lineRule="auto"/>
        <w:ind w:firstLine="424" w:firstLineChars="201"/>
        <w:rPr>
          <w:rFonts w:ascii="宋体" w:hAnsi="宋体"/>
          <w:b/>
          <w:color w:val="auto"/>
        </w:rPr>
      </w:pPr>
      <w:r>
        <w:rPr>
          <w:rFonts w:hint="eastAsia" w:ascii="宋体" w:hAnsi="宋体"/>
          <w:b/>
          <w:color w:val="auto"/>
        </w:rPr>
        <w:t>（19）不存在不同投标人的投标文件由同一台电脑编制的；</w:t>
      </w:r>
    </w:p>
    <w:p w14:paraId="6872CB48">
      <w:pPr>
        <w:spacing w:line="360" w:lineRule="auto"/>
        <w:ind w:firstLine="424" w:firstLineChars="201"/>
        <w:rPr>
          <w:rFonts w:ascii="宋体" w:hAnsi="宋体"/>
          <w:b/>
          <w:color w:val="auto"/>
        </w:rPr>
      </w:pPr>
      <w:r>
        <w:rPr>
          <w:rFonts w:hint="eastAsia" w:ascii="宋体" w:hAnsi="宋体"/>
          <w:b/>
          <w:color w:val="auto"/>
        </w:rPr>
        <w:t>（20）不存在违反国家、省、市相关法律法规的。</w:t>
      </w:r>
    </w:p>
    <w:p w14:paraId="3B9745AB">
      <w:pPr>
        <w:spacing w:line="360" w:lineRule="auto"/>
        <w:ind w:left="310"/>
        <w:rPr>
          <w:rFonts w:ascii="宋体" w:hAnsi="宋体"/>
          <w:b/>
          <w:color w:val="auto"/>
        </w:rPr>
      </w:pPr>
      <w:r>
        <w:rPr>
          <w:rFonts w:hint="eastAsia" w:ascii="宋体" w:hAnsi="宋体"/>
          <w:b/>
          <w:color w:val="auto"/>
        </w:rPr>
        <w:t>注：★1、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142D500">
      <w:pPr>
        <w:spacing w:line="360" w:lineRule="auto"/>
        <w:ind w:left="310"/>
        <w:rPr>
          <w:rFonts w:ascii="宋体" w:hAnsi="宋体"/>
          <w:b/>
          <w:color w:val="auto"/>
        </w:rPr>
      </w:pPr>
      <w:r>
        <w:rPr>
          <w:rFonts w:hint="eastAsia" w:ascii="宋体" w:hAnsi="宋体"/>
          <w:b/>
          <w:color w:val="auto"/>
        </w:rPr>
        <w:t>★2、本项目为非单一产品采购项目，采购人根据采购项目技术构成、产品价格比重等合理确定核心产品（详见招标文件第五章）。多家投标人提供的核心产品品牌相同的，按第1条规定处理。</w:t>
      </w:r>
    </w:p>
    <w:p w14:paraId="6E8E9B19">
      <w:pPr>
        <w:spacing w:line="360" w:lineRule="auto"/>
        <w:ind w:left="310"/>
        <w:rPr>
          <w:rFonts w:ascii="宋体" w:hAnsi="宋体"/>
          <w:b/>
          <w:color w:val="auto"/>
        </w:rPr>
      </w:pPr>
      <w:r>
        <w:rPr>
          <w:rFonts w:hint="eastAsia" w:ascii="宋体" w:hAnsi="宋体"/>
          <w:b/>
          <w:color w:val="auto"/>
        </w:rPr>
        <w:t>★3、按上述条款执行后，供应商不足3家的，本项目应予废标。</w:t>
      </w:r>
    </w:p>
    <w:p w14:paraId="6CE922B7">
      <w:pPr>
        <w:spacing w:line="360" w:lineRule="auto"/>
        <w:ind w:firstLine="424" w:firstLineChars="202"/>
        <w:rPr>
          <w:rFonts w:ascii="宋体" w:hAnsi="宋体"/>
          <w:color w:val="auto"/>
        </w:rPr>
      </w:pPr>
      <w:r>
        <w:rPr>
          <w:rFonts w:hint="eastAsia" w:ascii="宋体" w:hAnsi="宋体"/>
          <w:color w:val="auto"/>
        </w:rPr>
        <w:t>2.1.4评标时，评标委员会将首先评定每份投标文件是否响应了采购文件的要求。所谓响应，是指投标文件应与采购文件的所有条款、条件和要求相符，无显著差异或保留，或者对合同中约定的采购人的权利和投标人的义务方面造成重大的限制，纠正这些显著差异或保留将会对其他响应采购文件要求的投标文件的投标人的竞争地位产生不公正的影响。</w:t>
      </w:r>
    </w:p>
    <w:p w14:paraId="2078F6C9">
      <w:pPr>
        <w:spacing w:line="360" w:lineRule="auto"/>
        <w:ind w:firstLine="424" w:firstLineChars="202"/>
        <w:rPr>
          <w:rFonts w:ascii="宋体" w:hAnsi="宋体"/>
          <w:color w:val="auto"/>
        </w:rPr>
      </w:pPr>
      <w:r>
        <w:rPr>
          <w:rFonts w:hint="eastAsia" w:ascii="宋体" w:hAnsi="宋体"/>
          <w:color w:val="auto"/>
        </w:rPr>
        <w:t>2.1.5如果投标文件不响应采购文件的各项要求，评标委员会将予以拒绝，并且不允许投标人通过修改或撤销其不符合要求的差异或保留，使之成为具有响应性的投标。</w:t>
      </w:r>
    </w:p>
    <w:p w14:paraId="39529AC6">
      <w:pPr>
        <w:spacing w:line="360" w:lineRule="auto"/>
        <w:ind w:firstLine="424" w:firstLineChars="202"/>
        <w:rPr>
          <w:rFonts w:ascii="宋体" w:hAnsi="宋体"/>
          <w:color w:val="auto"/>
        </w:rPr>
      </w:pPr>
      <w:r>
        <w:rPr>
          <w:rFonts w:hint="eastAsia" w:ascii="宋体" w:hAnsi="宋体"/>
          <w:color w:val="auto"/>
        </w:rPr>
        <w:t>2.1.6投标文件报价出现前后不一致的，除采购文件另有规定外，按照下列规定修正：</w:t>
      </w:r>
    </w:p>
    <w:p w14:paraId="63161C1D">
      <w:pPr>
        <w:spacing w:line="360" w:lineRule="auto"/>
        <w:ind w:firstLine="424" w:firstLineChars="202"/>
        <w:rPr>
          <w:rFonts w:ascii="宋体" w:hAnsi="宋体"/>
          <w:color w:val="auto"/>
        </w:rPr>
      </w:pPr>
      <w:r>
        <w:rPr>
          <w:rFonts w:hint="eastAsia" w:ascii="宋体" w:hAnsi="宋体"/>
          <w:color w:val="auto"/>
        </w:rPr>
        <w:t>（</w:t>
      </w:r>
      <w:r>
        <w:rPr>
          <w:rFonts w:ascii="宋体" w:hAnsi="宋体"/>
          <w:color w:val="auto"/>
        </w:rPr>
        <w:t>1</w:t>
      </w:r>
      <w:r>
        <w:rPr>
          <w:rFonts w:hint="eastAsia" w:ascii="宋体" w:hAnsi="宋体"/>
          <w:color w:val="auto"/>
        </w:rPr>
        <w:t>）投标文件中开标一览表（报价表）内容与投标文件中相应内容不一致的，以开标一览表（报价表）为准；</w:t>
      </w:r>
    </w:p>
    <w:p w14:paraId="4A14CEA0">
      <w:pPr>
        <w:spacing w:line="360" w:lineRule="auto"/>
        <w:ind w:firstLine="424" w:firstLineChars="202"/>
        <w:rPr>
          <w:rFonts w:ascii="宋体" w:hAnsi="宋体"/>
          <w:color w:val="auto"/>
        </w:rPr>
      </w:pPr>
      <w:r>
        <w:rPr>
          <w:rFonts w:hint="eastAsia" w:ascii="宋体" w:hAnsi="宋体"/>
          <w:color w:val="auto"/>
        </w:rPr>
        <w:t>（2）大写金额和小写金额不一致的，以大写金额为准；</w:t>
      </w:r>
    </w:p>
    <w:p w14:paraId="7A3F9E1B">
      <w:pPr>
        <w:spacing w:line="360" w:lineRule="auto"/>
        <w:ind w:firstLine="424" w:firstLineChars="202"/>
        <w:rPr>
          <w:rFonts w:ascii="宋体" w:hAnsi="宋体"/>
          <w:color w:val="auto"/>
        </w:rPr>
      </w:pPr>
      <w:r>
        <w:rPr>
          <w:rFonts w:hint="eastAsia" w:ascii="宋体" w:hAnsi="宋体"/>
          <w:color w:val="auto"/>
        </w:rPr>
        <w:t>（3）单价金额小数点或者百分比有明显错位的，以开标一览表的总价为准，并修改单价；</w:t>
      </w:r>
    </w:p>
    <w:p w14:paraId="5696C874">
      <w:pPr>
        <w:spacing w:line="360" w:lineRule="auto"/>
        <w:ind w:firstLine="424" w:firstLineChars="202"/>
        <w:rPr>
          <w:rFonts w:ascii="宋体" w:hAnsi="宋体"/>
          <w:color w:val="auto"/>
        </w:rPr>
      </w:pPr>
      <w:r>
        <w:rPr>
          <w:rFonts w:hint="eastAsia" w:ascii="宋体" w:hAnsi="宋体"/>
          <w:color w:val="auto"/>
        </w:rPr>
        <w:t>（4）总价金额与按单价汇总金额不一致的，以单价金额计算结果为准。</w:t>
      </w:r>
    </w:p>
    <w:p w14:paraId="27EA0A07">
      <w:pPr>
        <w:spacing w:line="360" w:lineRule="auto"/>
        <w:ind w:firstLine="424" w:firstLineChars="202"/>
        <w:rPr>
          <w:rFonts w:ascii="宋体" w:hAnsi="宋体"/>
          <w:color w:val="auto"/>
        </w:rPr>
      </w:pPr>
      <w:r>
        <w:rPr>
          <w:rFonts w:hint="eastAsia" w:ascii="宋体" w:hAnsi="宋体"/>
          <w:color w:val="auto"/>
        </w:rPr>
        <w:t>同时出现两种以上不一致的，按照前款规定的顺序修正。修正后的报价按照《政府采购货物和服务招标投标管理办法》（财政部第87号）第五十一条第二款的规定经投标人确认后产生约束力，投标人不确认的，其投标无效。</w:t>
      </w:r>
    </w:p>
    <w:p w14:paraId="324A4D42">
      <w:pPr>
        <w:spacing w:line="360" w:lineRule="auto"/>
        <w:ind w:firstLine="424" w:firstLineChars="202"/>
        <w:rPr>
          <w:rFonts w:ascii="宋体" w:hAnsi="宋体"/>
          <w:color w:val="auto"/>
        </w:rPr>
      </w:pPr>
      <w:r>
        <w:rPr>
          <w:rFonts w:hint="eastAsia" w:ascii="宋体" w:hAnsi="宋体"/>
          <w:color w:val="auto"/>
        </w:rPr>
        <w:t>2.1.7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0524778">
      <w:pPr>
        <w:tabs>
          <w:tab w:val="left" w:pos="1080"/>
        </w:tabs>
        <w:spacing w:line="360" w:lineRule="auto"/>
        <w:outlineLvl w:val="2"/>
        <w:rPr>
          <w:rFonts w:ascii="宋体" w:hAnsi="宋体"/>
          <w:b/>
          <w:color w:val="auto"/>
          <w:szCs w:val="21"/>
        </w:rPr>
      </w:pPr>
      <w:bookmarkStart w:id="536" w:name="_Toc25271"/>
      <w:bookmarkStart w:id="537" w:name="_Toc26149"/>
      <w:bookmarkStart w:id="538" w:name="_Toc16486"/>
      <w:r>
        <w:rPr>
          <w:rFonts w:hint="eastAsia" w:ascii="宋体" w:hAnsi="宋体"/>
          <w:b/>
          <w:color w:val="auto"/>
          <w:szCs w:val="21"/>
        </w:rPr>
        <w:t>2.2详细评审</w:t>
      </w:r>
      <w:bookmarkEnd w:id="536"/>
      <w:bookmarkEnd w:id="537"/>
      <w:bookmarkEnd w:id="538"/>
    </w:p>
    <w:p w14:paraId="58DAF7DC">
      <w:pPr>
        <w:widowControl/>
        <w:adjustRightInd w:val="0"/>
        <w:snapToGrid w:val="0"/>
        <w:spacing w:line="360" w:lineRule="auto"/>
        <w:ind w:firstLine="420" w:firstLineChars="200"/>
        <w:rPr>
          <w:rFonts w:ascii="宋体" w:hAnsi="宋体"/>
          <w:color w:val="auto"/>
        </w:rPr>
        <w:sectPr>
          <w:headerReference r:id="rId10" w:type="default"/>
          <w:footerReference r:id="rId11" w:type="default"/>
          <w:pgSz w:w="11906" w:h="16838"/>
          <w:pgMar w:top="1440" w:right="1559" w:bottom="1400" w:left="1418" w:header="851" w:footer="992" w:gutter="0"/>
          <w:pgNumType w:fmt="decimal" w:start="1"/>
          <w:cols w:space="708" w:num="1"/>
          <w:docGrid w:type="lines" w:linePitch="312" w:charSpace="0"/>
        </w:sectPr>
      </w:pPr>
      <w:r>
        <w:rPr>
          <w:rFonts w:hint="eastAsia" w:ascii="宋体" w:hAnsi="宋体"/>
          <w:color w:val="auto"/>
        </w:rPr>
        <w:t>对通过初步评审的投标人按照综合评分法进行详细评审，详细评审包括商务部分评审、技术部分评审综合比较，并进行打分。</w:t>
      </w:r>
    </w:p>
    <w:tbl>
      <w:tblPr>
        <w:tblStyle w:val="27"/>
        <w:tblW w:w="10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2011"/>
        <w:gridCol w:w="2012"/>
        <w:gridCol w:w="5419"/>
      </w:tblGrid>
      <w:tr w14:paraId="781B5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7" w:type="dxa"/>
            <w:vAlign w:val="center"/>
          </w:tcPr>
          <w:p w14:paraId="0E358F6F">
            <w:pPr>
              <w:spacing w:line="360" w:lineRule="auto"/>
              <w:jc w:val="center"/>
              <w:rPr>
                <w:rFonts w:ascii="宋体" w:hAnsi="宋体"/>
                <w:b/>
                <w:color w:val="auto"/>
                <w:szCs w:val="21"/>
              </w:rPr>
            </w:pPr>
            <w:r>
              <w:rPr>
                <w:rFonts w:hint="eastAsia" w:ascii="宋体" w:hAnsi="宋体"/>
                <w:b/>
                <w:color w:val="auto"/>
                <w:szCs w:val="21"/>
              </w:rPr>
              <w:t>条款号</w:t>
            </w:r>
          </w:p>
        </w:tc>
        <w:tc>
          <w:tcPr>
            <w:tcW w:w="2011" w:type="dxa"/>
            <w:vAlign w:val="center"/>
          </w:tcPr>
          <w:p w14:paraId="0FD84712">
            <w:pPr>
              <w:spacing w:line="360" w:lineRule="auto"/>
              <w:jc w:val="center"/>
              <w:rPr>
                <w:rFonts w:ascii="宋体" w:hAnsi="宋体"/>
                <w:b/>
                <w:color w:val="auto"/>
                <w:szCs w:val="21"/>
              </w:rPr>
            </w:pPr>
            <w:r>
              <w:rPr>
                <w:rFonts w:hint="eastAsia" w:ascii="宋体" w:hAnsi="宋体"/>
                <w:b/>
                <w:color w:val="auto"/>
                <w:szCs w:val="21"/>
              </w:rPr>
              <w:t>评审内容</w:t>
            </w:r>
          </w:p>
        </w:tc>
        <w:tc>
          <w:tcPr>
            <w:tcW w:w="2012" w:type="dxa"/>
            <w:vAlign w:val="center"/>
          </w:tcPr>
          <w:p w14:paraId="7BFEAB0C">
            <w:pPr>
              <w:spacing w:line="360" w:lineRule="auto"/>
              <w:ind w:firstLine="422" w:firstLineChars="200"/>
              <w:jc w:val="center"/>
              <w:rPr>
                <w:rFonts w:ascii="宋体" w:hAnsi="宋体"/>
                <w:b/>
                <w:color w:val="auto"/>
                <w:szCs w:val="21"/>
              </w:rPr>
            </w:pPr>
            <w:r>
              <w:rPr>
                <w:rFonts w:hint="eastAsia" w:ascii="宋体" w:hAnsi="宋体"/>
                <w:b/>
                <w:color w:val="auto"/>
                <w:szCs w:val="21"/>
              </w:rPr>
              <w:t>评审因素</w:t>
            </w:r>
          </w:p>
        </w:tc>
        <w:tc>
          <w:tcPr>
            <w:tcW w:w="5419" w:type="dxa"/>
            <w:vAlign w:val="center"/>
          </w:tcPr>
          <w:p w14:paraId="76330F5D">
            <w:pPr>
              <w:spacing w:line="360" w:lineRule="auto"/>
              <w:ind w:firstLine="360"/>
              <w:jc w:val="center"/>
              <w:rPr>
                <w:rFonts w:ascii="宋体" w:hAnsi="宋体"/>
                <w:b/>
                <w:color w:val="auto"/>
                <w:szCs w:val="21"/>
              </w:rPr>
            </w:pPr>
            <w:r>
              <w:rPr>
                <w:rFonts w:hint="eastAsia" w:ascii="宋体" w:hAnsi="宋体"/>
                <w:b/>
                <w:color w:val="auto"/>
                <w:szCs w:val="21"/>
              </w:rPr>
              <w:t>评审标准</w:t>
            </w:r>
          </w:p>
        </w:tc>
      </w:tr>
      <w:tr w14:paraId="7B97D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7" w:type="dxa"/>
            <w:vMerge w:val="restart"/>
            <w:vAlign w:val="center"/>
          </w:tcPr>
          <w:p w14:paraId="6D17D8F2">
            <w:pPr>
              <w:spacing w:line="360" w:lineRule="auto"/>
              <w:jc w:val="center"/>
              <w:rPr>
                <w:rFonts w:ascii="宋体" w:hAnsi="宋体"/>
                <w:b/>
                <w:color w:val="auto"/>
                <w:szCs w:val="21"/>
              </w:rPr>
            </w:pPr>
            <w:r>
              <w:rPr>
                <w:rFonts w:ascii="宋体" w:hAnsi="宋体"/>
                <w:color w:val="auto"/>
                <w:szCs w:val="21"/>
              </w:rPr>
              <w:t>2.</w:t>
            </w:r>
            <w:r>
              <w:rPr>
                <w:rFonts w:hint="eastAsia" w:ascii="宋体" w:hAnsi="宋体"/>
                <w:color w:val="auto"/>
                <w:szCs w:val="21"/>
              </w:rPr>
              <w:t>2.</w:t>
            </w:r>
            <w:r>
              <w:rPr>
                <w:rFonts w:ascii="宋体" w:hAnsi="宋体"/>
                <w:color w:val="auto"/>
                <w:szCs w:val="21"/>
              </w:rPr>
              <w:t>1</w:t>
            </w:r>
          </w:p>
        </w:tc>
        <w:tc>
          <w:tcPr>
            <w:tcW w:w="2011" w:type="dxa"/>
            <w:vMerge w:val="restart"/>
            <w:vAlign w:val="center"/>
          </w:tcPr>
          <w:p w14:paraId="6CAD8BA7">
            <w:pPr>
              <w:spacing w:line="360" w:lineRule="auto"/>
              <w:jc w:val="center"/>
              <w:rPr>
                <w:rFonts w:ascii="宋体" w:hAnsi="宋体"/>
                <w:b/>
                <w:color w:val="auto"/>
                <w:szCs w:val="21"/>
              </w:rPr>
            </w:pPr>
            <w:r>
              <w:rPr>
                <w:rFonts w:hint="eastAsia" w:ascii="宋体" w:hAnsi="宋体"/>
                <w:bCs/>
                <w:color w:val="auto"/>
                <w:szCs w:val="21"/>
              </w:rPr>
              <w:t>分值构成</w:t>
            </w:r>
          </w:p>
        </w:tc>
        <w:tc>
          <w:tcPr>
            <w:tcW w:w="2012" w:type="dxa"/>
            <w:vAlign w:val="center"/>
          </w:tcPr>
          <w:p w14:paraId="434C49CB">
            <w:pPr>
              <w:spacing w:line="360" w:lineRule="auto"/>
              <w:jc w:val="center"/>
              <w:rPr>
                <w:rFonts w:ascii="宋体" w:hAnsi="宋体"/>
                <w:b/>
                <w:color w:val="auto"/>
                <w:szCs w:val="21"/>
              </w:rPr>
            </w:pPr>
            <w:r>
              <w:rPr>
                <w:rFonts w:hint="eastAsia" w:ascii="宋体" w:hAnsi="宋体"/>
                <w:color w:val="auto"/>
                <w:szCs w:val="21"/>
              </w:rPr>
              <w:t>商务部分</w:t>
            </w:r>
          </w:p>
        </w:tc>
        <w:tc>
          <w:tcPr>
            <w:tcW w:w="5419" w:type="dxa"/>
            <w:vAlign w:val="center"/>
          </w:tcPr>
          <w:p w14:paraId="09D53CD3">
            <w:pPr>
              <w:spacing w:line="360" w:lineRule="auto"/>
              <w:ind w:firstLine="360"/>
              <w:jc w:val="center"/>
              <w:rPr>
                <w:rFonts w:ascii="宋体" w:hAnsi="宋体"/>
                <w:b/>
                <w:color w:val="auto"/>
                <w:szCs w:val="21"/>
              </w:rPr>
            </w:pPr>
            <w:r>
              <w:rPr>
                <w:rFonts w:hint="eastAsia" w:ascii="宋体" w:hAnsi="宋体"/>
                <w:color w:val="auto"/>
                <w:szCs w:val="21"/>
              </w:rPr>
              <w:t>满分</w:t>
            </w:r>
            <w:r>
              <w:rPr>
                <w:rFonts w:hint="eastAsia" w:ascii="宋体" w:hAnsi="宋体"/>
                <w:color w:val="auto"/>
                <w:szCs w:val="21"/>
                <w:lang w:val="en-US" w:eastAsia="zh-CN"/>
              </w:rPr>
              <w:t>53</w:t>
            </w:r>
            <w:r>
              <w:rPr>
                <w:rFonts w:hint="eastAsia" w:ascii="宋体" w:hAnsi="宋体"/>
                <w:color w:val="auto"/>
                <w:szCs w:val="21"/>
              </w:rPr>
              <w:t>分</w:t>
            </w:r>
          </w:p>
        </w:tc>
      </w:tr>
      <w:tr w14:paraId="156F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7" w:type="dxa"/>
            <w:vMerge w:val="continue"/>
            <w:vAlign w:val="center"/>
          </w:tcPr>
          <w:p w14:paraId="139B9D99">
            <w:pPr>
              <w:spacing w:line="360" w:lineRule="auto"/>
              <w:jc w:val="center"/>
              <w:rPr>
                <w:rFonts w:ascii="宋体" w:hAnsi="宋体"/>
                <w:b/>
                <w:color w:val="auto"/>
                <w:szCs w:val="21"/>
              </w:rPr>
            </w:pPr>
          </w:p>
        </w:tc>
        <w:tc>
          <w:tcPr>
            <w:tcW w:w="2011" w:type="dxa"/>
            <w:vMerge w:val="continue"/>
            <w:vAlign w:val="center"/>
          </w:tcPr>
          <w:p w14:paraId="35B10278">
            <w:pPr>
              <w:spacing w:line="360" w:lineRule="auto"/>
              <w:jc w:val="center"/>
              <w:rPr>
                <w:rFonts w:ascii="宋体" w:hAnsi="宋体"/>
                <w:b/>
                <w:color w:val="auto"/>
                <w:szCs w:val="21"/>
              </w:rPr>
            </w:pPr>
          </w:p>
        </w:tc>
        <w:tc>
          <w:tcPr>
            <w:tcW w:w="2012" w:type="dxa"/>
            <w:vAlign w:val="center"/>
          </w:tcPr>
          <w:p w14:paraId="6C3896A7">
            <w:pPr>
              <w:spacing w:line="360" w:lineRule="auto"/>
              <w:jc w:val="center"/>
              <w:rPr>
                <w:rFonts w:ascii="宋体" w:hAnsi="宋体"/>
                <w:color w:val="auto"/>
                <w:szCs w:val="21"/>
              </w:rPr>
            </w:pPr>
            <w:r>
              <w:rPr>
                <w:rFonts w:hint="eastAsia" w:ascii="宋体" w:hAnsi="宋体"/>
                <w:color w:val="auto"/>
                <w:szCs w:val="21"/>
              </w:rPr>
              <w:t>技术部分</w:t>
            </w:r>
          </w:p>
        </w:tc>
        <w:tc>
          <w:tcPr>
            <w:tcW w:w="5419" w:type="dxa"/>
            <w:vAlign w:val="center"/>
          </w:tcPr>
          <w:p w14:paraId="3A8C59D9">
            <w:pPr>
              <w:spacing w:line="360" w:lineRule="auto"/>
              <w:ind w:firstLine="360"/>
              <w:jc w:val="center"/>
              <w:rPr>
                <w:rFonts w:ascii="宋体" w:hAnsi="宋体"/>
                <w:color w:val="auto"/>
                <w:szCs w:val="21"/>
              </w:rPr>
            </w:pPr>
            <w:r>
              <w:rPr>
                <w:rFonts w:hint="eastAsia" w:ascii="宋体" w:hAnsi="宋体"/>
                <w:color w:val="auto"/>
                <w:szCs w:val="21"/>
              </w:rPr>
              <w:t>满分</w:t>
            </w:r>
            <w:r>
              <w:rPr>
                <w:rFonts w:hint="eastAsia" w:ascii="宋体" w:hAnsi="宋体"/>
                <w:color w:val="auto"/>
                <w:szCs w:val="21"/>
                <w:lang w:val="en-US" w:eastAsia="zh-CN"/>
              </w:rPr>
              <w:t>47</w:t>
            </w:r>
            <w:r>
              <w:rPr>
                <w:rFonts w:hint="eastAsia" w:ascii="宋体" w:hAnsi="宋体"/>
                <w:color w:val="auto"/>
                <w:szCs w:val="21"/>
              </w:rPr>
              <w:t>分</w:t>
            </w:r>
          </w:p>
        </w:tc>
      </w:tr>
      <w:tr w14:paraId="3E835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7" w:type="dxa"/>
            <w:vMerge w:val="restart"/>
            <w:vAlign w:val="center"/>
          </w:tcPr>
          <w:p w14:paraId="3705409A">
            <w:pPr>
              <w:spacing w:line="360" w:lineRule="auto"/>
              <w:jc w:val="center"/>
              <w:rPr>
                <w:rFonts w:ascii="宋体" w:hAnsi="宋体"/>
                <w:b/>
                <w:color w:val="auto"/>
                <w:szCs w:val="21"/>
              </w:rPr>
            </w:pPr>
            <w:r>
              <w:rPr>
                <w:rFonts w:hint="eastAsia" w:ascii="宋体" w:hAnsi="宋体"/>
                <w:bCs/>
                <w:color w:val="auto"/>
                <w:szCs w:val="21"/>
              </w:rPr>
              <w:t>2.2.2</w:t>
            </w:r>
          </w:p>
        </w:tc>
        <w:tc>
          <w:tcPr>
            <w:tcW w:w="2011" w:type="dxa"/>
            <w:vMerge w:val="restart"/>
            <w:vAlign w:val="center"/>
          </w:tcPr>
          <w:p w14:paraId="0AED805B">
            <w:pPr>
              <w:spacing w:line="360" w:lineRule="auto"/>
              <w:jc w:val="center"/>
              <w:rPr>
                <w:rFonts w:ascii="宋体" w:hAnsi="宋体"/>
                <w:color w:val="auto"/>
                <w:szCs w:val="21"/>
              </w:rPr>
            </w:pPr>
            <w:r>
              <w:rPr>
                <w:rFonts w:hint="eastAsia" w:ascii="宋体" w:hAnsi="宋体" w:cs="宋体"/>
                <w:b/>
                <w:bCs/>
                <w:color w:val="auto"/>
                <w:szCs w:val="21"/>
              </w:rPr>
              <w:t>商务部分（满分</w:t>
            </w:r>
            <w:r>
              <w:rPr>
                <w:rFonts w:hint="eastAsia" w:ascii="宋体" w:hAnsi="宋体" w:cs="宋体"/>
                <w:b/>
                <w:bCs/>
                <w:color w:val="auto"/>
                <w:szCs w:val="21"/>
                <w:lang w:val="en-US" w:eastAsia="zh-CN"/>
              </w:rPr>
              <w:t>53</w:t>
            </w:r>
            <w:r>
              <w:rPr>
                <w:rFonts w:hint="eastAsia" w:ascii="宋体" w:hAnsi="宋体" w:cs="宋体"/>
                <w:b/>
                <w:bCs/>
                <w:color w:val="auto"/>
                <w:szCs w:val="21"/>
              </w:rPr>
              <w:t>分）</w:t>
            </w:r>
          </w:p>
        </w:tc>
        <w:tc>
          <w:tcPr>
            <w:tcW w:w="2012" w:type="dxa"/>
            <w:tcBorders>
              <w:bottom w:val="single" w:color="auto" w:sz="4" w:space="0"/>
            </w:tcBorders>
            <w:vAlign w:val="center"/>
          </w:tcPr>
          <w:p w14:paraId="306324BB">
            <w:pPr>
              <w:spacing w:line="360" w:lineRule="auto"/>
              <w:jc w:val="center"/>
              <w:rPr>
                <w:rFonts w:hint="eastAsia" w:ascii="宋体" w:hAnsi="宋体" w:cs="宋体"/>
                <w:b/>
                <w:bCs/>
                <w:color w:val="auto"/>
                <w:szCs w:val="21"/>
              </w:rPr>
            </w:pPr>
            <w:r>
              <w:rPr>
                <w:rFonts w:hint="eastAsia" w:ascii="宋体" w:hAnsi="宋体" w:eastAsia="宋体" w:cs="宋体"/>
                <w:b/>
                <w:bCs/>
                <w:color w:val="auto"/>
                <w:lang w:val="en-US" w:eastAsia="zh-CN"/>
              </w:rPr>
              <w:t>投标报价（30分）</w:t>
            </w:r>
          </w:p>
        </w:tc>
        <w:tc>
          <w:tcPr>
            <w:tcW w:w="5419" w:type="dxa"/>
            <w:vAlign w:val="center"/>
          </w:tcPr>
          <w:p w14:paraId="17450E9A">
            <w:pPr>
              <w:widowControl/>
              <w:spacing w:line="360" w:lineRule="auto"/>
              <w:rPr>
                <w:rFonts w:ascii="宋体" w:hAnsi="宋体"/>
                <w:color w:val="auto"/>
              </w:rPr>
            </w:pPr>
            <w:r>
              <w:rPr>
                <w:rFonts w:hint="eastAsia" w:ascii="宋体" w:hAnsi="宋体"/>
                <w:color w:val="auto"/>
              </w:rPr>
              <w:t>满足招标文件要求且投标价格最低的投标总报价为评标基准价，其价格分为满分。其他投标人的价格分统一按照下列公式计算：</w:t>
            </w:r>
          </w:p>
          <w:p w14:paraId="5964DE62">
            <w:pPr>
              <w:widowControl/>
              <w:spacing w:line="360" w:lineRule="auto"/>
              <w:rPr>
                <w:rFonts w:ascii="宋体" w:hAnsi="宋体"/>
                <w:color w:val="auto"/>
              </w:rPr>
            </w:pPr>
            <w:r>
              <w:rPr>
                <w:rFonts w:hint="eastAsia" w:ascii="宋体" w:hAnsi="宋体"/>
                <w:color w:val="auto"/>
                <w:lang w:val="en-US" w:eastAsia="zh-CN"/>
              </w:rPr>
              <w:t>投标报价</w:t>
            </w:r>
            <w:r>
              <w:rPr>
                <w:rFonts w:hint="eastAsia" w:ascii="宋体" w:hAnsi="宋体"/>
                <w:color w:val="auto"/>
              </w:rPr>
              <w:t>得分=(评标基准价/投标总报价)×30</w:t>
            </w:r>
          </w:p>
          <w:p w14:paraId="1D9752F9">
            <w:pPr>
              <w:widowControl/>
              <w:spacing w:line="360" w:lineRule="auto"/>
              <w:rPr>
                <w:rFonts w:ascii="宋体" w:hAnsi="宋体"/>
                <w:color w:val="auto"/>
              </w:rPr>
            </w:pPr>
            <w:r>
              <w:rPr>
                <w:rFonts w:hint="eastAsia" w:ascii="宋体" w:hAnsi="宋体"/>
                <w:color w:val="auto"/>
              </w:rPr>
              <w:t>评标过程中，不得去掉报价中的最高报价和最低报价。</w:t>
            </w:r>
          </w:p>
          <w:p w14:paraId="6FA68B27">
            <w:pPr>
              <w:widowControl/>
              <w:adjustRightInd w:val="0"/>
              <w:snapToGrid w:val="0"/>
              <w:spacing w:line="360" w:lineRule="auto"/>
              <w:jc w:val="left"/>
              <w:rPr>
                <w:rFonts w:ascii="宋体" w:hAnsi="宋体" w:cs="Arial"/>
                <w:b/>
                <w:color w:val="auto"/>
                <w:spacing w:val="8"/>
                <w:kern w:val="0"/>
                <w:szCs w:val="21"/>
              </w:rPr>
            </w:pPr>
            <w:r>
              <w:rPr>
                <w:rFonts w:hint="eastAsia" w:ascii="宋体" w:hAnsi="宋体" w:cs="Arial"/>
                <w:b/>
                <w:color w:val="auto"/>
                <w:spacing w:val="8"/>
                <w:kern w:val="0"/>
                <w:szCs w:val="21"/>
              </w:rPr>
              <w:t>注：因落实政府采购政策进行价格调整的，以调整后的价格计算评标基准价和评审投标总报价。在计算商务部分得分时，对小型、微型企业产品的价格给予10%的扣除，用扣除后的价格参与评审，扣除后的价格仅作为评审价格不作为中标价。小型和微型企业需提供有效的中小企业声明函（中小企业声明函格式详见第六章投标文件部分格式），否则不予价格扣除。</w:t>
            </w:r>
          </w:p>
          <w:p w14:paraId="71171F9C">
            <w:pPr>
              <w:widowControl/>
              <w:adjustRightInd w:val="0"/>
              <w:snapToGrid w:val="0"/>
              <w:spacing w:line="360" w:lineRule="auto"/>
              <w:jc w:val="left"/>
              <w:rPr>
                <w:rFonts w:ascii="宋体" w:hAnsi="宋体" w:cs="Arial"/>
                <w:b/>
                <w:color w:val="auto"/>
                <w:spacing w:val="8"/>
                <w:kern w:val="0"/>
                <w:szCs w:val="21"/>
              </w:rPr>
            </w:pPr>
            <w:r>
              <w:rPr>
                <w:rFonts w:hint="eastAsia" w:ascii="宋体" w:hAnsi="宋体" w:cs="Arial"/>
                <w:b/>
                <w:color w:val="auto"/>
                <w:spacing w:val="8"/>
                <w:kern w:val="0"/>
                <w:szCs w:val="21"/>
              </w:rPr>
              <w:t>本项目对应的中小企业划分标准所属行业：零售业。</w:t>
            </w:r>
          </w:p>
          <w:p w14:paraId="0C120F4D">
            <w:pPr>
              <w:widowControl/>
              <w:adjustRightInd w:val="0"/>
              <w:snapToGrid w:val="0"/>
              <w:spacing w:line="360" w:lineRule="auto"/>
              <w:jc w:val="left"/>
              <w:rPr>
                <w:rFonts w:ascii="宋体" w:hAnsi="宋体" w:cs="Arial"/>
                <w:b/>
                <w:color w:val="auto"/>
                <w:spacing w:val="8"/>
                <w:kern w:val="0"/>
                <w:szCs w:val="21"/>
              </w:rPr>
            </w:pPr>
            <w:r>
              <w:rPr>
                <w:rFonts w:hint="eastAsia" w:ascii="宋体" w:hAnsi="宋体" w:cs="Arial"/>
                <w:b/>
                <w:color w:val="auto"/>
                <w:spacing w:val="8"/>
                <w:kern w:val="0"/>
                <w:szCs w:val="21"/>
              </w:rPr>
              <w:t>根据《关于政府采购支持监狱企业发展有关问题的通知》(财库[2014]68号)、《关于促进残疾人就业政府采购政策的通知》(财库[2017]141号)的规定，监狱企业或残疾人福利性单位参与本项目投标时，视同小型、微型企业享受价格扣除等优惠政策，且优先采购监狱企业或残疾人福利性单位的产品和服务。须提供由省级以上监狱管理局、戒毒管理局(含新疆生产建设兵团)出具的属于监狱企业的证明文件或《残疾人福利性单位声明函》并对声明的真实性负责。</w:t>
            </w:r>
          </w:p>
        </w:tc>
      </w:tr>
      <w:tr w14:paraId="2EF89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7" w:type="dxa"/>
            <w:vMerge w:val="continue"/>
            <w:vAlign w:val="center"/>
          </w:tcPr>
          <w:p w14:paraId="4501F653">
            <w:pPr>
              <w:spacing w:line="360" w:lineRule="auto"/>
              <w:jc w:val="center"/>
              <w:rPr>
                <w:rFonts w:hint="eastAsia" w:ascii="宋体" w:hAnsi="宋体"/>
                <w:bCs/>
                <w:color w:val="auto"/>
                <w:szCs w:val="21"/>
              </w:rPr>
            </w:pPr>
          </w:p>
        </w:tc>
        <w:tc>
          <w:tcPr>
            <w:tcW w:w="2011" w:type="dxa"/>
            <w:vMerge w:val="continue"/>
            <w:vAlign w:val="center"/>
          </w:tcPr>
          <w:p w14:paraId="2BA9AC0B">
            <w:pPr>
              <w:spacing w:line="360" w:lineRule="auto"/>
              <w:jc w:val="center"/>
              <w:rPr>
                <w:rFonts w:hint="eastAsia" w:ascii="宋体" w:hAnsi="宋体" w:cs="宋体"/>
                <w:b/>
                <w:bCs/>
                <w:color w:val="auto"/>
                <w:szCs w:val="21"/>
              </w:rPr>
            </w:pPr>
          </w:p>
        </w:tc>
        <w:tc>
          <w:tcPr>
            <w:tcW w:w="2012" w:type="dxa"/>
            <w:tcBorders>
              <w:bottom w:val="single" w:color="auto" w:sz="4" w:space="0"/>
            </w:tcBorders>
            <w:vAlign w:val="center"/>
          </w:tcPr>
          <w:p w14:paraId="668D39FA">
            <w:pPr>
              <w:spacing w:line="360" w:lineRule="auto"/>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履约反馈（5分）</w:t>
            </w:r>
          </w:p>
        </w:tc>
        <w:tc>
          <w:tcPr>
            <w:tcW w:w="5419" w:type="dxa"/>
            <w:vAlign w:val="center"/>
          </w:tcPr>
          <w:p w14:paraId="5A8159E7">
            <w:pPr>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投标人202</w:t>
            </w:r>
            <w:r>
              <w:rPr>
                <w:rFonts w:hint="default" w:ascii="宋体" w:hAnsi="宋体" w:eastAsia="宋体" w:cs="Times New Roman"/>
                <w:color w:val="auto"/>
                <w:szCs w:val="21"/>
                <w:lang w:eastAsia="zh-CN"/>
              </w:rPr>
              <w:t>2</w:t>
            </w:r>
            <w:r>
              <w:rPr>
                <w:rFonts w:hint="eastAsia" w:ascii="宋体" w:hAnsi="宋体" w:eastAsia="宋体" w:cs="Times New Roman"/>
                <w:color w:val="auto"/>
                <w:szCs w:val="21"/>
                <w:lang w:eastAsia="zh-CN"/>
              </w:rPr>
              <w:t>年</w:t>
            </w:r>
            <w:r>
              <w:rPr>
                <w:rFonts w:hint="eastAsia" w:ascii="宋体" w:hAnsi="宋体" w:eastAsia="宋体" w:cs="Times New Roman"/>
                <w:color w:val="auto"/>
                <w:szCs w:val="21"/>
                <w:lang w:val="en-US" w:eastAsia="zh-CN"/>
              </w:rPr>
              <w:t>1月1日以来获得（业主单位履约情况良好（或满意）及以上评价的，每提供一个得1分，本项满分5分。</w:t>
            </w:r>
          </w:p>
          <w:p w14:paraId="1BABEEED">
            <w:pPr>
              <w:widowControl/>
              <w:adjustRightInd w:val="0"/>
              <w:snapToGrid w:val="0"/>
              <w:spacing w:line="360" w:lineRule="auto"/>
              <w:jc w:val="left"/>
              <w:rPr>
                <w:rFonts w:hint="eastAsia" w:ascii="宋体" w:hAnsi="宋体" w:cs="Arial"/>
                <w:b/>
                <w:color w:val="auto"/>
                <w:spacing w:val="8"/>
                <w:kern w:val="0"/>
                <w:szCs w:val="21"/>
              </w:rPr>
            </w:pPr>
            <w:r>
              <w:rPr>
                <w:rFonts w:hint="eastAsia" w:ascii="宋体" w:hAnsi="宋体" w:eastAsia="宋体" w:cs="Arial"/>
                <w:b/>
                <w:color w:val="auto"/>
                <w:spacing w:val="8"/>
                <w:kern w:val="0"/>
                <w:szCs w:val="21"/>
                <w:lang w:val="en-US" w:eastAsia="zh-CN"/>
              </w:rPr>
              <w:t>注：投标文件中提供加盖业主单位公章的履约情况证明材料扫描件</w:t>
            </w:r>
            <w:r>
              <w:rPr>
                <w:rFonts w:hint="eastAsia" w:ascii="宋体" w:hAnsi="宋体" w:eastAsia="宋体" w:cs="Arial"/>
                <w:b/>
                <w:color w:val="auto"/>
                <w:spacing w:val="8"/>
                <w:kern w:val="0"/>
                <w:szCs w:val="21"/>
                <w:lang w:eastAsia="zh-CN"/>
              </w:rPr>
              <w:t>。</w:t>
            </w:r>
          </w:p>
        </w:tc>
      </w:tr>
      <w:tr w14:paraId="51F83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7" w:type="dxa"/>
            <w:vMerge w:val="continue"/>
            <w:vAlign w:val="center"/>
          </w:tcPr>
          <w:p w14:paraId="4DC8003B">
            <w:pPr>
              <w:spacing w:line="360" w:lineRule="auto"/>
              <w:jc w:val="center"/>
              <w:rPr>
                <w:rFonts w:hint="eastAsia" w:ascii="宋体" w:hAnsi="宋体"/>
                <w:bCs/>
                <w:color w:val="auto"/>
                <w:szCs w:val="21"/>
              </w:rPr>
            </w:pPr>
          </w:p>
        </w:tc>
        <w:tc>
          <w:tcPr>
            <w:tcW w:w="2011" w:type="dxa"/>
            <w:vMerge w:val="continue"/>
            <w:vAlign w:val="center"/>
          </w:tcPr>
          <w:p w14:paraId="046F2D71">
            <w:pPr>
              <w:spacing w:line="360" w:lineRule="auto"/>
              <w:jc w:val="center"/>
              <w:rPr>
                <w:rFonts w:hint="eastAsia" w:ascii="宋体" w:hAnsi="宋体" w:cs="宋体"/>
                <w:b/>
                <w:bCs/>
                <w:color w:val="auto"/>
                <w:szCs w:val="21"/>
              </w:rPr>
            </w:pPr>
          </w:p>
        </w:tc>
        <w:tc>
          <w:tcPr>
            <w:tcW w:w="2012" w:type="dxa"/>
            <w:tcBorders>
              <w:bottom w:val="single" w:color="auto" w:sz="4" w:space="0"/>
            </w:tcBorders>
            <w:vAlign w:val="center"/>
          </w:tcPr>
          <w:p w14:paraId="75703D30">
            <w:pPr>
              <w:spacing w:line="360" w:lineRule="auto"/>
              <w:jc w:val="center"/>
              <w:rPr>
                <w:rFonts w:hint="eastAsia" w:ascii="宋体" w:hAnsi="宋体" w:eastAsia="宋体" w:cs="宋体"/>
                <w:b/>
                <w:bCs/>
                <w:color w:val="auto"/>
                <w:lang w:val="en-US" w:eastAsia="zh-CN"/>
              </w:rPr>
            </w:pPr>
          </w:p>
          <w:p w14:paraId="63CB90B1">
            <w:pPr>
              <w:spacing w:line="360" w:lineRule="auto"/>
              <w:jc w:val="center"/>
              <w:rPr>
                <w:rFonts w:hint="eastAsia" w:ascii="宋体" w:hAnsi="宋体" w:eastAsia="宋体" w:cs="宋体"/>
                <w:b/>
                <w:bCs/>
                <w:color w:val="auto"/>
                <w:lang w:val="en-US" w:eastAsia="zh-CN"/>
              </w:rPr>
            </w:pPr>
          </w:p>
          <w:p w14:paraId="06E3A289">
            <w:pPr>
              <w:spacing w:line="360" w:lineRule="auto"/>
              <w:jc w:val="center"/>
              <w:rPr>
                <w:rFonts w:hint="eastAsia" w:ascii="宋体" w:hAnsi="宋体" w:eastAsia="宋体" w:cs="宋体"/>
                <w:b/>
                <w:bCs/>
                <w:color w:val="auto"/>
                <w:lang w:val="en-US" w:eastAsia="zh-CN"/>
              </w:rPr>
            </w:pPr>
          </w:p>
          <w:p w14:paraId="475BFB31">
            <w:pPr>
              <w:spacing w:line="360" w:lineRule="auto"/>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企业资质（7分）</w:t>
            </w:r>
          </w:p>
        </w:tc>
        <w:tc>
          <w:tcPr>
            <w:tcW w:w="5419" w:type="dxa"/>
            <w:vAlign w:val="center"/>
          </w:tcPr>
          <w:p w14:paraId="382000F1">
            <w:pPr>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投标人需提供：智能制造管理体系认证证书，测量管理体系认证证书，履约能力评价服务认证证书，顾客满意度测评服务认证证书,中国环境标志产品认证证书，知识产权管理体系认证证书、中国环保产品认证证书每提供一项得1分，最高得7分。</w:t>
            </w:r>
          </w:p>
          <w:p w14:paraId="02AD7D95">
            <w:pPr>
              <w:spacing w:line="360" w:lineRule="auto"/>
              <w:rPr>
                <w:rFonts w:hint="eastAsia" w:ascii="宋体" w:hAnsi="宋体" w:cs="Arial"/>
                <w:b/>
                <w:color w:val="auto"/>
                <w:spacing w:val="8"/>
                <w:kern w:val="0"/>
                <w:szCs w:val="21"/>
              </w:rPr>
            </w:pPr>
            <w:r>
              <w:rPr>
                <w:rFonts w:hint="eastAsia" w:ascii="宋体" w:hAnsi="宋体" w:eastAsia="宋体" w:cs="Arial"/>
                <w:b/>
                <w:color w:val="auto"/>
                <w:spacing w:val="8"/>
                <w:kern w:val="0"/>
                <w:szCs w:val="21"/>
                <w:lang w:val="en-US" w:eastAsia="zh-CN"/>
              </w:rPr>
              <w:t>注：投标人具有以上证书，提供全国认证认可信息公共服务平台官网查询截图。</w:t>
            </w:r>
          </w:p>
        </w:tc>
      </w:tr>
      <w:tr w14:paraId="41030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7" w:type="dxa"/>
            <w:vMerge w:val="continue"/>
            <w:vAlign w:val="center"/>
          </w:tcPr>
          <w:p w14:paraId="01EEBDE2">
            <w:pPr>
              <w:spacing w:line="360" w:lineRule="auto"/>
              <w:jc w:val="center"/>
              <w:rPr>
                <w:rFonts w:hint="eastAsia" w:ascii="宋体" w:hAnsi="宋体"/>
                <w:bCs/>
                <w:color w:val="auto"/>
                <w:szCs w:val="21"/>
              </w:rPr>
            </w:pPr>
          </w:p>
        </w:tc>
        <w:tc>
          <w:tcPr>
            <w:tcW w:w="2011" w:type="dxa"/>
            <w:vMerge w:val="continue"/>
            <w:vAlign w:val="center"/>
          </w:tcPr>
          <w:p w14:paraId="46131033">
            <w:pPr>
              <w:spacing w:line="360" w:lineRule="auto"/>
              <w:jc w:val="center"/>
              <w:rPr>
                <w:rFonts w:hint="eastAsia" w:ascii="宋体" w:hAnsi="宋体" w:cs="宋体"/>
                <w:b/>
                <w:bCs/>
                <w:color w:val="auto"/>
                <w:szCs w:val="21"/>
              </w:rPr>
            </w:pPr>
          </w:p>
        </w:tc>
        <w:tc>
          <w:tcPr>
            <w:tcW w:w="2012" w:type="dxa"/>
            <w:tcBorders>
              <w:bottom w:val="single" w:color="auto" w:sz="4" w:space="0"/>
            </w:tcBorders>
            <w:vAlign w:val="center"/>
          </w:tcPr>
          <w:p w14:paraId="014C6F02">
            <w:pPr>
              <w:spacing w:line="360" w:lineRule="auto"/>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企业综合实力（5分）</w:t>
            </w:r>
          </w:p>
        </w:tc>
        <w:tc>
          <w:tcPr>
            <w:tcW w:w="5419" w:type="dxa"/>
            <w:vAlign w:val="center"/>
          </w:tcPr>
          <w:p w14:paraId="4DB3FEC6">
            <w:pPr>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根据投标人提供的材料进行综合评审:</w:t>
            </w:r>
          </w:p>
          <w:p w14:paraId="7577D150">
            <w:pPr>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①生产实力强，设备完善得5分；</w:t>
            </w:r>
          </w:p>
          <w:p w14:paraId="633B9D30">
            <w:pPr>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②生产实力一般，设备较为完善得3分；</w:t>
            </w:r>
          </w:p>
          <w:p w14:paraId="242BC3F6">
            <w:pPr>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③生产实力差，设备少得1分；</w:t>
            </w:r>
          </w:p>
          <w:p w14:paraId="088A38D4">
            <w:pPr>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④未提供不得分。</w:t>
            </w:r>
          </w:p>
        </w:tc>
      </w:tr>
      <w:tr w14:paraId="46333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7" w:type="dxa"/>
            <w:vMerge w:val="continue"/>
            <w:vAlign w:val="center"/>
          </w:tcPr>
          <w:p w14:paraId="0AB71A04">
            <w:pPr>
              <w:spacing w:line="360" w:lineRule="auto"/>
              <w:jc w:val="center"/>
              <w:rPr>
                <w:rFonts w:hint="eastAsia" w:ascii="宋体" w:hAnsi="宋体"/>
                <w:bCs/>
                <w:color w:val="auto"/>
                <w:szCs w:val="21"/>
              </w:rPr>
            </w:pPr>
          </w:p>
        </w:tc>
        <w:tc>
          <w:tcPr>
            <w:tcW w:w="2011" w:type="dxa"/>
            <w:vMerge w:val="continue"/>
            <w:tcBorders>
              <w:bottom w:val="single" w:color="auto" w:sz="4" w:space="0"/>
            </w:tcBorders>
            <w:vAlign w:val="center"/>
          </w:tcPr>
          <w:p w14:paraId="1AC9E929">
            <w:pPr>
              <w:spacing w:line="360" w:lineRule="auto"/>
              <w:jc w:val="center"/>
              <w:rPr>
                <w:rFonts w:hint="eastAsia" w:ascii="宋体" w:hAnsi="宋体" w:cs="宋体"/>
                <w:b/>
                <w:bCs/>
                <w:color w:val="auto"/>
                <w:szCs w:val="21"/>
              </w:rPr>
            </w:pPr>
          </w:p>
        </w:tc>
        <w:tc>
          <w:tcPr>
            <w:tcW w:w="2012" w:type="dxa"/>
            <w:tcBorders>
              <w:bottom w:val="single" w:color="auto" w:sz="4" w:space="0"/>
            </w:tcBorders>
            <w:vAlign w:val="center"/>
          </w:tcPr>
          <w:p w14:paraId="74A9660A">
            <w:pPr>
              <w:spacing w:line="360" w:lineRule="auto"/>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类似项目业绩（6分）</w:t>
            </w:r>
          </w:p>
        </w:tc>
        <w:tc>
          <w:tcPr>
            <w:tcW w:w="5419" w:type="dxa"/>
            <w:vAlign w:val="center"/>
          </w:tcPr>
          <w:p w14:paraId="0C07B066">
            <w:pPr>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根据投标人202</w:t>
            </w:r>
            <w:r>
              <w:rPr>
                <w:rFonts w:hint="default" w:ascii="宋体" w:hAnsi="宋体" w:eastAsia="宋体" w:cs="Times New Roman"/>
                <w:color w:val="auto"/>
                <w:szCs w:val="21"/>
                <w:lang w:val="en-US" w:eastAsia="zh-CN"/>
              </w:rPr>
              <w:t>2</w:t>
            </w:r>
            <w:r>
              <w:rPr>
                <w:rFonts w:hint="eastAsia" w:ascii="宋体" w:hAnsi="宋体" w:eastAsia="宋体" w:cs="Times New Roman"/>
                <w:color w:val="auto"/>
                <w:szCs w:val="21"/>
                <w:lang w:val="en-US" w:eastAsia="zh-CN"/>
              </w:rPr>
              <w:t>年1月1日以来承担过类似项目业绩打分，每有一个类似业绩得1分，最高得6分。</w:t>
            </w:r>
          </w:p>
          <w:p w14:paraId="3B3F501F">
            <w:pPr>
              <w:spacing w:line="360" w:lineRule="auto"/>
              <w:rPr>
                <w:rFonts w:hint="eastAsia" w:ascii="宋体" w:hAnsi="宋体" w:cs="Arial"/>
                <w:b/>
                <w:color w:val="auto"/>
                <w:spacing w:val="8"/>
                <w:kern w:val="0"/>
                <w:szCs w:val="21"/>
              </w:rPr>
            </w:pPr>
            <w:r>
              <w:rPr>
                <w:rFonts w:hint="eastAsia" w:ascii="宋体" w:hAnsi="宋体" w:eastAsia="宋体" w:cs="Arial"/>
                <w:b/>
                <w:color w:val="auto"/>
                <w:spacing w:val="8"/>
                <w:kern w:val="0"/>
                <w:szCs w:val="21"/>
                <w:lang w:val="en-US" w:eastAsia="zh-CN"/>
              </w:rPr>
              <w:t>说明：需提供中标通知书、合同复印件（包含首页，内容页，供货清单页等）或验收证明材料。</w:t>
            </w:r>
          </w:p>
        </w:tc>
      </w:tr>
      <w:tr w14:paraId="5BBC5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7" w:type="dxa"/>
            <w:vMerge w:val="continue"/>
            <w:vAlign w:val="center"/>
          </w:tcPr>
          <w:p w14:paraId="418AED47">
            <w:pPr>
              <w:spacing w:line="360" w:lineRule="auto"/>
              <w:jc w:val="center"/>
              <w:rPr>
                <w:rFonts w:ascii="宋体" w:hAnsi="宋体" w:cs="宋体"/>
                <w:b/>
                <w:color w:val="auto"/>
                <w:szCs w:val="21"/>
              </w:rPr>
            </w:pPr>
          </w:p>
        </w:tc>
        <w:tc>
          <w:tcPr>
            <w:tcW w:w="2011" w:type="dxa"/>
            <w:vMerge w:val="restart"/>
            <w:tcBorders>
              <w:top w:val="single" w:color="auto" w:sz="4" w:space="0"/>
            </w:tcBorders>
            <w:vAlign w:val="center"/>
          </w:tcPr>
          <w:p w14:paraId="697773F5">
            <w:pPr>
              <w:spacing w:line="360" w:lineRule="auto"/>
              <w:jc w:val="center"/>
              <w:rPr>
                <w:rFonts w:ascii="宋体" w:hAnsi="宋体" w:cs="宋体"/>
                <w:color w:val="auto"/>
                <w:szCs w:val="21"/>
              </w:rPr>
            </w:pPr>
          </w:p>
          <w:p w14:paraId="4C41B13C">
            <w:pPr>
              <w:spacing w:line="360" w:lineRule="auto"/>
              <w:jc w:val="center"/>
              <w:rPr>
                <w:rFonts w:ascii="宋体" w:hAnsi="宋体" w:cs="宋体"/>
                <w:color w:val="auto"/>
                <w:szCs w:val="21"/>
              </w:rPr>
            </w:pPr>
          </w:p>
          <w:p w14:paraId="18131F2A">
            <w:pPr>
              <w:spacing w:line="360" w:lineRule="auto"/>
              <w:jc w:val="center"/>
              <w:rPr>
                <w:rFonts w:ascii="宋体" w:hAnsi="宋体" w:cs="宋体"/>
                <w:color w:val="auto"/>
                <w:szCs w:val="21"/>
              </w:rPr>
            </w:pPr>
          </w:p>
          <w:p w14:paraId="6EB836D7">
            <w:pPr>
              <w:spacing w:line="360" w:lineRule="auto"/>
              <w:jc w:val="center"/>
              <w:rPr>
                <w:rFonts w:ascii="宋体" w:hAnsi="宋体" w:cs="宋体"/>
                <w:color w:val="auto"/>
                <w:szCs w:val="21"/>
              </w:rPr>
            </w:pPr>
          </w:p>
          <w:p w14:paraId="55F1CC1F">
            <w:pPr>
              <w:spacing w:line="360" w:lineRule="auto"/>
              <w:jc w:val="center"/>
              <w:rPr>
                <w:rFonts w:ascii="宋体" w:hAnsi="宋体" w:cs="宋体"/>
                <w:color w:val="auto"/>
                <w:szCs w:val="21"/>
              </w:rPr>
            </w:pPr>
          </w:p>
          <w:p w14:paraId="5C3EFDC6">
            <w:pPr>
              <w:spacing w:line="360" w:lineRule="auto"/>
              <w:jc w:val="center"/>
              <w:rPr>
                <w:rFonts w:ascii="宋体" w:hAnsi="宋体" w:cs="宋体"/>
                <w:color w:val="auto"/>
                <w:szCs w:val="21"/>
              </w:rPr>
            </w:pPr>
          </w:p>
          <w:p w14:paraId="76FCCB6D">
            <w:pPr>
              <w:spacing w:line="360" w:lineRule="auto"/>
              <w:jc w:val="center"/>
              <w:rPr>
                <w:rFonts w:ascii="宋体" w:hAnsi="宋体" w:cs="宋体"/>
                <w:color w:val="auto"/>
                <w:szCs w:val="21"/>
              </w:rPr>
            </w:pPr>
          </w:p>
          <w:p w14:paraId="3DA44F55">
            <w:pPr>
              <w:spacing w:line="360" w:lineRule="auto"/>
              <w:jc w:val="center"/>
              <w:rPr>
                <w:rFonts w:ascii="宋体" w:hAnsi="宋体" w:cs="宋体"/>
                <w:color w:val="auto"/>
                <w:szCs w:val="21"/>
              </w:rPr>
            </w:pPr>
          </w:p>
          <w:p w14:paraId="3E3CAB1A">
            <w:pPr>
              <w:spacing w:line="360" w:lineRule="auto"/>
              <w:jc w:val="center"/>
              <w:rPr>
                <w:rFonts w:ascii="宋体" w:hAnsi="宋体" w:cs="宋体"/>
                <w:color w:val="auto"/>
                <w:szCs w:val="21"/>
              </w:rPr>
            </w:pPr>
          </w:p>
          <w:p w14:paraId="23693D4D">
            <w:pPr>
              <w:spacing w:line="360" w:lineRule="auto"/>
              <w:jc w:val="center"/>
              <w:rPr>
                <w:rFonts w:ascii="宋体" w:hAnsi="宋体" w:cs="宋体"/>
                <w:color w:val="auto"/>
                <w:szCs w:val="21"/>
              </w:rPr>
            </w:pPr>
          </w:p>
          <w:p w14:paraId="37DAA58E">
            <w:pPr>
              <w:spacing w:line="360" w:lineRule="auto"/>
              <w:jc w:val="center"/>
              <w:rPr>
                <w:rFonts w:ascii="宋体" w:hAnsi="宋体" w:cs="宋体"/>
                <w:color w:val="auto"/>
                <w:szCs w:val="21"/>
              </w:rPr>
            </w:pPr>
          </w:p>
          <w:p w14:paraId="07070305">
            <w:pPr>
              <w:spacing w:line="360" w:lineRule="auto"/>
              <w:jc w:val="center"/>
              <w:rPr>
                <w:rFonts w:ascii="宋体" w:hAnsi="宋体" w:cs="宋体"/>
                <w:color w:val="auto"/>
                <w:szCs w:val="21"/>
              </w:rPr>
            </w:pPr>
          </w:p>
          <w:p w14:paraId="65D3D1F8">
            <w:pPr>
              <w:spacing w:line="360" w:lineRule="auto"/>
              <w:jc w:val="center"/>
              <w:rPr>
                <w:rFonts w:ascii="宋体" w:hAnsi="宋体" w:cs="宋体"/>
                <w:color w:val="auto"/>
                <w:szCs w:val="21"/>
              </w:rPr>
            </w:pPr>
          </w:p>
          <w:p w14:paraId="7210CCBC">
            <w:pPr>
              <w:spacing w:line="360" w:lineRule="auto"/>
              <w:jc w:val="center"/>
              <w:rPr>
                <w:rFonts w:ascii="宋体" w:hAnsi="宋体" w:cs="宋体"/>
                <w:color w:val="auto"/>
                <w:szCs w:val="21"/>
              </w:rPr>
            </w:pPr>
          </w:p>
          <w:p w14:paraId="45B1B70A">
            <w:pPr>
              <w:spacing w:line="360" w:lineRule="auto"/>
              <w:jc w:val="center"/>
              <w:rPr>
                <w:rFonts w:ascii="宋体" w:hAnsi="宋体" w:cs="宋体"/>
                <w:color w:val="auto"/>
                <w:szCs w:val="21"/>
              </w:rPr>
            </w:pPr>
          </w:p>
          <w:p w14:paraId="4878915C">
            <w:pPr>
              <w:spacing w:line="360" w:lineRule="auto"/>
              <w:jc w:val="center"/>
              <w:rPr>
                <w:rFonts w:ascii="宋体" w:hAnsi="宋体" w:cs="宋体"/>
                <w:color w:val="auto"/>
                <w:szCs w:val="21"/>
              </w:rPr>
            </w:pPr>
          </w:p>
          <w:p w14:paraId="463798AB">
            <w:pPr>
              <w:spacing w:line="360" w:lineRule="auto"/>
              <w:jc w:val="center"/>
              <w:rPr>
                <w:rFonts w:ascii="宋体" w:hAnsi="宋体" w:cs="宋体"/>
                <w:color w:val="auto"/>
                <w:szCs w:val="21"/>
              </w:rPr>
            </w:pPr>
          </w:p>
          <w:p w14:paraId="3923E9FD">
            <w:pPr>
              <w:spacing w:line="360" w:lineRule="auto"/>
              <w:jc w:val="center"/>
              <w:rPr>
                <w:rFonts w:ascii="宋体" w:hAnsi="宋体" w:cs="宋体"/>
                <w:color w:val="auto"/>
                <w:szCs w:val="21"/>
              </w:rPr>
            </w:pPr>
          </w:p>
          <w:p w14:paraId="52AEDFC8">
            <w:pPr>
              <w:spacing w:line="360" w:lineRule="auto"/>
              <w:jc w:val="center"/>
              <w:rPr>
                <w:rFonts w:ascii="宋体" w:hAnsi="宋体" w:cs="宋体"/>
                <w:color w:val="auto"/>
                <w:szCs w:val="21"/>
              </w:rPr>
            </w:pPr>
          </w:p>
          <w:p w14:paraId="5E9B27CE">
            <w:pPr>
              <w:spacing w:line="360" w:lineRule="auto"/>
              <w:jc w:val="center"/>
              <w:rPr>
                <w:rFonts w:ascii="宋体" w:hAnsi="宋体" w:cs="宋体"/>
                <w:b/>
                <w:bCs/>
                <w:color w:val="auto"/>
                <w:szCs w:val="21"/>
              </w:rPr>
            </w:pPr>
            <w:r>
              <w:rPr>
                <w:rFonts w:hint="eastAsia" w:ascii="宋体" w:hAnsi="宋体" w:cs="宋体"/>
                <w:b/>
                <w:bCs/>
                <w:color w:val="auto"/>
                <w:szCs w:val="21"/>
              </w:rPr>
              <w:t>技术部分</w:t>
            </w:r>
          </w:p>
          <w:p w14:paraId="046AB8ED">
            <w:pPr>
              <w:spacing w:line="360" w:lineRule="auto"/>
              <w:jc w:val="center"/>
              <w:rPr>
                <w:rFonts w:ascii="宋体" w:hAnsi="宋体" w:cs="宋体"/>
                <w:b/>
                <w:color w:val="auto"/>
                <w:szCs w:val="21"/>
              </w:rPr>
            </w:pPr>
            <w:r>
              <w:rPr>
                <w:rFonts w:hint="eastAsia" w:ascii="宋体" w:hAnsi="宋体" w:cs="宋体"/>
                <w:b/>
                <w:bCs/>
                <w:color w:val="auto"/>
                <w:szCs w:val="21"/>
              </w:rPr>
              <w:t>评分标准（满分</w:t>
            </w:r>
            <w:r>
              <w:rPr>
                <w:rFonts w:hint="eastAsia" w:ascii="宋体" w:hAnsi="宋体" w:cs="宋体"/>
                <w:b/>
                <w:bCs/>
                <w:color w:val="auto"/>
                <w:szCs w:val="21"/>
                <w:lang w:val="en-US" w:eastAsia="zh-CN"/>
              </w:rPr>
              <w:t>47</w:t>
            </w:r>
            <w:r>
              <w:rPr>
                <w:rFonts w:hint="eastAsia" w:ascii="宋体" w:hAnsi="宋体" w:cs="宋体"/>
                <w:b/>
                <w:bCs/>
                <w:color w:val="auto"/>
                <w:szCs w:val="21"/>
              </w:rPr>
              <w:t>分）</w:t>
            </w:r>
          </w:p>
        </w:tc>
        <w:tc>
          <w:tcPr>
            <w:tcW w:w="2012" w:type="dxa"/>
            <w:vAlign w:val="center"/>
          </w:tcPr>
          <w:p w14:paraId="7D16AF44">
            <w:pPr>
              <w:spacing w:line="440" w:lineRule="exact"/>
              <w:contextualSpacing/>
              <w:jc w:val="center"/>
              <w:rPr>
                <w:rFonts w:ascii="宋体" w:hAnsi="宋体" w:cs="宋体"/>
                <w:b/>
                <w:bCs/>
                <w:color w:val="auto"/>
              </w:rPr>
            </w:pPr>
            <w:bookmarkStart w:id="539" w:name="OLE_LINK19"/>
            <w:r>
              <w:rPr>
                <w:rFonts w:hint="eastAsia" w:ascii="宋体" w:hAnsi="宋体" w:cs="宋体"/>
                <w:b/>
                <w:bCs/>
                <w:color w:val="auto"/>
              </w:rPr>
              <w:t>技术指标的响应程度及产品性能</w:t>
            </w:r>
          </w:p>
          <w:p w14:paraId="416D0567">
            <w:pPr>
              <w:spacing w:line="360" w:lineRule="auto"/>
              <w:jc w:val="center"/>
              <w:rPr>
                <w:rFonts w:ascii="宋体" w:hAnsi="宋体" w:cs="宋体"/>
                <w:color w:val="auto"/>
                <w:szCs w:val="21"/>
              </w:rPr>
            </w:pPr>
            <w:r>
              <w:rPr>
                <w:rFonts w:hint="eastAsia" w:ascii="宋体" w:hAnsi="宋体" w:cs="宋体"/>
                <w:b/>
                <w:bCs/>
                <w:color w:val="auto"/>
              </w:rPr>
              <w:t>（</w:t>
            </w:r>
            <w:r>
              <w:rPr>
                <w:rFonts w:hint="eastAsia" w:ascii="宋体" w:hAnsi="宋体" w:cs="宋体"/>
                <w:b/>
                <w:bCs/>
                <w:color w:val="auto"/>
                <w:lang w:val="en-US" w:eastAsia="zh-CN"/>
              </w:rPr>
              <w:t>20</w:t>
            </w:r>
            <w:r>
              <w:rPr>
                <w:rFonts w:hint="eastAsia" w:ascii="宋体" w:hAnsi="宋体" w:cs="宋体"/>
                <w:b/>
                <w:bCs/>
                <w:color w:val="auto"/>
              </w:rPr>
              <w:t>分）</w:t>
            </w:r>
            <w:bookmarkEnd w:id="539"/>
          </w:p>
        </w:tc>
        <w:tc>
          <w:tcPr>
            <w:tcW w:w="5419" w:type="dxa"/>
            <w:vAlign w:val="center"/>
          </w:tcPr>
          <w:p w14:paraId="2FE5DE36">
            <w:pPr>
              <w:pStyle w:val="22"/>
              <w:spacing w:before="0" w:beforeAutospacing="0" w:after="0" w:afterAutospacing="0" w:line="360" w:lineRule="auto"/>
              <w:rPr>
                <w:rFonts w:ascii="宋体" w:hAnsi="宋体" w:cs="宋体"/>
                <w:b/>
                <w:color w:val="auto"/>
                <w:szCs w:val="21"/>
              </w:rPr>
            </w:pPr>
            <w:r>
              <w:rPr>
                <w:rFonts w:hint="eastAsia" w:ascii="宋体" w:hAnsi="宋体" w:cs="宋体"/>
                <w:b/>
                <w:color w:val="auto"/>
                <w:sz w:val="21"/>
                <w:szCs w:val="21"/>
                <w:lang w:val="en-US" w:eastAsia="zh-CN"/>
              </w:rPr>
              <w:t>投标人</w:t>
            </w:r>
            <w:r>
              <w:rPr>
                <w:rFonts w:hint="eastAsia" w:ascii="宋体" w:hAnsi="宋体" w:cs="宋体"/>
                <w:b/>
                <w:color w:val="auto"/>
                <w:sz w:val="21"/>
                <w:szCs w:val="21"/>
              </w:rPr>
              <w:t>需要对招标文件“第五章 采购需求”中的《</w:t>
            </w:r>
            <w:r>
              <w:rPr>
                <w:rFonts w:hint="eastAsia" w:ascii="宋体" w:hAnsi="宋体" w:cs="宋体"/>
                <w:b/>
                <w:bCs/>
                <w:color w:val="auto"/>
                <w:sz w:val="21"/>
                <w:szCs w:val="21"/>
                <w:shd w:val="clear" w:color="auto" w:fill="FFFFFF"/>
              </w:rPr>
              <w:t>三、采购标的需满足的质量、安全、技术规格、物理特性等要求：</w:t>
            </w:r>
            <w:r>
              <w:rPr>
                <w:rFonts w:hint="eastAsia" w:ascii="宋体" w:hAnsi="宋体" w:cs="宋体"/>
                <w:b/>
                <w:color w:val="auto"/>
                <w:szCs w:val="21"/>
              </w:rPr>
              <w:t>》</w:t>
            </w:r>
            <w:r>
              <w:rPr>
                <w:rFonts w:hint="eastAsia" w:ascii="宋体" w:hAnsi="宋体" w:cs="宋体"/>
                <w:b/>
                <w:bCs/>
                <w:color w:val="auto"/>
                <w:sz w:val="21"/>
                <w:szCs w:val="21"/>
                <w:shd w:val="clear" w:color="auto" w:fill="FFFFFF"/>
              </w:rPr>
              <w:t>的响应情况进行评审，评审规则如下：</w:t>
            </w:r>
          </w:p>
          <w:p w14:paraId="7E22FBAB">
            <w:pPr>
              <w:ind w:left="2" w:leftChars="1" w:right="2" w:rightChars="1"/>
              <w:jc w:val="both"/>
              <w:rPr>
                <w:rFonts w:ascii="宋体" w:hAnsi="宋体"/>
                <w:color w:val="auto"/>
                <w:szCs w:val="21"/>
              </w:rPr>
            </w:pPr>
            <w:r>
              <w:rPr>
                <w:rFonts w:hint="eastAsia" w:ascii="宋体" w:hAnsi="宋体" w:eastAsia="宋体" w:cs="宋体"/>
                <w:b/>
                <w:bCs/>
                <w:color w:val="auto"/>
                <w:kern w:val="0"/>
                <w:sz w:val="21"/>
                <w:szCs w:val="21"/>
                <w:shd w:val="clear" w:color="auto" w:fill="FFFFFF"/>
                <w:lang w:val="en-US" w:eastAsia="zh-CN" w:bidi="ar-SA"/>
              </w:rPr>
              <w:t>全部满足得20分，▲代表重要技术参数，每有一条不满足扣3分，其他为一般技术参数，每有一条不满足扣0.5分。</w:t>
            </w:r>
          </w:p>
          <w:p w14:paraId="664081B4">
            <w:pPr>
              <w:spacing w:line="360" w:lineRule="auto"/>
              <w:rPr>
                <w:rFonts w:ascii="宋体" w:hAnsi="宋体" w:cs="宋体"/>
                <w:color w:val="auto"/>
                <w:szCs w:val="21"/>
              </w:rPr>
            </w:pPr>
            <w:r>
              <w:rPr>
                <w:rFonts w:hint="eastAsia" w:cs="宋体"/>
                <w:b/>
                <w:bCs/>
                <w:color w:val="auto"/>
                <w:szCs w:val="21"/>
              </w:rPr>
              <w:t>注：</w:t>
            </w:r>
            <w:r>
              <w:rPr>
                <w:rFonts w:hint="eastAsia" w:ascii="宋体" w:hAnsi="宋体" w:eastAsia="宋体" w:cs="宋体"/>
                <w:b/>
                <w:bCs/>
                <w:color w:val="auto"/>
                <w:kern w:val="0"/>
                <w:sz w:val="21"/>
                <w:szCs w:val="21"/>
                <w:shd w:val="clear" w:color="auto" w:fill="FFFFFF"/>
                <w:lang w:val="en-US" w:eastAsia="zh-CN" w:bidi="ar-SA"/>
              </w:rPr>
              <w:t>技术参数</w:t>
            </w:r>
            <w:r>
              <w:rPr>
                <w:rFonts w:hint="eastAsia" w:cs="宋体"/>
                <w:b/>
                <w:bCs/>
                <w:color w:val="auto"/>
                <w:szCs w:val="21"/>
              </w:rPr>
              <w:t>的响应程度的评审参考投标人提供的技术规格偏离表，具体以投标人提供的技术指标的证明材料响应程度为准。</w:t>
            </w:r>
          </w:p>
        </w:tc>
      </w:tr>
      <w:tr w14:paraId="7FA18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797" w:type="dxa"/>
            <w:vMerge w:val="continue"/>
            <w:vAlign w:val="center"/>
          </w:tcPr>
          <w:p w14:paraId="17566EF9">
            <w:pPr>
              <w:spacing w:line="360" w:lineRule="auto"/>
              <w:jc w:val="center"/>
              <w:rPr>
                <w:rFonts w:ascii="宋体" w:hAnsi="宋体" w:cs="宋体"/>
                <w:b/>
                <w:color w:val="auto"/>
                <w:szCs w:val="21"/>
              </w:rPr>
            </w:pPr>
          </w:p>
        </w:tc>
        <w:tc>
          <w:tcPr>
            <w:tcW w:w="2011" w:type="dxa"/>
            <w:vMerge w:val="continue"/>
            <w:vAlign w:val="center"/>
          </w:tcPr>
          <w:p w14:paraId="764DB421">
            <w:pPr>
              <w:spacing w:line="360" w:lineRule="auto"/>
              <w:jc w:val="center"/>
              <w:rPr>
                <w:rFonts w:ascii="宋体" w:hAnsi="宋体" w:cs="宋体"/>
                <w:color w:val="auto"/>
                <w:szCs w:val="21"/>
              </w:rPr>
            </w:pPr>
          </w:p>
        </w:tc>
        <w:tc>
          <w:tcPr>
            <w:tcW w:w="2012" w:type="dxa"/>
            <w:vAlign w:val="center"/>
          </w:tcPr>
          <w:p w14:paraId="5AD5CDD9">
            <w:pPr>
              <w:spacing w:line="440" w:lineRule="exact"/>
              <w:contextualSpacing/>
              <w:jc w:val="center"/>
              <w:rPr>
                <w:rFonts w:ascii="宋体" w:hAnsi="宋体" w:cs="宋体"/>
                <w:b/>
                <w:bCs/>
                <w:color w:val="auto"/>
                <w:szCs w:val="21"/>
              </w:rPr>
            </w:pPr>
            <w:r>
              <w:rPr>
                <w:rFonts w:hint="eastAsia" w:ascii="宋体" w:hAnsi="宋体"/>
                <w:b/>
                <w:bCs/>
                <w:color w:val="auto"/>
                <w:szCs w:val="21"/>
              </w:rPr>
              <w:t>需求分析</w:t>
            </w:r>
            <w:r>
              <w:rPr>
                <w:rFonts w:hint="eastAsia" w:ascii="宋体" w:hAnsi="宋体" w:cs="宋体"/>
                <w:b/>
                <w:bCs/>
                <w:color w:val="auto"/>
              </w:rPr>
              <w:t>（</w:t>
            </w:r>
            <w:r>
              <w:rPr>
                <w:rFonts w:hint="eastAsia" w:ascii="宋体" w:hAnsi="宋体" w:cs="宋体"/>
                <w:b/>
                <w:bCs/>
                <w:color w:val="auto"/>
                <w:lang w:val="en-US" w:eastAsia="zh-CN"/>
              </w:rPr>
              <w:t>6</w:t>
            </w:r>
            <w:r>
              <w:rPr>
                <w:rFonts w:hint="eastAsia" w:ascii="宋体" w:hAnsi="宋体" w:cs="宋体"/>
                <w:b/>
                <w:bCs/>
                <w:color w:val="auto"/>
              </w:rPr>
              <w:t>分）</w:t>
            </w:r>
          </w:p>
        </w:tc>
        <w:tc>
          <w:tcPr>
            <w:tcW w:w="5419" w:type="dxa"/>
            <w:vAlign w:val="center"/>
          </w:tcPr>
          <w:p w14:paraId="1DDDFAF4">
            <w:pPr>
              <w:adjustRightInd w:val="0"/>
              <w:snapToGrid w:val="0"/>
              <w:jc w:val="left"/>
              <w:rPr>
                <w:rFonts w:hint="eastAsia" w:ascii="宋体" w:hAnsi="宋体" w:cs="宋体"/>
                <w:color w:val="auto"/>
              </w:rPr>
            </w:pPr>
            <w:r>
              <w:rPr>
                <w:rFonts w:hint="eastAsia" w:ascii="宋体" w:hAnsi="宋体" w:cs="宋体"/>
                <w:color w:val="auto"/>
              </w:rPr>
              <w:t>根据</w:t>
            </w:r>
            <w:r>
              <w:rPr>
                <w:rFonts w:hint="eastAsia" w:ascii="宋体" w:hAnsi="宋体" w:cs="宋体"/>
                <w:color w:val="auto"/>
                <w:lang w:val="en-US" w:eastAsia="zh-CN"/>
              </w:rPr>
              <w:t>投标人</w:t>
            </w:r>
            <w:r>
              <w:rPr>
                <w:rFonts w:hint="eastAsia" w:ascii="宋体" w:hAnsi="宋体" w:cs="宋体"/>
                <w:color w:val="auto"/>
              </w:rPr>
              <w:t>的产品选型、施工过程中重点难点分析及解决方案，进行比较打分:</w:t>
            </w:r>
          </w:p>
          <w:p w14:paraId="40CBA9AB">
            <w:pPr>
              <w:adjustRightInd w:val="0"/>
              <w:snapToGrid w:val="0"/>
              <w:jc w:val="left"/>
              <w:rPr>
                <w:rFonts w:hint="eastAsia" w:ascii="宋体" w:hAnsi="宋体" w:cs="宋体"/>
                <w:color w:val="auto"/>
              </w:rPr>
            </w:pPr>
            <w:r>
              <w:rPr>
                <w:rFonts w:hint="eastAsia" w:ascii="宋体" w:hAnsi="宋体" w:cs="宋体"/>
                <w:color w:val="auto"/>
                <w:lang w:val="en-US" w:eastAsia="zh-CN"/>
              </w:rPr>
              <w:t>①</w:t>
            </w:r>
            <w:r>
              <w:rPr>
                <w:rFonts w:hint="eastAsia" w:ascii="宋体" w:hAnsi="宋体" w:cs="宋体"/>
                <w:color w:val="auto"/>
              </w:rPr>
              <w:t>产品选型、施工过程中难点分析并解决方案内容详细完整，思路清晰，考虑问题周全，符合实际需求，针对性强，得6分;</w:t>
            </w:r>
          </w:p>
          <w:p w14:paraId="7E163889">
            <w:pPr>
              <w:adjustRightInd w:val="0"/>
              <w:snapToGrid w:val="0"/>
              <w:jc w:val="left"/>
              <w:rPr>
                <w:rFonts w:hint="eastAsia" w:ascii="宋体" w:hAnsi="宋体" w:cs="宋体"/>
                <w:color w:val="auto"/>
              </w:rPr>
            </w:pPr>
            <w:r>
              <w:rPr>
                <w:rFonts w:hint="eastAsia" w:ascii="宋体" w:hAnsi="宋体" w:cs="宋体"/>
                <w:color w:val="auto"/>
                <w:lang w:val="en-US" w:eastAsia="zh-CN"/>
              </w:rPr>
              <w:t>②</w:t>
            </w:r>
            <w:r>
              <w:rPr>
                <w:rFonts w:hint="eastAsia" w:ascii="宋体" w:hAnsi="宋体" w:cs="宋体"/>
                <w:color w:val="auto"/>
              </w:rPr>
              <w:t>产品选型、施工过程中难点分析并解决方案提供了文案大纲，思路不够清晰，考虑问题不够周全,针对性可行性较弱，得3分;</w:t>
            </w:r>
          </w:p>
          <w:p w14:paraId="23386B54">
            <w:pPr>
              <w:adjustRightInd w:val="0"/>
              <w:snapToGrid w:val="0"/>
              <w:jc w:val="left"/>
              <w:rPr>
                <w:rFonts w:hint="eastAsia" w:ascii="宋体" w:hAnsi="宋体" w:cs="宋体"/>
                <w:color w:val="auto"/>
              </w:rPr>
            </w:pPr>
            <w:r>
              <w:rPr>
                <w:rFonts w:hint="eastAsia" w:ascii="宋体" w:hAnsi="宋体" w:cs="宋体"/>
                <w:color w:val="auto"/>
                <w:lang w:val="en-US" w:eastAsia="zh-CN"/>
              </w:rPr>
              <w:t>③</w:t>
            </w:r>
            <w:r>
              <w:rPr>
                <w:rFonts w:hint="eastAsia" w:ascii="宋体" w:hAnsi="宋体" w:cs="宋体"/>
                <w:color w:val="auto"/>
              </w:rPr>
              <w:t>产品选型、施工过程中难点分析并解决方案内容不全面，考虑问题不周全，缺乏针对性，得1分;</w:t>
            </w:r>
          </w:p>
          <w:p w14:paraId="24285084">
            <w:pPr>
              <w:adjustRightInd w:val="0"/>
              <w:snapToGrid w:val="0"/>
              <w:jc w:val="left"/>
              <w:rPr>
                <w:rFonts w:ascii="宋体" w:hAnsi="宋体"/>
                <w:b/>
                <w:bCs/>
                <w:color w:val="auto"/>
                <w:szCs w:val="21"/>
              </w:rPr>
            </w:pPr>
            <w:r>
              <w:rPr>
                <w:rFonts w:hint="eastAsia" w:ascii="宋体" w:hAnsi="宋体" w:cs="宋体"/>
                <w:color w:val="auto"/>
                <w:lang w:val="en-US" w:eastAsia="zh-CN"/>
              </w:rPr>
              <w:t>④</w:t>
            </w:r>
            <w:r>
              <w:rPr>
                <w:rFonts w:hint="eastAsia" w:ascii="宋体" w:hAnsi="宋体" w:cs="宋体"/>
                <w:color w:val="auto"/>
              </w:rPr>
              <w:t>否则不得分。</w:t>
            </w:r>
          </w:p>
        </w:tc>
      </w:tr>
      <w:tr w14:paraId="3CEB3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97" w:type="dxa"/>
            <w:vMerge w:val="continue"/>
            <w:vAlign w:val="center"/>
          </w:tcPr>
          <w:p w14:paraId="6D60F8ED">
            <w:pPr>
              <w:spacing w:line="360" w:lineRule="auto"/>
              <w:jc w:val="center"/>
              <w:rPr>
                <w:rFonts w:ascii="宋体" w:hAnsi="宋体" w:cs="宋体"/>
                <w:b/>
                <w:color w:val="auto"/>
                <w:szCs w:val="21"/>
              </w:rPr>
            </w:pPr>
          </w:p>
        </w:tc>
        <w:tc>
          <w:tcPr>
            <w:tcW w:w="2011" w:type="dxa"/>
            <w:vMerge w:val="continue"/>
            <w:vAlign w:val="center"/>
          </w:tcPr>
          <w:p w14:paraId="41FB9334">
            <w:pPr>
              <w:spacing w:line="360" w:lineRule="auto"/>
              <w:jc w:val="center"/>
              <w:rPr>
                <w:rFonts w:ascii="宋体" w:hAnsi="宋体" w:cs="宋体"/>
                <w:b/>
                <w:color w:val="auto"/>
                <w:szCs w:val="21"/>
              </w:rPr>
            </w:pPr>
          </w:p>
        </w:tc>
        <w:tc>
          <w:tcPr>
            <w:tcW w:w="2012" w:type="dxa"/>
            <w:vAlign w:val="center"/>
          </w:tcPr>
          <w:p w14:paraId="48BF4F4B">
            <w:pPr>
              <w:adjustRightInd w:val="0"/>
              <w:snapToGrid w:val="0"/>
              <w:spacing w:line="400" w:lineRule="exact"/>
              <w:jc w:val="left"/>
              <w:rPr>
                <w:rFonts w:ascii="宋体" w:hAnsi="宋体" w:cs="宋体"/>
                <w:color w:val="auto"/>
                <w:szCs w:val="21"/>
              </w:rPr>
            </w:pPr>
            <w:r>
              <w:rPr>
                <w:rFonts w:hint="eastAsia" w:ascii="宋体" w:hAnsi="宋体" w:cs="宋体"/>
                <w:b/>
                <w:bCs/>
                <w:color w:val="auto"/>
              </w:rPr>
              <w:t>供货及实施方案 （</w:t>
            </w:r>
            <w:r>
              <w:rPr>
                <w:rFonts w:hint="eastAsia" w:ascii="宋体" w:hAnsi="宋体" w:cs="宋体"/>
                <w:b/>
                <w:bCs/>
                <w:color w:val="auto"/>
                <w:lang w:val="en-US" w:eastAsia="zh-CN"/>
              </w:rPr>
              <w:t>8</w:t>
            </w:r>
            <w:r>
              <w:rPr>
                <w:rFonts w:hint="eastAsia" w:ascii="宋体" w:hAnsi="宋体" w:cs="宋体"/>
                <w:b/>
                <w:bCs/>
                <w:color w:val="auto"/>
              </w:rPr>
              <w:t>分）</w:t>
            </w:r>
          </w:p>
        </w:tc>
        <w:tc>
          <w:tcPr>
            <w:tcW w:w="5419" w:type="dxa"/>
            <w:vAlign w:val="center"/>
          </w:tcPr>
          <w:p w14:paraId="03E2029A">
            <w:pPr>
              <w:adjustRightInd w:val="0"/>
              <w:snapToGrid w:val="0"/>
              <w:jc w:val="left"/>
              <w:rPr>
                <w:rFonts w:hint="eastAsia" w:ascii="宋体" w:hAnsi="宋体" w:cs="宋体"/>
                <w:color w:val="auto"/>
              </w:rPr>
            </w:pPr>
            <w:r>
              <w:rPr>
                <w:rFonts w:hint="eastAsia" w:ascii="宋体" w:hAnsi="宋体" w:cs="宋体"/>
                <w:color w:val="auto"/>
              </w:rPr>
              <w:t>包括</w:t>
            </w:r>
            <w:r>
              <w:rPr>
                <w:rFonts w:hint="eastAsia" w:ascii="宋体" w:hAnsi="宋体" w:cs="宋体"/>
                <w:color w:val="auto"/>
                <w:lang w:val="en-US" w:eastAsia="zh-CN"/>
              </w:rPr>
              <w:t>但不限于：</w:t>
            </w:r>
            <w:r>
              <w:rPr>
                <w:rFonts w:hint="eastAsia" w:ascii="宋体" w:hAnsi="宋体" w:cs="宋体"/>
                <w:color w:val="auto"/>
              </w:rPr>
              <w:t>产品结构图、供货流程、安装调试组织措施完善，并针对本项目特点做出合理计划及调配，人员安排具体、分工合理、责任明确，能保质保量按期供货及完成调试安装工作，能保证产品的顺利使用等内容。</w:t>
            </w:r>
          </w:p>
          <w:p w14:paraId="449B530C">
            <w:pPr>
              <w:adjustRightInd w:val="0"/>
              <w:snapToGrid w:val="0"/>
              <w:jc w:val="left"/>
              <w:rPr>
                <w:rFonts w:hint="eastAsia" w:ascii="宋体" w:hAnsi="宋体" w:cs="宋体"/>
                <w:color w:val="auto"/>
              </w:rPr>
            </w:pPr>
            <w:r>
              <w:rPr>
                <w:rFonts w:hint="eastAsia" w:ascii="宋体" w:hAnsi="宋体" w:cs="宋体"/>
                <w:color w:val="auto"/>
                <w:lang w:val="en-US" w:eastAsia="zh-CN"/>
              </w:rPr>
              <w:t>①</w:t>
            </w:r>
            <w:r>
              <w:rPr>
                <w:rFonts w:hint="eastAsia" w:ascii="宋体" w:hAnsi="宋体" w:cs="宋体"/>
                <w:color w:val="auto"/>
              </w:rPr>
              <w:t>供货及实施方案整体安排科学合理、详细全面、可行性强的得8分；</w:t>
            </w:r>
          </w:p>
          <w:p w14:paraId="2354AC7D">
            <w:pPr>
              <w:adjustRightInd w:val="0"/>
              <w:snapToGrid w:val="0"/>
              <w:jc w:val="left"/>
              <w:rPr>
                <w:rFonts w:hint="eastAsia" w:ascii="宋体" w:hAnsi="宋体" w:cs="宋体"/>
                <w:color w:val="auto"/>
              </w:rPr>
            </w:pPr>
            <w:r>
              <w:rPr>
                <w:rFonts w:hint="eastAsia" w:ascii="宋体" w:hAnsi="宋体" w:cs="宋体"/>
                <w:color w:val="auto"/>
                <w:lang w:val="en-US" w:eastAsia="zh-CN"/>
              </w:rPr>
              <w:t>②</w:t>
            </w:r>
            <w:r>
              <w:rPr>
                <w:rFonts w:hint="eastAsia" w:ascii="宋体" w:hAnsi="宋体" w:cs="宋体"/>
                <w:color w:val="auto"/>
              </w:rPr>
              <w:t>供货及实施方案整体安排较合理、较详细全面、可行性较强的得5分；</w:t>
            </w:r>
          </w:p>
          <w:p w14:paraId="7FFC80B5">
            <w:pPr>
              <w:adjustRightInd w:val="0"/>
              <w:snapToGrid w:val="0"/>
              <w:jc w:val="left"/>
              <w:rPr>
                <w:rFonts w:hint="eastAsia" w:ascii="宋体" w:hAnsi="宋体" w:cs="宋体"/>
                <w:color w:val="auto"/>
              </w:rPr>
            </w:pPr>
            <w:r>
              <w:rPr>
                <w:rFonts w:hint="eastAsia" w:ascii="宋体" w:hAnsi="宋体" w:cs="宋体"/>
                <w:color w:val="auto"/>
                <w:lang w:val="en-US" w:eastAsia="zh-CN"/>
              </w:rPr>
              <w:t>③</w:t>
            </w:r>
            <w:r>
              <w:rPr>
                <w:rFonts w:hint="eastAsia" w:ascii="宋体" w:hAnsi="宋体" w:cs="宋体"/>
                <w:color w:val="auto"/>
              </w:rPr>
              <w:t>供货及实施方案整体安排基本合理、较详细全面、有一定可行性的得2分；</w:t>
            </w:r>
          </w:p>
          <w:p w14:paraId="2CF030AE">
            <w:pPr>
              <w:adjustRightInd w:val="0"/>
              <w:snapToGrid w:val="0"/>
              <w:jc w:val="left"/>
              <w:rPr>
                <w:rFonts w:cs="宋体"/>
                <w:bCs/>
                <w:color w:val="auto"/>
                <w:szCs w:val="21"/>
              </w:rPr>
            </w:pPr>
            <w:r>
              <w:rPr>
                <w:rFonts w:hint="eastAsia" w:ascii="宋体" w:hAnsi="宋体" w:cs="宋体"/>
                <w:color w:val="auto"/>
                <w:lang w:val="en-US" w:eastAsia="zh-CN"/>
              </w:rPr>
              <w:t>④</w:t>
            </w:r>
            <w:r>
              <w:rPr>
                <w:rFonts w:hint="eastAsia" w:ascii="宋体" w:hAnsi="宋体" w:cs="宋体"/>
                <w:color w:val="auto"/>
              </w:rPr>
              <w:t>否则不得分。</w:t>
            </w:r>
          </w:p>
        </w:tc>
      </w:tr>
      <w:tr w14:paraId="7F380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97" w:type="dxa"/>
            <w:vMerge w:val="continue"/>
            <w:vAlign w:val="center"/>
          </w:tcPr>
          <w:p w14:paraId="591BA0F5">
            <w:pPr>
              <w:spacing w:line="360" w:lineRule="auto"/>
              <w:jc w:val="center"/>
              <w:rPr>
                <w:rFonts w:ascii="宋体" w:hAnsi="宋体" w:cs="宋体"/>
                <w:b/>
                <w:color w:val="auto"/>
                <w:szCs w:val="21"/>
              </w:rPr>
            </w:pPr>
            <w:bookmarkStart w:id="540" w:name="_Toc31672"/>
            <w:bookmarkStart w:id="541" w:name="_Toc849"/>
            <w:bookmarkStart w:id="542" w:name="_Toc88128116"/>
            <w:bookmarkStart w:id="543" w:name="_Toc25383"/>
            <w:bookmarkStart w:id="544" w:name="_Toc6006"/>
          </w:p>
        </w:tc>
        <w:tc>
          <w:tcPr>
            <w:tcW w:w="2011" w:type="dxa"/>
            <w:vMerge w:val="continue"/>
            <w:vAlign w:val="center"/>
          </w:tcPr>
          <w:p w14:paraId="0C23E538">
            <w:pPr>
              <w:spacing w:line="360" w:lineRule="auto"/>
              <w:jc w:val="center"/>
              <w:rPr>
                <w:rFonts w:ascii="宋体" w:hAnsi="宋体" w:cs="宋体"/>
                <w:b/>
                <w:color w:val="auto"/>
                <w:szCs w:val="21"/>
              </w:rPr>
            </w:pPr>
          </w:p>
        </w:tc>
        <w:tc>
          <w:tcPr>
            <w:tcW w:w="2012" w:type="dxa"/>
            <w:vAlign w:val="center"/>
          </w:tcPr>
          <w:p w14:paraId="7B3E54F2">
            <w:pPr>
              <w:spacing w:line="440" w:lineRule="exact"/>
              <w:contextualSpacing/>
              <w:jc w:val="both"/>
              <w:rPr>
                <w:rFonts w:ascii="宋体" w:hAnsi="宋体" w:cs="宋体"/>
                <w:b/>
                <w:bCs/>
                <w:color w:val="auto"/>
                <w:szCs w:val="21"/>
              </w:rPr>
            </w:pPr>
            <w:r>
              <w:rPr>
                <w:rFonts w:hint="eastAsia" w:ascii="宋体" w:hAnsi="宋体" w:cs="宋体"/>
                <w:b/>
                <w:bCs/>
                <w:color w:val="auto"/>
                <w:szCs w:val="21"/>
              </w:rPr>
              <w:t>售后服务方案</w:t>
            </w:r>
            <w:r>
              <w:rPr>
                <w:rFonts w:hint="eastAsia" w:ascii="宋体" w:hAnsi="宋体" w:cs="宋体"/>
                <w:b/>
                <w:bCs/>
                <w:color w:val="auto"/>
              </w:rPr>
              <w:t>（</w:t>
            </w:r>
            <w:r>
              <w:rPr>
                <w:rFonts w:hint="eastAsia" w:ascii="宋体" w:hAnsi="宋体" w:cs="宋体"/>
                <w:b/>
                <w:bCs/>
                <w:color w:val="auto"/>
                <w:lang w:val="en-US" w:eastAsia="zh-CN"/>
              </w:rPr>
              <w:t>8</w:t>
            </w:r>
            <w:r>
              <w:rPr>
                <w:rFonts w:hint="eastAsia" w:ascii="宋体" w:hAnsi="宋体" w:cs="宋体"/>
                <w:b/>
                <w:bCs/>
                <w:color w:val="auto"/>
              </w:rPr>
              <w:t>分）</w:t>
            </w:r>
          </w:p>
        </w:tc>
        <w:tc>
          <w:tcPr>
            <w:tcW w:w="5419" w:type="dxa"/>
            <w:vAlign w:val="center"/>
          </w:tcPr>
          <w:p w14:paraId="42AA0898">
            <w:pPr>
              <w:adjustRightInd w:val="0"/>
              <w:snapToGrid w:val="0"/>
              <w:jc w:val="left"/>
              <w:rPr>
                <w:rFonts w:hint="eastAsia" w:ascii="宋体" w:hAnsi="宋体" w:eastAsia="宋体" w:cs="宋体"/>
                <w:color w:val="auto"/>
                <w:lang w:val="en-US" w:eastAsia="zh-CN"/>
              </w:rPr>
            </w:pPr>
            <w:r>
              <w:rPr>
                <w:rFonts w:hint="eastAsia" w:ascii="宋体" w:hAnsi="宋体" w:eastAsia="宋体" w:cs="宋体"/>
                <w:color w:val="auto"/>
                <w:lang w:val="en-US" w:eastAsia="zh-CN"/>
              </w:rPr>
              <w:t>包括但不限于：有效的售后资料文件、售后服务机构设置、人员配备、装备情况、售后服务培训等内容。</w:t>
            </w:r>
          </w:p>
          <w:p w14:paraId="301EAA42">
            <w:pPr>
              <w:adjustRightInd w:val="0"/>
              <w:snapToGrid w:val="0"/>
              <w:jc w:val="left"/>
              <w:rPr>
                <w:rFonts w:hint="eastAsia" w:ascii="宋体" w:hAnsi="宋体" w:eastAsia="宋体" w:cs="宋体"/>
                <w:color w:val="auto"/>
                <w:lang w:val="en-US" w:eastAsia="zh-CN"/>
              </w:rPr>
            </w:pPr>
            <w:r>
              <w:rPr>
                <w:rFonts w:hint="eastAsia" w:ascii="宋体" w:hAnsi="宋体" w:eastAsia="宋体" w:cs="宋体"/>
                <w:color w:val="auto"/>
                <w:lang w:val="en-US" w:eastAsia="zh-CN"/>
              </w:rPr>
              <w:t>①方案全面具体、售后服务质量好、培训管理体系完善、完全满足项目要求，要点清晰、切合实际，服务标准高的得9分；</w:t>
            </w:r>
          </w:p>
          <w:p w14:paraId="49FF7A2B">
            <w:pPr>
              <w:adjustRightInd w:val="0"/>
              <w:snapToGrid w:val="0"/>
              <w:jc w:val="left"/>
              <w:rPr>
                <w:rFonts w:hint="default" w:ascii="宋体" w:hAnsi="宋体" w:eastAsia="宋体" w:cs="宋体"/>
                <w:color w:val="auto"/>
                <w:lang w:val="en-US" w:eastAsia="zh-CN"/>
              </w:rPr>
            </w:pPr>
            <w:r>
              <w:rPr>
                <w:rFonts w:hint="eastAsia" w:ascii="宋体" w:hAnsi="宋体" w:eastAsia="宋体" w:cs="宋体"/>
                <w:color w:val="auto"/>
                <w:lang w:val="en-US" w:eastAsia="zh-CN"/>
              </w:rPr>
              <w:t>②方案较全面、能够满足项目要求，售后服务质量一般、培训管理体系较为完善，要点较清晰、基本切合实际，服务标准较高的得5分；</w:t>
            </w:r>
          </w:p>
          <w:p w14:paraId="63FBC291">
            <w:pPr>
              <w:adjustRightInd w:val="0"/>
              <w:snapToGrid w:val="0"/>
              <w:jc w:val="left"/>
              <w:rPr>
                <w:rFonts w:hint="eastAsia" w:ascii="宋体" w:hAnsi="宋体" w:eastAsia="宋体" w:cs="宋体"/>
                <w:color w:val="auto"/>
                <w:lang w:val="en-US" w:eastAsia="zh-CN"/>
              </w:rPr>
            </w:pPr>
            <w:r>
              <w:rPr>
                <w:rFonts w:hint="eastAsia" w:ascii="宋体" w:hAnsi="宋体" w:eastAsia="宋体" w:cs="宋体"/>
                <w:color w:val="auto"/>
                <w:lang w:val="en-US" w:eastAsia="zh-CN"/>
              </w:rPr>
              <w:t>③方案编制简单、不全面，服务标准模糊的得2分；</w:t>
            </w:r>
          </w:p>
          <w:p w14:paraId="3EF8CDDD">
            <w:pPr>
              <w:adjustRightInd w:val="0"/>
              <w:snapToGrid w:val="0"/>
              <w:jc w:val="left"/>
              <w:rPr>
                <w:rFonts w:cs="宋体"/>
                <w:bCs/>
                <w:color w:val="auto"/>
                <w:szCs w:val="21"/>
              </w:rPr>
            </w:pPr>
            <w:r>
              <w:rPr>
                <w:rFonts w:hint="eastAsia" w:ascii="宋体" w:hAnsi="宋体" w:eastAsia="宋体" w:cs="宋体"/>
                <w:color w:val="auto"/>
                <w:lang w:val="en-US" w:eastAsia="zh-CN"/>
              </w:rPr>
              <w:t>④否则不得分。</w:t>
            </w:r>
          </w:p>
        </w:tc>
      </w:tr>
      <w:tr w14:paraId="082C2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97" w:type="dxa"/>
            <w:vMerge w:val="continue"/>
            <w:vAlign w:val="center"/>
          </w:tcPr>
          <w:p w14:paraId="6A4E45DA">
            <w:pPr>
              <w:spacing w:line="360" w:lineRule="auto"/>
              <w:jc w:val="center"/>
              <w:rPr>
                <w:rFonts w:ascii="宋体" w:hAnsi="宋体" w:cs="宋体"/>
                <w:b/>
                <w:color w:val="auto"/>
                <w:szCs w:val="21"/>
              </w:rPr>
            </w:pPr>
          </w:p>
        </w:tc>
        <w:tc>
          <w:tcPr>
            <w:tcW w:w="2011" w:type="dxa"/>
            <w:vMerge w:val="continue"/>
            <w:vAlign w:val="center"/>
          </w:tcPr>
          <w:p w14:paraId="0E6A32B8">
            <w:pPr>
              <w:spacing w:line="360" w:lineRule="auto"/>
              <w:jc w:val="center"/>
              <w:rPr>
                <w:rFonts w:ascii="宋体" w:hAnsi="宋体" w:cs="宋体"/>
                <w:b/>
                <w:color w:val="auto"/>
                <w:szCs w:val="21"/>
              </w:rPr>
            </w:pPr>
          </w:p>
        </w:tc>
        <w:tc>
          <w:tcPr>
            <w:tcW w:w="2012" w:type="dxa"/>
            <w:vAlign w:val="center"/>
          </w:tcPr>
          <w:p w14:paraId="74518A41">
            <w:pPr>
              <w:pStyle w:val="6"/>
              <w:spacing w:line="360" w:lineRule="auto"/>
              <w:jc w:val="left"/>
              <w:rPr>
                <w:rFonts w:hint="eastAsia" w:ascii="宋体" w:hAnsi="宋体" w:cs="宋体"/>
                <w:b/>
                <w:bCs/>
                <w:color w:val="auto"/>
                <w:szCs w:val="21"/>
              </w:rPr>
            </w:pPr>
            <w:r>
              <w:rPr>
                <w:rFonts w:hint="eastAsia" w:ascii="宋体" w:hAnsi="宋体"/>
                <w:color w:val="auto"/>
                <w:sz w:val="21"/>
                <w:szCs w:val="21"/>
                <w:lang w:val="en-US" w:eastAsia="zh-CN"/>
              </w:rPr>
              <w:t>拟投入本项目</w:t>
            </w:r>
            <w:r>
              <w:rPr>
                <w:rFonts w:hint="eastAsia" w:ascii="宋体" w:hAnsi="宋体"/>
                <w:color w:val="auto"/>
                <w:sz w:val="21"/>
                <w:szCs w:val="21"/>
              </w:rPr>
              <w:t>技术人员</w:t>
            </w:r>
            <w:r>
              <w:rPr>
                <w:rFonts w:hint="eastAsia" w:ascii="宋体" w:hAnsi="宋体" w:eastAsia="宋体" w:cs="Times New Roman"/>
                <w:color w:val="auto"/>
                <w:sz w:val="21"/>
                <w:szCs w:val="21"/>
                <w:lang w:val="en-US" w:eastAsia="zh-CN"/>
              </w:rPr>
              <w:t>（5分）</w:t>
            </w:r>
          </w:p>
        </w:tc>
        <w:tc>
          <w:tcPr>
            <w:tcW w:w="5419" w:type="dxa"/>
            <w:vAlign w:val="center"/>
          </w:tcPr>
          <w:p w14:paraId="52E8699E">
            <w:pPr>
              <w:adjustRightInd w:val="0"/>
              <w:snapToGrid w:val="0"/>
              <w:jc w:val="left"/>
              <w:rPr>
                <w:rFonts w:hint="eastAsia" w:ascii="宋体" w:hAnsi="宋体" w:eastAsia="宋体" w:cs="宋体"/>
                <w:color w:val="auto"/>
                <w:lang w:val="en-US" w:eastAsia="zh-CN"/>
              </w:rPr>
            </w:pPr>
            <w:r>
              <w:rPr>
                <w:rFonts w:hint="eastAsia" w:ascii="宋体" w:hAnsi="宋体" w:eastAsia="宋体" w:cs="宋体"/>
                <w:color w:val="auto"/>
                <w:lang w:val="en-US" w:eastAsia="zh-CN"/>
              </w:rPr>
              <w:t>对投标人</w:t>
            </w:r>
            <w:r>
              <w:rPr>
                <w:rFonts w:hint="eastAsia" w:ascii="宋体" w:hAnsi="宋体"/>
                <w:color w:val="auto"/>
                <w:sz w:val="21"/>
                <w:szCs w:val="21"/>
                <w:lang w:val="en-US" w:eastAsia="zh-CN"/>
              </w:rPr>
              <w:t>拟投入本项目</w:t>
            </w:r>
            <w:r>
              <w:rPr>
                <w:rFonts w:hint="eastAsia" w:ascii="宋体" w:hAnsi="宋体" w:eastAsia="宋体" w:cs="宋体"/>
                <w:color w:val="auto"/>
                <w:lang w:val="en-US" w:eastAsia="zh-CN"/>
              </w:rPr>
              <w:t>技术人员的综合能力进行评审：</w:t>
            </w:r>
          </w:p>
          <w:p w14:paraId="58298713">
            <w:pPr>
              <w:adjustRightInd w:val="0"/>
              <w:snapToGrid w:val="0"/>
              <w:jc w:val="left"/>
              <w:rPr>
                <w:rFonts w:hint="eastAsia" w:ascii="宋体" w:hAnsi="宋体" w:eastAsia="宋体" w:cs="宋体"/>
                <w:color w:val="auto"/>
                <w:lang w:val="en-US" w:eastAsia="zh-CN"/>
              </w:rPr>
            </w:pPr>
            <w:r>
              <w:rPr>
                <w:rFonts w:hint="eastAsia" w:ascii="宋体" w:hAnsi="宋体" w:eastAsia="宋体" w:cs="宋体"/>
                <w:color w:val="auto"/>
                <w:lang w:val="en-US" w:eastAsia="zh-CN"/>
              </w:rPr>
              <w:t>①技术人员种类多，能力强得5分；</w:t>
            </w:r>
          </w:p>
          <w:p w14:paraId="0AA0B995">
            <w:pPr>
              <w:adjustRightInd w:val="0"/>
              <w:snapToGrid w:val="0"/>
              <w:jc w:val="left"/>
              <w:rPr>
                <w:rFonts w:hint="eastAsia" w:ascii="宋体" w:hAnsi="宋体" w:eastAsia="宋体" w:cs="宋体"/>
                <w:color w:val="auto"/>
                <w:lang w:val="en-US" w:eastAsia="zh-CN"/>
              </w:rPr>
            </w:pPr>
            <w:r>
              <w:rPr>
                <w:rFonts w:hint="eastAsia" w:ascii="宋体" w:hAnsi="宋体" w:eastAsia="宋体" w:cs="宋体"/>
                <w:color w:val="auto"/>
                <w:lang w:val="en-US" w:eastAsia="zh-CN"/>
              </w:rPr>
              <w:t>②技术人员种类较多，能力一般得3分；</w:t>
            </w:r>
          </w:p>
          <w:p w14:paraId="2F2C457F">
            <w:pPr>
              <w:adjustRightInd w:val="0"/>
              <w:snapToGrid w:val="0"/>
              <w:jc w:val="left"/>
              <w:rPr>
                <w:rFonts w:hint="eastAsia" w:ascii="宋体" w:hAnsi="宋体" w:eastAsia="宋体" w:cs="宋体"/>
                <w:color w:val="auto"/>
                <w:lang w:val="en-US" w:eastAsia="zh-CN"/>
              </w:rPr>
            </w:pPr>
            <w:r>
              <w:rPr>
                <w:rFonts w:hint="eastAsia" w:ascii="宋体" w:hAnsi="宋体" w:eastAsia="宋体" w:cs="宋体"/>
                <w:color w:val="auto"/>
                <w:lang w:val="en-US" w:eastAsia="zh-CN"/>
              </w:rPr>
              <w:t>③技术人员种类少，能力较弱得1分；</w:t>
            </w:r>
          </w:p>
          <w:p w14:paraId="5A5485FC">
            <w:pPr>
              <w:adjustRightInd w:val="0"/>
              <w:snapToGrid w:val="0"/>
              <w:jc w:val="left"/>
              <w:rPr>
                <w:rFonts w:hint="eastAsia" w:ascii="宋体" w:hAnsi="宋体" w:eastAsia="宋体" w:cs="宋体"/>
                <w:color w:val="auto"/>
                <w:lang w:val="en-US" w:eastAsia="zh-CN"/>
              </w:rPr>
            </w:pPr>
            <w:r>
              <w:rPr>
                <w:rFonts w:hint="eastAsia" w:ascii="宋体" w:hAnsi="宋体" w:eastAsia="宋体" w:cs="宋体"/>
                <w:color w:val="auto"/>
                <w:lang w:val="en-US" w:eastAsia="zh-CN"/>
              </w:rPr>
              <w:t>④未提供不得分。</w:t>
            </w:r>
          </w:p>
        </w:tc>
      </w:tr>
    </w:tbl>
    <w:p w14:paraId="7683C3C7">
      <w:pPr>
        <w:tabs>
          <w:tab w:val="left" w:pos="1080"/>
        </w:tabs>
        <w:snapToGrid w:val="0"/>
        <w:spacing w:line="360" w:lineRule="auto"/>
        <w:ind w:firstLine="422" w:firstLineChars="200"/>
        <w:outlineLvl w:val="2"/>
        <w:rPr>
          <w:rStyle w:val="46"/>
          <w:rFonts w:ascii="宋体" w:hAnsi="宋体"/>
          <w:b/>
          <w:color w:val="auto"/>
          <w:szCs w:val="21"/>
        </w:rPr>
      </w:pPr>
    </w:p>
    <w:p w14:paraId="68FF20B5">
      <w:pPr>
        <w:tabs>
          <w:tab w:val="left" w:pos="1080"/>
        </w:tabs>
        <w:snapToGrid w:val="0"/>
        <w:spacing w:line="360" w:lineRule="auto"/>
        <w:ind w:firstLine="422" w:firstLineChars="200"/>
        <w:outlineLvl w:val="2"/>
        <w:rPr>
          <w:rStyle w:val="46"/>
          <w:rFonts w:ascii="宋体" w:hAnsi="宋体"/>
          <w:b/>
          <w:color w:val="auto"/>
          <w:szCs w:val="21"/>
        </w:rPr>
      </w:pPr>
      <w:bookmarkStart w:id="545" w:name="_Toc14739"/>
      <w:r>
        <w:rPr>
          <w:rStyle w:val="46"/>
          <w:rFonts w:ascii="宋体" w:hAnsi="宋体"/>
          <w:b/>
          <w:color w:val="auto"/>
          <w:szCs w:val="21"/>
        </w:rPr>
        <w:t>2.4 评分要求和统计分数原则</w:t>
      </w:r>
      <w:bookmarkEnd w:id="540"/>
      <w:bookmarkEnd w:id="541"/>
      <w:bookmarkEnd w:id="542"/>
      <w:bookmarkEnd w:id="543"/>
      <w:bookmarkEnd w:id="544"/>
      <w:bookmarkEnd w:id="545"/>
    </w:p>
    <w:p w14:paraId="0483BF42">
      <w:pPr>
        <w:snapToGrid w:val="0"/>
        <w:spacing w:line="360" w:lineRule="auto"/>
        <w:ind w:firstLine="420" w:firstLineChars="200"/>
        <w:rPr>
          <w:rStyle w:val="46"/>
          <w:rFonts w:ascii="宋体" w:hAnsi="宋体"/>
          <w:color w:val="auto"/>
          <w:szCs w:val="21"/>
          <w:lang w:val="zh-CN"/>
        </w:rPr>
      </w:pPr>
      <w:r>
        <w:rPr>
          <w:rStyle w:val="46"/>
          <w:rFonts w:ascii="宋体" w:hAnsi="宋体"/>
          <w:color w:val="auto"/>
          <w:szCs w:val="21"/>
          <w:lang w:val="zh-CN"/>
        </w:rPr>
        <w:t>（1）评标规定：评标时，评标委员会各成员应当独立对每个投标人的投标文件进行评价，并按</w:t>
      </w:r>
      <w:r>
        <w:rPr>
          <w:rStyle w:val="46"/>
          <w:rFonts w:hint="eastAsia" w:ascii="宋体" w:hAnsi="宋体"/>
          <w:color w:val="auto"/>
          <w:szCs w:val="21"/>
          <w:lang w:val="zh-CN"/>
        </w:rPr>
        <w:t>采购文件</w:t>
      </w:r>
      <w:r>
        <w:rPr>
          <w:rStyle w:val="46"/>
          <w:rFonts w:ascii="宋体" w:hAnsi="宋体"/>
          <w:color w:val="auto"/>
          <w:szCs w:val="21"/>
          <w:lang w:val="zh-CN"/>
        </w:rPr>
        <w:t>规定分值评分。</w:t>
      </w:r>
    </w:p>
    <w:p w14:paraId="151562A3">
      <w:pPr>
        <w:tabs>
          <w:tab w:val="left" w:pos="1080"/>
        </w:tabs>
        <w:snapToGrid w:val="0"/>
        <w:spacing w:line="360" w:lineRule="auto"/>
        <w:ind w:firstLine="420" w:firstLineChars="200"/>
        <w:rPr>
          <w:rStyle w:val="46"/>
          <w:rFonts w:ascii="宋体" w:hAnsi="宋体"/>
          <w:color w:val="auto"/>
          <w:szCs w:val="21"/>
          <w:lang w:val="zh-CN"/>
        </w:rPr>
      </w:pPr>
      <w:r>
        <w:rPr>
          <w:rStyle w:val="46"/>
          <w:rFonts w:ascii="宋体" w:hAnsi="宋体"/>
          <w:color w:val="auto"/>
          <w:szCs w:val="21"/>
          <w:lang w:val="zh-CN"/>
        </w:rPr>
        <w:t>（2）统计分数原则：汇总每个投标人的得分</w:t>
      </w:r>
      <w:r>
        <w:rPr>
          <w:rStyle w:val="46"/>
          <w:rFonts w:hint="eastAsia" w:ascii="宋体" w:hAnsi="宋体"/>
          <w:color w:val="auto"/>
          <w:szCs w:val="21"/>
          <w:lang w:val="zh-CN"/>
        </w:rPr>
        <w:t>，</w:t>
      </w:r>
      <w:r>
        <w:rPr>
          <w:rStyle w:val="46"/>
          <w:rFonts w:ascii="宋体" w:hAnsi="宋体"/>
          <w:color w:val="auto"/>
          <w:szCs w:val="21"/>
          <w:lang w:val="zh-CN"/>
        </w:rPr>
        <w:t>并计算所有评标委员会成员对每个投标人的</w:t>
      </w:r>
      <w:r>
        <w:rPr>
          <w:rStyle w:val="46"/>
          <w:rFonts w:hint="eastAsia" w:ascii="宋体" w:hAnsi="宋体"/>
          <w:color w:val="auto"/>
          <w:szCs w:val="21"/>
          <w:lang w:val="zh-CN"/>
        </w:rPr>
        <w:t>评分</w:t>
      </w:r>
      <w:r>
        <w:rPr>
          <w:rStyle w:val="46"/>
          <w:rFonts w:ascii="宋体" w:hAnsi="宋体"/>
          <w:color w:val="auto"/>
          <w:szCs w:val="21"/>
          <w:lang w:val="zh-CN"/>
        </w:rPr>
        <w:t>算术平均值</w:t>
      </w:r>
      <w:r>
        <w:rPr>
          <w:rStyle w:val="46"/>
          <w:rFonts w:hint="eastAsia" w:ascii="宋体" w:hAnsi="宋体"/>
          <w:color w:val="auto"/>
          <w:szCs w:val="21"/>
          <w:lang w:val="zh-CN"/>
        </w:rPr>
        <w:t>，</w:t>
      </w:r>
      <w:r>
        <w:rPr>
          <w:rStyle w:val="46"/>
          <w:rFonts w:ascii="宋体" w:hAnsi="宋体"/>
          <w:color w:val="auto"/>
          <w:szCs w:val="21"/>
          <w:lang w:val="zh-CN"/>
        </w:rPr>
        <w:t>且</w:t>
      </w:r>
      <w:r>
        <w:rPr>
          <w:rStyle w:val="46"/>
          <w:rFonts w:hint="eastAsia" w:ascii="宋体" w:hAnsi="宋体"/>
          <w:color w:val="auto"/>
          <w:szCs w:val="21"/>
          <w:lang w:val="zh-CN"/>
        </w:rPr>
        <w:t>分数保留两位小数</w:t>
      </w:r>
      <w:r>
        <w:rPr>
          <w:rStyle w:val="46"/>
          <w:rFonts w:ascii="宋体" w:hAnsi="宋体"/>
          <w:color w:val="auto"/>
          <w:szCs w:val="21"/>
          <w:lang w:val="zh-CN"/>
        </w:rPr>
        <w:t>。</w:t>
      </w:r>
    </w:p>
    <w:p w14:paraId="287E3375">
      <w:pPr>
        <w:tabs>
          <w:tab w:val="left" w:pos="1080"/>
        </w:tabs>
        <w:spacing w:line="360" w:lineRule="auto"/>
        <w:ind w:firstLine="539" w:firstLineChars="257"/>
        <w:rPr>
          <w:rFonts w:ascii="宋体" w:hAnsi="宋体"/>
          <w:color w:val="auto"/>
        </w:rPr>
      </w:pPr>
      <w:r>
        <w:rPr>
          <w:rStyle w:val="46"/>
          <w:rFonts w:ascii="宋体" w:hAnsi="宋体"/>
          <w:color w:val="auto"/>
          <w:szCs w:val="21"/>
          <w:lang w:val="zh-CN"/>
        </w:rPr>
        <w:t>（</w:t>
      </w:r>
      <w:r>
        <w:rPr>
          <w:rStyle w:val="46"/>
          <w:rFonts w:ascii="宋体" w:hAnsi="宋体"/>
          <w:color w:val="auto"/>
          <w:szCs w:val="21"/>
        </w:rPr>
        <w:t>3</w:t>
      </w:r>
      <w:r>
        <w:rPr>
          <w:rStyle w:val="46"/>
          <w:rFonts w:ascii="宋体" w:hAnsi="宋体"/>
          <w:color w:val="auto"/>
          <w:szCs w:val="21"/>
          <w:lang w:val="zh-CN"/>
        </w:rPr>
        <w:t>）</w:t>
      </w:r>
      <w:r>
        <w:rPr>
          <w:rFonts w:hint="eastAsia" w:ascii="宋体" w:hAnsi="宋体"/>
          <w:color w:val="auto"/>
        </w:rPr>
        <w:t>关于贯彻强制采购节能产品和优先采购节能产品、优先采购环保产品的政策</w:t>
      </w:r>
    </w:p>
    <w:p w14:paraId="129FA7EE">
      <w:pPr>
        <w:tabs>
          <w:tab w:val="left" w:pos="1080"/>
        </w:tabs>
        <w:spacing w:line="360" w:lineRule="auto"/>
        <w:ind w:firstLine="539" w:firstLineChars="257"/>
        <w:rPr>
          <w:rFonts w:ascii="宋体" w:hAnsi="宋体"/>
          <w:color w:val="auto"/>
        </w:rPr>
      </w:pPr>
      <w:r>
        <w:rPr>
          <w:rFonts w:hint="eastAsia" w:ascii="宋体" w:hAnsi="宋体"/>
          <w:color w:val="auto"/>
        </w:rPr>
        <w:t>对《节能产品政府采购品目清单》所列的政府强制采购节能产品，投标文件中应提供具有国家确定的认证机构出具的、处于有效期之内的节能产品或环境标志产品认证证书，否则将承担其投标被视为非实质性响应投标的风险。</w:t>
      </w:r>
    </w:p>
    <w:p w14:paraId="7451E10E">
      <w:pPr>
        <w:tabs>
          <w:tab w:val="left" w:pos="1080"/>
        </w:tabs>
        <w:spacing w:line="360" w:lineRule="auto"/>
        <w:ind w:firstLine="539" w:firstLineChars="257"/>
        <w:rPr>
          <w:rFonts w:ascii="宋体" w:hAnsi="宋体"/>
          <w:color w:val="auto"/>
        </w:rPr>
      </w:pPr>
      <w:r>
        <w:rPr>
          <w:rFonts w:hint="eastAsia" w:ascii="宋体" w:hAnsi="宋体"/>
          <w:color w:val="auto"/>
        </w:rPr>
        <w:t>投标人所投其他产品若属于《节能产品政府采购品目清单》优先采购产品，投标文件中应提供具有国家确定的认证机构出具的、处于有效期之内的节能产品认证证书，评标委员会根据本项目评标标准予以判定，并在汇总投标人得分时加3%为投标人最终得分。</w:t>
      </w:r>
    </w:p>
    <w:p w14:paraId="4E644057">
      <w:pPr>
        <w:tabs>
          <w:tab w:val="left" w:pos="1080"/>
        </w:tabs>
        <w:snapToGrid w:val="0"/>
        <w:spacing w:line="360" w:lineRule="auto"/>
        <w:ind w:firstLine="420" w:firstLineChars="200"/>
        <w:rPr>
          <w:rStyle w:val="46"/>
          <w:rFonts w:ascii="宋体" w:hAnsi="宋体"/>
          <w:color w:val="auto"/>
          <w:szCs w:val="21"/>
          <w:lang w:val="zh-CN"/>
        </w:rPr>
      </w:pPr>
      <w:r>
        <w:rPr>
          <w:rFonts w:hint="eastAsia" w:ascii="宋体" w:hAnsi="宋体"/>
          <w:color w:val="auto"/>
        </w:rPr>
        <w:t>（2）投标人所投产品若属于《环境标志产品政府采购品目清单》内产品，投标文件中应提供具有国家确定的认证机构出具的、处于有效期之内的环境标志产品认证证书，评标委员会根据本项目评标标准予以判定，并在汇总投标人得分时加3%为投标人最终得分。</w:t>
      </w:r>
    </w:p>
    <w:p w14:paraId="57901222">
      <w:pPr>
        <w:tabs>
          <w:tab w:val="left" w:pos="1080"/>
        </w:tabs>
        <w:spacing w:line="360" w:lineRule="auto"/>
        <w:ind w:firstLine="514" w:firstLineChars="245"/>
        <w:rPr>
          <w:rFonts w:ascii="宋体" w:hAnsi="宋体"/>
          <w:color w:val="auto"/>
          <w:szCs w:val="21"/>
        </w:rPr>
      </w:pPr>
    </w:p>
    <w:bookmarkEnd w:id="514"/>
    <w:bookmarkEnd w:id="515"/>
    <w:bookmarkEnd w:id="516"/>
    <w:p w14:paraId="4DAB2372">
      <w:pPr>
        <w:pStyle w:val="3"/>
        <w:jc w:val="center"/>
        <w:rPr>
          <w:rFonts w:hint="eastAsia"/>
          <w:color w:val="auto"/>
        </w:rPr>
      </w:pPr>
      <w:bookmarkStart w:id="546" w:name="_Toc23276"/>
    </w:p>
    <w:p w14:paraId="2A0A5C3A">
      <w:pPr>
        <w:pStyle w:val="4"/>
        <w:rPr>
          <w:rFonts w:hint="eastAsia"/>
          <w:color w:val="auto"/>
        </w:rPr>
      </w:pPr>
    </w:p>
    <w:p w14:paraId="27C68694">
      <w:pPr>
        <w:pStyle w:val="4"/>
        <w:rPr>
          <w:rFonts w:hint="eastAsia"/>
          <w:color w:val="auto"/>
        </w:rPr>
      </w:pPr>
    </w:p>
    <w:p w14:paraId="6F08F301">
      <w:pPr>
        <w:pStyle w:val="4"/>
        <w:rPr>
          <w:rFonts w:hint="eastAsia"/>
          <w:color w:val="auto"/>
        </w:rPr>
      </w:pPr>
    </w:p>
    <w:p w14:paraId="3D2D2B53">
      <w:pPr>
        <w:pStyle w:val="3"/>
        <w:jc w:val="center"/>
        <w:rPr>
          <w:rFonts w:hint="eastAsia"/>
          <w:color w:val="auto"/>
        </w:rPr>
      </w:pPr>
    </w:p>
    <w:p w14:paraId="01DC3659">
      <w:pPr>
        <w:pStyle w:val="4"/>
        <w:rPr>
          <w:rFonts w:hint="eastAsia"/>
          <w:color w:val="auto"/>
        </w:rPr>
      </w:pPr>
    </w:p>
    <w:p w14:paraId="311DDC50">
      <w:pPr>
        <w:pStyle w:val="4"/>
        <w:rPr>
          <w:rFonts w:hint="eastAsia"/>
          <w:color w:val="auto"/>
        </w:rPr>
      </w:pPr>
    </w:p>
    <w:p w14:paraId="733140C7">
      <w:pPr>
        <w:pStyle w:val="4"/>
        <w:rPr>
          <w:rFonts w:hint="eastAsia"/>
          <w:color w:val="auto"/>
        </w:rPr>
      </w:pPr>
    </w:p>
    <w:p w14:paraId="6CC91852">
      <w:pPr>
        <w:pStyle w:val="4"/>
        <w:rPr>
          <w:rFonts w:hint="eastAsia"/>
          <w:color w:val="auto"/>
        </w:rPr>
      </w:pPr>
    </w:p>
    <w:p w14:paraId="10FE3E1A">
      <w:pPr>
        <w:pStyle w:val="4"/>
        <w:rPr>
          <w:rFonts w:hint="eastAsia"/>
          <w:color w:val="auto"/>
        </w:rPr>
      </w:pPr>
    </w:p>
    <w:p w14:paraId="35113A7D">
      <w:pPr>
        <w:pStyle w:val="4"/>
        <w:rPr>
          <w:rFonts w:hint="eastAsia"/>
          <w:color w:val="auto"/>
        </w:rPr>
      </w:pPr>
    </w:p>
    <w:p w14:paraId="53BB88BB">
      <w:pPr>
        <w:pStyle w:val="4"/>
        <w:rPr>
          <w:rFonts w:hint="eastAsia"/>
          <w:color w:val="auto"/>
        </w:rPr>
      </w:pPr>
    </w:p>
    <w:p w14:paraId="20E7758D">
      <w:pPr>
        <w:pStyle w:val="4"/>
        <w:rPr>
          <w:rFonts w:hint="eastAsia"/>
          <w:color w:val="auto"/>
        </w:rPr>
      </w:pPr>
    </w:p>
    <w:p w14:paraId="3F557638">
      <w:pPr>
        <w:pStyle w:val="4"/>
        <w:rPr>
          <w:rFonts w:hint="eastAsia"/>
          <w:color w:val="auto"/>
        </w:rPr>
      </w:pPr>
    </w:p>
    <w:p w14:paraId="2A2E81B2">
      <w:pPr>
        <w:pStyle w:val="3"/>
        <w:spacing w:before="0" w:after="0" w:line="240" w:lineRule="auto"/>
        <w:jc w:val="center"/>
        <w:rPr>
          <w:rFonts w:hint="eastAsia"/>
          <w:color w:val="auto"/>
        </w:rPr>
      </w:pPr>
    </w:p>
    <w:p w14:paraId="352018F7">
      <w:pPr>
        <w:pStyle w:val="4"/>
        <w:rPr>
          <w:rFonts w:hint="eastAsia"/>
          <w:color w:val="auto"/>
        </w:rPr>
      </w:pPr>
    </w:p>
    <w:p w14:paraId="03646E28">
      <w:pPr>
        <w:pStyle w:val="4"/>
        <w:rPr>
          <w:rFonts w:hint="eastAsia"/>
          <w:color w:val="auto"/>
        </w:rPr>
      </w:pPr>
    </w:p>
    <w:p w14:paraId="54CA6D6B">
      <w:pPr>
        <w:pStyle w:val="4"/>
        <w:rPr>
          <w:rFonts w:hint="eastAsia"/>
          <w:color w:val="auto"/>
        </w:rPr>
      </w:pPr>
    </w:p>
    <w:p w14:paraId="673F800D">
      <w:pPr>
        <w:pStyle w:val="4"/>
        <w:rPr>
          <w:rFonts w:hint="eastAsia"/>
          <w:color w:val="auto"/>
        </w:rPr>
      </w:pPr>
    </w:p>
    <w:p w14:paraId="1F248E6D">
      <w:pPr>
        <w:pStyle w:val="4"/>
        <w:rPr>
          <w:rFonts w:hint="eastAsia"/>
          <w:color w:val="auto"/>
        </w:rPr>
      </w:pPr>
    </w:p>
    <w:p w14:paraId="394E740A">
      <w:pPr>
        <w:pStyle w:val="4"/>
        <w:rPr>
          <w:rFonts w:hint="eastAsia"/>
          <w:color w:val="auto"/>
        </w:rPr>
      </w:pPr>
    </w:p>
    <w:p w14:paraId="4F82F5E0">
      <w:pPr>
        <w:pStyle w:val="4"/>
        <w:rPr>
          <w:rFonts w:hint="eastAsia"/>
          <w:color w:val="auto"/>
        </w:rPr>
      </w:pPr>
    </w:p>
    <w:p w14:paraId="4C927BF9">
      <w:pPr>
        <w:pStyle w:val="4"/>
        <w:rPr>
          <w:rFonts w:hint="eastAsia"/>
          <w:color w:val="auto"/>
        </w:rPr>
      </w:pPr>
    </w:p>
    <w:p w14:paraId="4E56BDC7">
      <w:pPr>
        <w:pStyle w:val="4"/>
        <w:rPr>
          <w:rFonts w:hint="eastAsia"/>
          <w:color w:val="auto"/>
        </w:rPr>
      </w:pPr>
    </w:p>
    <w:p w14:paraId="0F908567">
      <w:pPr>
        <w:pStyle w:val="4"/>
        <w:rPr>
          <w:rFonts w:hint="eastAsia"/>
          <w:color w:val="auto"/>
        </w:rPr>
      </w:pPr>
    </w:p>
    <w:p w14:paraId="20370D50">
      <w:pPr>
        <w:pStyle w:val="4"/>
        <w:rPr>
          <w:rFonts w:hint="eastAsia"/>
          <w:color w:val="auto"/>
        </w:rPr>
      </w:pPr>
    </w:p>
    <w:p w14:paraId="7FD9B6BF">
      <w:pPr>
        <w:pStyle w:val="4"/>
        <w:rPr>
          <w:rFonts w:hint="eastAsia"/>
          <w:color w:val="auto"/>
        </w:rPr>
      </w:pPr>
    </w:p>
    <w:p w14:paraId="2077D040">
      <w:pPr>
        <w:pStyle w:val="4"/>
        <w:rPr>
          <w:rFonts w:hint="eastAsia"/>
          <w:color w:val="auto"/>
        </w:rPr>
      </w:pPr>
    </w:p>
    <w:p w14:paraId="7CCE5E9C">
      <w:pPr>
        <w:pStyle w:val="4"/>
        <w:rPr>
          <w:rFonts w:hint="eastAsia"/>
          <w:color w:val="auto"/>
        </w:rPr>
      </w:pPr>
    </w:p>
    <w:p w14:paraId="4C4A6340">
      <w:pPr>
        <w:pStyle w:val="4"/>
        <w:rPr>
          <w:rFonts w:hint="eastAsia"/>
          <w:color w:val="auto"/>
        </w:rPr>
      </w:pPr>
    </w:p>
    <w:p w14:paraId="6206DADD">
      <w:pPr>
        <w:pStyle w:val="4"/>
        <w:rPr>
          <w:rFonts w:hint="eastAsia"/>
          <w:color w:val="auto"/>
        </w:rPr>
      </w:pPr>
    </w:p>
    <w:p w14:paraId="3A6D06AB">
      <w:pPr>
        <w:pStyle w:val="4"/>
        <w:rPr>
          <w:rFonts w:hint="eastAsia"/>
          <w:color w:val="auto"/>
        </w:rPr>
      </w:pPr>
    </w:p>
    <w:p w14:paraId="0BC39581">
      <w:pPr>
        <w:pStyle w:val="3"/>
        <w:spacing w:before="0" w:after="0" w:line="240" w:lineRule="auto"/>
        <w:jc w:val="center"/>
        <w:rPr>
          <w:color w:val="auto"/>
        </w:rPr>
      </w:pPr>
      <w:r>
        <w:rPr>
          <w:rFonts w:hint="eastAsia"/>
          <w:color w:val="auto"/>
        </w:rPr>
        <w:t>第四章 合同主要条款及格式</w:t>
      </w:r>
      <w:bookmarkEnd w:id="546"/>
    </w:p>
    <w:p w14:paraId="75559C3D">
      <w:pPr>
        <w:spacing w:line="360" w:lineRule="auto"/>
        <w:rPr>
          <w:rFonts w:ascii="宋体" w:hAnsi="宋体"/>
          <w:color w:val="auto"/>
        </w:rPr>
      </w:pPr>
      <w:r>
        <w:rPr>
          <w:rFonts w:hint="eastAsia" w:ascii="宋体" w:hAnsi="宋体"/>
          <w:color w:val="auto"/>
        </w:rPr>
        <w:t>（采购文件内本章合同条款及格式仅作为参考，本章节中未明确内容将在合同谈判中明确，采购人保留最终修订合同的权利，最终本合同以实际签订为准）</w:t>
      </w:r>
    </w:p>
    <w:p w14:paraId="6EF1D139">
      <w:pPr>
        <w:spacing w:line="360" w:lineRule="auto"/>
        <w:rPr>
          <w:color w:val="auto"/>
          <w:sz w:val="28"/>
          <w:szCs w:val="28"/>
        </w:rPr>
      </w:pPr>
      <w:r>
        <w:rPr>
          <w:rFonts w:hint="eastAsia"/>
          <w:color w:val="auto"/>
          <w:sz w:val="28"/>
          <w:szCs w:val="28"/>
        </w:rPr>
        <w:t xml:space="preserve">合同编号：            合同自编号：         招标编号： </w:t>
      </w:r>
    </w:p>
    <w:p w14:paraId="2CC2E5A4">
      <w:pPr>
        <w:spacing w:line="360" w:lineRule="auto"/>
        <w:rPr>
          <w:color w:val="auto"/>
          <w:sz w:val="28"/>
          <w:szCs w:val="28"/>
        </w:rPr>
      </w:pPr>
    </w:p>
    <w:p w14:paraId="258E24A3">
      <w:pPr>
        <w:spacing w:line="360" w:lineRule="auto"/>
        <w:rPr>
          <w:color w:val="auto"/>
          <w:sz w:val="28"/>
          <w:szCs w:val="28"/>
        </w:rPr>
      </w:pPr>
      <w:r>
        <w:rPr>
          <w:rFonts w:hint="eastAsia"/>
          <w:color w:val="auto"/>
          <w:sz w:val="28"/>
          <w:szCs w:val="28"/>
        </w:rPr>
        <w:t>本合同须加盖甲乙双方骑缝章有效</w:t>
      </w:r>
    </w:p>
    <w:p w14:paraId="5BED12B3">
      <w:pPr>
        <w:spacing w:line="360" w:lineRule="auto"/>
        <w:jc w:val="center"/>
        <w:outlineLvl w:val="1"/>
        <w:rPr>
          <w:b/>
          <w:color w:val="auto"/>
          <w:sz w:val="44"/>
          <w:szCs w:val="44"/>
        </w:rPr>
      </w:pPr>
      <w:bookmarkStart w:id="547" w:name="_Toc5812"/>
      <w:bookmarkStart w:id="548" w:name="_Toc18222"/>
      <w:bookmarkStart w:id="549" w:name="_Toc8449"/>
      <w:r>
        <w:rPr>
          <w:rFonts w:hint="eastAsia"/>
          <w:b/>
          <w:color w:val="auto"/>
          <w:sz w:val="44"/>
          <w:szCs w:val="44"/>
        </w:rPr>
        <w:t>云南省政府采购</w:t>
      </w:r>
      <w:bookmarkEnd w:id="547"/>
      <w:bookmarkEnd w:id="548"/>
      <w:bookmarkEnd w:id="549"/>
    </w:p>
    <w:p w14:paraId="09739C9E">
      <w:pPr>
        <w:spacing w:line="360" w:lineRule="auto"/>
        <w:jc w:val="center"/>
        <w:rPr>
          <w:color w:val="auto"/>
          <w:sz w:val="28"/>
          <w:szCs w:val="28"/>
        </w:rPr>
      </w:pPr>
      <w:r>
        <w:rPr>
          <w:rFonts w:hint="eastAsia"/>
          <w:color w:val="auto"/>
          <w:sz w:val="28"/>
          <w:szCs w:val="28"/>
        </w:rPr>
        <w:t>（委托采购）</w:t>
      </w:r>
    </w:p>
    <w:p w14:paraId="757E815B">
      <w:pPr>
        <w:spacing w:line="360" w:lineRule="auto"/>
        <w:jc w:val="center"/>
        <w:rPr>
          <w:b/>
          <w:color w:val="auto"/>
          <w:sz w:val="72"/>
          <w:szCs w:val="72"/>
        </w:rPr>
      </w:pPr>
    </w:p>
    <w:p w14:paraId="0EA95F01">
      <w:pPr>
        <w:spacing w:line="360" w:lineRule="auto"/>
        <w:jc w:val="center"/>
        <w:rPr>
          <w:b/>
          <w:color w:val="auto"/>
          <w:sz w:val="72"/>
          <w:szCs w:val="72"/>
        </w:rPr>
      </w:pPr>
      <w:r>
        <w:rPr>
          <w:rFonts w:hint="eastAsia"/>
          <w:b/>
          <w:color w:val="auto"/>
          <w:sz w:val="72"/>
          <w:szCs w:val="72"/>
        </w:rPr>
        <w:t>合</w:t>
      </w:r>
    </w:p>
    <w:p w14:paraId="09B9D6E2">
      <w:pPr>
        <w:spacing w:line="360" w:lineRule="auto"/>
        <w:jc w:val="center"/>
        <w:rPr>
          <w:b/>
          <w:color w:val="auto"/>
          <w:sz w:val="72"/>
          <w:szCs w:val="72"/>
        </w:rPr>
      </w:pPr>
      <w:r>
        <w:rPr>
          <w:rFonts w:hint="eastAsia"/>
          <w:b/>
          <w:color w:val="auto"/>
          <w:sz w:val="72"/>
          <w:szCs w:val="72"/>
        </w:rPr>
        <w:t>同</w:t>
      </w:r>
    </w:p>
    <w:p w14:paraId="4DB08EAC">
      <w:pPr>
        <w:spacing w:line="360" w:lineRule="auto"/>
        <w:jc w:val="center"/>
        <w:rPr>
          <w:b/>
          <w:color w:val="auto"/>
          <w:sz w:val="72"/>
          <w:szCs w:val="72"/>
        </w:rPr>
      </w:pPr>
      <w:r>
        <w:rPr>
          <w:rFonts w:hint="eastAsia"/>
          <w:b/>
          <w:color w:val="auto"/>
          <w:sz w:val="72"/>
          <w:szCs w:val="72"/>
        </w:rPr>
        <w:t>书</w:t>
      </w:r>
    </w:p>
    <w:p w14:paraId="38CADF92">
      <w:pPr>
        <w:spacing w:line="360" w:lineRule="auto"/>
        <w:jc w:val="center"/>
        <w:rPr>
          <w:b/>
          <w:color w:val="auto"/>
          <w:sz w:val="72"/>
          <w:szCs w:val="72"/>
        </w:rPr>
      </w:pPr>
    </w:p>
    <w:p w14:paraId="228F10CB">
      <w:pPr>
        <w:spacing w:line="360" w:lineRule="auto"/>
        <w:ind w:firstLine="1108" w:firstLineChars="396"/>
        <w:rPr>
          <w:color w:val="auto"/>
          <w:sz w:val="28"/>
          <w:szCs w:val="28"/>
        </w:rPr>
      </w:pPr>
      <w:r>
        <w:rPr>
          <w:rFonts w:hint="eastAsia"/>
          <w:color w:val="auto"/>
          <w:sz w:val="28"/>
          <w:szCs w:val="28"/>
        </w:rPr>
        <w:t>签订地点：</w:t>
      </w:r>
    </w:p>
    <w:p w14:paraId="2FD049C6">
      <w:pPr>
        <w:spacing w:line="360" w:lineRule="auto"/>
        <w:jc w:val="center"/>
        <w:rPr>
          <w:color w:val="auto"/>
          <w:sz w:val="28"/>
          <w:szCs w:val="28"/>
        </w:rPr>
      </w:pPr>
    </w:p>
    <w:p w14:paraId="1701029A">
      <w:pPr>
        <w:spacing w:line="360" w:lineRule="auto"/>
        <w:jc w:val="center"/>
        <w:rPr>
          <w:color w:val="auto"/>
          <w:sz w:val="28"/>
          <w:szCs w:val="28"/>
        </w:rPr>
      </w:pPr>
      <w:r>
        <w:rPr>
          <w:rFonts w:hint="eastAsia"/>
          <w:color w:val="auto"/>
          <w:sz w:val="28"/>
          <w:szCs w:val="28"/>
        </w:rPr>
        <w:t>云南省财政厅   制</w:t>
      </w:r>
    </w:p>
    <w:p w14:paraId="0A7EF006">
      <w:pPr>
        <w:spacing w:line="360" w:lineRule="auto"/>
        <w:jc w:val="center"/>
        <w:rPr>
          <w:color w:val="auto"/>
          <w:sz w:val="28"/>
          <w:szCs w:val="28"/>
        </w:rPr>
      </w:pPr>
    </w:p>
    <w:p w14:paraId="0008CD1F">
      <w:pPr>
        <w:pStyle w:val="34"/>
        <w:ind w:firstLine="560"/>
        <w:rPr>
          <w:color w:val="auto"/>
          <w:sz w:val="28"/>
          <w:szCs w:val="28"/>
        </w:rPr>
      </w:pPr>
    </w:p>
    <w:p w14:paraId="76963012">
      <w:pPr>
        <w:pStyle w:val="34"/>
        <w:ind w:firstLine="560"/>
        <w:rPr>
          <w:color w:val="auto"/>
          <w:sz w:val="28"/>
          <w:szCs w:val="28"/>
        </w:rPr>
      </w:pPr>
    </w:p>
    <w:p w14:paraId="3BFCD425">
      <w:pPr>
        <w:spacing w:line="360" w:lineRule="auto"/>
        <w:jc w:val="center"/>
        <w:rPr>
          <w:color w:val="auto"/>
          <w:sz w:val="28"/>
          <w:szCs w:val="28"/>
        </w:rPr>
      </w:pPr>
    </w:p>
    <w:p w14:paraId="4B8F4BEA">
      <w:pPr>
        <w:spacing w:line="360" w:lineRule="auto"/>
        <w:jc w:val="left"/>
        <w:rPr>
          <w:color w:val="auto"/>
          <w:sz w:val="28"/>
          <w:szCs w:val="28"/>
        </w:rPr>
      </w:pPr>
      <w:r>
        <w:rPr>
          <w:rFonts w:hint="eastAsia"/>
          <w:color w:val="auto"/>
          <w:sz w:val="28"/>
          <w:szCs w:val="28"/>
        </w:rPr>
        <w:t xml:space="preserve">甲方（采购人公章）名称： </w:t>
      </w:r>
    </w:p>
    <w:p w14:paraId="14F39F16">
      <w:pPr>
        <w:spacing w:line="360" w:lineRule="auto"/>
        <w:ind w:firstLine="1680" w:firstLineChars="600"/>
        <w:jc w:val="left"/>
        <w:rPr>
          <w:color w:val="auto"/>
          <w:sz w:val="28"/>
          <w:szCs w:val="28"/>
        </w:rPr>
      </w:pPr>
      <w:r>
        <w:rPr>
          <w:rFonts w:hint="eastAsia"/>
          <w:color w:val="auto"/>
          <w:sz w:val="28"/>
          <w:szCs w:val="28"/>
        </w:rPr>
        <w:t>地址：</w:t>
      </w:r>
    </w:p>
    <w:p w14:paraId="11B8E7AD">
      <w:pPr>
        <w:spacing w:line="360" w:lineRule="auto"/>
        <w:ind w:firstLine="1680" w:firstLineChars="600"/>
        <w:jc w:val="left"/>
        <w:rPr>
          <w:color w:val="auto"/>
          <w:sz w:val="28"/>
          <w:szCs w:val="28"/>
        </w:rPr>
      </w:pPr>
      <w:r>
        <w:rPr>
          <w:rFonts w:hint="eastAsia"/>
          <w:color w:val="auto"/>
          <w:sz w:val="28"/>
          <w:szCs w:val="28"/>
        </w:rPr>
        <w:t>邮编：</w:t>
      </w:r>
    </w:p>
    <w:p w14:paraId="3700F342">
      <w:pPr>
        <w:spacing w:line="360" w:lineRule="auto"/>
        <w:ind w:firstLine="1680" w:firstLineChars="600"/>
        <w:jc w:val="left"/>
        <w:rPr>
          <w:color w:val="auto"/>
          <w:sz w:val="28"/>
          <w:szCs w:val="28"/>
        </w:rPr>
      </w:pPr>
      <w:r>
        <w:rPr>
          <w:rFonts w:hint="eastAsia"/>
          <w:color w:val="auto"/>
          <w:sz w:val="28"/>
          <w:szCs w:val="28"/>
        </w:rPr>
        <w:t>法定代表人或委托代理人：</w:t>
      </w:r>
    </w:p>
    <w:p w14:paraId="4F6F133F">
      <w:pPr>
        <w:spacing w:line="360" w:lineRule="auto"/>
        <w:ind w:firstLine="1680" w:firstLineChars="600"/>
        <w:jc w:val="left"/>
        <w:rPr>
          <w:color w:val="auto"/>
          <w:sz w:val="28"/>
          <w:szCs w:val="28"/>
        </w:rPr>
      </w:pPr>
      <w:r>
        <w:rPr>
          <w:rFonts w:hint="eastAsia"/>
          <w:color w:val="auto"/>
          <w:sz w:val="28"/>
          <w:szCs w:val="28"/>
        </w:rPr>
        <w:t>项目（技术）负责人：</w:t>
      </w:r>
    </w:p>
    <w:p w14:paraId="42D0D9FD">
      <w:pPr>
        <w:spacing w:line="360" w:lineRule="auto"/>
        <w:ind w:firstLine="1680" w:firstLineChars="600"/>
        <w:jc w:val="left"/>
        <w:rPr>
          <w:color w:val="auto"/>
          <w:sz w:val="28"/>
          <w:szCs w:val="28"/>
        </w:rPr>
      </w:pPr>
      <w:r>
        <w:rPr>
          <w:rFonts w:hint="eastAsia"/>
          <w:color w:val="auto"/>
          <w:sz w:val="28"/>
          <w:szCs w:val="28"/>
        </w:rPr>
        <w:t>电话：</w:t>
      </w:r>
    </w:p>
    <w:p w14:paraId="434A724E">
      <w:pPr>
        <w:spacing w:line="360" w:lineRule="auto"/>
        <w:ind w:firstLine="1680" w:firstLineChars="600"/>
        <w:jc w:val="left"/>
        <w:rPr>
          <w:color w:val="auto"/>
          <w:sz w:val="28"/>
          <w:szCs w:val="28"/>
        </w:rPr>
      </w:pPr>
      <w:r>
        <w:rPr>
          <w:rFonts w:hint="eastAsia"/>
          <w:color w:val="auto"/>
          <w:sz w:val="28"/>
          <w:szCs w:val="28"/>
        </w:rPr>
        <w:t>签订日期：</w:t>
      </w:r>
    </w:p>
    <w:p w14:paraId="579C3C5C">
      <w:pPr>
        <w:spacing w:line="360" w:lineRule="auto"/>
        <w:ind w:firstLine="1680" w:firstLineChars="600"/>
        <w:jc w:val="left"/>
        <w:rPr>
          <w:color w:val="auto"/>
          <w:sz w:val="28"/>
          <w:szCs w:val="28"/>
        </w:rPr>
      </w:pPr>
    </w:p>
    <w:p w14:paraId="17AC5892">
      <w:pPr>
        <w:spacing w:line="360" w:lineRule="auto"/>
        <w:jc w:val="left"/>
        <w:rPr>
          <w:color w:val="auto"/>
          <w:sz w:val="28"/>
          <w:szCs w:val="28"/>
        </w:rPr>
      </w:pPr>
      <w:r>
        <w:rPr>
          <w:rFonts w:hint="eastAsia"/>
          <w:color w:val="auto"/>
          <w:sz w:val="28"/>
          <w:szCs w:val="28"/>
        </w:rPr>
        <w:t xml:space="preserve">乙方（投标人公章）名称： </w:t>
      </w:r>
    </w:p>
    <w:p w14:paraId="6E9EB6B8">
      <w:pPr>
        <w:spacing w:line="360" w:lineRule="auto"/>
        <w:ind w:firstLine="1680" w:firstLineChars="600"/>
        <w:jc w:val="left"/>
        <w:rPr>
          <w:color w:val="auto"/>
          <w:sz w:val="28"/>
          <w:szCs w:val="28"/>
        </w:rPr>
      </w:pPr>
      <w:r>
        <w:rPr>
          <w:rFonts w:hint="eastAsia"/>
          <w:color w:val="auto"/>
          <w:sz w:val="28"/>
          <w:szCs w:val="28"/>
        </w:rPr>
        <w:t>地址：</w:t>
      </w:r>
    </w:p>
    <w:p w14:paraId="064023B7">
      <w:pPr>
        <w:spacing w:line="360" w:lineRule="auto"/>
        <w:ind w:firstLine="1680" w:firstLineChars="600"/>
        <w:jc w:val="left"/>
        <w:rPr>
          <w:color w:val="auto"/>
          <w:sz w:val="28"/>
          <w:szCs w:val="28"/>
        </w:rPr>
      </w:pPr>
      <w:r>
        <w:rPr>
          <w:rFonts w:hint="eastAsia"/>
          <w:color w:val="auto"/>
          <w:sz w:val="28"/>
          <w:szCs w:val="28"/>
        </w:rPr>
        <w:t>邮编：</w:t>
      </w:r>
    </w:p>
    <w:p w14:paraId="36D2CC8B">
      <w:pPr>
        <w:spacing w:line="360" w:lineRule="auto"/>
        <w:ind w:firstLine="1680" w:firstLineChars="600"/>
        <w:jc w:val="left"/>
        <w:rPr>
          <w:color w:val="auto"/>
          <w:sz w:val="28"/>
          <w:szCs w:val="28"/>
        </w:rPr>
      </w:pPr>
      <w:r>
        <w:rPr>
          <w:rFonts w:hint="eastAsia"/>
          <w:color w:val="auto"/>
          <w:sz w:val="28"/>
          <w:szCs w:val="28"/>
        </w:rPr>
        <w:t>法定代表人/负责人或委托代理人：</w:t>
      </w:r>
    </w:p>
    <w:p w14:paraId="1FB242DF">
      <w:pPr>
        <w:spacing w:line="360" w:lineRule="auto"/>
        <w:ind w:firstLine="1680" w:firstLineChars="600"/>
        <w:jc w:val="left"/>
        <w:rPr>
          <w:color w:val="auto"/>
          <w:sz w:val="28"/>
          <w:szCs w:val="28"/>
        </w:rPr>
      </w:pPr>
      <w:r>
        <w:rPr>
          <w:rFonts w:hint="eastAsia"/>
          <w:color w:val="auto"/>
          <w:sz w:val="28"/>
          <w:szCs w:val="28"/>
        </w:rPr>
        <w:t>经办人：</w:t>
      </w:r>
    </w:p>
    <w:p w14:paraId="5B5DB399">
      <w:pPr>
        <w:spacing w:line="360" w:lineRule="auto"/>
        <w:ind w:firstLine="1680" w:firstLineChars="600"/>
        <w:jc w:val="left"/>
        <w:rPr>
          <w:color w:val="auto"/>
          <w:sz w:val="28"/>
          <w:szCs w:val="28"/>
        </w:rPr>
      </w:pPr>
      <w:r>
        <w:rPr>
          <w:rFonts w:hint="eastAsia"/>
          <w:color w:val="auto"/>
          <w:sz w:val="28"/>
          <w:szCs w:val="28"/>
        </w:rPr>
        <w:t>电话：</w:t>
      </w:r>
    </w:p>
    <w:p w14:paraId="4C2A076E">
      <w:pPr>
        <w:spacing w:line="360" w:lineRule="auto"/>
        <w:ind w:firstLine="1680" w:firstLineChars="600"/>
        <w:jc w:val="left"/>
        <w:rPr>
          <w:color w:val="auto"/>
          <w:sz w:val="28"/>
          <w:szCs w:val="28"/>
        </w:rPr>
      </w:pPr>
    </w:p>
    <w:p w14:paraId="7A09D399">
      <w:pPr>
        <w:spacing w:line="360" w:lineRule="auto"/>
        <w:jc w:val="left"/>
        <w:rPr>
          <w:color w:val="auto"/>
          <w:sz w:val="28"/>
          <w:szCs w:val="28"/>
        </w:rPr>
      </w:pPr>
      <w:r>
        <w:rPr>
          <w:rFonts w:hint="eastAsia"/>
          <w:color w:val="auto"/>
          <w:sz w:val="28"/>
          <w:szCs w:val="28"/>
        </w:rPr>
        <w:t xml:space="preserve">丙方（鉴证方公章）名称： </w:t>
      </w:r>
    </w:p>
    <w:p w14:paraId="0FEC8A55">
      <w:pPr>
        <w:spacing w:line="360" w:lineRule="auto"/>
        <w:ind w:firstLine="1540" w:firstLineChars="550"/>
        <w:jc w:val="left"/>
        <w:rPr>
          <w:color w:val="auto"/>
          <w:sz w:val="28"/>
          <w:szCs w:val="28"/>
        </w:rPr>
      </w:pPr>
      <w:r>
        <w:rPr>
          <w:rFonts w:hint="eastAsia"/>
          <w:color w:val="auto"/>
          <w:sz w:val="28"/>
          <w:szCs w:val="28"/>
        </w:rPr>
        <w:t>地址：</w:t>
      </w:r>
    </w:p>
    <w:p w14:paraId="09313D5E">
      <w:pPr>
        <w:spacing w:line="360" w:lineRule="auto"/>
        <w:ind w:firstLine="1540" w:firstLineChars="550"/>
        <w:jc w:val="left"/>
        <w:rPr>
          <w:color w:val="auto"/>
          <w:sz w:val="28"/>
          <w:szCs w:val="28"/>
        </w:rPr>
      </w:pPr>
      <w:r>
        <w:rPr>
          <w:rFonts w:hint="eastAsia"/>
          <w:color w:val="auto"/>
          <w:sz w:val="28"/>
          <w:szCs w:val="28"/>
        </w:rPr>
        <w:t>邮编：</w:t>
      </w:r>
    </w:p>
    <w:p w14:paraId="37CFA48B">
      <w:pPr>
        <w:spacing w:line="360" w:lineRule="auto"/>
        <w:ind w:firstLine="1540" w:firstLineChars="550"/>
        <w:jc w:val="left"/>
        <w:rPr>
          <w:color w:val="auto"/>
          <w:sz w:val="28"/>
          <w:szCs w:val="28"/>
        </w:rPr>
      </w:pPr>
      <w:r>
        <w:rPr>
          <w:rFonts w:hint="eastAsia"/>
          <w:color w:val="auto"/>
          <w:sz w:val="28"/>
          <w:szCs w:val="28"/>
        </w:rPr>
        <w:t>法定代表人或委托代理人：</w:t>
      </w:r>
    </w:p>
    <w:p w14:paraId="2A76075F">
      <w:pPr>
        <w:spacing w:line="360" w:lineRule="auto"/>
        <w:ind w:firstLine="1540" w:firstLineChars="550"/>
        <w:jc w:val="left"/>
        <w:rPr>
          <w:color w:val="auto"/>
          <w:sz w:val="28"/>
          <w:szCs w:val="28"/>
        </w:rPr>
      </w:pPr>
      <w:r>
        <w:rPr>
          <w:rFonts w:hint="eastAsia"/>
          <w:color w:val="auto"/>
          <w:sz w:val="28"/>
          <w:szCs w:val="28"/>
        </w:rPr>
        <w:t>经办人：</w:t>
      </w:r>
    </w:p>
    <w:p w14:paraId="6CD0CEC6">
      <w:pPr>
        <w:spacing w:line="360" w:lineRule="auto"/>
        <w:ind w:firstLine="1540" w:firstLineChars="550"/>
        <w:jc w:val="left"/>
        <w:rPr>
          <w:color w:val="auto"/>
          <w:sz w:val="28"/>
          <w:szCs w:val="28"/>
        </w:rPr>
      </w:pPr>
      <w:r>
        <w:rPr>
          <w:rFonts w:hint="eastAsia"/>
          <w:color w:val="auto"/>
          <w:sz w:val="28"/>
          <w:szCs w:val="28"/>
        </w:rPr>
        <w:t>电话：</w:t>
      </w:r>
    </w:p>
    <w:p w14:paraId="1E126CC6">
      <w:pPr>
        <w:spacing w:line="360" w:lineRule="auto"/>
        <w:rPr>
          <w:rFonts w:ascii="宋体" w:hAnsi="宋体" w:cs="宋体"/>
          <w:b/>
          <w:bCs/>
          <w:color w:val="auto"/>
          <w:kern w:val="44"/>
          <w:sz w:val="28"/>
          <w:szCs w:val="28"/>
        </w:rPr>
      </w:pPr>
      <w:r>
        <w:rPr>
          <w:rFonts w:hint="eastAsia"/>
          <w:b/>
          <w:color w:val="auto"/>
          <w:sz w:val="32"/>
          <w:szCs w:val="32"/>
        </w:rPr>
        <w:t xml:space="preserve">  </w:t>
      </w:r>
    </w:p>
    <w:p w14:paraId="2954C758">
      <w:pPr>
        <w:pStyle w:val="2"/>
        <w:spacing w:after="0"/>
        <w:jc w:val="center"/>
        <w:rPr>
          <w:rFonts w:ascii="宋体" w:hAnsi="宋体" w:cs="宋体"/>
          <w:b/>
          <w:bCs/>
          <w:color w:val="auto"/>
          <w:spacing w:val="-20"/>
          <w:kern w:val="44"/>
          <w:sz w:val="48"/>
          <w:szCs w:val="48"/>
        </w:rPr>
      </w:pPr>
      <w:r>
        <w:rPr>
          <w:rFonts w:hint="eastAsia" w:ascii="宋体" w:hAnsi="宋体" w:cs="宋体"/>
          <w:b/>
          <w:bCs/>
          <w:color w:val="auto"/>
          <w:spacing w:val="-20"/>
          <w:kern w:val="44"/>
          <w:sz w:val="48"/>
          <w:szCs w:val="48"/>
        </w:rPr>
        <w:t>政府采购货物买卖合同</w:t>
      </w:r>
    </w:p>
    <w:p w14:paraId="10B51A59">
      <w:pPr>
        <w:pStyle w:val="2"/>
        <w:spacing w:after="0"/>
        <w:jc w:val="center"/>
        <w:rPr>
          <w:rFonts w:ascii="宋体" w:hAnsi="宋体" w:cs="宋体"/>
          <w:b/>
          <w:bCs/>
          <w:color w:val="auto"/>
          <w:spacing w:val="-20"/>
          <w:kern w:val="44"/>
          <w:sz w:val="48"/>
          <w:szCs w:val="48"/>
        </w:rPr>
      </w:pPr>
      <w:r>
        <w:rPr>
          <w:rFonts w:hint="eastAsia" w:ascii="宋体" w:hAnsi="宋体" w:cs="宋体"/>
          <w:b/>
          <w:bCs/>
          <w:color w:val="auto"/>
          <w:spacing w:val="-20"/>
          <w:kern w:val="44"/>
          <w:sz w:val="48"/>
          <w:szCs w:val="48"/>
        </w:rPr>
        <w:t>（试行）</w:t>
      </w:r>
    </w:p>
    <w:p w14:paraId="04CEDE0A">
      <w:pPr>
        <w:rPr>
          <w:rFonts w:ascii="宋体" w:hAnsi="宋体" w:cs="宋体"/>
          <w:b/>
          <w:bCs/>
          <w:color w:val="auto"/>
          <w:spacing w:val="-20"/>
          <w:kern w:val="44"/>
          <w:sz w:val="40"/>
          <w:szCs w:val="40"/>
        </w:rPr>
      </w:pPr>
    </w:p>
    <w:p w14:paraId="596876BC">
      <w:pPr>
        <w:rPr>
          <w:rFonts w:ascii="宋体" w:hAnsi="宋体" w:cs="宋体"/>
          <w:b/>
          <w:bCs/>
          <w:color w:val="auto"/>
          <w:spacing w:val="-20"/>
          <w:kern w:val="44"/>
          <w:sz w:val="40"/>
          <w:szCs w:val="40"/>
        </w:rPr>
      </w:pPr>
    </w:p>
    <w:p w14:paraId="757A0B1D">
      <w:pPr>
        <w:rPr>
          <w:rFonts w:ascii="宋体" w:hAnsi="宋体" w:cs="宋体"/>
          <w:b/>
          <w:bCs/>
          <w:color w:val="auto"/>
          <w:spacing w:val="-20"/>
          <w:kern w:val="44"/>
          <w:sz w:val="40"/>
          <w:szCs w:val="40"/>
        </w:rPr>
      </w:pPr>
    </w:p>
    <w:p w14:paraId="50F87D4C">
      <w:pPr>
        <w:spacing w:line="360" w:lineRule="auto"/>
        <w:ind w:left="420" w:leftChars="200"/>
        <w:rPr>
          <w:color w:val="auto"/>
          <w:sz w:val="32"/>
          <w:szCs w:val="32"/>
        </w:rPr>
      </w:pPr>
      <w:r>
        <w:rPr>
          <w:rFonts w:hint="eastAsia" w:ascii="宋体" w:hAnsi="宋体" w:cs="宋体"/>
          <w:color w:val="auto"/>
          <w:kern w:val="0"/>
          <w:sz w:val="32"/>
          <w:szCs w:val="32"/>
        </w:rPr>
        <w:t>项目名称：</w:t>
      </w:r>
      <w:r>
        <w:rPr>
          <w:rFonts w:hint="eastAsia"/>
          <w:color w:val="auto"/>
          <w:sz w:val="32"/>
          <w:szCs w:val="32"/>
          <w:u w:val="single"/>
        </w:rPr>
        <w:t xml:space="preserve">                             </w:t>
      </w:r>
    </w:p>
    <w:p w14:paraId="2F27F418">
      <w:pPr>
        <w:spacing w:line="360" w:lineRule="auto"/>
        <w:ind w:left="420" w:leftChars="200"/>
        <w:rPr>
          <w:color w:val="auto"/>
          <w:sz w:val="32"/>
          <w:szCs w:val="32"/>
          <w:u w:val="single"/>
        </w:rPr>
      </w:pPr>
      <w:r>
        <w:rPr>
          <w:rFonts w:hint="eastAsia"/>
          <w:color w:val="auto"/>
          <w:sz w:val="32"/>
          <w:szCs w:val="32"/>
        </w:rPr>
        <w:t>合同编号：</w:t>
      </w:r>
      <w:r>
        <w:rPr>
          <w:rFonts w:hint="eastAsia"/>
          <w:color w:val="auto"/>
          <w:sz w:val="32"/>
          <w:szCs w:val="32"/>
          <w:u w:val="single"/>
        </w:rPr>
        <w:t xml:space="preserve">                             </w:t>
      </w:r>
    </w:p>
    <w:p w14:paraId="55A8F3A2">
      <w:pPr>
        <w:spacing w:line="360" w:lineRule="auto"/>
        <w:ind w:left="420" w:leftChars="200"/>
        <w:rPr>
          <w:color w:val="auto"/>
          <w:sz w:val="32"/>
          <w:szCs w:val="32"/>
        </w:rPr>
      </w:pPr>
      <w:r>
        <w:rPr>
          <w:rFonts w:hint="eastAsia"/>
          <w:color w:val="auto"/>
          <w:sz w:val="32"/>
          <w:szCs w:val="32"/>
        </w:rPr>
        <w:t>甲    方：</w:t>
      </w:r>
      <w:r>
        <w:rPr>
          <w:rFonts w:hint="eastAsia"/>
          <w:color w:val="auto"/>
          <w:sz w:val="32"/>
          <w:szCs w:val="32"/>
          <w:u w:val="single"/>
        </w:rPr>
        <w:t xml:space="preserve">                             </w:t>
      </w:r>
    </w:p>
    <w:p w14:paraId="4BFD92E4">
      <w:pPr>
        <w:spacing w:line="360" w:lineRule="auto"/>
        <w:ind w:left="420" w:leftChars="200"/>
        <w:rPr>
          <w:color w:val="auto"/>
          <w:sz w:val="32"/>
          <w:szCs w:val="32"/>
          <w:u w:val="single"/>
        </w:rPr>
      </w:pPr>
      <w:r>
        <w:rPr>
          <w:rFonts w:hint="eastAsia"/>
          <w:color w:val="auto"/>
          <w:sz w:val="32"/>
          <w:szCs w:val="32"/>
        </w:rPr>
        <w:t>乙    方：</w:t>
      </w:r>
      <w:r>
        <w:rPr>
          <w:rFonts w:hint="eastAsia"/>
          <w:color w:val="auto"/>
          <w:sz w:val="32"/>
          <w:szCs w:val="32"/>
          <w:u w:val="single"/>
        </w:rPr>
        <w:t xml:space="preserve">                             </w:t>
      </w:r>
    </w:p>
    <w:p w14:paraId="7A478898">
      <w:pPr>
        <w:spacing w:line="360" w:lineRule="auto"/>
        <w:ind w:left="420" w:leftChars="200"/>
        <w:rPr>
          <w:color w:val="auto"/>
          <w:sz w:val="32"/>
          <w:szCs w:val="32"/>
        </w:rPr>
      </w:pPr>
      <w:r>
        <w:rPr>
          <w:rFonts w:hint="eastAsia"/>
          <w:color w:val="auto"/>
          <w:sz w:val="32"/>
          <w:szCs w:val="32"/>
        </w:rPr>
        <w:t>签订时间：</w:t>
      </w:r>
      <w:r>
        <w:rPr>
          <w:rFonts w:hint="eastAsia"/>
          <w:color w:val="auto"/>
          <w:sz w:val="32"/>
          <w:szCs w:val="32"/>
          <w:u w:val="single"/>
        </w:rPr>
        <w:t xml:space="preserve">      </w:t>
      </w:r>
      <w:r>
        <w:rPr>
          <w:color w:val="auto"/>
          <w:sz w:val="32"/>
          <w:szCs w:val="32"/>
          <w:u w:val="single"/>
        </w:rPr>
        <w:t xml:space="preserve">           </w:t>
      </w:r>
      <w:r>
        <w:rPr>
          <w:rFonts w:hint="eastAsia"/>
          <w:color w:val="auto"/>
          <w:sz w:val="32"/>
          <w:szCs w:val="32"/>
          <w:u w:val="single"/>
        </w:rPr>
        <w:t xml:space="preserve">            </w:t>
      </w:r>
    </w:p>
    <w:p w14:paraId="38E920BF">
      <w:pPr>
        <w:rPr>
          <w:color w:val="auto"/>
        </w:rPr>
      </w:pPr>
    </w:p>
    <w:p w14:paraId="2D654200">
      <w:pPr>
        <w:rPr>
          <w:rFonts w:eastAsia="黑体"/>
          <w:color w:val="auto"/>
          <w:sz w:val="44"/>
          <w:szCs w:val="44"/>
        </w:rPr>
      </w:pPr>
      <w:r>
        <w:rPr>
          <w:rFonts w:eastAsia="黑体"/>
          <w:color w:val="auto"/>
          <w:sz w:val="44"/>
          <w:szCs w:val="44"/>
        </w:rPr>
        <w:br w:type="page"/>
      </w:r>
    </w:p>
    <w:p w14:paraId="6FE092E2">
      <w:pPr>
        <w:rPr>
          <w:rFonts w:eastAsia="黑体"/>
          <w:color w:val="auto"/>
          <w:sz w:val="44"/>
          <w:szCs w:val="44"/>
        </w:rPr>
      </w:pPr>
    </w:p>
    <w:p w14:paraId="0E028457">
      <w:pPr>
        <w:jc w:val="center"/>
        <w:rPr>
          <w:rFonts w:eastAsia="黑体"/>
          <w:color w:val="auto"/>
          <w:sz w:val="44"/>
          <w:szCs w:val="44"/>
        </w:rPr>
      </w:pPr>
      <w:r>
        <w:rPr>
          <w:rFonts w:hint="eastAsia" w:eastAsia="黑体"/>
          <w:color w:val="auto"/>
          <w:sz w:val="44"/>
          <w:szCs w:val="44"/>
        </w:rPr>
        <w:t>使 用 说 明</w:t>
      </w:r>
    </w:p>
    <w:p w14:paraId="16C55369">
      <w:pPr>
        <w:ind w:firstLine="640" w:firstLineChars="200"/>
        <w:rPr>
          <w:rFonts w:ascii="仿宋_GB2312" w:hAnsi="仿宋_GB2312" w:eastAsia="仿宋_GB2312" w:cs="仿宋_GB2312"/>
          <w:color w:val="auto"/>
          <w:sz w:val="32"/>
          <w:szCs w:val="32"/>
        </w:rPr>
      </w:pPr>
    </w:p>
    <w:p w14:paraId="2BD39DBB">
      <w:pPr>
        <w:ind w:firstLine="640" w:firstLineChars="200"/>
        <w:rPr>
          <w:rFonts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1.本合同标准文本适用于购买现成货物的采购项目，不包括需要供应商定制开发、创新研发的货物采购项目。</w:t>
      </w:r>
    </w:p>
    <w:p w14:paraId="56EA523E">
      <w:pPr>
        <w:rPr>
          <w:rFonts w:asciiTheme="minorEastAsia" w:hAnsiTheme="minorEastAsia" w:eastAsiaTheme="minorEastAsia" w:cstheme="minorEastAsia"/>
          <w:color w:val="auto"/>
          <w:sz w:val="44"/>
          <w:szCs w:val="44"/>
        </w:rPr>
      </w:pPr>
      <w:r>
        <w:rPr>
          <w:rFonts w:hint="eastAsia" w:asciiTheme="minorEastAsia" w:hAnsiTheme="minorEastAsia" w:eastAsiaTheme="minorEastAsia" w:cstheme="minorEastAsia"/>
          <w:color w:val="auto"/>
          <w:sz w:val="44"/>
          <w:szCs w:val="44"/>
        </w:rPr>
        <w:t xml:space="preserve">   </w:t>
      </w:r>
      <w:r>
        <w:rPr>
          <w:rFonts w:hint="eastAsia" w:asciiTheme="minorEastAsia" w:hAnsiTheme="minorEastAsia" w:eastAsiaTheme="minorEastAsia" w:cstheme="minorEastAsia"/>
          <w:color w:val="auto"/>
          <w:sz w:val="32"/>
          <w:szCs w:val="32"/>
        </w:rPr>
        <w:t>2.本合同标准文本为政府采购货物买卖合同编制提供参考，可以结合采购项目具体情况，对文本作必要的调整修订后使用。</w:t>
      </w:r>
    </w:p>
    <w:p w14:paraId="7CDCB085">
      <w:pPr>
        <w:ind w:firstLine="640" w:firstLineChars="200"/>
        <w:rPr>
          <w:rFonts w:asciiTheme="minorEastAsia" w:hAnsiTheme="minorEastAsia" w:eastAsiaTheme="minorEastAsia" w:cstheme="minorEastAsia"/>
          <w:color w:val="auto"/>
          <w:sz w:val="44"/>
          <w:szCs w:val="44"/>
        </w:rPr>
        <w:sectPr>
          <w:headerReference r:id="rId12" w:type="default"/>
          <w:footerReference r:id="rId13" w:type="default"/>
          <w:pgSz w:w="11906" w:h="16838"/>
          <w:pgMar w:top="1440" w:right="1800" w:bottom="1440" w:left="1800" w:header="851" w:footer="992" w:gutter="0"/>
          <w:pgNumType w:fmt="decimal"/>
          <w:cols w:space="425" w:num="1"/>
          <w:docGrid w:type="lines" w:linePitch="312" w:charSpace="0"/>
        </w:sectPr>
      </w:pPr>
      <w:r>
        <w:rPr>
          <w:rFonts w:hint="eastAsia" w:asciiTheme="minorEastAsia" w:hAnsiTheme="minorEastAsia" w:eastAsiaTheme="minorEastAsia" w:cstheme="minorEastAsia"/>
          <w:color w:val="auto"/>
          <w:sz w:val="32"/>
          <w:szCs w:val="32"/>
        </w:rPr>
        <w:t>3.本合同标准文本各条款中，如涉及填写多家供应商、制造商，多种采购标的、分包主要内容等信息的，可根据采购项目具体情况添加信息项。</w:t>
      </w:r>
    </w:p>
    <w:p w14:paraId="1FA57008">
      <w:pPr>
        <w:pStyle w:val="5"/>
        <w:adjustRightInd w:val="0"/>
        <w:snapToGrid w:val="0"/>
        <w:spacing w:line="400" w:lineRule="exact"/>
        <w:jc w:val="center"/>
        <w:rPr>
          <w:rFonts w:ascii="黑体" w:hAnsi="华文中宋"/>
          <w:b w:val="0"/>
          <w:bCs w:val="0"/>
          <w:color w:val="auto"/>
          <w:sz w:val="28"/>
          <w:szCs w:val="28"/>
        </w:rPr>
      </w:pPr>
      <w:bookmarkStart w:id="550" w:name="_Toc28818"/>
      <w:bookmarkStart w:id="551" w:name="_Toc22209"/>
      <w:r>
        <w:rPr>
          <w:rFonts w:hint="eastAsia" w:ascii="黑体" w:hAnsi="黑体"/>
          <w:b w:val="0"/>
          <w:bCs w:val="0"/>
          <w:color w:val="auto"/>
          <w:sz w:val="28"/>
          <w:szCs w:val="28"/>
        </w:rPr>
        <w:t xml:space="preserve">第一节 </w:t>
      </w:r>
      <w:r>
        <w:rPr>
          <w:rFonts w:hint="eastAsia" w:ascii="黑体" w:hAnsi="华文中宋"/>
          <w:b w:val="0"/>
          <w:bCs w:val="0"/>
          <w:color w:val="auto"/>
          <w:sz w:val="28"/>
          <w:szCs w:val="28"/>
        </w:rPr>
        <w:t>政府采购合同协议书</w:t>
      </w:r>
      <w:bookmarkEnd w:id="550"/>
      <w:bookmarkEnd w:id="551"/>
    </w:p>
    <w:p w14:paraId="7529FE87">
      <w:pPr>
        <w:pStyle w:val="5"/>
        <w:adjustRightInd w:val="0"/>
        <w:snapToGrid w:val="0"/>
        <w:spacing w:line="400" w:lineRule="exact"/>
        <w:jc w:val="center"/>
        <w:rPr>
          <w:rFonts w:ascii="黑体" w:hAnsi="华文中宋"/>
          <w:b w:val="0"/>
          <w:bCs w:val="0"/>
          <w:color w:val="auto"/>
          <w:sz w:val="28"/>
          <w:szCs w:val="28"/>
        </w:rPr>
      </w:pPr>
    </w:p>
    <w:p w14:paraId="5EE07F8E">
      <w:pPr>
        <w:adjustRightInd w:val="0"/>
        <w:snapToGrid w:val="0"/>
        <w:spacing w:line="400" w:lineRule="exact"/>
        <w:rPr>
          <w:rFonts w:ascii="宋体" w:hAnsi="宋体"/>
          <w:color w:val="auto"/>
          <w:szCs w:val="21"/>
        </w:rPr>
      </w:pPr>
      <w:r>
        <w:rPr>
          <w:rFonts w:hint="eastAsia" w:ascii="宋体" w:hAnsi="宋体"/>
          <w:color w:val="auto"/>
          <w:szCs w:val="21"/>
        </w:rPr>
        <w:t>甲方（全称）：</w:t>
      </w:r>
      <w:r>
        <w:rPr>
          <w:rFonts w:hint="eastAsia" w:ascii="宋体" w:hAnsi="宋体"/>
          <w:color w:val="auto"/>
          <w:szCs w:val="21"/>
          <w:u w:val="single"/>
        </w:rPr>
        <w:t xml:space="preserve">                        </w:t>
      </w:r>
      <w:r>
        <w:rPr>
          <w:rFonts w:hint="eastAsia" w:ascii="宋体" w:hAnsi="宋体"/>
          <w:color w:val="auto"/>
          <w:szCs w:val="21"/>
        </w:rPr>
        <w:t>（采购人、受采购人委托签订合同的单位或采购</w:t>
      </w:r>
      <w:r>
        <w:rPr>
          <w:rFonts w:hint="eastAsia" w:ascii="宋体" w:hAnsi="宋体"/>
          <w:color w:val="auto"/>
          <w:szCs w:val="21"/>
        </w:rPr>
        <w:tab/>
      </w:r>
      <w:r>
        <w:rPr>
          <w:rFonts w:hint="eastAsia" w:ascii="宋体" w:hAnsi="宋体"/>
          <w:color w:val="auto"/>
          <w:szCs w:val="21"/>
        </w:rPr>
        <w:t xml:space="preserve">                                   文件约定的合同甲方）</w:t>
      </w:r>
    </w:p>
    <w:p w14:paraId="5768280F">
      <w:pPr>
        <w:adjustRightInd w:val="0"/>
        <w:snapToGrid w:val="0"/>
        <w:spacing w:line="400" w:lineRule="exact"/>
        <w:rPr>
          <w:rFonts w:ascii="宋体" w:hAnsi="宋体"/>
          <w:color w:val="auto"/>
          <w:szCs w:val="21"/>
        </w:rPr>
      </w:pPr>
      <w:r>
        <w:rPr>
          <w:rFonts w:hint="eastAsia" w:ascii="宋体" w:hAnsi="宋体"/>
          <w:color w:val="auto"/>
          <w:szCs w:val="21"/>
        </w:rPr>
        <w:t>乙方（全称）：</w:t>
      </w:r>
      <w:r>
        <w:rPr>
          <w:rFonts w:hint="eastAsia" w:ascii="宋体" w:hAnsi="宋体"/>
          <w:color w:val="auto"/>
          <w:szCs w:val="21"/>
          <w:u w:val="single"/>
        </w:rPr>
        <w:t xml:space="preserve">                       </w:t>
      </w:r>
      <w:r>
        <w:rPr>
          <w:rFonts w:hint="eastAsia" w:ascii="宋体" w:hAnsi="宋体"/>
          <w:color w:val="auto"/>
          <w:szCs w:val="21"/>
        </w:rPr>
        <w:t>（供应商）</w:t>
      </w:r>
    </w:p>
    <w:p w14:paraId="10EF627B">
      <w:pPr>
        <w:spacing w:line="400" w:lineRule="exact"/>
        <w:rPr>
          <w:color w:val="auto"/>
        </w:rPr>
      </w:pPr>
    </w:p>
    <w:p w14:paraId="254C929F">
      <w:pPr>
        <w:pStyle w:val="12"/>
        <w:adjustRightInd w:val="0"/>
        <w:snapToGrid w:val="0"/>
        <w:spacing w:line="400" w:lineRule="exact"/>
        <w:ind w:firstLine="420" w:firstLineChars="200"/>
        <w:rPr>
          <w:color w:val="auto"/>
          <w:szCs w:val="21"/>
        </w:rPr>
      </w:pPr>
      <w:r>
        <w:rPr>
          <w:rFonts w:hint="eastAsia"/>
          <w:color w:val="auto"/>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color w:val="auto"/>
          <w:szCs w:val="21"/>
        </w:rPr>
        <w:t xml:space="preserve">    </w:t>
      </w:r>
    </w:p>
    <w:p w14:paraId="408FAF2C">
      <w:pPr>
        <w:numPr>
          <w:ilvl w:val="0"/>
          <w:numId w:val="3"/>
        </w:numPr>
        <w:adjustRightInd w:val="0"/>
        <w:snapToGrid w:val="0"/>
        <w:spacing w:line="400" w:lineRule="exact"/>
        <w:ind w:firstLine="422" w:firstLineChars="200"/>
        <w:rPr>
          <w:rFonts w:ascii="宋体" w:hAnsi="宋体"/>
          <w:b/>
          <w:color w:val="auto"/>
          <w:szCs w:val="21"/>
        </w:rPr>
      </w:pPr>
      <w:r>
        <w:rPr>
          <w:rFonts w:hint="eastAsia" w:ascii="宋体" w:hAnsi="宋体"/>
          <w:b/>
          <w:color w:val="auto"/>
          <w:szCs w:val="21"/>
        </w:rPr>
        <w:t>项目信息</w:t>
      </w:r>
    </w:p>
    <w:p w14:paraId="03BC9F45">
      <w:pPr>
        <w:pStyle w:val="12"/>
        <w:widowControl/>
        <w:numPr>
          <w:ilvl w:val="0"/>
          <w:numId w:val="4"/>
        </w:numPr>
        <w:adjustRightInd w:val="0"/>
        <w:snapToGrid w:val="0"/>
        <w:spacing w:line="400" w:lineRule="exact"/>
        <w:ind w:right="0" w:firstLine="420" w:firstLineChars="200"/>
        <w:jc w:val="left"/>
        <w:rPr>
          <w:rFonts w:cs="宋体"/>
          <w:color w:val="auto"/>
          <w:sz w:val="21"/>
          <w:szCs w:val="21"/>
          <w:u w:val="single"/>
        </w:rPr>
      </w:pPr>
      <w:r>
        <w:rPr>
          <w:rFonts w:hint="eastAsia"/>
          <w:color w:val="auto"/>
          <w:sz w:val="21"/>
          <w:szCs w:val="21"/>
        </w:rPr>
        <w:t>采购项目名称：</w:t>
      </w:r>
      <w:r>
        <w:rPr>
          <w:color w:val="auto"/>
          <w:sz w:val="21"/>
          <w:szCs w:val="21"/>
          <w:u w:val="single"/>
        </w:rPr>
        <w:t xml:space="preserve"> </w:t>
      </w:r>
      <w:r>
        <w:rPr>
          <w:rFonts w:hint="eastAsia" w:cs="宋体"/>
          <w:color w:val="auto"/>
          <w:sz w:val="21"/>
          <w:szCs w:val="21"/>
          <w:u w:val="single"/>
          <w:lang w:eastAsia="zh-CN"/>
        </w:rPr>
        <w:t>迪庆藏族自治州博物馆可移动文物预防性保护（二期）</w:t>
      </w:r>
      <w:r>
        <w:rPr>
          <w:rFonts w:hint="eastAsia" w:cs="宋体"/>
          <w:color w:val="auto"/>
          <w:sz w:val="21"/>
          <w:szCs w:val="21"/>
          <w:u w:val="single"/>
        </w:rPr>
        <w:t xml:space="preserve"> </w:t>
      </w:r>
    </w:p>
    <w:p w14:paraId="0D55CD5D">
      <w:pPr>
        <w:pStyle w:val="12"/>
        <w:numPr>
          <w:ilvl w:val="255"/>
          <w:numId w:val="0"/>
        </w:numPr>
        <w:tabs>
          <w:tab w:val="left" w:pos="999"/>
        </w:tabs>
        <w:adjustRightInd w:val="0"/>
        <w:snapToGrid w:val="0"/>
        <w:spacing w:line="400" w:lineRule="exact"/>
        <w:rPr>
          <w:color w:val="auto"/>
          <w:sz w:val="21"/>
          <w:szCs w:val="21"/>
        </w:rPr>
      </w:pPr>
      <w:r>
        <w:rPr>
          <w:rFonts w:hint="eastAsia" w:cs="宋体"/>
          <w:color w:val="auto"/>
          <w:sz w:val="21"/>
          <w:szCs w:val="21"/>
        </w:rPr>
        <w:t xml:space="preserve">         采购项目编号：</w:t>
      </w:r>
      <w:r>
        <w:rPr>
          <w:rFonts w:hint="eastAsia" w:ascii="宋体" w:hAnsi="宋体" w:eastAsia="宋体" w:cs="宋体"/>
          <w:color w:val="auto"/>
          <w:sz w:val="21"/>
          <w:szCs w:val="21"/>
          <w:u w:val="single"/>
        </w:rPr>
        <w:t xml:space="preserve"> </w:t>
      </w:r>
      <w:r>
        <w:rPr>
          <w:rFonts w:hint="eastAsia" w:cs="宋体"/>
          <w:color w:val="auto"/>
          <w:sz w:val="21"/>
          <w:szCs w:val="21"/>
          <w:u w:val="single"/>
          <w:lang w:eastAsia="zh-CN"/>
        </w:rPr>
        <w:t>DQZC2025-G1-00088-YNZC-0003</w:t>
      </w:r>
      <w:r>
        <w:rPr>
          <w:rFonts w:hint="eastAsia" w:ascii="宋体" w:hAnsi="宋体" w:eastAsia="宋体" w:cs="宋体"/>
          <w:color w:val="auto"/>
          <w:sz w:val="21"/>
          <w:szCs w:val="21"/>
          <w:u w:val="single"/>
        </w:rPr>
        <w:t xml:space="preserve">  </w:t>
      </w:r>
      <w:r>
        <w:rPr>
          <w:rFonts w:hint="eastAsia" w:cs="宋体"/>
          <w:color w:val="auto"/>
          <w:sz w:val="21"/>
          <w:szCs w:val="21"/>
          <w:u w:val="single"/>
        </w:rPr>
        <w:t xml:space="preserve">     </w:t>
      </w:r>
      <w:r>
        <w:rPr>
          <w:color w:val="auto"/>
          <w:sz w:val="21"/>
          <w:szCs w:val="21"/>
          <w:u w:val="single"/>
        </w:rPr>
        <w:t xml:space="preserve">  </w:t>
      </w:r>
      <w:r>
        <w:rPr>
          <w:rFonts w:hint="eastAsia"/>
          <w:color w:val="auto"/>
          <w:sz w:val="21"/>
          <w:szCs w:val="21"/>
          <w:u w:val="single"/>
        </w:rPr>
        <w:t xml:space="preserve">     </w:t>
      </w:r>
    </w:p>
    <w:p w14:paraId="44C8370E">
      <w:pPr>
        <w:adjustRightInd w:val="0"/>
        <w:snapToGrid w:val="0"/>
        <w:spacing w:line="400" w:lineRule="exact"/>
        <w:ind w:firstLine="420" w:firstLineChars="200"/>
        <w:rPr>
          <w:rFonts w:ascii="宋体" w:hAnsi="宋体"/>
          <w:color w:val="auto"/>
          <w:szCs w:val="21"/>
        </w:rPr>
      </w:pPr>
      <w:r>
        <w:rPr>
          <w:rFonts w:hint="eastAsia" w:ascii="宋体" w:hAnsi="宋体"/>
          <w:color w:val="auto"/>
          <w:szCs w:val="21"/>
        </w:rPr>
        <w:t>（</w:t>
      </w:r>
      <w:r>
        <w:rPr>
          <w:rFonts w:hint="eastAsia" w:ascii="宋体" w:hAnsi="宋体"/>
          <w:color w:val="auto"/>
          <w:szCs w:val="21"/>
          <w:lang w:val="en-US" w:eastAsia="zh-CN"/>
        </w:rPr>
        <w:t>2</w:t>
      </w:r>
      <w:r>
        <w:rPr>
          <w:rFonts w:hint="eastAsia" w:ascii="宋体" w:hAnsi="宋体"/>
          <w:color w:val="auto"/>
          <w:szCs w:val="21"/>
        </w:rPr>
        <w:t>）项目内容：</w:t>
      </w:r>
    </w:p>
    <w:p w14:paraId="7C5B92F9">
      <w:pPr>
        <w:adjustRightInd w:val="0"/>
        <w:snapToGrid w:val="0"/>
        <w:spacing w:line="400" w:lineRule="exact"/>
        <w:ind w:firstLine="420" w:firstLineChars="200"/>
        <w:rPr>
          <w:rFonts w:ascii="宋体" w:hAnsi="宋体"/>
          <w:color w:val="auto"/>
          <w:szCs w:val="21"/>
        </w:rPr>
      </w:pPr>
      <w:r>
        <w:rPr>
          <w:rFonts w:hint="eastAsia" w:ascii="宋体" w:hAnsi="宋体"/>
          <w:color w:val="auto"/>
          <w:szCs w:val="21"/>
        </w:rPr>
        <w:t xml:space="preserve">     采购标的及数量（台/套</w:t>
      </w:r>
      <w:r>
        <w:rPr>
          <w:rFonts w:ascii="宋体" w:hAnsi="宋体"/>
          <w:color w:val="auto"/>
          <w:szCs w:val="21"/>
        </w:rPr>
        <w:t>/</w:t>
      </w:r>
      <w:r>
        <w:rPr>
          <w:rFonts w:hint="eastAsia" w:ascii="宋体" w:hAnsi="宋体"/>
          <w:color w:val="auto"/>
          <w:szCs w:val="21"/>
        </w:rPr>
        <w:t>个</w:t>
      </w:r>
      <w:r>
        <w:rPr>
          <w:rFonts w:ascii="宋体" w:hAnsi="宋体"/>
          <w:color w:val="auto"/>
          <w:szCs w:val="21"/>
        </w:rPr>
        <w:t>/</w:t>
      </w:r>
      <w:r>
        <w:rPr>
          <w:rFonts w:hint="eastAsia" w:ascii="宋体" w:hAnsi="宋体"/>
          <w:color w:val="auto"/>
          <w:szCs w:val="21"/>
        </w:rPr>
        <w:t>架</w:t>
      </w:r>
      <w:r>
        <w:rPr>
          <w:rFonts w:ascii="宋体" w:hAnsi="宋体"/>
          <w:color w:val="auto"/>
          <w:szCs w:val="21"/>
        </w:rPr>
        <w:t>/</w:t>
      </w:r>
      <w:r>
        <w:rPr>
          <w:rFonts w:hint="eastAsia" w:ascii="宋体" w:hAnsi="宋体"/>
          <w:color w:val="auto"/>
          <w:szCs w:val="21"/>
        </w:rPr>
        <w:t>组等）：</w:t>
      </w:r>
    </w:p>
    <w:tbl>
      <w:tblPr>
        <w:tblStyle w:val="28"/>
        <w:tblW w:w="48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5"/>
        <w:gridCol w:w="3536"/>
        <w:gridCol w:w="2173"/>
        <w:gridCol w:w="2054"/>
      </w:tblGrid>
      <w:tr w14:paraId="18032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7" w:type="pct"/>
          </w:tcPr>
          <w:p w14:paraId="7135F7D7">
            <w:pPr>
              <w:pStyle w:val="22"/>
              <w:spacing w:before="0" w:beforeAutospacing="0" w:after="0" w:afterAutospacing="0" w:line="360" w:lineRule="auto"/>
              <w:jc w:val="center"/>
              <w:rPr>
                <w:rFonts w:ascii="宋体" w:hAnsi="宋体" w:cs="宋体"/>
                <w:b/>
                <w:bCs/>
                <w:color w:val="auto"/>
                <w:sz w:val="21"/>
                <w:szCs w:val="21"/>
              </w:rPr>
            </w:pPr>
            <w:r>
              <w:rPr>
                <w:rFonts w:hint="eastAsia" w:ascii="宋体" w:hAnsi="宋体" w:cs="宋体"/>
                <w:b/>
                <w:bCs/>
                <w:color w:val="auto"/>
                <w:sz w:val="21"/>
                <w:szCs w:val="21"/>
              </w:rPr>
              <w:t>序号</w:t>
            </w:r>
          </w:p>
        </w:tc>
        <w:tc>
          <w:tcPr>
            <w:tcW w:w="1969" w:type="pct"/>
          </w:tcPr>
          <w:p w14:paraId="38F8C55C">
            <w:pPr>
              <w:pStyle w:val="22"/>
              <w:spacing w:before="0" w:beforeAutospacing="0" w:after="0" w:afterAutospacing="0" w:line="360" w:lineRule="auto"/>
              <w:jc w:val="center"/>
              <w:rPr>
                <w:rFonts w:ascii="宋体" w:hAnsi="宋体" w:cs="宋体"/>
                <w:b/>
                <w:bCs/>
                <w:color w:val="auto"/>
                <w:sz w:val="21"/>
                <w:szCs w:val="21"/>
              </w:rPr>
            </w:pPr>
            <w:r>
              <w:rPr>
                <w:rFonts w:hint="eastAsia" w:ascii="宋体" w:hAnsi="宋体" w:cs="宋体"/>
                <w:b/>
                <w:bCs/>
                <w:color w:val="auto"/>
                <w:sz w:val="21"/>
                <w:szCs w:val="21"/>
              </w:rPr>
              <w:t>货物名称</w:t>
            </w:r>
          </w:p>
        </w:tc>
        <w:tc>
          <w:tcPr>
            <w:tcW w:w="1210" w:type="pct"/>
          </w:tcPr>
          <w:p w14:paraId="25D82B67">
            <w:pPr>
              <w:pStyle w:val="22"/>
              <w:spacing w:before="0" w:beforeAutospacing="0" w:after="0" w:afterAutospacing="0" w:line="360" w:lineRule="auto"/>
              <w:jc w:val="center"/>
              <w:rPr>
                <w:rFonts w:ascii="宋体" w:hAnsi="宋体" w:cs="宋体"/>
                <w:b/>
                <w:bCs/>
                <w:color w:val="auto"/>
                <w:sz w:val="21"/>
                <w:szCs w:val="21"/>
              </w:rPr>
            </w:pPr>
            <w:r>
              <w:rPr>
                <w:rFonts w:hint="eastAsia" w:ascii="宋体" w:hAnsi="宋体" w:cs="宋体"/>
                <w:b/>
                <w:bCs/>
                <w:color w:val="auto"/>
                <w:sz w:val="21"/>
                <w:szCs w:val="21"/>
              </w:rPr>
              <w:t>单位</w:t>
            </w:r>
          </w:p>
        </w:tc>
        <w:tc>
          <w:tcPr>
            <w:tcW w:w="1142" w:type="pct"/>
          </w:tcPr>
          <w:p w14:paraId="6DA70395">
            <w:pPr>
              <w:pStyle w:val="22"/>
              <w:spacing w:before="0" w:beforeAutospacing="0" w:after="0" w:afterAutospacing="0" w:line="360" w:lineRule="auto"/>
              <w:jc w:val="center"/>
              <w:rPr>
                <w:rFonts w:ascii="宋体" w:hAnsi="宋体" w:cs="宋体"/>
                <w:b/>
                <w:bCs/>
                <w:color w:val="auto"/>
                <w:sz w:val="21"/>
                <w:szCs w:val="21"/>
              </w:rPr>
            </w:pPr>
            <w:r>
              <w:rPr>
                <w:rFonts w:hint="eastAsia" w:ascii="宋体" w:hAnsi="宋体" w:cs="宋体"/>
                <w:b/>
                <w:bCs/>
                <w:color w:val="auto"/>
                <w:sz w:val="21"/>
                <w:szCs w:val="21"/>
              </w:rPr>
              <w:t>数量</w:t>
            </w:r>
          </w:p>
        </w:tc>
      </w:tr>
      <w:tr w14:paraId="14237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5000" w:type="pct"/>
            <w:gridSpan w:val="4"/>
            <w:vAlign w:val="center"/>
          </w:tcPr>
          <w:p w14:paraId="4BADDA29">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bCs/>
                <w:color w:val="auto"/>
                <w:spacing w:val="0"/>
                <w:kern w:val="0"/>
                <w:sz w:val="21"/>
                <w:szCs w:val="21"/>
              </w:rPr>
            </w:pPr>
            <w:r>
              <w:rPr>
                <w:rFonts w:hint="eastAsia" w:ascii="宋体" w:hAnsi="宋体" w:eastAsia="宋体" w:cs="宋体"/>
                <w:b/>
                <w:bCs/>
                <w:color w:val="auto"/>
                <w:spacing w:val="0"/>
                <w:kern w:val="0"/>
                <w:sz w:val="21"/>
                <w:szCs w:val="21"/>
                <w:lang w:eastAsia="zh-CN"/>
              </w:rPr>
              <w:t>（一）、馆藏文物无线环境监测系统</w:t>
            </w:r>
          </w:p>
        </w:tc>
      </w:tr>
      <w:tr w14:paraId="0B558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54B3605C">
            <w:pPr>
              <w:widowControl/>
              <w:jc w:val="center"/>
              <w:textAlignment w:val="center"/>
              <w:rPr>
                <w:color w:val="auto"/>
                <w:szCs w:val="21"/>
              </w:rPr>
            </w:pPr>
            <w:r>
              <w:rPr>
                <w:rFonts w:hint="eastAsia" w:asciiTheme="minorEastAsia" w:hAnsiTheme="minorEastAsia" w:eastAsiaTheme="minorEastAsia" w:cstheme="minorEastAsia"/>
                <w:color w:val="auto"/>
                <w:kern w:val="0"/>
                <w:szCs w:val="21"/>
              </w:rPr>
              <w:t>1</w:t>
            </w:r>
          </w:p>
        </w:tc>
        <w:tc>
          <w:tcPr>
            <w:tcW w:w="1969" w:type="pct"/>
            <w:vAlign w:val="center"/>
          </w:tcPr>
          <w:p w14:paraId="28C464B2">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color w:val="auto"/>
                <w:szCs w:val="21"/>
              </w:rPr>
            </w:pPr>
            <w:r>
              <w:rPr>
                <w:rFonts w:hint="eastAsia" w:ascii="宋体" w:hAnsi="宋体" w:eastAsia="宋体" w:cs="宋体"/>
                <w:b/>
                <w:bCs/>
                <w:color w:val="auto"/>
                <w:spacing w:val="0"/>
                <w:kern w:val="0"/>
                <w:sz w:val="21"/>
                <w:szCs w:val="21"/>
              </w:rPr>
              <w:t>甲醛无线监测终端</w:t>
            </w:r>
          </w:p>
        </w:tc>
        <w:tc>
          <w:tcPr>
            <w:tcW w:w="1210" w:type="pct"/>
            <w:vAlign w:val="center"/>
          </w:tcPr>
          <w:p w14:paraId="38D5DC9C">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color w:val="auto"/>
                <w:szCs w:val="21"/>
              </w:rPr>
            </w:pPr>
            <w:r>
              <w:rPr>
                <w:rFonts w:hint="eastAsia" w:ascii="宋体" w:hAnsi="宋体" w:eastAsia="宋体" w:cs="宋体"/>
                <w:b/>
                <w:bCs/>
                <w:color w:val="auto"/>
                <w:spacing w:val="0"/>
                <w:kern w:val="0"/>
                <w:sz w:val="21"/>
                <w:szCs w:val="21"/>
              </w:rPr>
              <w:t>只</w:t>
            </w:r>
          </w:p>
        </w:tc>
        <w:tc>
          <w:tcPr>
            <w:tcW w:w="1142" w:type="pct"/>
            <w:vAlign w:val="center"/>
          </w:tcPr>
          <w:p w14:paraId="35B5750F">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color w:val="auto"/>
                <w:szCs w:val="21"/>
              </w:rPr>
            </w:pPr>
            <w:r>
              <w:rPr>
                <w:rFonts w:hint="eastAsia" w:ascii="宋体" w:hAnsi="宋体" w:eastAsia="宋体" w:cs="宋体"/>
                <w:b/>
                <w:bCs/>
                <w:color w:val="auto"/>
                <w:spacing w:val="0"/>
                <w:kern w:val="0"/>
                <w:sz w:val="21"/>
                <w:szCs w:val="21"/>
              </w:rPr>
              <w:t>6</w:t>
            </w:r>
          </w:p>
        </w:tc>
      </w:tr>
      <w:tr w14:paraId="087AD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0E77F806">
            <w:pPr>
              <w:widowControl/>
              <w:jc w:val="center"/>
              <w:textAlignment w:val="center"/>
              <w:rPr>
                <w:rFonts w:ascii="Calibri" w:hAnsi="Calibri" w:cs="Calibri"/>
                <w:color w:val="auto"/>
                <w:kern w:val="0"/>
                <w:szCs w:val="21"/>
                <w:lang w:bidi="ar"/>
              </w:rPr>
            </w:pPr>
            <w:r>
              <w:rPr>
                <w:rFonts w:hint="eastAsia" w:asciiTheme="minorEastAsia" w:hAnsiTheme="minorEastAsia" w:eastAsiaTheme="minorEastAsia" w:cstheme="minorEastAsia"/>
                <w:color w:val="auto"/>
                <w:kern w:val="0"/>
                <w:szCs w:val="21"/>
              </w:rPr>
              <w:t>2</w:t>
            </w:r>
          </w:p>
        </w:tc>
        <w:tc>
          <w:tcPr>
            <w:tcW w:w="1969" w:type="pct"/>
            <w:vAlign w:val="center"/>
          </w:tcPr>
          <w:p w14:paraId="68AF9BCF">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紫外线监测终端</w:t>
            </w:r>
          </w:p>
        </w:tc>
        <w:tc>
          <w:tcPr>
            <w:tcW w:w="1210" w:type="pct"/>
            <w:vAlign w:val="center"/>
          </w:tcPr>
          <w:p w14:paraId="1A9A1850">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只</w:t>
            </w:r>
          </w:p>
        </w:tc>
        <w:tc>
          <w:tcPr>
            <w:tcW w:w="1142" w:type="pct"/>
            <w:vAlign w:val="center"/>
          </w:tcPr>
          <w:p w14:paraId="12A1711C">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Calibri" w:hAnsi="Calibri" w:cs="Calibri"/>
                <w:color w:val="auto"/>
                <w:kern w:val="0"/>
                <w:szCs w:val="21"/>
                <w:lang w:bidi="ar"/>
              </w:rPr>
            </w:pPr>
            <w:r>
              <w:rPr>
                <w:rFonts w:hint="eastAsia" w:ascii="宋体" w:hAnsi="宋体" w:eastAsia="宋体" w:cs="宋体"/>
                <w:b/>
                <w:bCs/>
                <w:color w:val="auto"/>
                <w:spacing w:val="0"/>
                <w:kern w:val="0"/>
                <w:sz w:val="21"/>
                <w:szCs w:val="21"/>
              </w:rPr>
              <w:t>6</w:t>
            </w:r>
          </w:p>
        </w:tc>
      </w:tr>
      <w:tr w14:paraId="3833D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607338A4">
            <w:pPr>
              <w:widowControl/>
              <w:jc w:val="center"/>
              <w:textAlignment w:val="center"/>
              <w:rPr>
                <w:rFonts w:ascii="Calibri" w:hAnsi="Calibri" w:cs="Calibri"/>
                <w:color w:val="auto"/>
                <w:kern w:val="0"/>
                <w:szCs w:val="21"/>
                <w:lang w:bidi="ar"/>
              </w:rPr>
            </w:pPr>
            <w:r>
              <w:rPr>
                <w:rFonts w:hint="eastAsia" w:asciiTheme="minorEastAsia" w:hAnsiTheme="minorEastAsia" w:eastAsiaTheme="minorEastAsia" w:cstheme="minorEastAsia"/>
                <w:color w:val="auto"/>
                <w:kern w:val="0"/>
                <w:szCs w:val="21"/>
              </w:rPr>
              <w:t>3</w:t>
            </w:r>
          </w:p>
        </w:tc>
        <w:tc>
          <w:tcPr>
            <w:tcW w:w="1969" w:type="pct"/>
            <w:vAlign w:val="center"/>
          </w:tcPr>
          <w:p w14:paraId="069D5BFE">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挥发物总量无线监测终端</w:t>
            </w:r>
          </w:p>
        </w:tc>
        <w:tc>
          <w:tcPr>
            <w:tcW w:w="1210" w:type="pct"/>
            <w:vAlign w:val="center"/>
          </w:tcPr>
          <w:p w14:paraId="407342BB">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只</w:t>
            </w:r>
          </w:p>
        </w:tc>
        <w:tc>
          <w:tcPr>
            <w:tcW w:w="1142" w:type="pct"/>
            <w:vAlign w:val="center"/>
          </w:tcPr>
          <w:p w14:paraId="5B329C1A">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Calibri" w:hAnsi="Calibri" w:cs="Calibri"/>
                <w:color w:val="auto"/>
                <w:kern w:val="0"/>
                <w:szCs w:val="21"/>
                <w:lang w:bidi="ar"/>
              </w:rPr>
            </w:pPr>
            <w:r>
              <w:rPr>
                <w:rFonts w:hint="eastAsia" w:ascii="宋体" w:hAnsi="宋体" w:eastAsia="宋体" w:cs="宋体"/>
                <w:b/>
                <w:bCs/>
                <w:color w:val="auto"/>
                <w:spacing w:val="0"/>
                <w:kern w:val="0"/>
                <w:sz w:val="21"/>
                <w:szCs w:val="21"/>
              </w:rPr>
              <w:t>6</w:t>
            </w:r>
          </w:p>
        </w:tc>
      </w:tr>
      <w:tr w14:paraId="22DE3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7ECD6724">
            <w:pPr>
              <w:widowControl/>
              <w:jc w:val="center"/>
              <w:textAlignment w:val="center"/>
              <w:rPr>
                <w:rFonts w:ascii="Calibri" w:hAnsi="Calibri" w:cs="Calibri"/>
                <w:color w:val="auto"/>
                <w:kern w:val="0"/>
                <w:szCs w:val="21"/>
                <w:lang w:bidi="ar"/>
              </w:rPr>
            </w:pPr>
            <w:r>
              <w:rPr>
                <w:rFonts w:hint="eastAsia" w:asciiTheme="minorEastAsia" w:hAnsiTheme="minorEastAsia" w:eastAsiaTheme="minorEastAsia" w:cstheme="minorEastAsia"/>
                <w:color w:val="auto"/>
                <w:kern w:val="0"/>
                <w:szCs w:val="21"/>
              </w:rPr>
              <w:t>4</w:t>
            </w:r>
          </w:p>
        </w:tc>
        <w:tc>
          <w:tcPr>
            <w:tcW w:w="1969" w:type="pct"/>
            <w:vAlign w:val="center"/>
          </w:tcPr>
          <w:p w14:paraId="77C35467">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光照度无线监测终端</w:t>
            </w:r>
          </w:p>
        </w:tc>
        <w:tc>
          <w:tcPr>
            <w:tcW w:w="1210" w:type="pct"/>
            <w:vAlign w:val="center"/>
          </w:tcPr>
          <w:p w14:paraId="24ACD8CC">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只</w:t>
            </w:r>
          </w:p>
        </w:tc>
        <w:tc>
          <w:tcPr>
            <w:tcW w:w="1142" w:type="pct"/>
            <w:vAlign w:val="center"/>
          </w:tcPr>
          <w:p w14:paraId="398FD802">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Calibri" w:hAnsi="Calibri" w:cs="Calibri"/>
                <w:color w:val="auto"/>
                <w:kern w:val="0"/>
                <w:szCs w:val="21"/>
                <w:lang w:bidi="ar"/>
              </w:rPr>
            </w:pPr>
            <w:r>
              <w:rPr>
                <w:rFonts w:hint="eastAsia" w:ascii="宋体" w:hAnsi="宋体" w:eastAsia="宋体" w:cs="宋体"/>
                <w:b/>
                <w:bCs/>
                <w:color w:val="auto"/>
                <w:spacing w:val="0"/>
                <w:kern w:val="0"/>
                <w:sz w:val="21"/>
                <w:szCs w:val="21"/>
              </w:rPr>
              <w:t>6</w:t>
            </w:r>
          </w:p>
        </w:tc>
      </w:tr>
      <w:tr w14:paraId="767A6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00ED7577">
            <w:pPr>
              <w:widowControl/>
              <w:jc w:val="center"/>
              <w:textAlignment w:val="center"/>
              <w:rPr>
                <w:rFonts w:ascii="Calibri" w:hAnsi="Calibri" w:cs="Calibri"/>
                <w:color w:val="auto"/>
                <w:kern w:val="0"/>
                <w:szCs w:val="21"/>
                <w:lang w:bidi="ar"/>
              </w:rPr>
            </w:pPr>
            <w:r>
              <w:rPr>
                <w:rFonts w:hint="eastAsia" w:asciiTheme="minorEastAsia" w:hAnsiTheme="minorEastAsia" w:eastAsiaTheme="minorEastAsia" w:cstheme="minorEastAsia"/>
                <w:color w:val="auto"/>
                <w:kern w:val="0"/>
                <w:szCs w:val="21"/>
              </w:rPr>
              <w:t>5</w:t>
            </w:r>
          </w:p>
        </w:tc>
        <w:tc>
          <w:tcPr>
            <w:tcW w:w="1969" w:type="pct"/>
            <w:vAlign w:val="center"/>
          </w:tcPr>
          <w:p w14:paraId="7C2D37EB">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二氧化碳无线监测终端</w:t>
            </w:r>
          </w:p>
        </w:tc>
        <w:tc>
          <w:tcPr>
            <w:tcW w:w="1210" w:type="pct"/>
            <w:vAlign w:val="center"/>
          </w:tcPr>
          <w:p w14:paraId="5D33DDE6">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只</w:t>
            </w:r>
          </w:p>
        </w:tc>
        <w:tc>
          <w:tcPr>
            <w:tcW w:w="1142" w:type="pct"/>
            <w:vAlign w:val="center"/>
          </w:tcPr>
          <w:p w14:paraId="2BF4B783">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Calibri" w:hAnsi="Calibri" w:cs="Calibri"/>
                <w:color w:val="auto"/>
                <w:kern w:val="0"/>
                <w:szCs w:val="21"/>
                <w:lang w:bidi="ar"/>
              </w:rPr>
            </w:pPr>
            <w:r>
              <w:rPr>
                <w:rFonts w:hint="eastAsia" w:ascii="宋体" w:hAnsi="宋体" w:eastAsia="宋体" w:cs="宋体"/>
                <w:b/>
                <w:bCs/>
                <w:color w:val="auto"/>
                <w:spacing w:val="0"/>
                <w:kern w:val="0"/>
                <w:sz w:val="21"/>
                <w:szCs w:val="21"/>
              </w:rPr>
              <w:t>6</w:t>
            </w:r>
          </w:p>
        </w:tc>
      </w:tr>
      <w:tr w14:paraId="448E8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6AE88B8E">
            <w:pPr>
              <w:widowControl/>
              <w:jc w:val="center"/>
              <w:textAlignment w:val="center"/>
              <w:rPr>
                <w:rFonts w:ascii="Calibri" w:hAnsi="Calibri" w:cs="Calibri"/>
                <w:color w:val="auto"/>
                <w:kern w:val="0"/>
                <w:szCs w:val="21"/>
                <w:lang w:bidi="ar"/>
              </w:rPr>
            </w:pPr>
            <w:r>
              <w:rPr>
                <w:rFonts w:hint="eastAsia" w:asciiTheme="minorEastAsia" w:hAnsiTheme="minorEastAsia" w:eastAsiaTheme="minorEastAsia" w:cstheme="minorEastAsia"/>
                <w:color w:val="auto"/>
                <w:kern w:val="0"/>
                <w:szCs w:val="21"/>
              </w:rPr>
              <w:t>6</w:t>
            </w:r>
          </w:p>
        </w:tc>
        <w:tc>
          <w:tcPr>
            <w:tcW w:w="1969" w:type="pct"/>
            <w:vAlign w:val="center"/>
          </w:tcPr>
          <w:p w14:paraId="233F092D">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温湿度无线监测终端</w:t>
            </w:r>
          </w:p>
        </w:tc>
        <w:tc>
          <w:tcPr>
            <w:tcW w:w="1210" w:type="pct"/>
            <w:vAlign w:val="center"/>
          </w:tcPr>
          <w:p w14:paraId="10DB9C3D">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只</w:t>
            </w:r>
          </w:p>
        </w:tc>
        <w:tc>
          <w:tcPr>
            <w:tcW w:w="1142" w:type="pct"/>
            <w:vAlign w:val="center"/>
          </w:tcPr>
          <w:p w14:paraId="0DDBE436">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Calibri" w:hAnsi="Calibri" w:cs="Calibri"/>
                <w:color w:val="auto"/>
                <w:kern w:val="0"/>
                <w:szCs w:val="21"/>
                <w:lang w:bidi="ar"/>
              </w:rPr>
            </w:pPr>
            <w:r>
              <w:rPr>
                <w:rFonts w:hint="eastAsia" w:ascii="宋体" w:hAnsi="宋体" w:eastAsia="宋体" w:cs="宋体"/>
                <w:b/>
                <w:bCs/>
                <w:color w:val="auto"/>
                <w:spacing w:val="0"/>
                <w:kern w:val="0"/>
                <w:sz w:val="21"/>
                <w:szCs w:val="21"/>
                <w:lang w:val="en-US" w:eastAsia="zh-CN"/>
              </w:rPr>
              <w:t>6</w:t>
            </w:r>
          </w:p>
        </w:tc>
      </w:tr>
      <w:tr w14:paraId="2D845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28519F95">
            <w:pPr>
              <w:widowControl/>
              <w:jc w:val="center"/>
              <w:textAlignment w:val="center"/>
              <w:rPr>
                <w:rFonts w:ascii="Calibri" w:hAnsi="Calibri" w:cs="Calibri"/>
                <w:color w:val="auto"/>
                <w:kern w:val="0"/>
                <w:szCs w:val="21"/>
                <w:lang w:bidi="ar"/>
              </w:rPr>
            </w:pPr>
            <w:r>
              <w:rPr>
                <w:rFonts w:hint="eastAsia" w:asciiTheme="minorEastAsia" w:hAnsiTheme="minorEastAsia" w:eastAsiaTheme="minorEastAsia" w:cstheme="minorEastAsia"/>
                <w:color w:val="auto"/>
                <w:kern w:val="0"/>
                <w:szCs w:val="21"/>
              </w:rPr>
              <w:t>7</w:t>
            </w:r>
          </w:p>
        </w:tc>
        <w:tc>
          <w:tcPr>
            <w:tcW w:w="1969" w:type="pct"/>
            <w:vAlign w:val="center"/>
          </w:tcPr>
          <w:p w14:paraId="09D97A1F">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中继</w:t>
            </w:r>
          </w:p>
        </w:tc>
        <w:tc>
          <w:tcPr>
            <w:tcW w:w="1210" w:type="pct"/>
            <w:vAlign w:val="center"/>
          </w:tcPr>
          <w:p w14:paraId="2467B3D3">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只</w:t>
            </w:r>
          </w:p>
        </w:tc>
        <w:tc>
          <w:tcPr>
            <w:tcW w:w="1142" w:type="pct"/>
            <w:vAlign w:val="center"/>
          </w:tcPr>
          <w:p w14:paraId="0D5966C6">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Calibri" w:hAnsi="Calibri" w:cs="Calibri"/>
                <w:color w:val="auto"/>
                <w:kern w:val="0"/>
                <w:szCs w:val="21"/>
                <w:lang w:bidi="ar"/>
              </w:rPr>
            </w:pPr>
            <w:r>
              <w:rPr>
                <w:rFonts w:hint="eastAsia" w:ascii="宋体" w:hAnsi="宋体" w:eastAsia="宋体" w:cs="宋体"/>
                <w:b/>
                <w:bCs/>
                <w:color w:val="auto"/>
                <w:spacing w:val="0"/>
                <w:kern w:val="0"/>
                <w:sz w:val="21"/>
                <w:szCs w:val="21"/>
              </w:rPr>
              <w:t>6</w:t>
            </w:r>
          </w:p>
        </w:tc>
      </w:tr>
      <w:tr w14:paraId="6B903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2823F068">
            <w:pPr>
              <w:widowControl/>
              <w:jc w:val="center"/>
              <w:textAlignment w:val="center"/>
              <w:rPr>
                <w:rFonts w:hint="eastAsia" w:asciiTheme="minorEastAsia" w:hAnsiTheme="minorEastAsia" w:eastAsiaTheme="minorEastAsia" w:cstheme="minorEastAsia"/>
                <w:color w:val="auto"/>
                <w:kern w:val="0"/>
                <w:szCs w:val="21"/>
                <w:lang w:val="en-US" w:eastAsia="zh-CN"/>
              </w:rPr>
            </w:pPr>
            <w:r>
              <w:rPr>
                <w:rFonts w:hint="eastAsia" w:asciiTheme="minorEastAsia" w:hAnsiTheme="minorEastAsia" w:eastAsiaTheme="minorEastAsia" w:cstheme="minorEastAsia"/>
                <w:color w:val="auto"/>
                <w:kern w:val="0"/>
                <w:szCs w:val="21"/>
                <w:lang w:val="en-US" w:eastAsia="zh-CN"/>
              </w:rPr>
              <w:t>8</w:t>
            </w:r>
          </w:p>
        </w:tc>
        <w:tc>
          <w:tcPr>
            <w:tcW w:w="1969" w:type="pct"/>
            <w:vAlign w:val="center"/>
          </w:tcPr>
          <w:p w14:paraId="4C4B0910">
            <w:pPr>
              <w:widowControl/>
              <w:jc w:val="center"/>
              <w:textAlignment w:val="center"/>
              <w:rPr>
                <w:rFonts w:hint="eastAsia" w:ascii="宋体" w:hAnsi="宋体"/>
                <w:color w:val="auto"/>
                <w:szCs w:val="21"/>
              </w:rPr>
            </w:pPr>
            <w:r>
              <w:rPr>
                <w:rFonts w:hint="eastAsia" w:ascii="宋体" w:hAnsi="宋体" w:cs="宋体"/>
                <w:b/>
                <w:bCs/>
                <w:color w:val="auto"/>
                <w:spacing w:val="0"/>
                <w:kern w:val="0"/>
                <w:sz w:val="21"/>
                <w:szCs w:val="21"/>
                <w:lang w:val="en-US" w:eastAsia="zh-CN"/>
              </w:rPr>
              <w:t>物联网网关</w:t>
            </w:r>
          </w:p>
        </w:tc>
        <w:tc>
          <w:tcPr>
            <w:tcW w:w="1210" w:type="pct"/>
            <w:vAlign w:val="center"/>
          </w:tcPr>
          <w:p w14:paraId="69CDFB1A">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color w:val="auto"/>
                <w:szCs w:val="21"/>
              </w:rPr>
            </w:pPr>
            <w:r>
              <w:rPr>
                <w:rFonts w:hint="eastAsia" w:ascii="宋体" w:hAnsi="宋体" w:eastAsia="宋体" w:cs="宋体"/>
                <w:b/>
                <w:bCs/>
                <w:color w:val="auto"/>
                <w:spacing w:val="0"/>
                <w:kern w:val="0"/>
                <w:sz w:val="21"/>
                <w:szCs w:val="21"/>
              </w:rPr>
              <w:t>只</w:t>
            </w:r>
          </w:p>
        </w:tc>
        <w:tc>
          <w:tcPr>
            <w:tcW w:w="1142" w:type="pct"/>
            <w:vAlign w:val="center"/>
          </w:tcPr>
          <w:p w14:paraId="6EFDA5A4">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color w:val="auto"/>
                <w:szCs w:val="21"/>
              </w:rPr>
            </w:pPr>
            <w:r>
              <w:rPr>
                <w:rFonts w:hint="eastAsia" w:ascii="宋体" w:hAnsi="宋体" w:eastAsia="宋体" w:cs="宋体"/>
                <w:b/>
                <w:bCs/>
                <w:color w:val="auto"/>
                <w:spacing w:val="0"/>
                <w:kern w:val="0"/>
                <w:sz w:val="21"/>
                <w:szCs w:val="21"/>
              </w:rPr>
              <w:t>1</w:t>
            </w:r>
          </w:p>
        </w:tc>
      </w:tr>
      <w:tr w14:paraId="2AE2A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4387A43B">
            <w:pPr>
              <w:widowControl/>
              <w:jc w:val="center"/>
              <w:textAlignment w:val="center"/>
              <w:rPr>
                <w:rFonts w:hint="default" w:asciiTheme="minorEastAsia" w:hAnsiTheme="minorEastAsia" w:eastAsiaTheme="minorEastAsia" w:cstheme="minorEastAsia"/>
                <w:color w:val="auto"/>
                <w:kern w:val="0"/>
                <w:szCs w:val="21"/>
                <w:lang w:val="en-US" w:eastAsia="zh-CN"/>
              </w:rPr>
            </w:pPr>
            <w:r>
              <w:rPr>
                <w:rFonts w:hint="eastAsia" w:asciiTheme="minorEastAsia" w:hAnsiTheme="minorEastAsia" w:eastAsiaTheme="minorEastAsia" w:cstheme="minorEastAsia"/>
                <w:color w:val="auto"/>
                <w:kern w:val="0"/>
                <w:szCs w:val="21"/>
                <w:lang w:val="en-US" w:eastAsia="zh-CN"/>
              </w:rPr>
              <w:t>9</w:t>
            </w:r>
          </w:p>
        </w:tc>
        <w:tc>
          <w:tcPr>
            <w:tcW w:w="1969" w:type="pct"/>
            <w:vAlign w:val="center"/>
          </w:tcPr>
          <w:p w14:paraId="3B1C974A">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color w:val="auto"/>
                <w:szCs w:val="21"/>
              </w:rPr>
            </w:pPr>
            <w:r>
              <w:rPr>
                <w:rFonts w:hint="eastAsia" w:ascii="宋体" w:hAnsi="宋体" w:eastAsia="宋体" w:cs="宋体"/>
                <w:b/>
                <w:bCs/>
                <w:color w:val="auto"/>
                <w:spacing w:val="0"/>
                <w:kern w:val="0"/>
                <w:sz w:val="21"/>
                <w:szCs w:val="21"/>
              </w:rPr>
              <w:t>交换机</w:t>
            </w:r>
          </w:p>
        </w:tc>
        <w:tc>
          <w:tcPr>
            <w:tcW w:w="1210" w:type="pct"/>
            <w:vAlign w:val="center"/>
          </w:tcPr>
          <w:p w14:paraId="6004EE4D">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color w:val="auto"/>
                <w:szCs w:val="21"/>
              </w:rPr>
            </w:pPr>
            <w:r>
              <w:rPr>
                <w:rFonts w:hint="eastAsia" w:ascii="宋体" w:hAnsi="宋体" w:eastAsia="宋体" w:cs="宋体"/>
                <w:b/>
                <w:bCs/>
                <w:color w:val="auto"/>
                <w:spacing w:val="0"/>
                <w:kern w:val="0"/>
                <w:sz w:val="21"/>
                <w:szCs w:val="21"/>
              </w:rPr>
              <w:t>台</w:t>
            </w:r>
          </w:p>
        </w:tc>
        <w:tc>
          <w:tcPr>
            <w:tcW w:w="1142" w:type="pct"/>
            <w:vAlign w:val="center"/>
          </w:tcPr>
          <w:p w14:paraId="26929100">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color w:val="auto"/>
                <w:szCs w:val="21"/>
              </w:rPr>
            </w:pPr>
            <w:r>
              <w:rPr>
                <w:rFonts w:hint="eastAsia" w:ascii="宋体" w:hAnsi="宋体" w:eastAsia="宋体" w:cs="宋体"/>
                <w:b/>
                <w:bCs/>
                <w:color w:val="auto"/>
                <w:spacing w:val="0"/>
                <w:kern w:val="0"/>
                <w:sz w:val="21"/>
                <w:szCs w:val="21"/>
              </w:rPr>
              <w:t>1</w:t>
            </w:r>
          </w:p>
        </w:tc>
      </w:tr>
      <w:tr w14:paraId="4B82C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29A4C4B0">
            <w:pPr>
              <w:widowControl/>
              <w:jc w:val="center"/>
              <w:textAlignment w:val="center"/>
              <w:rPr>
                <w:rFonts w:hint="default" w:asciiTheme="minorEastAsia" w:hAnsiTheme="minorEastAsia" w:eastAsiaTheme="minorEastAsia" w:cstheme="minorEastAsia"/>
                <w:color w:val="auto"/>
                <w:kern w:val="0"/>
                <w:szCs w:val="21"/>
                <w:lang w:val="en-US" w:eastAsia="zh-CN"/>
              </w:rPr>
            </w:pPr>
            <w:r>
              <w:rPr>
                <w:rFonts w:hint="eastAsia" w:asciiTheme="minorEastAsia" w:hAnsiTheme="minorEastAsia" w:eastAsiaTheme="minorEastAsia" w:cstheme="minorEastAsia"/>
                <w:color w:val="auto"/>
                <w:kern w:val="0"/>
                <w:szCs w:val="21"/>
                <w:lang w:val="en-US" w:eastAsia="zh-CN"/>
              </w:rPr>
              <w:t>10</w:t>
            </w:r>
          </w:p>
        </w:tc>
        <w:tc>
          <w:tcPr>
            <w:tcW w:w="1969" w:type="pct"/>
            <w:vAlign w:val="center"/>
          </w:tcPr>
          <w:p w14:paraId="0080D786">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color w:val="auto"/>
                <w:szCs w:val="21"/>
              </w:rPr>
            </w:pPr>
            <w:r>
              <w:rPr>
                <w:rFonts w:hint="eastAsia" w:ascii="宋体" w:hAnsi="宋体" w:eastAsia="宋体" w:cs="宋体"/>
                <w:b/>
                <w:bCs/>
                <w:color w:val="auto"/>
                <w:spacing w:val="0"/>
                <w:kern w:val="0"/>
                <w:sz w:val="21"/>
                <w:szCs w:val="21"/>
              </w:rPr>
              <w:t>机柜</w:t>
            </w:r>
          </w:p>
        </w:tc>
        <w:tc>
          <w:tcPr>
            <w:tcW w:w="1210" w:type="pct"/>
            <w:vAlign w:val="center"/>
          </w:tcPr>
          <w:p w14:paraId="4AD491E2">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color w:val="auto"/>
                <w:szCs w:val="21"/>
              </w:rPr>
            </w:pPr>
            <w:r>
              <w:rPr>
                <w:rFonts w:hint="eastAsia" w:ascii="宋体" w:hAnsi="宋体" w:eastAsia="宋体" w:cs="宋体"/>
                <w:b/>
                <w:bCs/>
                <w:color w:val="auto"/>
                <w:spacing w:val="0"/>
                <w:kern w:val="0"/>
                <w:sz w:val="21"/>
                <w:szCs w:val="21"/>
              </w:rPr>
              <w:t>台</w:t>
            </w:r>
          </w:p>
        </w:tc>
        <w:tc>
          <w:tcPr>
            <w:tcW w:w="1142" w:type="pct"/>
            <w:vAlign w:val="center"/>
          </w:tcPr>
          <w:p w14:paraId="09E6C3E3">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color w:val="auto"/>
                <w:szCs w:val="21"/>
              </w:rPr>
            </w:pPr>
            <w:r>
              <w:rPr>
                <w:rFonts w:hint="eastAsia" w:ascii="宋体" w:hAnsi="宋体" w:eastAsia="宋体" w:cs="宋体"/>
                <w:b/>
                <w:bCs/>
                <w:color w:val="auto"/>
                <w:spacing w:val="0"/>
                <w:kern w:val="0"/>
                <w:sz w:val="21"/>
                <w:szCs w:val="21"/>
              </w:rPr>
              <w:t>1</w:t>
            </w:r>
          </w:p>
        </w:tc>
      </w:tr>
      <w:tr w14:paraId="48BE2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3C77EAE3">
            <w:pPr>
              <w:widowControl/>
              <w:jc w:val="center"/>
              <w:textAlignment w:val="center"/>
              <w:rPr>
                <w:rFonts w:hint="default" w:asciiTheme="minorEastAsia" w:hAnsiTheme="minorEastAsia" w:eastAsiaTheme="minorEastAsia" w:cstheme="minorEastAsia"/>
                <w:color w:val="auto"/>
                <w:kern w:val="0"/>
                <w:szCs w:val="21"/>
                <w:lang w:val="en-US" w:eastAsia="zh-CN"/>
              </w:rPr>
            </w:pPr>
            <w:r>
              <w:rPr>
                <w:rFonts w:hint="eastAsia" w:asciiTheme="minorEastAsia" w:hAnsiTheme="minorEastAsia" w:eastAsiaTheme="minorEastAsia" w:cstheme="minorEastAsia"/>
                <w:color w:val="auto"/>
                <w:kern w:val="0"/>
                <w:szCs w:val="21"/>
                <w:lang w:val="en-US" w:eastAsia="zh-CN"/>
              </w:rPr>
              <w:t>11</w:t>
            </w:r>
          </w:p>
        </w:tc>
        <w:tc>
          <w:tcPr>
            <w:tcW w:w="1969" w:type="pct"/>
            <w:vAlign w:val="center"/>
          </w:tcPr>
          <w:p w14:paraId="64E7A1D5">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color w:val="auto"/>
                <w:szCs w:val="21"/>
              </w:rPr>
            </w:pPr>
            <w:r>
              <w:rPr>
                <w:rFonts w:hint="eastAsia" w:ascii="宋体" w:hAnsi="宋体" w:eastAsia="宋体" w:cs="宋体"/>
                <w:b/>
                <w:bCs/>
                <w:color w:val="auto"/>
                <w:spacing w:val="0"/>
                <w:kern w:val="0"/>
                <w:sz w:val="21"/>
                <w:szCs w:val="21"/>
              </w:rPr>
              <w:t>机柜专用插座</w:t>
            </w:r>
          </w:p>
        </w:tc>
        <w:tc>
          <w:tcPr>
            <w:tcW w:w="1210" w:type="pct"/>
            <w:vAlign w:val="center"/>
          </w:tcPr>
          <w:p w14:paraId="4D9243BF">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color w:val="auto"/>
                <w:szCs w:val="21"/>
              </w:rPr>
            </w:pPr>
            <w:r>
              <w:rPr>
                <w:rFonts w:hint="eastAsia" w:ascii="宋体" w:hAnsi="宋体" w:eastAsia="宋体" w:cs="宋体"/>
                <w:b/>
                <w:bCs/>
                <w:color w:val="auto"/>
                <w:spacing w:val="0"/>
                <w:kern w:val="0"/>
                <w:sz w:val="21"/>
                <w:szCs w:val="21"/>
              </w:rPr>
              <w:t>只</w:t>
            </w:r>
          </w:p>
        </w:tc>
        <w:tc>
          <w:tcPr>
            <w:tcW w:w="1142" w:type="pct"/>
            <w:vAlign w:val="center"/>
          </w:tcPr>
          <w:p w14:paraId="7BC0B633">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color w:val="auto"/>
                <w:szCs w:val="21"/>
              </w:rPr>
            </w:pPr>
            <w:r>
              <w:rPr>
                <w:rFonts w:hint="eastAsia" w:ascii="宋体" w:hAnsi="宋体" w:eastAsia="宋体" w:cs="宋体"/>
                <w:b/>
                <w:bCs/>
                <w:color w:val="auto"/>
                <w:spacing w:val="0"/>
                <w:kern w:val="0"/>
                <w:sz w:val="21"/>
                <w:szCs w:val="21"/>
              </w:rPr>
              <w:t>1</w:t>
            </w:r>
          </w:p>
        </w:tc>
      </w:tr>
      <w:tr w14:paraId="64762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5000" w:type="pct"/>
            <w:gridSpan w:val="4"/>
            <w:vAlign w:val="center"/>
          </w:tcPr>
          <w:p w14:paraId="78265583">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cs="宋体"/>
                <w:b/>
                <w:bCs/>
                <w:color w:val="auto"/>
                <w:spacing w:val="0"/>
                <w:kern w:val="0"/>
                <w:sz w:val="21"/>
                <w:szCs w:val="21"/>
                <w:lang w:val="en-US" w:eastAsia="zh-CN"/>
              </w:rPr>
            </w:pPr>
            <w:r>
              <w:rPr>
                <w:rFonts w:hint="eastAsia" w:ascii="宋体" w:hAnsi="宋体" w:eastAsia="宋体" w:cs="宋体"/>
                <w:b/>
                <w:bCs/>
                <w:color w:val="auto"/>
                <w:spacing w:val="0"/>
                <w:kern w:val="0"/>
                <w:sz w:val="21"/>
                <w:szCs w:val="21"/>
                <w:lang w:val="en-US" w:eastAsia="zh-CN"/>
              </w:rPr>
              <w:t>（二）、展厅展柜改造</w:t>
            </w:r>
          </w:p>
        </w:tc>
      </w:tr>
      <w:tr w14:paraId="2F343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796B6032">
            <w:pPr>
              <w:widowControl/>
              <w:jc w:val="center"/>
              <w:textAlignment w:val="center"/>
              <w:rPr>
                <w:rFonts w:hint="default" w:asciiTheme="minorEastAsia" w:hAnsiTheme="minorEastAsia" w:eastAsiaTheme="minorEastAsia" w:cstheme="minorEastAsia"/>
                <w:color w:val="auto"/>
                <w:kern w:val="0"/>
                <w:szCs w:val="21"/>
                <w:lang w:val="en-US" w:eastAsia="zh-CN"/>
              </w:rPr>
            </w:pPr>
            <w:r>
              <w:rPr>
                <w:rFonts w:hint="eastAsia" w:asciiTheme="minorEastAsia" w:hAnsiTheme="minorEastAsia" w:eastAsiaTheme="minorEastAsia" w:cstheme="minorEastAsia"/>
                <w:color w:val="auto"/>
                <w:kern w:val="0"/>
                <w:szCs w:val="21"/>
                <w:lang w:val="en-US" w:eastAsia="zh-CN"/>
              </w:rPr>
              <w:t>1</w:t>
            </w:r>
          </w:p>
        </w:tc>
        <w:tc>
          <w:tcPr>
            <w:tcW w:w="1969" w:type="pct"/>
            <w:vAlign w:val="center"/>
          </w:tcPr>
          <w:p w14:paraId="35F62B12">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bCs/>
                <w:color w:val="auto"/>
                <w:spacing w:val="0"/>
                <w:kern w:val="0"/>
                <w:sz w:val="21"/>
                <w:szCs w:val="21"/>
              </w:rPr>
            </w:pPr>
            <w:r>
              <w:rPr>
                <w:rFonts w:hint="eastAsia" w:ascii="宋体" w:hAnsi="宋体" w:eastAsia="宋体" w:cs="宋体"/>
                <w:b/>
                <w:bCs/>
                <w:color w:val="auto"/>
                <w:spacing w:val="0"/>
                <w:kern w:val="0"/>
                <w:sz w:val="21"/>
                <w:szCs w:val="21"/>
                <w:lang w:val="en-US" w:eastAsia="zh-CN"/>
              </w:rPr>
              <w:t>独立展柜</w:t>
            </w:r>
          </w:p>
        </w:tc>
        <w:tc>
          <w:tcPr>
            <w:tcW w:w="1210" w:type="pct"/>
            <w:vAlign w:val="center"/>
          </w:tcPr>
          <w:p w14:paraId="306200E5">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bCs/>
                <w:color w:val="auto"/>
                <w:spacing w:val="0"/>
                <w:kern w:val="0"/>
                <w:sz w:val="21"/>
                <w:szCs w:val="21"/>
                <w:lang w:eastAsia="zh-CN"/>
              </w:rPr>
            </w:pPr>
            <w:r>
              <w:rPr>
                <w:rFonts w:hint="eastAsia" w:cs="宋体"/>
                <w:b/>
                <w:bCs/>
                <w:color w:val="auto"/>
                <w:spacing w:val="0"/>
                <w:kern w:val="0"/>
                <w:sz w:val="21"/>
                <w:szCs w:val="21"/>
                <w:lang w:val="en-US" w:eastAsia="zh-CN"/>
              </w:rPr>
              <w:t>个</w:t>
            </w:r>
          </w:p>
        </w:tc>
        <w:tc>
          <w:tcPr>
            <w:tcW w:w="1142" w:type="pct"/>
            <w:vAlign w:val="center"/>
          </w:tcPr>
          <w:p w14:paraId="17F298B7">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bCs/>
                <w:color w:val="auto"/>
                <w:spacing w:val="0"/>
                <w:kern w:val="0"/>
                <w:sz w:val="21"/>
                <w:szCs w:val="21"/>
                <w:lang w:eastAsia="zh-CN"/>
              </w:rPr>
            </w:pPr>
            <w:r>
              <w:rPr>
                <w:rFonts w:hint="eastAsia" w:cs="宋体"/>
                <w:b/>
                <w:bCs/>
                <w:color w:val="auto"/>
                <w:spacing w:val="0"/>
                <w:kern w:val="0"/>
                <w:sz w:val="21"/>
                <w:szCs w:val="21"/>
                <w:lang w:val="en-US" w:eastAsia="zh-CN"/>
              </w:rPr>
              <w:t>8</w:t>
            </w:r>
          </w:p>
        </w:tc>
      </w:tr>
      <w:tr w14:paraId="4347A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5000" w:type="pct"/>
            <w:gridSpan w:val="4"/>
            <w:vAlign w:val="center"/>
          </w:tcPr>
          <w:p w14:paraId="6E364AA3">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cs="宋体"/>
                <w:b/>
                <w:bCs/>
                <w:color w:val="auto"/>
                <w:spacing w:val="0"/>
                <w:kern w:val="0"/>
                <w:sz w:val="21"/>
                <w:szCs w:val="21"/>
                <w:lang w:val="en-US" w:eastAsia="zh-CN"/>
              </w:rPr>
            </w:pPr>
            <w:r>
              <w:rPr>
                <w:rFonts w:hint="eastAsia" w:ascii="宋体" w:hAnsi="宋体" w:eastAsia="宋体" w:cs="宋体"/>
                <w:b/>
                <w:bCs/>
                <w:color w:val="auto"/>
                <w:spacing w:val="0"/>
                <w:kern w:val="0"/>
                <w:sz w:val="21"/>
                <w:szCs w:val="21"/>
                <w:lang w:val="en-US" w:eastAsia="zh-CN"/>
              </w:rPr>
              <w:t>（三）、文物储藏设施</w:t>
            </w:r>
          </w:p>
        </w:tc>
      </w:tr>
      <w:tr w14:paraId="52E33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677" w:type="pct"/>
            <w:vAlign w:val="center"/>
          </w:tcPr>
          <w:p w14:paraId="7CFC85C1">
            <w:pPr>
              <w:widowControl/>
              <w:jc w:val="center"/>
              <w:textAlignment w:val="center"/>
              <w:rPr>
                <w:rFonts w:hint="default" w:asciiTheme="minorEastAsia" w:hAnsiTheme="minorEastAsia" w:eastAsiaTheme="minorEastAsia" w:cstheme="minorEastAsia"/>
                <w:color w:val="auto"/>
                <w:kern w:val="0"/>
                <w:szCs w:val="21"/>
                <w:lang w:val="en-US" w:eastAsia="zh-CN"/>
              </w:rPr>
            </w:pPr>
            <w:r>
              <w:rPr>
                <w:rFonts w:hint="eastAsia" w:asciiTheme="minorEastAsia" w:hAnsiTheme="minorEastAsia" w:eastAsiaTheme="minorEastAsia" w:cstheme="minorEastAsia"/>
                <w:color w:val="auto"/>
                <w:kern w:val="0"/>
                <w:szCs w:val="21"/>
                <w:lang w:val="en-US" w:eastAsia="zh-CN"/>
              </w:rPr>
              <w:t>1</w:t>
            </w:r>
          </w:p>
        </w:tc>
        <w:tc>
          <w:tcPr>
            <w:tcW w:w="1969" w:type="pct"/>
            <w:vAlign w:val="center"/>
          </w:tcPr>
          <w:p w14:paraId="67E69E68">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bCs/>
                <w:color w:val="auto"/>
                <w:spacing w:val="0"/>
                <w:kern w:val="0"/>
                <w:sz w:val="21"/>
                <w:szCs w:val="21"/>
              </w:rPr>
            </w:pPr>
            <w:r>
              <w:rPr>
                <w:rFonts w:hint="eastAsia" w:ascii="宋体" w:hAnsi="宋体" w:eastAsia="宋体" w:cs="宋体"/>
                <w:b/>
                <w:bCs/>
                <w:color w:val="auto"/>
                <w:spacing w:val="0"/>
                <w:kern w:val="0"/>
                <w:sz w:val="21"/>
                <w:szCs w:val="21"/>
                <w:lang w:val="en-US" w:eastAsia="zh-CN"/>
              </w:rPr>
              <w:t>文物储藏专用柜</w:t>
            </w:r>
          </w:p>
        </w:tc>
        <w:tc>
          <w:tcPr>
            <w:tcW w:w="1210" w:type="pct"/>
            <w:vAlign w:val="center"/>
          </w:tcPr>
          <w:p w14:paraId="3AF6ED55">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bCs/>
                <w:color w:val="auto"/>
                <w:spacing w:val="0"/>
                <w:kern w:val="0"/>
                <w:sz w:val="21"/>
                <w:szCs w:val="21"/>
                <w:lang w:eastAsia="zh-CN"/>
              </w:rPr>
            </w:pPr>
            <w:r>
              <w:rPr>
                <w:rFonts w:hint="eastAsia" w:ascii="宋体" w:hAnsi="宋体" w:eastAsia="宋体" w:cs="宋体"/>
                <w:b/>
                <w:bCs/>
                <w:color w:val="auto"/>
                <w:spacing w:val="0"/>
                <w:sz w:val="21"/>
                <w:szCs w:val="21"/>
                <w:lang w:val="en-US" w:eastAsia="zh-CN"/>
              </w:rPr>
              <w:t>m³</w:t>
            </w:r>
          </w:p>
        </w:tc>
        <w:tc>
          <w:tcPr>
            <w:tcW w:w="1142" w:type="pct"/>
            <w:vAlign w:val="center"/>
          </w:tcPr>
          <w:p w14:paraId="0E71E210">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bCs/>
                <w:color w:val="auto"/>
                <w:spacing w:val="0"/>
                <w:kern w:val="0"/>
                <w:sz w:val="21"/>
                <w:szCs w:val="21"/>
                <w:lang w:eastAsia="zh-CN"/>
              </w:rPr>
            </w:pPr>
            <w:r>
              <w:rPr>
                <w:rFonts w:hint="eastAsia" w:cs="宋体"/>
                <w:b/>
                <w:bCs/>
                <w:color w:val="auto"/>
                <w:spacing w:val="0"/>
                <w:kern w:val="0"/>
                <w:sz w:val="21"/>
                <w:szCs w:val="21"/>
                <w:lang w:val="en-US" w:eastAsia="zh-CN"/>
              </w:rPr>
              <w:t>48</w:t>
            </w:r>
          </w:p>
        </w:tc>
      </w:tr>
    </w:tbl>
    <w:p w14:paraId="5CD51AE6">
      <w:pPr>
        <w:adjustRightInd w:val="0"/>
        <w:snapToGrid w:val="0"/>
        <w:spacing w:line="400" w:lineRule="exact"/>
        <w:ind w:firstLine="420" w:firstLineChars="200"/>
        <w:rPr>
          <w:rFonts w:ascii="宋体" w:hAnsi="宋体"/>
          <w:color w:val="auto"/>
          <w:szCs w:val="21"/>
        </w:rPr>
      </w:pPr>
    </w:p>
    <w:p w14:paraId="2D55D414">
      <w:pPr>
        <w:numPr>
          <w:ilvl w:val="255"/>
          <w:numId w:val="0"/>
        </w:numPr>
        <w:adjustRightInd w:val="0"/>
        <w:snapToGrid w:val="0"/>
        <w:spacing w:line="400" w:lineRule="exact"/>
        <w:ind w:firstLine="420" w:firstLineChars="200"/>
        <w:rPr>
          <w:rFonts w:ascii="宋体" w:hAnsi="宋体" w:cs="宋体"/>
          <w:color w:val="auto"/>
          <w:szCs w:val="21"/>
        </w:rPr>
      </w:pPr>
      <w:r>
        <w:rPr>
          <w:rFonts w:hint="eastAsia" w:ascii="宋体" w:hAnsi="宋体"/>
          <w:color w:val="auto"/>
          <w:szCs w:val="21"/>
        </w:rPr>
        <w:t xml:space="preserve">     </w:t>
      </w:r>
      <w:r>
        <w:rPr>
          <w:rFonts w:hint="eastAsia" w:ascii="宋体" w:hAnsi="宋体" w:cs="宋体"/>
          <w:color w:val="auto"/>
          <w:szCs w:val="21"/>
        </w:rPr>
        <w:t>品牌：</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ascii="宋体" w:hAnsi="宋体" w:cs="宋体"/>
          <w:color w:val="auto"/>
          <w:szCs w:val="21"/>
        </w:rPr>
        <w:t xml:space="preserve">     </w:t>
      </w:r>
      <w:r>
        <w:rPr>
          <w:rFonts w:hint="eastAsia" w:ascii="宋体" w:hAnsi="宋体" w:cs="宋体"/>
          <w:color w:val="auto"/>
          <w:szCs w:val="21"/>
        </w:rPr>
        <w:t>规格型号：</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ascii="宋体" w:hAnsi="宋体" w:cs="宋体"/>
          <w:color w:val="auto"/>
          <w:szCs w:val="21"/>
          <w:u w:val="single"/>
        </w:rPr>
        <w:t xml:space="preserve">   </w:t>
      </w:r>
    </w:p>
    <w:p w14:paraId="5956FC45">
      <w:pPr>
        <w:adjustRightInd w:val="0"/>
        <w:snapToGrid w:val="0"/>
        <w:spacing w:line="400" w:lineRule="exact"/>
        <w:ind w:firstLine="945" w:firstLineChars="450"/>
        <w:rPr>
          <w:rFonts w:ascii="宋体" w:hAnsi="宋体"/>
          <w:color w:val="auto"/>
          <w:szCs w:val="21"/>
          <w:u w:val="single"/>
        </w:rPr>
      </w:pPr>
      <w:r>
        <w:rPr>
          <w:rFonts w:hint="eastAsia" w:ascii="宋体" w:hAnsi="宋体"/>
          <w:color w:val="auto"/>
          <w:szCs w:val="21"/>
        </w:rPr>
        <w:t>采购标的的技术要求、商务要求具体见附件。</w:t>
      </w:r>
    </w:p>
    <w:p w14:paraId="1F03DD86">
      <w:pPr>
        <w:numPr>
          <w:ilvl w:val="255"/>
          <w:numId w:val="0"/>
        </w:numPr>
        <w:adjustRightInd w:val="0"/>
        <w:snapToGrid w:val="0"/>
        <w:spacing w:line="400" w:lineRule="exact"/>
        <w:ind w:firstLine="945" w:firstLineChars="450"/>
        <w:rPr>
          <w:rFonts w:ascii="宋体" w:hAnsi="宋体" w:cs="宋体"/>
          <w:color w:val="auto"/>
          <w:szCs w:val="21"/>
        </w:rPr>
      </w:pPr>
      <w:r>
        <w:rPr>
          <w:rFonts w:hint="eastAsia" w:ascii="汉仪书宋二S" w:hAnsi="汉仪书宋二S" w:eastAsia="汉仪书宋二S" w:cs="汉仪书宋二S"/>
          <w:color w:val="auto"/>
          <w:szCs w:val="21"/>
        </w:rPr>
        <w:t>①</w:t>
      </w:r>
      <w:r>
        <w:rPr>
          <w:rFonts w:hint="eastAsia" w:ascii="宋体" w:hAnsi="宋体" w:cs="宋体"/>
          <w:color w:val="auto"/>
          <w:szCs w:val="21"/>
        </w:rPr>
        <w:t>涉及信息类产品，请填写该产品关键部件的品牌、型号：</w:t>
      </w:r>
    </w:p>
    <w:p w14:paraId="2D956BCC">
      <w:pPr>
        <w:numPr>
          <w:ilvl w:val="255"/>
          <w:numId w:val="0"/>
        </w:numPr>
        <w:adjustRightInd w:val="0"/>
        <w:snapToGrid w:val="0"/>
        <w:spacing w:line="400" w:lineRule="exact"/>
        <w:ind w:firstLine="420" w:firstLineChars="200"/>
        <w:rPr>
          <w:rFonts w:ascii="宋体" w:hAnsi="宋体" w:cs="宋体"/>
          <w:color w:val="auto"/>
          <w:kern w:val="0"/>
          <w:szCs w:val="21"/>
          <w:u w:val="single"/>
        </w:rPr>
      </w:pPr>
      <w:r>
        <w:rPr>
          <w:rFonts w:hint="eastAsia" w:ascii="宋体" w:hAnsi="宋体" w:cs="宋体"/>
          <w:color w:val="auto"/>
          <w:szCs w:val="21"/>
        </w:rPr>
        <w:t xml:space="preserve">     标的名称：</w:t>
      </w:r>
      <w:r>
        <w:rPr>
          <w:rFonts w:hint="eastAsia" w:ascii="宋体" w:hAnsi="宋体" w:cs="宋体"/>
          <w:color w:val="auto"/>
          <w:kern w:val="0"/>
          <w:szCs w:val="21"/>
          <w:u w:val="single"/>
        </w:rPr>
        <w:t xml:space="preserve">      </w:t>
      </w:r>
      <w:r>
        <w:rPr>
          <w:rFonts w:ascii="宋体" w:hAnsi="宋体" w:cs="宋体"/>
          <w:color w:val="auto"/>
          <w:kern w:val="0"/>
          <w:szCs w:val="21"/>
          <w:u w:val="single"/>
        </w:rPr>
        <w:t xml:space="preserve">               </w:t>
      </w:r>
      <w:r>
        <w:rPr>
          <w:rFonts w:hint="eastAsia" w:ascii="宋体" w:hAnsi="宋体" w:cs="宋体"/>
          <w:color w:val="auto"/>
          <w:kern w:val="0"/>
          <w:szCs w:val="21"/>
          <w:u w:val="single"/>
        </w:rPr>
        <w:t xml:space="preserve">    </w:t>
      </w:r>
    </w:p>
    <w:p w14:paraId="4335C4FF">
      <w:pPr>
        <w:numPr>
          <w:ilvl w:val="255"/>
          <w:numId w:val="0"/>
        </w:num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 xml:space="preserve">     关键部件：</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r>
        <w:rPr>
          <w:rFonts w:hint="eastAsia" w:ascii="宋体" w:hAnsi="宋体" w:cs="宋体"/>
          <w:color w:val="auto"/>
          <w:szCs w:val="21"/>
        </w:rPr>
        <w:t>品牌：</w:t>
      </w:r>
      <w:r>
        <w:rPr>
          <w:rFonts w:hint="eastAsia" w:ascii="宋体" w:hAnsi="宋体" w:cs="宋体"/>
          <w:color w:val="auto"/>
          <w:szCs w:val="21"/>
          <w:u w:val="single"/>
        </w:rPr>
        <w:t xml:space="preserve">        </w:t>
      </w:r>
      <w:r>
        <w:rPr>
          <w:rFonts w:hint="eastAsia" w:ascii="宋体" w:hAnsi="宋体" w:cs="宋体"/>
          <w:color w:val="auto"/>
          <w:szCs w:val="21"/>
        </w:rPr>
        <w:t xml:space="preserve"> 型号：</w:t>
      </w:r>
      <w:r>
        <w:rPr>
          <w:rFonts w:hint="eastAsia" w:ascii="宋体" w:hAnsi="宋体" w:cs="宋体"/>
          <w:color w:val="auto"/>
          <w:szCs w:val="21"/>
          <w:u w:val="single"/>
        </w:rPr>
        <w:t xml:space="preserve">       </w:t>
      </w:r>
      <w:r>
        <w:rPr>
          <w:rFonts w:hint="eastAsia" w:ascii="宋体" w:hAnsi="宋体" w:cs="宋体"/>
          <w:color w:val="auto"/>
          <w:szCs w:val="21"/>
        </w:rPr>
        <w:t xml:space="preserve"> </w:t>
      </w:r>
    </w:p>
    <w:p w14:paraId="364AE4F2">
      <w:pPr>
        <w:pStyle w:val="34"/>
        <w:ind w:firstLine="420"/>
        <w:rPr>
          <w:rFonts w:ascii="宋体" w:hAnsi="宋体" w:eastAsia="宋体" w:cs="宋体"/>
          <w:color w:val="auto"/>
          <w:sz w:val="21"/>
        </w:rPr>
      </w:pPr>
      <w:r>
        <w:rPr>
          <w:rFonts w:hint="eastAsia" w:ascii="宋体" w:hAnsi="宋体" w:eastAsia="宋体" w:cs="宋体"/>
          <w:color w:val="auto"/>
          <w:sz w:val="21"/>
        </w:rPr>
        <w:t xml:space="preserve">     </w:t>
      </w:r>
      <w:r>
        <w:rPr>
          <w:rFonts w:hint="eastAsia" w:ascii="宋体" w:hAnsi="宋体" w:eastAsia="宋体" w:cs="宋体"/>
          <w:color w:val="auto"/>
          <w:kern w:val="2"/>
          <w:sz w:val="21"/>
        </w:rPr>
        <w:t>关键部件</w:t>
      </w:r>
      <w:r>
        <w:rPr>
          <w:rFonts w:hint="eastAsia" w:ascii="宋体" w:hAnsi="宋体" w:eastAsia="宋体" w:cs="宋体"/>
          <w:color w:val="auto"/>
          <w:sz w:val="21"/>
        </w:rPr>
        <w:t>：</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品牌：</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型号：</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w:t>
      </w:r>
    </w:p>
    <w:p w14:paraId="60C846FE">
      <w:pPr>
        <w:pStyle w:val="34"/>
        <w:ind w:firstLine="420"/>
        <w:rPr>
          <w:rFonts w:ascii="宋体" w:hAnsi="宋体" w:eastAsia="宋体" w:cs="宋体"/>
          <w:color w:val="auto"/>
          <w:sz w:val="21"/>
        </w:rPr>
      </w:pPr>
      <w:r>
        <w:rPr>
          <w:rFonts w:hint="eastAsia" w:ascii="宋体" w:hAnsi="宋体" w:eastAsia="宋体" w:cs="宋体"/>
          <w:color w:val="auto"/>
          <w:sz w:val="21"/>
        </w:rPr>
        <w:t xml:space="preserve">     关键部件：</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品牌：</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型号：</w:t>
      </w:r>
      <w:r>
        <w:rPr>
          <w:rFonts w:hint="eastAsia" w:ascii="宋体" w:hAnsi="宋体" w:eastAsia="宋体" w:cs="宋体"/>
          <w:color w:val="auto"/>
          <w:sz w:val="21"/>
          <w:u w:val="single"/>
        </w:rPr>
        <w:t xml:space="preserve">       </w:t>
      </w:r>
    </w:p>
    <w:p w14:paraId="141619F3">
      <w:pPr>
        <w:pStyle w:val="34"/>
        <w:numPr>
          <w:ilvl w:val="255"/>
          <w:numId w:val="0"/>
        </w:numPr>
        <w:snapToGrid w:val="0"/>
        <w:rPr>
          <w:rFonts w:ascii="宋体" w:hAnsi="宋体" w:eastAsia="宋体" w:cs="宋体"/>
          <w:color w:val="auto"/>
          <w:sz w:val="21"/>
        </w:rPr>
      </w:pPr>
      <w:r>
        <w:rPr>
          <w:rFonts w:hint="eastAsia" w:ascii="宋体" w:hAnsi="宋体" w:eastAsia="宋体" w:cs="宋体"/>
          <w:color w:val="auto"/>
          <w:sz w:val="21"/>
        </w:rPr>
        <w:t xml:space="preserve">   （注：关键部件是指财政部会同有关部门发布的政府采购需求标准规定的需要通过国家有关部门指定的测评机构开展的安全可靠测评的软硬件，如CPU芯片、操作系统、数据库等。）</w:t>
      </w:r>
    </w:p>
    <w:p w14:paraId="4033DFFA">
      <w:pPr>
        <w:pStyle w:val="34"/>
        <w:numPr>
          <w:ilvl w:val="255"/>
          <w:numId w:val="0"/>
        </w:numPr>
        <w:snapToGrid w:val="0"/>
        <w:rPr>
          <w:rFonts w:ascii="宋体" w:hAnsi="宋体" w:eastAsia="宋体" w:cs="宋体"/>
          <w:color w:val="auto"/>
          <w:sz w:val="21"/>
        </w:rPr>
      </w:pPr>
      <w:r>
        <w:rPr>
          <w:rFonts w:hint="eastAsia" w:ascii="宋体" w:hAnsi="宋体" w:eastAsia="宋体" w:cs="宋体"/>
          <w:color w:val="auto"/>
          <w:sz w:val="21"/>
        </w:rPr>
        <w:t xml:space="preserve">         </w:t>
      </w:r>
      <w:r>
        <w:rPr>
          <w:rFonts w:hint="eastAsia" w:ascii="汉仪书宋二S" w:hAnsi="汉仪书宋二S" w:eastAsia="汉仪书宋二S" w:cs="汉仪书宋二S"/>
          <w:color w:val="auto"/>
          <w:sz w:val="21"/>
        </w:rPr>
        <w:t>②</w:t>
      </w:r>
      <w:r>
        <w:rPr>
          <w:rFonts w:hint="eastAsia" w:ascii="宋体" w:hAnsi="宋体" w:eastAsia="宋体" w:cs="宋体"/>
          <w:color w:val="auto"/>
          <w:sz w:val="21"/>
        </w:rPr>
        <w:t>涉及车辆采购，请填写是否属于新能源汽车：</w:t>
      </w:r>
    </w:p>
    <w:p w14:paraId="1CB6765F">
      <w:pPr>
        <w:pStyle w:val="34"/>
        <w:numPr>
          <w:ilvl w:val="255"/>
          <w:numId w:val="0"/>
        </w:numPr>
        <w:snapToGrid w:val="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         </w:t>
      </w:r>
      <w:r>
        <w:rPr>
          <w:rFonts w:hint="eastAsia" w:asciiTheme="minorEastAsia" w:hAnsiTheme="minorEastAsia" w:eastAsiaTheme="minorEastAsia" w:cstheme="minorEastAsia"/>
          <w:color w:val="auto"/>
          <w:sz w:val="21"/>
        </w:rPr>
        <w:sym w:font="Wingdings" w:char="00A8"/>
      </w:r>
      <w:r>
        <w:rPr>
          <w:rFonts w:hint="eastAsia" w:asciiTheme="minorEastAsia" w:hAnsiTheme="minorEastAsia" w:eastAsiaTheme="minorEastAsia" w:cstheme="minorEastAsia"/>
          <w:color w:val="auto"/>
          <w:sz w:val="21"/>
        </w:rPr>
        <w:t>是，《政府采购品目分类目录》底级品目名称：</w:t>
      </w:r>
      <w:r>
        <w:rPr>
          <w:rFonts w:hint="eastAsia" w:ascii="宋体" w:hAnsi="宋体" w:eastAsia="宋体" w:cs="宋体"/>
          <w:color w:val="auto"/>
          <w:sz w:val="21"/>
          <w:u w:val="single"/>
        </w:rPr>
        <w:t xml:space="preserve">     </w:t>
      </w:r>
      <w:r>
        <w:rPr>
          <w:rFonts w:hint="eastAsia" w:asciiTheme="minorEastAsia" w:hAnsiTheme="minorEastAsia" w:eastAsiaTheme="minorEastAsia" w:cstheme="minorEastAsia"/>
          <w:color w:val="auto"/>
          <w:sz w:val="21"/>
        </w:rPr>
        <w:t xml:space="preserve"> 数量：</w:t>
      </w:r>
      <w:r>
        <w:rPr>
          <w:rFonts w:hint="eastAsia" w:asciiTheme="minorEastAsia" w:hAnsiTheme="minorEastAsia" w:eastAsiaTheme="minorEastAsia" w:cstheme="minorEastAsia"/>
          <w:color w:val="auto"/>
          <w:sz w:val="21"/>
          <w:u w:val="single"/>
        </w:rPr>
        <w:t xml:space="preserve"> </w:t>
      </w:r>
      <w:r>
        <w:rPr>
          <w:rFonts w:hint="eastAsia" w:ascii="宋体" w:hAnsi="宋体" w:eastAsia="宋体" w:cs="宋体"/>
          <w:color w:val="auto"/>
          <w:sz w:val="21"/>
          <w:u w:val="single"/>
        </w:rPr>
        <w:t xml:space="preserve">   </w:t>
      </w:r>
      <w:r>
        <w:rPr>
          <w:rFonts w:hint="eastAsia" w:asciiTheme="minorEastAsia" w:hAnsiTheme="minorEastAsia" w:eastAsiaTheme="minorEastAsia" w:cstheme="minorEastAsia"/>
          <w:color w:val="auto"/>
          <w:sz w:val="21"/>
        </w:rPr>
        <w:t xml:space="preserve"> 金额：</w:t>
      </w:r>
      <w:r>
        <w:rPr>
          <w:rFonts w:hint="eastAsia" w:ascii="宋体" w:hAnsi="宋体" w:eastAsia="宋体" w:cs="宋体"/>
          <w:color w:val="auto"/>
          <w:sz w:val="21"/>
          <w:u w:val="single"/>
        </w:rPr>
        <w:t xml:space="preserve">     </w:t>
      </w:r>
      <w:r>
        <w:rPr>
          <w:rFonts w:hint="eastAsia" w:asciiTheme="minorEastAsia" w:hAnsiTheme="minorEastAsia" w:eastAsiaTheme="minorEastAsia" w:cstheme="minorEastAsia"/>
          <w:color w:val="auto"/>
          <w:sz w:val="21"/>
        </w:rPr>
        <w:t xml:space="preserve"> </w:t>
      </w:r>
    </w:p>
    <w:p w14:paraId="085BC988">
      <w:pPr>
        <w:pStyle w:val="34"/>
        <w:numPr>
          <w:ilvl w:val="255"/>
          <w:numId w:val="0"/>
        </w:numPr>
        <w:snapToGrid w:val="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         </w:t>
      </w:r>
      <w:r>
        <w:rPr>
          <w:rFonts w:hint="eastAsia" w:asciiTheme="minorEastAsia" w:hAnsiTheme="minorEastAsia" w:eastAsiaTheme="minorEastAsia" w:cstheme="minorEastAsia"/>
          <w:color w:val="auto"/>
          <w:sz w:val="21"/>
        </w:rPr>
        <w:sym w:font="Wingdings" w:char="00FE"/>
      </w:r>
      <w:r>
        <w:rPr>
          <w:rFonts w:hint="eastAsia" w:asciiTheme="minorEastAsia" w:hAnsiTheme="minorEastAsia" w:eastAsiaTheme="minorEastAsia" w:cstheme="minorEastAsia"/>
          <w:color w:val="auto"/>
          <w:sz w:val="21"/>
        </w:rPr>
        <w:t>否</w:t>
      </w:r>
    </w:p>
    <w:p w14:paraId="23496A07">
      <w:pPr>
        <w:pStyle w:val="34"/>
        <w:numPr>
          <w:ilvl w:val="255"/>
          <w:numId w:val="0"/>
        </w:numPr>
        <w:snapToGrid w:val="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    （</w:t>
      </w:r>
      <w:r>
        <w:rPr>
          <w:rFonts w:asciiTheme="minorEastAsia" w:hAnsiTheme="minorEastAsia" w:eastAsiaTheme="minorEastAsia" w:cstheme="minorEastAsia"/>
          <w:color w:val="auto"/>
          <w:sz w:val="21"/>
        </w:rPr>
        <w:t>4</w:t>
      </w:r>
      <w:r>
        <w:rPr>
          <w:rFonts w:hint="eastAsia" w:asciiTheme="minorEastAsia" w:hAnsiTheme="minorEastAsia" w:eastAsiaTheme="minorEastAsia" w:cstheme="minorEastAsia"/>
          <w:color w:val="auto"/>
          <w:sz w:val="21"/>
        </w:rPr>
        <w:t>）政府采购组织形式：</w:t>
      </w:r>
      <w:r>
        <w:rPr>
          <w:rFonts w:hint="eastAsia" w:asciiTheme="minorEastAsia" w:hAnsiTheme="minorEastAsia" w:eastAsiaTheme="minorEastAsia" w:cstheme="minorEastAsia"/>
          <w:color w:val="auto"/>
          <w:sz w:val="21"/>
        </w:rPr>
        <w:sym w:font="Wingdings" w:char="00A8"/>
      </w:r>
      <w:r>
        <w:rPr>
          <w:rFonts w:hint="eastAsia" w:asciiTheme="minorEastAsia" w:hAnsiTheme="minorEastAsia" w:eastAsiaTheme="minorEastAsia" w:cstheme="minorEastAsia"/>
          <w:color w:val="auto"/>
          <w:sz w:val="21"/>
        </w:rPr>
        <w:t xml:space="preserve">政府集中采购  </w:t>
      </w:r>
      <w:r>
        <w:rPr>
          <w:rFonts w:hint="eastAsia" w:asciiTheme="minorEastAsia" w:hAnsiTheme="minorEastAsia" w:eastAsiaTheme="minorEastAsia" w:cstheme="minorEastAsia"/>
          <w:color w:val="auto"/>
          <w:sz w:val="21"/>
        </w:rPr>
        <w:sym w:font="Wingdings" w:char="00A8"/>
      </w:r>
      <w:r>
        <w:rPr>
          <w:rFonts w:hint="eastAsia" w:asciiTheme="minorEastAsia" w:hAnsiTheme="minorEastAsia" w:eastAsiaTheme="minorEastAsia" w:cstheme="minorEastAsia"/>
          <w:color w:val="auto"/>
          <w:sz w:val="21"/>
        </w:rPr>
        <w:t xml:space="preserve">部门集中采购  </w:t>
      </w:r>
      <w:r>
        <w:rPr>
          <w:rFonts w:hint="eastAsia" w:asciiTheme="minorEastAsia" w:hAnsiTheme="minorEastAsia" w:eastAsiaTheme="minorEastAsia" w:cstheme="minorEastAsia"/>
          <w:color w:val="auto"/>
          <w:sz w:val="21"/>
        </w:rPr>
        <w:sym w:font="Wingdings" w:char="00FE"/>
      </w:r>
      <w:r>
        <w:rPr>
          <w:rFonts w:hint="eastAsia" w:asciiTheme="minorEastAsia" w:hAnsiTheme="minorEastAsia" w:eastAsiaTheme="minorEastAsia" w:cstheme="minorEastAsia"/>
          <w:color w:val="auto"/>
          <w:sz w:val="21"/>
        </w:rPr>
        <w:t>分散采购</w:t>
      </w:r>
    </w:p>
    <w:p w14:paraId="32589180">
      <w:pPr>
        <w:pStyle w:val="34"/>
        <w:numPr>
          <w:ilvl w:val="255"/>
          <w:numId w:val="0"/>
        </w:numPr>
        <w:snapToGrid w:val="0"/>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w:t>
      </w:r>
      <w:r>
        <w:rPr>
          <w:rFonts w:asciiTheme="minorEastAsia" w:hAnsiTheme="minorEastAsia" w:eastAsiaTheme="minorEastAsia" w:cstheme="minorEastAsia"/>
          <w:color w:val="auto"/>
          <w:sz w:val="21"/>
        </w:rPr>
        <w:t>5</w:t>
      </w:r>
      <w:r>
        <w:rPr>
          <w:rFonts w:hint="eastAsia" w:asciiTheme="minorEastAsia" w:hAnsiTheme="minorEastAsia" w:eastAsiaTheme="minorEastAsia" w:cstheme="minorEastAsia"/>
          <w:color w:val="auto"/>
          <w:sz w:val="21"/>
        </w:rPr>
        <w:t>）政府采购方式：</w:t>
      </w:r>
      <w:r>
        <w:rPr>
          <w:rFonts w:hint="eastAsia" w:asciiTheme="minorEastAsia" w:hAnsiTheme="minorEastAsia" w:eastAsiaTheme="minorEastAsia" w:cstheme="minorEastAsia"/>
          <w:color w:val="auto"/>
          <w:sz w:val="21"/>
        </w:rPr>
        <w:sym w:font="Wingdings" w:char="00FE"/>
      </w:r>
      <w:r>
        <w:rPr>
          <w:rFonts w:hint="eastAsia" w:asciiTheme="minorEastAsia" w:hAnsiTheme="minorEastAsia" w:eastAsiaTheme="minorEastAsia" w:cstheme="minorEastAsia"/>
          <w:color w:val="auto"/>
          <w:sz w:val="21"/>
        </w:rPr>
        <w:t xml:space="preserve">公开招标 </w:t>
      </w:r>
      <w:r>
        <w:rPr>
          <w:rFonts w:hint="eastAsia" w:asciiTheme="minorEastAsia" w:hAnsiTheme="minorEastAsia" w:eastAsiaTheme="minorEastAsia" w:cstheme="minorEastAsia"/>
          <w:color w:val="auto"/>
          <w:sz w:val="21"/>
        </w:rPr>
        <w:sym w:font="Wingdings" w:char="00A8"/>
      </w:r>
      <w:r>
        <w:rPr>
          <w:rFonts w:hint="eastAsia" w:asciiTheme="minorEastAsia" w:hAnsiTheme="minorEastAsia" w:eastAsiaTheme="minorEastAsia" w:cstheme="minorEastAsia"/>
          <w:color w:val="auto"/>
          <w:sz w:val="21"/>
        </w:rPr>
        <w:t xml:space="preserve">邀请招标 </w:t>
      </w:r>
      <w:r>
        <w:rPr>
          <w:rFonts w:hint="eastAsia" w:asciiTheme="minorEastAsia" w:hAnsiTheme="minorEastAsia" w:eastAsiaTheme="minorEastAsia" w:cstheme="minorEastAsia"/>
          <w:color w:val="auto"/>
          <w:sz w:val="21"/>
        </w:rPr>
        <w:sym w:font="Wingdings" w:char="00A8"/>
      </w:r>
      <w:r>
        <w:rPr>
          <w:rFonts w:hint="eastAsia" w:asciiTheme="minorEastAsia" w:hAnsiTheme="minorEastAsia" w:eastAsiaTheme="minorEastAsia" w:cstheme="minorEastAsia"/>
          <w:color w:val="auto"/>
          <w:sz w:val="21"/>
        </w:rPr>
        <w:t xml:space="preserve">竞争性谈判 </w:t>
      </w:r>
      <w:r>
        <w:rPr>
          <w:rFonts w:hint="eastAsia" w:asciiTheme="minorEastAsia" w:hAnsiTheme="minorEastAsia" w:eastAsiaTheme="minorEastAsia" w:cstheme="minorEastAsia"/>
          <w:color w:val="auto"/>
          <w:sz w:val="21"/>
        </w:rPr>
        <w:sym w:font="Wingdings" w:char="00A8"/>
      </w:r>
      <w:r>
        <w:rPr>
          <w:rFonts w:hint="eastAsia" w:asciiTheme="minorEastAsia" w:hAnsiTheme="minorEastAsia" w:eastAsiaTheme="minorEastAsia" w:cstheme="minorEastAsia"/>
          <w:color w:val="auto"/>
          <w:sz w:val="21"/>
        </w:rPr>
        <w:t>竞争性磋商</w:t>
      </w:r>
    </w:p>
    <w:p w14:paraId="4A9089B1">
      <w:pPr>
        <w:pStyle w:val="34"/>
        <w:numPr>
          <w:ilvl w:val="255"/>
          <w:numId w:val="0"/>
        </w:numPr>
        <w:snapToGrid w:val="0"/>
        <w:ind w:firstLine="420"/>
        <w:rPr>
          <w:rFonts w:ascii="宋体" w:hAnsi="宋体" w:eastAsia="宋体" w:cs="宋体"/>
          <w:color w:val="auto"/>
          <w:sz w:val="21"/>
          <w:u w:val="single"/>
        </w:rPr>
      </w:pPr>
      <w:r>
        <w:rPr>
          <w:rFonts w:hint="eastAsia" w:ascii="宋体" w:hAnsi="宋体" w:cs="宋体"/>
          <w:color w:val="auto"/>
        </w:rPr>
        <w:t xml:space="preserve">                  </w:t>
      </w:r>
      <w:r>
        <w:rPr>
          <w:rFonts w:hint="eastAsia" w:asciiTheme="minorEastAsia" w:hAnsiTheme="minorEastAsia" w:eastAsiaTheme="minorEastAsia" w:cstheme="minorEastAsia"/>
          <w:color w:val="auto"/>
          <w:sz w:val="21"/>
        </w:rPr>
        <w:sym w:font="Wingdings" w:char="00A8"/>
      </w:r>
      <w:r>
        <w:rPr>
          <w:rFonts w:hint="eastAsia" w:asciiTheme="minorEastAsia" w:hAnsiTheme="minorEastAsia" w:eastAsiaTheme="minorEastAsia" w:cstheme="minorEastAsia"/>
          <w:color w:val="auto"/>
          <w:sz w:val="21"/>
        </w:rPr>
        <w:t xml:space="preserve">询价 </w:t>
      </w:r>
      <w:r>
        <w:rPr>
          <w:rFonts w:hint="eastAsia" w:asciiTheme="minorEastAsia" w:hAnsiTheme="minorEastAsia" w:eastAsiaTheme="minorEastAsia" w:cstheme="minorEastAsia"/>
          <w:color w:val="auto"/>
          <w:sz w:val="21"/>
        </w:rPr>
        <w:sym w:font="Wingdings" w:char="00A8"/>
      </w:r>
      <w:r>
        <w:rPr>
          <w:rFonts w:hint="eastAsia" w:asciiTheme="minorEastAsia" w:hAnsiTheme="minorEastAsia" w:eastAsiaTheme="minorEastAsia" w:cstheme="minorEastAsia"/>
          <w:color w:val="auto"/>
          <w:sz w:val="21"/>
        </w:rPr>
        <w:t xml:space="preserve">单一来源 </w:t>
      </w:r>
      <w:r>
        <w:rPr>
          <w:rFonts w:hint="eastAsia" w:asciiTheme="minorEastAsia" w:hAnsiTheme="minorEastAsia" w:eastAsiaTheme="minorEastAsia" w:cstheme="minorEastAsia"/>
          <w:color w:val="auto"/>
          <w:sz w:val="21"/>
        </w:rPr>
        <w:sym w:font="Wingdings" w:char="00A8"/>
      </w:r>
      <w:r>
        <w:rPr>
          <w:rFonts w:hint="eastAsia" w:asciiTheme="minorEastAsia" w:hAnsiTheme="minorEastAsia" w:eastAsiaTheme="minorEastAsia" w:cstheme="minorEastAsia"/>
          <w:color w:val="auto"/>
          <w:sz w:val="21"/>
        </w:rPr>
        <w:t xml:space="preserve">框架协议 </w:t>
      </w:r>
      <w:r>
        <w:rPr>
          <w:rFonts w:hint="eastAsia" w:asciiTheme="minorEastAsia" w:hAnsiTheme="minorEastAsia" w:eastAsiaTheme="minorEastAsia" w:cstheme="minorEastAsia"/>
          <w:color w:val="auto"/>
          <w:sz w:val="21"/>
        </w:rPr>
        <w:sym w:font="Wingdings" w:char="00A8"/>
      </w:r>
      <w:r>
        <w:rPr>
          <w:rFonts w:hint="eastAsia" w:asciiTheme="minorEastAsia" w:hAnsiTheme="minorEastAsia" w:eastAsiaTheme="minorEastAsia" w:cstheme="minorEastAsia"/>
          <w:color w:val="auto"/>
          <w:sz w:val="21"/>
        </w:rPr>
        <w:t>其他：</w:t>
      </w:r>
      <w:r>
        <w:rPr>
          <w:rFonts w:hint="eastAsia" w:ascii="宋体" w:hAnsi="宋体" w:eastAsia="宋体" w:cs="宋体"/>
          <w:color w:val="auto"/>
          <w:sz w:val="21"/>
          <w:u w:val="single"/>
        </w:rPr>
        <w:t xml:space="preserve">          </w:t>
      </w:r>
    </w:p>
    <w:p w14:paraId="3C1DFE21">
      <w:pPr>
        <w:pStyle w:val="34"/>
        <w:numPr>
          <w:ilvl w:val="255"/>
          <w:numId w:val="0"/>
        </w:numPr>
        <w:snapToGrid w:val="0"/>
        <w:ind w:firstLine="420"/>
        <w:rPr>
          <w:rFonts w:ascii="宋体" w:hAnsi="宋体" w:eastAsia="宋体" w:cs="宋体"/>
          <w:color w:val="auto"/>
          <w:sz w:val="21"/>
        </w:rPr>
      </w:pPr>
      <w:r>
        <w:rPr>
          <w:rFonts w:hint="eastAsia" w:ascii="宋体" w:hAnsi="宋体" w:eastAsia="宋体" w:cs="宋体"/>
          <w:color w:val="auto"/>
          <w:sz w:val="21"/>
        </w:rPr>
        <w:t>（注：在框架协议采购的第二阶段，可选择使用该合同文本）</w:t>
      </w:r>
    </w:p>
    <w:p w14:paraId="4F2209DA">
      <w:pPr>
        <w:pStyle w:val="34"/>
        <w:numPr>
          <w:ilvl w:val="255"/>
          <w:numId w:val="0"/>
        </w:numPr>
        <w:snapToGrid w:val="0"/>
        <w:ind w:firstLine="220" w:firstLineChars="100"/>
        <w:rPr>
          <w:rFonts w:ascii="宋体" w:hAnsi="宋体" w:eastAsia="宋体" w:cs="Times New Roman"/>
          <w:color w:val="auto"/>
          <w:kern w:val="2"/>
          <w:sz w:val="21"/>
        </w:rPr>
      </w:pPr>
      <w:r>
        <w:rPr>
          <w:rFonts w:hint="eastAsia" w:ascii="宋体" w:hAnsi="宋体"/>
          <w:color w:val="auto"/>
        </w:rPr>
        <w:t xml:space="preserve"> （</w:t>
      </w:r>
      <w:r>
        <w:rPr>
          <w:rFonts w:ascii="宋体" w:hAnsi="宋体"/>
          <w:color w:val="auto"/>
        </w:rPr>
        <w:t>6</w:t>
      </w:r>
      <w:r>
        <w:rPr>
          <w:rFonts w:hint="eastAsia" w:ascii="宋体" w:hAnsi="宋体"/>
          <w:color w:val="auto"/>
        </w:rPr>
        <w:t>）</w:t>
      </w:r>
      <w:r>
        <w:rPr>
          <w:rFonts w:hint="eastAsia" w:ascii="宋体" w:hAnsi="宋体" w:eastAsia="宋体" w:cs="Times New Roman"/>
          <w:color w:val="auto"/>
          <w:kern w:val="2"/>
          <w:sz w:val="21"/>
        </w:rPr>
        <w:t>中标（成交）采购标的制造商是否为中小企业：</w:t>
      </w:r>
      <w:r>
        <w:rPr>
          <w:rFonts w:hint="eastAsia" w:ascii="宋体" w:hAnsi="宋体" w:eastAsia="宋体" w:cs="Times New Roman"/>
          <w:color w:val="auto"/>
          <w:kern w:val="2"/>
          <w:sz w:val="21"/>
        </w:rPr>
        <w:sym w:font="Wingdings" w:char="00A8"/>
      </w:r>
      <w:r>
        <w:rPr>
          <w:rFonts w:hint="eastAsia" w:ascii="宋体" w:hAnsi="宋体" w:eastAsia="宋体" w:cs="Times New Roman"/>
          <w:color w:val="auto"/>
          <w:kern w:val="2"/>
          <w:sz w:val="21"/>
        </w:rPr>
        <w:t xml:space="preserve">是      </w:t>
      </w:r>
      <w:r>
        <w:rPr>
          <w:rFonts w:hint="eastAsia" w:ascii="宋体" w:hAnsi="宋体" w:eastAsia="宋体" w:cs="Times New Roman"/>
          <w:color w:val="auto"/>
          <w:kern w:val="2"/>
          <w:sz w:val="21"/>
        </w:rPr>
        <w:sym w:font="Wingdings" w:char="00A8"/>
      </w:r>
      <w:r>
        <w:rPr>
          <w:rFonts w:hint="eastAsia" w:ascii="宋体" w:hAnsi="宋体" w:eastAsia="宋体" w:cs="Times New Roman"/>
          <w:color w:val="auto"/>
          <w:kern w:val="2"/>
          <w:sz w:val="21"/>
        </w:rPr>
        <w:t>否</w:t>
      </w:r>
    </w:p>
    <w:p w14:paraId="7F8AAA7E">
      <w:pPr>
        <w:numPr>
          <w:ilvl w:val="255"/>
          <w:numId w:val="0"/>
        </w:numPr>
        <w:adjustRightInd w:val="0"/>
        <w:snapToGrid w:val="0"/>
        <w:spacing w:line="400" w:lineRule="exact"/>
        <w:rPr>
          <w:rFonts w:ascii="宋体" w:hAnsi="宋体"/>
          <w:iCs/>
          <w:color w:val="auto"/>
          <w:szCs w:val="21"/>
        </w:rPr>
      </w:pPr>
      <w:r>
        <w:rPr>
          <w:rFonts w:hint="eastAsia" w:ascii="宋体" w:hAnsi="宋体"/>
          <w:color w:val="auto"/>
          <w:szCs w:val="21"/>
        </w:rPr>
        <w:t xml:space="preserve">         本合同是否为专门面向中小企业的采购合同（中小企业预留合同）：</w:t>
      </w:r>
      <w:r>
        <w:rPr>
          <w:rFonts w:hint="eastAsia" w:ascii="宋体" w:hAnsi="宋体"/>
          <w:iCs/>
          <w:color w:val="auto"/>
          <w:szCs w:val="21"/>
        </w:rPr>
        <w:sym w:font="Wingdings" w:char="00A8"/>
      </w:r>
      <w:r>
        <w:rPr>
          <w:rFonts w:hint="eastAsia" w:ascii="宋体" w:hAnsi="宋体"/>
          <w:iCs/>
          <w:color w:val="auto"/>
          <w:szCs w:val="21"/>
        </w:rPr>
        <w:t xml:space="preserve">是    </w:t>
      </w:r>
      <w:r>
        <w:rPr>
          <w:rFonts w:hint="eastAsia" w:ascii="宋体" w:hAnsi="宋体"/>
          <w:iCs/>
          <w:color w:val="auto"/>
          <w:szCs w:val="21"/>
        </w:rPr>
        <w:sym w:font="Wingdings" w:char="00A8"/>
      </w:r>
      <w:r>
        <w:rPr>
          <w:rFonts w:hint="eastAsia" w:ascii="宋体" w:hAnsi="宋体"/>
          <w:iCs/>
          <w:color w:val="auto"/>
          <w:szCs w:val="21"/>
        </w:rPr>
        <w:t>否</w:t>
      </w:r>
    </w:p>
    <w:p w14:paraId="04CB387F">
      <w:pPr>
        <w:numPr>
          <w:ilvl w:val="255"/>
          <w:numId w:val="0"/>
        </w:numPr>
        <w:adjustRightInd w:val="0"/>
        <w:snapToGrid w:val="0"/>
        <w:spacing w:line="400" w:lineRule="exact"/>
        <w:rPr>
          <w:rFonts w:ascii="宋体" w:hAnsi="宋体"/>
          <w:iCs/>
          <w:color w:val="auto"/>
          <w:szCs w:val="21"/>
        </w:rPr>
      </w:pPr>
      <w:r>
        <w:rPr>
          <w:rFonts w:hint="eastAsia"/>
          <w:color w:val="auto"/>
        </w:rPr>
        <w:t xml:space="preserve">         若本项目不专门面向中小企业采购，是否给予小微企业评审优惠：</w:t>
      </w:r>
      <w:r>
        <w:rPr>
          <w:rFonts w:hint="eastAsia" w:ascii="宋体" w:hAnsi="宋体"/>
          <w:iCs/>
          <w:color w:val="auto"/>
          <w:szCs w:val="21"/>
        </w:rPr>
        <w:sym w:font="Wingdings" w:char="00A8"/>
      </w:r>
      <w:r>
        <w:rPr>
          <w:rFonts w:hint="eastAsia" w:ascii="宋体" w:hAnsi="宋体"/>
          <w:iCs/>
          <w:color w:val="auto"/>
          <w:szCs w:val="21"/>
        </w:rPr>
        <w:t xml:space="preserve">是   </w:t>
      </w:r>
      <w:r>
        <w:rPr>
          <w:rFonts w:hint="eastAsia" w:ascii="宋体" w:hAnsi="宋体"/>
          <w:iCs/>
          <w:color w:val="auto"/>
          <w:szCs w:val="21"/>
        </w:rPr>
        <w:sym w:font="Wingdings" w:char="00A8"/>
      </w:r>
      <w:r>
        <w:rPr>
          <w:rFonts w:hint="eastAsia" w:ascii="宋体" w:hAnsi="宋体"/>
          <w:iCs/>
          <w:color w:val="auto"/>
          <w:szCs w:val="21"/>
        </w:rPr>
        <w:t>否</w:t>
      </w:r>
    </w:p>
    <w:p w14:paraId="2F1525D9">
      <w:pPr>
        <w:numPr>
          <w:ilvl w:val="255"/>
          <w:numId w:val="0"/>
        </w:numPr>
        <w:adjustRightInd w:val="0"/>
        <w:snapToGrid w:val="0"/>
        <w:spacing w:line="400" w:lineRule="exact"/>
        <w:rPr>
          <w:rFonts w:ascii="宋体" w:hAnsi="宋体"/>
          <w:iCs/>
          <w:color w:val="auto"/>
          <w:szCs w:val="21"/>
        </w:rPr>
      </w:pPr>
      <w:r>
        <w:rPr>
          <w:rFonts w:hint="eastAsia"/>
          <w:color w:val="auto"/>
        </w:rPr>
        <w:t xml:space="preserve">         中标（成交）采购标的制造商是否为残疾人福利性单位：</w:t>
      </w:r>
      <w:r>
        <w:rPr>
          <w:rFonts w:hint="eastAsia" w:ascii="宋体" w:hAnsi="宋体"/>
          <w:iCs/>
          <w:color w:val="auto"/>
          <w:szCs w:val="21"/>
        </w:rPr>
        <w:sym w:font="Wingdings" w:char="00A8"/>
      </w:r>
      <w:r>
        <w:rPr>
          <w:rFonts w:hint="eastAsia" w:ascii="宋体" w:hAnsi="宋体"/>
          <w:iCs/>
          <w:color w:val="auto"/>
          <w:szCs w:val="21"/>
        </w:rPr>
        <w:t xml:space="preserve">是   </w:t>
      </w:r>
      <w:r>
        <w:rPr>
          <w:rFonts w:hint="eastAsia" w:ascii="宋体" w:hAnsi="宋体"/>
          <w:iCs/>
          <w:color w:val="auto"/>
          <w:szCs w:val="21"/>
        </w:rPr>
        <w:sym w:font="Wingdings" w:char="00A8"/>
      </w:r>
      <w:r>
        <w:rPr>
          <w:rFonts w:hint="eastAsia" w:ascii="宋体" w:hAnsi="宋体"/>
          <w:iCs/>
          <w:color w:val="auto"/>
          <w:szCs w:val="21"/>
        </w:rPr>
        <w:t>否</w:t>
      </w:r>
    </w:p>
    <w:p w14:paraId="0CC9B814">
      <w:pPr>
        <w:snapToGrid w:val="0"/>
        <w:spacing w:line="400" w:lineRule="exact"/>
        <w:rPr>
          <w:color w:val="auto"/>
        </w:rPr>
      </w:pPr>
      <w:r>
        <w:rPr>
          <w:rFonts w:hint="eastAsia"/>
          <w:color w:val="auto"/>
        </w:rPr>
        <w:t xml:space="preserve">         中标（成交）采购标的制造商是否为监狱企业：</w:t>
      </w:r>
      <w:r>
        <w:rPr>
          <w:rFonts w:hint="eastAsia" w:ascii="宋体" w:hAnsi="宋体"/>
          <w:iCs/>
          <w:color w:val="auto"/>
          <w:szCs w:val="21"/>
        </w:rPr>
        <w:sym w:font="Wingdings" w:char="00A8"/>
      </w:r>
      <w:r>
        <w:rPr>
          <w:rFonts w:hint="eastAsia" w:ascii="宋体" w:hAnsi="宋体"/>
          <w:iCs/>
          <w:color w:val="auto"/>
          <w:szCs w:val="21"/>
        </w:rPr>
        <w:t xml:space="preserve">是       </w:t>
      </w:r>
      <w:r>
        <w:rPr>
          <w:rFonts w:hint="eastAsia" w:ascii="宋体" w:hAnsi="宋体"/>
          <w:iCs/>
          <w:color w:val="auto"/>
          <w:szCs w:val="21"/>
        </w:rPr>
        <w:sym w:font="Wingdings" w:char="00A8"/>
      </w:r>
      <w:r>
        <w:rPr>
          <w:rFonts w:hint="eastAsia" w:ascii="宋体" w:hAnsi="宋体"/>
          <w:iCs/>
          <w:color w:val="auto"/>
          <w:szCs w:val="21"/>
        </w:rPr>
        <w:t>否</w:t>
      </w:r>
    </w:p>
    <w:p w14:paraId="6B0C7B4C">
      <w:pPr>
        <w:adjustRightInd w:val="0"/>
        <w:snapToGrid w:val="0"/>
        <w:spacing w:line="400" w:lineRule="exact"/>
        <w:ind w:firstLine="420" w:firstLineChars="200"/>
        <w:rPr>
          <w:rFonts w:ascii="宋体" w:hAnsi="宋体"/>
          <w:color w:val="auto"/>
          <w:szCs w:val="21"/>
        </w:rPr>
      </w:pPr>
      <w:r>
        <w:rPr>
          <w:rFonts w:hint="eastAsia" w:ascii="宋体" w:hAnsi="宋体"/>
          <w:color w:val="auto"/>
          <w:szCs w:val="21"/>
        </w:rPr>
        <w:t>（</w:t>
      </w:r>
      <w:r>
        <w:rPr>
          <w:rFonts w:ascii="宋体" w:hAnsi="宋体"/>
          <w:color w:val="auto"/>
          <w:szCs w:val="21"/>
        </w:rPr>
        <w:t>7</w:t>
      </w:r>
      <w:r>
        <w:rPr>
          <w:rFonts w:hint="eastAsia" w:ascii="宋体" w:hAnsi="宋体"/>
          <w:color w:val="auto"/>
          <w:szCs w:val="21"/>
        </w:rPr>
        <w:t>）合同是否分包：</w:t>
      </w:r>
      <w:r>
        <w:rPr>
          <w:rFonts w:hint="eastAsia" w:ascii="宋体" w:hAnsi="宋体"/>
          <w:iCs/>
          <w:color w:val="auto"/>
          <w:szCs w:val="21"/>
        </w:rPr>
        <w:sym w:font="Wingdings" w:char="00A8"/>
      </w:r>
      <w:r>
        <w:rPr>
          <w:rFonts w:hint="eastAsia" w:ascii="宋体" w:hAnsi="宋体"/>
          <w:iCs/>
          <w:color w:val="auto"/>
          <w:szCs w:val="21"/>
        </w:rPr>
        <w:t xml:space="preserve">是       </w:t>
      </w:r>
      <w:r>
        <w:rPr>
          <w:rFonts w:hint="eastAsia" w:ascii="宋体" w:hAnsi="宋体"/>
          <w:iCs/>
          <w:color w:val="auto"/>
          <w:szCs w:val="21"/>
        </w:rPr>
        <w:sym w:font="Wingdings" w:char="00FE"/>
      </w:r>
      <w:r>
        <w:rPr>
          <w:rFonts w:hint="eastAsia" w:ascii="宋体" w:hAnsi="宋体"/>
          <w:iCs/>
          <w:color w:val="auto"/>
          <w:szCs w:val="21"/>
        </w:rPr>
        <w:t>否</w:t>
      </w:r>
    </w:p>
    <w:p w14:paraId="25E7A063">
      <w:pPr>
        <w:adjustRightInd w:val="0"/>
        <w:snapToGrid w:val="0"/>
        <w:spacing w:line="400" w:lineRule="exact"/>
        <w:ind w:firstLine="840" w:firstLineChars="400"/>
        <w:rPr>
          <w:rFonts w:ascii="宋体" w:hAnsi="宋体"/>
          <w:color w:val="auto"/>
          <w:szCs w:val="21"/>
          <w:u w:val="single"/>
        </w:rPr>
      </w:pPr>
      <w:r>
        <w:rPr>
          <w:rFonts w:hint="eastAsia" w:ascii="宋体" w:hAnsi="宋体"/>
          <w:color w:val="auto"/>
          <w:szCs w:val="21"/>
        </w:rPr>
        <w:t xml:space="preserve"> 分包主要内容：</w:t>
      </w:r>
      <w:r>
        <w:rPr>
          <w:rFonts w:hint="eastAsia" w:ascii="宋体" w:hAnsi="宋体"/>
          <w:color w:val="auto"/>
          <w:szCs w:val="21"/>
          <w:u w:val="single"/>
        </w:rPr>
        <w:t xml:space="preserve">                                            </w:t>
      </w:r>
    </w:p>
    <w:p w14:paraId="59D4CF64">
      <w:pPr>
        <w:adjustRightInd w:val="0"/>
        <w:snapToGrid w:val="0"/>
        <w:spacing w:line="400" w:lineRule="exact"/>
        <w:ind w:firstLine="840" w:firstLineChars="400"/>
        <w:rPr>
          <w:rFonts w:ascii="宋体" w:hAnsi="宋体"/>
          <w:color w:val="auto"/>
          <w:szCs w:val="21"/>
        </w:rPr>
      </w:pPr>
      <w:r>
        <w:rPr>
          <w:rFonts w:hint="eastAsia" w:ascii="宋体" w:hAnsi="宋体"/>
          <w:color w:val="auto"/>
          <w:szCs w:val="21"/>
        </w:rPr>
        <w:t xml:space="preserve"> 分包供应商/制造商名称（如供应商和制造商不同，请分别填写）：</w:t>
      </w:r>
    </w:p>
    <w:p w14:paraId="4BEFA4B2">
      <w:pPr>
        <w:adjustRightInd w:val="0"/>
        <w:snapToGrid w:val="0"/>
        <w:spacing w:line="400" w:lineRule="exact"/>
        <w:ind w:firstLine="840" w:firstLineChars="400"/>
        <w:rPr>
          <w:rFonts w:ascii="宋体" w:hAnsi="宋体"/>
          <w:color w:val="auto"/>
          <w:szCs w:val="21"/>
          <w:u w:val="single"/>
        </w:rPr>
      </w:pPr>
      <w:r>
        <w:rPr>
          <w:rFonts w:hint="eastAsia" w:ascii="宋体" w:hAnsi="宋体"/>
          <w:color w:val="auto"/>
          <w:szCs w:val="21"/>
        </w:rPr>
        <w:t xml:space="preserve"> </w:t>
      </w:r>
      <w:r>
        <w:rPr>
          <w:rFonts w:hint="eastAsia" w:ascii="宋体" w:hAnsi="宋体"/>
          <w:color w:val="auto"/>
          <w:szCs w:val="21"/>
          <w:u w:val="single"/>
        </w:rPr>
        <w:t xml:space="preserve">                                                          </w:t>
      </w:r>
    </w:p>
    <w:p w14:paraId="14479504">
      <w:pPr>
        <w:adjustRightInd w:val="0"/>
        <w:snapToGrid w:val="0"/>
        <w:spacing w:line="400" w:lineRule="exact"/>
        <w:ind w:firstLine="840" w:firstLineChars="400"/>
        <w:rPr>
          <w:rFonts w:ascii="宋体" w:hAnsi="宋体"/>
          <w:color w:val="auto"/>
          <w:szCs w:val="21"/>
        </w:rPr>
      </w:pPr>
      <w:r>
        <w:rPr>
          <w:rFonts w:hint="eastAsia" w:ascii="宋体" w:hAnsi="宋体"/>
          <w:color w:val="auto"/>
          <w:szCs w:val="21"/>
        </w:rPr>
        <w:t xml:space="preserve"> 分包供应商/制造商类型（如果供应商和制造商不同，只填写制造商类型）：</w:t>
      </w:r>
    </w:p>
    <w:p w14:paraId="2B447890">
      <w:pPr>
        <w:adjustRightInd w:val="0"/>
        <w:snapToGrid w:val="0"/>
        <w:spacing w:line="400" w:lineRule="exact"/>
        <w:ind w:firstLine="840" w:firstLineChars="400"/>
        <w:rPr>
          <w:rFonts w:ascii="宋体" w:hAnsi="宋体"/>
          <w:iCs/>
          <w:color w:val="auto"/>
          <w:szCs w:val="21"/>
        </w:rPr>
      </w:pPr>
      <w:r>
        <w:rPr>
          <w:rFonts w:hint="eastAsia" w:ascii="宋体" w:hAnsi="宋体"/>
          <w:iCs/>
          <w:color w:val="auto"/>
          <w:szCs w:val="21"/>
        </w:rPr>
        <w:t xml:space="preserve"> </w:t>
      </w:r>
      <w:r>
        <w:rPr>
          <w:rFonts w:hint="eastAsia" w:ascii="宋体" w:hAnsi="宋体"/>
          <w:iCs/>
          <w:color w:val="auto"/>
          <w:szCs w:val="21"/>
        </w:rPr>
        <w:sym w:font="Wingdings" w:char="00A8"/>
      </w:r>
      <w:r>
        <w:rPr>
          <w:rFonts w:hint="eastAsia" w:ascii="宋体" w:hAnsi="宋体"/>
          <w:iCs/>
          <w:color w:val="auto"/>
          <w:szCs w:val="21"/>
        </w:rPr>
        <w:t xml:space="preserve">大型企业  </w:t>
      </w:r>
      <w:r>
        <w:rPr>
          <w:rFonts w:hint="eastAsia" w:ascii="宋体" w:hAnsi="宋体"/>
          <w:iCs/>
          <w:color w:val="auto"/>
          <w:szCs w:val="21"/>
        </w:rPr>
        <w:sym w:font="Wingdings" w:char="00A8"/>
      </w:r>
      <w:r>
        <w:rPr>
          <w:rFonts w:hint="eastAsia" w:ascii="宋体" w:hAnsi="宋体"/>
          <w:iCs/>
          <w:color w:val="auto"/>
          <w:szCs w:val="21"/>
        </w:rPr>
        <w:t xml:space="preserve">中型企业  </w:t>
      </w:r>
      <w:r>
        <w:rPr>
          <w:rFonts w:hint="eastAsia" w:ascii="宋体" w:hAnsi="宋体"/>
          <w:iCs/>
          <w:color w:val="auto"/>
          <w:szCs w:val="21"/>
        </w:rPr>
        <w:sym w:font="Wingdings" w:char="00A8"/>
      </w:r>
      <w:r>
        <w:rPr>
          <w:rFonts w:hint="eastAsia" w:ascii="宋体" w:hAnsi="宋体"/>
          <w:iCs/>
          <w:color w:val="auto"/>
          <w:szCs w:val="21"/>
        </w:rPr>
        <w:t xml:space="preserve">小微型企业  </w:t>
      </w:r>
    </w:p>
    <w:p w14:paraId="4166238F">
      <w:pPr>
        <w:adjustRightInd w:val="0"/>
        <w:snapToGrid w:val="0"/>
        <w:spacing w:line="400" w:lineRule="exact"/>
        <w:ind w:firstLine="840" w:firstLineChars="400"/>
        <w:rPr>
          <w:rFonts w:eastAsia="华文楷体"/>
          <w:color w:val="auto"/>
        </w:rPr>
      </w:pPr>
      <w:r>
        <w:rPr>
          <w:rFonts w:hint="eastAsia" w:ascii="宋体" w:hAnsi="宋体"/>
          <w:iCs/>
          <w:color w:val="auto"/>
          <w:szCs w:val="21"/>
        </w:rPr>
        <w:t xml:space="preserve"> </w:t>
      </w:r>
      <w:r>
        <w:rPr>
          <w:rFonts w:hint="eastAsia" w:ascii="宋体" w:hAnsi="宋体"/>
          <w:iCs/>
          <w:color w:val="auto"/>
          <w:szCs w:val="21"/>
        </w:rPr>
        <w:sym w:font="Wingdings" w:char="00A8"/>
      </w:r>
      <w:r>
        <w:rPr>
          <w:rFonts w:hint="eastAsia" w:ascii="宋体" w:hAnsi="宋体"/>
          <w:iCs/>
          <w:color w:val="auto"/>
          <w:szCs w:val="21"/>
        </w:rPr>
        <w:t xml:space="preserve">残疾人福利性单位 </w:t>
      </w:r>
      <w:r>
        <w:rPr>
          <w:rFonts w:hint="eastAsia" w:ascii="宋体" w:hAnsi="宋体"/>
          <w:iCs/>
          <w:color w:val="auto"/>
          <w:szCs w:val="21"/>
        </w:rPr>
        <w:sym w:font="Wingdings" w:char="00A8"/>
      </w:r>
      <w:r>
        <w:rPr>
          <w:rFonts w:hint="eastAsia" w:ascii="宋体" w:hAnsi="宋体"/>
          <w:iCs/>
          <w:color w:val="auto"/>
          <w:szCs w:val="21"/>
        </w:rPr>
        <w:t xml:space="preserve">监狱企业 </w:t>
      </w:r>
      <w:r>
        <w:rPr>
          <w:rFonts w:hint="eastAsia" w:ascii="宋体" w:hAnsi="宋体"/>
          <w:iCs/>
          <w:color w:val="auto"/>
          <w:szCs w:val="21"/>
        </w:rPr>
        <w:sym w:font="Wingdings" w:char="00A8"/>
      </w:r>
      <w:r>
        <w:rPr>
          <w:rFonts w:hint="eastAsia" w:ascii="宋体" w:hAnsi="宋体"/>
          <w:iCs/>
          <w:color w:val="auto"/>
          <w:szCs w:val="21"/>
        </w:rPr>
        <w:t>其他</w:t>
      </w:r>
    </w:p>
    <w:p w14:paraId="077421CF">
      <w:pPr>
        <w:numPr>
          <w:ilvl w:val="255"/>
          <w:numId w:val="0"/>
        </w:numPr>
        <w:adjustRightInd w:val="0"/>
        <w:snapToGrid w:val="0"/>
        <w:spacing w:line="400" w:lineRule="exact"/>
        <w:rPr>
          <w:rFonts w:ascii="宋体" w:hAnsi="宋体" w:cs="宋体"/>
          <w:iCs/>
          <w:color w:val="auto"/>
          <w:szCs w:val="21"/>
        </w:rPr>
      </w:pPr>
      <w:r>
        <w:rPr>
          <w:rFonts w:hint="eastAsia" w:ascii="宋体" w:hAnsi="宋体"/>
          <w:color w:val="auto"/>
          <w:szCs w:val="21"/>
        </w:rPr>
        <w:t xml:space="preserve">    </w:t>
      </w:r>
      <w:r>
        <w:rPr>
          <w:rFonts w:hint="eastAsia" w:ascii="宋体" w:hAnsi="宋体" w:cs="宋体"/>
          <w:color w:val="auto"/>
          <w:szCs w:val="21"/>
        </w:rPr>
        <w:t>（</w:t>
      </w:r>
      <w:r>
        <w:rPr>
          <w:rFonts w:ascii="宋体" w:hAnsi="宋体" w:cs="宋体"/>
          <w:color w:val="auto"/>
          <w:szCs w:val="21"/>
        </w:rPr>
        <w:t>8</w:t>
      </w:r>
      <w:r>
        <w:rPr>
          <w:rFonts w:hint="eastAsia" w:ascii="宋体" w:hAnsi="宋体" w:cs="宋体"/>
          <w:color w:val="auto"/>
          <w:szCs w:val="21"/>
        </w:rPr>
        <w:t>）中标（成交）供应商是否为外商投资企业：</w:t>
      </w:r>
      <w:r>
        <w:rPr>
          <w:rFonts w:hint="eastAsia" w:ascii="宋体" w:hAnsi="宋体" w:cs="宋体"/>
          <w:iCs/>
          <w:color w:val="auto"/>
          <w:szCs w:val="21"/>
        </w:rPr>
        <w:sym w:font="Wingdings" w:char="00A8"/>
      </w:r>
      <w:r>
        <w:rPr>
          <w:rFonts w:hint="eastAsia" w:ascii="宋体" w:hAnsi="宋体" w:cs="宋体"/>
          <w:iCs/>
          <w:color w:val="auto"/>
          <w:szCs w:val="21"/>
        </w:rPr>
        <w:t xml:space="preserve">是       </w:t>
      </w:r>
      <w:r>
        <w:rPr>
          <w:rFonts w:hint="eastAsia" w:ascii="宋体" w:hAnsi="宋体" w:cs="宋体"/>
          <w:iCs/>
          <w:color w:val="auto"/>
          <w:szCs w:val="21"/>
        </w:rPr>
        <w:sym w:font="Wingdings" w:char="00A8"/>
      </w:r>
      <w:r>
        <w:rPr>
          <w:rFonts w:hint="eastAsia" w:ascii="宋体" w:hAnsi="宋体" w:cs="宋体"/>
          <w:iCs/>
          <w:color w:val="auto"/>
          <w:szCs w:val="21"/>
        </w:rPr>
        <w:t>否</w:t>
      </w:r>
    </w:p>
    <w:p w14:paraId="4949018E">
      <w:pPr>
        <w:pStyle w:val="34"/>
        <w:tabs>
          <w:tab w:val="left" w:pos="1340"/>
        </w:tabs>
        <w:ind w:firstLine="420"/>
        <w:rPr>
          <w:rFonts w:ascii="宋体" w:hAnsi="宋体" w:eastAsia="宋体" w:cs="宋体"/>
          <w:color w:val="auto"/>
          <w:sz w:val="21"/>
          <w:u w:val="single"/>
        </w:rPr>
      </w:pPr>
      <w:r>
        <w:rPr>
          <w:rFonts w:hint="eastAsia" w:ascii="宋体" w:hAnsi="宋体" w:eastAsia="宋体" w:cs="宋体"/>
          <w:color w:val="auto"/>
          <w:sz w:val="21"/>
        </w:rPr>
        <w:t xml:space="preserve">     外商投资企业类型：</w:t>
      </w:r>
      <w:r>
        <w:rPr>
          <w:rFonts w:hint="eastAsia" w:ascii="宋体" w:hAnsi="宋体" w:eastAsia="宋体" w:cs="宋体"/>
          <w:iCs/>
          <w:color w:val="auto"/>
          <w:sz w:val="21"/>
        </w:rPr>
        <w:sym w:font="Wingdings" w:char="00A8"/>
      </w:r>
      <w:r>
        <w:rPr>
          <w:rFonts w:hint="eastAsia" w:ascii="宋体" w:hAnsi="宋体" w:eastAsia="宋体" w:cs="宋体"/>
          <w:color w:val="auto"/>
          <w:sz w:val="21"/>
        </w:rPr>
        <w:t xml:space="preserve">全部由外国投资者投资  </w:t>
      </w:r>
      <w:r>
        <w:rPr>
          <w:rFonts w:hint="eastAsia" w:ascii="宋体" w:hAnsi="宋体" w:eastAsia="宋体" w:cs="宋体"/>
          <w:iCs/>
          <w:color w:val="auto"/>
          <w:sz w:val="21"/>
        </w:rPr>
        <w:sym w:font="Wingdings" w:char="00A8"/>
      </w:r>
      <w:r>
        <w:rPr>
          <w:rFonts w:hint="eastAsia" w:ascii="宋体" w:hAnsi="宋体" w:eastAsia="宋体" w:cs="宋体"/>
          <w:iCs/>
          <w:color w:val="auto"/>
          <w:sz w:val="21"/>
        </w:rPr>
        <w:t>部分由外国投资者投资</w:t>
      </w:r>
    </w:p>
    <w:p w14:paraId="4F4C2937">
      <w:pPr>
        <w:numPr>
          <w:ilvl w:val="255"/>
          <w:numId w:val="0"/>
        </w:num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w:t>
      </w:r>
      <w:r>
        <w:rPr>
          <w:rFonts w:ascii="宋体" w:hAnsi="宋体" w:cs="宋体"/>
          <w:color w:val="auto"/>
          <w:szCs w:val="21"/>
        </w:rPr>
        <w:t>9</w:t>
      </w:r>
      <w:r>
        <w:rPr>
          <w:rFonts w:hint="eastAsia" w:ascii="宋体" w:hAnsi="宋体" w:cs="宋体"/>
          <w:color w:val="auto"/>
          <w:szCs w:val="21"/>
        </w:rPr>
        <w:t>）是否涉及进口产品：</w:t>
      </w:r>
    </w:p>
    <w:p w14:paraId="56470084">
      <w:pPr>
        <w:numPr>
          <w:ilvl w:val="255"/>
          <w:numId w:val="0"/>
        </w:numPr>
        <w:adjustRightInd w:val="0"/>
        <w:snapToGrid w:val="0"/>
        <w:spacing w:line="400" w:lineRule="exact"/>
        <w:ind w:firstLine="840" w:firstLineChars="400"/>
        <w:rPr>
          <w:rFonts w:ascii="宋体" w:hAnsi="宋体" w:cs="宋体"/>
          <w:color w:val="auto"/>
          <w:szCs w:val="21"/>
          <w:u w:val="single"/>
        </w:rPr>
      </w:pPr>
      <w:r>
        <w:rPr>
          <w:rFonts w:hint="eastAsia" w:ascii="宋体" w:hAnsi="宋体" w:cs="宋体"/>
          <w:color w:val="auto"/>
          <w:szCs w:val="21"/>
        </w:rPr>
        <w:t xml:space="preserve"> </w:t>
      </w:r>
      <w:r>
        <w:rPr>
          <w:rFonts w:hint="eastAsia" w:ascii="宋体" w:hAnsi="宋体" w:cs="宋体"/>
          <w:color w:val="auto"/>
          <w:szCs w:val="21"/>
        </w:rPr>
        <w:sym w:font="Wingdings" w:char="00A8"/>
      </w:r>
      <w:r>
        <w:rPr>
          <w:rFonts w:hint="eastAsia" w:ascii="宋体" w:hAnsi="宋体" w:cs="宋体"/>
          <w:color w:val="auto"/>
          <w:szCs w:val="21"/>
        </w:rPr>
        <w:t>是，《政府采购品目分类目录》底级品目名称：</w:t>
      </w:r>
      <w:r>
        <w:rPr>
          <w:rFonts w:hint="eastAsia" w:ascii="宋体" w:hAnsi="宋体" w:cs="宋体"/>
          <w:color w:val="auto"/>
          <w:szCs w:val="21"/>
          <w:u w:val="single"/>
        </w:rPr>
        <w:t xml:space="preserve">         </w:t>
      </w:r>
      <w:r>
        <w:rPr>
          <w:rFonts w:hint="eastAsia" w:ascii="宋体" w:hAnsi="宋体" w:cs="宋体"/>
          <w:color w:val="auto"/>
          <w:szCs w:val="21"/>
        </w:rPr>
        <w:t xml:space="preserve"> 金额：</w:t>
      </w:r>
      <w:r>
        <w:rPr>
          <w:rFonts w:hint="eastAsia" w:ascii="宋体" w:hAnsi="宋体" w:cs="宋体"/>
          <w:color w:val="auto"/>
          <w:szCs w:val="21"/>
          <w:u w:val="single"/>
        </w:rPr>
        <w:t xml:space="preserve">        </w:t>
      </w:r>
    </w:p>
    <w:p w14:paraId="03A6A202">
      <w:pPr>
        <w:numPr>
          <w:ilvl w:val="255"/>
          <w:numId w:val="0"/>
        </w:numPr>
        <w:adjustRightInd w:val="0"/>
        <w:snapToGrid w:val="0"/>
        <w:spacing w:line="400" w:lineRule="exact"/>
        <w:ind w:firstLine="840" w:firstLineChars="400"/>
        <w:rPr>
          <w:rFonts w:ascii="宋体" w:hAnsi="宋体"/>
          <w:color w:val="auto"/>
          <w:szCs w:val="21"/>
        </w:rPr>
      </w:pPr>
      <w:r>
        <w:rPr>
          <w:rFonts w:hint="eastAsia" w:ascii="宋体" w:hAnsi="宋体" w:cs="宋体"/>
          <w:color w:val="auto"/>
          <w:szCs w:val="21"/>
        </w:rPr>
        <w:t xml:space="preserve">        国别：</w:t>
      </w:r>
      <w:r>
        <w:rPr>
          <w:rFonts w:hint="eastAsia" w:ascii="宋体" w:hAnsi="宋体" w:cs="宋体"/>
          <w:color w:val="auto"/>
          <w:szCs w:val="21"/>
          <w:u w:val="single"/>
        </w:rPr>
        <w:t xml:space="preserve">        </w:t>
      </w:r>
      <w:r>
        <w:rPr>
          <w:rFonts w:hint="eastAsia" w:ascii="宋体" w:hAnsi="宋体" w:cs="宋体"/>
          <w:color w:val="auto"/>
          <w:szCs w:val="21"/>
        </w:rPr>
        <w:t xml:space="preserve"> 品牌：</w:t>
      </w:r>
      <w:r>
        <w:rPr>
          <w:rFonts w:hint="eastAsia" w:ascii="宋体" w:hAnsi="宋体" w:cs="宋体"/>
          <w:color w:val="auto"/>
          <w:szCs w:val="21"/>
          <w:u w:val="single"/>
        </w:rPr>
        <w:t xml:space="preserve">        </w:t>
      </w:r>
      <w:r>
        <w:rPr>
          <w:rFonts w:hint="eastAsia" w:ascii="宋体" w:hAnsi="宋体" w:cs="宋体"/>
          <w:color w:val="auto"/>
          <w:szCs w:val="21"/>
        </w:rPr>
        <w:t xml:space="preserve"> 规格型号：</w:t>
      </w:r>
      <w:r>
        <w:rPr>
          <w:rFonts w:hint="eastAsia" w:ascii="宋体" w:hAnsi="宋体" w:cs="宋体"/>
          <w:color w:val="auto"/>
          <w:szCs w:val="21"/>
          <w:u w:val="single"/>
        </w:rPr>
        <w:t xml:space="preserve">        </w:t>
      </w:r>
      <w:r>
        <w:rPr>
          <w:rFonts w:hint="eastAsia" w:ascii="宋体" w:hAnsi="宋体"/>
          <w:color w:val="auto"/>
          <w:szCs w:val="21"/>
        </w:rPr>
        <w:t xml:space="preserve">      </w:t>
      </w:r>
    </w:p>
    <w:p w14:paraId="11394C87">
      <w:pPr>
        <w:adjustRightInd w:val="0"/>
        <w:snapToGrid w:val="0"/>
        <w:spacing w:line="400" w:lineRule="exact"/>
        <w:ind w:firstLine="840" w:firstLineChars="400"/>
        <w:rPr>
          <w:rFonts w:ascii="宋体" w:hAnsi="宋体"/>
          <w:color w:val="auto"/>
          <w:szCs w:val="21"/>
        </w:rPr>
      </w:pPr>
      <w:r>
        <w:rPr>
          <w:rFonts w:hint="eastAsia" w:ascii="宋体" w:hAnsi="宋体"/>
          <w:color w:val="auto"/>
          <w:szCs w:val="21"/>
        </w:rPr>
        <w:t xml:space="preserve"> </w:t>
      </w:r>
      <w:r>
        <w:rPr>
          <w:rFonts w:hint="eastAsia" w:ascii="宋体" w:hAnsi="宋体"/>
          <w:color w:val="auto"/>
          <w:szCs w:val="21"/>
        </w:rPr>
        <w:sym w:font="Wingdings" w:char="00A8"/>
      </w:r>
      <w:r>
        <w:rPr>
          <w:rFonts w:hint="eastAsia" w:ascii="宋体" w:hAnsi="宋体"/>
          <w:color w:val="auto"/>
          <w:szCs w:val="21"/>
        </w:rPr>
        <w:t>否</w:t>
      </w:r>
    </w:p>
    <w:p w14:paraId="60289C1A">
      <w:pPr>
        <w:numPr>
          <w:ilvl w:val="255"/>
          <w:numId w:val="0"/>
        </w:numPr>
        <w:tabs>
          <w:tab w:val="left" w:pos="740"/>
        </w:tabs>
        <w:adjustRightInd w:val="0"/>
        <w:snapToGrid w:val="0"/>
        <w:spacing w:line="400" w:lineRule="exact"/>
        <w:rPr>
          <w:rFonts w:ascii="宋体" w:hAnsi="宋体"/>
          <w:color w:val="auto"/>
          <w:szCs w:val="21"/>
        </w:rPr>
      </w:pPr>
      <w:r>
        <w:rPr>
          <w:rFonts w:hint="eastAsia" w:ascii="宋体" w:hAnsi="宋体"/>
          <w:color w:val="auto"/>
          <w:szCs w:val="21"/>
        </w:rPr>
        <w:t xml:space="preserve">    （1</w:t>
      </w:r>
      <w:r>
        <w:rPr>
          <w:rFonts w:ascii="宋体" w:hAnsi="宋体"/>
          <w:color w:val="auto"/>
          <w:szCs w:val="21"/>
        </w:rPr>
        <w:t>0</w:t>
      </w:r>
      <w:r>
        <w:rPr>
          <w:rFonts w:hint="eastAsia" w:ascii="宋体" w:hAnsi="宋体"/>
          <w:color w:val="auto"/>
          <w:szCs w:val="21"/>
        </w:rPr>
        <w:t>）是否涉及节能产品：</w:t>
      </w:r>
    </w:p>
    <w:p w14:paraId="25E812A7">
      <w:pPr>
        <w:numPr>
          <w:ilvl w:val="255"/>
          <w:numId w:val="0"/>
        </w:numPr>
        <w:tabs>
          <w:tab w:val="left" w:pos="740"/>
        </w:tabs>
        <w:adjustRightInd w:val="0"/>
        <w:snapToGrid w:val="0"/>
        <w:spacing w:line="400" w:lineRule="exact"/>
        <w:rPr>
          <w:rFonts w:ascii="宋体" w:hAnsi="宋体"/>
          <w:iCs/>
          <w:color w:val="auto"/>
          <w:szCs w:val="21"/>
        </w:rPr>
      </w:pPr>
      <w:r>
        <w:rPr>
          <w:rFonts w:hint="eastAsia" w:ascii="宋体" w:hAnsi="宋体"/>
          <w:color w:val="auto"/>
          <w:szCs w:val="21"/>
        </w:rPr>
        <w:t xml:space="preserve">         </w:t>
      </w:r>
      <w:r>
        <w:rPr>
          <w:rFonts w:hint="eastAsia" w:ascii="宋体" w:hAnsi="宋体"/>
          <w:color w:val="auto"/>
          <w:szCs w:val="21"/>
        </w:rPr>
        <w:sym w:font="Wingdings" w:char="00A8"/>
      </w:r>
      <w:r>
        <w:rPr>
          <w:rFonts w:hint="eastAsia" w:ascii="宋体" w:hAnsi="宋体"/>
          <w:color w:val="auto"/>
          <w:szCs w:val="21"/>
        </w:rPr>
        <w:t>是，《节能产品政府采购品目清单》的底级品目名称：</w:t>
      </w:r>
      <w:r>
        <w:rPr>
          <w:rFonts w:hint="eastAsia" w:ascii="宋体" w:hAnsi="宋体"/>
          <w:color w:val="auto"/>
          <w:szCs w:val="21"/>
          <w:u w:val="single"/>
        </w:rPr>
        <w:t xml:space="preserve">         </w:t>
      </w:r>
      <w:r>
        <w:rPr>
          <w:rFonts w:hint="eastAsia" w:ascii="宋体" w:hAnsi="宋体"/>
          <w:iCs/>
          <w:color w:val="auto"/>
          <w:szCs w:val="21"/>
        </w:rPr>
        <w:t xml:space="preserve">     </w:t>
      </w:r>
    </w:p>
    <w:p w14:paraId="3DEB15B2">
      <w:pPr>
        <w:numPr>
          <w:ilvl w:val="255"/>
          <w:numId w:val="0"/>
        </w:numPr>
        <w:tabs>
          <w:tab w:val="left" w:pos="740"/>
        </w:tabs>
        <w:adjustRightInd w:val="0"/>
        <w:snapToGrid w:val="0"/>
        <w:spacing w:line="400" w:lineRule="exact"/>
        <w:rPr>
          <w:rFonts w:ascii="宋体" w:hAnsi="宋体"/>
          <w:iCs/>
          <w:color w:val="auto"/>
          <w:szCs w:val="21"/>
        </w:rPr>
      </w:pPr>
      <w:r>
        <w:rPr>
          <w:rFonts w:hint="eastAsia" w:ascii="宋体" w:hAnsi="宋体"/>
          <w:iCs/>
          <w:color w:val="auto"/>
          <w:szCs w:val="21"/>
        </w:rPr>
        <w:t xml:space="preserve">                </w:t>
      </w:r>
      <w:r>
        <w:rPr>
          <w:rFonts w:hint="eastAsia" w:ascii="宋体" w:hAnsi="宋体"/>
          <w:iCs/>
          <w:color w:val="auto"/>
          <w:szCs w:val="21"/>
        </w:rPr>
        <w:sym w:font="Wingdings" w:char="00A8"/>
      </w:r>
      <w:r>
        <w:rPr>
          <w:rFonts w:hint="eastAsia" w:ascii="宋体" w:hAnsi="宋体"/>
          <w:iCs/>
          <w:color w:val="auto"/>
          <w:szCs w:val="21"/>
        </w:rPr>
        <w:t xml:space="preserve">强制采购       </w:t>
      </w:r>
      <w:r>
        <w:rPr>
          <w:rFonts w:hint="eastAsia" w:ascii="宋体" w:hAnsi="宋体"/>
          <w:iCs/>
          <w:color w:val="auto"/>
          <w:szCs w:val="21"/>
        </w:rPr>
        <w:sym w:font="Wingdings" w:char="00A8"/>
      </w:r>
      <w:r>
        <w:rPr>
          <w:rFonts w:hint="eastAsia" w:ascii="宋体" w:hAnsi="宋体"/>
          <w:iCs/>
          <w:color w:val="auto"/>
          <w:szCs w:val="21"/>
        </w:rPr>
        <w:t xml:space="preserve">优先采购    </w:t>
      </w:r>
    </w:p>
    <w:p w14:paraId="7597097B">
      <w:pPr>
        <w:numPr>
          <w:ilvl w:val="255"/>
          <w:numId w:val="0"/>
        </w:numPr>
        <w:tabs>
          <w:tab w:val="left" w:pos="740"/>
        </w:tabs>
        <w:adjustRightInd w:val="0"/>
        <w:snapToGrid w:val="0"/>
        <w:spacing w:line="400" w:lineRule="exact"/>
        <w:rPr>
          <w:rFonts w:ascii="宋体" w:hAnsi="宋体"/>
          <w:color w:val="auto"/>
          <w:szCs w:val="21"/>
        </w:rPr>
      </w:pPr>
      <w:r>
        <w:rPr>
          <w:rFonts w:hint="eastAsia" w:ascii="宋体" w:hAnsi="宋体"/>
          <w:iCs/>
          <w:color w:val="auto"/>
          <w:szCs w:val="21"/>
        </w:rPr>
        <w:t xml:space="preserve">         </w:t>
      </w:r>
      <w:r>
        <w:rPr>
          <w:rFonts w:hint="eastAsia" w:ascii="宋体" w:hAnsi="宋体"/>
          <w:color w:val="auto"/>
          <w:szCs w:val="21"/>
        </w:rPr>
        <w:sym w:font="Wingdings" w:char="00A8"/>
      </w:r>
      <w:r>
        <w:rPr>
          <w:rFonts w:hint="eastAsia" w:ascii="宋体" w:hAnsi="宋体"/>
          <w:color w:val="auto"/>
          <w:szCs w:val="21"/>
        </w:rPr>
        <w:t>否</w:t>
      </w:r>
    </w:p>
    <w:p w14:paraId="4F92F61E">
      <w:pPr>
        <w:numPr>
          <w:ilvl w:val="255"/>
          <w:numId w:val="0"/>
        </w:numPr>
        <w:tabs>
          <w:tab w:val="left" w:pos="740"/>
        </w:tabs>
        <w:adjustRightInd w:val="0"/>
        <w:snapToGrid w:val="0"/>
        <w:spacing w:line="400" w:lineRule="exact"/>
        <w:rPr>
          <w:rFonts w:ascii="宋体" w:hAnsi="宋体"/>
          <w:color w:val="auto"/>
          <w:szCs w:val="21"/>
        </w:rPr>
      </w:pPr>
      <w:r>
        <w:rPr>
          <w:rFonts w:hint="eastAsia" w:ascii="宋体" w:hAnsi="宋体"/>
          <w:color w:val="auto"/>
          <w:szCs w:val="21"/>
        </w:rPr>
        <w:t xml:space="preserve">          是否涉及环境标志产品：</w:t>
      </w:r>
    </w:p>
    <w:p w14:paraId="01EA8D44">
      <w:pPr>
        <w:numPr>
          <w:ilvl w:val="255"/>
          <w:numId w:val="0"/>
        </w:numPr>
        <w:tabs>
          <w:tab w:val="left" w:pos="740"/>
        </w:tabs>
        <w:adjustRightInd w:val="0"/>
        <w:snapToGrid w:val="0"/>
        <w:spacing w:line="400" w:lineRule="exact"/>
        <w:rPr>
          <w:rFonts w:ascii="宋体" w:hAnsi="宋体"/>
          <w:color w:val="auto"/>
          <w:szCs w:val="21"/>
        </w:rPr>
      </w:pPr>
      <w:r>
        <w:rPr>
          <w:rFonts w:hint="eastAsia" w:ascii="宋体" w:hAnsi="宋体"/>
          <w:color w:val="auto"/>
          <w:szCs w:val="21"/>
        </w:rPr>
        <w:t xml:space="preserve">         </w:t>
      </w:r>
      <w:r>
        <w:rPr>
          <w:rFonts w:hint="eastAsia" w:ascii="宋体" w:hAnsi="宋体"/>
          <w:color w:val="auto"/>
          <w:szCs w:val="21"/>
        </w:rPr>
        <w:sym w:font="Wingdings" w:char="00A8"/>
      </w:r>
      <w:r>
        <w:rPr>
          <w:rFonts w:hint="eastAsia" w:ascii="宋体" w:hAnsi="宋体"/>
          <w:color w:val="auto"/>
          <w:szCs w:val="21"/>
        </w:rPr>
        <w:t>是，《环境标志产品政府采购品目清单》的底级品目名称：</w:t>
      </w:r>
      <w:r>
        <w:rPr>
          <w:rFonts w:hint="eastAsia" w:ascii="宋体" w:hAnsi="宋体"/>
          <w:color w:val="auto"/>
          <w:szCs w:val="21"/>
          <w:u w:val="single"/>
        </w:rPr>
        <w:t xml:space="preserve">         </w:t>
      </w:r>
      <w:r>
        <w:rPr>
          <w:rFonts w:hint="eastAsia" w:ascii="宋体" w:hAnsi="宋体"/>
          <w:iCs/>
          <w:color w:val="auto"/>
          <w:szCs w:val="21"/>
        </w:rPr>
        <w:t xml:space="preserve"> </w:t>
      </w:r>
    </w:p>
    <w:p w14:paraId="65CAA1C7">
      <w:pPr>
        <w:numPr>
          <w:ilvl w:val="255"/>
          <w:numId w:val="0"/>
        </w:numPr>
        <w:tabs>
          <w:tab w:val="left" w:pos="740"/>
        </w:tabs>
        <w:adjustRightInd w:val="0"/>
        <w:snapToGrid w:val="0"/>
        <w:spacing w:line="400" w:lineRule="exact"/>
        <w:rPr>
          <w:rFonts w:ascii="宋体" w:hAnsi="宋体"/>
          <w:iCs/>
          <w:color w:val="auto"/>
          <w:szCs w:val="21"/>
        </w:rPr>
      </w:pPr>
      <w:r>
        <w:rPr>
          <w:rFonts w:hint="eastAsia" w:ascii="宋体" w:hAnsi="宋体"/>
          <w:iCs/>
          <w:color w:val="auto"/>
          <w:szCs w:val="21"/>
        </w:rPr>
        <w:t xml:space="preserve">                </w:t>
      </w:r>
      <w:r>
        <w:rPr>
          <w:rFonts w:hint="eastAsia" w:ascii="宋体" w:hAnsi="宋体"/>
          <w:iCs/>
          <w:color w:val="auto"/>
          <w:szCs w:val="21"/>
        </w:rPr>
        <w:sym w:font="Wingdings" w:char="00A8"/>
      </w:r>
      <w:r>
        <w:rPr>
          <w:rFonts w:hint="eastAsia" w:ascii="宋体" w:hAnsi="宋体"/>
          <w:iCs/>
          <w:color w:val="auto"/>
          <w:szCs w:val="21"/>
        </w:rPr>
        <w:t xml:space="preserve">强制采购       </w:t>
      </w:r>
      <w:r>
        <w:rPr>
          <w:rFonts w:hint="eastAsia" w:ascii="宋体" w:hAnsi="宋体"/>
          <w:iCs/>
          <w:color w:val="auto"/>
          <w:szCs w:val="21"/>
        </w:rPr>
        <w:sym w:font="Wingdings" w:char="00A8"/>
      </w:r>
      <w:r>
        <w:rPr>
          <w:rFonts w:hint="eastAsia" w:ascii="宋体" w:hAnsi="宋体"/>
          <w:iCs/>
          <w:color w:val="auto"/>
          <w:szCs w:val="21"/>
        </w:rPr>
        <w:t xml:space="preserve">优先采购    </w:t>
      </w:r>
    </w:p>
    <w:p w14:paraId="3F7950AF">
      <w:pPr>
        <w:numPr>
          <w:ilvl w:val="255"/>
          <w:numId w:val="0"/>
        </w:numPr>
        <w:tabs>
          <w:tab w:val="left" w:pos="740"/>
        </w:tabs>
        <w:adjustRightInd w:val="0"/>
        <w:snapToGrid w:val="0"/>
        <w:spacing w:line="400" w:lineRule="exact"/>
        <w:rPr>
          <w:rFonts w:ascii="宋体" w:hAnsi="宋体"/>
          <w:color w:val="auto"/>
          <w:szCs w:val="21"/>
        </w:rPr>
      </w:pPr>
      <w:r>
        <w:rPr>
          <w:rFonts w:hint="eastAsia" w:ascii="宋体" w:hAnsi="宋体"/>
          <w:iCs/>
          <w:color w:val="auto"/>
          <w:szCs w:val="21"/>
        </w:rPr>
        <w:t xml:space="preserve">         </w:t>
      </w:r>
      <w:r>
        <w:rPr>
          <w:rFonts w:hint="eastAsia" w:ascii="宋体" w:hAnsi="宋体"/>
          <w:color w:val="auto"/>
          <w:szCs w:val="21"/>
        </w:rPr>
        <w:sym w:font="Wingdings" w:char="00A8"/>
      </w:r>
      <w:r>
        <w:rPr>
          <w:rFonts w:hint="eastAsia" w:ascii="宋体" w:hAnsi="宋体"/>
          <w:color w:val="auto"/>
          <w:szCs w:val="21"/>
        </w:rPr>
        <w:t>否</w:t>
      </w:r>
    </w:p>
    <w:p w14:paraId="49A7AE85">
      <w:pPr>
        <w:pStyle w:val="34"/>
        <w:numPr>
          <w:ilvl w:val="255"/>
          <w:numId w:val="0"/>
        </w:numPr>
        <w:snapToGrid w:val="0"/>
        <w:rPr>
          <w:rFonts w:ascii="宋体" w:hAnsi="宋体" w:eastAsia="宋体" w:cs="Times New Roman"/>
          <w:color w:val="auto"/>
          <w:kern w:val="2"/>
          <w:sz w:val="21"/>
        </w:rPr>
      </w:pPr>
      <w:r>
        <w:rPr>
          <w:rFonts w:hint="eastAsia" w:ascii="宋体" w:hAnsi="宋体"/>
          <w:color w:val="auto"/>
          <w:sz w:val="21"/>
        </w:rPr>
        <w:t xml:space="preserve">          </w:t>
      </w:r>
      <w:r>
        <w:rPr>
          <w:rFonts w:hint="eastAsia" w:ascii="宋体" w:hAnsi="宋体" w:eastAsia="宋体" w:cs="Times New Roman"/>
          <w:color w:val="auto"/>
          <w:kern w:val="2"/>
          <w:sz w:val="21"/>
        </w:rPr>
        <w:t xml:space="preserve">是否涉及绿色产品： </w:t>
      </w:r>
    </w:p>
    <w:p w14:paraId="44EF3A5A">
      <w:pPr>
        <w:pStyle w:val="34"/>
        <w:ind w:firstLine="420" w:firstLineChars="0"/>
        <w:rPr>
          <w:rFonts w:ascii="宋体" w:hAnsi="宋体" w:eastAsia="宋体"/>
          <w:color w:val="auto"/>
          <w:u w:val="single"/>
        </w:rPr>
      </w:pPr>
      <w:r>
        <w:rPr>
          <w:rFonts w:hint="eastAsia" w:ascii="宋体" w:hAnsi="宋体" w:eastAsia="宋体" w:cs="Times New Roman"/>
          <w:color w:val="auto"/>
          <w:kern w:val="2"/>
          <w:sz w:val="21"/>
        </w:rPr>
        <w:t xml:space="preserve">     </w:t>
      </w:r>
      <w:r>
        <w:rPr>
          <w:rFonts w:hint="eastAsia" w:ascii="宋体" w:hAnsi="宋体" w:eastAsia="宋体" w:cs="Times New Roman"/>
          <w:color w:val="auto"/>
          <w:kern w:val="2"/>
          <w:sz w:val="21"/>
        </w:rPr>
        <w:sym w:font="Wingdings" w:char="00A8"/>
      </w:r>
      <w:r>
        <w:rPr>
          <w:rFonts w:hint="eastAsia" w:ascii="宋体" w:hAnsi="宋体" w:eastAsia="宋体" w:cs="Times New Roman"/>
          <w:color w:val="auto"/>
          <w:kern w:val="2"/>
          <w:sz w:val="21"/>
        </w:rPr>
        <w:t>是，绿色产品政府采购相关政策确定的底级品目名称：</w:t>
      </w:r>
      <w:r>
        <w:rPr>
          <w:rFonts w:hint="eastAsia" w:ascii="宋体" w:hAnsi="宋体" w:eastAsia="宋体"/>
          <w:color w:val="auto"/>
          <w:u w:val="single"/>
        </w:rPr>
        <w:t xml:space="preserve">         </w:t>
      </w:r>
    </w:p>
    <w:p w14:paraId="0F50B241">
      <w:pPr>
        <w:numPr>
          <w:ilvl w:val="255"/>
          <w:numId w:val="0"/>
        </w:numPr>
        <w:tabs>
          <w:tab w:val="left" w:pos="740"/>
        </w:tabs>
        <w:adjustRightInd w:val="0"/>
        <w:snapToGrid w:val="0"/>
        <w:spacing w:line="400" w:lineRule="exact"/>
        <w:rPr>
          <w:rFonts w:ascii="宋体" w:hAnsi="宋体"/>
          <w:iCs/>
          <w:color w:val="auto"/>
          <w:szCs w:val="21"/>
        </w:rPr>
      </w:pPr>
      <w:r>
        <w:rPr>
          <w:rFonts w:hint="eastAsia" w:ascii="宋体" w:hAnsi="宋体"/>
          <w:iCs/>
          <w:color w:val="auto"/>
          <w:szCs w:val="21"/>
        </w:rPr>
        <w:t xml:space="preserve">                </w:t>
      </w:r>
      <w:r>
        <w:rPr>
          <w:rFonts w:hint="eastAsia" w:ascii="宋体" w:hAnsi="宋体"/>
          <w:iCs/>
          <w:color w:val="auto"/>
          <w:szCs w:val="21"/>
        </w:rPr>
        <w:sym w:font="Wingdings" w:char="00A8"/>
      </w:r>
      <w:r>
        <w:rPr>
          <w:rFonts w:hint="eastAsia" w:ascii="宋体" w:hAnsi="宋体"/>
          <w:iCs/>
          <w:color w:val="auto"/>
          <w:szCs w:val="21"/>
        </w:rPr>
        <w:t xml:space="preserve">强制采购       </w:t>
      </w:r>
      <w:r>
        <w:rPr>
          <w:rFonts w:hint="eastAsia" w:ascii="宋体" w:hAnsi="宋体"/>
          <w:iCs/>
          <w:color w:val="auto"/>
          <w:szCs w:val="21"/>
        </w:rPr>
        <w:sym w:font="Wingdings" w:char="00A8"/>
      </w:r>
      <w:r>
        <w:rPr>
          <w:rFonts w:hint="eastAsia" w:ascii="宋体" w:hAnsi="宋体"/>
          <w:iCs/>
          <w:color w:val="auto"/>
          <w:szCs w:val="21"/>
        </w:rPr>
        <w:t xml:space="preserve">优先采购    </w:t>
      </w:r>
    </w:p>
    <w:p w14:paraId="0A15EDE2">
      <w:pPr>
        <w:pStyle w:val="34"/>
        <w:ind w:firstLine="420" w:firstLineChars="0"/>
        <w:rPr>
          <w:rFonts w:ascii="宋体" w:hAnsi="宋体"/>
          <w:color w:val="auto"/>
          <w:sz w:val="21"/>
        </w:rPr>
      </w:pPr>
      <w:r>
        <w:rPr>
          <w:rFonts w:hint="eastAsia" w:ascii="宋体" w:hAnsi="宋体" w:eastAsia="宋体" w:cs="Times New Roman"/>
          <w:color w:val="auto"/>
          <w:kern w:val="2"/>
          <w:sz w:val="21"/>
        </w:rPr>
        <w:t xml:space="preserve">     </w:t>
      </w:r>
      <w:r>
        <w:rPr>
          <w:rFonts w:hint="eastAsia" w:ascii="宋体" w:hAnsi="宋体" w:eastAsia="宋体" w:cs="Times New Roman"/>
          <w:color w:val="auto"/>
          <w:kern w:val="2"/>
          <w:sz w:val="21"/>
        </w:rPr>
        <w:sym w:font="Wingdings" w:char="00A8"/>
      </w:r>
      <w:r>
        <w:rPr>
          <w:rFonts w:hint="eastAsia" w:ascii="宋体" w:hAnsi="宋体" w:eastAsia="宋体" w:cs="Times New Roman"/>
          <w:color w:val="auto"/>
          <w:kern w:val="2"/>
          <w:sz w:val="21"/>
        </w:rPr>
        <w:t>否</w:t>
      </w:r>
    </w:p>
    <w:p w14:paraId="54EEABE2">
      <w:pPr>
        <w:numPr>
          <w:ilvl w:val="255"/>
          <w:numId w:val="0"/>
        </w:numPr>
        <w:adjustRightInd w:val="0"/>
        <w:snapToGrid w:val="0"/>
        <w:spacing w:line="400" w:lineRule="exact"/>
        <w:rPr>
          <w:rFonts w:ascii="宋体" w:hAnsi="宋体"/>
          <w:color w:val="auto"/>
          <w:szCs w:val="21"/>
        </w:rPr>
      </w:pPr>
      <w:r>
        <w:rPr>
          <w:rFonts w:hint="eastAsia" w:ascii="宋体" w:hAnsi="宋体"/>
          <w:color w:val="auto"/>
          <w:szCs w:val="21"/>
        </w:rPr>
        <w:t xml:space="preserve">    （1</w:t>
      </w:r>
      <w:r>
        <w:rPr>
          <w:rFonts w:ascii="宋体" w:hAnsi="宋体"/>
          <w:color w:val="auto"/>
          <w:szCs w:val="21"/>
        </w:rPr>
        <w:t>1</w:t>
      </w:r>
      <w:r>
        <w:rPr>
          <w:rFonts w:hint="eastAsia" w:ascii="宋体" w:hAnsi="宋体"/>
          <w:color w:val="auto"/>
          <w:szCs w:val="21"/>
        </w:rPr>
        <w:t>）涉及商品包装和快递包装的，是否参考《商品包装政府采购需求标准（试行）》、《快递包装政府采购需求标准（试行）》明确产品及相关快递服务的具体包装要求：</w:t>
      </w:r>
    </w:p>
    <w:p w14:paraId="04346D64">
      <w:pPr>
        <w:numPr>
          <w:ilvl w:val="255"/>
          <w:numId w:val="0"/>
        </w:numPr>
        <w:adjustRightInd w:val="0"/>
        <w:snapToGrid w:val="0"/>
        <w:spacing w:line="400" w:lineRule="exact"/>
        <w:ind w:firstLine="840" w:firstLineChars="400"/>
        <w:rPr>
          <w:rFonts w:ascii="宋体" w:hAnsi="宋体"/>
          <w:color w:val="auto"/>
          <w:szCs w:val="21"/>
        </w:rPr>
      </w:pPr>
      <w:r>
        <w:rPr>
          <w:rFonts w:hint="eastAsia" w:ascii="宋体" w:hAnsi="宋体"/>
          <w:color w:val="auto"/>
          <w:szCs w:val="21"/>
        </w:rPr>
        <w:sym w:font="Wingdings" w:char="00A8"/>
      </w:r>
      <w:r>
        <w:rPr>
          <w:rFonts w:hint="eastAsia" w:ascii="宋体" w:hAnsi="宋体"/>
          <w:color w:val="auto"/>
          <w:szCs w:val="21"/>
        </w:rPr>
        <w:t xml:space="preserve">是       </w:t>
      </w:r>
      <w:r>
        <w:rPr>
          <w:rFonts w:hint="eastAsia" w:ascii="宋体" w:hAnsi="宋体"/>
          <w:color w:val="auto"/>
          <w:szCs w:val="21"/>
        </w:rPr>
        <w:sym w:font="Wingdings" w:char="00A8"/>
      </w:r>
      <w:r>
        <w:rPr>
          <w:rFonts w:hint="eastAsia" w:ascii="宋体" w:hAnsi="宋体"/>
          <w:color w:val="auto"/>
          <w:szCs w:val="21"/>
        </w:rPr>
        <w:t xml:space="preserve">否      </w:t>
      </w:r>
      <w:r>
        <w:rPr>
          <w:rFonts w:hint="eastAsia" w:ascii="宋体" w:hAnsi="宋体"/>
          <w:color w:val="auto"/>
          <w:szCs w:val="21"/>
        </w:rPr>
        <w:sym w:font="Wingdings" w:char="00A8"/>
      </w:r>
      <w:r>
        <w:rPr>
          <w:rFonts w:hint="eastAsia" w:ascii="宋体" w:hAnsi="宋体"/>
          <w:color w:val="auto"/>
          <w:szCs w:val="21"/>
        </w:rPr>
        <w:t>不涉及</w:t>
      </w:r>
    </w:p>
    <w:p w14:paraId="2198351B">
      <w:pPr>
        <w:numPr>
          <w:ilvl w:val="0"/>
          <w:numId w:val="3"/>
        </w:numPr>
        <w:adjustRightInd w:val="0"/>
        <w:snapToGrid w:val="0"/>
        <w:spacing w:line="400" w:lineRule="exact"/>
        <w:ind w:firstLine="422" w:firstLineChars="200"/>
        <w:rPr>
          <w:rFonts w:ascii="宋体" w:hAnsi="宋体"/>
          <w:b/>
          <w:color w:val="auto"/>
          <w:szCs w:val="21"/>
        </w:rPr>
      </w:pPr>
      <w:r>
        <w:rPr>
          <w:rFonts w:hint="eastAsia" w:ascii="宋体" w:hAnsi="宋体"/>
          <w:b/>
          <w:color w:val="auto"/>
          <w:szCs w:val="21"/>
        </w:rPr>
        <w:t>合同金额</w:t>
      </w:r>
    </w:p>
    <w:p w14:paraId="486D3BA1">
      <w:pPr>
        <w:adjustRightInd w:val="0"/>
        <w:snapToGrid w:val="0"/>
        <w:spacing w:line="400" w:lineRule="exact"/>
        <w:ind w:firstLine="420" w:firstLineChars="200"/>
        <w:rPr>
          <w:rFonts w:ascii="宋体" w:hAnsi="宋体"/>
          <w:color w:val="auto"/>
          <w:szCs w:val="21"/>
        </w:rPr>
      </w:pPr>
      <w:r>
        <w:rPr>
          <w:rFonts w:hint="eastAsia" w:ascii="宋体" w:hAnsi="宋体"/>
          <w:color w:val="auto"/>
          <w:szCs w:val="21"/>
        </w:rPr>
        <w:t>（1）合同金额小写：</w:t>
      </w:r>
      <w:r>
        <w:rPr>
          <w:rFonts w:hint="eastAsia" w:ascii="宋体" w:hAnsi="宋体"/>
          <w:color w:val="auto"/>
          <w:szCs w:val="21"/>
          <w:u w:val="single"/>
        </w:rPr>
        <w:t xml:space="preserve">                           </w:t>
      </w:r>
    </w:p>
    <w:p w14:paraId="03F555D8">
      <w:pPr>
        <w:adjustRightInd w:val="0"/>
        <w:snapToGrid w:val="0"/>
        <w:spacing w:line="400" w:lineRule="exact"/>
        <w:rPr>
          <w:rFonts w:ascii="宋体" w:hAnsi="宋体"/>
          <w:color w:val="auto"/>
          <w:szCs w:val="21"/>
          <w:u w:val="single"/>
        </w:rPr>
      </w:pPr>
      <w:r>
        <w:rPr>
          <w:rFonts w:hint="eastAsia" w:ascii="宋体" w:hAnsi="宋体"/>
          <w:color w:val="auto"/>
          <w:szCs w:val="21"/>
        </w:rPr>
        <w:t xml:space="preserve">                 大写：</w:t>
      </w:r>
      <w:r>
        <w:rPr>
          <w:rFonts w:hint="eastAsia" w:ascii="宋体" w:hAnsi="宋体"/>
          <w:color w:val="auto"/>
          <w:szCs w:val="21"/>
          <w:u w:val="single"/>
        </w:rPr>
        <w:t xml:space="preserve">                           </w:t>
      </w:r>
    </w:p>
    <w:p w14:paraId="108E36E2">
      <w:pPr>
        <w:adjustRightInd w:val="0"/>
        <w:snapToGrid w:val="0"/>
        <w:spacing w:line="400" w:lineRule="exact"/>
        <w:rPr>
          <w:rFonts w:ascii="宋体" w:hAnsi="宋体"/>
          <w:color w:val="auto"/>
          <w:szCs w:val="21"/>
        </w:rPr>
      </w:pPr>
      <w:r>
        <w:rPr>
          <w:rFonts w:hint="eastAsia" w:ascii="宋体" w:hAnsi="宋体"/>
          <w:color w:val="auto"/>
          <w:szCs w:val="21"/>
        </w:rPr>
        <w:t xml:space="preserve">         分包金额（如有）小写：</w:t>
      </w:r>
      <w:r>
        <w:rPr>
          <w:rFonts w:hint="eastAsia" w:ascii="宋体" w:hAnsi="宋体"/>
          <w:color w:val="auto"/>
          <w:szCs w:val="21"/>
          <w:u w:val="single"/>
        </w:rPr>
        <w:t xml:space="preserve">                   </w:t>
      </w:r>
    </w:p>
    <w:p w14:paraId="193D0221">
      <w:pPr>
        <w:adjustRightInd w:val="0"/>
        <w:snapToGrid w:val="0"/>
        <w:spacing w:line="400" w:lineRule="exact"/>
        <w:rPr>
          <w:rFonts w:ascii="宋体" w:hAnsi="宋体"/>
          <w:color w:val="auto"/>
          <w:szCs w:val="21"/>
          <w:u w:val="single"/>
        </w:rPr>
      </w:pPr>
      <w:r>
        <w:rPr>
          <w:rFonts w:hint="eastAsia" w:ascii="宋体" w:hAnsi="宋体"/>
          <w:color w:val="auto"/>
          <w:szCs w:val="21"/>
        </w:rPr>
        <w:t xml:space="preserve">                     大写：</w:t>
      </w:r>
      <w:r>
        <w:rPr>
          <w:rFonts w:hint="eastAsia" w:ascii="宋体" w:hAnsi="宋体"/>
          <w:color w:val="auto"/>
          <w:szCs w:val="21"/>
          <w:u w:val="single"/>
        </w:rPr>
        <w:t xml:space="preserve">                       </w:t>
      </w:r>
    </w:p>
    <w:p w14:paraId="4D9B00B2">
      <w:pPr>
        <w:adjustRightInd w:val="0"/>
        <w:snapToGrid w:val="0"/>
        <w:spacing w:line="400" w:lineRule="exact"/>
        <w:rPr>
          <w:rFonts w:ascii="宋体" w:hAnsi="宋体"/>
          <w:color w:val="auto"/>
          <w:szCs w:val="21"/>
        </w:rPr>
      </w:pPr>
      <w:r>
        <w:rPr>
          <w:rFonts w:hint="eastAsia" w:ascii="宋体" w:hAnsi="宋体"/>
          <w:color w:val="auto"/>
          <w:szCs w:val="21"/>
        </w:rPr>
        <w:t xml:space="preserve">    （注：固定单价合同应填写单价和最高限价）</w:t>
      </w:r>
    </w:p>
    <w:p w14:paraId="5BA9FAF9">
      <w:pPr>
        <w:numPr>
          <w:ilvl w:val="255"/>
          <w:numId w:val="0"/>
        </w:numPr>
        <w:adjustRightInd w:val="0"/>
        <w:snapToGrid w:val="0"/>
        <w:spacing w:line="400" w:lineRule="exact"/>
        <w:rPr>
          <w:rFonts w:ascii="宋体" w:hAnsi="宋体"/>
          <w:color w:val="auto"/>
          <w:szCs w:val="21"/>
        </w:rPr>
      </w:pPr>
      <w:r>
        <w:rPr>
          <w:rFonts w:hint="eastAsia" w:ascii="宋体" w:hAnsi="宋体"/>
          <w:color w:val="auto"/>
          <w:szCs w:val="21"/>
        </w:rPr>
        <w:t xml:space="preserve">    （2）合同定价方式（采用组合定价方式的，可以勾选多项）：</w:t>
      </w:r>
    </w:p>
    <w:p w14:paraId="5944B16D">
      <w:pPr>
        <w:adjustRightInd w:val="0"/>
        <w:snapToGrid w:val="0"/>
        <w:spacing w:line="400" w:lineRule="exact"/>
        <w:ind w:firstLine="420" w:firstLineChars="200"/>
        <w:rPr>
          <w:rFonts w:ascii="宋体" w:hAnsi="宋体"/>
          <w:color w:val="auto"/>
          <w:szCs w:val="21"/>
        </w:rPr>
      </w:pPr>
      <w:r>
        <w:rPr>
          <w:rFonts w:hint="eastAsia" w:ascii="宋体" w:hAnsi="宋体"/>
          <w:iCs/>
          <w:color w:val="auto"/>
          <w:szCs w:val="21"/>
        </w:rPr>
        <w:t xml:space="preserve">  </w:t>
      </w:r>
      <w:r>
        <w:rPr>
          <w:rFonts w:hint="eastAsia" w:ascii="宋体" w:hAnsi="宋体"/>
          <w:iCs/>
          <w:color w:val="auto"/>
          <w:szCs w:val="21"/>
        </w:rPr>
        <w:sym w:font="Wingdings" w:char="00FE"/>
      </w:r>
      <w:r>
        <w:rPr>
          <w:rFonts w:hint="eastAsia" w:ascii="宋体" w:hAnsi="宋体"/>
          <w:iCs/>
          <w:color w:val="auto"/>
          <w:szCs w:val="21"/>
        </w:rPr>
        <w:t xml:space="preserve">固定总价 </w:t>
      </w:r>
      <w:r>
        <w:rPr>
          <w:rFonts w:hint="eastAsia" w:ascii="宋体" w:hAnsi="宋体"/>
          <w:iCs/>
          <w:color w:val="auto"/>
          <w:szCs w:val="21"/>
        </w:rPr>
        <w:sym w:font="Wingdings" w:char="00A8"/>
      </w:r>
      <w:r>
        <w:rPr>
          <w:rFonts w:hint="eastAsia" w:ascii="宋体" w:hAnsi="宋体"/>
          <w:iCs/>
          <w:color w:val="auto"/>
          <w:szCs w:val="21"/>
        </w:rPr>
        <w:t xml:space="preserve">固定单价 </w:t>
      </w:r>
      <w:r>
        <w:rPr>
          <w:rFonts w:hint="eastAsia" w:ascii="宋体" w:hAnsi="宋体"/>
          <w:iCs/>
          <w:color w:val="auto"/>
          <w:szCs w:val="21"/>
        </w:rPr>
        <w:sym w:font="Wingdings" w:char="00A8"/>
      </w:r>
      <w:r>
        <w:rPr>
          <w:rFonts w:hint="eastAsia" w:ascii="宋体" w:hAnsi="宋体"/>
          <w:iCs/>
          <w:color w:val="auto"/>
          <w:szCs w:val="21"/>
        </w:rPr>
        <w:t xml:space="preserve">固定费率 </w:t>
      </w:r>
      <w:r>
        <w:rPr>
          <w:rFonts w:hint="eastAsia" w:ascii="宋体" w:hAnsi="宋体"/>
          <w:iCs/>
          <w:color w:val="auto"/>
          <w:szCs w:val="21"/>
        </w:rPr>
        <w:sym w:font="Wingdings" w:char="00A8"/>
      </w:r>
      <w:r>
        <w:rPr>
          <w:rFonts w:hint="eastAsia" w:ascii="宋体" w:hAnsi="宋体"/>
          <w:iCs/>
          <w:color w:val="auto"/>
          <w:szCs w:val="21"/>
        </w:rPr>
        <w:t xml:space="preserve">成本补偿 </w:t>
      </w:r>
      <w:r>
        <w:rPr>
          <w:rFonts w:hint="eastAsia" w:ascii="宋体" w:hAnsi="宋体"/>
          <w:iCs/>
          <w:color w:val="auto"/>
          <w:szCs w:val="21"/>
        </w:rPr>
        <w:sym w:font="Wingdings" w:char="00A8"/>
      </w:r>
      <w:r>
        <w:rPr>
          <w:rFonts w:hint="eastAsia" w:ascii="宋体" w:hAnsi="宋体"/>
          <w:iCs/>
          <w:color w:val="auto"/>
          <w:szCs w:val="21"/>
        </w:rPr>
        <w:t xml:space="preserve">绩效激励 </w:t>
      </w:r>
      <w:r>
        <w:rPr>
          <w:rFonts w:hint="eastAsia" w:ascii="宋体" w:hAnsi="宋体"/>
          <w:iCs/>
          <w:color w:val="auto"/>
          <w:szCs w:val="21"/>
        </w:rPr>
        <w:sym w:font="Wingdings" w:char="00A8"/>
      </w:r>
      <w:r>
        <w:rPr>
          <w:rFonts w:hint="eastAsia" w:ascii="宋体" w:hAnsi="宋体"/>
          <w:iCs/>
          <w:color w:val="auto"/>
          <w:szCs w:val="21"/>
        </w:rPr>
        <w:t>其他</w:t>
      </w:r>
      <w:r>
        <w:rPr>
          <w:rFonts w:hint="eastAsia" w:ascii="宋体" w:hAnsi="宋体"/>
          <w:color w:val="auto"/>
          <w:szCs w:val="21"/>
          <w:u w:val="single"/>
        </w:rPr>
        <w:t xml:space="preserve">       </w:t>
      </w:r>
    </w:p>
    <w:p w14:paraId="43830827">
      <w:pPr>
        <w:pStyle w:val="72"/>
        <w:spacing w:line="400" w:lineRule="exact"/>
        <w:rPr>
          <w:color w:val="auto"/>
        </w:rPr>
      </w:pPr>
      <w:r>
        <w:rPr>
          <w:rFonts w:hint="eastAsia" w:ascii="宋体" w:hAnsi="宋体"/>
          <w:color w:val="auto"/>
        </w:rPr>
        <w:t>（3）付款方式（按项目实际勾选填写）：</w:t>
      </w:r>
    </w:p>
    <w:p w14:paraId="2043FDF4">
      <w:pPr>
        <w:adjustRightInd w:val="0"/>
        <w:snapToGrid w:val="0"/>
        <w:spacing w:line="400" w:lineRule="exact"/>
        <w:ind w:firstLine="630" w:firstLineChars="300"/>
        <w:rPr>
          <w:rFonts w:hint="eastAsia" w:ascii="宋体" w:hAnsi="宋体"/>
          <w:color w:val="auto"/>
          <w:szCs w:val="21"/>
          <w:u w:val="single"/>
        </w:rPr>
      </w:pPr>
      <w:r>
        <w:rPr>
          <w:rFonts w:hint="eastAsia" w:ascii="宋体" w:hAnsi="宋体"/>
          <w:color w:val="auto"/>
          <w:szCs w:val="21"/>
        </w:rPr>
        <w:sym w:font="Wingdings" w:char="00FE"/>
      </w:r>
      <w:r>
        <w:rPr>
          <w:rFonts w:hint="eastAsia" w:ascii="宋体" w:hAnsi="宋体"/>
          <w:color w:val="auto"/>
          <w:szCs w:val="21"/>
        </w:rPr>
        <w:t>全额付款：</w:t>
      </w:r>
      <w:r>
        <w:rPr>
          <w:rFonts w:hint="eastAsia" w:ascii="宋体" w:hAnsi="宋体"/>
          <w:color w:val="auto"/>
          <w:szCs w:val="21"/>
          <w:u w:val="single"/>
        </w:rPr>
        <w:t xml:space="preserve">  （1）甲方在收到乙方提供的增值税普通发票后，甲方向乙方支付合同总价款的30%款项；</w:t>
      </w:r>
    </w:p>
    <w:p w14:paraId="008B8261">
      <w:pPr>
        <w:adjustRightInd w:val="0"/>
        <w:snapToGrid w:val="0"/>
        <w:spacing w:line="400" w:lineRule="exact"/>
        <w:ind w:firstLine="630" w:firstLineChars="300"/>
        <w:rPr>
          <w:rFonts w:hint="eastAsia" w:ascii="宋体" w:hAnsi="宋体"/>
          <w:color w:val="auto"/>
          <w:szCs w:val="21"/>
          <w:u w:val="single"/>
        </w:rPr>
      </w:pPr>
      <w:r>
        <w:rPr>
          <w:rFonts w:hint="eastAsia" w:ascii="宋体" w:hAnsi="宋体"/>
          <w:color w:val="auto"/>
          <w:szCs w:val="21"/>
          <w:u w:val="single"/>
        </w:rPr>
        <w:t>（2）货物到场后后，甲方在收到乙方提供的增值税普通发票后，甲方向乙方支付合同总价款的50%款项；</w:t>
      </w:r>
    </w:p>
    <w:p w14:paraId="57434CB4">
      <w:pPr>
        <w:adjustRightInd w:val="0"/>
        <w:snapToGrid w:val="0"/>
        <w:spacing w:line="400" w:lineRule="exact"/>
        <w:ind w:firstLine="630" w:firstLineChars="300"/>
        <w:rPr>
          <w:rFonts w:ascii="宋体" w:hAnsi="宋体"/>
          <w:color w:val="auto"/>
          <w:szCs w:val="21"/>
          <w:u w:val="single"/>
        </w:rPr>
      </w:pPr>
      <w:r>
        <w:rPr>
          <w:rFonts w:hint="eastAsia" w:ascii="宋体" w:hAnsi="宋体"/>
          <w:color w:val="auto"/>
          <w:szCs w:val="21"/>
          <w:u w:val="single"/>
        </w:rPr>
        <w:t xml:space="preserve">（3）项目通过竣工结项验收后，项目验收合格，经第三方审计机构结算审核后，甲方在收到乙方提供的增值税普通发票和质量保证书（质量保证书由法定代表人签字或盖章，不得违背投标文件及招标文件实质性条款）后，甲方向乙方支付项目合同总价款的20%款项（以第三方审计机构最终结算价为准）。 </w:t>
      </w:r>
    </w:p>
    <w:p w14:paraId="5E88E2CD">
      <w:pPr>
        <w:snapToGrid w:val="0"/>
        <w:spacing w:line="400" w:lineRule="exact"/>
        <w:ind w:firstLine="630" w:firstLineChars="300"/>
        <w:rPr>
          <w:color w:val="auto"/>
        </w:rPr>
      </w:pPr>
      <w:r>
        <w:rPr>
          <w:rFonts w:hint="eastAsia" w:ascii="宋体" w:hAnsi="宋体"/>
          <w:color w:val="auto"/>
          <w:szCs w:val="21"/>
        </w:rPr>
        <w:sym w:font="Wingdings" w:char="00A8"/>
      </w:r>
      <w:r>
        <w:rPr>
          <w:rFonts w:hint="eastAsia" w:ascii="宋体" w:hAnsi="宋体"/>
          <w:color w:val="auto"/>
          <w:szCs w:val="21"/>
        </w:rPr>
        <w:t>分期付款：</w:t>
      </w:r>
      <w:r>
        <w:rPr>
          <w:rFonts w:hint="eastAsia" w:ascii="宋体" w:hAnsi="宋体"/>
          <w:color w:val="auto"/>
          <w:szCs w:val="21"/>
          <w:u w:val="single"/>
        </w:rPr>
        <w:t xml:space="preserve">/ </w:t>
      </w:r>
      <w:r>
        <w:rPr>
          <w:rFonts w:hint="eastAsia" w:ascii="宋体" w:hAnsi="宋体"/>
          <w:color w:val="auto"/>
          <w:szCs w:val="21"/>
        </w:rPr>
        <w:t>，其中涉及预付款的：</w:t>
      </w:r>
      <w:r>
        <w:rPr>
          <w:rFonts w:hint="eastAsia" w:ascii="宋体" w:hAnsi="宋体"/>
          <w:color w:val="auto"/>
          <w:szCs w:val="21"/>
          <w:u w:val="single"/>
        </w:rPr>
        <w:t xml:space="preserve"> /</w:t>
      </w:r>
    </w:p>
    <w:p w14:paraId="4552E944">
      <w:pPr>
        <w:adjustRightInd w:val="0"/>
        <w:snapToGrid w:val="0"/>
        <w:spacing w:line="400" w:lineRule="exact"/>
        <w:ind w:firstLine="630" w:firstLineChars="300"/>
        <w:rPr>
          <w:rFonts w:ascii="宋体" w:hAnsi="宋体"/>
          <w:color w:val="auto"/>
          <w:szCs w:val="21"/>
          <w:u w:val="single"/>
        </w:rPr>
      </w:pPr>
      <w:r>
        <w:rPr>
          <w:rFonts w:hint="eastAsia" w:ascii="宋体" w:hAnsi="宋体"/>
          <w:color w:val="auto"/>
          <w:szCs w:val="21"/>
        </w:rPr>
        <w:sym w:font="Wingdings" w:char="00A8"/>
      </w:r>
      <w:r>
        <w:rPr>
          <w:rFonts w:hint="eastAsia" w:ascii="宋体" w:hAnsi="宋体"/>
          <w:color w:val="auto"/>
          <w:szCs w:val="21"/>
        </w:rPr>
        <w:t>成本补偿：</w:t>
      </w:r>
      <w:r>
        <w:rPr>
          <w:rFonts w:hint="eastAsia" w:ascii="宋体" w:hAnsi="宋体"/>
          <w:color w:val="auto"/>
          <w:szCs w:val="21"/>
          <w:u w:val="single"/>
        </w:rPr>
        <w:t xml:space="preserve">      （应明确按照成本补偿方式的支付方式和支付条件）   </w:t>
      </w:r>
    </w:p>
    <w:p w14:paraId="1764B761">
      <w:pPr>
        <w:adjustRightInd w:val="0"/>
        <w:snapToGrid w:val="0"/>
        <w:spacing w:line="400" w:lineRule="exact"/>
        <w:ind w:firstLine="630" w:firstLineChars="300"/>
        <w:rPr>
          <w:rFonts w:ascii="宋体" w:hAnsi="宋体"/>
          <w:color w:val="auto"/>
          <w:szCs w:val="21"/>
        </w:rPr>
      </w:pPr>
      <w:r>
        <w:rPr>
          <w:rFonts w:hint="eastAsia" w:ascii="宋体" w:hAnsi="宋体"/>
          <w:color w:val="auto"/>
          <w:szCs w:val="21"/>
        </w:rPr>
        <w:sym w:font="Wingdings" w:char="00A8"/>
      </w:r>
      <w:r>
        <w:rPr>
          <w:rFonts w:hint="eastAsia" w:ascii="宋体" w:hAnsi="宋体"/>
          <w:color w:val="auto"/>
          <w:szCs w:val="21"/>
        </w:rPr>
        <w:t>绩效激励：</w:t>
      </w:r>
      <w:r>
        <w:rPr>
          <w:rFonts w:hint="eastAsia" w:ascii="宋体" w:hAnsi="宋体"/>
          <w:color w:val="auto"/>
          <w:szCs w:val="21"/>
          <w:u w:val="single"/>
        </w:rPr>
        <w:t xml:space="preserve">      （应明确按照绩效激励方式的支付方式和支付条件）   </w:t>
      </w:r>
    </w:p>
    <w:p w14:paraId="2B8F3FEA">
      <w:pPr>
        <w:numPr>
          <w:ilvl w:val="0"/>
          <w:numId w:val="3"/>
        </w:numPr>
        <w:adjustRightInd w:val="0"/>
        <w:snapToGrid w:val="0"/>
        <w:spacing w:line="400" w:lineRule="exact"/>
        <w:ind w:firstLine="422" w:firstLineChars="200"/>
        <w:rPr>
          <w:rFonts w:ascii="宋体" w:hAnsi="宋体"/>
          <w:b/>
          <w:color w:val="auto"/>
          <w:szCs w:val="21"/>
          <w:u w:val="single"/>
        </w:rPr>
      </w:pPr>
      <w:r>
        <w:rPr>
          <w:rFonts w:hint="eastAsia" w:ascii="宋体" w:hAnsi="宋体"/>
          <w:b/>
          <w:color w:val="auto"/>
          <w:szCs w:val="21"/>
        </w:rPr>
        <w:t>合同履行</w:t>
      </w:r>
    </w:p>
    <w:p w14:paraId="105BCCC4">
      <w:pPr>
        <w:adjustRightInd w:val="0"/>
        <w:snapToGrid w:val="0"/>
        <w:spacing w:line="400" w:lineRule="exact"/>
        <w:ind w:firstLine="420" w:firstLineChars="200"/>
        <w:rPr>
          <w:rFonts w:ascii="宋体" w:hAnsi="宋体" w:cs="宋体"/>
          <w:color w:val="auto"/>
          <w:szCs w:val="21"/>
        </w:rPr>
      </w:pPr>
      <w:r>
        <w:rPr>
          <w:rFonts w:hint="eastAsia" w:ascii="宋体" w:hAnsi="宋体" w:cs="宋体"/>
          <w:color w:val="auto"/>
          <w:szCs w:val="21"/>
        </w:rPr>
        <w:t>（1）起始日期：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日，完成日期：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p>
    <w:p w14:paraId="059291F2">
      <w:pPr>
        <w:adjustRightInd w:val="0"/>
        <w:snapToGrid w:val="0"/>
        <w:spacing w:line="400" w:lineRule="exact"/>
        <w:ind w:firstLine="420" w:firstLineChars="200"/>
        <w:rPr>
          <w:rFonts w:ascii="宋体" w:hAnsi="宋体" w:cs="宋体"/>
          <w:color w:val="auto"/>
          <w:szCs w:val="21"/>
          <w:u w:val="single"/>
        </w:rPr>
      </w:pPr>
      <w:r>
        <w:rPr>
          <w:rFonts w:hint="eastAsia" w:ascii="宋体" w:hAnsi="宋体" w:cs="宋体"/>
          <w:color w:val="auto"/>
          <w:szCs w:val="21"/>
        </w:rPr>
        <w:t>（2）履约地点</w:t>
      </w:r>
      <w:r>
        <w:rPr>
          <w:rFonts w:hint="eastAsia" w:ascii="宋体" w:hAnsi="宋体" w:cs="宋体"/>
          <w:bCs/>
          <w:color w:val="auto"/>
          <w:szCs w:val="21"/>
        </w:rPr>
        <w:t>：</w:t>
      </w:r>
      <w:r>
        <w:rPr>
          <w:rFonts w:hint="eastAsia" w:ascii="宋体" w:hAnsi="宋体" w:cs="宋体"/>
          <w:color w:val="auto"/>
          <w:szCs w:val="21"/>
          <w:u w:val="single"/>
        </w:rPr>
        <w:t xml:space="preserve">                             </w:t>
      </w:r>
    </w:p>
    <w:p w14:paraId="553CB020">
      <w:pPr>
        <w:adjustRightInd w:val="0"/>
        <w:snapToGrid w:val="0"/>
        <w:spacing w:line="400" w:lineRule="exact"/>
        <w:ind w:firstLine="420" w:firstLineChars="200"/>
        <w:rPr>
          <w:rFonts w:ascii="宋体" w:hAnsi="宋体" w:cs="宋体"/>
          <w:color w:val="auto"/>
          <w:szCs w:val="21"/>
        </w:rPr>
      </w:pPr>
      <w:r>
        <w:rPr>
          <w:rFonts w:hint="eastAsia" w:ascii="宋体" w:hAnsi="宋体" w:cs="宋体"/>
          <w:bCs/>
          <w:color w:val="auto"/>
          <w:szCs w:val="21"/>
        </w:rPr>
        <w:t>（3）履约担保：</w:t>
      </w:r>
      <w:r>
        <w:rPr>
          <w:rFonts w:hint="eastAsia" w:ascii="宋体" w:hAnsi="宋体" w:cs="宋体"/>
          <w:color w:val="auto"/>
        </w:rPr>
        <w:t>是否收取履约保证金：</w:t>
      </w:r>
      <w:r>
        <w:rPr>
          <w:rFonts w:hint="eastAsia" w:ascii="宋体" w:hAnsi="宋体" w:cs="宋体"/>
          <w:color w:val="auto"/>
          <w:szCs w:val="21"/>
        </w:rPr>
        <w:sym w:font="Wingdings" w:char="00A8"/>
      </w:r>
      <w:r>
        <w:rPr>
          <w:rFonts w:hint="eastAsia" w:ascii="宋体" w:hAnsi="宋体" w:cs="宋体"/>
          <w:color w:val="auto"/>
          <w:szCs w:val="21"/>
        </w:rPr>
        <w:t xml:space="preserve">是    </w:t>
      </w:r>
      <w:r>
        <w:rPr>
          <w:rFonts w:hint="eastAsia" w:ascii="宋体" w:hAnsi="宋体" w:cs="宋体"/>
          <w:color w:val="auto"/>
          <w:szCs w:val="21"/>
        </w:rPr>
        <w:sym w:font="Wingdings" w:char="00FE"/>
      </w:r>
      <w:r>
        <w:rPr>
          <w:rFonts w:hint="eastAsia" w:ascii="宋体" w:hAnsi="宋体" w:cs="宋体"/>
          <w:color w:val="auto"/>
          <w:szCs w:val="21"/>
        </w:rPr>
        <w:t>否</w:t>
      </w:r>
    </w:p>
    <w:p w14:paraId="072C7F1C">
      <w:pPr>
        <w:pStyle w:val="34"/>
        <w:rPr>
          <w:rFonts w:ascii="宋体" w:hAnsi="宋体" w:eastAsia="宋体" w:cs="宋体"/>
          <w:bCs/>
          <w:color w:val="auto"/>
          <w:sz w:val="21"/>
          <w:u w:val="single"/>
        </w:rPr>
      </w:pPr>
      <w:r>
        <w:rPr>
          <w:rFonts w:hint="eastAsia" w:ascii="宋体" w:hAnsi="宋体" w:cs="宋体"/>
          <w:bCs/>
          <w:color w:val="auto"/>
        </w:rPr>
        <w:t xml:space="preserve">  </w:t>
      </w:r>
      <w:r>
        <w:rPr>
          <w:rFonts w:hint="eastAsia" w:ascii="宋体" w:hAnsi="宋体" w:eastAsia="宋体" w:cs="宋体"/>
          <w:color w:val="auto"/>
          <w:sz w:val="21"/>
        </w:rPr>
        <w:t xml:space="preserve">  收取履约保证金形式：</w:t>
      </w:r>
      <w:r>
        <w:rPr>
          <w:rFonts w:hint="eastAsia" w:ascii="宋体" w:hAnsi="宋体" w:eastAsia="宋体" w:cs="宋体"/>
          <w:bCs/>
          <w:color w:val="auto"/>
          <w:sz w:val="21"/>
          <w:u w:val="single"/>
        </w:rPr>
        <w:t>/</w:t>
      </w:r>
    </w:p>
    <w:p w14:paraId="44B70C14">
      <w:pPr>
        <w:pStyle w:val="34"/>
        <w:ind w:firstLine="420"/>
        <w:rPr>
          <w:rFonts w:ascii="宋体" w:hAnsi="宋体" w:eastAsia="宋体" w:cs="宋体"/>
          <w:color w:val="auto"/>
          <w:sz w:val="21"/>
        </w:rPr>
      </w:pPr>
      <w:r>
        <w:rPr>
          <w:rFonts w:hint="eastAsia" w:ascii="宋体" w:hAnsi="宋体" w:eastAsia="宋体" w:cs="宋体"/>
          <w:color w:val="auto"/>
          <w:sz w:val="21"/>
        </w:rPr>
        <w:t xml:space="preserve">    收取履约保证金金额：</w:t>
      </w:r>
      <w:r>
        <w:rPr>
          <w:rFonts w:hint="eastAsia" w:ascii="宋体" w:hAnsi="宋体" w:eastAsia="宋体" w:cs="宋体"/>
          <w:bCs/>
          <w:color w:val="auto"/>
          <w:sz w:val="21"/>
          <w:u w:val="single"/>
        </w:rPr>
        <w:t xml:space="preserve">  / </w:t>
      </w:r>
    </w:p>
    <w:p w14:paraId="327A1D16">
      <w:pPr>
        <w:snapToGrid w:val="0"/>
        <w:spacing w:line="400" w:lineRule="exact"/>
        <w:ind w:firstLine="420" w:firstLineChars="200"/>
        <w:rPr>
          <w:rFonts w:ascii="宋体" w:hAnsi="宋体" w:cs="宋体"/>
          <w:color w:val="auto"/>
        </w:rPr>
      </w:pPr>
      <w:r>
        <w:rPr>
          <w:rFonts w:hint="eastAsia" w:ascii="宋体" w:hAnsi="宋体" w:cs="宋体"/>
          <w:bCs/>
          <w:color w:val="auto"/>
          <w:szCs w:val="21"/>
        </w:rPr>
        <w:t xml:space="preserve">    履约担保期限：</w:t>
      </w:r>
      <w:r>
        <w:rPr>
          <w:rFonts w:hint="eastAsia" w:ascii="宋体" w:hAnsi="宋体" w:cs="宋体"/>
          <w:bCs/>
          <w:color w:val="auto"/>
          <w:szCs w:val="21"/>
          <w:u w:val="single"/>
        </w:rPr>
        <w:t xml:space="preserve">                                  </w:t>
      </w:r>
    </w:p>
    <w:p w14:paraId="214CC15C">
      <w:pPr>
        <w:adjustRightInd w:val="0"/>
        <w:snapToGrid w:val="0"/>
        <w:spacing w:line="400" w:lineRule="exact"/>
        <w:ind w:firstLine="420" w:firstLineChars="200"/>
        <w:rPr>
          <w:rFonts w:ascii="宋体" w:hAnsi="宋体" w:cs="宋体"/>
          <w:bCs/>
          <w:color w:val="auto"/>
          <w:szCs w:val="21"/>
        </w:rPr>
      </w:pPr>
      <w:r>
        <w:rPr>
          <w:rFonts w:hint="eastAsia" w:ascii="宋体" w:hAnsi="宋体" w:cs="宋体"/>
          <w:bCs/>
          <w:color w:val="auto"/>
          <w:szCs w:val="21"/>
        </w:rPr>
        <w:t>（4）分期履行要求：</w:t>
      </w:r>
      <w:r>
        <w:rPr>
          <w:rFonts w:hint="eastAsia" w:ascii="宋体" w:hAnsi="宋体" w:cs="宋体"/>
          <w:bCs/>
          <w:color w:val="auto"/>
          <w:szCs w:val="21"/>
          <w:u w:val="single"/>
        </w:rPr>
        <w:t xml:space="preserve">                                                        </w:t>
      </w:r>
    </w:p>
    <w:p w14:paraId="331BDF07">
      <w:pPr>
        <w:adjustRightInd w:val="0"/>
        <w:snapToGrid w:val="0"/>
        <w:spacing w:line="400" w:lineRule="exact"/>
        <w:ind w:firstLine="420" w:firstLineChars="200"/>
        <w:rPr>
          <w:rFonts w:ascii="宋体" w:hAnsi="宋体" w:cs="宋体"/>
          <w:color w:val="auto"/>
          <w:szCs w:val="21"/>
          <w:u w:val="single"/>
        </w:rPr>
      </w:pPr>
      <w:r>
        <w:rPr>
          <w:rFonts w:hint="eastAsia" w:ascii="宋体" w:hAnsi="宋体" w:cs="宋体"/>
          <w:bCs/>
          <w:color w:val="auto"/>
          <w:szCs w:val="21"/>
        </w:rPr>
        <w:t>（5）风险处置措施和替代方案：</w:t>
      </w:r>
      <w:r>
        <w:rPr>
          <w:rFonts w:hint="eastAsia" w:ascii="宋体" w:hAnsi="宋体" w:cs="宋体"/>
          <w:color w:val="auto"/>
          <w:szCs w:val="21"/>
          <w:u w:val="single"/>
        </w:rPr>
        <w:t xml:space="preserve">                                                               </w:t>
      </w:r>
    </w:p>
    <w:p w14:paraId="407E8612">
      <w:pPr>
        <w:numPr>
          <w:ilvl w:val="0"/>
          <w:numId w:val="3"/>
        </w:numPr>
        <w:adjustRightInd w:val="0"/>
        <w:snapToGrid w:val="0"/>
        <w:spacing w:line="400" w:lineRule="exact"/>
        <w:ind w:firstLine="422" w:firstLineChars="200"/>
        <w:rPr>
          <w:rFonts w:ascii="宋体" w:hAnsi="宋体"/>
          <w:b/>
          <w:color w:val="auto"/>
          <w:szCs w:val="21"/>
        </w:rPr>
      </w:pPr>
      <w:r>
        <w:rPr>
          <w:rFonts w:hint="eastAsia" w:ascii="宋体" w:hAnsi="宋体"/>
          <w:b/>
          <w:color w:val="auto"/>
          <w:szCs w:val="21"/>
        </w:rPr>
        <w:t>合同验收</w:t>
      </w:r>
    </w:p>
    <w:p w14:paraId="3B2E2564">
      <w:pPr>
        <w:numPr>
          <w:ilvl w:val="0"/>
          <w:numId w:val="5"/>
        </w:numPr>
        <w:adjustRightInd w:val="0"/>
        <w:snapToGrid w:val="0"/>
        <w:spacing w:line="400" w:lineRule="exact"/>
        <w:ind w:firstLine="420" w:firstLineChars="200"/>
        <w:rPr>
          <w:rFonts w:ascii="宋体" w:hAnsi="宋体"/>
          <w:bCs/>
          <w:color w:val="auto"/>
          <w:szCs w:val="21"/>
        </w:rPr>
      </w:pPr>
      <w:r>
        <w:rPr>
          <w:rFonts w:hint="eastAsia" w:ascii="宋体" w:hAnsi="宋体"/>
          <w:bCs/>
          <w:color w:val="auto"/>
          <w:szCs w:val="21"/>
        </w:rPr>
        <w:t>验收组织方式：</w:t>
      </w:r>
      <w:r>
        <w:rPr>
          <w:rFonts w:hint="eastAsia" w:ascii="宋体" w:hAnsi="宋体" w:cs="宋体"/>
          <w:color w:val="auto"/>
          <w:szCs w:val="21"/>
        </w:rPr>
        <w:sym w:font="Wingdings" w:char="00FE"/>
      </w:r>
      <w:r>
        <w:rPr>
          <w:rFonts w:hint="eastAsia" w:ascii="宋体" w:hAnsi="宋体"/>
          <w:bCs/>
          <w:color w:val="auto"/>
          <w:szCs w:val="21"/>
        </w:rPr>
        <w:t xml:space="preserve">自行组织 </w:t>
      </w:r>
      <w:r>
        <w:rPr>
          <w:rFonts w:hint="eastAsia" w:ascii="宋体" w:hAnsi="宋体" w:cs="宋体"/>
          <w:color w:val="auto"/>
          <w:szCs w:val="21"/>
        </w:rPr>
        <w:sym w:font="Wingdings" w:char="00A8"/>
      </w:r>
      <w:r>
        <w:rPr>
          <w:rFonts w:hint="eastAsia" w:ascii="宋体" w:hAnsi="宋体"/>
          <w:bCs/>
          <w:color w:val="auto"/>
          <w:szCs w:val="21"/>
        </w:rPr>
        <w:t>委托第三方组织</w:t>
      </w:r>
    </w:p>
    <w:p w14:paraId="6EBBB7D1">
      <w:pPr>
        <w:adjustRightInd w:val="0"/>
        <w:snapToGrid w:val="0"/>
        <w:spacing w:line="400" w:lineRule="exact"/>
        <w:rPr>
          <w:rFonts w:ascii="宋体" w:hAnsi="宋体" w:cs="宋体"/>
          <w:bCs/>
          <w:color w:val="auto"/>
          <w:szCs w:val="21"/>
        </w:rPr>
      </w:pPr>
      <w:r>
        <w:rPr>
          <w:rFonts w:hint="eastAsia" w:ascii="宋体" w:hAnsi="宋体"/>
          <w:bCs/>
          <w:color w:val="auto"/>
          <w:szCs w:val="21"/>
        </w:rPr>
        <w:t xml:space="preserve">     </w:t>
      </w:r>
      <w:r>
        <w:rPr>
          <w:rFonts w:hint="eastAsia" w:ascii="宋体" w:hAnsi="宋体" w:cs="宋体"/>
          <w:bCs/>
          <w:color w:val="auto"/>
          <w:szCs w:val="21"/>
        </w:rPr>
        <w:t xml:space="preserve"> 验收主体：</w:t>
      </w:r>
      <w:r>
        <w:rPr>
          <w:rFonts w:hint="eastAsia" w:ascii="宋体" w:hAnsi="宋体" w:cs="宋体"/>
          <w:bCs/>
          <w:color w:val="auto"/>
          <w:szCs w:val="21"/>
          <w:u w:val="single"/>
        </w:rPr>
        <w:t xml:space="preserve"> 迪庆藏族自治州博物馆</w:t>
      </w:r>
      <w:r>
        <w:rPr>
          <w:rFonts w:hint="eastAsia" w:ascii="宋体" w:hAnsi="宋体" w:cs="宋体"/>
          <w:bCs/>
          <w:color w:val="auto"/>
          <w:szCs w:val="21"/>
        </w:rPr>
        <w:t xml:space="preserve">        是否邀请本项目的其他供应商参加验收：</w:t>
      </w:r>
      <w:r>
        <w:rPr>
          <w:rFonts w:hint="eastAsia" w:ascii="宋体" w:hAnsi="宋体" w:cs="宋体"/>
          <w:color w:val="auto"/>
          <w:szCs w:val="21"/>
        </w:rPr>
        <w:sym w:font="Wingdings" w:char="00A8"/>
      </w:r>
      <w:r>
        <w:rPr>
          <w:rFonts w:hint="eastAsia" w:ascii="宋体" w:hAnsi="宋体" w:cs="宋体"/>
          <w:bCs/>
          <w:color w:val="auto"/>
          <w:szCs w:val="21"/>
        </w:rPr>
        <w:t xml:space="preserve">是  </w:t>
      </w:r>
      <w:r>
        <w:rPr>
          <w:rFonts w:hint="eastAsia" w:ascii="宋体" w:hAnsi="宋体" w:cs="宋体"/>
          <w:color w:val="auto"/>
          <w:szCs w:val="21"/>
        </w:rPr>
        <w:sym w:font="Wingdings" w:char="00FE"/>
      </w:r>
      <w:r>
        <w:rPr>
          <w:rFonts w:hint="eastAsia" w:ascii="宋体" w:hAnsi="宋体" w:cs="宋体"/>
          <w:bCs/>
          <w:color w:val="auto"/>
          <w:szCs w:val="21"/>
        </w:rPr>
        <w:t>否</w:t>
      </w:r>
    </w:p>
    <w:p w14:paraId="48030473">
      <w:pPr>
        <w:adjustRightInd w:val="0"/>
        <w:snapToGrid w:val="0"/>
        <w:spacing w:line="400" w:lineRule="exact"/>
        <w:ind w:firstLine="840" w:firstLineChars="400"/>
        <w:rPr>
          <w:rFonts w:ascii="宋体" w:hAnsi="宋体" w:cs="宋体"/>
          <w:bCs/>
          <w:color w:val="auto"/>
          <w:szCs w:val="21"/>
        </w:rPr>
      </w:pPr>
      <w:r>
        <w:rPr>
          <w:rFonts w:hint="eastAsia" w:ascii="宋体" w:hAnsi="宋体" w:cs="宋体"/>
          <w:bCs/>
          <w:color w:val="auto"/>
          <w:szCs w:val="21"/>
        </w:rPr>
        <w:t>是否邀请专家参加验收：</w:t>
      </w:r>
      <w:r>
        <w:rPr>
          <w:rFonts w:hint="eastAsia" w:ascii="宋体" w:hAnsi="宋体" w:cs="宋体"/>
          <w:color w:val="auto"/>
          <w:szCs w:val="21"/>
        </w:rPr>
        <w:sym w:font="Wingdings" w:char="00FE"/>
      </w:r>
      <w:r>
        <w:rPr>
          <w:rFonts w:hint="eastAsia" w:ascii="宋体" w:hAnsi="宋体" w:cs="宋体"/>
          <w:bCs/>
          <w:color w:val="auto"/>
          <w:szCs w:val="21"/>
        </w:rPr>
        <w:t xml:space="preserve">是  </w:t>
      </w:r>
      <w:r>
        <w:rPr>
          <w:rFonts w:hint="eastAsia" w:ascii="宋体" w:hAnsi="宋体" w:cs="宋体"/>
          <w:color w:val="auto"/>
          <w:szCs w:val="21"/>
        </w:rPr>
        <w:sym w:font="Wingdings" w:char="00A8"/>
      </w:r>
      <w:r>
        <w:rPr>
          <w:rFonts w:hint="eastAsia" w:ascii="宋体" w:hAnsi="宋体" w:cs="宋体"/>
          <w:bCs/>
          <w:color w:val="auto"/>
          <w:szCs w:val="21"/>
        </w:rPr>
        <w:t>否</w:t>
      </w:r>
    </w:p>
    <w:p w14:paraId="696644F8">
      <w:pPr>
        <w:adjustRightInd w:val="0"/>
        <w:snapToGrid w:val="0"/>
        <w:spacing w:line="400" w:lineRule="exact"/>
        <w:ind w:firstLine="840" w:firstLineChars="400"/>
        <w:rPr>
          <w:rFonts w:ascii="宋体" w:hAnsi="宋体" w:cs="宋体"/>
          <w:bCs/>
          <w:color w:val="auto"/>
          <w:szCs w:val="21"/>
        </w:rPr>
      </w:pPr>
      <w:r>
        <w:rPr>
          <w:rFonts w:hint="eastAsia" w:ascii="宋体" w:hAnsi="宋体" w:cs="宋体"/>
          <w:bCs/>
          <w:color w:val="auto"/>
          <w:szCs w:val="21"/>
        </w:rPr>
        <w:t>是否邀请服务对象参加验收：</w:t>
      </w:r>
      <w:r>
        <w:rPr>
          <w:rFonts w:hint="eastAsia" w:ascii="宋体" w:hAnsi="宋体" w:cs="宋体"/>
          <w:color w:val="auto"/>
          <w:szCs w:val="21"/>
        </w:rPr>
        <w:sym w:font="Wingdings" w:char="00A8"/>
      </w:r>
      <w:r>
        <w:rPr>
          <w:rFonts w:hint="eastAsia" w:ascii="宋体" w:hAnsi="宋体" w:cs="宋体"/>
          <w:bCs/>
          <w:color w:val="auto"/>
          <w:szCs w:val="21"/>
        </w:rPr>
        <w:t xml:space="preserve">是  </w:t>
      </w:r>
      <w:r>
        <w:rPr>
          <w:rFonts w:hint="eastAsia" w:ascii="宋体" w:hAnsi="宋体" w:cs="宋体"/>
          <w:color w:val="auto"/>
          <w:szCs w:val="21"/>
        </w:rPr>
        <w:sym w:font="Wingdings" w:char="00FE"/>
      </w:r>
      <w:r>
        <w:rPr>
          <w:rFonts w:hint="eastAsia" w:ascii="宋体" w:hAnsi="宋体" w:cs="宋体"/>
          <w:bCs/>
          <w:color w:val="auto"/>
          <w:szCs w:val="21"/>
        </w:rPr>
        <w:t>否</w:t>
      </w:r>
    </w:p>
    <w:p w14:paraId="6B9CC808">
      <w:pPr>
        <w:adjustRightInd w:val="0"/>
        <w:snapToGrid w:val="0"/>
        <w:spacing w:line="400" w:lineRule="exact"/>
        <w:ind w:firstLine="840" w:firstLineChars="400"/>
        <w:rPr>
          <w:rFonts w:ascii="宋体" w:hAnsi="宋体" w:cs="宋体"/>
          <w:bCs/>
          <w:color w:val="auto"/>
          <w:szCs w:val="21"/>
        </w:rPr>
      </w:pPr>
      <w:r>
        <w:rPr>
          <w:rFonts w:hint="eastAsia" w:ascii="宋体" w:hAnsi="宋体" w:cs="宋体"/>
          <w:bCs/>
          <w:color w:val="auto"/>
          <w:szCs w:val="21"/>
        </w:rPr>
        <w:t>是否邀请第三方检测机构参加验收：</w:t>
      </w:r>
      <w:r>
        <w:rPr>
          <w:rFonts w:hint="eastAsia" w:ascii="宋体" w:hAnsi="宋体" w:cs="宋体"/>
          <w:color w:val="auto"/>
          <w:szCs w:val="21"/>
        </w:rPr>
        <w:sym w:font="Wingdings" w:char="00A8"/>
      </w:r>
      <w:r>
        <w:rPr>
          <w:rFonts w:hint="eastAsia" w:ascii="宋体" w:hAnsi="宋体" w:cs="宋体"/>
          <w:bCs/>
          <w:color w:val="auto"/>
          <w:szCs w:val="21"/>
        </w:rPr>
        <w:t xml:space="preserve">是  </w:t>
      </w:r>
      <w:r>
        <w:rPr>
          <w:rFonts w:hint="eastAsia" w:ascii="宋体" w:hAnsi="宋体" w:cs="宋体"/>
          <w:color w:val="auto"/>
          <w:szCs w:val="21"/>
        </w:rPr>
        <w:sym w:font="Wingdings" w:char="00FE"/>
      </w:r>
      <w:r>
        <w:rPr>
          <w:rFonts w:hint="eastAsia" w:ascii="宋体" w:hAnsi="宋体" w:cs="宋体"/>
          <w:bCs/>
          <w:color w:val="auto"/>
          <w:szCs w:val="21"/>
        </w:rPr>
        <w:t>否</w:t>
      </w:r>
    </w:p>
    <w:p w14:paraId="15ECB800">
      <w:pPr>
        <w:adjustRightInd w:val="0"/>
        <w:snapToGrid w:val="0"/>
        <w:spacing w:line="400" w:lineRule="exact"/>
        <w:ind w:firstLine="840" w:firstLineChars="400"/>
        <w:rPr>
          <w:rFonts w:ascii="宋体" w:hAnsi="宋体" w:cs="宋体"/>
          <w:bCs/>
          <w:color w:val="auto"/>
          <w:szCs w:val="21"/>
        </w:rPr>
      </w:pPr>
      <w:r>
        <w:rPr>
          <w:rFonts w:hint="eastAsia" w:ascii="宋体" w:hAnsi="宋体" w:cs="宋体"/>
          <w:bCs/>
          <w:color w:val="auto"/>
          <w:szCs w:val="21"/>
        </w:rPr>
        <w:t>是否进行抽查检测：</w:t>
      </w:r>
      <w:r>
        <w:rPr>
          <w:rFonts w:hint="eastAsia" w:ascii="宋体" w:hAnsi="宋体" w:cs="宋体"/>
          <w:color w:val="auto"/>
          <w:szCs w:val="21"/>
        </w:rPr>
        <w:sym w:font="Wingdings" w:char="00A8"/>
      </w:r>
      <w:r>
        <w:rPr>
          <w:rFonts w:hint="eastAsia" w:ascii="宋体" w:hAnsi="宋体" w:cs="宋体"/>
          <w:bCs/>
          <w:color w:val="auto"/>
          <w:szCs w:val="21"/>
        </w:rPr>
        <w:t>是，抽查比例：</w:t>
      </w:r>
      <w:r>
        <w:rPr>
          <w:rFonts w:hint="eastAsia" w:ascii="宋体" w:hAnsi="宋体" w:cs="宋体"/>
          <w:bCs/>
          <w:color w:val="auto"/>
          <w:szCs w:val="21"/>
          <w:u w:val="single"/>
        </w:rPr>
        <w:t xml:space="preserve">        </w:t>
      </w:r>
      <w:r>
        <w:rPr>
          <w:rFonts w:hint="eastAsia" w:ascii="宋体" w:hAnsi="宋体" w:cs="宋体"/>
          <w:bCs/>
          <w:color w:val="auto"/>
          <w:szCs w:val="21"/>
        </w:rPr>
        <w:t xml:space="preserve"> </w:t>
      </w:r>
      <w:r>
        <w:rPr>
          <w:rFonts w:hint="eastAsia" w:ascii="宋体" w:hAnsi="宋体" w:cs="宋体"/>
          <w:color w:val="auto"/>
          <w:szCs w:val="21"/>
        </w:rPr>
        <w:sym w:font="Wingdings" w:char="00FE"/>
      </w:r>
      <w:r>
        <w:rPr>
          <w:rFonts w:hint="eastAsia" w:ascii="宋体" w:hAnsi="宋体" w:cs="宋体"/>
          <w:bCs/>
          <w:color w:val="auto"/>
          <w:szCs w:val="21"/>
        </w:rPr>
        <w:t>否</w:t>
      </w:r>
    </w:p>
    <w:p w14:paraId="2E5A3503">
      <w:pPr>
        <w:adjustRightInd w:val="0"/>
        <w:snapToGrid w:val="0"/>
        <w:spacing w:line="400" w:lineRule="exact"/>
        <w:ind w:firstLine="840" w:firstLineChars="400"/>
        <w:rPr>
          <w:rFonts w:ascii="宋体" w:hAnsi="宋体" w:cs="宋体"/>
          <w:bCs/>
          <w:color w:val="auto"/>
          <w:szCs w:val="21"/>
          <w:u w:val="single"/>
        </w:rPr>
      </w:pPr>
      <w:r>
        <w:rPr>
          <w:rFonts w:hint="eastAsia" w:ascii="宋体" w:hAnsi="宋体" w:cs="宋体"/>
          <w:bCs/>
          <w:color w:val="auto"/>
          <w:szCs w:val="21"/>
        </w:rPr>
        <w:t>是否存在破坏性检测：</w:t>
      </w:r>
      <w:r>
        <w:rPr>
          <w:rFonts w:hint="eastAsia" w:ascii="宋体" w:hAnsi="宋体" w:cs="宋体"/>
          <w:color w:val="auto"/>
          <w:szCs w:val="21"/>
        </w:rPr>
        <w:sym w:font="Wingdings" w:char="00A8"/>
      </w:r>
      <w:r>
        <w:rPr>
          <w:rFonts w:hint="eastAsia" w:ascii="宋体" w:hAnsi="宋体" w:cs="宋体"/>
          <w:bCs/>
          <w:color w:val="auto"/>
          <w:szCs w:val="21"/>
        </w:rPr>
        <w:t>是，</w:t>
      </w:r>
      <w:r>
        <w:rPr>
          <w:rFonts w:hint="eastAsia" w:ascii="宋体" w:hAnsi="宋体" w:cs="宋体"/>
          <w:bCs/>
          <w:color w:val="auto"/>
          <w:szCs w:val="21"/>
          <w:u w:val="single"/>
        </w:rPr>
        <w:t>（应明确对被破坏的检测产品的处理方式）</w:t>
      </w:r>
    </w:p>
    <w:p w14:paraId="4FD3C64D">
      <w:pPr>
        <w:adjustRightInd w:val="0"/>
        <w:snapToGrid w:val="0"/>
        <w:spacing w:line="400" w:lineRule="exact"/>
        <w:ind w:firstLine="840" w:firstLineChars="400"/>
        <w:rPr>
          <w:rFonts w:ascii="宋体" w:hAnsi="宋体" w:cs="宋体"/>
          <w:bCs/>
          <w:color w:val="auto"/>
          <w:szCs w:val="21"/>
        </w:rPr>
      </w:pPr>
      <w:r>
        <w:rPr>
          <w:rFonts w:hint="eastAsia" w:ascii="宋体" w:hAnsi="宋体" w:cs="宋体"/>
          <w:bCs/>
          <w:color w:val="auto"/>
          <w:szCs w:val="21"/>
        </w:rPr>
        <w:t xml:space="preserve">                    </w:t>
      </w:r>
      <w:r>
        <w:rPr>
          <w:rFonts w:hint="eastAsia" w:ascii="宋体" w:hAnsi="宋体" w:cs="宋体"/>
          <w:color w:val="auto"/>
          <w:szCs w:val="21"/>
        </w:rPr>
        <w:sym w:font="Wingdings" w:char="00FE"/>
      </w:r>
      <w:r>
        <w:rPr>
          <w:rFonts w:hint="eastAsia" w:ascii="宋体" w:hAnsi="宋体" w:cs="宋体"/>
          <w:bCs/>
          <w:color w:val="auto"/>
          <w:szCs w:val="21"/>
        </w:rPr>
        <w:t>否</w:t>
      </w:r>
    </w:p>
    <w:p w14:paraId="379E4141">
      <w:pPr>
        <w:adjustRightInd w:val="0"/>
        <w:snapToGrid w:val="0"/>
        <w:spacing w:line="400" w:lineRule="exact"/>
        <w:ind w:firstLine="840" w:firstLineChars="400"/>
        <w:rPr>
          <w:rFonts w:ascii="宋体" w:hAnsi="宋体" w:cs="宋体"/>
          <w:bCs/>
          <w:color w:val="auto"/>
          <w:szCs w:val="21"/>
          <w:u w:val="single"/>
        </w:rPr>
      </w:pPr>
      <w:r>
        <w:rPr>
          <w:rFonts w:hint="eastAsia" w:ascii="宋体" w:hAnsi="宋体" w:cs="宋体"/>
          <w:bCs/>
          <w:color w:val="auto"/>
          <w:szCs w:val="21"/>
        </w:rPr>
        <w:t>验收组织的其他事项：/</w:t>
      </w:r>
    </w:p>
    <w:p w14:paraId="559F80A8">
      <w:pPr>
        <w:adjustRightInd w:val="0"/>
        <w:snapToGrid w:val="0"/>
        <w:spacing w:line="400" w:lineRule="exact"/>
        <w:ind w:firstLine="420" w:firstLineChars="200"/>
        <w:rPr>
          <w:rFonts w:ascii="宋体" w:hAnsi="宋体" w:cs="宋体"/>
          <w:bCs/>
          <w:color w:val="auto"/>
          <w:szCs w:val="21"/>
          <w:u w:val="single"/>
        </w:rPr>
      </w:pPr>
      <w:r>
        <w:rPr>
          <w:rFonts w:hint="eastAsia" w:ascii="宋体" w:hAnsi="宋体" w:cs="宋体"/>
          <w:bCs/>
          <w:color w:val="auto"/>
          <w:szCs w:val="21"/>
        </w:rPr>
        <w:t>（2）履约验收时间：</w:t>
      </w:r>
      <w:r>
        <w:rPr>
          <w:rFonts w:hint="eastAsia" w:ascii="宋体" w:hAnsi="宋体" w:cs="宋体"/>
          <w:bCs/>
          <w:color w:val="auto"/>
          <w:szCs w:val="21"/>
          <w:u w:val="single"/>
        </w:rPr>
        <w:t xml:space="preserve">（计划于何时验收/供应商提出验收申请之日起10日内组织验收） </w:t>
      </w:r>
    </w:p>
    <w:p w14:paraId="69ABAF9E">
      <w:pPr>
        <w:adjustRightInd w:val="0"/>
        <w:snapToGrid w:val="0"/>
        <w:spacing w:line="400" w:lineRule="exact"/>
        <w:ind w:firstLine="420" w:firstLineChars="200"/>
        <w:rPr>
          <w:rFonts w:ascii="宋体" w:hAnsi="宋体" w:cs="宋体"/>
          <w:bCs/>
          <w:color w:val="auto"/>
          <w:szCs w:val="21"/>
        </w:rPr>
      </w:pPr>
      <w:r>
        <w:rPr>
          <w:rFonts w:hint="eastAsia" w:ascii="宋体" w:hAnsi="宋体" w:cs="宋体"/>
          <w:bCs/>
          <w:color w:val="auto"/>
          <w:szCs w:val="21"/>
        </w:rPr>
        <w:t>（3）履约验收方式：</w:t>
      </w:r>
      <w:r>
        <w:rPr>
          <w:rFonts w:hint="eastAsia" w:ascii="宋体" w:hAnsi="宋体" w:cs="宋体"/>
          <w:color w:val="auto"/>
          <w:szCs w:val="21"/>
        </w:rPr>
        <w:sym w:font="Wingdings" w:char="00FE"/>
      </w:r>
      <w:r>
        <w:rPr>
          <w:rFonts w:hint="eastAsia" w:ascii="宋体" w:hAnsi="宋体" w:cs="宋体"/>
          <w:bCs/>
          <w:color w:val="auto"/>
          <w:szCs w:val="21"/>
        </w:rPr>
        <w:t xml:space="preserve">一次性验收         </w:t>
      </w:r>
    </w:p>
    <w:p w14:paraId="2E98ADA4">
      <w:pPr>
        <w:adjustRightInd w:val="0"/>
        <w:snapToGrid w:val="0"/>
        <w:spacing w:line="400" w:lineRule="exact"/>
        <w:rPr>
          <w:rFonts w:ascii="宋体" w:hAnsi="宋体" w:cs="宋体"/>
          <w:bCs/>
          <w:color w:val="auto"/>
          <w:szCs w:val="21"/>
        </w:rPr>
      </w:pPr>
      <w:r>
        <w:rPr>
          <w:rFonts w:hint="eastAsia" w:ascii="宋体" w:hAnsi="宋体" w:cs="宋体"/>
          <w:bCs/>
          <w:color w:val="auto"/>
          <w:szCs w:val="21"/>
        </w:rPr>
        <w:t xml:space="preserve">                       </w:t>
      </w:r>
      <w:r>
        <w:rPr>
          <w:rFonts w:hint="eastAsia" w:ascii="宋体" w:hAnsi="宋体" w:cs="宋体"/>
          <w:color w:val="auto"/>
          <w:szCs w:val="21"/>
        </w:rPr>
        <w:sym w:font="Wingdings" w:char="00A8"/>
      </w:r>
      <w:r>
        <w:rPr>
          <w:rFonts w:hint="eastAsia" w:ascii="宋体" w:hAnsi="宋体" w:cs="宋体"/>
          <w:bCs/>
          <w:color w:val="auto"/>
          <w:szCs w:val="21"/>
        </w:rPr>
        <w:t>分期/分项验收：</w:t>
      </w:r>
      <w:r>
        <w:rPr>
          <w:rFonts w:hint="eastAsia" w:ascii="宋体" w:hAnsi="宋体" w:cs="宋体"/>
          <w:bCs/>
          <w:color w:val="auto"/>
          <w:szCs w:val="21"/>
          <w:u w:val="single"/>
        </w:rPr>
        <w:t xml:space="preserve"> （应明确分期/分项验收的工作安排）  </w:t>
      </w:r>
    </w:p>
    <w:p w14:paraId="03691A13">
      <w:pPr>
        <w:adjustRightInd w:val="0"/>
        <w:snapToGrid w:val="0"/>
        <w:spacing w:line="400" w:lineRule="exact"/>
        <w:ind w:firstLine="420" w:firstLineChars="200"/>
        <w:rPr>
          <w:rFonts w:ascii="宋体" w:hAnsi="宋体" w:cs="宋体"/>
          <w:bCs/>
          <w:color w:val="auto"/>
          <w:szCs w:val="21"/>
          <w:u w:val="single"/>
        </w:rPr>
      </w:pPr>
      <w:r>
        <w:rPr>
          <w:rFonts w:hint="eastAsia" w:ascii="宋体" w:hAnsi="宋体" w:cs="宋体"/>
          <w:bCs/>
          <w:color w:val="auto"/>
          <w:szCs w:val="21"/>
        </w:rPr>
        <w:t>（4）履约验收程序：</w:t>
      </w:r>
      <w:r>
        <w:rPr>
          <w:rFonts w:hint="eastAsia" w:ascii="宋体" w:hAnsi="宋体" w:cs="宋体"/>
          <w:bCs/>
          <w:color w:val="auto"/>
          <w:szCs w:val="21"/>
          <w:u w:val="single"/>
        </w:rPr>
        <w:t>①货物交付前，乙方应对货物的质量、数量等方面进行详细、全面的检验，并向甲方出具证明货物符合合同约定的文件；货物交付时，乙方在10日内组织验收，并依法邀请相关方参加，验收应出具验收书。</w:t>
      </w:r>
    </w:p>
    <w:p w14:paraId="5FA9C0CB">
      <w:pPr>
        <w:adjustRightInd w:val="0"/>
        <w:snapToGrid w:val="0"/>
        <w:spacing w:line="400" w:lineRule="exact"/>
        <w:ind w:firstLine="420" w:firstLineChars="200"/>
        <w:rPr>
          <w:rFonts w:ascii="宋体" w:hAnsi="宋体" w:cs="宋体"/>
          <w:bCs/>
          <w:color w:val="auto"/>
          <w:szCs w:val="21"/>
        </w:rPr>
      </w:pPr>
      <w:r>
        <w:rPr>
          <w:rFonts w:hint="eastAsia" w:ascii="宋体" w:hAnsi="宋体" w:cs="宋体"/>
          <w:bCs/>
          <w:color w:val="auto"/>
          <w:szCs w:val="21"/>
          <w:u w:val="single"/>
        </w:rPr>
        <w:t xml:space="preserve">②合同期满或者履行完毕后，甲方有权组织（包括依法邀请国家认可的质量检测机构参加）对乙方履约的验收，即：按照合同约定的技术、服务、安全标准，组织对每一项技术、服务、安全标准的履约情况的验收，并出具验收书。 </w:t>
      </w:r>
    </w:p>
    <w:p w14:paraId="317AB099">
      <w:pPr>
        <w:adjustRightInd w:val="0"/>
        <w:snapToGrid w:val="0"/>
        <w:spacing w:line="400" w:lineRule="exact"/>
        <w:ind w:firstLine="420" w:firstLineChars="200"/>
        <w:rPr>
          <w:rFonts w:ascii="宋体" w:hAnsi="宋体" w:cs="宋体"/>
          <w:bCs/>
          <w:color w:val="auto"/>
          <w:szCs w:val="21"/>
          <w:u w:val="single"/>
        </w:rPr>
      </w:pPr>
      <w:r>
        <w:rPr>
          <w:rFonts w:hint="eastAsia" w:ascii="宋体" w:hAnsi="宋体" w:cs="宋体"/>
          <w:bCs/>
          <w:color w:val="auto"/>
          <w:szCs w:val="21"/>
        </w:rPr>
        <w:t>（5）履约验收的内容：</w:t>
      </w:r>
      <w:r>
        <w:rPr>
          <w:rFonts w:hint="eastAsia" w:ascii="宋体" w:hAnsi="宋体" w:cs="宋体"/>
          <w:bCs/>
          <w:color w:val="auto"/>
          <w:szCs w:val="21"/>
          <w:u w:val="single"/>
        </w:rPr>
        <w:t xml:space="preserve"> 所有货物的技术和商务要求的履约情况 </w:t>
      </w:r>
    </w:p>
    <w:p w14:paraId="06737A9B">
      <w:pPr>
        <w:adjustRightInd w:val="0"/>
        <w:snapToGrid w:val="0"/>
        <w:spacing w:line="400" w:lineRule="exact"/>
        <w:ind w:firstLine="420" w:firstLineChars="200"/>
        <w:rPr>
          <w:rFonts w:ascii="宋体" w:hAnsi="宋体" w:cs="宋体"/>
          <w:bCs/>
          <w:color w:val="auto"/>
          <w:szCs w:val="21"/>
          <w:u w:val="single"/>
        </w:rPr>
      </w:pPr>
      <w:r>
        <w:rPr>
          <w:rFonts w:hint="eastAsia" w:ascii="宋体" w:hAnsi="宋体" w:cs="宋体"/>
          <w:bCs/>
          <w:color w:val="auto"/>
          <w:szCs w:val="21"/>
        </w:rPr>
        <w:t>（6）履约验收标准：</w:t>
      </w:r>
      <w:r>
        <w:rPr>
          <w:rFonts w:hint="eastAsia" w:ascii="宋体" w:hAnsi="宋体" w:cs="宋体"/>
          <w:bCs/>
          <w:color w:val="auto"/>
          <w:szCs w:val="21"/>
          <w:u w:val="single"/>
        </w:rPr>
        <w:t xml:space="preserve"> ①按国家有关规定以及采购文件的质量要求和技术指标、中标人的投标文件件及承诺与本合同约定标准进行验收，产品质量合格，数量准确。采购人与中标人双方如对质量要求和技术指标的约定标准有相互抵触或异议的事项,由采购人在采购文件和投标文件中按质量要求和技术指标比较优胜的原则确定该项的约定标准进行验收,必要时邀请相关的专业人员或机构参与验收。因货物质量问题发生争议时，由本地质量技术监督部门鉴定，货物符合质量技术标准的，鉴定费由采购人承担，否则鉴定费由中标人承担。</w:t>
      </w:r>
    </w:p>
    <w:p w14:paraId="1D6222E2">
      <w:pPr>
        <w:adjustRightInd w:val="0"/>
        <w:snapToGrid w:val="0"/>
        <w:spacing w:line="400" w:lineRule="exact"/>
        <w:ind w:firstLine="420" w:firstLineChars="200"/>
        <w:rPr>
          <w:rFonts w:ascii="宋体" w:hAnsi="宋体" w:cs="宋体"/>
          <w:bCs/>
          <w:color w:val="auto"/>
          <w:szCs w:val="21"/>
          <w:u w:val="single"/>
        </w:rPr>
      </w:pPr>
      <w:r>
        <w:rPr>
          <w:rFonts w:hint="eastAsia" w:ascii="宋体" w:hAnsi="宋体" w:cs="宋体"/>
          <w:bCs/>
          <w:color w:val="auto"/>
          <w:szCs w:val="21"/>
          <w:u w:val="single"/>
        </w:rPr>
        <w:t>②所交付的货物有次品、损坏或其他不符合标准及本合同规定之情形者，采购人应做出详尽的现场记录，或由采购人与中标人双方签署备忘录，此现场记录或备忘录可用作补充、缺失和更换产品的有效证据，由此产生的时间延误与有关费用由中标人承担。</w:t>
      </w:r>
    </w:p>
    <w:p w14:paraId="2B303B14">
      <w:pPr>
        <w:adjustRightInd w:val="0"/>
        <w:snapToGrid w:val="0"/>
        <w:spacing w:line="400" w:lineRule="exact"/>
        <w:ind w:firstLine="420" w:firstLineChars="200"/>
        <w:rPr>
          <w:rFonts w:ascii="宋体" w:hAnsi="宋体" w:cs="宋体"/>
          <w:bCs/>
          <w:color w:val="auto"/>
          <w:szCs w:val="21"/>
        </w:rPr>
      </w:pPr>
      <w:r>
        <w:rPr>
          <w:rFonts w:hint="eastAsia" w:ascii="宋体" w:hAnsi="宋体" w:cs="宋体"/>
          <w:bCs/>
          <w:color w:val="auto"/>
          <w:szCs w:val="21"/>
          <w:u w:val="single"/>
        </w:rPr>
        <w:t xml:space="preserve">③中标人负责在项目验收时将产品的全部有关产品说明书、技术文件、台账资料、验收报告等文档汇集成册交付采购人，缺一不予验收。 </w:t>
      </w:r>
    </w:p>
    <w:p w14:paraId="4EDF68BB">
      <w:pPr>
        <w:pStyle w:val="34"/>
        <w:ind w:firstLine="420"/>
        <w:rPr>
          <w:rFonts w:ascii="宋体" w:hAnsi="宋体" w:eastAsia="宋体" w:cs="宋体"/>
          <w:color w:val="auto"/>
          <w:sz w:val="21"/>
        </w:rPr>
      </w:pPr>
      <w:r>
        <w:rPr>
          <w:rFonts w:hint="eastAsia" w:ascii="宋体" w:hAnsi="宋体" w:eastAsia="宋体" w:cs="宋体"/>
          <w:bCs/>
          <w:color w:val="auto"/>
          <w:sz w:val="21"/>
        </w:rPr>
        <w:t>（7）是否以采购活动中供应商提供的样品作为参考：</w:t>
      </w:r>
      <w:r>
        <w:rPr>
          <w:rFonts w:hint="eastAsia" w:ascii="宋体" w:hAnsi="宋体" w:eastAsia="宋体" w:cs="宋体"/>
          <w:color w:val="auto"/>
          <w:sz w:val="21"/>
        </w:rPr>
        <w:sym w:font="Wingdings" w:char="00A8"/>
      </w:r>
      <w:r>
        <w:rPr>
          <w:rFonts w:hint="eastAsia" w:ascii="宋体" w:hAnsi="宋体" w:eastAsia="宋体" w:cs="宋体"/>
          <w:bCs/>
          <w:color w:val="auto"/>
          <w:sz w:val="21"/>
        </w:rPr>
        <w:t xml:space="preserve">是  </w:t>
      </w:r>
      <w:r>
        <w:rPr>
          <w:rFonts w:hint="eastAsia" w:ascii="宋体" w:hAnsi="宋体" w:eastAsia="宋体" w:cs="宋体"/>
          <w:color w:val="auto"/>
          <w:sz w:val="21"/>
        </w:rPr>
        <w:sym w:font="Wingdings" w:char="00FE"/>
      </w:r>
      <w:r>
        <w:rPr>
          <w:rFonts w:hint="eastAsia" w:ascii="宋体" w:hAnsi="宋体" w:eastAsia="宋体" w:cs="宋体"/>
          <w:bCs/>
          <w:color w:val="auto"/>
          <w:sz w:val="21"/>
        </w:rPr>
        <w:t>否</w:t>
      </w:r>
    </w:p>
    <w:p w14:paraId="0B92827C">
      <w:pPr>
        <w:adjustRightInd w:val="0"/>
        <w:snapToGrid w:val="0"/>
        <w:spacing w:line="400" w:lineRule="exact"/>
        <w:ind w:firstLine="420" w:firstLineChars="200"/>
        <w:rPr>
          <w:rFonts w:ascii="宋体" w:hAnsi="宋体" w:cs="宋体"/>
          <w:bCs/>
          <w:color w:val="auto"/>
          <w:szCs w:val="21"/>
          <w:u w:val="single"/>
        </w:rPr>
      </w:pPr>
      <w:r>
        <w:rPr>
          <w:rFonts w:hint="eastAsia" w:ascii="宋体" w:hAnsi="宋体" w:cs="宋体"/>
          <w:bCs/>
          <w:color w:val="auto"/>
          <w:szCs w:val="21"/>
        </w:rPr>
        <w:t>（8）履约验收其他事项：</w:t>
      </w:r>
      <w:r>
        <w:rPr>
          <w:rFonts w:hint="eastAsia" w:ascii="宋体" w:hAnsi="宋体" w:cs="宋体"/>
          <w:bCs/>
          <w:color w:val="auto"/>
          <w:szCs w:val="21"/>
          <w:u w:val="single"/>
        </w:rPr>
        <w:t xml:space="preserve">     /          </w:t>
      </w:r>
    </w:p>
    <w:p w14:paraId="13A45AC2">
      <w:pPr>
        <w:numPr>
          <w:ilvl w:val="0"/>
          <w:numId w:val="3"/>
        </w:numPr>
        <w:adjustRightInd w:val="0"/>
        <w:snapToGrid w:val="0"/>
        <w:spacing w:line="400" w:lineRule="exact"/>
        <w:ind w:firstLine="422" w:firstLineChars="200"/>
        <w:rPr>
          <w:rFonts w:ascii="宋体" w:hAnsi="宋体"/>
          <w:b/>
          <w:color w:val="auto"/>
          <w:szCs w:val="21"/>
        </w:rPr>
      </w:pPr>
      <w:r>
        <w:rPr>
          <w:rFonts w:hint="eastAsia" w:ascii="宋体" w:hAnsi="宋体"/>
          <w:b/>
          <w:color w:val="auto"/>
          <w:szCs w:val="21"/>
        </w:rPr>
        <w:t>组成合同的文件</w:t>
      </w:r>
    </w:p>
    <w:p w14:paraId="52BAD0E2">
      <w:pPr>
        <w:adjustRightInd w:val="0"/>
        <w:snapToGrid w:val="0"/>
        <w:spacing w:line="400" w:lineRule="exact"/>
        <w:ind w:firstLine="420" w:firstLineChars="200"/>
        <w:rPr>
          <w:rFonts w:ascii="宋体" w:hAnsi="宋体"/>
          <w:color w:val="auto"/>
          <w:szCs w:val="21"/>
        </w:rPr>
      </w:pPr>
      <w:r>
        <w:rPr>
          <w:rFonts w:hint="eastAsia" w:ascii="宋体" w:hAnsi="宋体"/>
          <w:color w:val="auto"/>
          <w:szCs w:val="21"/>
        </w:rPr>
        <w:t>本协议书与下列文件一起构成合同文件，如下述文件之间有任何抵触、矛盾或歧义，应按以下顺序解释：</w:t>
      </w:r>
    </w:p>
    <w:p w14:paraId="629EC730">
      <w:pPr>
        <w:adjustRightInd w:val="0"/>
        <w:snapToGrid w:val="0"/>
        <w:spacing w:line="400" w:lineRule="exact"/>
        <w:ind w:firstLine="420" w:firstLineChars="200"/>
        <w:rPr>
          <w:rFonts w:ascii="宋体" w:hAnsi="宋体"/>
          <w:color w:val="auto"/>
          <w:szCs w:val="21"/>
        </w:rPr>
      </w:pPr>
      <w:r>
        <w:rPr>
          <w:rFonts w:hint="eastAsia" w:ascii="宋体" w:hAnsi="宋体"/>
          <w:color w:val="auto"/>
          <w:szCs w:val="21"/>
        </w:rPr>
        <w:t>（1）政府采购合同协议书及其变更、补充协议</w:t>
      </w:r>
    </w:p>
    <w:p w14:paraId="25AF4DCA">
      <w:pPr>
        <w:adjustRightInd w:val="0"/>
        <w:snapToGrid w:val="0"/>
        <w:spacing w:line="400" w:lineRule="exact"/>
        <w:ind w:firstLine="420" w:firstLineChars="200"/>
        <w:rPr>
          <w:rFonts w:ascii="宋体" w:hAnsi="宋体"/>
          <w:color w:val="auto"/>
          <w:szCs w:val="21"/>
        </w:rPr>
      </w:pPr>
      <w:r>
        <w:rPr>
          <w:rFonts w:hint="eastAsia" w:ascii="宋体" w:hAnsi="宋体"/>
          <w:color w:val="auto"/>
          <w:szCs w:val="21"/>
        </w:rPr>
        <w:t>（2）政府采购合同专用条款</w:t>
      </w:r>
    </w:p>
    <w:p w14:paraId="4BF4B4B1">
      <w:pPr>
        <w:adjustRightInd w:val="0"/>
        <w:snapToGrid w:val="0"/>
        <w:spacing w:line="400" w:lineRule="exact"/>
        <w:ind w:firstLine="420" w:firstLineChars="200"/>
        <w:rPr>
          <w:rFonts w:ascii="宋体" w:hAnsi="宋体"/>
          <w:color w:val="auto"/>
          <w:szCs w:val="21"/>
        </w:rPr>
      </w:pPr>
      <w:r>
        <w:rPr>
          <w:rFonts w:hint="eastAsia" w:ascii="宋体" w:hAnsi="宋体"/>
          <w:color w:val="auto"/>
          <w:szCs w:val="21"/>
        </w:rPr>
        <w:t>（3）政府采购合同通用条款</w:t>
      </w:r>
    </w:p>
    <w:p w14:paraId="49513350">
      <w:pPr>
        <w:adjustRightInd w:val="0"/>
        <w:snapToGrid w:val="0"/>
        <w:spacing w:line="400" w:lineRule="exact"/>
        <w:ind w:firstLine="420" w:firstLineChars="200"/>
        <w:rPr>
          <w:rFonts w:ascii="宋体" w:hAnsi="宋体"/>
          <w:color w:val="auto"/>
          <w:szCs w:val="21"/>
        </w:rPr>
      </w:pPr>
      <w:r>
        <w:rPr>
          <w:rFonts w:hint="eastAsia" w:ascii="宋体" w:hAnsi="宋体"/>
          <w:color w:val="auto"/>
          <w:szCs w:val="21"/>
        </w:rPr>
        <w:t>（4）中标（成交）通知书</w:t>
      </w:r>
    </w:p>
    <w:p w14:paraId="2606C2A8">
      <w:pPr>
        <w:adjustRightInd w:val="0"/>
        <w:snapToGrid w:val="0"/>
        <w:spacing w:line="400" w:lineRule="exact"/>
        <w:ind w:firstLine="420" w:firstLineChars="200"/>
        <w:rPr>
          <w:rFonts w:ascii="宋体" w:hAnsi="宋体"/>
          <w:color w:val="auto"/>
          <w:szCs w:val="21"/>
        </w:rPr>
      </w:pPr>
      <w:r>
        <w:rPr>
          <w:rFonts w:hint="eastAsia" w:ascii="宋体" w:hAnsi="宋体"/>
          <w:color w:val="auto"/>
          <w:szCs w:val="21"/>
        </w:rPr>
        <w:t>（5）投标（响应）文件</w:t>
      </w:r>
    </w:p>
    <w:p w14:paraId="49AB81CE">
      <w:pPr>
        <w:adjustRightInd w:val="0"/>
        <w:snapToGrid w:val="0"/>
        <w:spacing w:line="400" w:lineRule="exact"/>
        <w:ind w:firstLine="420" w:firstLineChars="200"/>
        <w:rPr>
          <w:rFonts w:ascii="宋体" w:hAnsi="宋体"/>
          <w:color w:val="auto"/>
          <w:szCs w:val="21"/>
        </w:rPr>
      </w:pPr>
      <w:r>
        <w:rPr>
          <w:rFonts w:hint="eastAsia" w:ascii="宋体" w:hAnsi="宋体"/>
          <w:color w:val="auto"/>
          <w:szCs w:val="21"/>
        </w:rPr>
        <w:t>（6）采购文件</w:t>
      </w:r>
    </w:p>
    <w:p w14:paraId="169F4333">
      <w:pPr>
        <w:adjustRightInd w:val="0"/>
        <w:snapToGrid w:val="0"/>
        <w:spacing w:line="400" w:lineRule="exact"/>
        <w:ind w:firstLine="420" w:firstLineChars="200"/>
        <w:rPr>
          <w:rFonts w:ascii="宋体" w:hAnsi="宋体"/>
          <w:color w:val="auto"/>
          <w:szCs w:val="21"/>
        </w:rPr>
      </w:pPr>
      <w:r>
        <w:rPr>
          <w:rFonts w:hint="eastAsia" w:ascii="宋体" w:hAnsi="宋体"/>
          <w:color w:val="auto"/>
          <w:szCs w:val="21"/>
        </w:rPr>
        <w:t>（7）有关技术文件，图纸</w:t>
      </w:r>
    </w:p>
    <w:p w14:paraId="40976CE9">
      <w:pPr>
        <w:pStyle w:val="34"/>
        <w:ind w:firstLine="420"/>
        <w:rPr>
          <w:rFonts w:ascii="宋体" w:hAnsi="宋体" w:eastAsia="宋体" w:cs="宋体"/>
          <w:color w:val="auto"/>
          <w:kern w:val="2"/>
          <w:sz w:val="21"/>
        </w:rPr>
      </w:pPr>
      <w:r>
        <w:rPr>
          <w:rFonts w:hint="eastAsia" w:ascii="宋体" w:hAnsi="宋体" w:eastAsia="宋体" w:cs="宋体"/>
          <w:color w:val="auto"/>
          <w:sz w:val="21"/>
        </w:rPr>
        <w:t>（8）</w:t>
      </w:r>
      <w:r>
        <w:rPr>
          <w:rFonts w:hint="eastAsia" w:ascii="宋体" w:hAnsi="宋体" w:eastAsia="宋体" w:cs="宋体"/>
          <w:color w:val="auto"/>
          <w:kern w:val="2"/>
          <w:sz w:val="21"/>
        </w:rPr>
        <w:t>国家法律、行政法规和规章制度规定或合同约定的作为合同组成部分的其他文件</w:t>
      </w:r>
    </w:p>
    <w:p w14:paraId="130CEA01">
      <w:pPr>
        <w:numPr>
          <w:ilvl w:val="0"/>
          <w:numId w:val="3"/>
        </w:numPr>
        <w:adjustRightInd w:val="0"/>
        <w:snapToGrid w:val="0"/>
        <w:spacing w:line="400" w:lineRule="exact"/>
        <w:ind w:firstLine="422" w:firstLineChars="200"/>
        <w:rPr>
          <w:rFonts w:ascii="宋体" w:hAnsi="宋体"/>
          <w:b/>
          <w:color w:val="auto"/>
          <w:szCs w:val="21"/>
        </w:rPr>
      </w:pPr>
      <w:r>
        <w:rPr>
          <w:rFonts w:hint="eastAsia" w:ascii="宋体" w:hAnsi="宋体"/>
          <w:b/>
          <w:color w:val="auto"/>
          <w:szCs w:val="21"/>
        </w:rPr>
        <w:t>合同生效</w:t>
      </w:r>
    </w:p>
    <w:p w14:paraId="687621DC">
      <w:pPr>
        <w:adjustRightInd w:val="0"/>
        <w:snapToGrid w:val="0"/>
        <w:spacing w:line="400" w:lineRule="exact"/>
        <w:ind w:firstLine="420" w:firstLineChars="200"/>
        <w:rPr>
          <w:rFonts w:ascii="宋体" w:hAnsi="宋体"/>
          <w:color w:val="auto"/>
          <w:szCs w:val="21"/>
        </w:rPr>
      </w:pPr>
      <w:r>
        <w:rPr>
          <w:rFonts w:hint="eastAsia" w:ascii="宋体" w:hAnsi="宋体"/>
          <w:color w:val="auto"/>
          <w:szCs w:val="21"/>
        </w:rPr>
        <w:t>本合同自</w:t>
      </w:r>
      <w:r>
        <w:rPr>
          <w:rFonts w:hint="eastAsia" w:ascii="宋体" w:hAnsi="宋体"/>
          <w:color w:val="auto"/>
          <w:szCs w:val="21"/>
          <w:u w:val="single"/>
        </w:rPr>
        <w:t xml:space="preserve">                             </w:t>
      </w:r>
      <w:r>
        <w:rPr>
          <w:rFonts w:hint="eastAsia" w:ascii="宋体" w:hAnsi="宋体"/>
          <w:color w:val="auto"/>
          <w:szCs w:val="21"/>
        </w:rPr>
        <w:t>生效。</w:t>
      </w:r>
    </w:p>
    <w:p w14:paraId="05E8BEA9">
      <w:pPr>
        <w:numPr>
          <w:ilvl w:val="0"/>
          <w:numId w:val="3"/>
        </w:numPr>
        <w:adjustRightInd w:val="0"/>
        <w:snapToGrid w:val="0"/>
        <w:spacing w:line="400" w:lineRule="exact"/>
        <w:ind w:firstLine="422" w:firstLineChars="200"/>
        <w:rPr>
          <w:rFonts w:ascii="宋体" w:hAnsi="宋体"/>
          <w:b/>
          <w:color w:val="auto"/>
          <w:szCs w:val="21"/>
        </w:rPr>
      </w:pPr>
      <w:r>
        <w:rPr>
          <w:rFonts w:hint="eastAsia" w:ascii="宋体" w:hAnsi="宋体"/>
          <w:b/>
          <w:color w:val="auto"/>
          <w:szCs w:val="21"/>
        </w:rPr>
        <w:t>合同份数</w:t>
      </w:r>
    </w:p>
    <w:p w14:paraId="408D6DDF">
      <w:pPr>
        <w:adjustRightInd w:val="0"/>
        <w:snapToGrid w:val="0"/>
        <w:spacing w:line="400" w:lineRule="exact"/>
        <w:ind w:firstLine="420" w:firstLineChars="200"/>
        <w:rPr>
          <w:rFonts w:ascii="宋体" w:hAnsi="宋体"/>
          <w:color w:val="auto"/>
          <w:szCs w:val="21"/>
        </w:rPr>
      </w:pPr>
      <w:r>
        <w:rPr>
          <w:rFonts w:hint="eastAsia" w:ascii="宋体" w:hAnsi="宋体"/>
          <w:color w:val="auto"/>
          <w:szCs w:val="21"/>
        </w:rPr>
        <w:t>本合同一式</w:t>
      </w:r>
      <w:r>
        <w:rPr>
          <w:rFonts w:hint="eastAsia" w:ascii="宋体" w:hAnsi="宋体"/>
          <w:color w:val="auto"/>
          <w:szCs w:val="21"/>
          <w:u w:val="single"/>
        </w:rPr>
        <w:t xml:space="preserve">    </w:t>
      </w:r>
      <w:r>
        <w:rPr>
          <w:rFonts w:hint="eastAsia" w:ascii="宋体" w:hAnsi="宋体"/>
          <w:color w:val="auto"/>
          <w:szCs w:val="21"/>
        </w:rPr>
        <w:t>份，甲方执</w:t>
      </w:r>
      <w:r>
        <w:rPr>
          <w:rFonts w:hint="eastAsia" w:ascii="宋体" w:hAnsi="宋体"/>
          <w:color w:val="auto"/>
          <w:szCs w:val="21"/>
          <w:u w:val="single"/>
        </w:rPr>
        <w:t xml:space="preserve">    </w:t>
      </w:r>
      <w:r>
        <w:rPr>
          <w:rFonts w:hint="eastAsia" w:ascii="宋体" w:hAnsi="宋体"/>
          <w:color w:val="auto"/>
          <w:szCs w:val="21"/>
        </w:rPr>
        <w:t>份，乙方执</w:t>
      </w:r>
      <w:r>
        <w:rPr>
          <w:rFonts w:hint="eastAsia" w:ascii="宋体" w:hAnsi="宋体"/>
          <w:color w:val="auto"/>
          <w:szCs w:val="21"/>
          <w:u w:val="single"/>
        </w:rPr>
        <w:t xml:space="preserve">    </w:t>
      </w:r>
      <w:r>
        <w:rPr>
          <w:rFonts w:hint="eastAsia" w:ascii="宋体" w:hAnsi="宋体"/>
          <w:color w:val="auto"/>
          <w:szCs w:val="21"/>
        </w:rPr>
        <w:t>份，均具有同等法律效力。</w:t>
      </w:r>
    </w:p>
    <w:p w14:paraId="150BF79D">
      <w:pPr>
        <w:adjustRightInd w:val="0"/>
        <w:snapToGrid w:val="0"/>
        <w:spacing w:line="400" w:lineRule="exact"/>
        <w:ind w:firstLine="420" w:firstLineChars="200"/>
        <w:rPr>
          <w:rFonts w:ascii="宋体" w:hAnsi="宋体"/>
          <w:color w:val="auto"/>
          <w:szCs w:val="21"/>
        </w:rPr>
      </w:pPr>
      <w:r>
        <w:rPr>
          <w:rFonts w:hint="eastAsia" w:ascii="宋体" w:hAnsi="宋体"/>
          <w:color w:val="auto"/>
          <w:szCs w:val="21"/>
        </w:rPr>
        <w:t>合同订立时间：</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6387CA02">
      <w:pPr>
        <w:adjustRightInd w:val="0"/>
        <w:snapToGrid w:val="0"/>
        <w:spacing w:line="400" w:lineRule="exact"/>
        <w:ind w:firstLine="420" w:firstLineChars="200"/>
        <w:rPr>
          <w:rFonts w:ascii="宋体" w:hAnsi="宋体"/>
          <w:color w:val="auto"/>
          <w:szCs w:val="21"/>
        </w:rPr>
      </w:pPr>
      <w:r>
        <w:rPr>
          <w:rFonts w:hint="eastAsia" w:ascii="宋体" w:hAnsi="宋体"/>
          <w:color w:val="auto"/>
          <w:szCs w:val="21"/>
        </w:rPr>
        <w:t>合同订立地点：</w:t>
      </w:r>
      <w:r>
        <w:rPr>
          <w:rFonts w:hint="eastAsia" w:ascii="宋体" w:hAnsi="宋体"/>
          <w:color w:val="auto"/>
          <w:szCs w:val="21"/>
          <w:u w:val="single"/>
        </w:rPr>
        <w:t xml:space="preserve">                           </w:t>
      </w:r>
    </w:p>
    <w:p w14:paraId="60C2E01A">
      <w:pPr>
        <w:adjustRightInd w:val="0"/>
        <w:snapToGrid w:val="0"/>
        <w:spacing w:line="400" w:lineRule="exact"/>
        <w:ind w:firstLine="420" w:firstLineChars="200"/>
        <w:rPr>
          <w:color w:val="auto"/>
        </w:rPr>
      </w:pPr>
      <w:r>
        <w:rPr>
          <w:rFonts w:hint="eastAsia" w:ascii="宋体" w:hAnsi="宋体"/>
          <w:color w:val="auto"/>
          <w:szCs w:val="21"/>
        </w:rPr>
        <w:t>附件：具体标的及其技术要求和商务要求、联合协议、分包意向协议等。</w:t>
      </w:r>
    </w:p>
    <w:p w14:paraId="215A5120">
      <w:pPr>
        <w:pStyle w:val="72"/>
        <w:spacing w:line="400" w:lineRule="exact"/>
        <w:rPr>
          <w:color w:val="auto"/>
        </w:rPr>
      </w:pPr>
    </w:p>
    <w:p w14:paraId="3B6266EC">
      <w:pPr>
        <w:pStyle w:val="5"/>
        <w:spacing w:line="400" w:lineRule="exact"/>
        <w:rPr>
          <w:color w:val="auto"/>
        </w:rPr>
      </w:pPr>
      <w:r>
        <w:rPr>
          <w:color w:val="auto"/>
        </w:rPr>
        <w:t xml:space="preserve">   </w:t>
      </w:r>
    </w:p>
    <w:tbl>
      <w:tblPr>
        <w:tblStyle w:val="2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50"/>
        <w:gridCol w:w="2616"/>
        <w:gridCol w:w="2146"/>
        <w:gridCol w:w="2295"/>
      </w:tblGrid>
      <w:tr w14:paraId="6A52B4B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584C09DA">
            <w:pPr>
              <w:adjustRightInd w:val="0"/>
              <w:snapToGrid w:val="0"/>
              <w:spacing w:line="300" w:lineRule="exact"/>
              <w:jc w:val="center"/>
              <w:rPr>
                <w:color w:val="auto"/>
              </w:rPr>
            </w:pPr>
            <w:r>
              <w:rPr>
                <w:color w:val="auto"/>
                <w:szCs w:val="21"/>
              </w:rPr>
              <w:t>甲方</w:t>
            </w:r>
            <w:r>
              <w:rPr>
                <w:rFonts w:hint="eastAsia"/>
                <w:color w:val="auto"/>
                <w:szCs w:val="21"/>
              </w:rPr>
              <w:t>（采购人</w:t>
            </w:r>
            <w:r>
              <w:rPr>
                <w:rFonts w:hint="eastAsia" w:ascii="宋体" w:hAnsi="宋体"/>
                <w:color w:val="auto"/>
                <w:szCs w:val="21"/>
              </w:rPr>
              <w:t>、受采购人委托签订合同的单位或</w:t>
            </w:r>
            <w:r>
              <w:rPr>
                <w:rFonts w:hint="eastAsia"/>
                <w:color w:val="auto"/>
                <w:szCs w:val="21"/>
              </w:rPr>
              <w:t>采购文件约定的合同甲方）</w:t>
            </w:r>
          </w:p>
        </w:tc>
        <w:tc>
          <w:tcPr>
            <w:tcW w:w="2437" w:type="pct"/>
            <w:gridSpan w:val="2"/>
            <w:tcBorders>
              <w:left w:val="single" w:color="auto" w:sz="2" w:space="0"/>
              <w:bottom w:val="single" w:color="auto" w:sz="2" w:space="0"/>
            </w:tcBorders>
            <w:vAlign w:val="center"/>
          </w:tcPr>
          <w:p w14:paraId="5F916D6E">
            <w:pPr>
              <w:adjustRightInd w:val="0"/>
              <w:snapToGrid w:val="0"/>
              <w:spacing w:line="300" w:lineRule="exact"/>
              <w:jc w:val="center"/>
              <w:rPr>
                <w:color w:val="auto"/>
              </w:rPr>
            </w:pPr>
            <w:r>
              <w:rPr>
                <w:color w:val="auto"/>
                <w:szCs w:val="21"/>
              </w:rPr>
              <w:t>乙方</w:t>
            </w:r>
            <w:r>
              <w:rPr>
                <w:rFonts w:hint="eastAsia"/>
                <w:color w:val="auto"/>
                <w:szCs w:val="21"/>
              </w:rPr>
              <w:t>（供应商）</w:t>
            </w:r>
          </w:p>
        </w:tc>
      </w:tr>
      <w:tr w14:paraId="725DBCD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3E926967">
            <w:pPr>
              <w:adjustRightInd w:val="0"/>
              <w:snapToGrid w:val="0"/>
              <w:spacing w:line="300" w:lineRule="exact"/>
              <w:jc w:val="center"/>
              <w:rPr>
                <w:color w:val="auto"/>
                <w:szCs w:val="21"/>
              </w:rPr>
            </w:pPr>
            <w:r>
              <w:rPr>
                <w:color w:val="auto"/>
                <w:szCs w:val="21"/>
              </w:rPr>
              <w:t>单位名称</w:t>
            </w:r>
            <w:r>
              <w:rPr>
                <w:rFonts w:hint="eastAsia"/>
                <w:color w:val="auto"/>
                <w:szCs w:val="21"/>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0948F84C">
            <w:pPr>
              <w:adjustRightInd w:val="0"/>
              <w:snapToGrid w:val="0"/>
              <w:spacing w:line="300" w:lineRule="exact"/>
              <w:jc w:val="center"/>
              <w:rPr>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B4E33CE">
            <w:pPr>
              <w:adjustRightInd w:val="0"/>
              <w:snapToGrid w:val="0"/>
              <w:spacing w:line="300" w:lineRule="exact"/>
              <w:jc w:val="center"/>
              <w:rPr>
                <w:color w:val="auto"/>
                <w:szCs w:val="21"/>
              </w:rPr>
            </w:pPr>
            <w:r>
              <w:rPr>
                <w:color w:val="auto"/>
                <w:szCs w:val="21"/>
              </w:rPr>
              <w:t>单位名称</w:t>
            </w:r>
            <w:r>
              <w:rPr>
                <w:rFonts w:hint="eastAsia"/>
                <w:color w:val="auto"/>
                <w:szCs w:val="21"/>
              </w:rPr>
              <w:t>（公章或合同章）</w:t>
            </w:r>
          </w:p>
        </w:tc>
        <w:tc>
          <w:tcPr>
            <w:tcW w:w="1259" w:type="pct"/>
            <w:tcBorders>
              <w:top w:val="single" w:color="auto" w:sz="2" w:space="0"/>
              <w:left w:val="single" w:color="auto" w:sz="2" w:space="0"/>
              <w:bottom w:val="single" w:color="auto" w:sz="2" w:space="0"/>
            </w:tcBorders>
            <w:vAlign w:val="center"/>
          </w:tcPr>
          <w:p w14:paraId="67264CA2">
            <w:pPr>
              <w:adjustRightInd w:val="0"/>
              <w:snapToGrid w:val="0"/>
              <w:spacing w:line="300" w:lineRule="exact"/>
              <w:jc w:val="center"/>
              <w:rPr>
                <w:color w:val="auto"/>
                <w:spacing w:val="20"/>
                <w:szCs w:val="21"/>
              </w:rPr>
            </w:pPr>
          </w:p>
        </w:tc>
      </w:tr>
      <w:tr w14:paraId="560CF70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49D8C035">
            <w:pPr>
              <w:adjustRightInd w:val="0"/>
              <w:snapToGrid w:val="0"/>
              <w:spacing w:line="300" w:lineRule="exact"/>
              <w:jc w:val="center"/>
              <w:rPr>
                <w:color w:val="auto"/>
                <w:szCs w:val="21"/>
              </w:rPr>
            </w:pPr>
            <w:r>
              <w:rPr>
                <w:color w:val="auto"/>
                <w:szCs w:val="21"/>
              </w:rPr>
              <w:t>法定代表人</w:t>
            </w:r>
          </w:p>
          <w:p w14:paraId="0D0E2686">
            <w:pPr>
              <w:adjustRightInd w:val="0"/>
              <w:snapToGrid w:val="0"/>
              <w:spacing w:line="300" w:lineRule="exact"/>
              <w:ind w:firstLine="100" w:firstLineChars="48"/>
              <w:jc w:val="center"/>
              <w:rPr>
                <w:color w:val="auto"/>
                <w:szCs w:val="21"/>
              </w:rPr>
            </w:pPr>
            <w:r>
              <w:rPr>
                <w:rFonts w:hint="eastAsia"/>
                <w:color w:val="auto"/>
                <w:szCs w:val="21"/>
              </w:rPr>
              <w:t>或其</w:t>
            </w:r>
            <w:r>
              <w:rPr>
                <w:color w:val="auto"/>
                <w:szCs w:val="21"/>
              </w:rPr>
              <w:t>委托代理人</w:t>
            </w:r>
            <w:r>
              <w:rPr>
                <w:rFonts w:hint="eastAsia"/>
                <w:color w:val="auto"/>
                <w:szCs w:val="21"/>
              </w:rPr>
              <w:t>（签章）</w:t>
            </w:r>
          </w:p>
        </w:tc>
        <w:tc>
          <w:tcPr>
            <w:tcW w:w="1436" w:type="pct"/>
            <w:vMerge w:val="restart"/>
            <w:tcBorders>
              <w:top w:val="single" w:color="auto" w:sz="2" w:space="0"/>
              <w:left w:val="single" w:color="auto" w:sz="2" w:space="0"/>
              <w:right w:val="single" w:color="auto" w:sz="2" w:space="0"/>
            </w:tcBorders>
            <w:vAlign w:val="center"/>
          </w:tcPr>
          <w:p w14:paraId="506F4872">
            <w:pPr>
              <w:adjustRightInd w:val="0"/>
              <w:snapToGrid w:val="0"/>
              <w:spacing w:line="300" w:lineRule="exact"/>
              <w:jc w:val="center"/>
              <w:rPr>
                <w:color w:val="auto"/>
                <w:szCs w:val="21"/>
              </w:rPr>
            </w:pPr>
          </w:p>
        </w:tc>
        <w:tc>
          <w:tcPr>
            <w:tcW w:w="1178" w:type="pct"/>
            <w:tcBorders>
              <w:top w:val="single" w:color="auto" w:sz="2" w:space="0"/>
              <w:left w:val="single" w:color="auto" w:sz="2" w:space="0"/>
              <w:right w:val="single" w:color="auto" w:sz="2" w:space="0"/>
            </w:tcBorders>
            <w:vAlign w:val="center"/>
          </w:tcPr>
          <w:p w14:paraId="7D457E61">
            <w:pPr>
              <w:adjustRightInd w:val="0"/>
              <w:snapToGrid w:val="0"/>
              <w:spacing w:line="300" w:lineRule="exact"/>
              <w:jc w:val="center"/>
              <w:rPr>
                <w:color w:val="auto"/>
                <w:szCs w:val="21"/>
              </w:rPr>
            </w:pPr>
            <w:r>
              <w:rPr>
                <w:color w:val="auto"/>
                <w:szCs w:val="21"/>
              </w:rPr>
              <w:t>法定代表人</w:t>
            </w:r>
          </w:p>
          <w:p w14:paraId="26071D19">
            <w:pPr>
              <w:adjustRightInd w:val="0"/>
              <w:snapToGrid w:val="0"/>
              <w:spacing w:line="300" w:lineRule="exact"/>
              <w:jc w:val="center"/>
              <w:rPr>
                <w:color w:val="auto"/>
                <w:szCs w:val="21"/>
              </w:rPr>
            </w:pPr>
            <w:r>
              <w:rPr>
                <w:rFonts w:hint="eastAsia"/>
                <w:color w:val="auto"/>
                <w:szCs w:val="21"/>
              </w:rPr>
              <w:t>或其</w:t>
            </w:r>
            <w:r>
              <w:rPr>
                <w:color w:val="auto"/>
                <w:szCs w:val="21"/>
              </w:rPr>
              <w:t>委托代理人</w:t>
            </w:r>
            <w:r>
              <w:rPr>
                <w:rFonts w:hint="eastAsia"/>
                <w:color w:val="auto"/>
                <w:szCs w:val="21"/>
              </w:rPr>
              <w:t>（签章）</w:t>
            </w:r>
          </w:p>
        </w:tc>
        <w:tc>
          <w:tcPr>
            <w:tcW w:w="1259" w:type="pct"/>
            <w:tcBorders>
              <w:top w:val="single" w:color="auto" w:sz="2" w:space="0"/>
              <w:left w:val="single" w:color="auto" w:sz="2" w:space="0"/>
              <w:bottom w:val="single" w:color="auto" w:sz="2" w:space="0"/>
            </w:tcBorders>
            <w:vAlign w:val="center"/>
          </w:tcPr>
          <w:p w14:paraId="410E7A34">
            <w:pPr>
              <w:adjustRightInd w:val="0"/>
              <w:snapToGrid w:val="0"/>
              <w:spacing w:line="300" w:lineRule="exact"/>
              <w:jc w:val="center"/>
              <w:rPr>
                <w:color w:val="auto"/>
                <w:szCs w:val="21"/>
              </w:rPr>
            </w:pPr>
          </w:p>
        </w:tc>
      </w:tr>
      <w:tr w14:paraId="683FF29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44564476">
            <w:pPr>
              <w:adjustRightInd w:val="0"/>
              <w:snapToGrid w:val="0"/>
              <w:spacing w:line="300" w:lineRule="exact"/>
              <w:jc w:val="center"/>
              <w:rPr>
                <w:color w:val="auto"/>
                <w:szCs w:val="21"/>
              </w:rPr>
            </w:pPr>
          </w:p>
        </w:tc>
        <w:tc>
          <w:tcPr>
            <w:tcW w:w="1436" w:type="pct"/>
            <w:vMerge w:val="continue"/>
            <w:tcBorders>
              <w:left w:val="single" w:color="auto" w:sz="2" w:space="0"/>
              <w:bottom w:val="single" w:color="auto" w:sz="2" w:space="0"/>
              <w:right w:val="single" w:color="auto" w:sz="2" w:space="0"/>
            </w:tcBorders>
            <w:vAlign w:val="center"/>
          </w:tcPr>
          <w:p w14:paraId="16AD2C3B">
            <w:pPr>
              <w:adjustRightInd w:val="0"/>
              <w:snapToGrid w:val="0"/>
              <w:spacing w:line="300" w:lineRule="exact"/>
              <w:jc w:val="center"/>
              <w:rPr>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B4B4212">
            <w:pPr>
              <w:adjustRightInd w:val="0"/>
              <w:snapToGrid w:val="0"/>
              <w:spacing w:line="300" w:lineRule="exact"/>
              <w:jc w:val="center"/>
              <w:rPr>
                <w:color w:val="auto"/>
                <w:szCs w:val="21"/>
              </w:rPr>
            </w:pPr>
            <w:r>
              <w:rPr>
                <w:rFonts w:hint="eastAsia"/>
                <w:color w:val="auto"/>
                <w:szCs w:val="21"/>
              </w:rPr>
              <w:t>拥有者性别</w:t>
            </w:r>
          </w:p>
        </w:tc>
        <w:tc>
          <w:tcPr>
            <w:tcW w:w="1259" w:type="pct"/>
            <w:tcBorders>
              <w:top w:val="single" w:color="auto" w:sz="2" w:space="0"/>
              <w:left w:val="single" w:color="auto" w:sz="2" w:space="0"/>
              <w:bottom w:val="single" w:color="auto" w:sz="2" w:space="0"/>
            </w:tcBorders>
            <w:vAlign w:val="center"/>
          </w:tcPr>
          <w:p w14:paraId="05CDEF23">
            <w:pPr>
              <w:adjustRightInd w:val="0"/>
              <w:snapToGrid w:val="0"/>
              <w:spacing w:line="300" w:lineRule="exact"/>
              <w:jc w:val="center"/>
              <w:rPr>
                <w:color w:val="auto"/>
                <w:spacing w:val="20"/>
                <w:szCs w:val="21"/>
              </w:rPr>
            </w:pPr>
          </w:p>
        </w:tc>
      </w:tr>
      <w:tr w14:paraId="46F5C1F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5D3640D">
            <w:pPr>
              <w:adjustRightInd w:val="0"/>
              <w:snapToGrid w:val="0"/>
              <w:spacing w:line="300" w:lineRule="exact"/>
              <w:jc w:val="center"/>
              <w:rPr>
                <w:color w:val="auto"/>
                <w:szCs w:val="21"/>
              </w:rPr>
            </w:pPr>
            <w:r>
              <w:rPr>
                <w:rFonts w:hint="eastAsia"/>
                <w:color w:val="auto"/>
                <w:szCs w:val="21"/>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5D950AA3">
            <w:pPr>
              <w:adjustRightInd w:val="0"/>
              <w:snapToGrid w:val="0"/>
              <w:spacing w:line="300" w:lineRule="exact"/>
              <w:jc w:val="center"/>
              <w:rPr>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936DE96">
            <w:pPr>
              <w:adjustRightInd w:val="0"/>
              <w:snapToGrid w:val="0"/>
              <w:spacing w:line="300" w:lineRule="exact"/>
              <w:jc w:val="center"/>
              <w:rPr>
                <w:color w:val="auto"/>
                <w:szCs w:val="21"/>
              </w:rPr>
            </w:pPr>
            <w:r>
              <w:rPr>
                <w:rFonts w:hint="eastAsia"/>
                <w:color w:val="auto"/>
                <w:szCs w:val="21"/>
              </w:rPr>
              <w:t>住  所</w:t>
            </w:r>
          </w:p>
        </w:tc>
        <w:tc>
          <w:tcPr>
            <w:tcW w:w="1259" w:type="pct"/>
            <w:tcBorders>
              <w:top w:val="single" w:color="auto" w:sz="2" w:space="0"/>
              <w:left w:val="single" w:color="auto" w:sz="2" w:space="0"/>
              <w:bottom w:val="single" w:color="auto" w:sz="2" w:space="0"/>
            </w:tcBorders>
            <w:vAlign w:val="center"/>
          </w:tcPr>
          <w:p w14:paraId="2C5D57CC">
            <w:pPr>
              <w:adjustRightInd w:val="0"/>
              <w:snapToGrid w:val="0"/>
              <w:spacing w:line="300" w:lineRule="exact"/>
              <w:jc w:val="center"/>
              <w:rPr>
                <w:color w:val="auto"/>
                <w:spacing w:val="20"/>
                <w:szCs w:val="21"/>
              </w:rPr>
            </w:pPr>
          </w:p>
        </w:tc>
      </w:tr>
      <w:tr w14:paraId="0F89580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031B8DE">
            <w:pPr>
              <w:adjustRightInd w:val="0"/>
              <w:snapToGrid w:val="0"/>
              <w:spacing w:line="300" w:lineRule="exact"/>
              <w:jc w:val="center"/>
              <w:rPr>
                <w:color w:val="auto"/>
                <w:szCs w:val="21"/>
              </w:rPr>
            </w:pPr>
            <w:r>
              <w:rPr>
                <w:color w:val="auto"/>
                <w:szCs w:val="21"/>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69F5E1C9">
            <w:pPr>
              <w:adjustRightInd w:val="0"/>
              <w:snapToGrid w:val="0"/>
              <w:spacing w:line="300" w:lineRule="exact"/>
              <w:jc w:val="center"/>
              <w:rPr>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A8B0785">
            <w:pPr>
              <w:adjustRightInd w:val="0"/>
              <w:snapToGrid w:val="0"/>
              <w:spacing w:line="300" w:lineRule="exact"/>
              <w:jc w:val="center"/>
              <w:rPr>
                <w:color w:val="auto"/>
                <w:szCs w:val="21"/>
              </w:rPr>
            </w:pPr>
            <w:r>
              <w:rPr>
                <w:color w:val="auto"/>
                <w:szCs w:val="21"/>
              </w:rPr>
              <w:t>联 系 人</w:t>
            </w:r>
          </w:p>
        </w:tc>
        <w:tc>
          <w:tcPr>
            <w:tcW w:w="1259" w:type="pct"/>
            <w:tcBorders>
              <w:top w:val="single" w:color="auto" w:sz="2" w:space="0"/>
              <w:left w:val="single" w:color="auto" w:sz="2" w:space="0"/>
              <w:bottom w:val="single" w:color="auto" w:sz="2" w:space="0"/>
            </w:tcBorders>
            <w:vAlign w:val="center"/>
          </w:tcPr>
          <w:p w14:paraId="577D35DB">
            <w:pPr>
              <w:adjustRightInd w:val="0"/>
              <w:snapToGrid w:val="0"/>
              <w:spacing w:line="300" w:lineRule="exact"/>
              <w:jc w:val="center"/>
              <w:rPr>
                <w:color w:val="auto"/>
                <w:spacing w:val="20"/>
                <w:szCs w:val="21"/>
              </w:rPr>
            </w:pPr>
          </w:p>
        </w:tc>
      </w:tr>
      <w:tr w14:paraId="4D11C4A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14FC5E0">
            <w:pPr>
              <w:adjustRightInd w:val="0"/>
              <w:snapToGrid w:val="0"/>
              <w:spacing w:line="300" w:lineRule="exact"/>
              <w:jc w:val="center"/>
              <w:rPr>
                <w:color w:val="auto"/>
                <w:szCs w:val="21"/>
              </w:rPr>
            </w:pPr>
            <w:r>
              <w:rPr>
                <w:color w:val="auto"/>
                <w:szCs w:val="21"/>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5B2DDDD2">
            <w:pPr>
              <w:adjustRightInd w:val="0"/>
              <w:snapToGrid w:val="0"/>
              <w:spacing w:line="300" w:lineRule="exact"/>
              <w:jc w:val="center"/>
              <w:rPr>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2A0A24C">
            <w:pPr>
              <w:adjustRightInd w:val="0"/>
              <w:snapToGrid w:val="0"/>
              <w:spacing w:line="300" w:lineRule="exact"/>
              <w:jc w:val="center"/>
              <w:rPr>
                <w:color w:val="auto"/>
                <w:szCs w:val="21"/>
              </w:rPr>
            </w:pPr>
            <w:r>
              <w:rPr>
                <w:color w:val="auto"/>
                <w:szCs w:val="21"/>
              </w:rPr>
              <w:t>联系电话</w:t>
            </w:r>
          </w:p>
        </w:tc>
        <w:tc>
          <w:tcPr>
            <w:tcW w:w="1259" w:type="pct"/>
            <w:tcBorders>
              <w:top w:val="single" w:color="auto" w:sz="2" w:space="0"/>
              <w:left w:val="single" w:color="auto" w:sz="2" w:space="0"/>
              <w:bottom w:val="single" w:color="auto" w:sz="2" w:space="0"/>
            </w:tcBorders>
            <w:vAlign w:val="center"/>
          </w:tcPr>
          <w:p w14:paraId="74A64AE4">
            <w:pPr>
              <w:adjustRightInd w:val="0"/>
              <w:snapToGrid w:val="0"/>
              <w:spacing w:line="300" w:lineRule="exact"/>
              <w:jc w:val="center"/>
              <w:rPr>
                <w:color w:val="auto"/>
                <w:spacing w:val="20"/>
                <w:szCs w:val="21"/>
              </w:rPr>
            </w:pPr>
          </w:p>
        </w:tc>
      </w:tr>
      <w:tr w14:paraId="5442D6E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236A2F0">
            <w:pPr>
              <w:adjustRightInd w:val="0"/>
              <w:snapToGrid w:val="0"/>
              <w:spacing w:line="300" w:lineRule="exact"/>
              <w:jc w:val="center"/>
              <w:rPr>
                <w:color w:val="auto"/>
                <w:szCs w:val="21"/>
              </w:rPr>
            </w:pPr>
            <w:r>
              <w:rPr>
                <w:rFonts w:hint="eastAsia"/>
                <w:color w:val="auto"/>
                <w:szCs w:val="21"/>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7D0C5FA1">
            <w:pPr>
              <w:adjustRightInd w:val="0"/>
              <w:snapToGrid w:val="0"/>
              <w:spacing w:line="300" w:lineRule="exact"/>
              <w:jc w:val="center"/>
              <w:rPr>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DBD3DC8">
            <w:pPr>
              <w:adjustRightInd w:val="0"/>
              <w:snapToGrid w:val="0"/>
              <w:spacing w:line="300" w:lineRule="exact"/>
              <w:jc w:val="center"/>
              <w:rPr>
                <w:color w:val="auto"/>
                <w:szCs w:val="21"/>
              </w:rPr>
            </w:pPr>
            <w:r>
              <w:rPr>
                <w:rFonts w:hint="eastAsia"/>
                <w:color w:val="auto"/>
                <w:szCs w:val="21"/>
              </w:rPr>
              <w:t>通信地址</w:t>
            </w:r>
          </w:p>
        </w:tc>
        <w:tc>
          <w:tcPr>
            <w:tcW w:w="1259" w:type="pct"/>
            <w:tcBorders>
              <w:top w:val="single" w:color="auto" w:sz="2" w:space="0"/>
              <w:left w:val="single" w:color="auto" w:sz="2" w:space="0"/>
              <w:bottom w:val="single" w:color="auto" w:sz="2" w:space="0"/>
            </w:tcBorders>
            <w:vAlign w:val="center"/>
          </w:tcPr>
          <w:p w14:paraId="4AA1520E">
            <w:pPr>
              <w:adjustRightInd w:val="0"/>
              <w:snapToGrid w:val="0"/>
              <w:spacing w:line="300" w:lineRule="exact"/>
              <w:jc w:val="center"/>
              <w:rPr>
                <w:color w:val="auto"/>
                <w:spacing w:val="20"/>
                <w:szCs w:val="21"/>
              </w:rPr>
            </w:pPr>
          </w:p>
        </w:tc>
      </w:tr>
      <w:tr w14:paraId="6290F09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B82FC67">
            <w:pPr>
              <w:adjustRightInd w:val="0"/>
              <w:snapToGrid w:val="0"/>
              <w:spacing w:line="300" w:lineRule="exact"/>
              <w:jc w:val="center"/>
              <w:rPr>
                <w:color w:val="auto"/>
                <w:szCs w:val="21"/>
              </w:rPr>
            </w:pPr>
            <w:r>
              <w:rPr>
                <w:color w:val="auto"/>
                <w:szCs w:val="21"/>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0680C861">
            <w:pPr>
              <w:adjustRightInd w:val="0"/>
              <w:snapToGrid w:val="0"/>
              <w:spacing w:line="300" w:lineRule="exact"/>
              <w:jc w:val="center"/>
              <w:rPr>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034DF2A">
            <w:pPr>
              <w:adjustRightInd w:val="0"/>
              <w:snapToGrid w:val="0"/>
              <w:spacing w:line="300" w:lineRule="exact"/>
              <w:jc w:val="center"/>
              <w:rPr>
                <w:color w:val="auto"/>
                <w:szCs w:val="21"/>
              </w:rPr>
            </w:pPr>
            <w:r>
              <w:rPr>
                <w:color w:val="auto"/>
                <w:szCs w:val="21"/>
              </w:rPr>
              <w:t>邮政编码</w:t>
            </w:r>
          </w:p>
        </w:tc>
        <w:tc>
          <w:tcPr>
            <w:tcW w:w="1259" w:type="pct"/>
            <w:tcBorders>
              <w:top w:val="single" w:color="auto" w:sz="2" w:space="0"/>
              <w:left w:val="single" w:color="auto" w:sz="2" w:space="0"/>
              <w:bottom w:val="single" w:color="auto" w:sz="2" w:space="0"/>
            </w:tcBorders>
            <w:vAlign w:val="center"/>
          </w:tcPr>
          <w:p w14:paraId="38FC5B84">
            <w:pPr>
              <w:adjustRightInd w:val="0"/>
              <w:snapToGrid w:val="0"/>
              <w:spacing w:line="300" w:lineRule="exact"/>
              <w:jc w:val="center"/>
              <w:rPr>
                <w:color w:val="auto"/>
                <w:spacing w:val="20"/>
                <w:szCs w:val="21"/>
              </w:rPr>
            </w:pPr>
          </w:p>
        </w:tc>
      </w:tr>
      <w:tr w14:paraId="2778835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9D1E9F6">
            <w:pPr>
              <w:adjustRightInd w:val="0"/>
              <w:snapToGrid w:val="0"/>
              <w:spacing w:line="300" w:lineRule="exact"/>
              <w:jc w:val="center"/>
              <w:rPr>
                <w:color w:val="auto"/>
                <w:szCs w:val="21"/>
              </w:rPr>
            </w:pPr>
            <w:r>
              <w:rPr>
                <w:rFonts w:hint="eastAsia"/>
                <w:color w:val="auto"/>
                <w:szCs w:val="21"/>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0A078238">
            <w:pPr>
              <w:adjustRightInd w:val="0"/>
              <w:snapToGrid w:val="0"/>
              <w:spacing w:line="300" w:lineRule="exact"/>
              <w:jc w:val="center"/>
              <w:rPr>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50512CA">
            <w:pPr>
              <w:adjustRightInd w:val="0"/>
              <w:snapToGrid w:val="0"/>
              <w:spacing w:line="300" w:lineRule="exact"/>
              <w:jc w:val="center"/>
              <w:rPr>
                <w:color w:val="auto"/>
                <w:szCs w:val="21"/>
              </w:rPr>
            </w:pPr>
            <w:r>
              <w:rPr>
                <w:rFonts w:hint="eastAsia"/>
                <w:color w:val="auto"/>
                <w:szCs w:val="21"/>
              </w:rPr>
              <w:t>电子邮箱</w:t>
            </w:r>
          </w:p>
        </w:tc>
        <w:tc>
          <w:tcPr>
            <w:tcW w:w="1259" w:type="pct"/>
            <w:tcBorders>
              <w:top w:val="single" w:color="auto" w:sz="2" w:space="0"/>
              <w:left w:val="single" w:color="auto" w:sz="2" w:space="0"/>
              <w:bottom w:val="single" w:color="auto" w:sz="2" w:space="0"/>
            </w:tcBorders>
            <w:vAlign w:val="center"/>
          </w:tcPr>
          <w:p w14:paraId="4E9BF49D">
            <w:pPr>
              <w:adjustRightInd w:val="0"/>
              <w:snapToGrid w:val="0"/>
              <w:spacing w:line="300" w:lineRule="exact"/>
              <w:jc w:val="center"/>
              <w:rPr>
                <w:color w:val="auto"/>
                <w:spacing w:val="20"/>
                <w:szCs w:val="21"/>
              </w:rPr>
            </w:pPr>
          </w:p>
        </w:tc>
      </w:tr>
      <w:tr w14:paraId="58E9013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377F4B6">
            <w:pPr>
              <w:adjustRightInd w:val="0"/>
              <w:snapToGrid w:val="0"/>
              <w:spacing w:line="300" w:lineRule="exact"/>
              <w:jc w:val="center"/>
              <w:rPr>
                <w:color w:val="auto"/>
                <w:szCs w:val="21"/>
              </w:rPr>
            </w:pPr>
            <w:r>
              <w:rPr>
                <w:rFonts w:hint="eastAsia"/>
                <w:color w:val="auto"/>
                <w:szCs w:val="21"/>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76E7F883">
            <w:pPr>
              <w:adjustRightInd w:val="0"/>
              <w:snapToGrid w:val="0"/>
              <w:spacing w:line="300" w:lineRule="exact"/>
              <w:jc w:val="center"/>
              <w:rPr>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F0E9153">
            <w:pPr>
              <w:adjustRightInd w:val="0"/>
              <w:snapToGrid w:val="0"/>
              <w:spacing w:line="300" w:lineRule="exact"/>
              <w:jc w:val="center"/>
              <w:rPr>
                <w:color w:val="auto"/>
                <w:szCs w:val="21"/>
              </w:rPr>
            </w:pPr>
            <w:r>
              <w:rPr>
                <w:rFonts w:hint="eastAsia"/>
                <w:color w:val="auto"/>
                <w:szCs w:val="21"/>
              </w:rPr>
              <w:t>统一社会信用代码</w:t>
            </w:r>
          </w:p>
        </w:tc>
        <w:tc>
          <w:tcPr>
            <w:tcW w:w="1259" w:type="pct"/>
            <w:tcBorders>
              <w:top w:val="single" w:color="auto" w:sz="2" w:space="0"/>
              <w:left w:val="single" w:color="auto" w:sz="2" w:space="0"/>
              <w:bottom w:val="single" w:color="auto" w:sz="2" w:space="0"/>
            </w:tcBorders>
            <w:vAlign w:val="center"/>
          </w:tcPr>
          <w:p w14:paraId="2ABB6D37">
            <w:pPr>
              <w:adjustRightInd w:val="0"/>
              <w:snapToGrid w:val="0"/>
              <w:spacing w:line="300" w:lineRule="exact"/>
              <w:jc w:val="center"/>
              <w:rPr>
                <w:color w:val="auto"/>
                <w:spacing w:val="20"/>
                <w:szCs w:val="21"/>
              </w:rPr>
            </w:pPr>
          </w:p>
        </w:tc>
      </w:tr>
      <w:tr w14:paraId="1B3F048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67D3012">
            <w:pPr>
              <w:adjustRightInd w:val="0"/>
              <w:snapToGrid w:val="0"/>
              <w:spacing w:line="300" w:lineRule="exact"/>
              <w:jc w:val="center"/>
              <w:rPr>
                <w:color w:val="auto"/>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185E6FDA">
            <w:pPr>
              <w:adjustRightInd w:val="0"/>
              <w:snapToGrid w:val="0"/>
              <w:spacing w:line="300" w:lineRule="exact"/>
              <w:jc w:val="center"/>
              <w:rPr>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2ADF292">
            <w:pPr>
              <w:adjustRightInd w:val="0"/>
              <w:snapToGrid w:val="0"/>
              <w:spacing w:line="300" w:lineRule="exact"/>
              <w:jc w:val="center"/>
              <w:rPr>
                <w:color w:val="auto"/>
                <w:szCs w:val="21"/>
              </w:rPr>
            </w:pPr>
            <w:r>
              <w:rPr>
                <w:color w:val="auto"/>
                <w:szCs w:val="21"/>
              </w:rPr>
              <w:t>开户名称</w:t>
            </w:r>
          </w:p>
        </w:tc>
        <w:tc>
          <w:tcPr>
            <w:tcW w:w="1259" w:type="pct"/>
            <w:tcBorders>
              <w:top w:val="single" w:color="auto" w:sz="2" w:space="0"/>
              <w:left w:val="single" w:color="auto" w:sz="2" w:space="0"/>
              <w:bottom w:val="single" w:color="auto" w:sz="2" w:space="0"/>
            </w:tcBorders>
            <w:vAlign w:val="center"/>
          </w:tcPr>
          <w:p w14:paraId="4F21B424">
            <w:pPr>
              <w:adjustRightInd w:val="0"/>
              <w:snapToGrid w:val="0"/>
              <w:spacing w:line="300" w:lineRule="exact"/>
              <w:jc w:val="center"/>
              <w:rPr>
                <w:color w:val="auto"/>
                <w:spacing w:val="20"/>
                <w:szCs w:val="21"/>
              </w:rPr>
            </w:pPr>
          </w:p>
        </w:tc>
      </w:tr>
      <w:tr w14:paraId="23A7505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712D84A">
            <w:pPr>
              <w:adjustRightInd w:val="0"/>
              <w:snapToGrid w:val="0"/>
              <w:spacing w:line="300" w:lineRule="exact"/>
              <w:jc w:val="center"/>
              <w:rPr>
                <w:color w:val="auto"/>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1CE6E526">
            <w:pPr>
              <w:adjustRightInd w:val="0"/>
              <w:snapToGrid w:val="0"/>
              <w:spacing w:line="300" w:lineRule="exact"/>
              <w:jc w:val="center"/>
              <w:rPr>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95878D9">
            <w:pPr>
              <w:adjustRightInd w:val="0"/>
              <w:snapToGrid w:val="0"/>
              <w:spacing w:line="300" w:lineRule="exact"/>
              <w:jc w:val="center"/>
              <w:rPr>
                <w:color w:val="auto"/>
                <w:szCs w:val="21"/>
              </w:rPr>
            </w:pPr>
            <w:r>
              <w:rPr>
                <w:color w:val="auto"/>
                <w:szCs w:val="21"/>
              </w:rPr>
              <w:t>开户银行</w:t>
            </w:r>
          </w:p>
        </w:tc>
        <w:tc>
          <w:tcPr>
            <w:tcW w:w="1259" w:type="pct"/>
            <w:tcBorders>
              <w:top w:val="single" w:color="auto" w:sz="2" w:space="0"/>
              <w:left w:val="single" w:color="auto" w:sz="2" w:space="0"/>
              <w:bottom w:val="single" w:color="auto" w:sz="2" w:space="0"/>
            </w:tcBorders>
            <w:vAlign w:val="center"/>
          </w:tcPr>
          <w:p w14:paraId="2A985029">
            <w:pPr>
              <w:adjustRightInd w:val="0"/>
              <w:snapToGrid w:val="0"/>
              <w:spacing w:line="300" w:lineRule="exact"/>
              <w:jc w:val="center"/>
              <w:rPr>
                <w:color w:val="auto"/>
                <w:spacing w:val="20"/>
                <w:szCs w:val="21"/>
              </w:rPr>
            </w:pPr>
          </w:p>
        </w:tc>
      </w:tr>
      <w:tr w14:paraId="4E975C4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2CC7C34">
            <w:pPr>
              <w:adjustRightInd w:val="0"/>
              <w:snapToGrid w:val="0"/>
              <w:spacing w:line="300" w:lineRule="exact"/>
              <w:jc w:val="center"/>
              <w:rPr>
                <w:color w:val="auto"/>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6C564732">
            <w:pPr>
              <w:adjustRightInd w:val="0"/>
              <w:snapToGrid w:val="0"/>
              <w:spacing w:line="300" w:lineRule="exact"/>
              <w:jc w:val="center"/>
              <w:rPr>
                <w:color w:val="auto"/>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CD9493E">
            <w:pPr>
              <w:adjustRightInd w:val="0"/>
              <w:snapToGrid w:val="0"/>
              <w:spacing w:line="300" w:lineRule="exact"/>
              <w:jc w:val="center"/>
              <w:rPr>
                <w:color w:val="auto"/>
                <w:szCs w:val="21"/>
              </w:rPr>
            </w:pPr>
            <w:r>
              <w:rPr>
                <w:color w:val="auto"/>
                <w:szCs w:val="21"/>
              </w:rPr>
              <w:t>银行账号</w:t>
            </w:r>
          </w:p>
        </w:tc>
        <w:tc>
          <w:tcPr>
            <w:tcW w:w="1259" w:type="pct"/>
            <w:tcBorders>
              <w:top w:val="single" w:color="auto" w:sz="2" w:space="0"/>
              <w:left w:val="single" w:color="auto" w:sz="2" w:space="0"/>
              <w:bottom w:val="single" w:color="auto" w:sz="2" w:space="0"/>
            </w:tcBorders>
            <w:vAlign w:val="center"/>
          </w:tcPr>
          <w:p w14:paraId="2E0E6B4A">
            <w:pPr>
              <w:adjustRightInd w:val="0"/>
              <w:snapToGrid w:val="0"/>
              <w:spacing w:line="300" w:lineRule="exact"/>
              <w:jc w:val="center"/>
              <w:rPr>
                <w:color w:val="auto"/>
                <w:spacing w:val="20"/>
                <w:szCs w:val="21"/>
              </w:rPr>
            </w:pPr>
          </w:p>
        </w:tc>
      </w:tr>
      <w:tr w14:paraId="4BE6689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62F18811">
            <w:pPr>
              <w:pStyle w:val="12"/>
              <w:adjustRightInd w:val="0"/>
              <w:snapToGrid w:val="0"/>
              <w:spacing w:before="120" w:beforeLines="50" w:line="360" w:lineRule="auto"/>
              <w:jc w:val="left"/>
              <w:rPr>
                <w:color w:val="auto"/>
                <w:spacing w:val="20"/>
                <w:szCs w:val="21"/>
              </w:rPr>
            </w:pPr>
            <w:r>
              <w:rPr>
                <w:rFonts w:hint="eastAsia"/>
                <w:color w:val="auto"/>
                <w:szCs w:val="21"/>
              </w:rPr>
              <w:t>注：涉及联合体或其他合同主体的信息应按上表格式加列。</w:t>
            </w:r>
          </w:p>
        </w:tc>
      </w:tr>
    </w:tbl>
    <w:p w14:paraId="5F51B9C5">
      <w:pPr>
        <w:pStyle w:val="5"/>
        <w:adjustRightInd w:val="0"/>
        <w:snapToGrid w:val="0"/>
        <w:spacing w:before="120" w:beforeLines="50"/>
        <w:jc w:val="center"/>
        <w:rPr>
          <w:rFonts w:ascii="黑体" w:hAnsi="黑体"/>
          <w:color w:val="auto"/>
          <w:sz w:val="28"/>
          <w:szCs w:val="28"/>
        </w:rPr>
      </w:pPr>
      <w:r>
        <w:rPr>
          <w:rFonts w:ascii="宋体" w:hAnsi="宋体"/>
          <w:color w:val="auto"/>
          <w:sz w:val="21"/>
          <w:szCs w:val="21"/>
          <w:u w:val="single"/>
        </w:rPr>
        <w:br w:type="page"/>
      </w:r>
      <w:bookmarkStart w:id="552" w:name="_Toc27624"/>
      <w:bookmarkStart w:id="553" w:name="_Toc13639"/>
      <w:r>
        <w:rPr>
          <w:rFonts w:hint="eastAsia" w:ascii="黑体" w:hAnsi="黑体"/>
          <w:b w:val="0"/>
          <w:bCs w:val="0"/>
          <w:color w:val="auto"/>
          <w:sz w:val="28"/>
          <w:szCs w:val="28"/>
        </w:rPr>
        <w:t>第二节 政府采购合同通用条款</w:t>
      </w:r>
      <w:bookmarkEnd w:id="552"/>
      <w:bookmarkEnd w:id="553"/>
    </w:p>
    <w:p w14:paraId="778C7463">
      <w:pPr>
        <w:tabs>
          <w:tab w:val="left" w:pos="8820"/>
          <w:tab w:val="left" w:pos="9345"/>
          <w:tab w:val="left" w:pos="9765"/>
        </w:tabs>
        <w:adjustRightInd w:val="0"/>
        <w:snapToGrid w:val="0"/>
        <w:spacing w:line="400" w:lineRule="exact"/>
        <w:jc w:val="left"/>
        <w:rPr>
          <w:rFonts w:ascii="宋体" w:hAnsi="宋体"/>
          <w:b/>
          <w:bCs/>
          <w:color w:val="auto"/>
          <w:sz w:val="24"/>
        </w:rPr>
      </w:pPr>
      <w:r>
        <w:rPr>
          <w:rFonts w:hint="eastAsia" w:ascii="宋体" w:hAnsi="宋体"/>
          <w:b/>
          <w:color w:val="auto"/>
          <w:sz w:val="24"/>
        </w:rPr>
        <w:t xml:space="preserve">1. </w:t>
      </w:r>
      <w:r>
        <w:rPr>
          <w:rFonts w:hint="eastAsia" w:ascii="宋体" w:hAnsi="宋体"/>
          <w:b/>
          <w:bCs/>
          <w:color w:val="auto"/>
          <w:sz w:val="24"/>
        </w:rPr>
        <w:t>定义</w:t>
      </w:r>
    </w:p>
    <w:p w14:paraId="29CCD0E5">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1.1合同当事人</w:t>
      </w:r>
    </w:p>
    <w:p w14:paraId="77511B72">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（1）采购人（以下称甲方）是指使用财政性资金，通过政府采购方式向供应商购买货物及其相关服务的国家机关、事业单位、团体组织。</w:t>
      </w:r>
    </w:p>
    <w:p w14:paraId="6E769962">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（2）供应商（以下称乙方）是指参加政府采购活动并且中标（成交），向采购人提供合同约定的货物及其相关服务的法人、非法人组织或者自然人。</w:t>
      </w:r>
    </w:p>
    <w:p w14:paraId="59E0C733">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（3）其他合同主体是指除采购人和供应商以外，</w:t>
      </w:r>
      <w:r>
        <w:rPr>
          <w:rFonts w:hint="eastAsia" w:ascii="宋体" w:hAnsi="宋体" w:cs="宋体"/>
          <w:bCs/>
          <w:color w:val="auto"/>
          <w:szCs w:val="21"/>
        </w:rPr>
        <w:t>依法参与合同缔结或履行，享有权利、承担义务的合同当事人</w:t>
      </w:r>
      <w:r>
        <w:rPr>
          <w:rFonts w:hint="eastAsia" w:ascii="宋体" w:hAnsi="宋体"/>
          <w:color w:val="auto"/>
          <w:szCs w:val="21"/>
        </w:rPr>
        <w:t>。</w:t>
      </w:r>
    </w:p>
    <w:p w14:paraId="4E42D800">
      <w:pPr>
        <w:tabs>
          <w:tab w:val="left" w:pos="570"/>
          <w:tab w:val="left" w:pos="9240"/>
          <w:tab w:val="left" w:pos="9555"/>
        </w:tabs>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1.2本合同下列术语应解释为：</w:t>
      </w:r>
    </w:p>
    <w:p w14:paraId="4B6E70A5">
      <w:pPr>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（1）“合同”系指</w:t>
      </w:r>
      <w:r>
        <w:rPr>
          <w:rFonts w:hint="eastAsia" w:ascii="宋体" w:hAnsi="宋体" w:cs="宋体"/>
          <w:bCs/>
          <w:color w:val="auto"/>
          <w:szCs w:val="21"/>
        </w:rPr>
        <w:t>合同当事人意思表示达成一致的任何协议，包括签署的</w:t>
      </w:r>
      <w:r>
        <w:rPr>
          <w:rFonts w:hint="eastAsia" w:ascii="宋体" w:hAnsi="宋体"/>
          <w:color w:val="auto"/>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rPr>
        <w:t>国家法律、行政法规和规章制度规定或合同约定的作为合同组成部分的其他文件</w:t>
      </w:r>
      <w:r>
        <w:rPr>
          <w:rFonts w:hint="eastAsia" w:ascii="宋体" w:hAnsi="宋体"/>
          <w:color w:val="auto"/>
          <w:szCs w:val="21"/>
        </w:rPr>
        <w:t>。</w:t>
      </w:r>
    </w:p>
    <w:p w14:paraId="0AF3E931">
      <w:pPr>
        <w:tabs>
          <w:tab w:val="left" w:pos="570"/>
          <w:tab w:val="left" w:pos="9240"/>
          <w:tab w:val="left" w:pos="9555"/>
        </w:tabs>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（2）“合同价款”系指根据本合同规定乙方在全面履行合同义务后甲方应支付给乙方的价款。</w:t>
      </w:r>
    </w:p>
    <w:p w14:paraId="5089F11B">
      <w:pPr>
        <w:tabs>
          <w:tab w:val="left" w:pos="570"/>
          <w:tab w:val="left" w:pos="9240"/>
          <w:tab w:val="left" w:pos="9555"/>
        </w:tabs>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（3）“货物”系指乙方根据本合同规定须向甲方提供的各种形态和种类的物品，包括原材料、设备、产品（包括软件）及相关的其备品备件、工具、手册及</w:t>
      </w:r>
      <w:r>
        <w:rPr>
          <w:rFonts w:ascii="宋体" w:hAnsi="宋体"/>
          <w:color w:val="auto"/>
          <w:szCs w:val="21"/>
        </w:rPr>
        <w:t>其他</w:t>
      </w:r>
      <w:r>
        <w:rPr>
          <w:rFonts w:hint="eastAsia" w:ascii="宋体" w:hAnsi="宋体"/>
          <w:color w:val="auto"/>
          <w:szCs w:val="21"/>
        </w:rPr>
        <w:t>技术资料和材料等。</w:t>
      </w:r>
    </w:p>
    <w:p w14:paraId="4D4E398B">
      <w:pPr>
        <w:adjustRightInd w:val="0"/>
        <w:snapToGrid w:val="0"/>
        <w:spacing w:line="400" w:lineRule="exact"/>
        <w:ind w:firstLine="420" w:firstLineChars="200"/>
        <w:jc w:val="left"/>
        <w:rPr>
          <w:rFonts w:ascii="宋体" w:hAnsi="宋体"/>
          <w:color w:val="auto"/>
          <w:szCs w:val="21"/>
          <w:highlight w:val="yellow"/>
        </w:rPr>
      </w:pPr>
      <w:r>
        <w:rPr>
          <w:rFonts w:hint="eastAsia" w:ascii="宋体" w:hAnsi="宋体"/>
          <w:color w:val="auto"/>
          <w:szCs w:val="21"/>
        </w:rPr>
        <w:t>（4）“相关服务”系指根据合同规定，乙方应提供的与货物有关的技术、管理和</w:t>
      </w:r>
      <w:r>
        <w:rPr>
          <w:rFonts w:ascii="宋体" w:hAnsi="宋体"/>
          <w:color w:val="auto"/>
          <w:szCs w:val="21"/>
        </w:rPr>
        <w:t>其他</w:t>
      </w:r>
      <w:r>
        <w:rPr>
          <w:rFonts w:hint="eastAsia" w:ascii="宋体" w:hAnsi="宋体"/>
          <w:color w:val="auto"/>
          <w:szCs w:val="21"/>
        </w:rPr>
        <w:t>服务，包括但不限于：管理和质量保证、运输、保险、检验、现场准备、安装、集成、调试、培训、维修、废弃处置、技术支持等以及合同中规定乙方应承担的</w:t>
      </w:r>
      <w:r>
        <w:rPr>
          <w:rFonts w:ascii="宋体" w:hAnsi="宋体"/>
          <w:color w:val="auto"/>
          <w:szCs w:val="21"/>
        </w:rPr>
        <w:t>其他</w:t>
      </w:r>
      <w:r>
        <w:rPr>
          <w:rFonts w:hint="eastAsia" w:ascii="宋体" w:hAnsi="宋体"/>
          <w:color w:val="auto"/>
          <w:szCs w:val="21"/>
        </w:rPr>
        <w:t>义务。</w:t>
      </w:r>
    </w:p>
    <w:p w14:paraId="11FD285E">
      <w:pPr>
        <w:adjustRightInd w:val="0"/>
        <w:snapToGrid w:val="0"/>
        <w:spacing w:line="400" w:lineRule="exact"/>
        <w:ind w:firstLine="420" w:firstLineChars="200"/>
        <w:jc w:val="left"/>
        <w:rPr>
          <w:rFonts w:ascii="宋体" w:hAnsi="宋体"/>
          <w:color w:val="auto"/>
          <w:szCs w:val="21"/>
          <w:highlight w:val="yellow"/>
        </w:rPr>
      </w:pPr>
      <w:r>
        <w:rPr>
          <w:rFonts w:hint="eastAsia" w:ascii="宋体" w:hAnsi="宋体"/>
          <w:color w:val="auto"/>
          <w:szCs w:val="21"/>
        </w:rPr>
        <w:t>（5）“分包”系指中标（成交）供应商按采购文件、投标（响应）文件的规定，根据分包意向协议，将中标（成交）项目中的部分履约内容，分给具有相应资质条件的供应商履行合同的行为。</w:t>
      </w:r>
    </w:p>
    <w:p w14:paraId="2BB2E2E9">
      <w:pPr>
        <w:tabs>
          <w:tab w:val="left" w:pos="570"/>
          <w:tab w:val="left" w:pos="9240"/>
          <w:tab w:val="left" w:pos="9555"/>
        </w:tabs>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rPr>
        <w:t>政府采购合同专用条款</w:t>
      </w:r>
      <w:r>
        <w:rPr>
          <w:rFonts w:hint="eastAsia" w:ascii="宋体" w:hAnsi="宋体"/>
          <w:color w:val="auto"/>
          <w:szCs w:val="21"/>
        </w:rPr>
        <w:t>】。</w:t>
      </w:r>
    </w:p>
    <w:p w14:paraId="656FB891">
      <w:pPr>
        <w:tabs>
          <w:tab w:val="left" w:pos="570"/>
          <w:tab w:val="left" w:pos="9240"/>
          <w:tab w:val="left" w:pos="9555"/>
        </w:tabs>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（7）其他术语解释，见【</w:t>
      </w:r>
      <w:r>
        <w:rPr>
          <w:rFonts w:hint="eastAsia" w:ascii="宋体" w:hAnsi="宋体"/>
          <w:b/>
          <w:bCs/>
          <w:color w:val="auto"/>
          <w:szCs w:val="21"/>
        </w:rPr>
        <w:t>政府采购合同专用条款</w:t>
      </w:r>
      <w:r>
        <w:rPr>
          <w:rFonts w:hint="eastAsia" w:ascii="宋体" w:hAnsi="宋体"/>
          <w:color w:val="auto"/>
          <w:szCs w:val="21"/>
        </w:rPr>
        <w:t>】。</w:t>
      </w:r>
    </w:p>
    <w:p w14:paraId="6F5490CE">
      <w:pPr>
        <w:numPr>
          <w:ilvl w:val="0"/>
          <w:numId w:val="0"/>
        </w:numPr>
        <w:autoSpaceDE w:val="0"/>
        <w:autoSpaceDN w:val="0"/>
        <w:adjustRightInd w:val="0"/>
        <w:snapToGrid w:val="0"/>
        <w:spacing w:line="400" w:lineRule="exact"/>
        <w:jc w:val="left"/>
        <w:rPr>
          <w:rFonts w:ascii="宋体" w:hAnsi="宋体"/>
          <w:b/>
          <w:bCs/>
          <w:color w:val="auto"/>
          <w:sz w:val="24"/>
        </w:rPr>
      </w:pPr>
      <w:r>
        <w:rPr>
          <w:rFonts w:ascii="宋体" w:hAnsi="宋体" w:eastAsia="宋体" w:cs="Times New Roman"/>
          <w:b/>
          <w:bCs/>
          <w:color w:val="auto"/>
          <w:kern w:val="2"/>
          <w:sz w:val="24"/>
          <w:szCs w:val="24"/>
          <w:lang w:val="en-US" w:eastAsia="zh-CN" w:bidi="ar-SA"/>
        </w:rPr>
        <w:t>2.</w:t>
      </w:r>
      <w:r>
        <w:rPr>
          <w:rFonts w:hint="eastAsia" w:ascii="宋体" w:hAnsi="宋体"/>
          <w:b/>
          <w:color w:val="auto"/>
          <w:sz w:val="24"/>
        </w:rPr>
        <w:t>合同标的及金额</w:t>
      </w:r>
    </w:p>
    <w:p w14:paraId="69FA05EE">
      <w:pPr>
        <w:autoSpaceDE w:val="0"/>
        <w:autoSpaceDN w:val="0"/>
        <w:adjustRightInd w:val="0"/>
        <w:snapToGrid w:val="0"/>
        <w:spacing w:line="400" w:lineRule="exact"/>
        <w:ind w:firstLine="420" w:firstLineChars="200"/>
        <w:jc w:val="left"/>
        <w:rPr>
          <w:rFonts w:ascii="宋体" w:hAnsi="宋体"/>
          <w:b/>
          <w:bCs/>
          <w:i/>
          <w:iCs/>
          <w:color w:val="auto"/>
          <w:szCs w:val="21"/>
        </w:rPr>
      </w:pPr>
      <w:r>
        <w:rPr>
          <w:rFonts w:hint="eastAsia" w:ascii="宋体" w:hAnsi="宋体"/>
          <w:color w:val="auto"/>
          <w:szCs w:val="21"/>
        </w:rPr>
        <w:t>2.1 合同标的及金额应与中标（成交）结果一致。乙方为履行本合同而发生的所有费用均应包含在合同价款中，甲方不再另行支付</w:t>
      </w:r>
      <w:r>
        <w:rPr>
          <w:rFonts w:ascii="宋体" w:hAnsi="宋体"/>
          <w:color w:val="auto"/>
          <w:szCs w:val="21"/>
        </w:rPr>
        <w:t>其他</w:t>
      </w:r>
      <w:r>
        <w:rPr>
          <w:rFonts w:hint="eastAsia" w:ascii="宋体" w:hAnsi="宋体"/>
          <w:color w:val="auto"/>
          <w:szCs w:val="21"/>
        </w:rPr>
        <w:t>任何费用。</w:t>
      </w:r>
    </w:p>
    <w:p w14:paraId="0EBFD8C2">
      <w:pPr>
        <w:adjustRightInd w:val="0"/>
        <w:snapToGrid w:val="0"/>
        <w:spacing w:line="400" w:lineRule="exact"/>
        <w:jc w:val="left"/>
        <w:rPr>
          <w:rFonts w:ascii="宋体" w:hAnsi="宋体"/>
          <w:b/>
          <w:color w:val="auto"/>
          <w:sz w:val="24"/>
        </w:rPr>
      </w:pPr>
      <w:r>
        <w:rPr>
          <w:rFonts w:hint="eastAsia" w:ascii="宋体" w:hAnsi="宋体"/>
          <w:b/>
          <w:color w:val="auto"/>
          <w:sz w:val="24"/>
        </w:rPr>
        <w:t>3. 履行合同的时间、地点和方式</w:t>
      </w:r>
    </w:p>
    <w:p w14:paraId="0A97B485">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 xml:space="preserve">3.1 </w:t>
      </w:r>
      <w:r>
        <w:rPr>
          <w:rFonts w:hint="eastAsia" w:ascii="宋体" w:hAnsi="宋体" w:cs="宋体"/>
          <w:color w:val="auto"/>
          <w:szCs w:val="21"/>
        </w:rPr>
        <w:t>乙方应当在约定的时间、地点，按照约定方式履行合同。</w:t>
      </w:r>
    </w:p>
    <w:p w14:paraId="6474C9EE">
      <w:pPr>
        <w:autoSpaceDE w:val="0"/>
        <w:autoSpaceDN w:val="0"/>
        <w:adjustRightInd w:val="0"/>
        <w:snapToGrid w:val="0"/>
        <w:spacing w:line="400" w:lineRule="exact"/>
        <w:jc w:val="left"/>
        <w:rPr>
          <w:rFonts w:ascii="宋体" w:hAnsi="宋体"/>
          <w:b/>
          <w:bCs/>
          <w:color w:val="auto"/>
          <w:sz w:val="24"/>
        </w:rPr>
      </w:pPr>
      <w:r>
        <w:rPr>
          <w:rFonts w:hint="eastAsia" w:ascii="宋体" w:hAnsi="宋体"/>
          <w:b/>
          <w:bCs/>
          <w:color w:val="auto"/>
          <w:sz w:val="24"/>
        </w:rPr>
        <w:t>4. 甲方的权利和义务</w:t>
      </w:r>
    </w:p>
    <w:p w14:paraId="36123F1A">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4.1</w:t>
      </w:r>
      <w:r>
        <w:rPr>
          <w:rFonts w:ascii="宋体" w:hAnsi="宋体"/>
          <w:color w:val="auto"/>
          <w:szCs w:val="21"/>
        </w:rPr>
        <w:t xml:space="preserve"> 签署合同后，甲方</w:t>
      </w:r>
      <w:r>
        <w:rPr>
          <w:rFonts w:hint="eastAsia" w:ascii="宋体" w:hAnsi="宋体"/>
          <w:color w:val="auto"/>
          <w:szCs w:val="21"/>
        </w:rPr>
        <w:t>应</w:t>
      </w:r>
      <w:r>
        <w:rPr>
          <w:rFonts w:ascii="宋体" w:hAnsi="宋体"/>
          <w:color w:val="auto"/>
          <w:szCs w:val="21"/>
        </w:rPr>
        <w:t>确定</w:t>
      </w:r>
      <w:r>
        <w:rPr>
          <w:rFonts w:hint="eastAsia" w:ascii="宋体" w:hAnsi="宋体"/>
          <w:color w:val="auto"/>
          <w:szCs w:val="21"/>
        </w:rPr>
        <w:t>项目负责人（或项目联系人）</w:t>
      </w:r>
      <w:r>
        <w:rPr>
          <w:rFonts w:ascii="宋体" w:hAnsi="宋体"/>
          <w:color w:val="auto"/>
          <w:szCs w:val="21"/>
        </w:rPr>
        <w:t>，负责与本合同有关的事务。</w:t>
      </w:r>
      <w:r>
        <w:rPr>
          <w:rFonts w:hint="eastAsia" w:ascii="宋体" w:hAnsi="宋体"/>
          <w:color w:val="auto"/>
          <w:szCs w:val="21"/>
        </w:rPr>
        <w:t>甲方有权对乙方的履约行为进行检查，并</w:t>
      </w:r>
      <w:r>
        <w:rPr>
          <w:rFonts w:ascii="宋体" w:hAnsi="宋体"/>
          <w:color w:val="auto"/>
          <w:szCs w:val="21"/>
        </w:rPr>
        <w:t>及时确认乙方提交的事项</w:t>
      </w:r>
      <w:r>
        <w:rPr>
          <w:rFonts w:hint="eastAsia" w:ascii="宋体" w:hAnsi="宋体"/>
          <w:color w:val="auto"/>
          <w:szCs w:val="21"/>
        </w:rPr>
        <w:t>。甲方应当</w:t>
      </w:r>
      <w:r>
        <w:rPr>
          <w:rFonts w:ascii="宋体" w:hAnsi="宋体"/>
          <w:color w:val="auto"/>
          <w:szCs w:val="21"/>
        </w:rPr>
        <w:t>配合乙方完成</w:t>
      </w:r>
      <w:r>
        <w:rPr>
          <w:rFonts w:hint="eastAsia" w:ascii="宋体" w:hAnsi="宋体"/>
          <w:color w:val="auto"/>
          <w:szCs w:val="21"/>
        </w:rPr>
        <w:t>相关项目</w:t>
      </w:r>
      <w:r>
        <w:rPr>
          <w:rFonts w:ascii="宋体" w:hAnsi="宋体"/>
          <w:color w:val="auto"/>
          <w:szCs w:val="21"/>
        </w:rPr>
        <w:t>实施工作。</w:t>
      </w:r>
    </w:p>
    <w:p w14:paraId="084134F5">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 xml:space="preserve">4.2 </w:t>
      </w:r>
      <w:r>
        <w:rPr>
          <w:rFonts w:ascii="宋体" w:hAnsi="宋体"/>
          <w:color w:val="auto"/>
          <w:szCs w:val="21"/>
        </w:rPr>
        <w:t>甲方有权要求乙方按时提交各阶段有关</w:t>
      </w:r>
      <w:r>
        <w:rPr>
          <w:rFonts w:hint="eastAsia" w:ascii="宋体" w:hAnsi="宋体"/>
          <w:color w:val="auto"/>
          <w:szCs w:val="21"/>
        </w:rPr>
        <w:t>安排计划</w:t>
      </w:r>
      <w:r>
        <w:rPr>
          <w:rFonts w:ascii="宋体" w:hAnsi="宋体"/>
          <w:color w:val="auto"/>
          <w:szCs w:val="21"/>
        </w:rPr>
        <w:t>，并有权</w:t>
      </w:r>
      <w:r>
        <w:rPr>
          <w:rFonts w:hint="eastAsia" w:ascii="宋体" w:hAnsi="宋体"/>
          <w:color w:val="auto"/>
          <w:szCs w:val="21"/>
        </w:rPr>
        <w:t>定期核对乙方提供货物数量、规格、质量等内容。甲方</w:t>
      </w:r>
      <w:r>
        <w:rPr>
          <w:rFonts w:ascii="宋体" w:hAnsi="宋体"/>
          <w:color w:val="auto"/>
          <w:szCs w:val="21"/>
        </w:rPr>
        <w:t>有权督促乙方工作并要求乙方</w:t>
      </w:r>
      <w:r>
        <w:rPr>
          <w:rFonts w:hint="eastAsia" w:ascii="宋体" w:hAnsi="宋体"/>
          <w:color w:val="auto"/>
          <w:szCs w:val="21"/>
        </w:rPr>
        <w:t>更</w:t>
      </w:r>
      <w:r>
        <w:rPr>
          <w:rFonts w:ascii="宋体" w:hAnsi="宋体"/>
          <w:color w:val="auto"/>
          <w:szCs w:val="21"/>
        </w:rPr>
        <w:t>换不符合要求的</w:t>
      </w:r>
      <w:r>
        <w:rPr>
          <w:rFonts w:hint="eastAsia" w:ascii="宋体" w:hAnsi="宋体"/>
          <w:color w:val="auto"/>
          <w:szCs w:val="21"/>
        </w:rPr>
        <w:t>货物</w:t>
      </w:r>
      <w:r>
        <w:rPr>
          <w:rFonts w:ascii="宋体" w:hAnsi="宋体"/>
          <w:color w:val="auto"/>
          <w:szCs w:val="21"/>
        </w:rPr>
        <w:t>。</w:t>
      </w:r>
    </w:p>
    <w:p w14:paraId="6E832A22">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4.</w:t>
      </w:r>
      <w:r>
        <w:rPr>
          <w:rFonts w:ascii="宋体" w:hAnsi="宋体"/>
          <w:color w:val="auto"/>
          <w:szCs w:val="21"/>
        </w:rPr>
        <w:t>3</w:t>
      </w:r>
      <w:r>
        <w:rPr>
          <w:rFonts w:hint="eastAsia" w:ascii="宋体" w:hAnsi="宋体"/>
          <w:color w:val="auto"/>
          <w:szCs w:val="21"/>
        </w:rPr>
        <w:t xml:space="preserve"> </w:t>
      </w:r>
      <w:r>
        <w:rPr>
          <w:rFonts w:ascii="宋体" w:hAnsi="宋体"/>
          <w:color w:val="auto"/>
          <w:szCs w:val="21"/>
        </w:rPr>
        <w:t>甲方</w:t>
      </w:r>
      <w:r>
        <w:rPr>
          <w:rFonts w:hint="eastAsia" w:ascii="宋体" w:hAnsi="宋体"/>
          <w:color w:val="auto"/>
          <w:szCs w:val="21"/>
        </w:rPr>
        <w:t>有权要求乙方对缺陷部分予以修复，并按合同约定享有货物保修及其他合同约定的权利。</w:t>
      </w:r>
    </w:p>
    <w:p w14:paraId="439EAC94">
      <w:pPr>
        <w:snapToGrid w:val="0"/>
        <w:spacing w:line="400" w:lineRule="exact"/>
        <w:ind w:firstLine="420" w:firstLineChars="200"/>
        <w:rPr>
          <w:rFonts w:eastAsia="华文楷体"/>
          <w:color w:val="auto"/>
        </w:rPr>
      </w:pPr>
      <w:r>
        <w:rPr>
          <w:rFonts w:ascii="宋体" w:hAnsi="宋体"/>
          <w:color w:val="auto"/>
          <w:szCs w:val="21"/>
        </w:rPr>
        <w:t>4.4 甲方应当按照合同约定及时对交付的货物进行验收</w:t>
      </w:r>
      <w:r>
        <w:rPr>
          <w:rFonts w:hint="eastAsia" w:ascii="宋体" w:hAnsi="宋体"/>
          <w:color w:val="auto"/>
          <w:szCs w:val="21"/>
        </w:rPr>
        <w:t>，</w:t>
      </w:r>
      <w:r>
        <w:rPr>
          <w:rFonts w:hint="eastAsia" w:ascii="宋体" w:hAnsi="宋体" w:cs="宋体"/>
          <w:color w:val="auto"/>
          <w:szCs w:val="21"/>
        </w:rPr>
        <w:t>未</w:t>
      </w:r>
      <w:r>
        <w:rPr>
          <w:rFonts w:hint="eastAsia" w:ascii="宋体" w:hAnsi="宋体"/>
          <w:color w:val="auto"/>
          <w:szCs w:val="21"/>
        </w:rPr>
        <w:t>在</w:t>
      </w:r>
      <w:r>
        <w:rPr>
          <w:rFonts w:hint="eastAsia" w:ascii="宋体" w:hAnsi="宋体" w:cs="宋体"/>
          <w:b/>
          <w:bCs/>
          <w:color w:val="auto"/>
          <w:szCs w:val="21"/>
        </w:rPr>
        <w:t>【政府采购合同专用条款】</w:t>
      </w:r>
      <w:r>
        <w:rPr>
          <w:rFonts w:hint="eastAsia" w:ascii="宋体" w:hAnsi="宋体" w:cs="宋体"/>
          <w:color w:val="auto"/>
          <w:szCs w:val="21"/>
        </w:rPr>
        <w:t>约定的期限内对乙方履约提出任何异议或者向乙方作出任何说明的，</w:t>
      </w:r>
      <w:r>
        <w:rPr>
          <w:rFonts w:hint="eastAsia" w:ascii="宋体" w:hAnsi="宋体"/>
          <w:color w:val="auto"/>
          <w:szCs w:val="21"/>
        </w:rPr>
        <w:t>视为验收通过。</w:t>
      </w:r>
    </w:p>
    <w:p w14:paraId="04AF0274">
      <w:pPr>
        <w:autoSpaceDE w:val="0"/>
        <w:autoSpaceDN w:val="0"/>
        <w:adjustRightInd w:val="0"/>
        <w:snapToGrid w:val="0"/>
        <w:spacing w:line="400" w:lineRule="exact"/>
        <w:ind w:firstLine="420" w:firstLineChars="200"/>
        <w:jc w:val="left"/>
        <w:rPr>
          <w:rFonts w:ascii="宋体" w:hAnsi="宋体"/>
          <w:color w:val="auto"/>
          <w:szCs w:val="21"/>
        </w:rPr>
      </w:pPr>
      <w:r>
        <w:rPr>
          <w:rFonts w:ascii="宋体" w:hAnsi="宋体"/>
          <w:color w:val="auto"/>
          <w:szCs w:val="21"/>
        </w:rPr>
        <w:t>4</w:t>
      </w:r>
      <w:r>
        <w:rPr>
          <w:rFonts w:hint="eastAsia" w:ascii="宋体" w:hAnsi="宋体"/>
          <w:color w:val="auto"/>
          <w:szCs w:val="21"/>
        </w:rPr>
        <w:t>.</w:t>
      </w:r>
      <w:r>
        <w:rPr>
          <w:rFonts w:ascii="宋体" w:hAnsi="宋体"/>
          <w:color w:val="auto"/>
          <w:szCs w:val="21"/>
        </w:rPr>
        <w:t xml:space="preserve">5 </w:t>
      </w:r>
      <w:r>
        <w:rPr>
          <w:rFonts w:hint="eastAsia" w:ascii="宋体" w:hAnsi="宋体"/>
          <w:color w:val="auto"/>
          <w:szCs w:val="21"/>
        </w:rPr>
        <w:t>甲方应当根据合同约定及时向乙方支付合同价款</w:t>
      </w:r>
      <w:r>
        <w:rPr>
          <w:rFonts w:ascii="宋体" w:hAnsi="宋体"/>
          <w:color w:val="auto"/>
          <w:szCs w:val="21"/>
        </w:rPr>
        <w:t>，不得以内部人员变更、履行内部付款流程等为由，拒绝或迟延支付。</w:t>
      </w:r>
    </w:p>
    <w:p w14:paraId="0B8E7953">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4.6</w:t>
      </w:r>
      <w:r>
        <w:rPr>
          <w:rFonts w:ascii="宋体" w:hAnsi="宋体"/>
          <w:color w:val="auto"/>
          <w:szCs w:val="21"/>
        </w:rPr>
        <w:t xml:space="preserve"> </w:t>
      </w:r>
      <w:r>
        <w:rPr>
          <w:rFonts w:hint="eastAsia" w:ascii="宋体" w:hAnsi="宋体"/>
          <w:color w:val="auto"/>
          <w:szCs w:val="21"/>
        </w:rPr>
        <w:t>国家法律法规规定及</w:t>
      </w:r>
      <w:r>
        <w:rPr>
          <w:rFonts w:hint="eastAsia" w:ascii="宋体" w:hAnsi="宋体" w:cs="宋体"/>
          <w:b/>
          <w:bCs/>
          <w:color w:val="auto"/>
          <w:szCs w:val="21"/>
        </w:rPr>
        <w:t>【政府采购合同专用条款】</w:t>
      </w:r>
      <w:r>
        <w:rPr>
          <w:rFonts w:hint="eastAsia" w:ascii="宋体" w:hAnsi="宋体"/>
          <w:color w:val="auto"/>
          <w:szCs w:val="21"/>
        </w:rPr>
        <w:t>约定应由甲方承担的其他义务和责任。</w:t>
      </w:r>
    </w:p>
    <w:p w14:paraId="08027D34">
      <w:pPr>
        <w:autoSpaceDE w:val="0"/>
        <w:autoSpaceDN w:val="0"/>
        <w:adjustRightInd w:val="0"/>
        <w:snapToGrid w:val="0"/>
        <w:spacing w:line="400" w:lineRule="exact"/>
        <w:jc w:val="left"/>
        <w:rPr>
          <w:rFonts w:ascii="宋体" w:hAnsi="宋体"/>
          <w:b/>
          <w:bCs/>
          <w:color w:val="auto"/>
          <w:sz w:val="24"/>
        </w:rPr>
      </w:pPr>
      <w:r>
        <w:rPr>
          <w:rFonts w:hint="eastAsia" w:ascii="宋体" w:hAnsi="宋体"/>
          <w:b/>
          <w:bCs/>
          <w:color w:val="auto"/>
          <w:sz w:val="24"/>
        </w:rPr>
        <w:t>5. 乙方的权利和义务</w:t>
      </w:r>
    </w:p>
    <w:p w14:paraId="3F3912DB">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 xml:space="preserve">5.1 </w:t>
      </w:r>
      <w:r>
        <w:rPr>
          <w:rFonts w:ascii="宋体" w:hAnsi="宋体"/>
          <w:color w:val="auto"/>
          <w:szCs w:val="21"/>
        </w:rPr>
        <w:t>签署合同后，乙方</w:t>
      </w:r>
      <w:r>
        <w:rPr>
          <w:rFonts w:hint="eastAsia" w:ascii="宋体" w:hAnsi="宋体"/>
          <w:color w:val="auto"/>
          <w:szCs w:val="21"/>
        </w:rPr>
        <w:t>应</w:t>
      </w:r>
      <w:r>
        <w:rPr>
          <w:rFonts w:ascii="宋体" w:hAnsi="宋体"/>
          <w:color w:val="auto"/>
          <w:szCs w:val="21"/>
        </w:rPr>
        <w:t>确定</w:t>
      </w:r>
      <w:r>
        <w:rPr>
          <w:rFonts w:hint="eastAsia" w:ascii="宋体" w:hAnsi="宋体"/>
          <w:color w:val="auto"/>
          <w:szCs w:val="21"/>
        </w:rPr>
        <w:t>项目负责人（或项目联系人）</w:t>
      </w:r>
      <w:r>
        <w:rPr>
          <w:rFonts w:ascii="宋体" w:hAnsi="宋体"/>
          <w:color w:val="auto"/>
          <w:szCs w:val="21"/>
        </w:rPr>
        <w:t>，负责与本合同有关的事务。</w:t>
      </w:r>
    </w:p>
    <w:p w14:paraId="2E9446EA">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5.</w:t>
      </w:r>
      <w:r>
        <w:rPr>
          <w:rFonts w:ascii="宋体" w:hAnsi="宋体"/>
          <w:color w:val="auto"/>
          <w:szCs w:val="21"/>
        </w:rPr>
        <w:t>2 乙方应按照合同要求</w:t>
      </w:r>
      <w:r>
        <w:rPr>
          <w:rFonts w:hint="eastAsia" w:ascii="宋体" w:hAnsi="宋体"/>
          <w:color w:val="auto"/>
          <w:szCs w:val="21"/>
        </w:rPr>
        <w:t>履约</w:t>
      </w:r>
      <w:r>
        <w:rPr>
          <w:rFonts w:ascii="宋体" w:hAnsi="宋体"/>
          <w:color w:val="auto"/>
          <w:szCs w:val="21"/>
        </w:rPr>
        <w:t>，充分合理安排，确保</w:t>
      </w:r>
      <w:r>
        <w:rPr>
          <w:rFonts w:hint="eastAsia" w:ascii="宋体" w:hAnsi="宋体"/>
          <w:color w:val="auto"/>
          <w:szCs w:val="21"/>
        </w:rPr>
        <w:t>提供的货物及相关服务符合合同有关</w:t>
      </w:r>
      <w:r>
        <w:rPr>
          <w:rFonts w:ascii="宋体" w:hAnsi="宋体"/>
          <w:color w:val="auto"/>
          <w:szCs w:val="21"/>
        </w:rPr>
        <w:t>要求</w:t>
      </w:r>
      <w:r>
        <w:rPr>
          <w:rFonts w:hint="eastAsia" w:ascii="宋体" w:hAnsi="宋体"/>
          <w:color w:val="auto"/>
          <w:szCs w:val="21"/>
        </w:rPr>
        <w:t>。接受项目行业管理部门及政府有关部门的指导，配合甲方的履约检查及验收，并</w:t>
      </w:r>
      <w:r>
        <w:rPr>
          <w:rFonts w:ascii="宋体" w:hAnsi="宋体"/>
          <w:color w:val="auto"/>
          <w:szCs w:val="21"/>
        </w:rPr>
        <w:t>负责项目实施过程中的所有协调工作。</w:t>
      </w:r>
    </w:p>
    <w:p w14:paraId="0D310B86">
      <w:pPr>
        <w:pStyle w:val="2"/>
        <w:spacing w:after="0" w:line="400" w:lineRule="exact"/>
        <w:ind w:firstLine="352" w:firstLineChars="176"/>
        <w:rPr>
          <w:rFonts w:ascii="宋体" w:hAnsi="宋体" w:cs="宋体"/>
          <w:color w:val="auto"/>
          <w:szCs w:val="21"/>
        </w:rPr>
      </w:pPr>
      <w:r>
        <w:rPr>
          <w:rFonts w:hint="eastAsia" w:ascii="宋体" w:hAnsi="宋体"/>
          <w:color w:val="auto"/>
          <w:szCs w:val="21"/>
        </w:rPr>
        <w:t>5.</w:t>
      </w:r>
      <w:r>
        <w:rPr>
          <w:rFonts w:ascii="宋体" w:hAnsi="宋体"/>
          <w:color w:val="auto"/>
          <w:szCs w:val="21"/>
        </w:rPr>
        <w:t>3</w:t>
      </w:r>
      <w:r>
        <w:rPr>
          <w:rFonts w:hint="eastAsia" w:ascii="宋体" w:hAnsi="宋体"/>
          <w:color w:val="auto"/>
          <w:szCs w:val="21"/>
        </w:rPr>
        <w:t>乙方有权</w:t>
      </w:r>
      <w:r>
        <w:rPr>
          <w:rFonts w:hint="eastAsia" w:ascii="宋体" w:hAnsi="宋体" w:cs="宋体"/>
          <w:color w:val="auto"/>
          <w:szCs w:val="21"/>
        </w:rPr>
        <w:t>根据合同约定向甲方收取合同价款。</w:t>
      </w:r>
    </w:p>
    <w:p w14:paraId="6BF87D9F">
      <w:pPr>
        <w:pStyle w:val="2"/>
        <w:spacing w:after="0" w:line="400" w:lineRule="exact"/>
        <w:ind w:firstLine="352" w:firstLineChars="176"/>
        <w:rPr>
          <w:rFonts w:ascii="宋体" w:hAnsi="宋体" w:cs="宋体"/>
          <w:color w:val="auto"/>
          <w:szCs w:val="21"/>
        </w:rPr>
      </w:pPr>
      <w:r>
        <w:rPr>
          <w:rFonts w:hint="eastAsia" w:ascii="宋体" w:hAnsi="宋体"/>
          <w:color w:val="auto"/>
          <w:szCs w:val="21"/>
        </w:rPr>
        <w:t>5.</w:t>
      </w:r>
      <w:r>
        <w:rPr>
          <w:rFonts w:ascii="宋体" w:hAnsi="宋体"/>
          <w:color w:val="auto"/>
          <w:szCs w:val="21"/>
        </w:rPr>
        <w:t>4</w:t>
      </w:r>
      <w:r>
        <w:rPr>
          <w:rFonts w:hint="eastAsia" w:ascii="宋体" w:hAnsi="宋体" w:cs="宋体"/>
          <w:color w:val="auto"/>
          <w:szCs w:val="21"/>
        </w:rPr>
        <w:t>国家法律法规规定</w:t>
      </w:r>
      <w:r>
        <w:rPr>
          <w:rFonts w:hint="eastAsia" w:ascii="宋体" w:hAnsi="宋体"/>
          <w:color w:val="auto"/>
          <w:szCs w:val="21"/>
        </w:rPr>
        <w:t>及</w:t>
      </w:r>
      <w:r>
        <w:rPr>
          <w:rFonts w:hint="eastAsia" w:ascii="宋体" w:hAnsi="宋体" w:cs="宋体"/>
          <w:b/>
          <w:bCs/>
          <w:color w:val="auto"/>
          <w:szCs w:val="21"/>
        </w:rPr>
        <w:t>【政府采购合同专用条款】</w:t>
      </w:r>
      <w:r>
        <w:rPr>
          <w:rFonts w:hint="eastAsia" w:ascii="宋体" w:hAnsi="宋体" w:cs="宋体"/>
          <w:color w:val="auto"/>
          <w:szCs w:val="21"/>
        </w:rPr>
        <w:t>约定应由乙方承担的其他义务和责任。</w:t>
      </w:r>
    </w:p>
    <w:p w14:paraId="211E497A">
      <w:pPr>
        <w:numPr>
          <w:ilvl w:val="0"/>
          <w:numId w:val="6"/>
        </w:numPr>
        <w:autoSpaceDE w:val="0"/>
        <w:autoSpaceDN w:val="0"/>
        <w:adjustRightInd w:val="0"/>
        <w:snapToGrid w:val="0"/>
        <w:spacing w:line="400" w:lineRule="exact"/>
        <w:jc w:val="left"/>
        <w:rPr>
          <w:rFonts w:ascii="宋体" w:hAnsi="宋体"/>
          <w:b/>
          <w:bCs/>
          <w:color w:val="auto"/>
          <w:sz w:val="24"/>
        </w:rPr>
      </w:pPr>
      <w:r>
        <w:rPr>
          <w:rFonts w:hint="eastAsia" w:ascii="宋体" w:hAnsi="宋体"/>
          <w:b/>
          <w:bCs/>
          <w:color w:val="auto"/>
          <w:sz w:val="24"/>
        </w:rPr>
        <w:t>合同履行</w:t>
      </w:r>
    </w:p>
    <w:p w14:paraId="40FBFE1D">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6.1 甲乙双方应当按照</w:t>
      </w:r>
      <w:r>
        <w:rPr>
          <w:rFonts w:hint="eastAsia" w:ascii="宋体" w:hAnsi="宋体" w:cs="宋体"/>
          <w:b/>
          <w:bCs/>
          <w:color w:val="auto"/>
          <w:szCs w:val="21"/>
        </w:rPr>
        <w:t>【政府采购合同专用条款】</w:t>
      </w:r>
      <w:r>
        <w:rPr>
          <w:rFonts w:hint="eastAsia" w:ascii="宋体" w:hAnsi="宋体"/>
          <w:color w:val="auto"/>
          <w:szCs w:val="21"/>
        </w:rPr>
        <w:t>约定顺序履行合同义务；如果没有先后顺序的，应当同时履行。</w:t>
      </w:r>
    </w:p>
    <w:p w14:paraId="2AB86A7C">
      <w:pPr>
        <w:autoSpaceDE w:val="0"/>
        <w:autoSpaceDN w:val="0"/>
        <w:adjustRightInd w:val="0"/>
        <w:snapToGrid w:val="0"/>
        <w:spacing w:line="400" w:lineRule="exact"/>
        <w:ind w:firstLine="420" w:firstLineChars="200"/>
        <w:jc w:val="left"/>
        <w:rPr>
          <w:color w:val="auto"/>
        </w:rPr>
      </w:pPr>
      <w:r>
        <w:rPr>
          <w:rFonts w:hint="eastAsia" w:ascii="宋体" w:hAnsi="宋体"/>
          <w:color w:val="auto"/>
          <w:szCs w:val="21"/>
        </w:rPr>
        <w:t>6.2 甲乙双方按照合同约定顺序履行合同义务时，应当先履行一方未履行的，后履行一方有权拒绝其履行请求。先履行一方履行不符合约定的，后履行一方有权拒绝其相应的履行请求。</w:t>
      </w:r>
    </w:p>
    <w:p w14:paraId="12BC1DCC">
      <w:pPr>
        <w:adjustRightInd w:val="0"/>
        <w:snapToGrid w:val="0"/>
        <w:spacing w:line="400" w:lineRule="exact"/>
        <w:jc w:val="left"/>
        <w:rPr>
          <w:rFonts w:ascii="宋体" w:hAnsi="宋体"/>
          <w:b/>
          <w:bCs/>
          <w:color w:val="auto"/>
          <w:sz w:val="24"/>
        </w:rPr>
      </w:pPr>
      <w:r>
        <w:rPr>
          <w:rFonts w:hint="eastAsia" w:ascii="宋体" w:hAnsi="宋体"/>
          <w:b/>
          <w:bCs/>
          <w:color w:val="auto"/>
          <w:sz w:val="24"/>
        </w:rPr>
        <w:t>7. 货物包装、运输、保险和交付要求</w:t>
      </w:r>
    </w:p>
    <w:p w14:paraId="61AE21BA">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7.1 本合同</w:t>
      </w:r>
      <w:r>
        <w:rPr>
          <w:rFonts w:hint="eastAsia" w:ascii="宋体" w:hAnsi="宋体"/>
          <w:bCs/>
          <w:color w:val="auto"/>
          <w:szCs w:val="21"/>
        </w:rPr>
        <w:t>涉及商品包装、快递包装的，</w:t>
      </w:r>
      <w:r>
        <w:rPr>
          <w:rFonts w:hint="eastAsia" w:ascii="宋体" w:hAnsi="宋体"/>
          <w:color w:val="auto"/>
          <w:szCs w:val="21"/>
        </w:rPr>
        <w:t>除</w:t>
      </w:r>
      <w:r>
        <w:rPr>
          <w:rFonts w:hint="eastAsia" w:ascii="宋体" w:hAnsi="宋体"/>
          <w:b/>
          <w:color w:val="auto"/>
          <w:szCs w:val="21"/>
        </w:rPr>
        <w:t>【政府采购合同专用条款】</w:t>
      </w:r>
      <w:r>
        <w:rPr>
          <w:rFonts w:hint="eastAsia" w:ascii="宋体" w:hAnsi="宋体"/>
          <w:bCs/>
          <w:color w:val="auto"/>
          <w:szCs w:val="21"/>
        </w:rPr>
        <w:t>另有约定外，</w:t>
      </w:r>
      <w:r>
        <w:rPr>
          <w:rFonts w:hint="eastAsia" w:ascii="宋体" w:hAnsi="宋体"/>
          <w:color w:val="auto"/>
          <w:szCs w:val="21"/>
        </w:rPr>
        <w:t>包装应适应远距离运输、防潮、防震、防锈和防野蛮装卸等要求，确保货物安全无损地运抵</w:t>
      </w:r>
      <w:r>
        <w:rPr>
          <w:rFonts w:hint="eastAsia" w:ascii="宋体" w:hAnsi="宋体"/>
          <w:b/>
          <w:color w:val="auto"/>
          <w:szCs w:val="21"/>
        </w:rPr>
        <w:t>【政府采购合同专用条款】</w:t>
      </w:r>
      <w:r>
        <w:rPr>
          <w:rFonts w:hint="eastAsia" w:ascii="宋体" w:hAnsi="宋体"/>
          <w:bCs/>
          <w:color w:val="auto"/>
          <w:szCs w:val="21"/>
        </w:rPr>
        <w:t>约定的</w:t>
      </w:r>
      <w:r>
        <w:rPr>
          <w:rFonts w:hint="eastAsia" w:ascii="宋体" w:hAnsi="宋体"/>
          <w:color w:val="auto"/>
          <w:szCs w:val="21"/>
        </w:rPr>
        <w:t>指定现场。</w:t>
      </w:r>
    </w:p>
    <w:p w14:paraId="5AED9D06">
      <w:pPr>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7.2 除</w:t>
      </w:r>
      <w:r>
        <w:rPr>
          <w:rFonts w:hint="eastAsia" w:ascii="宋体" w:hAnsi="宋体"/>
          <w:b/>
          <w:color w:val="auto"/>
          <w:szCs w:val="21"/>
        </w:rPr>
        <w:t>【政府采购合同专用条款】</w:t>
      </w:r>
      <w:r>
        <w:rPr>
          <w:rFonts w:hint="eastAsia" w:ascii="宋体" w:hAnsi="宋体"/>
          <w:bCs/>
          <w:color w:val="auto"/>
          <w:szCs w:val="21"/>
        </w:rPr>
        <w:t>另有约定外，</w:t>
      </w:r>
      <w:r>
        <w:rPr>
          <w:rFonts w:hint="eastAsia" w:ascii="宋体" w:hAnsi="宋体"/>
          <w:color w:val="auto"/>
          <w:szCs w:val="21"/>
        </w:rPr>
        <w:t>乙方负责办理将货物运抵本合同规定的交货地点，并装卸、交付至甲方的一切运输事项，相关费用应包含在合同价款中。</w:t>
      </w:r>
    </w:p>
    <w:p w14:paraId="292EEE5F">
      <w:pPr>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7.3 货物保险要求按</w:t>
      </w:r>
      <w:r>
        <w:rPr>
          <w:rFonts w:hint="eastAsia" w:ascii="宋体" w:hAnsi="宋体"/>
          <w:b/>
          <w:color w:val="auto"/>
          <w:szCs w:val="21"/>
        </w:rPr>
        <w:t>【政府采购合同专用条款】</w:t>
      </w:r>
      <w:r>
        <w:rPr>
          <w:rFonts w:hint="eastAsia" w:ascii="宋体" w:hAnsi="宋体"/>
          <w:bCs/>
          <w:color w:val="auto"/>
          <w:szCs w:val="21"/>
        </w:rPr>
        <w:t>规定执行</w:t>
      </w:r>
      <w:r>
        <w:rPr>
          <w:rFonts w:hint="eastAsia" w:ascii="宋体" w:hAnsi="宋体"/>
          <w:color w:val="auto"/>
          <w:szCs w:val="21"/>
        </w:rPr>
        <w:t>。</w:t>
      </w:r>
    </w:p>
    <w:p w14:paraId="02B6A121">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ED4EAFC">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 xml:space="preserve">7.5 </w:t>
      </w:r>
      <w:r>
        <w:rPr>
          <w:rFonts w:hint="eastAsia" w:ascii="宋体" w:hAnsi="宋体" w:cs="宋体"/>
          <w:color w:val="auto"/>
          <w:szCs w:val="21"/>
        </w:rPr>
        <w:t>乙方在运输到达之前应提前通知甲方，并提示货物运输装卸的注意事项，甲方配合乙方做好货物的接收工作。</w:t>
      </w:r>
    </w:p>
    <w:p w14:paraId="1B694828">
      <w:pPr>
        <w:pStyle w:val="34"/>
        <w:ind w:firstLine="420"/>
        <w:rPr>
          <w:color w:val="auto"/>
          <w:sz w:val="21"/>
        </w:rPr>
      </w:pPr>
      <w:r>
        <w:rPr>
          <w:rFonts w:hint="eastAsia" w:ascii="宋体" w:hAnsi="宋体" w:eastAsia="宋体" w:cs="Times New Roman"/>
          <w:color w:val="auto"/>
          <w:kern w:val="2"/>
          <w:sz w:val="21"/>
        </w:rPr>
        <w:t>7.6 如因包装、运输问题导致货物损毁、丢失或者品质下降，甲方有权要求降价、换货、拒收部分或整批货物，由此产生的费用和损失，均由乙方承担。</w:t>
      </w:r>
    </w:p>
    <w:p w14:paraId="03D085CA">
      <w:pPr>
        <w:adjustRightInd w:val="0"/>
        <w:snapToGrid w:val="0"/>
        <w:spacing w:line="400" w:lineRule="exact"/>
        <w:jc w:val="left"/>
        <w:rPr>
          <w:rFonts w:ascii="宋体" w:hAnsi="宋体"/>
          <w:b/>
          <w:color w:val="auto"/>
          <w:sz w:val="24"/>
        </w:rPr>
      </w:pPr>
      <w:r>
        <w:rPr>
          <w:rFonts w:hint="eastAsia" w:ascii="宋体" w:hAnsi="宋体"/>
          <w:b/>
          <w:color w:val="auto"/>
          <w:sz w:val="24"/>
        </w:rPr>
        <w:t>8. 质量标准和保证</w:t>
      </w:r>
    </w:p>
    <w:p w14:paraId="6D11B4B9">
      <w:pPr>
        <w:pStyle w:val="16"/>
        <w:adjustRightInd w:val="0"/>
        <w:snapToGrid w:val="0"/>
        <w:spacing w:line="400" w:lineRule="exact"/>
        <w:ind w:firstLine="400" w:firstLineChars="200"/>
        <w:jc w:val="left"/>
        <w:rPr>
          <w:rFonts w:hAnsi="宋体"/>
          <w:b/>
          <w:color w:val="auto"/>
        </w:rPr>
      </w:pPr>
      <w:r>
        <w:rPr>
          <w:rFonts w:hint="eastAsia" w:hAnsi="宋体"/>
          <w:color w:val="auto"/>
        </w:rPr>
        <w:t>8.1 质量标准</w:t>
      </w:r>
    </w:p>
    <w:p w14:paraId="4286C402">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（1）本合同下提供的货物应符合合同</w:t>
      </w:r>
      <w:r>
        <w:rPr>
          <w:rFonts w:hint="eastAsia" w:ascii="宋体" w:hAnsi="宋体" w:cs="宋体"/>
          <w:color w:val="auto"/>
          <w:szCs w:val="21"/>
        </w:rPr>
        <w:t>约定的品牌、规格型号、技术性能、配置、质量、数量等要求。</w:t>
      </w:r>
      <w:r>
        <w:rPr>
          <w:rFonts w:hint="eastAsia" w:ascii="宋体" w:hAnsi="宋体"/>
          <w:color w:val="auto"/>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3A9E831">
      <w:pPr>
        <w:pStyle w:val="16"/>
        <w:adjustRightInd w:val="0"/>
        <w:snapToGrid w:val="0"/>
        <w:spacing w:line="400" w:lineRule="exact"/>
        <w:ind w:firstLine="400" w:firstLineChars="200"/>
        <w:jc w:val="left"/>
        <w:rPr>
          <w:rFonts w:hAnsi="宋体"/>
          <w:color w:val="auto"/>
        </w:rPr>
      </w:pPr>
      <w:r>
        <w:rPr>
          <w:rFonts w:hint="eastAsia" w:hAnsi="宋体"/>
          <w:color w:val="auto"/>
        </w:rPr>
        <w:t>（2）采用中华人民共和国法定计量单位。</w:t>
      </w:r>
    </w:p>
    <w:p w14:paraId="12E5130D">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（3）乙方所提供的货物应符合国家有关安全、环保、卫生的规定。</w:t>
      </w:r>
    </w:p>
    <w:p w14:paraId="21501165">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（4）乙方应向甲方提交所提供货物的技术文件，包括相应的中文技术文件，如：产品目录、图纸、操作手册、使用说明、维护手册或服务指南等。上述文件应包装好随货物一同发运。</w:t>
      </w:r>
    </w:p>
    <w:p w14:paraId="01B76D31">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8.2 保证</w:t>
      </w:r>
    </w:p>
    <w:p w14:paraId="510B71C7">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（1）乙方应保证提供的货物完全符合合同规定的质量、规格和性能要求。乙方应保证货物在正确安装、正常使用和保养条件下，</w:t>
      </w:r>
      <w:r>
        <w:rPr>
          <w:rFonts w:hint="eastAsia" w:ascii="宋体" w:hAnsi="宋体" w:cs="宋体"/>
          <w:color w:val="auto"/>
          <w:szCs w:val="21"/>
        </w:rPr>
        <w:t>在其使用寿命期内具备合同约定的性能</w:t>
      </w:r>
      <w:r>
        <w:rPr>
          <w:rFonts w:hint="eastAsia" w:ascii="宋体" w:hAnsi="宋体"/>
          <w:color w:val="auto"/>
          <w:szCs w:val="21"/>
        </w:rPr>
        <w:t>。存在质量保证期的，货物最终交付验收合格后在</w:t>
      </w:r>
      <w:r>
        <w:rPr>
          <w:rFonts w:hint="eastAsia" w:ascii="宋体" w:hAnsi="宋体"/>
          <w:b/>
          <w:color w:val="auto"/>
          <w:szCs w:val="21"/>
        </w:rPr>
        <w:t>【政府采购合同专用条款】</w:t>
      </w:r>
      <w:r>
        <w:rPr>
          <w:rFonts w:hint="eastAsia" w:ascii="宋体" w:hAnsi="宋体"/>
          <w:color w:val="auto"/>
          <w:szCs w:val="21"/>
        </w:rPr>
        <w:t>规定或乙方书面承诺（两者以较长的为准）的质量保证期内，本保证保持有效。</w:t>
      </w:r>
    </w:p>
    <w:p w14:paraId="28C4CE2F">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（2）在质量保证期内所发现的缺陷，甲方应尽快以书面形式通知乙方。</w:t>
      </w:r>
    </w:p>
    <w:p w14:paraId="1D1D5C62">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（3）乙方收到通知后，应在</w:t>
      </w:r>
      <w:r>
        <w:rPr>
          <w:rFonts w:hint="eastAsia" w:ascii="宋体" w:hAnsi="宋体"/>
          <w:b/>
          <w:color w:val="auto"/>
          <w:szCs w:val="21"/>
        </w:rPr>
        <w:t>【政府采购合同专用条款】</w:t>
      </w:r>
      <w:r>
        <w:rPr>
          <w:rFonts w:hint="eastAsia" w:ascii="宋体" w:hAnsi="宋体"/>
          <w:color w:val="auto"/>
          <w:szCs w:val="21"/>
        </w:rPr>
        <w:t>规定的响应时间内以合理的速度免费维修或更换有缺陷的货物或部件。</w:t>
      </w:r>
    </w:p>
    <w:p w14:paraId="11ED1346">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17507E1D">
      <w:pPr>
        <w:adjustRightInd w:val="0"/>
        <w:snapToGrid w:val="0"/>
        <w:spacing w:line="400" w:lineRule="exact"/>
        <w:ind w:firstLine="420" w:firstLineChars="200"/>
        <w:jc w:val="left"/>
        <w:rPr>
          <w:color w:val="auto"/>
        </w:rPr>
      </w:pPr>
      <w:r>
        <w:rPr>
          <w:rFonts w:hint="eastAsia" w:ascii="宋体" w:hAnsi="宋体"/>
          <w:color w:val="auto"/>
          <w:szCs w:val="21"/>
        </w:rPr>
        <w:t>（5）乙方在约定的时间内未能弥补缺陷，甲方可采取必要的补救措施，但其风险和费用将由乙方承担，甲方根据合同约定对乙方行使的其他权利不受影响。</w:t>
      </w:r>
    </w:p>
    <w:p w14:paraId="4B9C9A4F">
      <w:pPr>
        <w:adjustRightInd w:val="0"/>
        <w:snapToGrid w:val="0"/>
        <w:spacing w:line="400" w:lineRule="exact"/>
        <w:jc w:val="left"/>
        <w:rPr>
          <w:rFonts w:ascii="宋体" w:hAnsi="宋体"/>
          <w:b/>
          <w:bCs/>
          <w:color w:val="auto"/>
          <w:sz w:val="24"/>
        </w:rPr>
      </w:pPr>
      <w:r>
        <w:rPr>
          <w:rFonts w:hint="eastAsia" w:ascii="宋体" w:hAnsi="宋体"/>
          <w:b/>
          <w:bCs/>
          <w:color w:val="auto"/>
          <w:sz w:val="24"/>
        </w:rPr>
        <w:t>9. 权利瑕疵担保</w:t>
      </w:r>
    </w:p>
    <w:p w14:paraId="2BD0BF4A">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9.1 乙方保证对其出售的货物享有合法的权利。</w:t>
      </w:r>
    </w:p>
    <w:p w14:paraId="6D78FFA4">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 xml:space="preserve">9.2 </w:t>
      </w:r>
      <w:r>
        <w:rPr>
          <w:rFonts w:hint="eastAsia" w:ascii="宋体" w:hAnsi="宋体" w:cs="宋体"/>
          <w:color w:val="auto"/>
          <w:szCs w:val="15"/>
        </w:rPr>
        <w:t>乙方保证在交付的货物上不存在抵押权等担保物权。</w:t>
      </w:r>
    </w:p>
    <w:p w14:paraId="3F61C515">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9.3 如甲方使用上述货物构成对第三人侵权的，则由乙方承担全部责任。</w:t>
      </w:r>
    </w:p>
    <w:p w14:paraId="573BF494">
      <w:pPr>
        <w:autoSpaceDE w:val="0"/>
        <w:autoSpaceDN w:val="0"/>
        <w:adjustRightInd w:val="0"/>
        <w:snapToGrid w:val="0"/>
        <w:spacing w:line="400" w:lineRule="exact"/>
        <w:jc w:val="left"/>
        <w:rPr>
          <w:rFonts w:ascii="宋体" w:hAnsi="宋体"/>
          <w:b/>
          <w:bCs/>
          <w:color w:val="auto"/>
          <w:sz w:val="24"/>
        </w:rPr>
      </w:pPr>
      <w:r>
        <w:rPr>
          <w:rFonts w:hint="eastAsia" w:ascii="宋体" w:hAnsi="宋体"/>
          <w:b/>
          <w:bCs/>
          <w:color w:val="auto"/>
          <w:sz w:val="24"/>
        </w:rPr>
        <w:t>10. 知识产权保护</w:t>
      </w:r>
    </w:p>
    <w:p w14:paraId="41C28746">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10.1 乙方对其所销售的货物应当享有知识产权或经权利人合法授权，保证没有侵犯任何第三人的知识产权等权利。</w:t>
      </w:r>
      <w:bookmarkStart w:id="554" w:name="_Hlk163047038"/>
      <w:r>
        <w:rPr>
          <w:rFonts w:hint="eastAsia" w:ascii="宋体" w:hAnsi="宋体" w:cs="宋体"/>
          <w:color w:val="auto"/>
          <w:szCs w:val="15"/>
        </w:rPr>
        <w:t>因违反前述约定对第三人构成侵权的，应当由乙方向第三人承担法律责任；甲方依法向第三人赔偿后，有权向乙方追偿。甲方有其他损失的，乙方应当赔偿</w:t>
      </w:r>
      <w:bookmarkEnd w:id="554"/>
      <w:r>
        <w:rPr>
          <w:rFonts w:hint="eastAsia" w:ascii="宋体" w:hAnsi="宋体"/>
          <w:color w:val="auto"/>
          <w:szCs w:val="21"/>
        </w:rPr>
        <w:t>。</w:t>
      </w:r>
    </w:p>
    <w:p w14:paraId="3DF803E9">
      <w:pPr>
        <w:autoSpaceDE w:val="0"/>
        <w:autoSpaceDN w:val="0"/>
        <w:adjustRightInd w:val="0"/>
        <w:snapToGrid w:val="0"/>
        <w:spacing w:line="400" w:lineRule="exact"/>
        <w:jc w:val="left"/>
        <w:rPr>
          <w:rFonts w:ascii="宋体" w:hAnsi="宋体"/>
          <w:b/>
          <w:bCs/>
          <w:color w:val="auto"/>
          <w:sz w:val="24"/>
        </w:rPr>
      </w:pPr>
      <w:r>
        <w:rPr>
          <w:rFonts w:hint="eastAsia" w:ascii="宋体" w:hAnsi="宋体"/>
          <w:b/>
          <w:bCs/>
          <w:color w:val="auto"/>
          <w:sz w:val="24"/>
        </w:rPr>
        <w:t>11. 保密义务</w:t>
      </w:r>
    </w:p>
    <w:p w14:paraId="2A341C50">
      <w:pPr>
        <w:autoSpaceDE w:val="0"/>
        <w:autoSpaceDN w:val="0"/>
        <w:adjustRightInd w:val="0"/>
        <w:snapToGrid w:val="0"/>
        <w:spacing w:line="400" w:lineRule="exact"/>
        <w:ind w:firstLine="420" w:firstLineChars="200"/>
        <w:jc w:val="left"/>
        <w:rPr>
          <w:rFonts w:ascii="宋体" w:hAnsi="宋体" w:cs="宋体"/>
          <w:color w:val="auto"/>
          <w:szCs w:val="15"/>
        </w:rPr>
      </w:pPr>
      <w:r>
        <w:rPr>
          <w:rFonts w:hint="eastAsia" w:ascii="宋体" w:hAnsi="宋体" w:cs="宋体"/>
          <w:color w:val="auto"/>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rPr>
        <w:t>【政府采购合同专用条款】</w:t>
      </w:r>
      <w:r>
        <w:rPr>
          <w:rFonts w:hint="eastAsia" w:ascii="宋体" w:hAnsi="宋体" w:cs="宋体"/>
          <w:color w:val="auto"/>
          <w:szCs w:val="15"/>
        </w:rPr>
        <w:t>中约定。</w:t>
      </w:r>
    </w:p>
    <w:p w14:paraId="56528891">
      <w:pPr>
        <w:autoSpaceDE w:val="0"/>
        <w:autoSpaceDN w:val="0"/>
        <w:adjustRightInd w:val="0"/>
        <w:snapToGrid w:val="0"/>
        <w:spacing w:line="400" w:lineRule="exact"/>
        <w:jc w:val="left"/>
        <w:rPr>
          <w:rFonts w:ascii="宋体" w:hAnsi="宋体"/>
          <w:b/>
          <w:bCs/>
          <w:color w:val="auto"/>
          <w:sz w:val="24"/>
        </w:rPr>
      </w:pPr>
      <w:r>
        <w:rPr>
          <w:rFonts w:hint="eastAsia" w:ascii="宋体" w:hAnsi="宋体"/>
          <w:b/>
          <w:bCs/>
          <w:color w:val="auto"/>
          <w:sz w:val="24"/>
        </w:rPr>
        <w:t>12. 合同价款支付</w:t>
      </w:r>
    </w:p>
    <w:p w14:paraId="30463317">
      <w:pPr>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12.1 合同价款支付按照国库集中支付制度及财政管理相关规定执行。</w:t>
      </w:r>
    </w:p>
    <w:p w14:paraId="56E83D15">
      <w:pPr>
        <w:pStyle w:val="5"/>
        <w:spacing w:line="400" w:lineRule="exact"/>
        <w:ind w:firstLine="420" w:firstLineChars="200"/>
        <w:rPr>
          <w:rFonts w:eastAsia="宋体"/>
          <w:color w:val="auto"/>
        </w:rPr>
      </w:pPr>
      <w:bookmarkStart w:id="555" w:name="_Toc17003"/>
      <w:r>
        <w:rPr>
          <w:rFonts w:hint="eastAsia" w:ascii="宋体" w:hAnsi="宋体"/>
          <w:b w:val="0"/>
          <w:bCs w:val="0"/>
          <w:color w:val="auto"/>
          <w:sz w:val="21"/>
          <w:szCs w:val="21"/>
        </w:rPr>
        <w:t xml:space="preserve">12.2 </w:t>
      </w:r>
      <w:r>
        <w:rPr>
          <w:rFonts w:hint="eastAsia" w:ascii="宋体" w:hAnsi="宋体" w:eastAsia="宋体"/>
          <w:b w:val="0"/>
          <w:bCs w:val="0"/>
          <w:color w:val="auto"/>
          <w:kern w:val="2"/>
          <w:sz w:val="21"/>
          <w:szCs w:val="21"/>
        </w:rPr>
        <w:t>对于满足合同约定支付条件的，甲方</w:t>
      </w:r>
      <w:r>
        <w:rPr>
          <w:rFonts w:hint="eastAsia" w:ascii="宋体" w:hAnsi="宋体" w:eastAsia="宋体"/>
          <w:b w:val="0"/>
          <w:bCs w:val="0"/>
          <w:color w:val="auto"/>
          <w:sz w:val="21"/>
          <w:szCs w:val="21"/>
        </w:rPr>
        <w:t>原则上应当自收到发票后10个工作日内</w:t>
      </w:r>
      <w:r>
        <w:rPr>
          <w:rFonts w:hint="eastAsia" w:ascii="宋体" w:hAnsi="宋体" w:eastAsia="宋体"/>
          <w:b w:val="0"/>
          <w:bCs w:val="0"/>
          <w:color w:val="auto"/>
          <w:kern w:val="2"/>
          <w:sz w:val="21"/>
          <w:szCs w:val="21"/>
        </w:rPr>
        <w:t>将资金支付到合同约定的</w:t>
      </w:r>
      <w:r>
        <w:rPr>
          <w:rFonts w:hint="eastAsia" w:ascii="宋体" w:hAnsi="宋体"/>
          <w:b w:val="0"/>
          <w:bCs w:val="0"/>
          <w:color w:val="auto"/>
          <w:kern w:val="2"/>
          <w:sz w:val="21"/>
          <w:szCs w:val="21"/>
        </w:rPr>
        <w:t>乙方</w:t>
      </w:r>
      <w:r>
        <w:rPr>
          <w:rFonts w:hint="eastAsia" w:ascii="宋体" w:hAnsi="宋体" w:eastAsia="宋体"/>
          <w:b w:val="0"/>
          <w:bCs w:val="0"/>
          <w:color w:val="auto"/>
          <w:kern w:val="2"/>
          <w:sz w:val="21"/>
          <w:szCs w:val="21"/>
        </w:rPr>
        <w:t>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kern w:val="2"/>
          <w:sz w:val="21"/>
          <w:szCs w:val="21"/>
        </w:rPr>
        <w:t>政府采购合同专用条款</w:t>
      </w:r>
      <w:r>
        <w:rPr>
          <w:rFonts w:hint="eastAsia" w:ascii="宋体" w:hAnsi="宋体" w:eastAsia="宋体"/>
          <w:b w:val="0"/>
          <w:bCs w:val="0"/>
          <w:color w:val="auto"/>
          <w:kern w:val="2"/>
          <w:sz w:val="21"/>
          <w:szCs w:val="21"/>
        </w:rPr>
        <w:t>】中</w:t>
      </w:r>
      <w:r>
        <w:rPr>
          <w:rFonts w:hint="eastAsia" w:ascii="宋体" w:hAnsi="宋体"/>
          <w:b w:val="0"/>
          <w:bCs w:val="0"/>
          <w:color w:val="auto"/>
          <w:kern w:val="2"/>
          <w:sz w:val="21"/>
          <w:szCs w:val="21"/>
        </w:rPr>
        <w:t>约</w:t>
      </w:r>
      <w:r>
        <w:rPr>
          <w:rFonts w:hint="eastAsia" w:ascii="宋体" w:hAnsi="宋体" w:eastAsia="宋体"/>
          <w:b w:val="0"/>
          <w:bCs w:val="0"/>
          <w:color w:val="auto"/>
          <w:kern w:val="2"/>
          <w:sz w:val="21"/>
          <w:szCs w:val="21"/>
        </w:rPr>
        <w:t>定。</w:t>
      </w:r>
      <w:bookmarkEnd w:id="555"/>
    </w:p>
    <w:p w14:paraId="41647EE2">
      <w:pPr>
        <w:pStyle w:val="2"/>
        <w:spacing w:after="0" w:line="400" w:lineRule="exact"/>
        <w:rPr>
          <w:rFonts w:ascii="宋体" w:hAnsi="宋体"/>
          <w:b/>
          <w:bCs/>
          <w:color w:val="auto"/>
          <w:sz w:val="24"/>
        </w:rPr>
      </w:pPr>
      <w:r>
        <w:rPr>
          <w:rFonts w:hint="eastAsia" w:ascii="宋体" w:hAnsi="宋体"/>
          <w:b/>
          <w:bCs/>
          <w:color w:val="auto"/>
          <w:sz w:val="24"/>
        </w:rPr>
        <w:t>13. 履约保证金</w:t>
      </w:r>
    </w:p>
    <w:p w14:paraId="4B732FBA">
      <w:pPr>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 xml:space="preserve">13.1 </w:t>
      </w:r>
      <w:r>
        <w:rPr>
          <w:rFonts w:hint="eastAsia" w:ascii="宋体" w:hAnsi="宋体" w:cs="宋体"/>
          <w:color w:val="auto"/>
          <w:szCs w:val="15"/>
        </w:rPr>
        <w:t>乙方应当以支票、汇票、本票或者金融机构、担保机构出具的保函等非现金形式提交。</w:t>
      </w:r>
    </w:p>
    <w:p w14:paraId="2966A67C">
      <w:pPr>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13.2 如果乙方出现</w:t>
      </w:r>
      <w:r>
        <w:rPr>
          <w:rFonts w:hint="eastAsia" w:ascii="宋体" w:hAnsi="宋体" w:cs="宋体"/>
          <w:b/>
          <w:bCs/>
          <w:color w:val="auto"/>
          <w:szCs w:val="15"/>
        </w:rPr>
        <w:t>【政府采购合同专用条款】</w:t>
      </w:r>
      <w:r>
        <w:rPr>
          <w:rFonts w:hint="eastAsia" w:ascii="宋体" w:hAnsi="宋体" w:cs="宋体"/>
          <w:color w:val="auto"/>
          <w:szCs w:val="15"/>
        </w:rPr>
        <w:t>约定情形的</w:t>
      </w:r>
      <w:r>
        <w:rPr>
          <w:rFonts w:hint="eastAsia" w:ascii="宋体" w:hAnsi="宋体"/>
          <w:color w:val="auto"/>
          <w:szCs w:val="21"/>
        </w:rPr>
        <w:t>，履约保证金不予退还；如果乙方未能按合同约定全面履行义务，甲方有权从履约保证金中取得补偿或赔偿，且不影响甲方要求乙方承担合同约定的超过履约保证金的违约责任的权利。</w:t>
      </w:r>
    </w:p>
    <w:p w14:paraId="6B301762">
      <w:pPr>
        <w:spacing w:line="400" w:lineRule="exact"/>
        <w:ind w:firstLine="420"/>
        <w:rPr>
          <w:color w:val="auto"/>
        </w:rPr>
      </w:pPr>
      <w:r>
        <w:rPr>
          <w:rFonts w:hint="eastAsia" w:ascii="宋体" w:hAnsi="宋体"/>
          <w:color w:val="auto"/>
          <w:szCs w:val="21"/>
        </w:rPr>
        <w:t>13.3 甲方在项目通过验收后按照</w:t>
      </w:r>
      <w:r>
        <w:rPr>
          <w:rFonts w:hint="eastAsia" w:ascii="宋体" w:hAnsi="宋体"/>
          <w:b/>
          <w:color w:val="auto"/>
          <w:szCs w:val="21"/>
        </w:rPr>
        <w:t>【政府采购合同专用条款】</w:t>
      </w:r>
      <w:r>
        <w:rPr>
          <w:rFonts w:hint="eastAsia" w:ascii="宋体" w:hAnsi="宋体"/>
          <w:color w:val="auto"/>
          <w:szCs w:val="21"/>
        </w:rPr>
        <w:t>规定的时间内将履约保证金退还乙方；逾期退还的，乙方可要求甲方支付违约金，违约金按照</w:t>
      </w:r>
      <w:r>
        <w:rPr>
          <w:rFonts w:hint="eastAsia" w:ascii="宋体" w:hAnsi="宋体"/>
          <w:b/>
          <w:color w:val="auto"/>
          <w:szCs w:val="21"/>
        </w:rPr>
        <w:t>【政府采购合同专用条款】</w:t>
      </w:r>
      <w:r>
        <w:rPr>
          <w:rFonts w:hint="eastAsia" w:ascii="宋体" w:hAnsi="宋体"/>
          <w:color w:val="auto"/>
          <w:szCs w:val="21"/>
        </w:rPr>
        <w:t>规定支付。</w:t>
      </w:r>
    </w:p>
    <w:p w14:paraId="30126DD2">
      <w:pPr>
        <w:autoSpaceDE w:val="0"/>
        <w:autoSpaceDN w:val="0"/>
        <w:adjustRightInd w:val="0"/>
        <w:snapToGrid w:val="0"/>
        <w:spacing w:line="400" w:lineRule="exact"/>
        <w:jc w:val="left"/>
        <w:rPr>
          <w:rFonts w:ascii="宋体" w:hAnsi="宋体"/>
          <w:b/>
          <w:color w:val="auto"/>
          <w:sz w:val="24"/>
        </w:rPr>
      </w:pPr>
      <w:r>
        <w:rPr>
          <w:rFonts w:hint="eastAsia" w:ascii="宋体" w:hAnsi="宋体"/>
          <w:b/>
          <w:bCs/>
          <w:color w:val="auto"/>
          <w:sz w:val="24"/>
        </w:rPr>
        <w:t xml:space="preserve">14. </w:t>
      </w:r>
      <w:r>
        <w:rPr>
          <w:rFonts w:hint="eastAsia"/>
          <w:b/>
          <w:color w:val="auto"/>
          <w:sz w:val="24"/>
        </w:rPr>
        <w:t>售后</w:t>
      </w:r>
      <w:r>
        <w:rPr>
          <w:rFonts w:hint="eastAsia" w:ascii="宋体" w:hAnsi="宋体"/>
          <w:b/>
          <w:color w:val="auto"/>
          <w:sz w:val="24"/>
        </w:rPr>
        <w:t>服务</w:t>
      </w:r>
    </w:p>
    <w:p w14:paraId="5F760061">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14.1 除项目不涉及或采购活动中明确约定无须承担外，乙方还应提供下列服务：</w:t>
      </w:r>
    </w:p>
    <w:p w14:paraId="3745B0C5">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（1）货物的现场移动、安装、调试、启动监督及技术支持；</w:t>
      </w:r>
    </w:p>
    <w:p w14:paraId="4DDDAB3D">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（2）提供货物组装和维修所需的专用工具和辅助材料；</w:t>
      </w:r>
    </w:p>
    <w:p w14:paraId="7BF3BC53">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（3）在</w:t>
      </w:r>
      <w:r>
        <w:rPr>
          <w:rFonts w:hint="eastAsia" w:ascii="宋体" w:hAnsi="宋体" w:cs="宋体"/>
          <w:b/>
          <w:bCs/>
          <w:color w:val="auto"/>
          <w:szCs w:val="15"/>
        </w:rPr>
        <w:t>【政府采购合同专用条款】</w:t>
      </w:r>
      <w:r>
        <w:rPr>
          <w:rFonts w:hint="eastAsia" w:ascii="宋体" w:hAnsi="宋体"/>
          <w:color w:val="auto"/>
          <w:szCs w:val="21"/>
        </w:rPr>
        <w:t>约定的期限内对所有的货物实施运行监督、维修，但前提条件是该服务并不能免除乙方在质量保证期内所承担的义务；</w:t>
      </w:r>
    </w:p>
    <w:p w14:paraId="1E5233BE">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（4）在制造商所在地或指定现场就货物的安装、启动、运营、维护、废弃处置等对甲方操作人员进行培训</w:t>
      </w:r>
      <w:r>
        <w:rPr>
          <w:rFonts w:hint="eastAsia" w:ascii="宋体" w:hAnsi="宋体" w:cs="宋体"/>
          <w:color w:val="auto"/>
          <w:szCs w:val="15"/>
        </w:rPr>
        <w:t>；</w:t>
      </w:r>
    </w:p>
    <w:p w14:paraId="7947444E">
      <w:pPr>
        <w:pStyle w:val="34"/>
        <w:ind w:firstLine="420"/>
        <w:rPr>
          <w:rFonts w:ascii="宋体" w:hAnsi="宋体" w:eastAsia="宋体" w:cs="宋体"/>
          <w:color w:val="auto"/>
          <w:sz w:val="21"/>
        </w:rPr>
      </w:pPr>
      <w:r>
        <w:rPr>
          <w:rFonts w:hint="eastAsia" w:ascii="宋体" w:hAnsi="宋体" w:eastAsia="宋体" w:cs="宋体"/>
          <w:color w:val="auto"/>
          <w:sz w:val="21"/>
        </w:rPr>
        <w:t>（5）依照法律、行政法规的规定或者按照</w:t>
      </w:r>
      <w:r>
        <w:rPr>
          <w:rFonts w:hint="eastAsia" w:ascii="宋体" w:hAnsi="宋体" w:eastAsia="宋体" w:cs="宋体"/>
          <w:b/>
          <w:bCs/>
          <w:color w:val="auto"/>
          <w:sz w:val="21"/>
        </w:rPr>
        <w:t>【政府采购合同专用条款】</w:t>
      </w:r>
      <w:r>
        <w:rPr>
          <w:rFonts w:hint="eastAsia" w:ascii="宋体" w:hAnsi="宋体" w:eastAsia="宋体" w:cs="宋体"/>
          <w:color w:val="auto"/>
          <w:sz w:val="21"/>
        </w:rPr>
        <w:t>约定，货物在有效使用年限届满后应予回收的，乙方负有自行或者委托第三人对货物予以回收的义务；</w:t>
      </w:r>
    </w:p>
    <w:p w14:paraId="400DC8B5">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（6）</w:t>
      </w:r>
      <w:r>
        <w:rPr>
          <w:rFonts w:hint="eastAsia" w:ascii="宋体" w:hAnsi="宋体"/>
          <w:b/>
          <w:color w:val="auto"/>
          <w:szCs w:val="21"/>
        </w:rPr>
        <w:t>【政府采购合同专用条款】</w:t>
      </w:r>
      <w:r>
        <w:rPr>
          <w:rFonts w:hint="eastAsia" w:ascii="宋体" w:hAnsi="宋体"/>
          <w:color w:val="auto"/>
          <w:szCs w:val="21"/>
        </w:rPr>
        <w:t>规定由乙方提供的其他服务。</w:t>
      </w:r>
    </w:p>
    <w:p w14:paraId="0868831B">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14.2 乙方提供的售后服务的费用已包含在合同价款中，甲方不再另行支付。</w:t>
      </w:r>
    </w:p>
    <w:p w14:paraId="5D029C2A">
      <w:pPr>
        <w:adjustRightInd w:val="0"/>
        <w:snapToGrid w:val="0"/>
        <w:spacing w:line="400" w:lineRule="exact"/>
        <w:jc w:val="left"/>
        <w:rPr>
          <w:rFonts w:ascii="宋体" w:hAnsi="宋体"/>
          <w:b/>
          <w:bCs/>
          <w:color w:val="auto"/>
          <w:sz w:val="24"/>
        </w:rPr>
      </w:pPr>
      <w:r>
        <w:rPr>
          <w:rFonts w:hint="eastAsia" w:ascii="宋体" w:hAnsi="宋体"/>
          <w:b/>
          <w:bCs/>
          <w:color w:val="auto"/>
          <w:sz w:val="24"/>
        </w:rPr>
        <w:t>15. 违约责任</w:t>
      </w:r>
    </w:p>
    <w:p w14:paraId="343DC43F">
      <w:pPr>
        <w:adjustRightInd w:val="0"/>
        <w:snapToGrid w:val="0"/>
        <w:spacing w:line="400" w:lineRule="exact"/>
        <w:ind w:firstLine="420" w:firstLineChars="200"/>
        <w:jc w:val="left"/>
        <w:rPr>
          <w:rFonts w:ascii="宋体" w:hAnsi="宋体"/>
          <w:bCs/>
          <w:color w:val="auto"/>
          <w:szCs w:val="21"/>
        </w:rPr>
      </w:pPr>
      <w:r>
        <w:rPr>
          <w:rFonts w:hint="eastAsia" w:ascii="宋体" w:hAnsi="宋体"/>
          <w:bCs/>
          <w:color w:val="auto"/>
          <w:szCs w:val="21"/>
        </w:rPr>
        <w:t>15.1质量瑕疵的违约责任</w:t>
      </w:r>
    </w:p>
    <w:p w14:paraId="21B34E3B">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乙方提供的产品不符合合同约定的质量标准或存在产品质量缺陷，甲方有权要求乙方根据</w:t>
      </w:r>
      <w:r>
        <w:rPr>
          <w:rFonts w:hint="eastAsia" w:ascii="宋体" w:hAnsi="宋体"/>
          <w:b/>
          <w:color w:val="auto"/>
          <w:szCs w:val="21"/>
        </w:rPr>
        <w:t>【政府采购合同专用条款】</w:t>
      </w:r>
      <w:r>
        <w:rPr>
          <w:rFonts w:hint="eastAsia" w:ascii="宋体" w:hAnsi="宋体"/>
          <w:bCs/>
          <w:color w:val="auto"/>
          <w:szCs w:val="21"/>
        </w:rPr>
        <w:t>要求</w:t>
      </w:r>
      <w:r>
        <w:rPr>
          <w:rFonts w:hint="eastAsia" w:ascii="宋体" w:hAnsi="宋体"/>
          <w:color w:val="auto"/>
          <w:szCs w:val="21"/>
        </w:rPr>
        <w:t>及时修理、重作、更换，并承担由此给甲方造成的损失。</w:t>
      </w:r>
    </w:p>
    <w:p w14:paraId="0A3FB00C">
      <w:pPr>
        <w:autoSpaceDE w:val="0"/>
        <w:autoSpaceDN w:val="0"/>
        <w:adjustRightInd w:val="0"/>
        <w:snapToGrid w:val="0"/>
        <w:spacing w:line="400" w:lineRule="exact"/>
        <w:ind w:firstLine="420" w:firstLineChars="200"/>
        <w:jc w:val="left"/>
        <w:rPr>
          <w:rFonts w:ascii="宋体" w:hAnsi="宋体"/>
          <w:bCs/>
          <w:color w:val="auto"/>
          <w:szCs w:val="21"/>
        </w:rPr>
      </w:pPr>
      <w:r>
        <w:rPr>
          <w:rFonts w:hint="eastAsia" w:ascii="宋体" w:hAnsi="宋体"/>
          <w:bCs/>
          <w:color w:val="auto"/>
          <w:szCs w:val="21"/>
        </w:rPr>
        <w:t>15.2 迟延交货的违约责任</w:t>
      </w:r>
    </w:p>
    <w:p w14:paraId="2541FF66">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2F4A20A">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（2）如果乙方没有按照合同规定的时间交货和提供相关服务，甲方有权从货款中扣除误期赔偿费而不影响合同项下的其他补救方法，赔偿费按</w:t>
      </w:r>
      <w:r>
        <w:rPr>
          <w:rFonts w:hint="eastAsia" w:ascii="宋体" w:hAnsi="宋体"/>
          <w:b/>
          <w:color w:val="auto"/>
          <w:szCs w:val="21"/>
        </w:rPr>
        <w:t>【政府采购合同专用条款】</w:t>
      </w:r>
      <w:r>
        <w:rPr>
          <w:rFonts w:hint="eastAsia" w:ascii="宋体" w:hAnsi="宋体"/>
          <w:color w:val="auto"/>
          <w:szCs w:val="21"/>
        </w:rPr>
        <w:t>规定执行。如果涉及公共利益，且赔偿金额无法弥补公共利益损失，甲方可要求继续履行或者采取其他补救措施。</w:t>
      </w:r>
    </w:p>
    <w:p w14:paraId="17363B74">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15.3 迟延支付的违约责任</w:t>
      </w:r>
    </w:p>
    <w:p w14:paraId="13087A40">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甲方存在迟延支付乙方合同款项的，应当承担</w:t>
      </w:r>
      <w:r>
        <w:rPr>
          <w:rFonts w:hint="eastAsia" w:ascii="宋体" w:hAnsi="宋体"/>
          <w:b/>
          <w:bCs/>
          <w:color w:val="auto"/>
          <w:szCs w:val="21"/>
        </w:rPr>
        <w:t>【政府采购合同专用条款】</w:t>
      </w:r>
      <w:r>
        <w:rPr>
          <w:rFonts w:hint="eastAsia" w:ascii="宋体" w:hAnsi="宋体"/>
          <w:color w:val="auto"/>
          <w:szCs w:val="21"/>
        </w:rPr>
        <w:t>规定的逾期付款利息。</w:t>
      </w:r>
    </w:p>
    <w:p w14:paraId="31D80EC4">
      <w:pPr>
        <w:adjustRightInd w:val="0"/>
        <w:snapToGrid w:val="0"/>
        <w:spacing w:line="400" w:lineRule="exact"/>
        <w:ind w:firstLine="420" w:firstLineChars="200"/>
        <w:jc w:val="left"/>
        <w:rPr>
          <w:rFonts w:ascii="宋体" w:hAnsi="宋体"/>
          <w:color w:val="auto"/>
          <w:szCs w:val="21"/>
        </w:rPr>
      </w:pPr>
      <w:r>
        <w:rPr>
          <w:rFonts w:hint="eastAsia" w:ascii="宋体" w:hAnsi="宋体"/>
          <w:bCs/>
          <w:color w:val="auto"/>
          <w:szCs w:val="21"/>
        </w:rPr>
        <w:t>15.4其他违约责任根据项目实际需要按</w:t>
      </w:r>
      <w:r>
        <w:rPr>
          <w:rFonts w:hint="eastAsia" w:ascii="宋体" w:hAnsi="宋体"/>
          <w:b/>
          <w:bCs/>
          <w:color w:val="auto"/>
          <w:szCs w:val="21"/>
        </w:rPr>
        <w:t>【政府采购合同专用条款】</w:t>
      </w:r>
      <w:r>
        <w:rPr>
          <w:rFonts w:hint="eastAsia" w:ascii="宋体" w:hAnsi="宋体"/>
          <w:color w:val="auto"/>
          <w:szCs w:val="21"/>
        </w:rPr>
        <w:t>规定执行。</w:t>
      </w:r>
    </w:p>
    <w:p w14:paraId="4DFBEB1D">
      <w:pPr>
        <w:numPr>
          <w:ilvl w:val="0"/>
          <w:numId w:val="7"/>
        </w:numPr>
        <w:autoSpaceDE w:val="0"/>
        <w:autoSpaceDN w:val="0"/>
        <w:adjustRightInd w:val="0"/>
        <w:snapToGrid w:val="0"/>
        <w:spacing w:line="400" w:lineRule="exact"/>
        <w:jc w:val="left"/>
        <w:rPr>
          <w:rFonts w:ascii="宋体" w:hAnsi="宋体"/>
          <w:b/>
          <w:color w:val="auto"/>
          <w:sz w:val="24"/>
        </w:rPr>
      </w:pPr>
      <w:r>
        <w:rPr>
          <w:rFonts w:hint="eastAsia" w:ascii="宋体" w:hAnsi="宋体"/>
          <w:b/>
          <w:color w:val="auto"/>
          <w:sz w:val="24"/>
        </w:rPr>
        <w:t>合同变更、中止与终止</w:t>
      </w:r>
    </w:p>
    <w:p w14:paraId="00534E26">
      <w:pPr>
        <w:adjustRightInd w:val="0"/>
        <w:snapToGrid w:val="0"/>
        <w:spacing w:line="400" w:lineRule="exact"/>
        <w:jc w:val="left"/>
        <w:rPr>
          <w:rFonts w:ascii="宋体" w:hAnsi="宋体"/>
          <w:color w:val="auto"/>
          <w:szCs w:val="21"/>
        </w:rPr>
      </w:pPr>
      <w:r>
        <w:rPr>
          <w:rFonts w:hint="eastAsia" w:ascii="宋体" w:hAnsi="宋体"/>
          <w:color w:val="auto"/>
          <w:szCs w:val="21"/>
        </w:rPr>
        <w:t xml:space="preserve">    16.1合同的变更</w:t>
      </w:r>
    </w:p>
    <w:p w14:paraId="412F02DA">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政府采购合同履行中，在不改变合同其他条款的前提下，甲方可以在合同价款10%的范围内追加与合同标的相同的货物，并就此与乙方协商一致后签订补充协议。</w:t>
      </w:r>
    </w:p>
    <w:p w14:paraId="7CFB7711">
      <w:pPr>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16.2合同的中止</w:t>
      </w:r>
    </w:p>
    <w:p w14:paraId="0419D301">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（1）合同履行过程中因供应商就采购文件、采购过程或结果提起投诉的，甲方认为有必要的，可以中止合同的履行。</w:t>
      </w:r>
    </w:p>
    <w:p w14:paraId="0D61FD14">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B232E25">
      <w:pPr>
        <w:pStyle w:val="34"/>
        <w:ind w:firstLine="420"/>
        <w:jc w:val="both"/>
        <w:rPr>
          <w:color w:val="auto"/>
          <w:sz w:val="21"/>
        </w:rPr>
      </w:pPr>
      <w:r>
        <w:rPr>
          <w:rFonts w:hint="eastAsia" w:ascii="宋体" w:hAnsi="宋体" w:eastAsia="宋体" w:cs="宋体"/>
          <w:color w:val="auto"/>
          <w:sz w:val="21"/>
        </w:rPr>
        <w:t>（3）乙方分立、合并或者变更住所的，应当及时以书面形式告知甲方。乙方没有及时告知甲方，致使合同履行发生困难的，甲方可以中止合同履行并要求乙方承担由此给甲方造成的损失。</w:t>
      </w:r>
    </w:p>
    <w:p w14:paraId="77C81C80">
      <w:pPr>
        <w:snapToGrid w:val="0"/>
        <w:spacing w:line="400" w:lineRule="exact"/>
        <w:ind w:firstLine="420" w:firstLineChars="200"/>
        <w:jc w:val="left"/>
        <w:rPr>
          <w:color w:val="auto"/>
        </w:rPr>
      </w:pPr>
      <w:r>
        <w:rPr>
          <w:rFonts w:hint="eastAsia" w:ascii="宋体" w:hAnsi="宋体"/>
          <w:color w:val="auto"/>
          <w:szCs w:val="21"/>
        </w:rPr>
        <w:t>（4）甲方不得以行政区划调整、政府换届、机构或者职能调整以及相关责任人更替为由中止合同。</w:t>
      </w:r>
    </w:p>
    <w:p w14:paraId="346849BA">
      <w:pPr>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16.3合同的终止</w:t>
      </w:r>
    </w:p>
    <w:p w14:paraId="5B63DCE0">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（1）合同因有效期限届满而终止；</w:t>
      </w:r>
    </w:p>
    <w:p w14:paraId="79CA782D">
      <w:pPr>
        <w:snapToGrid w:val="0"/>
        <w:spacing w:line="400" w:lineRule="exact"/>
        <w:ind w:firstLine="420" w:firstLineChars="200"/>
        <w:rPr>
          <w:rFonts w:ascii="宋体" w:hAnsi="宋体" w:cs="宋体"/>
          <w:color w:val="auto"/>
          <w:szCs w:val="21"/>
        </w:rPr>
      </w:pPr>
      <w:r>
        <w:rPr>
          <w:rFonts w:hint="eastAsia" w:ascii="宋体" w:hAnsi="宋体"/>
          <w:color w:val="auto"/>
          <w:szCs w:val="21"/>
        </w:rPr>
        <w:t>（2）乙方未按合同约定履行，构成根本性违约的，甲方有权终止合同，</w:t>
      </w:r>
      <w:r>
        <w:rPr>
          <w:rFonts w:hint="eastAsia" w:ascii="宋体" w:hAnsi="宋体" w:cs="宋体"/>
          <w:color w:val="auto"/>
          <w:szCs w:val="21"/>
        </w:rPr>
        <w:t>并追究乙方的违约责任</w:t>
      </w:r>
      <w:r>
        <w:rPr>
          <w:rFonts w:hint="eastAsia" w:ascii="宋体" w:hAnsi="宋体"/>
          <w:color w:val="auto"/>
          <w:szCs w:val="21"/>
        </w:rPr>
        <w:t>。</w:t>
      </w:r>
    </w:p>
    <w:p w14:paraId="465AC935">
      <w:pPr>
        <w:pStyle w:val="34"/>
        <w:rPr>
          <w:rFonts w:ascii="宋体" w:hAnsi="宋体"/>
          <w:color w:val="auto"/>
        </w:rPr>
      </w:pPr>
      <w:r>
        <w:rPr>
          <w:rFonts w:hint="eastAsia" w:ascii="宋体" w:hAnsi="宋体"/>
          <w:color w:val="auto"/>
        </w:rPr>
        <w:t xml:space="preserve">16.4 </w:t>
      </w:r>
      <w:r>
        <w:rPr>
          <w:rFonts w:hint="eastAsia" w:ascii="宋体" w:hAnsi="宋体" w:eastAsia="宋体" w:cs="Times New Roman"/>
          <w:color w:val="auto"/>
          <w:kern w:val="2"/>
          <w:sz w:val="21"/>
        </w:rPr>
        <w:t>涉及国家利益、社会公共利益的情形</w:t>
      </w:r>
    </w:p>
    <w:p w14:paraId="5A4879D2">
      <w:pPr>
        <w:pStyle w:val="34"/>
        <w:ind w:firstLine="420"/>
        <w:jc w:val="both"/>
        <w:rPr>
          <w:color w:val="auto"/>
          <w:sz w:val="21"/>
        </w:rPr>
      </w:pPr>
      <w:r>
        <w:rPr>
          <w:rFonts w:hint="eastAsia" w:ascii="宋体" w:hAnsi="宋体" w:eastAsia="宋体" w:cs="宋体"/>
          <w:color w:val="auto"/>
          <w:sz w:val="21"/>
        </w:rPr>
        <w:t>政府采购合同继续履行将损害国家利益和社会公共利益的，双方当事人应当变更、中止或者终止合同。有过错的一方应当承担赔偿责任，双方都有过错的，各自承担相应的责任。</w:t>
      </w:r>
    </w:p>
    <w:p w14:paraId="32EE200F">
      <w:pPr>
        <w:autoSpaceDE w:val="0"/>
        <w:autoSpaceDN w:val="0"/>
        <w:adjustRightInd w:val="0"/>
        <w:snapToGrid w:val="0"/>
        <w:spacing w:line="400" w:lineRule="exact"/>
        <w:jc w:val="left"/>
        <w:rPr>
          <w:rFonts w:ascii="宋体" w:hAnsi="宋体"/>
          <w:b/>
          <w:bCs/>
          <w:color w:val="auto"/>
          <w:sz w:val="24"/>
        </w:rPr>
      </w:pPr>
      <w:r>
        <w:rPr>
          <w:rFonts w:hint="eastAsia" w:ascii="宋体" w:hAnsi="宋体"/>
          <w:b/>
          <w:bCs/>
          <w:color w:val="auto"/>
          <w:sz w:val="24"/>
        </w:rPr>
        <w:t>17. 合同分包</w:t>
      </w:r>
    </w:p>
    <w:p w14:paraId="633B7DB8">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17.1 乙方不得将合同转包给其他供应商。涉及合同分包的，乙方应根据采购文件和投标（响应）文件规定进行合同分包。</w:t>
      </w:r>
    </w:p>
    <w:p w14:paraId="3D803E63">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17.2 乙方执行政府采购政策向中小企业依法分包的，乙方应当按采购文件和投标（响应）文件签订分包意向协议，分包意向协议属于本合同组成部分。</w:t>
      </w:r>
    </w:p>
    <w:p w14:paraId="7D415E32">
      <w:pPr>
        <w:autoSpaceDE w:val="0"/>
        <w:autoSpaceDN w:val="0"/>
        <w:adjustRightInd w:val="0"/>
        <w:snapToGrid w:val="0"/>
        <w:spacing w:line="400" w:lineRule="exact"/>
        <w:jc w:val="left"/>
        <w:rPr>
          <w:rFonts w:ascii="宋体" w:hAnsi="宋体"/>
          <w:b/>
          <w:bCs/>
          <w:color w:val="auto"/>
          <w:sz w:val="24"/>
        </w:rPr>
      </w:pPr>
      <w:r>
        <w:rPr>
          <w:rFonts w:hint="eastAsia" w:ascii="宋体" w:hAnsi="宋体"/>
          <w:b/>
          <w:bCs/>
          <w:color w:val="auto"/>
          <w:sz w:val="24"/>
        </w:rPr>
        <w:t>18. 不可抗力</w:t>
      </w:r>
    </w:p>
    <w:p w14:paraId="1D7BF047">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18.1 不可抗力是指合同双方不能预见、不能避免且不能克服的客观情况。</w:t>
      </w:r>
    </w:p>
    <w:p w14:paraId="224BDB9E">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18.2 任何一方对由于不可抗力造成的部分或全部不能履行合同不承担违约责任。但迟延履行后发生不可抗力的，不能免除责任。</w:t>
      </w:r>
    </w:p>
    <w:p w14:paraId="63BBF8CD">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A1CEC8A">
      <w:pPr>
        <w:autoSpaceDE w:val="0"/>
        <w:autoSpaceDN w:val="0"/>
        <w:adjustRightInd w:val="0"/>
        <w:snapToGrid w:val="0"/>
        <w:spacing w:line="400" w:lineRule="exact"/>
        <w:jc w:val="left"/>
        <w:rPr>
          <w:rFonts w:ascii="宋体" w:hAnsi="宋体"/>
          <w:b/>
          <w:bCs/>
          <w:color w:val="auto"/>
          <w:sz w:val="24"/>
        </w:rPr>
      </w:pPr>
      <w:r>
        <w:rPr>
          <w:rFonts w:hint="eastAsia" w:ascii="宋体" w:hAnsi="宋体"/>
          <w:b/>
          <w:bCs/>
          <w:color w:val="auto"/>
          <w:sz w:val="24"/>
        </w:rPr>
        <w:t>19. 解决争议的方法</w:t>
      </w:r>
    </w:p>
    <w:p w14:paraId="228B68CE">
      <w:pPr>
        <w:pStyle w:val="34"/>
        <w:ind w:firstLine="420"/>
        <w:jc w:val="both"/>
        <w:rPr>
          <w:rFonts w:ascii="宋体" w:hAnsi="宋体" w:eastAsia="宋体" w:cs="宋体"/>
          <w:color w:val="auto"/>
          <w:sz w:val="21"/>
        </w:rPr>
      </w:pPr>
      <w:r>
        <w:rPr>
          <w:rFonts w:hint="eastAsia" w:ascii="宋体" w:hAnsi="宋体" w:eastAsia="宋体" w:cs="宋体"/>
          <w:color w:val="auto"/>
          <w:sz w:val="21"/>
        </w:rPr>
        <w:t>19.1 因本合同及合同有关事项发生的争议，由甲乙双方友好协商解决。协商不成时，可以向有关组织申请调解。合同一方或双方不愿调解或调解不成的，可以通过仲裁或诉讼的方式解决争议。</w:t>
      </w:r>
    </w:p>
    <w:p w14:paraId="68664FE8">
      <w:pPr>
        <w:pStyle w:val="34"/>
        <w:ind w:firstLine="420"/>
        <w:jc w:val="both"/>
        <w:rPr>
          <w:rFonts w:ascii="宋体" w:hAnsi="宋体" w:eastAsia="宋体" w:cs="宋体"/>
          <w:color w:val="auto"/>
          <w:sz w:val="21"/>
        </w:rPr>
      </w:pPr>
      <w:r>
        <w:rPr>
          <w:rFonts w:hint="eastAsia" w:ascii="宋体" w:hAnsi="宋体" w:eastAsia="宋体" w:cs="宋体"/>
          <w:color w:val="auto"/>
          <w:sz w:val="21"/>
        </w:rPr>
        <w:t>19.2 选择仲裁的，应在</w:t>
      </w:r>
      <w:r>
        <w:rPr>
          <w:rFonts w:hint="eastAsia" w:ascii="宋体" w:hAnsi="宋体" w:eastAsia="宋体" w:cs="宋体"/>
          <w:b/>
          <w:bCs/>
          <w:color w:val="auto"/>
          <w:sz w:val="21"/>
        </w:rPr>
        <w:t>【政府采购合同专用条款】</w:t>
      </w:r>
      <w:r>
        <w:rPr>
          <w:rFonts w:hint="eastAsia" w:ascii="宋体" w:hAnsi="宋体" w:eastAsia="宋体" w:cs="宋体"/>
          <w:color w:val="auto"/>
          <w:sz w:val="21"/>
        </w:rPr>
        <w:t>中明确仲裁机构及仲裁地；通过诉讼方式解决的，可以在</w:t>
      </w:r>
      <w:r>
        <w:rPr>
          <w:rFonts w:hint="eastAsia" w:ascii="宋体" w:hAnsi="宋体" w:eastAsia="宋体" w:cs="宋体"/>
          <w:b/>
          <w:bCs/>
          <w:color w:val="auto"/>
          <w:sz w:val="21"/>
        </w:rPr>
        <w:t>【政府采购合同专用条款】</w:t>
      </w:r>
      <w:r>
        <w:rPr>
          <w:rFonts w:hint="eastAsia" w:ascii="宋体" w:hAnsi="宋体" w:eastAsia="宋体" w:cs="宋体"/>
          <w:color w:val="auto"/>
          <w:sz w:val="21"/>
        </w:rPr>
        <w:t>中进一步约定选择与争议有实际联系的地点的人民法院管辖，但管辖法院的约定不得违反级别管辖和专属管辖的规定。</w:t>
      </w:r>
    </w:p>
    <w:p w14:paraId="00F4E846">
      <w:pPr>
        <w:pStyle w:val="34"/>
        <w:ind w:firstLine="420"/>
        <w:jc w:val="both"/>
        <w:rPr>
          <w:rFonts w:ascii="宋体" w:hAnsi="宋体" w:eastAsia="宋体" w:cs="宋体"/>
          <w:color w:val="auto"/>
          <w:sz w:val="21"/>
        </w:rPr>
      </w:pPr>
      <w:r>
        <w:rPr>
          <w:rFonts w:hint="eastAsia" w:ascii="宋体" w:hAnsi="宋体" w:eastAsia="宋体" w:cs="宋体"/>
          <w:color w:val="auto"/>
          <w:sz w:val="21"/>
        </w:rPr>
        <w:t>19.3 如甲乙双方有争议的事项不影响合同其他部分的履行，在争议解决期间，合同其他部分应当继续履行。</w:t>
      </w:r>
    </w:p>
    <w:p w14:paraId="1A49D6B6">
      <w:pPr>
        <w:autoSpaceDE w:val="0"/>
        <w:autoSpaceDN w:val="0"/>
        <w:adjustRightInd w:val="0"/>
        <w:snapToGrid w:val="0"/>
        <w:spacing w:line="400" w:lineRule="exact"/>
        <w:jc w:val="left"/>
        <w:rPr>
          <w:rFonts w:ascii="宋体" w:hAnsi="宋体"/>
          <w:color w:val="auto"/>
          <w:sz w:val="24"/>
        </w:rPr>
      </w:pPr>
      <w:r>
        <w:rPr>
          <w:rFonts w:hint="eastAsia" w:ascii="宋体" w:hAnsi="宋体"/>
          <w:b/>
          <w:color w:val="auto"/>
          <w:sz w:val="24"/>
        </w:rPr>
        <w:t>20. 政府采购政策</w:t>
      </w:r>
    </w:p>
    <w:p w14:paraId="67C0CD8E">
      <w:pPr>
        <w:autoSpaceDE w:val="0"/>
        <w:autoSpaceDN w:val="0"/>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 xml:space="preserve">20.1 </w:t>
      </w:r>
      <w:r>
        <w:rPr>
          <w:rFonts w:hint="eastAsia" w:ascii="宋体" w:hAnsi="宋体" w:cs="宋体"/>
          <w:color w:val="auto"/>
          <w:lang w:val="en-GB"/>
        </w:rPr>
        <w:t>本合同应当按照规定执行政府采购政策。</w:t>
      </w:r>
    </w:p>
    <w:p w14:paraId="0BF8D6BF">
      <w:pPr>
        <w:autoSpaceDE w:val="0"/>
        <w:autoSpaceDN w:val="0"/>
        <w:adjustRightInd w:val="0"/>
        <w:snapToGrid w:val="0"/>
        <w:spacing w:line="400" w:lineRule="exact"/>
        <w:ind w:firstLine="420" w:firstLineChars="200"/>
        <w:jc w:val="left"/>
        <w:rPr>
          <w:rFonts w:ascii="宋体" w:hAnsi="宋体"/>
          <w:color w:val="auto"/>
          <w:szCs w:val="21"/>
        </w:rPr>
      </w:pPr>
      <w:r>
        <w:rPr>
          <w:rFonts w:ascii="宋体" w:hAnsi="宋体"/>
          <w:color w:val="auto"/>
          <w:szCs w:val="21"/>
        </w:rPr>
        <w:t>2</w:t>
      </w:r>
      <w:r>
        <w:rPr>
          <w:rFonts w:hint="eastAsia" w:ascii="宋体" w:hAnsi="宋体"/>
          <w:color w:val="auto"/>
          <w:szCs w:val="21"/>
        </w:rPr>
        <w:t>0.2 本合同依法执行政府采购政策的方式和内容，属于合同履约验收的范围。</w:t>
      </w:r>
      <w:r>
        <w:rPr>
          <w:rFonts w:hint="eastAsia" w:ascii="宋体" w:hAnsi="宋体" w:cs="宋体"/>
          <w:color w:val="auto"/>
        </w:rPr>
        <w:t>甲乙双方</w:t>
      </w:r>
      <w:r>
        <w:rPr>
          <w:rFonts w:hint="eastAsia" w:ascii="宋体" w:hAnsi="宋体" w:cs="宋体"/>
          <w:color w:val="auto"/>
          <w:lang w:val="en-GB"/>
        </w:rPr>
        <w:t>未按规定要求执行政府采购政策造成损失的</w:t>
      </w:r>
      <w:r>
        <w:rPr>
          <w:rFonts w:hint="eastAsia" w:ascii="宋体" w:hAnsi="宋体"/>
          <w:color w:val="auto"/>
          <w:szCs w:val="21"/>
        </w:rPr>
        <w:t>，有过错的一方应当承担赔偿责任，双方都有过错的，各自承担相应的责任。</w:t>
      </w:r>
    </w:p>
    <w:p w14:paraId="7EBCD2A3">
      <w:pPr>
        <w:pStyle w:val="2"/>
        <w:spacing w:after="0" w:line="400" w:lineRule="exact"/>
        <w:ind w:firstLine="400" w:firstLineChars="200"/>
        <w:rPr>
          <w:color w:val="auto"/>
        </w:rPr>
      </w:pPr>
      <w:r>
        <w:rPr>
          <w:rFonts w:ascii="宋体" w:hAnsi="宋体"/>
          <w:color w:val="auto"/>
          <w:szCs w:val="21"/>
        </w:rPr>
        <w:t>2</w:t>
      </w:r>
      <w:r>
        <w:rPr>
          <w:rFonts w:hint="eastAsia" w:ascii="宋体" w:hAnsi="宋体"/>
          <w:color w:val="auto"/>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716030D">
      <w:pPr>
        <w:autoSpaceDE w:val="0"/>
        <w:autoSpaceDN w:val="0"/>
        <w:adjustRightInd w:val="0"/>
        <w:snapToGrid w:val="0"/>
        <w:spacing w:line="400" w:lineRule="exact"/>
        <w:jc w:val="left"/>
        <w:rPr>
          <w:rFonts w:ascii="宋体" w:hAnsi="宋体"/>
          <w:b/>
          <w:color w:val="auto"/>
          <w:sz w:val="24"/>
        </w:rPr>
      </w:pPr>
      <w:r>
        <w:rPr>
          <w:rFonts w:hint="eastAsia" w:ascii="宋体" w:hAnsi="宋体"/>
          <w:b/>
          <w:color w:val="auto"/>
          <w:sz w:val="24"/>
        </w:rPr>
        <w:t>21. 法律适用</w:t>
      </w:r>
    </w:p>
    <w:p w14:paraId="1BF07B82">
      <w:pPr>
        <w:pStyle w:val="34"/>
        <w:ind w:firstLine="420"/>
        <w:jc w:val="both"/>
        <w:rPr>
          <w:rFonts w:ascii="宋体" w:hAnsi="宋体" w:eastAsia="宋体" w:cs="宋体"/>
          <w:color w:val="auto"/>
          <w:sz w:val="21"/>
        </w:rPr>
      </w:pPr>
      <w:r>
        <w:rPr>
          <w:rFonts w:hint="eastAsia" w:ascii="宋体" w:hAnsi="宋体" w:eastAsia="宋体" w:cs="宋体"/>
          <w:color w:val="auto"/>
          <w:sz w:val="21"/>
        </w:rPr>
        <w:t>21.1 本合同的订立、生效、解释、履行及与本合同有关的争议解决，均适用法律、行政法规。</w:t>
      </w:r>
    </w:p>
    <w:p w14:paraId="6BF39F57">
      <w:pPr>
        <w:pStyle w:val="34"/>
        <w:ind w:firstLine="420"/>
        <w:jc w:val="both"/>
        <w:rPr>
          <w:rFonts w:ascii="宋体" w:hAnsi="宋体" w:eastAsia="宋体" w:cs="宋体"/>
          <w:color w:val="auto"/>
          <w:sz w:val="21"/>
        </w:rPr>
      </w:pPr>
      <w:r>
        <w:rPr>
          <w:rFonts w:hint="eastAsia" w:ascii="宋体" w:hAnsi="宋体" w:eastAsia="宋体" w:cs="宋体"/>
          <w:color w:val="auto"/>
          <w:sz w:val="21"/>
        </w:rPr>
        <w:t>21.2 本合同条款与法律、行政法规的强制性规定不一致的，双方当事人应按照法律、行政法规的强制性规定修改本合同的相关条款。</w:t>
      </w:r>
    </w:p>
    <w:p w14:paraId="364A6D75">
      <w:pPr>
        <w:numPr>
          <w:ilvl w:val="255"/>
          <w:numId w:val="0"/>
        </w:numPr>
        <w:autoSpaceDE w:val="0"/>
        <w:autoSpaceDN w:val="0"/>
        <w:adjustRightInd w:val="0"/>
        <w:snapToGrid w:val="0"/>
        <w:spacing w:line="400" w:lineRule="exact"/>
        <w:jc w:val="left"/>
        <w:rPr>
          <w:rFonts w:ascii="宋体" w:hAnsi="宋体"/>
          <w:b/>
          <w:color w:val="auto"/>
          <w:sz w:val="24"/>
        </w:rPr>
      </w:pPr>
      <w:r>
        <w:rPr>
          <w:rFonts w:hint="eastAsia" w:ascii="宋体" w:hAnsi="宋体"/>
          <w:b/>
          <w:color w:val="auto"/>
          <w:sz w:val="24"/>
        </w:rPr>
        <w:t>22. 通知</w:t>
      </w:r>
    </w:p>
    <w:p w14:paraId="5EFAFEB1">
      <w:pPr>
        <w:pStyle w:val="34"/>
        <w:ind w:firstLine="420"/>
        <w:jc w:val="both"/>
        <w:rPr>
          <w:rFonts w:ascii="宋体" w:hAnsi="宋体" w:eastAsia="宋体" w:cs="宋体"/>
          <w:color w:val="auto"/>
          <w:sz w:val="21"/>
        </w:rPr>
      </w:pPr>
      <w:r>
        <w:rPr>
          <w:rFonts w:hint="eastAsia" w:ascii="宋体" w:hAnsi="宋体" w:eastAsia="宋体" w:cs="宋体"/>
          <w:color w:val="auto"/>
          <w:sz w:val="21"/>
        </w:rPr>
        <w:t>22.1 本合同任何一方向对方发出的通知、信件、数据电文等，应当发送至本合同第一部分《政府采购合同协议书》所约定的通讯地址、联系人、联系电话或电子邮箱。</w:t>
      </w:r>
    </w:p>
    <w:p w14:paraId="4FEB8456">
      <w:pPr>
        <w:pStyle w:val="34"/>
        <w:ind w:firstLine="0" w:firstLineChars="0"/>
        <w:jc w:val="both"/>
        <w:rPr>
          <w:color w:val="auto"/>
          <w:sz w:val="21"/>
        </w:rPr>
      </w:pPr>
      <w:r>
        <w:rPr>
          <w:rFonts w:hint="eastAsia" w:ascii="宋体" w:hAnsi="宋体" w:eastAsia="宋体" w:cs="宋体"/>
          <w:color w:val="auto"/>
          <w:sz w:val="21"/>
        </w:rPr>
        <w:t xml:space="preserve">    22.2 一方当事人变更名称、住所、联系人、联系电话或电子邮箱等信息的，应当在变更后3日内及时书面通知对方，对方实际收到变更通知前的送达仍为有效送达。</w:t>
      </w:r>
    </w:p>
    <w:p w14:paraId="494BC892">
      <w:pPr>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22.3本合同一方给另一方的通知均应采用书面形式，传真或快递送到本合同中规定的对方的地址和办理签收手续。</w:t>
      </w:r>
    </w:p>
    <w:p w14:paraId="39D3E9A1">
      <w:pPr>
        <w:adjustRightInd w:val="0"/>
        <w:snapToGrid w:val="0"/>
        <w:spacing w:line="400" w:lineRule="exact"/>
        <w:ind w:firstLine="420" w:firstLineChars="200"/>
        <w:jc w:val="left"/>
        <w:rPr>
          <w:rFonts w:ascii="宋体" w:hAnsi="宋体"/>
          <w:color w:val="auto"/>
          <w:szCs w:val="21"/>
        </w:rPr>
      </w:pPr>
      <w:r>
        <w:rPr>
          <w:rFonts w:hint="eastAsia" w:ascii="宋体" w:hAnsi="宋体"/>
          <w:color w:val="auto"/>
          <w:szCs w:val="21"/>
        </w:rPr>
        <w:t>22.4通知以送达之日或通知书中规定的生效之日起生效，两者中以较迟之日为准。</w:t>
      </w:r>
    </w:p>
    <w:p w14:paraId="7F483DCF">
      <w:pPr>
        <w:numPr>
          <w:ilvl w:val="0"/>
          <w:numId w:val="8"/>
        </w:numPr>
        <w:adjustRightInd w:val="0"/>
        <w:snapToGrid w:val="0"/>
        <w:spacing w:line="400" w:lineRule="exact"/>
        <w:jc w:val="left"/>
        <w:rPr>
          <w:rFonts w:ascii="宋体" w:hAnsi="宋体"/>
          <w:b/>
          <w:bCs/>
          <w:color w:val="auto"/>
          <w:sz w:val="24"/>
        </w:rPr>
      </w:pPr>
      <w:r>
        <w:rPr>
          <w:rFonts w:hint="eastAsia" w:ascii="宋体" w:hAnsi="宋体"/>
          <w:b/>
          <w:bCs/>
          <w:color w:val="auto"/>
          <w:sz w:val="24"/>
        </w:rPr>
        <w:t>合同未尽事项</w:t>
      </w:r>
    </w:p>
    <w:p w14:paraId="7190B010">
      <w:pPr>
        <w:adjustRightInd w:val="0"/>
        <w:snapToGrid w:val="0"/>
        <w:spacing w:line="400" w:lineRule="exact"/>
        <w:ind w:firstLine="420" w:firstLineChars="200"/>
        <w:jc w:val="left"/>
        <w:rPr>
          <w:rFonts w:ascii="宋体" w:hAnsi="宋体"/>
          <w:bCs/>
          <w:color w:val="auto"/>
          <w:szCs w:val="21"/>
        </w:rPr>
      </w:pPr>
      <w:r>
        <w:rPr>
          <w:rFonts w:hint="eastAsia" w:ascii="宋体" w:hAnsi="宋体"/>
          <w:bCs/>
          <w:color w:val="auto"/>
          <w:szCs w:val="21"/>
        </w:rPr>
        <w:t>23.1合同未尽事项见</w:t>
      </w:r>
      <w:r>
        <w:rPr>
          <w:rFonts w:hint="eastAsia" w:ascii="宋体" w:hAnsi="宋体"/>
          <w:b/>
          <w:color w:val="auto"/>
          <w:szCs w:val="21"/>
        </w:rPr>
        <w:t>【政府采购合同专用条款】</w:t>
      </w:r>
      <w:r>
        <w:rPr>
          <w:rFonts w:hint="eastAsia" w:ascii="宋体" w:hAnsi="宋体"/>
          <w:bCs/>
          <w:color w:val="auto"/>
          <w:szCs w:val="21"/>
        </w:rPr>
        <w:t>。</w:t>
      </w:r>
    </w:p>
    <w:p w14:paraId="682C8B5A">
      <w:pPr>
        <w:adjustRightInd w:val="0"/>
        <w:snapToGrid w:val="0"/>
        <w:spacing w:line="400" w:lineRule="exact"/>
        <w:jc w:val="left"/>
        <w:rPr>
          <w:rFonts w:ascii="黑体" w:hAnsi="华文中宋" w:eastAsia="黑体"/>
          <w:color w:val="auto"/>
          <w:sz w:val="28"/>
          <w:szCs w:val="28"/>
        </w:rPr>
      </w:pPr>
      <w:r>
        <w:rPr>
          <w:rFonts w:hint="eastAsia" w:ascii="宋体" w:hAnsi="宋体"/>
          <w:bCs/>
          <w:color w:val="auto"/>
          <w:szCs w:val="21"/>
        </w:rPr>
        <w:t xml:space="preserve">    23.2 合同附件与合同正文具有同等的法律效力。</w:t>
      </w:r>
      <w:bookmarkStart w:id="556" w:name="_Toc20313"/>
    </w:p>
    <w:p w14:paraId="05535B76">
      <w:pPr>
        <w:adjustRightInd w:val="0"/>
        <w:snapToGrid w:val="0"/>
        <w:jc w:val="center"/>
        <w:rPr>
          <w:rFonts w:ascii="黑体" w:hAnsi="华文中宋" w:eastAsia="黑体"/>
          <w:color w:val="auto"/>
          <w:sz w:val="28"/>
          <w:szCs w:val="28"/>
        </w:rPr>
      </w:pPr>
      <w:r>
        <w:rPr>
          <w:rFonts w:hint="eastAsia" w:ascii="黑体" w:hAnsi="华文中宋" w:eastAsia="黑体"/>
          <w:color w:val="auto"/>
          <w:sz w:val="28"/>
          <w:szCs w:val="28"/>
        </w:rPr>
        <w:br w:type="page"/>
      </w:r>
    </w:p>
    <w:p w14:paraId="67EE0CB2">
      <w:pPr>
        <w:pStyle w:val="5"/>
        <w:adjustRightInd w:val="0"/>
        <w:snapToGrid w:val="0"/>
        <w:jc w:val="center"/>
        <w:rPr>
          <w:rFonts w:ascii="黑体" w:hAnsi="华文中宋"/>
          <w:b w:val="0"/>
          <w:bCs w:val="0"/>
          <w:color w:val="auto"/>
          <w:sz w:val="28"/>
          <w:szCs w:val="28"/>
        </w:rPr>
      </w:pPr>
      <w:bookmarkStart w:id="557" w:name="_Toc21158"/>
      <w:r>
        <w:rPr>
          <w:rFonts w:hint="eastAsia" w:ascii="黑体" w:hAnsi="华文中宋"/>
          <w:b w:val="0"/>
          <w:bCs w:val="0"/>
          <w:color w:val="auto"/>
          <w:sz w:val="28"/>
          <w:szCs w:val="28"/>
        </w:rPr>
        <w:t>第三节 政府采购合同专用条款</w:t>
      </w:r>
      <w:bookmarkEnd w:id="556"/>
      <w:bookmarkEnd w:id="557"/>
    </w:p>
    <w:tbl>
      <w:tblPr>
        <w:tblStyle w:val="27"/>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327F10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A0EF303">
            <w:pPr>
              <w:adjustRightInd w:val="0"/>
              <w:snapToGrid w:val="0"/>
              <w:jc w:val="center"/>
              <w:rPr>
                <w:rFonts w:ascii="宋体" w:hAnsi="宋体"/>
                <w:color w:val="auto"/>
                <w:szCs w:val="21"/>
              </w:rPr>
            </w:pPr>
            <w:r>
              <w:rPr>
                <w:rFonts w:hint="eastAsia" w:ascii="宋体" w:hAnsi="宋体"/>
                <w:color w:val="auto"/>
                <w:szCs w:val="21"/>
              </w:rPr>
              <w:t>第二节</w:t>
            </w:r>
          </w:p>
          <w:p w14:paraId="3CA4BE5E">
            <w:pPr>
              <w:adjustRightInd w:val="0"/>
              <w:snapToGrid w:val="0"/>
              <w:jc w:val="center"/>
              <w:rPr>
                <w:rFonts w:ascii="宋体" w:hAnsi="宋体"/>
                <w:color w:val="auto"/>
                <w:szCs w:val="21"/>
              </w:rPr>
            </w:pPr>
            <w:r>
              <w:rPr>
                <w:rFonts w:hint="eastAsia" w:ascii="宋体" w:hAnsi="宋体"/>
                <w:color w:val="auto"/>
                <w:szCs w:val="21"/>
              </w:rPr>
              <w:t>第1.2（6）项</w:t>
            </w:r>
          </w:p>
        </w:tc>
        <w:tc>
          <w:tcPr>
            <w:tcW w:w="1742" w:type="dxa"/>
            <w:vAlign w:val="center"/>
          </w:tcPr>
          <w:p w14:paraId="1FACAB8B">
            <w:pPr>
              <w:adjustRightInd w:val="0"/>
              <w:snapToGrid w:val="0"/>
              <w:jc w:val="left"/>
              <w:rPr>
                <w:rFonts w:ascii="宋体" w:hAnsi="宋体"/>
                <w:color w:val="auto"/>
                <w:szCs w:val="21"/>
              </w:rPr>
            </w:pPr>
            <w:r>
              <w:rPr>
                <w:rFonts w:hint="eastAsia" w:ascii="宋体" w:hAnsi="宋体"/>
                <w:color w:val="auto"/>
                <w:szCs w:val="21"/>
              </w:rPr>
              <w:t>联合体具体要求</w:t>
            </w:r>
          </w:p>
        </w:tc>
        <w:tc>
          <w:tcPr>
            <w:tcW w:w="5170" w:type="dxa"/>
            <w:vAlign w:val="center"/>
          </w:tcPr>
          <w:p w14:paraId="3EC8B0F5">
            <w:pPr>
              <w:adjustRightInd w:val="0"/>
              <w:snapToGrid w:val="0"/>
              <w:jc w:val="left"/>
              <w:rPr>
                <w:rFonts w:ascii="宋体" w:hAnsi="宋体"/>
                <w:color w:val="auto"/>
                <w:szCs w:val="21"/>
              </w:rPr>
            </w:pPr>
          </w:p>
        </w:tc>
      </w:tr>
      <w:tr w14:paraId="1A3CE4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06891BEA">
            <w:pPr>
              <w:adjustRightInd w:val="0"/>
              <w:snapToGrid w:val="0"/>
              <w:jc w:val="center"/>
              <w:rPr>
                <w:rFonts w:ascii="宋体" w:hAnsi="宋体"/>
                <w:color w:val="auto"/>
                <w:szCs w:val="21"/>
              </w:rPr>
            </w:pPr>
            <w:r>
              <w:rPr>
                <w:rFonts w:hint="eastAsia" w:ascii="宋体" w:hAnsi="宋体"/>
                <w:color w:val="auto"/>
                <w:szCs w:val="21"/>
              </w:rPr>
              <w:t>第二节</w:t>
            </w:r>
          </w:p>
          <w:p w14:paraId="6F924CCE">
            <w:pPr>
              <w:adjustRightInd w:val="0"/>
              <w:snapToGrid w:val="0"/>
              <w:jc w:val="center"/>
              <w:rPr>
                <w:rFonts w:ascii="宋体" w:hAnsi="宋体"/>
                <w:color w:val="auto"/>
                <w:szCs w:val="21"/>
              </w:rPr>
            </w:pPr>
            <w:r>
              <w:rPr>
                <w:rFonts w:hint="eastAsia" w:ascii="宋体" w:hAnsi="宋体"/>
                <w:color w:val="auto"/>
                <w:szCs w:val="21"/>
              </w:rPr>
              <w:t>第1.2（7）项</w:t>
            </w:r>
          </w:p>
        </w:tc>
        <w:tc>
          <w:tcPr>
            <w:tcW w:w="1742" w:type="dxa"/>
            <w:vAlign w:val="center"/>
          </w:tcPr>
          <w:p w14:paraId="71F8C691">
            <w:pPr>
              <w:adjustRightInd w:val="0"/>
              <w:snapToGrid w:val="0"/>
              <w:jc w:val="left"/>
              <w:rPr>
                <w:rFonts w:ascii="宋体" w:hAnsi="宋体"/>
                <w:color w:val="auto"/>
                <w:szCs w:val="21"/>
              </w:rPr>
            </w:pPr>
            <w:r>
              <w:rPr>
                <w:rFonts w:hint="eastAsia" w:ascii="宋体" w:hAnsi="宋体"/>
                <w:color w:val="auto"/>
                <w:szCs w:val="21"/>
              </w:rPr>
              <w:t>其他术语解释</w:t>
            </w:r>
          </w:p>
        </w:tc>
        <w:tc>
          <w:tcPr>
            <w:tcW w:w="5170" w:type="dxa"/>
            <w:vAlign w:val="center"/>
          </w:tcPr>
          <w:p w14:paraId="4ABD44A2">
            <w:pPr>
              <w:adjustRightInd w:val="0"/>
              <w:snapToGrid w:val="0"/>
              <w:jc w:val="left"/>
              <w:rPr>
                <w:rFonts w:ascii="宋体" w:hAnsi="宋体"/>
                <w:color w:val="auto"/>
                <w:szCs w:val="21"/>
              </w:rPr>
            </w:pPr>
          </w:p>
        </w:tc>
      </w:tr>
      <w:tr w14:paraId="1E6F47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AF1C4B8">
            <w:pPr>
              <w:adjustRightInd w:val="0"/>
              <w:snapToGrid w:val="0"/>
              <w:jc w:val="center"/>
              <w:rPr>
                <w:rFonts w:ascii="宋体" w:hAnsi="宋体"/>
                <w:color w:val="auto"/>
                <w:szCs w:val="21"/>
              </w:rPr>
            </w:pPr>
            <w:r>
              <w:rPr>
                <w:rFonts w:hint="eastAsia" w:ascii="宋体" w:hAnsi="宋体"/>
                <w:color w:val="auto"/>
                <w:szCs w:val="21"/>
              </w:rPr>
              <w:t>第二节</w:t>
            </w:r>
          </w:p>
          <w:p w14:paraId="5BCFBA4A">
            <w:pPr>
              <w:adjustRightInd w:val="0"/>
              <w:snapToGrid w:val="0"/>
              <w:jc w:val="center"/>
              <w:rPr>
                <w:rFonts w:ascii="宋体" w:hAnsi="宋体"/>
                <w:color w:val="auto"/>
                <w:szCs w:val="21"/>
              </w:rPr>
            </w:pPr>
            <w:r>
              <w:rPr>
                <w:rFonts w:hint="eastAsia" w:ascii="宋体" w:hAnsi="宋体"/>
                <w:color w:val="auto"/>
                <w:szCs w:val="21"/>
              </w:rPr>
              <w:t>第4.4款</w:t>
            </w:r>
          </w:p>
        </w:tc>
        <w:tc>
          <w:tcPr>
            <w:tcW w:w="1742" w:type="dxa"/>
            <w:vAlign w:val="center"/>
          </w:tcPr>
          <w:p w14:paraId="3823A468">
            <w:pPr>
              <w:adjustRightInd w:val="0"/>
              <w:snapToGrid w:val="0"/>
              <w:jc w:val="left"/>
              <w:rPr>
                <w:rFonts w:ascii="宋体" w:hAnsi="宋体"/>
                <w:color w:val="auto"/>
                <w:szCs w:val="21"/>
              </w:rPr>
            </w:pPr>
            <w:r>
              <w:rPr>
                <w:rFonts w:hint="eastAsia" w:ascii="宋体" w:hAnsi="宋体"/>
                <w:color w:val="auto"/>
                <w:szCs w:val="21"/>
              </w:rPr>
              <w:t>履约验收中甲方提出异议或作出说明的期限</w:t>
            </w:r>
          </w:p>
        </w:tc>
        <w:tc>
          <w:tcPr>
            <w:tcW w:w="5170" w:type="dxa"/>
            <w:vAlign w:val="center"/>
          </w:tcPr>
          <w:p w14:paraId="00AFF728">
            <w:pPr>
              <w:adjustRightInd w:val="0"/>
              <w:snapToGrid w:val="0"/>
              <w:jc w:val="left"/>
              <w:rPr>
                <w:rFonts w:ascii="宋体" w:hAnsi="宋体"/>
                <w:color w:val="auto"/>
                <w:szCs w:val="21"/>
              </w:rPr>
            </w:pPr>
          </w:p>
        </w:tc>
      </w:tr>
      <w:tr w14:paraId="5AE7CA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B800301">
            <w:pPr>
              <w:adjustRightInd w:val="0"/>
              <w:snapToGrid w:val="0"/>
              <w:jc w:val="center"/>
              <w:rPr>
                <w:rFonts w:ascii="宋体" w:hAnsi="宋体"/>
                <w:color w:val="auto"/>
                <w:szCs w:val="21"/>
              </w:rPr>
            </w:pPr>
            <w:r>
              <w:rPr>
                <w:rFonts w:hint="eastAsia" w:ascii="宋体" w:hAnsi="宋体"/>
                <w:color w:val="auto"/>
                <w:szCs w:val="21"/>
              </w:rPr>
              <w:t>第二节</w:t>
            </w:r>
          </w:p>
          <w:p w14:paraId="450CC459">
            <w:pPr>
              <w:adjustRightInd w:val="0"/>
              <w:snapToGrid w:val="0"/>
              <w:jc w:val="center"/>
              <w:rPr>
                <w:rFonts w:ascii="宋体" w:hAnsi="宋体"/>
                <w:color w:val="auto"/>
                <w:szCs w:val="21"/>
              </w:rPr>
            </w:pPr>
            <w:r>
              <w:rPr>
                <w:rFonts w:hint="eastAsia" w:ascii="宋体" w:hAnsi="宋体"/>
                <w:color w:val="auto"/>
                <w:szCs w:val="21"/>
              </w:rPr>
              <w:t>第4.6款</w:t>
            </w:r>
          </w:p>
        </w:tc>
        <w:tc>
          <w:tcPr>
            <w:tcW w:w="1742" w:type="dxa"/>
            <w:vAlign w:val="center"/>
          </w:tcPr>
          <w:p w14:paraId="4ABB6721">
            <w:pPr>
              <w:adjustRightInd w:val="0"/>
              <w:snapToGrid w:val="0"/>
              <w:jc w:val="left"/>
              <w:rPr>
                <w:rFonts w:ascii="宋体" w:hAnsi="宋体"/>
                <w:color w:val="auto"/>
                <w:szCs w:val="21"/>
              </w:rPr>
            </w:pPr>
            <w:r>
              <w:rPr>
                <w:rFonts w:hint="eastAsia" w:ascii="宋体" w:hAnsi="宋体"/>
                <w:color w:val="auto"/>
                <w:szCs w:val="21"/>
              </w:rPr>
              <w:t>约定甲方承担的其他义务和责任</w:t>
            </w:r>
          </w:p>
        </w:tc>
        <w:tc>
          <w:tcPr>
            <w:tcW w:w="5170" w:type="dxa"/>
            <w:vAlign w:val="center"/>
          </w:tcPr>
          <w:p w14:paraId="6606234D">
            <w:pPr>
              <w:adjustRightInd w:val="0"/>
              <w:snapToGrid w:val="0"/>
              <w:jc w:val="left"/>
              <w:rPr>
                <w:rFonts w:ascii="宋体" w:hAnsi="宋体"/>
                <w:color w:val="auto"/>
                <w:szCs w:val="21"/>
              </w:rPr>
            </w:pPr>
          </w:p>
        </w:tc>
      </w:tr>
      <w:tr w14:paraId="065C37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B623BA4">
            <w:pPr>
              <w:adjustRightInd w:val="0"/>
              <w:snapToGrid w:val="0"/>
              <w:jc w:val="center"/>
              <w:rPr>
                <w:rFonts w:ascii="宋体" w:hAnsi="宋体"/>
                <w:color w:val="auto"/>
                <w:szCs w:val="21"/>
              </w:rPr>
            </w:pPr>
            <w:r>
              <w:rPr>
                <w:rFonts w:hint="eastAsia" w:ascii="宋体" w:hAnsi="宋体"/>
                <w:color w:val="auto"/>
                <w:szCs w:val="21"/>
              </w:rPr>
              <w:t>第二节</w:t>
            </w:r>
          </w:p>
          <w:p w14:paraId="198524D5">
            <w:pPr>
              <w:snapToGrid w:val="0"/>
              <w:jc w:val="center"/>
              <w:rPr>
                <w:color w:val="auto"/>
              </w:rPr>
            </w:pPr>
            <w:r>
              <w:rPr>
                <w:rFonts w:hint="eastAsia" w:ascii="宋体" w:hAnsi="宋体"/>
                <w:color w:val="auto"/>
                <w:szCs w:val="21"/>
              </w:rPr>
              <w:t>第5.4款</w:t>
            </w:r>
          </w:p>
        </w:tc>
        <w:tc>
          <w:tcPr>
            <w:tcW w:w="1742" w:type="dxa"/>
            <w:vAlign w:val="center"/>
          </w:tcPr>
          <w:p w14:paraId="38E28677">
            <w:pPr>
              <w:adjustRightInd w:val="0"/>
              <w:snapToGrid w:val="0"/>
              <w:jc w:val="left"/>
              <w:rPr>
                <w:rFonts w:ascii="宋体" w:hAnsi="宋体"/>
                <w:color w:val="auto"/>
                <w:szCs w:val="21"/>
              </w:rPr>
            </w:pPr>
            <w:r>
              <w:rPr>
                <w:rFonts w:hint="eastAsia" w:ascii="宋体" w:hAnsi="宋体"/>
                <w:color w:val="auto"/>
                <w:szCs w:val="21"/>
              </w:rPr>
              <w:t>约定乙方承担的其他义务和责任</w:t>
            </w:r>
          </w:p>
        </w:tc>
        <w:tc>
          <w:tcPr>
            <w:tcW w:w="5170" w:type="dxa"/>
            <w:vAlign w:val="center"/>
          </w:tcPr>
          <w:p w14:paraId="6C06BF25">
            <w:pPr>
              <w:adjustRightInd w:val="0"/>
              <w:snapToGrid w:val="0"/>
              <w:jc w:val="left"/>
              <w:rPr>
                <w:rFonts w:ascii="宋体" w:hAnsi="宋体"/>
                <w:color w:val="auto"/>
                <w:szCs w:val="21"/>
              </w:rPr>
            </w:pPr>
          </w:p>
        </w:tc>
      </w:tr>
      <w:tr w14:paraId="56F393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3068D83">
            <w:pPr>
              <w:adjustRightInd w:val="0"/>
              <w:snapToGrid w:val="0"/>
              <w:jc w:val="center"/>
              <w:rPr>
                <w:rFonts w:ascii="宋体" w:hAnsi="宋体"/>
                <w:color w:val="auto"/>
                <w:szCs w:val="21"/>
              </w:rPr>
            </w:pPr>
            <w:r>
              <w:rPr>
                <w:rFonts w:hint="eastAsia" w:ascii="宋体" w:hAnsi="宋体"/>
                <w:color w:val="auto"/>
                <w:szCs w:val="21"/>
              </w:rPr>
              <w:t>第二节</w:t>
            </w:r>
          </w:p>
          <w:p w14:paraId="7C5EDBEB">
            <w:pPr>
              <w:snapToGrid w:val="0"/>
              <w:jc w:val="center"/>
              <w:rPr>
                <w:rFonts w:ascii="宋体" w:hAnsi="宋体"/>
                <w:color w:val="auto"/>
                <w:szCs w:val="21"/>
              </w:rPr>
            </w:pPr>
            <w:r>
              <w:rPr>
                <w:rFonts w:hint="eastAsia" w:ascii="宋体" w:hAnsi="宋体"/>
                <w:color w:val="auto"/>
                <w:szCs w:val="21"/>
              </w:rPr>
              <w:t>第6.1款</w:t>
            </w:r>
          </w:p>
        </w:tc>
        <w:tc>
          <w:tcPr>
            <w:tcW w:w="1742" w:type="dxa"/>
            <w:vAlign w:val="center"/>
          </w:tcPr>
          <w:p w14:paraId="12C67A02">
            <w:pPr>
              <w:adjustRightInd w:val="0"/>
              <w:snapToGrid w:val="0"/>
              <w:jc w:val="left"/>
              <w:rPr>
                <w:rFonts w:ascii="宋体" w:hAnsi="宋体"/>
                <w:color w:val="auto"/>
                <w:szCs w:val="21"/>
              </w:rPr>
            </w:pPr>
            <w:r>
              <w:rPr>
                <w:rFonts w:hint="eastAsia" w:ascii="宋体" w:hAnsi="宋体"/>
                <w:color w:val="auto"/>
                <w:szCs w:val="21"/>
              </w:rPr>
              <w:t>履行合同义务的顺序</w:t>
            </w:r>
          </w:p>
        </w:tc>
        <w:tc>
          <w:tcPr>
            <w:tcW w:w="5170" w:type="dxa"/>
            <w:vAlign w:val="center"/>
          </w:tcPr>
          <w:p w14:paraId="631B47C9">
            <w:pPr>
              <w:adjustRightInd w:val="0"/>
              <w:snapToGrid w:val="0"/>
              <w:jc w:val="left"/>
              <w:rPr>
                <w:rFonts w:ascii="宋体" w:hAnsi="宋体"/>
                <w:color w:val="auto"/>
                <w:szCs w:val="21"/>
              </w:rPr>
            </w:pPr>
          </w:p>
        </w:tc>
      </w:tr>
      <w:tr w14:paraId="5DC6B7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185A907F">
            <w:pPr>
              <w:adjustRightInd w:val="0"/>
              <w:snapToGrid w:val="0"/>
              <w:jc w:val="center"/>
              <w:rPr>
                <w:rFonts w:ascii="宋体" w:hAnsi="宋体"/>
                <w:color w:val="auto"/>
                <w:szCs w:val="21"/>
              </w:rPr>
            </w:pPr>
            <w:r>
              <w:rPr>
                <w:rFonts w:hint="eastAsia" w:ascii="宋体" w:hAnsi="宋体"/>
                <w:color w:val="auto"/>
                <w:szCs w:val="21"/>
              </w:rPr>
              <w:t>第二节</w:t>
            </w:r>
          </w:p>
          <w:p w14:paraId="1B292270">
            <w:pPr>
              <w:adjustRightInd w:val="0"/>
              <w:snapToGrid w:val="0"/>
              <w:jc w:val="center"/>
              <w:rPr>
                <w:rFonts w:ascii="宋体" w:hAnsi="宋体"/>
                <w:color w:val="auto"/>
                <w:szCs w:val="21"/>
              </w:rPr>
            </w:pPr>
            <w:r>
              <w:rPr>
                <w:rFonts w:hint="eastAsia" w:ascii="宋体" w:hAnsi="宋体"/>
                <w:color w:val="auto"/>
                <w:szCs w:val="21"/>
              </w:rPr>
              <w:t>第7.1款</w:t>
            </w:r>
          </w:p>
        </w:tc>
        <w:tc>
          <w:tcPr>
            <w:tcW w:w="1742" w:type="dxa"/>
            <w:vAlign w:val="center"/>
          </w:tcPr>
          <w:p w14:paraId="23903EF3">
            <w:pPr>
              <w:adjustRightInd w:val="0"/>
              <w:snapToGrid w:val="0"/>
              <w:jc w:val="left"/>
              <w:rPr>
                <w:rFonts w:ascii="宋体" w:hAnsi="宋体"/>
                <w:color w:val="auto"/>
                <w:szCs w:val="21"/>
              </w:rPr>
            </w:pPr>
            <w:r>
              <w:rPr>
                <w:rFonts w:hint="eastAsia" w:ascii="宋体" w:hAnsi="宋体"/>
                <w:color w:val="auto"/>
                <w:szCs w:val="21"/>
              </w:rPr>
              <w:t>包装特殊要求</w:t>
            </w:r>
          </w:p>
        </w:tc>
        <w:tc>
          <w:tcPr>
            <w:tcW w:w="5170" w:type="dxa"/>
            <w:vAlign w:val="center"/>
          </w:tcPr>
          <w:p w14:paraId="3F263E6C">
            <w:pPr>
              <w:rPr>
                <w:color w:val="auto"/>
              </w:rPr>
            </w:pPr>
          </w:p>
        </w:tc>
      </w:tr>
      <w:tr w14:paraId="45BDB6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46FA5E4F">
            <w:pPr>
              <w:adjustRightInd w:val="0"/>
              <w:snapToGrid w:val="0"/>
              <w:jc w:val="center"/>
              <w:rPr>
                <w:rFonts w:ascii="宋体" w:hAnsi="宋体"/>
                <w:color w:val="auto"/>
                <w:szCs w:val="21"/>
              </w:rPr>
            </w:pPr>
          </w:p>
        </w:tc>
        <w:tc>
          <w:tcPr>
            <w:tcW w:w="1742" w:type="dxa"/>
            <w:vAlign w:val="center"/>
          </w:tcPr>
          <w:p w14:paraId="6E488DC1">
            <w:pPr>
              <w:adjustRightInd w:val="0"/>
              <w:snapToGrid w:val="0"/>
              <w:jc w:val="left"/>
              <w:rPr>
                <w:rFonts w:ascii="宋体" w:hAnsi="宋体"/>
                <w:color w:val="auto"/>
                <w:szCs w:val="21"/>
              </w:rPr>
            </w:pPr>
            <w:r>
              <w:rPr>
                <w:rFonts w:hint="eastAsia" w:ascii="宋体" w:hAnsi="宋体"/>
                <w:color w:val="auto"/>
                <w:szCs w:val="21"/>
              </w:rPr>
              <w:t>指定现场</w:t>
            </w:r>
          </w:p>
        </w:tc>
        <w:tc>
          <w:tcPr>
            <w:tcW w:w="5170" w:type="dxa"/>
            <w:vAlign w:val="center"/>
          </w:tcPr>
          <w:p w14:paraId="60491AA3">
            <w:pPr>
              <w:rPr>
                <w:color w:val="auto"/>
              </w:rPr>
            </w:pPr>
          </w:p>
        </w:tc>
      </w:tr>
      <w:tr w14:paraId="18AE78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0AF7C36B">
            <w:pPr>
              <w:adjustRightInd w:val="0"/>
              <w:snapToGrid w:val="0"/>
              <w:jc w:val="center"/>
              <w:rPr>
                <w:rFonts w:ascii="宋体" w:hAnsi="宋体"/>
                <w:color w:val="auto"/>
                <w:szCs w:val="21"/>
              </w:rPr>
            </w:pPr>
            <w:r>
              <w:rPr>
                <w:rFonts w:hint="eastAsia" w:ascii="宋体" w:hAnsi="宋体"/>
                <w:color w:val="auto"/>
                <w:szCs w:val="21"/>
              </w:rPr>
              <w:t>第二节</w:t>
            </w:r>
          </w:p>
          <w:p w14:paraId="1EFD712B">
            <w:pPr>
              <w:adjustRightInd w:val="0"/>
              <w:snapToGrid w:val="0"/>
              <w:jc w:val="center"/>
              <w:rPr>
                <w:rFonts w:ascii="宋体" w:hAnsi="宋体"/>
                <w:color w:val="auto"/>
                <w:szCs w:val="21"/>
              </w:rPr>
            </w:pPr>
            <w:r>
              <w:rPr>
                <w:rFonts w:hint="eastAsia" w:ascii="宋体" w:hAnsi="宋体"/>
                <w:color w:val="auto"/>
                <w:szCs w:val="21"/>
              </w:rPr>
              <w:t>第7.2款</w:t>
            </w:r>
          </w:p>
        </w:tc>
        <w:tc>
          <w:tcPr>
            <w:tcW w:w="1742" w:type="dxa"/>
            <w:vAlign w:val="center"/>
          </w:tcPr>
          <w:p w14:paraId="1CC2DA30">
            <w:pPr>
              <w:adjustRightInd w:val="0"/>
              <w:snapToGrid w:val="0"/>
              <w:jc w:val="left"/>
              <w:rPr>
                <w:rFonts w:ascii="宋体" w:hAnsi="宋体"/>
                <w:color w:val="auto"/>
                <w:szCs w:val="21"/>
              </w:rPr>
            </w:pPr>
            <w:r>
              <w:rPr>
                <w:rFonts w:hint="eastAsia" w:ascii="宋体" w:hAnsi="宋体"/>
                <w:color w:val="auto"/>
                <w:szCs w:val="21"/>
              </w:rPr>
              <w:t>运输特殊要求</w:t>
            </w:r>
          </w:p>
        </w:tc>
        <w:tc>
          <w:tcPr>
            <w:tcW w:w="5170" w:type="dxa"/>
            <w:vAlign w:val="center"/>
          </w:tcPr>
          <w:p w14:paraId="70D76FD1">
            <w:pPr>
              <w:rPr>
                <w:color w:val="auto"/>
              </w:rPr>
            </w:pPr>
          </w:p>
        </w:tc>
      </w:tr>
      <w:tr w14:paraId="33CD03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77823534">
            <w:pPr>
              <w:adjustRightInd w:val="0"/>
              <w:snapToGrid w:val="0"/>
              <w:jc w:val="center"/>
              <w:rPr>
                <w:rFonts w:ascii="宋体" w:hAnsi="宋体"/>
                <w:color w:val="auto"/>
                <w:szCs w:val="21"/>
              </w:rPr>
            </w:pPr>
            <w:r>
              <w:rPr>
                <w:rFonts w:hint="eastAsia" w:ascii="宋体" w:hAnsi="宋体"/>
                <w:color w:val="auto"/>
                <w:szCs w:val="21"/>
              </w:rPr>
              <w:t>第二节</w:t>
            </w:r>
          </w:p>
          <w:p w14:paraId="7231073F">
            <w:pPr>
              <w:adjustRightInd w:val="0"/>
              <w:snapToGrid w:val="0"/>
              <w:jc w:val="center"/>
              <w:rPr>
                <w:rFonts w:ascii="宋体" w:hAnsi="宋体"/>
                <w:color w:val="auto"/>
                <w:szCs w:val="21"/>
              </w:rPr>
            </w:pPr>
            <w:r>
              <w:rPr>
                <w:rFonts w:hint="eastAsia" w:ascii="宋体" w:hAnsi="宋体"/>
                <w:color w:val="auto"/>
                <w:szCs w:val="21"/>
              </w:rPr>
              <w:t>第7.3款</w:t>
            </w:r>
          </w:p>
        </w:tc>
        <w:tc>
          <w:tcPr>
            <w:tcW w:w="1742" w:type="dxa"/>
            <w:vAlign w:val="center"/>
          </w:tcPr>
          <w:p w14:paraId="301D249A">
            <w:pPr>
              <w:adjustRightInd w:val="0"/>
              <w:snapToGrid w:val="0"/>
              <w:jc w:val="left"/>
              <w:rPr>
                <w:rFonts w:ascii="宋体" w:hAnsi="宋体"/>
                <w:color w:val="auto"/>
                <w:szCs w:val="21"/>
              </w:rPr>
            </w:pPr>
            <w:r>
              <w:rPr>
                <w:rFonts w:hint="eastAsia" w:ascii="宋体" w:hAnsi="宋体"/>
                <w:color w:val="auto"/>
                <w:szCs w:val="21"/>
              </w:rPr>
              <w:t>保险要求</w:t>
            </w:r>
          </w:p>
        </w:tc>
        <w:tc>
          <w:tcPr>
            <w:tcW w:w="5170" w:type="dxa"/>
            <w:vAlign w:val="center"/>
          </w:tcPr>
          <w:p w14:paraId="6C6A8AAE">
            <w:pPr>
              <w:rPr>
                <w:color w:val="auto"/>
              </w:rPr>
            </w:pPr>
          </w:p>
        </w:tc>
      </w:tr>
      <w:tr w14:paraId="796795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EC2A0CD">
            <w:pPr>
              <w:adjustRightInd w:val="0"/>
              <w:snapToGrid w:val="0"/>
              <w:jc w:val="center"/>
              <w:rPr>
                <w:rFonts w:ascii="宋体" w:hAnsi="宋体"/>
                <w:color w:val="auto"/>
                <w:szCs w:val="21"/>
              </w:rPr>
            </w:pPr>
            <w:r>
              <w:rPr>
                <w:rFonts w:hint="eastAsia" w:ascii="宋体" w:hAnsi="宋体"/>
                <w:color w:val="auto"/>
                <w:szCs w:val="21"/>
              </w:rPr>
              <w:t>第二节</w:t>
            </w:r>
          </w:p>
          <w:p w14:paraId="2C9935D5">
            <w:pPr>
              <w:adjustRightInd w:val="0"/>
              <w:snapToGrid w:val="0"/>
              <w:jc w:val="center"/>
              <w:rPr>
                <w:rFonts w:ascii="宋体" w:hAnsi="宋体"/>
                <w:color w:val="auto"/>
                <w:szCs w:val="21"/>
              </w:rPr>
            </w:pPr>
            <w:r>
              <w:rPr>
                <w:rFonts w:hint="eastAsia" w:ascii="宋体" w:hAnsi="宋体"/>
                <w:color w:val="auto"/>
                <w:szCs w:val="21"/>
              </w:rPr>
              <w:t>第8.2（1）项</w:t>
            </w:r>
          </w:p>
        </w:tc>
        <w:tc>
          <w:tcPr>
            <w:tcW w:w="1742" w:type="dxa"/>
            <w:vAlign w:val="center"/>
          </w:tcPr>
          <w:p w14:paraId="294FCFDE">
            <w:pPr>
              <w:adjustRightInd w:val="0"/>
              <w:snapToGrid w:val="0"/>
              <w:jc w:val="left"/>
              <w:rPr>
                <w:rFonts w:ascii="宋体" w:hAnsi="宋体"/>
                <w:color w:val="auto"/>
                <w:szCs w:val="21"/>
              </w:rPr>
            </w:pPr>
            <w:r>
              <w:rPr>
                <w:rFonts w:hint="eastAsia" w:ascii="宋体" w:hAnsi="宋体"/>
                <w:color w:val="auto"/>
                <w:szCs w:val="21"/>
              </w:rPr>
              <w:t>质量保证期</w:t>
            </w:r>
          </w:p>
        </w:tc>
        <w:tc>
          <w:tcPr>
            <w:tcW w:w="5170" w:type="dxa"/>
            <w:vAlign w:val="center"/>
          </w:tcPr>
          <w:p w14:paraId="191CB6E0">
            <w:pPr>
              <w:autoSpaceDE w:val="0"/>
              <w:autoSpaceDN w:val="0"/>
              <w:adjustRightInd w:val="0"/>
              <w:snapToGrid w:val="0"/>
              <w:ind w:firstLine="420" w:firstLineChars="200"/>
              <w:jc w:val="left"/>
              <w:rPr>
                <w:rFonts w:ascii="宋体" w:hAnsi="宋体"/>
                <w:color w:val="auto"/>
                <w:szCs w:val="21"/>
              </w:rPr>
            </w:pPr>
          </w:p>
        </w:tc>
      </w:tr>
      <w:tr w14:paraId="19C6D0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C32791A">
            <w:pPr>
              <w:adjustRightInd w:val="0"/>
              <w:snapToGrid w:val="0"/>
              <w:jc w:val="center"/>
              <w:rPr>
                <w:rFonts w:ascii="宋体" w:hAnsi="宋体"/>
                <w:color w:val="auto"/>
                <w:szCs w:val="21"/>
              </w:rPr>
            </w:pPr>
            <w:r>
              <w:rPr>
                <w:rFonts w:hint="eastAsia" w:ascii="宋体" w:hAnsi="宋体"/>
                <w:color w:val="auto"/>
                <w:szCs w:val="21"/>
              </w:rPr>
              <w:t>第二节</w:t>
            </w:r>
          </w:p>
          <w:p w14:paraId="0E83A4CF">
            <w:pPr>
              <w:adjustRightInd w:val="0"/>
              <w:snapToGrid w:val="0"/>
              <w:jc w:val="center"/>
              <w:rPr>
                <w:rFonts w:ascii="宋体" w:hAnsi="宋体"/>
                <w:color w:val="auto"/>
                <w:szCs w:val="21"/>
              </w:rPr>
            </w:pPr>
            <w:r>
              <w:rPr>
                <w:rFonts w:hint="eastAsia" w:ascii="宋体" w:hAnsi="宋体"/>
                <w:color w:val="auto"/>
                <w:szCs w:val="21"/>
              </w:rPr>
              <w:t>第8.2（3）项</w:t>
            </w:r>
          </w:p>
        </w:tc>
        <w:tc>
          <w:tcPr>
            <w:tcW w:w="1742" w:type="dxa"/>
            <w:vAlign w:val="center"/>
          </w:tcPr>
          <w:p w14:paraId="61CE42FD">
            <w:pPr>
              <w:adjustRightInd w:val="0"/>
              <w:snapToGrid w:val="0"/>
              <w:jc w:val="left"/>
              <w:rPr>
                <w:rFonts w:ascii="宋体" w:hAnsi="宋体"/>
                <w:color w:val="auto"/>
                <w:szCs w:val="21"/>
              </w:rPr>
            </w:pPr>
            <w:r>
              <w:rPr>
                <w:rFonts w:hint="eastAsia" w:ascii="宋体" w:hAnsi="宋体"/>
                <w:color w:val="auto"/>
                <w:szCs w:val="21"/>
              </w:rPr>
              <w:t>货物质量缺陷</w:t>
            </w:r>
          </w:p>
          <w:p w14:paraId="45813D8A">
            <w:pPr>
              <w:adjustRightInd w:val="0"/>
              <w:snapToGrid w:val="0"/>
              <w:jc w:val="left"/>
              <w:rPr>
                <w:rFonts w:ascii="宋体" w:hAnsi="宋体"/>
                <w:color w:val="auto"/>
                <w:szCs w:val="21"/>
              </w:rPr>
            </w:pPr>
            <w:r>
              <w:rPr>
                <w:rFonts w:hint="eastAsia" w:ascii="宋体" w:hAnsi="宋体"/>
                <w:color w:val="auto"/>
                <w:szCs w:val="21"/>
              </w:rPr>
              <w:t>响应时间</w:t>
            </w:r>
          </w:p>
        </w:tc>
        <w:tc>
          <w:tcPr>
            <w:tcW w:w="5170" w:type="dxa"/>
            <w:vAlign w:val="center"/>
          </w:tcPr>
          <w:p w14:paraId="6A4D9AC7">
            <w:pPr>
              <w:adjustRightInd w:val="0"/>
              <w:snapToGrid w:val="0"/>
              <w:jc w:val="left"/>
              <w:rPr>
                <w:rFonts w:ascii="宋体" w:hAnsi="宋体"/>
                <w:color w:val="auto"/>
                <w:szCs w:val="21"/>
              </w:rPr>
            </w:pPr>
          </w:p>
        </w:tc>
      </w:tr>
      <w:tr w14:paraId="49BCE6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7C7D09A">
            <w:pPr>
              <w:snapToGrid w:val="0"/>
              <w:jc w:val="center"/>
              <w:rPr>
                <w:rFonts w:ascii="宋体" w:hAnsi="宋体" w:cs="宋体"/>
                <w:color w:val="auto"/>
                <w:szCs w:val="21"/>
              </w:rPr>
            </w:pPr>
            <w:r>
              <w:rPr>
                <w:rFonts w:hint="eastAsia" w:ascii="宋体" w:hAnsi="宋体" w:cs="宋体"/>
                <w:color w:val="auto"/>
                <w:szCs w:val="21"/>
              </w:rPr>
              <w:t>第二节</w:t>
            </w:r>
          </w:p>
          <w:p w14:paraId="2CA3E6F3">
            <w:pPr>
              <w:pStyle w:val="34"/>
              <w:ind w:firstLine="0" w:firstLineChars="0"/>
              <w:jc w:val="center"/>
              <w:rPr>
                <w:color w:val="auto"/>
              </w:rPr>
            </w:pPr>
            <w:r>
              <w:rPr>
                <w:rFonts w:hint="eastAsia" w:ascii="宋体" w:hAnsi="宋体" w:eastAsia="宋体" w:cs="宋体"/>
                <w:color w:val="auto"/>
              </w:rPr>
              <w:t>第11.1款</w:t>
            </w:r>
          </w:p>
        </w:tc>
        <w:tc>
          <w:tcPr>
            <w:tcW w:w="1742" w:type="dxa"/>
            <w:vAlign w:val="center"/>
          </w:tcPr>
          <w:p w14:paraId="2006811E">
            <w:pPr>
              <w:adjustRightInd w:val="0"/>
              <w:snapToGrid w:val="0"/>
              <w:rPr>
                <w:rFonts w:ascii="宋体" w:hAnsi="宋体"/>
                <w:color w:val="auto"/>
                <w:szCs w:val="21"/>
              </w:rPr>
            </w:pPr>
            <w:r>
              <w:rPr>
                <w:rFonts w:hint="eastAsia" w:ascii="宋体" w:hAnsi="宋体"/>
                <w:color w:val="auto"/>
                <w:szCs w:val="21"/>
              </w:rPr>
              <w:t>其他应当保密的信息</w:t>
            </w:r>
          </w:p>
        </w:tc>
        <w:tc>
          <w:tcPr>
            <w:tcW w:w="5170" w:type="dxa"/>
            <w:vAlign w:val="center"/>
          </w:tcPr>
          <w:p w14:paraId="1F5EC00C">
            <w:pPr>
              <w:adjustRightInd w:val="0"/>
              <w:snapToGrid w:val="0"/>
              <w:jc w:val="left"/>
              <w:rPr>
                <w:rFonts w:ascii="宋体" w:hAnsi="宋体"/>
                <w:color w:val="auto"/>
                <w:szCs w:val="21"/>
              </w:rPr>
            </w:pPr>
          </w:p>
        </w:tc>
      </w:tr>
      <w:tr w14:paraId="02CAF3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79B1C9EC">
            <w:pPr>
              <w:adjustRightInd w:val="0"/>
              <w:snapToGrid w:val="0"/>
              <w:jc w:val="center"/>
              <w:rPr>
                <w:rFonts w:ascii="宋体" w:hAnsi="宋体"/>
                <w:color w:val="auto"/>
                <w:szCs w:val="21"/>
              </w:rPr>
            </w:pPr>
            <w:r>
              <w:rPr>
                <w:rFonts w:hint="eastAsia" w:ascii="宋体" w:hAnsi="宋体"/>
                <w:color w:val="auto"/>
                <w:szCs w:val="21"/>
              </w:rPr>
              <w:t>第二节</w:t>
            </w:r>
          </w:p>
          <w:p w14:paraId="4D86E427">
            <w:pPr>
              <w:adjustRightInd w:val="0"/>
              <w:snapToGrid w:val="0"/>
              <w:jc w:val="center"/>
              <w:rPr>
                <w:rFonts w:ascii="宋体" w:hAnsi="宋体"/>
                <w:color w:val="auto"/>
                <w:szCs w:val="21"/>
              </w:rPr>
            </w:pPr>
            <w:r>
              <w:rPr>
                <w:rFonts w:hint="eastAsia" w:ascii="宋体" w:hAnsi="宋体"/>
                <w:color w:val="auto"/>
                <w:szCs w:val="21"/>
              </w:rPr>
              <w:t>第12.2款</w:t>
            </w:r>
          </w:p>
        </w:tc>
        <w:tc>
          <w:tcPr>
            <w:tcW w:w="1742" w:type="dxa"/>
            <w:vAlign w:val="center"/>
          </w:tcPr>
          <w:p w14:paraId="06D39EC1">
            <w:pPr>
              <w:adjustRightInd w:val="0"/>
              <w:snapToGrid w:val="0"/>
              <w:jc w:val="left"/>
              <w:rPr>
                <w:rFonts w:ascii="宋体" w:hAnsi="宋体"/>
                <w:color w:val="auto"/>
                <w:szCs w:val="21"/>
              </w:rPr>
            </w:pPr>
            <w:r>
              <w:rPr>
                <w:rFonts w:hint="eastAsia" w:ascii="宋体" w:hAnsi="宋体"/>
                <w:color w:val="auto"/>
                <w:szCs w:val="21"/>
              </w:rPr>
              <w:t>合同价款支付时间</w:t>
            </w:r>
          </w:p>
        </w:tc>
        <w:tc>
          <w:tcPr>
            <w:tcW w:w="5170" w:type="dxa"/>
            <w:vAlign w:val="center"/>
          </w:tcPr>
          <w:p w14:paraId="375E112E">
            <w:pPr>
              <w:adjustRightInd w:val="0"/>
              <w:snapToGrid w:val="0"/>
              <w:jc w:val="left"/>
              <w:rPr>
                <w:rFonts w:ascii="宋体" w:hAnsi="宋体"/>
                <w:color w:val="auto"/>
                <w:szCs w:val="21"/>
              </w:rPr>
            </w:pPr>
          </w:p>
        </w:tc>
      </w:tr>
      <w:tr w14:paraId="4FB6BB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4F33F2A6">
            <w:pPr>
              <w:adjustRightInd w:val="0"/>
              <w:snapToGrid w:val="0"/>
              <w:jc w:val="center"/>
              <w:rPr>
                <w:rFonts w:ascii="宋体" w:hAnsi="宋体"/>
                <w:color w:val="auto"/>
                <w:szCs w:val="21"/>
              </w:rPr>
            </w:pPr>
            <w:r>
              <w:rPr>
                <w:rFonts w:hint="eastAsia" w:ascii="宋体" w:hAnsi="宋体"/>
                <w:color w:val="auto"/>
                <w:szCs w:val="21"/>
              </w:rPr>
              <w:t>第二节</w:t>
            </w:r>
          </w:p>
          <w:p w14:paraId="1CF595F3">
            <w:pPr>
              <w:adjustRightInd w:val="0"/>
              <w:snapToGrid w:val="0"/>
              <w:jc w:val="center"/>
              <w:rPr>
                <w:rFonts w:ascii="宋体" w:hAnsi="宋体"/>
                <w:color w:val="auto"/>
                <w:szCs w:val="21"/>
              </w:rPr>
            </w:pPr>
            <w:r>
              <w:rPr>
                <w:rFonts w:hint="eastAsia" w:ascii="宋体" w:hAnsi="宋体"/>
                <w:color w:val="auto"/>
                <w:szCs w:val="21"/>
              </w:rPr>
              <w:t>第13.2款</w:t>
            </w:r>
          </w:p>
        </w:tc>
        <w:tc>
          <w:tcPr>
            <w:tcW w:w="1742" w:type="dxa"/>
            <w:vAlign w:val="center"/>
          </w:tcPr>
          <w:p w14:paraId="537D9B27">
            <w:pPr>
              <w:adjustRightInd w:val="0"/>
              <w:snapToGrid w:val="0"/>
              <w:jc w:val="left"/>
              <w:rPr>
                <w:rFonts w:ascii="宋体" w:hAnsi="宋体"/>
                <w:color w:val="auto"/>
                <w:szCs w:val="21"/>
              </w:rPr>
            </w:pPr>
            <w:r>
              <w:rPr>
                <w:rFonts w:hint="eastAsia" w:ascii="宋体" w:hAnsi="宋体"/>
                <w:color w:val="auto"/>
                <w:szCs w:val="21"/>
              </w:rPr>
              <w:t>履约保证金不予退还的情形</w:t>
            </w:r>
          </w:p>
        </w:tc>
        <w:tc>
          <w:tcPr>
            <w:tcW w:w="5170" w:type="dxa"/>
            <w:vAlign w:val="center"/>
          </w:tcPr>
          <w:p w14:paraId="4AA677E9">
            <w:pPr>
              <w:adjustRightInd w:val="0"/>
              <w:snapToGrid w:val="0"/>
              <w:jc w:val="left"/>
              <w:rPr>
                <w:rFonts w:ascii="宋体" w:hAnsi="宋体"/>
                <w:color w:val="auto"/>
                <w:szCs w:val="21"/>
              </w:rPr>
            </w:pPr>
          </w:p>
        </w:tc>
      </w:tr>
      <w:tr w14:paraId="7B4CA6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6E33136">
            <w:pPr>
              <w:adjustRightInd w:val="0"/>
              <w:snapToGrid w:val="0"/>
              <w:jc w:val="center"/>
              <w:rPr>
                <w:rFonts w:ascii="宋体" w:hAnsi="宋体"/>
                <w:color w:val="auto"/>
                <w:szCs w:val="21"/>
              </w:rPr>
            </w:pPr>
            <w:r>
              <w:rPr>
                <w:rFonts w:hint="eastAsia" w:ascii="宋体" w:hAnsi="宋体"/>
                <w:color w:val="auto"/>
                <w:szCs w:val="21"/>
              </w:rPr>
              <w:t>第二节</w:t>
            </w:r>
          </w:p>
          <w:p w14:paraId="15A05C0A">
            <w:pPr>
              <w:adjustRightInd w:val="0"/>
              <w:snapToGrid w:val="0"/>
              <w:jc w:val="center"/>
              <w:rPr>
                <w:rFonts w:ascii="宋体" w:hAnsi="宋体"/>
                <w:color w:val="auto"/>
                <w:szCs w:val="21"/>
              </w:rPr>
            </w:pPr>
            <w:r>
              <w:rPr>
                <w:rFonts w:hint="eastAsia" w:ascii="宋体" w:hAnsi="宋体"/>
                <w:color w:val="auto"/>
                <w:szCs w:val="21"/>
              </w:rPr>
              <w:t>第13.3款</w:t>
            </w:r>
          </w:p>
        </w:tc>
        <w:tc>
          <w:tcPr>
            <w:tcW w:w="1742" w:type="dxa"/>
            <w:vAlign w:val="center"/>
          </w:tcPr>
          <w:p w14:paraId="2913CDE0">
            <w:pPr>
              <w:adjustRightInd w:val="0"/>
              <w:snapToGrid w:val="0"/>
              <w:jc w:val="left"/>
              <w:rPr>
                <w:rFonts w:ascii="宋体" w:hAnsi="宋体"/>
                <w:color w:val="auto"/>
                <w:szCs w:val="21"/>
              </w:rPr>
            </w:pPr>
            <w:r>
              <w:rPr>
                <w:rFonts w:hint="eastAsia" w:ascii="宋体" w:hAnsi="宋体"/>
                <w:color w:val="auto"/>
                <w:szCs w:val="21"/>
              </w:rPr>
              <w:t>履约保证金退还时间及逾期退还的违约金</w:t>
            </w:r>
          </w:p>
        </w:tc>
        <w:tc>
          <w:tcPr>
            <w:tcW w:w="5170" w:type="dxa"/>
            <w:vAlign w:val="center"/>
          </w:tcPr>
          <w:p w14:paraId="26B57D16">
            <w:pPr>
              <w:adjustRightInd w:val="0"/>
              <w:snapToGrid w:val="0"/>
              <w:jc w:val="left"/>
              <w:rPr>
                <w:rFonts w:ascii="宋体" w:hAnsi="宋体"/>
                <w:color w:val="auto"/>
                <w:szCs w:val="21"/>
              </w:rPr>
            </w:pPr>
          </w:p>
        </w:tc>
      </w:tr>
      <w:tr w14:paraId="6E34B9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072A0ACC">
            <w:pPr>
              <w:adjustRightInd w:val="0"/>
              <w:snapToGrid w:val="0"/>
              <w:jc w:val="center"/>
              <w:rPr>
                <w:rFonts w:ascii="宋体" w:hAnsi="宋体"/>
                <w:color w:val="auto"/>
                <w:szCs w:val="21"/>
              </w:rPr>
            </w:pPr>
            <w:r>
              <w:rPr>
                <w:rFonts w:hint="eastAsia" w:ascii="宋体" w:hAnsi="宋体"/>
                <w:color w:val="auto"/>
                <w:szCs w:val="21"/>
              </w:rPr>
              <w:t>第二节</w:t>
            </w:r>
          </w:p>
          <w:p w14:paraId="6C750F93">
            <w:pPr>
              <w:adjustRightInd w:val="0"/>
              <w:snapToGrid w:val="0"/>
              <w:jc w:val="center"/>
              <w:rPr>
                <w:rFonts w:ascii="宋体" w:hAnsi="宋体"/>
                <w:color w:val="auto"/>
                <w:szCs w:val="21"/>
              </w:rPr>
            </w:pPr>
            <w:r>
              <w:rPr>
                <w:rFonts w:hint="eastAsia" w:ascii="宋体" w:hAnsi="宋体"/>
                <w:color w:val="auto"/>
                <w:szCs w:val="21"/>
              </w:rPr>
              <w:t>第14.1（3）项</w:t>
            </w:r>
          </w:p>
        </w:tc>
        <w:tc>
          <w:tcPr>
            <w:tcW w:w="1742" w:type="dxa"/>
            <w:vAlign w:val="center"/>
          </w:tcPr>
          <w:p w14:paraId="6FF55B9F">
            <w:pPr>
              <w:adjustRightInd w:val="0"/>
              <w:snapToGrid w:val="0"/>
              <w:jc w:val="left"/>
              <w:rPr>
                <w:rFonts w:ascii="宋体" w:hAnsi="宋体"/>
                <w:color w:val="auto"/>
                <w:szCs w:val="21"/>
              </w:rPr>
            </w:pPr>
            <w:r>
              <w:rPr>
                <w:rFonts w:hint="eastAsia" w:ascii="宋体" w:hAnsi="宋体"/>
                <w:color w:val="auto"/>
                <w:szCs w:val="21"/>
              </w:rPr>
              <w:t>运行监督、维修期限</w:t>
            </w:r>
          </w:p>
        </w:tc>
        <w:tc>
          <w:tcPr>
            <w:tcW w:w="5170" w:type="dxa"/>
            <w:vAlign w:val="center"/>
          </w:tcPr>
          <w:p w14:paraId="59E7A4BF">
            <w:pPr>
              <w:adjustRightInd w:val="0"/>
              <w:snapToGrid w:val="0"/>
              <w:jc w:val="left"/>
              <w:rPr>
                <w:rFonts w:ascii="宋体" w:hAnsi="宋体"/>
                <w:color w:val="auto"/>
                <w:szCs w:val="21"/>
              </w:rPr>
            </w:pPr>
          </w:p>
        </w:tc>
      </w:tr>
      <w:tr w14:paraId="6DF71F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6269157B">
            <w:pPr>
              <w:adjustRightInd w:val="0"/>
              <w:snapToGrid w:val="0"/>
              <w:jc w:val="center"/>
              <w:rPr>
                <w:rFonts w:ascii="宋体" w:hAnsi="宋体"/>
                <w:color w:val="auto"/>
                <w:szCs w:val="21"/>
              </w:rPr>
            </w:pPr>
            <w:r>
              <w:rPr>
                <w:rFonts w:hint="eastAsia" w:ascii="宋体" w:hAnsi="宋体"/>
                <w:color w:val="auto"/>
                <w:szCs w:val="21"/>
              </w:rPr>
              <w:t>第二节</w:t>
            </w:r>
          </w:p>
          <w:p w14:paraId="6C01A106">
            <w:pPr>
              <w:adjustRightInd w:val="0"/>
              <w:snapToGrid w:val="0"/>
              <w:jc w:val="center"/>
              <w:rPr>
                <w:rFonts w:ascii="宋体" w:hAnsi="宋体"/>
                <w:color w:val="auto"/>
                <w:szCs w:val="21"/>
              </w:rPr>
            </w:pPr>
            <w:r>
              <w:rPr>
                <w:rFonts w:hint="eastAsia" w:ascii="宋体" w:hAnsi="宋体"/>
                <w:color w:val="auto"/>
                <w:szCs w:val="21"/>
              </w:rPr>
              <w:t>第14.1（5）项</w:t>
            </w:r>
          </w:p>
        </w:tc>
        <w:tc>
          <w:tcPr>
            <w:tcW w:w="1742" w:type="dxa"/>
            <w:vAlign w:val="center"/>
          </w:tcPr>
          <w:p w14:paraId="58F9FC75">
            <w:pPr>
              <w:adjustRightInd w:val="0"/>
              <w:snapToGrid w:val="0"/>
              <w:jc w:val="left"/>
              <w:rPr>
                <w:rFonts w:ascii="宋体" w:hAnsi="宋体"/>
                <w:color w:val="auto"/>
                <w:szCs w:val="21"/>
              </w:rPr>
            </w:pPr>
            <w:r>
              <w:rPr>
                <w:rFonts w:hint="eastAsia" w:ascii="宋体" w:hAnsi="宋体"/>
                <w:color w:val="auto"/>
                <w:szCs w:val="21"/>
              </w:rPr>
              <w:t>货物回收的约定</w:t>
            </w:r>
          </w:p>
        </w:tc>
        <w:tc>
          <w:tcPr>
            <w:tcW w:w="5170" w:type="dxa"/>
            <w:vAlign w:val="center"/>
          </w:tcPr>
          <w:p w14:paraId="19AC50DE">
            <w:pPr>
              <w:adjustRightInd w:val="0"/>
              <w:snapToGrid w:val="0"/>
              <w:jc w:val="left"/>
              <w:rPr>
                <w:rFonts w:ascii="宋体" w:hAnsi="宋体"/>
                <w:color w:val="auto"/>
                <w:szCs w:val="21"/>
              </w:rPr>
            </w:pPr>
          </w:p>
        </w:tc>
      </w:tr>
      <w:tr w14:paraId="6EA0F2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D49ED88">
            <w:pPr>
              <w:adjustRightInd w:val="0"/>
              <w:snapToGrid w:val="0"/>
              <w:jc w:val="center"/>
              <w:rPr>
                <w:rFonts w:ascii="宋体" w:hAnsi="宋体"/>
                <w:color w:val="auto"/>
                <w:szCs w:val="21"/>
              </w:rPr>
            </w:pPr>
            <w:r>
              <w:rPr>
                <w:rFonts w:hint="eastAsia" w:ascii="宋体" w:hAnsi="宋体"/>
                <w:color w:val="auto"/>
                <w:szCs w:val="21"/>
              </w:rPr>
              <w:t>第二节</w:t>
            </w:r>
          </w:p>
          <w:p w14:paraId="63D00D91">
            <w:pPr>
              <w:adjustRightInd w:val="0"/>
              <w:snapToGrid w:val="0"/>
              <w:jc w:val="center"/>
              <w:rPr>
                <w:rFonts w:ascii="宋体" w:hAnsi="宋体"/>
                <w:color w:val="auto"/>
                <w:szCs w:val="21"/>
              </w:rPr>
            </w:pPr>
            <w:r>
              <w:rPr>
                <w:rFonts w:hint="eastAsia" w:ascii="宋体" w:hAnsi="宋体"/>
                <w:color w:val="auto"/>
                <w:szCs w:val="21"/>
              </w:rPr>
              <w:t>第14.1（6）项</w:t>
            </w:r>
          </w:p>
        </w:tc>
        <w:tc>
          <w:tcPr>
            <w:tcW w:w="1742" w:type="dxa"/>
            <w:vAlign w:val="center"/>
          </w:tcPr>
          <w:p w14:paraId="46C03DEE">
            <w:pPr>
              <w:adjustRightInd w:val="0"/>
              <w:snapToGrid w:val="0"/>
              <w:jc w:val="left"/>
              <w:rPr>
                <w:rFonts w:ascii="宋体" w:hAnsi="宋体"/>
                <w:color w:val="auto"/>
                <w:szCs w:val="21"/>
              </w:rPr>
            </w:pPr>
            <w:r>
              <w:rPr>
                <w:rFonts w:hint="eastAsia" w:ascii="宋体" w:hAnsi="宋体"/>
                <w:color w:val="auto"/>
                <w:szCs w:val="21"/>
              </w:rPr>
              <w:t>乙方提供的其他服务</w:t>
            </w:r>
          </w:p>
        </w:tc>
        <w:tc>
          <w:tcPr>
            <w:tcW w:w="5170" w:type="dxa"/>
            <w:vAlign w:val="center"/>
          </w:tcPr>
          <w:p w14:paraId="6BB09238">
            <w:pPr>
              <w:adjustRightInd w:val="0"/>
              <w:snapToGrid w:val="0"/>
              <w:jc w:val="left"/>
              <w:rPr>
                <w:rFonts w:ascii="宋体" w:hAnsi="宋体"/>
                <w:color w:val="auto"/>
                <w:szCs w:val="21"/>
              </w:rPr>
            </w:pPr>
          </w:p>
        </w:tc>
      </w:tr>
      <w:tr w14:paraId="00D1A6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F6473E6">
            <w:pPr>
              <w:adjustRightInd w:val="0"/>
              <w:snapToGrid w:val="0"/>
              <w:jc w:val="center"/>
              <w:rPr>
                <w:rFonts w:ascii="宋体" w:hAnsi="宋体"/>
                <w:color w:val="auto"/>
                <w:szCs w:val="21"/>
              </w:rPr>
            </w:pPr>
            <w:r>
              <w:rPr>
                <w:rFonts w:hint="eastAsia" w:ascii="宋体" w:hAnsi="宋体"/>
                <w:color w:val="auto"/>
                <w:szCs w:val="21"/>
              </w:rPr>
              <w:t>第二节</w:t>
            </w:r>
          </w:p>
          <w:p w14:paraId="6A987E50">
            <w:pPr>
              <w:adjustRightInd w:val="0"/>
              <w:snapToGrid w:val="0"/>
              <w:jc w:val="center"/>
              <w:rPr>
                <w:rFonts w:ascii="宋体" w:hAnsi="宋体"/>
                <w:color w:val="auto"/>
                <w:szCs w:val="21"/>
              </w:rPr>
            </w:pPr>
            <w:r>
              <w:rPr>
                <w:rFonts w:hint="eastAsia" w:ascii="宋体" w:hAnsi="宋体"/>
                <w:color w:val="auto"/>
                <w:szCs w:val="21"/>
              </w:rPr>
              <w:t>第15.1款</w:t>
            </w:r>
          </w:p>
        </w:tc>
        <w:tc>
          <w:tcPr>
            <w:tcW w:w="1742" w:type="dxa"/>
            <w:vAlign w:val="center"/>
          </w:tcPr>
          <w:p w14:paraId="49B14AED">
            <w:pPr>
              <w:adjustRightInd w:val="0"/>
              <w:snapToGrid w:val="0"/>
              <w:jc w:val="left"/>
              <w:rPr>
                <w:rFonts w:ascii="宋体" w:hAnsi="宋体"/>
                <w:color w:val="auto"/>
                <w:szCs w:val="21"/>
              </w:rPr>
            </w:pPr>
            <w:r>
              <w:rPr>
                <w:rFonts w:hint="eastAsia" w:ascii="宋体" w:hAnsi="宋体"/>
                <w:color w:val="auto"/>
                <w:szCs w:val="21"/>
              </w:rPr>
              <w:t>修理、重作、更换相关具体规定</w:t>
            </w:r>
          </w:p>
        </w:tc>
        <w:tc>
          <w:tcPr>
            <w:tcW w:w="5170" w:type="dxa"/>
            <w:vAlign w:val="center"/>
          </w:tcPr>
          <w:p w14:paraId="78E7DF52">
            <w:pPr>
              <w:adjustRightInd w:val="0"/>
              <w:snapToGrid w:val="0"/>
              <w:jc w:val="left"/>
              <w:rPr>
                <w:rFonts w:ascii="宋体" w:hAnsi="宋体"/>
                <w:color w:val="auto"/>
                <w:szCs w:val="21"/>
              </w:rPr>
            </w:pPr>
          </w:p>
        </w:tc>
      </w:tr>
      <w:tr w14:paraId="09A3D2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trPr>
        <w:tc>
          <w:tcPr>
            <w:tcW w:w="1607" w:type="dxa"/>
            <w:vAlign w:val="center"/>
          </w:tcPr>
          <w:p w14:paraId="29798621">
            <w:pPr>
              <w:adjustRightInd w:val="0"/>
              <w:snapToGrid w:val="0"/>
              <w:jc w:val="center"/>
              <w:rPr>
                <w:rFonts w:ascii="宋体" w:hAnsi="宋体"/>
                <w:color w:val="auto"/>
                <w:szCs w:val="21"/>
              </w:rPr>
            </w:pPr>
            <w:r>
              <w:rPr>
                <w:rFonts w:hint="eastAsia" w:ascii="宋体" w:hAnsi="宋体"/>
                <w:color w:val="auto"/>
                <w:szCs w:val="21"/>
              </w:rPr>
              <w:t>第二节</w:t>
            </w:r>
          </w:p>
          <w:p w14:paraId="398274C5">
            <w:pPr>
              <w:adjustRightInd w:val="0"/>
              <w:snapToGrid w:val="0"/>
              <w:jc w:val="center"/>
              <w:rPr>
                <w:rFonts w:ascii="宋体" w:hAnsi="宋体"/>
                <w:color w:val="auto"/>
                <w:szCs w:val="21"/>
              </w:rPr>
            </w:pPr>
            <w:r>
              <w:rPr>
                <w:rFonts w:hint="eastAsia" w:ascii="宋体" w:hAnsi="宋体"/>
                <w:color w:val="auto"/>
                <w:szCs w:val="21"/>
              </w:rPr>
              <w:t>第15.2（2）项</w:t>
            </w:r>
          </w:p>
        </w:tc>
        <w:tc>
          <w:tcPr>
            <w:tcW w:w="1742" w:type="dxa"/>
            <w:vAlign w:val="center"/>
          </w:tcPr>
          <w:p w14:paraId="1267312A">
            <w:pPr>
              <w:adjustRightInd w:val="0"/>
              <w:snapToGrid w:val="0"/>
              <w:jc w:val="left"/>
              <w:rPr>
                <w:rFonts w:ascii="宋体" w:hAnsi="宋体"/>
                <w:color w:val="auto"/>
                <w:szCs w:val="21"/>
              </w:rPr>
            </w:pPr>
            <w:r>
              <w:rPr>
                <w:rFonts w:hint="eastAsia" w:ascii="宋体" w:hAnsi="宋体"/>
                <w:color w:val="auto"/>
                <w:szCs w:val="21"/>
              </w:rPr>
              <w:t>迟延交货赔偿费</w:t>
            </w:r>
          </w:p>
        </w:tc>
        <w:tc>
          <w:tcPr>
            <w:tcW w:w="5170" w:type="dxa"/>
            <w:vAlign w:val="center"/>
          </w:tcPr>
          <w:p w14:paraId="27D48FA7">
            <w:pPr>
              <w:adjustRightInd w:val="0"/>
              <w:snapToGrid w:val="0"/>
              <w:jc w:val="left"/>
              <w:rPr>
                <w:rFonts w:ascii="宋体" w:hAnsi="宋体"/>
                <w:color w:val="auto"/>
                <w:szCs w:val="21"/>
                <w:u w:val="single"/>
              </w:rPr>
            </w:pPr>
          </w:p>
        </w:tc>
      </w:tr>
      <w:tr w14:paraId="340847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505C15E">
            <w:pPr>
              <w:adjustRightInd w:val="0"/>
              <w:snapToGrid w:val="0"/>
              <w:jc w:val="center"/>
              <w:rPr>
                <w:rFonts w:ascii="宋体" w:hAnsi="宋体"/>
                <w:color w:val="auto"/>
                <w:szCs w:val="21"/>
              </w:rPr>
            </w:pPr>
            <w:r>
              <w:rPr>
                <w:rFonts w:hint="eastAsia" w:ascii="宋体" w:hAnsi="宋体"/>
                <w:color w:val="auto"/>
                <w:szCs w:val="21"/>
              </w:rPr>
              <w:t>第二节</w:t>
            </w:r>
          </w:p>
          <w:p w14:paraId="164D4B5A">
            <w:pPr>
              <w:adjustRightInd w:val="0"/>
              <w:snapToGrid w:val="0"/>
              <w:jc w:val="center"/>
              <w:rPr>
                <w:rFonts w:ascii="宋体" w:hAnsi="宋体"/>
                <w:color w:val="auto"/>
                <w:szCs w:val="21"/>
              </w:rPr>
            </w:pPr>
            <w:r>
              <w:rPr>
                <w:rFonts w:hint="eastAsia" w:ascii="宋体" w:hAnsi="宋体"/>
                <w:color w:val="auto"/>
                <w:szCs w:val="21"/>
              </w:rPr>
              <w:t>第15.3款</w:t>
            </w:r>
          </w:p>
        </w:tc>
        <w:tc>
          <w:tcPr>
            <w:tcW w:w="1742" w:type="dxa"/>
            <w:vAlign w:val="center"/>
          </w:tcPr>
          <w:p w14:paraId="144964D2">
            <w:pPr>
              <w:adjustRightInd w:val="0"/>
              <w:snapToGrid w:val="0"/>
              <w:jc w:val="left"/>
              <w:rPr>
                <w:rFonts w:ascii="宋体" w:hAnsi="宋体"/>
                <w:color w:val="auto"/>
                <w:szCs w:val="21"/>
              </w:rPr>
            </w:pPr>
            <w:r>
              <w:rPr>
                <w:rFonts w:hint="eastAsia" w:ascii="宋体" w:hAnsi="宋体"/>
                <w:color w:val="auto"/>
                <w:szCs w:val="21"/>
              </w:rPr>
              <w:t>逾期付款利息</w:t>
            </w:r>
          </w:p>
        </w:tc>
        <w:tc>
          <w:tcPr>
            <w:tcW w:w="5170" w:type="dxa"/>
            <w:vAlign w:val="center"/>
          </w:tcPr>
          <w:p w14:paraId="5473FBE2">
            <w:pPr>
              <w:adjustRightInd w:val="0"/>
              <w:snapToGrid w:val="0"/>
              <w:jc w:val="left"/>
              <w:rPr>
                <w:rFonts w:ascii="宋体" w:hAnsi="宋体"/>
                <w:color w:val="auto"/>
                <w:szCs w:val="21"/>
                <w:u w:val="single"/>
              </w:rPr>
            </w:pPr>
          </w:p>
        </w:tc>
      </w:tr>
      <w:tr w14:paraId="7AFBC6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0AB3E2E1">
            <w:pPr>
              <w:adjustRightInd w:val="0"/>
              <w:snapToGrid w:val="0"/>
              <w:jc w:val="center"/>
              <w:rPr>
                <w:rFonts w:ascii="宋体" w:hAnsi="宋体"/>
                <w:color w:val="auto"/>
                <w:szCs w:val="21"/>
              </w:rPr>
            </w:pPr>
            <w:r>
              <w:rPr>
                <w:rFonts w:hint="eastAsia" w:ascii="宋体" w:hAnsi="宋体"/>
                <w:color w:val="auto"/>
                <w:szCs w:val="21"/>
              </w:rPr>
              <w:t>第二节</w:t>
            </w:r>
          </w:p>
          <w:p w14:paraId="765E5F4A">
            <w:pPr>
              <w:adjustRightInd w:val="0"/>
              <w:snapToGrid w:val="0"/>
              <w:jc w:val="center"/>
              <w:rPr>
                <w:rFonts w:ascii="宋体" w:hAnsi="宋体"/>
                <w:color w:val="auto"/>
                <w:szCs w:val="21"/>
              </w:rPr>
            </w:pPr>
            <w:r>
              <w:rPr>
                <w:rFonts w:hint="eastAsia" w:ascii="宋体" w:hAnsi="宋体"/>
                <w:color w:val="auto"/>
                <w:szCs w:val="21"/>
              </w:rPr>
              <w:t>第15.4款</w:t>
            </w:r>
          </w:p>
        </w:tc>
        <w:tc>
          <w:tcPr>
            <w:tcW w:w="1742" w:type="dxa"/>
            <w:tcBorders>
              <w:left w:val="single" w:color="auto" w:sz="2" w:space="0"/>
              <w:bottom w:val="single" w:color="auto" w:sz="2" w:space="0"/>
              <w:right w:val="single" w:color="auto" w:sz="2" w:space="0"/>
            </w:tcBorders>
            <w:vAlign w:val="center"/>
          </w:tcPr>
          <w:p w14:paraId="1F13C9DE">
            <w:pPr>
              <w:adjustRightInd w:val="0"/>
              <w:snapToGrid w:val="0"/>
              <w:jc w:val="left"/>
              <w:rPr>
                <w:rFonts w:ascii="宋体" w:hAnsi="宋体"/>
                <w:color w:val="auto"/>
                <w:szCs w:val="21"/>
              </w:rPr>
            </w:pPr>
            <w:r>
              <w:rPr>
                <w:rFonts w:hint="eastAsia" w:ascii="宋体" w:hAnsi="宋体"/>
                <w:color w:val="auto"/>
                <w:szCs w:val="21"/>
              </w:rPr>
              <w:t>其他违约责任</w:t>
            </w:r>
          </w:p>
        </w:tc>
        <w:tc>
          <w:tcPr>
            <w:tcW w:w="5170" w:type="dxa"/>
            <w:tcBorders>
              <w:left w:val="single" w:color="auto" w:sz="2" w:space="0"/>
              <w:bottom w:val="single" w:color="auto" w:sz="2" w:space="0"/>
            </w:tcBorders>
            <w:vAlign w:val="center"/>
          </w:tcPr>
          <w:p w14:paraId="457CAB90">
            <w:pPr>
              <w:adjustRightInd w:val="0"/>
              <w:snapToGrid w:val="0"/>
              <w:jc w:val="left"/>
              <w:rPr>
                <w:rFonts w:ascii="宋体" w:hAnsi="宋体"/>
                <w:color w:val="auto"/>
                <w:szCs w:val="21"/>
                <w:u w:val="single"/>
              </w:rPr>
            </w:pPr>
          </w:p>
        </w:tc>
      </w:tr>
      <w:tr w14:paraId="5F9394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15EFC2C9">
            <w:pPr>
              <w:adjustRightInd w:val="0"/>
              <w:snapToGrid w:val="0"/>
              <w:jc w:val="center"/>
              <w:rPr>
                <w:rFonts w:ascii="宋体" w:hAnsi="宋体"/>
                <w:color w:val="auto"/>
                <w:szCs w:val="21"/>
              </w:rPr>
            </w:pPr>
            <w:r>
              <w:rPr>
                <w:rFonts w:hint="eastAsia" w:ascii="宋体" w:hAnsi="宋体"/>
                <w:color w:val="auto"/>
                <w:szCs w:val="21"/>
              </w:rPr>
              <w:t>第二节</w:t>
            </w:r>
          </w:p>
          <w:p w14:paraId="027DEC70">
            <w:pPr>
              <w:adjustRightInd w:val="0"/>
              <w:snapToGrid w:val="0"/>
              <w:jc w:val="center"/>
              <w:rPr>
                <w:rFonts w:ascii="宋体" w:hAnsi="宋体"/>
                <w:color w:val="auto"/>
                <w:szCs w:val="21"/>
              </w:rPr>
            </w:pPr>
            <w:r>
              <w:rPr>
                <w:rFonts w:hint="eastAsia" w:ascii="宋体" w:hAnsi="宋体"/>
                <w:color w:val="auto"/>
                <w:szCs w:val="21"/>
              </w:rPr>
              <w:t>第19.2款</w:t>
            </w:r>
          </w:p>
        </w:tc>
        <w:tc>
          <w:tcPr>
            <w:tcW w:w="1742" w:type="dxa"/>
            <w:tcBorders>
              <w:top w:val="single" w:color="auto" w:sz="2" w:space="0"/>
              <w:left w:val="single" w:color="auto" w:sz="2" w:space="0"/>
              <w:right w:val="single" w:color="auto" w:sz="2" w:space="0"/>
            </w:tcBorders>
            <w:vAlign w:val="center"/>
          </w:tcPr>
          <w:p w14:paraId="2908F96B">
            <w:pPr>
              <w:adjustRightInd w:val="0"/>
              <w:snapToGrid w:val="0"/>
              <w:jc w:val="left"/>
              <w:rPr>
                <w:rFonts w:ascii="宋体" w:hAnsi="宋体"/>
                <w:color w:val="auto"/>
                <w:szCs w:val="21"/>
              </w:rPr>
            </w:pPr>
            <w:r>
              <w:rPr>
                <w:rFonts w:hint="eastAsia" w:ascii="宋体" w:hAnsi="宋体"/>
                <w:color w:val="auto"/>
                <w:szCs w:val="21"/>
              </w:rPr>
              <w:t>解决争议的方法</w:t>
            </w:r>
          </w:p>
        </w:tc>
        <w:tc>
          <w:tcPr>
            <w:tcW w:w="5170" w:type="dxa"/>
            <w:tcBorders>
              <w:top w:val="single" w:color="auto" w:sz="2" w:space="0"/>
              <w:left w:val="single" w:color="auto" w:sz="2" w:space="0"/>
            </w:tcBorders>
            <w:vAlign w:val="center"/>
          </w:tcPr>
          <w:p w14:paraId="1CB9744A">
            <w:pPr>
              <w:autoSpaceDE w:val="0"/>
              <w:autoSpaceDN w:val="0"/>
              <w:adjustRightInd w:val="0"/>
              <w:snapToGrid w:val="0"/>
              <w:spacing w:line="400" w:lineRule="exact"/>
              <w:jc w:val="left"/>
              <w:rPr>
                <w:rFonts w:ascii="宋体" w:hAnsi="宋体" w:cs="宋体"/>
                <w:iCs/>
                <w:color w:val="auto"/>
                <w:szCs w:val="21"/>
              </w:rPr>
            </w:pPr>
            <w:r>
              <w:rPr>
                <w:rFonts w:hint="eastAsia" w:ascii="宋体" w:hAnsi="宋体" w:cs="宋体"/>
                <w:iCs/>
                <w:color w:val="auto"/>
                <w:szCs w:val="21"/>
              </w:rPr>
              <w:t>因本合同及合同有关事项发生的争议，按下列第</w:t>
            </w:r>
            <w:r>
              <w:rPr>
                <w:rFonts w:hint="eastAsia" w:ascii="宋体" w:hAnsi="宋体" w:cs="宋体"/>
                <w:iCs/>
                <w:color w:val="auto"/>
                <w:szCs w:val="21"/>
                <w:u w:val="single"/>
              </w:rPr>
              <w:t xml:space="preserve">   </w:t>
            </w:r>
            <w:r>
              <w:rPr>
                <w:rFonts w:hint="eastAsia" w:ascii="宋体" w:hAnsi="宋体" w:cs="宋体"/>
                <w:iCs/>
                <w:color w:val="auto"/>
                <w:szCs w:val="21"/>
              </w:rPr>
              <w:t>种方式解决：</w:t>
            </w:r>
          </w:p>
          <w:p w14:paraId="2EC18753">
            <w:pPr>
              <w:autoSpaceDE w:val="0"/>
              <w:autoSpaceDN w:val="0"/>
              <w:adjustRightInd w:val="0"/>
              <w:snapToGrid w:val="0"/>
              <w:spacing w:line="400" w:lineRule="exact"/>
              <w:jc w:val="left"/>
              <w:rPr>
                <w:rFonts w:ascii="宋体" w:hAnsi="宋体" w:cs="宋体"/>
                <w:iCs/>
                <w:color w:val="auto"/>
                <w:szCs w:val="21"/>
              </w:rPr>
            </w:pPr>
            <w:r>
              <w:rPr>
                <w:rFonts w:hint="eastAsia" w:ascii="宋体" w:hAnsi="宋体" w:cs="宋体"/>
                <w:iCs/>
                <w:color w:val="auto"/>
                <w:szCs w:val="21"/>
              </w:rPr>
              <w:t>（1）向</w:t>
            </w:r>
            <w:r>
              <w:rPr>
                <w:rFonts w:hint="eastAsia" w:ascii="宋体" w:hAnsi="宋体" w:cs="宋体"/>
                <w:iCs/>
                <w:color w:val="auto"/>
                <w:szCs w:val="21"/>
                <w:u w:val="single"/>
              </w:rPr>
              <w:t xml:space="preserve">                    </w:t>
            </w:r>
            <w:r>
              <w:rPr>
                <w:rFonts w:hint="eastAsia" w:ascii="宋体" w:hAnsi="宋体" w:cs="宋体"/>
                <w:iCs/>
                <w:color w:val="auto"/>
                <w:szCs w:val="21"/>
              </w:rPr>
              <w:t>仲裁委员会申请仲裁，仲裁地点为</w:t>
            </w:r>
            <w:r>
              <w:rPr>
                <w:rFonts w:hint="eastAsia" w:ascii="宋体" w:hAnsi="宋体" w:cs="宋体"/>
                <w:iCs/>
                <w:color w:val="auto"/>
                <w:szCs w:val="21"/>
                <w:u w:val="single"/>
              </w:rPr>
              <w:t xml:space="preserve">           </w:t>
            </w:r>
            <w:r>
              <w:rPr>
                <w:rFonts w:hint="eastAsia" w:ascii="宋体" w:hAnsi="宋体" w:cs="宋体"/>
                <w:iCs/>
                <w:color w:val="auto"/>
                <w:szCs w:val="21"/>
              </w:rPr>
              <w:t>；</w:t>
            </w:r>
          </w:p>
          <w:p w14:paraId="1EE3CD66">
            <w:pPr>
              <w:adjustRightInd w:val="0"/>
              <w:snapToGrid w:val="0"/>
              <w:jc w:val="left"/>
              <w:rPr>
                <w:rFonts w:ascii="宋体" w:hAnsi="宋体"/>
                <w:color w:val="auto"/>
                <w:szCs w:val="21"/>
                <w:u w:val="single"/>
              </w:rPr>
            </w:pPr>
            <w:r>
              <w:rPr>
                <w:rFonts w:hint="eastAsia" w:ascii="宋体" w:hAnsi="宋体" w:cs="宋体"/>
                <w:iCs/>
                <w:color w:val="auto"/>
                <w:szCs w:val="21"/>
              </w:rPr>
              <w:t>（2）向</w:t>
            </w:r>
            <w:r>
              <w:rPr>
                <w:rFonts w:hint="eastAsia" w:ascii="宋体" w:hAnsi="宋体" w:cs="宋体"/>
                <w:iCs/>
                <w:color w:val="auto"/>
                <w:szCs w:val="21"/>
                <w:u w:val="single"/>
              </w:rPr>
              <w:t xml:space="preserve">                    </w:t>
            </w:r>
            <w:r>
              <w:rPr>
                <w:rFonts w:hint="eastAsia" w:ascii="宋体" w:hAnsi="宋体" w:cs="宋体"/>
                <w:iCs/>
                <w:color w:val="auto"/>
                <w:szCs w:val="21"/>
              </w:rPr>
              <w:t>人民法院起诉。</w:t>
            </w:r>
          </w:p>
        </w:tc>
      </w:tr>
      <w:tr w14:paraId="3F66F5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5A3D5B69">
            <w:pPr>
              <w:adjustRightInd w:val="0"/>
              <w:snapToGrid w:val="0"/>
              <w:jc w:val="center"/>
              <w:rPr>
                <w:rFonts w:ascii="宋体" w:hAnsi="宋体"/>
                <w:color w:val="auto"/>
                <w:szCs w:val="21"/>
              </w:rPr>
            </w:pPr>
            <w:r>
              <w:rPr>
                <w:rFonts w:hint="eastAsia" w:ascii="宋体" w:hAnsi="宋体"/>
                <w:color w:val="auto"/>
                <w:szCs w:val="21"/>
              </w:rPr>
              <w:t>第二节</w:t>
            </w:r>
          </w:p>
          <w:p w14:paraId="4F66DF1F">
            <w:pPr>
              <w:adjustRightInd w:val="0"/>
              <w:snapToGrid w:val="0"/>
              <w:jc w:val="center"/>
              <w:rPr>
                <w:rFonts w:ascii="宋体" w:hAnsi="宋体"/>
                <w:color w:val="auto"/>
                <w:szCs w:val="21"/>
              </w:rPr>
            </w:pPr>
            <w:r>
              <w:rPr>
                <w:rFonts w:hint="eastAsia" w:ascii="宋体" w:hAnsi="宋体"/>
                <w:color w:val="auto"/>
                <w:szCs w:val="21"/>
              </w:rPr>
              <w:t>第23.1款</w:t>
            </w:r>
          </w:p>
        </w:tc>
        <w:tc>
          <w:tcPr>
            <w:tcW w:w="1742" w:type="dxa"/>
            <w:vAlign w:val="center"/>
          </w:tcPr>
          <w:p w14:paraId="66B6A78E">
            <w:pPr>
              <w:adjustRightInd w:val="0"/>
              <w:snapToGrid w:val="0"/>
              <w:jc w:val="left"/>
              <w:rPr>
                <w:rFonts w:ascii="宋体" w:hAnsi="宋体"/>
                <w:color w:val="auto"/>
                <w:szCs w:val="21"/>
              </w:rPr>
            </w:pPr>
            <w:r>
              <w:rPr>
                <w:rFonts w:hint="eastAsia" w:ascii="宋体" w:hAnsi="宋体"/>
                <w:bCs/>
                <w:color w:val="auto"/>
                <w:szCs w:val="21"/>
              </w:rPr>
              <w:t>其他专用条款</w:t>
            </w:r>
          </w:p>
        </w:tc>
        <w:tc>
          <w:tcPr>
            <w:tcW w:w="5170" w:type="dxa"/>
            <w:vAlign w:val="center"/>
          </w:tcPr>
          <w:p w14:paraId="3F43EF49">
            <w:pPr>
              <w:adjustRightInd w:val="0"/>
              <w:snapToGrid w:val="0"/>
              <w:jc w:val="left"/>
              <w:rPr>
                <w:rFonts w:ascii="宋体" w:hAnsi="宋体"/>
                <w:color w:val="auto"/>
                <w:szCs w:val="21"/>
              </w:rPr>
            </w:pPr>
          </w:p>
        </w:tc>
      </w:tr>
    </w:tbl>
    <w:p w14:paraId="5BE965C6">
      <w:pPr>
        <w:rPr>
          <w:color w:val="auto"/>
        </w:rPr>
      </w:pPr>
    </w:p>
    <w:p w14:paraId="023C0A52">
      <w:pPr>
        <w:rPr>
          <w:color w:val="auto"/>
        </w:rPr>
      </w:pPr>
    </w:p>
    <w:p w14:paraId="237E645F">
      <w:pPr>
        <w:tabs>
          <w:tab w:val="left" w:pos="988"/>
          <w:tab w:val="left" w:pos="9388"/>
        </w:tabs>
        <w:autoSpaceDE w:val="0"/>
        <w:autoSpaceDN w:val="0"/>
        <w:spacing w:before="100" w:beforeAutospacing="1" w:after="100" w:afterAutospacing="1" w:line="360" w:lineRule="auto"/>
        <w:ind w:left="496" w:leftChars="236"/>
        <w:rPr>
          <w:rFonts w:ascii="宋体" w:hAnsi="宋体" w:cs="宋体"/>
          <w:b/>
          <w:color w:val="auto"/>
          <w:sz w:val="24"/>
        </w:rPr>
      </w:pPr>
    </w:p>
    <w:p w14:paraId="3E1D5370">
      <w:pPr>
        <w:tabs>
          <w:tab w:val="left" w:pos="988"/>
          <w:tab w:val="left" w:pos="9388"/>
        </w:tabs>
        <w:autoSpaceDE w:val="0"/>
        <w:autoSpaceDN w:val="0"/>
        <w:spacing w:before="100" w:beforeAutospacing="1" w:after="100" w:afterAutospacing="1" w:line="360" w:lineRule="auto"/>
        <w:ind w:left="496" w:leftChars="236"/>
        <w:rPr>
          <w:rFonts w:ascii="宋体" w:hAnsi="宋体" w:cs="宋体"/>
          <w:b/>
          <w:color w:val="auto"/>
          <w:sz w:val="24"/>
        </w:rPr>
      </w:pPr>
    </w:p>
    <w:p w14:paraId="317A68CF">
      <w:pPr>
        <w:tabs>
          <w:tab w:val="left" w:pos="988"/>
          <w:tab w:val="left" w:pos="9388"/>
        </w:tabs>
        <w:autoSpaceDE w:val="0"/>
        <w:autoSpaceDN w:val="0"/>
        <w:spacing w:before="100" w:beforeAutospacing="1" w:after="100" w:afterAutospacing="1" w:line="360" w:lineRule="auto"/>
        <w:ind w:left="496" w:leftChars="236"/>
        <w:rPr>
          <w:rFonts w:ascii="宋体" w:hAnsi="宋体" w:cs="宋体"/>
          <w:b/>
          <w:color w:val="auto"/>
          <w:sz w:val="24"/>
        </w:rPr>
      </w:pPr>
    </w:p>
    <w:p w14:paraId="4D927485">
      <w:pPr>
        <w:tabs>
          <w:tab w:val="left" w:pos="988"/>
          <w:tab w:val="left" w:pos="9388"/>
        </w:tabs>
        <w:autoSpaceDE w:val="0"/>
        <w:autoSpaceDN w:val="0"/>
        <w:spacing w:before="100" w:beforeAutospacing="1" w:after="100" w:afterAutospacing="1" w:line="360" w:lineRule="auto"/>
        <w:ind w:left="496" w:leftChars="236"/>
        <w:rPr>
          <w:rFonts w:ascii="宋体" w:hAnsi="宋体" w:cs="宋体"/>
          <w:b/>
          <w:color w:val="auto"/>
          <w:sz w:val="24"/>
        </w:rPr>
      </w:pPr>
    </w:p>
    <w:p w14:paraId="35C30EFD">
      <w:pPr>
        <w:pStyle w:val="61"/>
        <w:spacing w:line="360" w:lineRule="auto"/>
        <w:rPr>
          <w:rFonts w:ascii="宋体" w:hAnsi="宋体" w:cs="宋体"/>
          <w:color w:val="auto"/>
          <w:kern w:val="2"/>
          <w:sz w:val="21"/>
          <w:szCs w:val="21"/>
        </w:rPr>
      </w:pPr>
    </w:p>
    <w:p w14:paraId="2045C865">
      <w:pPr>
        <w:pStyle w:val="3"/>
        <w:jc w:val="center"/>
        <w:rPr>
          <w:color w:val="auto"/>
        </w:rPr>
      </w:pPr>
      <w:bookmarkStart w:id="558" w:name="_Toc503283340"/>
      <w:bookmarkStart w:id="559" w:name="_Toc24245"/>
      <w:r>
        <w:rPr>
          <w:rFonts w:hint="eastAsia"/>
          <w:color w:val="auto"/>
        </w:rPr>
        <w:t xml:space="preserve">第五章 </w:t>
      </w:r>
      <w:bookmarkEnd w:id="558"/>
      <w:r>
        <w:rPr>
          <w:rFonts w:hint="eastAsia"/>
          <w:color w:val="auto"/>
        </w:rPr>
        <w:t>采购需求</w:t>
      </w:r>
      <w:bookmarkEnd w:id="559"/>
    </w:p>
    <w:p w14:paraId="120E9D61">
      <w:pPr>
        <w:pStyle w:val="22"/>
        <w:spacing w:before="0" w:beforeAutospacing="0" w:after="0" w:afterAutospacing="0" w:line="540" w:lineRule="exact"/>
        <w:ind w:firstLine="422" w:firstLineChars="200"/>
        <w:rPr>
          <w:rFonts w:ascii="宋体" w:hAnsi="宋体" w:cs="宋体"/>
          <w:b/>
          <w:bCs/>
          <w:color w:val="auto"/>
          <w:sz w:val="21"/>
          <w:szCs w:val="21"/>
          <w:shd w:val="clear" w:color="auto" w:fill="FFFFFF"/>
        </w:rPr>
      </w:pPr>
      <w:r>
        <w:rPr>
          <w:rFonts w:hint="eastAsia" w:ascii="宋体" w:hAnsi="宋体" w:cs="宋体"/>
          <w:b/>
          <w:bCs/>
          <w:color w:val="auto"/>
          <w:sz w:val="21"/>
          <w:szCs w:val="21"/>
          <w:shd w:val="clear" w:color="auto" w:fill="FFFFFF"/>
        </w:rPr>
        <w:t>一、采购标的需实现的功能或者目标，以及为落实政府采购政策需满足的要求：</w:t>
      </w:r>
    </w:p>
    <w:p w14:paraId="7DF98220">
      <w:pPr>
        <w:adjustRightInd w:val="0"/>
        <w:spacing w:line="540" w:lineRule="exact"/>
        <w:ind w:firstLine="420" w:firstLineChars="200"/>
        <w:rPr>
          <w:rFonts w:ascii="宋体" w:hAnsi="宋体"/>
          <w:bCs/>
          <w:color w:val="auto"/>
          <w:szCs w:val="21"/>
        </w:rPr>
      </w:pPr>
      <w:r>
        <w:rPr>
          <w:rFonts w:hint="eastAsia" w:ascii="宋体" w:hAnsi="宋体"/>
          <w:bCs/>
          <w:color w:val="auto"/>
          <w:szCs w:val="21"/>
        </w:rPr>
        <w:t>1</w:t>
      </w:r>
      <w:r>
        <w:rPr>
          <w:rFonts w:ascii="宋体" w:hAnsi="宋体"/>
          <w:bCs/>
          <w:color w:val="auto"/>
          <w:szCs w:val="21"/>
        </w:rPr>
        <w:t>.</w:t>
      </w:r>
      <w:r>
        <w:rPr>
          <w:rFonts w:hint="eastAsia" w:ascii="宋体" w:hAnsi="宋体"/>
          <w:bCs/>
          <w:color w:val="auto"/>
          <w:szCs w:val="21"/>
        </w:rPr>
        <w:t>采购标的需实现的功能或者目标：</w:t>
      </w:r>
    </w:p>
    <w:p w14:paraId="2BADB7FE">
      <w:pPr>
        <w:adjustRightInd w:val="0"/>
        <w:spacing w:line="540" w:lineRule="exact"/>
        <w:ind w:firstLine="420" w:firstLineChars="200"/>
        <w:rPr>
          <w:rFonts w:hint="eastAsia" w:ascii="宋体" w:hAnsi="宋体"/>
          <w:bCs/>
          <w:color w:val="auto"/>
          <w:szCs w:val="21"/>
        </w:rPr>
      </w:pPr>
      <w:r>
        <w:rPr>
          <w:rFonts w:hint="eastAsia" w:ascii="宋体" w:hAnsi="宋体"/>
          <w:bCs/>
          <w:color w:val="auto"/>
          <w:szCs w:val="21"/>
        </w:rPr>
        <w:t>本次采购项目的主要目标是为了进一步提升博物馆可移动文物的预防性保护水平。核心宗旨是通过引入先进的设备和技术，为文物创造一个稳定、洁净的保存及展览环境，进一步完善文物展藏设施，从而全面确保文物的安全与完整性，充分发挥博物馆在文化遗产传承中的作用。</w:t>
      </w:r>
    </w:p>
    <w:p w14:paraId="59B4CEC7">
      <w:pPr>
        <w:adjustRightInd w:val="0"/>
        <w:spacing w:line="540" w:lineRule="exact"/>
        <w:ind w:firstLine="420" w:firstLineChars="200"/>
        <w:rPr>
          <w:rFonts w:ascii="宋体" w:hAnsi="宋体"/>
          <w:bCs/>
          <w:color w:val="auto"/>
          <w:szCs w:val="21"/>
        </w:rPr>
      </w:pPr>
      <w:r>
        <w:rPr>
          <w:rFonts w:hint="eastAsia" w:ascii="宋体" w:hAnsi="宋体"/>
          <w:bCs/>
          <w:color w:val="auto"/>
          <w:szCs w:val="21"/>
        </w:rPr>
        <w:t>2</w:t>
      </w:r>
      <w:r>
        <w:rPr>
          <w:rFonts w:ascii="宋体" w:hAnsi="宋体"/>
          <w:bCs/>
          <w:color w:val="auto"/>
          <w:szCs w:val="21"/>
        </w:rPr>
        <w:t>.</w:t>
      </w:r>
      <w:r>
        <w:rPr>
          <w:rFonts w:hint="eastAsia" w:ascii="宋体" w:hAnsi="宋体"/>
          <w:bCs/>
          <w:color w:val="auto"/>
          <w:szCs w:val="21"/>
        </w:rPr>
        <w:t>为落实政府采购政策需满足的要求</w:t>
      </w:r>
    </w:p>
    <w:p w14:paraId="1694F7EE">
      <w:pPr>
        <w:spacing w:line="540" w:lineRule="exact"/>
        <w:ind w:firstLine="420" w:firstLineChars="200"/>
        <w:rPr>
          <w:rFonts w:ascii="宋体" w:hAnsi="宋体" w:cs="宋体"/>
          <w:bCs/>
          <w:color w:val="auto"/>
          <w:szCs w:val="21"/>
        </w:rPr>
      </w:pPr>
      <w:r>
        <w:rPr>
          <w:rFonts w:hint="eastAsia" w:ascii="宋体" w:hAnsi="宋体" w:cs="宋体"/>
          <w:bCs/>
          <w:color w:val="auto"/>
          <w:szCs w:val="21"/>
        </w:rPr>
        <w:t>（1）促进中小企业发展政策：根据《政府采购促进中小企业发展管理办法》规定，本项目投标人所投产品为小型或微型企业生产的,应对提交的中小企业声明函的真实性负责,提交的中小企业声明函不真实的,应承担相应的法律责任。</w:t>
      </w:r>
    </w:p>
    <w:p w14:paraId="3B524120">
      <w:pPr>
        <w:spacing w:line="540" w:lineRule="exact"/>
        <w:ind w:firstLine="420" w:firstLineChars="200"/>
        <w:rPr>
          <w:rFonts w:ascii="宋体" w:hAnsi="宋体" w:cs="宋体"/>
          <w:bCs/>
          <w:color w:val="auto"/>
          <w:szCs w:val="21"/>
        </w:rPr>
      </w:pPr>
      <w:r>
        <w:rPr>
          <w:rFonts w:hint="eastAsia" w:ascii="宋体" w:hAnsi="宋体" w:cs="宋体"/>
          <w:bCs/>
          <w:color w:val="auto"/>
          <w:szCs w:val="21"/>
        </w:rPr>
        <w:t>（2）监狱企业扶持政策：投标人如为监狱企业将视同为小型或微型企业，符合条件的企业在参加时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p>
    <w:p w14:paraId="2230F396">
      <w:pPr>
        <w:spacing w:line="540" w:lineRule="exact"/>
        <w:ind w:firstLine="420" w:firstLineChars="200"/>
        <w:rPr>
          <w:rFonts w:ascii="宋体" w:hAnsi="宋体" w:cs="宋体"/>
          <w:bCs/>
          <w:color w:val="auto"/>
          <w:szCs w:val="21"/>
        </w:rPr>
      </w:pPr>
      <w:r>
        <w:rPr>
          <w:rFonts w:hint="eastAsia" w:ascii="宋体" w:hAnsi="宋体" w:cs="宋体"/>
          <w:bCs/>
          <w:color w:val="auto"/>
          <w:szCs w:val="21"/>
        </w:rPr>
        <w:t>（3）促进残疾人就业政府采购政策：根据《三部门联合发布关于促进残疾人就业政府采购政策的通知》(财库(2017)141号)规定，符合条件的残疾人福利性单位在参加本项目政府采购活动时，投标人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w:t>
      </w:r>
    </w:p>
    <w:p w14:paraId="1A154FB4">
      <w:pPr>
        <w:pStyle w:val="22"/>
        <w:spacing w:before="0" w:beforeAutospacing="0" w:after="0" w:afterAutospacing="0" w:line="540" w:lineRule="exact"/>
        <w:ind w:firstLine="420" w:firstLineChars="200"/>
        <w:rPr>
          <w:rFonts w:ascii="宋体" w:hAnsi="宋体" w:cs="宋体"/>
          <w:bCs/>
          <w:color w:val="auto"/>
          <w:sz w:val="21"/>
          <w:szCs w:val="21"/>
        </w:rPr>
      </w:pPr>
      <w:r>
        <w:rPr>
          <w:rFonts w:hint="eastAsia" w:ascii="宋体" w:hAnsi="宋体" w:cs="宋体"/>
          <w:bCs/>
          <w:color w:val="auto"/>
          <w:sz w:val="21"/>
          <w:szCs w:val="21"/>
        </w:rPr>
        <w:t>（4）按照“财政部 发展改革委 生态环境部 市场监管总局 关于调整优化节能产品、环境标志产品政府采购执行机制的通知”财库〔2019〕9号的规定执行。</w:t>
      </w:r>
    </w:p>
    <w:p w14:paraId="18A3C6F4">
      <w:pPr>
        <w:pStyle w:val="22"/>
        <w:spacing w:before="0" w:beforeAutospacing="0" w:after="0" w:afterAutospacing="0" w:line="540" w:lineRule="exact"/>
        <w:ind w:firstLine="422" w:firstLineChars="200"/>
        <w:rPr>
          <w:rFonts w:ascii="宋体" w:hAnsi="宋体" w:cs="宋体"/>
          <w:b/>
          <w:bCs/>
          <w:color w:val="auto"/>
          <w:sz w:val="21"/>
          <w:szCs w:val="21"/>
        </w:rPr>
      </w:pPr>
      <w:r>
        <w:rPr>
          <w:rFonts w:hint="eastAsia" w:ascii="宋体" w:hAnsi="宋体" w:cs="宋体"/>
          <w:b/>
          <w:bCs/>
          <w:color w:val="auto"/>
          <w:sz w:val="21"/>
          <w:szCs w:val="21"/>
          <w:shd w:val="clear" w:color="auto" w:fill="FFFFFF"/>
        </w:rPr>
        <w:t>二、采购标的需执行的国家相关标准、行业标准、地方标准或者其他标准、规范：</w:t>
      </w:r>
    </w:p>
    <w:p w14:paraId="270851D1">
      <w:pPr>
        <w:pStyle w:val="22"/>
        <w:spacing w:before="0" w:beforeAutospacing="0" w:after="0" w:afterAutospacing="0" w:line="540" w:lineRule="exact"/>
        <w:ind w:firstLine="420" w:firstLineChars="200"/>
        <w:rPr>
          <w:rFonts w:ascii="宋体" w:hAnsi="宋体"/>
          <w:color w:val="auto"/>
          <w:sz w:val="21"/>
          <w:szCs w:val="21"/>
        </w:rPr>
      </w:pPr>
      <w:r>
        <w:rPr>
          <w:rFonts w:hint="eastAsia" w:ascii="宋体" w:hAnsi="宋体" w:cs="宋体"/>
          <w:color w:val="auto"/>
          <w:sz w:val="21"/>
          <w:szCs w:val="21"/>
        </w:rPr>
        <w:t>依据《中华人民共和国政府采购法》、中华人民共和国财政部令第87号《政府采购货物和服务招标投标管理办法》、财库〔2019〕38号《财政部关于促进政府采购公平竞争优化营商环境的通知》等相关法律法规，根据</w:t>
      </w:r>
      <w:r>
        <w:rPr>
          <w:rFonts w:hint="eastAsia" w:ascii="宋体" w:hAnsi="宋体"/>
          <w:bCs/>
          <w:color w:val="auto"/>
          <w:kern w:val="2"/>
          <w:sz w:val="21"/>
          <w:szCs w:val="21"/>
        </w:rPr>
        <w:t>迪庆藏族自治州博物馆</w:t>
      </w:r>
      <w:r>
        <w:rPr>
          <w:rFonts w:hint="eastAsia" w:ascii="宋体" w:hAnsi="宋体" w:cs="宋体"/>
          <w:color w:val="auto"/>
          <w:sz w:val="21"/>
          <w:szCs w:val="21"/>
        </w:rPr>
        <w:t>实际需求，编制采购标准，满足</w:t>
      </w:r>
      <w:r>
        <w:rPr>
          <w:rFonts w:hint="eastAsia" w:ascii="宋体" w:hAnsi="宋体"/>
          <w:bCs/>
          <w:color w:val="auto"/>
          <w:kern w:val="2"/>
          <w:sz w:val="21"/>
          <w:szCs w:val="21"/>
        </w:rPr>
        <w:t>迪庆藏族自治州博物馆</w:t>
      </w:r>
      <w:r>
        <w:rPr>
          <w:rFonts w:hint="eastAsia" w:ascii="宋体" w:hAnsi="宋体" w:cs="宋体"/>
          <w:color w:val="auto"/>
          <w:sz w:val="21"/>
          <w:szCs w:val="21"/>
        </w:rPr>
        <w:t>使用需求</w:t>
      </w:r>
      <w:r>
        <w:rPr>
          <w:rFonts w:hint="eastAsia" w:ascii="宋体" w:hAnsi="宋体" w:cs="宋体"/>
          <w:color w:val="auto"/>
          <w:sz w:val="21"/>
          <w:szCs w:val="21"/>
          <w:shd w:val="clear" w:color="auto" w:fill="FFFFFF"/>
        </w:rPr>
        <w:t>。</w:t>
      </w:r>
    </w:p>
    <w:p w14:paraId="12EEA43B">
      <w:pPr>
        <w:pStyle w:val="22"/>
        <w:spacing w:before="0" w:beforeAutospacing="0" w:after="0" w:afterAutospacing="0" w:line="540" w:lineRule="exact"/>
        <w:ind w:firstLine="422" w:firstLineChars="200"/>
        <w:rPr>
          <w:rFonts w:ascii="宋体" w:hAnsi="宋体" w:cs="宋体"/>
          <w:b/>
          <w:bCs/>
          <w:color w:val="auto"/>
          <w:sz w:val="21"/>
          <w:szCs w:val="21"/>
          <w:shd w:val="clear" w:color="auto" w:fill="FFFFFF"/>
        </w:rPr>
      </w:pPr>
      <w:bookmarkStart w:id="560" w:name="_Toc29698"/>
      <w:bookmarkStart w:id="561" w:name="_Toc428"/>
      <w:r>
        <w:rPr>
          <w:rFonts w:hint="eastAsia" w:ascii="宋体" w:hAnsi="宋体" w:cs="宋体"/>
          <w:b/>
          <w:bCs/>
          <w:color w:val="auto"/>
          <w:sz w:val="21"/>
          <w:szCs w:val="21"/>
          <w:shd w:val="clear" w:color="auto" w:fill="FFFFFF"/>
        </w:rPr>
        <w:t>三、采购标的需满足的质量、安全、技术规格、物理特性等要求：</w:t>
      </w:r>
    </w:p>
    <w:tbl>
      <w:tblPr>
        <w:tblStyle w:val="27"/>
        <w:tblW w:w="8816" w:type="dxa"/>
        <w:tblInd w:w="78" w:type="dxa"/>
        <w:tblLayout w:type="fixed"/>
        <w:tblCellMar>
          <w:top w:w="0" w:type="dxa"/>
          <w:left w:w="108" w:type="dxa"/>
          <w:bottom w:w="0" w:type="dxa"/>
          <w:right w:w="108" w:type="dxa"/>
        </w:tblCellMar>
      </w:tblPr>
      <w:tblGrid>
        <w:gridCol w:w="726"/>
        <w:gridCol w:w="984"/>
        <w:gridCol w:w="5446"/>
        <w:gridCol w:w="799"/>
        <w:gridCol w:w="861"/>
      </w:tblGrid>
      <w:tr w14:paraId="588E58BE">
        <w:tblPrEx>
          <w:tblCellMar>
            <w:top w:w="0" w:type="dxa"/>
            <w:left w:w="108" w:type="dxa"/>
            <w:bottom w:w="0" w:type="dxa"/>
            <w:right w:w="108" w:type="dxa"/>
          </w:tblCellMar>
        </w:tblPrEx>
        <w:trPr>
          <w:trHeight w:val="766" w:hRule="atLeast"/>
        </w:trPr>
        <w:tc>
          <w:tcPr>
            <w:tcW w:w="72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01D89AA">
            <w:pPr>
              <w:widowControl/>
              <w:jc w:val="center"/>
              <w:textAlignment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序号</w:t>
            </w:r>
          </w:p>
        </w:tc>
        <w:tc>
          <w:tcPr>
            <w:tcW w:w="98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0203B08">
            <w:pPr>
              <w:widowControl/>
              <w:jc w:val="center"/>
              <w:textAlignment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货物名称</w:t>
            </w:r>
          </w:p>
        </w:tc>
        <w:tc>
          <w:tcPr>
            <w:tcW w:w="5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3A31B">
            <w:pPr>
              <w:widowControl/>
              <w:jc w:val="center"/>
              <w:textAlignment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详细参数</w:t>
            </w:r>
          </w:p>
        </w:tc>
        <w:tc>
          <w:tcPr>
            <w:tcW w:w="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5D763">
            <w:pPr>
              <w:widowControl/>
              <w:jc w:val="center"/>
              <w:textAlignment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数量</w:t>
            </w:r>
          </w:p>
        </w:tc>
        <w:tc>
          <w:tcPr>
            <w:tcW w:w="8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BD905">
            <w:pPr>
              <w:widowControl/>
              <w:jc w:val="center"/>
              <w:textAlignment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单位</w:t>
            </w:r>
          </w:p>
        </w:tc>
      </w:tr>
      <w:tr w14:paraId="1C105B30">
        <w:tblPrEx>
          <w:tblCellMar>
            <w:top w:w="0" w:type="dxa"/>
            <w:left w:w="108" w:type="dxa"/>
            <w:bottom w:w="0" w:type="dxa"/>
            <w:right w:w="108" w:type="dxa"/>
          </w:tblCellMar>
        </w:tblPrEx>
        <w:trPr>
          <w:trHeight w:val="685" w:hRule="atLeast"/>
        </w:trPr>
        <w:tc>
          <w:tcPr>
            <w:tcW w:w="8816" w:type="dxa"/>
            <w:gridSpan w:val="5"/>
            <w:tcBorders>
              <w:top w:val="single" w:color="auto" w:sz="4" w:space="0"/>
              <w:left w:val="single" w:color="auto" w:sz="4" w:space="0"/>
              <w:bottom w:val="single" w:color="auto" w:sz="4" w:space="0"/>
              <w:right w:val="single" w:color="000000" w:sz="4" w:space="0"/>
            </w:tcBorders>
            <w:shd w:val="clear" w:color="auto" w:fill="FFFFFF"/>
            <w:vAlign w:val="center"/>
          </w:tcPr>
          <w:p w14:paraId="3830B7A6">
            <w:pPr>
              <w:pStyle w:val="2"/>
              <w:spacing w:before="128" w:line="219" w:lineRule="auto"/>
              <w:ind w:left="2490"/>
              <w:outlineLvl w:val="1"/>
              <w:rPr>
                <w:rFonts w:hint="eastAsia" w:asciiTheme="minorEastAsia" w:hAnsiTheme="minorEastAsia" w:eastAsiaTheme="minorEastAsia" w:cstheme="minorEastAsia"/>
                <w:color w:val="auto"/>
                <w:szCs w:val="21"/>
              </w:rPr>
            </w:pPr>
            <w:r>
              <w:rPr>
                <w:rFonts w:hint="eastAsia" w:ascii="宋体" w:hAnsi="宋体" w:eastAsia="宋体" w:cs="宋体"/>
                <w:b/>
                <w:bCs/>
                <w:color w:val="auto"/>
                <w:spacing w:val="5"/>
                <w:sz w:val="21"/>
                <w:szCs w:val="21"/>
                <w:lang w:val="en-US" w:eastAsia="zh-CN"/>
              </w:rPr>
              <w:t>（一）、</w:t>
            </w:r>
            <w:r>
              <w:rPr>
                <w:rFonts w:hint="eastAsia" w:ascii="宋体" w:hAnsi="宋体" w:eastAsia="宋体" w:cs="宋体"/>
                <w:b/>
                <w:bCs/>
                <w:color w:val="auto"/>
                <w:spacing w:val="0"/>
                <w:kern w:val="10"/>
                <w:sz w:val="21"/>
                <w:szCs w:val="21"/>
              </w:rPr>
              <w:t>馆藏文物无线环境监测系统</w:t>
            </w:r>
          </w:p>
        </w:tc>
      </w:tr>
      <w:tr w14:paraId="211A65AF">
        <w:tblPrEx>
          <w:tblCellMar>
            <w:top w:w="0" w:type="dxa"/>
            <w:left w:w="108" w:type="dxa"/>
            <w:bottom w:w="0" w:type="dxa"/>
            <w:right w:w="108" w:type="dxa"/>
          </w:tblCellMar>
        </w:tblPrEx>
        <w:trPr>
          <w:trHeight w:val="5218" w:hRule="atLeast"/>
        </w:trPr>
        <w:tc>
          <w:tcPr>
            <w:tcW w:w="726" w:type="dxa"/>
            <w:tcBorders>
              <w:top w:val="single" w:color="auto" w:sz="4" w:space="0"/>
              <w:left w:val="single" w:color="auto" w:sz="4" w:space="0"/>
              <w:bottom w:val="single" w:color="auto" w:sz="4" w:space="0"/>
              <w:right w:val="single" w:color="auto" w:sz="4" w:space="0"/>
            </w:tcBorders>
            <w:shd w:val="clear" w:color="auto" w:fill="FFFFFF"/>
            <w:vAlign w:val="center"/>
          </w:tcPr>
          <w:p w14:paraId="3477E87E">
            <w:pPr>
              <w:widowControl/>
              <w:jc w:val="center"/>
              <w:textAlignment w:val="center"/>
              <w:rPr>
                <w:rFonts w:hint="eastAsia" w:ascii="宋体" w:hAnsi="宋体" w:cs="宋体"/>
                <w:b/>
                <w:bCs/>
                <w:color w:val="auto"/>
                <w:spacing w:val="0"/>
                <w:kern w:val="0"/>
                <w:sz w:val="21"/>
                <w:szCs w:val="21"/>
                <w:lang w:val="en-US" w:eastAsia="zh-CN"/>
              </w:rPr>
            </w:pPr>
            <w:r>
              <w:rPr>
                <w:rFonts w:hint="eastAsia" w:ascii="宋体" w:hAnsi="宋体" w:cs="宋体"/>
                <w:b/>
                <w:bCs/>
                <w:color w:val="auto"/>
                <w:spacing w:val="0"/>
                <w:kern w:val="0"/>
                <w:sz w:val="21"/>
                <w:szCs w:val="21"/>
                <w:lang w:val="en-US" w:eastAsia="zh-CN"/>
              </w:rPr>
              <w:t>1</w:t>
            </w:r>
          </w:p>
        </w:tc>
        <w:tc>
          <w:tcPr>
            <w:tcW w:w="984" w:type="dxa"/>
            <w:tcBorders>
              <w:top w:val="single" w:color="auto" w:sz="4" w:space="0"/>
              <w:left w:val="single" w:color="auto" w:sz="4" w:space="0"/>
              <w:bottom w:val="single" w:color="auto" w:sz="4" w:space="0"/>
              <w:right w:val="single" w:color="auto" w:sz="4" w:space="0"/>
            </w:tcBorders>
            <w:shd w:val="clear" w:color="auto" w:fill="FFFFFF"/>
            <w:vAlign w:val="center"/>
          </w:tcPr>
          <w:p w14:paraId="1D5AD46B">
            <w:pPr>
              <w:widowControl/>
              <w:jc w:val="center"/>
              <w:textAlignment w:val="center"/>
              <w:rPr>
                <w:rFonts w:hint="eastAsia" w:ascii="宋体" w:hAnsi="宋体" w:cs="宋体"/>
                <w:b/>
                <w:bCs/>
                <w:color w:val="auto"/>
                <w:spacing w:val="0"/>
                <w:kern w:val="0"/>
                <w:sz w:val="21"/>
                <w:szCs w:val="21"/>
                <w:lang w:val="en-US" w:eastAsia="zh-CN"/>
              </w:rPr>
            </w:pPr>
            <w:r>
              <w:rPr>
                <w:rFonts w:hint="eastAsia" w:ascii="宋体" w:hAnsi="宋体" w:cs="宋体"/>
                <w:b/>
                <w:bCs/>
                <w:color w:val="auto"/>
                <w:spacing w:val="0"/>
                <w:kern w:val="0"/>
                <w:sz w:val="21"/>
                <w:szCs w:val="21"/>
                <w:lang w:val="en-US" w:eastAsia="zh-CN"/>
              </w:rPr>
              <w:t>温湿度无线监测终端</w:t>
            </w:r>
          </w:p>
          <w:p w14:paraId="510F9256">
            <w:pPr>
              <w:widowControl/>
              <w:jc w:val="center"/>
              <w:textAlignment w:val="center"/>
              <w:rPr>
                <w:rFonts w:hint="eastAsia" w:ascii="宋体" w:hAnsi="宋体" w:cs="宋体"/>
                <w:b/>
                <w:bCs/>
                <w:color w:val="auto"/>
                <w:spacing w:val="0"/>
                <w:kern w:val="0"/>
                <w:sz w:val="21"/>
                <w:szCs w:val="21"/>
                <w:lang w:val="en-US" w:eastAsia="zh-CN"/>
              </w:rPr>
            </w:pPr>
          </w:p>
        </w:tc>
        <w:tc>
          <w:tcPr>
            <w:tcW w:w="5446" w:type="dxa"/>
            <w:tcBorders>
              <w:top w:val="single" w:color="000000" w:sz="4" w:space="0"/>
              <w:left w:val="single" w:color="auto" w:sz="4" w:space="0"/>
              <w:bottom w:val="single" w:color="auto" w:sz="4" w:space="0"/>
              <w:right w:val="single" w:color="000000" w:sz="4" w:space="0"/>
            </w:tcBorders>
            <w:shd w:val="clear" w:color="auto" w:fill="auto"/>
          </w:tcPr>
          <w:p w14:paraId="28A4F3BF">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1</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lang w:val="en-US" w:eastAsia="zh-CN"/>
              </w:rPr>
              <w:t>1</w:t>
            </w:r>
            <w:r>
              <w:rPr>
                <w:rFonts w:hint="eastAsia" w:asciiTheme="minorEastAsia" w:hAnsiTheme="minorEastAsia" w:eastAsiaTheme="minorEastAsia" w:cstheme="minorEastAsia"/>
                <w:color w:val="auto"/>
                <w:szCs w:val="21"/>
              </w:rPr>
              <w:t>温度测量</w:t>
            </w:r>
            <w:r>
              <w:rPr>
                <w:rFonts w:hint="eastAsia" w:asciiTheme="minorEastAsia" w:hAnsiTheme="minorEastAsia" w:eastAsiaTheme="minorEastAsia" w:cstheme="minorEastAsia"/>
                <w:color w:val="auto"/>
                <w:szCs w:val="21"/>
                <w:lang w:eastAsia="zh-CN"/>
              </w:rPr>
              <w:t>：</w:t>
            </w:r>
          </w:p>
          <w:p w14:paraId="2ADDB37D">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l 测量范围：-20～+70℃</w:t>
            </w:r>
            <w:r>
              <w:rPr>
                <w:rFonts w:hint="eastAsia" w:asciiTheme="minorEastAsia" w:hAnsiTheme="minorEastAsia" w:eastAsiaTheme="minorEastAsia" w:cstheme="minorEastAsia"/>
                <w:color w:val="auto"/>
                <w:szCs w:val="21"/>
                <w:lang w:eastAsia="zh-CN"/>
              </w:rPr>
              <w:t>；</w:t>
            </w:r>
          </w:p>
          <w:p w14:paraId="086D6067">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l 分辨率：0.01℃</w:t>
            </w:r>
            <w:r>
              <w:rPr>
                <w:rFonts w:hint="eastAsia" w:asciiTheme="minorEastAsia" w:hAnsiTheme="minorEastAsia" w:eastAsiaTheme="minorEastAsia" w:cstheme="minorEastAsia"/>
                <w:color w:val="auto"/>
                <w:szCs w:val="21"/>
                <w:lang w:eastAsia="zh-CN"/>
              </w:rPr>
              <w:t>；</w:t>
            </w:r>
          </w:p>
          <w:p w14:paraId="392BE25E">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 xml:space="preserve">l </w:t>
            </w: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HYPERLINK "mailto:±0.3℃@(15～30℃)/±0.6℃@(-20～50℃)"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color w:val="auto"/>
                <w:szCs w:val="21"/>
              </w:rPr>
              <w:t>±0.3℃@(15～30℃)/±0.6℃@(-20～50℃)</w:t>
            </w:r>
            <w:r>
              <w:rPr>
                <w:rFonts w:hint="eastAsia" w:asciiTheme="minorEastAsia" w:hAnsiTheme="minorEastAsia" w:eastAsiaTheme="minorEastAsia" w:cstheme="minorEastAsia"/>
                <w:color w:val="auto"/>
                <w:szCs w:val="21"/>
              </w:rPr>
              <w:fldChar w:fldCharType="end"/>
            </w:r>
            <w:r>
              <w:rPr>
                <w:rFonts w:hint="eastAsia" w:asciiTheme="minorEastAsia" w:hAnsiTheme="minorEastAsia" w:eastAsiaTheme="minorEastAsia" w:cstheme="minorEastAsia"/>
                <w:color w:val="auto"/>
                <w:szCs w:val="21"/>
                <w:lang w:eastAsia="zh-CN"/>
              </w:rPr>
              <w:t>。</w:t>
            </w:r>
          </w:p>
          <w:p w14:paraId="6A389B72">
            <w:pPr>
              <w:widowControl/>
              <w:spacing w:line="360" w:lineRule="auto"/>
              <w:jc w:val="left"/>
              <w:textAlignment w:val="top"/>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1.</w:t>
            </w:r>
            <w:r>
              <w:rPr>
                <w:rFonts w:hint="eastAsia" w:asciiTheme="minorEastAsia" w:hAnsiTheme="minorEastAsia" w:eastAsiaTheme="minorEastAsia" w:cstheme="minorEastAsia"/>
                <w:color w:val="auto"/>
                <w:szCs w:val="21"/>
              </w:rPr>
              <w:t>2湿度测量</w:t>
            </w:r>
            <w:r>
              <w:rPr>
                <w:rFonts w:hint="eastAsia" w:asciiTheme="minorEastAsia" w:hAnsiTheme="minorEastAsia" w:eastAsiaTheme="minorEastAsia" w:cstheme="minorEastAsia"/>
                <w:color w:val="auto"/>
                <w:szCs w:val="21"/>
                <w:lang w:val="en-US" w:eastAsia="zh-CN"/>
              </w:rPr>
              <w:t>:</w:t>
            </w:r>
          </w:p>
          <w:p w14:paraId="46750CD3">
            <w:pPr>
              <w:widowControl/>
              <w:spacing w:line="360" w:lineRule="auto"/>
              <w:jc w:val="left"/>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l 测量范围：0～100%RH；</w:t>
            </w:r>
          </w:p>
          <w:p w14:paraId="4B839761">
            <w:pPr>
              <w:widowControl/>
              <w:spacing w:line="360" w:lineRule="auto"/>
              <w:jc w:val="left"/>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l 分辨率：0.05%RH；</w:t>
            </w:r>
          </w:p>
          <w:p w14:paraId="444C9592">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l 测量精度： ±2%RH@（40%～80%RH） ±4%RH@（0%～98%RH）</w:t>
            </w:r>
            <w:r>
              <w:rPr>
                <w:rFonts w:hint="eastAsia" w:asciiTheme="minorEastAsia" w:hAnsiTheme="minorEastAsia" w:eastAsiaTheme="minorEastAsia" w:cstheme="minorEastAsia"/>
                <w:color w:val="auto"/>
                <w:szCs w:val="21"/>
                <w:lang w:eastAsia="zh-CN"/>
              </w:rPr>
              <w:t>。</w:t>
            </w:r>
          </w:p>
          <w:p w14:paraId="11B23EC0">
            <w:pPr>
              <w:widowControl/>
              <w:spacing w:line="360" w:lineRule="auto"/>
              <w:jc w:val="left"/>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1.3</w:t>
            </w:r>
            <w:r>
              <w:rPr>
                <w:rFonts w:hint="eastAsia" w:asciiTheme="minorEastAsia" w:hAnsiTheme="minorEastAsia" w:eastAsiaTheme="minorEastAsia" w:cstheme="minorEastAsia"/>
                <w:color w:val="auto"/>
                <w:szCs w:val="21"/>
              </w:rPr>
              <w:t>能耗</w:t>
            </w:r>
            <w:r>
              <w:rPr>
                <w:rFonts w:hint="eastAsia" w:asciiTheme="minorEastAsia" w:hAnsiTheme="minorEastAsia" w:eastAsiaTheme="minorEastAsia" w:cstheme="minorEastAsia"/>
                <w:color w:val="auto"/>
                <w:szCs w:val="21"/>
                <w:lang w:val="en-US" w:eastAsia="zh-CN"/>
              </w:rPr>
              <w:t>:</w:t>
            </w:r>
            <w:r>
              <w:rPr>
                <w:rFonts w:hint="eastAsia" w:asciiTheme="minorEastAsia" w:hAnsiTheme="minorEastAsia" w:eastAsiaTheme="minorEastAsia" w:cstheme="minorEastAsia"/>
                <w:color w:val="auto"/>
                <w:szCs w:val="21"/>
              </w:rPr>
              <w:t>具有能源控制能力，环保无污染电池使用寿命5年以上，电池一次充电后连续采样（频率 10 分钟）工作时长1.5年以上。</w:t>
            </w:r>
          </w:p>
          <w:p w14:paraId="72C18F8C">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val="en-US" w:eastAsia="zh-CN"/>
              </w:rPr>
              <w:t>1.4</w:t>
            </w:r>
            <w:r>
              <w:rPr>
                <w:rFonts w:hint="eastAsia" w:asciiTheme="minorEastAsia" w:hAnsiTheme="minorEastAsia" w:eastAsiaTheme="minorEastAsia" w:cstheme="minorEastAsia"/>
                <w:color w:val="auto"/>
                <w:szCs w:val="21"/>
              </w:rPr>
              <w:t>数据存储周期</w:t>
            </w:r>
            <w:r>
              <w:rPr>
                <w:rFonts w:hint="eastAsia" w:asciiTheme="minorEastAsia" w:hAnsiTheme="minorEastAsia" w:eastAsiaTheme="minorEastAsia" w:cstheme="minorEastAsia"/>
                <w:color w:val="auto"/>
                <w:szCs w:val="21"/>
                <w:lang w:val="en-US" w:eastAsia="zh-CN"/>
              </w:rPr>
              <w:t>:</w:t>
            </w:r>
            <w:r>
              <w:rPr>
                <w:rFonts w:hint="eastAsia" w:asciiTheme="minorEastAsia" w:hAnsiTheme="minorEastAsia" w:eastAsiaTheme="minorEastAsia" w:cstheme="minorEastAsia"/>
                <w:color w:val="auto"/>
                <w:szCs w:val="21"/>
              </w:rPr>
              <w:t>≥1年</w:t>
            </w:r>
            <w:r>
              <w:rPr>
                <w:rFonts w:hint="eastAsia" w:asciiTheme="minorEastAsia" w:hAnsiTheme="minorEastAsia" w:eastAsiaTheme="minorEastAsia" w:cstheme="minorEastAsia"/>
                <w:color w:val="auto"/>
                <w:szCs w:val="21"/>
                <w:lang w:eastAsia="zh-CN"/>
              </w:rPr>
              <w:t>；</w:t>
            </w:r>
          </w:p>
          <w:p w14:paraId="5524FC5F">
            <w:pPr>
              <w:widowControl/>
              <w:spacing w:line="360" w:lineRule="auto"/>
              <w:jc w:val="left"/>
              <w:textAlignment w:val="top"/>
              <w:rPr>
                <w:rFonts w:hint="default" w:ascii="宋体" w:hAnsi="宋体" w:eastAsia="宋体" w:cs="宋体"/>
                <w:b/>
                <w:bCs/>
                <w:color w:val="auto"/>
                <w:spacing w:val="0"/>
                <w:kern w:val="0"/>
                <w:sz w:val="21"/>
                <w:szCs w:val="21"/>
                <w:lang w:val="en-US" w:eastAsia="zh-CN"/>
              </w:rPr>
            </w:pPr>
            <w:r>
              <w:rPr>
                <w:rFonts w:hint="eastAsia" w:asciiTheme="minorEastAsia" w:hAnsiTheme="minorEastAsia" w:eastAsiaTheme="minorEastAsia" w:cstheme="minorEastAsia"/>
                <w:color w:val="auto"/>
                <w:szCs w:val="21"/>
                <w:lang w:val="en-US" w:eastAsia="zh-CN"/>
              </w:rPr>
              <w:t>1.</w:t>
            </w:r>
            <w:r>
              <w:rPr>
                <w:rFonts w:hint="eastAsia" w:asciiTheme="minorEastAsia" w:hAnsiTheme="minorEastAsia" w:eastAsiaTheme="minorEastAsia" w:cstheme="minorEastAsia"/>
                <w:color w:val="auto"/>
                <w:szCs w:val="21"/>
              </w:rPr>
              <w:t>5采样评率</w:t>
            </w:r>
            <w:r>
              <w:rPr>
                <w:rFonts w:hint="eastAsia" w:asciiTheme="minorEastAsia" w:hAnsiTheme="minorEastAsia" w:eastAsiaTheme="minorEastAsia" w:cstheme="minorEastAsia"/>
                <w:color w:val="auto"/>
                <w:szCs w:val="21"/>
              </w:rPr>
              <w:tab/>
            </w:r>
            <w:r>
              <w:rPr>
                <w:rFonts w:hint="eastAsia" w:asciiTheme="minorEastAsia" w:hAnsiTheme="minorEastAsia" w:eastAsiaTheme="minorEastAsia" w:cstheme="minorEastAsia"/>
                <w:color w:val="auto"/>
                <w:szCs w:val="21"/>
                <w:lang w:val="en-US" w:eastAsia="zh-CN"/>
              </w:rPr>
              <w:t>:</w:t>
            </w:r>
            <w:r>
              <w:rPr>
                <w:rFonts w:hint="eastAsia" w:asciiTheme="minorEastAsia" w:hAnsiTheme="minorEastAsia" w:eastAsiaTheme="minorEastAsia" w:cstheme="minorEastAsia"/>
                <w:color w:val="auto"/>
                <w:szCs w:val="21"/>
              </w:rPr>
              <w:t>≤1小时/次</w:t>
            </w:r>
            <w:r>
              <w:rPr>
                <w:rFonts w:hint="eastAsia" w:asciiTheme="minorEastAsia" w:hAnsiTheme="minorEastAsia" w:eastAsiaTheme="minorEastAsia" w:cstheme="minorEastAsia"/>
                <w:color w:val="auto"/>
                <w:szCs w:val="21"/>
                <w:lang w:eastAsia="zh-CN"/>
              </w:rPr>
              <w:t>。</w:t>
            </w:r>
          </w:p>
        </w:tc>
        <w:tc>
          <w:tcPr>
            <w:tcW w:w="799" w:type="dxa"/>
            <w:tcBorders>
              <w:top w:val="single" w:color="000000" w:sz="4" w:space="0"/>
              <w:left w:val="single" w:color="000000" w:sz="4" w:space="0"/>
              <w:bottom w:val="single" w:color="auto" w:sz="4" w:space="0"/>
              <w:right w:val="single" w:color="000000" w:sz="4" w:space="0"/>
            </w:tcBorders>
            <w:shd w:val="clear" w:color="auto" w:fill="FFFFFF"/>
            <w:vAlign w:val="center"/>
          </w:tcPr>
          <w:p w14:paraId="366F81A8">
            <w:pPr>
              <w:widowControl/>
              <w:jc w:val="center"/>
              <w:textAlignment w:val="center"/>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kern w:val="0"/>
                <w:szCs w:val="21"/>
                <w:lang w:val="en-US" w:eastAsia="zh-CN"/>
              </w:rPr>
              <w:t>6</w:t>
            </w:r>
          </w:p>
        </w:tc>
        <w:tc>
          <w:tcPr>
            <w:tcW w:w="861" w:type="dxa"/>
            <w:tcBorders>
              <w:top w:val="single" w:color="000000" w:sz="4" w:space="0"/>
              <w:left w:val="single" w:color="000000" w:sz="4" w:space="0"/>
              <w:bottom w:val="single" w:color="auto" w:sz="4" w:space="0"/>
              <w:right w:val="single" w:color="000000" w:sz="4" w:space="0"/>
            </w:tcBorders>
            <w:shd w:val="clear" w:color="auto" w:fill="FFFFFF"/>
            <w:vAlign w:val="center"/>
          </w:tcPr>
          <w:p w14:paraId="69A20D21">
            <w:pPr>
              <w:widowControl/>
              <w:jc w:val="center"/>
              <w:textAlignment w:val="center"/>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val="en-US" w:eastAsia="zh-CN"/>
              </w:rPr>
              <w:t>只</w:t>
            </w:r>
          </w:p>
        </w:tc>
      </w:tr>
      <w:tr w14:paraId="2C29EE1B">
        <w:tblPrEx>
          <w:tblCellMar>
            <w:top w:w="0" w:type="dxa"/>
            <w:left w:w="108" w:type="dxa"/>
            <w:bottom w:w="0" w:type="dxa"/>
            <w:right w:w="108" w:type="dxa"/>
          </w:tblCellMar>
        </w:tblPrEx>
        <w:trPr>
          <w:trHeight w:val="90" w:hRule="atLeast"/>
        </w:trPr>
        <w:tc>
          <w:tcPr>
            <w:tcW w:w="726" w:type="dxa"/>
            <w:tcBorders>
              <w:top w:val="single" w:color="auto" w:sz="4" w:space="0"/>
              <w:left w:val="single" w:color="auto" w:sz="4" w:space="0"/>
              <w:bottom w:val="single" w:color="auto" w:sz="4" w:space="0"/>
              <w:right w:val="single" w:color="auto" w:sz="4" w:space="0"/>
            </w:tcBorders>
            <w:shd w:val="clear" w:color="auto" w:fill="FFFFFF"/>
            <w:vAlign w:val="center"/>
          </w:tcPr>
          <w:p w14:paraId="21C9409F">
            <w:pPr>
              <w:widowControl/>
              <w:jc w:val="center"/>
              <w:textAlignment w:val="center"/>
              <w:rPr>
                <w:rFonts w:hint="eastAsia" w:ascii="宋体" w:hAnsi="宋体" w:cs="宋体"/>
                <w:b/>
                <w:bCs/>
                <w:color w:val="auto"/>
                <w:spacing w:val="0"/>
                <w:kern w:val="0"/>
                <w:sz w:val="21"/>
                <w:szCs w:val="21"/>
                <w:lang w:val="en-US" w:eastAsia="zh-CN"/>
              </w:rPr>
            </w:pPr>
            <w:r>
              <w:rPr>
                <w:rFonts w:hint="eastAsia" w:ascii="宋体" w:hAnsi="宋体" w:cs="宋体"/>
                <w:b/>
                <w:bCs/>
                <w:color w:val="auto"/>
                <w:spacing w:val="0"/>
                <w:kern w:val="0"/>
                <w:sz w:val="21"/>
                <w:szCs w:val="21"/>
                <w:lang w:val="en-US" w:eastAsia="zh-CN"/>
              </w:rPr>
              <w:t>2</w:t>
            </w:r>
          </w:p>
          <w:p w14:paraId="2847513B">
            <w:pPr>
              <w:widowControl/>
              <w:jc w:val="center"/>
              <w:textAlignment w:val="center"/>
              <w:rPr>
                <w:rFonts w:hint="eastAsia" w:ascii="宋体" w:hAnsi="宋体" w:cs="宋体"/>
                <w:b/>
                <w:bCs/>
                <w:color w:val="auto"/>
                <w:spacing w:val="0"/>
                <w:kern w:val="0"/>
                <w:sz w:val="21"/>
                <w:szCs w:val="21"/>
                <w:lang w:val="en-US" w:eastAsia="zh-CN"/>
              </w:rPr>
            </w:pPr>
          </w:p>
        </w:tc>
        <w:tc>
          <w:tcPr>
            <w:tcW w:w="984" w:type="dxa"/>
            <w:tcBorders>
              <w:top w:val="single" w:color="auto" w:sz="4" w:space="0"/>
              <w:left w:val="single" w:color="auto" w:sz="4" w:space="0"/>
              <w:bottom w:val="single" w:color="auto" w:sz="4" w:space="0"/>
              <w:right w:val="single" w:color="auto" w:sz="4" w:space="0"/>
            </w:tcBorders>
            <w:shd w:val="clear" w:color="auto" w:fill="FFFFFF"/>
            <w:vAlign w:val="center"/>
          </w:tcPr>
          <w:p w14:paraId="5DBAEA23">
            <w:pPr>
              <w:widowControl/>
              <w:jc w:val="center"/>
              <w:textAlignment w:val="center"/>
              <w:rPr>
                <w:rFonts w:hint="eastAsia" w:ascii="宋体" w:hAnsi="宋体" w:cs="宋体"/>
                <w:b/>
                <w:bCs/>
                <w:color w:val="auto"/>
                <w:spacing w:val="0"/>
                <w:kern w:val="0"/>
                <w:sz w:val="21"/>
                <w:szCs w:val="21"/>
                <w:lang w:val="en-US" w:eastAsia="zh-CN"/>
              </w:rPr>
            </w:pPr>
            <w:r>
              <w:rPr>
                <w:rFonts w:hint="eastAsia" w:ascii="宋体" w:hAnsi="宋体" w:cs="宋体"/>
                <w:b/>
                <w:bCs/>
                <w:color w:val="auto"/>
                <w:spacing w:val="0"/>
                <w:kern w:val="0"/>
                <w:sz w:val="21"/>
                <w:szCs w:val="21"/>
                <w:lang w:val="en-US" w:eastAsia="zh-CN"/>
              </w:rPr>
              <w:t>光照度无线监测终端</w:t>
            </w:r>
          </w:p>
        </w:tc>
        <w:tc>
          <w:tcPr>
            <w:tcW w:w="5446" w:type="dxa"/>
            <w:tcBorders>
              <w:top w:val="single" w:color="000000" w:sz="4" w:space="0"/>
              <w:left w:val="single" w:color="auto" w:sz="4" w:space="0"/>
              <w:bottom w:val="single" w:color="auto" w:sz="4" w:space="0"/>
              <w:right w:val="single" w:color="000000" w:sz="4" w:space="0"/>
            </w:tcBorders>
            <w:shd w:val="clear" w:color="auto" w:fill="auto"/>
          </w:tcPr>
          <w:p w14:paraId="1B0B084C">
            <w:pPr>
              <w:widowControl/>
              <w:jc w:val="left"/>
              <w:textAlignment w:val="center"/>
              <w:rPr>
                <w:rFonts w:hint="eastAsia" w:asciiTheme="minorEastAsia" w:hAnsiTheme="minorEastAsia" w:eastAsiaTheme="minorEastAsia" w:cstheme="minorEastAsia"/>
                <w:color w:val="auto"/>
                <w:kern w:val="0"/>
                <w:szCs w:val="21"/>
                <w:lang w:eastAsia="zh-CN"/>
              </w:rPr>
            </w:pPr>
            <w:r>
              <w:rPr>
                <w:rFonts w:hint="eastAsia" w:asciiTheme="minorEastAsia" w:hAnsiTheme="minorEastAsia" w:eastAsiaTheme="minorEastAsia" w:cstheme="minorEastAsia"/>
                <w:color w:val="auto"/>
                <w:kern w:val="0"/>
                <w:szCs w:val="21"/>
                <w:lang w:val="en-US" w:eastAsia="zh-CN"/>
              </w:rPr>
              <w:t>2.1</w:t>
            </w:r>
            <w:r>
              <w:rPr>
                <w:rFonts w:hint="eastAsia" w:asciiTheme="minorEastAsia" w:hAnsiTheme="minorEastAsia" w:eastAsiaTheme="minorEastAsia" w:cstheme="minorEastAsia"/>
                <w:color w:val="auto"/>
                <w:kern w:val="0"/>
                <w:szCs w:val="21"/>
                <w:lang w:eastAsia="zh-CN"/>
              </w:rPr>
              <w:t>室内光照度测量</w:t>
            </w:r>
            <w:r>
              <w:rPr>
                <w:rFonts w:hint="eastAsia" w:asciiTheme="minorEastAsia" w:hAnsiTheme="minorEastAsia" w:eastAsiaTheme="minorEastAsia" w:cstheme="minorEastAsia"/>
                <w:color w:val="auto"/>
                <w:kern w:val="0"/>
                <w:szCs w:val="21"/>
                <w:lang w:val="en-US" w:eastAsia="zh-CN"/>
              </w:rPr>
              <w:t>:</w:t>
            </w:r>
            <w:r>
              <w:rPr>
                <w:rFonts w:hint="eastAsia" w:asciiTheme="minorEastAsia" w:hAnsiTheme="minorEastAsia" w:eastAsiaTheme="minorEastAsia" w:cstheme="minorEastAsia"/>
                <w:color w:val="auto"/>
                <w:kern w:val="0"/>
                <w:szCs w:val="21"/>
                <w:lang w:eastAsia="zh-CN"/>
              </w:rPr>
              <w:tab/>
            </w:r>
          </w:p>
          <w:p w14:paraId="41EA09CB">
            <w:pPr>
              <w:widowControl/>
              <w:jc w:val="left"/>
              <w:textAlignment w:val="center"/>
              <w:rPr>
                <w:rFonts w:hint="eastAsia" w:asciiTheme="minorEastAsia" w:hAnsiTheme="minorEastAsia" w:eastAsiaTheme="minorEastAsia" w:cstheme="minorEastAsia"/>
                <w:color w:val="auto"/>
                <w:kern w:val="0"/>
                <w:szCs w:val="21"/>
                <w:lang w:eastAsia="zh-CN"/>
              </w:rPr>
            </w:pPr>
            <w:r>
              <w:rPr>
                <w:rFonts w:hint="eastAsia" w:asciiTheme="minorEastAsia" w:hAnsiTheme="minorEastAsia" w:eastAsiaTheme="minorEastAsia" w:cstheme="minorEastAsia"/>
                <w:color w:val="auto"/>
                <w:kern w:val="0"/>
                <w:szCs w:val="21"/>
                <w:lang w:eastAsia="zh-CN"/>
              </w:rPr>
              <w:t>l 测量范围：0～2000lux；</w:t>
            </w:r>
          </w:p>
          <w:p w14:paraId="13484328">
            <w:pPr>
              <w:widowControl/>
              <w:jc w:val="left"/>
              <w:textAlignment w:val="center"/>
              <w:rPr>
                <w:rFonts w:hint="eastAsia" w:asciiTheme="minorEastAsia" w:hAnsiTheme="minorEastAsia" w:eastAsiaTheme="minorEastAsia" w:cstheme="minorEastAsia"/>
                <w:color w:val="auto"/>
                <w:kern w:val="0"/>
                <w:szCs w:val="21"/>
                <w:lang w:eastAsia="zh-CN"/>
              </w:rPr>
            </w:pPr>
            <w:r>
              <w:rPr>
                <w:rFonts w:hint="eastAsia" w:asciiTheme="minorEastAsia" w:hAnsiTheme="minorEastAsia" w:eastAsiaTheme="minorEastAsia" w:cstheme="minorEastAsia"/>
                <w:color w:val="auto"/>
                <w:kern w:val="0"/>
                <w:szCs w:val="21"/>
                <w:lang w:eastAsia="zh-CN"/>
              </w:rPr>
              <w:t>l 分辨率：0.06lx；</w:t>
            </w:r>
          </w:p>
          <w:p w14:paraId="0C73E48C">
            <w:pPr>
              <w:widowControl/>
              <w:jc w:val="left"/>
              <w:textAlignment w:val="center"/>
              <w:rPr>
                <w:rFonts w:hint="eastAsia" w:asciiTheme="minorEastAsia" w:hAnsiTheme="minorEastAsia" w:eastAsiaTheme="minorEastAsia" w:cstheme="minorEastAsia"/>
                <w:color w:val="auto"/>
                <w:kern w:val="0"/>
                <w:szCs w:val="21"/>
                <w:lang w:eastAsia="zh-CN"/>
              </w:rPr>
            </w:pPr>
            <w:r>
              <w:rPr>
                <w:rFonts w:hint="eastAsia" w:asciiTheme="minorEastAsia" w:hAnsiTheme="minorEastAsia" w:eastAsiaTheme="minorEastAsia" w:cstheme="minorEastAsia"/>
                <w:color w:val="auto"/>
                <w:kern w:val="0"/>
                <w:szCs w:val="21"/>
                <w:lang w:eastAsia="zh-CN"/>
              </w:rPr>
              <w:t>l 测量精度：±4%。</w:t>
            </w:r>
          </w:p>
          <w:p w14:paraId="400EBFEE">
            <w:pPr>
              <w:widowControl/>
              <w:jc w:val="left"/>
              <w:textAlignment w:val="center"/>
              <w:rPr>
                <w:rFonts w:hint="eastAsia" w:asciiTheme="minorEastAsia" w:hAnsiTheme="minorEastAsia" w:eastAsiaTheme="minorEastAsia" w:cstheme="minorEastAsia"/>
                <w:color w:val="auto"/>
                <w:kern w:val="0"/>
                <w:szCs w:val="21"/>
                <w:lang w:eastAsia="zh-CN"/>
              </w:rPr>
            </w:pPr>
            <w:r>
              <w:rPr>
                <w:rFonts w:hint="eastAsia" w:asciiTheme="minorEastAsia" w:hAnsiTheme="minorEastAsia" w:eastAsiaTheme="minorEastAsia" w:cstheme="minorEastAsia"/>
                <w:color w:val="auto"/>
                <w:kern w:val="0"/>
                <w:szCs w:val="21"/>
                <w:lang w:val="en-US" w:eastAsia="zh-CN"/>
              </w:rPr>
              <w:t>2.2</w:t>
            </w:r>
            <w:r>
              <w:rPr>
                <w:rFonts w:hint="eastAsia" w:asciiTheme="minorEastAsia" w:hAnsiTheme="minorEastAsia" w:eastAsiaTheme="minorEastAsia" w:cstheme="minorEastAsia"/>
                <w:color w:val="auto"/>
                <w:kern w:val="0"/>
                <w:szCs w:val="21"/>
                <w:lang w:eastAsia="zh-CN"/>
              </w:rPr>
              <w:t>能耗</w:t>
            </w:r>
            <w:r>
              <w:rPr>
                <w:rFonts w:hint="eastAsia" w:asciiTheme="minorEastAsia" w:hAnsiTheme="minorEastAsia" w:eastAsiaTheme="minorEastAsia" w:cstheme="minorEastAsia"/>
                <w:color w:val="auto"/>
                <w:kern w:val="0"/>
                <w:szCs w:val="21"/>
                <w:lang w:val="en-US" w:eastAsia="zh-CN"/>
              </w:rPr>
              <w:t>:</w:t>
            </w:r>
            <w:r>
              <w:rPr>
                <w:rFonts w:hint="eastAsia" w:asciiTheme="minorEastAsia" w:hAnsiTheme="minorEastAsia" w:eastAsiaTheme="minorEastAsia" w:cstheme="minorEastAsia"/>
                <w:color w:val="auto"/>
                <w:kern w:val="0"/>
                <w:szCs w:val="21"/>
                <w:lang w:eastAsia="zh-CN"/>
              </w:rPr>
              <w:t>具有能源控制能力，环保无污染电池使用寿命 5 年以上， 电池一次充电后连续采样（频率 10 分钟）工作时长达 1 年以上。</w:t>
            </w:r>
          </w:p>
          <w:p w14:paraId="19B13ED2">
            <w:pPr>
              <w:widowControl/>
              <w:jc w:val="left"/>
              <w:textAlignment w:val="center"/>
              <w:rPr>
                <w:rFonts w:hint="eastAsia" w:asciiTheme="minorEastAsia" w:hAnsiTheme="minorEastAsia" w:eastAsiaTheme="minorEastAsia" w:cstheme="minorEastAsia"/>
                <w:color w:val="auto"/>
                <w:kern w:val="0"/>
                <w:szCs w:val="21"/>
                <w:lang w:eastAsia="zh-CN"/>
              </w:rPr>
            </w:pPr>
            <w:r>
              <w:rPr>
                <w:rFonts w:hint="eastAsia" w:asciiTheme="minorEastAsia" w:hAnsiTheme="minorEastAsia" w:eastAsiaTheme="minorEastAsia" w:cstheme="minorEastAsia"/>
                <w:color w:val="auto"/>
                <w:kern w:val="0"/>
                <w:szCs w:val="21"/>
                <w:lang w:val="en-US" w:eastAsia="zh-CN"/>
              </w:rPr>
              <w:t>2.3</w:t>
            </w:r>
            <w:r>
              <w:rPr>
                <w:rFonts w:hint="eastAsia" w:asciiTheme="minorEastAsia" w:hAnsiTheme="minorEastAsia" w:eastAsiaTheme="minorEastAsia" w:cstheme="minorEastAsia"/>
                <w:color w:val="auto"/>
                <w:kern w:val="0"/>
                <w:szCs w:val="21"/>
                <w:lang w:eastAsia="zh-CN"/>
              </w:rPr>
              <w:t>数据存储周期</w:t>
            </w:r>
            <w:r>
              <w:rPr>
                <w:rFonts w:hint="eastAsia" w:asciiTheme="minorEastAsia" w:hAnsiTheme="minorEastAsia" w:eastAsiaTheme="minorEastAsia" w:cstheme="minorEastAsia"/>
                <w:color w:val="auto"/>
                <w:kern w:val="0"/>
                <w:szCs w:val="21"/>
                <w:lang w:eastAsia="zh-CN"/>
              </w:rPr>
              <w:tab/>
            </w:r>
            <w:r>
              <w:rPr>
                <w:rFonts w:hint="eastAsia" w:asciiTheme="minorEastAsia" w:hAnsiTheme="minorEastAsia" w:eastAsiaTheme="minorEastAsia" w:cstheme="minorEastAsia"/>
                <w:color w:val="auto"/>
                <w:kern w:val="0"/>
                <w:szCs w:val="21"/>
                <w:lang w:val="en-US" w:eastAsia="zh-CN"/>
              </w:rPr>
              <w:t>:</w:t>
            </w:r>
            <w:r>
              <w:rPr>
                <w:rFonts w:hint="eastAsia" w:asciiTheme="minorEastAsia" w:hAnsiTheme="minorEastAsia" w:eastAsiaTheme="minorEastAsia" w:cstheme="minorEastAsia"/>
                <w:color w:val="auto"/>
                <w:kern w:val="0"/>
                <w:szCs w:val="21"/>
                <w:lang w:eastAsia="zh-CN"/>
              </w:rPr>
              <w:t>≥1年；</w:t>
            </w:r>
          </w:p>
          <w:p w14:paraId="6BBB2BDF">
            <w:pPr>
              <w:pStyle w:val="2"/>
              <w:numPr>
                <w:ilvl w:val="0"/>
                <w:numId w:val="0"/>
              </w:numPr>
              <w:ind w:leftChars="0"/>
              <w:rPr>
                <w:rFonts w:hint="default" w:ascii="宋体" w:hAnsi="宋体" w:eastAsia="宋体" w:cs="宋体"/>
                <w:b/>
                <w:bCs/>
                <w:color w:val="auto"/>
                <w:spacing w:val="0"/>
                <w:kern w:val="0"/>
                <w:sz w:val="21"/>
                <w:szCs w:val="21"/>
                <w:lang w:val="en-US" w:eastAsia="zh-CN"/>
              </w:rPr>
            </w:pPr>
            <w:r>
              <w:rPr>
                <w:rFonts w:hint="eastAsia" w:asciiTheme="minorEastAsia" w:hAnsiTheme="minorEastAsia" w:eastAsiaTheme="minorEastAsia" w:cstheme="minorEastAsia"/>
                <w:color w:val="auto"/>
                <w:kern w:val="0"/>
                <w:szCs w:val="21"/>
                <w:lang w:val="en-US" w:eastAsia="zh-CN"/>
              </w:rPr>
              <w:t>2.4</w:t>
            </w:r>
            <w:r>
              <w:rPr>
                <w:rFonts w:hint="eastAsia" w:asciiTheme="minorEastAsia" w:hAnsiTheme="minorEastAsia" w:eastAsiaTheme="minorEastAsia" w:cstheme="minorEastAsia"/>
                <w:color w:val="auto"/>
                <w:kern w:val="0"/>
                <w:szCs w:val="21"/>
                <w:lang w:eastAsia="zh-CN"/>
              </w:rPr>
              <w:t>采样评率</w:t>
            </w:r>
            <w:r>
              <w:rPr>
                <w:rFonts w:hint="eastAsia" w:asciiTheme="minorEastAsia" w:hAnsiTheme="minorEastAsia" w:eastAsiaTheme="minorEastAsia" w:cstheme="minorEastAsia"/>
                <w:color w:val="auto"/>
                <w:kern w:val="0"/>
                <w:szCs w:val="21"/>
                <w:lang w:eastAsia="zh-CN"/>
              </w:rPr>
              <w:tab/>
            </w:r>
            <w:r>
              <w:rPr>
                <w:rFonts w:hint="eastAsia" w:asciiTheme="minorEastAsia" w:hAnsiTheme="minorEastAsia" w:eastAsiaTheme="minorEastAsia" w:cstheme="minorEastAsia"/>
                <w:color w:val="auto"/>
                <w:kern w:val="0"/>
                <w:szCs w:val="21"/>
                <w:lang w:val="en-US" w:eastAsia="zh-CN"/>
              </w:rPr>
              <w:t>:</w:t>
            </w:r>
            <w:r>
              <w:rPr>
                <w:rFonts w:hint="eastAsia" w:asciiTheme="minorEastAsia" w:hAnsiTheme="minorEastAsia" w:eastAsiaTheme="minorEastAsia" w:cstheme="minorEastAsia"/>
                <w:color w:val="auto"/>
                <w:kern w:val="0"/>
                <w:szCs w:val="21"/>
                <w:lang w:eastAsia="zh-CN"/>
              </w:rPr>
              <w:t>≤1小时/次。</w:t>
            </w:r>
          </w:p>
        </w:tc>
        <w:tc>
          <w:tcPr>
            <w:tcW w:w="799" w:type="dxa"/>
            <w:tcBorders>
              <w:top w:val="single" w:color="000000" w:sz="4" w:space="0"/>
              <w:left w:val="single" w:color="000000" w:sz="4" w:space="0"/>
              <w:bottom w:val="single" w:color="auto" w:sz="4" w:space="0"/>
              <w:right w:val="single" w:color="000000" w:sz="4" w:space="0"/>
            </w:tcBorders>
            <w:shd w:val="clear" w:color="auto" w:fill="FFFFFF"/>
            <w:vAlign w:val="center"/>
          </w:tcPr>
          <w:p w14:paraId="483ED789">
            <w:pPr>
              <w:widowControl/>
              <w:jc w:val="center"/>
              <w:textAlignment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val="en-US" w:eastAsia="zh-CN"/>
              </w:rPr>
              <w:t>6</w:t>
            </w:r>
          </w:p>
        </w:tc>
        <w:tc>
          <w:tcPr>
            <w:tcW w:w="861" w:type="dxa"/>
            <w:tcBorders>
              <w:top w:val="single" w:color="000000" w:sz="4" w:space="0"/>
              <w:left w:val="single" w:color="000000" w:sz="4" w:space="0"/>
              <w:bottom w:val="single" w:color="auto" w:sz="4" w:space="0"/>
              <w:right w:val="single" w:color="000000" w:sz="4" w:space="0"/>
            </w:tcBorders>
            <w:shd w:val="clear" w:color="auto" w:fill="FFFFFF"/>
            <w:vAlign w:val="center"/>
          </w:tcPr>
          <w:p w14:paraId="2933496B">
            <w:pPr>
              <w:widowControl/>
              <w:jc w:val="center"/>
              <w:textAlignment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只</w:t>
            </w:r>
          </w:p>
        </w:tc>
      </w:tr>
      <w:tr w14:paraId="0F896522">
        <w:tblPrEx>
          <w:tblCellMar>
            <w:top w:w="0" w:type="dxa"/>
            <w:left w:w="108" w:type="dxa"/>
            <w:bottom w:w="0" w:type="dxa"/>
            <w:right w:w="108" w:type="dxa"/>
          </w:tblCellMar>
        </w:tblPrEx>
        <w:trPr>
          <w:trHeight w:val="3522" w:hRule="atLeast"/>
        </w:trPr>
        <w:tc>
          <w:tcPr>
            <w:tcW w:w="726" w:type="dxa"/>
            <w:tcBorders>
              <w:top w:val="single" w:color="auto" w:sz="4" w:space="0"/>
              <w:left w:val="single" w:color="auto" w:sz="4" w:space="0"/>
              <w:bottom w:val="single" w:color="auto" w:sz="4" w:space="0"/>
              <w:right w:val="single" w:color="auto" w:sz="4" w:space="0"/>
            </w:tcBorders>
            <w:shd w:val="clear" w:color="auto" w:fill="FFFFFF"/>
            <w:vAlign w:val="center"/>
          </w:tcPr>
          <w:p w14:paraId="237425AA">
            <w:pPr>
              <w:widowControl/>
              <w:jc w:val="center"/>
              <w:textAlignment w:val="center"/>
              <w:rPr>
                <w:rFonts w:hint="eastAsia" w:ascii="宋体" w:hAnsi="宋体" w:cs="宋体"/>
                <w:b/>
                <w:bCs/>
                <w:color w:val="auto"/>
                <w:spacing w:val="0"/>
                <w:kern w:val="0"/>
                <w:sz w:val="21"/>
                <w:szCs w:val="21"/>
                <w:lang w:val="en-US" w:eastAsia="zh-CN"/>
              </w:rPr>
            </w:pPr>
            <w:r>
              <w:rPr>
                <w:rFonts w:hint="eastAsia" w:ascii="宋体" w:hAnsi="宋体" w:cs="宋体"/>
                <w:b/>
                <w:bCs/>
                <w:color w:val="auto"/>
                <w:spacing w:val="0"/>
                <w:kern w:val="0"/>
                <w:sz w:val="21"/>
                <w:szCs w:val="21"/>
                <w:lang w:val="en-US" w:eastAsia="zh-CN"/>
              </w:rPr>
              <w:t>3</w:t>
            </w:r>
          </w:p>
        </w:tc>
        <w:tc>
          <w:tcPr>
            <w:tcW w:w="984" w:type="dxa"/>
            <w:tcBorders>
              <w:top w:val="single" w:color="auto" w:sz="4" w:space="0"/>
              <w:left w:val="single" w:color="auto" w:sz="4" w:space="0"/>
              <w:bottom w:val="single" w:color="auto" w:sz="4" w:space="0"/>
              <w:right w:val="single" w:color="auto" w:sz="4" w:space="0"/>
            </w:tcBorders>
            <w:shd w:val="clear" w:color="auto" w:fill="FFFFFF"/>
            <w:vAlign w:val="center"/>
          </w:tcPr>
          <w:p w14:paraId="1A75A054">
            <w:pPr>
              <w:widowControl/>
              <w:jc w:val="center"/>
              <w:textAlignment w:val="center"/>
              <w:rPr>
                <w:rFonts w:hint="eastAsia" w:ascii="宋体" w:hAnsi="宋体" w:cs="宋体"/>
                <w:b/>
                <w:bCs/>
                <w:color w:val="auto"/>
                <w:spacing w:val="0"/>
                <w:kern w:val="0"/>
                <w:sz w:val="21"/>
                <w:szCs w:val="21"/>
                <w:lang w:val="en-US" w:eastAsia="zh-CN"/>
              </w:rPr>
            </w:pPr>
            <w:r>
              <w:rPr>
                <w:rFonts w:hint="eastAsia" w:ascii="宋体" w:hAnsi="宋体" w:cs="宋体"/>
                <w:b/>
                <w:bCs/>
                <w:color w:val="auto"/>
                <w:spacing w:val="0"/>
                <w:kern w:val="0"/>
                <w:sz w:val="21"/>
                <w:szCs w:val="21"/>
                <w:lang w:val="en-US" w:eastAsia="zh-CN"/>
              </w:rPr>
              <w:t>紫外线监测终端</w:t>
            </w:r>
          </w:p>
          <w:p w14:paraId="3A965086">
            <w:pPr>
              <w:widowControl/>
              <w:jc w:val="center"/>
              <w:textAlignment w:val="center"/>
              <w:rPr>
                <w:rFonts w:hint="eastAsia" w:ascii="宋体" w:hAnsi="宋体" w:cs="宋体"/>
                <w:b/>
                <w:bCs/>
                <w:color w:val="auto"/>
                <w:spacing w:val="0"/>
                <w:kern w:val="0"/>
                <w:sz w:val="21"/>
                <w:szCs w:val="21"/>
                <w:lang w:val="en-US" w:eastAsia="zh-CN"/>
              </w:rPr>
            </w:pPr>
          </w:p>
        </w:tc>
        <w:tc>
          <w:tcPr>
            <w:tcW w:w="5446" w:type="dxa"/>
            <w:tcBorders>
              <w:top w:val="single" w:color="auto" w:sz="4" w:space="0"/>
              <w:left w:val="single" w:color="auto" w:sz="4" w:space="0"/>
              <w:bottom w:val="single" w:color="auto" w:sz="4" w:space="0"/>
              <w:right w:val="single" w:color="auto" w:sz="4" w:space="0"/>
            </w:tcBorders>
            <w:shd w:val="clear" w:color="auto" w:fill="auto"/>
          </w:tcPr>
          <w:p w14:paraId="7F84C3D3">
            <w:pPr>
              <w:pStyle w:val="2"/>
              <w:numPr>
                <w:ilvl w:val="0"/>
                <w:numId w:val="0"/>
              </w:numPr>
              <w:rPr>
                <w:rFonts w:hint="default" w:ascii="宋体" w:hAnsi="宋体" w:eastAsia="宋体" w:cs="宋体"/>
                <w:b w:val="0"/>
                <w:bCs w:val="0"/>
                <w:color w:val="auto"/>
                <w:spacing w:val="0"/>
                <w:kern w:val="0"/>
                <w:sz w:val="21"/>
                <w:szCs w:val="21"/>
                <w:lang w:val="en-US" w:eastAsia="zh-CN"/>
              </w:rPr>
            </w:pPr>
            <w:r>
              <w:rPr>
                <w:rFonts w:hint="eastAsia" w:ascii="宋体" w:hAnsi="宋体" w:cs="宋体"/>
                <w:b w:val="0"/>
                <w:bCs w:val="0"/>
                <w:color w:val="auto"/>
                <w:spacing w:val="0"/>
                <w:kern w:val="0"/>
                <w:sz w:val="21"/>
                <w:szCs w:val="21"/>
                <w:lang w:val="en-US" w:eastAsia="zh-CN"/>
              </w:rPr>
              <w:t>3.1</w:t>
            </w:r>
            <w:r>
              <w:rPr>
                <w:rFonts w:hint="default" w:ascii="宋体" w:hAnsi="宋体" w:eastAsia="宋体" w:cs="宋体"/>
                <w:b w:val="0"/>
                <w:bCs w:val="0"/>
                <w:color w:val="auto"/>
                <w:spacing w:val="0"/>
                <w:kern w:val="0"/>
                <w:sz w:val="21"/>
                <w:szCs w:val="21"/>
                <w:lang w:val="en-US" w:eastAsia="zh-CN"/>
              </w:rPr>
              <w:t>室内紫外线测量</w:t>
            </w:r>
            <w:r>
              <w:rPr>
                <w:rFonts w:hint="eastAsia" w:ascii="宋体" w:hAnsi="宋体" w:cs="宋体"/>
                <w:b w:val="0"/>
                <w:bCs w:val="0"/>
                <w:color w:val="auto"/>
                <w:spacing w:val="0"/>
                <w:kern w:val="0"/>
                <w:sz w:val="21"/>
                <w:szCs w:val="21"/>
                <w:lang w:val="en-US" w:eastAsia="zh-CN"/>
              </w:rPr>
              <w:t>:</w:t>
            </w:r>
          </w:p>
          <w:p w14:paraId="35A8D018">
            <w:pPr>
              <w:pStyle w:val="2"/>
              <w:numPr>
                <w:ilvl w:val="0"/>
                <w:numId w:val="0"/>
              </w:numPr>
              <w:rPr>
                <w:rFonts w:hint="default" w:ascii="宋体" w:hAnsi="宋体" w:eastAsia="宋体" w:cs="宋体"/>
                <w:b w:val="0"/>
                <w:bCs w:val="0"/>
                <w:color w:val="auto"/>
                <w:spacing w:val="0"/>
                <w:kern w:val="0"/>
                <w:sz w:val="21"/>
                <w:szCs w:val="21"/>
                <w:lang w:val="en-US" w:eastAsia="zh-CN"/>
              </w:rPr>
            </w:pPr>
            <w:r>
              <w:rPr>
                <w:rFonts w:hint="default" w:ascii="宋体" w:hAnsi="宋体" w:eastAsia="宋体" w:cs="宋体"/>
                <w:b w:val="0"/>
                <w:bCs w:val="0"/>
                <w:color w:val="auto"/>
                <w:spacing w:val="0"/>
                <w:kern w:val="0"/>
                <w:sz w:val="21"/>
                <w:szCs w:val="21"/>
                <w:lang w:val="en-US" w:eastAsia="zh-CN"/>
              </w:rPr>
              <w:t>l 测量范围：0.02～230μW/cm2；</w:t>
            </w:r>
          </w:p>
          <w:p w14:paraId="091377FD">
            <w:pPr>
              <w:pStyle w:val="2"/>
              <w:numPr>
                <w:ilvl w:val="0"/>
                <w:numId w:val="0"/>
              </w:numPr>
              <w:rPr>
                <w:rFonts w:hint="default" w:ascii="宋体" w:hAnsi="宋体" w:eastAsia="宋体" w:cs="宋体"/>
                <w:b w:val="0"/>
                <w:bCs w:val="0"/>
                <w:color w:val="auto"/>
                <w:spacing w:val="0"/>
                <w:kern w:val="0"/>
                <w:sz w:val="21"/>
                <w:szCs w:val="21"/>
                <w:lang w:val="en-US" w:eastAsia="zh-CN"/>
              </w:rPr>
            </w:pPr>
            <w:r>
              <w:rPr>
                <w:rFonts w:hint="default" w:ascii="宋体" w:hAnsi="宋体" w:eastAsia="宋体" w:cs="宋体"/>
                <w:b w:val="0"/>
                <w:bCs w:val="0"/>
                <w:color w:val="auto"/>
                <w:spacing w:val="0"/>
                <w:kern w:val="0"/>
                <w:sz w:val="21"/>
                <w:szCs w:val="21"/>
                <w:lang w:val="en-US" w:eastAsia="zh-CN"/>
              </w:rPr>
              <w:t>l 分辨率：0.01 μW/cm2；</w:t>
            </w:r>
          </w:p>
          <w:p w14:paraId="02226E5F">
            <w:pPr>
              <w:pStyle w:val="2"/>
              <w:numPr>
                <w:ilvl w:val="0"/>
                <w:numId w:val="0"/>
              </w:numPr>
              <w:rPr>
                <w:rFonts w:hint="default" w:ascii="宋体" w:hAnsi="宋体" w:eastAsia="宋体" w:cs="宋体"/>
                <w:b w:val="0"/>
                <w:bCs w:val="0"/>
                <w:color w:val="auto"/>
                <w:spacing w:val="0"/>
                <w:kern w:val="0"/>
                <w:sz w:val="21"/>
                <w:szCs w:val="21"/>
                <w:lang w:val="en-US" w:eastAsia="zh-CN"/>
              </w:rPr>
            </w:pPr>
            <w:r>
              <w:rPr>
                <w:rFonts w:hint="default" w:ascii="宋体" w:hAnsi="宋体" w:eastAsia="宋体" w:cs="宋体"/>
                <w:b w:val="0"/>
                <w:bCs w:val="0"/>
                <w:color w:val="auto"/>
                <w:spacing w:val="0"/>
                <w:kern w:val="0"/>
                <w:sz w:val="21"/>
                <w:szCs w:val="21"/>
                <w:lang w:val="en-US" w:eastAsia="zh-CN"/>
              </w:rPr>
              <w:t>l 测量精度：相对示值误差优于±8%；角度响应误差优于±10%</w:t>
            </w:r>
            <w:r>
              <w:rPr>
                <w:rFonts w:hint="eastAsia" w:ascii="宋体" w:hAnsi="宋体" w:cs="宋体"/>
                <w:b w:val="0"/>
                <w:bCs w:val="0"/>
                <w:color w:val="auto"/>
                <w:spacing w:val="0"/>
                <w:kern w:val="0"/>
                <w:sz w:val="21"/>
                <w:szCs w:val="21"/>
                <w:lang w:val="en-US" w:eastAsia="zh-CN"/>
              </w:rPr>
              <w:t>。</w:t>
            </w:r>
          </w:p>
          <w:p w14:paraId="2C639BDD">
            <w:pPr>
              <w:pStyle w:val="2"/>
              <w:numPr>
                <w:ilvl w:val="0"/>
                <w:numId w:val="0"/>
              </w:numPr>
              <w:rPr>
                <w:rFonts w:hint="default" w:ascii="宋体" w:hAnsi="宋体" w:eastAsia="宋体" w:cs="宋体"/>
                <w:b w:val="0"/>
                <w:bCs w:val="0"/>
                <w:color w:val="auto"/>
                <w:spacing w:val="0"/>
                <w:kern w:val="0"/>
                <w:sz w:val="21"/>
                <w:szCs w:val="21"/>
                <w:lang w:val="en-US" w:eastAsia="zh-CN"/>
              </w:rPr>
            </w:pPr>
            <w:r>
              <w:rPr>
                <w:rFonts w:hint="eastAsia" w:ascii="宋体" w:hAnsi="宋体" w:cs="宋体"/>
                <w:b w:val="0"/>
                <w:bCs w:val="0"/>
                <w:color w:val="auto"/>
                <w:spacing w:val="0"/>
                <w:kern w:val="0"/>
                <w:sz w:val="21"/>
                <w:szCs w:val="21"/>
                <w:lang w:val="en-US" w:eastAsia="zh-CN"/>
              </w:rPr>
              <w:t>3.2</w:t>
            </w:r>
            <w:r>
              <w:rPr>
                <w:rFonts w:hint="default" w:ascii="宋体" w:hAnsi="宋体" w:eastAsia="宋体" w:cs="宋体"/>
                <w:b w:val="0"/>
                <w:bCs w:val="0"/>
                <w:color w:val="auto"/>
                <w:spacing w:val="0"/>
                <w:kern w:val="0"/>
                <w:sz w:val="21"/>
                <w:szCs w:val="21"/>
                <w:lang w:val="en-US" w:eastAsia="zh-CN"/>
              </w:rPr>
              <w:t>能耗</w:t>
            </w:r>
            <w:r>
              <w:rPr>
                <w:rFonts w:hint="eastAsia" w:ascii="宋体" w:hAnsi="宋体" w:cs="宋体"/>
                <w:b w:val="0"/>
                <w:bCs w:val="0"/>
                <w:color w:val="auto"/>
                <w:spacing w:val="0"/>
                <w:kern w:val="0"/>
                <w:sz w:val="21"/>
                <w:szCs w:val="21"/>
                <w:lang w:val="en-US" w:eastAsia="zh-CN"/>
              </w:rPr>
              <w:t>:</w:t>
            </w:r>
            <w:r>
              <w:rPr>
                <w:rFonts w:hint="default" w:ascii="宋体" w:hAnsi="宋体" w:eastAsia="宋体" w:cs="宋体"/>
                <w:b w:val="0"/>
                <w:bCs w:val="0"/>
                <w:color w:val="auto"/>
                <w:spacing w:val="0"/>
                <w:kern w:val="0"/>
                <w:sz w:val="21"/>
                <w:szCs w:val="21"/>
                <w:lang w:val="en-US" w:eastAsia="zh-CN"/>
              </w:rPr>
              <w:t>具有能源控制能力，环保无污染电池使用寿命 5 年以上， 电池一次充电后连续采样（频率 10 分钟）工作时长达 1 年以上。</w:t>
            </w:r>
          </w:p>
          <w:p w14:paraId="24D67BAB">
            <w:pPr>
              <w:pStyle w:val="2"/>
              <w:numPr>
                <w:ilvl w:val="0"/>
                <w:numId w:val="0"/>
              </w:numPr>
              <w:rPr>
                <w:rFonts w:hint="default" w:ascii="宋体" w:hAnsi="宋体" w:eastAsia="宋体" w:cs="宋体"/>
                <w:b w:val="0"/>
                <w:bCs w:val="0"/>
                <w:color w:val="auto"/>
                <w:spacing w:val="0"/>
                <w:kern w:val="0"/>
                <w:sz w:val="21"/>
                <w:szCs w:val="21"/>
                <w:lang w:val="en-US" w:eastAsia="zh-CN"/>
              </w:rPr>
            </w:pPr>
            <w:r>
              <w:rPr>
                <w:rFonts w:hint="eastAsia" w:ascii="宋体" w:hAnsi="宋体" w:cs="宋体"/>
                <w:b w:val="0"/>
                <w:bCs w:val="0"/>
                <w:color w:val="auto"/>
                <w:spacing w:val="0"/>
                <w:kern w:val="0"/>
                <w:sz w:val="21"/>
                <w:szCs w:val="21"/>
                <w:lang w:val="en-US" w:eastAsia="zh-CN"/>
              </w:rPr>
              <w:t>3.3</w:t>
            </w:r>
            <w:r>
              <w:rPr>
                <w:rFonts w:hint="default" w:ascii="宋体" w:hAnsi="宋体" w:eastAsia="宋体" w:cs="宋体"/>
                <w:b w:val="0"/>
                <w:bCs w:val="0"/>
                <w:color w:val="auto"/>
                <w:spacing w:val="0"/>
                <w:kern w:val="0"/>
                <w:sz w:val="21"/>
                <w:szCs w:val="21"/>
                <w:lang w:val="en-US" w:eastAsia="zh-CN"/>
              </w:rPr>
              <w:t>数据存储周期</w:t>
            </w:r>
            <w:r>
              <w:rPr>
                <w:rFonts w:hint="eastAsia" w:ascii="宋体" w:hAnsi="宋体" w:cs="宋体"/>
                <w:b w:val="0"/>
                <w:bCs w:val="0"/>
                <w:color w:val="auto"/>
                <w:spacing w:val="0"/>
                <w:kern w:val="0"/>
                <w:sz w:val="21"/>
                <w:szCs w:val="21"/>
                <w:lang w:val="en-US" w:eastAsia="zh-CN"/>
              </w:rPr>
              <w:t>:</w:t>
            </w:r>
            <w:r>
              <w:rPr>
                <w:rFonts w:hint="default" w:ascii="宋体" w:hAnsi="宋体" w:eastAsia="宋体" w:cs="宋体"/>
                <w:b w:val="0"/>
                <w:bCs w:val="0"/>
                <w:color w:val="auto"/>
                <w:spacing w:val="0"/>
                <w:kern w:val="0"/>
                <w:sz w:val="21"/>
                <w:szCs w:val="21"/>
                <w:lang w:val="en-US" w:eastAsia="zh-CN"/>
              </w:rPr>
              <w:t>≥1年</w:t>
            </w:r>
            <w:r>
              <w:rPr>
                <w:rFonts w:hint="eastAsia" w:ascii="宋体" w:hAnsi="宋体" w:cs="宋体"/>
                <w:b w:val="0"/>
                <w:bCs w:val="0"/>
                <w:color w:val="auto"/>
                <w:spacing w:val="0"/>
                <w:kern w:val="0"/>
                <w:sz w:val="21"/>
                <w:szCs w:val="21"/>
                <w:lang w:val="en-US" w:eastAsia="zh-CN"/>
              </w:rPr>
              <w:t>；</w:t>
            </w:r>
          </w:p>
          <w:p w14:paraId="2F19916C">
            <w:pPr>
              <w:pStyle w:val="2"/>
              <w:numPr>
                <w:ilvl w:val="0"/>
                <w:numId w:val="0"/>
              </w:numPr>
              <w:rPr>
                <w:rFonts w:hint="eastAsia" w:asciiTheme="minorEastAsia" w:hAnsiTheme="minorEastAsia" w:eastAsiaTheme="minorEastAsia" w:cstheme="minorEastAsia"/>
                <w:color w:val="auto"/>
                <w:kern w:val="0"/>
                <w:szCs w:val="21"/>
                <w:lang w:val="en-US" w:eastAsia="zh-CN"/>
              </w:rPr>
            </w:pPr>
            <w:r>
              <w:rPr>
                <w:rFonts w:hint="eastAsia" w:ascii="宋体" w:hAnsi="宋体" w:cs="宋体"/>
                <w:b w:val="0"/>
                <w:bCs w:val="0"/>
                <w:color w:val="auto"/>
                <w:spacing w:val="0"/>
                <w:kern w:val="0"/>
                <w:sz w:val="21"/>
                <w:szCs w:val="21"/>
                <w:lang w:val="en-US" w:eastAsia="zh-CN"/>
              </w:rPr>
              <w:t>3.4</w:t>
            </w:r>
            <w:r>
              <w:rPr>
                <w:rFonts w:hint="default" w:ascii="宋体" w:hAnsi="宋体" w:eastAsia="宋体" w:cs="宋体"/>
                <w:b w:val="0"/>
                <w:bCs w:val="0"/>
                <w:color w:val="auto"/>
                <w:spacing w:val="0"/>
                <w:kern w:val="0"/>
                <w:sz w:val="21"/>
                <w:szCs w:val="21"/>
                <w:lang w:val="en-US" w:eastAsia="zh-CN"/>
              </w:rPr>
              <w:t>采样评率</w:t>
            </w:r>
            <w:r>
              <w:rPr>
                <w:rFonts w:hint="default" w:ascii="宋体" w:hAnsi="宋体" w:eastAsia="宋体" w:cs="宋体"/>
                <w:b w:val="0"/>
                <w:bCs w:val="0"/>
                <w:color w:val="auto"/>
                <w:spacing w:val="0"/>
                <w:kern w:val="0"/>
                <w:sz w:val="21"/>
                <w:szCs w:val="21"/>
                <w:lang w:val="en-US" w:eastAsia="zh-CN"/>
              </w:rPr>
              <w:tab/>
            </w:r>
            <w:r>
              <w:rPr>
                <w:rFonts w:hint="eastAsia" w:ascii="宋体" w:hAnsi="宋体" w:cs="宋体"/>
                <w:b w:val="0"/>
                <w:bCs w:val="0"/>
                <w:color w:val="auto"/>
                <w:spacing w:val="0"/>
                <w:kern w:val="0"/>
                <w:sz w:val="21"/>
                <w:szCs w:val="21"/>
                <w:lang w:val="en-US" w:eastAsia="zh-CN"/>
              </w:rPr>
              <w:t>:</w:t>
            </w:r>
            <w:r>
              <w:rPr>
                <w:rFonts w:hint="default" w:ascii="宋体" w:hAnsi="宋体" w:eastAsia="宋体" w:cs="宋体"/>
                <w:b w:val="0"/>
                <w:bCs w:val="0"/>
                <w:color w:val="auto"/>
                <w:spacing w:val="0"/>
                <w:kern w:val="0"/>
                <w:sz w:val="21"/>
                <w:szCs w:val="21"/>
                <w:lang w:val="en-US" w:eastAsia="zh-CN"/>
              </w:rPr>
              <w:t>≤1小时/次</w:t>
            </w:r>
            <w:r>
              <w:rPr>
                <w:rFonts w:hint="eastAsia" w:ascii="宋体" w:hAnsi="宋体" w:cs="宋体"/>
                <w:b w:val="0"/>
                <w:bCs w:val="0"/>
                <w:color w:val="auto"/>
                <w:spacing w:val="0"/>
                <w:kern w:val="0"/>
                <w:sz w:val="21"/>
                <w:szCs w:val="21"/>
                <w:lang w:val="en-US" w:eastAsia="zh-CN"/>
              </w:rPr>
              <w:t>。</w:t>
            </w:r>
          </w:p>
        </w:tc>
        <w:tc>
          <w:tcPr>
            <w:tcW w:w="799" w:type="dxa"/>
            <w:tcBorders>
              <w:top w:val="single" w:color="auto" w:sz="4" w:space="0"/>
              <w:left w:val="single" w:color="auto" w:sz="4" w:space="0"/>
              <w:bottom w:val="single" w:color="auto" w:sz="4" w:space="0"/>
              <w:right w:val="single" w:color="auto" w:sz="4" w:space="0"/>
            </w:tcBorders>
            <w:shd w:val="clear" w:color="auto" w:fill="FFFFFF"/>
            <w:vAlign w:val="center"/>
          </w:tcPr>
          <w:p w14:paraId="0629E6D8">
            <w:pPr>
              <w:widowControl/>
              <w:jc w:val="center"/>
              <w:textAlignment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val="en-US" w:eastAsia="zh-CN"/>
              </w:rPr>
              <w:t>6</w:t>
            </w:r>
          </w:p>
        </w:tc>
        <w:tc>
          <w:tcPr>
            <w:tcW w:w="861" w:type="dxa"/>
            <w:tcBorders>
              <w:top w:val="single" w:color="auto" w:sz="4" w:space="0"/>
              <w:left w:val="single" w:color="auto" w:sz="4" w:space="0"/>
              <w:bottom w:val="single" w:color="auto" w:sz="4" w:space="0"/>
              <w:right w:val="single" w:color="auto" w:sz="4" w:space="0"/>
            </w:tcBorders>
            <w:shd w:val="clear" w:color="auto" w:fill="FFFFFF"/>
            <w:vAlign w:val="center"/>
          </w:tcPr>
          <w:p w14:paraId="1D8EF638">
            <w:pPr>
              <w:widowControl/>
              <w:jc w:val="center"/>
              <w:textAlignment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只</w:t>
            </w:r>
          </w:p>
        </w:tc>
      </w:tr>
      <w:tr w14:paraId="534E5670">
        <w:tblPrEx>
          <w:tblCellMar>
            <w:top w:w="0" w:type="dxa"/>
            <w:left w:w="108" w:type="dxa"/>
            <w:bottom w:w="0" w:type="dxa"/>
            <w:right w:w="108" w:type="dxa"/>
          </w:tblCellMar>
        </w:tblPrEx>
        <w:trPr>
          <w:trHeight w:val="4640" w:hRule="atLeast"/>
        </w:trPr>
        <w:tc>
          <w:tcPr>
            <w:tcW w:w="726" w:type="dxa"/>
            <w:tcBorders>
              <w:top w:val="single" w:color="auto" w:sz="4" w:space="0"/>
              <w:left w:val="single" w:color="000000" w:sz="4" w:space="0"/>
              <w:right w:val="single" w:color="000000" w:sz="4" w:space="0"/>
            </w:tcBorders>
            <w:shd w:val="clear" w:color="auto" w:fill="FFFFFF"/>
            <w:vAlign w:val="center"/>
          </w:tcPr>
          <w:p w14:paraId="025A6264">
            <w:pPr>
              <w:widowControl/>
              <w:jc w:val="center"/>
              <w:textAlignment w:val="center"/>
              <w:rPr>
                <w:rFonts w:hint="eastAsia" w:asciiTheme="minorEastAsia" w:hAnsiTheme="minorEastAsia" w:eastAsiaTheme="minorEastAsia" w:cstheme="minorEastAsia"/>
                <w:color w:val="auto"/>
                <w:kern w:val="0"/>
                <w:szCs w:val="21"/>
                <w:lang w:eastAsia="zh-CN"/>
              </w:rPr>
            </w:pPr>
            <w:r>
              <w:rPr>
                <w:rFonts w:hint="eastAsia" w:ascii="宋体" w:hAnsi="宋体" w:cs="宋体"/>
                <w:b/>
                <w:bCs/>
                <w:color w:val="auto"/>
                <w:spacing w:val="0"/>
                <w:kern w:val="0"/>
                <w:sz w:val="21"/>
                <w:szCs w:val="21"/>
                <w:lang w:val="en-US" w:eastAsia="zh-CN"/>
              </w:rPr>
              <w:t>4</w:t>
            </w:r>
          </w:p>
        </w:tc>
        <w:tc>
          <w:tcPr>
            <w:tcW w:w="984" w:type="dxa"/>
            <w:tcBorders>
              <w:top w:val="single" w:color="auto" w:sz="4" w:space="0"/>
              <w:left w:val="single" w:color="000000" w:sz="4" w:space="0"/>
              <w:right w:val="single" w:color="000000" w:sz="4" w:space="0"/>
            </w:tcBorders>
            <w:shd w:val="clear" w:color="auto" w:fill="FFFFFF"/>
            <w:vAlign w:val="center"/>
          </w:tcPr>
          <w:p w14:paraId="20B71BCE">
            <w:pPr>
              <w:widowControl/>
              <w:jc w:val="center"/>
              <w:textAlignment w:val="center"/>
              <w:rPr>
                <w:rFonts w:asciiTheme="minorEastAsia" w:hAnsiTheme="minorEastAsia" w:eastAsiaTheme="minorEastAsia" w:cstheme="minorEastAsia"/>
                <w:color w:val="auto"/>
                <w:szCs w:val="21"/>
              </w:rPr>
            </w:pPr>
            <w:r>
              <w:rPr>
                <w:rFonts w:hint="eastAsia" w:ascii="宋体" w:hAnsi="宋体" w:eastAsia="宋体" w:cs="宋体"/>
                <w:b/>
                <w:bCs/>
                <w:color w:val="auto"/>
                <w:spacing w:val="0"/>
                <w:kern w:val="0"/>
                <w:sz w:val="21"/>
                <w:szCs w:val="21"/>
              </w:rPr>
              <w:t>挥发物总量无线监测终端</w:t>
            </w:r>
          </w:p>
        </w:tc>
        <w:tc>
          <w:tcPr>
            <w:tcW w:w="5446" w:type="dxa"/>
            <w:tcBorders>
              <w:top w:val="single" w:color="auto" w:sz="4" w:space="0"/>
              <w:left w:val="single" w:color="000000" w:sz="4" w:space="0"/>
              <w:bottom w:val="single" w:color="auto" w:sz="4" w:space="0"/>
              <w:right w:val="single" w:color="000000" w:sz="4" w:space="0"/>
            </w:tcBorders>
            <w:shd w:val="clear" w:color="auto" w:fill="auto"/>
          </w:tcPr>
          <w:p w14:paraId="130DCD89">
            <w:pPr>
              <w:pStyle w:val="2"/>
              <w:numPr>
                <w:ilvl w:val="0"/>
                <w:numId w:val="0"/>
              </w:numPr>
              <w:ind w:left="0" w:leftChars="0" w:firstLine="0" w:firstLineChars="0"/>
              <w:rPr>
                <w:rFonts w:hint="eastAsia" w:ascii="宋体" w:hAnsi="宋体" w:eastAsia="宋体" w:cs="宋体"/>
                <w:b/>
                <w:bCs/>
                <w:color w:val="auto"/>
                <w:spacing w:val="0"/>
                <w:kern w:val="0"/>
                <w:sz w:val="21"/>
                <w:szCs w:val="21"/>
              </w:rPr>
            </w:pPr>
            <w:r>
              <w:rPr>
                <w:rFonts w:hint="eastAsia" w:ascii="宋体" w:hAnsi="宋体" w:eastAsia="宋体" w:cs="宋体"/>
                <w:b/>
                <w:bCs/>
                <w:color w:val="auto"/>
                <w:spacing w:val="0"/>
                <w:kern w:val="0"/>
                <w:sz w:val="21"/>
                <w:szCs w:val="21"/>
                <w:lang w:val="en-US" w:eastAsia="zh-CN" w:bidi="ar-SA"/>
              </w:rPr>
              <w:t>4.</w:t>
            </w:r>
          </w:p>
          <w:p w14:paraId="73502349">
            <w:pPr>
              <w:pStyle w:val="2"/>
              <w:numPr>
                <w:ilvl w:val="0"/>
                <w:numId w:val="0"/>
              </w:numPr>
              <w:ind w:leftChars="0"/>
              <w:rPr>
                <w:rFonts w:hint="eastAsia" w:ascii="宋体" w:hAnsi="宋体" w:cs="宋体"/>
                <w:b w:val="0"/>
                <w:bCs w:val="0"/>
                <w:color w:val="auto"/>
                <w:spacing w:val="0"/>
                <w:kern w:val="0"/>
                <w:sz w:val="21"/>
                <w:szCs w:val="21"/>
                <w:lang w:val="en-US" w:eastAsia="zh-CN"/>
              </w:rPr>
            </w:pPr>
            <w:r>
              <w:rPr>
                <w:rFonts w:hint="eastAsia" w:ascii="宋体" w:hAnsi="宋体" w:cs="宋体"/>
                <w:b w:val="0"/>
                <w:bCs w:val="0"/>
                <w:color w:val="auto"/>
                <w:spacing w:val="0"/>
                <w:kern w:val="0"/>
                <w:sz w:val="21"/>
                <w:szCs w:val="21"/>
                <w:lang w:val="en-US" w:eastAsia="zh-CN"/>
              </w:rPr>
              <w:t>4.1</w:t>
            </w:r>
            <w:r>
              <w:rPr>
                <w:rFonts w:hint="default" w:ascii="宋体" w:hAnsi="宋体" w:eastAsia="宋体" w:cs="宋体"/>
                <w:b w:val="0"/>
                <w:bCs w:val="0"/>
                <w:color w:val="auto"/>
                <w:spacing w:val="0"/>
                <w:kern w:val="0"/>
                <w:sz w:val="21"/>
                <w:szCs w:val="21"/>
                <w:lang w:val="en-US" w:eastAsia="zh-CN"/>
              </w:rPr>
              <w:t>大气有机挥发物测量</w:t>
            </w:r>
            <w:r>
              <w:rPr>
                <w:rFonts w:hint="eastAsia" w:ascii="宋体" w:hAnsi="宋体" w:cs="宋体"/>
                <w:b w:val="0"/>
                <w:bCs w:val="0"/>
                <w:color w:val="auto"/>
                <w:spacing w:val="0"/>
                <w:kern w:val="0"/>
                <w:sz w:val="21"/>
                <w:szCs w:val="21"/>
                <w:lang w:val="en-US" w:eastAsia="zh-CN"/>
              </w:rPr>
              <w:t>:</w:t>
            </w:r>
          </w:p>
          <w:p w14:paraId="100B5648">
            <w:pPr>
              <w:pStyle w:val="2"/>
              <w:numPr>
                <w:ilvl w:val="0"/>
                <w:numId w:val="0"/>
              </w:numPr>
              <w:ind w:leftChars="0"/>
              <w:rPr>
                <w:rFonts w:hint="default" w:ascii="宋体" w:hAnsi="宋体" w:eastAsia="宋体" w:cs="宋体"/>
                <w:b w:val="0"/>
                <w:bCs w:val="0"/>
                <w:color w:val="auto"/>
                <w:spacing w:val="0"/>
                <w:kern w:val="0"/>
                <w:sz w:val="21"/>
                <w:szCs w:val="21"/>
                <w:lang w:val="en-US" w:eastAsia="zh-CN"/>
              </w:rPr>
            </w:pPr>
            <w:r>
              <w:rPr>
                <w:rFonts w:hint="default" w:ascii="宋体" w:hAnsi="宋体" w:eastAsia="宋体" w:cs="宋体"/>
                <w:b w:val="0"/>
                <w:bCs w:val="0"/>
                <w:color w:val="auto"/>
                <w:spacing w:val="0"/>
                <w:kern w:val="0"/>
                <w:sz w:val="21"/>
                <w:szCs w:val="21"/>
                <w:lang w:val="en-US" w:eastAsia="zh-CN"/>
              </w:rPr>
              <w:t>l 测量范围：0～20ppm（异丁烯标定）；</w:t>
            </w:r>
          </w:p>
          <w:p w14:paraId="3DBBD0F7">
            <w:pPr>
              <w:pStyle w:val="2"/>
              <w:numPr>
                <w:ilvl w:val="0"/>
                <w:numId w:val="0"/>
              </w:numPr>
              <w:ind w:leftChars="0"/>
              <w:rPr>
                <w:rFonts w:hint="default" w:ascii="宋体" w:hAnsi="宋体" w:eastAsia="宋体" w:cs="宋体"/>
                <w:b w:val="0"/>
                <w:bCs w:val="0"/>
                <w:color w:val="auto"/>
                <w:spacing w:val="0"/>
                <w:kern w:val="0"/>
                <w:sz w:val="21"/>
                <w:szCs w:val="21"/>
                <w:lang w:val="en-US" w:eastAsia="zh-CN"/>
              </w:rPr>
            </w:pPr>
            <w:r>
              <w:rPr>
                <w:rFonts w:hint="default" w:ascii="宋体" w:hAnsi="宋体" w:eastAsia="宋体" w:cs="宋体"/>
                <w:b w:val="0"/>
                <w:bCs w:val="0"/>
                <w:color w:val="auto"/>
                <w:spacing w:val="0"/>
                <w:kern w:val="0"/>
                <w:sz w:val="21"/>
                <w:szCs w:val="21"/>
                <w:lang w:val="en-US" w:eastAsia="zh-CN"/>
              </w:rPr>
              <w:t>l 最低检出限：1ppb；</w:t>
            </w:r>
          </w:p>
          <w:p w14:paraId="502B8879">
            <w:pPr>
              <w:pStyle w:val="2"/>
              <w:numPr>
                <w:ilvl w:val="0"/>
                <w:numId w:val="0"/>
              </w:numPr>
              <w:ind w:leftChars="0"/>
              <w:rPr>
                <w:rFonts w:hint="default" w:ascii="宋体" w:hAnsi="宋体" w:eastAsia="宋体" w:cs="宋体"/>
                <w:b w:val="0"/>
                <w:bCs w:val="0"/>
                <w:color w:val="auto"/>
                <w:spacing w:val="0"/>
                <w:kern w:val="0"/>
                <w:sz w:val="21"/>
                <w:szCs w:val="21"/>
                <w:lang w:val="en-US" w:eastAsia="zh-CN"/>
              </w:rPr>
            </w:pPr>
            <w:r>
              <w:rPr>
                <w:rFonts w:hint="default" w:ascii="宋体" w:hAnsi="宋体" w:eastAsia="宋体" w:cs="宋体"/>
                <w:b w:val="0"/>
                <w:bCs w:val="0"/>
                <w:color w:val="auto"/>
                <w:spacing w:val="0"/>
                <w:kern w:val="0"/>
                <w:sz w:val="21"/>
                <w:szCs w:val="21"/>
                <w:lang w:val="en-US" w:eastAsia="zh-CN"/>
              </w:rPr>
              <w:t>l 测量精度：0.1ppm±8%示值</w:t>
            </w:r>
            <w:r>
              <w:rPr>
                <w:rFonts w:hint="eastAsia" w:ascii="宋体" w:hAnsi="宋体" w:cs="宋体"/>
                <w:b w:val="0"/>
                <w:bCs w:val="0"/>
                <w:color w:val="auto"/>
                <w:spacing w:val="0"/>
                <w:kern w:val="0"/>
                <w:sz w:val="21"/>
                <w:szCs w:val="21"/>
                <w:lang w:val="en-US" w:eastAsia="zh-CN"/>
              </w:rPr>
              <w:t>。</w:t>
            </w:r>
          </w:p>
          <w:p w14:paraId="7C771BAD">
            <w:pPr>
              <w:pStyle w:val="2"/>
              <w:numPr>
                <w:ilvl w:val="0"/>
                <w:numId w:val="0"/>
              </w:numPr>
              <w:ind w:leftChars="0"/>
              <w:rPr>
                <w:rFonts w:hint="default" w:ascii="宋体" w:hAnsi="宋体" w:eastAsia="宋体" w:cs="宋体"/>
                <w:b w:val="0"/>
                <w:bCs w:val="0"/>
                <w:color w:val="auto"/>
                <w:spacing w:val="0"/>
                <w:kern w:val="0"/>
                <w:sz w:val="21"/>
                <w:szCs w:val="21"/>
                <w:lang w:val="en-US" w:eastAsia="zh-CN"/>
              </w:rPr>
            </w:pPr>
            <w:r>
              <w:rPr>
                <w:rFonts w:hint="eastAsia" w:ascii="宋体" w:hAnsi="宋体" w:cs="宋体"/>
                <w:b w:val="0"/>
                <w:bCs w:val="0"/>
                <w:color w:val="auto"/>
                <w:spacing w:val="0"/>
                <w:kern w:val="0"/>
                <w:sz w:val="21"/>
                <w:szCs w:val="21"/>
                <w:lang w:val="en-US" w:eastAsia="zh-CN"/>
              </w:rPr>
              <w:t>4.2</w:t>
            </w:r>
            <w:r>
              <w:rPr>
                <w:rFonts w:hint="default" w:ascii="宋体" w:hAnsi="宋体" w:eastAsia="宋体" w:cs="宋体"/>
                <w:b w:val="0"/>
                <w:bCs w:val="0"/>
                <w:color w:val="auto"/>
                <w:spacing w:val="0"/>
                <w:kern w:val="0"/>
                <w:sz w:val="21"/>
                <w:szCs w:val="21"/>
                <w:lang w:val="en-US" w:eastAsia="zh-CN"/>
              </w:rPr>
              <w:t>能耗</w:t>
            </w:r>
            <w:r>
              <w:rPr>
                <w:rFonts w:hint="eastAsia" w:ascii="宋体" w:hAnsi="宋体" w:cs="宋体"/>
                <w:b w:val="0"/>
                <w:bCs w:val="0"/>
                <w:color w:val="auto"/>
                <w:spacing w:val="0"/>
                <w:kern w:val="0"/>
                <w:sz w:val="21"/>
                <w:szCs w:val="21"/>
                <w:lang w:val="en-US" w:eastAsia="zh-CN"/>
              </w:rPr>
              <w:t>:</w:t>
            </w:r>
            <w:r>
              <w:rPr>
                <w:rFonts w:hint="default" w:ascii="宋体" w:hAnsi="宋体" w:eastAsia="宋体" w:cs="宋体"/>
                <w:b w:val="0"/>
                <w:bCs w:val="0"/>
                <w:color w:val="auto"/>
                <w:spacing w:val="0"/>
                <w:kern w:val="0"/>
                <w:sz w:val="21"/>
                <w:szCs w:val="21"/>
                <w:lang w:val="en-US" w:eastAsia="zh-CN"/>
              </w:rPr>
              <w:t>环保无污染电池使用寿命要求 5 年以上，连续采样（频率10分钟）工作时长要求 1 年以上。</w:t>
            </w:r>
          </w:p>
          <w:p w14:paraId="0410D18D">
            <w:pPr>
              <w:pStyle w:val="2"/>
              <w:numPr>
                <w:ilvl w:val="0"/>
                <w:numId w:val="0"/>
              </w:numPr>
              <w:ind w:leftChars="0"/>
              <w:rPr>
                <w:rFonts w:hint="default" w:ascii="宋体" w:hAnsi="宋体" w:eastAsia="宋体" w:cs="宋体"/>
                <w:b w:val="0"/>
                <w:bCs w:val="0"/>
                <w:color w:val="auto"/>
                <w:spacing w:val="0"/>
                <w:kern w:val="0"/>
                <w:sz w:val="21"/>
                <w:szCs w:val="21"/>
                <w:lang w:val="en-US" w:eastAsia="zh-CN"/>
              </w:rPr>
            </w:pPr>
            <w:r>
              <w:rPr>
                <w:rFonts w:hint="eastAsia" w:ascii="宋体" w:hAnsi="宋体" w:cs="宋体"/>
                <w:b w:val="0"/>
                <w:bCs w:val="0"/>
                <w:color w:val="auto"/>
                <w:spacing w:val="0"/>
                <w:kern w:val="0"/>
                <w:sz w:val="21"/>
                <w:szCs w:val="21"/>
                <w:lang w:val="en-US" w:eastAsia="zh-CN"/>
              </w:rPr>
              <w:t>4.3</w:t>
            </w:r>
            <w:r>
              <w:rPr>
                <w:rFonts w:hint="default" w:ascii="宋体" w:hAnsi="宋体" w:eastAsia="宋体" w:cs="宋体"/>
                <w:b w:val="0"/>
                <w:bCs w:val="0"/>
                <w:color w:val="auto"/>
                <w:spacing w:val="0"/>
                <w:kern w:val="0"/>
                <w:sz w:val="21"/>
                <w:szCs w:val="21"/>
                <w:lang w:val="en-US" w:eastAsia="zh-CN"/>
              </w:rPr>
              <w:t>通讯方式</w:t>
            </w:r>
            <w:r>
              <w:rPr>
                <w:rFonts w:hint="default" w:ascii="宋体" w:hAnsi="宋体" w:eastAsia="宋体" w:cs="宋体"/>
                <w:b w:val="0"/>
                <w:bCs w:val="0"/>
                <w:color w:val="auto"/>
                <w:spacing w:val="0"/>
                <w:kern w:val="0"/>
                <w:sz w:val="21"/>
                <w:szCs w:val="21"/>
                <w:lang w:val="en-US" w:eastAsia="zh-CN"/>
              </w:rPr>
              <w:tab/>
            </w:r>
            <w:r>
              <w:rPr>
                <w:rFonts w:hint="eastAsia" w:ascii="宋体" w:hAnsi="宋体" w:cs="宋体"/>
                <w:b w:val="0"/>
                <w:bCs w:val="0"/>
                <w:color w:val="auto"/>
                <w:spacing w:val="0"/>
                <w:kern w:val="0"/>
                <w:sz w:val="21"/>
                <w:szCs w:val="21"/>
                <w:lang w:val="en-US" w:eastAsia="zh-CN"/>
              </w:rPr>
              <w:t>:</w:t>
            </w:r>
            <w:r>
              <w:rPr>
                <w:rFonts w:hint="default" w:ascii="宋体" w:hAnsi="宋体" w:eastAsia="宋体" w:cs="宋体"/>
                <w:b w:val="0"/>
                <w:bCs w:val="0"/>
                <w:color w:val="auto"/>
                <w:spacing w:val="0"/>
                <w:kern w:val="0"/>
                <w:sz w:val="21"/>
                <w:szCs w:val="21"/>
                <w:lang w:val="en-US" w:eastAsia="zh-CN"/>
              </w:rPr>
              <w:t>使用国家无委会免费的 433M 赫兹频段，支持双向无线通 讯网络协议标准，具有国家无线电发射设备型号核准证。</w:t>
            </w:r>
          </w:p>
          <w:p w14:paraId="4447BEC8">
            <w:pPr>
              <w:pStyle w:val="2"/>
              <w:numPr>
                <w:ilvl w:val="0"/>
                <w:numId w:val="0"/>
              </w:numPr>
              <w:ind w:leftChars="0"/>
              <w:rPr>
                <w:rFonts w:hint="default" w:ascii="宋体" w:hAnsi="宋体" w:eastAsia="宋体" w:cs="宋体"/>
                <w:b w:val="0"/>
                <w:bCs w:val="0"/>
                <w:color w:val="auto"/>
                <w:spacing w:val="0"/>
                <w:kern w:val="0"/>
                <w:sz w:val="21"/>
                <w:szCs w:val="21"/>
                <w:lang w:val="en-US" w:eastAsia="zh-CN"/>
              </w:rPr>
            </w:pPr>
            <w:r>
              <w:rPr>
                <w:rFonts w:hint="eastAsia" w:ascii="宋体" w:hAnsi="宋体" w:cs="宋体"/>
                <w:b w:val="0"/>
                <w:bCs w:val="0"/>
                <w:color w:val="auto"/>
                <w:spacing w:val="0"/>
                <w:kern w:val="0"/>
                <w:sz w:val="21"/>
                <w:szCs w:val="21"/>
                <w:lang w:val="en-US" w:eastAsia="zh-CN"/>
              </w:rPr>
              <w:t>4.4</w:t>
            </w:r>
            <w:r>
              <w:rPr>
                <w:rFonts w:hint="default" w:ascii="宋体" w:hAnsi="宋体" w:eastAsia="宋体" w:cs="宋体"/>
                <w:b w:val="0"/>
                <w:bCs w:val="0"/>
                <w:color w:val="auto"/>
                <w:spacing w:val="0"/>
                <w:kern w:val="0"/>
                <w:sz w:val="21"/>
                <w:szCs w:val="21"/>
                <w:lang w:val="en-US" w:eastAsia="zh-CN"/>
              </w:rPr>
              <w:t>外观</w:t>
            </w:r>
            <w:r>
              <w:rPr>
                <w:rFonts w:hint="eastAsia" w:ascii="宋体" w:hAnsi="宋体" w:cs="宋体"/>
                <w:b w:val="0"/>
                <w:bCs w:val="0"/>
                <w:color w:val="auto"/>
                <w:spacing w:val="0"/>
                <w:kern w:val="0"/>
                <w:sz w:val="21"/>
                <w:szCs w:val="21"/>
                <w:lang w:val="en-US" w:eastAsia="zh-CN"/>
              </w:rPr>
              <w:t>:</w:t>
            </w:r>
            <w:r>
              <w:rPr>
                <w:rFonts w:hint="default" w:ascii="宋体" w:hAnsi="宋体" w:eastAsia="宋体" w:cs="宋体"/>
                <w:b w:val="0"/>
                <w:bCs w:val="0"/>
                <w:color w:val="auto"/>
                <w:spacing w:val="0"/>
                <w:kern w:val="0"/>
                <w:sz w:val="21"/>
                <w:szCs w:val="21"/>
                <w:lang w:val="en-US" w:eastAsia="zh-CN"/>
              </w:rPr>
              <w:t>形状为长方体；美观、小型化。</w:t>
            </w:r>
          </w:p>
          <w:p w14:paraId="1B5D287A">
            <w:pPr>
              <w:pStyle w:val="2"/>
              <w:numPr>
                <w:ilvl w:val="0"/>
                <w:numId w:val="0"/>
              </w:numPr>
              <w:ind w:leftChars="0"/>
              <w:rPr>
                <w:rFonts w:hint="default" w:ascii="宋体" w:hAnsi="宋体" w:eastAsia="宋体" w:cs="宋体"/>
                <w:b w:val="0"/>
                <w:bCs w:val="0"/>
                <w:color w:val="auto"/>
                <w:spacing w:val="0"/>
                <w:kern w:val="0"/>
                <w:sz w:val="21"/>
                <w:szCs w:val="21"/>
                <w:lang w:val="en-US" w:eastAsia="zh-CN"/>
              </w:rPr>
            </w:pPr>
            <w:r>
              <w:rPr>
                <w:rFonts w:hint="eastAsia" w:ascii="宋体" w:hAnsi="宋体" w:cs="宋体"/>
                <w:b w:val="0"/>
                <w:bCs w:val="0"/>
                <w:color w:val="auto"/>
                <w:spacing w:val="0"/>
                <w:kern w:val="0"/>
                <w:sz w:val="21"/>
                <w:szCs w:val="21"/>
                <w:lang w:val="en-US" w:eastAsia="zh-CN"/>
              </w:rPr>
              <w:t>4.5</w:t>
            </w:r>
            <w:r>
              <w:rPr>
                <w:rFonts w:hint="default" w:ascii="宋体" w:hAnsi="宋体" w:eastAsia="宋体" w:cs="宋体"/>
                <w:b w:val="0"/>
                <w:bCs w:val="0"/>
                <w:color w:val="auto"/>
                <w:spacing w:val="0"/>
                <w:kern w:val="0"/>
                <w:sz w:val="21"/>
                <w:szCs w:val="21"/>
                <w:lang w:val="en-US" w:eastAsia="zh-CN"/>
              </w:rPr>
              <w:t>数据存储周期</w:t>
            </w:r>
            <w:r>
              <w:rPr>
                <w:rFonts w:hint="eastAsia" w:ascii="宋体" w:hAnsi="宋体" w:cs="宋体"/>
                <w:b w:val="0"/>
                <w:bCs w:val="0"/>
                <w:color w:val="auto"/>
                <w:spacing w:val="0"/>
                <w:kern w:val="0"/>
                <w:sz w:val="21"/>
                <w:szCs w:val="21"/>
                <w:lang w:val="en-US" w:eastAsia="zh-CN"/>
              </w:rPr>
              <w:t>:</w:t>
            </w:r>
            <w:r>
              <w:rPr>
                <w:rFonts w:hint="default" w:ascii="宋体" w:hAnsi="宋体" w:eastAsia="宋体" w:cs="宋体"/>
                <w:b w:val="0"/>
                <w:bCs w:val="0"/>
                <w:color w:val="auto"/>
                <w:spacing w:val="0"/>
                <w:kern w:val="0"/>
                <w:sz w:val="21"/>
                <w:szCs w:val="21"/>
                <w:lang w:val="en-US" w:eastAsia="zh-CN"/>
              </w:rPr>
              <w:t>≥1年</w:t>
            </w:r>
            <w:r>
              <w:rPr>
                <w:rFonts w:hint="eastAsia" w:ascii="宋体" w:hAnsi="宋体" w:cs="宋体"/>
                <w:b w:val="0"/>
                <w:bCs w:val="0"/>
                <w:color w:val="auto"/>
                <w:spacing w:val="0"/>
                <w:kern w:val="0"/>
                <w:sz w:val="21"/>
                <w:szCs w:val="21"/>
                <w:lang w:val="en-US" w:eastAsia="zh-CN"/>
              </w:rPr>
              <w:t>；</w:t>
            </w:r>
          </w:p>
          <w:p w14:paraId="77366A3B">
            <w:pPr>
              <w:pStyle w:val="2"/>
              <w:numPr>
                <w:ilvl w:val="0"/>
                <w:numId w:val="0"/>
              </w:numPr>
              <w:ind w:leftChars="0"/>
              <w:rPr>
                <w:rFonts w:hint="eastAsia" w:asciiTheme="minorEastAsia" w:hAnsiTheme="minorEastAsia" w:eastAsiaTheme="minorEastAsia" w:cstheme="minorEastAsia"/>
                <w:color w:val="auto"/>
                <w:kern w:val="0"/>
                <w:szCs w:val="21"/>
                <w:lang w:val="en-US" w:eastAsia="zh-CN"/>
              </w:rPr>
            </w:pPr>
            <w:r>
              <w:rPr>
                <w:rFonts w:hint="eastAsia" w:ascii="宋体" w:hAnsi="宋体" w:cs="宋体"/>
                <w:b w:val="0"/>
                <w:bCs w:val="0"/>
                <w:color w:val="auto"/>
                <w:spacing w:val="0"/>
                <w:kern w:val="0"/>
                <w:sz w:val="21"/>
                <w:szCs w:val="21"/>
                <w:lang w:val="en-US" w:eastAsia="zh-CN"/>
              </w:rPr>
              <w:t>4.6</w:t>
            </w:r>
            <w:r>
              <w:rPr>
                <w:rFonts w:hint="default" w:ascii="宋体" w:hAnsi="宋体" w:eastAsia="宋体" w:cs="宋体"/>
                <w:b w:val="0"/>
                <w:bCs w:val="0"/>
                <w:color w:val="auto"/>
                <w:spacing w:val="0"/>
                <w:kern w:val="0"/>
                <w:sz w:val="21"/>
                <w:szCs w:val="21"/>
                <w:lang w:val="en-US" w:eastAsia="zh-CN"/>
              </w:rPr>
              <w:t>采样评率</w:t>
            </w:r>
            <w:r>
              <w:rPr>
                <w:rFonts w:hint="eastAsia" w:ascii="宋体" w:hAnsi="宋体" w:cs="宋体"/>
                <w:b w:val="0"/>
                <w:bCs w:val="0"/>
                <w:color w:val="auto"/>
                <w:spacing w:val="0"/>
                <w:kern w:val="0"/>
                <w:sz w:val="21"/>
                <w:szCs w:val="21"/>
                <w:lang w:val="en-US" w:eastAsia="zh-CN"/>
              </w:rPr>
              <w:t>:</w:t>
            </w:r>
            <w:r>
              <w:rPr>
                <w:rFonts w:hint="default" w:ascii="宋体" w:hAnsi="宋体" w:eastAsia="宋体" w:cs="宋体"/>
                <w:b w:val="0"/>
                <w:bCs w:val="0"/>
                <w:color w:val="auto"/>
                <w:spacing w:val="0"/>
                <w:kern w:val="0"/>
                <w:sz w:val="21"/>
                <w:szCs w:val="21"/>
                <w:lang w:val="en-US" w:eastAsia="zh-CN"/>
              </w:rPr>
              <w:t>≤1小时/次</w:t>
            </w:r>
            <w:r>
              <w:rPr>
                <w:rFonts w:hint="eastAsia" w:ascii="宋体" w:hAnsi="宋体" w:cs="宋体"/>
                <w:b w:val="0"/>
                <w:bCs w:val="0"/>
                <w:color w:val="auto"/>
                <w:spacing w:val="0"/>
                <w:kern w:val="0"/>
                <w:sz w:val="21"/>
                <w:szCs w:val="21"/>
                <w:lang w:val="en-US" w:eastAsia="zh-CN"/>
              </w:rPr>
              <w:t>。</w:t>
            </w:r>
          </w:p>
        </w:tc>
        <w:tc>
          <w:tcPr>
            <w:tcW w:w="799" w:type="dxa"/>
            <w:tcBorders>
              <w:top w:val="single" w:color="auto" w:sz="4" w:space="0"/>
              <w:left w:val="single" w:color="000000" w:sz="4" w:space="0"/>
              <w:bottom w:val="single" w:color="auto" w:sz="4" w:space="0"/>
              <w:right w:val="single" w:color="000000" w:sz="4" w:space="0"/>
            </w:tcBorders>
            <w:shd w:val="clear" w:color="auto" w:fill="FFFFFF"/>
            <w:vAlign w:val="center"/>
          </w:tcPr>
          <w:p w14:paraId="7C2F9BE8">
            <w:pPr>
              <w:widowControl/>
              <w:jc w:val="center"/>
              <w:textAlignment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val="en-US" w:eastAsia="zh-CN"/>
              </w:rPr>
              <w:t>6</w:t>
            </w:r>
          </w:p>
        </w:tc>
        <w:tc>
          <w:tcPr>
            <w:tcW w:w="861" w:type="dxa"/>
            <w:tcBorders>
              <w:top w:val="single" w:color="auto" w:sz="4" w:space="0"/>
              <w:left w:val="single" w:color="000000" w:sz="4" w:space="0"/>
              <w:bottom w:val="single" w:color="auto" w:sz="4" w:space="0"/>
              <w:right w:val="single" w:color="000000" w:sz="4" w:space="0"/>
            </w:tcBorders>
            <w:shd w:val="clear" w:color="auto" w:fill="FFFFFF"/>
            <w:vAlign w:val="center"/>
          </w:tcPr>
          <w:p w14:paraId="6B657039">
            <w:pPr>
              <w:widowControl/>
              <w:jc w:val="center"/>
              <w:textAlignment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只</w:t>
            </w:r>
          </w:p>
        </w:tc>
      </w:tr>
      <w:tr w14:paraId="293467A3">
        <w:tblPrEx>
          <w:tblCellMar>
            <w:top w:w="0" w:type="dxa"/>
            <w:left w:w="108" w:type="dxa"/>
            <w:bottom w:w="0" w:type="dxa"/>
            <w:right w:w="108" w:type="dxa"/>
          </w:tblCellMar>
        </w:tblPrEx>
        <w:trPr>
          <w:trHeight w:val="1023" w:hRule="atLeast"/>
        </w:trPr>
        <w:tc>
          <w:tcPr>
            <w:tcW w:w="72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66E7F4">
            <w:pPr>
              <w:widowControl/>
              <w:jc w:val="center"/>
              <w:textAlignment w:val="center"/>
              <w:rPr>
                <w:rFonts w:hint="eastAsia" w:ascii="宋体" w:hAnsi="宋体" w:cs="宋体"/>
                <w:b/>
                <w:bCs/>
                <w:color w:val="auto"/>
                <w:spacing w:val="0"/>
                <w:kern w:val="0"/>
                <w:sz w:val="21"/>
                <w:szCs w:val="21"/>
                <w:lang w:val="en-US" w:eastAsia="zh-CN"/>
              </w:rPr>
            </w:pPr>
            <w:r>
              <w:rPr>
                <w:rFonts w:hint="eastAsia" w:ascii="宋体" w:hAnsi="宋体" w:cs="宋体"/>
                <w:b/>
                <w:bCs/>
                <w:color w:val="auto"/>
                <w:spacing w:val="0"/>
                <w:kern w:val="0"/>
                <w:sz w:val="21"/>
                <w:szCs w:val="21"/>
                <w:lang w:val="en-US" w:eastAsia="zh-CN"/>
              </w:rPr>
              <w:t>5</w:t>
            </w:r>
          </w:p>
        </w:tc>
        <w:tc>
          <w:tcPr>
            <w:tcW w:w="9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BA8766">
            <w:pPr>
              <w:widowControl/>
              <w:jc w:val="center"/>
              <w:textAlignment w:val="center"/>
              <w:rPr>
                <w:rFonts w:hint="eastAsia" w:ascii="宋体" w:hAnsi="宋体" w:cs="宋体"/>
                <w:b/>
                <w:bCs/>
                <w:color w:val="auto"/>
                <w:spacing w:val="0"/>
                <w:kern w:val="0"/>
                <w:sz w:val="21"/>
                <w:szCs w:val="21"/>
                <w:lang w:val="en-US" w:eastAsia="zh-CN"/>
              </w:rPr>
            </w:pPr>
            <w:r>
              <w:rPr>
                <w:rFonts w:hint="eastAsia" w:ascii="宋体" w:hAnsi="宋体" w:cs="宋体"/>
                <w:b/>
                <w:bCs/>
                <w:color w:val="auto"/>
                <w:spacing w:val="0"/>
                <w:kern w:val="0"/>
                <w:sz w:val="21"/>
                <w:szCs w:val="21"/>
                <w:lang w:val="en-US" w:eastAsia="zh-CN"/>
              </w:rPr>
              <w:t>甲醛无线监测终端</w:t>
            </w:r>
          </w:p>
        </w:tc>
        <w:tc>
          <w:tcPr>
            <w:tcW w:w="5446" w:type="dxa"/>
            <w:tcBorders>
              <w:top w:val="single" w:color="000000" w:sz="4" w:space="0"/>
              <w:left w:val="single" w:color="000000" w:sz="4" w:space="0"/>
              <w:bottom w:val="single" w:color="000000" w:sz="4" w:space="0"/>
              <w:right w:val="single" w:color="000000" w:sz="4" w:space="0"/>
            </w:tcBorders>
            <w:shd w:val="clear" w:color="auto" w:fill="auto"/>
          </w:tcPr>
          <w:p w14:paraId="17DCD1FF">
            <w:pPr>
              <w:pStyle w:val="2"/>
              <w:numPr>
                <w:ilvl w:val="0"/>
                <w:numId w:val="0"/>
              </w:numPr>
              <w:ind w:leftChars="0"/>
              <w:rPr>
                <w:rFonts w:hint="default" w:ascii="宋体" w:hAnsi="宋体" w:eastAsia="宋体" w:cs="宋体"/>
                <w:b w:val="0"/>
                <w:bCs w:val="0"/>
                <w:color w:val="auto"/>
                <w:spacing w:val="0"/>
                <w:kern w:val="0"/>
                <w:sz w:val="21"/>
                <w:szCs w:val="21"/>
                <w:lang w:val="en-US" w:eastAsia="zh-CN"/>
              </w:rPr>
            </w:pPr>
            <w:r>
              <w:rPr>
                <w:rFonts w:hint="eastAsia" w:ascii="宋体" w:hAnsi="宋体" w:cs="宋体"/>
                <w:b w:val="0"/>
                <w:bCs w:val="0"/>
                <w:color w:val="auto"/>
                <w:spacing w:val="0"/>
                <w:kern w:val="0"/>
                <w:sz w:val="21"/>
                <w:szCs w:val="21"/>
                <w:lang w:val="en-US" w:eastAsia="zh-CN"/>
              </w:rPr>
              <w:t>5.1</w:t>
            </w:r>
            <w:r>
              <w:rPr>
                <w:rFonts w:hint="default" w:ascii="宋体" w:hAnsi="宋体" w:eastAsia="宋体" w:cs="宋体"/>
                <w:b w:val="0"/>
                <w:bCs w:val="0"/>
                <w:color w:val="auto"/>
                <w:spacing w:val="0"/>
                <w:kern w:val="0"/>
                <w:sz w:val="21"/>
                <w:szCs w:val="21"/>
                <w:lang w:val="en-US" w:eastAsia="zh-CN"/>
              </w:rPr>
              <w:t>甲醛测量</w:t>
            </w:r>
            <w:r>
              <w:rPr>
                <w:rFonts w:hint="default" w:ascii="宋体" w:hAnsi="宋体" w:eastAsia="宋体" w:cs="宋体"/>
                <w:b w:val="0"/>
                <w:bCs w:val="0"/>
                <w:color w:val="auto"/>
                <w:spacing w:val="0"/>
                <w:kern w:val="0"/>
                <w:sz w:val="21"/>
                <w:szCs w:val="21"/>
                <w:lang w:val="en-US" w:eastAsia="zh-CN"/>
              </w:rPr>
              <w:tab/>
            </w:r>
            <w:r>
              <w:rPr>
                <w:rFonts w:hint="eastAsia" w:ascii="宋体" w:hAnsi="宋体" w:cs="宋体"/>
                <w:b w:val="0"/>
                <w:bCs w:val="0"/>
                <w:color w:val="auto"/>
                <w:spacing w:val="0"/>
                <w:kern w:val="0"/>
                <w:sz w:val="21"/>
                <w:szCs w:val="21"/>
                <w:lang w:val="en-US" w:eastAsia="zh-CN"/>
              </w:rPr>
              <w:t>:</w:t>
            </w:r>
          </w:p>
          <w:p w14:paraId="48DE81E5">
            <w:pPr>
              <w:pStyle w:val="2"/>
              <w:numPr>
                <w:ilvl w:val="0"/>
                <w:numId w:val="0"/>
              </w:numPr>
              <w:ind w:leftChars="0"/>
              <w:rPr>
                <w:rFonts w:hint="default" w:ascii="宋体" w:hAnsi="宋体" w:eastAsia="宋体" w:cs="宋体"/>
                <w:b w:val="0"/>
                <w:bCs w:val="0"/>
                <w:color w:val="auto"/>
                <w:spacing w:val="0"/>
                <w:kern w:val="0"/>
                <w:sz w:val="21"/>
                <w:szCs w:val="21"/>
                <w:lang w:val="en-US" w:eastAsia="zh-CN"/>
              </w:rPr>
            </w:pPr>
            <w:r>
              <w:rPr>
                <w:rFonts w:hint="default" w:ascii="宋体" w:hAnsi="宋体" w:eastAsia="宋体" w:cs="宋体"/>
                <w:b w:val="0"/>
                <w:bCs w:val="0"/>
                <w:color w:val="auto"/>
                <w:spacing w:val="0"/>
                <w:kern w:val="0"/>
                <w:sz w:val="21"/>
                <w:szCs w:val="21"/>
                <w:lang w:val="en-US" w:eastAsia="zh-CN"/>
              </w:rPr>
              <w:t>l 测量范围：0～10ppm；</w:t>
            </w:r>
          </w:p>
          <w:p w14:paraId="353E86F3">
            <w:pPr>
              <w:pStyle w:val="2"/>
              <w:numPr>
                <w:ilvl w:val="0"/>
                <w:numId w:val="0"/>
              </w:numPr>
              <w:ind w:leftChars="0"/>
              <w:rPr>
                <w:rFonts w:hint="default" w:ascii="宋体" w:hAnsi="宋体" w:eastAsia="宋体" w:cs="宋体"/>
                <w:b w:val="0"/>
                <w:bCs w:val="0"/>
                <w:color w:val="auto"/>
                <w:spacing w:val="0"/>
                <w:kern w:val="0"/>
                <w:sz w:val="21"/>
                <w:szCs w:val="21"/>
                <w:lang w:val="en-US" w:eastAsia="zh-CN"/>
              </w:rPr>
            </w:pPr>
            <w:r>
              <w:rPr>
                <w:rFonts w:hint="default" w:ascii="宋体" w:hAnsi="宋体" w:eastAsia="宋体" w:cs="宋体"/>
                <w:b w:val="0"/>
                <w:bCs w:val="0"/>
                <w:color w:val="auto"/>
                <w:spacing w:val="0"/>
                <w:kern w:val="0"/>
                <w:sz w:val="21"/>
                <w:szCs w:val="21"/>
                <w:lang w:val="en-US" w:eastAsia="zh-CN"/>
              </w:rPr>
              <w:t>l 测量精度：10ppb</w:t>
            </w:r>
            <w:r>
              <w:rPr>
                <w:rFonts w:hint="eastAsia" w:ascii="宋体" w:hAnsi="宋体" w:cs="宋体"/>
                <w:b w:val="0"/>
                <w:bCs w:val="0"/>
                <w:color w:val="auto"/>
                <w:spacing w:val="0"/>
                <w:kern w:val="0"/>
                <w:sz w:val="21"/>
                <w:szCs w:val="21"/>
                <w:lang w:val="en-US" w:eastAsia="zh-CN"/>
              </w:rPr>
              <w:t>。</w:t>
            </w:r>
          </w:p>
          <w:p w14:paraId="2D73EAE8">
            <w:pPr>
              <w:pStyle w:val="2"/>
              <w:numPr>
                <w:ilvl w:val="0"/>
                <w:numId w:val="0"/>
              </w:numPr>
              <w:ind w:leftChars="0"/>
              <w:rPr>
                <w:rFonts w:hint="default" w:ascii="宋体" w:hAnsi="宋体" w:eastAsia="宋体" w:cs="宋体"/>
                <w:b w:val="0"/>
                <w:bCs w:val="0"/>
                <w:color w:val="auto"/>
                <w:spacing w:val="0"/>
                <w:kern w:val="0"/>
                <w:sz w:val="21"/>
                <w:szCs w:val="21"/>
                <w:lang w:val="en-US" w:eastAsia="zh-CN"/>
              </w:rPr>
            </w:pPr>
            <w:r>
              <w:rPr>
                <w:rFonts w:hint="eastAsia" w:ascii="宋体" w:hAnsi="宋体" w:cs="宋体"/>
                <w:b w:val="0"/>
                <w:bCs w:val="0"/>
                <w:color w:val="auto"/>
                <w:spacing w:val="0"/>
                <w:kern w:val="0"/>
                <w:sz w:val="21"/>
                <w:szCs w:val="21"/>
                <w:lang w:val="en-US" w:eastAsia="zh-CN"/>
              </w:rPr>
              <w:t>5.2</w:t>
            </w:r>
            <w:r>
              <w:rPr>
                <w:rFonts w:hint="default" w:ascii="宋体" w:hAnsi="宋体" w:eastAsia="宋体" w:cs="宋体"/>
                <w:b w:val="0"/>
                <w:bCs w:val="0"/>
                <w:color w:val="auto"/>
                <w:spacing w:val="0"/>
                <w:kern w:val="0"/>
                <w:sz w:val="21"/>
                <w:szCs w:val="21"/>
                <w:lang w:val="en-US" w:eastAsia="zh-CN"/>
              </w:rPr>
              <w:t>能耗</w:t>
            </w:r>
            <w:r>
              <w:rPr>
                <w:rFonts w:hint="eastAsia" w:ascii="宋体" w:hAnsi="宋体" w:cs="宋体"/>
                <w:b w:val="0"/>
                <w:bCs w:val="0"/>
                <w:color w:val="auto"/>
                <w:spacing w:val="0"/>
                <w:kern w:val="0"/>
                <w:sz w:val="21"/>
                <w:szCs w:val="21"/>
                <w:lang w:val="en-US" w:eastAsia="zh-CN"/>
              </w:rPr>
              <w:t>:</w:t>
            </w:r>
            <w:r>
              <w:rPr>
                <w:rFonts w:hint="default" w:ascii="宋体" w:hAnsi="宋体" w:eastAsia="宋体" w:cs="宋体"/>
                <w:b w:val="0"/>
                <w:bCs w:val="0"/>
                <w:color w:val="auto"/>
                <w:spacing w:val="0"/>
                <w:kern w:val="0"/>
                <w:sz w:val="21"/>
                <w:szCs w:val="21"/>
                <w:lang w:val="en-US" w:eastAsia="zh-CN"/>
              </w:rPr>
              <w:t>具有能源控制能力，环保无污染电池使用寿命 5 年以上， 电池一次充电后连续采样（频率30分钟）工作时长 1 年 以上。</w:t>
            </w:r>
          </w:p>
          <w:p w14:paraId="00055C04">
            <w:pPr>
              <w:pStyle w:val="2"/>
              <w:numPr>
                <w:ilvl w:val="0"/>
                <w:numId w:val="0"/>
              </w:numPr>
              <w:ind w:leftChars="0"/>
              <w:rPr>
                <w:rFonts w:hint="default" w:ascii="宋体" w:hAnsi="宋体" w:eastAsia="宋体" w:cs="宋体"/>
                <w:b w:val="0"/>
                <w:bCs w:val="0"/>
                <w:color w:val="auto"/>
                <w:spacing w:val="0"/>
                <w:kern w:val="0"/>
                <w:sz w:val="21"/>
                <w:szCs w:val="21"/>
                <w:lang w:val="en-US" w:eastAsia="zh-CN"/>
              </w:rPr>
            </w:pPr>
            <w:r>
              <w:rPr>
                <w:rFonts w:hint="eastAsia" w:ascii="宋体" w:hAnsi="宋体" w:cs="宋体"/>
                <w:b w:val="0"/>
                <w:bCs w:val="0"/>
                <w:color w:val="auto"/>
                <w:spacing w:val="0"/>
                <w:kern w:val="0"/>
                <w:sz w:val="21"/>
                <w:szCs w:val="21"/>
                <w:lang w:val="en-US" w:eastAsia="zh-CN"/>
              </w:rPr>
              <w:t>5.3</w:t>
            </w:r>
            <w:r>
              <w:rPr>
                <w:rFonts w:hint="default" w:ascii="宋体" w:hAnsi="宋体" w:eastAsia="宋体" w:cs="宋体"/>
                <w:b w:val="0"/>
                <w:bCs w:val="0"/>
                <w:color w:val="auto"/>
                <w:spacing w:val="0"/>
                <w:kern w:val="0"/>
                <w:sz w:val="21"/>
                <w:szCs w:val="21"/>
                <w:lang w:val="en-US" w:eastAsia="zh-CN"/>
              </w:rPr>
              <w:t>通讯方式</w:t>
            </w:r>
            <w:r>
              <w:rPr>
                <w:rFonts w:hint="eastAsia" w:ascii="宋体" w:hAnsi="宋体" w:cs="宋体"/>
                <w:b w:val="0"/>
                <w:bCs w:val="0"/>
                <w:color w:val="auto"/>
                <w:spacing w:val="0"/>
                <w:kern w:val="0"/>
                <w:sz w:val="21"/>
                <w:szCs w:val="21"/>
                <w:lang w:val="en-US" w:eastAsia="zh-CN"/>
              </w:rPr>
              <w:t>:</w:t>
            </w:r>
            <w:r>
              <w:rPr>
                <w:rFonts w:hint="default" w:ascii="宋体" w:hAnsi="宋体" w:eastAsia="宋体" w:cs="宋体"/>
                <w:b w:val="0"/>
                <w:bCs w:val="0"/>
                <w:color w:val="auto"/>
                <w:spacing w:val="0"/>
                <w:kern w:val="0"/>
                <w:sz w:val="21"/>
                <w:szCs w:val="21"/>
                <w:lang w:val="en-US" w:eastAsia="zh-CN"/>
              </w:rPr>
              <w:t>使用国家无委会免费的 433M 赫兹频段，支持双向无线通 讯网络协议标准。</w:t>
            </w:r>
          </w:p>
          <w:p w14:paraId="6B724A18">
            <w:pPr>
              <w:pStyle w:val="2"/>
              <w:numPr>
                <w:ilvl w:val="0"/>
                <w:numId w:val="0"/>
              </w:numPr>
              <w:ind w:leftChars="0"/>
              <w:rPr>
                <w:rFonts w:hint="default" w:ascii="宋体" w:hAnsi="宋体" w:eastAsia="宋体" w:cs="宋体"/>
                <w:b w:val="0"/>
                <w:bCs w:val="0"/>
                <w:color w:val="auto"/>
                <w:spacing w:val="0"/>
                <w:kern w:val="0"/>
                <w:sz w:val="21"/>
                <w:szCs w:val="21"/>
                <w:lang w:val="en-US" w:eastAsia="zh-CN"/>
              </w:rPr>
            </w:pPr>
            <w:r>
              <w:rPr>
                <w:rFonts w:hint="eastAsia" w:ascii="宋体" w:hAnsi="宋体" w:cs="宋体"/>
                <w:b w:val="0"/>
                <w:bCs w:val="0"/>
                <w:color w:val="auto"/>
                <w:spacing w:val="0"/>
                <w:kern w:val="0"/>
                <w:sz w:val="21"/>
                <w:szCs w:val="21"/>
                <w:lang w:val="en-US" w:eastAsia="zh-CN"/>
              </w:rPr>
              <w:t>5.4</w:t>
            </w:r>
            <w:r>
              <w:rPr>
                <w:rFonts w:hint="default" w:ascii="宋体" w:hAnsi="宋体" w:eastAsia="宋体" w:cs="宋体"/>
                <w:b w:val="0"/>
                <w:bCs w:val="0"/>
                <w:color w:val="auto"/>
                <w:spacing w:val="0"/>
                <w:kern w:val="0"/>
                <w:sz w:val="21"/>
                <w:szCs w:val="21"/>
                <w:lang w:val="en-US" w:eastAsia="zh-CN"/>
              </w:rPr>
              <w:t>外观</w:t>
            </w:r>
            <w:r>
              <w:rPr>
                <w:rFonts w:hint="eastAsia" w:ascii="宋体" w:hAnsi="宋体" w:cs="宋体"/>
                <w:b w:val="0"/>
                <w:bCs w:val="0"/>
                <w:color w:val="auto"/>
                <w:spacing w:val="0"/>
                <w:kern w:val="0"/>
                <w:sz w:val="21"/>
                <w:szCs w:val="21"/>
                <w:lang w:val="en-US" w:eastAsia="zh-CN"/>
              </w:rPr>
              <w:t>：</w:t>
            </w:r>
            <w:r>
              <w:rPr>
                <w:rFonts w:hint="default" w:ascii="宋体" w:hAnsi="宋体" w:eastAsia="宋体" w:cs="宋体"/>
                <w:b w:val="0"/>
                <w:bCs w:val="0"/>
                <w:color w:val="auto"/>
                <w:spacing w:val="0"/>
                <w:kern w:val="0"/>
                <w:sz w:val="21"/>
                <w:szCs w:val="21"/>
                <w:lang w:val="en-US" w:eastAsia="zh-CN"/>
              </w:rPr>
              <w:t>形状为长方体；美观、小型化。</w:t>
            </w:r>
          </w:p>
          <w:p w14:paraId="57E4E2C4">
            <w:pPr>
              <w:pStyle w:val="2"/>
              <w:numPr>
                <w:ilvl w:val="0"/>
                <w:numId w:val="0"/>
              </w:numPr>
              <w:ind w:leftChars="0"/>
              <w:rPr>
                <w:rFonts w:hint="default" w:ascii="宋体" w:hAnsi="宋体" w:eastAsia="宋体" w:cs="宋体"/>
                <w:b w:val="0"/>
                <w:bCs w:val="0"/>
                <w:color w:val="auto"/>
                <w:spacing w:val="0"/>
                <w:kern w:val="0"/>
                <w:sz w:val="21"/>
                <w:szCs w:val="21"/>
                <w:lang w:val="en-US" w:eastAsia="zh-CN"/>
              </w:rPr>
            </w:pPr>
            <w:r>
              <w:rPr>
                <w:rFonts w:hint="eastAsia" w:ascii="宋体" w:hAnsi="宋体" w:cs="宋体"/>
                <w:b w:val="0"/>
                <w:bCs w:val="0"/>
                <w:color w:val="auto"/>
                <w:spacing w:val="0"/>
                <w:kern w:val="0"/>
                <w:sz w:val="21"/>
                <w:szCs w:val="21"/>
                <w:lang w:val="en-US" w:eastAsia="zh-CN"/>
              </w:rPr>
              <w:t>5.5</w:t>
            </w:r>
            <w:r>
              <w:rPr>
                <w:rFonts w:hint="default" w:ascii="宋体" w:hAnsi="宋体" w:eastAsia="宋体" w:cs="宋体"/>
                <w:b w:val="0"/>
                <w:bCs w:val="0"/>
                <w:color w:val="auto"/>
                <w:spacing w:val="0"/>
                <w:kern w:val="0"/>
                <w:sz w:val="21"/>
                <w:szCs w:val="21"/>
                <w:lang w:val="en-US" w:eastAsia="zh-CN"/>
              </w:rPr>
              <w:t>关键技术</w:t>
            </w:r>
            <w:r>
              <w:rPr>
                <w:rFonts w:hint="eastAsia" w:ascii="宋体" w:hAnsi="宋体" w:cs="宋体"/>
                <w:b w:val="0"/>
                <w:bCs w:val="0"/>
                <w:color w:val="auto"/>
                <w:spacing w:val="0"/>
                <w:kern w:val="0"/>
                <w:sz w:val="21"/>
                <w:szCs w:val="21"/>
                <w:lang w:val="en-US" w:eastAsia="zh-CN"/>
              </w:rPr>
              <w:t>：</w:t>
            </w:r>
            <w:r>
              <w:rPr>
                <w:rFonts w:hint="default" w:ascii="宋体" w:hAnsi="宋体" w:eastAsia="宋体" w:cs="宋体"/>
                <w:b w:val="0"/>
                <w:bCs w:val="0"/>
                <w:color w:val="auto"/>
                <w:spacing w:val="0"/>
                <w:kern w:val="0"/>
                <w:sz w:val="21"/>
                <w:szCs w:val="21"/>
                <w:lang w:val="en-US" w:eastAsia="zh-CN"/>
              </w:rPr>
              <w:t>甲醛检测采用电化学（GSE）技术。</w:t>
            </w:r>
          </w:p>
          <w:p w14:paraId="328F836B">
            <w:pPr>
              <w:widowControl/>
              <w:numPr>
                <w:ilvl w:val="0"/>
                <w:numId w:val="0"/>
              </w:numPr>
              <w:spacing w:line="360" w:lineRule="auto"/>
              <w:textAlignment w:val="top"/>
              <w:rPr>
                <w:rFonts w:hint="eastAsia" w:ascii="宋体" w:hAnsi="宋体" w:eastAsia="宋体"/>
                <w:color w:val="auto"/>
                <w:szCs w:val="21"/>
                <w:lang w:eastAsia="zh-CN"/>
              </w:rPr>
            </w:pPr>
            <w:r>
              <w:rPr>
                <w:rFonts w:hint="eastAsia" w:ascii="宋体" w:hAnsi="宋体"/>
                <w:color w:val="auto"/>
                <w:szCs w:val="21"/>
                <w:lang w:val="en-US" w:eastAsia="zh-CN"/>
              </w:rPr>
              <w:t>5.6</w:t>
            </w:r>
            <w:r>
              <w:rPr>
                <w:rFonts w:hint="eastAsia" w:ascii="宋体" w:hAnsi="宋体"/>
                <w:color w:val="auto"/>
                <w:szCs w:val="21"/>
              </w:rPr>
              <w:t>数据存储周期</w:t>
            </w:r>
            <w:r>
              <w:rPr>
                <w:rFonts w:hint="eastAsia" w:ascii="宋体" w:hAnsi="宋体"/>
                <w:color w:val="auto"/>
                <w:szCs w:val="21"/>
                <w:lang w:eastAsia="zh-CN"/>
              </w:rPr>
              <w:t>：</w:t>
            </w:r>
            <w:r>
              <w:rPr>
                <w:rFonts w:hint="eastAsia" w:ascii="宋体" w:hAnsi="宋体"/>
                <w:color w:val="auto"/>
                <w:szCs w:val="21"/>
              </w:rPr>
              <w:t>≥1年</w:t>
            </w:r>
            <w:r>
              <w:rPr>
                <w:rFonts w:hint="eastAsia" w:ascii="宋体" w:hAnsi="宋体"/>
                <w:color w:val="auto"/>
                <w:szCs w:val="21"/>
                <w:lang w:eastAsia="zh-CN"/>
              </w:rPr>
              <w:t>。</w:t>
            </w:r>
          </w:p>
          <w:p w14:paraId="4EF5529A">
            <w:pPr>
              <w:widowControl/>
              <w:numPr>
                <w:ilvl w:val="0"/>
                <w:numId w:val="0"/>
              </w:numPr>
              <w:spacing w:line="360" w:lineRule="auto"/>
              <w:textAlignment w:val="top"/>
              <w:rPr>
                <w:rFonts w:hint="eastAsia" w:ascii="宋体" w:hAnsi="宋体" w:eastAsia="宋体"/>
                <w:color w:val="auto"/>
                <w:szCs w:val="21"/>
                <w:lang w:eastAsia="zh-CN"/>
              </w:rPr>
            </w:pPr>
            <w:r>
              <w:rPr>
                <w:rFonts w:hint="eastAsia" w:ascii="宋体" w:hAnsi="宋体"/>
                <w:color w:val="auto"/>
                <w:szCs w:val="21"/>
                <w:lang w:val="en-US" w:eastAsia="zh-CN"/>
              </w:rPr>
              <w:t>5.7</w:t>
            </w:r>
            <w:r>
              <w:rPr>
                <w:rFonts w:hint="eastAsia" w:ascii="宋体" w:hAnsi="宋体"/>
                <w:color w:val="auto"/>
                <w:szCs w:val="21"/>
              </w:rPr>
              <w:t>采样评率</w:t>
            </w:r>
            <w:r>
              <w:rPr>
                <w:rFonts w:hint="eastAsia" w:ascii="宋体" w:hAnsi="宋体"/>
                <w:color w:val="auto"/>
                <w:szCs w:val="21"/>
                <w:lang w:eastAsia="zh-CN"/>
              </w:rPr>
              <w:t>：</w:t>
            </w:r>
            <w:r>
              <w:rPr>
                <w:rFonts w:hint="eastAsia" w:ascii="宋体" w:hAnsi="宋体"/>
                <w:color w:val="auto"/>
                <w:szCs w:val="21"/>
              </w:rPr>
              <w:t>≤1小时/次</w:t>
            </w:r>
            <w:r>
              <w:rPr>
                <w:rFonts w:hint="eastAsia" w:ascii="宋体" w:hAnsi="宋体"/>
                <w:color w:val="auto"/>
                <w:szCs w:val="21"/>
                <w:lang w:eastAsia="zh-CN"/>
              </w:rPr>
              <w:t>。</w:t>
            </w:r>
          </w:p>
        </w:tc>
        <w:tc>
          <w:tcPr>
            <w:tcW w:w="7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9955E6">
            <w:pPr>
              <w:widowControl/>
              <w:jc w:val="center"/>
              <w:textAlignment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val="en-US" w:eastAsia="zh-CN"/>
              </w:rPr>
              <w:t>6</w:t>
            </w:r>
          </w:p>
        </w:tc>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288FD6">
            <w:pPr>
              <w:widowControl/>
              <w:jc w:val="center"/>
              <w:textAlignment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只</w:t>
            </w:r>
          </w:p>
        </w:tc>
      </w:tr>
      <w:tr w14:paraId="0BBAB09F">
        <w:tblPrEx>
          <w:tblCellMar>
            <w:top w:w="0" w:type="dxa"/>
            <w:left w:w="108" w:type="dxa"/>
            <w:bottom w:w="0" w:type="dxa"/>
            <w:right w:w="108" w:type="dxa"/>
          </w:tblCellMar>
        </w:tblPrEx>
        <w:trPr>
          <w:trHeight w:val="1023" w:hRule="atLeast"/>
        </w:trPr>
        <w:tc>
          <w:tcPr>
            <w:tcW w:w="72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3BA7F3">
            <w:pPr>
              <w:widowControl/>
              <w:jc w:val="center"/>
              <w:textAlignment w:val="center"/>
              <w:rPr>
                <w:rFonts w:hint="eastAsia" w:ascii="宋体" w:hAnsi="宋体" w:cs="宋体"/>
                <w:b/>
                <w:bCs/>
                <w:color w:val="auto"/>
                <w:spacing w:val="0"/>
                <w:kern w:val="0"/>
                <w:sz w:val="21"/>
                <w:szCs w:val="21"/>
                <w:lang w:val="en-US" w:eastAsia="zh-CN"/>
              </w:rPr>
            </w:pPr>
          </w:p>
          <w:p w14:paraId="07AF2208">
            <w:pPr>
              <w:widowControl/>
              <w:jc w:val="center"/>
              <w:textAlignment w:val="center"/>
              <w:rPr>
                <w:rFonts w:hint="eastAsia" w:ascii="宋体" w:hAnsi="宋体" w:cs="宋体"/>
                <w:b/>
                <w:bCs/>
                <w:color w:val="auto"/>
                <w:spacing w:val="0"/>
                <w:kern w:val="0"/>
                <w:sz w:val="21"/>
                <w:szCs w:val="21"/>
                <w:lang w:val="en-US" w:eastAsia="zh-CN"/>
              </w:rPr>
            </w:pPr>
          </w:p>
          <w:p w14:paraId="007017AF">
            <w:pPr>
              <w:widowControl/>
              <w:jc w:val="center"/>
              <w:textAlignment w:val="center"/>
              <w:rPr>
                <w:rFonts w:hint="eastAsia" w:ascii="宋体" w:hAnsi="宋体" w:cs="宋体"/>
                <w:b/>
                <w:bCs/>
                <w:color w:val="auto"/>
                <w:spacing w:val="0"/>
                <w:kern w:val="0"/>
                <w:sz w:val="21"/>
                <w:szCs w:val="21"/>
                <w:lang w:val="en-US" w:eastAsia="zh-CN"/>
              </w:rPr>
            </w:pPr>
          </w:p>
          <w:p w14:paraId="7988E98E">
            <w:pPr>
              <w:widowControl/>
              <w:jc w:val="center"/>
              <w:textAlignment w:val="center"/>
              <w:rPr>
                <w:rFonts w:hint="eastAsia" w:ascii="宋体" w:hAnsi="宋体" w:cs="宋体"/>
                <w:b/>
                <w:bCs/>
                <w:color w:val="auto"/>
                <w:spacing w:val="0"/>
                <w:kern w:val="0"/>
                <w:sz w:val="21"/>
                <w:szCs w:val="21"/>
                <w:lang w:val="en-US" w:eastAsia="zh-CN"/>
              </w:rPr>
            </w:pPr>
          </w:p>
          <w:p w14:paraId="127DE0D9">
            <w:pPr>
              <w:widowControl/>
              <w:jc w:val="center"/>
              <w:textAlignment w:val="center"/>
              <w:rPr>
                <w:rFonts w:hint="eastAsia" w:ascii="宋体" w:hAnsi="宋体" w:cs="宋体"/>
                <w:b/>
                <w:bCs/>
                <w:color w:val="auto"/>
                <w:spacing w:val="0"/>
                <w:kern w:val="0"/>
                <w:sz w:val="21"/>
                <w:szCs w:val="21"/>
                <w:lang w:val="en-US" w:eastAsia="zh-CN"/>
              </w:rPr>
            </w:pPr>
          </w:p>
          <w:p w14:paraId="11FDA29A">
            <w:pPr>
              <w:widowControl/>
              <w:jc w:val="center"/>
              <w:textAlignment w:val="center"/>
              <w:rPr>
                <w:rFonts w:hint="eastAsia" w:ascii="宋体" w:hAnsi="宋体" w:cs="宋体"/>
                <w:b/>
                <w:bCs/>
                <w:color w:val="auto"/>
                <w:spacing w:val="0"/>
                <w:kern w:val="0"/>
                <w:sz w:val="21"/>
                <w:szCs w:val="21"/>
                <w:lang w:val="en-US" w:eastAsia="zh-CN"/>
              </w:rPr>
            </w:pPr>
            <w:r>
              <w:rPr>
                <w:rFonts w:hint="eastAsia" w:ascii="宋体" w:hAnsi="宋体" w:cs="宋体"/>
                <w:b/>
                <w:bCs/>
                <w:color w:val="auto"/>
                <w:spacing w:val="0"/>
                <w:kern w:val="0"/>
                <w:sz w:val="21"/>
                <w:szCs w:val="21"/>
                <w:lang w:val="en-US" w:eastAsia="zh-CN"/>
              </w:rPr>
              <w:t>6</w:t>
            </w:r>
          </w:p>
        </w:tc>
        <w:tc>
          <w:tcPr>
            <w:tcW w:w="9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DC5DF5">
            <w:pPr>
              <w:widowControl/>
              <w:jc w:val="center"/>
              <w:textAlignment w:val="center"/>
              <w:rPr>
                <w:rFonts w:hint="eastAsia" w:ascii="宋体" w:hAnsi="宋体" w:cs="宋体"/>
                <w:b/>
                <w:bCs/>
                <w:color w:val="auto"/>
                <w:spacing w:val="0"/>
                <w:kern w:val="0"/>
                <w:sz w:val="21"/>
                <w:szCs w:val="21"/>
                <w:lang w:val="en-US" w:eastAsia="zh-CN"/>
              </w:rPr>
            </w:pPr>
          </w:p>
          <w:p w14:paraId="4D228D6A">
            <w:pPr>
              <w:widowControl/>
              <w:jc w:val="center"/>
              <w:textAlignment w:val="center"/>
              <w:rPr>
                <w:rFonts w:hint="eastAsia" w:ascii="宋体" w:hAnsi="宋体" w:cs="宋体"/>
                <w:b/>
                <w:bCs/>
                <w:color w:val="auto"/>
                <w:spacing w:val="0"/>
                <w:kern w:val="0"/>
                <w:sz w:val="21"/>
                <w:szCs w:val="21"/>
                <w:lang w:val="en-US" w:eastAsia="zh-CN"/>
              </w:rPr>
            </w:pPr>
          </w:p>
          <w:p w14:paraId="033A16FF">
            <w:pPr>
              <w:widowControl/>
              <w:jc w:val="center"/>
              <w:textAlignment w:val="center"/>
              <w:rPr>
                <w:rFonts w:hint="eastAsia" w:ascii="宋体" w:hAnsi="宋体" w:cs="宋体"/>
                <w:b/>
                <w:bCs/>
                <w:color w:val="auto"/>
                <w:spacing w:val="0"/>
                <w:kern w:val="0"/>
                <w:sz w:val="21"/>
                <w:szCs w:val="21"/>
                <w:lang w:val="en-US" w:eastAsia="zh-CN"/>
              </w:rPr>
            </w:pPr>
          </w:p>
          <w:p w14:paraId="3DEB3CEF">
            <w:pPr>
              <w:widowControl/>
              <w:jc w:val="center"/>
              <w:textAlignment w:val="center"/>
              <w:rPr>
                <w:rFonts w:hint="eastAsia" w:ascii="宋体" w:hAnsi="宋体" w:cs="宋体"/>
                <w:b/>
                <w:bCs/>
                <w:color w:val="auto"/>
                <w:spacing w:val="0"/>
                <w:kern w:val="0"/>
                <w:sz w:val="21"/>
                <w:szCs w:val="21"/>
                <w:lang w:val="en-US" w:eastAsia="zh-CN"/>
              </w:rPr>
            </w:pPr>
          </w:p>
          <w:p w14:paraId="030CEEBE">
            <w:pPr>
              <w:widowControl/>
              <w:jc w:val="center"/>
              <w:textAlignment w:val="center"/>
              <w:rPr>
                <w:rFonts w:hint="eastAsia" w:ascii="宋体" w:hAnsi="宋体" w:cs="宋体"/>
                <w:b/>
                <w:bCs/>
                <w:color w:val="auto"/>
                <w:spacing w:val="0"/>
                <w:kern w:val="0"/>
                <w:sz w:val="21"/>
                <w:szCs w:val="21"/>
                <w:lang w:val="en-US" w:eastAsia="zh-CN"/>
              </w:rPr>
            </w:pPr>
          </w:p>
          <w:p w14:paraId="45C26EB0">
            <w:pPr>
              <w:widowControl/>
              <w:jc w:val="center"/>
              <w:textAlignment w:val="center"/>
              <w:rPr>
                <w:rFonts w:hint="eastAsia" w:ascii="宋体" w:hAnsi="宋体" w:cs="宋体"/>
                <w:b/>
                <w:bCs/>
                <w:color w:val="auto"/>
                <w:spacing w:val="0"/>
                <w:kern w:val="0"/>
                <w:sz w:val="21"/>
                <w:szCs w:val="21"/>
                <w:lang w:val="en-US" w:eastAsia="zh-CN"/>
              </w:rPr>
            </w:pPr>
            <w:r>
              <w:rPr>
                <w:rFonts w:hint="eastAsia" w:ascii="宋体" w:hAnsi="宋体" w:cs="宋体"/>
                <w:b/>
                <w:bCs/>
                <w:color w:val="auto"/>
                <w:spacing w:val="0"/>
                <w:kern w:val="0"/>
                <w:sz w:val="21"/>
                <w:szCs w:val="21"/>
                <w:lang w:val="en-US" w:eastAsia="zh-CN"/>
              </w:rPr>
              <w:t>二氧化碳无线监测终端</w:t>
            </w:r>
          </w:p>
        </w:tc>
        <w:tc>
          <w:tcPr>
            <w:tcW w:w="5446" w:type="dxa"/>
            <w:tcBorders>
              <w:top w:val="single" w:color="000000" w:sz="4" w:space="0"/>
              <w:left w:val="single" w:color="000000" w:sz="4" w:space="0"/>
              <w:bottom w:val="single" w:color="000000" w:sz="4" w:space="0"/>
              <w:right w:val="single" w:color="000000" w:sz="4" w:space="0"/>
            </w:tcBorders>
            <w:shd w:val="clear" w:color="auto" w:fill="auto"/>
          </w:tcPr>
          <w:p w14:paraId="7A9A9E81">
            <w:pPr>
              <w:pStyle w:val="2"/>
              <w:numPr>
                <w:ilvl w:val="0"/>
                <w:numId w:val="0"/>
              </w:numPr>
              <w:ind w:leftChars="0"/>
              <w:rPr>
                <w:rFonts w:hint="default" w:ascii="宋体" w:hAnsi="宋体" w:eastAsia="宋体" w:cs="宋体"/>
                <w:b w:val="0"/>
                <w:bCs w:val="0"/>
                <w:color w:val="auto"/>
                <w:spacing w:val="0"/>
                <w:kern w:val="0"/>
                <w:sz w:val="21"/>
                <w:szCs w:val="21"/>
                <w:lang w:val="en-US" w:eastAsia="zh-CN"/>
              </w:rPr>
            </w:pPr>
            <w:r>
              <w:rPr>
                <w:rFonts w:hint="eastAsia" w:ascii="宋体" w:hAnsi="宋体" w:cs="宋体"/>
                <w:b w:val="0"/>
                <w:bCs w:val="0"/>
                <w:color w:val="auto"/>
                <w:spacing w:val="0"/>
                <w:kern w:val="0"/>
                <w:sz w:val="21"/>
                <w:szCs w:val="21"/>
                <w:lang w:val="en-US" w:eastAsia="zh-CN"/>
              </w:rPr>
              <w:t>6.1</w:t>
            </w:r>
            <w:r>
              <w:rPr>
                <w:rFonts w:hint="default" w:ascii="宋体" w:hAnsi="宋体" w:eastAsia="宋体" w:cs="宋体"/>
                <w:b w:val="0"/>
                <w:bCs w:val="0"/>
                <w:color w:val="auto"/>
                <w:spacing w:val="0"/>
                <w:kern w:val="0"/>
                <w:sz w:val="21"/>
                <w:szCs w:val="21"/>
                <w:lang w:val="en-US" w:eastAsia="zh-CN"/>
              </w:rPr>
              <w:t>二氧化碳测量</w:t>
            </w:r>
            <w:r>
              <w:rPr>
                <w:rFonts w:hint="eastAsia" w:ascii="宋体" w:hAnsi="宋体" w:cs="宋体"/>
                <w:b w:val="0"/>
                <w:bCs w:val="0"/>
                <w:color w:val="auto"/>
                <w:spacing w:val="0"/>
                <w:kern w:val="0"/>
                <w:sz w:val="21"/>
                <w:szCs w:val="21"/>
                <w:lang w:val="en-US" w:eastAsia="zh-CN"/>
              </w:rPr>
              <w:t>：</w:t>
            </w:r>
          </w:p>
          <w:p w14:paraId="15400369">
            <w:pPr>
              <w:pStyle w:val="2"/>
              <w:numPr>
                <w:ilvl w:val="0"/>
                <w:numId w:val="0"/>
              </w:numPr>
              <w:ind w:leftChars="0"/>
              <w:rPr>
                <w:rFonts w:hint="default" w:ascii="宋体" w:hAnsi="宋体" w:eastAsia="宋体" w:cs="宋体"/>
                <w:b w:val="0"/>
                <w:bCs w:val="0"/>
                <w:color w:val="auto"/>
                <w:spacing w:val="0"/>
                <w:kern w:val="0"/>
                <w:sz w:val="21"/>
                <w:szCs w:val="21"/>
                <w:lang w:val="en-US" w:eastAsia="zh-CN"/>
              </w:rPr>
            </w:pPr>
            <w:r>
              <w:rPr>
                <w:rFonts w:hint="default" w:ascii="宋体" w:hAnsi="宋体" w:eastAsia="宋体" w:cs="宋体"/>
                <w:b w:val="0"/>
                <w:bCs w:val="0"/>
                <w:color w:val="auto"/>
                <w:spacing w:val="0"/>
                <w:kern w:val="0"/>
                <w:sz w:val="21"/>
                <w:szCs w:val="21"/>
                <w:lang w:val="en-US" w:eastAsia="zh-CN"/>
              </w:rPr>
              <w:t>l 测量范围：0～5000ppm</w:t>
            </w:r>
            <w:r>
              <w:rPr>
                <w:rFonts w:hint="eastAsia" w:ascii="宋体" w:hAnsi="宋体" w:cs="宋体"/>
                <w:b w:val="0"/>
                <w:bCs w:val="0"/>
                <w:color w:val="auto"/>
                <w:spacing w:val="0"/>
                <w:kern w:val="0"/>
                <w:sz w:val="21"/>
                <w:szCs w:val="21"/>
                <w:lang w:val="en-US" w:eastAsia="zh-CN"/>
              </w:rPr>
              <w:t>；</w:t>
            </w:r>
          </w:p>
          <w:p w14:paraId="4DA6D7E9">
            <w:pPr>
              <w:pStyle w:val="2"/>
              <w:numPr>
                <w:ilvl w:val="0"/>
                <w:numId w:val="0"/>
              </w:numPr>
              <w:ind w:leftChars="0"/>
              <w:rPr>
                <w:rFonts w:hint="default" w:ascii="宋体" w:hAnsi="宋体" w:eastAsia="宋体" w:cs="宋体"/>
                <w:b w:val="0"/>
                <w:bCs w:val="0"/>
                <w:color w:val="auto"/>
                <w:spacing w:val="0"/>
                <w:kern w:val="0"/>
                <w:sz w:val="21"/>
                <w:szCs w:val="21"/>
                <w:lang w:val="en-US" w:eastAsia="zh-CN"/>
              </w:rPr>
            </w:pPr>
            <w:r>
              <w:rPr>
                <w:rFonts w:hint="default" w:ascii="宋体" w:hAnsi="宋体" w:eastAsia="宋体" w:cs="宋体"/>
                <w:b w:val="0"/>
                <w:bCs w:val="0"/>
                <w:color w:val="auto"/>
                <w:spacing w:val="0"/>
                <w:kern w:val="0"/>
                <w:sz w:val="21"/>
                <w:szCs w:val="21"/>
                <w:lang w:val="en-US" w:eastAsia="zh-CN"/>
              </w:rPr>
              <w:t>l 显示分辨率：1ppm</w:t>
            </w:r>
            <w:r>
              <w:rPr>
                <w:rFonts w:hint="eastAsia" w:ascii="宋体" w:hAnsi="宋体" w:cs="宋体"/>
                <w:b w:val="0"/>
                <w:bCs w:val="0"/>
                <w:color w:val="auto"/>
                <w:spacing w:val="0"/>
                <w:kern w:val="0"/>
                <w:sz w:val="21"/>
                <w:szCs w:val="21"/>
                <w:lang w:val="en-US" w:eastAsia="zh-CN"/>
              </w:rPr>
              <w:t>；</w:t>
            </w:r>
          </w:p>
          <w:p w14:paraId="55AB5D3F">
            <w:pPr>
              <w:pStyle w:val="2"/>
              <w:numPr>
                <w:ilvl w:val="0"/>
                <w:numId w:val="0"/>
              </w:numPr>
              <w:ind w:leftChars="0"/>
              <w:rPr>
                <w:rFonts w:hint="default" w:ascii="宋体" w:hAnsi="宋体" w:eastAsia="宋体" w:cs="宋体"/>
                <w:b w:val="0"/>
                <w:bCs w:val="0"/>
                <w:color w:val="auto"/>
                <w:spacing w:val="0"/>
                <w:kern w:val="0"/>
                <w:sz w:val="21"/>
                <w:szCs w:val="21"/>
                <w:lang w:val="en-US" w:eastAsia="zh-CN"/>
              </w:rPr>
            </w:pPr>
            <w:r>
              <w:rPr>
                <w:rFonts w:hint="default" w:ascii="宋体" w:hAnsi="宋体" w:eastAsia="宋体" w:cs="宋体"/>
                <w:b w:val="0"/>
                <w:bCs w:val="0"/>
                <w:color w:val="auto"/>
                <w:spacing w:val="0"/>
                <w:kern w:val="0"/>
                <w:sz w:val="21"/>
                <w:szCs w:val="21"/>
                <w:lang w:val="en-US" w:eastAsia="zh-CN"/>
              </w:rPr>
              <w:t>l 测量精度：55ppm±2%</w:t>
            </w:r>
            <w:r>
              <w:rPr>
                <w:rFonts w:hint="eastAsia" w:ascii="宋体" w:hAnsi="宋体" w:cs="宋体"/>
                <w:b w:val="0"/>
                <w:bCs w:val="0"/>
                <w:color w:val="auto"/>
                <w:spacing w:val="0"/>
                <w:kern w:val="0"/>
                <w:sz w:val="21"/>
                <w:szCs w:val="21"/>
                <w:lang w:val="en-US" w:eastAsia="zh-CN"/>
              </w:rPr>
              <w:t>。</w:t>
            </w:r>
          </w:p>
          <w:p w14:paraId="6BFC6AA3">
            <w:pPr>
              <w:pStyle w:val="2"/>
              <w:numPr>
                <w:ilvl w:val="0"/>
                <w:numId w:val="0"/>
              </w:numPr>
              <w:ind w:leftChars="0"/>
              <w:rPr>
                <w:rFonts w:hint="default" w:ascii="宋体" w:hAnsi="宋体" w:eastAsia="宋体" w:cs="宋体"/>
                <w:b w:val="0"/>
                <w:bCs w:val="0"/>
                <w:color w:val="auto"/>
                <w:spacing w:val="0"/>
                <w:kern w:val="0"/>
                <w:sz w:val="21"/>
                <w:szCs w:val="21"/>
                <w:lang w:val="en-US" w:eastAsia="zh-CN"/>
              </w:rPr>
            </w:pPr>
            <w:r>
              <w:rPr>
                <w:rFonts w:hint="eastAsia" w:ascii="宋体" w:hAnsi="宋体" w:cs="宋体"/>
                <w:b w:val="0"/>
                <w:bCs w:val="0"/>
                <w:color w:val="auto"/>
                <w:spacing w:val="0"/>
                <w:kern w:val="0"/>
                <w:sz w:val="21"/>
                <w:szCs w:val="21"/>
                <w:lang w:val="en-US" w:eastAsia="zh-CN"/>
              </w:rPr>
              <w:t>6.2</w:t>
            </w:r>
            <w:r>
              <w:rPr>
                <w:rFonts w:hint="default" w:ascii="宋体" w:hAnsi="宋体" w:eastAsia="宋体" w:cs="宋体"/>
                <w:b w:val="0"/>
                <w:bCs w:val="0"/>
                <w:color w:val="auto"/>
                <w:spacing w:val="0"/>
                <w:kern w:val="0"/>
                <w:sz w:val="21"/>
                <w:szCs w:val="21"/>
                <w:lang w:val="en-US" w:eastAsia="zh-CN"/>
              </w:rPr>
              <w:t>能耗</w:t>
            </w:r>
            <w:r>
              <w:rPr>
                <w:rFonts w:hint="eastAsia" w:ascii="宋体" w:hAnsi="宋体" w:cs="宋体"/>
                <w:b w:val="0"/>
                <w:bCs w:val="0"/>
                <w:color w:val="auto"/>
                <w:spacing w:val="0"/>
                <w:kern w:val="0"/>
                <w:sz w:val="21"/>
                <w:szCs w:val="21"/>
                <w:lang w:val="en-US" w:eastAsia="zh-CN"/>
              </w:rPr>
              <w:t>：</w:t>
            </w:r>
            <w:r>
              <w:rPr>
                <w:rFonts w:hint="default" w:ascii="宋体" w:hAnsi="宋体" w:eastAsia="宋体" w:cs="宋体"/>
                <w:b w:val="0"/>
                <w:bCs w:val="0"/>
                <w:color w:val="auto"/>
                <w:spacing w:val="0"/>
                <w:kern w:val="0"/>
                <w:sz w:val="21"/>
                <w:szCs w:val="21"/>
                <w:lang w:val="en-US" w:eastAsia="zh-CN"/>
              </w:rPr>
              <w:t>具有能源控制能力，环保无污染电池使用寿命 5 年以上， 电池一次充电后连续采样（频率30分钟）工作时长 1 年 以上。</w:t>
            </w:r>
          </w:p>
          <w:p w14:paraId="1BA7F3A8">
            <w:pPr>
              <w:pStyle w:val="2"/>
              <w:numPr>
                <w:ilvl w:val="0"/>
                <w:numId w:val="0"/>
              </w:numPr>
              <w:ind w:leftChars="0"/>
              <w:rPr>
                <w:rFonts w:hint="default" w:ascii="宋体" w:hAnsi="宋体" w:eastAsia="宋体" w:cs="宋体"/>
                <w:b w:val="0"/>
                <w:bCs w:val="0"/>
                <w:color w:val="auto"/>
                <w:spacing w:val="0"/>
                <w:kern w:val="0"/>
                <w:sz w:val="21"/>
                <w:szCs w:val="21"/>
                <w:lang w:val="en-US" w:eastAsia="zh-CN"/>
              </w:rPr>
            </w:pPr>
            <w:r>
              <w:rPr>
                <w:rFonts w:hint="eastAsia" w:ascii="宋体" w:hAnsi="宋体" w:cs="宋体"/>
                <w:b w:val="0"/>
                <w:bCs w:val="0"/>
                <w:color w:val="auto"/>
                <w:spacing w:val="0"/>
                <w:kern w:val="0"/>
                <w:sz w:val="21"/>
                <w:szCs w:val="21"/>
                <w:lang w:val="en-US" w:eastAsia="zh-CN"/>
              </w:rPr>
              <w:t>6.3</w:t>
            </w:r>
            <w:r>
              <w:rPr>
                <w:rFonts w:hint="default" w:ascii="宋体" w:hAnsi="宋体" w:eastAsia="宋体" w:cs="宋体"/>
                <w:b w:val="0"/>
                <w:bCs w:val="0"/>
                <w:color w:val="auto"/>
                <w:spacing w:val="0"/>
                <w:kern w:val="0"/>
                <w:sz w:val="21"/>
                <w:szCs w:val="21"/>
                <w:lang w:val="en-US" w:eastAsia="zh-CN"/>
              </w:rPr>
              <w:t>数据传输</w:t>
            </w:r>
            <w:r>
              <w:rPr>
                <w:rFonts w:hint="default" w:ascii="宋体" w:hAnsi="宋体" w:eastAsia="宋体" w:cs="宋体"/>
                <w:b w:val="0"/>
                <w:bCs w:val="0"/>
                <w:color w:val="auto"/>
                <w:spacing w:val="0"/>
                <w:kern w:val="0"/>
                <w:sz w:val="21"/>
                <w:szCs w:val="21"/>
                <w:lang w:val="en-US" w:eastAsia="zh-CN"/>
              </w:rPr>
              <w:tab/>
            </w:r>
            <w:r>
              <w:rPr>
                <w:rFonts w:hint="default" w:ascii="宋体" w:hAnsi="宋体" w:eastAsia="宋体" w:cs="宋体"/>
                <w:b w:val="0"/>
                <w:bCs w:val="0"/>
                <w:color w:val="auto"/>
                <w:spacing w:val="0"/>
                <w:kern w:val="0"/>
                <w:sz w:val="21"/>
                <w:szCs w:val="21"/>
                <w:lang w:val="en-US" w:eastAsia="zh-CN"/>
              </w:rPr>
              <w:t>无线电调频信号、自组网、支持双向无线通讯网络协议标准</w:t>
            </w:r>
            <w:r>
              <w:rPr>
                <w:rFonts w:hint="eastAsia" w:ascii="宋体" w:hAnsi="宋体" w:cs="宋体"/>
                <w:b w:val="0"/>
                <w:bCs w:val="0"/>
                <w:color w:val="auto"/>
                <w:spacing w:val="0"/>
                <w:kern w:val="0"/>
                <w:sz w:val="21"/>
                <w:szCs w:val="21"/>
                <w:lang w:val="en-US" w:eastAsia="zh-CN"/>
              </w:rPr>
              <w:t>。</w:t>
            </w:r>
          </w:p>
          <w:p w14:paraId="494E3C9E">
            <w:pPr>
              <w:pStyle w:val="2"/>
              <w:numPr>
                <w:ilvl w:val="0"/>
                <w:numId w:val="0"/>
              </w:numPr>
              <w:ind w:leftChars="0"/>
              <w:rPr>
                <w:rFonts w:hint="default" w:ascii="宋体" w:hAnsi="宋体" w:eastAsia="宋体" w:cs="宋体"/>
                <w:b w:val="0"/>
                <w:bCs w:val="0"/>
                <w:color w:val="auto"/>
                <w:spacing w:val="0"/>
                <w:kern w:val="0"/>
                <w:sz w:val="21"/>
                <w:szCs w:val="21"/>
                <w:lang w:val="en-US" w:eastAsia="zh-CN"/>
              </w:rPr>
            </w:pPr>
            <w:r>
              <w:rPr>
                <w:rFonts w:hint="eastAsia" w:ascii="宋体" w:hAnsi="宋体" w:cs="宋体"/>
                <w:b w:val="0"/>
                <w:bCs w:val="0"/>
                <w:color w:val="auto"/>
                <w:spacing w:val="0"/>
                <w:kern w:val="0"/>
                <w:sz w:val="21"/>
                <w:szCs w:val="21"/>
                <w:lang w:val="en-US" w:eastAsia="zh-CN"/>
              </w:rPr>
              <w:t>6.4</w:t>
            </w:r>
            <w:r>
              <w:rPr>
                <w:rFonts w:hint="default" w:ascii="宋体" w:hAnsi="宋体" w:eastAsia="宋体" w:cs="宋体"/>
                <w:b w:val="0"/>
                <w:bCs w:val="0"/>
                <w:color w:val="auto"/>
                <w:spacing w:val="0"/>
                <w:kern w:val="0"/>
                <w:sz w:val="21"/>
                <w:szCs w:val="21"/>
                <w:lang w:val="en-US" w:eastAsia="zh-CN"/>
              </w:rPr>
              <w:t>显示</w:t>
            </w:r>
            <w:r>
              <w:rPr>
                <w:rFonts w:hint="eastAsia" w:ascii="宋体" w:hAnsi="宋体" w:cs="宋体"/>
                <w:b w:val="0"/>
                <w:bCs w:val="0"/>
                <w:color w:val="auto"/>
                <w:spacing w:val="0"/>
                <w:kern w:val="0"/>
                <w:sz w:val="21"/>
                <w:szCs w:val="21"/>
                <w:lang w:val="en-US" w:eastAsia="zh-CN"/>
              </w:rPr>
              <w:t>：</w:t>
            </w:r>
            <w:r>
              <w:rPr>
                <w:rFonts w:hint="default" w:ascii="宋体" w:hAnsi="宋体" w:eastAsia="宋体" w:cs="宋体"/>
                <w:b w:val="0"/>
                <w:bCs w:val="0"/>
                <w:color w:val="auto"/>
                <w:spacing w:val="0"/>
                <w:kern w:val="0"/>
                <w:sz w:val="21"/>
                <w:szCs w:val="21"/>
                <w:lang w:val="en-US" w:eastAsia="zh-CN"/>
              </w:rPr>
              <w:t>LED液晶显示</w:t>
            </w:r>
            <w:r>
              <w:rPr>
                <w:rFonts w:hint="eastAsia" w:ascii="宋体" w:hAnsi="宋体" w:cs="宋体"/>
                <w:b w:val="0"/>
                <w:bCs w:val="0"/>
                <w:color w:val="auto"/>
                <w:spacing w:val="0"/>
                <w:kern w:val="0"/>
                <w:sz w:val="21"/>
                <w:szCs w:val="21"/>
                <w:lang w:val="en-US" w:eastAsia="zh-CN"/>
              </w:rPr>
              <w:t>。</w:t>
            </w:r>
          </w:p>
          <w:p w14:paraId="13180B07">
            <w:pPr>
              <w:pStyle w:val="2"/>
              <w:numPr>
                <w:ilvl w:val="0"/>
                <w:numId w:val="0"/>
              </w:numPr>
              <w:ind w:leftChars="0"/>
              <w:rPr>
                <w:rFonts w:hint="default" w:ascii="宋体" w:hAnsi="宋体" w:eastAsia="宋体" w:cs="宋体"/>
                <w:b w:val="0"/>
                <w:bCs w:val="0"/>
                <w:color w:val="auto"/>
                <w:spacing w:val="0"/>
                <w:kern w:val="0"/>
                <w:sz w:val="21"/>
                <w:szCs w:val="21"/>
                <w:lang w:val="en-US" w:eastAsia="zh-CN"/>
              </w:rPr>
            </w:pPr>
            <w:r>
              <w:rPr>
                <w:rFonts w:hint="eastAsia" w:ascii="宋体" w:hAnsi="宋体" w:cs="宋体"/>
                <w:b w:val="0"/>
                <w:bCs w:val="0"/>
                <w:color w:val="auto"/>
                <w:spacing w:val="0"/>
                <w:kern w:val="0"/>
                <w:sz w:val="21"/>
                <w:szCs w:val="21"/>
                <w:lang w:val="en-US" w:eastAsia="zh-CN"/>
              </w:rPr>
              <w:t>6.5</w:t>
            </w:r>
            <w:r>
              <w:rPr>
                <w:rFonts w:hint="default" w:ascii="宋体" w:hAnsi="宋体" w:eastAsia="宋体" w:cs="宋体"/>
                <w:b w:val="0"/>
                <w:bCs w:val="0"/>
                <w:color w:val="auto"/>
                <w:spacing w:val="0"/>
                <w:kern w:val="0"/>
                <w:sz w:val="21"/>
                <w:szCs w:val="21"/>
                <w:lang w:val="en-US" w:eastAsia="zh-CN"/>
              </w:rPr>
              <w:t>数据存储周期</w:t>
            </w:r>
            <w:r>
              <w:rPr>
                <w:rFonts w:hint="eastAsia" w:ascii="宋体" w:hAnsi="宋体" w:cs="宋体"/>
                <w:b w:val="0"/>
                <w:bCs w:val="0"/>
                <w:color w:val="auto"/>
                <w:spacing w:val="0"/>
                <w:kern w:val="0"/>
                <w:sz w:val="21"/>
                <w:szCs w:val="21"/>
                <w:lang w:val="en-US" w:eastAsia="zh-CN"/>
              </w:rPr>
              <w:t>：</w:t>
            </w:r>
            <w:r>
              <w:rPr>
                <w:rFonts w:hint="default" w:ascii="宋体" w:hAnsi="宋体" w:eastAsia="宋体" w:cs="宋体"/>
                <w:b w:val="0"/>
                <w:bCs w:val="0"/>
                <w:color w:val="auto"/>
                <w:spacing w:val="0"/>
                <w:kern w:val="0"/>
                <w:sz w:val="21"/>
                <w:szCs w:val="21"/>
                <w:lang w:val="en-US" w:eastAsia="zh-CN"/>
              </w:rPr>
              <w:t>≥1年</w:t>
            </w:r>
            <w:r>
              <w:rPr>
                <w:rFonts w:hint="eastAsia" w:ascii="宋体" w:hAnsi="宋体" w:cs="宋体"/>
                <w:b w:val="0"/>
                <w:bCs w:val="0"/>
                <w:color w:val="auto"/>
                <w:spacing w:val="0"/>
                <w:kern w:val="0"/>
                <w:sz w:val="21"/>
                <w:szCs w:val="21"/>
                <w:lang w:val="en-US" w:eastAsia="zh-CN"/>
              </w:rPr>
              <w:t>。</w:t>
            </w:r>
          </w:p>
          <w:p w14:paraId="5B092664">
            <w:pPr>
              <w:widowControl/>
              <w:numPr>
                <w:ilvl w:val="0"/>
                <w:numId w:val="0"/>
              </w:numPr>
              <w:spacing w:line="360" w:lineRule="auto"/>
              <w:textAlignment w:val="top"/>
              <w:rPr>
                <w:rFonts w:hint="eastAsia" w:asciiTheme="minorEastAsia" w:hAnsiTheme="minorEastAsia" w:eastAsiaTheme="minorEastAsia" w:cstheme="minorEastAsia"/>
                <w:color w:val="auto"/>
                <w:szCs w:val="21"/>
              </w:rPr>
            </w:pPr>
            <w:r>
              <w:rPr>
                <w:rFonts w:hint="eastAsia" w:ascii="宋体" w:hAnsi="宋体" w:cs="宋体"/>
                <w:b w:val="0"/>
                <w:bCs w:val="0"/>
                <w:color w:val="auto"/>
                <w:spacing w:val="0"/>
                <w:kern w:val="0"/>
                <w:sz w:val="21"/>
                <w:szCs w:val="21"/>
                <w:lang w:val="en-US" w:eastAsia="zh-CN"/>
              </w:rPr>
              <w:t>6.6</w:t>
            </w:r>
            <w:r>
              <w:rPr>
                <w:rFonts w:hint="default" w:ascii="宋体" w:hAnsi="宋体" w:eastAsia="宋体" w:cs="宋体"/>
                <w:b w:val="0"/>
                <w:bCs w:val="0"/>
                <w:color w:val="auto"/>
                <w:spacing w:val="0"/>
                <w:kern w:val="0"/>
                <w:sz w:val="21"/>
                <w:szCs w:val="21"/>
                <w:lang w:val="en-US" w:eastAsia="zh-CN"/>
              </w:rPr>
              <w:t>采样评率</w:t>
            </w:r>
            <w:r>
              <w:rPr>
                <w:rFonts w:hint="eastAsia" w:ascii="宋体" w:hAnsi="宋体" w:cs="宋体"/>
                <w:b w:val="0"/>
                <w:bCs w:val="0"/>
                <w:color w:val="auto"/>
                <w:spacing w:val="0"/>
                <w:kern w:val="0"/>
                <w:sz w:val="21"/>
                <w:szCs w:val="21"/>
                <w:lang w:val="en-US" w:eastAsia="zh-CN"/>
              </w:rPr>
              <w:t>：:</w:t>
            </w:r>
            <w:r>
              <w:rPr>
                <w:rFonts w:hint="default" w:ascii="宋体" w:hAnsi="宋体" w:eastAsia="宋体" w:cs="宋体"/>
                <w:b w:val="0"/>
                <w:bCs w:val="0"/>
                <w:color w:val="auto"/>
                <w:spacing w:val="0"/>
                <w:kern w:val="0"/>
                <w:sz w:val="21"/>
                <w:szCs w:val="21"/>
                <w:lang w:val="en-US" w:eastAsia="zh-CN"/>
              </w:rPr>
              <w:t>≤1小时/次</w:t>
            </w:r>
            <w:r>
              <w:rPr>
                <w:rFonts w:hint="eastAsia" w:ascii="宋体" w:hAnsi="宋体" w:cs="宋体"/>
                <w:b w:val="0"/>
                <w:bCs w:val="0"/>
                <w:color w:val="auto"/>
                <w:spacing w:val="0"/>
                <w:kern w:val="0"/>
                <w:sz w:val="21"/>
                <w:szCs w:val="21"/>
                <w:lang w:val="en-US" w:eastAsia="zh-CN"/>
              </w:rPr>
              <w:t>。</w:t>
            </w:r>
          </w:p>
        </w:tc>
        <w:tc>
          <w:tcPr>
            <w:tcW w:w="7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5C09AF">
            <w:pPr>
              <w:widowControl/>
              <w:jc w:val="center"/>
              <w:textAlignment w:val="center"/>
              <w:rPr>
                <w:rFonts w:hint="eastAsia" w:asciiTheme="minorEastAsia" w:hAnsiTheme="minorEastAsia" w:eastAsiaTheme="minorEastAsia" w:cstheme="minorEastAsia"/>
                <w:color w:val="auto"/>
                <w:kern w:val="0"/>
                <w:szCs w:val="21"/>
                <w:lang w:val="en-US" w:eastAsia="zh-CN"/>
              </w:rPr>
            </w:pPr>
          </w:p>
          <w:p w14:paraId="7DC96EF9">
            <w:pPr>
              <w:widowControl/>
              <w:jc w:val="center"/>
              <w:textAlignment w:val="center"/>
              <w:rPr>
                <w:rFonts w:hint="eastAsia" w:asciiTheme="minorEastAsia" w:hAnsiTheme="minorEastAsia" w:eastAsiaTheme="minorEastAsia" w:cstheme="minorEastAsia"/>
                <w:color w:val="auto"/>
                <w:kern w:val="0"/>
                <w:szCs w:val="21"/>
                <w:lang w:val="en-US" w:eastAsia="zh-CN"/>
              </w:rPr>
            </w:pPr>
          </w:p>
          <w:p w14:paraId="1A0EC71C">
            <w:pPr>
              <w:widowControl/>
              <w:jc w:val="center"/>
              <w:textAlignment w:val="center"/>
              <w:rPr>
                <w:rFonts w:hint="eastAsia" w:asciiTheme="minorEastAsia" w:hAnsiTheme="minorEastAsia" w:eastAsiaTheme="minorEastAsia" w:cstheme="minorEastAsia"/>
                <w:color w:val="auto"/>
                <w:kern w:val="0"/>
                <w:szCs w:val="21"/>
                <w:lang w:val="en-US" w:eastAsia="zh-CN"/>
              </w:rPr>
            </w:pPr>
          </w:p>
          <w:p w14:paraId="062B9CDE">
            <w:pPr>
              <w:widowControl/>
              <w:jc w:val="center"/>
              <w:textAlignment w:val="center"/>
              <w:rPr>
                <w:rFonts w:hint="eastAsia" w:asciiTheme="minorEastAsia" w:hAnsiTheme="minorEastAsia" w:eastAsiaTheme="minorEastAsia" w:cstheme="minorEastAsia"/>
                <w:color w:val="auto"/>
                <w:kern w:val="0"/>
                <w:szCs w:val="21"/>
                <w:lang w:val="en-US" w:eastAsia="zh-CN"/>
              </w:rPr>
            </w:pPr>
          </w:p>
          <w:p w14:paraId="55AEC2D0">
            <w:pPr>
              <w:widowControl/>
              <w:jc w:val="center"/>
              <w:textAlignment w:val="center"/>
              <w:rPr>
                <w:rFonts w:hint="eastAsia" w:asciiTheme="minorEastAsia" w:hAnsiTheme="minorEastAsia" w:eastAsiaTheme="minorEastAsia" w:cstheme="minorEastAsia"/>
                <w:color w:val="auto"/>
                <w:kern w:val="0"/>
                <w:szCs w:val="21"/>
                <w:lang w:val="en-US" w:eastAsia="zh-CN"/>
              </w:rPr>
            </w:pPr>
          </w:p>
          <w:p w14:paraId="7B15999A">
            <w:pPr>
              <w:widowControl/>
              <w:jc w:val="center"/>
              <w:textAlignment w:val="center"/>
              <w:rPr>
                <w:rFonts w:hint="eastAsia" w:ascii="宋体" w:hAnsi="宋体"/>
                <w:color w:val="auto"/>
                <w:szCs w:val="21"/>
              </w:rPr>
            </w:pPr>
            <w:r>
              <w:rPr>
                <w:rFonts w:hint="eastAsia" w:asciiTheme="minorEastAsia" w:hAnsiTheme="minorEastAsia" w:eastAsiaTheme="minorEastAsia" w:cstheme="minorEastAsia"/>
                <w:color w:val="auto"/>
                <w:kern w:val="0"/>
                <w:szCs w:val="21"/>
                <w:lang w:val="en-US" w:eastAsia="zh-CN"/>
              </w:rPr>
              <w:t>6</w:t>
            </w:r>
          </w:p>
        </w:tc>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3E38BD">
            <w:pPr>
              <w:widowControl/>
              <w:jc w:val="center"/>
              <w:textAlignment w:val="center"/>
              <w:rPr>
                <w:rFonts w:hint="eastAsia" w:asciiTheme="minorEastAsia" w:hAnsiTheme="minorEastAsia" w:eastAsiaTheme="minorEastAsia" w:cstheme="minorEastAsia"/>
                <w:color w:val="auto"/>
                <w:szCs w:val="21"/>
                <w:lang w:val="en-US" w:eastAsia="zh-CN"/>
              </w:rPr>
            </w:pPr>
          </w:p>
          <w:p w14:paraId="6EB4FF5E">
            <w:pPr>
              <w:widowControl/>
              <w:jc w:val="center"/>
              <w:textAlignment w:val="center"/>
              <w:rPr>
                <w:rFonts w:hint="eastAsia" w:asciiTheme="minorEastAsia" w:hAnsiTheme="minorEastAsia" w:eastAsiaTheme="minorEastAsia" w:cstheme="minorEastAsia"/>
                <w:color w:val="auto"/>
                <w:szCs w:val="21"/>
                <w:lang w:val="en-US" w:eastAsia="zh-CN"/>
              </w:rPr>
            </w:pPr>
          </w:p>
          <w:p w14:paraId="56EE94D7">
            <w:pPr>
              <w:widowControl/>
              <w:jc w:val="center"/>
              <w:textAlignment w:val="center"/>
              <w:rPr>
                <w:rFonts w:hint="eastAsia" w:asciiTheme="minorEastAsia" w:hAnsiTheme="minorEastAsia" w:eastAsiaTheme="minorEastAsia" w:cstheme="minorEastAsia"/>
                <w:color w:val="auto"/>
                <w:szCs w:val="21"/>
                <w:lang w:val="en-US" w:eastAsia="zh-CN"/>
              </w:rPr>
            </w:pPr>
          </w:p>
          <w:p w14:paraId="56134F8A">
            <w:pPr>
              <w:widowControl/>
              <w:jc w:val="center"/>
              <w:textAlignment w:val="center"/>
              <w:rPr>
                <w:rFonts w:hint="eastAsia" w:asciiTheme="minorEastAsia" w:hAnsiTheme="minorEastAsia" w:eastAsiaTheme="minorEastAsia" w:cstheme="minorEastAsia"/>
                <w:color w:val="auto"/>
                <w:szCs w:val="21"/>
                <w:lang w:val="en-US" w:eastAsia="zh-CN"/>
              </w:rPr>
            </w:pPr>
          </w:p>
          <w:p w14:paraId="2AC8A94C">
            <w:pPr>
              <w:widowControl/>
              <w:jc w:val="center"/>
              <w:textAlignment w:val="center"/>
              <w:rPr>
                <w:rFonts w:hint="eastAsia" w:asciiTheme="minorEastAsia" w:hAnsiTheme="minorEastAsia" w:eastAsiaTheme="minorEastAsia" w:cstheme="minorEastAsia"/>
                <w:color w:val="auto"/>
                <w:szCs w:val="21"/>
                <w:lang w:val="en-US" w:eastAsia="zh-CN"/>
              </w:rPr>
            </w:pPr>
          </w:p>
          <w:p w14:paraId="2E2FBA30">
            <w:pPr>
              <w:widowControl/>
              <w:jc w:val="center"/>
              <w:textAlignment w:val="center"/>
              <w:rPr>
                <w:rFonts w:hint="eastAsia" w:ascii="宋体" w:hAnsi="宋体"/>
                <w:color w:val="auto"/>
                <w:szCs w:val="21"/>
              </w:rPr>
            </w:pPr>
            <w:r>
              <w:rPr>
                <w:rFonts w:hint="eastAsia" w:asciiTheme="minorEastAsia" w:hAnsiTheme="minorEastAsia" w:eastAsiaTheme="minorEastAsia" w:cstheme="minorEastAsia"/>
                <w:color w:val="auto"/>
                <w:szCs w:val="21"/>
                <w:lang w:val="en-US" w:eastAsia="zh-CN"/>
              </w:rPr>
              <w:t>只</w:t>
            </w:r>
          </w:p>
        </w:tc>
      </w:tr>
      <w:tr w14:paraId="7ADA4DD5">
        <w:tblPrEx>
          <w:tblCellMar>
            <w:top w:w="0" w:type="dxa"/>
            <w:left w:w="108" w:type="dxa"/>
            <w:bottom w:w="0" w:type="dxa"/>
            <w:right w:w="108" w:type="dxa"/>
          </w:tblCellMar>
        </w:tblPrEx>
        <w:trPr>
          <w:trHeight w:val="929" w:hRule="atLeast"/>
        </w:trPr>
        <w:tc>
          <w:tcPr>
            <w:tcW w:w="72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B6AC01">
            <w:pPr>
              <w:widowControl/>
              <w:jc w:val="center"/>
              <w:textAlignment w:val="center"/>
              <w:rPr>
                <w:rFonts w:hint="eastAsia" w:ascii="宋体" w:hAnsi="宋体" w:cs="宋体"/>
                <w:b/>
                <w:bCs/>
                <w:color w:val="auto"/>
                <w:spacing w:val="0"/>
                <w:kern w:val="0"/>
                <w:sz w:val="21"/>
                <w:szCs w:val="21"/>
                <w:lang w:val="en-US" w:eastAsia="zh-CN"/>
              </w:rPr>
            </w:pPr>
            <w:r>
              <w:rPr>
                <w:rFonts w:hint="eastAsia" w:ascii="宋体" w:hAnsi="宋体" w:cs="宋体"/>
                <w:b/>
                <w:bCs/>
                <w:color w:val="auto"/>
                <w:spacing w:val="0"/>
                <w:kern w:val="0"/>
                <w:sz w:val="21"/>
                <w:szCs w:val="21"/>
                <w:lang w:val="en-US" w:eastAsia="zh-CN"/>
              </w:rPr>
              <w:t>7</w:t>
            </w:r>
          </w:p>
        </w:tc>
        <w:tc>
          <w:tcPr>
            <w:tcW w:w="9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E1051E">
            <w:pPr>
              <w:widowControl/>
              <w:jc w:val="center"/>
              <w:textAlignment w:val="center"/>
              <w:rPr>
                <w:rFonts w:hint="eastAsia" w:ascii="宋体" w:hAnsi="宋体" w:cs="宋体"/>
                <w:b/>
                <w:bCs/>
                <w:color w:val="auto"/>
                <w:spacing w:val="0"/>
                <w:kern w:val="0"/>
                <w:sz w:val="21"/>
                <w:szCs w:val="21"/>
                <w:lang w:val="en-US" w:eastAsia="zh-CN"/>
              </w:rPr>
            </w:pPr>
          </w:p>
          <w:p w14:paraId="78DD0AA9">
            <w:pPr>
              <w:widowControl/>
              <w:jc w:val="center"/>
              <w:textAlignment w:val="center"/>
              <w:rPr>
                <w:rFonts w:hint="eastAsia" w:ascii="宋体" w:hAnsi="宋体" w:cs="宋体"/>
                <w:b/>
                <w:bCs/>
                <w:color w:val="auto"/>
                <w:spacing w:val="0"/>
                <w:kern w:val="0"/>
                <w:sz w:val="21"/>
                <w:szCs w:val="21"/>
                <w:lang w:val="en-US" w:eastAsia="zh-CN"/>
              </w:rPr>
            </w:pPr>
            <w:r>
              <w:rPr>
                <w:rFonts w:hint="eastAsia" w:ascii="宋体" w:hAnsi="宋体" w:cs="宋体"/>
                <w:b/>
                <w:bCs/>
                <w:color w:val="auto"/>
                <w:spacing w:val="0"/>
                <w:kern w:val="0"/>
                <w:sz w:val="21"/>
                <w:szCs w:val="21"/>
                <w:lang w:val="en-US" w:eastAsia="zh-CN"/>
              </w:rPr>
              <w:t>中继</w:t>
            </w:r>
          </w:p>
          <w:p w14:paraId="3BA9656E">
            <w:pPr>
              <w:widowControl/>
              <w:jc w:val="center"/>
              <w:textAlignment w:val="center"/>
              <w:rPr>
                <w:rFonts w:hint="eastAsia" w:ascii="宋体" w:hAnsi="宋体" w:cs="宋体"/>
                <w:b/>
                <w:bCs/>
                <w:color w:val="auto"/>
                <w:spacing w:val="0"/>
                <w:kern w:val="0"/>
                <w:sz w:val="21"/>
                <w:szCs w:val="21"/>
                <w:lang w:val="en-US" w:eastAsia="zh-CN"/>
              </w:rPr>
            </w:pPr>
          </w:p>
        </w:tc>
        <w:tc>
          <w:tcPr>
            <w:tcW w:w="5446" w:type="dxa"/>
            <w:tcBorders>
              <w:top w:val="single" w:color="000000" w:sz="4" w:space="0"/>
              <w:left w:val="single" w:color="000000" w:sz="4" w:space="0"/>
              <w:bottom w:val="single" w:color="000000" w:sz="4" w:space="0"/>
              <w:right w:val="single" w:color="000000" w:sz="4" w:space="0"/>
            </w:tcBorders>
            <w:shd w:val="clear" w:color="auto" w:fill="auto"/>
          </w:tcPr>
          <w:p w14:paraId="1D4853D5">
            <w:pPr>
              <w:spacing w:line="360" w:lineRule="auto"/>
              <w:outlineLvl w:val="9"/>
              <w:rPr>
                <w:rFonts w:hint="eastAsia" w:ascii="宋体" w:hAnsi="宋体" w:eastAsia="宋体" w:cs="宋体"/>
                <w:color w:val="auto"/>
                <w:spacing w:val="-10"/>
                <w:kern w:val="2"/>
                <w:sz w:val="21"/>
                <w:szCs w:val="21"/>
                <w:lang w:val="en-US" w:eastAsia="zh-CN" w:bidi="ar-SA"/>
              </w:rPr>
            </w:pPr>
          </w:p>
          <w:p w14:paraId="75E2F570">
            <w:pPr>
              <w:spacing w:line="360" w:lineRule="auto"/>
              <w:outlineLvl w:val="9"/>
              <w:rPr>
                <w:rFonts w:hint="eastAsia" w:ascii="宋体" w:hAnsi="宋体" w:eastAsia="宋体" w:cs="宋体"/>
                <w:color w:val="auto"/>
                <w:spacing w:val="-10"/>
                <w:kern w:val="2"/>
                <w:sz w:val="21"/>
                <w:szCs w:val="21"/>
                <w:lang w:val="en-US" w:eastAsia="zh-CN" w:bidi="ar-SA"/>
              </w:rPr>
            </w:pPr>
            <w:r>
              <w:rPr>
                <w:rFonts w:hint="eastAsia" w:ascii="宋体" w:hAnsi="宋体" w:eastAsia="宋体" w:cs="宋体"/>
                <w:color w:val="auto"/>
                <w:spacing w:val="-10"/>
                <w:kern w:val="2"/>
                <w:sz w:val="21"/>
                <w:szCs w:val="21"/>
                <w:lang w:val="en-US" w:eastAsia="zh-CN" w:bidi="ar-SA"/>
              </w:rPr>
              <w:t>低功耗无线，能接入220V市电。</w:t>
            </w:r>
          </w:p>
          <w:p w14:paraId="1932A916">
            <w:pPr>
              <w:widowControl/>
              <w:numPr>
                <w:ilvl w:val="0"/>
                <w:numId w:val="0"/>
              </w:numPr>
              <w:spacing w:line="360" w:lineRule="auto"/>
              <w:textAlignment w:val="top"/>
              <w:rPr>
                <w:rFonts w:hint="eastAsia" w:asciiTheme="minorEastAsia" w:hAnsiTheme="minorEastAsia" w:eastAsiaTheme="minorEastAsia" w:cstheme="minorEastAsia"/>
                <w:color w:val="auto"/>
                <w:szCs w:val="21"/>
              </w:rPr>
            </w:pPr>
          </w:p>
        </w:tc>
        <w:tc>
          <w:tcPr>
            <w:tcW w:w="7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D783CE">
            <w:pPr>
              <w:widowControl/>
              <w:jc w:val="center"/>
              <w:textAlignment w:val="center"/>
              <w:rPr>
                <w:rFonts w:hint="eastAsia" w:ascii="宋体" w:hAnsi="宋体"/>
                <w:color w:val="auto"/>
                <w:szCs w:val="21"/>
              </w:rPr>
            </w:pPr>
            <w:r>
              <w:rPr>
                <w:rFonts w:hint="eastAsia" w:asciiTheme="minorEastAsia" w:hAnsiTheme="minorEastAsia" w:eastAsiaTheme="minorEastAsia" w:cstheme="minorEastAsia"/>
                <w:color w:val="auto"/>
                <w:kern w:val="0"/>
                <w:szCs w:val="21"/>
                <w:lang w:val="en-US" w:eastAsia="zh-CN"/>
              </w:rPr>
              <w:t>6</w:t>
            </w:r>
          </w:p>
        </w:tc>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F12783">
            <w:pPr>
              <w:widowControl/>
              <w:jc w:val="center"/>
              <w:textAlignment w:val="center"/>
              <w:rPr>
                <w:rFonts w:hint="eastAsia" w:ascii="宋体" w:hAnsi="宋体"/>
                <w:color w:val="auto"/>
                <w:szCs w:val="21"/>
              </w:rPr>
            </w:pPr>
            <w:r>
              <w:rPr>
                <w:rFonts w:hint="eastAsia" w:asciiTheme="minorEastAsia" w:hAnsiTheme="minorEastAsia" w:eastAsiaTheme="minorEastAsia" w:cstheme="minorEastAsia"/>
                <w:color w:val="auto"/>
                <w:szCs w:val="21"/>
                <w:lang w:val="en-US" w:eastAsia="zh-CN"/>
              </w:rPr>
              <w:t>只</w:t>
            </w:r>
          </w:p>
        </w:tc>
      </w:tr>
      <w:tr w14:paraId="67F5AB27">
        <w:tblPrEx>
          <w:tblCellMar>
            <w:top w:w="0" w:type="dxa"/>
            <w:left w:w="108" w:type="dxa"/>
            <w:bottom w:w="0" w:type="dxa"/>
            <w:right w:w="108" w:type="dxa"/>
          </w:tblCellMar>
        </w:tblPrEx>
        <w:trPr>
          <w:trHeight w:val="1023" w:hRule="atLeast"/>
        </w:trPr>
        <w:tc>
          <w:tcPr>
            <w:tcW w:w="72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9683FE">
            <w:pPr>
              <w:widowControl/>
              <w:jc w:val="center"/>
              <w:textAlignment w:val="center"/>
              <w:rPr>
                <w:rFonts w:hint="eastAsia" w:ascii="宋体" w:hAnsi="宋体" w:cs="宋体"/>
                <w:b/>
                <w:bCs/>
                <w:color w:val="auto"/>
                <w:spacing w:val="0"/>
                <w:kern w:val="0"/>
                <w:sz w:val="21"/>
                <w:szCs w:val="21"/>
                <w:lang w:val="en-US" w:eastAsia="zh-CN"/>
              </w:rPr>
            </w:pPr>
            <w:r>
              <w:rPr>
                <w:rFonts w:hint="eastAsia" w:ascii="宋体" w:hAnsi="宋体" w:cs="宋体"/>
                <w:b/>
                <w:bCs/>
                <w:color w:val="auto"/>
                <w:spacing w:val="0"/>
                <w:kern w:val="0"/>
                <w:sz w:val="21"/>
                <w:szCs w:val="21"/>
                <w:lang w:val="en-US" w:eastAsia="zh-CN"/>
              </w:rPr>
              <w:t>8</w:t>
            </w:r>
          </w:p>
        </w:tc>
        <w:tc>
          <w:tcPr>
            <w:tcW w:w="9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9BF647">
            <w:pPr>
              <w:widowControl/>
              <w:jc w:val="center"/>
              <w:textAlignment w:val="center"/>
              <w:rPr>
                <w:rFonts w:hint="eastAsia" w:ascii="宋体" w:hAnsi="宋体" w:cs="宋体"/>
                <w:b/>
                <w:bCs/>
                <w:color w:val="auto"/>
                <w:spacing w:val="0"/>
                <w:kern w:val="0"/>
                <w:sz w:val="21"/>
                <w:szCs w:val="21"/>
                <w:lang w:val="en-US" w:eastAsia="zh-CN"/>
              </w:rPr>
            </w:pPr>
            <w:r>
              <w:rPr>
                <w:rFonts w:hint="eastAsia" w:ascii="宋体" w:hAnsi="宋体" w:cs="宋体"/>
                <w:b/>
                <w:bCs/>
                <w:color w:val="auto"/>
                <w:spacing w:val="0"/>
                <w:kern w:val="0"/>
                <w:sz w:val="21"/>
                <w:szCs w:val="21"/>
                <w:lang w:val="en-US" w:eastAsia="zh-CN"/>
              </w:rPr>
              <w:t>物联网网关</w:t>
            </w:r>
          </w:p>
          <w:p w14:paraId="1D932365">
            <w:pPr>
              <w:widowControl/>
              <w:jc w:val="center"/>
              <w:textAlignment w:val="center"/>
              <w:rPr>
                <w:rFonts w:hint="eastAsia" w:ascii="宋体" w:hAnsi="宋体" w:cs="宋体"/>
                <w:b/>
                <w:bCs/>
                <w:color w:val="auto"/>
                <w:spacing w:val="0"/>
                <w:kern w:val="0"/>
                <w:sz w:val="21"/>
                <w:szCs w:val="21"/>
                <w:lang w:val="en-US" w:eastAsia="zh-CN"/>
              </w:rPr>
            </w:pPr>
          </w:p>
        </w:tc>
        <w:tc>
          <w:tcPr>
            <w:tcW w:w="5446" w:type="dxa"/>
            <w:tcBorders>
              <w:top w:val="single" w:color="000000" w:sz="4" w:space="0"/>
              <w:left w:val="single" w:color="000000" w:sz="4" w:space="0"/>
              <w:bottom w:val="single" w:color="000000" w:sz="4" w:space="0"/>
              <w:right w:val="single" w:color="000000" w:sz="4" w:space="0"/>
            </w:tcBorders>
            <w:shd w:val="clear" w:color="auto" w:fill="auto"/>
          </w:tcPr>
          <w:p w14:paraId="3559E902">
            <w:pPr>
              <w:pStyle w:val="5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outlineLvl w:val="9"/>
              <w:rPr>
                <w:rFonts w:hint="eastAsia" w:ascii="宋体" w:hAnsi="宋体" w:eastAsia="宋体" w:cs="宋体"/>
                <w:color w:val="auto"/>
                <w:sz w:val="21"/>
                <w:szCs w:val="21"/>
              </w:rPr>
            </w:pPr>
            <w:r>
              <w:rPr>
                <w:rFonts w:hint="eastAsia" w:ascii="宋体" w:hAnsi="宋体" w:cs="宋体"/>
                <w:color w:val="auto"/>
                <w:kern w:val="2"/>
                <w:sz w:val="21"/>
                <w:szCs w:val="21"/>
                <w:lang w:val="en-US" w:eastAsia="zh-CN" w:bidi="ar-SA"/>
              </w:rPr>
              <w:t>8.1</w:t>
            </w:r>
            <w:r>
              <w:rPr>
                <w:rFonts w:hint="eastAsia" w:ascii="宋体" w:hAnsi="宋体" w:eastAsia="宋体" w:cs="宋体"/>
                <w:color w:val="auto"/>
                <w:sz w:val="21"/>
                <w:szCs w:val="21"/>
              </w:rPr>
              <w:t>.具有数据存储及数据上传、回补到数据库的功能；</w:t>
            </w:r>
          </w:p>
          <w:p w14:paraId="3B163F86">
            <w:pPr>
              <w:pStyle w:val="5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outlineLvl w:val="9"/>
              <w:rPr>
                <w:rFonts w:hint="eastAsia" w:ascii="宋体" w:hAnsi="宋体" w:eastAsia="宋体" w:cs="宋体"/>
                <w:color w:val="auto"/>
                <w:sz w:val="21"/>
                <w:szCs w:val="21"/>
              </w:rPr>
            </w:pPr>
            <w:r>
              <w:rPr>
                <w:rFonts w:hint="eastAsia" w:ascii="宋体" w:hAnsi="宋体" w:cs="宋体"/>
                <w:color w:val="auto"/>
                <w:kern w:val="2"/>
                <w:sz w:val="21"/>
                <w:szCs w:val="21"/>
                <w:lang w:val="en-US" w:eastAsia="zh-CN" w:bidi="ar-SA"/>
              </w:rPr>
              <w:t>8.2</w:t>
            </w:r>
            <w:r>
              <w:rPr>
                <w:rFonts w:hint="eastAsia" w:ascii="宋体" w:hAnsi="宋体" w:eastAsia="宋体" w:cs="宋体"/>
                <w:color w:val="auto"/>
                <w:sz w:val="21"/>
                <w:szCs w:val="21"/>
              </w:rPr>
              <w:t>具有数据校验的能力。在收到数据包时，能够根据数据包的CRC信息验证数据的正确性；转发的数据包中携带CRC校验信息，在数据包被父节点收到后，上位机能验证数据的正确性；</w:t>
            </w:r>
          </w:p>
          <w:p w14:paraId="789C22C3">
            <w:pPr>
              <w:pStyle w:val="5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outlineLvl w:val="9"/>
              <w:rPr>
                <w:rFonts w:hint="eastAsia" w:ascii="宋体" w:hAnsi="宋体" w:eastAsia="宋体" w:cs="宋体"/>
                <w:color w:val="auto"/>
                <w:sz w:val="21"/>
                <w:szCs w:val="21"/>
              </w:rPr>
            </w:pPr>
            <w:r>
              <w:rPr>
                <w:rFonts w:hint="eastAsia" w:ascii="宋体" w:hAnsi="宋体" w:cs="宋体"/>
                <w:color w:val="auto"/>
                <w:kern w:val="2"/>
                <w:sz w:val="21"/>
                <w:szCs w:val="21"/>
                <w:lang w:val="en-US" w:eastAsia="zh-CN" w:bidi="ar-SA"/>
              </w:rPr>
              <w:t>8.3</w:t>
            </w:r>
            <w:r>
              <w:rPr>
                <w:rFonts w:hint="eastAsia" w:ascii="宋体" w:hAnsi="宋体" w:eastAsia="宋体" w:cs="宋体"/>
                <w:color w:val="auto"/>
                <w:sz w:val="21"/>
                <w:szCs w:val="21"/>
              </w:rPr>
              <w:t>具有反馈能力，成功接收到数据包后，予以回复，表明成功接收状态；</w:t>
            </w:r>
          </w:p>
          <w:p w14:paraId="144AD791">
            <w:pPr>
              <w:pStyle w:val="5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outlineLvl w:val="9"/>
              <w:rPr>
                <w:rFonts w:hint="eastAsia" w:ascii="宋体" w:hAnsi="宋体" w:eastAsia="宋体" w:cs="宋体"/>
                <w:color w:val="auto"/>
                <w:sz w:val="21"/>
                <w:szCs w:val="21"/>
              </w:rPr>
            </w:pPr>
            <w:r>
              <w:rPr>
                <w:rFonts w:hint="eastAsia" w:ascii="宋体" w:hAnsi="宋体" w:cs="宋体"/>
                <w:color w:val="auto"/>
                <w:kern w:val="2"/>
                <w:sz w:val="21"/>
                <w:szCs w:val="21"/>
                <w:lang w:val="en-US" w:eastAsia="zh-CN" w:bidi="ar-SA"/>
              </w:rPr>
              <w:t>8.4</w:t>
            </w:r>
            <w:r>
              <w:rPr>
                <w:rFonts w:hint="eastAsia" w:ascii="宋体" w:hAnsi="宋体" w:eastAsia="宋体" w:cs="宋体"/>
                <w:color w:val="auto"/>
                <w:sz w:val="21"/>
                <w:szCs w:val="21"/>
              </w:rPr>
              <w:t>具有数据重发机制，当数据发送失败后，具有回避及重发机制。如果数据发送多次不成功，能够优选父节点，并重新发送；</w:t>
            </w:r>
          </w:p>
          <w:p w14:paraId="25127439">
            <w:pPr>
              <w:pStyle w:val="5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outlineLvl w:val="9"/>
              <w:rPr>
                <w:rFonts w:hint="eastAsia" w:ascii="宋体" w:hAnsi="宋体" w:eastAsia="宋体" w:cs="宋体"/>
                <w:color w:val="auto"/>
                <w:sz w:val="21"/>
                <w:szCs w:val="21"/>
              </w:rPr>
            </w:pPr>
            <w:r>
              <w:rPr>
                <w:rFonts w:hint="eastAsia" w:ascii="宋体" w:hAnsi="宋体" w:cs="宋体"/>
                <w:color w:val="auto"/>
                <w:kern w:val="2"/>
                <w:sz w:val="21"/>
                <w:szCs w:val="21"/>
                <w:lang w:val="en-US" w:eastAsia="zh-CN" w:bidi="ar-SA"/>
              </w:rPr>
              <w:t>8.5</w:t>
            </w:r>
            <w:r>
              <w:rPr>
                <w:rFonts w:hint="eastAsia" w:ascii="宋体" w:hAnsi="宋体" w:eastAsia="宋体" w:cs="宋体"/>
                <w:color w:val="auto"/>
                <w:sz w:val="21"/>
                <w:szCs w:val="21"/>
              </w:rPr>
              <w:t>具有下行转发能力，自父节点接收下行包，并根据路由机制，转发至目标子节点；</w:t>
            </w:r>
          </w:p>
          <w:p w14:paraId="719D828D">
            <w:pPr>
              <w:pStyle w:val="5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outlineLvl w:val="9"/>
              <w:rPr>
                <w:rFonts w:hint="eastAsia" w:ascii="宋体" w:hAnsi="宋体" w:eastAsia="宋体" w:cs="宋体"/>
                <w:color w:val="auto"/>
                <w:sz w:val="21"/>
                <w:szCs w:val="21"/>
              </w:rPr>
            </w:pPr>
            <w:r>
              <w:rPr>
                <w:rFonts w:hint="eastAsia" w:ascii="宋体" w:hAnsi="宋体" w:cs="宋体"/>
                <w:color w:val="auto"/>
                <w:kern w:val="2"/>
                <w:sz w:val="21"/>
                <w:szCs w:val="21"/>
                <w:lang w:val="en-US" w:eastAsia="zh-CN" w:bidi="ar-SA"/>
              </w:rPr>
              <w:t>8.6</w:t>
            </w:r>
            <w:r>
              <w:rPr>
                <w:rFonts w:hint="eastAsia" w:ascii="宋体" w:hAnsi="宋体" w:eastAsia="宋体" w:cs="宋体"/>
                <w:color w:val="auto"/>
                <w:sz w:val="21"/>
                <w:szCs w:val="21"/>
              </w:rPr>
              <w:t>无线网络网关与上位机通过远程方式连接。无线网络网关可以通过多种方式如以太网、WIFI（预留3G、4G）等连入Internet；无线网络网关的发送功率要求小于等于30dBm。无线网络网关与中继设备间的通讯距离大于200米（视距传输）。</w:t>
            </w:r>
          </w:p>
          <w:p w14:paraId="3AC4E10A">
            <w:pPr>
              <w:pStyle w:val="5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outlineLvl w:val="9"/>
              <w:rPr>
                <w:rFonts w:hint="eastAsia" w:ascii="宋体" w:hAnsi="宋体" w:eastAsia="宋体" w:cs="宋体"/>
                <w:color w:val="auto"/>
                <w:sz w:val="21"/>
                <w:szCs w:val="21"/>
              </w:rPr>
            </w:pPr>
            <w:r>
              <w:rPr>
                <w:rFonts w:hint="eastAsia" w:ascii="宋体" w:hAnsi="宋体" w:cs="宋体"/>
                <w:color w:val="auto"/>
                <w:kern w:val="2"/>
                <w:sz w:val="21"/>
                <w:szCs w:val="21"/>
                <w:lang w:val="en-US" w:eastAsia="zh-CN" w:bidi="ar-SA"/>
              </w:rPr>
              <w:t>8.7</w:t>
            </w:r>
            <w:r>
              <w:rPr>
                <w:rFonts w:hint="eastAsia" w:ascii="宋体" w:hAnsi="宋体" w:eastAsia="宋体" w:cs="宋体"/>
                <w:color w:val="auto"/>
                <w:sz w:val="21"/>
                <w:szCs w:val="21"/>
              </w:rPr>
              <w:t>硬件看门狗电路，宕机保护；</w:t>
            </w:r>
          </w:p>
          <w:p w14:paraId="12EC4D75">
            <w:pPr>
              <w:pStyle w:val="5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outlineLvl w:val="9"/>
              <w:rPr>
                <w:rFonts w:hint="eastAsia" w:asciiTheme="minorEastAsia" w:hAnsiTheme="minorEastAsia" w:eastAsiaTheme="minorEastAsia" w:cstheme="minorEastAsia"/>
                <w:color w:val="auto"/>
                <w:szCs w:val="21"/>
              </w:rPr>
            </w:pPr>
            <w:r>
              <w:rPr>
                <w:rFonts w:hint="eastAsia" w:ascii="宋体" w:hAnsi="宋体" w:cs="宋体"/>
                <w:color w:val="auto"/>
                <w:kern w:val="2"/>
                <w:sz w:val="21"/>
                <w:szCs w:val="21"/>
                <w:lang w:val="en-US" w:eastAsia="zh-CN" w:bidi="ar-SA"/>
              </w:rPr>
              <w:t>8.8</w:t>
            </w:r>
            <w:r>
              <w:rPr>
                <w:rFonts w:hint="eastAsia" w:ascii="宋体" w:hAnsi="宋体" w:eastAsia="宋体" w:cs="宋体"/>
                <w:color w:val="auto"/>
                <w:sz w:val="21"/>
                <w:szCs w:val="21"/>
              </w:rPr>
              <w:t>三路MQTT连接，可以用于数据传输多服务器备份等</w:t>
            </w:r>
            <w:r>
              <w:rPr>
                <w:rFonts w:hint="eastAsia" w:ascii="宋体" w:hAnsi="宋体" w:cs="宋体"/>
                <w:color w:val="auto"/>
                <w:sz w:val="21"/>
                <w:szCs w:val="21"/>
                <w:lang w:val="en-US" w:eastAsia="zh-CN"/>
              </w:rPr>
              <w:t>.</w:t>
            </w:r>
          </w:p>
        </w:tc>
        <w:tc>
          <w:tcPr>
            <w:tcW w:w="7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743E00">
            <w:pPr>
              <w:widowControl/>
              <w:jc w:val="center"/>
              <w:textAlignment w:val="center"/>
              <w:rPr>
                <w:rFonts w:hint="eastAsia" w:ascii="宋体" w:hAnsi="宋体" w:eastAsia="宋体"/>
                <w:color w:val="auto"/>
                <w:szCs w:val="21"/>
                <w:lang w:val="en-US" w:eastAsia="zh-CN"/>
              </w:rPr>
            </w:pPr>
            <w:r>
              <w:rPr>
                <w:rFonts w:hint="eastAsia" w:ascii="宋体" w:hAnsi="宋体"/>
                <w:color w:val="auto"/>
                <w:szCs w:val="21"/>
                <w:lang w:val="en-US" w:eastAsia="zh-CN"/>
              </w:rPr>
              <w:t>1</w:t>
            </w:r>
          </w:p>
        </w:tc>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0653C7">
            <w:pPr>
              <w:widowControl/>
              <w:jc w:val="center"/>
              <w:textAlignment w:val="center"/>
              <w:rPr>
                <w:rFonts w:hint="eastAsia" w:ascii="宋体" w:hAnsi="宋体" w:eastAsia="宋体"/>
                <w:color w:val="auto"/>
                <w:szCs w:val="21"/>
                <w:lang w:val="en-US" w:eastAsia="zh-CN"/>
              </w:rPr>
            </w:pPr>
            <w:r>
              <w:rPr>
                <w:rFonts w:hint="eastAsia" w:ascii="宋体" w:hAnsi="宋体"/>
                <w:color w:val="auto"/>
                <w:szCs w:val="21"/>
                <w:lang w:val="en-US" w:eastAsia="zh-CN"/>
              </w:rPr>
              <w:t>只</w:t>
            </w:r>
          </w:p>
        </w:tc>
      </w:tr>
      <w:tr w14:paraId="0BB94D22">
        <w:tblPrEx>
          <w:tblCellMar>
            <w:top w:w="0" w:type="dxa"/>
            <w:left w:w="108" w:type="dxa"/>
            <w:bottom w:w="0" w:type="dxa"/>
            <w:right w:w="108" w:type="dxa"/>
          </w:tblCellMar>
        </w:tblPrEx>
        <w:trPr>
          <w:trHeight w:val="1023" w:hRule="atLeast"/>
        </w:trPr>
        <w:tc>
          <w:tcPr>
            <w:tcW w:w="72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B9B33D">
            <w:pPr>
              <w:widowControl/>
              <w:jc w:val="center"/>
              <w:textAlignment w:val="center"/>
              <w:rPr>
                <w:rFonts w:hint="eastAsia" w:ascii="宋体" w:hAnsi="宋体" w:cs="宋体"/>
                <w:b/>
                <w:bCs/>
                <w:color w:val="auto"/>
                <w:spacing w:val="0"/>
                <w:kern w:val="0"/>
                <w:sz w:val="21"/>
                <w:szCs w:val="21"/>
                <w:lang w:val="en-US" w:eastAsia="zh-CN"/>
              </w:rPr>
            </w:pPr>
            <w:r>
              <w:rPr>
                <w:rFonts w:hint="eastAsia" w:ascii="宋体" w:hAnsi="宋体" w:cs="宋体"/>
                <w:b/>
                <w:bCs/>
                <w:color w:val="auto"/>
                <w:spacing w:val="0"/>
                <w:kern w:val="0"/>
                <w:sz w:val="21"/>
                <w:szCs w:val="21"/>
                <w:lang w:val="en-US" w:eastAsia="zh-CN"/>
              </w:rPr>
              <w:t>9</w:t>
            </w:r>
          </w:p>
        </w:tc>
        <w:tc>
          <w:tcPr>
            <w:tcW w:w="9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A6B873">
            <w:pPr>
              <w:widowControl/>
              <w:jc w:val="center"/>
              <w:textAlignment w:val="center"/>
              <w:rPr>
                <w:rFonts w:hint="eastAsia" w:ascii="宋体" w:hAnsi="宋体" w:cs="宋体"/>
                <w:b/>
                <w:bCs/>
                <w:color w:val="auto"/>
                <w:spacing w:val="0"/>
                <w:kern w:val="0"/>
                <w:sz w:val="21"/>
                <w:szCs w:val="21"/>
                <w:lang w:val="en-US" w:eastAsia="zh-CN"/>
              </w:rPr>
            </w:pPr>
            <w:r>
              <w:rPr>
                <w:rFonts w:hint="eastAsia" w:ascii="宋体" w:hAnsi="宋体" w:cs="宋体"/>
                <w:b/>
                <w:bCs/>
                <w:color w:val="auto"/>
                <w:spacing w:val="0"/>
                <w:kern w:val="0"/>
                <w:sz w:val="21"/>
                <w:szCs w:val="21"/>
                <w:lang w:val="en-US" w:eastAsia="zh-CN"/>
              </w:rPr>
              <w:t>交换机</w:t>
            </w:r>
          </w:p>
        </w:tc>
        <w:tc>
          <w:tcPr>
            <w:tcW w:w="5446" w:type="dxa"/>
            <w:tcBorders>
              <w:top w:val="single" w:color="000000" w:sz="4" w:space="0"/>
              <w:left w:val="single" w:color="000000" w:sz="4" w:space="0"/>
              <w:bottom w:val="single" w:color="000000" w:sz="4" w:space="0"/>
              <w:right w:val="single" w:color="000000" w:sz="4" w:space="0"/>
            </w:tcBorders>
            <w:shd w:val="clear" w:color="auto" w:fill="auto"/>
          </w:tcPr>
          <w:p w14:paraId="0B01ED02">
            <w:pPr>
              <w:pStyle w:val="5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outlineLvl w:val="9"/>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9.</w:t>
            </w:r>
            <w:r>
              <w:rPr>
                <w:rFonts w:hint="eastAsia" w:ascii="宋体" w:hAnsi="宋体" w:eastAsia="宋体" w:cs="宋体"/>
                <w:color w:val="auto"/>
                <w:sz w:val="21"/>
                <w:szCs w:val="21"/>
              </w:rPr>
              <w:t>1交换容量≥336Gbps，包转发率≥126Mpps</w:t>
            </w:r>
            <w:r>
              <w:rPr>
                <w:rFonts w:hint="eastAsia" w:ascii="宋体" w:hAnsi="宋体" w:cs="宋体"/>
                <w:color w:val="auto"/>
                <w:sz w:val="21"/>
                <w:szCs w:val="21"/>
                <w:lang w:eastAsia="zh-CN"/>
              </w:rPr>
              <w:t>；</w:t>
            </w:r>
          </w:p>
          <w:p w14:paraId="3DDBAF7C">
            <w:pPr>
              <w:pStyle w:val="5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outlineLvl w:val="9"/>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9.2</w:t>
            </w:r>
            <w:r>
              <w:rPr>
                <w:rFonts w:hint="eastAsia" w:ascii="宋体" w:hAnsi="宋体" w:eastAsia="宋体" w:cs="宋体"/>
                <w:color w:val="auto"/>
                <w:sz w:val="21"/>
                <w:szCs w:val="21"/>
              </w:rPr>
              <w:t>要求配置≥24个10/100/1000Base-T以太网端口，≥4个100/1000 SFP，≥4个千兆SFP</w:t>
            </w:r>
            <w:r>
              <w:rPr>
                <w:rFonts w:hint="eastAsia" w:ascii="宋体" w:hAnsi="宋体" w:cs="宋体"/>
                <w:color w:val="auto"/>
                <w:sz w:val="21"/>
                <w:szCs w:val="21"/>
                <w:lang w:eastAsia="zh-CN"/>
              </w:rPr>
              <w:t>；</w:t>
            </w:r>
          </w:p>
          <w:p w14:paraId="73359D01">
            <w:pPr>
              <w:pStyle w:val="5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outlineLvl w:val="9"/>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9.3</w:t>
            </w:r>
            <w:r>
              <w:rPr>
                <w:rFonts w:hint="eastAsia" w:ascii="宋体" w:hAnsi="宋体" w:eastAsia="宋体" w:cs="宋体"/>
                <w:color w:val="auto"/>
                <w:sz w:val="21"/>
                <w:szCs w:val="21"/>
              </w:rPr>
              <w:t>支持4K VLAN，支持Guest VLAN、Voice VLAN</w:t>
            </w:r>
            <w:r>
              <w:rPr>
                <w:rFonts w:hint="eastAsia" w:ascii="宋体" w:hAnsi="宋体" w:cs="宋体"/>
                <w:color w:val="auto"/>
                <w:sz w:val="21"/>
                <w:szCs w:val="21"/>
                <w:lang w:eastAsia="zh-CN"/>
              </w:rPr>
              <w:t>；</w:t>
            </w:r>
          </w:p>
          <w:p w14:paraId="432366C8">
            <w:pPr>
              <w:pStyle w:val="5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outlineLvl w:val="9"/>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9.4</w:t>
            </w:r>
            <w:r>
              <w:rPr>
                <w:rFonts w:hint="eastAsia" w:ascii="宋体" w:hAnsi="宋体" w:eastAsia="宋体" w:cs="宋体"/>
                <w:color w:val="auto"/>
                <w:sz w:val="21"/>
                <w:szCs w:val="21"/>
              </w:rPr>
              <w:t>支持IPv4静态路由、RIP V1/V2、OSPF</w:t>
            </w:r>
            <w:r>
              <w:rPr>
                <w:rFonts w:hint="eastAsia" w:ascii="宋体" w:hAnsi="宋体" w:cs="宋体"/>
                <w:color w:val="auto"/>
                <w:sz w:val="21"/>
                <w:szCs w:val="21"/>
                <w:lang w:eastAsia="zh-CN"/>
              </w:rPr>
              <w:t>；</w:t>
            </w:r>
          </w:p>
          <w:p w14:paraId="00C2D991">
            <w:pPr>
              <w:pStyle w:val="5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outlineLvl w:val="9"/>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9.5</w:t>
            </w:r>
            <w:r>
              <w:rPr>
                <w:rFonts w:hint="eastAsia" w:ascii="宋体" w:hAnsi="宋体" w:eastAsia="宋体" w:cs="宋体"/>
                <w:color w:val="auto"/>
                <w:sz w:val="21"/>
                <w:szCs w:val="21"/>
              </w:rPr>
              <w:t>支持IPv6静态路由、RIPng</w:t>
            </w:r>
            <w:r>
              <w:rPr>
                <w:rFonts w:hint="eastAsia" w:ascii="宋体" w:hAnsi="宋体" w:cs="宋体"/>
                <w:color w:val="auto"/>
                <w:sz w:val="21"/>
                <w:szCs w:val="21"/>
                <w:lang w:eastAsia="zh-CN"/>
              </w:rPr>
              <w:t>；</w:t>
            </w:r>
          </w:p>
          <w:p w14:paraId="39FBCE9B">
            <w:pPr>
              <w:pStyle w:val="5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outlineLvl w:val="9"/>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9.6</w:t>
            </w:r>
            <w:r>
              <w:rPr>
                <w:rFonts w:hint="eastAsia" w:ascii="宋体" w:hAnsi="宋体" w:eastAsia="宋体" w:cs="宋体"/>
                <w:color w:val="auto"/>
                <w:sz w:val="21"/>
                <w:szCs w:val="21"/>
              </w:rPr>
              <w:t>支持OPENFLOW 1.3标准，支持普通模式和Openflow 模式切换</w:t>
            </w:r>
            <w:r>
              <w:rPr>
                <w:rFonts w:hint="eastAsia" w:ascii="宋体" w:hAnsi="宋体" w:cs="宋体"/>
                <w:color w:val="auto"/>
                <w:sz w:val="21"/>
                <w:szCs w:val="21"/>
                <w:lang w:eastAsia="zh-CN"/>
              </w:rPr>
              <w:t>；</w:t>
            </w:r>
          </w:p>
          <w:p w14:paraId="4C989499">
            <w:pPr>
              <w:pStyle w:val="5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outlineLvl w:val="9"/>
              <w:rPr>
                <w:rFonts w:hint="eastAsia" w:asciiTheme="minorEastAsia" w:hAnsiTheme="minorEastAsia" w:eastAsiaTheme="minorEastAsia" w:cstheme="minorEastAsia"/>
                <w:color w:val="auto"/>
                <w:szCs w:val="21"/>
              </w:rPr>
            </w:pPr>
            <w:r>
              <w:rPr>
                <w:rFonts w:hint="eastAsia" w:ascii="宋体" w:hAnsi="宋体" w:cs="宋体"/>
                <w:color w:val="auto"/>
                <w:sz w:val="21"/>
                <w:szCs w:val="21"/>
                <w:lang w:val="en-US" w:eastAsia="zh-CN"/>
              </w:rPr>
              <w:t>9.7</w:t>
            </w:r>
            <w:r>
              <w:rPr>
                <w:rFonts w:hint="eastAsia" w:ascii="宋体" w:hAnsi="宋体" w:eastAsia="宋体" w:cs="宋体"/>
                <w:color w:val="auto"/>
                <w:sz w:val="21"/>
                <w:szCs w:val="21"/>
              </w:rPr>
              <w:t>符合IEEE 802.3az（EEE）节能标准。</w:t>
            </w:r>
          </w:p>
        </w:tc>
        <w:tc>
          <w:tcPr>
            <w:tcW w:w="7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6C212A">
            <w:pPr>
              <w:widowControl/>
              <w:jc w:val="center"/>
              <w:textAlignment w:val="center"/>
              <w:rPr>
                <w:rFonts w:hint="eastAsia" w:ascii="宋体" w:hAnsi="宋体" w:eastAsia="宋体"/>
                <w:color w:val="auto"/>
                <w:szCs w:val="21"/>
                <w:lang w:val="en-US" w:eastAsia="zh-CN"/>
              </w:rPr>
            </w:pPr>
            <w:r>
              <w:rPr>
                <w:rFonts w:hint="eastAsia" w:ascii="宋体" w:hAnsi="宋体"/>
                <w:color w:val="auto"/>
                <w:szCs w:val="21"/>
                <w:lang w:val="en-US" w:eastAsia="zh-CN"/>
              </w:rPr>
              <w:t>1</w:t>
            </w:r>
          </w:p>
        </w:tc>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0C325F">
            <w:pPr>
              <w:widowControl/>
              <w:jc w:val="center"/>
              <w:textAlignment w:val="center"/>
              <w:rPr>
                <w:rFonts w:hint="eastAsia" w:ascii="宋体" w:hAnsi="宋体" w:eastAsia="宋体"/>
                <w:color w:val="auto"/>
                <w:szCs w:val="21"/>
                <w:lang w:val="en-US" w:eastAsia="zh-CN"/>
              </w:rPr>
            </w:pPr>
            <w:r>
              <w:rPr>
                <w:rFonts w:hint="eastAsia" w:ascii="宋体" w:hAnsi="宋体"/>
                <w:color w:val="auto"/>
                <w:szCs w:val="21"/>
                <w:lang w:val="en-US" w:eastAsia="zh-CN"/>
              </w:rPr>
              <w:t>台</w:t>
            </w:r>
          </w:p>
        </w:tc>
      </w:tr>
      <w:tr w14:paraId="361578E3">
        <w:tblPrEx>
          <w:tblCellMar>
            <w:top w:w="0" w:type="dxa"/>
            <w:left w:w="108" w:type="dxa"/>
            <w:bottom w:w="0" w:type="dxa"/>
            <w:right w:w="108" w:type="dxa"/>
          </w:tblCellMar>
        </w:tblPrEx>
        <w:trPr>
          <w:trHeight w:val="392" w:hRule="atLeast"/>
        </w:trPr>
        <w:tc>
          <w:tcPr>
            <w:tcW w:w="72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51FAF5">
            <w:pPr>
              <w:widowControl/>
              <w:jc w:val="center"/>
              <w:textAlignment w:val="center"/>
              <w:rPr>
                <w:rFonts w:hint="default" w:ascii="宋体" w:hAnsi="宋体" w:cs="宋体"/>
                <w:b/>
                <w:bCs/>
                <w:color w:val="auto"/>
                <w:spacing w:val="0"/>
                <w:kern w:val="0"/>
                <w:sz w:val="21"/>
                <w:szCs w:val="21"/>
                <w:lang w:val="en-US" w:eastAsia="zh-CN"/>
              </w:rPr>
            </w:pPr>
            <w:r>
              <w:rPr>
                <w:rFonts w:hint="eastAsia" w:ascii="宋体" w:hAnsi="宋体" w:cs="宋体"/>
                <w:b/>
                <w:bCs/>
                <w:color w:val="auto"/>
                <w:spacing w:val="0"/>
                <w:kern w:val="0"/>
                <w:sz w:val="21"/>
                <w:szCs w:val="21"/>
                <w:lang w:val="en-US" w:eastAsia="zh-CN"/>
              </w:rPr>
              <w:t>10</w:t>
            </w:r>
          </w:p>
        </w:tc>
        <w:tc>
          <w:tcPr>
            <w:tcW w:w="9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3C0BDA">
            <w:pPr>
              <w:widowControl/>
              <w:jc w:val="center"/>
              <w:textAlignment w:val="center"/>
              <w:rPr>
                <w:rFonts w:hint="eastAsia" w:ascii="宋体" w:hAnsi="宋体" w:cs="宋体"/>
                <w:b/>
                <w:bCs/>
                <w:color w:val="auto"/>
                <w:spacing w:val="0"/>
                <w:kern w:val="0"/>
                <w:sz w:val="21"/>
                <w:szCs w:val="21"/>
                <w:lang w:val="en-US" w:eastAsia="zh-CN"/>
              </w:rPr>
            </w:pPr>
            <w:r>
              <w:rPr>
                <w:rFonts w:hint="eastAsia" w:ascii="宋体" w:hAnsi="宋体" w:cs="宋体"/>
                <w:b/>
                <w:bCs/>
                <w:color w:val="auto"/>
                <w:spacing w:val="0"/>
                <w:kern w:val="0"/>
                <w:sz w:val="21"/>
                <w:szCs w:val="21"/>
                <w:lang w:val="en-US" w:eastAsia="zh-CN"/>
              </w:rPr>
              <w:t>机柜</w:t>
            </w:r>
          </w:p>
        </w:tc>
        <w:tc>
          <w:tcPr>
            <w:tcW w:w="5446" w:type="dxa"/>
            <w:tcBorders>
              <w:top w:val="single" w:color="000000" w:sz="4" w:space="0"/>
              <w:left w:val="single" w:color="000000" w:sz="4" w:space="0"/>
              <w:bottom w:val="single" w:color="000000" w:sz="4" w:space="0"/>
              <w:right w:val="single" w:color="000000" w:sz="4" w:space="0"/>
            </w:tcBorders>
            <w:shd w:val="clear" w:color="auto" w:fill="auto"/>
          </w:tcPr>
          <w:p w14:paraId="6EE161CF">
            <w:pPr>
              <w:pStyle w:val="5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outlineLvl w:val="9"/>
              <w:rPr>
                <w:rFonts w:ascii="宋体" w:hAnsi="宋体"/>
                <w:color w:val="auto"/>
                <w:szCs w:val="21"/>
              </w:rPr>
            </w:pPr>
            <w:r>
              <w:rPr>
                <w:rFonts w:hint="eastAsia" w:ascii="宋体" w:hAnsi="宋体" w:eastAsia="宋体" w:cs="宋体"/>
                <w:color w:val="auto"/>
                <w:sz w:val="21"/>
                <w:szCs w:val="21"/>
              </w:rPr>
              <w:t>42U 服务器机柜</w:t>
            </w:r>
          </w:p>
        </w:tc>
        <w:tc>
          <w:tcPr>
            <w:tcW w:w="7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94B78D">
            <w:pPr>
              <w:widowControl/>
              <w:jc w:val="center"/>
              <w:textAlignment w:val="center"/>
              <w:rPr>
                <w:rFonts w:asciiTheme="minorEastAsia" w:hAnsiTheme="minorEastAsia" w:eastAsiaTheme="minorEastAsia" w:cstheme="minorEastAsia"/>
                <w:color w:val="auto"/>
                <w:kern w:val="0"/>
                <w:szCs w:val="21"/>
              </w:rPr>
            </w:pPr>
            <w:r>
              <w:rPr>
                <w:rFonts w:hint="eastAsia" w:ascii="宋体" w:hAnsi="宋体"/>
                <w:color w:val="auto"/>
                <w:szCs w:val="21"/>
                <w:lang w:val="en-US" w:eastAsia="zh-CN"/>
              </w:rPr>
              <w:t>1</w:t>
            </w:r>
          </w:p>
        </w:tc>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1964E3">
            <w:pPr>
              <w:widowControl/>
              <w:jc w:val="center"/>
              <w:textAlignment w:val="center"/>
              <w:rPr>
                <w:rFonts w:asciiTheme="minorEastAsia" w:hAnsiTheme="minorEastAsia" w:eastAsiaTheme="minorEastAsia" w:cstheme="minorEastAsia"/>
                <w:color w:val="auto"/>
                <w:szCs w:val="21"/>
              </w:rPr>
            </w:pPr>
            <w:r>
              <w:rPr>
                <w:rFonts w:hint="eastAsia" w:ascii="宋体" w:hAnsi="宋体"/>
                <w:color w:val="auto"/>
                <w:szCs w:val="21"/>
                <w:lang w:val="en-US" w:eastAsia="zh-CN"/>
              </w:rPr>
              <w:t>台</w:t>
            </w:r>
          </w:p>
        </w:tc>
      </w:tr>
      <w:tr w14:paraId="40A416DD">
        <w:tblPrEx>
          <w:tblCellMar>
            <w:top w:w="0" w:type="dxa"/>
            <w:left w:w="108" w:type="dxa"/>
            <w:bottom w:w="0" w:type="dxa"/>
            <w:right w:w="108" w:type="dxa"/>
          </w:tblCellMar>
        </w:tblPrEx>
        <w:trPr>
          <w:trHeight w:val="6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057420">
            <w:pPr>
              <w:widowControl/>
              <w:jc w:val="center"/>
              <w:textAlignment w:val="center"/>
              <w:rPr>
                <w:rFonts w:hint="default" w:ascii="宋体" w:hAnsi="宋体" w:cs="宋体"/>
                <w:b/>
                <w:bCs/>
                <w:color w:val="auto"/>
                <w:spacing w:val="0"/>
                <w:kern w:val="0"/>
                <w:sz w:val="21"/>
                <w:szCs w:val="21"/>
                <w:lang w:val="en-US" w:eastAsia="zh-CN"/>
              </w:rPr>
            </w:pPr>
            <w:r>
              <w:rPr>
                <w:rFonts w:hint="eastAsia" w:ascii="宋体" w:hAnsi="宋体" w:cs="宋体"/>
                <w:b/>
                <w:bCs/>
                <w:color w:val="auto"/>
                <w:spacing w:val="0"/>
                <w:kern w:val="0"/>
                <w:sz w:val="21"/>
                <w:szCs w:val="21"/>
                <w:lang w:val="en-US" w:eastAsia="zh-CN"/>
              </w:rPr>
              <w:t>11</w:t>
            </w:r>
          </w:p>
        </w:tc>
        <w:tc>
          <w:tcPr>
            <w:tcW w:w="9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C010B2">
            <w:pPr>
              <w:widowControl/>
              <w:jc w:val="center"/>
              <w:textAlignment w:val="center"/>
              <w:rPr>
                <w:rFonts w:hint="eastAsia" w:ascii="宋体" w:hAnsi="宋体" w:cs="宋体"/>
                <w:b/>
                <w:bCs/>
                <w:color w:val="auto"/>
                <w:spacing w:val="0"/>
                <w:kern w:val="0"/>
                <w:sz w:val="21"/>
                <w:szCs w:val="21"/>
                <w:lang w:val="en-US" w:eastAsia="zh-CN"/>
              </w:rPr>
            </w:pPr>
            <w:r>
              <w:rPr>
                <w:rFonts w:hint="eastAsia" w:ascii="宋体" w:hAnsi="宋体" w:cs="宋体"/>
                <w:b/>
                <w:bCs/>
                <w:color w:val="auto"/>
                <w:spacing w:val="0"/>
                <w:kern w:val="0"/>
                <w:sz w:val="21"/>
                <w:szCs w:val="21"/>
                <w:lang w:val="en-US" w:eastAsia="zh-CN"/>
              </w:rPr>
              <w:t>机柜专用插座</w:t>
            </w:r>
          </w:p>
        </w:tc>
        <w:tc>
          <w:tcPr>
            <w:tcW w:w="5446" w:type="dxa"/>
            <w:tcBorders>
              <w:top w:val="single" w:color="000000" w:sz="4" w:space="0"/>
              <w:left w:val="single" w:color="000000" w:sz="4" w:space="0"/>
              <w:bottom w:val="single" w:color="000000" w:sz="4" w:space="0"/>
              <w:right w:val="single" w:color="000000" w:sz="4" w:space="0"/>
            </w:tcBorders>
            <w:shd w:val="clear" w:color="auto" w:fill="auto"/>
          </w:tcPr>
          <w:p w14:paraId="769DCE2D">
            <w:pPr>
              <w:widowControl/>
              <w:spacing w:line="360" w:lineRule="auto"/>
              <w:jc w:val="left"/>
              <w:rPr>
                <w:rFonts w:hint="eastAsia" w:ascii="宋体" w:hAnsi="宋体" w:eastAsiaTheme="minorEastAsia"/>
                <w:color w:val="auto"/>
                <w:szCs w:val="21"/>
                <w:lang w:eastAsia="zh-CN"/>
              </w:rPr>
            </w:pPr>
            <w:r>
              <w:rPr>
                <w:rFonts w:hint="eastAsia" w:asciiTheme="minorEastAsia" w:hAnsiTheme="minorEastAsia" w:eastAsiaTheme="minorEastAsia" w:cstheme="minorEastAsia"/>
                <w:color w:val="auto"/>
                <w:szCs w:val="21"/>
              </w:rPr>
              <w:t>PDU插座：支持电源分配、防雷、浪涌功能。</w:t>
            </w:r>
          </w:p>
        </w:tc>
        <w:tc>
          <w:tcPr>
            <w:tcW w:w="7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127E9B">
            <w:pPr>
              <w:widowControl/>
              <w:jc w:val="center"/>
              <w:textAlignment w:val="center"/>
              <w:rPr>
                <w:rFonts w:asciiTheme="minorEastAsia" w:hAnsiTheme="minorEastAsia" w:eastAsiaTheme="minorEastAsia" w:cstheme="minorEastAsia"/>
                <w:color w:val="auto"/>
                <w:kern w:val="0"/>
                <w:szCs w:val="21"/>
              </w:rPr>
            </w:pPr>
            <w:r>
              <w:rPr>
                <w:rFonts w:hint="eastAsia" w:ascii="宋体" w:hAnsi="宋体"/>
                <w:color w:val="auto"/>
                <w:szCs w:val="21"/>
                <w:lang w:val="en-US" w:eastAsia="zh-CN"/>
              </w:rPr>
              <w:t>1</w:t>
            </w:r>
          </w:p>
        </w:tc>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5356B0">
            <w:pPr>
              <w:widowControl/>
              <w:jc w:val="center"/>
              <w:textAlignment w:val="center"/>
              <w:rPr>
                <w:rFonts w:asciiTheme="minorEastAsia" w:hAnsiTheme="minorEastAsia" w:eastAsiaTheme="minorEastAsia" w:cstheme="minorEastAsia"/>
                <w:color w:val="auto"/>
                <w:szCs w:val="21"/>
              </w:rPr>
            </w:pPr>
            <w:r>
              <w:rPr>
                <w:rFonts w:hint="eastAsia" w:ascii="宋体" w:hAnsi="宋体"/>
                <w:color w:val="auto"/>
                <w:szCs w:val="21"/>
                <w:lang w:val="en-US" w:eastAsia="zh-CN"/>
              </w:rPr>
              <w:t>台</w:t>
            </w:r>
          </w:p>
        </w:tc>
      </w:tr>
      <w:tr w14:paraId="36215351">
        <w:tblPrEx>
          <w:tblCellMar>
            <w:top w:w="0" w:type="dxa"/>
            <w:left w:w="108" w:type="dxa"/>
            <w:bottom w:w="0" w:type="dxa"/>
            <w:right w:w="108" w:type="dxa"/>
          </w:tblCellMar>
        </w:tblPrEx>
        <w:trPr>
          <w:trHeight w:val="795" w:hRule="atLeast"/>
        </w:trPr>
        <w:tc>
          <w:tcPr>
            <w:tcW w:w="8816"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7104A8AD">
            <w:pPr>
              <w:numPr>
                <w:ilvl w:val="0"/>
                <w:numId w:val="0"/>
              </w:numPr>
              <w:jc w:val="center"/>
              <w:outlineLvl w:val="1"/>
              <w:rPr>
                <w:rFonts w:hint="eastAsia" w:ascii="宋体" w:hAnsi="宋体"/>
                <w:color w:val="auto"/>
                <w:szCs w:val="21"/>
              </w:rPr>
            </w:pPr>
            <w:r>
              <w:rPr>
                <w:rFonts w:hint="eastAsia" w:ascii="宋体" w:hAnsi="宋体" w:eastAsia="宋体" w:cs="宋体"/>
                <w:b/>
                <w:bCs/>
                <w:color w:val="auto"/>
                <w:spacing w:val="0"/>
                <w:kern w:val="10"/>
                <w:sz w:val="21"/>
                <w:szCs w:val="21"/>
                <w:lang w:val="en-US" w:eastAsia="zh-CN" w:bidi="ar-SA"/>
              </w:rPr>
              <w:t>（二）</w:t>
            </w:r>
            <w:r>
              <w:rPr>
                <w:rFonts w:hint="eastAsia" w:ascii="宋体" w:hAnsi="宋体" w:eastAsia="宋体" w:cs="宋体"/>
                <w:b/>
                <w:bCs/>
                <w:color w:val="auto"/>
                <w:spacing w:val="0"/>
                <w:kern w:val="10"/>
                <w:sz w:val="21"/>
                <w:szCs w:val="21"/>
                <w:lang w:val="en-US" w:eastAsia="zh-CN"/>
              </w:rPr>
              <w:t>、展厅展柜改造</w:t>
            </w:r>
          </w:p>
        </w:tc>
      </w:tr>
      <w:tr w14:paraId="5CE37CF1">
        <w:tblPrEx>
          <w:tblCellMar>
            <w:top w:w="0" w:type="dxa"/>
            <w:left w:w="108" w:type="dxa"/>
            <w:bottom w:w="0" w:type="dxa"/>
            <w:right w:w="108" w:type="dxa"/>
          </w:tblCellMar>
        </w:tblPrEx>
        <w:trPr>
          <w:trHeight w:val="1023" w:hRule="atLeast"/>
        </w:trPr>
        <w:tc>
          <w:tcPr>
            <w:tcW w:w="72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C971EA">
            <w:pPr>
              <w:widowControl/>
              <w:jc w:val="center"/>
              <w:textAlignment w:val="center"/>
              <w:rPr>
                <w:rFonts w:hint="eastAsia" w:asciiTheme="minorEastAsia" w:hAnsiTheme="minorEastAsia" w:eastAsiaTheme="minorEastAsia" w:cstheme="minorEastAsia"/>
                <w:b/>
                <w:bCs/>
                <w:color w:val="auto"/>
                <w:kern w:val="0"/>
                <w:szCs w:val="21"/>
                <w:lang w:eastAsia="zh-CN"/>
              </w:rPr>
            </w:pPr>
            <w:r>
              <w:rPr>
                <w:rFonts w:hint="eastAsia" w:asciiTheme="minorEastAsia" w:hAnsiTheme="minorEastAsia" w:eastAsiaTheme="minorEastAsia" w:cstheme="minorEastAsia"/>
                <w:b/>
                <w:bCs/>
                <w:color w:val="auto"/>
                <w:kern w:val="0"/>
                <w:szCs w:val="21"/>
                <w:lang w:val="en-US" w:eastAsia="zh-CN"/>
              </w:rPr>
              <w:t>1</w:t>
            </w:r>
          </w:p>
        </w:tc>
        <w:tc>
          <w:tcPr>
            <w:tcW w:w="9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3AF4D5">
            <w:pPr>
              <w:widowControl/>
              <w:jc w:val="center"/>
              <w:textAlignment w:val="center"/>
              <w:rPr>
                <w:rFonts w:ascii="宋体" w:hAnsi="宋体" w:cs="宋体"/>
                <w:b/>
                <w:bCs/>
                <w:color w:val="auto"/>
                <w:kern w:val="0"/>
                <w:szCs w:val="21"/>
                <w:lang w:bidi="ar"/>
              </w:rPr>
            </w:pPr>
            <w:r>
              <w:rPr>
                <w:rFonts w:hint="eastAsia" w:ascii="宋体" w:hAnsi="宋体" w:eastAsia="宋体" w:cs="宋体"/>
                <w:b/>
                <w:bCs/>
                <w:color w:val="auto"/>
                <w:spacing w:val="-3"/>
                <w:sz w:val="21"/>
                <w:szCs w:val="21"/>
              </w:rPr>
              <w:t>独立展柜</w:t>
            </w:r>
          </w:p>
        </w:tc>
        <w:tc>
          <w:tcPr>
            <w:tcW w:w="5446" w:type="dxa"/>
            <w:tcBorders>
              <w:top w:val="single" w:color="000000" w:sz="4" w:space="0"/>
              <w:left w:val="single" w:color="000000" w:sz="4" w:space="0"/>
              <w:bottom w:val="single" w:color="000000" w:sz="4" w:space="0"/>
              <w:right w:val="single" w:color="000000" w:sz="4" w:space="0"/>
            </w:tcBorders>
            <w:shd w:val="clear" w:color="auto" w:fill="auto"/>
          </w:tcPr>
          <w:p w14:paraId="4C7CFADD">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val="en-US" w:eastAsia="zh-CN"/>
              </w:rPr>
              <w:t>1.1</w:t>
            </w:r>
            <w:r>
              <w:rPr>
                <w:rFonts w:hint="eastAsia" w:asciiTheme="minorEastAsia" w:hAnsiTheme="minorEastAsia" w:eastAsiaTheme="minorEastAsia" w:cstheme="minorEastAsia"/>
                <w:color w:val="auto"/>
                <w:szCs w:val="21"/>
              </w:rPr>
              <w:t>尺寸</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800*800*2200mm</w:t>
            </w:r>
            <w:r>
              <w:rPr>
                <w:rFonts w:hint="eastAsia" w:asciiTheme="minorEastAsia" w:hAnsiTheme="minorEastAsia" w:eastAsiaTheme="minorEastAsia" w:cstheme="minorEastAsia"/>
                <w:color w:val="auto"/>
                <w:szCs w:val="21"/>
                <w:lang w:eastAsia="zh-CN"/>
              </w:rPr>
              <w:t>。</w:t>
            </w:r>
          </w:p>
          <w:p w14:paraId="7FFE4B23">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val="en-US" w:eastAsia="zh-CN"/>
              </w:rPr>
              <w:t>1.2</w:t>
            </w:r>
            <w:r>
              <w:rPr>
                <w:rFonts w:hint="eastAsia" w:asciiTheme="minorEastAsia" w:hAnsiTheme="minorEastAsia" w:eastAsiaTheme="minorEastAsia" w:cstheme="minorEastAsia"/>
                <w:color w:val="auto"/>
                <w:szCs w:val="21"/>
              </w:rPr>
              <w:t>柜体骨架</w:t>
            </w:r>
            <w:r>
              <w:rPr>
                <w:rFonts w:hint="eastAsia" w:asciiTheme="minorEastAsia" w:hAnsiTheme="minorEastAsia" w:eastAsiaTheme="minorEastAsia" w:cstheme="minorEastAsia"/>
                <w:color w:val="auto"/>
                <w:szCs w:val="21"/>
                <w:lang w:eastAsia="zh-CN"/>
              </w:rPr>
              <w:t>：</w:t>
            </w:r>
          </w:p>
          <w:p w14:paraId="3104DE8E">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40*40*2.0mm,30*60*2.0mm优质冷拔钢管型材</w:t>
            </w:r>
            <w:r>
              <w:rPr>
                <w:rFonts w:hint="eastAsia" w:asciiTheme="minorEastAsia" w:hAnsiTheme="minorEastAsia" w:eastAsiaTheme="minorEastAsia" w:cstheme="minorEastAsia"/>
                <w:color w:val="auto"/>
                <w:szCs w:val="21"/>
                <w:lang w:eastAsia="zh-CN"/>
              </w:rPr>
              <w:t>；</w:t>
            </w:r>
          </w:p>
          <w:p w14:paraId="33404FFA">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柜体结构水平及垂直度±≤2mm</w:t>
            </w:r>
            <w:r>
              <w:rPr>
                <w:rFonts w:hint="eastAsia" w:asciiTheme="minorEastAsia" w:hAnsiTheme="minorEastAsia" w:eastAsiaTheme="minorEastAsia" w:cstheme="minorEastAsia"/>
                <w:color w:val="auto"/>
                <w:szCs w:val="21"/>
                <w:lang w:eastAsia="zh-CN"/>
              </w:rPr>
              <w:t>；</w:t>
            </w:r>
          </w:p>
          <w:p w14:paraId="0DDD720C">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每平方米承载展品质量不少于150kg</w:t>
            </w:r>
            <w:r>
              <w:rPr>
                <w:rFonts w:hint="eastAsia" w:asciiTheme="minorEastAsia" w:hAnsiTheme="minorEastAsia" w:eastAsiaTheme="minorEastAsia" w:cstheme="minorEastAsia"/>
                <w:color w:val="auto"/>
                <w:szCs w:val="21"/>
                <w:lang w:eastAsia="zh-CN"/>
              </w:rPr>
              <w:t>。</w:t>
            </w:r>
          </w:p>
          <w:p w14:paraId="2142367C">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val="en-US" w:eastAsia="zh-CN"/>
              </w:rPr>
              <w:t>1.3</w:t>
            </w:r>
            <w:r>
              <w:rPr>
                <w:rFonts w:hint="eastAsia" w:asciiTheme="minorEastAsia" w:hAnsiTheme="minorEastAsia" w:eastAsiaTheme="minorEastAsia" w:cstheme="minorEastAsia"/>
                <w:color w:val="auto"/>
                <w:szCs w:val="21"/>
              </w:rPr>
              <w:t>柜体</w:t>
            </w:r>
            <w:r>
              <w:rPr>
                <w:rFonts w:hint="eastAsia" w:asciiTheme="minorEastAsia" w:hAnsiTheme="minorEastAsia" w:eastAsiaTheme="minorEastAsia" w:cstheme="minorEastAsia"/>
                <w:color w:val="auto"/>
                <w:szCs w:val="21"/>
                <w:lang w:eastAsia="zh-CN"/>
              </w:rPr>
              <w:t>：</w:t>
            </w:r>
          </w:p>
          <w:p w14:paraId="09F2E421">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δ1.2～2.0mm首钢优质冷轧钢板</w:t>
            </w:r>
            <w:r>
              <w:rPr>
                <w:rFonts w:hint="eastAsia" w:asciiTheme="minorEastAsia" w:hAnsiTheme="minorEastAsia" w:eastAsiaTheme="minorEastAsia" w:cstheme="minorEastAsia"/>
                <w:color w:val="auto"/>
                <w:szCs w:val="21"/>
                <w:lang w:eastAsia="zh-CN"/>
              </w:rPr>
              <w:t>；</w:t>
            </w:r>
          </w:p>
          <w:p w14:paraId="60CF022F">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平面尺寸±≤1mm；材料接口缝隙≤2.0mm</w:t>
            </w:r>
            <w:r>
              <w:rPr>
                <w:rFonts w:hint="eastAsia" w:asciiTheme="minorEastAsia" w:hAnsiTheme="minorEastAsia" w:eastAsiaTheme="minorEastAsia" w:cstheme="minorEastAsia"/>
                <w:color w:val="auto"/>
                <w:szCs w:val="21"/>
                <w:lang w:eastAsia="zh-CN"/>
              </w:rPr>
              <w:t>。</w:t>
            </w:r>
          </w:p>
          <w:p w14:paraId="59E57B8F">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val="en-US" w:eastAsia="zh-CN"/>
              </w:rPr>
              <w:t>1.4</w:t>
            </w:r>
            <w:r>
              <w:rPr>
                <w:rFonts w:hint="eastAsia" w:asciiTheme="minorEastAsia" w:hAnsiTheme="minorEastAsia" w:eastAsiaTheme="minorEastAsia" w:cstheme="minorEastAsia"/>
                <w:color w:val="auto"/>
                <w:szCs w:val="21"/>
              </w:rPr>
              <w:t>柜门开度</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80%-100%</w:t>
            </w:r>
            <w:r>
              <w:rPr>
                <w:rFonts w:hint="eastAsia" w:asciiTheme="minorEastAsia" w:hAnsiTheme="minorEastAsia" w:eastAsiaTheme="minorEastAsia" w:cstheme="minorEastAsia"/>
                <w:color w:val="auto"/>
                <w:szCs w:val="21"/>
                <w:lang w:eastAsia="zh-CN"/>
              </w:rPr>
              <w:t>。</w:t>
            </w:r>
          </w:p>
          <w:p w14:paraId="79D3FE14">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val="en-US" w:eastAsia="zh-CN"/>
              </w:rPr>
              <w:t>1.5</w:t>
            </w:r>
            <w:r>
              <w:rPr>
                <w:rFonts w:hint="eastAsia" w:asciiTheme="minorEastAsia" w:hAnsiTheme="minorEastAsia" w:eastAsiaTheme="minorEastAsia" w:cstheme="minorEastAsia"/>
                <w:color w:val="auto"/>
                <w:szCs w:val="21"/>
              </w:rPr>
              <w:t>密封性</w:t>
            </w:r>
            <w:r>
              <w:rPr>
                <w:rFonts w:hint="eastAsia" w:asciiTheme="minorEastAsia" w:hAnsiTheme="minorEastAsia" w:eastAsiaTheme="minorEastAsia" w:cstheme="minorEastAsia"/>
                <w:color w:val="auto"/>
                <w:szCs w:val="21"/>
                <w:lang w:eastAsia="zh-CN"/>
              </w:rPr>
              <w:t>：</w:t>
            </w:r>
          </w:p>
          <w:p w14:paraId="105FC236">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空气交换次数≤0.2次/天</w:t>
            </w:r>
            <w:r>
              <w:rPr>
                <w:rFonts w:hint="eastAsia" w:asciiTheme="minorEastAsia" w:hAnsiTheme="minorEastAsia" w:eastAsiaTheme="minorEastAsia" w:cstheme="minorEastAsia"/>
                <w:color w:val="auto"/>
                <w:szCs w:val="21"/>
                <w:lang w:eastAsia="zh-CN"/>
              </w:rPr>
              <w:t>；</w:t>
            </w:r>
          </w:p>
          <w:p w14:paraId="6FF650D9">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密封接口缝隙填塞±≤2mm</w:t>
            </w:r>
            <w:r>
              <w:rPr>
                <w:rFonts w:hint="eastAsia" w:asciiTheme="minorEastAsia" w:hAnsiTheme="minorEastAsia" w:eastAsiaTheme="minorEastAsia" w:cstheme="minorEastAsia"/>
                <w:color w:val="auto"/>
                <w:szCs w:val="21"/>
                <w:lang w:eastAsia="zh-CN"/>
              </w:rPr>
              <w:t>。</w:t>
            </w:r>
          </w:p>
          <w:p w14:paraId="5D0CFB38">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val="en-US" w:eastAsia="zh-CN"/>
              </w:rPr>
              <w:t>1.6</w:t>
            </w:r>
            <w:r>
              <w:rPr>
                <w:rFonts w:hint="eastAsia" w:asciiTheme="minorEastAsia" w:hAnsiTheme="minorEastAsia" w:eastAsiaTheme="minorEastAsia" w:cstheme="minorEastAsia"/>
                <w:color w:val="auto"/>
                <w:szCs w:val="21"/>
              </w:rPr>
              <w:t>玻璃边框</w:t>
            </w:r>
            <w:r>
              <w:rPr>
                <w:rFonts w:hint="eastAsia" w:asciiTheme="minorEastAsia" w:hAnsiTheme="minorEastAsia" w:eastAsiaTheme="minorEastAsia" w:cstheme="minorEastAsia"/>
                <w:color w:val="auto"/>
                <w:szCs w:val="21"/>
                <w:lang w:eastAsia="zh-CN"/>
              </w:rPr>
              <w:t>：</w:t>
            </w:r>
          </w:p>
          <w:p w14:paraId="2BC58F54">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壁厚为3-5mm的优质铝合金</w:t>
            </w:r>
            <w:r>
              <w:rPr>
                <w:rFonts w:hint="eastAsia" w:asciiTheme="minorEastAsia" w:hAnsiTheme="minorEastAsia" w:eastAsiaTheme="minorEastAsia" w:cstheme="minorEastAsia"/>
                <w:color w:val="auto"/>
                <w:szCs w:val="21"/>
                <w:lang w:eastAsia="zh-CN"/>
              </w:rPr>
              <w:t>；</w:t>
            </w:r>
          </w:p>
          <w:p w14:paraId="1BFEEA3A">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玻璃与铝合金边框的粘接为≥30mm的完全密封粘接</w:t>
            </w:r>
            <w:r>
              <w:rPr>
                <w:rFonts w:hint="eastAsia" w:asciiTheme="minorEastAsia" w:hAnsiTheme="minorEastAsia" w:eastAsiaTheme="minorEastAsia" w:cstheme="minorEastAsia"/>
                <w:color w:val="auto"/>
                <w:szCs w:val="21"/>
                <w:lang w:eastAsia="zh-CN"/>
              </w:rPr>
              <w:t>；</w:t>
            </w:r>
          </w:p>
          <w:p w14:paraId="315A4FBE">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玻璃及结构框之间的粘接剂，粘接剂指标为7500～10000PS，凝固剂指标为2500～6000PS，熔点大于150℃</w:t>
            </w:r>
            <w:r>
              <w:rPr>
                <w:rFonts w:hint="eastAsia" w:asciiTheme="minorEastAsia" w:hAnsiTheme="minorEastAsia" w:eastAsiaTheme="minorEastAsia" w:cstheme="minorEastAsia"/>
                <w:color w:val="auto"/>
                <w:szCs w:val="21"/>
                <w:lang w:eastAsia="zh-CN"/>
              </w:rPr>
              <w:t>。</w:t>
            </w:r>
          </w:p>
          <w:p w14:paraId="29CD6ADA">
            <w:pPr>
              <w:widowControl/>
              <w:spacing w:line="360" w:lineRule="auto"/>
              <w:jc w:val="left"/>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1.7</w:t>
            </w:r>
            <w:r>
              <w:rPr>
                <w:rFonts w:hint="eastAsia" w:asciiTheme="minorEastAsia" w:hAnsiTheme="minorEastAsia" w:eastAsiaTheme="minorEastAsia" w:cstheme="minorEastAsia"/>
                <w:color w:val="auto"/>
                <w:szCs w:val="21"/>
              </w:rPr>
              <w:t>玻璃</w:t>
            </w:r>
            <w:r>
              <w:rPr>
                <w:rFonts w:hint="eastAsia" w:asciiTheme="minorEastAsia" w:hAnsiTheme="minorEastAsia" w:eastAsiaTheme="minorEastAsia" w:cstheme="minorEastAsia"/>
                <w:color w:val="auto"/>
                <w:szCs w:val="21"/>
                <w:lang w:val="en-US" w:eastAsia="zh-CN"/>
              </w:rPr>
              <w:t>:</w:t>
            </w:r>
            <w:r>
              <w:rPr>
                <w:rFonts w:hint="eastAsia" w:asciiTheme="minorEastAsia" w:hAnsiTheme="minorEastAsia" w:eastAsiaTheme="minorEastAsia" w:cstheme="minorEastAsia"/>
                <w:color w:val="auto"/>
                <w:szCs w:val="21"/>
              </w:rPr>
              <w:tab/>
            </w:r>
          </w:p>
          <w:p w14:paraId="43D57D0B">
            <w:pPr>
              <w:widowControl/>
              <w:spacing w:line="360" w:lineRule="auto"/>
              <w:jc w:val="left"/>
              <w:textAlignment w:val="top"/>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rPr>
              <w:t>超白夹胶玻璃，厚度在6+6(mm）以上，具有防爆功能</w:t>
            </w:r>
            <w:r>
              <w:rPr>
                <w:rFonts w:hint="eastAsia" w:asciiTheme="minorEastAsia" w:hAnsiTheme="minorEastAsia" w:eastAsiaTheme="minorEastAsia" w:cstheme="minorEastAsia"/>
                <w:color w:val="auto"/>
                <w:szCs w:val="21"/>
                <w:lang w:val="en-US" w:eastAsia="zh-CN"/>
              </w:rPr>
              <w:t>；</w:t>
            </w:r>
          </w:p>
          <w:p w14:paraId="07C80A50">
            <w:pPr>
              <w:widowControl/>
              <w:spacing w:line="360" w:lineRule="auto"/>
              <w:jc w:val="left"/>
              <w:textAlignment w:val="top"/>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rPr>
              <w:t>过滤99%以上的紫外线辐射（波长在320-380纳米）</w:t>
            </w:r>
            <w:r>
              <w:rPr>
                <w:rFonts w:hint="eastAsia" w:asciiTheme="minorEastAsia" w:hAnsiTheme="minorEastAsia" w:eastAsiaTheme="minorEastAsia" w:cstheme="minorEastAsia"/>
                <w:color w:val="auto"/>
                <w:szCs w:val="21"/>
                <w:lang w:val="en-US" w:eastAsia="zh-CN"/>
              </w:rPr>
              <w:t>；</w:t>
            </w:r>
          </w:p>
          <w:p w14:paraId="56C027B8">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转角采用45度角拼接</w:t>
            </w:r>
            <w:r>
              <w:rPr>
                <w:rFonts w:hint="eastAsia" w:asciiTheme="minorEastAsia" w:hAnsiTheme="minorEastAsia" w:eastAsiaTheme="minorEastAsia" w:cstheme="minorEastAsia"/>
                <w:color w:val="auto"/>
                <w:szCs w:val="21"/>
                <w:lang w:eastAsia="zh-CN"/>
              </w:rPr>
              <w:t>；</w:t>
            </w:r>
          </w:p>
          <w:p w14:paraId="3D10ECAC">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磨边规格为0.7mm×0.7mm；外露角必须倒为安全角，长度与宽度允许偏差为±1mm／3㎡，平面度允许偏差为±1mm/m，侧边弯曲度允许偏差为±1mm/m，方形度允许偏差为对角线每1m误差不能超过1mm</w:t>
            </w:r>
            <w:r>
              <w:rPr>
                <w:rFonts w:hint="eastAsia" w:asciiTheme="minorEastAsia" w:hAnsiTheme="minorEastAsia" w:eastAsiaTheme="minorEastAsia" w:cstheme="minorEastAsia"/>
                <w:color w:val="auto"/>
                <w:szCs w:val="21"/>
                <w:lang w:eastAsia="zh-CN"/>
              </w:rPr>
              <w:t>。</w:t>
            </w:r>
          </w:p>
          <w:p w14:paraId="16FD2A6A">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val="en-US" w:eastAsia="zh-CN"/>
              </w:rPr>
              <w:t>1.8</w:t>
            </w:r>
            <w:r>
              <w:rPr>
                <w:rFonts w:hint="eastAsia" w:asciiTheme="minorEastAsia" w:hAnsiTheme="minorEastAsia" w:eastAsiaTheme="minorEastAsia" w:cstheme="minorEastAsia"/>
                <w:color w:val="auto"/>
                <w:szCs w:val="21"/>
              </w:rPr>
              <w:t>灯光</w:t>
            </w:r>
            <w:r>
              <w:rPr>
                <w:rFonts w:hint="eastAsia" w:asciiTheme="minorEastAsia" w:hAnsiTheme="minorEastAsia" w:eastAsiaTheme="minorEastAsia" w:cstheme="minorEastAsia"/>
                <w:color w:val="auto"/>
                <w:szCs w:val="21"/>
                <w:lang w:eastAsia="zh-CN"/>
              </w:rPr>
              <w:t>：</w:t>
            </w:r>
          </w:p>
          <w:p w14:paraId="274E7166">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亮度无极调节：1-100%</w:t>
            </w:r>
            <w:r>
              <w:rPr>
                <w:rFonts w:hint="eastAsia" w:asciiTheme="minorEastAsia" w:hAnsiTheme="minorEastAsia" w:eastAsiaTheme="minorEastAsia" w:cstheme="minorEastAsia"/>
                <w:color w:val="auto"/>
                <w:szCs w:val="21"/>
                <w:lang w:eastAsia="zh-CN"/>
              </w:rPr>
              <w:t>；</w:t>
            </w:r>
          </w:p>
          <w:p w14:paraId="3EFA6E6F">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光束角无极可调节：10°-60°</w:t>
            </w:r>
            <w:r>
              <w:rPr>
                <w:rFonts w:hint="eastAsia" w:asciiTheme="minorEastAsia" w:hAnsiTheme="minorEastAsia" w:eastAsiaTheme="minorEastAsia" w:cstheme="minorEastAsia"/>
                <w:color w:val="auto"/>
                <w:szCs w:val="21"/>
                <w:lang w:eastAsia="zh-CN"/>
              </w:rPr>
              <w:t>；</w:t>
            </w:r>
          </w:p>
          <w:p w14:paraId="0DF62508">
            <w:pPr>
              <w:widowControl/>
              <w:spacing w:line="360" w:lineRule="auto"/>
              <w:jc w:val="left"/>
              <w:textAlignment w:val="top"/>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灯光无频闪</w:t>
            </w:r>
            <w:r>
              <w:rPr>
                <w:rFonts w:hint="eastAsia" w:asciiTheme="minorEastAsia" w:hAnsiTheme="minorEastAsia" w:eastAsiaTheme="minorEastAsia" w:cstheme="minorEastAsia"/>
                <w:color w:val="auto"/>
                <w:szCs w:val="21"/>
                <w:lang w:eastAsia="zh-CN"/>
              </w:rPr>
              <w:t>；</w:t>
            </w:r>
          </w:p>
          <w:p w14:paraId="24DF11CC">
            <w:pPr>
              <w:widowControl/>
              <w:spacing w:line="360" w:lineRule="auto"/>
              <w:jc w:val="left"/>
              <w:textAlignment w:val="top"/>
              <w:rPr>
                <w:rFonts w:hint="eastAsia" w:ascii="宋体" w:hAnsi="宋体" w:eastAsiaTheme="minorEastAsia"/>
                <w:color w:val="auto"/>
                <w:szCs w:val="21"/>
                <w:lang w:eastAsia="zh-CN"/>
              </w:rPr>
            </w:pPr>
            <w:r>
              <w:rPr>
                <w:rFonts w:hint="eastAsia" w:asciiTheme="minorEastAsia" w:hAnsiTheme="minorEastAsia" w:eastAsiaTheme="minorEastAsia" w:cstheme="minorEastAsia"/>
                <w:color w:val="auto"/>
                <w:szCs w:val="21"/>
              </w:rPr>
              <w:t>超高显色性：Ra&gt;90</w:t>
            </w:r>
            <w:r>
              <w:rPr>
                <w:rFonts w:hint="eastAsia" w:asciiTheme="minorEastAsia" w:hAnsiTheme="minorEastAsia" w:eastAsiaTheme="minorEastAsia" w:cstheme="minorEastAsia"/>
                <w:color w:val="auto"/>
                <w:szCs w:val="21"/>
                <w:lang w:eastAsia="zh-CN"/>
              </w:rPr>
              <w:t>。</w:t>
            </w:r>
          </w:p>
        </w:tc>
        <w:tc>
          <w:tcPr>
            <w:tcW w:w="7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8AF288">
            <w:pPr>
              <w:widowControl/>
              <w:jc w:val="center"/>
              <w:textAlignment w:val="center"/>
              <w:rPr>
                <w:rFonts w:asciiTheme="minorEastAsia" w:hAnsiTheme="minorEastAsia" w:eastAsiaTheme="minorEastAsia" w:cstheme="minorEastAsia"/>
                <w:color w:val="auto"/>
                <w:kern w:val="0"/>
                <w:szCs w:val="21"/>
              </w:rPr>
            </w:pPr>
            <w:r>
              <w:rPr>
                <w:rFonts w:hint="eastAsia" w:ascii="宋体" w:hAnsi="宋体"/>
                <w:color w:val="auto"/>
                <w:szCs w:val="21"/>
              </w:rPr>
              <w:t>8</w:t>
            </w:r>
          </w:p>
        </w:tc>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5E1082">
            <w:pPr>
              <w:widowControl/>
              <w:jc w:val="center"/>
              <w:textAlignment w:val="center"/>
              <w:rPr>
                <w:rFonts w:hint="eastAsia" w:asciiTheme="minorEastAsia" w:hAnsiTheme="minorEastAsia" w:eastAsiaTheme="minorEastAsia" w:cstheme="minorEastAsia"/>
                <w:color w:val="auto"/>
                <w:szCs w:val="21"/>
                <w:lang w:eastAsia="zh-CN"/>
              </w:rPr>
            </w:pPr>
            <w:r>
              <w:rPr>
                <w:rFonts w:hint="eastAsia" w:ascii="宋体" w:hAnsi="宋体" w:eastAsiaTheme="minorEastAsia"/>
                <w:color w:val="auto"/>
                <w:szCs w:val="21"/>
                <w:lang w:val="en-US" w:eastAsia="zh-CN"/>
              </w:rPr>
              <w:t>个</w:t>
            </w:r>
          </w:p>
        </w:tc>
      </w:tr>
      <w:tr w14:paraId="4B8177B1">
        <w:tblPrEx>
          <w:tblCellMar>
            <w:top w:w="0" w:type="dxa"/>
            <w:left w:w="108" w:type="dxa"/>
            <w:bottom w:w="0" w:type="dxa"/>
            <w:right w:w="108" w:type="dxa"/>
          </w:tblCellMar>
        </w:tblPrEx>
        <w:trPr>
          <w:trHeight w:val="1023" w:hRule="atLeast"/>
        </w:trPr>
        <w:tc>
          <w:tcPr>
            <w:tcW w:w="8816"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3FDB0FA3">
            <w:pPr>
              <w:numPr>
                <w:ilvl w:val="0"/>
                <w:numId w:val="0"/>
              </w:numPr>
              <w:jc w:val="center"/>
              <w:outlineLvl w:val="1"/>
              <w:rPr>
                <w:rFonts w:hint="eastAsia" w:ascii="宋体" w:hAnsi="宋体" w:eastAsia="宋体" w:cs="宋体"/>
                <w:b/>
                <w:bCs/>
                <w:color w:val="auto"/>
                <w:spacing w:val="0"/>
                <w:kern w:val="10"/>
                <w:sz w:val="21"/>
                <w:szCs w:val="21"/>
                <w:lang w:val="en-US" w:eastAsia="zh-CN"/>
              </w:rPr>
            </w:pPr>
            <w:r>
              <w:rPr>
                <w:rFonts w:hint="eastAsia" w:ascii="宋体" w:hAnsi="宋体" w:eastAsia="宋体" w:cs="宋体"/>
                <w:b/>
                <w:bCs/>
                <w:color w:val="auto"/>
                <w:spacing w:val="0"/>
                <w:kern w:val="10"/>
                <w:sz w:val="21"/>
                <w:szCs w:val="21"/>
                <w:lang w:val="en-US" w:eastAsia="zh-CN" w:bidi="ar-SA"/>
              </w:rPr>
              <w:t>（三）</w:t>
            </w:r>
            <w:r>
              <w:rPr>
                <w:rFonts w:hint="eastAsia" w:ascii="宋体" w:hAnsi="宋体" w:eastAsia="宋体" w:cs="宋体"/>
                <w:b/>
                <w:bCs/>
                <w:color w:val="auto"/>
                <w:spacing w:val="0"/>
                <w:kern w:val="10"/>
                <w:sz w:val="21"/>
                <w:szCs w:val="21"/>
                <w:lang w:val="en-US" w:eastAsia="zh-CN"/>
              </w:rPr>
              <w:t>、文物储藏设施</w:t>
            </w:r>
          </w:p>
          <w:p w14:paraId="3252EF38">
            <w:pPr>
              <w:widowControl/>
              <w:jc w:val="center"/>
              <w:textAlignment w:val="center"/>
              <w:rPr>
                <w:rFonts w:hint="eastAsia" w:ascii="宋体" w:hAnsi="宋体"/>
                <w:color w:val="auto"/>
                <w:szCs w:val="21"/>
              </w:rPr>
            </w:pPr>
          </w:p>
        </w:tc>
      </w:tr>
      <w:tr w14:paraId="669B2FA6">
        <w:tblPrEx>
          <w:tblCellMar>
            <w:top w:w="0" w:type="dxa"/>
            <w:left w:w="108" w:type="dxa"/>
            <w:bottom w:w="0" w:type="dxa"/>
            <w:right w:w="108" w:type="dxa"/>
          </w:tblCellMar>
        </w:tblPrEx>
        <w:trPr>
          <w:trHeight w:val="1023" w:hRule="atLeast"/>
        </w:trPr>
        <w:tc>
          <w:tcPr>
            <w:tcW w:w="72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BB6D0B">
            <w:pPr>
              <w:widowControl/>
              <w:jc w:val="center"/>
              <w:textAlignment w:val="center"/>
              <w:rPr>
                <w:rFonts w:hint="eastAsia" w:asciiTheme="minorEastAsia" w:hAnsiTheme="minorEastAsia" w:eastAsiaTheme="minorEastAsia" w:cstheme="minorEastAsia"/>
                <w:b/>
                <w:bCs/>
                <w:color w:val="auto"/>
                <w:kern w:val="0"/>
                <w:szCs w:val="21"/>
                <w:lang w:val="en-US" w:eastAsia="zh-CN"/>
              </w:rPr>
            </w:pPr>
            <w:r>
              <w:rPr>
                <w:rFonts w:hint="eastAsia" w:asciiTheme="minorEastAsia" w:hAnsiTheme="minorEastAsia" w:eastAsiaTheme="minorEastAsia" w:cstheme="minorEastAsia"/>
                <w:b/>
                <w:bCs/>
                <w:color w:val="auto"/>
                <w:kern w:val="0"/>
                <w:szCs w:val="21"/>
                <w:lang w:val="en-US" w:eastAsia="zh-CN"/>
              </w:rPr>
              <w:t>1</w:t>
            </w:r>
          </w:p>
        </w:tc>
        <w:tc>
          <w:tcPr>
            <w:tcW w:w="9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393359">
            <w:pPr>
              <w:widowControl/>
              <w:jc w:val="center"/>
              <w:textAlignment w:val="center"/>
              <w:rPr>
                <w:rFonts w:hint="eastAsia" w:asciiTheme="minorEastAsia" w:hAnsiTheme="minorEastAsia" w:eastAsiaTheme="minorEastAsia" w:cstheme="minorEastAsia"/>
                <w:b/>
                <w:bCs/>
                <w:color w:val="auto"/>
                <w:kern w:val="0"/>
                <w:szCs w:val="21"/>
                <w:lang w:val="en-US" w:eastAsia="zh-CN"/>
              </w:rPr>
            </w:pPr>
            <w:r>
              <w:rPr>
                <w:rFonts w:hint="eastAsia" w:ascii="宋体" w:hAnsi="宋体" w:eastAsia="宋体" w:cs="宋体"/>
                <w:b/>
                <w:bCs/>
                <w:color w:val="auto"/>
                <w:spacing w:val="0"/>
                <w:kern w:val="0"/>
                <w:sz w:val="21"/>
                <w:szCs w:val="21"/>
                <w:lang w:val="en-US" w:eastAsia="zh-CN"/>
              </w:rPr>
              <w:t>文物储藏专用柜</w:t>
            </w:r>
          </w:p>
        </w:tc>
        <w:tc>
          <w:tcPr>
            <w:tcW w:w="5446" w:type="dxa"/>
            <w:tcBorders>
              <w:top w:val="single" w:color="000000" w:sz="4" w:space="0"/>
              <w:left w:val="single" w:color="000000" w:sz="4" w:space="0"/>
              <w:bottom w:val="single" w:color="000000" w:sz="4" w:space="0"/>
              <w:right w:val="single" w:color="000000" w:sz="4" w:space="0"/>
            </w:tcBorders>
            <w:shd w:val="clear" w:color="auto" w:fill="auto"/>
          </w:tcPr>
          <w:p w14:paraId="06BC93C9">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（适用于瓷器、陶器、青铜器等文物）（移动式/智联/环境监测）</w:t>
            </w:r>
          </w:p>
          <w:p w14:paraId="43D817B6">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1.1</w:t>
            </w:r>
            <w:r>
              <w:rPr>
                <w:rFonts w:hint="eastAsia" w:asciiTheme="minorEastAsia" w:hAnsiTheme="minorEastAsia" w:eastAsiaTheme="minorEastAsia" w:cstheme="minorEastAsia"/>
                <w:color w:val="auto"/>
                <w:szCs w:val="21"/>
              </w:rPr>
              <w:t>智能管理：可支持设备运行于复杂环境中。身份识别后可对系统进行操作设置、文物管理查询等各种功能。并具接收局域网内所监测范围列表并逐条管理本区域列表文物，方便多项文物操作任务的管理。</w:t>
            </w:r>
          </w:p>
          <w:p w14:paraId="65073842">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1.2</w:t>
            </w:r>
            <w:r>
              <w:rPr>
                <w:rFonts w:hint="eastAsia" w:asciiTheme="minorEastAsia" w:hAnsiTheme="minorEastAsia" w:eastAsiaTheme="minorEastAsia" w:cstheme="minorEastAsia"/>
                <w:color w:val="auto"/>
                <w:szCs w:val="21"/>
              </w:rPr>
              <w:t>基本功能：温度，湿度，CO2，甲醛，TVOC，PM1.0,PM2.5,PM10等实时参数值。监测柜体实时状态及查询、导入、导出等功能按钮及参数设置，具备日报、月报、年报等报表功能，并可自定义报表。可手动设置温湿度报警限值、记录间隔、仪表时间、仪表IP、现场报警的开关等，所监测的实时状态通过无 线网络方式将数据传输至本地管理主机，智能管理系统在监测情况下采用一次性 锂亚电池（防爆、防火）待机长达1年，设备具有电量检测功能，并随环境数据上传本地监控平台，可以看到电池的电量状态。</w:t>
            </w:r>
          </w:p>
          <w:p w14:paraId="4B47642F">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1.3</w:t>
            </w:r>
            <w:r>
              <w:rPr>
                <w:rFonts w:hint="eastAsia" w:asciiTheme="minorEastAsia" w:hAnsiTheme="minorEastAsia" w:eastAsiaTheme="minorEastAsia" w:cstheme="minorEastAsia"/>
                <w:color w:val="auto"/>
                <w:szCs w:val="21"/>
              </w:rPr>
              <w:t>管理内容：以文物藏品为主体，全面管理藏品的征集、编目、保管及藏品资源信息等，实现藏品的信息登录、检索统计、出入库管理、库房盘点、库房人员物品管控等，可扩展支持指纹识别锁授权功能、支持管理人员日常打卡功能（记录柜门开启、查询、导入、导出文物信息等，行成每日工作表）实现库房全方位管理，移动式管理平台，可随时随地翻阅、查找、介绍，提高了管理者对文物库房的管理以及了解各个文物详细信息等内容。状态同时实时上传本地管理平台。</w:t>
            </w:r>
          </w:p>
          <w:p w14:paraId="245CE6B7">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1.4</w:t>
            </w:r>
            <w:r>
              <w:rPr>
                <w:rFonts w:hint="eastAsia" w:asciiTheme="minorEastAsia" w:hAnsiTheme="minorEastAsia" w:eastAsiaTheme="minorEastAsia" w:cstheme="minorEastAsia"/>
                <w:color w:val="auto"/>
                <w:szCs w:val="21"/>
              </w:rPr>
              <w:t>带互联网实时查看数据功能。</w:t>
            </w:r>
          </w:p>
          <w:p w14:paraId="363B0E5C">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1.5</w:t>
            </w:r>
            <w:r>
              <w:rPr>
                <w:rFonts w:hint="eastAsia" w:asciiTheme="minorEastAsia" w:hAnsiTheme="minorEastAsia" w:eastAsiaTheme="minorEastAsia" w:cstheme="minorEastAsia"/>
                <w:color w:val="auto"/>
                <w:szCs w:val="21"/>
              </w:rPr>
              <w:t>电池采用一次性锂亚电池。</w:t>
            </w:r>
          </w:p>
          <w:p w14:paraId="70F61BF7">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1.6</w:t>
            </w:r>
            <w:r>
              <w:rPr>
                <w:rFonts w:hint="eastAsia" w:asciiTheme="minorEastAsia" w:hAnsiTheme="minorEastAsia" w:eastAsiaTheme="minorEastAsia" w:cstheme="minorEastAsia"/>
                <w:color w:val="auto"/>
                <w:szCs w:val="21"/>
              </w:rPr>
              <w:t>整体为拆装结构，每标准组五层搁板，搁板可自由调整高度。立柱、隔板、承重板可固定。</w:t>
            </w:r>
          </w:p>
          <w:p w14:paraId="6C1B1782">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val="en-US" w:eastAsia="zh-CN"/>
              </w:rPr>
              <w:t>1.7</w:t>
            </w:r>
            <w:r>
              <w:rPr>
                <w:rFonts w:hint="eastAsia" w:asciiTheme="minorEastAsia" w:hAnsiTheme="minorEastAsia" w:eastAsiaTheme="minorEastAsia" w:cstheme="minorEastAsia"/>
                <w:color w:val="auto"/>
                <w:szCs w:val="21"/>
              </w:rPr>
              <w:t>柜门开启后施加≥100kg，试验后柜体无倾斜，各零部件应无损坏，无变形，可正常使用。(提供具有CNAS 及 CMA认证标识的检测报告予以佐证)</w:t>
            </w:r>
          </w:p>
          <w:p w14:paraId="173DE045">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val="en-US" w:eastAsia="zh-CN"/>
              </w:rPr>
              <w:t>1.8</w:t>
            </w:r>
            <w:r>
              <w:rPr>
                <w:rFonts w:hint="eastAsia" w:asciiTheme="minorEastAsia" w:hAnsiTheme="minorEastAsia" w:eastAsiaTheme="minorEastAsia" w:cstheme="minorEastAsia"/>
                <w:color w:val="auto"/>
                <w:szCs w:val="21"/>
              </w:rPr>
              <w:t>柜门开启次数≥10万次，无损坏，无变形，可正常使用。(提供具有CNAS 及 CMA认证标识的检测报告予以佐证)</w:t>
            </w:r>
          </w:p>
          <w:p w14:paraId="793187CC">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val="en-US" w:eastAsia="zh-CN"/>
              </w:rPr>
              <w:t>1.9</w:t>
            </w:r>
            <w:r>
              <w:rPr>
                <w:rFonts w:hint="eastAsia" w:asciiTheme="minorEastAsia" w:hAnsiTheme="minorEastAsia" w:eastAsiaTheme="minorEastAsia" w:cstheme="minorEastAsia"/>
                <w:color w:val="auto"/>
                <w:szCs w:val="21"/>
              </w:rPr>
              <w:t>柜门采用液压缓冲铰链方式连接，开关轻便、无异常响动，每标准节的柜门可开启180度。(提供具有CNAS 及 CMA认证标识的检测报告予以佐证)</w:t>
            </w:r>
          </w:p>
          <w:p w14:paraId="5DA5685A">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1.</w:t>
            </w:r>
            <w:r>
              <w:rPr>
                <w:rFonts w:hint="eastAsia" w:asciiTheme="minorEastAsia" w:hAnsiTheme="minorEastAsia" w:eastAsiaTheme="minorEastAsia" w:cstheme="minorEastAsia"/>
                <w:color w:val="auto"/>
                <w:szCs w:val="21"/>
              </w:rPr>
              <w:t>10架体具备互锁功能，各列架体在密集状态下，能够连成整体。其锁紧装置需手动操作，闭合时具备自动触发锁紧功能。锁紧点应设在架体的上下位置， 每延长米不少于两个锁点。架体与轨道具有加固型防倾倒装置。</w:t>
            </w:r>
          </w:p>
          <w:p w14:paraId="1F42384F">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1.11</w:t>
            </w:r>
            <w:r>
              <w:rPr>
                <w:rFonts w:hint="eastAsia" w:asciiTheme="minorEastAsia" w:hAnsiTheme="minorEastAsia" w:eastAsiaTheme="minorEastAsia" w:cstheme="minorEastAsia"/>
                <w:color w:val="auto"/>
                <w:szCs w:val="21"/>
              </w:rPr>
              <w:t>导轨由25×25mm不锈钢轨座焊接成形，导轨铺设方式，可根据现场具体情况选择。密集型文物设施各列之间装有钢制凸凹和防震错位装置。合拢缝隙小于0.1mm。</w:t>
            </w:r>
          </w:p>
          <w:p w14:paraId="4F96FF37">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1.</w:t>
            </w:r>
            <w:r>
              <w:rPr>
                <w:rFonts w:hint="eastAsia" w:asciiTheme="minorEastAsia" w:hAnsiTheme="minorEastAsia" w:eastAsiaTheme="minorEastAsia" w:cstheme="minorEastAsia"/>
                <w:color w:val="auto"/>
                <w:szCs w:val="21"/>
              </w:rPr>
              <w:t>12设备内铺设亚麻布及15mm厚香樟木实木板，樟木板表面平整，同时起到最大承重150KG，樟木板为内镶式。樟木板为内镶式，立柱、隔板、承重板可固定。所有内部防倾倒装置可随文物器型大小、高低自由调节。</w:t>
            </w:r>
          </w:p>
          <w:p w14:paraId="49EA5CCE">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val="en-US" w:eastAsia="zh-CN"/>
              </w:rPr>
              <w:t>1.</w:t>
            </w:r>
            <w:r>
              <w:rPr>
                <w:rFonts w:hint="eastAsia" w:asciiTheme="minorEastAsia" w:hAnsiTheme="minorEastAsia" w:eastAsiaTheme="minorEastAsia" w:cstheme="minorEastAsia"/>
                <w:color w:val="auto"/>
                <w:szCs w:val="21"/>
              </w:rPr>
              <w:t>13搁板每层分别载重≥150kg，试验后各零部件无损坏，无变形，可正常使用。(提供具有CNAS 及 CMA认证标识的检测报告予以佐证)</w:t>
            </w:r>
          </w:p>
          <w:p w14:paraId="7CADA67C">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1.</w:t>
            </w:r>
            <w:r>
              <w:rPr>
                <w:rFonts w:hint="eastAsia" w:asciiTheme="minorEastAsia" w:hAnsiTheme="minorEastAsia" w:eastAsiaTheme="minorEastAsia" w:cstheme="minorEastAsia"/>
                <w:color w:val="auto"/>
                <w:szCs w:val="21"/>
              </w:rPr>
              <w:t>14柜体移动整体平稳，不存在颠簸状。</w:t>
            </w:r>
          </w:p>
          <w:p w14:paraId="1469BD67">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1.</w:t>
            </w:r>
            <w:r>
              <w:rPr>
                <w:rFonts w:hint="eastAsia" w:asciiTheme="minorEastAsia" w:hAnsiTheme="minorEastAsia" w:eastAsiaTheme="minorEastAsia" w:cstheme="minorEastAsia"/>
                <w:color w:val="auto"/>
                <w:szCs w:val="21"/>
              </w:rPr>
              <w:t>15设备的辐射电磁骚扰检测满足GB9254的标准要求，检测结果合格。</w:t>
            </w:r>
          </w:p>
          <w:p w14:paraId="667F398F">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1.</w:t>
            </w:r>
            <w:r>
              <w:rPr>
                <w:rFonts w:hint="eastAsia" w:asciiTheme="minorEastAsia" w:hAnsiTheme="minorEastAsia" w:eastAsiaTheme="minorEastAsia" w:cstheme="minorEastAsia"/>
                <w:color w:val="auto"/>
                <w:szCs w:val="21"/>
              </w:rPr>
              <w:t>16静电放电抗扰度满足空气放电8KV，接触放电4KV抗扰标准。</w:t>
            </w:r>
          </w:p>
          <w:p w14:paraId="290665E7">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1.</w:t>
            </w:r>
            <w:r>
              <w:rPr>
                <w:rFonts w:hint="eastAsia" w:asciiTheme="minorEastAsia" w:hAnsiTheme="minorEastAsia" w:eastAsiaTheme="minorEastAsia" w:cstheme="minorEastAsia"/>
                <w:color w:val="auto"/>
                <w:szCs w:val="21"/>
              </w:rPr>
              <w:t>17产品的安规测试元器件、电源接口、额定电流、耐久性、危险防护、绝缘材料的特性、布线，连接和供电、内部布线的固定、10N拉力试验、稳定性、零件的固定、防火、实验电路、抗电强度满足GB4943.1标准，结论处应合格。</w:t>
            </w:r>
          </w:p>
          <w:p w14:paraId="223098AD">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1.18</w:t>
            </w:r>
            <w:r>
              <w:rPr>
                <w:rFonts w:hint="eastAsia" w:asciiTheme="minorEastAsia" w:hAnsiTheme="minorEastAsia" w:eastAsiaTheme="minorEastAsia" w:cstheme="minorEastAsia"/>
                <w:color w:val="auto"/>
                <w:szCs w:val="21"/>
              </w:rPr>
              <w:t>低温及高温测试实验中和试验后样品外观和功能均正常</w:t>
            </w:r>
          </w:p>
          <w:p w14:paraId="56807304">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1.19</w:t>
            </w:r>
            <w:r>
              <w:rPr>
                <w:rFonts w:hint="eastAsia" w:asciiTheme="minorEastAsia" w:hAnsiTheme="minorEastAsia" w:eastAsiaTheme="minorEastAsia" w:cstheme="minorEastAsia"/>
                <w:color w:val="auto"/>
                <w:szCs w:val="21"/>
              </w:rPr>
              <w:t>设备的静电放电抗扰度满足GB17618的标准要求。</w:t>
            </w:r>
          </w:p>
          <w:p w14:paraId="447FDF7C">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val="en-US" w:eastAsia="zh-CN"/>
              </w:rPr>
              <w:t>1.20</w:t>
            </w:r>
            <w:r>
              <w:rPr>
                <w:rFonts w:hint="eastAsia" w:asciiTheme="minorEastAsia" w:hAnsiTheme="minorEastAsia" w:eastAsiaTheme="minorEastAsia" w:cstheme="minorEastAsia"/>
                <w:color w:val="auto"/>
                <w:szCs w:val="21"/>
              </w:rPr>
              <w:t>产品应具备防震功能，可抵御9度及以上罕遇地震的加速度。（提供具有检测资质的检验（检测）机构出具的检测报告，报告中需体现设备在移动振动台上模拟实验现场照片、峰值加速度数据≥0.62g，内容抗震等级≥9度罕遇地震波动下，柜体依然完好，报告中需体现设备在移动振动台上模拟实验现场照片、峰值加速度数据≥0.62g，内容抗震等级不低于9度罕遇地震波动下，柜体依然完好。）</w:t>
            </w:r>
          </w:p>
          <w:p w14:paraId="1C5EAF2D">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材料参数标准：</w:t>
            </w:r>
          </w:p>
          <w:p w14:paraId="08EEC870">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2.1</w:t>
            </w:r>
            <w:r>
              <w:rPr>
                <w:rFonts w:hint="eastAsia" w:asciiTheme="minorEastAsia" w:hAnsiTheme="minorEastAsia" w:eastAsiaTheme="minorEastAsia" w:cstheme="minorEastAsia"/>
                <w:color w:val="auto"/>
                <w:szCs w:val="21"/>
              </w:rPr>
              <w:t>底座板材厚度δ≥3.0，采用热轧钢板，框架结构整体焊接。</w:t>
            </w:r>
          </w:p>
          <w:p w14:paraId="0BEAD798">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2.</w:t>
            </w:r>
            <w:r>
              <w:rPr>
                <w:rFonts w:hint="eastAsia" w:asciiTheme="minorEastAsia" w:hAnsiTheme="minorEastAsia" w:eastAsiaTheme="minorEastAsia" w:cstheme="minorEastAsia"/>
                <w:color w:val="auto"/>
                <w:szCs w:val="21"/>
              </w:rPr>
              <w:t>2高强度立柱采用优质冷轧钢板挤压焊接成型，板材厚度δ≥1.5mm，表面亚光静电喷塑，架体更结实，坚固，设计新颖，安规范。</w:t>
            </w:r>
          </w:p>
          <w:p w14:paraId="0EE80FFA">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2.</w:t>
            </w:r>
            <w:r>
              <w:rPr>
                <w:rFonts w:hint="eastAsia" w:asciiTheme="minorEastAsia" w:hAnsiTheme="minorEastAsia" w:eastAsiaTheme="minorEastAsia" w:cstheme="minorEastAsia"/>
                <w:color w:val="auto"/>
                <w:szCs w:val="21"/>
              </w:rPr>
              <w:t>3门板板材厚度δ≥1.0，采用优质一级冷轧钢板，板面平整，款式新颖，表面亚光静电喷塑，门开启大于160度。</w:t>
            </w:r>
          </w:p>
          <w:p w14:paraId="6B8B51A6">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2.</w:t>
            </w:r>
            <w:r>
              <w:rPr>
                <w:rFonts w:hint="eastAsia" w:asciiTheme="minorEastAsia" w:hAnsiTheme="minorEastAsia" w:eastAsiaTheme="minorEastAsia" w:cstheme="minorEastAsia"/>
                <w:color w:val="auto"/>
                <w:szCs w:val="21"/>
              </w:rPr>
              <w:t>4一体式变速箱装置，材质铝合金，采用磁轮传动（速比：1：10）</w:t>
            </w:r>
          </w:p>
          <w:p w14:paraId="6D4F25D6">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2.</w:t>
            </w:r>
            <w:r>
              <w:rPr>
                <w:rFonts w:hint="eastAsia" w:asciiTheme="minorEastAsia" w:hAnsiTheme="minorEastAsia" w:eastAsiaTheme="minorEastAsia" w:cstheme="minorEastAsia"/>
                <w:color w:val="auto"/>
                <w:szCs w:val="21"/>
              </w:rPr>
              <w:t>5直角转换器耐腐蚀项在100h内，观察在溶剂中样板上划道两侧3mm以外，应无气泡产生</w:t>
            </w:r>
          </w:p>
          <w:p w14:paraId="1CA550BE">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2.</w:t>
            </w:r>
            <w:r>
              <w:rPr>
                <w:rFonts w:hint="eastAsia" w:asciiTheme="minorEastAsia" w:hAnsiTheme="minorEastAsia" w:eastAsiaTheme="minorEastAsia" w:cstheme="minorEastAsia"/>
                <w:color w:val="auto"/>
                <w:szCs w:val="21"/>
              </w:rPr>
              <w:t>6轴承传动，采用E级轴承。</w:t>
            </w:r>
          </w:p>
          <w:p w14:paraId="588F0241">
            <w:pPr>
              <w:widowControl/>
              <w:spacing w:line="360" w:lineRule="auto"/>
              <w:textAlignment w:val="top"/>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2.</w:t>
            </w:r>
            <w:r>
              <w:rPr>
                <w:rFonts w:hint="eastAsia" w:asciiTheme="minorEastAsia" w:hAnsiTheme="minorEastAsia" w:eastAsiaTheme="minorEastAsia" w:cstheme="minorEastAsia"/>
                <w:color w:val="auto"/>
                <w:szCs w:val="21"/>
              </w:rPr>
              <w:t>7刹车轮制动装置成套。</w:t>
            </w:r>
          </w:p>
          <w:p w14:paraId="4E8FC366">
            <w:pPr>
              <w:widowControl/>
              <w:spacing w:line="360" w:lineRule="auto"/>
              <w:textAlignment w:val="top"/>
              <w:rPr>
                <w:color w:val="auto"/>
              </w:rPr>
            </w:pPr>
            <w:r>
              <w:rPr>
                <w:rFonts w:hint="eastAsia" w:asciiTheme="minorEastAsia" w:hAnsiTheme="minorEastAsia" w:eastAsiaTheme="minorEastAsia" w:cstheme="minorEastAsia"/>
                <w:color w:val="auto"/>
                <w:szCs w:val="21"/>
                <w:lang w:val="en-US" w:eastAsia="zh-CN"/>
              </w:rPr>
              <w:t>2.</w:t>
            </w:r>
            <w:r>
              <w:rPr>
                <w:rFonts w:hint="eastAsia" w:asciiTheme="minorEastAsia" w:hAnsiTheme="minorEastAsia" w:eastAsiaTheme="minorEastAsia" w:cstheme="minorEastAsia"/>
                <w:color w:val="auto"/>
                <w:szCs w:val="21"/>
              </w:rPr>
              <w:t>8导轨采用不锈钢，坚固耐磨。</w:t>
            </w:r>
          </w:p>
        </w:tc>
        <w:tc>
          <w:tcPr>
            <w:tcW w:w="7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BCFA29">
            <w:pPr>
              <w:widowControl/>
              <w:jc w:val="center"/>
              <w:textAlignment w:val="center"/>
              <w:rPr>
                <w:rFonts w:hint="default" w:asciiTheme="minorEastAsia" w:hAnsiTheme="minorEastAsia" w:eastAsiaTheme="minorEastAsia" w:cstheme="minorEastAsia"/>
                <w:color w:val="auto"/>
                <w:kern w:val="0"/>
                <w:szCs w:val="21"/>
                <w:lang w:val="en-US" w:eastAsia="zh-CN"/>
              </w:rPr>
            </w:pPr>
            <w:r>
              <w:rPr>
                <w:rFonts w:hint="eastAsia" w:ascii="宋体" w:hAnsi="宋体" w:eastAsiaTheme="minorEastAsia"/>
                <w:color w:val="auto"/>
                <w:szCs w:val="21"/>
                <w:lang w:val="en-US" w:eastAsia="zh-CN"/>
              </w:rPr>
              <w:t>48</w:t>
            </w:r>
          </w:p>
        </w:tc>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48E7E8">
            <w:pPr>
              <w:widowControl/>
              <w:jc w:val="center"/>
              <w:textAlignment w:val="center"/>
              <w:rPr>
                <w:rFonts w:asciiTheme="minorEastAsia" w:hAnsiTheme="minorEastAsia" w:eastAsiaTheme="minorEastAsia" w:cstheme="minorEastAsia"/>
                <w:color w:val="auto"/>
                <w:szCs w:val="21"/>
              </w:rPr>
            </w:pPr>
            <w:r>
              <w:rPr>
                <w:rFonts w:hint="eastAsia" w:ascii="宋体" w:hAnsi="宋体" w:eastAsia="宋体" w:cs="宋体"/>
                <w:b/>
                <w:bCs/>
                <w:color w:val="auto"/>
                <w:spacing w:val="0"/>
                <w:sz w:val="21"/>
                <w:szCs w:val="21"/>
                <w:lang w:val="en-US" w:eastAsia="zh-CN"/>
              </w:rPr>
              <w:t>m³</w:t>
            </w:r>
          </w:p>
        </w:tc>
      </w:tr>
    </w:tbl>
    <w:p w14:paraId="3F716DD1">
      <w:pPr>
        <w:pStyle w:val="22"/>
        <w:spacing w:before="0" w:beforeAutospacing="0" w:after="0" w:afterAutospacing="0" w:line="540" w:lineRule="exact"/>
        <w:ind w:firstLine="482" w:firstLineChars="200"/>
        <w:rPr>
          <w:rFonts w:ascii="宋体" w:hAnsi="宋体" w:cs="宋体"/>
          <w:b/>
          <w:bCs/>
          <w:color w:val="auto"/>
          <w:shd w:val="clear" w:color="auto" w:fill="FFFFFF"/>
        </w:rPr>
      </w:pPr>
    </w:p>
    <w:p w14:paraId="0F3896C4">
      <w:pPr>
        <w:widowControl/>
        <w:shd w:val="clear" w:color="auto" w:fill="FFFFFF"/>
        <w:spacing w:before="120" w:beforeLines="50" w:after="50" w:line="360" w:lineRule="auto"/>
        <w:jc w:val="left"/>
        <w:outlineLvl w:val="1"/>
        <w:rPr>
          <w:rFonts w:ascii="宋体" w:hAnsi="宋体"/>
          <w:b/>
          <w:color w:val="auto"/>
          <w:szCs w:val="21"/>
        </w:rPr>
      </w:pPr>
      <w:bookmarkStart w:id="562" w:name="_Toc6452"/>
      <w:r>
        <w:rPr>
          <w:rFonts w:hint="eastAsia" w:ascii="宋体" w:hAnsi="宋体"/>
          <w:b/>
          <w:color w:val="auto"/>
          <w:szCs w:val="21"/>
        </w:rPr>
        <w:t>四、采购标的的数量、</w:t>
      </w:r>
      <w:bookmarkStart w:id="563" w:name="_Hlk2349288"/>
      <w:r>
        <w:rPr>
          <w:rFonts w:hint="eastAsia" w:ascii="宋体" w:hAnsi="宋体"/>
          <w:b/>
          <w:color w:val="auto"/>
          <w:szCs w:val="21"/>
        </w:rPr>
        <w:t>采购项目交付</w:t>
      </w:r>
      <w:bookmarkEnd w:id="563"/>
      <w:r>
        <w:rPr>
          <w:rFonts w:hint="eastAsia" w:ascii="宋体" w:hAnsi="宋体"/>
          <w:b/>
          <w:color w:val="auto"/>
          <w:szCs w:val="21"/>
        </w:rPr>
        <w:t>或者实施的时间和地点</w:t>
      </w:r>
      <w:bookmarkEnd w:id="560"/>
      <w:bookmarkEnd w:id="561"/>
      <w:bookmarkEnd w:id="562"/>
    </w:p>
    <w:p w14:paraId="3691B24F">
      <w:pPr>
        <w:spacing w:line="360" w:lineRule="auto"/>
        <w:ind w:firstLine="422" w:firstLineChars="200"/>
        <w:rPr>
          <w:rFonts w:hint="eastAsia" w:ascii="宋体" w:hAnsi="宋体"/>
          <w:color w:val="auto"/>
          <w:szCs w:val="21"/>
          <w:lang w:eastAsia="zh-CN"/>
        </w:rPr>
      </w:pPr>
      <w:bookmarkStart w:id="564" w:name="_Toc27271"/>
      <w:bookmarkStart w:id="565" w:name="_Toc10657"/>
      <w:bookmarkStart w:id="566" w:name="_Toc20188"/>
      <w:r>
        <w:rPr>
          <w:rFonts w:hint="eastAsia" w:ascii="宋体" w:hAnsi="宋体"/>
          <w:b/>
          <w:color w:val="auto"/>
          <w:szCs w:val="21"/>
        </w:rPr>
        <w:t>（一）</w:t>
      </w:r>
      <w:bookmarkStart w:id="567" w:name="_Hlk2349364"/>
      <w:r>
        <w:rPr>
          <w:rFonts w:hint="eastAsia" w:ascii="宋体" w:hAnsi="宋体"/>
          <w:b/>
          <w:color w:val="auto"/>
          <w:szCs w:val="21"/>
        </w:rPr>
        <w:t>采购标的的数量</w:t>
      </w:r>
      <w:bookmarkEnd w:id="564"/>
      <w:bookmarkEnd w:id="565"/>
      <w:bookmarkEnd w:id="566"/>
      <w:bookmarkEnd w:id="567"/>
    </w:p>
    <w:p w14:paraId="26E8F814">
      <w:pPr>
        <w:spacing w:line="360" w:lineRule="auto"/>
        <w:ind w:firstLine="420" w:firstLineChars="200"/>
        <w:rPr>
          <w:rFonts w:hint="default" w:ascii="宋体" w:hAnsi="宋体"/>
          <w:color w:val="auto"/>
          <w:szCs w:val="21"/>
          <w:lang w:val="en-US" w:eastAsia="zh-CN"/>
        </w:rPr>
      </w:pPr>
      <w:bookmarkStart w:id="568" w:name="_Toc21065"/>
      <w:r>
        <w:rPr>
          <w:rFonts w:hint="eastAsia" w:ascii="宋体" w:hAnsi="宋体"/>
          <w:color w:val="auto"/>
          <w:szCs w:val="21"/>
          <w:lang w:eastAsia="zh-CN"/>
        </w:rPr>
        <w:t>采购数量：（一）、馆藏文物无线环境监测系统：甲醛无线监测终端6</w:t>
      </w:r>
      <w:r>
        <w:rPr>
          <w:rFonts w:hint="eastAsia" w:ascii="宋体" w:hAnsi="宋体"/>
          <w:color w:val="auto"/>
          <w:szCs w:val="21"/>
          <w:lang w:val="en-US" w:eastAsia="zh-CN"/>
        </w:rPr>
        <w:t>只、</w:t>
      </w:r>
      <w:r>
        <w:rPr>
          <w:rFonts w:hint="eastAsia" w:ascii="宋体" w:hAnsi="宋体"/>
          <w:color w:val="auto"/>
          <w:szCs w:val="21"/>
          <w:lang w:eastAsia="zh-CN"/>
        </w:rPr>
        <w:t>紫外线监测终端6</w:t>
      </w:r>
      <w:r>
        <w:rPr>
          <w:rFonts w:hint="eastAsia" w:ascii="宋体" w:hAnsi="宋体"/>
          <w:color w:val="auto"/>
          <w:szCs w:val="21"/>
          <w:lang w:val="en-US" w:eastAsia="zh-CN"/>
        </w:rPr>
        <w:t>只、</w:t>
      </w:r>
      <w:r>
        <w:rPr>
          <w:rFonts w:hint="eastAsia" w:ascii="宋体" w:hAnsi="宋体"/>
          <w:color w:val="auto"/>
          <w:szCs w:val="21"/>
          <w:lang w:eastAsia="zh-CN"/>
        </w:rPr>
        <w:t>挥发物总量无线监测终端6只、光照度无线监测终端6只、二氧化碳无线监测终端6只、温湿度无线监测终端6只、</w:t>
      </w:r>
      <w:r>
        <w:rPr>
          <w:rFonts w:hint="eastAsia" w:ascii="宋体" w:hAnsi="宋体"/>
          <w:color w:val="auto"/>
          <w:szCs w:val="21"/>
          <w:lang w:val="en-US" w:eastAsia="zh-CN"/>
        </w:rPr>
        <w:t>中继6只</w:t>
      </w:r>
      <w:r>
        <w:rPr>
          <w:rFonts w:hint="eastAsia" w:ascii="宋体" w:hAnsi="宋体"/>
          <w:color w:val="auto"/>
          <w:szCs w:val="21"/>
          <w:lang w:eastAsia="zh-CN"/>
        </w:rPr>
        <w:t>物联网网关6只、交换机</w:t>
      </w:r>
      <w:r>
        <w:rPr>
          <w:rFonts w:hint="eastAsia" w:ascii="宋体" w:hAnsi="宋体"/>
          <w:color w:val="auto"/>
          <w:szCs w:val="21"/>
          <w:lang w:val="en-US" w:eastAsia="zh-CN"/>
        </w:rPr>
        <w:t>1台、</w:t>
      </w:r>
      <w:r>
        <w:rPr>
          <w:rFonts w:hint="eastAsia" w:ascii="宋体" w:hAnsi="宋体"/>
          <w:color w:val="auto"/>
          <w:szCs w:val="21"/>
          <w:lang w:eastAsia="zh-CN"/>
        </w:rPr>
        <w:t>机柜</w:t>
      </w:r>
      <w:r>
        <w:rPr>
          <w:rFonts w:hint="eastAsia" w:ascii="宋体" w:hAnsi="宋体"/>
          <w:color w:val="auto"/>
          <w:szCs w:val="21"/>
          <w:lang w:val="en-US" w:eastAsia="zh-CN"/>
        </w:rPr>
        <w:t>1台、</w:t>
      </w:r>
      <w:r>
        <w:rPr>
          <w:rFonts w:hint="eastAsia" w:ascii="宋体" w:hAnsi="宋体"/>
          <w:color w:val="auto"/>
          <w:szCs w:val="21"/>
          <w:lang w:eastAsia="zh-CN"/>
        </w:rPr>
        <w:t>机柜专用插座</w:t>
      </w:r>
      <w:r>
        <w:rPr>
          <w:rFonts w:hint="eastAsia" w:ascii="宋体" w:hAnsi="宋体"/>
          <w:color w:val="auto"/>
          <w:szCs w:val="21"/>
          <w:lang w:val="en-US" w:eastAsia="zh-CN"/>
        </w:rPr>
        <w:t>1只；（二）、展厅展柜改造：独立展柜8个；（三）、文物储藏设施：文物储藏专用柜48</w:t>
      </w:r>
      <w:r>
        <w:rPr>
          <w:rFonts w:hint="eastAsia" w:ascii="宋体" w:hAnsi="宋体" w:eastAsia="宋体" w:cs="宋体"/>
          <w:b/>
          <w:bCs/>
          <w:color w:val="auto"/>
          <w:spacing w:val="0"/>
          <w:sz w:val="21"/>
          <w:szCs w:val="21"/>
          <w:lang w:val="en-US" w:eastAsia="zh-CN"/>
        </w:rPr>
        <w:t>m³</w:t>
      </w:r>
      <w:r>
        <w:rPr>
          <w:rFonts w:hint="eastAsia" w:ascii="宋体" w:hAnsi="宋体" w:cs="宋体"/>
          <w:b/>
          <w:bCs/>
          <w:color w:val="auto"/>
          <w:spacing w:val="0"/>
          <w:sz w:val="21"/>
          <w:szCs w:val="21"/>
          <w:lang w:val="en-US" w:eastAsia="zh-CN"/>
        </w:rPr>
        <w:t>。</w:t>
      </w:r>
    </w:p>
    <w:p w14:paraId="196A0A2E">
      <w:pPr>
        <w:spacing w:line="360" w:lineRule="auto"/>
        <w:ind w:firstLine="420" w:firstLineChars="200"/>
        <w:rPr>
          <w:rFonts w:hint="eastAsia" w:ascii="宋体" w:hAnsi="宋体"/>
          <w:color w:val="auto"/>
          <w:szCs w:val="21"/>
        </w:rPr>
      </w:pPr>
      <w:r>
        <w:rPr>
          <w:rFonts w:hint="eastAsia" w:ascii="宋体" w:hAnsi="宋体"/>
          <w:color w:val="auto"/>
          <w:szCs w:val="21"/>
        </w:rPr>
        <w:t>采购范围：</w:t>
      </w:r>
    </w:p>
    <w:p w14:paraId="416FE9BD">
      <w:pPr>
        <w:spacing w:line="360" w:lineRule="auto"/>
        <w:ind w:firstLine="420" w:firstLineChars="200"/>
        <w:rPr>
          <w:rFonts w:ascii="宋体" w:hAnsi="宋体"/>
          <w:color w:val="auto"/>
          <w:szCs w:val="21"/>
        </w:rPr>
      </w:pPr>
      <w:r>
        <w:rPr>
          <w:rFonts w:hint="eastAsia" w:ascii="宋体" w:hAnsi="宋体"/>
          <w:color w:val="auto"/>
          <w:szCs w:val="21"/>
        </w:rPr>
        <w:t>采购货物清单如下：</w:t>
      </w:r>
    </w:p>
    <w:tbl>
      <w:tblPr>
        <w:tblStyle w:val="28"/>
        <w:tblW w:w="48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5"/>
        <w:gridCol w:w="3536"/>
        <w:gridCol w:w="2173"/>
        <w:gridCol w:w="2054"/>
      </w:tblGrid>
      <w:tr w14:paraId="75AB4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7" w:type="pct"/>
          </w:tcPr>
          <w:p w14:paraId="37D9BFF6">
            <w:pPr>
              <w:pStyle w:val="22"/>
              <w:spacing w:before="0" w:beforeAutospacing="0" w:after="0" w:afterAutospacing="0" w:line="360" w:lineRule="auto"/>
              <w:jc w:val="center"/>
              <w:rPr>
                <w:rFonts w:ascii="宋体" w:hAnsi="宋体" w:cs="宋体"/>
                <w:b/>
                <w:bCs/>
                <w:color w:val="auto"/>
                <w:sz w:val="21"/>
                <w:szCs w:val="21"/>
              </w:rPr>
            </w:pPr>
            <w:r>
              <w:rPr>
                <w:rFonts w:hint="eastAsia" w:ascii="宋体" w:hAnsi="宋体" w:cs="宋体"/>
                <w:b/>
                <w:bCs/>
                <w:color w:val="auto"/>
                <w:sz w:val="21"/>
                <w:szCs w:val="21"/>
              </w:rPr>
              <w:t>序号</w:t>
            </w:r>
          </w:p>
        </w:tc>
        <w:tc>
          <w:tcPr>
            <w:tcW w:w="1969" w:type="pct"/>
          </w:tcPr>
          <w:p w14:paraId="244FD7AE">
            <w:pPr>
              <w:pStyle w:val="22"/>
              <w:spacing w:before="0" w:beforeAutospacing="0" w:after="0" w:afterAutospacing="0" w:line="360" w:lineRule="auto"/>
              <w:jc w:val="center"/>
              <w:rPr>
                <w:rFonts w:ascii="宋体" w:hAnsi="宋体" w:cs="宋体"/>
                <w:b/>
                <w:bCs/>
                <w:color w:val="auto"/>
                <w:sz w:val="21"/>
                <w:szCs w:val="21"/>
              </w:rPr>
            </w:pPr>
            <w:r>
              <w:rPr>
                <w:rFonts w:hint="eastAsia" w:ascii="宋体" w:hAnsi="宋体" w:cs="宋体"/>
                <w:b/>
                <w:bCs/>
                <w:color w:val="auto"/>
                <w:sz w:val="21"/>
                <w:szCs w:val="21"/>
              </w:rPr>
              <w:t>货物名称</w:t>
            </w:r>
          </w:p>
        </w:tc>
        <w:tc>
          <w:tcPr>
            <w:tcW w:w="1210" w:type="pct"/>
          </w:tcPr>
          <w:p w14:paraId="4F36EE41">
            <w:pPr>
              <w:pStyle w:val="22"/>
              <w:spacing w:before="0" w:beforeAutospacing="0" w:after="0" w:afterAutospacing="0" w:line="360" w:lineRule="auto"/>
              <w:jc w:val="center"/>
              <w:rPr>
                <w:rFonts w:ascii="宋体" w:hAnsi="宋体" w:cs="宋体"/>
                <w:b/>
                <w:bCs/>
                <w:color w:val="auto"/>
                <w:sz w:val="21"/>
                <w:szCs w:val="21"/>
              </w:rPr>
            </w:pPr>
            <w:r>
              <w:rPr>
                <w:rFonts w:hint="eastAsia" w:ascii="宋体" w:hAnsi="宋体" w:cs="宋体"/>
                <w:b/>
                <w:bCs/>
                <w:color w:val="auto"/>
                <w:sz w:val="21"/>
                <w:szCs w:val="21"/>
              </w:rPr>
              <w:t>单位</w:t>
            </w:r>
          </w:p>
        </w:tc>
        <w:tc>
          <w:tcPr>
            <w:tcW w:w="1142" w:type="pct"/>
          </w:tcPr>
          <w:p w14:paraId="387EE82C">
            <w:pPr>
              <w:pStyle w:val="22"/>
              <w:spacing w:before="0" w:beforeAutospacing="0" w:after="0" w:afterAutospacing="0" w:line="360" w:lineRule="auto"/>
              <w:jc w:val="center"/>
              <w:rPr>
                <w:rFonts w:ascii="宋体" w:hAnsi="宋体" w:cs="宋体"/>
                <w:b/>
                <w:bCs/>
                <w:color w:val="auto"/>
                <w:sz w:val="21"/>
                <w:szCs w:val="21"/>
              </w:rPr>
            </w:pPr>
            <w:r>
              <w:rPr>
                <w:rFonts w:hint="eastAsia" w:ascii="宋体" w:hAnsi="宋体" w:cs="宋体"/>
                <w:b/>
                <w:bCs/>
                <w:color w:val="auto"/>
                <w:sz w:val="21"/>
                <w:szCs w:val="21"/>
              </w:rPr>
              <w:t>数量</w:t>
            </w:r>
          </w:p>
        </w:tc>
      </w:tr>
      <w:tr w14:paraId="14AF5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5000" w:type="pct"/>
            <w:gridSpan w:val="4"/>
            <w:vAlign w:val="center"/>
          </w:tcPr>
          <w:p w14:paraId="3592076A">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bCs/>
                <w:color w:val="auto"/>
                <w:spacing w:val="0"/>
                <w:kern w:val="0"/>
                <w:sz w:val="21"/>
                <w:szCs w:val="21"/>
              </w:rPr>
            </w:pPr>
            <w:r>
              <w:rPr>
                <w:rFonts w:hint="eastAsia" w:ascii="宋体" w:hAnsi="宋体" w:eastAsia="宋体" w:cs="宋体"/>
                <w:b/>
                <w:bCs/>
                <w:color w:val="auto"/>
                <w:spacing w:val="0"/>
                <w:kern w:val="0"/>
                <w:sz w:val="21"/>
                <w:szCs w:val="21"/>
                <w:lang w:val="en-US" w:eastAsia="zh-CN"/>
              </w:rPr>
              <w:t>（一）、馆藏文物无线环境监测系统</w:t>
            </w:r>
          </w:p>
        </w:tc>
      </w:tr>
      <w:tr w14:paraId="411B2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6C5ECF1E">
            <w:pPr>
              <w:widowControl/>
              <w:jc w:val="center"/>
              <w:textAlignment w:val="center"/>
              <w:rPr>
                <w:color w:val="auto"/>
                <w:szCs w:val="21"/>
              </w:rPr>
            </w:pPr>
            <w:r>
              <w:rPr>
                <w:rFonts w:hint="eastAsia" w:asciiTheme="minorEastAsia" w:hAnsiTheme="minorEastAsia" w:eastAsiaTheme="minorEastAsia" w:cstheme="minorEastAsia"/>
                <w:color w:val="auto"/>
                <w:kern w:val="0"/>
                <w:szCs w:val="21"/>
              </w:rPr>
              <w:t>1</w:t>
            </w:r>
          </w:p>
        </w:tc>
        <w:tc>
          <w:tcPr>
            <w:tcW w:w="1969" w:type="pct"/>
            <w:vAlign w:val="center"/>
          </w:tcPr>
          <w:p w14:paraId="7EF3D4BB">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color w:val="auto"/>
                <w:szCs w:val="21"/>
              </w:rPr>
            </w:pPr>
            <w:r>
              <w:rPr>
                <w:rFonts w:hint="eastAsia" w:ascii="宋体" w:hAnsi="宋体" w:eastAsia="宋体" w:cs="宋体"/>
                <w:b/>
                <w:bCs/>
                <w:color w:val="auto"/>
                <w:spacing w:val="0"/>
                <w:kern w:val="0"/>
                <w:sz w:val="21"/>
                <w:szCs w:val="21"/>
              </w:rPr>
              <w:t>甲醛无线监测终端</w:t>
            </w:r>
          </w:p>
        </w:tc>
        <w:tc>
          <w:tcPr>
            <w:tcW w:w="1210" w:type="pct"/>
            <w:vAlign w:val="center"/>
          </w:tcPr>
          <w:p w14:paraId="46BEC752">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color w:val="auto"/>
                <w:szCs w:val="21"/>
              </w:rPr>
            </w:pPr>
            <w:r>
              <w:rPr>
                <w:rFonts w:hint="eastAsia" w:ascii="宋体" w:hAnsi="宋体" w:eastAsia="宋体" w:cs="宋体"/>
                <w:b/>
                <w:bCs/>
                <w:color w:val="auto"/>
                <w:spacing w:val="0"/>
                <w:kern w:val="0"/>
                <w:sz w:val="21"/>
                <w:szCs w:val="21"/>
              </w:rPr>
              <w:t>只</w:t>
            </w:r>
          </w:p>
        </w:tc>
        <w:tc>
          <w:tcPr>
            <w:tcW w:w="1142" w:type="pct"/>
            <w:vAlign w:val="center"/>
          </w:tcPr>
          <w:p w14:paraId="6B1F80E2">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color w:val="auto"/>
                <w:szCs w:val="21"/>
              </w:rPr>
            </w:pPr>
            <w:r>
              <w:rPr>
                <w:rFonts w:hint="eastAsia" w:ascii="宋体" w:hAnsi="宋体" w:eastAsia="宋体" w:cs="宋体"/>
                <w:b/>
                <w:bCs/>
                <w:color w:val="auto"/>
                <w:spacing w:val="0"/>
                <w:kern w:val="0"/>
                <w:sz w:val="21"/>
                <w:szCs w:val="21"/>
              </w:rPr>
              <w:t>6</w:t>
            </w:r>
          </w:p>
        </w:tc>
      </w:tr>
      <w:tr w14:paraId="2FDA1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581D128F">
            <w:pPr>
              <w:widowControl/>
              <w:jc w:val="center"/>
              <w:textAlignment w:val="center"/>
              <w:rPr>
                <w:rFonts w:ascii="Calibri" w:hAnsi="Calibri" w:cs="Calibri"/>
                <w:color w:val="auto"/>
                <w:kern w:val="0"/>
                <w:szCs w:val="21"/>
                <w:lang w:bidi="ar"/>
              </w:rPr>
            </w:pPr>
            <w:r>
              <w:rPr>
                <w:rFonts w:hint="eastAsia" w:asciiTheme="minorEastAsia" w:hAnsiTheme="minorEastAsia" w:eastAsiaTheme="minorEastAsia" w:cstheme="minorEastAsia"/>
                <w:color w:val="auto"/>
                <w:kern w:val="0"/>
                <w:szCs w:val="21"/>
              </w:rPr>
              <w:t>2</w:t>
            </w:r>
          </w:p>
        </w:tc>
        <w:tc>
          <w:tcPr>
            <w:tcW w:w="1969" w:type="pct"/>
            <w:vAlign w:val="center"/>
          </w:tcPr>
          <w:p w14:paraId="12CFC0EB">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紫外线监测终端</w:t>
            </w:r>
          </w:p>
        </w:tc>
        <w:tc>
          <w:tcPr>
            <w:tcW w:w="1210" w:type="pct"/>
            <w:vAlign w:val="center"/>
          </w:tcPr>
          <w:p w14:paraId="45E4B4E2">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只</w:t>
            </w:r>
          </w:p>
        </w:tc>
        <w:tc>
          <w:tcPr>
            <w:tcW w:w="1142" w:type="pct"/>
            <w:vAlign w:val="center"/>
          </w:tcPr>
          <w:p w14:paraId="166F4C91">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Calibri" w:hAnsi="Calibri" w:cs="Calibri"/>
                <w:color w:val="auto"/>
                <w:kern w:val="0"/>
                <w:szCs w:val="21"/>
                <w:lang w:bidi="ar"/>
              </w:rPr>
            </w:pPr>
            <w:r>
              <w:rPr>
                <w:rFonts w:hint="eastAsia" w:ascii="宋体" w:hAnsi="宋体" w:eastAsia="宋体" w:cs="宋体"/>
                <w:b/>
                <w:bCs/>
                <w:color w:val="auto"/>
                <w:spacing w:val="0"/>
                <w:kern w:val="0"/>
                <w:sz w:val="21"/>
                <w:szCs w:val="21"/>
              </w:rPr>
              <w:t>6</w:t>
            </w:r>
          </w:p>
        </w:tc>
      </w:tr>
      <w:tr w14:paraId="04E21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2F5542DF">
            <w:pPr>
              <w:widowControl/>
              <w:jc w:val="center"/>
              <w:textAlignment w:val="center"/>
              <w:rPr>
                <w:rFonts w:ascii="Calibri" w:hAnsi="Calibri" w:cs="Calibri"/>
                <w:color w:val="auto"/>
                <w:kern w:val="0"/>
                <w:szCs w:val="21"/>
                <w:lang w:bidi="ar"/>
              </w:rPr>
            </w:pPr>
            <w:r>
              <w:rPr>
                <w:rFonts w:hint="eastAsia" w:asciiTheme="minorEastAsia" w:hAnsiTheme="minorEastAsia" w:eastAsiaTheme="minorEastAsia" w:cstheme="minorEastAsia"/>
                <w:color w:val="auto"/>
                <w:kern w:val="0"/>
                <w:szCs w:val="21"/>
              </w:rPr>
              <w:t>3</w:t>
            </w:r>
          </w:p>
        </w:tc>
        <w:tc>
          <w:tcPr>
            <w:tcW w:w="1969" w:type="pct"/>
            <w:vAlign w:val="center"/>
          </w:tcPr>
          <w:p w14:paraId="09776DCA">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挥发物总量无线监测终端</w:t>
            </w:r>
          </w:p>
        </w:tc>
        <w:tc>
          <w:tcPr>
            <w:tcW w:w="1210" w:type="pct"/>
            <w:vAlign w:val="center"/>
          </w:tcPr>
          <w:p w14:paraId="61A33E98">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只</w:t>
            </w:r>
          </w:p>
        </w:tc>
        <w:tc>
          <w:tcPr>
            <w:tcW w:w="1142" w:type="pct"/>
            <w:vAlign w:val="center"/>
          </w:tcPr>
          <w:p w14:paraId="2063D346">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Calibri" w:hAnsi="Calibri" w:cs="Calibri"/>
                <w:color w:val="auto"/>
                <w:kern w:val="0"/>
                <w:szCs w:val="21"/>
                <w:lang w:bidi="ar"/>
              </w:rPr>
            </w:pPr>
            <w:r>
              <w:rPr>
                <w:rFonts w:hint="eastAsia" w:ascii="宋体" w:hAnsi="宋体" w:eastAsia="宋体" w:cs="宋体"/>
                <w:b/>
                <w:bCs/>
                <w:color w:val="auto"/>
                <w:spacing w:val="0"/>
                <w:kern w:val="0"/>
                <w:sz w:val="21"/>
                <w:szCs w:val="21"/>
              </w:rPr>
              <w:t>6</w:t>
            </w:r>
          </w:p>
        </w:tc>
      </w:tr>
      <w:tr w14:paraId="22452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0ADBEDB0">
            <w:pPr>
              <w:widowControl/>
              <w:jc w:val="center"/>
              <w:textAlignment w:val="center"/>
              <w:rPr>
                <w:rFonts w:ascii="Calibri" w:hAnsi="Calibri" w:cs="Calibri"/>
                <w:color w:val="auto"/>
                <w:kern w:val="0"/>
                <w:szCs w:val="21"/>
                <w:lang w:bidi="ar"/>
              </w:rPr>
            </w:pPr>
            <w:r>
              <w:rPr>
                <w:rFonts w:hint="eastAsia" w:asciiTheme="minorEastAsia" w:hAnsiTheme="minorEastAsia" w:eastAsiaTheme="minorEastAsia" w:cstheme="minorEastAsia"/>
                <w:color w:val="auto"/>
                <w:kern w:val="0"/>
                <w:szCs w:val="21"/>
              </w:rPr>
              <w:t>4</w:t>
            </w:r>
          </w:p>
        </w:tc>
        <w:tc>
          <w:tcPr>
            <w:tcW w:w="1969" w:type="pct"/>
            <w:vAlign w:val="center"/>
          </w:tcPr>
          <w:p w14:paraId="1FDAC0DF">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光照度无线监测终端</w:t>
            </w:r>
          </w:p>
        </w:tc>
        <w:tc>
          <w:tcPr>
            <w:tcW w:w="1210" w:type="pct"/>
            <w:vAlign w:val="center"/>
          </w:tcPr>
          <w:p w14:paraId="2188D634">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只</w:t>
            </w:r>
          </w:p>
        </w:tc>
        <w:tc>
          <w:tcPr>
            <w:tcW w:w="1142" w:type="pct"/>
            <w:vAlign w:val="center"/>
          </w:tcPr>
          <w:p w14:paraId="0DFAF1C6">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Calibri" w:hAnsi="Calibri" w:cs="Calibri"/>
                <w:color w:val="auto"/>
                <w:kern w:val="0"/>
                <w:szCs w:val="21"/>
                <w:lang w:bidi="ar"/>
              </w:rPr>
            </w:pPr>
            <w:r>
              <w:rPr>
                <w:rFonts w:hint="eastAsia" w:ascii="宋体" w:hAnsi="宋体" w:eastAsia="宋体" w:cs="宋体"/>
                <w:b/>
                <w:bCs/>
                <w:color w:val="auto"/>
                <w:spacing w:val="0"/>
                <w:kern w:val="0"/>
                <w:sz w:val="21"/>
                <w:szCs w:val="21"/>
              </w:rPr>
              <w:t>6</w:t>
            </w:r>
          </w:p>
        </w:tc>
      </w:tr>
      <w:tr w14:paraId="3CA07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37BAD064">
            <w:pPr>
              <w:widowControl/>
              <w:jc w:val="center"/>
              <w:textAlignment w:val="center"/>
              <w:rPr>
                <w:rFonts w:ascii="Calibri" w:hAnsi="Calibri" w:cs="Calibri"/>
                <w:color w:val="auto"/>
                <w:kern w:val="0"/>
                <w:szCs w:val="21"/>
                <w:lang w:bidi="ar"/>
              </w:rPr>
            </w:pPr>
            <w:r>
              <w:rPr>
                <w:rFonts w:hint="eastAsia" w:asciiTheme="minorEastAsia" w:hAnsiTheme="minorEastAsia" w:eastAsiaTheme="minorEastAsia" w:cstheme="minorEastAsia"/>
                <w:color w:val="auto"/>
                <w:kern w:val="0"/>
                <w:szCs w:val="21"/>
              </w:rPr>
              <w:t>5</w:t>
            </w:r>
          </w:p>
        </w:tc>
        <w:tc>
          <w:tcPr>
            <w:tcW w:w="1969" w:type="pct"/>
            <w:vAlign w:val="center"/>
          </w:tcPr>
          <w:p w14:paraId="6BF42676">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二氧化碳无线监测终端</w:t>
            </w:r>
          </w:p>
        </w:tc>
        <w:tc>
          <w:tcPr>
            <w:tcW w:w="1210" w:type="pct"/>
            <w:vAlign w:val="center"/>
          </w:tcPr>
          <w:p w14:paraId="36D00DDD">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只</w:t>
            </w:r>
          </w:p>
        </w:tc>
        <w:tc>
          <w:tcPr>
            <w:tcW w:w="1142" w:type="pct"/>
            <w:vAlign w:val="center"/>
          </w:tcPr>
          <w:p w14:paraId="092BA66D">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Calibri" w:hAnsi="Calibri" w:cs="Calibri"/>
                <w:color w:val="auto"/>
                <w:kern w:val="0"/>
                <w:szCs w:val="21"/>
                <w:lang w:bidi="ar"/>
              </w:rPr>
            </w:pPr>
            <w:r>
              <w:rPr>
                <w:rFonts w:hint="eastAsia" w:ascii="宋体" w:hAnsi="宋体" w:eastAsia="宋体" w:cs="宋体"/>
                <w:b/>
                <w:bCs/>
                <w:color w:val="auto"/>
                <w:spacing w:val="0"/>
                <w:kern w:val="0"/>
                <w:sz w:val="21"/>
                <w:szCs w:val="21"/>
              </w:rPr>
              <w:t>6</w:t>
            </w:r>
          </w:p>
        </w:tc>
      </w:tr>
      <w:tr w14:paraId="20519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53D7466F">
            <w:pPr>
              <w:widowControl/>
              <w:jc w:val="center"/>
              <w:textAlignment w:val="center"/>
              <w:rPr>
                <w:rFonts w:ascii="Calibri" w:hAnsi="Calibri" w:cs="Calibri"/>
                <w:color w:val="auto"/>
                <w:kern w:val="0"/>
                <w:szCs w:val="21"/>
                <w:lang w:bidi="ar"/>
              </w:rPr>
            </w:pPr>
            <w:r>
              <w:rPr>
                <w:rFonts w:hint="eastAsia" w:asciiTheme="minorEastAsia" w:hAnsiTheme="minorEastAsia" w:eastAsiaTheme="minorEastAsia" w:cstheme="minorEastAsia"/>
                <w:color w:val="auto"/>
                <w:kern w:val="0"/>
                <w:szCs w:val="21"/>
              </w:rPr>
              <w:t>6</w:t>
            </w:r>
          </w:p>
        </w:tc>
        <w:tc>
          <w:tcPr>
            <w:tcW w:w="1969" w:type="pct"/>
            <w:vAlign w:val="center"/>
          </w:tcPr>
          <w:p w14:paraId="5AF74062">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温湿度无线监测终端</w:t>
            </w:r>
          </w:p>
        </w:tc>
        <w:tc>
          <w:tcPr>
            <w:tcW w:w="1210" w:type="pct"/>
            <w:vAlign w:val="center"/>
          </w:tcPr>
          <w:p w14:paraId="0F5B682B">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只</w:t>
            </w:r>
          </w:p>
        </w:tc>
        <w:tc>
          <w:tcPr>
            <w:tcW w:w="1142" w:type="pct"/>
            <w:vAlign w:val="center"/>
          </w:tcPr>
          <w:p w14:paraId="63F2E815">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Calibri" w:hAnsi="Calibri" w:cs="Calibri"/>
                <w:color w:val="auto"/>
                <w:kern w:val="0"/>
                <w:szCs w:val="21"/>
                <w:lang w:bidi="ar"/>
              </w:rPr>
            </w:pPr>
            <w:r>
              <w:rPr>
                <w:rFonts w:hint="eastAsia" w:ascii="宋体" w:hAnsi="宋体" w:eastAsia="宋体" w:cs="宋体"/>
                <w:b/>
                <w:bCs/>
                <w:color w:val="auto"/>
                <w:spacing w:val="0"/>
                <w:kern w:val="0"/>
                <w:sz w:val="21"/>
                <w:szCs w:val="21"/>
                <w:lang w:val="en-US" w:eastAsia="zh-CN"/>
              </w:rPr>
              <w:t>6</w:t>
            </w:r>
          </w:p>
        </w:tc>
      </w:tr>
      <w:tr w14:paraId="6F5D2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58555747">
            <w:pPr>
              <w:widowControl/>
              <w:jc w:val="center"/>
              <w:textAlignment w:val="center"/>
              <w:rPr>
                <w:rFonts w:ascii="Calibri" w:hAnsi="Calibri" w:cs="Calibri"/>
                <w:color w:val="auto"/>
                <w:kern w:val="0"/>
                <w:szCs w:val="21"/>
                <w:lang w:bidi="ar"/>
              </w:rPr>
            </w:pPr>
            <w:r>
              <w:rPr>
                <w:rFonts w:hint="eastAsia" w:asciiTheme="minorEastAsia" w:hAnsiTheme="minorEastAsia" w:eastAsiaTheme="minorEastAsia" w:cstheme="minorEastAsia"/>
                <w:color w:val="auto"/>
                <w:kern w:val="0"/>
                <w:szCs w:val="21"/>
              </w:rPr>
              <w:t>7</w:t>
            </w:r>
          </w:p>
        </w:tc>
        <w:tc>
          <w:tcPr>
            <w:tcW w:w="1969" w:type="pct"/>
            <w:vAlign w:val="center"/>
          </w:tcPr>
          <w:p w14:paraId="1D52DF6B">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中继</w:t>
            </w:r>
          </w:p>
        </w:tc>
        <w:tc>
          <w:tcPr>
            <w:tcW w:w="1210" w:type="pct"/>
            <w:vAlign w:val="center"/>
          </w:tcPr>
          <w:p w14:paraId="6C9EF534">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宋体" w:hAnsi="宋体" w:cs="宋体"/>
                <w:color w:val="auto"/>
                <w:kern w:val="0"/>
                <w:szCs w:val="21"/>
                <w:lang w:bidi="ar"/>
              </w:rPr>
            </w:pPr>
            <w:r>
              <w:rPr>
                <w:rFonts w:hint="eastAsia" w:ascii="宋体" w:hAnsi="宋体" w:eastAsia="宋体" w:cs="宋体"/>
                <w:b/>
                <w:bCs/>
                <w:color w:val="auto"/>
                <w:spacing w:val="0"/>
                <w:kern w:val="0"/>
                <w:sz w:val="21"/>
                <w:szCs w:val="21"/>
              </w:rPr>
              <w:t>只</w:t>
            </w:r>
          </w:p>
        </w:tc>
        <w:tc>
          <w:tcPr>
            <w:tcW w:w="1142" w:type="pct"/>
            <w:vAlign w:val="center"/>
          </w:tcPr>
          <w:p w14:paraId="41FE27CD">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ascii="Calibri" w:hAnsi="Calibri" w:cs="Calibri"/>
                <w:color w:val="auto"/>
                <w:kern w:val="0"/>
                <w:szCs w:val="21"/>
                <w:lang w:bidi="ar"/>
              </w:rPr>
            </w:pPr>
            <w:r>
              <w:rPr>
                <w:rFonts w:hint="eastAsia" w:ascii="宋体" w:hAnsi="宋体" w:eastAsia="宋体" w:cs="宋体"/>
                <w:b/>
                <w:bCs/>
                <w:color w:val="auto"/>
                <w:spacing w:val="0"/>
                <w:kern w:val="0"/>
                <w:sz w:val="21"/>
                <w:szCs w:val="21"/>
              </w:rPr>
              <w:t>6</w:t>
            </w:r>
          </w:p>
        </w:tc>
      </w:tr>
      <w:tr w14:paraId="598EA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7756A5DF">
            <w:pPr>
              <w:widowControl/>
              <w:jc w:val="center"/>
              <w:textAlignment w:val="center"/>
              <w:rPr>
                <w:rFonts w:hint="eastAsia" w:asciiTheme="minorEastAsia" w:hAnsiTheme="minorEastAsia" w:eastAsiaTheme="minorEastAsia" w:cstheme="minorEastAsia"/>
                <w:color w:val="auto"/>
                <w:kern w:val="0"/>
                <w:szCs w:val="21"/>
                <w:lang w:val="en-US" w:eastAsia="zh-CN"/>
              </w:rPr>
            </w:pPr>
            <w:r>
              <w:rPr>
                <w:rFonts w:hint="eastAsia" w:asciiTheme="minorEastAsia" w:hAnsiTheme="minorEastAsia" w:eastAsiaTheme="minorEastAsia" w:cstheme="minorEastAsia"/>
                <w:color w:val="auto"/>
                <w:kern w:val="0"/>
                <w:szCs w:val="21"/>
                <w:lang w:val="en-US" w:eastAsia="zh-CN"/>
              </w:rPr>
              <w:t>8</w:t>
            </w:r>
          </w:p>
        </w:tc>
        <w:tc>
          <w:tcPr>
            <w:tcW w:w="1969" w:type="pct"/>
            <w:vAlign w:val="center"/>
          </w:tcPr>
          <w:p w14:paraId="1B44B3E3">
            <w:pPr>
              <w:widowControl/>
              <w:jc w:val="center"/>
              <w:textAlignment w:val="center"/>
              <w:rPr>
                <w:rFonts w:hint="eastAsia" w:ascii="宋体" w:hAnsi="宋体"/>
                <w:color w:val="auto"/>
                <w:szCs w:val="21"/>
              </w:rPr>
            </w:pPr>
            <w:r>
              <w:rPr>
                <w:rFonts w:hint="eastAsia" w:ascii="宋体" w:hAnsi="宋体" w:cs="宋体"/>
                <w:b/>
                <w:bCs/>
                <w:color w:val="auto"/>
                <w:spacing w:val="0"/>
                <w:kern w:val="0"/>
                <w:sz w:val="21"/>
                <w:szCs w:val="21"/>
                <w:lang w:val="en-US" w:eastAsia="zh-CN"/>
              </w:rPr>
              <w:t>物联网网关</w:t>
            </w:r>
          </w:p>
        </w:tc>
        <w:tc>
          <w:tcPr>
            <w:tcW w:w="1210" w:type="pct"/>
            <w:vAlign w:val="center"/>
          </w:tcPr>
          <w:p w14:paraId="7826BB97">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color w:val="auto"/>
                <w:szCs w:val="21"/>
              </w:rPr>
            </w:pPr>
            <w:r>
              <w:rPr>
                <w:rFonts w:hint="eastAsia" w:ascii="宋体" w:hAnsi="宋体" w:eastAsia="宋体" w:cs="宋体"/>
                <w:b/>
                <w:bCs/>
                <w:color w:val="auto"/>
                <w:spacing w:val="0"/>
                <w:kern w:val="0"/>
                <w:sz w:val="21"/>
                <w:szCs w:val="21"/>
              </w:rPr>
              <w:t>只</w:t>
            </w:r>
          </w:p>
        </w:tc>
        <w:tc>
          <w:tcPr>
            <w:tcW w:w="1142" w:type="pct"/>
            <w:vAlign w:val="center"/>
          </w:tcPr>
          <w:p w14:paraId="41F878E4">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color w:val="auto"/>
                <w:szCs w:val="21"/>
              </w:rPr>
            </w:pPr>
            <w:r>
              <w:rPr>
                <w:rFonts w:hint="eastAsia" w:ascii="宋体" w:hAnsi="宋体" w:eastAsia="宋体" w:cs="宋体"/>
                <w:b/>
                <w:bCs/>
                <w:color w:val="auto"/>
                <w:spacing w:val="0"/>
                <w:kern w:val="0"/>
                <w:sz w:val="21"/>
                <w:szCs w:val="21"/>
              </w:rPr>
              <w:t>1</w:t>
            </w:r>
          </w:p>
        </w:tc>
      </w:tr>
      <w:tr w14:paraId="1A58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70FC95A8">
            <w:pPr>
              <w:widowControl/>
              <w:jc w:val="center"/>
              <w:textAlignment w:val="center"/>
              <w:rPr>
                <w:rFonts w:hint="default" w:asciiTheme="minorEastAsia" w:hAnsiTheme="minorEastAsia" w:eastAsiaTheme="minorEastAsia" w:cstheme="minorEastAsia"/>
                <w:color w:val="auto"/>
                <w:kern w:val="0"/>
                <w:szCs w:val="21"/>
                <w:lang w:val="en-US" w:eastAsia="zh-CN"/>
              </w:rPr>
            </w:pPr>
            <w:r>
              <w:rPr>
                <w:rFonts w:hint="eastAsia" w:asciiTheme="minorEastAsia" w:hAnsiTheme="minorEastAsia" w:eastAsiaTheme="minorEastAsia" w:cstheme="minorEastAsia"/>
                <w:color w:val="auto"/>
                <w:kern w:val="0"/>
                <w:szCs w:val="21"/>
                <w:lang w:val="en-US" w:eastAsia="zh-CN"/>
              </w:rPr>
              <w:t>9</w:t>
            </w:r>
          </w:p>
        </w:tc>
        <w:tc>
          <w:tcPr>
            <w:tcW w:w="1969" w:type="pct"/>
            <w:vAlign w:val="center"/>
          </w:tcPr>
          <w:p w14:paraId="11718337">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color w:val="auto"/>
                <w:szCs w:val="21"/>
              </w:rPr>
            </w:pPr>
            <w:r>
              <w:rPr>
                <w:rFonts w:hint="eastAsia" w:ascii="宋体" w:hAnsi="宋体" w:eastAsia="宋体" w:cs="宋体"/>
                <w:b/>
                <w:bCs/>
                <w:color w:val="auto"/>
                <w:spacing w:val="0"/>
                <w:kern w:val="0"/>
                <w:sz w:val="21"/>
                <w:szCs w:val="21"/>
              </w:rPr>
              <w:t>交换机</w:t>
            </w:r>
          </w:p>
        </w:tc>
        <w:tc>
          <w:tcPr>
            <w:tcW w:w="1210" w:type="pct"/>
            <w:vAlign w:val="center"/>
          </w:tcPr>
          <w:p w14:paraId="67DA0852">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color w:val="auto"/>
                <w:szCs w:val="21"/>
              </w:rPr>
            </w:pPr>
            <w:r>
              <w:rPr>
                <w:rFonts w:hint="eastAsia" w:ascii="宋体" w:hAnsi="宋体" w:eastAsia="宋体" w:cs="宋体"/>
                <w:b/>
                <w:bCs/>
                <w:color w:val="auto"/>
                <w:spacing w:val="0"/>
                <w:kern w:val="0"/>
                <w:sz w:val="21"/>
                <w:szCs w:val="21"/>
              </w:rPr>
              <w:t>台</w:t>
            </w:r>
          </w:p>
        </w:tc>
        <w:tc>
          <w:tcPr>
            <w:tcW w:w="1142" w:type="pct"/>
            <w:vAlign w:val="center"/>
          </w:tcPr>
          <w:p w14:paraId="1ED800C3">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color w:val="auto"/>
                <w:szCs w:val="21"/>
              </w:rPr>
            </w:pPr>
            <w:r>
              <w:rPr>
                <w:rFonts w:hint="eastAsia" w:ascii="宋体" w:hAnsi="宋体" w:eastAsia="宋体" w:cs="宋体"/>
                <w:b/>
                <w:bCs/>
                <w:color w:val="auto"/>
                <w:spacing w:val="0"/>
                <w:kern w:val="0"/>
                <w:sz w:val="21"/>
                <w:szCs w:val="21"/>
              </w:rPr>
              <w:t>1</w:t>
            </w:r>
          </w:p>
        </w:tc>
      </w:tr>
      <w:tr w14:paraId="71785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35E15192">
            <w:pPr>
              <w:widowControl/>
              <w:jc w:val="center"/>
              <w:textAlignment w:val="center"/>
              <w:rPr>
                <w:rFonts w:hint="default" w:asciiTheme="minorEastAsia" w:hAnsiTheme="minorEastAsia" w:eastAsiaTheme="minorEastAsia" w:cstheme="minorEastAsia"/>
                <w:color w:val="auto"/>
                <w:kern w:val="0"/>
                <w:szCs w:val="21"/>
                <w:lang w:val="en-US" w:eastAsia="zh-CN"/>
              </w:rPr>
            </w:pPr>
            <w:r>
              <w:rPr>
                <w:rFonts w:hint="eastAsia" w:asciiTheme="minorEastAsia" w:hAnsiTheme="minorEastAsia" w:eastAsiaTheme="minorEastAsia" w:cstheme="minorEastAsia"/>
                <w:color w:val="auto"/>
                <w:kern w:val="0"/>
                <w:szCs w:val="21"/>
                <w:lang w:val="en-US" w:eastAsia="zh-CN"/>
              </w:rPr>
              <w:t>10</w:t>
            </w:r>
          </w:p>
        </w:tc>
        <w:tc>
          <w:tcPr>
            <w:tcW w:w="1969" w:type="pct"/>
            <w:vAlign w:val="center"/>
          </w:tcPr>
          <w:p w14:paraId="0163CB6E">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color w:val="auto"/>
                <w:szCs w:val="21"/>
              </w:rPr>
            </w:pPr>
            <w:r>
              <w:rPr>
                <w:rFonts w:hint="eastAsia" w:ascii="宋体" w:hAnsi="宋体" w:eastAsia="宋体" w:cs="宋体"/>
                <w:b/>
                <w:bCs/>
                <w:color w:val="auto"/>
                <w:spacing w:val="0"/>
                <w:kern w:val="0"/>
                <w:sz w:val="21"/>
                <w:szCs w:val="21"/>
              </w:rPr>
              <w:t>机柜</w:t>
            </w:r>
          </w:p>
        </w:tc>
        <w:tc>
          <w:tcPr>
            <w:tcW w:w="1210" w:type="pct"/>
            <w:vAlign w:val="center"/>
          </w:tcPr>
          <w:p w14:paraId="28C83BA2">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color w:val="auto"/>
                <w:szCs w:val="21"/>
              </w:rPr>
            </w:pPr>
            <w:r>
              <w:rPr>
                <w:rFonts w:hint="eastAsia" w:ascii="宋体" w:hAnsi="宋体" w:eastAsia="宋体" w:cs="宋体"/>
                <w:b/>
                <w:bCs/>
                <w:color w:val="auto"/>
                <w:spacing w:val="0"/>
                <w:kern w:val="0"/>
                <w:sz w:val="21"/>
                <w:szCs w:val="21"/>
              </w:rPr>
              <w:t>台</w:t>
            </w:r>
          </w:p>
        </w:tc>
        <w:tc>
          <w:tcPr>
            <w:tcW w:w="1142" w:type="pct"/>
            <w:vAlign w:val="center"/>
          </w:tcPr>
          <w:p w14:paraId="73A8C25C">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color w:val="auto"/>
                <w:szCs w:val="21"/>
              </w:rPr>
            </w:pPr>
            <w:r>
              <w:rPr>
                <w:rFonts w:hint="eastAsia" w:ascii="宋体" w:hAnsi="宋体" w:eastAsia="宋体" w:cs="宋体"/>
                <w:b/>
                <w:bCs/>
                <w:color w:val="auto"/>
                <w:spacing w:val="0"/>
                <w:kern w:val="0"/>
                <w:sz w:val="21"/>
                <w:szCs w:val="21"/>
              </w:rPr>
              <w:t>1</w:t>
            </w:r>
          </w:p>
        </w:tc>
      </w:tr>
      <w:tr w14:paraId="7A41C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5A0F09DA">
            <w:pPr>
              <w:widowControl/>
              <w:jc w:val="center"/>
              <w:textAlignment w:val="center"/>
              <w:rPr>
                <w:rFonts w:hint="default" w:asciiTheme="minorEastAsia" w:hAnsiTheme="minorEastAsia" w:eastAsiaTheme="minorEastAsia" w:cstheme="minorEastAsia"/>
                <w:color w:val="auto"/>
                <w:kern w:val="0"/>
                <w:szCs w:val="21"/>
                <w:lang w:val="en-US" w:eastAsia="zh-CN"/>
              </w:rPr>
            </w:pPr>
            <w:r>
              <w:rPr>
                <w:rFonts w:hint="eastAsia" w:asciiTheme="minorEastAsia" w:hAnsiTheme="minorEastAsia" w:eastAsiaTheme="minorEastAsia" w:cstheme="minorEastAsia"/>
                <w:color w:val="auto"/>
                <w:kern w:val="0"/>
                <w:szCs w:val="21"/>
                <w:lang w:val="en-US" w:eastAsia="zh-CN"/>
              </w:rPr>
              <w:t>11</w:t>
            </w:r>
          </w:p>
        </w:tc>
        <w:tc>
          <w:tcPr>
            <w:tcW w:w="1969" w:type="pct"/>
            <w:vAlign w:val="center"/>
          </w:tcPr>
          <w:p w14:paraId="0D0FEDE3">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color w:val="auto"/>
                <w:szCs w:val="21"/>
              </w:rPr>
            </w:pPr>
            <w:r>
              <w:rPr>
                <w:rFonts w:hint="eastAsia" w:ascii="宋体" w:hAnsi="宋体" w:eastAsia="宋体" w:cs="宋体"/>
                <w:b/>
                <w:bCs/>
                <w:color w:val="auto"/>
                <w:spacing w:val="0"/>
                <w:kern w:val="0"/>
                <w:sz w:val="21"/>
                <w:szCs w:val="21"/>
              </w:rPr>
              <w:t>机柜专用插座</w:t>
            </w:r>
          </w:p>
        </w:tc>
        <w:tc>
          <w:tcPr>
            <w:tcW w:w="1210" w:type="pct"/>
            <w:vAlign w:val="center"/>
          </w:tcPr>
          <w:p w14:paraId="14827D03">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color w:val="auto"/>
                <w:szCs w:val="21"/>
              </w:rPr>
            </w:pPr>
            <w:r>
              <w:rPr>
                <w:rFonts w:hint="eastAsia" w:ascii="宋体" w:hAnsi="宋体" w:eastAsia="宋体" w:cs="宋体"/>
                <w:b/>
                <w:bCs/>
                <w:color w:val="auto"/>
                <w:spacing w:val="0"/>
                <w:kern w:val="0"/>
                <w:sz w:val="21"/>
                <w:szCs w:val="21"/>
              </w:rPr>
              <w:t>只</w:t>
            </w:r>
          </w:p>
        </w:tc>
        <w:tc>
          <w:tcPr>
            <w:tcW w:w="1142" w:type="pct"/>
            <w:vAlign w:val="center"/>
          </w:tcPr>
          <w:p w14:paraId="289A5DD4">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color w:val="auto"/>
                <w:szCs w:val="21"/>
              </w:rPr>
            </w:pPr>
            <w:r>
              <w:rPr>
                <w:rFonts w:hint="eastAsia" w:ascii="宋体" w:hAnsi="宋体" w:eastAsia="宋体" w:cs="宋体"/>
                <w:b/>
                <w:bCs/>
                <w:color w:val="auto"/>
                <w:spacing w:val="0"/>
                <w:kern w:val="0"/>
                <w:sz w:val="21"/>
                <w:szCs w:val="21"/>
              </w:rPr>
              <w:t>1</w:t>
            </w:r>
          </w:p>
        </w:tc>
      </w:tr>
      <w:tr w14:paraId="02232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5000" w:type="pct"/>
            <w:gridSpan w:val="4"/>
            <w:vAlign w:val="center"/>
          </w:tcPr>
          <w:p w14:paraId="3E45AECA">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cs="宋体"/>
                <w:b/>
                <w:bCs/>
                <w:color w:val="auto"/>
                <w:spacing w:val="0"/>
                <w:kern w:val="0"/>
                <w:sz w:val="21"/>
                <w:szCs w:val="21"/>
                <w:lang w:val="en-US" w:eastAsia="zh-CN"/>
              </w:rPr>
            </w:pPr>
            <w:r>
              <w:rPr>
                <w:rFonts w:hint="eastAsia" w:ascii="宋体" w:hAnsi="宋体" w:eastAsia="宋体" w:cs="宋体"/>
                <w:b/>
                <w:bCs/>
                <w:color w:val="auto"/>
                <w:spacing w:val="0"/>
                <w:kern w:val="0"/>
                <w:sz w:val="21"/>
                <w:szCs w:val="21"/>
                <w:lang w:val="en-US" w:eastAsia="zh-CN"/>
              </w:rPr>
              <w:t>（二）、展厅展柜改造</w:t>
            </w:r>
          </w:p>
        </w:tc>
      </w:tr>
      <w:tr w14:paraId="06040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677" w:type="pct"/>
            <w:vAlign w:val="center"/>
          </w:tcPr>
          <w:p w14:paraId="7A54D21B">
            <w:pPr>
              <w:widowControl/>
              <w:jc w:val="center"/>
              <w:textAlignment w:val="center"/>
              <w:rPr>
                <w:rFonts w:hint="default" w:asciiTheme="minorEastAsia" w:hAnsiTheme="minorEastAsia" w:eastAsiaTheme="minorEastAsia" w:cstheme="minorEastAsia"/>
                <w:color w:val="auto"/>
                <w:kern w:val="0"/>
                <w:szCs w:val="21"/>
                <w:lang w:val="en-US" w:eastAsia="zh-CN"/>
              </w:rPr>
            </w:pPr>
            <w:r>
              <w:rPr>
                <w:rFonts w:hint="eastAsia" w:asciiTheme="minorEastAsia" w:hAnsiTheme="minorEastAsia" w:eastAsiaTheme="minorEastAsia" w:cstheme="minorEastAsia"/>
                <w:color w:val="auto"/>
                <w:kern w:val="0"/>
                <w:szCs w:val="21"/>
                <w:lang w:val="en-US" w:eastAsia="zh-CN"/>
              </w:rPr>
              <w:t>1</w:t>
            </w:r>
          </w:p>
        </w:tc>
        <w:tc>
          <w:tcPr>
            <w:tcW w:w="1969" w:type="pct"/>
            <w:vAlign w:val="center"/>
          </w:tcPr>
          <w:p w14:paraId="14DC70CF">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bCs/>
                <w:color w:val="auto"/>
                <w:spacing w:val="0"/>
                <w:kern w:val="0"/>
                <w:sz w:val="21"/>
                <w:szCs w:val="21"/>
              </w:rPr>
            </w:pPr>
            <w:r>
              <w:rPr>
                <w:rFonts w:hint="eastAsia" w:ascii="宋体" w:hAnsi="宋体" w:eastAsia="宋体" w:cs="宋体"/>
                <w:b/>
                <w:bCs/>
                <w:color w:val="auto"/>
                <w:spacing w:val="0"/>
                <w:kern w:val="0"/>
                <w:sz w:val="21"/>
                <w:szCs w:val="21"/>
                <w:lang w:val="en-US" w:eastAsia="zh-CN"/>
              </w:rPr>
              <w:t>独立展柜</w:t>
            </w:r>
          </w:p>
        </w:tc>
        <w:tc>
          <w:tcPr>
            <w:tcW w:w="1210" w:type="pct"/>
            <w:vAlign w:val="center"/>
          </w:tcPr>
          <w:p w14:paraId="232B0A3A">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bCs/>
                <w:color w:val="auto"/>
                <w:spacing w:val="0"/>
                <w:kern w:val="0"/>
                <w:sz w:val="21"/>
                <w:szCs w:val="21"/>
                <w:lang w:eastAsia="zh-CN"/>
              </w:rPr>
            </w:pPr>
            <w:r>
              <w:rPr>
                <w:rFonts w:hint="eastAsia" w:cs="宋体"/>
                <w:b/>
                <w:bCs/>
                <w:color w:val="auto"/>
                <w:spacing w:val="0"/>
                <w:kern w:val="0"/>
                <w:sz w:val="21"/>
                <w:szCs w:val="21"/>
                <w:lang w:val="en-US" w:eastAsia="zh-CN"/>
              </w:rPr>
              <w:t>个</w:t>
            </w:r>
          </w:p>
        </w:tc>
        <w:tc>
          <w:tcPr>
            <w:tcW w:w="1142" w:type="pct"/>
            <w:vAlign w:val="center"/>
          </w:tcPr>
          <w:p w14:paraId="0B2CB96B">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bCs/>
                <w:color w:val="auto"/>
                <w:spacing w:val="0"/>
                <w:kern w:val="0"/>
                <w:sz w:val="21"/>
                <w:szCs w:val="21"/>
                <w:lang w:eastAsia="zh-CN"/>
              </w:rPr>
            </w:pPr>
            <w:r>
              <w:rPr>
                <w:rFonts w:hint="eastAsia" w:cs="宋体"/>
                <w:b/>
                <w:bCs/>
                <w:color w:val="auto"/>
                <w:spacing w:val="0"/>
                <w:kern w:val="0"/>
                <w:sz w:val="21"/>
                <w:szCs w:val="21"/>
                <w:lang w:val="en-US" w:eastAsia="zh-CN"/>
              </w:rPr>
              <w:t>8</w:t>
            </w:r>
          </w:p>
        </w:tc>
      </w:tr>
      <w:tr w14:paraId="7AD0C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5000" w:type="pct"/>
            <w:gridSpan w:val="4"/>
            <w:vAlign w:val="center"/>
          </w:tcPr>
          <w:p w14:paraId="143F41EF">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cs="宋体"/>
                <w:b/>
                <w:bCs/>
                <w:color w:val="auto"/>
                <w:spacing w:val="0"/>
                <w:kern w:val="0"/>
                <w:sz w:val="21"/>
                <w:szCs w:val="21"/>
                <w:lang w:val="en-US" w:eastAsia="zh-CN"/>
              </w:rPr>
            </w:pPr>
            <w:r>
              <w:rPr>
                <w:rFonts w:hint="eastAsia" w:ascii="宋体" w:hAnsi="宋体" w:eastAsia="宋体" w:cs="宋体"/>
                <w:b/>
                <w:bCs/>
                <w:color w:val="auto"/>
                <w:spacing w:val="0"/>
                <w:kern w:val="0"/>
                <w:sz w:val="21"/>
                <w:szCs w:val="21"/>
                <w:lang w:val="en-US" w:eastAsia="zh-CN"/>
              </w:rPr>
              <w:t>（三）、文物储藏设施</w:t>
            </w:r>
          </w:p>
        </w:tc>
      </w:tr>
      <w:tr w14:paraId="4AEAE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677" w:type="pct"/>
            <w:vAlign w:val="center"/>
          </w:tcPr>
          <w:p w14:paraId="3229125B">
            <w:pPr>
              <w:widowControl/>
              <w:jc w:val="center"/>
              <w:textAlignment w:val="center"/>
              <w:rPr>
                <w:rFonts w:hint="default" w:asciiTheme="minorEastAsia" w:hAnsiTheme="minorEastAsia" w:eastAsiaTheme="minorEastAsia" w:cstheme="minorEastAsia"/>
                <w:color w:val="auto"/>
                <w:kern w:val="0"/>
                <w:szCs w:val="21"/>
                <w:lang w:val="en-US" w:eastAsia="zh-CN"/>
              </w:rPr>
            </w:pPr>
            <w:r>
              <w:rPr>
                <w:rFonts w:hint="eastAsia" w:asciiTheme="minorEastAsia" w:hAnsiTheme="minorEastAsia" w:eastAsiaTheme="minorEastAsia" w:cstheme="minorEastAsia"/>
                <w:color w:val="auto"/>
                <w:kern w:val="0"/>
                <w:szCs w:val="21"/>
                <w:lang w:val="en-US" w:eastAsia="zh-CN"/>
              </w:rPr>
              <w:t>1</w:t>
            </w:r>
          </w:p>
        </w:tc>
        <w:tc>
          <w:tcPr>
            <w:tcW w:w="1969" w:type="pct"/>
            <w:vAlign w:val="center"/>
          </w:tcPr>
          <w:p w14:paraId="0E1C77F9">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bCs/>
                <w:color w:val="auto"/>
                <w:spacing w:val="0"/>
                <w:kern w:val="0"/>
                <w:sz w:val="21"/>
                <w:szCs w:val="21"/>
              </w:rPr>
            </w:pPr>
            <w:r>
              <w:rPr>
                <w:rFonts w:hint="eastAsia" w:ascii="宋体" w:hAnsi="宋体" w:eastAsia="宋体" w:cs="宋体"/>
                <w:b/>
                <w:bCs/>
                <w:color w:val="auto"/>
                <w:spacing w:val="0"/>
                <w:kern w:val="0"/>
                <w:sz w:val="21"/>
                <w:szCs w:val="21"/>
                <w:lang w:val="en-US" w:eastAsia="zh-CN"/>
              </w:rPr>
              <w:t>文物储藏专用柜</w:t>
            </w:r>
          </w:p>
        </w:tc>
        <w:tc>
          <w:tcPr>
            <w:tcW w:w="1210" w:type="pct"/>
            <w:vAlign w:val="center"/>
          </w:tcPr>
          <w:p w14:paraId="3ACC6C13">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bCs/>
                <w:color w:val="auto"/>
                <w:spacing w:val="0"/>
                <w:kern w:val="0"/>
                <w:sz w:val="21"/>
                <w:szCs w:val="21"/>
                <w:lang w:eastAsia="zh-CN"/>
              </w:rPr>
            </w:pPr>
            <w:r>
              <w:rPr>
                <w:rFonts w:hint="eastAsia" w:ascii="宋体" w:hAnsi="宋体" w:eastAsia="宋体" w:cs="宋体"/>
                <w:b/>
                <w:bCs/>
                <w:color w:val="auto"/>
                <w:spacing w:val="0"/>
                <w:sz w:val="21"/>
                <w:szCs w:val="21"/>
                <w:lang w:val="en-US" w:eastAsia="zh-CN"/>
              </w:rPr>
              <w:t>m³</w:t>
            </w:r>
          </w:p>
        </w:tc>
        <w:tc>
          <w:tcPr>
            <w:tcW w:w="1142" w:type="pct"/>
            <w:vAlign w:val="center"/>
          </w:tcPr>
          <w:p w14:paraId="00C8019C">
            <w:pPr>
              <w:pStyle w:val="75"/>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bCs/>
                <w:color w:val="auto"/>
                <w:spacing w:val="0"/>
                <w:kern w:val="0"/>
                <w:sz w:val="21"/>
                <w:szCs w:val="21"/>
                <w:lang w:eastAsia="zh-CN"/>
              </w:rPr>
            </w:pPr>
            <w:r>
              <w:rPr>
                <w:rFonts w:hint="eastAsia" w:cs="宋体"/>
                <w:b/>
                <w:bCs/>
                <w:color w:val="auto"/>
                <w:spacing w:val="0"/>
                <w:kern w:val="0"/>
                <w:sz w:val="21"/>
                <w:szCs w:val="21"/>
                <w:lang w:val="en-US" w:eastAsia="zh-CN"/>
              </w:rPr>
              <w:t>48</w:t>
            </w:r>
          </w:p>
        </w:tc>
      </w:tr>
    </w:tbl>
    <w:p w14:paraId="00B1A501">
      <w:pPr>
        <w:spacing w:line="360" w:lineRule="auto"/>
        <w:rPr>
          <w:rFonts w:ascii="宋体" w:hAnsi="宋体"/>
          <w:color w:val="auto"/>
          <w:szCs w:val="21"/>
        </w:rPr>
      </w:pPr>
    </w:p>
    <w:p w14:paraId="56BFD10F">
      <w:pPr>
        <w:widowControl/>
        <w:shd w:val="clear" w:color="auto" w:fill="FFFFFF"/>
        <w:spacing w:before="120" w:beforeLines="50" w:after="120" w:afterLines="50" w:line="360" w:lineRule="auto"/>
        <w:ind w:firstLine="211" w:firstLineChars="100"/>
        <w:jc w:val="left"/>
        <w:outlineLvl w:val="2"/>
        <w:rPr>
          <w:rFonts w:ascii="宋体" w:hAnsi="宋体"/>
          <w:b/>
          <w:color w:val="auto"/>
          <w:szCs w:val="21"/>
        </w:rPr>
      </w:pPr>
      <w:bookmarkStart w:id="569" w:name="_Toc15080"/>
      <w:bookmarkStart w:id="570" w:name="_Toc5224"/>
      <w:r>
        <w:rPr>
          <w:rFonts w:hint="eastAsia" w:ascii="宋体" w:hAnsi="宋体"/>
          <w:b/>
          <w:color w:val="auto"/>
          <w:szCs w:val="21"/>
        </w:rPr>
        <w:t>（二）采购项目交付的时间和地点</w:t>
      </w:r>
      <w:bookmarkEnd w:id="568"/>
      <w:bookmarkEnd w:id="569"/>
      <w:bookmarkEnd w:id="570"/>
    </w:p>
    <w:p w14:paraId="604F9BF9">
      <w:pPr>
        <w:spacing w:line="360" w:lineRule="auto"/>
        <w:ind w:firstLine="420" w:firstLineChars="200"/>
        <w:rPr>
          <w:rFonts w:ascii="宋体" w:hAnsi="宋体"/>
          <w:bCs/>
          <w:color w:val="auto"/>
          <w:szCs w:val="21"/>
        </w:rPr>
      </w:pPr>
      <w:r>
        <w:rPr>
          <w:rFonts w:hint="eastAsia" w:ascii="宋体" w:hAnsi="宋体"/>
          <w:color w:val="auto"/>
          <w:szCs w:val="21"/>
        </w:rPr>
        <w:t>供货期：合同签订后120日历天完成全部项目内容，完成安装调试试运行并通过验收交付使用</w:t>
      </w:r>
      <w:r>
        <w:rPr>
          <w:rFonts w:hint="eastAsia" w:ascii="宋体" w:hAnsi="宋体"/>
          <w:bCs/>
          <w:color w:val="auto"/>
          <w:szCs w:val="21"/>
        </w:rPr>
        <w:t>。</w:t>
      </w:r>
    </w:p>
    <w:p w14:paraId="4FA91634">
      <w:pPr>
        <w:spacing w:line="360" w:lineRule="auto"/>
        <w:ind w:firstLine="420" w:firstLineChars="200"/>
        <w:rPr>
          <w:rFonts w:ascii="宋体" w:hAnsi="宋体"/>
          <w:color w:val="auto"/>
          <w:szCs w:val="21"/>
        </w:rPr>
      </w:pPr>
      <w:r>
        <w:rPr>
          <w:rFonts w:hint="eastAsia" w:ascii="宋体" w:hAnsi="宋体"/>
          <w:bCs/>
          <w:color w:val="auto"/>
          <w:szCs w:val="21"/>
        </w:rPr>
        <w:t>质保期:1年。</w:t>
      </w:r>
    </w:p>
    <w:p w14:paraId="544FA951">
      <w:pPr>
        <w:spacing w:line="360" w:lineRule="auto"/>
        <w:ind w:firstLine="420" w:firstLineChars="200"/>
        <w:rPr>
          <w:rFonts w:ascii="宋体" w:hAnsi="宋体" w:cs="宋体"/>
          <w:b/>
          <w:bCs/>
          <w:color w:val="auto"/>
          <w:szCs w:val="21"/>
        </w:rPr>
      </w:pPr>
      <w:r>
        <w:rPr>
          <w:rFonts w:hint="eastAsia" w:ascii="宋体" w:hAnsi="宋体"/>
          <w:color w:val="auto"/>
          <w:szCs w:val="21"/>
        </w:rPr>
        <w:t>供货地点：迪庆藏族自治州博物馆馆内指定地点。</w:t>
      </w:r>
    </w:p>
    <w:p w14:paraId="5E558C82">
      <w:pPr>
        <w:widowControl/>
        <w:shd w:val="clear" w:color="auto" w:fill="FFFFFF"/>
        <w:spacing w:before="120" w:beforeLines="50" w:after="50" w:line="360" w:lineRule="auto"/>
        <w:jc w:val="left"/>
        <w:outlineLvl w:val="1"/>
        <w:rPr>
          <w:rFonts w:ascii="宋体" w:hAnsi="宋体"/>
          <w:b/>
          <w:color w:val="auto"/>
          <w:szCs w:val="21"/>
        </w:rPr>
      </w:pPr>
      <w:bookmarkStart w:id="571" w:name="_Toc13866"/>
      <w:bookmarkStart w:id="572" w:name="_Toc23147"/>
      <w:bookmarkStart w:id="573" w:name="_Toc12463"/>
      <w:r>
        <w:rPr>
          <w:rFonts w:hint="eastAsia" w:ascii="宋体" w:hAnsi="宋体"/>
          <w:b/>
          <w:color w:val="auto"/>
          <w:szCs w:val="21"/>
        </w:rPr>
        <w:t>五 、采购标的需满足的质量标准、期限、效率等要求；</w:t>
      </w:r>
      <w:bookmarkEnd w:id="571"/>
      <w:bookmarkEnd w:id="572"/>
      <w:bookmarkEnd w:id="573"/>
    </w:p>
    <w:p w14:paraId="4BBEDE9F">
      <w:pPr>
        <w:spacing w:line="360" w:lineRule="auto"/>
        <w:ind w:firstLine="420" w:firstLineChars="200"/>
        <w:rPr>
          <w:rFonts w:ascii="宋体" w:hAnsi="宋体"/>
          <w:color w:val="auto"/>
          <w:szCs w:val="21"/>
        </w:rPr>
      </w:pPr>
      <w:r>
        <w:rPr>
          <w:rFonts w:hint="eastAsia" w:ascii="宋体" w:hAnsi="宋体"/>
          <w:color w:val="auto"/>
          <w:szCs w:val="21"/>
        </w:rPr>
        <w:t>1.质量标准：</w:t>
      </w:r>
    </w:p>
    <w:p w14:paraId="6941AE13">
      <w:pPr>
        <w:adjustRightInd w:val="0"/>
        <w:spacing w:line="360" w:lineRule="auto"/>
        <w:textAlignment w:val="baseline"/>
        <w:rPr>
          <w:rFonts w:ascii="宋体" w:hAnsi="宋体"/>
          <w:color w:val="auto"/>
          <w:szCs w:val="21"/>
        </w:rPr>
      </w:pPr>
      <w:r>
        <w:rPr>
          <w:rFonts w:hint="eastAsia" w:ascii="宋体" w:hAnsi="宋体"/>
          <w:color w:val="auto"/>
          <w:szCs w:val="21"/>
        </w:rPr>
        <w:t>（1）采购标的需满足的质量、安全要求：保证所提供货物符合采购人要求且达到合格验收标准。所投产品必须是正规渠道全新的原装正品，符合国家强制标准规定；满足本文件相关要求，验收时不满足采购人要求的产品将被拒收或者取消供货合同，并依法追究供应商相关法律责任和对采购人造成的经济损失，如拒不服从配合的，视为违约，采购人有权与其解除合同。</w:t>
      </w:r>
    </w:p>
    <w:p w14:paraId="5286F704">
      <w:pPr>
        <w:adjustRightInd w:val="0"/>
        <w:spacing w:line="360" w:lineRule="auto"/>
        <w:textAlignment w:val="baseline"/>
        <w:rPr>
          <w:rFonts w:ascii="宋体" w:hAnsi="宋体"/>
          <w:color w:val="auto"/>
          <w:szCs w:val="21"/>
        </w:rPr>
      </w:pPr>
      <w:r>
        <w:rPr>
          <w:rFonts w:hint="eastAsia" w:ascii="宋体" w:hAnsi="宋体"/>
          <w:color w:val="auto"/>
          <w:szCs w:val="21"/>
        </w:rPr>
        <w:t>（2）采购标的需满足的技术规格、物理特性要求：详见《三、采购标的需满足的质量、安全、技术规格、物理特性等要求：》。</w:t>
      </w:r>
    </w:p>
    <w:p w14:paraId="5605B98B">
      <w:pPr>
        <w:spacing w:line="360" w:lineRule="auto"/>
        <w:rPr>
          <w:rFonts w:ascii="宋体" w:hAnsi="宋体"/>
          <w:color w:val="auto"/>
          <w:szCs w:val="21"/>
        </w:rPr>
      </w:pPr>
      <w:r>
        <w:rPr>
          <w:rFonts w:hint="eastAsia" w:ascii="宋体" w:hAnsi="宋体"/>
          <w:color w:val="auto"/>
          <w:szCs w:val="21"/>
        </w:rPr>
        <w:t>（3）售后要求：投标人保证提供货物、设备正常、持续使用的技术支持等售后服务。</w:t>
      </w:r>
    </w:p>
    <w:p w14:paraId="3B833C92">
      <w:pPr>
        <w:spacing w:line="360" w:lineRule="auto"/>
        <w:ind w:firstLine="420" w:firstLineChars="200"/>
        <w:rPr>
          <w:rFonts w:ascii="宋体" w:hAnsi="宋体"/>
          <w:color w:val="auto"/>
          <w:szCs w:val="21"/>
        </w:rPr>
      </w:pPr>
      <w:r>
        <w:rPr>
          <w:rFonts w:hint="eastAsia" w:ascii="宋体" w:hAnsi="宋体"/>
          <w:color w:val="auto"/>
          <w:szCs w:val="21"/>
        </w:rPr>
        <w:t>2.付款条件（进度和方式）：</w:t>
      </w:r>
    </w:p>
    <w:p w14:paraId="1FDBF6F7">
      <w:pPr>
        <w:spacing w:line="360" w:lineRule="auto"/>
        <w:rPr>
          <w:rFonts w:hint="eastAsia" w:ascii="宋体" w:hAnsi="宋体" w:eastAsia="宋体" w:cs="Times New Roman"/>
          <w:color w:val="auto"/>
          <w:szCs w:val="21"/>
          <w:lang w:eastAsia="zh-CN"/>
        </w:rPr>
      </w:pPr>
      <w:bookmarkStart w:id="574" w:name="_Toc23460"/>
      <w:bookmarkStart w:id="575" w:name="_Toc7823"/>
      <w:bookmarkStart w:id="576" w:name="_Toc28891"/>
      <w:r>
        <w:rPr>
          <w:rFonts w:hint="eastAsia" w:ascii="宋体" w:hAnsi="宋体" w:eastAsia="宋体" w:cs="Times New Roman"/>
          <w:color w:val="auto"/>
          <w:szCs w:val="21"/>
          <w:lang w:eastAsia="zh-CN"/>
        </w:rPr>
        <w:t>（</w:t>
      </w:r>
      <w:r>
        <w:rPr>
          <w:rFonts w:hint="eastAsia" w:ascii="宋体" w:hAnsi="宋体" w:eastAsia="宋体" w:cs="Times New Roman"/>
          <w:color w:val="auto"/>
          <w:szCs w:val="21"/>
          <w:lang w:val="en-US" w:eastAsia="zh-CN"/>
        </w:rPr>
        <w:t>1</w:t>
      </w:r>
      <w:r>
        <w:rPr>
          <w:rFonts w:hint="eastAsia" w:ascii="宋体" w:hAnsi="宋体" w:eastAsia="宋体" w:cs="Times New Roman"/>
          <w:color w:val="auto"/>
          <w:szCs w:val="21"/>
          <w:lang w:eastAsia="zh-CN"/>
        </w:rPr>
        <w:t>）</w:t>
      </w:r>
      <w:r>
        <w:rPr>
          <w:rFonts w:hint="eastAsia" w:ascii="宋体" w:hAnsi="宋体" w:eastAsia="宋体" w:cs="Times New Roman"/>
          <w:color w:val="auto"/>
          <w:szCs w:val="21"/>
          <w:lang w:val="en-US" w:eastAsia="zh-CN"/>
        </w:rPr>
        <w:t>甲</w:t>
      </w:r>
      <w:r>
        <w:rPr>
          <w:rFonts w:hint="eastAsia" w:ascii="宋体" w:hAnsi="宋体" w:eastAsia="宋体" w:cs="Times New Roman"/>
          <w:color w:val="auto"/>
          <w:szCs w:val="21"/>
        </w:rPr>
        <w:t>方在收到乙方提供的增值税普通发票后，甲方向乙方支付合同总价款的</w:t>
      </w:r>
      <w:r>
        <w:rPr>
          <w:rFonts w:hint="eastAsia" w:ascii="宋体" w:hAnsi="宋体" w:eastAsia="宋体" w:cs="Times New Roman"/>
          <w:color w:val="auto"/>
          <w:szCs w:val="21"/>
          <w:lang w:val="en-US" w:eastAsia="zh-CN"/>
        </w:rPr>
        <w:t>3</w:t>
      </w:r>
      <w:r>
        <w:rPr>
          <w:rFonts w:hint="eastAsia" w:ascii="宋体" w:hAnsi="宋体" w:eastAsia="宋体" w:cs="Times New Roman"/>
          <w:color w:val="auto"/>
          <w:szCs w:val="21"/>
        </w:rPr>
        <w:t>0%款项</w:t>
      </w:r>
      <w:r>
        <w:rPr>
          <w:rFonts w:hint="eastAsia" w:ascii="宋体" w:hAnsi="宋体" w:eastAsia="宋体" w:cs="Times New Roman"/>
          <w:color w:val="auto"/>
          <w:szCs w:val="21"/>
          <w:lang w:eastAsia="zh-CN"/>
        </w:rPr>
        <w:t>；</w:t>
      </w:r>
    </w:p>
    <w:p w14:paraId="20D3B0D5">
      <w:pPr>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lang w:eastAsia="zh-CN"/>
        </w:rPr>
        <w:t>（</w:t>
      </w:r>
      <w:r>
        <w:rPr>
          <w:rFonts w:hint="eastAsia" w:ascii="宋体" w:hAnsi="宋体" w:eastAsia="宋体" w:cs="Times New Roman"/>
          <w:color w:val="auto"/>
          <w:szCs w:val="21"/>
          <w:lang w:val="en-US" w:eastAsia="zh-CN"/>
        </w:rPr>
        <w:t>2</w:t>
      </w:r>
      <w:r>
        <w:rPr>
          <w:rFonts w:hint="eastAsia" w:ascii="宋体" w:hAnsi="宋体" w:eastAsia="宋体" w:cs="Times New Roman"/>
          <w:color w:val="auto"/>
          <w:szCs w:val="21"/>
          <w:lang w:eastAsia="zh-CN"/>
        </w:rPr>
        <w:t>）</w:t>
      </w:r>
      <w:r>
        <w:rPr>
          <w:rFonts w:hint="eastAsia" w:ascii="宋体" w:hAnsi="宋体" w:eastAsia="宋体" w:cs="Times New Roman"/>
          <w:color w:val="auto"/>
          <w:szCs w:val="21"/>
        </w:rPr>
        <w:t>货物到场后后，甲方在收到乙方提供的增值税普通发票后，甲方向乙方支付合同总价款的</w:t>
      </w:r>
      <w:r>
        <w:rPr>
          <w:rFonts w:hint="eastAsia" w:ascii="宋体" w:hAnsi="宋体" w:eastAsia="宋体" w:cs="Times New Roman"/>
          <w:color w:val="auto"/>
          <w:szCs w:val="21"/>
          <w:lang w:val="en-US" w:eastAsia="zh-CN"/>
        </w:rPr>
        <w:t>5</w:t>
      </w:r>
      <w:r>
        <w:rPr>
          <w:rFonts w:hint="eastAsia" w:ascii="宋体" w:hAnsi="宋体" w:eastAsia="宋体" w:cs="Times New Roman"/>
          <w:color w:val="auto"/>
          <w:szCs w:val="21"/>
        </w:rPr>
        <w:t>0%款项</w:t>
      </w:r>
      <w:r>
        <w:rPr>
          <w:rFonts w:hint="eastAsia" w:ascii="宋体" w:hAnsi="宋体" w:eastAsia="宋体" w:cs="Times New Roman"/>
          <w:color w:val="auto"/>
          <w:szCs w:val="21"/>
          <w:lang w:eastAsia="zh-CN"/>
        </w:rPr>
        <w:t>；</w:t>
      </w:r>
    </w:p>
    <w:p w14:paraId="1FE73704">
      <w:pPr>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lang w:eastAsia="zh-CN"/>
        </w:rPr>
        <w:t>（</w:t>
      </w:r>
      <w:r>
        <w:rPr>
          <w:rFonts w:hint="eastAsia" w:ascii="宋体" w:hAnsi="宋体" w:eastAsia="宋体" w:cs="Times New Roman"/>
          <w:color w:val="auto"/>
          <w:szCs w:val="21"/>
          <w:lang w:val="en-US" w:eastAsia="zh-CN"/>
        </w:rPr>
        <w:t>3</w:t>
      </w:r>
      <w:r>
        <w:rPr>
          <w:rFonts w:hint="eastAsia" w:ascii="宋体" w:hAnsi="宋体" w:eastAsia="宋体" w:cs="Times New Roman"/>
          <w:color w:val="auto"/>
          <w:szCs w:val="21"/>
          <w:lang w:eastAsia="zh-CN"/>
        </w:rPr>
        <w:t>）</w:t>
      </w:r>
      <w:r>
        <w:rPr>
          <w:rFonts w:hint="eastAsia" w:ascii="宋体" w:hAnsi="宋体" w:eastAsia="宋体" w:cs="Times New Roman"/>
          <w:color w:val="auto"/>
          <w:szCs w:val="21"/>
        </w:rPr>
        <w:t>项目通过竣工结项验收后，项目验收合格，经第三方审计机构结算审核后，甲方在收到乙方提供的增值税普通发票和质量保证书（质量保证书由法定代表人签字或盖章，不得违背投标文件及招标文件实质性条款）后，甲方向乙方支付项目合同总价款的</w:t>
      </w:r>
      <w:r>
        <w:rPr>
          <w:rFonts w:hint="eastAsia" w:ascii="宋体" w:hAnsi="宋体" w:eastAsia="宋体" w:cs="Times New Roman"/>
          <w:color w:val="auto"/>
          <w:szCs w:val="21"/>
          <w:lang w:val="en-US" w:eastAsia="zh-CN"/>
        </w:rPr>
        <w:t>2</w:t>
      </w:r>
      <w:r>
        <w:rPr>
          <w:rFonts w:hint="eastAsia" w:ascii="宋体" w:hAnsi="宋体" w:eastAsia="宋体" w:cs="Times New Roman"/>
          <w:color w:val="auto"/>
          <w:szCs w:val="21"/>
        </w:rPr>
        <w:t>0%款项（以第三方审计机构最终结算价为准）。</w:t>
      </w:r>
    </w:p>
    <w:p w14:paraId="03B01D89">
      <w:pPr>
        <w:spacing w:line="360" w:lineRule="auto"/>
        <w:rPr>
          <w:rFonts w:ascii="宋体" w:hAnsi="宋体"/>
          <w:b/>
          <w:color w:val="auto"/>
          <w:szCs w:val="21"/>
        </w:rPr>
      </w:pPr>
      <w:r>
        <w:rPr>
          <w:rFonts w:hint="eastAsia" w:ascii="宋体" w:hAnsi="宋体"/>
          <w:b/>
          <w:color w:val="auto"/>
          <w:szCs w:val="21"/>
        </w:rPr>
        <w:t>六、采购标的的验收标准</w:t>
      </w:r>
      <w:bookmarkEnd w:id="574"/>
      <w:bookmarkEnd w:id="575"/>
      <w:bookmarkEnd w:id="576"/>
    </w:p>
    <w:p w14:paraId="3AB8DE14">
      <w:pPr>
        <w:spacing w:line="360" w:lineRule="auto"/>
        <w:ind w:firstLine="420" w:firstLineChars="200"/>
        <w:rPr>
          <w:rFonts w:ascii="宋体" w:hAnsi="宋体"/>
          <w:color w:val="auto"/>
          <w:szCs w:val="21"/>
        </w:rPr>
      </w:pPr>
      <w:bookmarkStart w:id="577" w:name="_Toc17189"/>
      <w:bookmarkStart w:id="578" w:name="_Toc20518"/>
      <w:r>
        <w:rPr>
          <w:rFonts w:hint="eastAsia" w:ascii="宋体" w:hAnsi="宋体"/>
          <w:color w:val="auto"/>
          <w:szCs w:val="21"/>
        </w:rPr>
        <w:t>1.验收标准:按国家有关规定以及采购文件的质量要求和技术指标、中标人的投标文件件及承诺与本合同约定标准进行验收，产品质量合格，数量准确。采购人与中标人双方如对质量要求和技术指标的约定标准有相互抵触或异议的事项,由采购人在采购文件和投标文件中按质量要求和技术指标比较优胜的原则确定该项的约定标准进行验收,必要时邀请相关的专业人员或机构参与验收。因货物质量问题发生争议时，由本地质量技术监督部门鉴定，货物符合质量技术标准的，鉴定费由采购人承担，否则鉴定费由中标人承担。</w:t>
      </w:r>
    </w:p>
    <w:p w14:paraId="57B939B0">
      <w:pPr>
        <w:spacing w:line="360" w:lineRule="auto"/>
        <w:ind w:firstLine="420" w:firstLineChars="200"/>
        <w:rPr>
          <w:rFonts w:ascii="宋体" w:hAnsi="宋体"/>
          <w:color w:val="auto"/>
          <w:szCs w:val="21"/>
        </w:rPr>
      </w:pPr>
      <w:r>
        <w:rPr>
          <w:rFonts w:hint="eastAsia" w:ascii="宋体" w:hAnsi="宋体"/>
          <w:color w:val="auto"/>
          <w:szCs w:val="21"/>
        </w:rPr>
        <w:t>2.所交付的货物有次品、损坏或其他不符合标准及本合同规定之情形者，采购人应做出详尽的现场记录，或由采购人与中标人双方签署备忘录，此现场记录或备忘录可用作补充、缺失和更换产品的有效证据，由此产生的时间延误与有关费用由中标人承担。</w:t>
      </w:r>
    </w:p>
    <w:p w14:paraId="1D9B4003">
      <w:pPr>
        <w:spacing w:line="360" w:lineRule="auto"/>
        <w:ind w:firstLine="420" w:firstLineChars="200"/>
        <w:rPr>
          <w:rFonts w:ascii="宋体" w:hAnsi="宋体"/>
          <w:color w:val="auto"/>
          <w:szCs w:val="21"/>
        </w:rPr>
      </w:pPr>
      <w:r>
        <w:rPr>
          <w:rFonts w:hint="eastAsia" w:ascii="宋体" w:hAnsi="宋体"/>
          <w:color w:val="auto"/>
          <w:szCs w:val="21"/>
        </w:rPr>
        <w:t>3.中标人负责在项目验收时将产品的全部有关产品说明书、技术文件、台账资料、验收报告等文档汇集成册交付采购人，缺一不予验收。</w:t>
      </w:r>
    </w:p>
    <w:p w14:paraId="44D4F323">
      <w:pPr>
        <w:widowControl/>
        <w:shd w:val="clear" w:color="auto" w:fill="FFFFFF"/>
        <w:spacing w:before="120" w:beforeLines="50" w:after="120" w:afterLines="50" w:line="360" w:lineRule="auto"/>
        <w:jc w:val="left"/>
        <w:outlineLvl w:val="1"/>
        <w:rPr>
          <w:rFonts w:ascii="宋体" w:hAnsi="宋体"/>
          <w:b/>
          <w:color w:val="auto"/>
          <w:szCs w:val="21"/>
        </w:rPr>
      </w:pPr>
      <w:bookmarkStart w:id="579" w:name="_Toc11981"/>
      <w:r>
        <w:rPr>
          <w:rFonts w:hint="eastAsia" w:ascii="宋体" w:hAnsi="宋体"/>
          <w:b/>
          <w:color w:val="auto"/>
          <w:szCs w:val="21"/>
        </w:rPr>
        <w:t>七、采购标的的其他技术、服务等要求</w:t>
      </w:r>
      <w:bookmarkEnd w:id="577"/>
      <w:bookmarkEnd w:id="578"/>
      <w:bookmarkEnd w:id="579"/>
    </w:p>
    <w:p w14:paraId="6BFF1BF7">
      <w:pPr>
        <w:pStyle w:val="22"/>
        <w:spacing w:before="0" w:beforeAutospacing="0" w:after="0" w:afterAutospacing="0" w:line="360" w:lineRule="auto"/>
        <w:ind w:firstLine="420" w:firstLineChars="200"/>
        <w:rPr>
          <w:rFonts w:ascii="宋体" w:hAnsi="宋体"/>
          <w:bCs/>
          <w:color w:val="auto"/>
          <w:kern w:val="2"/>
          <w:sz w:val="21"/>
          <w:szCs w:val="21"/>
        </w:rPr>
      </w:pPr>
      <w:bookmarkStart w:id="580" w:name="_Toc144974855"/>
      <w:bookmarkStart w:id="581" w:name="_Toc152042575"/>
      <w:bookmarkStart w:id="582" w:name="_Toc152045786"/>
      <w:r>
        <w:rPr>
          <w:rFonts w:hint="eastAsia" w:ascii="宋体" w:hAnsi="宋体"/>
          <w:bCs/>
          <w:color w:val="auto"/>
          <w:kern w:val="2"/>
          <w:sz w:val="21"/>
          <w:szCs w:val="21"/>
        </w:rPr>
        <w:t>1.保证所有货物均为全新、原装正品；</w:t>
      </w:r>
    </w:p>
    <w:p w14:paraId="39654935">
      <w:pPr>
        <w:pStyle w:val="22"/>
        <w:spacing w:before="0" w:beforeAutospacing="0" w:after="0" w:afterAutospacing="0" w:line="360" w:lineRule="auto"/>
        <w:ind w:firstLine="420" w:firstLineChars="200"/>
        <w:rPr>
          <w:rFonts w:ascii="宋体" w:hAnsi="宋体"/>
          <w:bCs/>
          <w:color w:val="auto"/>
          <w:kern w:val="2"/>
          <w:sz w:val="21"/>
          <w:szCs w:val="21"/>
        </w:rPr>
      </w:pPr>
      <w:r>
        <w:rPr>
          <w:rFonts w:hint="eastAsia" w:ascii="宋体" w:hAnsi="宋体"/>
          <w:bCs/>
          <w:color w:val="auto"/>
          <w:kern w:val="2"/>
          <w:sz w:val="21"/>
          <w:szCs w:val="21"/>
        </w:rPr>
        <w:t>2.安装调试：中标供应商负责安装、调试直至验收合格。</w:t>
      </w:r>
    </w:p>
    <w:p w14:paraId="7D4CD735">
      <w:pPr>
        <w:pStyle w:val="22"/>
        <w:spacing w:before="0" w:beforeAutospacing="0" w:after="0" w:afterAutospacing="0" w:line="360" w:lineRule="auto"/>
        <w:ind w:firstLine="420" w:firstLineChars="200"/>
        <w:rPr>
          <w:rFonts w:ascii="宋体" w:hAnsi="宋体"/>
          <w:bCs/>
          <w:color w:val="auto"/>
          <w:kern w:val="2"/>
          <w:sz w:val="21"/>
          <w:szCs w:val="21"/>
        </w:rPr>
      </w:pPr>
      <w:r>
        <w:rPr>
          <w:rFonts w:hint="eastAsia" w:ascii="宋体" w:hAnsi="宋体"/>
          <w:bCs/>
          <w:color w:val="auto"/>
          <w:kern w:val="2"/>
          <w:sz w:val="21"/>
          <w:szCs w:val="21"/>
        </w:rPr>
        <w:t>3.技术维护：质保期内承担一切相关维修费用；</w:t>
      </w:r>
    </w:p>
    <w:p w14:paraId="78B587D5">
      <w:pPr>
        <w:pStyle w:val="22"/>
        <w:spacing w:before="0" w:beforeAutospacing="0" w:after="0" w:afterAutospacing="0" w:line="360" w:lineRule="auto"/>
        <w:ind w:firstLine="420" w:firstLineChars="200"/>
        <w:rPr>
          <w:rFonts w:ascii="宋体" w:hAnsi="宋体"/>
          <w:bCs/>
          <w:color w:val="auto"/>
          <w:kern w:val="2"/>
          <w:sz w:val="21"/>
          <w:szCs w:val="21"/>
        </w:rPr>
      </w:pPr>
      <w:r>
        <w:rPr>
          <w:rFonts w:hint="eastAsia" w:ascii="宋体" w:hAnsi="宋体"/>
          <w:bCs/>
          <w:color w:val="auto"/>
          <w:kern w:val="2"/>
          <w:sz w:val="21"/>
          <w:szCs w:val="21"/>
        </w:rPr>
        <w:t>4.培训要求：投标人应负责培训服务人员和相关设备维护人员，内容包括：工作流程，设备的操作、日常维护，以便开展后期服务工作。</w:t>
      </w:r>
    </w:p>
    <w:p w14:paraId="22EEA652">
      <w:pPr>
        <w:pStyle w:val="22"/>
        <w:spacing w:before="0" w:beforeAutospacing="0" w:after="0" w:afterAutospacing="0" w:line="360" w:lineRule="auto"/>
        <w:ind w:firstLine="420" w:firstLineChars="200"/>
        <w:rPr>
          <w:rFonts w:ascii="宋体" w:hAnsi="宋体"/>
          <w:bCs/>
          <w:color w:val="auto"/>
          <w:kern w:val="2"/>
          <w:sz w:val="21"/>
          <w:szCs w:val="21"/>
        </w:rPr>
      </w:pPr>
      <w:r>
        <w:rPr>
          <w:rFonts w:hint="eastAsia" w:ascii="宋体" w:hAnsi="宋体"/>
          <w:bCs/>
          <w:color w:val="auto"/>
          <w:kern w:val="2"/>
          <w:sz w:val="21"/>
          <w:szCs w:val="21"/>
        </w:rPr>
        <w:t>5.投标人能提供一定的售后服务能力；投标人有解决设备故障的能力。</w:t>
      </w:r>
    </w:p>
    <w:p w14:paraId="3DD604DB">
      <w:pPr>
        <w:pStyle w:val="22"/>
        <w:spacing w:before="0" w:beforeAutospacing="0" w:after="0" w:afterAutospacing="0" w:line="360" w:lineRule="auto"/>
        <w:ind w:firstLine="420" w:firstLineChars="200"/>
        <w:rPr>
          <w:rFonts w:ascii="宋体" w:hAnsi="宋体"/>
          <w:bCs/>
          <w:color w:val="auto"/>
          <w:kern w:val="2"/>
          <w:sz w:val="21"/>
          <w:szCs w:val="21"/>
        </w:rPr>
      </w:pPr>
      <w:r>
        <w:rPr>
          <w:rFonts w:hint="eastAsia" w:ascii="宋体" w:hAnsi="宋体"/>
          <w:bCs/>
          <w:color w:val="auto"/>
          <w:kern w:val="2"/>
          <w:sz w:val="21"/>
          <w:szCs w:val="21"/>
        </w:rPr>
        <w:t>6.产品供货时必须提供供货同批次有机肥产品的产品合格证或产品质量检测报告，投标时提供承诺书。</w:t>
      </w:r>
    </w:p>
    <w:p w14:paraId="3A638FDE">
      <w:pPr>
        <w:pStyle w:val="22"/>
        <w:spacing w:before="0" w:beforeAutospacing="0" w:after="0" w:afterAutospacing="0" w:line="360" w:lineRule="auto"/>
        <w:ind w:firstLine="420" w:firstLineChars="200"/>
        <w:rPr>
          <w:rFonts w:ascii="宋体" w:hAnsi="宋体"/>
          <w:bCs/>
          <w:color w:val="auto"/>
          <w:kern w:val="2"/>
          <w:sz w:val="21"/>
          <w:szCs w:val="21"/>
        </w:rPr>
      </w:pPr>
      <w:r>
        <w:rPr>
          <w:rFonts w:hint="eastAsia" w:ascii="宋体" w:hAnsi="宋体"/>
          <w:bCs/>
          <w:color w:val="auto"/>
          <w:kern w:val="2"/>
          <w:sz w:val="21"/>
          <w:szCs w:val="21"/>
        </w:rPr>
        <w:t>7.供货时必须提供产品合格证或产品质量检验报告，投标时提供承诺书。</w:t>
      </w:r>
    </w:p>
    <w:p w14:paraId="46B8657A">
      <w:pPr>
        <w:pStyle w:val="22"/>
        <w:spacing w:before="0" w:beforeAutospacing="0" w:after="0" w:afterAutospacing="0" w:line="360" w:lineRule="auto"/>
        <w:ind w:firstLine="420" w:firstLineChars="200"/>
        <w:rPr>
          <w:rFonts w:ascii="宋体" w:hAnsi="宋体"/>
          <w:bCs/>
          <w:color w:val="auto"/>
          <w:kern w:val="2"/>
          <w:sz w:val="21"/>
          <w:szCs w:val="21"/>
        </w:rPr>
      </w:pPr>
    </w:p>
    <w:p w14:paraId="61A540B0">
      <w:pPr>
        <w:widowControl/>
        <w:shd w:val="clear" w:color="auto" w:fill="FFFFFF"/>
        <w:spacing w:before="120" w:beforeLines="50" w:after="120" w:afterLines="50" w:line="360" w:lineRule="auto"/>
        <w:jc w:val="left"/>
        <w:outlineLvl w:val="1"/>
        <w:rPr>
          <w:rFonts w:ascii="宋体" w:hAnsi="宋体"/>
          <w:b/>
          <w:color w:val="auto"/>
          <w:szCs w:val="21"/>
        </w:rPr>
      </w:pPr>
      <w:bookmarkStart w:id="583" w:name="_Toc4260"/>
      <w:r>
        <w:rPr>
          <w:rFonts w:hint="eastAsia" w:ascii="宋体" w:hAnsi="宋体"/>
          <w:b/>
          <w:color w:val="auto"/>
          <w:szCs w:val="21"/>
        </w:rPr>
        <w:t>八、本项目核心产品为：</w:t>
      </w:r>
      <w:bookmarkEnd w:id="583"/>
      <w:r>
        <w:rPr>
          <w:rFonts w:hint="eastAsia" w:ascii="宋体" w:hAnsi="宋体"/>
          <w:b/>
          <w:color w:val="auto"/>
          <w:szCs w:val="21"/>
        </w:rPr>
        <w:t>文物储藏柜</w:t>
      </w:r>
    </w:p>
    <w:p w14:paraId="413C2F90">
      <w:pPr>
        <w:widowControl/>
        <w:shd w:val="clear" w:color="auto" w:fill="FFFFFF"/>
        <w:spacing w:before="120" w:beforeLines="50" w:after="120" w:afterLines="50" w:line="360" w:lineRule="auto"/>
        <w:jc w:val="left"/>
        <w:outlineLvl w:val="1"/>
        <w:rPr>
          <w:rFonts w:ascii="宋体" w:hAnsi="宋体"/>
          <w:b/>
          <w:color w:val="auto"/>
          <w:szCs w:val="21"/>
        </w:rPr>
        <w:sectPr>
          <w:footerReference r:id="rId14" w:type="default"/>
          <w:pgSz w:w="11906" w:h="16838"/>
          <w:pgMar w:top="1440" w:right="1440" w:bottom="1440" w:left="1440" w:header="851" w:footer="992" w:gutter="0"/>
          <w:pgNumType w:fmt="decimal"/>
          <w:cols w:space="708" w:num="1"/>
          <w:docGrid w:linePitch="312" w:charSpace="0"/>
        </w:sectPr>
      </w:pPr>
    </w:p>
    <w:p w14:paraId="0E9F70EF">
      <w:pPr>
        <w:pStyle w:val="3"/>
        <w:jc w:val="center"/>
        <w:rPr>
          <w:rFonts w:ascii="宋体" w:hAnsi="宋体"/>
          <w:b w:val="0"/>
          <w:bCs w:val="0"/>
          <w:color w:val="auto"/>
        </w:rPr>
      </w:pPr>
      <w:bookmarkStart w:id="584" w:name="_Toc31176"/>
      <w:r>
        <w:rPr>
          <w:rFonts w:hint="eastAsia"/>
          <w:color w:val="auto"/>
        </w:rPr>
        <w:t xml:space="preserve">第六章 </w:t>
      </w:r>
      <w:r>
        <w:rPr>
          <w:color w:val="auto"/>
        </w:rPr>
        <w:fldChar w:fldCharType="begin"/>
      </w:r>
      <w:r>
        <w:rPr>
          <w:color w:val="auto"/>
        </w:rPr>
        <w:instrText xml:space="preserve"> HYPERLINK \l "_第四章__" </w:instrText>
      </w:r>
      <w:r>
        <w:rPr>
          <w:color w:val="auto"/>
        </w:rPr>
        <w:fldChar w:fldCharType="separate"/>
      </w:r>
      <w:bookmarkStart w:id="585" w:name="_Toc210016352"/>
      <w:r>
        <w:rPr>
          <w:rFonts w:hint="eastAsia"/>
          <w:color w:val="auto"/>
        </w:rPr>
        <w:t>投标文件部分格式</w:t>
      </w:r>
      <w:bookmarkEnd w:id="585"/>
      <w:r>
        <w:rPr>
          <w:rFonts w:hint="eastAsia"/>
          <w:color w:val="auto"/>
        </w:rPr>
        <w:fldChar w:fldCharType="end"/>
      </w:r>
      <w:bookmarkEnd w:id="584"/>
    </w:p>
    <w:p w14:paraId="27936F6B">
      <w:pPr>
        <w:rPr>
          <w:color w:val="auto"/>
        </w:rPr>
      </w:pPr>
    </w:p>
    <w:p w14:paraId="613F8147">
      <w:pPr>
        <w:rPr>
          <w:color w:val="auto"/>
        </w:rPr>
      </w:pPr>
    </w:p>
    <w:p w14:paraId="33B73E58">
      <w:pPr>
        <w:rPr>
          <w:color w:val="auto"/>
        </w:rPr>
      </w:pPr>
    </w:p>
    <w:p w14:paraId="00F28AEF">
      <w:pPr>
        <w:rPr>
          <w:color w:val="auto"/>
        </w:rPr>
      </w:pPr>
    </w:p>
    <w:p w14:paraId="2A8F423F">
      <w:pPr>
        <w:jc w:val="center"/>
        <w:rPr>
          <w:rFonts w:ascii="宋体" w:hAnsi="宋体"/>
          <w:b/>
          <w:bCs/>
          <w:color w:val="auto"/>
          <w:sz w:val="44"/>
          <w:szCs w:val="44"/>
        </w:rPr>
      </w:pPr>
      <w:r>
        <w:rPr>
          <w:rFonts w:hint="eastAsia" w:ascii="宋体" w:hAnsi="宋体"/>
          <w:b/>
          <w:bCs/>
          <w:color w:val="auto"/>
          <w:sz w:val="44"/>
          <w:szCs w:val="44"/>
          <w:lang w:eastAsia="zh-CN"/>
        </w:rPr>
        <w:t>迪庆藏族自治州博物馆可移动文物预防性保护（二期）</w:t>
      </w:r>
    </w:p>
    <w:p w14:paraId="49CB8495">
      <w:pPr>
        <w:rPr>
          <w:rFonts w:ascii="宋体" w:hAnsi="宋体"/>
          <w:b/>
          <w:bCs/>
          <w:color w:val="auto"/>
          <w:sz w:val="44"/>
          <w:szCs w:val="44"/>
        </w:rPr>
      </w:pPr>
      <w:r>
        <w:rPr>
          <w:rFonts w:hint="eastAsia" w:ascii="宋体" w:hAnsi="宋体"/>
          <w:b/>
          <w:bCs/>
          <w:color w:val="auto"/>
          <w:sz w:val="44"/>
          <w:szCs w:val="44"/>
        </w:rPr>
        <w:t xml:space="preserve"> </w:t>
      </w:r>
    </w:p>
    <w:p w14:paraId="1EE659E2">
      <w:pPr>
        <w:rPr>
          <w:rFonts w:ascii="宋体" w:hAnsi="宋体"/>
          <w:b/>
          <w:bCs/>
          <w:color w:val="auto"/>
          <w:sz w:val="44"/>
          <w:szCs w:val="44"/>
        </w:rPr>
      </w:pPr>
      <w:r>
        <w:rPr>
          <w:rFonts w:hint="eastAsia" w:ascii="宋体" w:hAnsi="宋体"/>
          <w:b/>
          <w:bCs/>
          <w:color w:val="auto"/>
          <w:sz w:val="44"/>
          <w:szCs w:val="44"/>
        </w:rPr>
        <w:t xml:space="preserve"> </w:t>
      </w:r>
    </w:p>
    <w:p w14:paraId="3D96F53F">
      <w:pPr>
        <w:rPr>
          <w:rFonts w:ascii="宋体" w:hAnsi="宋体"/>
          <w:b/>
          <w:bCs/>
          <w:color w:val="auto"/>
          <w:sz w:val="44"/>
          <w:szCs w:val="44"/>
        </w:rPr>
      </w:pPr>
      <w:r>
        <w:rPr>
          <w:rFonts w:hint="eastAsia" w:ascii="宋体" w:hAnsi="宋体"/>
          <w:b/>
          <w:bCs/>
          <w:color w:val="auto"/>
          <w:sz w:val="44"/>
          <w:szCs w:val="44"/>
        </w:rPr>
        <w:t xml:space="preserve"> </w:t>
      </w:r>
    </w:p>
    <w:p w14:paraId="32AFDB43">
      <w:pPr>
        <w:rPr>
          <w:rFonts w:ascii="宋体" w:hAnsi="宋体"/>
          <w:b/>
          <w:bCs/>
          <w:color w:val="auto"/>
          <w:sz w:val="44"/>
          <w:szCs w:val="44"/>
        </w:rPr>
      </w:pPr>
      <w:r>
        <w:rPr>
          <w:rFonts w:hint="eastAsia" w:ascii="宋体" w:hAnsi="宋体"/>
          <w:b/>
          <w:bCs/>
          <w:color w:val="auto"/>
          <w:sz w:val="44"/>
          <w:szCs w:val="44"/>
        </w:rPr>
        <w:t xml:space="preserve"> </w:t>
      </w:r>
    </w:p>
    <w:p w14:paraId="50F18A3A">
      <w:pPr>
        <w:jc w:val="center"/>
        <w:rPr>
          <w:rFonts w:ascii="宋体" w:hAnsi="宋体"/>
          <w:b/>
          <w:bCs/>
          <w:color w:val="auto"/>
          <w:sz w:val="52"/>
          <w:szCs w:val="52"/>
        </w:rPr>
      </w:pPr>
      <w:r>
        <w:rPr>
          <w:rFonts w:hint="eastAsia" w:ascii="宋体" w:hAnsi="宋体"/>
          <w:b/>
          <w:bCs/>
          <w:color w:val="auto"/>
          <w:sz w:val="52"/>
          <w:szCs w:val="52"/>
        </w:rPr>
        <w:t>投 标 文 件</w:t>
      </w:r>
    </w:p>
    <w:p w14:paraId="5DF5DE67">
      <w:pPr>
        <w:rPr>
          <w:rFonts w:ascii="宋体" w:hAnsi="宋体"/>
          <w:b/>
          <w:bCs/>
          <w:color w:val="auto"/>
          <w:sz w:val="44"/>
          <w:szCs w:val="44"/>
        </w:rPr>
      </w:pPr>
      <w:r>
        <w:rPr>
          <w:rFonts w:hint="eastAsia" w:ascii="宋体" w:hAnsi="宋体"/>
          <w:b/>
          <w:bCs/>
          <w:color w:val="auto"/>
          <w:sz w:val="44"/>
          <w:szCs w:val="44"/>
        </w:rPr>
        <w:t xml:space="preserve"> </w:t>
      </w:r>
    </w:p>
    <w:p w14:paraId="07D94C61">
      <w:pPr>
        <w:rPr>
          <w:rFonts w:ascii="宋体" w:hAnsi="宋体"/>
          <w:b/>
          <w:bCs/>
          <w:color w:val="auto"/>
          <w:sz w:val="44"/>
          <w:szCs w:val="44"/>
        </w:rPr>
      </w:pPr>
      <w:r>
        <w:rPr>
          <w:rFonts w:hint="eastAsia" w:ascii="宋体" w:hAnsi="宋体"/>
          <w:b/>
          <w:bCs/>
          <w:color w:val="auto"/>
          <w:sz w:val="44"/>
          <w:szCs w:val="44"/>
        </w:rPr>
        <w:t xml:space="preserve"> </w:t>
      </w:r>
    </w:p>
    <w:p w14:paraId="6327E3A8">
      <w:pPr>
        <w:rPr>
          <w:rFonts w:ascii="宋体" w:hAnsi="宋体"/>
          <w:b/>
          <w:bCs/>
          <w:color w:val="auto"/>
          <w:sz w:val="44"/>
          <w:szCs w:val="44"/>
        </w:rPr>
      </w:pPr>
      <w:r>
        <w:rPr>
          <w:rFonts w:hint="eastAsia" w:ascii="宋体" w:hAnsi="宋体"/>
          <w:b/>
          <w:bCs/>
          <w:color w:val="auto"/>
          <w:sz w:val="44"/>
          <w:szCs w:val="44"/>
        </w:rPr>
        <w:t xml:space="preserve"> </w:t>
      </w:r>
    </w:p>
    <w:p w14:paraId="731136B0">
      <w:pPr>
        <w:rPr>
          <w:rFonts w:ascii="宋体" w:hAnsi="宋体"/>
          <w:b/>
          <w:bCs/>
          <w:color w:val="auto"/>
          <w:sz w:val="44"/>
          <w:szCs w:val="44"/>
        </w:rPr>
      </w:pPr>
      <w:r>
        <w:rPr>
          <w:rFonts w:hint="eastAsia" w:ascii="宋体" w:hAnsi="宋体"/>
          <w:b/>
          <w:bCs/>
          <w:color w:val="auto"/>
          <w:sz w:val="44"/>
          <w:szCs w:val="44"/>
        </w:rPr>
        <w:t xml:space="preserve"> </w:t>
      </w:r>
    </w:p>
    <w:p w14:paraId="2A1504EC">
      <w:pPr>
        <w:rPr>
          <w:rFonts w:ascii="宋体" w:hAnsi="宋体"/>
          <w:b/>
          <w:bCs/>
          <w:color w:val="auto"/>
          <w:sz w:val="44"/>
          <w:szCs w:val="44"/>
        </w:rPr>
      </w:pPr>
      <w:r>
        <w:rPr>
          <w:rFonts w:hint="eastAsia" w:ascii="宋体" w:hAnsi="宋体"/>
          <w:b/>
          <w:bCs/>
          <w:color w:val="auto"/>
          <w:sz w:val="44"/>
          <w:szCs w:val="44"/>
        </w:rPr>
        <w:t xml:space="preserve"> </w:t>
      </w:r>
    </w:p>
    <w:p w14:paraId="20EA020E">
      <w:pPr>
        <w:spacing w:line="720" w:lineRule="auto"/>
        <w:ind w:firstLine="1968" w:firstLineChars="700"/>
        <w:rPr>
          <w:rFonts w:ascii="宋体" w:hAnsi="宋体"/>
          <w:b/>
          <w:color w:val="auto"/>
          <w:sz w:val="28"/>
          <w:szCs w:val="28"/>
        </w:rPr>
      </w:pPr>
      <w:bookmarkStart w:id="586" w:name="_Toc24434"/>
      <w:bookmarkEnd w:id="586"/>
      <w:r>
        <w:rPr>
          <w:rFonts w:hint="eastAsia" w:ascii="宋体" w:hAnsi="宋体"/>
          <w:b/>
          <w:color w:val="auto"/>
          <w:sz w:val="28"/>
          <w:szCs w:val="28"/>
        </w:rPr>
        <w:t>投标人：</w:t>
      </w:r>
      <w:r>
        <w:rPr>
          <w:rFonts w:hint="eastAsia" w:ascii="宋体" w:hAnsi="宋体"/>
          <w:b/>
          <w:color w:val="auto"/>
          <w:sz w:val="28"/>
          <w:szCs w:val="28"/>
          <w:u w:val="single"/>
        </w:rPr>
        <w:tab/>
      </w:r>
      <w:r>
        <w:rPr>
          <w:rFonts w:hint="eastAsia" w:ascii="宋体" w:hAnsi="宋体"/>
          <w:b/>
          <w:color w:val="auto"/>
          <w:sz w:val="28"/>
          <w:szCs w:val="28"/>
          <w:u w:val="single"/>
        </w:rPr>
        <w:t xml:space="preserve">                         </w:t>
      </w:r>
      <w:r>
        <w:rPr>
          <w:rFonts w:hint="eastAsia" w:ascii="宋体" w:hAnsi="宋体"/>
          <w:b/>
          <w:color w:val="auto"/>
          <w:sz w:val="28"/>
          <w:szCs w:val="28"/>
        </w:rPr>
        <w:t>(电子签章)</w:t>
      </w:r>
    </w:p>
    <w:p w14:paraId="0B8F7612">
      <w:pPr>
        <w:spacing w:line="720" w:lineRule="auto"/>
        <w:rPr>
          <w:b/>
          <w:color w:val="auto"/>
          <w:sz w:val="28"/>
          <w:szCs w:val="28"/>
        </w:rPr>
      </w:pPr>
      <w:r>
        <w:rPr>
          <w:rFonts w:hint="eastAsia" w:ascii="宋体" w:hAnsi="宋体"/>
          <w:b/>
          <w:color w:val="auto"/>
          <w:sz w:val="28"/>
          <w:szCs w:val="28"/>
        </w:rPr>
        <w:t>法定代表人(单位负责人)或其委托代理人：</w:t>
      </w:r>
      <w:r>
        <w:rPr>
          <w:rFonts w:hint="eastAsia" w:ascii="宋体" w:hAnsi="宋体"/>
          <w:b/>
          <w:color w:val="auto"/>
          <w:sz w:val="28"/>
          <w:szCs w:val="28"/>
          <w:u w:val="single"/>
        </w:rPr>
        <w:tab/>
      </w:r>
      <w:r>
        <w:rPr>
          <w:rFonts w:hint="eastAsia" w:ascii="宋体" w:hAnsi="宋体"/>
          <w:b/>
          <w:color w:val="auto"/>
          <w:sz w:val="28"/>
          <w:szCs w:val="28"/>
          <w:u w:val="single"/>
        </w:rPr>
        <w:t xml:space="preserve">          </w:t>
      </w:r>
      <w:r>
        <w:rPr>
          <w:rFonts w:hint="eastAsia" w:ascii="宋体" w:hAnsi="宋体"/>
          <w:b/>
          <w:color w:val="auto"/>
          <w:sz w:val="28"/>
          <w:szCs w:val="28"/>
        </w:rPr>
        <w:t>(电子签章)</w:t>
      </w:r>
    </w:p>
    <w:p w14:paraId="09C190D9">
      <w:pPr>
        <w:spacing w:line="720" w:lineRule="auto"/>
        <w:ind w:firstLine="1968" w:firstLineChars="700"/>
        <w:rPr>
          <w:color w:val="auto"/>
          <w:sz w:val="28"/>
          <w:szCs w:val="28"/>
        </w:rPr>
        <w:sectPr>
          <w:footerReference r:id="rId15" w:type="default"/>
          <w:pgSz w:w="11906" w:h="16838"/>
          <w:pgMar w:top="1191" w:right="1191" w:bottom="1191" w:left="1191" w:header="720" w:footer="720" w:gutter="0"/>
          <w:pgNumType w:fmt="decimal"/>
          <w:cols w:space="720" w:num="1"/>
          <w:docGrid w:type="lines" w:linePitch="317" w:charSpace="0"/>
        </w:sectPr>
      </w:pPr>
      <w:r>
        <w:rPr>
          <w:b/>
          <w:color w:val="auto"/>
          <w:sz w:val="28"/>
          <w:szCs w:val="28"/>
        </w:rPr>
        <w:t>日期：</w:t>
      </w:r>
      <w:r>
        <w:rPr>
          <w:rFonts w:hint="eastAsia"/>
          <w:bCs/>
          <w:color w:val="auto"/>
          <w:sz w:val="28"/>
          <w:szCs w:val="28"/>
          <w:u w:val="single"/>
        </w:rPr>
        <w:t xml:space="preserve">      </w:t>
      </w:r>
      <w:r>
        <w:rPr>
          <w:b/>
          <w:color w:val="auto"/>
          <w:sz w:val="28"/>
          <w:szCs w:val="28"/>
        </w:rPr>
        <w:t>年</w:t>
      </w:r>
      <w:r>
        <w:rPr>
          <w:rFonts w:hint="eastAsia"/>
          <w:bCs/>
          <w:color w:val="auto"/>
          <w:sz w:val="28"/>
          <w:szCs w:val="28"/>
          <w:u w:val="single"/>
        </w:rPr>
        <w:t xml:space="preserve">     </w:t>
      </w:r>
      <w:r>
        <w:rPr>
          <w:b/>
          <w:color w:val="auto"/>
          <w:sz w:val="28"/>
          <w:szCs w:val="28"/>
        </w:rPr>
        <w:t>月</w:t>
      </w:r>
      <w:r>
        <w:rPr>
          <w:rFonts w:hint="eastAsia"/>
          <w:bCs/>
          <w:color w:val="auto"/>
          <w:sz w:val="28"/>
          <w:szCs w:val="28"/>
          <w:u w:val="single"/>
        </w:rPr>
        <w:t xml:space="preserve">     </w:t>
      </w:r>
      <w:r>
        <w:rPr>
          <w:b/>
          <w:color w:val="auto"/>
          <w:sz w:val="28"/>
          <w:szCs w:val="28"/>
        </w:rPr>
        <w:t>日</w:t>
      </w:r>
    </w:p>
    <w:p w14:paraId="563423CE">
      <w:pPr>
        <w:pStyle w:val="5"/>
        <w:pageBreakBefore/>
        <w:spacing w:before="120" w:line="360" w:lineRule="auto"/>
        <w:jc w:val="center"/>
        <w:rPr>
          <w:rFonts w:ascii="宋体" w:hAnsi="宋体" w:eastAsia="宋体"/>
          <w:color w:val="auto"/>
        </w:rPr>
      </w:pPr>
      <w:bookmarkStart w:id="587" w:name="_Toc16521"/>
      <w:bookmarkStart w:id="588" w:name="_Toc23304"/>
      <w:bookmarkStart w:id="589" w:name="_Toc525742063"/>
      <w:bookmarkStart w:id="590" w:name="_Toc525742149"/>
      <w:bookmarkStart w:id="591" w:name="_Toc12759"/>
      <w:bookmarkStart w:id="592" w:name="_Toc11598"/>
      <w:bookmarkStart w:id="593" w:name="_Toc29457"/>
      <w:bookmarkStart w:id="594" w:name="_Toc13892"/>
      <w:r>
        <w:rPr>
          <w:rFonts w:hint="eastAsia" w:ascii="宋体" w:hAnsi="宋体" w:eastAsia="宋体"/>
          <w:color w:val="auto"/>
        </w:rPr>
        <w:t>资格文件格式</w:t>
      </w:r>
      <w:bookmarkEnd w:id="587"/>
      <w:bookmarkEnd w:id="588"/>
      <w:bookmarkEnd w:id="589"/>
      <w:bookmarkEnd w:id="590"/>
      <w:bookmarkEnd w:id="591"/>
      <w:bookmarkEnd w:id="592"/>
    </w:p>
    <w:p w14:paraId="1A776C4D">
      <w:pPr>
        <w:pStyle w:val="6"/>
        <w:spacing w:line="360" w:lineRule="auto"/>
        <w:jc w:val="center"/>
        <w:rPr>
          <w:rFonts w:ascii="宋体" w:hAnsi="宋体"/>
          <w:color w:val="auto"/>
          <w:sz w:val="28"/>
          <w:szCs w:val="28"/>
        </w:rPr>
      </w:pPr>
      <w:bookmarkStart w:id="595" w:name="_Toc13591"/>
      <w:bookmarkStart w:id="596" w:name="_Toc525742150"/>
      <w:bookmarkStart w:id="597" w:name="_Toc525742064"/>
      <w:bookmarkStart w:id="598" w:name="_Toc1975"/>
      <w:bookmarkStart w:id="599" w:name="_Toc12131"/>
      <w:bookmarkStart w:id="600" w:name="_Toc22213"/>
      <w:r>
        <w:rPr>
          <w:rFonts w:hint="eastAsia" w:ascii="宋体" w:hAnsi="宋体"/>
          <w:color w:val="auto"/>
          <w:sz w:val="28"/>
          <w:szCs w:val="28"/>
        </w:rPr>
        <w:t>一、具有独立承担民事责任的能力</w:t>
      </w:r>
      <w:bookmarkEnd w:id="595"/>
    </w:p>
    <w:bookmarkEnd w:id="596"/>
    <w:bookmarkEnd w:id="597"/>
    <w:bookmarkEnd w:id="598"/>
    <w:bookmarkEnd w:id="599"/>
    <w:bookmarkEnd w:id="600"/>
    <w:p w14:paraId="7D7C6435">
      <w:pPr>
        <w:pStyle w:val="6"/>
        <w:spacing w:line="360" w:lineRule="auto"/>
        <w:jc w:val="center"/>
        <w:rPr>
          <w:rFonts w:ascii="宋体" w:hAnsi="宋体"/>
          <w:color w:val="auto"/>
          <w:sz w:val="24"/>
          <w:szCs w:val="24"/>
        </w:rPr>
      </w:pPr>
      <w:bookmarkStart w:id="601" w:name="_Toc10527"/>
      <w:r>
        <w:rPr>
          <w:rFonts w:hint="eastAsia" w:ascii="宋体" w:hAnsi="宋体"/>
          <w:color w:val="auto"/>
          <w:sz w:val="24"/>
          <w:szCs w:val="24"/>
        </w:rPr>
        <w:t>法人或者其他组织的营业执照等证明文件或自然人身份证明</w:t>
      </w:r>
      <w:bookmarkEnd w:id="601"/>
    </w:p>
    <w:p w14:paraId="539C64E1">
      <w:pPr>
        <w:spacing w:line="360" w:lineRule="auto"/>
        <w:rPr>
          <w:rFonts w:ascii="宋体" w:hAnsi="宋体"/>
          <w:color w:val="auto"/>
        </w:rPr>
      </w:pPr>
      <w:r>
        <w:rPr>
          <w:rFonts w:hint="eastAsia" w:ascii="宋体" w:hAnsi="宋体"/>
          <w:color w:val="auto"/>
        </w:rPr>
        <w:t>附有效的法人或者其他组织的营业执照</w:t>
      </w:r>
      <w:r>
        <w:rPr>
          <w:rFonts w:hint="eastAsia"/>
          <w:color w:val="auto"/>
        </w:rPr>
        <w:t>（副本）</w:t>
      </w:r>
      <w:r>
        <w:rPr>
          <w:rFonts w:hint="eastAsia" w:ascii="宋体" w:hAnsi="宋体"/>
          <w:color w:val="auto"/>
        </w:rPr>
        <w:t>等证明文件，为自然人投标人的提供身份证明的原件扫描件。</w:t>
      </w:r>
    </w:p>
    <w:p w14:paraId="08939965">
      <w:pPr>
        <w:pStyle w:val="6"/>
        <w:spacing w:line="360" w:lineRule="auto"/>
        <w:jc w:val="center"/>
        <w:rPr>
          <w:rFonts w:ascii="宋体" w:hAnsi="宋体"/>
          <w:color w:val="auto"/>
        </w:rPr>
      </w:pPr>
    </w:p>
    <w:p w14:paraId="009DE20B">
      <w:pPr>
        <w:spacing w:line="360" w:lineRule="auto"/>
        <w:rPr>
          <w:rFonts w:ascii="宋体" w:hAnsi="宋体"/>
          <w:color w:val="auto"/>
        </w:rPr>
      </w:pPr>
    </w:p>
    <w:p w14:paraId="56E8B58F">
      <w:pPr>
        <w:pStyle w:val="6"/>
        <w:spacing w:line="360" w:lineRule="auto"/>
        <w:jc w:val="both"/>
        <w:rPr>
          <w:rFonts w:ascii="宋体" w:hAnsi="宋体"/>
          <w:color w:val="auto"/>
          <w:sz w:val="28"/>
          <w:szCs w:val="28"/>
        </w:rPr>
      </w:pPr>
      <w:bookmarkStart w:id="602" w:name="_Toc3338"/>
      <w:bookmarkStart w:id="603" w:name="_Toc31820"/>
      <w:bookmarkStart w:id="604" w:name="_Toc28293"/>
    </w:p>
    <w:p w14:paraId="350D3AF9">
      <w:pPr>
        <w:pStyle w:val="6"/>
        <w:spacing w:line="360" w:lineRule="auto"/>
        <w:jc w:val="center"/>
        <w:rPr>
          <w:rFonts w:ascii="宋体" w:hAnsi="宋体"/>
          <w:color w:val="auto"/>
          <w:sz w:val="28"/>
          <w:szCs w:val="28"/>
        </w:rPr>
      </w:pPr>
    </w:p>
    <w:p w14:paraId="61F49425">
      <w:pPr>
        <w:pStyle w:val="6"/>
        <w:spacing w:line="360" w:lineRule="auto"/>
        <w:jc w:val="center"/>
        <w:rPr>
          <w:rFonts w:ascii="宋体" w:hAnsi="宋体"/>
          <w:color w:val="auto"/>
          <w:sz w:val="28"/>
          <w:szCs w:val="28"/>
        </w:rPr>
      </w:pPr>
      <w:bookmarkStart w:id="605" w:name="_Toc5007"/>
      <w:r>
        <w:rPr>
          <w:rFonts w:hint="eastAsia" w:ascii="宋体" w:hAnsi="宋体"/>
          <w:color w:val="auto"/>
          <w:sz w:val="28"/>
          <w:szCs w:val="28"/>
        </w:rPr>
        <w:t>二、具有良好的商业信誉和健全的财务会计制度</w:t>
      </w:r>
      <w:bookmarkEnd w:id="602"/>
      <w:bookmarkEnd w:id="603"/>
      <w:bookmarkEnd w:id="604"/>
      <w:bookmarkEnd w:id="605"/>
    </w:p>
    <w:p w14:paraId="10697F2A">
      <w:pPr>
        <w:spacing w:line="360" w:lineRule="auto"/>
        <w:jc w:val="center"/>
        <w:outlineLvl w:val="2"/>
        <w:rPr>
          <w:rFonts w:ascii="宋体" w:hAnsi="宋体"/>
          <w:b/>
          <w:color w:val="auto"/>
          <w:sz w:val="24"/>
        </w:rPr>
      </w:pPr>
      <w:bookmarkStart w:id="606" w:name="_Toc1685"/>
      <w:bookmarkStart w:id="607" w:name="_Toc8187"/>
      <w:bookmarkStart w:id="608" w:name="_Toc30641"/>
      <w:r>
        <w:rPr>
          <w:rFonts w:hint="eastAsia" w:ascii="宋体" w:hAnsi="宋体"/>
          <w:b/>
          <w:color w:val="auto"/>
          <w:sz w:val="24"/>
        </w:rPr>
        <w:t>（一）承诺书或声明函</w:t>
      </w:r>
      <w:bookmarkEnd w:id="606"/>
      <w:bookmarkEnd w:id="607"/>
      <w:bookmarkEnd w:id="608"/>
    </w:p>
    <w:p w14:paraId="64F64365">
      <w:pPr>
        <w:spacing w:line="360" w:lineRule="auto"/>
        <w:ind w:firstLine="420" w:firstLineChars="200"/>
        <w:rPr>
          <w:rFonts w:ascii="宋体" w:hAnsi="宋体"/>
          <w:color w:val="auto"/>
          <w:szCs w:val="21"/>
        </w:rPr>
      </w:pPr>
      <w:r>
        <w:rPr>
          <w:rFonts w:hint="eastAsia" w:ascii="宋体" w:hAnsi="宋体"/>
          <w:color w:val="auto"/>
          <w:szCs w:val="21"/>
        </w:rPr>
        <w:t>提供良好的商业信誉的承诺书或声明函，须加盖投标单位电子签章，内容格式自拟。</w:t>
      </w:r>
    </w:p>
    <w:p w14:paraId="0ACDEAE7">
      <w:pPr>
        <w:spacing w:line="360" w:lineRule="auto"/>
        <w:rPr>
          <w:rFonts w:ascii="宋体" w:hAnsi="宋体"/>
          <w:color w:val="auto"/>
          <w:szCs w:val="21"/>
        </w:rPr>
      </w:pPr>
    </w:p>
    <w:p w14:paraId="23AD4DDD">
      <w:pPr>
        <w:spacing w:line="360" w:lineRule="auto"/>
        <w:jc w:val="center"/>
        <w:outlineLvl w:val="2"/>
        <w:rPr>
          <w:rFonts w:ascii="宋体" w:hAnsi="宋体"/>
          <w:b/>
          <w:color w:val="auto"/>
          <w:sz w:val="24"/>
        </w:rPr>
      </w:pPr>
      <w:bookmarkStart w:id="609" w:name="_Toc17587"/>
      <w:bookmarkStart w:id="610" w:name="_Toc31291"/>
      <w:bookmarkStart w:id="611" w:name="_Toc5494"/>
      <w:r>
        <w:rPr>
          <w:rFonts w:hint="eastAsia" w:ascii="宋体" w:hAnsi="宋体"/>
          <w:b/>
          <w:color w:val="auto"/>
          <w:sz w:val="24"/>
        </w:rPr>
        <w:t>（二）具有健全的财务会计制度</w:t>
      </w:r>
      <w:bookmarkEnd w:id="609"/>
      <w:bookmarkEnd w:id="610"/>
      <w:bookmarkEnd w:id="611"/>
    </w:p>
    <w:p w14:paraId="4FC9A339">
      <w:pPr>
        <w:spacing w:line="360" w:lineRule="auto"/>
        <w:ind w:firstLine="420" w:firstLineChars="200"/>
        <w:rPr>
          <w:rFonts w:ascii="宋体" w:hAnsi="宋体"/>
          <w:color w:val="auto"/>
          <w:szCs w:val="21"/>
        </w:rPr>
      </w:pPr>
      <w:r>
        <w:rPr>
          <w:rFonts w:hint="eastAsia" w:ascii="宋体" w:hAnsi="宋体"/>
          <w:color w:val="auto"/>
        </w:rPr>
        <w:t>提供经审计的财务报告或银行出具的资信证明，或财政部门认可的政府采购专业担保机构针对本项目出具的投标担保函。</w:t>
      </w:r>
    </w:p>
    <w:p w14:paraId="742530ED">
      <w:pPr>
        <w:pStyle w:val="6"/>
        <w:spacing w:line="360" w:lineRule="auto"/>
        <w:jc w:val="center"/>
        <w:rPr>
          <w:rFonts w:ascii="宋体" w:hAnsi="宋体"/>
          <w:color w:val="auto"/>
          <w:sz w:val="28"/>
          <w:szCs w:val="28"/>
        </w:rPr>
      </w:pPr>
      <w:r>
        <w:rPr>
          <w:rFonts w:hint="eastAsia" w:ascii="宋体" w:hAnsi="宋体"/>
          <w:b w:val="0"/>
          <w:bCs w:val="0"/>
          <w:color w:val="auto"/>
          <w:kern w:val="2"/>
          <w:sz w:val="21"/>
          <w:szCs w:val="24"/>
        </w:rPr>
        <w:br w:type="page"/>
      </w:r>
      <w:bookmarkStart w:id="612" w:name="_Toc4802"/>
      <w:bookmarkStart w:id="613" w:name="_Toc31292"/>
      <w:bookmarkStart w:id="614" w:name="_Toc24087"/>
      <w:bookmarkStart w:id="615" w:name="_Toc26999"/>
      <w:r>
        <w:rPr>
          <w:rFonts w:hint="eastAsia" w:ascii="宋体" w:hAnsi="宋体"/>
          <w:color w:val="auto"/>
          <w:sz w:val="28"/>
          <w:szCs w:val="28"/>
        </w:rPr>
        <w:t>三、具有履行合同所必需的设备和专业技术能力</w:t>
      </w:r>
      <w:bookmarkEnd w:id="612"/>
      <w:bookmarkEnd w:id="613"/>
      <w:bookmarkEnd w:id="614"/>
      <w:bookmarkEnd w:id="615"/>
    </w:p>
    <w:p w14:paraId="5649B1C4">
      <w:pPr>
        <w:spacing w:line="360" w:lineRule="auto"/>
        <w:ind w:firstLine="420" w:firstLineChars="200"/>
        <w:jc w:val="center"/>
        <w:rPr>
          <w:rFonts w:ascii="宋体" w:hAnsi="宋体"/>
          <w:color w:val="auto"/>
        </w:rPr>
      </w:pPr>
      <w:r>
        <w:rPr>
          <w:rFonts w:hint="eastAsia" w:ascii="宋体" w:hAnsi="宋体"/>
          <w:color w:val="auto"/>
          <w:szCs w:val="21"/>
        </w:rPr>
        <w:t>具有履行合同所必须的设备和专业技术能力的证明材料或声明函。证明材料或声明函须加盖投标单位电子签章，内容格式自拟。</w:t>
      </w:r>
    </w:p>
    <w:p w14:paraId="00A97730">
      <w:pPr>
        <w:pStyle w:val="6"/>
        <w:spacing w:line="360" w:lineRule="auto"/>
        <w:jc w:val="center"/>
        <w:rPr>
          <w:rFonts w:ascii="宋体" w:hAnsi="宋体"/>
          <w:color w:val="auto"/>
          <w:szCs w:val="21"/>
        </w:rPr>
      </w:pPr>
      <w:r>
        <w:rPr>
          <w:rFonts w:ascii="宋体" w:hAnsi="宋体"/>
          <w:b w:val="0"/>
          <w:bCs w:val="0"/>
          <w:color w:val="auto"/>
          <w:sz w:val="28"/>
          <w:szCs w:val="28"/>
        </w:rPr>
        <w:br w:type="page"/>
      </w:r>
      <w:bookmarkStart w:id="616" w:name="_Toc525742156"/>
      <w:bookmarkStart w:id="617" w:name="_Toc525742070"/>
      <w:bookmarkStart w:id="618" w:name="_Toc14793"/>
      <w:bookmarkStart w:id="619" w:name="_Toc3575"/>
      <w:bookmarkStart w:id="620" w:name="_Toc2913"/>
      <w:bookmarkStart w:id="621" w:name="_Toc10661"/>
      <w:r>
        <w:rPr>
          <w:rFonts w:hint="eastAsia" w:ascii="宋体" w:hAnsi="宋体"/>
          <w:color w:val="auto"/>
          <w:sz w:val="28"/>
          <w:szCs w:val="28"/>
        </w:rPr>
        <w:t>四、</w:t>
      </w:r>
      <w:bookmarkEnd w:id="616"/>
      <w:bookmarkEnd w:id="617"/>
      <w:r>
        <w:rPr>
          <w:rFonts w:hint="eastAsia" w:ascii="宋体" w:hAnsi="宋体"/>
          <w:color w:val="auto"/>
          <w:sz w:val="28"/>
          <w:szCs w:val="28"/>
        </w:rPr>
        <w:t>有依法缴纳税收和缴纳社会保障资金的良好记录</w:t>
      </w:r>
      <w:bookmarkEnd w:id="618"/>
      <w:bookmarkEnd w:id="619"/>
      <w:bookmarkEnd w:id="620"/>
      <w:bookmarkEnd w:id="621"/>
    </w:p>
    <w:p w14:paraId="04BD9B4B">
      <w:pPr>
        <w:spacing w:line="360" w:lineRule="auto"/>
        <w:ind w:firstLine="420" w:firstLineChars="200"/>
        <w:rPr>
          <w:rFonts w:ascii="宋体" w:hAnsi="宋体"/>
          <w:color w:val="auto"/>
          <w:szCs w:val="21"/>
        </w:rPr>
      </w:pPr>
      <w:r>
        <w:rPr>
          <w:rFonts w:hint="eastAsia" w:ascii="宋体" w:hAnsi="宋体"/>
          <w:color w:val="auto"/>
          <w:szCs w:val="21"/>
        </w:rPr>
        <w:t>投标人须提供本项目投标文件递交截止时间前任意时间段的纳税证明材料和社会保障资金证明材料；若依法免缴或暂缓缴纳或新成立企业的，可提供声明函或承诺函并加盖投标单位电子签章。</w:t>
      </w:r>
    </w:p>
    <w:p w14:paraId="1C9D9145">
      <w:pPr>
        <w:spacing w:line="360" w:lineRule="auto"/>
        <w:jc w:val="left"/>
        <w:rPr>
          <w:rFonts w:ascii="宋体" w:hAnsi="宋体"/>
          <w:color w:val="auto"/>
          <w:szCs w:val="21"/>
        </w:rPr>
      </w:pPr>
    </w:p>
    <w:p w14:paraId="7D9A9A6B">
      <w:pPr>
        <w:spacing w:line="360" w:lineRule="auto"/>
        <w:jc w:val="left"/>
        <w:rPr>
          <w:rFonts w:ascii="宋体" w:hAnsi="宋体"/>
          <w:color w:val="auto"/>
          <w:szCs w:val="21"/>
        </w:rPr>
      </w:pPr>
    </w:p>
    <w:p w14:paraId="78C3D448">
      <w:pPr>
        <w:spacing w:line="360" w:lineRule="auto"/>
        <w:jc w:val="left"/>
        <w:rPr>
          <w:rFonts w:ascii="宋体" w:hAnsi="宋体"/>
          <w:color w:val="auto"/>
          <w:szCs w:val="21"/>
        </w:rPr>
      </w:pPr>
    </w:p>
    <w:p w14:paraId="6D3E0536">
      <w:pPr>
        <w:spacing w:line="360" w:lineRule="auto"/>
        <w:jc w:val="left"/>
        <w:rPr>
          <w:rFonts w:ascii="宋体" w:hAnsi="宋体"/>
          <w:color w:val="auto"/>
          <w:szCs w:val="21"/>
        </w:rPr>
      </w:pPr>
    </w:p>
    <w:p w14:paraId="72583D2F">
      <w:pPr>
        <w:spacing w:line="360" w:lineRule="auto"/>
        <w:jc w:val="left"/>
        <w:rPr>
          <w:rFonts w:ascii="宋体" w:hAnsi="宋体"/>
          <w:color w:val="auto"/>
          <w:szCs w:val="21"/>
        </w:rPr>
      </w:pPr>
    </w:p>
    <w:p w14:paraId="195F988F">
      <w:pPr>
        <w:spacing w:line="360" w:lineRule="auto"/>
        <w:jc w:val="left"/>
        <w:rPr>
          <w:rFonts w:ascii="宋体" w:hAnsi="宋体"/>
          <w:color w:val="auto"/>
          <w:szCs w:val="21"/>
        </w:rPr>
      </w:pPr>
    </w:p>
    <w:p w14:paraId="45323030">
      <w:pPr>
        <w:spacing w:line="360" w:lineRule="auto"/>
        <w:jc w:val="left"/>
        <w:rPr>
          <w:rFonts w:ascii="宋体" w:hAnsi="宋体"/>
          <w:color w:val="auto"/>
          <w:szCs w:val="21"/>
        </w:rPr>
      </w:pPr>
    </w:p>
    <w:p w14:paraId="3FBD02C3">
      <w:pPr>
        <w:spacing w:line="360" w:lineRule="auto"/>
        <w:jc w:val="left"/>
        <w:rPr>
          <w:rFonts w:ascii="宋体" w:hAnsi="宋体"/>
          <w:color w:val="auto"/>
          <w:szCs w:val="21"/>
        </w:rPr>
      </w:pPr>
    </w:p>
    <w:p w14:paraId="75D0CE0E">
      <w:pPr>
        <w:spacing w:line="360" w:lineRule="auto"/>
        <w:jc w:val="left"/>
        <w:rPr>
          <w:rFonts w:ascii="宋体" w:hAnsi="宋体"/>
          <w:color w:val="auto"/>
          <w:szCs w:val="21"/>
        </w:rPr>
      </w:pPr>
    </w:p>
    <w:p w14:paraId="7F4A171F">
      <w:pPr>
        <w:spacing w:line="360" w:lineRule="auto"/>
        <w:jc w:val="left"/>
        <w:rPr>
          <w:rFonts w:ascii="宋体" w:hAnsi="宋体"/>
          <w:color w:val="auto"/>
          <w:szCs w:val="21"/>
        </w:rPr>
      </w:pPr>
    </w:p>
    <w:p w14:paraId="2597C317">
      <w:pPr>
        <w:spacing w:line="360" w:lineRule="auto"/>
        <w:jc w:val="left"/>
        <w:rPr>
          <w:rFonts w:ascii="宋体" w:hAnsi="宋体"/>
          <w:color w:val="auto"/>
          <w:szCs w:val="21"/>
        </w:rPr>
      </w:pPr>
    </w:p>
    <w:p w14:paraId="243AB730">
      <w:pPr>
        <w:spacing w:line="360" w:lineRule="auto"/>
        <w:jc w:val="left"/>
        <w:rPr>
          <w:rFonts w:ascii="宋体" w:hAnsi="宋体"/>
          <w:color w:val="auto"/>
          <w:szCs w:val="21"/>
        </w:rPr>
      </w:pPr>
    </w:p>
    <w:p w14:paraId="0DBE77BA">
      <w:pPr>
        <w:spacing w:line="360" w:lineRule="auto"/>
        <w:jc w:val="left"/>
        <w:rPr>
          <w:rFonts w:ascii="宋体" w:hAnsi="宋体"/>
          <w:color w:val="auto"/>
          <w:szCs w:val="21"/>
        </w:rPr>
      </w:pPr>
    </w:p>
    <w:p w14:paraId="74CEC98E">
      <w:pPr>
        <w:spacing w:line="360" w:lineRule="auto"/>
        <w:jc w:val="left"/>
        <w:rPr>
          <w:rFonts w:ascii="宋体" w:hAnsi="宋体"/>
          <w:color w:val="auto"/>
          <w:szCs w:val="21"/>
        </w:rPr>
      </w:pPr>
    </w:p>
    <w:p w14:paraId="4C7B7A93">
      <w:pPr>
        <w:spacing w:line="360" w:lineRule="auto"/>
        <w:jc w:val="left"/>
        <w:rPr>
          <w:rFonts w:ascii="宋体" w:hAnsi="宋体"/>
          <w:color w:val="auto"/>
          <w:szCs w:val="21"/>
        </w:rPr>
      </w:pPr>
    </w:p>
    <w:p w14:paraId="46405090">
      <w:pPr>
        <w:spacing w:line="360" w:lineRule="auto"/>
        <w:jc w:val="left"/>
        <w:rPr>
          <w:rFonts w:ascii="宋体" w:hAnsi="宋体"/>
          <w:color w:val="auto"/>
          <w:szCs w:val="21"/>
        </w:rPr>
      </w:pPr>
    </w:p>
    <w:p w14:paraId="1E77C21F">
      <w:pPr>
        <w:spacing w:line="360" w:lineRule="auto"/>
        <w:jc w:val="left"/>
        <w:rPr>
          <w:rFonts w:ascii="宋体" w:hAnsi="宋体"/>
          <w:color w:val="auto"/>
          <w:szCs w:val="21"/>
        </w:rPr>
      </w:pPr>
    </w:p>
    <w:p w14:paraId="36EEEB4D">
      <w:pPr>
        <w:spacing w:line="360" w:lineRule="auto"/>
        <w:jc w:val="left"/>
        <w:rPr>
          <w:rFonts w:ascii="宋体" w:hAnsi="宋体"/>
          <w:color w:val="auto"/>
          <w:szCs w:val="21"/>
        </w:rPr>
      </w:pPr>
    </w:p>
    <w:p w14:paraId="46103654">
      <w:pPr>
        <w:spacing w:line="360" w:lineRule="auto"/>
        <w:jc w:val="left"/>
        <w:rPr>
          <w:rFonts w:ascii="宋体" w:hAnsi="宋体"/>
          <w:color w:val="auto"/>
          <w:szCs w:val="21"/>
        </w:rPr>
      </w:pPr>
    </w:p>
    <w:p w14:paraId="7DFEAF48">
      <w:pPr>
        <w:spacing w:line="360" w:lineRule="auto"/>
        <w:jc w:val="left"/>
        <w:rPr>
          <w:rFonts w:ascii="宋体" w:hAnsi="宋体"/>
          <w:color w:val="auto"/>
          <w:szCs w:val="21"/>
        </w:rPr>
      </w:pPr>
    </w:p>
    <w:p w14:paraId="7A14E87D">
      <w:pPr>
        <w:spacing w:line="360" w:lineRule="auto"/>
        <w:jc w:val="left"/>
        <w:rPr>
          <w:rFonts w:ascii="宋体" w:hAnsi="宋体"/>
          <w:color w:val="auto"/>
          <w:szCs w:val="21"/>
        </w:rPr>
      </w:pPr>
    </w:p>
    <w:p w14:paraId="1DF17FE4">
      <w:pPr>
        <w:spacing w:line="360" w:lineRule="auto"/>
        <w:jc w:val="left"/>
        <w:rPr>
          <w:rFonts w:ascii="宋体" w:hAnsi="宋体"/>
          <w:color w:val="auto"/>
          <w:szCs w:val="21"/>
        </w:rPr>
      </w:pPr>
    </w:p>
    <w:p w14:paraId="483DF0D8">
      <w:pPr>
        <w:spacing w:line="360" w:lineRule="auto"/>
        <w:jc w:val="left"/>
        <w:rPr>
          <w:rFonts w:ascii="宋体" w:hAnsi="宋体"/>
          <w:color w:val="auto"/>
          <w:szCs w:val="21"/>
        </w:rPr>
      </w:pPr>
    </w:p>
    <w:p w14:paraId="5E44B5E2">
      <w:pPr>
        <w:spacing w:line="360" w:lineRule="auto"/>
        <w:jc w:val="left"/>
        <w:rPr>
          <w:rFonts w:ascii="宋体" w:hAnsi="宋体"/>
          <w:color w:val="auto"/>
          <w:szCs w:val="21"/>
        </w:rPr>
      </w:pPr>
    </w:p>
    <w:p w14:paraId="44D2A42F">
      <w:pPr>
        <w:spacing w:line="360" w:lineRule="auto"/>
        <w:jc w:val="left"/>
        <w:rPr>
          <w:rFonts w:ascii="宋体" w:hAnsi="宋体"/>
          <w:color w:val="auto"/>
          <w:szCs w:val="21"/>
        </w:rPr>
      </w:pPr>
    </w:p>
    <w:p w14:paraId="552A334D">
      <w:pPr>
        <w:spacing w:line="360" w:lineRule="auto"/>
        <w:jc w:val="left"/>
        <w:rPr>
          <w:rFonts w:ascii="宋体" w:hAnsi="宋体"/>
          <w:color w:val="auto"/>
          <w:szCs w:val="21"/>
        </w:rPr>
      </w:pPr>
    </w:p>
    <w:p w14:paraId="79D8D510">
      <w:pPr>
        <w:spacing w:line="360" w:lineRule="auto"/>
        <w:jc w:val="left"/>
        <w:rPr>
          <w:rFonts w:ascii="宋体" w:hAnsi="宋体"/>
          <w:color w:val="auto"/>
          <w:szCs w:val="21"/>
        </w:rPr>
      </w:pPr>
    </w:p>
    <w:p w14:paraId="772F37C0">
      <w:pPr>
        <w:pStyle w:val="6"/>
        <w:spacing w:line="360" w:lineRule="auto"/>
        <w:jc w:val="center"/>
        <w:rPr>
          <w:rFonts w:ascii="宋体" w:hAnsi="宋体"/>
          <w:color w:val="auto"/>
          <w:sz w:val="28"/>
          <w:szCs w:val="28"/>
        </w:rPr>
      </w:pPr>
      <w:bookmarkStart w:id="622" w:name="_Toc32657"/>
      <w:bookmarkStart w:id="623" w:name="_Toc13148"/>
      <w:bookmarkStart w:id="624" w:name="_Toc1440"/>
      <w:bookmarkStart w:id="625" w:name="_Toc3151"/>
      <w:r>
        <w:rPr>
          <w:rFonts w:hint="eastAsia" w:ascii="宋体" w:hAnsi="宋体"/>
          <w:color w:val="auto"/>
          <w:sz w:val="28"/>
          <w:szCs w:val="28"/>
        </w:rPr>
        <w:t>五</w:t>
      </w:r>
      <w:r>
        <w:rPr>
          <w:rFonts w:ascii="宋体" w:hAnsi="宋体"/>
          <w:color w:val="auto"/>
          <w:sz w:val="28"/>
          <w:szCs w:val="28"/>
        </w:rPr>
        <w:t>、</w:t>
      </w:r>
      <w:bookmarkEnd w:id="622"/>
      <w:bookmarkEnd w:id="623"/>
      <w:bookmarkEnd w:id="624"/>
      <w:r>
        <w:rPr>
          <w:rFonts w:hint="eastAsia" w:ascii="宋体" w:hAnsi="宋体"/>
          <w:color w:val="auto"/>
          <w:sz w:val="28"/>
          <w:szCs w:val="28"/>
        </w:rPr>
        <w:t>参加政府采购活动前三年内，在经营活动中没有重大违法记录</w:t>
      </w:r>
      <w:bookmarkEnd w:id="625"/>
    </w:p>
    <w:p w14:paraId="05A00121">
      <w:pPr>
        <w:spacing w:line="360" w:lineRule="auto"/>
        <w:ind w:firstLine="420" w:firstLineChars="200"/>
        <w:rPr>
          <w:rFonts w:ascii="宋体" w:hAnsi="宋体"/>
          <w:color w:val="auto"/>
          <w:szCs w:val="21"/>
        </w:rPr>
      </w:pPr>
    </w:p>
    <w:p w14:paraId="33C9EB67">
      <w:pPr>
        <w:spacing w:line="360" w:lineRule="auto"/>
        <w:ind w:firstLine="420" w:firstLineChars="200"/>
        <w:rPr>
          <w:rFonts w:ascii="宋体" w:hAnsi="宋体"/>
          <w:color w:val="auto"/>
          <w:szCs w:val="21"/>
        </w:rPr>
      </w:pPr>
      <w:r>
        <w:rPr>
          <w:rFonts w:hint="eastAsia" w:ascii="宋体" w:hAnsi="宋体"/>
          <w:color w:val="auto"/>
          <w:szCs w:val="21"/>
        </w:rPr>
        <w:t>提供参加政府采购活动前三年内在经营活动中没有重大违法记录的书面声明。</w:t>
      </w:r>
    </w:p>
    <w:p w14:paraId="5F667824">
      <w:pPr>
        <w:spacing w:line="360" w:lineRule="auto"/>
        <w:ind w:firstLine="420" w:firstLineChars="200"/>
        <w:rPr>
          <w:rFonts w:ascii="宋体" w:hAnsi="宋体"/>
          <w:color w:val="auto"/>
          <w:szCs w:val="21"/>
        </w:rPr>
      </w:pPr>
    </w:p>
    <w:p w14:paraId="29A4E557">
      <w:pPr>
        <w:spacing w:line="360" w:lineRule="auto"/>
        <w:ind w:firstLine="420" w:firstLineChars="200"/>
        <w:rPr>
          <w:rFonts w:ascii="宋体" w:hAnsi="宋体"/>
          <w:color w:val="auto"/>
          <w:szCs w:val="21"/>
        </w:rPr>
      </w:pPr>
    </w:p>
    <w:p w14:paraId="12A47C58">
      <w:pPr>
        <w:spacing w:line="360" w:lineRule="auto"/>
        <w:ind w:firstLine="420" w:firstLineChars="200"/>
        <w:rPr>
          <w:rFonts w:ascii="宋体" w:hAnsi="宋体"/>
          <w:color w:val="auto"/>
          <w:szCs w:val="21"/>
        </w:rPr>
      </w:pPr>
    </w:p>
    <w:p w14:paraId="30824482">
      <w:pPr>
        <w:spacing w:line="360" w:lineRule="auto"/>
        <w:ind w:firstLine="420" w:firstLineChars="200"/>
        <w:rPr>
          <w:rFonts w:ascii="宋体" w:hAnsi="宋体"/>
          <w:color w:val="auto"/>
          <w:szCs w:val="21"/>
        </w:rPr>
      </w:pPr>
    </w:p>
    <w:p w14:paraId="1AB5ED14">
      <w:pPr>
        <w:spacing w:line="360" w:lineRule="auto"/>
        <w:ind w:firstLine="420" w:firstLineChars="200"/>
        <w:rPr>
          <w:rFonts w:ascii="宋体" w:hAnsi="宋体"/>
          <w:color w:val="auto"/>
          <w:szCs w:val="21"/>
        </w:rPr>
      </w:pPr>
    </w:p>
    <w:p w14:paraId="75EF2EDE">
      <w:pPr>
        <w:spacing w:line="360" w:lineRule="auto"/>
        <w:ind w:firstLine="420" w:firstLineChars="200"/>
        <w:rPr>
          <w:rFonts w:ascii="宋体" w:hAnsi="宋体"/>
          <w:color w:val="auto"/>
          <w:szCs w:val="28"/>
        </w:rPr>
      </w:pPr>
      <w:r>
        <w:rPr>
          <w:rFonts w:ascii="宋体" w:hAnsi="宋体"/>
          <w:color w:val="auto"/>
          <w:szCs w:val="21"/>
        </w:rPr>
        <w:t>我方在参加本项目的政府采购活动前</w:t>
      </w:r>
      <w:r>
        <w:rPr>
          <w:rFonts w:hint="eastAsia" w:ascii="宋体" w:hAnsi="宋体"/>
          <w:color w:val="auto"/>
          <w:szCs w:val="21"/>
        </w:rPr>
        <w:t>三</w:t>
      </w:r>
      <w:r>
        <w:rPr>
          <w:rFonts w:ascii="宋体" w:hAnsi="宋体"/>
          <w:color w:val="auto"/>
          <w:szCs w:val="21"/>
        </w:rPr>
        <w:t>年内</w:t>
      </w:r>
      <w:r>
        <w:rPr>
          <w:rFonts w:hint="eastAsia" w:ascii="宋体" w:hAnsi="宋体"/>
          <w:color w:val="auto"/>
          <w:szCs w:val="21"/>
        </w:rPr>
        <w:t>（以投标截止时间为准）</w:t>
      </w:r>
      <w:r>
        <w:rPr>
          <w:rFonts w:ascii="宋体" w:hAnsi="宋体"/>
          <w:color w:val="auto"/>
          <w:szCs w:val="21"/>
        </w:rPr>
        <w:t>，</w:t>
      </w:r>
      <w:r>
        <w:rPr>
          <w:rFonts w:hint="eastAsia" w:ascii="宋体" w:hAnsi="宋体"/>
          <w:color w:val="auto"/>
          <w:szCs w:val="28"/>
        </w:rPr>
        <w:t>在经营活动中没有重大违法情况。</w:t>
      </w:r>
    </w:p>
    <w:p w14:paraId="7361F7AA">
      <w:pPr>
        <w:spacing w:line="360" w:lineRule="auto"/>
        <w:ind w:firstLine="420" w:firstLineChars="200"/>
        <w:rPr>
          <w:rFonts w:ascii="宋体" w:hAnsi="宋体"/>
          <w:color w:val="auto"/>
          <w:szCs w:val="21"/>
        </w:rPr>
      </w:pPr>
      <w:r>
        <w:rPr>
          <w:rFonts w:hint="eastAsia" w:ascii="宋体" w:hAnsi="宋体"/>
          <w:color w:val="auto"/>
          <w:szCs w:val="21"/>
        </w:rPr>
        <w:t>我方承诺以上声明完全属实，若与事实不符，我方愿承担相应责任。</w:t>
      </w:r>
    </w:p>
    <w:p w14:paraId="15CADA72">
      <w:pPr>
        <w:spacing w:line="360" w:lineRule="auto"/>
        <w:ind w:firstLine="420" w:firstLineChars="200"/>
        <w:rPr>
          <w:rFonts w:ascii="宋体" w:hAnsi="宋体"/>
          <w:color w:val="auto"/>
          <w:szCs w:val="21"/>
        </w:rPr>
      </w:pPr>
    </w:p>
    <w:p w14:paraId="16EFBA7F">
      <w:pPr>
        <w:spacing w:line="360" w:lineRule="auto"/>
        <w:ind w:firstLine="420" w:firstLineChars="200"/>
        <w:rPr>
          <w:rFonts w:ascii="宋体" w:hAnsi="宋体"/>
          <w:color w:val="auto"/>
          <w:szCs w:val="21"/>
        </w:rPr>
      </w:pPr>
    </w:p>
    <w:p w14:paraId="0CFFDD6E">
      <w:pPr>
        <w:spacing w:line="360" w:lineRule="auto"/>
        <w:ind w:firstLine="420" w:firstLineChars="200"/>
        <w:rPr>
          <w:rFonts w:ascii="宋体" w:hAnsi="宋体"/>
          <w:color w:val="auto"/>
          <w:szCs w:val="21"/>
        </w:rPr>
      </w:pPr>
      <w:r>
        <w:rPr>
          <w:rFonts w:hint="eastAsia" w:ascii="宋体" w:hAnsi="宋体"/>
          <w:color w:val="auto"/>
          <w:szCs w:val="21"/>
        </w:rPr>
        <w:t>投标人(电子签章)</w:t>
      </w:r>
      <w:r>
        <w:rPr>
          <w:rFonts w:ascii="宋体" w:hAnsi="宋体"/>
          <w:color w:val="auto"/>
          <w:szCs w:val="21"/>
          <w:u w:val="single"/>
        </w:rPr>
        <w:t xml:space="preserve">                    </w:t>
      </w:r>
    </w:p>
    <w:p w14:paraId="5977456F">
      <w:pPr>
        <w:spacing w:line="360" w:lineRule="auto"/>
        <w:ind w:firstLine="420" w:firstLineChars="200"/>
        <w:rPr>
          <w:rFonts w:ascii="宋体" w:hAnsi="宋体"/>
          <w:color w:val="auto"/>
        </w:rPr>
      </w:pPr>
      <w:r>
        <w:rPr>
          <w:rFonts w:ascii="宋体" w:hAnsi="宋体"/>
          <w:color w:val="auto"/>
          <w:szCs w:val="21"/>
        </w:rPr>
        <w:t>日期：</w:t>
      </w:r>
      <w:r>
        <w:rPr>
          <w:rFonts w:ascii="宋体" w:hAnsi="宋体"/>
          <w:color w:val="auto"/>
          <w:szCs w:val="21"/>
          <w:u w:val="single"/>
        </w:rPr>
        <w:t xml:space="preserve">    </w:t>
      </w:r>
      <w:r>
        <w:rPr>
          <w:rFonts w:ascii="宋体" w:hAnsi="宋体"/>
          <w:color w:val="auto"/>
          <w:szCs w:val="21"/>
        </w:rPr>
        <w:t>年</w:t>
      </w:r>
      <w:r>
        <w:rPr>
          <w:rFonts w:ascii="宋体" w:hAnsi="宋体"/>
          <w:color w:val="auto"/>
          <w:szCs w:val="21"/>
          <w:u w:val="single"/>
        </w:rPr>
        <w:t xml:space="preserve">      </w:t>
      </w:r>
      <w:r>
        <w:rPr>
          <w:rFonts w:ascii="宋体" w:hAnsi="宋体"/>
          <w:color w:val="auto"/>
          <w:szCs w:val="21"/>
        </w:rPr>
        <w:t>月</w:t>
      </w:r>
      <w:r>
        <w:rPr>
          <w:rFonts w:ascii="宋体" w:hAnsi="宋体"/>
          <w:color w:val="auto"/>
          <w:szCs w:val="21"/>
          <w:u w:val="single"/>
        </w:rPr>
        <w:t xml:space="preserve">      </w:t>
      </w:r>
      <w:r>
        <w:rPr>
          <w:rFonts w:ascii="宋体" w:hAnsi="宋体"/>
          <w:color w:val="auto"/>
          <w:szCs w:val="21"/>
        </w:rPr>
        <w:t>日</w:t>
      </w:r>
    </w:p>
    <w:p w14:paraId="28D8282D">
      <w:pPr>
        <w:spacing w:line="360" w:lineRule="auto"/>
        <w:ind w:firstLine="420" w:firstLineChars="200"/>
        <w:rPr>
          <w:rFonts w:ascii="宋体" w:hAnsi="宋体"/>
          <w:color w:val="auto"/>
          <w:szCs w:val="21"/>
        </w:rPr>
      </w:pPr>
    </w:p>
    <w:p w14:paraId="182C5D4F">
      <w:pPr>
        <w:spacing w:line="360" w:lineRule="auto"/>
        <w:ind w:firstLine="420" w:firstLineChars="200"/>
        <w:rPr>
          <w:rFonts w:ascii="宋体" w:hAnsi="宋体"/>
          <w:color w:val="auto"/>
          <w:szCs w:val="21"/>
        </w:rPr>
      </w:pPr>
      <w:r>
        <w:rPr>
          <w:rFonts w:hint="eastAsia" w:ascii="宋体" w:hAnsi="宋体"/>
          <w:color w:val="auto"/>
          <w:szCs w:val="21"/>
        </w:rPr>
        <w:t xml:space="preserve">    </w:t>
      </w:r>
    </w:p>
    <w:p w14:paraId="7348B7F7">
      <w:pPr>
        <w:spacing w:line="360" w:lineRule="auto"/>
        <w:ind w:firstLine="420" w:firstLineChars="200"/>
        <w:rPr>
          <w:rFonts w:ascii="宋体" w:hAnsi="宋体"/>
          <w:color w:val="auto"/>
          <w:szCs w:val="21"/>
        </w:rPr>
      </w:pPr>
    </w:p>
    <w:p w14:paraId="041AAF61">
      <w:pPr>
        <w:spacing w:line="360" w:lineRule="auto"/>
        <w:ind w:firstLine="420" w:firstLineChars="200"/>
        <w:rPr>
          <w:rFonts w:ascii="宋体" w:hAnsi="宋体"/>
          <w:color w:val="auto"/>
          <w:szCs w:val="21"/>
        </w:rPr>
      </w:pPr>
    </w:p>
    <w:p w14:paraId="4D03F045">
      <w:pPr>
        <w:spacing w:line="360" w:lineRule="auto"/>
        <w:ind w:firstLine="420" w:firstLineChars="200"/>
        <w:rPr>
          <w:rFonts w:ascii="宋体" w:hAnsi="宋体"/>
          <w:color w:val="auto"/>
          <w:szCs w:val="21"/>
        </w:rPr>
      </w:pPr>
    </w:p>
    <w:p w14:paraId="259705FE">
      <w:pPr>
        <w:spacing w:line="360" w:lineRule="auto"/>
        <w:ind w:firstLine="420" w:firstLineChars="200"/>
        <w:rPr>
          <w:rFonts w:ascii="宋体" w:hAnsi="宋体"/>
          <w:color w:val="auto"/>
          <w:szCs w:val="21"/>
        </w:rPr>
      </w:pPr>
    </w:p>
    <w:p w14:paraId="7FAD643A">
      <w:pPr>
        <w:spacing w:line="360" w:lineRule="auto"/>
        <w:ind w:firstLine="420" w:firstLineChars="200"/>
        <w:rPr>
          <w:rFonts w:ascii="宋体" w:hAnsi="宋体"/>
          <w:color w:val="auto"/>
          <w:szCs w:val="21"/>
        </w:rPr>
      </w:pPr>
    </w:p>
    <w:p w14:paraId="187DACEC">
      <w:pPr>
        <w:spacing w:line="360" w:lineRule="auto"/>
        <w:ind w:firstLine="420" w:firstLineChars="200"/>
        <w:rPr>
          <w:rFonts w:ascii="宋体" w:hAnsi="宋体"/>
          <w:color w:val="auto"/>
          <w:szCs w:val="21"/>
        </w:rPr>
      </w:pPr>
    </w:p>
    <w:p w14:paraId="0EC7CFDC">
      <w:pPr>
        <w:spacing w:line="360" w:lineRule="auto"/>
        <w:ind w:firstLine="420" w:firstLineChars="200"/>
        <w:rPr>
          <w:rFonts w:ascii="宋体" w:hAnsi="宋体"/>
          <w:color w:val="auto"/>
          <w:szCs w:val="21"/>
        </w:rPr>
      </w:pPr>
    </w:p>
    <w:p w14:paraId="07B4372C">
      <w:pPr>
        <w:spacing w:line="360" w:lineRule="auto"/>
        <w:ind w:firstLine="420" w:firstLineChars="200"/>
        <w:rPr>
          <w:rFonts w:ascii="宋体" w:hAnsi="宋体"/>
          <w:color w:val="auto"/>
          <w:szCs w:val="21"/>
        </w:rPr>
      </w:pPr>
    </w:p>
    <w:p w14:paraId="64D46878">
      <w:pPr>
        <w:spacing w:line="360" w:lineRule="auto"/>
        <w:ind w:firstLine="420" w:firstLineChars="200"/>
        <w:rPr>
          <w:rFonts w:ascii="宋体" w:hAnsi="宋体"/>
          <w:color w:val="auto"/>
          <w:szCs w:val="21"/>
        </w:rPr>
      </w:pPr>
    </w:p>
    <w:p w14:paraId="14777742">
      <w:pPr>
        <w:spacing w:line="360" w:lineRule="auto"/>
        <w:ind w:firstLine="420" w:firstLineChars="200"/>
        <w:rPr>
          <w:rFonts w:ascii="宋体" w:hAnsi="宋体"/>
          <w:color w:val="auto"/>
          <w:szCs w:val="21"/>
        </w:rPr>
      </w:pPr>
    </w:p>
    <w:p w14:paraId="2990AE56">
      <w:pPr>
        <w:spacing w:line="360" w:lineRule="auto"/>
        <w:ind w:firstLine="420" w:firstLineChars="200"/>
        <w:rPr>
          <w:rFonts w:ascii="宋体" w:hAnsi="宋体"/>
          <w:color w:val="auto"/>
          <w:szCs w:val="21"/>
        </w:rPr>
      </w:pPr>
    </w:p>
    <w:p w14:paraId="33F3196B">
      <w:pPr>
        <w:spacing w:line="360" w:lineRule="auto"/>
        <w:ind w:firstLine="420" w:firstLineChars="200"/>
        <w:rPr>
          <w:rFonts w:ascii="宋体" w:hAnsi="宋体"/>
          <w:color w:val="auto"/>
          <w:szCs w:val="21"/>
        </w:rPr>
      </w:pPr>
    </w:p>
    <w:p w14:paraId="1398D608">
      <w:pPr>
        <w:spacing w:line="360" w:lineRule="auto"/>
        <w:rPr>
          <w:rFonts w:ascii="宋体" w:hAnsi="宋体"/>
          <w:color w:val="auto"/>
          <w:szCs w:val="21"/>
        </w:rPr>
      </w:pPr>
    </w:p>
    <w:p w14:paraId="6E1EA6F2">
      <w:pPr>
        <w:spacing w:line="360" w:lineRule="auto"/>
        <w:ind w:firstLine="420" w:firstLineChars="200"/>
        <w:rPr>
          <w:rFonts w:ascii="宋体" w:hAnsi="宋体"/>
          <w:color w:val="auto"/>
          <w:szCs w:val="21"/>
        </w:rPr>
      </w:pPr>
    </w:p>
    <w:p w14:paraId="3BC7BD23">
      <w:pPr>
        <w:spacing w:line="360" w:lineRule="auto"/>
        <w:ind w:firstLine="420" w:firstLineChars="200"/>
        <w:rPr>
          <w:rFonts w:ascii="宋体" w:hAnsi="宋体"/>
          <w:color w:val="auto"/>
          <w:szCs w:val="21"/>
        </w:rPr>
      </w:pPr>
    </w:p>
    <w:p w14:paraId="416F4D50">
      <w:pPr>
        <w:spacing w:line="360" w:lineRule="auto"/>
        <w:ind w:firstLine="420" w:firstLineChars="200"/>
        <w:rPr>
          <w:rFonts w:ascii="宋体" w:hAnsi="宋体"/>
          <w:color w:val="auto"/>
          <w:szCs w:val="21"/>
        </w:rPr>
      </w:pPr>
    </w:p>
    <w:p w14:paraId="0E1D20EB">
      <w:pPr>
        <w:pStyle w:val="6"/>
        <w:spacing w:line="360" w:lineRule="auto"/>
        <w:jc w:val="center"/>
        <w:rPr>
          <w:rFonts w:ascii="宋体" w:hAnsi="宋体"/>
          <w:color w:val="auto"/>
          <w:sz w:val="28"/>
          <w:szCs w:val="28"/>
        </w:rPr>
      </w:pPr>
      <w:bookmarkStart w:id="626" w:name="_Toc6032"/>
      <w:bookmarkStart w:id="627" w:name="_Toc23319"/>
      <w:bookmarkStart w:id="628" w:name="_Toc14420"/>
      <w:bookmarkStart w:id="629" w:name="_Toc11983"/>
      <w:r>
        <w:rPr>
          <w:rFonts w:hint="eastAsia" w:ascii="宋体" w:hAnsi="宋体"/>
          <w:color w:val="auto"/>
          <w:sz w:val="28"/>
          <w:szCs w:val="28"/>
        </w:rPr>
        <w:t>六、</w:t>
      </w:r>
      <w:bookmarkEnd w:id="626"/>
      <w:bookmarkEnd w:id="627"/>
      <w:bookmarkEnd w:id="628"/>
      <w:r>
        <w:rPr>
          <w:rFonts w:hint="eastAsia" w:ascii="宋体" w:hAnsi="宋体"/>
          <w:color w:val="auto"/>
          <w:sz w:val="28"/>
          <w:szCs w:val="28"/>
        </w:rPr>
        <w:t>法律、行政法规规定的其他条件</w:t>
      </w:r>
      <w:bookmarkEnd w:id="629"/>
    </w:p>
    <w:p w14:paraId="1FD5CFE7">
      <w:pPr>
        <w:spacing w:line="360" w:lineRule="auto"/>
        <w:ind w:firstLine="420" w:firstLineChars="200"/>
        <w:rPr>
          <w:rFonts w:ascii="宋体" w:hAnsi="宋体"/>
          <w:color w:val="auto"/>
          <w:szCs w:val="21"/>
        </w:rPr>
      </w:pPr>
      <w:r>
        <w:rPr>
          <w:rFonts w:hint="eastAsia" w:ascii="宋体" w:hAnsi="宋体"/>
          <w:color w:val="auto"/>
          <w:szCs w:val="21"/>
        </w:rPr>
        <w:t>（1）单位负责人为同一人或者存在直接控股、管理关系的不同供应商，不得参加同一合同项下的政府采购活动。（提供承诺函，格式自拟）</w:t>
      </w:r>
    </w:p>
    <w:p w14:paraId="236F57BC">
      <w:pPr>
        <w:spacing w:line="360" w:lineRule="auto"/>
        <w:ind w:firstLine="420" w:firstLineChars="200"/>
        <w:rPr>
          <w:rFonts w:ascii="宋体" w:hAnsi="宋体"/>
          <w:color w:val="auto"/>
          <w:szCs w:val="21"/>
        </w:rPr>
      </w:pPr>
      <w:r>
        <w:rPr>
          <w:rFonts w:hint="eastAsia" w:ascii="宋体" w:hAnsi="宋体"/>
          <w:color w:val="auto"/>
          <w:szCs w:val="21"/>
        </w:rPr>
        <w:t>为采购项目提供整体设计、规范编制或者项目管理、监理、检测等服务的供应商，不得再参加该采购项目的其他采购活动。（提供承诺函，格式自拟）</w:t>
      </w:r>
    </w:p>
    <w:p w14:paraId="520C38CE">
      <w:pPr>
        <w:spacing w:line="360" w:lineRule="auto"/>
        <w:ind w:firstLine="420" w:firstLineChars="200"/>
        <w:rPr>
          <w:rFonts w:ascii="宋体" w:hAnsi="宋体"/>
          <w:color w:val="auto"/>
          <w:szCs w:val="21"/>
        </w:rPr>
      </w:pPr>
      <w:r>
        <w:rPr>
          <w:rFonts w:hint="eastAsia" w:ascii="宋体" w:hAnsi="宋体"/>
          <w:color w:val="auto"/>
          <w:szCs w:val="21"/>
        </w:rPr>
        <w:t>（2）投标人应在“信用中国”网站(www.creditchina.gov.cn)未被列入失信被执行人记录、重大税收违法失信主体当事人名单且在中国政府采购网(www.ccgp.gov.cn)</w:t>
      </w:r>
      <w:r>
        <w:rPr>
          <w:rFonts w:ascii="宋体" w:hAnsi="宋体"/>
          <w:color w:val="auto"/>
          <w:szCs w:val="21"/>
        </w:rPr>
        <mc:AlternateContent>
          <mc:Choice Requires="wps">
            <w:drawing>
              <wp:anchor distT="0" distB="0" distL="114300" distR="114300" simplePos="0" relativeHeight="251663360" behindDoc="0" locked="0" layoutInCell="1" hidden="1" allowOverlap="1">
                <wp:simplePos x="0" y="0"/>
                <wp:positionH relativeFrom="column">
                  <wp:posOffset>-1026795</wp:posOffset>
                </wp:positionH>
                <wp:positionV relativeFrom="paragraph">
                  <wp:posOffset>-772795</wp:posOffset>
                </wp:positionV>
                <wp:extent cx="63500" cy="63500"/>
                <wp:effectExtent l="0" t="0" r="0" b="0"/>
                <wp:wrapNone/>
                <wp:docPr id="8" name="KGD_Gobal1" descr="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"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4F81BD"/>
                        </a:solidFill>
                        <a:ln w="25400" cap="flat" cmpd="sng" algn="ctr">
                          <a:solidFill>
                            <a:srgbClr val="376092">
                              <a:lumMod val="7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" style="position:absolute;left:0pt;margin-left:-80.85pt;margin-top:-60.85pt;height:5pt;width:5pt;visibility:hidden;z-index:251663360;v-text-anchor:middle;mso-width-relative:page;mso-height-relative:page;" fillcolor="#4F81BD" filled="t" stroked="t" coordsize="21600,21600" o:gfxdata="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">
                <v:fill on="t" focussize="0,0"/>
                <v:stroke weight="2pt" color="#29486E" joinstyle="round"/>
                <v:imagedata o:title=""/>
                <o:lock v:ext="edit" aspectratio="f"/>
              </v:rect>
            </w:pict>
          </mc:Fallback>
        </mc:AlternateContent>
      </w:r>
      <w:r>
        <w:rPr>
          <w:rFonts w:hint="eastAsia" w:ascii="宋体" w:hAnsi="宋体"/>
          <w:color w:val="auto"/>
          <w:szCs w:val="21"/>
        </w:rPr>
        <w:t>没有政府采购严重违法失信行为记录。（提供承诺函，格式自拟）</w:t>
      </w:r>
    </w:p>
    <w:p w14:paraId="3B1CA43B">
      <w:pPr>
        <w:spacing w:line="360" w:lineRule="auto"/>
        <w:rPr>
          <w:rFonts w:ascii="宋体" w:hAnsi="宋体"/>
          <w:color w:val="auto"/>
          <w:szCs w:val="21"/>
        </w:rPr>
      </w:pPr>
      <w:r>
        <w:rPr>
          <w:rFonts w:hint="eastAsia" w:ascii="宋体" w:hAnsi="宋体"/>
          <w:b/>
          <w:color w:val="auto"/>
          <w:sz w:val="24"/>
        </w:rPr>
        <w:t xml:space="preserve">  </w:t>
      </w:r>
      <w:r>
        <w:rPr>
          <w:rFonts w:hint="eastAsia" w:ascii="宋体" w:hAnsi="宋体"/>
          <w:color w:val="auto"/>
          <w:szCs w:val="21"/>
        </w:rPr>
        <w:t xml:space="preserve">  </w:t>
      </w:r>
    </w:p>
    <w:p w14:paraId="3406AFCE">
      <w:pPr>
        <w:spacing w:line="360" w:lineRule="auto"/>
        <w:jc w:val="center"/>
        <w:rPr>
          <w:rFonts w:ascii="宋体" w:hAnsi="宋体"/>
          <w:b/>
          <w:color w:val="auto"/>
          <w:sz w:val="24"/>
        </w:rPr>
      </w:pPr>
    </w:p>
    <w:p w14:paraId="2A0541C2">
      <w:pPr>
        <w:spacing w:line="360" w:lineRule="auto"/>
        <w:jc w:val="center"/>
        <w:rPr>
          <w:rFonts w:ascii="宋体" w:hAnsi="宋体"/>
          <w:b/>
          <w:color w:val="auto"/>
          <w:sz w:val="24"/>
        </w:rPr>
      </w:pPr>
    </w:p>
    <w:p w14:paraId="2E98528C">
      <w:pPr>
        <w:spacing w:line="360" w:lineRule="auto"/>
        <w:jc w:val="center"/>
        <w:rPr>
          <w:rFonts w:ascii="宋体" w:hAnsi="宋体"/>
          <w:b/>
          <w:color w:val="auto"/>
          <w:sz w:val="24"/>
        </w:rPr>
      </w:pPr>
    </w:p>
    <w:p w14:paraId="20AF8534">
      <w:pPr>
        <w:spacing w:line="360" w:lineRule="auto"/>
        <w:jc w:val="center"/>
        <w:rPr>
          <w:rFonts w:ascii="宋体" w:hAnsi="宋体"/>
          <w:b/>
          <w:color w:val="auto"/>
          <w:sz w:val="24"/>
        </w:rPr>
      </w:pPr>
    </w:p>
    <w:p w14:paraId="630AA5C3">
      <w:pPr>
        <w:spacing w:line="360" w:lineRule="auto"/>
        <w:jc w:val="center"/>
        <w:rPr>
          <w:rFonts w:ascii="宋体" w:hAnsi="宋体"/>
          <w:b/>
          <w:color w:val="auto"/>
          <w:sz w:val="24"/>
        </w:rPr>
      </w:pPr>
    </w:p>
    <w:p w14:paraId="19275085">
      <w:pPr>
        <w:spacing w:line="360" w:lineRule="auto"/>
        <w:jc w:val="center"/>
        <w:rPr>
          <w:rFonts w:ascii="宋体" w:hAnsi="宋体"/>
          <w:b/>
          <w:color w:val="auto"/>
          <w:sz w:val="24"/>
        </w:rPr>
      </w:pPr>
    </w:p>
    <w:p w14:paraId="5A26A382">
      <w:pPr>
        <w:spacing w:line="360" w:lineRule="auto"/>
        <w:jc w:val="center"/>
        <w:rPr>
          <w:rFonts w:ascii="宋体" w:hAnsi="宋体"/>
          <w:b/>
          <w:color w:val="auto"/>
          <w:sz w:val="24"/>
        </w:rPr>
      </w:pPr>
    </w:p>
    <w:p w14:paraId="1B67098D">
      <w:pPr>
        <w:spacing w:line="360" w:lineRule="auto"/>
        <w:jc w:val="center"/>
        <w:rPr>
          <w:rFonts w:ascii="宋体" w:hAnsi="宋体"/>
          <w:b/>
          <w:color w:val="auto"/>
          <w:sz w:val="24"/>
        </w:rPr>
      </w:pPr>
    </w:p>
    <w:p w14:paraId="384F886F">
      <w:pPr>
        <w:spacing w:line="360" w:lineRule="auto"/>
        <w:jc w:val="center"/>
        <w:rPr>
          <w:rFonts w:ascii="宋体" w:hAnsi="宋体"/>
          <w:b/>
          <w:color w:val="auto"/>
          <w:sz w:val="24"/>
        </w:rPr>
      </w:pPr>
    </w:p>
    <w:p w14:paraId="6C5A8A82">
      <w:pPr>
        <w:spacing w:line="360" w:lineRule="auto"/>
        <w:jc w:val="center"/>
        <w:rPr>
          <w:rFonts w:ascii="宋体" w:hAnsi="宋体"/>
          <w:b/>
          <w:color w:val="auto"/>
          <w:sz w:val="24"/>
        </w:rPr>
      </w:pPr>
    </w:p>
    <w:p w14:paraId="727882BD">
      <w:pPr>
        <w:spacing w:line="360" w:lineRule="auto"/>
        <w:jc w:val="center"/>
        <w:rPr>
          <w:rFonts w:ascii="宋体" w:hAnsi="宋体"/>
          <w:b/>
          <w:color w:val="auto"/>
          <w:sz w:val="24"/>
        </w:rPr>
      </w:pPr>
    </w:p>
    <w:p w14:paraId="2CC07F38">
      <w:pPr>
        <w:pStyle w:val="25"/>
        <w:ind w:firstLine="241"/>
        <w:rPr>
          <w:rFonts w:ascii="宋体" w:hAnsi="宋体"/>
          <w:b/>
          <w:color w:val="auto"/>
          <w:sz w:val="24"/>
        </w:rPr>
      </w:pPr>
    </w:p>
    <w:p w14:paraId="58C69249">
      <w:pPr>
        <w:pStyle w:val="25"/>
        <w:ind w:firstLine="241"/>
        <w:rPr>
          <w:rFonts w:ascii="宋体" w:hAnsi="宋体"/>
          <w:b/>
          <w:color w:val="auto"/>
          <w:sz w:val="24"/>
        </w:rPr>
      </w:pPr>
    </w:p>
    <w:p w14:paraId="67AEDE24">
      <w:pPr>
        <w:pStyle w:val="25"/>
        <w:ind w:firstLine="241"/>
        <w:rPr>
          <w:rFonts w:ascii="宋体" w:hAnsi="宋体"/>
          <w:b/>
          <w:color w:val="auto"/>
          <w:sz w:val="24"/>
        </w:rPr>
      </w:pPr>
    </w:p>
    <w:p w14:paraId="3552BCA6">
      <w:pPr>
        <w:pStyle w:val="25"/>
        <w:ind w:firstLine="241"/>
        <w:rPr>
          <w:rFonts w:ascii="宋体" w:hAnsi="宋体"/>
          <w:b/>
          <w:color w:val="auto"/>
          <w:sz w:val="24"/>
        </w:rPr>
      </w:pPr>
    </w:p>
    <w:p w14:paraId="56B0586C">
      <w:pPr>
        <w:pStyle w:val="25"/>
        <w:ind w:firstLine="241"/>
        <w:rPr>
          <w:rFonts w:ascii="宋体" w:hAnsi="宋体"/>
          <w:b/>
          <w:color w:val="auto"/>
          <w:sz w:val="24"/>
        </w:rPr>
      </w:pPr>
    </w:p>
    <w:p w14:paraId="5EBF8A42">
      <w:pPr>
        <w:pStyle w:val="25"/>
        <w:ind w:firstLine="241"/>
        <w:rPr>
          <w:rFonts w:ascii="宋体" w:hAnsi="宋体"/>
          <w:b/>
          <w:color w:val="auto"/>
          <w:sz w:val="24"/>
        </w:rPr>
      </w:pPr>
    </w:p>
    <w:p w14:paraId="57385A02">
      <w:pPr>
        <w:pStyle w:val="25"/>
        <w:ind w:firstLine="241"/>
        <w:rPr>
          <w:rFonts w:ascii="宋体" w:hAnsi="宋体"/>
          <w:b/>
          <w:color w:val="auto"/>
          <w:sz w:val="24"/>
        </w:rPr>
      </w:pPr>
    </w:p>
    <w:p w14:paraId="5019118F">
      <w:pPr>
        <w:pStyle w:val="25"/>
        <w:ind w:firstLine="241"/>
        <w:rPr>
          <w:rFonts w:ascii="宋体" w:hAnsi="宋体"/>
          <w:b/>
          <w:color w:val="auto"/>
          <w:sz w:val="24"/>
        </w:rPr>
      </w:pPr>
    </w:p>
    <w:p w14:paraId="59147E55">
      <w:pPr>
        <w:pStyle w:val="25"/>
        <w:ind w:firstLine="241"/>
        <w:rPr>
          <w:rFonts w:ascii="宋体" w:hAnsi="宋体"/>
          <w:b/>
          <w:color w:val="auto"/>
          <w:sz w:val="24"/>
        </w:rPr>
      </w:pPr>
    </w:p>
    <w:p w14:paraId="53CF3F81">
      <w:pPr>
        <w:pStyle w:val="25"/>
        <w:ind w:firstLine="241"/>
        <w:rPr>
          <w:rFonts w:ascii="宋体" w:hAnsi="宋体"/>
          <w:b/>
          <w:color w:val="auto"/>
          <w:sz w:val="24"/>
        </w:rPr>
      </w:pPr>
    </w:p>
    <w:p w14:paraId="23B80C17">
      <w:pPr>
        <w:pStyle w:val="25"/>
        <w:ind w:firstLine="0" w:firstLineChars="0"/>
        <w:rPr>
          <w:rFonts w:ascii="宋体" w:hAnsi="宋体"/>
          <w:b/>
          <w:color w:val="auto"/>
          <w:sz w:val="24"/>
        </w:rPr>
      </w:pPr>
    </w:p>
    <w:p w14:paraId="0E5452FC">
      <w:pPr>
        <w:pStyle w:val="5"/>
        <w:pageBreakBefore/>
        <w:spacing w:before="120" w:line="360" w:lineRule="auto"/>
        <w:jc w:val="center"/>
        <w:rPr>
          <w:rFonts w:ascii="宋体" w:hAnsi="宋体" w:eastAsia="宋体"/>
          <w:color w:val="auto"/>
        </w:rPr>
      </w:pPr>
      <w:bookmarkStart w:id="630" w:name="_Toc20546"/>
      <w:bookmarkStart w:id="631" w:name="_Toc544"/>
      <w:bookmarkStart w:id="632" w:name="_Toc7678"/>
      <w:bookmarkStart w:id="633" w:name="_Toc10337"/>
      <w:r>
        <w:rPr>
          <w:rFonts w:hint="eastAsia" w:ascii="宋体" w:hAnsi="宋体" w:eastAsia="宋体"/>
          <w:color w:val="auto"/>
        </w:rPr>
        <w:t>商务文件格式</w:t>
      </w:r>
      <w:bookmarkEnd w:id="630"/>
      <w:bookmarkEnd w:id="631"/>
      <w:bookmarkEnd w:id="632"/>
      <w:bookmarkEnd w:id="633"/>
    </w:p>
    <w:p w14:paraId="6AB272E4">
      <w:pPr>
        <w:pStyle w:val="6"/>
        <w:spacing w:line="360" w:lineRule="auto"/>
        <w:jc w:val="center"/>
        <w:rPr>
          <w:rFonts w:ascii="宋体" w:hAnsi="宋体"/>
          <w:color w:val="auto"/>
        </w:rPr>
      </w:pPr>
      <w:bookmarkStart w:id="634" w:name="_Toc525742059"/>
      <w:bookmarkStart w:id="635" w:name="_Toc22469"/>
      <w:bookmarkStart w:id="636" w:name="_Toc401881856"/>
      <w:bookmarkStart w:id="637" w:name="_Toc11228"/>
      <w:bookmarkStart w:id="638" w:name="_Toc525742145"/>
      <w:bookmarkStart w:id="639" w:name="_Toc210016356"/>
      <w:bookmarkStart w:id="640" w:name="_Toc5240"/>
      <w:bookmarkStart w:id="641" w:name="_Toc15333"/>
      <w:bookmarkStart w:id="642" w:name="_Toc210016354"/>
      <w:r>
        <w:rPr>
          <w:rFonts w:hint="eastAsia" w:ascii="宋体" w:hAnsi="宋体"/>
          <w:color w:val="auto"/>
          <w:sz w:val="28"/>
          <w:szCs w:val="28"/>
        </w:rPr>
        <w:t>一、</w:t>
      </w:r>
      <w:bookmarkStart w:id="643" w:name="_Toc79575069"/>
      <w:bookmarkStart w:id="644" w:name="_Toc133891419"/>
      <w:bookmarkStart w:id="645" w:name="_Toc102161176"/>
      <w:r>
        <w:rPr>
          <w:rFonts w:hint="eastAsia" w:ascii="宋体" w:hAnsi="宋体"/>
          <w:color w:val="auto"/>
          <w:sz w:val="28"/>
          <w:szCs w:val="28"/>
        </w:rPr>
        <w:t>投标函</w:t>
      </w:r>
      <w:bookmarkEnd w:id="634"/>
      <w:bookmarkEnd w:id="635"/>
      <w:bookmarkEnd w:id="636"/>
      <w:bookmarkEnd w:id="637"/>
      <w:bookmarkEnd w:id="638"/>
      <w:bookmarkEnd w:id="639"/>
      <w:bookmarkEnd w:id="640"/>
      <w:bookmarkEnd w:id="641"/>
      <w:bookmarkEnd w:id="643"/>
      <w:bookmarkEnd w:id="644"/>
      <w:bookmarkEnd w:id="645"/>
    </w:p>
    <w:p w14:paraId="0C113CFC">
      <w:pPr>
        <w:spacing w:line="360" w:lineRule="auto"/>
        <w:rPr>
          <w:rFonts w:ascii="宋体" w:hAnsi="宋体"/>
          <w:color w:val="auto"/>
          <w:szCs w:val="21"/>
          <w:u w:val="single"/>
        </w:rPr>
      </w:pPr>
      <w:r>
        <w:rPr>
          <w:rFonts w:hint="eastAsia" w:ascii="宋体" w:hAnsi="宋体"/>
          <w:color w:val="auto"/>
          <w:szCs w:val="21"/>
        </w:rPr>
        <w:t>致：</w:t>
      </w:r>
      <w:r>
        <w:rPr>
          <w:rFonts w:hint="eastAsia" w:ascii="宋体" w:hAnsi="宋体"/>
          <w:color w:val="auto"/>
          <w:szCs w:val="21"/>
          <w:u w:val="single"/>
        </w:rPr>
        <w:t xml:space="preserve">   {</w:t>
      </w:r>
      <w:r>
        <w:rPr>
          <w:rFonts w:ascii="宋体" w:hAnsi="宋体"/>
          <w:color w:val="auto"/>
          <w:szCs w:val="21"/>
          <w:u w:val="single"/>
        </w:rPr>
        <w:t>采购人</w:t>
      </w:r>
      <w:r>
        <w:rPr>
          <w:rFonts w:hint="eastAsia" w:ascii="宋体" w:hAnsi="宋体"/>
          <w:color w:val="auto"/>
          <w:szCs w:val="21"/>
          <w:u w:val="single"/>
        </w:rPr>
        <w:t xml:space="preserve">名称}   </w:t>
      </w:r>
    </w:p>
    <w:p w14:paraId="7C68C825">
      <w:pPr>
        <w:spacing w:line="360" w:lineRule="auto"/>
        <w:rPr>
          <w:rFonts w:ascii="宋体" w:hAnsi="宋体"/>
          <w:color w:val="auto"/>
          <w:szCs w:val="21"/>
          <w:u w:val="single"/>
        </w:rPr>
      </w:pPr>
    </w:p>
    <w:p w14:paraId="748032D5">
      <w:pPr>
        <w:spacing w:line="360" w:lineRule="auto"/>
        <w:ind w:firstLine="420" w:firstLineChars="200"/>
        <w:jc w:val="left"/>
        <w:rPr>
          <w:rFonts w:ascii="宋体" w:hAnsi="宋体"/>
          <w:color w:val="auto"/>
          <w:szCs w:val="21"/>
          <w:u w:val="single"/>
        </w:rPr>
      </w:pPr>
      <w:r>
        <w:rPr>
          <w:rFonts w:hint="eastAsia" w:ascii="宋体" w:hAnsi="宋体"/>
          <w:color w:val="auto"/>
          <w:szCs w:val="21"/>
        </w:rPr>
        <w:t>1、</w:t>
      </w:r>
      <w:r>
        <w:rPr>
          <w:rFonts w:hint="eastAsia"/>
          <w:color w:val="auto"/>
        </w:rPr>
        <w:t>根据你方招标</w:t>
      </w:r>
      <w:r>
        <w:rPr>
          <w:rFonts w:hint="eastAsia"/>
          <w:color w:val="auto"/>
          <w:u w:val="single"/>
        </w:rPr>
        <w:t xml:space="preserve">（项目名称）  </w:t>
      </w:r>
      <w:r>
        <w:rPr>
          <w:rFonts w:hint="eastAsia"/>
          <w:color w:val="auto"/>
        </w:rPr>
        <w:t>采购文件，以及所有补遗文件，遵照</w:t>
      </w:r>
      <w:r>
        <w:rPr>
          <w:rFonts w:hint="eastAsia" w:ascii="宋体" w:hAnsi="宋体"/>
          <w:bCs/>
          <w:color w:val="auto"/>
          <w:szCs w:val="21"/>
        </w:rPr>
        <w:t>《中华人民共和国政府采购法》、《中华人民共和国政府采购法实施条例》、《政府采购货物和服务招标投标管理办法》（财政部87号令）等有关法律、法规和规章的规定</w:t>
      </w:r>
      <w:r>
        <w:rPr>
          <w:rFonts w:hint="eastAsia"/>
          <w:color w:val="auto"/>
        </w:rPr>
        <w:t>，经研究上述采购文件的投标须知、合同条款、工作内容及要求及其他有关文件后，我方愿意以投标总报价：</w:t>
      </w:r>
      <w:r>
        <w:rPr>
          <w:rFonts w:ascii="宋体" w:hAnsi="宋体"/>
          <w:color w:val="auto"/>
          <w:u w:val="single"/>
        </w:rPr>
        <w:t xml:space="preserve">      </w:t>
      </w:r>
      <w:r>
        <w:rPr>
          <w:rFonts w:hint="eastAsia"/>
          <w:color w:val="auto"/>
        </w:rPr>
        <w:t>元，按上述采购文件、合同条款、工作内容及要求的条件、要求承包上述项目的全部工作。</w:t>
      </w:r>
    </w:p>
    <w:p w14:paraId="664F7DAC">
      <w:pPr>
        <w:spacing w:line="360" w:lineRule="auto"/>
        <w:ind w:firstLine="490"/>
        <w:rPr>
          <w:rFonts w:ascii="宋体" w:hAnsi="宋体"/>
          <w:color w:val="auto"/>
          <w:szCs w:val="21"/>
        </w:rPr>
      </w:pPr>
      <w:r>
        <w:rPr>
          <w:rFonts w:hint="eastAsia" w:ascii="宋体" w:hAnsi="宋体"/>
          <w:color w:val="auto"/>
          <w:szCs w:val="21"/>
        </w:rPr>
        <w:t>2、我方已详细审核全部采购文件，包括修改文件（如有时）及有关附件。</w:t>
      </w:r>
    </w:p>
    <w:p w14:paraId="01A3BBF4">
      <w:pPr>
        <w:spacing w:line="360" w:lineRule="auto"/>
        <w:ind w:firstLine="490"/>
        <w:rPr>
          <w:rFonts w:ascii="宋体" w:hAnsi="宋体"/>
          <w:color w:val="auto"/>
          <w:szCs w:val="21"/>
        </w:rPr>
      </w:pPr>
      <w:r>
        <w:rPr>
          <w:rFonts w:hint="eastAsia" w:ascii="宋体" w:hAnsi="宋体"/>
          <w:color w:val="auto"/>
          <w:szCs w:val="21"/>
        </w:rPr>
        <w:t>3、一旦我方中标，我方保证按国家、地方相关法律法规及采购人的要求。</w:t>
      </w:r>
    </w:p>
    <w:p w14:paraId="08129970">
      <w:pPr>
        <w:spacing w:line="360" w:lineRule="auto"/>
        <w:ind w:firstLine="490"/>
        <w:rPr>
          <w:rFonts w:ascii="宋体" w:hAnsi="宋体"/>
          <w:color w:val="auto"/>
          <w:szCs w:val="21"/>
        </w:rPr>
      </w:pPr>
      <w:r>
        <w:rPr>
          <w:rFonts w:hint="eastAsia" w:ascii="宋体" w:hAnsi="宋体"/>
          <w:color w:val="auto"/>
          <w:szCs w:val="21"/>
        </w:rPr>
        <w:t>4、我方同意所提交的投标文件在采购文件的投标须知3.3.1条规定的投标有效期内有效，在此期间内如果中标，我方将受此约束。</w:t>
      </w:r>
    </w:p>
    <w:p w14:paraId="3B4159EA">
      <w:pPr>
        <w:spacing w:line="360" w:lineRule="auto"/>
        <w:ind w:firstLine="490"/>
        <w:rPr>
          <w:rFonts w:ascii="宋体" w:hAnsi="宋体"/>
          <w:color w:val="auto"/>
          <w:szCs w:val="21"/>
        </w:rPr>
      </w:pPr>
      <w:r>
        <w:rPr>
          <w:rFonts w:hint="eastAsia" w:ascii="宋体" w:hAnsi="宋体"/>
          <w:color w:val="auto"/>
          <w:szCs w:val="21"/>
        </w:rPr>
        <w:t>5、除非另外达成协议并生效，你方的中标通知书和本投标文件将成为约束双方的合同文件的组成部分。</w:t>
      </w:r>
    </w:p>
    <w:p w14:paraId="71946C60">
      <w:pPr>
        <w:spacing w:line="360" w:lineRule="auto"/>
        <w:ind w:firstLine="490"/>
        <w:rPr>
          <w:rFonts w:ascii="宋体" w:hAnsi="宋体"/>
          <w:color w:val="auto"/>
          <w:szCs w:val="21"/>
        </w:rPr>
      </w:pPr>
      <w:r>
        <w:rPr>
          <w:rFonts w:hint="eastAsia" w:ascii="宋体" w:hAnsi="宋体"/>
          <w:color w:val="auto"/>
          <w:szCs w:val="21"/>
        </w:rPr>
        <w:t xml:space="preserve">  </w:t>
      </w:r>
    </w:p>
    <w:p w14:paraId="3BAEC18A">
      <w:pPr>
        <w:spacing w:line="360" w:lineRule="auto"/>
        <w:ind w:firstLine="490"/>
        <w:rPr>
          <w:rFonts w:ascii="宋体" w:hAnsi="宋体"/>
          <w:color w:val="auto"/>
          <w:szCs w:val="21"/>
        </w:rPr>
      </w:pPr>
      <w:r>
        <w:rPr>
          <w:rFonts w:hint="eastAsia" w:ascii="宋体" w:hAnsi="宋体"/>
          <w:color w:val="auto"/>
          <w:szCs w:val="21"/>
        </w:rPr>
        <w:t xml:space="preserve">                    </w:t>
      </w:r>
    </w:p>
    <w:p w14:paraId="69DEF6FB">
      <w:pPr>
        <w:wordWrap w:val="0"/>
        <w:spacing w:line="360" w:lineRule="auto"/>
        <w:ind w:left="1000"/>
        <w:jc w:val="right"/>
        <w:rPr>
          <w:rFonts w:ascii="宋体" w:hAnsi="宋体"/>
          <w:color w:val="auto"/>
          <w:szCs w:val="21"/>
          <w:u w:val="single"/>
        </w:rPr>
      </w:pPr>
      <w:r>
        <w:rPr>
          <w:rFonts w:hint="eastAsia" w:ascii="宋体" w:hAnsi="宋体"/>
          <w:color w:val="auto"/>
          <w:szCs w:val="21"/>
        </w:rPr>
        <w:t xml:space="preserve">    投 标 人：</w:t>
      </w:r>
      <w:r>
        <w:rPr>
          <w:rFonts w:hint="eastAsia" w:ascii="宋体" w:hAnsi="宋体"/>
          <w:color w:val="auto"/>
          <w:szCs w:val="21"/>
          <w:u w:val="single"/>
        </w:rPr>
        <w:t xml:space="preserve">                          （电子签章） </w:t>
      </w:r>
    </w:p>
    <w:p w14:paraId="0F11CB14">
      <w:pPr>
        <w:spacing w:line="360" w:lineRule="auto"/>
        <w:ind w:left="1000" w:leftChars="476" w:right="420" w:firstLine="2835" w:firstLineChars="1350"/>
        <w:rPr>
          <w:rFonts w:ascii="宋体" w:hAnsi="宋体"/>
          <w:color w:val="auto"/>
          <w:szCs w:val="21"/>
          <w:u w:val="single"/>
        </w:rPr>
      </w:pPr>
      <w:r>
        <w:rPr>
          <w:rFonts w:hint="eastAsia" w:ascii="宋体" w:hAnsi="宋体"/>
          <w:color w:val="auto"/>
          <w:szCs w:val="21"/>
        </w:rPr>
        <w:t>单位地址：</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 xml:space="preserve">       </w:t>
      </w:r>
      <w:r>
        <w:rPr>
          <w:rFonts w:hint="eastAsia" w:ascii="宋体" w:hAnsi="宋体"/>
          <w:color w:val="auto"/>
          <w:szCs w:val="21"/>
          <w:u w:val="single"/>
        </w:rPr>
        <w:tab/>
      </w:r>
    </w:p>
    <w:p w14:paraId="4C4EEDA9">
      <w:pPr>
        <w:spacing w:line="360" w:lineRule="auto"/>
        <w:ind w:left="1000" w:leftChars="476" w:right="420" w:firstLine="2835" w:firstLineChars="1350"/>
        <w:rPr>
          <w:rFonts w:ascii="宋体" w:hAnsi="宋体"/>
          <w:color w:val="auto"/>
          <w:szCs w:val="21"/>
          <w:u w:val="single"/>
        </w:rPr>
      </w:pPr>
      <w:r>
        <w:rPr>
          <w:rFonts w:hint="eastAsia" w:ascii="宋体" w:hAnsi="宋体"/>
          <w:color w:val="auto"/>
          <w:szCs w:val="21"/>
        </w:rPr>
        <w:t>法定代表人：</w:t>
      </w:r>
      <w:r>
        <w:rPr>
          <w:rFonts w:hint="eastAsia" w:ascii="宋体" w:hAnsi="宋体"/>
          <w:color w:val="auto"/>
          <w:szCs w:val="21"/>
          <w:u w:val="single"/>
        </w:rPr>
        <w:t xml:space="preserve">                      （电子签章）</w:t>
      </w:r>
    </w:p>
    <w:p w14:paraId="378CE7C8">
      <w:pPr>
        <w:spacing w:line="360" w:lineRule="auto"/>
        <w:ind w:left="1000" w:right="420"/>
        <w:jc w:val="left"/>
        <w:rPr>
          <w:rFonts w:ascii="宋体" w:hAnsi="宋体"/>
          <w:color w:val="auto"/>
          <w:szCs w:val="21"/>
        </w:rPr>
      </w:pPr>
      <w:r>
        <w:rPr>
          <w:rFonts w:hint="eastAsia" w:ascii="宋体" w:hAnsi="宋体"/>
          <w:color w:val="auto"/>
          <w:szCs w:val="21"/>
        </w:rPr>
        <w:t xml:space="preserve">                           邮政编码：</w:t>
      </w:r>
      <w:r>
        <w:rPr>
          <w:rFonts w:hint="eastAsia" w:ascii="宋体" w:hAnsi="宋体"/>
          <w:color w:val="auto"/>
          <w:szCs w:val="21"/>
          <w:u w:val="single"/>
        </w:rPr>
        <w:tab/>
      </w:r>
      <w:r>
        <w:rPr>
          <w:rFonts w:hint="eastAsia" w:ascii="宋体" w:hAnsi="宋体"/>
          <w:color w:val="auto"/>
          <w:szCs w:val="21"/>
          <w:u w:val="single"/>
        </w:rPr>
        <w:t xml:space="preserve">  </w:t>
      </w:r>
      <w:r>
        <w:rPr>
          <w:rFonts w:hint="eastAsia" w:ascii="宋体" w:hAnsi="宋体"/>
          <w:color w:val="auto"/>
          <w:szCs w:val="21"/>
          <w:u w:val="single"/>
        </w:rPr>
        <w:tab/>
      </w:r>
      <w:r>
        <w:rPr>
          <w:rFonts w:hint="eastAsia" w:ascii="宋体" w:hAnsi="宋体"/>
          <w:color w:val="auto"/>
          <w:szCs w:val="21"/>
        </w:rPr>
        <w:t>电话：</w:t>
      </w:r>
      <w:r>
        <w:rPr>
          <w:rFonts w:hint="eastAsia" w:ascii="宋体" w:hAnsi="宋体"/>
          <w:color w:val="auto"/>
          <w:szCs w:val="21"/>
          <w:u w:val="single"/>
        </w:rPr>
        <w:tab/>
      </w:r>
      <w:r>
        <w:rPr>
          <w:rFonts w:hint="eastAsia" w:ascii="宋体" w:hAnsi="宋体"/>
          <w:color w:val="auto"/>
          <w:szCs w:val="21"/>
          <w:u w:val="single"/>
        </w:rPr>
        <w:t xml:space="preserve"> </w:t>
      </w:r>
      <w:r>
        <w:rPr>
          <w:rFonts w:hint="eastAsia" w:ascii="宋体" w:hAnsi="宋体"/>
          <w:color w:val="auto"/>
          <w:szCs w:val="21"/>
          <w:u w:val="single"/>
        </w:rPr>
        <w:tab/>
      </w:r>
      <w:r>
        <w:rPr>
          <w:rFonts w:hint="eastAsia" w:ascii="宋体" w:hAnsi="宋体"/>
          <w:color w:val="auto"/>
          <w:szCs w:val="21"/>
        </w:rPr>
        <w:t xml:space="preserve"> 传真：</w:t>
      </w:r>
      <w:r>
        <w:rPr>
          <w:rFonts w:hint="eastAsia" w:ascii="宋体" w:hAnsi="宋体"/>
          <w:color w:val="auto"/>
          <w:szCs w:val="21"/>
          <w:u w:val="single"/>
        </w:rPr>
        <w:tab/>
      </w:r>
      <w:r>
        <w:rPr>
          <w:rFonts w:hint="eastAsia" w:ascii="宋体" w:hAnsi="宋体"/>
          <w:color w:val="auto"/>
          <w:szCs w:val="21"/>
          <w:u w:val="single"/>
        </w:rPr>
        <w:t xml:space="preserve">   </w:t>
      </w:r>
    </w:p>
    <w:p w14:paraId="24AC90DB">
      <w:pPr>
        <w:spacing w:line="360" w:lineRule="auto"/>
        <w:ind w:left="1000" w:leftChars="476" w:firstLine="2835" w:firstLineChars="1350"/>
        <w:jc w:val="left"/>
        <w:rPr>
          <w:rFonts w:ascii="宋体" w:hAnsi="宋体"/>
          <w:color w:val="auto"/>
          <w:szCs w:val="21"/>
        </w:rPr>
      </w:pPr>
      <w:r>
        <w:rPr>
          <w:rFonts w:hint="eastAsia" w:ascii="宋体" w:hAnsi="宋体"/>
          <w:color w:val="auto"/>
          <w:szCs w:val="21"/>
        </w:rPr>
        <w:t>开户银行名称：</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p>
    <w:p w14:paraId="479D7625">
      <w:pPr>
        <w:spacing w:line="360" w:lineRule="auto"/>
        <w:ind w:left="1050"/>
        <w:jc w:val="left"/>
        <w:rPr>
          <w:rFonts w:ascii="宋体" w:hAnsi="宋体"/>
          <w:color w:val="auto"/>
          <w:szCs w:val="21"/>
        </w:rPr>
      </w:pPr>
      <w:r>
        <w:rPr>
          <w:rFonts w:hint="eastAsia" w:ascii="宋体" w:hAnsi="宋体"/>
          <w:color w:val="auto"/>
          <w:szCs w:val="21"/>
        </w:rPr>
        <w:t xml:space="preserve">                           开户银行账号：</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 xml:space="preserve">  </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p>
    <w:p w14:paraId="3A5DA9C8">
      <w:pPr>
        <w:spacing w:line="360" w:lineRule="auto"/>
        <w:ind w:left="1000" w:leftChars="476"/>
        <w:jc w:val="left"/>
        <w:rPr>
          <w:rFonts w:ascii="宋体" w:hAnsi="宋体"/>
          <w:color w:val="auto"/>
          <w:szCs w:val="21"/>
        </w:rPr>
      </w:pPr>
      <w:r>
        <w:rPr>
          <w:rFonts w:hint="eastAsia" w:ascii="宋体" w:hAnsi="宋体"/>
          <w:color w:val="auto"/>
          <w:szCs w:val="21"/>
        </w:rPr>
        <w:t xml:space="preserve">                           开户银行地址：</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p>
    <w:p w14:paraId="163E6ECD">
      <w:pPr>
        <w:spacing w:line="360" w:lineRule="auto"/>
        <w:jc w:val="left"/>
        <w:rPr>
          <w:rFonts w:ascii="宋体" w:hAnsi="宋体"/>
          <w:color w:val="auto"/>
          <w:szCs w:val="21"/>
          <w:u w:val="single"/>
        </w:rPr>
      </w:pPr>
      <w:r>
        <w:rPr>
          <w:rFonts w:hint="eastAsia" w:ascii="宋体" w:hAnsi="宋体"/>
          <w:color w:val="auto"/>
          <w:szCs w:val="21"/>
        </w:rPr>
        <w:t xml:space="preserve">                                     开户银行电话：</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p>
    <w:p w14:paraId="042DC553">
      <w:pPr>
        <w:spacing w:line="360" w:lineRule="auto"/>
        <w:ind w:left="4498" w:leftChars="2142"/>
        <w:rPr>
          <w:rFonts w:ascii="宋体" w:hAnsi="宋体"/>
          <w:color w:val="auto"/>
          <w:szCs w:val="21"/>
        </w:rPr>
      </w:pPr>
      <w:r>
        <w:rPr>
          <w:rFonts w:hint="eastAsia" w:ascii="宋体" w:hAnsi="宋体"/>
          <w:color w:val="auto"/>
          <w:szCs w:val="21"/>
        </w:rPr>
        <w:t xml:space="preserve">                                           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56D57A0B">
      <w:pPr>
        <w:spacing w:line="360" w:lineRule="auto"/>
        <w:ind w:left="4498" w:leftChars="2142"/>
        <w:rPr>
          <w:rFonts w:ascii="宋体" w:hAnsi="宋体"/>
          <w:color w:val="auto"/>
          <w:szCs w:val="21"/>
        </w:rPr>
      </w:pPr>
    </w:p>
    <w:p w14:paraId="42659A4B">
      <w:pPr>
        <w:spacing w:line="360" w:lineRule="auto"/>
        <w:ind w:left="4498" w:leftChars="2142"/>
        <w:rPr>
          <w:rFonts w:ascii="宋体" w:hAnsi="宋体"/>
          <w:color w:val="auto"/>
          <w:szCs w:val="21"/>
        </w:rPr>
      </w:pPr>
    </w:p>
    <w:p w14:paraId="5F7BD109">
      <w:pPr>
        <w:spacing w:line="360" w:lineRule="auto"/>
        <w:ind w:left="4498" w:leftChars="2142"/>
        <w:rPr>
          <w:rFonts w:ascii="宋体" w:hAnsi="宋体"/>
          <w:color w:val="auto"/>
          <w:szCs w:val="21"/>
        </w:rPr>
      </w:pPr>
    </w:p>
    <w:p w14:paraId="15938FDC">
      <w:pPr>
        <w:pStyle w:val="6"/>
        <w:spacing w:line="360" w:lineRule="auto"/>
        <w:jc w:val="center"/>
        <w:rPr>
          <w:rFonts w:ascii="宋体" w:hAnsi="宋体"/>
          <w:color w:val="auto"/>
          <w:sz w:val="28"/>
          <w:szCs w:val="28"/>
        </w:rPr>
      </w:pPr>
      <w:bookmarkStart w:id="646" w:name="_Toc525742060"/>
      <w:bookmarkStart w:id="647" w:name="_Toc3909"/>
      <w:bookmarkStart w:id="648" w:name="_Toc14029"/>
      <w:bookmarkStart w:id="649" w:name="_Toc525742146"/>
      <w:bookmarkStart w:id="650" w:name="_Toc401881857"/>
      <w:bookmarkStart w:id="651" w:name="_Toc10652"/>
      <w:bookmarkStart w:id="652" w:name="_Toc1292"/>
      <w:r>
        <w:rPr>
          <w:rFonts w:hint="eastAsia" w:ascii="宋体" w:hAnsi="宋体"/>
          <w:color w:val="auto"/>
          <w:sz w:val="28"/>
          <w:szCs w:val="28"/>
        </w:rPr>
        <w:t>二、法定代表人身份证明书</w:t>
      </w:r>
      <w:bookmarkEnd w:id="642"/>
      <w:bookmarkEnd w:id="646"/>
      <w:bookmarkEnd w:id="647"/>
      <w:bookmarkEnd w:id="648"/>
      <w:bookmarkEnd w:id="649"/>
      <w:bookmarkEnd w:id="650"/>
      <w:bookmarkEnd w:id="651"/>
      <w:bookmarkEnd w:id="652"/>
      <w:r>
        <w:rPr>
          <w:rFonts w:hint="eastAsia" w:ascii="宋体" w:hAnsi="宋体"/>
          <w:color w:val="auto"/>
          <w:sz w:val="28"/>
          <w:szCs w:val="28"/>
        </w:rPr>
        <w:t xml:space="preserve">  </w:t>
      </w:r>
    </w:p>
    <w:p w14:paraId="2BC44C6F">
      <w:pPr>
        <w:spacing w:line="360" w:lineRule="auto"/>
        <w:ind w:firstLine="420" w:firstLineChars="200"/>
        <w:rPr>
          <w:rFonts w:ascii="宋体" w:hAnsi="宋体"/>
          <w:color w:val="auto"/>
          <w:szCs w:val="21"/>
        </w:rPr>
      </w:pPr>
      <w:r>
        <w:rPr>
          <w:rFonts w:hint="eastAsia" w:ascii="宋体" w:hAnsi="宋体"/>
          <w:color w:val="auto"/>
          <w:szCs w:val="21"/>
        </w:rPr>
        <w:t>单位名称：</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p>
    <w:p w14:paraId="5DEE5236">
      <w:pPr>
        <w:spacing w:line="360" w:lineRule="auto"/>
        <w:ind w:firstLine="612"/>
        <w:rPr>
          <w:rFonts w:ascii="宋体" w:hAnsi="宋体"/>
          <w:color w:val="auto"/>
          <w:szCs w:val="21"/>
        </w:rPr>
      </w:pPr>
    </w:p>
    <w:p w14:paraId="66467E6C">
      <w:pPr>
        <w:spacing w:line="360" w:lineRule="auto"/>
        <w:ind w:firstLine="420" w:firstLineChars="200"/>
        <w:rPr>
          <w:rFonts w:ascii="宋体" w:hAnsi="宋体"/>
          <w:color w:val="auto"/>
          <w:szCs w:val="21"/>
        </w:rPr>
      </w:pPr>
      <w:r>
        <w:rPr>
          <w:rFonts w:hint="eastAsia" w:ascii="宋体" w:hAnsi="宋体"/>
          <w:color w:val="auto"/>
          <w:szCs w:val="21"/>
        </w:rPr>
        <w:t>单位性质：</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p>
    <w:p w14:paraId="60ABBAA4">
      <w:pPr>
        <w:spacing w:line="360" w:lineRule="auto"/>
        <w:ind w:firstLine="610"/>
        <w:rPr>
          <w:rFonts w:ascii="宋体" w:hAnsi="宋体"/>
          <w:color w:val="auto"/>
          <w:szCs w:val="21"/>
        </w:rPr>
      </w:pPr>
    </w:p>
    <w:p w14:paraId="28C199D9">
      <w:pPr>
        <w:spacing w:line="360" w:lineRule="auto"/>
        <w:ind w:firstLine="420" w:firstLineChars="200"/>
        <w:rPr>
          <w:rFonts w:ascii="宋体" w:hAnsi="宋体"/>
          <w:color w:val="auto"/>
          <w:szCs w:val="21"/>
          <w:u w:val="single"/>
        </w:rPr>
      </w:pPr>
      <w:r>
        <w:rPr>
          <w:rFonts w:hint="eastAsia" w:ascii="宋体" w:hAnsi="宋体"/>
          <w:color w:val="auto"/>
          <w:szCs w:val="21"/>
        </w:rPr>
        <w:t>地</w:t>
      </w:r>
      <w:r>
        <w:rPr>
          <w:rFonts w:ascii="宋体" w:hAnsi="宋体"/>
          <w:color w:val="auto"/>
          <w:szCs w:val="21"/>
        </w:rPr>
        <w:t xml:space="preserve">    址：</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 xml:space="preserve">  </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 xml:space="preserve">       </w:t>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r>
        <w:rPr>
          <w:rFonts w:hint="eastAsia" w:ascii="宋体" w:hAnsi="宋体"/>
          <w:color w:val="auto"/>
          <w:szCs w:val="21"/>
          <w:u w:val="single"/>
        </w:rPr>
        <w:tab/>
      </w:r>
    </w:p>
    <w:p w14:paraId="125EC767">
      <w:pPr>
        <w:spacing w:line="360" w:lineRule="auto"/>
        <w:ind w:firstLine="420" w:firstLineChars="200"/>
        <w:rPr>
          <w:rFonts w:ascii="宋体" w:hAnsi="宋体"/>
          <w:color w:val="auto"/>
          <w:szCs w:val="21"/>
        </w:rPr>
      </w:pPr>
    </w:p>
    <w:p w14:paraId="00E388E2">
      <w:pPr>
        <w:spacing w:line="360" w:lineRule="auto"/>
        <w:ind w:firstLine="420" w:firstLineChars="200"/>
        <w:rPr>
          <w:rFonts w:ascii="宋体" w:hAnsi="宋体"/>
          <w:color w:val="auto"/>
          <w:szCs w:val="21"/>
        </w:rPr>
      </w:pPr>
      <w:r>
        <w:rPr>
          <w:rFonts w:hint="eastAsia" w:ascii="宋体" w:hAnsi="宋体"/>
          <w:color w:val="auto"/>
          <w:szCs w:val="21"/>
        </w:rPr>
        <w:t>成立时间：</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年</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月</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日</w:t>
      </w:r>
    </w:p>
    <w:p w14:paraId="5A7BB046">
      <w:pPr>
        <w:spacing w:line="360" w:lineRule="auto"/>
        <w:ind w:firstLine="420" w:firstLineChars="200"/>
        <w:rPr>
          <w:rFonts w:ascii="宋体" w:hAnsi="宋体"/>
          <w:color w:val="auto"/>
          <w:szCs w:val="21"/>
        </w:rPr>
      </w:pPr>
    </w:p>
    <w:p w14:paraId="72D50255">
      <w:pPr>
        <w:spacing w:line="360" w:lineRule="auto"/>
        <w:ind w:firstLine="420" w:firstLineChars="200"/>
        <w:rPr>
          <w:rFonts w:ascii="宋体" w:hAnsi="宋体"/>
          <w:color w:val="auto"/>
          <w:szCs w:val="21"/>
          <w:u w:val="single"/>
        </w:rPr>
      </w:pPr>
      <w:r>
        <w:rPr>
          <w:rFonts w:hint="eastAsia" w:ascii="宋体" w:hAnsi="宋体"/>
          <w:color w:val="auto"/>
          <w:szCs w:val="21"/>
        </w:rPr>
        <w:t>经营期限：</w:t>
      </w:r>
      <w:r>
        <w:rPr>
          <w:rFonts w:hint="eastAsia" w:ascii="宋体" w:hAnsi="宋体"/>
          <w:color w:val="auto"/>
          <w:szCs w:val="21"/>
          <w:u w:val="single"/>
        </w:rPr>
        <w:tab/>
      </w:r>
      <w:r>
        <w:rPr>
          <w:rFonts w:hint="eastAsia" w:ascii="宋体" w:hAnsi="宋体"/>
          <w:color w:val="auto"/>
          <w:szCs w:val="21"/>
          <w:u w:val="single"/>
        </w:rPr>
        <w:t xml:space="preserve">                                                </w:t>
      </w:r>
      <w:r>
        <w:rPr>
          <w:rFonts w:hint="eastAsia" w:ascii="宋体" w:hAnsi="宋体"/>
          <w:color w:val="auto"/>
          <w:szCs w:val="21"/>
          <w:u w:val="single"/>
        </w:rPr>
        <w:tab/>
      </w:r>
    </w:p>
    <w:p w14:paraId="58D114C7">
      <w:pPr>
        <w:spacing w:line="360" w:lineRule="auto"/>
        <w:ind w:firstLine="420" w:firstLineChars="200"/>
        <w:rPr>
          <w:rFonts w:ascii="宋体" w:hAnsi="宋体"/>
          <w:color w:val="auto"/>
          <w:szCs w:val="21"/>
        </w:rPr>
      </w:pPr>
    </w:p>
    <w:p w14:paraId="7817DEB0">
      <w:pPr>
        <w:spacing w:line="360" w:lineRule="auto"/>
        <w:ind w:firstLine="420" w:firstLineChars="200"/>
        <w:rPr>
          <w:rFonts w:ascii="宋体" w:hAnsi="宋体"/>
          <w:color w:val="auto"/>
          <w:szCs w:val="21"/>
          <w:u w:val="single"/>
        </w:rPr>
      </w:pPr>
      <w:r>
        <w:rPr>
          <w:rFonts w:hint="eastAsia" w:ascii="宋体" w:hAnsi="宋体"/>
          <w:color w:val="auto"/>
          <w:szCs w:val="21"/>
        </w:rPr>
        <w:t>姓</w:t>
      </w:r>
      <w:r>
        <w:rPr>
          <w:rFonts w:ascii="宋体" w:hAnsi="宋体"/>
          <w:color w:val="auto"/>
          <w:szCs w:val="21"/>
        </w:rPr>
        <w:t xml:space="preserve">    名：</w:t>
      </w:r>
      <w:r>
        <w:rPr>
          <w:rFonts w:ascii="宋体" w:hAnsi="宋体"/>
          <w:color w:val="auto"/>
          <w:szCs w:val="21"/>
          <w:u w:val="single"/>
        </w:rPr>
        <w:t xml:space="preserve">          </w:t>
      </w:r>
      <w:r>
        <w:rPr>
          <w:rFonts w:ascii="宋体" w:hAnsi="宋体"/>
          <w:color w:val="auto"/>
          <w:szCs w:val="21"/>
        </w:rPr>
        <w:t xml:space="preserve"> 性别：</w:t>
      </w:r>
      <w:r>
        <w:rPr>
          <w:rFonts w:ascii="宋体" w:hAnsi="宋体"/>
          <w:color w:val="auto"/>
          <w:szCs w:val="21"/>
          <w:u w:val="single"/>
        </w:rPr>
        <w:t xml:space="preserve">        </w:t>
      </w:r>
      <w:r>
        <w:rPr>
          <w:rFonts w:ascii="宋体" w:hAnsi="宋体"/>
          <w:color w:val="auto"/>
          <w:szCs w:val="21"/>
        </w:rPr>
        <w:t>年龄：</w:t>
      </w:r>
      <w:r>
        <w:rPr>
          <w:rFonts w:ascii="宋体" w:hAnsi="宋体"/>
          <w:color w:val="auto"/>
          <w:szCs w:val="21"/>
          <w:u w:val="single"/>
        </w:rPr>
        <w:t xml:space="preserve">          </w:t>
      </w:r>
      <w:r>
        <w:rPr>
          <w:rFonts w:ascii="宋体" w:hAnsi="宋体"/>
          <w:color w:val="auto"/>
          <w:szCs w:val="21"/>
        </w:rPr>
        <w:t xml:space="preserve"> 职务：</w:t>
      </w:r>
      <w:r>
        <w:rPr>
          <w:rFonts w:hint="eastAsia" w:ascii="宋体" w:hAnsi="宋体"/>
          <w:color w:val="auto"/>
          <w:szCs w:val="21"/>
          <w:u w:val="single"/>
        </w:rPr>
        <w:t xml:space="preserve">        </w:t>
      </w:r>
    </w:p>
    <w:p w14:paraId="07EDF9E0">
      <w:pPr>
        <w:spacing w:line="360" w:lineRule="auto"/>
        <w:ind w:firstLine="420" w:firstLineChars="200"/>
        <w:rPr>
          <w:rFonts w:ascii="宋体" w:hAnsi="宋体"/>
          <w:color w:val="auto"/>
          <w:szCs w:val="21"/>
        </w:rPr>
      </w:pPr>
    </w:p>
    <w:p w14:paraId="7C3483F8">
      <w:pPr>
        <w:spacing w:line="360" w:lineRule="auto"/>
        <w:ind w:firstLine="420" w:firstLineChars="200"/>
        <w:rPr>
          <w:rFonts w:ascii="宋体" w:hAnsi="宋体"/>
          <w:color w:val="auto"/>
          <w:szCs w:val="21"/>
        </w:rPr>
      </w:pPr>
      <w:r>
        <w:rPr>
          <w:rFonts w:hint="eastAsia" w:ascii="宋体" w:hAnsi="宋体"/>
          <w:color w:val="auto"/>
          <w:szCs w:val="21"/>
        </w:rPr>
        <w:t>系</w:t>
      </w:r>
      <w:r>
        <w:rPr>
          <w:rFonts w:ascii="宋体" w:hAnsi="宋体"/>
          <w:color w:val="auto"/>
          <w:szCs w:val="21"/>
          <w:u w:val="single"/>
        </w:rPr>
        <w:t xml:space="preserve">          （投标人名称）         </w:t>
      </w:r>
      <w:r>
        <w:rPr>
          <w:rFonts w:hint="eastAsia" w:ascii="宋体" w:hAnsi="宋体"/>
          <w:color w:val="auto"/>
          <w:szCs w:val="21"/>
        </w:rPr>
        <w:t>的法定代表人。</w:t>
      </w:r>
    </w:p>
    <w:p w14:paraId="77DF9B9F">
      <w:pPr>
        <w:spacing w:line="360" w:lineRule="auto"/>
        <w:ind w:firstLine="420" w:firstLineChars="200"/>
        <w:rPr>
          <w:rFonts w:ascii="宋体" w:hAnsi="宋体"/>
          <w:color w:val="auto"/>
          <w:szCs w:val="21"/>
        </w:rPr>
      </w:pPr>
    </w:p>
    <w:p w14:paraId="6B2623D4">
      <w:pPr>
        <w:spacing w:line="360" w:lineRule="auto"/>
        <w:ind w:firstLine="420" w:firstLineChars="200"/>
        <w:rPr>
          <w:rFonts w:ascii="宋体" w:hAnsi="宋体"/>
          <w:color w:val="auto"/>
          <w:szCs w:val="21"/>
        </w:rPr>
      </w:pPr>
      <w:r>
        <w:rPr>
          <w:rFonts w:hint="eastAsia" w:ascii="宋体" w:hAnsi="宋体"/>
          <w:color w:val="auto"/>
          <w:szCs w:val="21"/>
        </w:rPr>
        <w:t>特此证明！</w:t>
      </w:r>
    </w:p>
    <w:p w14:paraId="0719DCCE">
      <w:pPr>
        <w:spacing w:line="360" w:lineRule="auto"/>
        <w:ind w:firstLine="420" w:firstLineChars="200"/>
        <w:rPr>
          <w:rFonts w:ascii="宋体" w:hAnsi="宋体"/>
          <w:color w:val="auto"/>
          <w:szCs w:val="21"/>
        </w:rPr>
      </w:pPr>
    </w:p>
    <w:p w14:paraId="467B52A0">
      <w:pPr>
        <w:spacing w:line="360" w:lineRule="auto"/>
        <w:ind w:firstLine="420" w:firstLineChars="200"/>
        <w:rPr>
          <w:rFonts w:ascii="宋体" w:hAnsi="宋体"/>
          <w:color w:val="auto"/>
          <w:szCs w:val="21"/>
        </w:rPr>
      </w:pPr>
    </w:p>
    <w:p w14:paraId="3B099185">
      <w:pPr>
        <w:tabs>
          <w:tab w:val="left" w:pos="720"/>
          <w:tab w:val="left" w:pos="900"/>
        </w:tabs>
        <w:spacing w:line="360" w:lineRule="auto"/>
        <w:ind w:firstLine="4410" w:firstLineChars="2100"/>
        <w:rPr>
          <w:rFonts w:ascii="宋体" w:hAnsi="宋体"/>
          <w:color w:val="auto"/>
          <w:szCs w:val="21"/>
          <w:u w:val="single"/>
        </w:rPr>
      </w:pPr>
      <w:r>
        <w:rPr>
          <w:rFonts w:hint="eastAsia" w:ascii="宋体" w:hAnsi="宋体"/>
          <w:color w:val="auto"/>
          <w:szCs w:val="21"/>
        </w:rPr>
        <w:t>投标人：</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u w:val="single"/>
        </w:rPr>
        <w:t>电子签章</w:t>
      </w:r>
      <w:r>
        <w:rPr>
          <w:rFonts w:ascii="宋体" w:hAnsi="宋体"/>
          <w:color w:val="auto"/>
          <w:szCs w:val="21"/>
          <w:u w:val="single"/>
        </w:rPr>
        <w:t>）</w:t>
      </w:r>
    </w:p>
    <w:p w14:paraId="281A0DDC">
      <w:pPr>
        <w:tabs>
          <w:tab w:val="left" w:pos="720"/>
          <w:tab w:val="left" w:pos="900"/>
        </w:tabs>
        <w:spacing w:line="360" w:lineRule="auto"/>
        <w:ind w:firstLine="4410" w:firstLineChars="2100"/>
        <w:rPr>
          <w:rFonts w:ascii="宋体" w:hAnsi="宋体"/>
          <w:color w:val="auto"/>
          <w:szCs w:val="21"/>
        </w:rPr>
      </w:pPr>
    </w:p>
    <w:p w14:paraId="383C6352">
      <w:pPr>
        <w:tabs>
          <w:tab w:val="left" w:pos="720"/>
          <w:tab w:val="left" w:pos="900"/>
        </w:tabs>
        <w:spacing w:line="360" w:lineRule="auto"/>
        <w:ind w:firstLine="4410" w:firstLineChars="2100"/>
        <w:rPr>
          <w:rFonts w:ascii="宋体" w:hAnsi="宋体"/>
          <w:color w:val="auto"/>
          <w:szCs w:val="21"/>
        </w:rPr>
      </w:pPr>
      <w:r>
        <w:rPr>
          <w:rFonts w:hint="eastAsia" w:ascii="宋体" w:hAnsi="宋体"/>
          <w:color w:val="auto"/>
          <w:szCs w:val="21"/>
        </w:rPr>
        <w:t>日</w:t>
      </w:r>
      <w:r>
        <w:rPr>
          <w:rFonts w:ascii="宋体" w:hAnsi="宋体"/>
          <w:color w:val="auto"/>
          <w:szCs w:val="21"/>
        </w:rPr>
        <w:t xml:space="preserve">    期</w:t>
      </w:r>
      <w:r>
        <w:rPr>
          <w:rFonts w:hint="eastAsia" w:ascii="宋体" w:hAnsi="宋体"/>
          <w:color w:val="auto"/>
          <w:szCs w:val="21"/>
        </w:rPr>
        <w:t>：</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年</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月</w:t>
      </w:r>
      <w:r>
        <w:rPr>
          <w:rFonts w:ascii="宋体" w:hAnsi="宋体"/>
          <w:color w:val="auto"/>
          <w:szCs w:val="21"/>
          <w:u w:val="single"/>
        </w:rPr>
        <w:t xml:space="preserve">   </w:t>
      </w:r>
      <w:r>
        <w:rPr>
          <w:rFonts w:ascii="宋体" w:hAnsi="宋体"/>
          <w:color w:val="auto"/>
          <w:szCs w:val="21"/>
        </w:rPr>
        <w:t>日</w:t>
      </w:r>
    </w:p>
    <w:p w14:paraId="11BD5940">
      <w:pPr>
        <w:spacing w:line="360" w:lineRule="auto"/>
        <w:ind w:firstLine="610"/>
        <w:rPr>
          <w:rFonts w:ascii="宋体" w:hAnsi="宋体"/>
          <w:color w:val="auto"/>
          <w:szCs w:val="21"/>
        </w:rPr>
      </w:pPr>
    </w:p>
    <w:p w14:paraId="682AE937">
      <w:pPr>
        <w:spacing w:line="360" w:lineRule="auto"/>
        <w:ind w:firstLine="610"/>
        <w:rPr>
          <w:rFonts w:ascii="宋体" w:hAnsi="宋体"/>
          <w:b/>
          <w:color w:val="auto"/>
          <w:szCs w:val="21"/>
        </w:rPr>
      </w:pPr>
      <w:r>
        <w:rPr>
          <w:rFonts w:hint="eastAsia" w:ascii="宋体" w:hAnsi="宋体"/>
          <w:b/>
          <w:color w:val="auto"/>
          <w:szCs w:val="21"/>
        </w:rPr>
        <w:t>注：附法定代表人身份证原件扫描件。</w:t>
      </w:r>
    </w:p>
    <w:p w14:paraId="5AFB33C0">
      <w:pPr>
        <w:pStyle w:val="6"/>
        <w:spacing w:line="360" w:lineRule="auto"/>
        <w:jc w:val="center"/>
        <w:rPr>
          <w:rFonts w:ascii="宋体" w:hAnsi="宋体"/>
          <w:color w:val="auto"/>
        </w:rPr>
      </w:pPr>
      <w:r>
        <w:rPr>
          <w:rFonts w:ascii="宋体" w:hAnsi="宋体"/>
          <w:color w:val="auto"/>
          <w:sz w:val="21"/>
          <w:szCs w:val="21"/>
        </w:rPr>
        <w:br w:type="page"/>
      </w:r>
      <w:bookmarkStart w:id="653" w:name="_Toc210016355"/>
      <w:bookmarkStart w:id="654" w:name="_Toc79575068"/>
      <w:bookmarkStart w:id="655" w:name="_Toc133891418"/>
      <w:bookmarkStart w:id="656" w:name="_Toc102161175"/>
      <w:bookmarkStart w:id="657" w:name="_Toc525742061"/>
      <w:bookmarkStart w:id="658" w:name="_Toc525742147"/>
      <w:bookmarkStart w:id="659" w:name="_Toc28320"/>
      <w:bookmarkStart w:id="660" w:name="_Toc26234"/>
      <w:bookmarkStart w:id="661" w:name="_Toc401881858"/>
      <w:bookmarkStart w:id="662" w:name="_Toc14113"/>
      <w:bookmarkStart w:id="663" w:name="_Toc14954"/>
      <w:r>
        <w:rPr>
          <w:rFonts w:hint="eastAsia" w:ascii="宋体" w:hAnsi="宋体"/>
          <w:color w:val="auto"/>
          <w:sz w:val="28"/>
          <w:szCs w:val="28"/>
        </w:rPr>
        <w:t>三、</w:t>
      </w:r>
      <w:bookmarkEnd w:id="653"/>
      <w:bookmarkEnd w:id="654"/>
      <w:bookmarkEnd w:id="655"/>
      <w:bookmarkEnd w:id="656"/>
      <w:r>
        <w:rPr>
          <w:rFonts w:hint="eastAsia" w:ascii="宋体" w:hAnsi="宋体"/>
          <w:color w:val="auto"/>
          <w:sz w:val="28"/>
          <w:szCs w:val="28"/>
        </w:rPr>
        <w:t>法定代表人授权委托书</w:t>
      </w:r>
      <w:bookmarkEnd w:id="657"/>
      <w:bookmarkEnd w:id="658"/>
      <w:bookmarkEnd w:id="659"/>
      <w:bookmarkEnd w:id="660"/>
      <w:bookmarkEnd w:id="661"/>
      <w:bookmarkEnd w:id="662"/>
      <w:bookmarkEnd w:id="663"/>
      <w:r>
        <w:rPr>
          <w:rFonts w:hint="eastAsia" w:ascii="宋体" w:hAnsi="宋体"/>
          <w:color w:val="auto"/>
          <w:sz w:val="28"/>
          <w:szCs w:val="28"/>
        </w:rPr>
        <w:t xml:space="preserve">  </w:t>
      </w:r>
    </w:p>
    <w:p w14:paraId="36BD4FC2">
      <w:pPr>
        <w:spacing w:line="360" w:lineRule="auto"/>
        <w:ind w:firstLine="610"/>
        <w:rPr>
          <w:rFonts w:ascii="宋体" w:hAnsi="宋体"/>
          <w:color w:val="auto"/>
          <w:sz w:val="24"/>
        </w:rPr>
      </w:pPr>
    </w:p>
    <w:p w14:paraId="6DBAC0F1">
      <w:pPr>
        <w:autoSpaceDE w:val="0"/>
        <w:autoSpaceDN w:val="0"/>
        <w:adjustRightInd w:val="0"/>
        <w:snapToGrid w:val="0"/>
        <w:spacing w:before="120" w:beforeLines="50"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本人</w:t>
      </w:r>
      <w:r>
        <w:rPr>
          <w:rFonts w:ascii="宋体" w:hAnsi="宋体" w:cs="宋体"/>
          <w:color w:val="auto"/>
          <w:kern w:val="0"/>
          <w:szCs w:val="21"/>
          <w:u w:val="single"/>
        </w:rPr>
        <w:t xml:space="preserve"> </w:t>
      </w:r>
      <w:r>
        <w:rPr>
          <w:rFonts w:hint="eastAsia" w:ascii="宋体" w:hAnsi="宋体" w:cs="宋体"/>
          <w:color w:val="auto"/>
          <w:kern w:val="0"/>
          <w:szCs w:val="21"/>
          <w:u w:val="single"/>
        </w:rPr>
        <w:t xml:space="preserve">（姓名） </w:t>
      </w:r>
      <w:r>
        <w:rPr>
          <w:rFonts w:hint="eastAsia" w:ascii="宋体" w:hAnsi="宋体" w:cs="宋体"/>
          <w:color w:val="auto"/>
          <w:kern w:val="0"/>
          <w:szCs w:val="21"/>
        </w:rPr>
        <w:t>系</w:t>
      </w:r>
      <w:r>
        <w:rPr>
          <w:rFonts w:ascii="宋体" w:hAnsi="宋体" w:cs="宋体"/>
          <w:color w:val="auto"/>
          <w:kern w:val="0"/>
          <w:szCs w:val="21"/>
          <w:u w:val="single"/>
        </w:rPr>
        <w:t xml:space="preserve"> </w:t>
      </w:r>
      <w:r>
        <w:rPr>
          <w:rFonts w:hint="eastAsia" w:ascii="宋体" w:hAnsi="宋体" w:cs="宋体"/>
          <w:color w:val="auto"/>
          <w:kern w:val="0"/>
          <w:szCs w:val="21"/>
          <w:u w:val="single"/>
        </w:rPr>
        <w:t xml:space="preserve">（投标人名称）  </w:t>
      </w:r>
      <w:r>
        <w:rPr>
          <w:rFonts w:hint="eastAsia" w:ascii="宋体" w:hAnsi="宋体" w:cs="宋体"/>
          <w:color w:val="auto"/>
          <w:kern w:val="0"/>
          <w:szCs w:val="21"/>
        </w:rPr>
        <w:t>的法定代表人，现委托</w:t>
      </w:r>
      <w:r>
        <w:rPr>
          <w:rFonts w:ascii="宋体" w:hAnsi="宋体" w:cs="宋体"/>
          <w:color w:val="auto"/>
          <w:kern w:val="0"/>
          <w:szCs w:val="21"/>
          <w:u w:val="single"/>
        </w:rPr>
        <w:t xml:space="preserve"> </w:t>
      </w:r>
      <w:r>
        <w:rPr>
          <w:rFonts w:hint="eastAsia" w:ascii="宋体" w:hAnsi="宋体" w:cs="宋体"/>
          <w:color w:val="auto"/>
          <w:kern w:val="0"/>
          <w:szCs w:val="21"/>
          <w:u w:val="single"/>
        </w:rPr>
        <w:t xml:space="preserve">  （姓名）  </w:t>
      </w:r>
      <w:r>
        <w:rPr>
          <w:rFonts w:hint="eastAsia" w:ascii="宋体" w:hAnsi="宋体" w:cs="宋体"/>
          <w:color w:val="auto"/>
          <w:kern w:val="0"/>
          <w:szCs w:val="21"/>
        </w:rPr>
        <w:t>为我方代理人。代理人根据授权，以我方名义签署、澄清、说明、补正、递交、撤回、修改</w:t>
      </w:r>
      <w:r>
        <w:rPr>
          <w:rFonts w:ascii="宋体" w:hAnsi="宋体" w:cs="宋体"/>
          <w:color w:val="auto"/>
          <w:kern w:val="0"/>
          <w:szCs w:val="21"/>
          <w:u w:val="single"/>
        </w:rPr>
        <w:t xml:space="preserve"> </w:t>
      </w:r>
      <w:r>
        <w:rPr>
          <w:rFonts w:hint="eastAsia" w:ascii="宋体" w:hAnsi="宋体" w:cs="宋体"/>
          <w:color w:val="auto"/>
          <w:kern w:val="0"/>
          <w:szCs w:val="21"/>
          <w:u w:val="single"/>
        </w:rPr>
        <w:t xml:space="preserve"> （招标项目名称）  </w:t>
      </w:r>
      <w:r>
        <w:rPr>
          <w:rFonts w:hint="eastAsia" w:ascii="宋体" w:hAnsi="宋体" w:cs="宋体"/>
          <w:color w:val="auto"/>
          <w:kern w:val="0"/>
          <w:szCs w:val="21"/>
        </w:rPr>
        <w:t>投标文件、签订合同和处理有关事宜，其法律后果由我方承担。</w:t>
      </w:r>
    </w:p>
    <w:p w14:paraId="520204D3">
      <w:pPr>
        <w:autoSpaceDE w:val="0"/>
        <w:autoSpaceDN w:val="0"/>
        <w:adjustRightInd w:val="0"/>
        <w:snapToGrid w:val="0"/>
        <w:spacing w:before="120" w:beforeLines="50"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委托期限：</w:t>
      </w:r>
      <w:r>
        <w:rPr>
          <w:rFonts w:ascii="宋体" w:hAnsi="宋体" w:cs="宋体"/>
          <w:color w:val="auto"/>
          <w:kern w:val="0"/>
          <w:szCs w:val="21"/>
          <w:u w:val="single"/>
        </w:rPr>
        <w:t xml:space="preserve"> </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p>
    <w:p w14:paraId="0EF1764C">
      <w:pPr>
        <w:spacing w:before="120" w:beforeLines="50" w:line="360" w:lineRule="auto"/>
        <w:ind w:firstLine="420" w:firstLineChars="200"/>
        <w:rPr>
          <w:rFonts w:ascii="宋体" w:hAnsi="宋体"/>
          <w:color w:val="auto"/>
          <w:szCs w:val="21"/>
        </w:rPr>
      </w:pPr>
      <w:r>
        <w:rPr>
          <w:rFonts w:hint="eastAsia" w:ascii="宋体" w:hAnsi="宋体"/>
          <w:color w:val="auto"/>
          <w:szCs w:val="21"/>
        </w:rPr>
        <w:t>代理人无转委托权，特此委托。</w:t>
      </w:r>
    </w:p>
    <w:p w14:paraId="196600F8">
      <w:pPr>
        <w:spacing w:line="360" w:lineRule="auto"/>
        <w:ind w:firstLine="420" w:firstLineChars="200"/>
        <w:rPr>
          <w:rFonts w:ascii="宋体" w:hAnsi="宋体"/>
          <w:color w:val="auto"/>
          <w:szCs w:val="21"/>
        </w:rPr>
      </w:pPr>
    </w:p>
    <w:p w14:paraId="5A8B7D27">
      <w:pPr>
        <w:spacing w:line="360" w:lineRule="auto"/>
        <w:ind w:firstLine="420" w:firstLineChars="200"/>
        <w:rPr>
          <w:rFonts w:ascii="宋体" w:hAnsi="宋体"/>
          <w:color w:val="auto"/>
          <w:szCs w:val="21"/>
        </w:rPr>
      </w:pPr>
    </w:p>
    <w:p w14:paraId="202359AE">
      <w:pPr>
        <w:spacing w:line="360" w:lineRule="auto"/>
        <w:ind w:left="2310" w:leftChars="1100" w:firstLine="612"/>
        <w:rPr>
          <w:rFonts w:ascii="宋体" w:hAnsi="宋体"/>
          <w:color w:val="auto"/>
          <w:szCs w:val="21"/>
        </w:rPr>
      </w:pPr>
      <w:r>
        <w:rPr>
          <w:rFonts w:hint="eastAsia" w:ascii="宋体" w:hAnsi="宋体"/>
          <w:color w:val="auto"/>
          <w:szCs w:val="21"/>
        </w:rPr>
        <w:t>代理人：</w:t>
      </w:r>
      <w:r>
        <w:rPr>
          <w:rFonts w:hint="eastAsia" w:ascii="宋体" w:hAnsi="宋体"/>
          <w:color w:val="auto"/>
          <w:szCs w:val="21"/>
          <w:u w:val="single"/>
        </w:rPr>
        <w:t xml:space="preserve">            </w:t>
      </w:r>
      <w:r>
        <w:rPr>
          <w:rFonts w:hint="eastAsia" w:ascii="宋体" w:hAnsi="宋体"/>
          <w:color w:val="auto"/>
          <w:szCs w:val="21"/>
        </w:rPr>
        <w:t>性别：</w:t>
      </w:r>
      <w:r>
        <w:rPr>
          <w:rFonts w:hint="eastAsia" w:ascii="宋体" w:hAnsi="宋体"/>
          <w:color w:val="auto"/>
          <w:szCs w:val="21"/>
          <w:u w:val="single"/>
        </w:rPr>
        <w:t xml:space="preserve">      </w:t>
      </w:r>
      <w:r>
        <w:rPr>
          <w:rFonts w:hint="eastAsia" w:ascii="宋体" w:hAnsi="宋体"/>
          <w:color w:val="auto"/>
          <w:szCs w:val="21"/>
        </w:rPr>
        <w:t>年龄：</w:t>
      </w:r>
      <w:r>
        <w:rPr>
          <w:rFonts w:hint="eastAsia" w:ascii="宋体" w:hAnsi="宋体"/>
          <w:color w:val="auto"/>
          <w:szCs w:val="21"/>
          <w:u w:val="single"/>
        </w:rPr>
        <w:t xml:space="preserve">      </w:t>
      </w:r>
    </w:p>
    <w:p w14:paraId="617A04F3">
      <w:pPr>
        <w:spacing w:line="360" w:lineRule="auto"/>
        <w:ind w:left="2310" w:leftChars="1100" w:firstLine="612"/>
        <w:rPr>
          <w:rFonts w:ascii="宋体" w:hAnsi="宋体"/>
          <w:color w:val="auto"/>
          <w:szCs w:val="21"/>
        </w:rPr>
      </w:pPr>
    </w:p>
    <w:p w14:paraId="013388AA">
      <w:pPr>
        <w:spacing w:line="360" w:lineRule="auto"/>
        <w:ind w:left="2310" w:leftChars="1100" w:firstLine="612"/>
        <w:rPr>
          <w:rFonts w:ascii="宋体" w:hAnsi="宋体"/>
          <w:color w:val="auto"/>
          <w:szCs w:val="21"/>
        </w:rPr>
      </w:pPr>
      <w:r>
        <w:rPr>
          <w:rFonts w:hint="eastAsia" w:ascii="宋体" w:hAnsi="宋体"/>
          <w:color w:val="auto"/>
          <w:szCs w:val="21"/>
        </w:rPr>
        <w:t>身份证号码：</w:t>
      </w:r>
      <w:r>
        <w:rPr>
          <w:rFonts w:hint="eastAsia" w:ascii="宋体" w:hAnsi="宋体"/>
          <w:color w:val="auto"/>
          <w:szCs w:val="21"/>
          <w:u w:val="single"/>
        </w:rPr>
        <w:t xml:space="preserve">               </w:t>
      </w:r>
      <w:r>
        <w:rPr>
          <w:rFonts w:hint="eastAsia" w:ascii="宋体" w:hAnsi="宋体"/>
          <w:color w:val="auto"/>
          <w:szCs w:val="21"/>
        </w:rPr>
        <w:t>职务：</w:t>
      </w:r>
      <w:r>
        <w:rPr>
          <w:rFonts w:hint="eastAsia" w:ascii="宋体" w:hAnsi="宋体"/>
          <w:color w:val="auto"/>
          <w:szCs w:val="21"/>
          <w:u w:val="single"/>
        </w:rPr>
        <w:t xml:space="preserve">             </w:t>
      </w:r>
    </w:p>
    <w:p w14:paraId="26A803BE">
      <w:pPr>
        <w:spacing w:line="360" w:lineRule="auto"/>
        <w:ind w:left="2310" w:leftChars="1100" w:firstLine="612"/>
        <w:rPr>
          <w:rFonts w:ascii="宋体" w:hAnsi="宋体"/>
          <w:color w:val="auto"/>
          <w:szCs w:val="21"/>
        </w:rPr>
      </w:pPr>
    </w:p>
    <w:p w14:paraId="652C1F72">
      <w:pPr>
        <w:spacing w:line="360" w:lineRule="auto"/>
        <w:ind w:left="2310" w:leftChars="1100" w:firstLine="612"/>
        <w:rPr>
          <w:rFonts w:ascii="宋体" w:hAnsi="宋体"/>
          <w:color w:val="auto"/>
          <w:szCs w:val="21"/>
        </w:rPr>
      </w:pPr>
      <w:r>
        <w:rPr>
          <w:rFonts w:hint="eastAsia" w:ascii="宋体" w:hAnsi="宋体"/>
          <w:color w:val="auto"/>
          <w:szCs w:val="21"/>
        </w:rPr>
        <w:t>投标人：</w:t>
      </w:r>
      <w:r>
        <w:rPr>
          <w:rFonts w:hint="eastAsia" w:ascii="宋体" w:hAnsi="宋体"/>
          <w:color w:val="auto"/>
          <w:szCs w:val="21"/>
          <w:u w:val="single"/>
        </w:rPr>
        <w:t xml:space="preserve">         （</w:t>
      </w:r>
      <w:r>
        <w:rPr>
          <w:rFonts w:hint="eastAsia" w:ascii="宋体" w:hAnsi="宋体"/>
          <w:color w:val="auto"/>
          <w:u w:val="single"/>
        </w:rPr>
        <w:t>电子签章</w:t>
      </w:r>
      <w:r>
        <w:rPr>
          <w:rFonts w:hint="eastAsia" w:ascii="宋体" w:hAnsi="宋体"/>
          <w:color w:val="auto"/>
          <w:szCs w:val="21"/>
          <w:u w:val="single"/>
        </w:rPr>
        <w:t xml:space="preserve">）       </w:t>
      </w:r>
    </w:p>
    <w:p w14:paraId="43FD5D72">
      <w:pPr>
        <w:spacing w:line="360" w:lineRule="auto"/>
        <w:ind w:left="2310" w:leftChars="1100" w:firstLine="612"/>
        <w:rPr>
          <w:rFonts w:ascii="宋体" w:hAnsi="宋体"/>
          <w:color w:val="auto"/>
          <w:szCs w:val="21"/>
        </w:rPr>
      </w:pPr>
    </w:p>
    <w:p w14:paraId="18FC1238">
      <w:pPr>
        <w:spacing w:line="360" w:lineRule="auto"/>
        <w:ind w:left="2310" w:leftChars="1100" w:firstLine="612"/>
        <w:rPr>
          <w:rFonts w:ascii="宋体" w:hAnsi="宋体"/>
          <w:color w:val="auto"/>
          <w:szCs w:val="21"/>
        </w:rPr>
      </w:pPr>
      <w:r>
        <w:rPr>
          <w:rFonts w:hint="eastAsia" w:ascii="宋体" w:hAnsi="宋体"/>
          <w:color w:val="auto"/>
          <w:szCs w:val="21"/>
        </w:rPr>
        <w:t>法定代表人：</w:t>
      </w:r>
      <w:r>
        <w:rPr>
          <w:rFonts w:hint="eastAsia" w:ascii="宋体" w:hAnsi="宋体"/>
          <w:color w:val="auto"/>
          <w:szCs w:val="21"/>
          <w:u w:val="single"/>
        </w:rPr>
        <w:t xml:space="preserve">     （</w:t>
      </w:r>
      <w:r>
        <w:rPr>
          <w:rFonts w:hint="eastAsia" w:ascii="宋体" w:hAnsi="宋体"/>
          <w:color w:val="auto"/>
          <w:u w:val="single"/>
        </w:rPr>
        <w:t>电子签章</w:t>
      </w:r>
      <w:r>
        <w:rPr>
          <w:rFonts w:hint="eastAsia" w:ascii="宋体" w:hAnsi="宋体"/>
          <w:color w:val="auto"/>
          <w:szCs w:val="21"/>
          <w:u w:val="single"/>
        </w:rPr>
        <w:t xml:space="preserve">）         </w:t>
      </w:r>
    </w:p>
    <w:p w14:paraId="77218BD7">
      <w:pPr>
        <w:spacing w:line="360" w:lineRule="auto"/>
        <w:ind w:left="2310" w:leftChars="1100" w:firstLine="612"/>
        <w:rPr>
          <w:rFonts w:ascii="宋体" w:hAnsi="宋体"/>
          <w:color w:val="auto"/>
          <w:szCs w:val="21"/>
        </w:rPr>
      </w:pPr>
    </w:p>
    <w:p w14:paraId="1536DD4C">
      <w:pPr>
        <w:spacing w:line="360" w:lineRule="auto"/>
        <w:ind w:left="2310" w:leftChars="1100" w:firstLine="612"/>
        <w:rPr>
          <w:rFonts w:ascii="宋体" w:hAnsi="宋体"/>
          <w:color w:val="auto"/>
          <w:szCs w:val="21"/>
        </w:rPr>
      </w:pPr>
      <w:r>
        <w:rPr>
          <w:rFonts w:hint="eastAsia" w:ascii="宋体" w:hAnsi="宋体"/>
          <w:color w:val="auto"/>
          <w:szCs w:val="21"/>
        </w:rPr>
        <w:t>授权委托日期：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318A009A">
      <w:pPr>
        <w:spacing w:line="360" w:lineRule="auto"/>
        <w:ind w:firstLine="610"/>
        <w:rPr>
          <w:rFonts w:ascii="宋体" w:hAnsi="宋体"/>
          <w:color w:val="auto"/>
          <w:szCs w:val="21"/>
        </w:rPr>
      </w:pPr>
    </w:p>
    <w:p w14:paraId="2DFE6FC6">
      <w:pPr>
        <w:spacing w:line="360" w:lineRule="auto"/>
        <w:ind w:firstLine="610"/>
        <w:rPr>
          <w:rFonts w:ascii="宋体" w:hAnsi="宋体"/>
          <w:b/>
          <w:color w:val="auto"/>
          <w:szCs w:val="21"/>
        </w:rPr>
      </w:pPr>
      <w:r>
        <w:rPr>
          <w:rFonts w:hint="eastAsia" w:ascii="宋体" w:hAnsi="宋体"/>
          <w:b/>
          <w:color w:val="auto"/>
          <w:szCs w:val="21"/>
        </w:rPr>
        <w:t>注：附代理人身份证原件扫描件。</w:t>
      </w:r>
    </w:p>
    <w:p w14:paraId="5C694A6D">
      <w:pPr>
        <w:spacing w:line="360" w:lineRule="auto"/>
        <w:ind w:firstLine="610"/>
        <w:rPr>
          <w:rFonts w:ascii="宋体" w:hAnsi="宋体"/>
          <w:color w:val="auto"/>
          <w:szCs w:val="21"/>
        </w:rPr>
      </w:pPr>
    </w:p>
    <w:p w14:paraId="0CD843FE">
      <w:pPr>
        <w:spacing w:line="360" w:lineRule="auto"/>
        <w:ind w:firstLine="610"/>
        <w:rPr>
          <w:rFonts w:ascii="宋体" w:hAnsi="宋体"/>
          <w:color w:val="auto"/>
          <w:szCs w:val="21"/>
        </w:rPr>
      </w:pPr>
    </w:p>
    <w:p w14:paraId="103F26AF">
      <w:pPr>
        <w:spacing w:line="360" w:lineRule="auto"/>
        <w:ind w:firstLine="610"/>
        <w:rPr>
          <w:rFonts w:ascii="宋体" w:hAnsi="宋体"/>
          <w:color w:val="auto"/>
          <w:szCs w:val="21"/>
        </w:rPr>
      </w:pPr>
    </w:p>
    <w:p w14:paraId="46ED1120">
      <w:pPr>
        <w:spacing w:line="360" w:lineRule="auto"/>
        <w:ind w:firstLine="610"/>
        <w:rPr>
          <w:rFonts w:ascii="宋体" w:hAnsi="宋体"/>
          <w:color w:val="auto"/>
          <w:szCs w:val="21"/>
        </w:rPr>
      </w:pPr>
    </w:p>
    <w:p w14:paraId="1236CFC7">
      <w:pPr>
        <w:spacing w:line="360" w:lineRule="auto"/>
        <w:ind w:firstLine="610"/>
        <w:rPr>
          <w:rFonts w:ascii="宋体" w:hAnsi="宋体"/>
          <w:color w:val="auto"/>
          <w:szCs w:val="21"/>
        </w:rPr>
      </w:pPr>
    </w:p>
    <w:p w14:paraId="6905EB00">
      <w:pPr>
        <w:spacing w:line="360" w:lineRule="auto"/>
        <w:ind w:firstLine="610"/>
        <w:rPr>
          <w:rFonts w:ascii="宋体" w:hAnsi="宋体"/>
          <w:color w:val="auto"/>
          <w:szCs w:val="21"/>
        </w:rPr>
      </w:pPr>
    </w:p>
    <w:p w14:paraId="2ABD96DE">
      <w:pPr>
        <w:spacing w:line="360" w:lineRule="auto"/>
        <w:ind w:firstLine="610"/>
        <w:rPr>
          <w:rFonts w:ascii="宋体" w:hAnsi="宋体"/>
          <w:color w:val="auto"/>
          <w:szCs w:val="21"/>
        </w:rPr>
      </w:pPr>
    </w:p>
    <w:p w14:paraId="2E971048">
      <w:pPr>
        <w:spacing w:line="360" w:lineRule="auto"/>
        <w:ind w:firstLine="610"/>
        <w:rPr>
          <w:rFonts w:ascii="宋体" w:hAnsi="宋体"/>
          <w:color w:val="auto"/>
          <w:szCs w:val="21"/>
        </w:rPr>
      </w:pPr>
    </w:p>
    <w:p w14:paraId="15294AF4">
      <w:pPr>
        <w:spacing w:line="360" w:lineRule="auto"/>
        <w:ind w:firstLine="610"/>
        <w:rPr>
          <w:rFonts w:ascii="宋体" w:hAnsi="宋体"/>
          <w:color w:val="auto"/>
          <w:szCs w:val="21"/>
        </w:rPr>
      </w:pPr>
    </w:p>
    <w:p w14:paraId="5ECDFF3E">
      <w:pPr>
        <w:spacing w:line="360" w:lineRule="auto"/>
        <w:rPr>
          <w:color w:val="auto"/>
        </w:rPr>
      </w:pPr>
    </w:p>
    <w:p w14:paraId="6D073788">
      <w:pPr>
        <w:pStyle w:val="5"/>
        <w:pageBreakBefore/>
        <w:spacing w:before="120" w:line="360" w:lineRule="auto"/>
        <w:jc w:val="center"/>
        <w:rPr>
          <w:rFonts w:ascii="宋体" w:hAnsi="宋体" w:eastAsia="宋体"/>
          <w:color w:val="auto"/>
        </w:rPr>
      </w:pPr>
      <w:bookmarkStart w:id="664" w:name="_Toc4318"/>
      <w:bookmarkStart w:id="665" w:name="_Toc10739"/>
      <w:r>
        <w:rPr>
          <w:rFonts w:hint="eastAsia" w:ascii="宋体" w:hAnsi="宋体" w:eastAsia="宋体"/>
          <w:color w:val="auto"/>
        </w:rPr>
        <w:t>报价文件格式</w:t>
      </w:r>
      <w:bookmarkEnd w:id="593"/>
      <w:bookmarkEnd w:id="594"/>
      <w:bookmarkEnd w:id="664"/>
      <w:bookmarkEnd w:id="665"/>
    </w:p>
    <w:bookmarkEnd w:id="580"/>
    <w:bookmarkEnd w:id="581"/>
    <w:bookmarkEnd w:id="582"/>
    <w:p w14:paraId="5D36E4A7">
      <w:pPr>
        <w:pStyle w:val="6"/>
        <w:spacing w:line="360" w:lineRule="auto"/>
        <w:jc w:val="center"/>
        <w:rPr>
          <w:rFonts w:ascii="宋体" w:hAnsi="宋体"/>
          <w:color w:val="auto"/>
          <w:sz w:val="28"/>
          <w:szCs w:val="28"/>
        </w:rPr>
      </w:pPr>
      <w:bookmarkStart w:id="666" w:name="_Toc31304"/>
      <w:bookmarkStart w:id="667" w:name="_Toc525742142"/>
      <w:bookmarkStart w:id="668" w:name="_Toc712"/>
      <w:bookmarkStart w:id="669" w:name="_Toc12240"/>
      <w:bookmarkStart w:id="670" w:name="_Toc525742056"/>
      <w:bookmarkStart w:id="671" w:name="_Toc6772"/>
      <w:bookmarkStart w:id="672" w:name="_Toc210016353"/>
      <w:r>
        <w:rPr>
          <w:rFonts w:hint="eastAsia" w:ascii="宋体" w:hAnsi="宋体"/>
          <w:color w:val="auto"/>
          <w:sz w:val="28"/>
          <w:szCs w:val="28"/>
        </w:rPr>
        <w:t>一、投标报价一览表</w:t>
      </w:r>
      <w:bookmarkEnd w:id="666"/>
      <w:bookmarkEnd w:id="667"/>
      <w:bookmarkEnd w:id="668"/>
      <w:bookmarkEnd w:id="669"/>
      <w:bookmarkEnd w:id="670"/>
      <w:bookmarkEnd w:id="671"/>
      <w:r>
        <w:rPr>
          <w:rFonts w:hint="eastAsia" w:ascii="宋体" w:hAnsi="宋体"/>
          <w:color w:val="auto"/>
          <w:szCs w:val="21"/>
        </w:rPr>
        <w:t xml:space="preserve">                   </w:t>
      </w:r>
    </w:p>
    <w:p w14:paraId="7158D9B6">
      <w:pPr>
        <w:spacing w:line="360" w:lineRule="auto"/>
        <w:rPr>
          <w:rFonts w:ascii="宋体" w:hAnsi="宋体"/>
          <w:color w:val="auto"/>
          <w:szCs w:val="21"/>
        </w:rPr>
      </w:pPr>
      <w:r>
        <w:rPr>
          <w:rFonts w:hint="eastAsia" w:ascii="宋体" w:hAnsi="宋体"/>
          <w:color w:val="auto"/>
          <w:szCs w:val="21"/>
        </w:rPr>
        <w:t>项目名称：</w:t>
      </w:r>
    </w:p>
    <w:tbl>
      <w:tblPr>
        <w:tblStyle w:val="27"/>
        <w:tblW w:w="93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6"/>
        <w:gridCol w:w="1908"/>
        <w:gridCol w:w="6848"/>
      </w:tblGrid>
      <w:tr w14:paraId="2F23A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626" w:type="dxa"/>
            <w:tcBorders>
              <w:top w:val="single" w:color="auto" w:sz="4" w:space="0"/>
              <w:left w:val="single" w:color="auto" w:sz="4" w:space="0"/>
              <w:bottom w:val="single" w:color="auto" w:sz="4" w:space="0"/>
              <w:right w:val="single" w:color="auto" w:sz="4" w:space="0"/>
            </w:tcBorders>
            <w:vAlign w:val="center"/>
          </w:tcPr>
          <w:p w14:paraId="39260116">
            <w:pPr>
              <w:spacing w:line="360" w:lineRule="auto"/>
              <w:jc w:val="center"/>
              <w:rPr>
                <w:rFonts w:ascii="宋体" w:hAnsi="宋体"/>
                <w:bCs/>
                <w:color w:val="auto"/>
                <w:szCs w:val="21"/>
              </w:rPr>
            </w:pPr>
            <w:r>
              <w:rPr>
                <w:rFonts w:hint="eastAsia" w:ascii="宋体" w:hAnsi="宋体"/>
                <w:bCs/>
                <w:color w:val="auto"/>
                <w:szCs w:val="21"/>
              </w:rPr>
              <w:t>序号</w:t>
            </w:r>
          </w:p>
        </w:tc>
        <w:tc>
          <w:tcPr>
            <w:tcW w:w="1908" w:type="dxa"/>
            <w:tcBorders>
              <w:top w:val="single" w:color="auto" w:sz="4" w:space="0"/>
              <w:left w:val="single" w:color="auto" w:sz="4" w:space="0"/>
              <w:bottom w:val="single" w:color="auto" w:sz="4" w:space="0"/>
              <w:right w:val="single" w:color="auto" w:sz="4" w:space="0"/>
            </w:tcBorders>
            <w:vAlign w:val="center"/>
          </w:tcPr>
          <w:p w14:paraId="616FB2DB">
            <w:pPr>
              <w:spacing w:line="360" w:lineRule="auto"/>
              <w:jc w:val="center"/>
              <w:rPr>
                <w:rFonts w:ascii="宋体" w:hAnsi="宋体"/>
                <w:color w:val="auto"/>
                <w:szCs w:val="21"/>
              </w:rPr>
            </w:pPr>
            <w:r>
              <w:rPr>
                <w:rFonts w:hint="eastAsia" w:ascii="宋体" w:hAnsi="宋体"/>
                <w:color w:val="auto"/>
                <w:szCs w:val="21"/>
              </w:rPr>
              <w:t>项     目</w:t>
            </w:r>
          </w:p>
        </w:tc>
        <w:tc>
          <w:tcPr>
            <w:tcW w:w="6848" w:type="dxa"/>
            <w:tcBorders>
              <w:top w:val="single" w:color="auto" w:sz="4" w:space="0"/>
              <w:left w:val="single" w:color="auto" w:sz="4" w:space="0"/>
              <w:bottom w:val="single" w:color="auto" w:sz="4" w:space="0"/>
              <w:right w:val="single" w:color="auto" w:sz="4" w:space="0"/>
            </w:tcBorders>
            <w:vAlign w:val="center"/>
          </w:tcPr>
          <w:p w14:paraId="46AFF0E8">
            <w:pPr>
              <w:spacing w:line="360" w:lineRule="auto"/>
              <w:jc w:val="center"/>
              <w:rPr>
                <w:rFonts w:ascii="宋体" w:hAnsi="宋体"/>
                <w:color w:val="auto"/>
                <w:szCs w:val="21"/>
              </w:rPr>
            </w:pPr>
            <w:r>
              <w:rPr>
                <w:rFonts w:hint="eastAsia" w:ascii="宋体" w:hAnsi="宋体"/>
                <w:color w:val="auto"/>
                <w:szCs w:val="21"/>
              </w:rPr>
              <w:t>报  价</w:t>
            </w:r>
          </w:p>
        </w:tc>
      </w:tr>
      <w:tr w14:paraId="14D5E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43" w:hRule="atLeast"/>
        </w:trPr>
        <w:tc>
          <w:tcPr>
            <w:tcW w:w="626" w:type="dxa"/>
            <w:tcBorders>
              <w:top w:val="single" w:color="auto" w:sz="4" w:space="0"/>
              <w:left w:val="single" w:color="auto" w:sz="4" w:space="0"/>
              <w:right w:val="single" w:color="auto" w:sz="4" w:space="0"/>
            </w:tcBorders>
            <w:vAlign w:val="center"/>
          </w:tcPr>
          <w:p w14:paraId="2C158EFE">
            <w:pPr>
              <w:spacing w:line="360" w:lineRule="auto"/>
              <w:jc w:val="center"/>
              <w:rPr>
                <w:rFonts w:ascii="宋体" w:hAnsi="宋体"/>
                <w:bCs/>
                <w:color w:val="auto"/>
                <w:szCs w:val="21"/>
              </w:rPr>
            </w:pPr>
            <w:r>
              <w:rPr>
                <w:rFonts w:hint="eastAsia" w:ascii="宋体" w:hAnsi="宋体"/>
                <w:bCs/>
                <w:color w:val="auto"/>
                <w:szCs w:val="21"/>
              </w:rPr>
              <w:t>1</w:t>
            </w:r>
          </w:p>
        </w:tc>
        <w:tc>
          <w:tcPr>
            <w:tcW w:w="1908" w:type="dxa"/>
            <w:tcBorders>
              <w:top w:val="single" w:color="auto" w:sz="4" w:space="0"/>
              <w:left w:val="single" w:color="auto" w:sz="4" w:space="0"/>
              <w:right w:val="single" w:color="auto" w:sz="4" w:space="0"/>
            </w:tcBorders>
            <w:vAlign w:val="center"/>
          </w:tcPr>
          <w:p w14:paraId="63ABDA3F">
            <w:pPr>
              <w:spacing w:line="360" w:lineRule="auto"/>
              <w:jc w:val="center"/>
              <w:rPr>
                <w:rFonts w:ascii="宋体" w:hAnsi="宋体"/>
                <w:color w:val="auto"/>
                <w:szCs w:val="21"/>
              </w:rPr>
            </w:pPr>
            <w:r>
              <w:rPr>
                <w:rFonts w:hint="eastAsia" w:ascii="宋体" w:hAnsi="宋体"/>
                <w:color w:val="auto"/>
                <w:szCs w:val="21"/>
              </w:rPr>
              <w:t>投标总报价（元）</w:t>
            </w:r>
          </w:p>
        </w:tc>
        <w:tc>
          <w:tcPr>
            <w:tcW w:w="6848" w:type="dxa"/>
            <w:tcBorders>
              <w:top w:val="single" w:color="auto" w:sz="4" w:space="0"/>
              <w:left w:val="single" w:color="auto" w:sz="4" w:space="0"/>
              <w:bottom w:val="single" w:color="auto" w:sz="4" w:space="0"/>
              <w:right w:val="single" w:color="auto" w:sz="4" w:space="0"/>
            </w:tcBorders>
            <w:vAlign w:val="center"/>
          </w:tcPr>
          <w:p w14:paraId="5F8E9625">
            <w:pPr>
              <w:spacing w:line="360" w:lineRule="auto"/>
              <w:jc w:val="center"/>
              <w:rPr>
                <w:rFonts w:ascii="宋体" w:hAnsi="宋体"/>
                <w:color w:val="auto"/>
                <w:szCs w:val="21"/>
                <w:u w:val="single"/>
              </w:rPr>
            </w:pPr>
          </w:p>
        </w:tc>
      </w:tr>
      <w:tr w14:paraId="33C69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626" w:type="dxa"/>
            <w:tcBorders>
              <w:top w:val="single" w:color="auto" w:sz="4" w:space="0"/>
              <w:left w:val="single" w:color="auto" w:sz="4" w:space="0"/>
              <w:bottom w:val="single" w:color="auto" w:sz="4" w:space="0"/>
              <w:right w:val="single" w:color="auto" w:sz="4" w:space="0"/>
            </w:tcBorders>
            <w:vAlign w:val="center"/>
          </w:tcPr>
          <w:p w14:paraId="7C3D5DA7">
            <w:pPr>
              <w:spacing w:line="360" w:lineRule="auto"/>
              <w:jc w:val="center"/>
              <w:rPr>
                <w:rFonts w:ascii="宋体" w:hAnsi="宋体"/>
                <w:bCs/>
                <w:color w:val="auto"/>
                <w:szCs w:val="21"/>
              </w:rPr>
            </w:pPr>
            <w:r>
              <w:rPr>
                <w:rFonts w:hint="eastAsia" w:ascii="宋体" w:hAnsi="宋体"/>
                <w:bCs/>
                <w:color w:val="auto"/>
                <w:szCs w:val="21"/>
              </w:rPr>
              <w:t>2</w:t>
            </w:r>
          </w:p>
        </w:tc>
        <w:tc>
          <w:tcPr>
            <w:tcW w:w="1908" w:type="dxa"/>
            <w:tcBorders>
              <w:top w:val="single" w:color="auto" w:sz="4" w:space="0"/>
              <w:left w:val="single" w:color="auto" w:sz="4" w:space="0"/>
              <w:bottom w:val="single" w:color="auto" w:sz="4" w:space="0"/>
              <w:right w:val="single" w:color="auto" w:sz="4" w:space="0"/>
            </w:tcBorders>
            <w:vAlign w:val="center"/>
          </w:tcPr>
          <w:p w14:paraId="14753A31">
            <w:pPr>
              <w:spacing w:line="360" w:lineRule="auto"/>
              <w:jc w:val="center"/>
              <w:rPr>
                <w:rFonts w:ascii="宋体" w:hAnsi="宋体"/>
                <w:color w:val="auto"/>
                <w:szCs w:val="21"/>
              </w:rPr>
            </w:pPr>
            <w:r>
              <w:rPr>
                <w:rFonts w:hint="eastAsia" w:ascii="宋体" w:hAnsi="宋体"/>
                <w:color w:val="auto"/>
                <w:szCs w:val="21"/>
              </w:rPr>
              <w:t>质量标准</w:t>
            </w:r>
          </w:p>
        </w:tc>
        <w:tc>
          <w:tcPr>
            <w:tcW w:w="6848" w:type="dxa"/>
            <w:tcBorders>
              <w:top w:val="single" w:color="auto" w:sz="4" w:space="0"/>
              <w:left w:val="single" w:color="auto" w:sz="4" w:space="0"/>
              <w:bottom w:val="single" w:color="auto" w:sz="4" w:space="0"/>
              <w:right w:val="single" w:color="auto" w:sz="4" w:space="0"/>
            </w:tcBorders>
            <w:vAlign w:val="center"/>
          </w:tcPr>
          <w:p w14:paraId="0377AE9F">
            <w:pPr>
              <w:spacing w:line="360" w:lineRule="auto"/>
              <w:jc w:val="center"/>
              <w:rPr>
                <w:rFonts w:ascii="宋体" w:hAnsi="宋体"/>
                <w:b/>
                <w:color w:val="auto"/>
                <w:szCs w:val="21"/>
              </w:rPr>
            </w:pPr>
          </w:p>
        </w:tc>
      </w:tr>
      <w:tr w14:paraId="4AA96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626" w:type="dxa"/>
            <w:tcBorders>
              <w:top w:val="single" w:color="auto" w:sz="4" w:space="0"/>
              <w:left w:val="single" w:color="auto" w:sz="4" w:space="0"/>
              <w:bottom w:val="single" w:color="auto" w:sz="4" w:space="0"/>
              <w:right w:val="single" w:color="auto" w:sz="4" w:space="0"/>
            </w:tcBorders>
            <w:vAlign w:val="center"/>
          </w:tcPr>
          <w:p w14:paraId="69B530CD">
            <w:pPr>
              <w:spacing w:line="360" w:lineRule="auto"/>
              <w:jc w:val="center"/>
              <w:rPr>
                <w:rFonts w:ascii="宋体" w:hAnsi="宋体"/>
                <w:bCs/>
                <w:color w:val="auto"/>
                <w:szCs w:val="21"/>
              </w:rPr>
            </w:pPr>
            <w:r>
              <w:rPr>
                <w:rFonts w:hint="eastAsia" w:ascii="宋体" w:hAnsi="宋体"/>
                <w:bCs/>
                <w:color w:val="auto"/>
                <w:szCs w:val="21"/>
              </w:rPr>
              <w:t>3</w:t>
            </w:r>
          </w:p>
        </w:tc>
        <w:tc>
          <w:tcPr>
            <w:tcW w:w="1908" w:type="dxa"/>
            <w:tcBorders>
              <w:top w:val="single" w:color="auto" w:sz="4" w:space="0"/>
              <w:left w:val="single" w:color="auto" w:sz="4" w:space="0"/>
              <w:bottom w:val="single" w:color="auto" w:sz="4" w:space="0"/>
              <w:right w:val="single" w:color="auto" w:sz="4" w:space="0"/>
            </w:tcBorders>
            <w:vAlign w:val="center"/>
          </w:tcPr>
          <w:p w14:paraId="35E61050">
            <w:pPr>
              <w:spacing w:line="360" w:lineRule="auto"/>
              <w:jc w:val="center"/>
              <w:rPr>
                <w:rFonts w:ascii="宋体" w:hAnsi="宋体"/>
                <w:color w:val="auto"/>
                <w:szCs w:val="21"/>
              </w:rPr>
            </w:pPr>
            <w:r>
              <w:rPr>
                <w:rFonts w:hint="eastAsia" w:ascii="宋体" w:hAnsi="宋体"/>
                <w:color w:val="auto"/>
                <w:szCs w:val="21"/>
              </w:rPr>
              <w:t>供货期</w:t>
            </w:r>
          </w:p>
        </w:tc>
        <w:tc>
          <w:tcPr>
            <w:tcW w:w="6848" w:type="dxa"/>
            <w:tcBorders>
              <w:top w:val="single" w:color="auto" w:sz="4" w:space="0"/>
              <w:left w:val="single" w:color="auto" w:sz="4" w:space="0"/>
              <w:bottom w:val="single" w:color="auto" w:sz="4" w:space="0"/>
              <w:right w:val="single" w:color="auto" w:sz="4" w:space="0"/>
            </w:tcBorders>
            <w:vAlign w:val="center"/>
          </w:tcPr>
          <w:p w14:paraId="0B0FE0E9">
            <w:pPr>
              <w:spacing w:line="360" w:lineRule="auto"/>
              <w:jc w:val="center"/>
              <w:rPr>
                <w:rFonts w:ascii="宋体" w:hAnsi="宋体"/>
                <w:b/>
                <w:color w:val="auto"/>
                <w:szCs w:val="21"/>
              </w:rPr>
            </w:pPr>
          </w:p>
        </w:tc>
      </w:tr>
      <w:tr w14:paraId="114B9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626" w:type="dxa"/>
            <w:tcBorders>
              <w:top w:val="single" w:color="auto" w:sz="4" w:space="0"/>
              <w:left w:val="single" w:color="auto" w:sz="4" w:space="0"/>
              <w:bottom w:val="single" w:color="auto" w:sz="4" w:space="0"/>
              <w:right w:val="single" w:color="auto" w:sz="4" w:space="0"/>
            </w:tcBorders>
            <w:vAlign w:val="center"/>
          </w:tcPr>
          <w:p w14:paraId="272312D1">
            <w:pPr>
              <w:spacing w:line="360" w:lineRule="auto"/>
              <w:jc w:val="center"/>
              <w:rPr>
                <w:rFonts w:hint="eastAsia" w:ascii="宋体" w:hAnsi="宋体" w:eastAsia="宋体"/>
                <w:bCs/>
                <w:color w:val="auto"/>
                <w:szCs w:val="21"/>
                <w:lang w:val="en-US" w:eastAsia="zh-CN"/>
              </w:rPr>
            </w:pPr>
            <w:r>
              <w:rPr>
                <w:rFonts w:hint="eastAsia" w:ascii="宋体" w:hAnsi="宋体"/>
                <w:bCs/>
                <w:color w:val="auto"/>
                <w:szCs w:val="21"/>
                <w:lang w:val="en-US" w:eastAsia="zh-CN"/>
              </w:rPr>
              <w:t>4</w:t>
            </w:r>
          </w:p>
        </w:tc>
        <w:tc>
          <w:tcPr>
            <w:tcW w:w="1908" w:type="dxa"/>
            <w:tcBorders>
              <w:top w:val="single" w:color="auto" w:sz="4" w:space="0"/>
              <w:left w:val="single" w:color="auto" w:sz="4" w:space="0"/>
              <w:bottom w:val="single" w:color="auto" w:sz="4" w:space="0"/>
              <w:right w:val="single" w:color="auto" w:sz="4" w:space="0"/>
            </w:tcBorders>
            <w:vAlign w:val="center"/>
          </w:tcPr>
          <w:p w14:paraId="781633B3">
            <w:pPr>
              <w:spacing w:line="360" w:lineRule="auto"/>
              <w:jc w:val="center"/>
              <w:rPr>
                <w:rFonts w:hint="eastAsia" w:ascii="宋体" w:hAnsi="宋体" w:eastAsia="宋体"/>
                <w:color w:val="auto"/>
                <w:szCs w:val="21"/>
                <w:lang w:val="en-US" w:eastAsia="zh-CN"/>
              </w:rPr>
            </w:pPr>
            <w:r>
              <w:rPr>
                <w:rFonts w:hint="eastAsia" w:ascii="宋体" w:hAnsi="宋体"/>
                <w:color w:val="auto"/>
                <w:szCs w:val="21"/>
                <w:lang w:val="en-US" w:eastAsia="zh-CN"/>
              </w:rPr>
              <w:t>质保期</w:t>
            </w:r>
          </w:p>
        </w:tc>
        <w:tc>
          <w:tcPr>
            <w:tcW w:w="6848" w:type="dxa"/>
            <w:tcBorders>
              <w:top w:val="single" w:color="auto" w:sz="4" w:space="0"/>
              <w:left w:val="single" w:color="auto" w:sz="4" w:space="0"/>
              <w:bottom w:val="single" w:color="auto" w:sz="4" w:space="0"/>
              <w:right w:val="single" w:color="auto" w:sz="4" w:space="0"/>
            </w:tcBorders>
            <w:vAlign w:val="center"/>
          </w:tcPr>
          <w:p w14:paraId="75F662C6">
            <w:pPr>
              <w:spacing w:line="360" w:lineRule="auto"/>
              <w:jc w:val="center"/>
              <w:rPr>
                <w:rFonts w:ascii="宋体" w:hAnsi="宋体"/>
                <w:b/>
                <w:color w:val="auto"/>
                <w:szCs w:val="21"/>
              </w:rPr>
            </w:pPr>
          </w:p>
        </w:tc>
      </w:tr>
      <w:tr w14:paraId="0A6DB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626" w:type="dxa"/>
            <w:tcBorders>
              <w:top w:val="single" w:color="auto" w:sz="4" w:space="0"/>
              <w:left w:val="single" w:color="auto" w:sz="4" w:space="0"/>
              <w:bottom w:val="single" w:color="auto" w:sz="4" w:space="0"/>
              <w:right w:val="single" w:color="auto" w:sz="4" w:space="0"/>
            </w:tcBorders>
            <w:vAlign w:val="center"/>
          </w:tcPr>
          <w:p w14:paraId="0DA49B7B">
            <w:pPr>
              <w:spacing w:line="360" w:lineRule="auto"/>
              <w:jc w:val="center"/>
              <w:rPr>
                <w:rFonts w:hint="eastAsia" w:ascii="宋体" w:hAnsi="宋体" w:eastAsia="宋体"/>
                <w:bCs/>
                <w:color w:val="auto"/>
                <w:szCs w:val="21"/>
                <w:lang w:eastAsia="zh-CN"/>
              </w:rPr>
            </w:pPr>
            <w:r>
              <w:rPr>
                <w:rFonts w:hint="eastAsia" w:ascii="宋体" w:hAnsi="宋体"/>
                <w:bCs/>
                <w:color w:val="auto"/>
                <w:szCs w:val="21"/>
                <w:lang w:val="en-US" w:eastAsia="zh-CN"/>
              </w:rPr>
              <w:t>5</w:t>
            </w:r>
          </w:p>
        </w:tc>
        <w:tc>
          <w:tcPr>
            <w:tcW w:w="1908" w:type="dxa"/>
            <w:tcBorders>
              <w:top w:val="single" w:color="auto" w:sz="4" w:space="0"/>
              <w:left w:val="single" w:color="auto" w:sz="4" w:space="0"/>
              <w:bottom w:val="single" w:color="auto" w:sz="4" w:space="0"/>
              <w:right w:val="single" w:color="auto" w:sz="4" w:space="0"/>
            </w:tcBorders>
            <w:vAlign w:val="center"/>
          </w:tcPr>
          <w:p w14:paraId="09D1373B">
            <w:pPr>
              <w:spacing w:line="360" w:lineRule="auto"/>
              <w:jc w:val="center"/>
              <w:rPr>
                <w:rFonts w:ascii="宋体" w:hAnsi="宋体"/>
                <w:color w:val="auto"/>
                <w:szCs w:val="21"/>
              </w:rPr>
            </w:pPr>
            <w:r>
              <w:rPr>
                <w:rFonts w:hint="eastAsia" w:ascii="宋体" w:hAnsi="宋体"/>
                <w:color w:val="auto"/>
                <w:szCs w:val="21"/>
              </w:rPr>
              <w:t>说明</w:t>
            </w:r>
          </w:p>
        </w:tc>
        <w:tc>
          <w:tcPr>
            <w:tcW w:w="6848" w:type="dxa"/>
            <w:tcBorders>
              <w:top w:val="single" w:color="auto" w:sz="4" w:space="0"/>
              <w:left w:val="single" w:color="auto" w:sz="4" w:space="0"/>
              <w:bottom w:val="single" w:color="auto" w:sz="4" w:space="0"/>
              <w:right w:val="single" w:color="auto" w:sz="4" w:space="0"/>
            </w:tcBorders>
            <w:vAlign w:val="center"/>
          </w:tcPr>
          <w:p w14:paraId="4070340D">
            <w:pPr>
              <w:spacing w:line="360" w:lineRule="auto"/>
              <w:rPr>
                <w:rFonts w:ascii="宋体" w:hAnsi="宋体"/>
                <w:color w:val="auto"/>
                <w:szCs w:val="21"/>
              </w:rPr>
            </w:pPr>
          </w:p>
        </w:tc>
      </w:tr>
    </w:tbl>
    <w:p w14:paraId="0A77629D">
      <w:pPr>
        <w:spacing w:line="360" w:lineRule="auto"/>
        <w:rPr>
          <w:rFonts w:ascii="宋体" w:hAnsi="宋体"/>
          <w:bCs/>
          <w:color w:val="auto"/>
          <w:szCs w:val="21"/>
        </w:rPr>
      </w:pPr>
    </w:p>
    <w:p w14:paraId="35987B8F">
      <w:pPr>
        <w:spacing w:line="360" w:lineRule="auto"/>
        <w:rPr>
          <w:rFonts w:ascii="宋体" w:hAnsi="宋体"/>
          <w:bCs/>
          <w:color w:val="auto"/>
          <w:szCs w:val="21"/>
        </w:rPr>
      </w:pPr>
      <w:r>
        <w:rPr>
          <w:rFonts w:hint="eastAsia" w:ascii="宋体" w:hAnsi="宋体"/>
          <w:bCs/>
          <w:color w:val="auto"/>
          <w:szCs w:val="21"/>
        </w:rPr>
        <w:t>投标人：</w:t>
      </w:r>
      <w:r>
        <w:rPr>
          <w:rFonts w:hint="eastAsia" w:ascii="宋体" w:hAnsi="宋体"/>
          <w:bCs/>
          <w:color w:val="auto"/>
          <w:szCs w:val="21"/>
          <w:u w:val="single"/>
        </w:rPr>
        <w:t xml:space="preserve">  （电子签章）         </w:t>
      </w:r>
    </w:p>
    <w:p w14:paraId="1EF0E8FF">
      <w:pPr>
        <w:spacing w:line="360" w:lineRule="auto"/>
        <w:rPr>
          <w:rFonts w:ascii="宋体" w:hAnsi="宋体"/>
          <w:bCs/>
          <w:color w:val="auto"/>
          <w:szCs w:val="21"/>
        </w:rPr>
      </w:pPr>
      <w:r>
        <w:rPr>
          <w:rFonts w:hint="eastAsia" w:ascii="宋体" w:hAnsi="宋体"/>
          <w:bCs/>
          <w:color w:val="auto"/>
          <w:szCs w:val="21"/>
        </w:rPr>
        <w:t>投标人法定代表人（电子签章）：</w:t>
      </w:r>
      <w:r>
        <w:rPr>
          <w:rFonts w:hint="eastAsia" w:ascii="宋体" w:hAnsi="宋体"/>
          <w:bCs/>
          <w:color w:val="auto"/>
          <w:szCs w:val="21"/>
          <w:u w:val="single"/>
        </w:rPr>
        <w:t xml:space="preserve">              </w:t>
      </w:r>
    </w:p>
    <w:p w14:paraId="15AA7E30">
      <w:pPr>
        <w:spacing w:line="360" w:lineRule="auto"/>
        <w:rPr>
          <w:rFonts w:ascii="宋体" w:hAnsi="宋体"/>
          <w:b/>
          <w:color w:val="auto"/>
        </w:rPr>
      </w:pPr>
      <w:r>
        <w:rPr>
          <w:rFonts w:hint="eastAsia" w:ascii="宋体" w:hAnsi="宋体"/>
          <w:color w:val="auto"/>
          <w:szCs w:val="21"/>
        </w:rPr>
        <w:t>填表时间：</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r>
        <w:rPr>
          <w:rFonts w:hint="eastAsia" w:ascii="宋体" w:hAnsi="宋体"/>
          <w:b/>
          <w:color w:val="auto"/>
        </w:rPr>
        <w:t xml:space="preserve"> </w:t>
      </w:r>
    </w:p>
    <w:p w14:paraId="02DD8D7D">
      <w:pPr>
        <w:spacing w:line="360" w:lineRule="auto"/>
        <w:rPr>
          <w:rFonts w:ascii="宋体" w:hAnsi="宋体"/>
          <w:b/>
          <w:color w:val="auto"/>
        </w:rPr>
      </w:pPr>
    </w:p>
    <w:p w14:paraId="1E8A65E7">
      <w:pPr>
        <w:spacing w:line="360" w:lineRule="auto"/>
        <w:rPr>
          <w:rFonts w:ascii="宋体" w:hAnsi="宋体"/>
          <w:b/>
          <w:color w:val="auto"/>
        </w:rPr>
      </w:pPr>
    </w:p>
    <w:p w14:paraId="0330DCA2">
      <w:pPr>
        <w:spacing w:line="360" w:lineRule="auto"/>
        <w:rPr>
          <w:rFonts w:ascii="宋体" w:hAnsi="宋体"/>
          <w:b/>
          <w:color w:val="auto"/>
        </w:rPr>
      </w:pPr>
    </w:p>
    <w:p w14:paraId="0CBD5425">
      <w:pPr>
        <w:spacing w:line="360" w:lineRule="auto"/>
        <w:rPr>
          <w:rFonts w:ascii="宋体" w:hAnsi="宋体"/>
          <w:b/>
          <w:color w:val="auto"/>
        </w:rPr>
      </w:pPr>
    </w:p>
    <w:p w14:paraId="60D00C95">
      <w:pPr>
        <w:spacing w:line="360" w:lineRule="auto"/>
        <w:rPr>
          <w:rFonts w:ascii="宋体" w:hAnsi="宋体"/>
          <w:b/>
          <w:color w:val="auto"/>
        </w:rPr>
      </w:pPr>
    </w:p>
    <w:p w14:paraId="2F255551">
      <w:pPr>
        <w:spacing w:line="360" w:lineRule="auto"/>
        <w:rPr>
          <w:rFonts w:ascii="宋体" w:hAnsi="宋体"/>
          <w:b/>
          <w:color w:val="auto"/>
        </w:rPr>
      </w:pPr>
    </w:p>
    <w:p w14:paraId="59FB4B4F">
      <w:pPr>
        <w:spacing w:line="360" w:lineRule="auto"/>
        <w:rPr>
          <w:rFonts w:ascii="宋体" w:hAnsi="宋体"/>
          <w:b/>
          <w:color w:val="auto"/>
        </w:rPr>
      </w:pPr>
    </w:p>
    <w:p w14:paraId="35495D75">
      <w:pPr>
        <w:spacing w:line="360" w:lineRule="auto"/>
        <w:rPr>
          <w:rFonts w:ascii="宋体" w:hAnsi="宋体"/>
          <w:b/>
          <w:color w:val="auto"/>
        </w:rPr>
      </w:pPr>
    </w:p>
    <w:p w14:paraId="45879E07">
      <w:pPr>
        <w:spacing w:line="360" w:lineRule="auto"/>
        <w:rPr>
          <w:rFonts w:ascii="宋体" w:hAnsi="宋体"/>
          <w:b/>
          <w:color w:val="auto"/>
        </w:rPr>
      </w:pPr>
    </w:p>
    <w:tbl>
      <w:tblPr>
        <w:tblStyle w:val="27"/>
        <w:tblW w:w="10548" w:type="dxa"/>
        <w:tblInd w:w="0" w:type="dxa"/>
        <w:tblLayout w:type="fixed"/>
        <w:tblCellMar>
          <w:top w:w="0" w:type="dxa"/>
          <w:left w:w="108" w:type="dxa"/>
          <w:bottom w:w="0" w:type="dxa"/>
          <w:right w:w="108" w:type="dxa"/>
        </w:tblCellMar>
      </w:tblPr>
      <w:tblGrid>
        <w:gridCol w:w="755"/>
        <w:gridCol w:w="1246"/>
        <w:gridCol w:w="1158"/>
        <w:gridCol w:w="1500"/>
        <w:gridCol w:w="777"/>
        <w:gridCol w:w="967"/>
        <w:gridCol w:w="1154"/>
        <w:gridCol w:w="1102"/>
        <w:gridCol w:w="891"/>
        <w:gridCol w:w="944"/>
        <w:gridCol w:w="54"/>
      </w:tblGrid>
      <w:tr w14:paraId="6F1B19D9">
        <w:tblPrEx>
          <w:tblCellMar>
            <w:top w:w="0" w:type="dxa"/>
            <w:left w:w="108" w:type="dxa"/>
            <w:bottom w:w="0" w:type="dxa"/>
            <w:right w:w="108" w:type="dxa"/>
          </w:tblCellMar>
        </w:tblPrEx>
        <w:trPr>
          <w:gridAfter w:val="1"/>
          <w:wAfter w:w="54" w:type="dxa"/>
          <w:trHeight w:val="696" w:hRule="atLeast"/>
        </w:trPr>
        <w:tc>
          <w:tcPr>
            <w:tcW w:w="10494" w:type="dxa"/>
            <w:gridSpan w:val="10"/>
            <w:tcBorders>
              <w:top w:val="nil"/>
              <w:left w:val="nil"/>
              <w:bottom w:val="single" w:color="auto" w:sz="4" w:space="0"/>
              <w:right w:val="nil"/>
            </w:tcBorders>
            <w:noWrap/>
            <w:vAlign w:val="center"/>
          </w:tcPr>
          <w:p w14:paraId="4224FD8B">
            <w:pPr>
              <w:pStyle w:val="6"/>
              <w:spacing w:line="240" w:lineRule="auto"/>
              <w:jc w:val="center"/>
              <w:rPr>
                <w:rFonts w:ascii="宋体" w:hAnsi="宋体" w:cs="宋体"/>
                <w:color w:val="auto"/>
                <w:sz w:val="28"/>
                <w:szCs w:val="28"/>
              </w:rPr>
            </w:pPr>
            <w:bookmarkStart w:id="673" w:name="_Toc16972"/>
            <w:bookmarkStart w:id="674" w:name="_Toc8251"/>
            <w:r>
              <w:rPr>
                <w:rFonts w:hint="eastAsia" w:ascii="宋体" w:hAnsi="宋体"/>
                <w:color w:val="auto"/>
                <w:sz w:val="28"/>
              </w:rPr>
              <w:t>二、</w:t>
            </w:r>
            <w:r>
              <w:rPr>
                <w:rFonts w:hint="eastAsia" w:ascii="宋体" w:hAnsi="宋体" w:cs="宋体"/>
                <w:color w:val="auto"/>
                <w:sz w:val="28"/>
                <w:szCs w:val="28"/>
              </w:rPr>
              <w:t>分项报价表</w:t>
            </w:r>
            <w:bookmarkEnd w:id="673"/>
            <w:bookmarkEnd w:id="674"/>
          </w:p>
        </w:tc>
      </w:tr>
      <w:tr w14:paraId="27902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755" w:type="dxa"/>
            <w:vAlign w:val="center"/>
          </w:tcPr>
          <w:p w14:paraId="2868FE41">
            <w:pPr>
              <w:pStyle w:val="16"/>
              <w:spacing w:line="240" w:lineRule="atLeast"/>
              <w:rPr>
                <w:rFonts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序号</w:t>
            </w:r>
          </w:p>
        </w:tc>
        <w:tc>
          <w:tcPr>
            <w:tcW w:w="1246" w:type="dxa"/>
            <w:vAlign w:val="center"/>
          </w:tcPr>
          <w:p w14:paraId="797359A3">
            <w:pPr>
              <w:pStyle w:val="16"/>
              <w:spacing w:line="240" w:lineRule="atLeast"/>
              <w:jc w:val="center"/>
              <w:rPr>
                <w:rFonts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分项名称</w:t>
            </w:r>
          </w:p>
        </w:tc>
        <w:tc>
          <w:tcPr>
            <w:tcW w:w="1158" w:type="dxa"/>
            <w:vAlign w:val="center"/>
          </w:tcPr>
          <w:p w14:paraId="6A48FE46">
            <w:pPr>
              <w:pStyle w:val="16"/>
              <w:spacing w:line="240" w:lineRule="atLeast"/>
              <w:jc w:val="center"/>
              <w:rPr>
                <w:rFonts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品牌</w:t>
            </w:r>
          </w:p>
        </w:tc>
        <w:tc>
          <w:tcPr>
            <w:tcW w:w="1500" w:type="dxa"/>
            <w:vAlign w:val="center"/>
          </w:tcPr>
          <w:p w14:paraId="3E7C767F">
            <w:pPr>
              <w:pStyle w:val="16"/>
              <w:spacing w:line="240" w:lineRule="atLeast"/>
              <w:jc w:val="center"/>
              <w:rPr>
                <w:rFonts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型号和规格</w:t>
            </w:r>
          </w:p>
        </w:tc>
        <w:tc>
          <w:tcPr>
            <w:tcW w:w="777" w:type="dxa"/>
            <w:vAlign w:val="center"/>
          </w:tcPr>
          <w:p w14:paraId="59258EC4">
            <w:pPr>
              <w:pStyle w:val="16"/>
              <w:spacing w:line="240" w:lineRule="atLeast"/>
              <w:jc w:val="center"/>
              <w:rPr>
                <w:rFonts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数量</w:t>
            </w:r>
          </w:p>
        </w:tc>
        <w:tc>
          <w:tcPr>
            <w:tcW w:w="967" w:type="dxa"/>
            <w:vAlign w:val="center"/>
          </w:tcPr>
          <w:p w14:paraId="08548BCE">
            <w:pPr>
              <w:pStyle w:val="16"/>
              <w:spacing w:line="240" w:lineRule="atLeast"/>
              <w:jc w:val="center"/>
              <w:rPr>
                <w:rFonts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原产地</w:t>
            </w:r>
          </w:p>
        </w:tc>
        <w:tc>
          <w:tcPr>
            <w:tcW w:w="1154" w:type="dxa"/>
            <w:vAlign w:val="center"/>
          </w:tcPr>
          <w:p w14:paraId="0EB1D88B">
            <w:pPr>
              <w:pStyle w:val="16"/>
              <w:spacing w:line="240" w:lineRule="atLeast"/>
              <w:jc w:val="center"/>
              <w:rPr>
                <w:rFonts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制造商名称</w:t>
            </w:r>
          </w:p>
        </w:tc>
        <w:tc>
          <w:tcPr>
            <w:tcW w:w="1102" w:type="dxa"/>
            <w:vAlign w:val="center"/>
          </w:tcPr>
          <w:p w14:paraId="57A03A4B">
            <w:pPr>
              <w:pStyle w:val="16"/>
              <w:spacing w:line="240" w:lineRule="atLeast"/>
              <w:jc w:val="center"/>
              <w:rPr>
                <w:rFonts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单价（元）</w:t>
            </w:r>
          </w:p>
        </w:tc>
        <w:tc>
          <w:tcPr>
            <w:tcW w:w="891" w:type="dxa"/>
            <w:vAlign w:val="center"/>
          </w:tcPr>
          <w:p w14:paraId="3F5EFA48">
            <w:pPr>
              <w:pStyle w:val="16"/>
              <w:spacing w:line="240" w:lineRule="atLeast"/>
              <w:jc w:val="center"/>
              <w:rPr>
                <w:rFonts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合价（元）</w:t>
            </w:r>
          </w:p>
        </w:tc>
        <w:tc>
          <w:tcPr>
            <w:tcW w:w="998" w:type="dxa"/>
            <w:gridSpan w:val="2"/>
            <w:vAlign w:val="center"/>
          </w:tcPr>
          <w:p w14:paraId="3D57F1C1">
            <w:pPr>
              <w:pStyle w:val="16"/>
              <w:spacing w:line="240" w:lineRule="atLeast"/>
              <w:jc w:val="center"/>
              <w:rPr>
                <w:rFonts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备注</w:t>
            </w:r>
          </w:p>
        </w:tc>
      </w:tr>
      <w:tr w14:paraId="47D17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755" w:type="dxa"/>
            <w:vAlign w:val="center"/>
          </w:tcPr>
          <w:p w14:paraId="2C7E2DBF">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1246" w:type="dxa"/>
            <w:vAlign w:val="center"/>
          </w:tcPr>
          <w:p w14:paraId="00536A0A">
            <w:pPr>
              <w:pStyle w:val="16"/>
              <w:spacing w:line="240" w:lineRule="atLeast"/>
              <w:jc w:val="center"/>
              <w:rPr>
                <w:rFonts w:asciiTheme="minorEastAsia" w:hAnsiTheme="minorEastAsia" w:eastAsiaTheme="minorEastAsia" w:cstheme="minorEastAsia"/>
                <w:color w:val="auto"/>
                <w:sz w:val="21"/>
                <w:szCs w:val="21"/>
              </w:rPr>
            </w:pPr>
          </w:p>
        </w:tc>
        <w:tc>
          <w:tcPr>
            <w:tcW w:w="1158" w:type="dxa"/>
            <w:vAlign w:val="center"/>
          </w:tcPr>
          <w:p w14:paraId="7935C3F5">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1500" w:type="dxa"/>
            <w:vAlign w:val="center"/>
          </w:tcPr>
          <w:p w14:paraId="05421D90">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777" w:type="dxa"/>
            <w:vAlign w:val="center"/>
          </w:tcPr>
          <w:p w14:paraId="09D077C8">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967" w:type="dxa"/>
            <w:vAlign w:val="center"/>
          </w:tcPr>
          <w:p w14:paraId="19F0582F">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1154" w:type="dxa"/>
            <w:vAlign w:val="center"/>
          </w:tcPr>
          <w:p w14:paraId="2A84F079">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1102" w:type="dxa"/>
            <w:vAlign w:val="center"/>
          </w:tcPr>
          <w:p w14:paraId="6F4A120B">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891" w:type="dxa"/>
            <w:vAlign w:val="center"/>
          </w:tcPr>
          <w:p w14:paraId="41658BB4">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998" w:type="dxa"/>
            <w:gridSpan w:val="2"/>
            <w:vAlign w:val="center"/>
          </w:tcPr>
          <w:p w14:paraId="6956AF9E">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r>
      <w:tr w14:paraId="142B5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5" w:type="dxa"/>
            <w:vAlign w:val="center"/>
          </w:tcPr>
          <w:p w14:paraId="20FF75EA">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1246" w:type="dxa"/>
            <w:vAlign w:val="center"/>
          </w:tcPr>
          <w:p w14:paraId="52FB75CF">
            <w:pPr>
              <w:pStyle w:val="16"/>
              <w:spacing w:line="240" w:lineRule="atLeast"/>
              <w:jc w:val="center"/>
              <w:rPr>
                <w:rFonts w:asciiTheme="minorEastAsia" w:hAnsiTheme="minorEastAsia" w:eastAsiaTheme="minorEastAsia" w:cstheme="minorEastAsia"/>
                <w:color w:val="auto"/>
                <w:sz w:val="21"/>
                <w:szCs w:val="21"/>
              </w:rPr>
            </w:pPr>
          </w:p>
        </w:tc>
        <w:tc>
          <w:tcPr>
            <w:tcW w:w="1158" w:type="dxa"/>
            <w:vAlign w:val="center"/>
          </w:tcPr>
          <w:p w14:paraId="3C1C6CD5">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1500" w:type="dxa"/>
            <w:vAlign w:val="center"/>
          </w:tcPr>
          <w:p w14:paraId="0BE91CDE">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777" w:type="dxa"/>
            <w:vAlign w:val="center"/>
          </w:tcPr>
          <w:p w14:paraId="1B2EF1E7">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967" w:type="dxa"/>
            <w:vAlign w:val="center"/>
          </w:tcPr>
          <w:p w14:paraId="4C7C75C6">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1154" w:type="dxa"/>
            <w:vAlign w:val="center"/>
          </w:tcPr>
          <w:p w14:paraId="460D04D7">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1102" w:type="dxa"/>
            <w:vAlign w:val="center"/>
          </w:tcPr>
          <w:p w14:paraId="22A7DE24">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891" w:type="dxa"/>
            <w:vAlign w:val="center"/>
          </w:tcPr>
          <w:p w14:paraId="31443D87">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998" w:type="dxa"/>
            <w:gridSpan w:val="2"/>
            <w:vAlign w:val="center"/>
          </w:tcPr>
          <w:p w14:paraId="5765D22C">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r>
      <w:tr w14:paraId="4BDBE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5" w:type="dxa"/>
            <w:vAlign w:val="center"/>
          </w:tcPr>
          <w:p w14:paraId="421CE3DD">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1246" w:type="dxa"/>
            <w:vAlign w:val="center"/>
          </w:tcPr>
          <w:p w14:paraId="018B0FB4">
            <w:pPr>
              <w:pStyle w:val="16"/>
              <w:spacing w:line="240" w:lineRule="atLeast"/>
              <w:jc w:val="center"/>
              <w:rPr>
                <w:rFonts w:asciiTheme="minorEastAsia" w:hAnsiTheme="minorEastAsia" w:eastAsiaTheme="minorEastAsia" w:cstheme="minorEastAsia"/>
                <w:color w:val="auto"/>
                <w:sz w:val="21"/>
                <w:szCs w:val="21"/>
              </w:rPr>
            </w:pPr>
          </w:p>
        </w:tc>
        <w:tc>
          <w:tcPr>
            <w:tcW w:w="1158" w:type="dxa"/>
            <w:vAlign w:val="center"/>
          </w:tcPr>
          <w:p w14:paraId="1647F34F">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1500" w:type="dxa"/>
            <w:vAlign w:val="center"/>
          </w:tcPr>
          <w:p w14:paraId="676387BC">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777" w:type="dxa"/>
            <w:vAlign w:val="center"/>
          </w:tcPr>
          <w:p w14:paraId="204547A9">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967" w:type="dxa"/>
            <w:vAlign w:val="center"/>
          </w:tcPr>
          <w:p w14:paraId="425A1B71">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1154" w:type="dxa"/>
            <w:vAlign w:val="center"/>
          </w:tcPr>
          <w:p w14:paraId="642F7969">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1102" w:type="dxa"/>
            <w:vAlign w:val="center"/>
          </w:tcPr>
          <w:p w14:paraId="26D82B57">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891" w:type="dxa"/>
            <w:vAlign w:val="center"/>
          </w:tcPr>
          <w:p w14:paraId="77E954AA">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998" w:type="dxa"/>
            <w:gridSpan w:val="2"/>
            <w:vAlign w:val="center"/>
          </w:tcPr>
          <w:p w14:paraId="69B1BCD9">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r>
      <w:tr w14:paraId="6F2AC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5" w:type="dxa"/>
            <w:vAlign w:val="center"/>
          </w:tcPr>
          <w:p w14:paraId="34B7047A">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w:t>
            </w:r>
          </w:p>
        </w:tc>
        <w:tc>
          <w:tcPr>
            <w:tcW w:w="1246" w:type="dxa"/>
            <w:vAlign w:val="center"/>
          </w:tcPr>
          <w:p w14:paraId="48DC746B">
            <w:pPr>
              <w:pStyle w:val="16"/>
              <w:spacing w:line="240" w:lineRule="atLeast"/>
              <w:jc w:val="center"/>
              <w:rPr>
                <w:rFonts w:asciiTheme="minorEastAsia" w:hAnsiTheme="minorEastAsia" w:eastAsiaTheme="minorEastAsia" w:cstheme="minorEastAsia"/>
                <w:color w:val="auto"/>
                <w:sz w:val="21"/>
                <w:szCs w:val="21"/>
              </w:rPr>
            </w:pPr>
          </w:p>
        </w:tc>
        <w:tc>
          <w:tcPr>
            <w:tcW w:w="1158" w:type="dxa"/>
            <w:vAlign w:val="center"/>
          </w:tcPr>
          <w:p w14:paraId="1118B60A">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1500" w:type="dxa"/>
            <w:vAlign w:val="center"/>
          </w:tcPr>
          <w:p w14:paraId="3E1B85CD">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777" w:type="dxa"/>
            <w:vAlign w:val="center"/>
          </w:tcPr>
          <w:p w14:paraId="007AC849">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967" w:type="dxa"/>
            <w:vAlign w:val="center"/>
          </w:tcPr>
          <w:p w14:paraId="766CE9A5">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1154" w:type="dxa"/>
            <w:vAlign w:val="center"/>
          </w:tcPr>
          <w:p w14:paraId="2C436DB6">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1102" w:type="dxa"/>
            <w:vAlign w:val="center"/>
          </w:tcPr>
          <w:p w14:paraId="60684669">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891" w:type="dxa"/>
            <w:vAlign w:val="center"/>
          </w:tcPr>
          <w:p w14:paraId="19D0F2C8">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998" w:type="dxa"/>
            <w:gridSpan w:val="2"/>
            <w:vAlign w:val="center"/>
          </w:tcPr>
          <w:p w14:paraId="2100CE19">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r>
      <w:tr w14:paraId="4495C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55" w:type="dxa"/>
            <w:vAlign w:val="center"/>
          </w:tcPr>
          <w:p w14:paraId="6F88B25A">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w:t>
            </w:r>
          </w:p>
        </w:tc>
        <w:tc>
          <w:tcPr>
            <w:tcW w:w="1246" w:type="dxa"/>
            <w:vAlign w:val="center"/>
          </w:tcPr>
          <w:p w14:paraId="3513224B">
            <w:pPr>
              <w:pStyle w:val="16"/>
              <w:spacing w:line="240" w:lineRule="atLeast"/>
              <w:jc w:val="center"/>
              <w:rPr>
                <w:rFonts w:asciiTheme="minorEastAsia" w:hAnsiTheme="minorEastAsia" w:eastAsiaTheme="minorEastAsia" w:cstheme="minorEastAsia"/>
                <w:color w:val="auto"/>
                <w:sz w:val="21"/>
                <w:szCs w:val="21"/>
              </w:rPr>
            </w:pPr>
          </w:p>
        </w:tc>
        <w:tc>
          <w:tcPr>
            <w:tcW w:w="1158" w:type="dxa"/>
            <w:vAlign w:val="center"/>
          </w:tcPr>
          <w:p w14:paraId="30DB6362">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1500" w:type="dxa"/>
            <w:vAlign w:val="center"/>
          </w:tcPr>
          <w:p w14:paraId="3D338859">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777" w:type="dxa"/>
            <w:vAlign w:val="center"/>
          </w:tcPr>
          <w:p w14:paraId="283D34B1">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967" w:type="dxa"/>
            <w:vAlign w:val="center"/>
          </w:tcPr>
          <w:p w14:paraId="64B9CAF5">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1154" w:type="dxa"/>
            <w:vAlign w:val="center"/>
          </w:tcPr>
          <w:p w14:paraId="0B622AC5">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1102" w:type="dxa"/>
            <w:vAlign w:val="center"/>
          </w:tcPr>
          <w:p w14:paraId="3F366B66">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891" w:type="dxa"/>
            <w:vAlign w:val="center"/>
          </w:tcPr>
          <w:p w14:paraId="10B038A7">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998" w:type="dxa"/>
            <w:gridSpan w:val="2"/>
            <w:vAlign w:val="center"/>
          </w:tcPr>
          <w:p w14:paraId="09243E14">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r>
      <w:tr w14:paraId="21425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5" w:type="dxa"/>
            <w:vAlign w:val="center"/>
          </w:tcPr>
          <w:p w14:paraId="1FFE6646">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1246" w:type="dxa"/>
            <w:vAlign w:val="center"/>
          </w:tcPr>
          <w:p w14:paraId="5E5E6423">
            <w:pPr>
              <w:pStyle w:val="16"/>
              <w:spacing w:line="240" w:lineRule="atLeast"/>
              <w:jc w:val="center"/>
              <w:rPr>
                <w:rFonts w:asciiTheme="minorEastAsia" w:hAnsiTheme="minorEastAsia" w:eastAsiaTheme="minorEastAsia" w:cstheme="minorEastAsia"/>
                <w:color w:val="auto"/>
                <w:sz w:val="21"/>
                <w:szCs w:val="21"/>
              </w:rPr>
            </w:pPr>
          </w:p>
        </w:tc>
        <w:tc>
          <w:tcPr>
            <w:tcW w:w="1158" w:type="dxa"/>
            <w:vAlign w:val="center"/>
          </w:tcPr>
          <w:p w14:paraId="44AD055A">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1500" w:type="dxa"/>
            <w:vAlign w:val="center"/>
          </w:tcPr>
          <w:p w14:paraId="5019E382">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777" w:type="dxa"/>
            <w:vAlign w:val="center"/>
          </w:tcPr>
          <w:p w14:paraId="75DA5E71">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967" w:type="dxa"/>
            <w:vAlign w:val="center"/>
          </w:tcPr>
          <w:p w14:paraId="10D0E6FE">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1154" w:type="dxa"/>
            <w:vAlign w:val="center"/>
          </w:tcPr>
          <w:p w14:paraId="42D7D3BA">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1102" w:type="dxa"/>
            <w:vAlign w:val="center"/>
          </w:tcPr>
          <w:p w14:paraId="486D0337">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891" w:type="dxa"/>
            <w:vAlign w:val="center"/>
          </w:tcPr>
          <w:p w14:paraId="4B6FA2DF">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c>
          <w:tcPr>
            <w:tcW w:w="998" w:type="dxa"/>
            <w:gridSpan w:val="2"/>
            <w:vAlign w:val="center"/>
          </w:tcPr>
          <w:p w14:paraId="6B9C7407">
            <w:pPr>
              <w:pStyle w:val="16"/>
              <w:spacing w:line="240" w:lineRule="atLeast"/>
              <w:ind w:left="1080" w:leftChars="257" w:hanging="540"/>
              <w:jc w:val="center"/>
              <w:rPr>
                <w:rFonts w:asciiTheme="minorEastAsia" w:hAnsiTheme="minorEastAsia" w:eastAsiaTheme="minorEastAsia" w:cstheme="minorEastAsia"/>
                <w:color w:val="auto"/>
                <w:sz w:val="21"/>
                <w:szCs w:val="21"/>
              </w:rPr>
            </w:pPr>
          </w:p>
        </w:tc>
      </w:tr>
      <w:tr w14:paraId="737D6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548" w:type="dxa"/>
            <w:gridSpan w:val="11"/>
            <w:vAlign w:val="center"/>
          </w:tcPr>
          <w:p w14:paraId="4D8CFDB9">
            <w:pPr>
              <w:pStyle w:val="16"/>
              <w:spacing w:line="240" w:lineRule="atLeas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小计（元）：</w:t>
            </w:r>
          </w:p>
        </w:tc>
      </w:tr>
      <w:tr w14:paraId="78768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10548" w:type="dxa"/>
            <w:gridSpan w:val="11"/>
            <w:vAlign w:val="center"/>
          </w:tcPr>
          <w:p w14:paraId="26A76980">
            <w:pPr>
              <w:pStyle w:val="16"/>
              <w:spacing w:line="240" w:lineRule="atLeas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总价（元）：</w:t>
            </w:r>
          </w:p>
        </w:tc>
      </w:tr>
    </w:tbl>
    <w:p w14:paraId="510C3226">
      <w:pPr>
        <w:pStyle w:val="6"/>
        <w:spacing w:line="360" w:lineRule="auto"/>
        <w:jc w:val="center"/>
        <w:rPr>
          <w:rFonts w:asciiTheme="minorEastAsia" w:hAnsiTheme="minorEastAsia" w:eastAsiaTheme="minorEastAsia" w:cstheme="minorEastAsia"/>
          <w:color w:val="auto"/>
          <w:sz w:val="21"/>
          <w:szCs w:val="21"/>
        </w:rPr>
      </w:pPr>
      <w:bookmarkStart w:id="675" w:name="_Toc16234"/>
    </w:p>
    <w:p w14:paraId="44D00BC6">
      <w:pPr>
        <w:spacing w:line="360" w:lineRule="auto"/>
        <w:rPr>
          <w:rFonts w:ascii="宋体" w:hAnsi="宋体"/>
          <w:bCs/>
          <w:color w:val="auto"/>
          <w:szCs w:val="21"/>
        </w:rPr>
      </w:pPr>
      <w:r>
        <w:rPr>
          <w:rFonts w:hint="eastAsia" w:ascii="宋体" w:hAnsi="宋体"/>
          <w:bCs/>
          <w:color w:val="auto"/>
          <w:szCs w:val="21"/>
        </w:rPr>
        <w:t>投标人：</w:t>
      </w:r>
      <w:r>
        <w:rPr>
          <w:rFonts w:hint="eastAsia" w:ascii="宋体" w:hAnsi="宋体"/>
          <w:bCs/>
          <w:color w:val="auto"/>
          <w:szCs w:val="21"/>
          <w:u w:val="single"/>
        </w:rPr>
        <w:t xml:space="preserve">  （电子签章）         </w:t>
      </w:r>
    </w:p>
    <w:p w14:paraId="4AD5E9F3">
      <w:pPr>
        <w:spacing w:line="360" w:lineRule="auto"/>
        <w:rPr>
          <w:rFonts w:ascii="宋体" w:hAnsi="宋体"/>
          <w:bCs/>
          <w:color w:val="auto"/>
          <w:szCs w:val="21"/>
        </w:rPr>
      </w:pPr>
      <w:r>
        <w:rPr>
          <w:rFonts w:hint="eastAsia" w:ascii="宋体" w:hAnsi="宋体"/>
          <w:bCs/>
          <w:color w:val="auto"/>
          <w:szCs w:val="21"/>
        </w:rPr>
        <w:t>投标人法定代表人（电子签章）：</w:t>
      </w:r>
      <w:r>
        <w:rPr>
          <w:rFonts w:hint="eastAsia" w:ascii="宋体" w:hAnsi="宋体"/>
          <w:bCs/>
          <w:color w:val="auto"/>
          <w:szCs w:val="21"/>
          <w:u w:val="single"/>
        </w:rPr>
        <w:t xml:space="preserve">              </w:t>
      </w:r>
    </w:p>
    <w:p w14:paraId="2660B389">
      <w:pPr>
        <w:spacing w:line="360" w:lineRule="auto"/>
        <w:rPr>
          <w:rFonts w:ascii="宋体" w:hAnsi="宋体"/>
          <w:b/>
          <w:color w:val="auto"/>
        </w:rPr>
      </w:pPr>
      <w:r>
        <w:rPr>
          <w:rFonts w:hint="eastAsia" w:ascii="宋体" w:hAnsi="宋体"/>
          <w:color w:val="auto"/>
          <w:szCs w:val="21"/>
        </w:rPr>
        <w:t>填表时间：</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r>
        <w:rPr>
          <w:rFonts w:hint="eastAsia" w:ascii="宋体" w:hAnsi="宋体"/>
          <w:b/>
          <w:color w:val="auto"/>
        </w:rPr>
        <w:t xml:space="preserve"> </w:t>
      </w:r>
    </w:p>
    <w:p w14:paraId="266AA81E">
      <w:pPr>
        <w:spacing w:line="360" w:lineRule="auto"/>
        <w:rPr>
          <w:rFonts w:ascii="宋体" w:hAnsi="宋体"/>
          <w:b/>
          <w:color w:val="auto"/>
        </w:rPr>
      </w:pPr>
    </w:p>
    <w:p w14:paraId="4838D90E">
      <w:pPr>
        <w:spacing w:line="360" w:lineRule="auto"/>
        <w:rPr>
          <w:rFonts w:ascii="宋体" w:hAnsi="宋体"/>
          <w:b/>
          <w:color w:val="auto"/>
        </w:rPr>
      </w:pPr>
    </w:p>
    <w:p w14:paraId="1ECE113A">
      <w:pPr>
        <w:spacing w:line="360" w:lineRule="auto"/>
        <w:rPr>
          <w:rFonts w:ascii="宋体" w:hAnsi="宋体"/>
          <w:b/>
          <w:color w:val="auto"/>
        </w:rPr>
      </w:pPr>
    </w:p>
    <w:p w14:paraId="4098B9A9">
      <w:pPr>
        <w:spacing w:line="360" w:lineRule="auto"/>
        <w:rPr>
          <w:rFonts w:ascii="宋体" w:hAnsi="宋体"/>
          <w:b/>
          <w:color w:val="auto"/>
        </w:rPr>
      </w:pPr>
    </w:p>
    <w:p w14:paraId="104D37F0">
      <w:pPr>
        <w:spacing w:line="360" w:lineRule="auto"/>
        <w:rPr>
          <w:rFonts w:ascii="宋体" w:hAnsi="宋体"/>
          <w:b/>
          <w:color w:val="auto"/>
        </w:rPr>
      </w:pPr>
    </w:p>
    <w:p w14:paraId="1F6C4605">
      <w:pPr>
        <w:spacing w:line="360" w:lineRule="auto"/>
        <w:rPr>
          <w:rFonts w:ascii="宋体" w:hAnsi="宋体"/>
          <w:b/>
          <w:color w:val="auto"/>
        </w:rPr>
      </w:pPr>
    </w:p>
    <w:p w14:paraId="60A642D1">
      <w:pPr>
        <w:spacing w:line="360" w:lineRule="auto"/>
        <w:rPr>
          <w:rFonts w:ascii="宋体" w:hAnsi="宋体"/>
          <w:b/>
          <w:color w:val="auto"/>
        </w:rPr>
      </w:pPr>
    </w:p>
    <w:p w14:paraId="76A6D4A7">
      <w:pPr>
        <w:spacing w:line="360" w:lineRule="auto"/>
        <w:rPr>
          <w:rFonts w:ascii="宋体" w:hAnsi="宋体"/>
          <w:b/>
          <w:color w:val="auto"/>
        </w:rPr>
      </w:pPr>
    </w:p>
    <w:p w14:paraId="1C590E70">
      <w:pPr>
        <w:spacing w:line="360" w:lineRule="auto"/>
        <w:rPr>
          <w:rFonts w:ascii="宋体" w:hAnsi="宋体"/>
          <w:b/>
          <w:color w:val="auto"/>
        </w:rPr>
      </w:pPr>
    </w:p>
    <w:p w14:paraId="420C3FC9">
      <w:pPr>
        <w:spacing w:line="360" w:lineRule="auto"/>
        <w:rPr>
          <w:rFonts w:ascii="宋体" w:hAnsi="宋体"/>
          <w:b/>
          <w:color w:val="auto"/>
        </w:rPr>
      </w:pPr>
    </w:p>
    <w:p w14:paraId="069A3D61">
      <w:pPr>
        <w:spacing w:line="360" w:lineRule="auto"/>
        <w:rPr>
          <w:rFonts w:ascii="宋体" w:hAnsi="宋体"/>
          <w:b/>
          <w:color w:val="auto"/>
        </w:rPr>
      </w:pPr>
    </w:p>
    <w:p w14:paraId="363C6327">
      <w:pPr>
        <w:pStyle w:val="6"/>
        <w:spacing w:line="360" w:lineRule="auto"/>
        <w:jc w:val="center"/>
        <w:rPr>
          <w:color w:val="auto"/>
        </w:rPr>
      </w:pPr>
      <w:bookmarkStart w:id="676" w:name="_Toc12924"/>
      <w:r>
        <w:rPr>
          <w:rFonts w:hint="eastAsia"/>
          <w:color w:val="auto"/>
        </w:rPr>
        <w:t>三、</w:t>
      </w:r>
      <w:bookmarkStart w:id="677" w:name="_Toc536383293"/>
      <w:r>
        <w:rPr>
          <w:rFonts w:hint="eastAsia"/>
          <w:color w:val="auto"/>
        </w:rPr>
        <w:t>声明函</w:t>
      </w:r>
      <w:bookmarkEnd w:id="675"/>
      <w:bookmarkEnd w:id="676"/>
      <w:bookmarkEnd w:id="677"/>
      <w:bookmarkStart w:id="678" w:name="_Toc64992380"/>
      <w:bookmarkStart w:id="679" w:name="_Toc48645385"/>
      <w:bookmarkStart w:id="680" w:name="_Toc60228511"/>
    </w:p>
    <w:p w14:paraId="0AD4EE1E">
      <w:pPr>
        <w:pStyle w:val="6"/>
        <w:spacing w:line="360" w:lineRule="auto"/>
        <w:jc w:val="center"/>
        <w:rPr>
          <w:rFonts w:ascii="宋体" w:hAnsi="宋体"/>
          <w:color w:val="auto"/>
          <w:sz w:val="28"/>
          <w:szCs w:val="28"/>
        </w:rPr>
      </w:pPr>
      <w:bookmarkStart w:id="681" w:name="_Toc91753707"/>
      <w:bookmarkStart w:id="682" w:name="_Toc12140"/>
      <w:bookmarkStart w:id="683" w:name="_Toc2052"/>
      <w:r>
        <w:rPr>
          <w:rFonts w:hint="eastAsia" w:ascii="宋体" w:hAnsi="宋体"/>
          <w:color w:val="auto"/>
          <w:sz w:val="28"/>
          <w:szCs w:val="28"/>
        </w:rPr>
        <w:t>1、</w:t>
      </w:r>
      <w:bookmarkEnd w:id="678"/>
      <w:bookmarkEnd w:id="679"/>
      <w:bookmarkEnd w:id="680"/>
      <w:r>
        <w:rPr>
          <w:rFonts w:hint="eastAsia" w:ascii="宋体" w:hAnsi="宋体"/>
          <w:color w:val="auto"/>
          <w:sz w:val="28"/>
          <w:szCs w:val="28"/>
        </w:rPr>
        <w:t>中小企业声明函（货物）</w:t>
      </w:r>
      <w:bookmarkEnd w:id="681"/>
      <w:bookmarkEnd w:id="682"/>
      <w:bookmarkEnd w:id="683"/>
    </w:p>
    <w:p w14:paraId="33E4D513">
      <w:pPr>
        <w:spacing w:line="360" w:lineRule="auto"/>
        <w:ind w:firstLine="420" w:firstLineChars="200"/>
        <w:jc w:val="left"/>
        <w:rPr>
          <w:rFonts w:ascii="宋体" w:hAnsi="宋体" w:cs="宋体"/>
          <w:color w:val="auto"/>
          <w:szCs w:val="21"/>
        </w:rPr>
      </w:pPr>
      <w:r>
        <w:rPr>
          <w:rFonts w:hint="eastAsia" w:ascii="宋体" w:hAnsi="宋体" w:cs="宋体"/>
          <w:color w:val="auto"/>
          <w:szCs w:val="21"/>
        </w:rPr>
        <w:t>本公司（联合体）郑重声明，根据《政府采购促进中小 企业发展管理办法》（财库﹝2020﹞46 号）的规定，本公司 （联合体）参加</w:t>
      </w:r>
      <w:r>
        <w:rPr>
          <w:rFonts w:hint="eastAsia" w:ascii="宋体" w:hAnsi="宋体" w:cs="宋体"/>
          <w:color w:val="auto"/>
          <w:szCs w:val="21"/>
          <w:u w:val="single"/>
        </w:rPr>
        <w:t>（单位名称）</w:t>
      </w:r>
      <w:r>
        <w:rPr>
          <w:rFonts w:hint="eastAsia" w:ascii="宋体" w:hAnsi="宋体" w:cs="宋体"/>
          <w:color w:val="auto"/>
          <w:szCs w:val="21"/>
        </w:rPr>
        <w:t>的</w:t>
      </w:r>
      <w:r>
        <w:rPr>
          <w:rFonts w:hint="eastAsia" w:ascii="宋体" w:hAnsi="宋体" w:cs="宋体"/>
          <w:color w:val="auto"/>
          <w:szCs w:val="21"/>
          <w:u w:val="single"/>
        </w:rPr>
        <w:t>（项目名称）</w:t>
      </w:r>
      <w:r>
        <w:rPr>
          <w:rFonts w:hint="eastAsia" w:ascii="宋体" w:hAnsi="宋体" w:cs="宋体"/>
          <w:color w:val="auto"/>
          <w:szCs w:val="21"/>
        </w:rPr>
        <w:t>采购活动，提供的货物全部由符合政策要求的中小企业制造。相关企业（含联合体中的中小企业、签订分包意向协议的中小企业）的具体情况如下：</w:t>
      </w:r>
    </w:p>
    <w:p w14:paraId="1D63DCC4">
      <w:pPr>
        <w:spacing w:line="360" w:lineRule="auto"/>
        <w:ind w:firstLine="427"/>
        <w:rPr>
          <w:rFonts w:ascii="宋体" w:hAnsi="宋体" w:cs="宋体"/>
          <w:color w:val="auto"/>
          <w:szCs w:val="21"/>
        </w:rPr>
      </w:pPr>
      <w:r>
        <w:rPr>
          <w:rFonts w:hint="eastAsia" w:ascii="宋体" w:hAnsi="宋体" w:cs="宋体"/>
          <w:color w:val="auto"/>
          <w:szCs w:val="21"/>
          <w:u w:val="single"/>
        </w:rPr>
        <w:t xml:space="preserve">（标的名称） </w:t>
      </w:r>
      <w:r>
        <w:rPr>
          <w:rFonts w:hint="eastAsia" w:ascii="宋体" w:hAnsi="宋体" w:cs="宋体"/>
          <w:color w:val="auto"/>
          <w:szCs w:val="21"/>
        </w:rPr>
        <w:t>，属于</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rPr>
        <w:t>行业；制造商为</w:t>
      </w:r>
      <w:r>
        <w:rPr>
          <w:rFonts w:hint="eastAsia" w:ascii="宋体" w:hAnsi="宋体" w:cs="宋体"/>
          <w:color w:val="auto"/>
          <w:szCs w:val="21"/>
          <w:u w:val="single"/>
        </w:rPr>
        <w:t>（企业名称）</w:t>
      </w:r>
      <w:r>
        <w:rPr>
          <w:rFonts w:hint="eastAsia" w:ascii="宋体" w:hAnsi="宋体" w:cs="宋体"/>
          <w:color w:val="auto"/>
          <w:szCs w:val="21"/>
        </w:rPr>
        <w:t>，从业人员</w:t>
      </w:r>
      <w:r>
        <w:rPr>
          <w:rFonts w:hint="eastAsia" w:ascii="宋体" w:hAnsi="宋体" w:cs="宋体"/>
          <w:color w:val="auto"/>
          <w:szCs w:val="21"/>
          <w:u w:val="single"/>
        </w:rPr>
        <w:t xml:space="preserve">    </w:t>
      </w:r>
      <w:r>
        <w:rPr>
          <w:rFonts w:hint="eastAsia" w:ascii="宋体" w:hAnsi="宋体" w:cs="宋体"/>
          <w:color w:val="auto"/>
          <w:szCs w:val="21"/>
        </w:rPr>
        <w:t>人，营业收入为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万元，属于（</w:t>
      </w:r>
      <w:r>
        <w:rPr>
          <w:rFonts w:hint="eastAsia" w:ascii="宋体" w:hAnsi="宋体" w:cs="宋体"/>
          <w:color w:val="auto"/>
          <w:szCs w:val="21"/>
          <w:u w:val="single"/>
        </w:rPr>
        <w:t>中型企业、小型企业、微型企业</w:t>
      </w:r>
      <w:r>
        <w:rPr>
          <w:rFonts w:hint="eastAsia" w:ascii="宋体" w:hAnsi="宋体" w:cs="宋体"/>
          <w:color w:val="auto"/>
          <w:szCs w:val="21"/>
        </w:rPr>
        <w:t>）。</w:t>
      </w:r>
    </w:p>
    <w:p w14:paraId="6D98BC61">
      <w:pPr>
        <w:spacing w:line="360" w:lineRule="auto"/>
        <w:ind w:firstLine="427"/>
        <w:rPr>
          <w:rFonts w:ascii="宋体" w:hAnsi="宋体" w:cs="宋体"/>
          <w:color w:val="auto"/>
          <w:szCs w:val="21"/>
        </w:rPr>
      </w:pPr>
    </w:p>
    <w:p w14:paraId="21F7712E">
      <w:pPr>
        <w:spacing w:line="360" w:lineRule="auto"/>
        <w:rPr>
          <w:rFonts w:ascii="宋体" w:hAnsi="宋体" w:cs="宋体"/>
          <w:color w:val="auto"/>
          <w:szCs w:val="21"/>
        </w:rPr>
      </w:pPr>
      <w:r>
        <w:rPr>
          <w:rFonts w:hint="eastAsia" w:ascii="宋体" w:hAnsi="宋体" w:cs="宋体"/>
          <w:color w:val="auto"/>
          <w:szCs w:val="21"/>
        </w:rPr>
        <w:t xml:space="preserve">     以上企业，不属于大企业的分支机构，不存在控股股东为大企业的情形，也不存在与大企业的负责人为同一人的情形。</w:t>
      </w:r>
    </w:p>
    <w:p w14:paraId="289CE9D1">
      <w:pPr>
        <w:spacing w:line="360" w:lineRule="auto"/>
        <w:rPr>
          <w:rFonts w:ascii="宋体" w:hAnsi="宋体" w:cs="宋体"/>
          <w:color w:val="auto"/>
          <w:szCs w:val="21"/>
        </w:rPr>
      </w:pPr>
      <w:r>
        <w:rPr>
          <w:rFonts w:hint="eastAsia" w:ascii="宋体" w:hAnsi="宋体" w:cs="宋体"/>
          <w:color w:val="auto"/>
          <w:szCs w:val="21"/>
        </w:rPr>
        <w:t xml:space="preserve">     本企业对上述声明内容的真实性负责。如有虚假，将依法承担相应责任。</w:t>
      </w:r>
    </w:p>
    <w:p w14:paraId="5AF80312">
      <w:pPr>
        <w:pStyle w:val="22"/>
        <w:spacing w:line="360" w:lineRule="auto"/>
        <w:ind w:firstLine="376"/>
        <w:rPr>
          <w:rFonts w:ascii="宋体" w:hAnsi="宋体"/>
          <w:color w:val="auto"/>
          <w:kern w:val="2"/>
          <w:sz w:val="21"/>
          <w:szCs w:val="21"/>
        </w:rPr>
      </w:pPr>
      <w:r>
        <w:rPr>
          <w:rFonts w:hint="eastAsia" w:ascii="宋体" w:hAnsi="宋体"/>
          <w:color w:val="auto"/>
          <w:sz w:val="21"/>
          <w:szCs w:val="21"/>
        </w:rPr>
        <w:t>注：从业人员、营业收入、资产总额填报上一年度数据，无上一年度数据的新成立企业可不填报。</w:t>
      </w:r>
      <w:r>
        <w:rPr>
          <w:rFonts w:hint="eastAsia" w:ascii="宋体" w:hAnsi="宋体"/>
          <w:b/>
          <w:bCs/>
          <w:color w:val="auto"/>
          <w:sz w:val="21"/>
          <w:szCs w:val="21"/>
        </w:rPr>
        <w:t>本项目所属行业为“零售业”。</w:t>
      </w:r>
    </w:p>
    <w:p w14:paraId="610CDB2A">
      <w:pPr>
        <w:pStyle w:val="22"/>
        <w:spacing w:line="360" w:lineRule="auto"/>
        <w:ind w:firstLine="570"/>
        <w:rPr>
          <w:rFonts w:ascii="宋体" w:hAnsi="宋体"/>
          <w:color w:val="auto"/>
          <w:sz w:val="21"/>
          <w:szCs w:val="21"/>
        </w:rPr>
      </w:pPr>
    </w:p>
    <w:p w14:paraId="6D88F236">
      <w:pPr>
        <w:pStyle w:val="12"/>
        <w:spacing w:line="360" w:lineRule="auto"/>
        <w:ind w:left="796" w:leftChars="179" w:hanging="420" w:hangingChars="200"/>
        <w:rPr>
          <w:color w:val="auto"/>
          <w:sz w:val="21"/>
          <w:szCs w:val="21"/>
        </w:rPr>
      </w:pPr>
    </w:p>
    <w:p w14:paraId="65A94654">
      <w:pPr>
        <w:pStyle w:val="12"/>
        <w:spacing w:line="360" w:lineRule="auto"/>
        <w:ind w:left="796" w:leftChars="179" w:hanging="420" w:hangingChars="200"/>
        <w:rPr>
          <w:color w:val="auto"/>
          <w:sz w:val="21"/>
          <w:szCs w:val="21"/>
        </w:rPr>
      </w:pPr>
      <w:r>
        <w:rPr>
          <w:rFonts w:hint="eastAsia"/>
          <w:color w:val="auto"/>
          <w:sz w:val="21"/>
          <w:szCs w:val="21"/>
        </w:rPr>
        <w:t>投标人：</w:t>
      </w:r>
      <w:r>
        <w:rPr>
          <w:rFonts w:hint="eastAsia"/>
          <w:color w:val="auto"/>
          <w:sz w:val="21"/>
          <w:szCs w:val="21"/>
          <w:u w:val="single"/>
        </w:rPr>
        <w:t xml:space="preserve">  （电子签章）         </w:t>
      </w:r>
    </w:p>
    <w:p w14:paraId="57D54E92">
      <w:pPr>
        <w:spacing w:line="360" w:lineRule="auto"/>
        <w:ind w:firstLine="420" w:firstLineChars="200"/>
        <w:jc w:val="left"/>
        <w:rPr>
          <w:color w:val="auto"/>
          <w:szCs w:val="21"/>
        </w:rPr>
      </w:pPr>
    </w:p>
    <w:p w14:paraId="33633C6B">
      <w:pPr>
        <w:spacing w:line="360" w:lineRule="auto"/>
        <w:ind w:firstLine="420" w:firstLineChars="200"/>
        <w:jc w:val="left"/>
        <w:rPr>
          <w:rFonts w:ascii="宋体" w:hAnsi="宋体"/>
          <w:color w:val="auto"/>
          <w:szCs w:val="21"/>
        </w:rPr>
      </w:pPr>
      <w:r>
        <w:rPr>
          <w:rFonts w:hint="eastAsia" w:ascii="宋体" w:hAnsi="宋体"/>
          <w:color w:val="auto"/>
          <w:szCs w:val="21"/>
        </w:rPr>
        <w:t>法定代表人：</w:t>
      </w:r>
      <w:r>
        <w:rPr>
          <w:rFonts w:hint="eastAsia" w:ascii="宋体" w:hAnsi="宋体"/>
          <w:color w:val="auto"/>
          <w:szCs w:val="21"/>
          <w:u w:val="single"/>
        </w:rPr>
        <w:t xml:space="preserve">   （电子签章）   </w:t>
      </w:r>
    </w:p>
    <w:p w14:paraId="29683846">
      <w:pPr>
        <w:spacing w:line="360" w:lineRule="auto"/>
        <w:ind w:firstLine="525"/>
        <w:rPr>
          <w:rFonts w:ascii="宋体" w:hAnsi="宋体"/>
          <w:color w:val="auto"/>
          <w:szCs w:val="21"/>
        </w:rPr>
      </w:pPr>
    </w:p>
    <w:p w14:paraId="5D6C39F3">
      <w:pPr>
        <w:pStyle w:val="12"/>
        <w:spacing w:line="360" w:lineRule="auto"/>
        <w:ind w:left="796" w:leftChars="179" w:hanging="420" w:hangingChars="200"/>
        <w:rPr>
          <w:color w:val="auto"/>
          <w:sz w:val="21"/>
          <w:szCs w:val="16"/>
        </w:rPr>
      </w:pPr>
      <w:r>
        <w:rPr>
          <w:rFonts w:hint="eastAsia"/>
          <w:color w:val="auto"/>
          <w:sz w:val="21"/>
          <w:szCs w:val="21"/>
        </w:rPr>
        <w:t>日　期：</w:t>
      </w:r>
      <w:r>
        <w:rPr>
          <w:rFonts w:hint="eastAsia"/>
          <w:color w:val="auto"/>
          <w:sz w:val="21"/>
          <w:szCs w:val="16"/>
          <w:u w:val="single"/>
        </w:rPr>
        <w:t xml:space="preserve">     </w:t>
      </w:r>
      <w:r>
        <w:rPr>
          <w:rFonts w:hint="eastAsia"/>
          <w:color w:val="auto"/>
          <w:sz w:val="21"/>
          <w:szCs w:val="16"/>
        </w:rPr>
        <w:t>年</w:t>
      </w:r>
      <w:r>
        <w:rPr>
          <w:rFonts w:hint="eastAsia"/>
          <w:color w:val="auto"/>
          <w:sz w:val="21"/>
          <w:szCs w:val="16"/>
          <w:u w:val="single"/>
        </w:rPr>
        <w:t xml:space="preserve">   </w:t>
      </w:r>
      <w:r>
        <w:rPr>
          <w:rFonts w:hint="eastAsia"/>
          <w:color w:val="auto"/>
          <w:sz w:val="21"/>
          <w:szCs w:val="16"/>
        </w:rPr>
        <w:t>月</w:t>
      </w:r>
      <w:r>
        <w:rPr>
          <w:rFonts w:hint="eastAsia"/>
          <w:color w:val="auto"/>
          <w:sz w:val="21"/>
          <w:szCs w:val="16"/>
          <w:u w:val="single"/>
        </w:rPr>
        <w:t xml:space="preserve">   </w:t>
      </w:r>
      <w:r>
        <w:rPr>
          <w:rFonts w:hint="eastAsia"/>
          <w:color w:val="auto"/>
          <w:sz w:val="21"/>
          <w:szCs w:val="16"/>
        </w:rPr>
        <w:t>日</w:t>
      </w:r>
    </w:p>
    <w:p w14:paraId="71683491">
      <w:pPr>
        <w:pStyle w:val="12"/>
        <w:spacing w:line="360" w:lineRule="auto"/>
        <w:ind w:left="796" w:leftChars="179" w:hanging="420" w:hangingChars="200"/>
        <w:rPr>
          <w:color w:val="auto"/>
          <w:sz w:val="21"/>
          <w:szCs w:val="21"/>
        </w:rPr>
      </w:pPr>
      <w:r>
        <w:rPr>
          <w:rFonts w:hint="eastAsia"/>
          <w:color w:val="auto"/>
          <w:sz w:val="21"/>
          <w:szCs w:val="21"/>
        </w:rPr>
        <w:t>（若为中小微型企业的需填写，否则不需填写）</w:t>
      </w:r>
    </w:p>
    <w:p w14:paraId="53516B2F">
      <w:pPr>
        <w:pStyle w:val="6"/>
        <w:keepNext w:val="0"/>
        <w:keepLines w:val="0"/>
        <w:pageBreakBefore/>
        <w:spacing w:line="360" w:lineRule="auto"/>
        <w:jc w:val="center"/>
        <w:rPr>
          <w:rFonts w:ascii="宋体" w:hAnsi="宋体"/>
          <w:color w:val="auto"/>
          <w:sz w:val="28"/>
          <w:szCs w:val="28"/>
        </w:rPr>
      </w:pPr>
      <w:bookmarkStart w:id="684" w:name="_Toc568"/>
      <w:bookmarkStart w:id="685" w:name="_Toc91753708"/>
      <w:bookmarkStart w:id="686" w:name="_Toc28680"/>
      <w:r>
        <w:rPr>
          <w:rFonts w:hint="eastAsia" w:ascii="宋体" w:hAnsi="宋体"/>
          <w:color w:val="auto"/>
          <w:sz w:val="28"/>
          <w:szCs w:val="28"/>
        </w:rPr>
        <w:t>2、残疾人福利性单位声明函</w:t>
      </w:r>
      <w:bookmarkEnd w:id="684"/>
      <w:bookmarkEnd w:id="685"/>
      <w:bookmarkEnd w:id="686"/>
    </w:p>
    <w:p w14:paraId="64A44792">
      <w:pPr>
        <w:spacing w:line="360" w:lineRule="auto"/>
        <w:ind w:firstLine="420" w:firstLineChars="200"/>
        <w:rPr>
          <w:rFonts w:ascii="宋体" w:hAnsi="宋体"/>
          <w:color w:val="auto"/>
          <w:szCs w:val="21"/>
        </w:rPr>
      </w:pPr>
      <w:r>
        <w:rPr>
          <w:rFonts w:hint="eastAsia" w:ascii="宋体" w:hAnsi="宋体"/>
          <w:color w:val="auto"/>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33D2FD4">
      <w:pPr>
        <w:spacing w:line="360" w:lineRule="auto"/>
        <w:ind w:firstLine="420" w:firstLineChars="200"/>
        <w:rPr>
          <w:rFonts w:ascii="宋体" w:hAnsi="宋体"/>
          <w:color w:val="auto"/>
          <w:szCs w:val="21"/>
        </w:rPr>
      </w:pPr>
      <w:r>
        <w:rPr>
          <w:rFonts w:hint="eastAsia" w:ascii="宋体" w:hAnsi="宋体"/>
          <w:color w:val="auto"/>
          <w:szCs w:val="21"/>
        </w:rPr>
        <w:t>本单位对上述声明的真实性负责。如有虚假，将依法承担相应责任。</w:t>
      </w:r>
    </w:p>
    <w:p w14:paraId="37A8CF12">
      <w:pPr>
        <w:pStyle w:val="12"/>
        <w:spacing w:line="360" w:lineRule="auto"/>
        <w:ind w:firstLine="0" w:firstLineChars="0"/>
        <w:rPr>
          <w:color w:val="auto"/>
          <w:sz w:val="21"/>
          <w:szCs w:val="21"/>
        </w:rPr>
      </w:pPr>
    </w:p>
    <w:p w14:paraId="09989E3F">
      <w:pPr>
        <w:pStyle w:val="12"/>
        <w:spacing w:line="360" w:lineRule="auto"/>
        <w:ind w:left="796" w:leftChars="179" w:hanging="420" w:hangingChars="200"/>
        <w:rPr>
          <w:color w:val="auto"/>
          <w:sz w:val="21"/>
          <w:szCs w:val="21"/>
        </w:rPr>
      </w:pPr>
      <w:r>
        <w:rPr>
          <w:rFonts w:hint="eastAsia"/>
          <w:color w:val="auto"/>
          <w:sz w:val="21"/>
          <w:szCs w:val="21"/>
        </w:rPr>
        <w:t>投标人：</w:t>
      </w:r>
      <w:r>
        <w:rPr>
          <w:rFonts w:hint="eastAsia"/>
          <w:color w:val="auto"/>
          <w:sz w:val="21"/>
          <w:szCs w:val="21"/>
          <w:u w:val="single"/>
        </w:rPr>
        <w:t xml:space="preserve">  （电子签章）         </w:t>
      </w:r>
    </w:p>
    <w:p w14:paraId="51C8B375">
      <w:pPr>
        <w:spacing w:line="360" w:lineRule="auto"/>
        <w:ind w:firstLine="420" w:firstLineChars="200"/>
        <w:jc w:val="left"/>
        <w:rPr>
          <w:color w:val="auto"/>
          <w:szCs w:val="21"/>
        </w:rPr>
      </w:pPr>
    </w:p>
    <w:p w14:paraId="4CF06929">
      <w:pPr>
        <w:spacing w:line="360" w:lineRule="auto"/>
        <w:ind w:firstLine="420" w:firstLineChars="200"/>
        <w:jc w:val="left"/>
        <w:rPr>
          <w:rFonts w:ascii="宋体" w:hAnsi="宋体"/>
          <w:color w:val="auto"/>
          <w:szCs w:val="21"/>
        </w:rPr>
      </w:pPr>
      <w:r>
        <w:rPr>
          <w:rFonts w:hint="eastAsia" w:ascii="宋体" w:hAnsi="宋体"/>
          <w:color w:val="auto"/>
          <w:szCs w:val="21"/>
        </w:rPr>
        <w:t>法定代表人：</w:t>
      </w:r>
      <w:r>
        <w:rPr>
          <w:rFonts w:hint="eastAsia" w:ascii="宋体" w:hAnsi="宋体"/>
          <w:color w:val="auto"/>
          <w:szCs w:val="21"/>
          <w:u w:val="single"/>
        </w:rPr>
        <w:t xml:space="preserve">   （电子签章）   </w:t>
      </w:r>
    </w:p>
    <w:p w14:paraId="15C333E4">
      <w:pPr>
        <w:spacing w:line="360" w:lineRule="auto"/>
        <w:ind w:firstLine="525"/>
        <w:rPr>
          <w:rFonts w:ascii="宋体" w:hAnsi="宋体"/>
          <w:color w:val="auto"/>
          <w:szCs w:val="21"/>
        </w:rPr>
      </w:pPr>
    </w:p>
    <w:p w14:paraId="4A47DAC7">
      <w:pPr>
        <w:pStyle w:val="12"/>
        <w:spacing w:line="360" w:lineRule="auto"/>
        <w:ind w:firstLine="420" w:firstLineChars="200"/>
        <w:rPr>
          <w:color w:val="auto"/>
          <w:sz w:val="21"/>
          <w:szCs w:val="21"/>
        </w:rPr>
      </w:pPr>
      <w:r>
        <w:rPr>
          <w:rFonts w:hint="eastAsia"/>
          <w:color w:val="auto"/>
          <w:sz w:val="21"/>
          <w:szCs w:val="21"/>
        </w:rPr>
        <w:t>日　期：</w:t>
      </w:r>
      <w:r>
        <w:rPr>
          <w:rFonts w:hint="eastAsia"/>
          <w:color w:val="auto"/>
          <w:sz w:val="21"/>
          <w:szCs w:val="16"/>
          <w:u w:val="single"/>
        </w:rPr>
        <w:t xml:space="preserve">     </w:t>
      </w:r>
      <w:r>
        <w:rPr>
          <w:rFonts w:hint="eastAsia"/>
          <w:color w:val="auto"/>
          <w:sz w:val="21"/>
          <w:szCs w:val="16"/>
        </w:rPr>
        <w:t>年</w:t>
      </w:r>
      <w:r>
        <w:rPr>
          <w:rFonts w:hint="eastAsia"/>
          <w:color w:val="auto"/>
          <w:sz w:val="21"/>
          <w:szCs w:val="16"/>
          <w:u w:val="single"/>
        </w:rPr>
        <w:t xml:space="preserve">   </w:t>
      </w:r>
      <w:r>
        <w:rPr>
          <w:rFonts w:hint="eastAsia"/>
          <w:color w:val="auto"/>
          <w:sz w:val="21"/>
          <w:szCs w:val="16"/>
        </w:rPr>
        <w:t>月</w:t>
      </w:r>
      <w:r>
        <w:rPr>
          <w:rFonts w:hint="eastAsia"/>
          <w:color w:val="auto"/>
          <w:sz w:val="21"/>
          <w:szCs w:val="16"/>
          <w:u w:val="single"/>
        </w:rPr>
        <w:t xml:space="preserve">   </w:t>
      </w:r>
      <w:r>
        <w:rPr>
          <w:rFonts w:hint="eastAsia"/>
          <w:color w:val="auto"/>
          <w:sz w:val="21"/>
          <w:szCs w:val="16"/>
        </w:rPr>
        <w:t>日</w:t>
      </w:r>
      <w:r>
        <w:rPr>
          <w:rFonts w:hint="eastAsia"/>
          <w:color w:val="auto"/>
          <w:sz w:val="21"/>
          <w:szCs w:val="21"/>
        </w:rPr>
        <w:t xml:space="preserve"> </w:t>
      </w:r>
    </w:p>
    <w:p w14:paraId="39D15E41">
      <w:pPr>
        <w:pStyle w:val="12"/>
        <w:spacing w:line="360" w:lineRule="auto"/>
        <w:ind w:left="796" w:leftChars="179" w:hanging="420" w:hangingChars="200"/>
        <w:rPr>
          <w:color w:val="auto"/>
          <w:sz w:val="21"/>
          <w:szCs w:val="21"/>
        </w:rPr>
      </w:pPr>
      <w:r>
        <w:rPr>
          <w:rFonts w:hint="eastAsia"/>
          <w:color w:val="auto"/>
          <w:sz w:val="21"/>
          <w:szCs w:val="21"/>
        </w:rPr>
        <w:t>（若为残疾人福利性单位的需填写，否则不需填写）</w:t>
      </w:r>
    </w:p>
    <w:p w14:paraId="2FEA6558">
      <w:pPr>
        <w:pStyle w:val="12"/>
        <w:spacing w:line="360" w:lineRule="auto"/>
        <w:ind w:left="796" w:leftChars="179" w:hanging="420" w:hangingChars="200"/>
        <w:rPr>
          <w:color w:val="auto"/>
          <w:sz w:val="21"/>
          <w:szCs w:val="21"/>
        </w:rPr>
      </w:pPr>
    </w:p>
    <w:p w14:paraId="686354B0">
      <w:pPr>
        <w:pStyle w:val="6"/>
        <w:spacing w:line="360" w:lineRule="auto"/>
        <w:jc w:val="center"/>
        <w:rPr>
          <w:rFonts w:ascii="宋体" w:hAnsi="宋体"/>
          <w:color w:val="auto"/>
          <w:sz w:val="28"/>
          <w:szCs w:val="28"/>
        </w:rPr>
      </w:pPr>
      <w:bookmarkStart w:id="687" w:name="_Toc11638"/>
      <w:bookmarkStart w:id="688" w:name="_Toc91753709"/>
      <w:bookmarkStart w:id="689" w:name="_Toc16112"/>
      <w:r>
        <w:rPr>
          <w:rFonts w:hint="eastAsia" w:ascii="宋体" w:hAnsi="宋体"/>
          <w:color w:val="auto"/>
          <w:sz w:val="28"/>
          <w:szCs w:val="28"/>
        </w:rPr>
        <w:t>3、监狱企业证明</w:t>
      </w:r>
      <w:bookmarkEnd w:id="687"/>
      <w:bookmarkEnd w:id="688"/>
      <w:bookmarkEnd w:id="689"/>
    </w:p>
    <w:p w14:paraId="20BEA4C7">
      <w:pPr>
        <w:spacing w:line="360" w:lineRule="auto"/>
        <w:ind w:firstLine="420" w:firstLineChars="200"/>
        <w:rPr>
          <w:color w:val="auto"/>
        </w:rPr>
      </w:pPr>
      <w:r>
        <w:rPr>
          <w:rFonts w:hint="eastAsia" w:ascii="宋体" w:hAnsi="宋体"/>
          <w:color w:val="auto"/>
          <w:szCs w:val="21"/>
        </w:rPr>
        <w:t>须提供由省级以上监狱管理局、戒毒管理局(含新疆生产建设兵团)出具的属于监狱企业的证明文件（若为监狱企业的需提供，否则不需提供）</w:t>
      </w:r>
    </w:p>
    <w:p w14:paraId="55CD94D3">
      <w:pPr>
        <w:spacing w:line="360" w:lineRule="auto"/>
        <w:jc w:val="center"/>
        <w:rPr>
          <w:rFonts w:ascii="宋体" w:hAnsi="宋体"/>
          <w:color w:val="auto"/>
        </w:rPr>
      </w:pPr>
    </w:p>
    <w:p w14:paraId="294F1181">
      <w:pPr>
        <w:spacing w:line="360" w:lineRule="auto"/>
        <w:jc w:val="center"/>
        <w:rPr>
          <w:rFonts w:ascii="宋体" w:hAnsi="宋体"/>
          <w:color w:val="auto"/>
        </w:rPr>
      </w:pPr>
    </w:p>
    <w:p w14:paraId="59017111">
      <w:pPr>
        <w:spacing w:line="360" w:lineRule="auto"/>
        <w:jc w:val="center"/>
        <w:rPr>
          <w:rFonts w:ascii="宋体" w:hAnsi="宋体"/>
          <w:color w:val="auto"/>
        </w:rPr>
      </w:pPr>
    </w:p>
    <w:p w14:paraId="65832265">
      <w:pPr>
        <w:spacing w:line="360" w:lineRule="auto"/>
        <w:jc w:val="center"/>
        <w:rPr>
          <w:rFonts w:ascii="宋体" w:hAnsi="宋体"/>
          <w:color w:val="auto"/>
        </w:rPr>
      </w:pPr>
    </w:p>
    <w:p w14:paraId="06FC7699">
      <w:pPr>
        <w:spacing w:line="360" w:lineRule="auto"/>
        <w:jc w:val="center"/>
        <w:rPr>
          <w:rFonts w:ascii="宋体" w:hAnsi="宋体"/>
          <w:color w:val="auto"/>
        </w:rPr>
      </w:pPr>
    </w:p>
    <w:p w14:paraId="7FD5313C">
      <w:pPr>
        <w:spacing w:line="360" w:lineRule="auto"/>
        <w:jc w:val="center"/>
        <w:rPr>
          <w:rFonts w:ascii="宋体" w:hAnsi="宋体"/>
          <w:color w:val="auto"/>
        </w:rPr>
      </w:pPr>
    </w:p>
    <w:p w14:paraId="78170415">
      <w:pPr>
        <w:spacing w:line="360" w:lineRule="auto"/>
        <w:jc w:val="center"/>
        <w:rPr>
          <w:rFonts w:ascii="宋体" w:hAnsi="宋体"/>
          <w:color w:val="auto"/>
        </w:rPr>
      </w:pPr>
    </w:p>
    <w:p w14:paraId="29B02609">
      <w:pPr>
        <w:spacing w:line="360" w:lineRule="auto"/>
        <w:jc w:val="center"/>
        <w:rPr>
          <w:rFonts w:ascii="宋体" w:hAnsi="宋体"/>
          <w:color w:val="auto"/>
        </w:rPr>
      </w:pPr>
    </w:p>
    <w:p w14:paraId="46A98C50">
      <w:pPr>
        <w:spacing w:line="360" w:lineRule="auto"/>
        <w:jc w:val="center"/>
        <w:rPr>
          <w:rFonts w:ascii="宋体" w:hAnsi="宋体"/>
          <w:color w:val="auto"/>
        </w:rPr>
      </w:pPr>
    </w:p>
    <w:p w14:paraId="676A0559">
      <w:pPr>
        <w:spacing w:line="360" w:lineRule="auto"/>
        <w:jc w:val="center"/>
        <w:rPr>
          <w:rFonts w:ascii="宋体" w:hAnsi="宋体"/>
          <w:color w:val="auto"/>
        </w:rPr>
      </w:pPr>
    </w:p>
    <w:p w14:paraId="5EE52509">
      <w:pPr>
        <w:spacing w:line="360" w:lineRule="auto"/>
        <w:ind w:firstLine="420" w:firstLineChars="200"/>
        <w:jc w:val="right"/>
        <w:rPr>
          <w:rFonts w:ascii="宋体" w:hAnsi="宋体"/>
          <w:bCs/>
          <w:color w:val="auto"/>
          <w:szCs w:val="21"/>
        </w:rPr>
      </w:pPr>
      <w:bookmarkStart w:id="690" w:name="_Toc525742144"/>
      <w:bookmarkStart w:id="691" w:name="_Toc401881855"/>
      <w:bookmarkStart w:id="692" w:name="_Toc525742058"/>
      <w:r>
        <w:rPr>
          <w:rFonts w:hint="eastAsia" w:ascii="宋体" w:hAnsi="宋体"/>
          <w:color w:val="auto"/>
          <w:szCs w:val="21"/>
        </w:rPr>
        <w:t xml:space="preserve">    </w:t>
      </w:r>
      <w:bookmarkEnd w:id="672"/>
      <w:bookmarkEnd w:id="690"/>
      <w:bookmarkEnd w:id="691"/>
      <w:bookmarkEnd w:id="692"/>
      <w:r>
        <w:rPr>
          <w:rFonts w:ascii="宋体" w:hAnsi="宋体"/>
          <w:color w:val="auto"/>
          <w:szCs w:val="21"/>
        </w:rPr>
        <w:br w:type="page"/>
      </w:r>
      <w:bookmarkStart w:id="693" w:name="_Toc525742062"/>
      <w:bookmarkStart w:id="694" w:name="_Toc401881861"/>
      <w:bookmarkStart w:id="695" w:name="_Toc525742148"/>
    </w:p>
    <w:bookmarkEnd w:id="693"/>
    <w:bookmarkEnd w:id="694"/>
    <w:bookmarkEnd w:id="695"/>
    <w:p w14:paraId="2586767A">
      <w:pPr>
        <w:pStyle w:val="5"/>
        <w:pageBreakBefore/>
        <w:spacing w:before="120" w:line="360" w:lineRule="auto"/>
        <w:jc w:val="center"/>
        <w:rPr>
          <w:rFonts w:hint="eastAsia" w:ascii="宋体" w:hAnsi="宋体" w:eastAsia="宋体"/>
          <w:color w:val="auto"/>
        </w:rPr>
      </w:pPr>
      <w:bookmarkStart w:id="696" w:name="_Toc525742077"/>
      <w:bookmarkStart w:id="697" w:name="_Toc25351"/>
      <w:bookmarkStart w:id="698" w:name="_Toc9198"/>
      <w:bookmarkStart w:id="699" w:name="_Toc10260"/>
      <w:bookmarkStart w:id="700" w:name="_Toc29601"/>
      <w:bookmarkStart w:id="701" w:name="_Toc525742163"/>
      <w:r>
        <w:rPr>
          <w:rFonts w:hint="eastAsia" w:ascii="宋体" w:hAnsi="宋体" w:eastAsia="宋体"/>
          <w:color w:val="auto"/>
          <w:lang w:val="en-US" w:eastAsia="zh-CN"/>
        </w:rPr>
        <w:t>四、</w:t>
      </w:r>
      <w:r>
        <w:rPr>
          <w:rFonts w:hint="eastAsia" w:ascii="宋体" w:hAnsi="宋体" w:eastAsia="宋体"/>
          <w:color w:val="auto"/>
        </w:rPr>
        <w:t>履约反馈</w:t>
      </w:r>
    </w:p>
    <w:p w14:paraId="58C671D3">
      <w:pPr>
        <w:bidi w:val="0"/>
        <w:jc w:val="center"/>
        <w:rPr>
          <w:rFonts w:hint="eastAsia"/>
          <w:color w:val="auto"/>
        </w:rPr>
      </w:pPr>
      <w:r>
        <w:rPr>
          <w:rFonts w:hint="eastAsia" w:ascii="宋体" w:hAnsi="宋体"/>
          <w:color w:val="auto"/>
        </w:rPr>
        <w:t>投标人自拟</w:t>
      </w:r>
    </w:p>
    <w:p w14:paraId="4C40818F">
      <w:pPr>
        <w:bidi w:val="0"/>
        <w:rPr>
          <w:rFonts w:hint="eastAsia"/>
          <w:color w:val="auto"/>
        </w:rPr>
      </w:pPr>
    </w:p>
    <w:p w14:paraId="696055C9">
      <w:pPr>
        <w:bidi w:val="0"/>
        <w:rPr>
          <w:rFonts w:hint="eastAsia"/>
          <w:color w:val="auto"/>
        </w:rPr>
      </w:pPr>
    </w:p>
    <w:p w14:paraId="32669A17">
      <w:pPr>
        <w:pStyle w:val="5"/>
        <w:pageBreakBefore/>
        <w:spacing w:before="0" w:after="0" w:line="240" w:lineRule="auto"/>
        <w:jc w:val="center"/>
        <w:rPr>
          <w:rFonts w:hint="eastAsia" w:ascii="宋体" w:hAnsi="宋体" w:eastAsia="宋体"/>
          <w:color w:val="auto"/>
        </w:rPr>
      </w:pPr>
      <w:r>
        <w:rPr>
          <w:rFonts w:hint="eastAsia" w:ascii="宋体" w:hAnsi="宋体" w:eastAsia="宋体"/>
          <w:color w:val="auto"/>
          <w:lang w:val="en-US" w:eastAsia="zh-CN"/>
        </w:rPr>
        <w:t>五、</w:t>
      </w:r>
      <w:r>
        <w:rPr>
          <w:rFonts w:hint="eastAsia" w:ascii="宋体" w:hAnsi="宋体" w:eastAsia="宋体"/>
          <w:color w:val="auto"/>
        </w:rPr>
        <w:t>企业资质</w:t>
      </w:r>
    </w:p>
    <w:p w14:paraId="76901935">
      <w:pPr>
        <w:bidi w:val="0"/>
        <w:rPr>
          <w:rFonts w:hint="eastAsia"/>
          <w:color w:val="auto"/>
        </w:rPr>
      </w:pPr>
    </w:p>
    <w:p w14:paraId="4461FBA9">
      <w:pPr>
        <w:tabs>
          <w:tab w:val="left" w:pos="3831"/>
        </w:tabs>
        <w:bidi w:val="0"/>
        <w:jc w:val="center"/>
        <w:rPr>
          <w:rFonts w:hint="eastAsia" w:eastAsia="宋体"/>
          <w:color w:val="auto"/>
          <w:lang w:eastAsia="zh-CN"/>
        </w:rPr>
      </w:pPr>
    </w:p>
    <w:p w14:paraId="048BE41E">
      <w:pPr>
        <w:bidi w:val="0"/>
        <w:jc w:val="center"/>
        <w:rPr>
          <w:rFonts w:hint="eastAsia" w:eastAsia="宋体"/>
          <w:color w:val="auto"/>
          <w:lang w:val="en-US" w:eastAsia="zh-CN"/>
        </w:rPr>
      </w:pPr>
      <w:r>
        <w:rPr>
          <w:rFonts w:hint="eastAsia" w:ascii="宋体" w:hAnsi="宋体"/>
          <w:color w:val="auto"/>
        </w:rPr>
        <w:t>投标人自拟</w:t>
      </w:r>
      <w:r>
        <w:rPr>
          <w:rFonts w:hint="eastAsia" w:ascii="宋体" w:hAnsi="宋体"/>
          <w:color w:val="auto"/>
          <w:lang w:val="en-US" w:eastAsia="zh-CN"/>
        </w:rPr>
        <w:t>格式</w:t>
      </w:r>
    </w:p>
    <w:p w14:paraId="6B499555">
      <w:pPr>
        <w:bidi w:val="0"/>
        <w:rPr>
          <w:rFonts w:hint="eastAsia"/>
          <w:color w:val="auto"/>
        </w:rPr>
      </w:pPr>
    </w:p>
    <w:p w14:paraId="47EFF15B">
      <w:pPr>
        <w:bidi w:val="0"/>
        <w:rPr>
          <w:rFonts w:hint="eastAsia"/>
          <w:color w:val="auto"/>
        </w:rPr>
      </w:pPr>
    </w:p>
    <w:p w14:paraId="22F96F69">
      <w:pPr>
        <w:bidi w:val="0"/>
        <w:rPr>
          <w:rFonts w:hint="eastAsia"/>
          <w:color w:val="auto"/>
        </w:rPr>
      </w:pPr>
    </w:p>
    <w:p w14:paraId="11DA06F0">
      <w:pPr>
        <w:bidi w:val="0"/>
        <w:rPr>
          <w:rFonts w:hint="eastAsia"/>
          <w:color w:val="auto"/>
        </w:rPr>
      </w:pPr>
    </w:p>
    <w:p w14:paraId="4192033E">
      <w:pPr>
        <w:bidi w:val="0"/>
        <w:rPr>
          <w:rFonts w:hint="eastAsia"/>
          <w:color w:val="auto"/>
        </w:rPr>
      </w:pPr>
    </w:p>
    <w:p w14:paraId="3FFCC5FD">
      <w:pPr>
        <w:bidi w:val="0"/>
        <w:rPr>
          <w:rFonts w:hint="eastAsia"/>
          <w:color w:val="auto"/>
        </w:rPr>
      </w:pPr>
    </w:p>
    <w:p w14:paraId="63AE45D2">
      <w:pPr>
        <w:bidi w:val="0"/>
        <w:rPr>
          <w:rFonts w:hint="eastAsia"/>
          <w:color w:val="auto"/>
        </w:rPr>
      </w:pPr>
    </w:p>
    <w:p w14:paraId="3F31CA2B">
      <w:pPr>
        <w:bidi w:val="0"/>
        <w:rPr>
          <w:rFonts w:hint="eastAsia"/>
          <w:color w:val="auto"/>
        </w:rPr>
      </w:pPr>
    </w:p>
    <w:p w14:paraId="027D6148">
      <w:pPr>
        <w:bidi w:val="0"/>
        <w:rPr>
          <w:rFonts w:hint="eastAsia"/>
          <w:color w:val="auto"/>
        </w:rPr>
      </w:pPr>
    </w:p>
    <w:p w14:paraId="2C18423D">
      <w:pPr>
        <w:bidi w:val="0"/>
        <w:jc w:val="center"/>
        <w:rPr>
          <w:rFonts w:hint="eastAsia"/>
          <w:color w:val="auto"/>
        </w:rPr>
      </w:pPr>
    </w:p>
    <w:p w14:paraId="13A4E117">
      <w:pPr>
        <w:pStyle w:val="5"/>
        <w:pageBreakBefore/>
        <w:spacing w:before="0" w:after="0" w:line="240" w:lineRule="auto"/>
        <w:jc w:val="center"/>
        <w:rPr>
          <w:rFonts w:hint="eastAsia" w:ascii="宋体" w:hAnsi="宋体" w:eastAsia="宋体"/>
          <w:color w:val="auto"/>
        </w:rPr>
      </w:pPr>
      <w:r>
        <w:rPr>
          <w:rFonts w:hint="eastAsia" w:ascii="宋体" w:hAnsi="宋体" w:eastAsia="宋体"/>
          <w:color w:val="auto"/>
          <w:lang w:val="en-US" w:eastAsia="zh-CN"/>
        </w:rPr>
        <w:t>六、</w:t>
      </w:r>
      <w:r>
        <w:rPr>
          <w:rFonts w:hint="eastAsia" w:ascii="宋体" w:hAnsi="宋体" w:eastAsia="宋体"/>
          <w:color w:val="auto"/>
        </w:rPr>
        <w:t>企业综合实力</w:t>
      </w:r>
    </w:p>
    <w:p w14:paraId="617BAF33">
      <w:pPr>
        <w:bidi w:val="0"/>
        <w:rPr>
          <w:rFonts w:hint="eastAsia"/>
          <w:color w:val="auto"/>
        </w:rPr>
      </w:pPr>
    </w:p>
    <w:p w14:paraId="760E4B2E">
      <w:pPr>
        <w:bidi w:val="0"/>
        <w:rPr>
          <w:rFonts w:hint="eastAsia"/>
          <w:color w:val="auto"/>
        </w:rPr>
      </w:pPr>
    </w:p>
    <w:p w14:paraId="787D5CF4">
      <w:pPr>
        <w:bidi w:val="0"/>
        <w:jc w:val="center"/>
        <w:rPr>
          <w:rFonts w:hint="eastAsia" w:eastAsia="宋体"/>
          <w:color w:val="auto"/>
          <w:lang w:val="en-US" w:eastAsia="zh-CN"/>
        </w:rPr>
      </w:pPr>
      <w:r>
        <w:rPr>
          <w:rFonts w:hint="eastAsia" w:ascii="宋体" w:hAnsi="宋体"/>
          <w:color w:val="auto"/>
        </w:rPr>
        <w:t>投标人自拟</w:t>
      </w:r>
      <w:r>
        <w:rPr>
          <w:rFonts w:hint="eastAsia" w:ascii="宋体" w:hAnsi="宋体"/>
          <w:color w:val="auto"/>
          <w:lang w:val="en-US" w:eastAsia="zh-CN"/>
        </w:rPr>
        <w:t>格式</w:t>
      </w:r>
    </w:p>
    <w:p w14:paraId="0D0A362E">
      <w:pPr>
        <w:pStyle w:val="5"/>
        <w:pageBreakBefore/>
        <w:spacing w:before="120" w:line="360" w:lineRule="auto"/>
        <w:jc w:val="center"/>
        <w:rPr>
          <w:rFonts w:hint="eastAsia" w:ascii="宋体" w:hAnsi="宋体" w:eastAsia="宋体" w:cs="Times New Roman"/>
          <w:color w:val="auto"/>
          <w:lang w:eastAsia="zh-CN"/>
        </w:rPr>
      </w:pPr>
      <w:r>
        <w:rPr>
          <w:rFonts w:hint="eastAsia" w:ascii="宋体" w:hAnsi="宋体" w:eastAsia="宋体" w:cs="Times New Roman"/>
          <w:color w:val="auto"/>
          <w:lang w:val="en-US" w:eastAsia="zh-CN"/>
        </w:rPr>
        <w:t>七、</w:t>
      </w:r>
      <w:r>
        <w:rPr>
          <w:rFonts w:hint="eastAsia" w:ascii="宋体" w:hAnsi="宋体" w:eastAsia="宋体" w:cs="Times New Roman"/>
          <w:color w:val="auto"/>
          <w:lang w:eastAsia="zh-CN"/>
        </w:rPr>
        <w:t>类似项目业绩</w:t>
      </w:r>
    </w:p>
    <w:p w14:paraId="4A9652EB">
      <w:pPr>
        <w:bidi w:val="0"/>
        <w:jc w:val="center"/>
        <w:rPr>
          <w:rFonts w:hint="eastAsia" w:eastAsia="宋体"/>
          <w:color w:val="auto"/>
          <w:lang w:val="en-US" w:eastAsia="zh-CN"/>
        </w:rPr>
      </w:pPr>
      <w:r>
        <w:rPr>
          <w:rFonts w:hint="eastAsia" w:ascii="宋体" w:hAnsi="宋体"/>
          <w:color w:val="auto"/>
        </w:rPr>
        <w:t>投标人自拟</w:t>
      </w:r>
      <w:r>
        <w:rPr>
          <w:rFonts w:hint="eastAsia" w:ascii="宋体" w:hAnsi="宋体"/>
          <w:color w:val="auto"/>
          <w:lang w:val="en-US" w:eastAsia="zh-CN"/>
        </w:rPr>
        <w:t>格式</w:t>
      </w:r>
    </w:p>
    <w:p w14:paraId="7B68377E">
      <w:pPr>
        <w:tabs>
          <w:tab w:val="center" w:pos="4513"/>
        </w:tabs>
        <w:bidi w:val="0"/>
        <w:jc w:val="left"/>
        <w:rPr>
          <w:rFonts w:hint="eastAsia" w:eastAsia="宋体"/>
          <w:color w:val="auto"/>
          <w:lang w:eastAsia="zh-CN"/>
        </w:rPr>
        <w:sectPr>
          <w:pgSz w:w="11906" w:h="16838"/>
          <w:pgMar w:top="1440" w:right="1440" w:bottom="1440" w:left="1440" w:header="851" w:footer="992" w:gutter="0"/>
          <w:pgNumType w:fmt="decimal"/>
          <w:cols w:space="708" w:num="1"/>
          <w:docGrid w:linePitch="312" w:charSpace="0"/>
        </w:sectPr>
      </w:pPr>
      <w:r>
        <w:rPr>
          <w:rFonts w:hint="eastAsia"/>
          <w:color w:val="auto"/>
          <w:lang w:eastAsia="zh-CN"/>
        </w:rPr>
        <w:tab/>
      </w:r>
    </w:p>
    <w:p w14:paraId="27A75029">
      <w:pPr>
        <w:pStyle w:val="5"/>
        <w:pageBreakBefore/>
        <w:spacing w:before="120" w:line="360" w:lineRule="auto"/>
        <w:jc w:val="center"/>
        <w:rPr>
          <w:rFonts w:ascii="宋体" w:hAnsi="宋体" w:eastAsia="宋体"/>
          <w:color w:val="auto"/>
        </w:rPr>
      </w:pPr>
      <w:r>
        <w:rPr>
          <w:rFonts w:hint="eastAsia" w:ascii="宋体" w:hAnsi="宋体" w:eastAsia="宋体"/>
          <w:color w:val="auto"/>
        </w:rPr>
        <w:t>技术文件格式</w:t>
      </w:r>
      <w:bookmarkEnd w:id="696"/>
      <w:bookmarkEnd w:id="697"/>
      <w:bookmarkEnd w:id="698"/>
      <w:bookmarkEnd w:id="699"/>
      <w:bookmarkEnd w:id="700"/>
      <w:bookmarkEnd w:id="701"/>
    </w:p>
    <w:p w14:paraId="51EBB723">
      <w:pPr>
        <w:pStyle w:val="6"/>
        <w:spacing w:line="360" w:lineRule="auto"/>
        <w:jc w:val="left"/>
        <w:rPr>
          <w:rFonts w:ascii="宋体" w:hAnsi="宋体"/>
          <w:color w:val="auto"/>
          <w:sz w:val="21"/>
          <w:szCs w:val="21"/>
        </w:rPr>
      </w:pPr>
      <w:bookmarkStart w:id="702" w:name="_Toc91753725"/>
      <w:bookmarkStart w:id="703" w:name="_Toc18094"/>
      <w:bookmarkStart w:id="704" w:name="_Toc13938"/>
      <w:r>
        <w:rPr>
          <w:rFonts w:hint="eastAsia" w:ascii="宋体" w:hAnsi="宋体"/>
          <w:color w:val="auto"/>
          <w:sz w:val="21"/>
          <w:szCs w:val="21"/>
        </w:rPr>
        <w:t>1、对技术指标的响应程度</w:t>
      </w:r>
      <w:bookmarkEnd w:id="702"/>
      <w:r>
        <w:rPr>
          <w:rFonts w:hint="eastAsia" w:ascii="宋体" w:hAnsi="宋体"/>
          <w:color w:val="auto"/>
          <w:sz w:val="21"/>
          <w:szCs w:val="21"/>
        </w:rPr>
        <w:t>（含：技术规格偏离表）</w:t>
      </w:r>
      <w:bookmarkEnd w:id="703"/>
      <w:bookmarkEnd w:id="704"/>
    </w:p>
    <w:p w14:paraId="0CEC5B28">
      <w:pPr>
        <w:pStyle w:val="6"/>
        <w:spacing w:line="360" w:lineRule="auto"/>
        <w:jc w:val="left"/>
        <w:rPr>
          <w:rFonts w:ascii="宋体" w:hAnsi="宋体"/>
          <w:color w:val="auto"/>
          <w:sz w:val="21"/>
          <w:szCs w:val="21"/>
        </w:rPr>
      </w:pPr>
      <w:bookmarkStart w:id="705" w:name="_Toc9989"/>
      <w:r>
        <w:rPr>
          <w:rFonts w:hint="eastAsia" w:ascii="宋体" w:hAnsi="宋体"/>
          <w:color w:val="auto"/>
          <w:sz w:val="21"/>
          <w:szCs w:val="21"/>
        </w:rPr>
        <w:t>2、</w:t>
      </w:r>
      <w:bookmarkEnd w:id="705"/>
      <w:r>
        <w:rPr>
          <w:rFonts w:hint="eastAsia" w:ascii="宋体" w:hAnsi="宋体"/>
          <w:color w:val="auto"/>
          <w:sz w:val="21"/>
          <w:szCs w:val="21"/>
        </w:rPr>
        <w:t>需求分析</w:t>
      </w:r>
    </w:p>
    <w:p w14:paraId="26C4B685">
      <w:pPr>
        <w:pStyle w:val="6"/>
        <w:spacing w:line="360" w:lineRule="auto"/>
        <w:jc w:val="left"/>
        <w:rPr>
          <w:rFonts w:ascii="宋体" w:hAnsi="宋体"/>
          <w:color w:val="auto"/>
          <w:sz w:val="21"/>
          <w:szCs w:val="21"/>
        </w:rPr>
      </w:pPr>
      <w:bookmarkStart w:id="706" w:name="_Toc22313"/>
      <w:r>
        <w:rPr>
          <w:rFonts w:hint="eastAsia" w:ascii="宋体" w:hAnsi="宋体"/>
          <w:color w:val="auto"/>
          <w:sz w:val="21"/>
          <w:szCs w:val="21"/>
        </w:rPr>
        <w:t>3、</w:t>
      </w:r>
      <w:bookmarkEnd w:id="706"/>
      <w:r>
        <w:rPr>
          <w:rFonts w:hint="eastAsia" w:ascii="宋体" w:hAnsi="宋体"/>
          <w:color w:val="auto"/>
          <w:sz w:val="21"/>
          <w:szCs w:val="21"/>
        </w:rPr>
        <w:t>供货及实施方案</w:t>
      </w:r>
    </w:p>
    <w:p w14:paraId="1D78A47F">
      <w:pPr>
        <w:rPr>
          <w:rFonts w:ascii="宋体" w:hAnsi="宋体"/>
          <w:b/>
          <w:bCs/>
          <w:color w:val="auto"/>
          <w:kern w:val="0"/>
          <w:szCs w:val="21"/>
        </w:rPr>
      </w:pPr>
      <w:r>
        <w:rPr>
          <w:rFonts w:hint="eastAsia" w:ascii="宋体" w:hAnsi="宋体"/>
          <w:b/>
          <w:bCs/>
          <w:color w:val="auto"/>
          <w:kern w:val="0"/>
          <w:szCs w:val="21"/>
        </w:rPr>
        <w:t>4、售后服务方案</w:t>
      </w:r>
    </w:p>
    <w:p w14:paraId="1B5370C2">
      <w:pPr>
        <w:pStyle w:val="6"/>
        <w:spacing w:line="360" w:lineRule="auto"/>
        <w:jc w:val="left"/>
        <w:rPr>
          <w:rFonts w:hint="eastAsia" w:ascii="宋体" w:hAnsi="宋体"/>
          <w:color w:val="auto"/>
          <w:sz w:val="21"/>
          <w:szCs w:val="21"/>
        </w:rPr>
      </w:pPr>
      <w:bookmarkStart w:id="707" w:name="_Toc31319"/>
      <w:r>
        <w:rPr>
          <w:rFonts w:hint="eastAsia" w:ascii="宋体" w:hAnsi="宋体"/>
          <w:color w:val="auto"/>
          <w:sz w:val="21"/>
          <w:szCs w:val="21"/>
        </w:rPr>
        <w:t>5、</w:t>
      </w:r>
      <w:bookmarkEnd w:id="707"/>
      <w:bookmarkStart w:id="708" w:name="_Toc9572"/>
      <w:bookmarkStart w:id="709" w:name="_Toc13792"/>
      <w:bookmarkStart w:id="710" w:name="_Toc91753727"/>
      <w:r>
        <w:rPr>
          <w:rFonts w:hint="eastAsia" w:ascii="宋体" w:hAnsi="宋体"/>
          <w:color w:val="auto"/>
          <w:sz w:val="21"/>
          <w:szCs w:val="21"/>
          <w:lang w:val="en-US" w:eastAsia="zh-CN"/>
        </w:rPr>
        <w:t>拟投入本项目</w:t>
      </w:r>
      <w:r>
        <w:rPr>
          <w:rFonts w:hint="eastAsia" w:ascii="宋体" w:hAnsi="宋体"/>
          <w:color w:val="auto"/>
          <w:sz w:val="21"/>
          <w:szCs w:val="21"/>
        </w:rPr>
        <w:t>技术人员</w:t>
      </w:r>
    </w:p>
    <w:p w14:paraId="78CD69A7">
      <w:pPr>
        <w:pStyle w:val="6"/>
        <w:spacing w:line="360" w:lineRule="auto"/>
        <w:jc w:val="left"/>
        <w:rPr>
          <w:rFonts w:ascii="宋体" w:hAnsi="宋体"/>
          <w:color w:val="auto"/>
          <w:sz w:val="21"/>
          <w:szCs w:val="21"/>
        </w:rPr>
      </w:pPr>
      <w:r>
        <w:rPr>
          <w:rFonts w:hint="eastAsia" w:ascii="宋体" w:hAnsi="宋体"/>
          <w:color w:val="auto"/>
          <w:sz w:val="21"/>
          <w:szCs w:val="21"/>
          <w:lang w:val="en-US" w:eastAsia="zh-CN"/>
        </w:rPr>
        <w:t>6、</w:t>
      </w:r>
      <w:r>
        <w:rPr>
          <w:rFonts w:hint="eastAsia" w:ascii="宋体" w:hAnsi="宋体"/>
          <w:color w:val="auto"/>
          <w:sz w:val="21"/>
          <w:szCs w:val="21"/>
        </w:rPr>
        <w:t>投标人认为有必要的其他内容</w:t>
      </w:r>
      <w:bookmarkEnd w:id="708"/>
      <w:bookmarkEnd w:id="709"/>
      <w:bookmarkEnd w:id="710"/>
    </w:p>
    <w:p w14:paraId="446FD922">
      <w:pPr>
        <w:widowControl/>
        <w:spacing w:line="360" w:lineRule="auto"/>
        <w:jc w:val="left"/>
        <w:rPr>
          <w:rFonts w:ascii="宋体" w:hAnsi="宋体"/>
          <w:color w:val="auto"/>
        </w:rPr>
      </w:pPr>
      <w:r>
        <w:rPr>
          <w:rFonts w:ascii="宋体" w:hAnsi="宋体"/>
          <w:color w:val="auto"/>
        </w:rPr>
        <w:t>注</w:t>
      </w:r>
      <w:r>
        <w:rPr>
          <w:rFonts w:hint="eastAsia" w:ascii="宋体" w:hAnsi="宋体"/>
          <w:color w:val="auto"/>
        </w:rPr>
        <w:t>：招标文件有格式的参照格式编制，没有格式的，由投标人自拟。</w:t>
      </w:r>
    </w:p>
    <w:p w14:paraId="5D67504A">
      <w:pPr>
        <w:spacing w:line="360" w:lineRule="auto"/>
        <w:rPr>
          <w:rFonts w:ascii="宋体" w:hAnsi="宋体"/>
          <w:bCs/>
          <w:color w:val="auto"/>
          <w:szCs w:val="21"/>
        </w:rPr>
      </w:pPr>
    </w:p>
    <w:p w14:paraId="469EB4F9">
      <w:pPr>
        <w:spacing w:line="360" w:lineRule="auto"/>
        <w:rPr>
          <w:rFonts w:ascii="宋体" w:hAnsi="宋体"/>
          <w:bCs/>
          <w:color w:val="auto"/>
          <w:szCs w:val="21"/>
        </w:rPr>
      </w:pPr>
    </w:p>
    <w:p w14:paraId="0FB6E876">
      <w:pPr>
        <w:spacing w:line="360" w:lineRule="auto"/>
        <w:rPr>
          <w:rFonts w:ascii="宋体" w:hAnsi="宋体"/>
          <w:bCs/>
          <w:color w:val="auto"/>
          <w:szCs w:val="21"/>
        </w:rPr>
      </w:pPr>
    </w:p>
    <w:p w14:paraId="26EAA75E">
      <w:pPr>
        <w:spacing w:line="360" w:lineRule="auto"/>
        <w:rPr>
          <w:rFonts w:ascii="宋体" w:hAnsi="宋体"/>
          <w:bCs/>
          <w:color w:val="auto"/>
          <w:szCs w:val="21"/>
        </w:rPr>
      </w:pPr>
    </w:p>
    <w:p w14:paraId="7BCFC75B">
      <w:pPr>
        <w:spacing w:line="360" w:lineRule="auto"/>
        <w:rPr>
          <w:rFonts w:ascii="宋体" w:hAnsi="宋体"/>
          <w:bCs/>
          <w:color w:val="auto"/>
          <w:szCs w:val="21"/>
        </w:rPr>
      </w:pPr>
    </w:p>
    <w:p w14:paraId="609AD607">
      <w:pPr>
        <w:spacing w:line="360" w:lineRule="auto"/>
        <w:rPr>
          <w:rFonts w:ascii="宋体" w:hAnsi="宋体"/>
          <w:bCs/>
          <w:color w:val="auto"/>
          <w:szCs w:val="21"/>
        </w:rPr>
      </w:pPr>
    </w:p>
    <w:p w14:paraId="1C9645A6">
      <w:pPr>
        <w:spacing w:line="360" w:lineRule="auto"/>
        <w:rPr>
          <w:rFonts w:ascii="宋体" w:hAnsi="宋体"/>
          <w:bCs/>
          <w:color w:val="auto"/>
          <w:szCs w:val="21"/>
        </w:rPr>
      </w:pPr>
    </w:p>
    <w:p w14:paraId="273EA22F">
      <w:pPr>
        <w:spacing w:line="360" w:lineRule="auto"/>
        <w:rPr>
          <w:rFonts w:ascii="宋体" w:hAnsi="宋体"/>
          <w:bCs/>
          <w:color w:val="auto"/>
          <w:szCs w:val="21"/>
        </w:rPr>
      </w:pPr>
    </w:p>
    <w:p w14:paraId="55DF8B98">
      <w:pPr>
        <w:spacing w:line="360" w:lineRule="auto"/>
        <w:rPr>
          <w:rFonts w:ascii="宋体" w:hAnsi="宋体"/>
          <w:bCs/>
          <w:color w:val="auto"/>
          <w:szCs w:val="21"/>
        </w:rPr>
      </w:pPr>
    </w:p>
    <w:p w14:paraId="5D70C1FE">
      <w:pPr>
        <w:spacing w:line="360" w:lineRule="auto"/>
        <w:rPr>
          <w:rFonts w:ascii="宋体" w:hAnsi="宋体"/>
          <w:bCs/>
          <w:color w:val="auto"/>
          <w:szCs w:val="21"/>
        </w:rPr>
      </w:pPr>
    </w:p>
    <w:p w14:paraId="136AE7EF">
      <w:pPr>
        <w:spacing w:line="360" w:lineRule="auto"/>
        <w:rPr>
          <w:rFonts w:ascii="宋体" w:hAnsi="宋体"/>
          <w:bCs/>
          <w:color w:val="auto"/>
          <w:szCs w:val="21"/>
        </w:rPr>
      </w:pPr>
    </w:p>
    <w:p w14:paraId="3B7B8947">
      <w:pPr>
        <w:spacing w:line="360" w:lineRule="auto"/>
        <w:rPr>
          <w:rFonts w:ascii="宋体" w:hAnsi="宋体"/>
          <w:bCs/>
          <w:color w:val="auto"/>
          <w:szCs w:val="21"/>
        </w:rPr>
      </w:pPr>
    </w:p>
    <w:p w14:paraId="396D9E3D">
      <w:pPr>
        <w:pStyle w:val="26"/>
        <w:rPr>
          <w:color w:val="auto"/>
        </w:rPr>
      </w:pPr>
    </w:p>
    <w:p w14:paraId="64185E78">
      <w:pPr>
        <w:spacing w:line="360" w:lineRule="auto"/>
        <w:rPr>
          <w:rFonts w:ascii="宋体" w:hAnsi="宋体"/>
          <w:bCs/>
          <w:color w:val="auto"/>
          <w:szCs w:val="21"/>
        </w:rPr>
      </w:pPr>
    </w:p>
    <w:p w14:paraId="70666EF6">
      <w:pPr>
        <w:spacing w:line="360" w:lineRule="auto"/>
        <w:rPr>
          <w:rFonts w:ascii="宋体" w:hAnsi="宋体"/>
          <w:bCs/>
          <w:color w:val="auto"/>
          <w:szCs w:val="21"/>
        </w:rPr>
      </w:pPr>
    </w:p>
    <w:p w14:paraId="3710F849">
      <w:pPr>
        <w:spacing w:line="360" w:lineRule="auto"/>
        <w:rPr>
          <w:rFonts w:ascii="宋体" w:hAnsi="宋体"/>
          <w:bCs/>
          <w:color w:val="auto"/>
          <w:szCs w:val="21"/>
        </w:rPr>
      </w:pPr>
    </w:p>
    <w:p w14:paraId="224E77B7">
      <w:pPr>
        <w:spacing w:line="360" w:lineRule="auto"/>
        <w:rPr>
          <w:rFonts w:ascii="宋体" w:hAnsi="宋体"/>
          <w:bCs/>
          <w:color w:val="auto"/>
          <w:szCs w:val="21"/>
        </w:rPr>
      </w:pPr>
    </w:p>
    <w:p w14:paraId="20BE098A">
      <w:pPr>
        <w:spacing w:line="360" w:lineRule="auto"/>
        <w:rPr>
          <w:rFonts w:ascii="宋体" w:hAnsi="宋体"/>
          <w:bCs/>
          <w:color w:val="auto"/>
          <w:szCs w:val="21"/>
        </w:rPr>
      </w:pPr>
    </w:p>
    <w:p w14:paraId="680B4634">
      <w:pPr>
        <w:spacing w:line="360" w:lineRule="auto"/>
        <w:rPr>
          <w:rFonts w:ascii="宋体" w:hAnsi="宋体"/>
          <w:bCs/>
          <w:color w:val="auto"/>
          <w:szCs w:val="21"/>
        </w:rPr>
      </w:pPr>
    </w:p>
    <w:p w14:paraId="52004586">
      <w:pPr>
        <w:spacing w:line="360" w:lineRule="auto"/>
        <w:rPr>
          <w:rFonts w:ascii="宋体" w:hAnsi="宋体"/>
          <w:bCs/>
          <w:color w:val="auto"/>
          <w:szCs w:val="21"/>
        </w:rPr>
      </w:pPr>
    </w:p>
    <w:p w14:paraId="332F0751">
      <w:pPr>
        <w:spacing w:line="360" w:lineRule="auto"/>
        <w:ind w:left="780"/>
        <w:rPr>
          <w:rFonts w:ascii="宋体" w:hAnsi="宋体"/>
          <w:color w:val="auto"/>
          <w:szCs w:val="21"/>
        </w:rPr>
      </w:pPr>
    </w:p>
    <w:p w14:paraId="3897E8D3">
      <w:pPr>
        <w:pStyle w:val="16"/>
        <w:spacing w:line="360" w:lineRule="auto"/>
        <w:ind w:firstLine="321" w:firstLineChars="100"/>
        <w:jc w:val="center"/>
        <w:rPr>
          <w:b/>
          <w:bCs/>
          <w:color w:val="auto"/>
          <w:sz w:val="32"/>
          <w:szCs w:val="32"/>
        </w:rPr>
      </w:pPr>
      <w:bookmarkStart w:id="711" w:name="_Toc10537"/>
      <w:r>
        <w:rPr>
          <w:rFonts w:hint="eastAsia"/>
          <w:b/>
          <w:bCs/>
          <w:color w:val="auto"/>
          <w:sz w:val="32"/>
          <w:szCs w:val="32"/>
        </w:rPr>
        <w:t>技术规格偏离表</w:t>
      </w:r>
    </w:p>
    <w:p w14:paraId="06522AC3">
      <w:pPr>
        <w:pStyle w:val="16"/>
        <w:spacing w:line="360" w:lineRule="auto"/>
        <w:ind w:firstLine="400" w:firstLineChars="200"/>
        <w:rPr>
          <w:rFonts w:hAnsi="宋体"/>
          <w:color w:val="auto"/>
          <w:szCs w:val="21"/>
        </w:rPr>
      </w:pPr>
      <w:r>
        <w:rPr>
          <w:rFonts w:hint="eastAsia"/>
          <w:color w:val="auto"/>
          <w:szCs w:val="21"/>
        </w:rPr>
        <w:t>请投标人按投标产品的实际技术参数，逐条对应招标文件的技术指标要求认真填写该表。</w:t>
      </w:r>
    </w:p>
    <w:tbl>
      <w:tblPr>
        <w:tblStyle w:val="27"/>
        <w:tblW w:w="85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1709"/>
        <w:gridCol w:w="1907"/>
        <w:gridCol w:w="1906"/>
        <w:gridCol w:w="1136"/>
        <w:gridCol w:w="1149"/>
      </w:tblGrid>
      <w:tr w14:paraId="319DB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779" w:type="dxa"/>
            <w:vAlign w:val="center"/>
          </w:tcPr>
          <w:p w14:paraId="6672B79D">
            <w:pPr>
              <w:spacing w:line="360" w:lineRule="auto"/>
              <w:jc w:val="center"/>
              <w:rPr>
                <w:rFonts w:ascii="宋体"/>
                <w:b/>
                <w:color w:val="auto"/>
                <w:szCs w:val="21"/>
              </w:rPr>
            </w:pPr>
            <w:r>
              <w:rPr>
                <w:rFonts w:hint="eastAsia" w:ascii="宋体"/>
                <w:b/>
                <w:color w:val="auto"/>
                <w:szCs w:val="21"/>
              </w:rPr>
              <w:t>序号</w:t>
            </w:r>
          </w:p>
        </w:tc>
        <w:tc>
          <w:tcPr>
            <w:tcW w:w="1709" w:type="dxa"/>
            <w:vAlign w:val="center"/>
          </w:tcPr>
          <w:p w14:paraId="12043559">
            <w:pPr>
              <w:spacing w:line="360" w:lineRule="auto"/>
              <w:jc w:val="center"/>
              <w:rPr>
                <w:rFonts w:ascii="宋体"/>
                <w:b/>
                <w:color w:val="auto"/>
                <w:szCs w:val="21"/>
              </w:rPr>
            </w:pPr>
            <w:r>
              <w:rPr>
                <w:rFonts w:hint="eastAsia" w:ascii="宋体" w:hAnsi="宋体" w:cs="Arial"/>
                <w:b/>
                <w:bCs/>
                <w:color w:val="auto"/>
                <w:kern w:val="0"/>
                <w:szCs w:val="21"/>
              </w:rPr>
              <w:t>产品名称</w:t>
            </w:r>
          </w:p>
        </w:tc>
        <w:tc>
          <w:tcPr>
            <w:tcW w:w="1907" w:type="dxa"/>
            <w:vAlign w:val="center"/>
          </w:tcPr>
          <w:p w14:paraId="1EFFDEC5">
            <w:pPr>
              <w:spacing w:line="360" w:lineRule="auto"/>
              <w:jc w:val="center"/>
              <w:rPr>
                <w:rFonts w:ascii="宋体"/>
                <w:b/>
                <w:color w:val="auto"/>
                <w:szCs w:val="21"/>
              </w:rPr>
            </w:pPr>
            <w:r>
              <w:rPr>
                <w:rFonts w:hint="eastAsia" w:ascii="宋体"/>
                <w:b/>
                <w:color w:val="auto"/>
                <w:szCs w:val="21"/>
              </w:rPr>
              <w:t>招标文件产品</w:t>
            </w:r>
            <w:r>
              <w:rPr>
                <w:rFonts w:hint="eastAsia" w:ascii="宋体"/>
                <w:b/>
                <w:bCs/>
                <w:color w:val="auto"/>
                <w:szCs w:val="21"/>
              </w:rPr>
              <w:t>技术指标要求</w:t>
            </w:r>
          </w:p>
        </w:tc>
        <w:tc>
          <w:tcPr>
            <w:tcW w:w="1906" w:type="dxa"/>
            <w:vAlign w:val="center"/>
          </w:tcPr>
          <w:p w14:paraId="29EEAC07">
            <w:pPr>
              <w:spacing w:line="360" w:lineRule="auto"/>
              <w:jc w:val="center"/>
              <w:rPr>
                <w:rFonts w:ascii="宋体"/>
                <w:b/>
                <w:color w:val="auto"/>
                <w:szCs w:val="21"/>
              </w:rPr>
            </w:pPr>
            <w:r>
              <w:rPr>
                <w:rFonts w:ascii="宋体"/>
                <w:b/>
                <w:color w:val="auto"/>
                <w:szCs w:val="21"/>
              </w:rPr>
              <w:t>投标</w:t>
            </w:r>
            <w:r>
              <w:rPr>
                <w:rFonts w:hint="eastAsia" w:ascii="宋体"/>
                <w:b/>
                <w:color w:val="auto"/>
                <w:szCs w:val="21"/>
              </w:rPr>
              <w:t>产品</w:t>
            </w:r>
            <w:r>
              <w:rPr>
                <w:rFonts w:hint="eastAsia" w:ascii="宋体"/>
                <w:b/>
                <w:bCs/>
                <w:color w:val="auto"/>
                <w:szCs w:val="21"/>
              </w:rPr>
              <w:t>参数性能</w:t>
            </w:r>
          </w:p>
        </w:tc>
        <w:tc>
          <w:tcPr>
            <w:tcW w:w="1136" w:type="dxa"/>
            <w:vAlign w:val="center"/>
          </w:tcPr>
          <w:p w14:paraId="1C4A7181">
            <w:pPr>
              <w:spacing w:line="360" w:lineRule="auto"/>
              <w:jc w:val="center"/>
              <w:rPr>
                <w:rFonts w:ascii="宋体"/>
                <w:b/>
                <w:color w:val="auto"/>
                <w:szCs w:val="21"/>
              </w:rPr>
            </w:pPr>
            <w:r>
              <w:rPr>
                <w:rFonts w:hint="eastAsia" w:ascii="宋体"/>
                <w:b/>
                <w:color w:val="auto"/>
                <w:szCs w:val="21"/>
              </w:rPr>
              <w:t>偏离</w:t>
            </w:r>
          </w:p>
        </w:tc>
        <w:tc>
          <w:tcPr>
            <w:tcW w:w="1149" w:type="dxa"/>
            <w:vAlign w:val="center"/>
          </w:tcPr>
          <w:p w14:paraId="15E496E7">
            <w:pPr>
              <w:spacing w:line="360" w:lineRule="auto"/>
              <w:ind w:right="71" w:rightChars="34"/>
              <w:jc w:val="center"/>
              <w:rPr>
                <w:rFonts w:ascii="宋体"/>
                <w:b/>
                <w:color w:val="auto"/>
                <w:szCs w:val="21"/>
              </w:rPr>
            </w:pPr>
            <w:r>
              <w:rPr>
                <w:rFonts w:hint="eastAsia"/>
                <w:b/>
                <w:bCs/>
                <w:color w:val="auto"/>
                <w:szCs w:val="21"/>
              </w:rPr>
              <w:t>说明</w:t>
            </w:r>
          </w:p>
        </w:tc>
      </w:tr>
      <w:tr w14:paraId="7D234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779" w:type="dxa"/>
            <w:vAlign w:val="center"/>
          </w:tcPr>
          <w:p w14:paraId="2BC35327">
            <w:pPr>
              <w:spacing w:line="360" w:lineRule="auto"/>
              <w:jc w:val="center"/>
              <w:rPr>
                <w:rFonts w:ascii="宋体"/>
                <w:b/>
                <w:color w:val="auto"/>
                <w:szCs w:val="21"/>
              </w:rPr>
            </w:pPr>
          </w:p>
        </w:tc>
        <w:tc>
          <w:tcPr>
            <w:tcW w:w="1709" w:type="dxa"/>
            <w:vAlign w:val="center"/>
          </w:tcPr>
          <w:p w14:paraId="676B3617">
            <w:pPr>
              <w:spacing w:line="360" w:lineRule="auto"/>
              <w:jc w:val="center"/>
              <w:rPr>
                <w:rFonts w:ascii="宋体"/>
                <w:b/>
                <w:color w:val="auto"/>
                <w:szCs w:val="21"/>
              </w:rPr>
            </w:pPr>
          </w:p>
        </w:tc>
        <w:tc>
          <w:tcPr>
            <w:tcW w:w="1907" w:type="dxa"/>
            <w:vAlign w:val="center"/>
          </w:tcPr>
          <w:p w14:paraId="6EC14C5F">
            <w:pPr>
              <w:spacing w:line="360" w:lineRule="auto"/>
              <w:jc w:val="center"/>
              <w:rPr>
                <w:rFonts w:ascii="宋体"/>
                <w:b/>
                <w:color w:val="auto"/>
                <w:szCs w:val="21"/>
              </w:rPr>
            </w:pPr>
          </w:p>
        </w:tc>
        <w:tc>
          <w:tcPr>
            <w:tcW w:w="1906" w:type="dxa"/>
            <w:vAlign w:val="center"/>
          </w:tcPr>
          <w:p w14:paraId="25F0C2F0">
            <w:pPr>
              <w:spacing w:line="360" w:lineRule="auto"/>
              <w:jc w:val="center"/>
              <w:rPr>
                <w:rFonts w:ascii="宋体"/>
                <w:b/>
                <w:color w:val="auto"/>
                <w:szCs w:val="21"/>
              </w:rPr>
            </w:pPr>
          </w:p>
        </w:tc>
        <w:tc>
          <w:tcPr>
            <w:tcW w:w="1136" w:type="dxa"/>
            <w:vAlign w:val="center"/>
          </w:tcPr>
          <w:p w14:paraId="71CAC518">
            <w:pPr>
              <w:spacing w:line="360" w:lineRule="auto"/>
              <w:jc w:val="center"/>
              <w:rPr>
                <w:rFonts w:ascii="宋体"/>
                <w:b/>
                <w:color w:val="auto"/>
                <w:szCs w:val="21"/>
              </w:rPr>
            </w:pPr>
          </w:p>
        </w:tc>
        <w:tc>
          <w:tcPr>
            <w:tcW w:w="1149" w:type="dxa"/>
            <w:vAlign w:val="center"/>
          </w:tcPr>
          <w:p w14:paraId="6C055988">
            <w:pPr>
              <w:spacing w:line="360" w:lineRule="auto"/>
              <w:ind w:right="71" w:rightChars="34"/>
              <w:jc w:val="center"/>
              <w:rPr>
                <w:b/>
                <w:bCs/>
                <w:color w:val="auto"/>
                <w:szCs w:val="21"/>
              </w:rPr>
            </w:pPr>
          </w:p>
        </w:tc>
      </w:tr>
      <w:tr w14:paraId="4E7F7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779" w:type="dxa"/>
            <w:vAlign w:val="center"/>
          </w:tcPr>
          <w:p w14:paraId="35D3FD9D">
            <w:pPr>
              <w:spacing w:line="360" w:lineRule="auto"/>
              <w:jc w:val="center"/>
              <w:rPr>
                <w:rFonts w:ascii="宋体"/>
                <w:b/>
                <w:color w:val="auto"/>
                <w:szCs w:val="21"/>
              </w:rPr>
            </w:pPr>
          </w:p>
        </w:tc>
        <w:tc>
          <w:tcPr>
            <w:tcW w:w="1709" w:type="dxa"/>
            <w:vAlign w:val="center"/>
          </w:tcPr>
          <w:p w14:paraId="373F9650">
            <w:pPr>
              <w:spacing w:line="360" w:lineRule="auto"/>
              <w:jc w:val="center"/>
              <w:rPr>
                <w:rFonts w:ascii="宋体"/>
                <w:b/>
                <w:color w:val="auto"/>
                <w:szCs w:val="21"/>
              </w:rPr>
            </w:pPr>
          </w:p>
        </w:tc>
        <w:tc>
          <w:tcPr>
            <w:tcW w:w="1907" w:type="dxa"/>
            <w:vAlign w:val="center"/>
          </w:tcPr>
          <w:p w14:paraId="3B9E6606">
            <w:pPr>
              <w:spacing w:line="360" w:lineRule="auto"/>
              <w:jc w:val="center"/>
              <w:rPr>
                <w:rFonts w:ascii="宋体"/>
                <w:b/>
                <w:color w:val="auto"/>
                <w:szCs w:val="21"/>
              </w:rPr>
            </w:pPr>
          </w:p>
        </w:tc>
        <w:tc>
          <w:tcPr>
            <w:tcW w:w="1906" w:type="dxa"/>
            <w:vAlign w:val="center"/>
          </w:tcPr>
          <w:p w14:paraId="4DFC2A67">
            <w:pPr>
              <w:spacing w:line="360" w:lineRule="auto"/>
              <w:jc w:val="center"/>
              <w:rPr>
                <w:rFonts w:ascii="宋体"/>
                <w:b/>
                <w:color w:val="auto"/>
                <w:szCs w:val="21"/>
              </w:rPr>
            </w:pPr>
          </w:p>
        </w:tc>
        <w:tc>
          <w:tcPr>
            <w:tcW w:w="1136" w:type="dxa"/>
            <w:vAlign w:val="center"/>
          </w:tcPr>
          <w:p w14:paraId="7C5A94EB">
            <w:pPr>
              <w:spacing w:line="360" w:lineRule="auto"/>
              <w:jc w:val="center"/>
              <w:rPr>
                <w:rFonts w:ascii="宋体"/>
                <w:b/>
                <w:color w:val="auto"/>
                <w:szCs w:val="21"/>
              </w:rPr>
            </w:pPr>
          </w:p>
        </w:tc>
        <w:tc>
          <w:tcPr>
            <w:tcW w:w="1149" w:type="dxa"/>
            <w:vAlign w:val="center"/>
          </w:tcPr>
          <w:p w14:paraId="4FD3CF1C">
            <w:pPr>
              <w:spacing w:line="360" w:lineRule="auto"/>
              <w:ind w:right="71" w:rightChars="34"/>
              <w:jc w:val="center"/>
              <w:rPr>
                <w:b/>
                <w:bCs/>
                <w:color w:val="auto"/>
                <w:szCs w:val="21"/>
              </w:rPr>
            </w:pPr>
          </w:p>
        </w:tc>
      </w:tr>
      <w:tr w14:paraId="11766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jc w:val="center"/>
        </w:trPr>
        <w:tc>
          <w:tcPr>
            <w:tcW w:w="779" w:type="dxa"/>
            <w:vAlign w:val="center"/>
          </w:tcPr>
          <w:p w14:paraId="37E7C3B9">
            <w:pPr>
              <w:spacing w:line="360" w:lineRule="auto"/>
              <w:jc w:val="center"/>
              <w:rPr>
                <w:rFonts w:ascii="宋体"/>
                <w:color w:val="auto"/>
                <w:szCs w:val="21"/>
              </w:rPr>
            </w:pPr>
            <w:r>
              <w:rPr>
                <w:rFonts w:ascii="宋体"/>
                <w:color w:val="auto"/>
                <w:szCs w:val="21"/>
              </w:rPr>
              <w:t>…</w:t>
            </w:r>
          </w:p>
        </w:tc>
        <w:tc>
          <w:tcPr>
            <w:tcW w:w="1709" w:type="dxa"/>
            <w:vAlign w:val="center"/>
          </w:tcPr>
          <w:p w14:paraId="59B9B608">
            <w:pPr>
              <w:spacing w:line="360" w:lineRule="auto"/>
              <w:jc w:val="center"/>
              <w:rPr>
                <w:rFonts w:ascii="宋体"/>
                <w:color w:val="auto"/>
                <w:szCs w:val="21"/>
              </w:rPr>
            </w:pPr>
          </w:p>
        </w:tc>
        <w:tc>
          <w:tcPr>
            <w:tcW w:w="1907" w:type="dxa"/>
            <w:vAlign w:val="center"/>
          </w:tcPr>
          <w:p w14:paraId="03FCF3DB">
            <w:pPr>
              <w:spacing w:line="360" w:lineRule="auto"/>
              <w:jc w:val="center"/>
              <w:rPr>
                <w:rFonts w:ascii="宋体"/>
                <w:color w:val="auto"/>
                <w:szCs w:val="21"/>
              </w:rPr>
            </w:pPr>
          </w:p>
        </w:tc>
        <w:tc>
          <w:tcPr>
            <w:tcW w:w="1906" w:type="dxa"/>
            <w:vAlign w:val="center"/>
          </w:tcPr>
          <w:p w14:paraId="2D5D7FCC">
            <w:pPr>
              <w:spacing w:line="360" w:lineRule="auto"/>
              <w:jc w:val="center"/>
              <w:rPr>
                <w:rFonts w:ascii="宋体"/>
                <w:color w:val="auto"/>
                <w:szCs w:val="21"/>
              </w:rPr>
            </w:pPr>
          </w:p>
        </w:tc>
        <w:tc>
          <w:tcPr>
            <w:tcW w:w="1136" w:type="dxa"/>
          </w:tcPr>
          <w:p w14:paraId="3B599917">
            <w:pPr>
              <w:spacing w:line="360" w:lineRule="auto"/>
              <w:jc w:val="center"/>
              <w:rPr>
                <w:rFonts w:ascii="宋体"/>
                <w:color w:val="auto"/>
                <w:szCs w:val="21"/>
              </w:rPr>
            </w:pPr>
          </w:p>
        </w:tc>
        <w:tc>
          <w:tcPr>
            <w:tcW w:w="1149" w:type="dxa"/>
            <w:vAlign w:val="center"/>
          </w:tcPr>
          <w:p w14:paraId="23000697">
            <w:pPr>
              <w:spacing w:line="360" w:lineRule="auto"/>
              <w:jc w:val="center"/>
              <w:rPr>
                <w:rFonts w:ascii="宋体"/>
                <w:color w:val="auto"/>
                <w:szCs w:val="21"/>
              </w:rPr>
            </w:pPr>
          </w:p>
        </w:tc>
      </w:tr>
    </w:tbl>
    <w:p w14:paraId="693E48BB">
      <w:pPr>
        <w:pStyle w:val="16"/>
        <w:spacing w:line="360" w:lineRule="auto"/>
        <w:rPr>
          <w:rFonts w:hAnsi="宋体"/>
          <w:color w:val="auto"/>
          <w:szCs w:val="21"/>
        </w:rPr>
      </w:pPr>
      <w:r>
        <w:rPr>
          <w:rFonts w:hint="eastAsia" w:hAnsi="宋体"/>
          <w:color w:val="auto"/>
          <w:szCs w:val="21"/>
        </w:rPr>
        <w:t>注：</w:t>
      </w:r>
    </w:p>
    <w:p w14:paraId="2B74B4F8">
      <w:pPr>
        <w:pStyle w:val="16"/>
        <w:spacing w:line="360" w:lineRule="auto"/>
        <w:ind w:firstLine="400" w:firstLineChars="200"/>
        <w:rPr>
          <w:rFonts w:hAnsi="宋体"/>
          <w:bCs/>
          <w:color w:val="auto"/>
          <w:szCs w:val="21"/>
        </w:rPr>
      </w:pPr>
      <w:r>
        <w:rPr>
          <w:rFonts w:hint="eastAsia" w:hAnsi="宋体"/>
          <w:color w:val="auto"/>
          <w:szCs w:val="21"/>
        </w:rPr>
        <w:t>1、序号应对招标文件</w:t>
      </w:r>
      <w:r>
        <w:rPr>
          <w:rFonts w:hint="eastAsia" w:hAnsi="宋体"/>
          <w:bCs/>
          <w:color w:val="auto"/>
          <w:szCs w:val="21"/>
        </w:rPr>
        <w:t>技术指标中的序号。</w:t>
      </w:r>
    </w:p>
    <w:p w14:paraId="10A06835">
      <w:pPr>
        <w:pStyle w:val="16"/>
        <w:spacing w:line="360" w:lineRule="auto"/>
        <w:ind w:firstLine="400" w:firstLineChars="200"/>
        <w:rPr>
          <w:rFonts w:hAnsi="宋体"/>
          <w:color w:val="auto"/>
          <w:szCs w:val="21"/>
        </w:rPr>
      </w:pPr>
      <w:r>
        <w:rPr>
          <w:rFonts w:hint="eastAsia" w:hAnsi="宋体"/>
          <w:color w:val="auto"/>
          <w:szCs w:val="21"/>
        </w:rPr>
        <w:t>2、投标人根据招标文件</w:t>
      </w:r>
      <w:r>
        <w:rPr>
          <w:rFonts w:hint="eastAsia" w:hAnsi="宋体"/>
          <w:b/>
          <w:bCs/>
          <w:color w:val="auto"/>
          <w:szCs w:val="21"/>
        </w:rPr>
        <w:t>技术指标要求</w:t>
      </w:r>
      <w:r>
        <w:rPr>
          <w:rFonts w:hint="eastAsia" w:hAnsi="宋体"/>
          <w:color w:val="auto"/>
          <w:szCs w:val="21"/>
        </w:rPr>
        <w:t>作出全面、真实的反映，要求逐条对应答复，</w:t>
      </w:r>
      <w:r>
        <w:rPr>
          <w:rFonts w:hAnsi="宋体"/>
          <w:color w:val="auto"/>
          <w:szCs w:val="21"/>
        </w:rPr>
        <w:t>并在</w:t>
      </w:r>
      <w:r>
        <w:rPr>
          <w:rFonts w:hint="eastAsia" w:hAnsi="宋体"/>
          <w:b/>
          <w:color w:val="auto"/>
          <w:szCs w:val="21"/>
        </w:rPr>
        <w:t>“</w:t>
      </w:r>
      <w:r>
        <w:rPr>
          <w:b/>
          <w:color w:val="auto"/>
          <w:szCs w:val="21"/>
        </w:rPr>
        <w:t>投标</w:t>
      </w:r>
      <w:r>
        <w:rPr>
          <w:rFonts w:hint="eastAsia"/>
          <w:b/>
          <w:color w:val="auto"/>
          <w:szCs w:val="21"/>
        </w:rPr>
        <w:t>产品</w:t>
      </w:r>
      <w:r>
        <w:rPr>
          <w:rFonts w:hint="eastAsia"/>
          <w:b/>
          <w:bCs/>
          <w:color w:val="auto"/>
          <w:szCs w:val="21"/>
        </w:rPr>
        <w:t>参数性能</w:t>
      </w:r>
      <w:r>
        <w:rPr>
          <w:rFonts w:hint="eastAsia" w:hAnsi="宋体"/>
          <w:b/>
          <w:color w:val="auto"/>
          <w:szCs w:val="21"/>
        </w:rPr>
        <w:t>”</w:t>
      </w:r>
      <w:r>
        <w:rPr>
          <w:rFonts w:hint="eastAsia" w:hAnsi="宋体"/>
          <w:color w:val="auto"/>
          <w:szCs w:val="21"/>
        </w:rPr>
        <w:t>一列中</w:t>
      </w:r>
      <w:r>
        <w:rPr>
          <w:rFonts w:hAnsi="宋体"/>
          <w:color w:val="auto"/>
          <w:szCs w:val="21"/>
        </w:rPr>
        <w:t>写明</w:t>
      </w:r>
      <w:r>
        <w:rPr>
          <w:rFonts w:hint="eastAsia" w:hAnsi="宋体"/>
          <w:color w:val="auto"/>
          <w:szCs w:val="21"/>
        </w:rPr>
        <w:t>详细内容，诸如“已知”、“理解”、“满足”或“同意”等非明确的答复是不可接受的。投标文件应以中文应答（英文文本或缩略语需提供中文翻译或注释）。</w:t>
      </w:r>
    </w:p>
    <w:p w14:paraId="565899DA">
      <w:pPr>
        <w:pStyle w:val="16"/>
        <w:spacing w:line="360" w:lineRule="auto"/>
        <w:ind w:firstLine="400" w:firstLineChars="200"/>
        <w:rPr>
          <w:rFonts w:hAnsi="宋体"/>
          <w:color w:val="auto"/>
          <w:szCs w:val="21"/>
        </w:rPr>
      </w:pPr>
      <w:r>
        <w:rPr>
          <w:rFonts w:hint="eastAsia" w:hAnsi="宋体"/>
          <w:color w:val="auto"/>
          <w:szCs w:val="21"/>
        </w:rPr>
        <w:t>3、</w:t>
      </w:r>
      <w:r>
        <w:rPr>
          <w:rFonts w:hAnsi="宋体"/>
          <w:color w:val="auto"/>
          <w:szCs w:val="21"/>
        </w:rPr>
        <w:t>表格中“偏离”</w:t>
      </w:r>
      <w:r>
        <w:rPr>
          <w:rFonts w:hint="eastAsia" w:hAnsi="宋体"/>
          <w:color w:val="auto"/>
          <w:szCs w:val="21"/>
        </w:rPr>
        <w:t>一列，</w:t>
      </w:r>
      <w:r>
        <w:rPr>
          <w:rFonts w:hAnsi="宋体"/>
          <w:color w:val="auto"/>
          <w:szCs w:val="21"/>
        </w:rPr>
        <w:t>投标人</w:t>
      </w:r>
      <w:r>
        <w:rPr>
          <w:rFonts w:hAnsi="宋体"/>
          <w:b/>
          <w:color w:val="auto"/>
          <w:szCs w:val="21"/>
        </w:rPr>
        <w:t>只能如实填写“</w:t>
      </w:r>
      <w:r>
        <w:rPr>
          <w:rFonts w:hint="eastAsia" w:hAnsi="宋体"/>
          <w:b/>
          <w:color w:val="auto"/>
          <w:szCs w:val="21"/>
        </w:rPr>
        <w:t>正偏离</w:t>
      </w:r>
      <w:r>
        <w:rPr>
          <w:rFonts w:hAnsi="宋体"/>
          <w:b/>
          <w:color w:val="auto"/>
          <w:szCs w:val="21"/>
        </w:rPr>
        <w:t>”</w:t>
      </w:r>
      <w:r>
        <w:rPr>
          <w:rFonts w:hint="eastAsia" w:hAnsi="宋体"/>
          <w:b/>
          <w:color w:val="auto"/>
          <w:szCs w:val="21"/>
        </w:rPr>
        <w:t>、“负</w:t>
      </w:r>
      <w:r>
        <w:rPr>
          <w:rFonts w:hAnsi="宋体"/>
          <w:b/>
          <w:color w:val="auto"/>
          <w:szCs w:val="21"/>
        </w:rPr>
        <w:t>偏离”或“无偏离”</w:t>
      </w:r>
      <w:r>
        <w:rPr>
          <w:rFonts w:hAnsi="宋体"/>
          <w:color w:val="auto"/>
          <w:szCs w:val="21"/>
        </w:rPr>
        <w:t>。凡</w:t>
      </w:r>
      <w:r>
        <w:rPr>
          <w:rFonts w:hint="eastAsia" w:hAnsi="宋体"/>
          <w:color w:val="auto"/>
          <w:szCs w:val="21"/>
        </w:rPr>
        <w:t>提供</w:t>
      </w:r>
      <w:r>
        <w:rPr>
          <w:rFonts w:hAnsi="宋体"/>
          <w:color w:val="auto"/>
          <w:szCs w:val="21"/>
        </w:rPr>
        <w:t>投标</w:t>
      </w:r>
      <w:r>
        <w:rPr>
          <w:rFonts w:hint="eastAsia" w:hAnsi="宋体"/>
          <w:color w:val="auto"/>
          <w:szCs w:val="21"/>
        </w:rPr>
        <w:t>产品参数性能高于</w:t>
      </w:r>
      <w:r>
        <w:rPr>
          <w:rFonts w:hAnsi="宋体"/>
          <w:color w:val="auto"/>
          <w:szCs w:val="21"/>
        </w:rPr>
        <w:t>招标文件要求</w:t>
      </w:r>
      <w:r>
        <w:rPr>
          <w:rFonts w:hint="eastAsia" w:hAnsi="宋体"/>
          <w:color w:val="auto"/>
          <w:szCs w:val="21"/>
        </w:rPr>
        <w:t>的，按</w:t>
      </w:r>
      <w:r>
        <w:rPr>
          <w:rFonts w:hAnsi="宋体"/>
          <w:color w:val="auto"/>
          <w:szCs w:val="21"/>
        </w:rPr>
        <w:t>“</w:t>
      </w:r>
      <w:r>
        <w:rPr>
          <w:rFonts w:hint="eastAsia" w:hAnsi="宋体"/>
          <w:color w:val="auto"/>
          <w:szCs w:val="21"/>
        </w:rPr>
        <w:t>正</w:t>
      </w:r>
      <w:r>
        <w:rPr>
          <w:rFonts w:hAnsi="宋体"/>
          <w:color w:val="auto"/>
          <w:szCs w:val="21"/>
        </w:rPr>
        <w:t>偏离”填写</w:t>
      </w:r>
      <w:r>
        <w:rPr>
          <w:rFonts w:hint="eastAsia" w:hAnsi="宋体"/>
          <w:color w:val="auto"/>
          <w:szCs w:val="21"/>
        </w:rPr>
        <w:t>；低于招标文件要求的，按</w:t>
      </w:r>
      <w:r>
        <w:rPr>
          <w:rFonts w:hAnsi="宋体"/>
          <w:color w:val="auto"/>
          <w:szCs w:val="21"/>
        </w:rPr>
        <w:t>“</w:t>
      </w:r>
      <w:r>
        <w:rPr>
          <w:rFonts w:hint="eastAsia" w:hAnsi="宋体"/>
          <w:color w:val="auto"/>
          <w:szCs w:val="21"/>
        </w:rPr>
        <w:t>负</w:t>
      </w:r>
      <w:r>
        <w:rPr>
          <w:rFonts w:hAnsi="宋体"/>
          <w:color w:val="auto"/>
          <w:szCs w:val="21"/>
        </w:rPr>
        <w:t>偏离”填写</w:t>
      </w:r>
      <w:r>
        <w:rPr>
          <w:rFonts w:hint="eastAsia" w:hAnsi="宋体"/>
          <w:color w:val="auto"/>
          <w:szCs w:val="21"/>
        </w:rPr>
        <w:t>；满足招标文件要求的，按“无偏离”填写。</w:t>
      </w:r>
    </w:p>
    <w:p w14:paraId="1536C551">
      <w:pPr>
        <w:spacing w:line="360" w:lineRule="auto"/>
        <w:ind w:firstLine="420" w:firstLineChars="200"/>
        <w:rPr>
          <w:rFonts w:ascii="宋体" w:hAnsi="宋体"/>
          <w:color w:val="auto"/>
          <w:kern w:val="0"/>
          <w:sz w:val="20"/>
          <w:szCs w:val="21"/>
        </w:rPr>
      </w:pPr>
      <w:r>
        <w:rPr>
          <w:rFonts w:hint="eastAsia" w:hAnsi="宋体"/>
          <w:color w:val="auto"/>
          <w:szCs w:val="21"/>
        </w:rPr>
        <w:t>4、</w:t>
      </w:r>
      <w:r>
        <w:rPr>
          <w:rFonts w:hint="eastAsia" w:ascii="宋体" w:hAnsi="宋体"/>
          <w:color w:val="auto"/>
          <w:kern w:val="0"/>
          <w:sz w:val="20"/>
          <w:szCs w:val="21"/>
        </w:rPr>
        <w:t>招标文件第五章“采购需求”的《三、采购标的需满足的质量、安全、技术规格、物理特性等要求：》中要求的相关证明或其他附件材料附后（如有要求）。</w:t>
      </w:r>
    </w:p>
    <w:p w14:paraId="46BC3477">
      <w:pPr>
        <w:spacing w:line="360" w:lineRule="auto"/>
        <w:ind w:firstLine="422" w:firstLineChars="200"/>
        <w:rPr>
          <w:rFonts w:ascii="宋体" w:hAnsi="宋体"/>
          <w:color w:val="auto"/>
          <w:szCs w:val="21"/>
        </w:rPr>
      </w:pPr>
      <w:r>
        <w:rPr>
          <w:rFonts w:hint="eastAsia" w:hAnsi="宋体"/>
          <w:b/>
          <w:bCs/>
          <w:color w:val="auto"/>
          <w:szCs w:val="21"/>
        </w:rPr>
        <w:t>请投标人如实填写本表并附相应的支持资料，若投标人虚假承诺导致的一切后果自负。</w:t>
      </w:r>
    </w:p>
    <w:p w14:paraId="45755959">
      <w:pPr>
        <w:snapToGrid w:val="0"/>
        <w:spacing w:before="120" w:line="360" w:lineRule="auto"/>
        <w:ind w:left="400" w:right="357" w:hanging="400"/>
        <w:rPr>
          <w:rFonts w:ascii="宋体" w:hAnsi="宋体"/>
          <w:color w:val="auto"/>
          <w:szCs w:val="21"/>
        </w:rPr>
      </w:pPr>
    </w:p>
    <w:p w14:paraId="5D8FADD9">
      <w:pPr>
        <w:snapToGrid w:val="0"/>
        <w:spacing w:before="120" w:line="360" w:lineRule="auto"/>
        <w:ind w:left="400" w:right="357" w:hanging="400"/>
        <w:rPr>
          <w:rFonts w:ascii="宋体" w:hAnsi="宋体"/>
          <w:color w:val="auto"/>
          <w:szCs w:val="21"/>
        </w:rPr>
      </w:pPr>
    </w:p>
    <w:p w14:paraId="2E2467BE">
      <w:pPr>
        <w:snapToGrid w:val="0"/>
        <w:spacing w:before="120" w:line="360" w:lineRule="auto"/>
        <w:ind w:left="400" w:right="357" w:hanging="400"/>
        <w:rPr>
          <w:rFonts w:ascii="宋体" w:hAnsi="宋体"/>
          <w:color w:val="auto"/>
          <w:szCs w:val="21"/>
        </w:rPr>
      </w:pPr>
    </w:p>
    <w:p w14:paraId="69116460">
      <w:pPr>
        <w:snapToGrid w:val="0"/>
        <w:spacing w:before="120" w:line="360" w:lineRule="auto"/>
        <w:ind w:left="400" w:right="357" w:hanging="400"/>
        <w:rPr>
          <w:rFonts w:ascii="宋体" w:hAnsi="宋体"/>
          <w:color w:val="auto"/>
          <w:szCs w:val="21"/>
        </w:rPr>
      </w:pPr>
    </w:p>
    <w:p w14:paraId="143CFDD2">
      <w:pPr>
        <w:snapToGrid w:val="0"/>
        <w:spacing w:before="120" w:line="360" w:lineRule="auto"/>
        <w:ind w:left="400" w:right="357" w:hanging="400"/>
        <w:rPr>
          <w:rFonts w:ascii="宋体" w:hAnsi="宋体"/>
          <w:color w:val="auto"/>
          <w:szCs w:val="21"/>
        </w:rPr>
      </w:pPr>
    </w:p>
    <w:p w14:paraId="42F741A5">
      <w:pPr>
        <w:pStyle w:val="26"/>
        <w:rPr>
          <w:color w:val="auto"/>
        </w:rPr>
      </w:pPr>
    </w:p>
    <w:p w14:paraId="2C9A25AA">
      <w:pPr>
        <w:snapToGrid w:val="0"/>
        <w:spacing w:before="120" w:line="360" w:lineRule="auto"/>
        <w:ind w:left="400" w:right="357" w:hanging="400"/>
        <w:rPr>
          <w:rFonts w:ascii="宋体" w:hAnsi="宋体"/>
          <w:color w:val="auto"/>
          <w:szCs w:val="21"/>
        </w:rPr>
      </w:pPr>
    </w:p>
    <w:p w14:paraId="61CC76F8">
      <w:pPr>
        <w:spacing w:line="360" w:lineRule="auto"/>
        <w:ind w:left="780"/>
        <w:rPr>
          <w:rFonts w:ascii="宋体" w:hAnsi="宋体" w:cs="宋体"/>
          <w:color w:val="auto"/>
          <w:szCs w:val="21"/>
        </w:rPr>
      </w:pPr>
      <w:r>
        <w:rPr>
          <w:rFonts w:hint="eastAsia" w:ascii="宋体" w:hAnsi="宋体"/>
          <w:color w:val="auto"/>
          <w:szCs w:val="21"/>
        </w:rPr>
        <w:t xml:space="preserve">                                                   </w:t>
      </w:r>
      <w:bookmarkEnd w:id="711"/>
    </w:p>
    <w:sectPr>
      <w:pgSz w:w="11906" w:h="16838"/>
      <w:pgMar w:top="1440" w:right="1440" w:bottom="1440" w:left="1440" w:header="851" w:footer="992" w:gutter="0"/>
      <w:pgNumType w:fmt="decimal"/>
      <w:cols w:space="708"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4765F84-2871-4323-996D-7B1115115D89}"/>
  </w:font>
  <w:font w:name="Arial">
    <w:panose1 w:val="020B0604020202020204"/>
    <w:charset w:val="01"/>
    <w:family w:val="swiss"/>
    <w:pitch w:val="default"/>
    <w:sig w:usb0="E0002EFF" w:usb1="C000785B" w:usb2="00000009" w:usb3="00000000" w:csb0="400001FF" w:csb1="FFFF0000"/>
    <w:embedRegular r:id="rId2" w:fontKey="{F1933C63-3700-419B-95DA-15E510C1D5C4}"/>
  </w:font>
  <w:font w:name="黑体">
    <w:panose1 w:val="02010609060101010101"/>
    <w:charset w:val="86"/>
    <w:family w:val="auto"/>
    <w:pitch w:val="default"/>
    <w:sig w:usb0="800002BF" w:usb1="38CF7CFA" w:usb2="00000016" w:usb3="00000000" w:csb0="00040001" w:csb1="00000000"/>
    <w:embedRegular r:id="rId3" w:fontKey="{58EA356F-397F-4E2C-848E-628008DC96A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63C06A05-D489-4FCA-990C-D01DA56E447F}"/>
  </w:font>
  <w:font w:name="仿宋_GB2312">
    <w:altName w:val="仿宋"/>
    <w:panose1 w:val="00000000000000000000"/>
    <w:charset w:val="86"/>
    <w:family w:val="modern"/>
    <w:pitch w:val="default"/>
    <w:sig w:usb0="00000000" w:usb1="00000000" w:usb2="00000000" w:usb3="00000000" w:csb0="00040000" w:csb1="00000000"/>
    <w:embedRegular r:id="rId5" w:fontKey="{919940EB-BBAE-4DD0-BC36-BB0B1C7425A7}"/>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embedRegular r:id="rId6" w:fontKey="{3FFF128D-495E-4972-A9B6-76181C8C29B8}"/>
  </w:font>
  <w:font w:name="Wingdings 2">
    <w:panose1 w:val="05020102010507070707"/>
    <w:charset w:val="02"/>
    <w:family w:val="roman"/>
    <w:pitch w:val="default"/>
    <w:sig w:usb0="00000000" w:usb1="00000000" w:usb2="00000000" w:usb3="00000000" w:csb0="80000000" w:csb1="00000000"/>
    <w:embedRegular r:id="rId7" w:fontKey="{EF4B7CD3-B9B3-4832-89C7-0710B64752B7}"/>
  </w:font>
  <w:font w:name="宋?">
    <w:altName w:val="Times New Roman"/>
    <w:panose1 w:val="00000000000000000000"/>
    <w:charset w:val="00"/>
    <w:family w:val="auto"/>
    <w:pitch w:val="default"/>
    <w:sig w:usb0="00000000" w:usb1="00000000" w:usb2="00000000" w:usb3="00000000" w:csb0="00000001" w:csb1="00000000"/>
  </w:font>
  <w:font w:name="Segoe UI Emoji">
    <w:panose1 w:val="020B0502040204020203"/>
    <w:charset w:val="00"/>
    <w:family w:val="swiss"/>
    <w:pitch w:val="default"/>
    <w:sig w:usb0="00000001" w:usb1="02000000" w:usb2="08000000" w:usb3="00000000" w:csb0="00000001" w:csb1="00000000"/>
    <w:embedRegular r:id="rId8" w:fontKey="{EFB547CC-373B-4E8F-B18B-D5FC38EA956F}"/>
  </w:font>
  <w:font w:name="华文中宋">
    <w:panose1 w:val="02010600040101010101"/>
    <w:charset w:val="86"/>
    <w:family w:val="auto"/>
    <w:pitch w:val="default"/>
    <w:sig w:usb0="00000287" w:usb1="080F0000" w:usb2="00000000" w:usb3="00000000" w:csb0="0004009F" w:csb1="DFD70000"/>
    <w:embedRegular r:id="rId9" w:fontKey="{B392D93A-74B1-4008-94B6-1F29D87A4FDF}"/>
  </w:font>
  <w:font w:name="汉仪书宋二S">
    <w:altName w:val="宋体"/>
    <w:panose1 w:val="00000000000000000000"/>
    <w:charset w:val="00"/>
    <w:family w:val="auto"/>
    <w:pitch w:val="default"/>
    <w:sig w:usb0="00000000" w:usb1="00000000" w:usb2="00000000" w:usb3="00000000" w:csb0="00000000" w:csb1="00000000"/>
    <w:embedRegular r:id="rId10" w:fontKey="{35D67E41-1330-4156-837D-39BD04A63BC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06861D">
    <w:pPr>
      <w:pStyle w:val="1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8E9E4">
    <w:pPr>
      <w:pStyle w:val="18"/>
      <w:framePr w:wrap="around" w:vAnchor="text" w:hAnchor="margin" w:xAlign="center" w:y="1"/>
      <w:rPr>
        <w:rStyle w:val="30"/>
      </w:rPr>
    </w:pPr>
    <w:r>
      <w:fldChar w:fldCharType="begin"/>
    </w:r>
    <w:r>
      <w:rPr>
        <w:rStyle w:val="30"/>
      </w:rPr>
      <w:instrText xml:space="preserve">PAGE  </w:instrText>
    </w:r>
    <w:r>
      <w:fldChar w:fldCharType="end"/>
    </w:r>
  </w:p>
  <w:p w14:paraId="777F9E51">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F8166">
    <w:pPr>
      <w:pStyle w:val="1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E551A">
    <w:pPr>
      <w:pStyle w:val="1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C21F7">
    <w:pPr>
      <w:pStyle w:val="1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CB8DC1">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9CB8DC1">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2DB0A">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DB686F">
                          <w:pPr>
                            <w:pStyle w:val="18"/>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6DB686F">
                    <w:pPr>
                      <w:pStyle w:val="18"/>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AE495">
    <w:pPr>
      <w:spacing w:line="174" w:lineRule="auto"/>
      <w:jc w:val="right"/>
      <w:rPr>
        <w:rFonts w:ascii="宋体" w:hAnsi="宋体" w:cs="宋体"/>
        <w:sz w:val="26"/>
        <w:szCs w:val="26"/>
      </w:rPr>
    </w:pPr>
    <w:r>
      <w:rPr>
        <w:sz w:val="26"/>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9D4C37">
                          <w:pPr>
                            <w:pStyle w:val="18"/>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39D4C37">
                    <w:pPr>
                      <w:pStyle w:val="18"/>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7B8D8">
    <w:pPr>
      <w:pStyle w:val="18"/>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C6A389">
                          <w:pPr>
                            <w:pStyle w:val="18"/>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BC6A389">
                    <w:pPr>
                      <w:pStyle w:val="18"/>
                    </w:pPr>
                    <w:r>
                      <w:fldChar w:fldCharType="begin"/>
                    </w:r>
                    <w:r>
                      <w:instrText xml:space="preserve"> PAGE  \* MERGEFORMAT </w:instrText>
                    </w:r>
                    <w:r>
                      <w:fldChar w:fldCharType="separate"/>
                    </w:r>
                    <w:r>
                      <w:t>61</w:t>
                    </w:r>
                    <w:r>
                      <w:fldChar w:fldCharType="end"/>
                    </w:r>
                  </w:p>
                </w:txbxContent>
              </v:textbox>
            </v:shape>
          </w:pict>
        </mc:Fallback>
      </mc:AlternateContent>
    </w:r>
  </w:p>
  <w:p w14:paraId="09B28602">
    <w:pPr>
      <w:pStyle w:val="1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EA556">
    <w:pPr>
      <w:pStyle w:val="19"/>
      <w:pBdr>
        <w:bottom w:val="none" w:color="auto" w:sz="0" w:space="0"/>
      </w:pBdr>
      <w:tabs>
        <w:tab w:val="left" w:pos="7938"/>
        <w:tab w:val="clear" w:pos="8306"/>
      </w:tabs>
      <w:ind w:right="-199"/>
      <w:jc w:val="both"/>
      <w:rPr>
        <w:rFonts w:ascii="宋体" w:hAnsi="宋体"/>
        <w:u w:val="single"/>
      </w:rPr>
    </w:pPr>
    <w:r>
      <w:rPr>
        <w:rFonts w:hint="eastAsia" w:ascii="宋体" w:hAnsi="宋体"/>
        <w:u w:val="single"/>
      </w:rPr>
      <w:t xml:space="preserve">                                                                                     YT-ZB-22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4C48A">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C9E6C">
    <w:pPr>
      <w:pStyle w:val="1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D77B3">
    <w:pPr>
      <w:pStyle w:val="19"/>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F1FFD">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070AC47"/>
    <w:multiLevelType w:val="singleLevel"/>
    <w:tmpl w:val="C070AC47"/>
    <w:lvl w:ilvl="0" w:tentative="0">
      <w:start w:val="1"/>
      <w:numFmt w:val="decimal"/>
      <w:lvlText w:val="(%1)"/>
      <w:lvlJc w:val="left"/>
      <w:pPr>
        <w:tabs>
          <w:tab w:val="left" w:pos="312"/>
        </w:tabs>
      </w:pPr>
      <w:rPr>
        <w:rFonts w:hint="default"/>
        <w:b w:val="0"/>
        <w:bCs w:val="0"/>
      </w:rPr>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0000000D"/>
    <w:multiLevelType w:val="multilevel"/>
    <w:tmpl w:val="0000000D"/>
    <w:lvl w:ilvl="0" w:tentative="0">
      <w:start w:val="1"/>
      <w:numFmt w:val="japaneseCounting"/>
      <w:lvlText w:val="第%1章"/>
      <w:lvlJc w:val="left"/>
      <w:pPr>
        <w:tabs>
          <w:tab w:val="left" w:pos="1605"/>
        </w:tabs>
        <w:ind w:left="1605" w:hanging="1275"/>
      </w:pPr>
      <w:rPr>
        <w:rFonts w:hint="default"/>
      </w:rPr>
    </w:lvl>
    <w:lvl w:ilvl="1" w:tentative="0">
      <w:start w:val="1"/>
      <w:numFmt w:val="lowerLetter"/>
      <w:lvlText w:val="%2)"/>
      <w:lvlJc w:val="left"/>
      <w:pPr>
        <w:tabs>
          <w:tab w:val="left" w:pos="1170"/>
        </w:tabs>
        <w:ind w:left="1170" w:hanging="420"/>
      </w:pPr>
    </w:lvl>
    <w:lvl w:ilvl="2" w:tentative="0">
      <w:start w:val="1"/>
      <w:numFmt w:val="lowerRoman"/>
      <w:lvlText w:val="%3."/>
      <w:lvlJc w:val="right"/>
      <w:pPr>
        <w:tabs>
          <w:tab w:val="left" w:pos="1590"/>
        </w:tabs>
        <w:ind w:left="1590" w:hanging="420"/>
      </w:pPr>
    </w:lvl>
    <w:lvl w:ilvl="3" w:tentative="0">
      <w:start w:val="1"/>
      <w:numFmt w:val="decimal"/>
      <w:lvlText w:val="%4."/>
      <w:lvlJc w:val="left"/>
      <w:pPr>
        <w:tabs>
          <w:tab w:val="left" w:pos="2010"/>
        </w:tabs>
        <w:ind w:left="2010" w:hanging="420"/>
      </w:pPr>
    </w:lvl>
    <w:lvl w:ilvl="4" w:tentative="0">
      <w:start w:val="1"/>
      <w:numFmt w:val="lowerLetter"/>
      <w:lvlText w:val="%5)"/>
      <w:lvlJc w:val="left"/>
      <w:pPr>
        <w:tabs>
          <w:tab w:val="left" w:pos="2430"/>
        </w:tabs>
        <w:ind w:left="2430" w:hanging="420"/>
      </w:pPr>
    </w:lvl>
    <w:lvl w:ilvl="5" w:tentative="0">
      <w:start w:val="1"/>
      <w:numFmt w:val="lowerRoman"/>
      <w:lvlText w:val="%6."/>
      <w:lvlJc w:val="right"/>
      <w:pPr>
        <w:tabs>
          <w:tab w:val="left" w:pos="2850"/>
        </w:tabs>
        <w:ind w:left="2850" w:hanging="420"/>
      </w:pPr>
    </w:lvl>
    <w:lvl w:ilvl="6" w:tentative="0">
      <w:start w:val="1"/>
      <w:numFmt w:val="decimal"/>
      <w:lvlText w:val="%7."/>
      <w:lvlJc w:val="left"/>
      <w:pPr>
        <w:tabs>
          <w:tab w:val="left" w:pos="3270"/>
        </w:tabs>
        <w:ind w:left="3270" w:hanging="420"/>
      </w:pPr>
    </w:lvl>
    <w:lvl w:ilvl="7" w:tentative="0">
      <w:start w:val="1"/>
      <w:numFmt w:val="lowerLetter"/>
      <w:lvlText w:val="%8)"/>
      <w:lvlJc w:val="left"/>
      <w:pPr>
        <w:tabs>
          <w:tab w:val="left" w:pos="3690"/>
        </w:tabs>
        <w:ind w:left="3690" w:hanging="420"/>
      </w:pPr>
    </w:lvl>
    <w:lvl w:ilvl="8" w:tentative="0">
      <w:start w:val="1"/>
      <w:numFmt w:val="lowerRoman"/>
      <w:lvlText w:val="%9."/>
      <w:lvlJc w:val="right"/>
      <w:pPr>
        <w:tabs>
          <w:tab w:val="left" w:pos="4110"/>
        </w:tabs>
        <w:ind w:left="4110" w:hanging="420"/>
      </w:pPr>
    </w:lvl>
  </w:abstractNum>
  <w:abstractNum w:abstractNumId="7">
    <w:nsid w:val="7A0F6431"/>
    <w:multiLevelType w:val="singleLevel"/>
    <w:tmpl w:val="7A0F6431"/>
    <w:lvl w:ilvl="0" w:tentative="0">
      <w:start w:val="1"/>
      <w:numFmt w:val="decimal"/>
      <w:suff w:val="space"/>
      <w:lvlText w:val="%1."/>
      <w:lvlJc w:val="left"/>
    </w:lvl>
  </w:abstractNum>
  <w:num w:numId="1">
    <w:abstractNumId w:val="6"/>
  </w:num>
  <w:num w:numId="2">
    <w:abstractNumId w:val="1"/>
  </w:num>
  <w:num w:numId="3">
    <w:abstractNumId w:val="7"/>
  </w:num>
  <w:num w:numId="4">
    <w:abstractNumId w:val="2"/>
  </w:num>
  <w:num w:numId="5">
    <w:abstractNumId w:val="5"/>
  </w:num>
  <w:num w:numId="6">
    <w:abstractNumId w:val="3"/>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drawingGridHorizontalSpacing w:val="105"/>
  <w:drawingGridVerticalSpacing w:val="156"/>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FkYWY1ZDZjODdkYzliNWE4MTFmMTFlODg1OWYzNmYifQ=="/>
  </w:docVars>
  <w:rsids>
    <w:rsidRoot w:val="4E5C5DFA"/>
    <w:rsid w:val="000025C2"/>
    <w:rsid w:val="000118BF"/>
    <w:rsid w:val="00021407"/>
    <w:rsid w:val="00030050"/>
    <w:rsid w:val="00065A93"/>
    <w:rsid w:val="00075A78"/>
    <w:rsid w:val="000B7AFA"/>
    <w:rsid w:val="000C49D7"/>
    <w:rsid w:val="000D5ADD"/>
    <w:rsid w:val="000F5DAA"/>
    <w:rsid w:val="00136330"/>
    <w:rsid w:val="00164E96"/>
    <w:rsid w:val="00187E7F"/>
    <w:rsid w:val="001B1481"/>
    <w:rsid w:val="001D5685"/>
    <w:rsid w:val="001F4A0B"/>
    <w:rsid w:val="00225DDC"/>
    <w:rsid w:val="002362B3"/>
    <w:rsid w:val="00256A81"/>
    <w:rsid w:val="002718FF"/>
    <w:rsid w:val="002863CE"/>
    <w:rsid w:val="00293C54"/>
    <w:rsid w:val="00337926"/>
    <w:rsid w:val="0034092B"/>
    <w:rsid w:val="00357CCD"/>
    <w:rsid w:val="00367270"/>
    <w:rsid w:val="00370C01"/>
    <w:rsid w:val="003835D1"/>
    <w:rsid w:val="003911B5"/>
    <w:rsid w:val="003964FC"/>
    <w:rsid w:val="00397D2D"/>
    <w:rsid w:val="003E7AC7"/>
    <w:rsid w:val="004076E3"/>
    <w:rsid w:val="00431AD7"/>
    <w:rsid w:val="00452036"/>
    <w:rsid w:val="004564DD"/>
    <w:rsid w:val="0047122F"/>
    <w:rsid w:val="004735E9"/>
    <w:rsid w:val="004867C1"/>
    <w:rsid w:val="004B1717"/>
    <w:rsid w:val="004C5369"/>
    <w:rsid w:val="004D3006"/>
    <w:rsid w:val="004D6617"/>
    <w:rsid w:val="00515E95"/>
    <w:rsid w:val="0059468A"/>
    <w:rsid w:val="00594A6E"/>
    <w:rsid w:val="005B34E6"/>
    <w:rsid w:val="005B679D"/>
    <w:rsid w:val="005D5E7A"/>
    <w:rsid w:val="006176C0"/>
    <w:rsid w:val="00621046"/>
    <w:rsid w:val="00633EEF"/>
    <w:rsid w:val="00662F88"/>
    <w:rsid w:val="006B387B"/>
    <w:rsid w:val="006C741D"/>
    <w:rsid w:val="006E5506"/>
    <w:rsid w:val="006F5CD6"/>
    <w:rsid w:val="00724B0B"/>
    <w:rsid w:val="00727257"/>
    <w:rsid w:val="00755EB5"/>
    <w:rsid w:val="007B289A"/>
    <w:rsid w:val="00826DB3"/>
    <w:rsid w:val="0085286F"/>
    <w:rsid w:val="008632D2"/>
    <w:rsid w:val="0086464C"/>
    <w:rsid w:val="008A3628"/>
    <w:rsid w:val="008A57ED"/>
    <w:rsid w:val="008D1DD8"/>
    <w:rsid w:val="008F2C75"/>
    <w:rsid w:val="00921387"/>
    <w:rsid w:val="00966836"/>
    <w:rsid w:val="00974B3E"/>
    <w:rsid w:val="00993273"/>
    <w:rsid w:val="009A27E6"/>
    <w:rsid w:val="009A5160"/>
    <w:rsid w:val="009B0225"/>
    <w:rsid w:val="009C1093"/>
    <w:rsid w:val="009D29F5"/>
    <w:rsid w:val="009F7E9E"/>
    <w:rsid w:val="00A450BE"/>
    <w:rsid w:val="00A500F3"/>
    <w:rsid w:val="00A5114D"/>
    <w:rsid w:val="00A534FF"/>
    <w:rsid w:val="00A85054"/>
    <w:rsid w:val="00A934AC"/>
    <w:rsid w:val="00AA76C6"/>
    <w:rsid w:val="00AC1B86"/>
    <w:rsid w:val="00AC6E12"/>
    <w:rsid w:val="00AC7A52"/>
    <w:rsid w:val="00AE1EE1"/>
    <w:rsid w:val="00B111E7"/>
    <w:rsid w:val="00B14E97"/>
    <w:rsid w:val="00B45C24"/>
    <w:rsid w:val="00B61DD8"/>
    <w:rsid w:val="00B62A2D"/>
    <w:rsid w:val="00B74BB1"/>
    <w:rsid w:val="00B85FAE"/>
    <w:rsid w:val="00BD24D8"/>
    <w:rsid w:val="00BE55A2"/>
    <w:rsid w:val="00C67661"/>
    <w:rsid w:val="00C8273E"/>
    <w:rsid w:val="00C851D9"/>
    <w:rsid w:val="00C902E6"/>
    <w:rsid w:val="00CA1996"/>
    <w:rsid w:val="00CA4552"/>
    <w:rsid w:val="00CB2C7C"/>
    <w:rsid w:val="00CB3BC4"/>
    <w:rsid w:val="00CD5CE3"/>
    <w:rsid w:val="00D05896"/>
    <w:rsid w:val="00D2103A"/>
    <w:rsid w:val="00D8090B"/>
    <w:rsid w:val="00D924B1"/>
    <w:rsid w:val="00DD55C5"/>
    <w:rsid w:val="00E46301"/>
    <w:rsid w:val="00E7363C"/>
    <w:rsid w:val="00EA2CD4"/>
    <w:rsid w:val="00EE0793"/>
    <w:rsid w:val="00F05643"/>
    <w:rsid w:val="00F228D3"/>
    <w:rsid w:val="00F7447D"/>
    <w:rsid w:val="00F91691"/>
    <w:rsid w:val="00FA3B6E"/>
    <w:rsid w:val="00FC1CBF"/>
    <w:rsid w:val="00FC38C3"/>
    <w:rsid w:val="00FC5EBE"/>
    <w:rsid w:val="00FC7C68"/>
    <w:rsid w:val="00FD7507"/>
    <w:rsid w:val="00FE69ED"/>
    <w:rsid w:val="019901FB"/>
    <w:rsid w:val="01E569D5"/>
    <w:rsid w:val="02AF383B"/>
    <w:rsid w:val="02BD7F0B"/>
    <w:rsid w:val="02F339AF"/>
    <w:rsid w:val="031F2D76"/>
    <w:rsid w:val="03E2021C"/>
    <w:rsid w:val="03F37758"/>
    <w:rsid w:val="041F2BF8"/>
    <w:rsid w:val="04D255BF"/>
    <w:rsid w:val="05945159"/>
    <w:rsid w:val="063F4ED6"/>
    <w:rsid w:val="06F76B47"/>
    <w:rsid w:val="072C42D2"/>
    <w:rsid w:val="07372051"/>
    <w:rsid w:val="07A1396F"/>
    <w:rsid w:val="0827512D"/>
    <w:rsid w:val="08A6298E"/>
    <w:rsid w:val="0A063D60"/>
    <w:rsid w:val="0A516524"/>
    <w:rsid w:val="0B200932"/>
    <w:rsid w:val="0B750CA5"/>
    <w:rsid w:val="0BA37CB5"/>
    <w:rsid w:val="0C3249CC"/>
    <w:rsid w:val="0C7230B8"/>
    <w:rsid w:val="0C7943CF"/>
    <w:rsid w:val="0C8176C9"/>
    <w:rsid w:val="0C8A1B81"/>
    <w:rsid w:val="0D7950C7"/>
    <w:rsid w:val="0D9E5736"/>
    <w:rsid w:val="0DC67774"/>
    <w:rsid w:val="0E214908"/>
    <w:rsid w:val="0E347FDD"/>
    <w:rsid w:val="0F1467D4"/>
    <w:rsid w:val="0F7005F8"/>
    <w:rsid w:val="10134FF0"/>
    <w:rsid w:val="10611EED"/>
    <w:rsid w:val="10933536"/>
    <w:rsid w:val="110665AA"/>
    <w:rsid w:val="11B71785"/>
    <w:rsid w:val="11F254F3"/>
    <w:rsid w:val="121A05A5"/>
    <w:rsid w:val="138500CB"/>
    <w:rsid w:val="14036859"/>
    <w:rsid w:val="14E379C7"/>
    <w:rsid w:val="15126074"/>
    <w:rsid w:val="1525798D"/>
    <w:rsid w:val="154D47EE"/>
    <w:rsid w:val="15A9432B"/>
    <w:rsid w:val="15CC605B"/>
    <w:rsid w:val="160B1B60"/>
    <w:rsid w:val="169346F8"/>
    <w:rsid w:val="171112E5"/>
    <w:rsid w:val="17E04DD1"/>
    <w:rsid w:val="180F2905"/>
    <w:rsid w:val="187D53EA"/>
    <w:rsid w:val="19375EB5"/>
    <w:rsid w:val="19E61F2D"/>
    <w:rsid w:val="1A277354"/>
    <w:rsid w:val="1A76530F"/>
    <w:rsid w:val="1B0206F8"/>
    <w:rsid w:val="1B931133"/>
    <w:rsid w:val="1C0F7441"/>
    <w:rsid w:val="1C142110"/>
    <w:rsid w:val="1C1C3377"/>
    <w:rsid w:val="1C1E6EE4"/>
    <w:rsid w:val="1C712CA6"/>
    <w:rsid w:val="1D0E7189"/>
    <w:rsid w:val="1DD9396B"/>
    <w:rsid w:val="1E11530D"/>
    <w:rsid w:val="1F232BD4"/>
    <w:rsid w:val="1F3802BD"/>
    <w:rsid w:val="1FC5220F"/>
    <w:rsid w:val="1FC97167"/>
    <w:rsid w:val="20054643"/>
    <w:rsid w:val="20465FF0"/>
    <w:rsid w:val="20943C19"/>
    <w:rsid w:val="214365E6"/>
    <w:rsid w:val="21896AF1"/>
    <w:rsid w:val="21BB4094"/>
    <w:rsid w:val="21EF55AB"/>
    <w:rsid w:val="226A6200"/>
    <w:rsid w:val="229E42D2"/>
    <w:rsid w:val="22F5246D"/>
    <w:rsid w:val="23081525"/>
    <w:rsid w:val="235002CB"/>
    <w:rsid w:val="23633ACC"/>
    <w:rsid w:val="237F62A8"/>
    <w:rsid w:val="240E3ABC"/>
    <w:rsid w:val="243C3FE3"/>
    <w:rsid w:val="245D443C"/>
    <w:rsid w:val="248230EB"/>
    <w:rsid w:val="24AF543C"/>
    <w:rsid w:val="24ED56A6"/>
    <w:rsid w:val="25101CDA"/>
    <w:rsid w:val="25FD2D22"/>
    <w:rsid w:val="27136BD0"/>
    <w:rsid w:val="27D55E02"/>
    <w:rsid w:val="287C121A"/>
    <w:rsid w:val="29430C72"/>
    <w:rsid w:val="29A1518D"/>
    <w:rsid w:val="2A6D5929"/>
    <w:rsid w:val="2ACD5B4B"/>
    <w:rsid w:val="2B3B187A"/>
    <w:rsid w:val="2B732DA8"/>
    <w:rsid w:val="2B99512D"/>
    <w:rsid w:val="2BA13E0F"/>
    <w:rsid w:val="2C2C177C"/>
    <w:rsid w:val="2D0F4C2F"/>
    <w:rsid w:val="2D201E76"/>
    <w:rsid w:val="2D4921FC"/>
    <w:rsid w:val="2D8837A0"/>
    <w:rsid w:val="2D954431"/>
    <w:rsid w:val="2E392F33"/>
    <w:rsid w:val="2E610246"/>
    <w:rsid w:val="2ED17D6B"/>
    <w:rsid w:val="2F0D7288"/>
    <w:rsid w:val="2F362CE9"/>
    <w:rsid w:val="2FEB3828"/>
    <w:rsid w:val="303625F7"/>
    <w:rsid w:val="30406FD1"/>
    <w:rsid w:val="30430C36"/>
    <w:rsid w:val="30901758"/>
    <w:rsid w:val="31010E56"/>
    <w:rsid w:val="31B77F20"/>
    <w:rsid w:val="31E96171"/>
    <w:rsid w:val="322546D1"/>
    <w:rsid w:val="326B55C0"/>
    <w:rsid w:val="326D7058"/>
    <w:rsid w:val="3274663E"/>
    <w:rsid w:val="3284085C"/>
    <w:rsid w:val="329959C7"/>
    <w:rsid w:val="32D72481"/>
    <w:rsid w:val="32E4188C"/>
    <w:rsid w:val="32F80037"/>
    <w:rsid w:val="333A0AD5"/>
    <w:rsid w:val="336F654B"/>
    <w:rsid w:val="33884F17"/>
    <w:rsid w:val="33941B0E"/>
    <w:rsid w:val="33B31A35"/>
    <w:rsid w:val="33EB6AA8"/>
    <w:rsid w:val="35586CF0"/>
    <w:rsid w:val="35B900B0"/>
    <w:rsid w:val="35CC4BEE"/>
    <w:rsid w:val="36176F52"/>
    <w:rsid w:val="36386400"/>
    <w:rsid w:val="36AC41C0"/>
    <w:rsid w:val="36D84407"/>
    <w:rsid w:val="37164344"/>
    <w:rsid w:val="37CE14C4"/>
    <w:rsid w:val="37DA5F5D"/>
    <w:rsid w:val="391824B5"/>
    <w:rsid w:val="3936386A"/>
    <w:rsid w:val="39E32206"/>
    <w:rsid w:val="3A2A0E96"/>
    <w:rsid w:val="3A8145CB"/>
    <w:rsid w:val="3A8A45F1"/>
    <w:rsid w:val="3B0F2E66"/>
    <w:rsid w:val="3B351E28"/>
    <w:rsid w:val="3B497C16"/>
    <w:rsid w:val="3B5F1AE7"/>
    <w:rsid w:val="3BE101C1"/>
    <w:rsid w:val="3C051631"/>
    <w:rsid w:val="3C51411E"/>
    <w:rsid w:val="3C7D4E4F"/>
    <w:rsid w:val="3CD1792F"/>
    <w:rsid w:val="3CF7310E"/>
    <w:rsid w:val="3D342B6E"/>
    <w:rsid w:val="3DB67B3B"/>
    <w:rsid w:val="3FC0251B"/>
    <w:rsid w:val="3FE66A71"/>
    <w:rsid w:val="40507E8F"/>
    <w:rsid w:val="4056719A"/>
    <w:rsid w:val="40631AF1"/>
    <w:rsid w:val="4182569C"/>
    <w:rsid w:val="41831414"/>
    <w:rsid w:val="419B050B"/>
    <w:rsid w:val="419B3C0E"/>
    <w:rsid w:val="41E2438C"/>
    <w:rsid w:val="421B588F"/>
    <w:rsid w:val="425F4E78"/>
    <w:rsid w:val="42666286"/>
    <w:rsid w:val="42B95B3E"/>
    <w:rsid w:val="42D2752E"/>
    <w:rsid w:val="42DC702D"/>
    <w:rsid w:val="42FC7690"/>
    <w:rsid w:val="439032D9"/>
    <w:rsid w:val="43D2411B"/>
    <w:rsid w:val="44255D06"/>
    <w:rsid w:val="44471EAD"/>
    <w:rsid w:val="449A597F"/>
    <w:rsid w:val="44E2795A"/>
    <w:rsid w:val="4503504A"/>
    <w:rsid w:val="450A2BB8"/>
    <w:rsid w:val="4536479A"/>
    <w:rsid w:val="456233D8"/>
    <w:rsid w:val="45887395"/>
    <w:rsid w:val="46103961"/>
    <w:rsid w:val="46452EB7"/>
    <w:rsid w:val="468C0884"/>
    <w:rsid w:val="46A744C8"/>
    <w:rsid w:val="46A95163"/>
    <w:rsid w:val="477F3CDA"/>
    <w:rsid w:val="47EA075A"/>
    <w:rsid w:val="482C4CF2"/>
    <w:rsid w:val="48E24C72"/>
    <w:rsid w:val="495105E0"/>
    <w:rsid w:val="4A1E2388"/>
    <w:rsid w:val="4A2A52DB"/>
    <w:rsid w:val="4A3B6D2F"/>
    <w:rsid w:val="4A590AC8"/>
    <w:rsid w:val="4A81714E"/>
    <w:rsid w:val="4A851D59"/>
    <w:rsid w:val="4BC52D55"/>
    <w:rsid w:val="4BE47C0F"/>
    <w:rsid w:val="4C5941EA"/>
    <w:rsid w:val="4D612872"/>
    <w:rsid w:val="4D9E3C90"/>
    <w:rsid w:val="4E5C5DFA"/>
    <w:rsid w:val="4F532425"/>
    <w:rsid w:val="4F5B245A"/>
    <w:rsid w:val="50044C98"/>
    <w:rsid w:val="5052568B"/>
    <w:rsid w:val="509F67A0"/>
    <w:rsid w:val="50A00E4C"/>
    <w:rsid w:val="50A15F86"/>
    <w:rsid w:val="50A70C7B"/>
    <w:rsid w:val="50CC2446"/>
    <w:rsid w:val="51A3027C"/>
    <w:rsid w:val="52405900"/>
    <w:rsid w:val="52BD424C"/>
    <w:rsid w:val="534E74B5"/>
    <w:rsid w:val="5350334D"/>
    <w:rsid w:val="5393657C"/>
    <w:rsid w:val="53BB6558"/>
    <w:rsid w:val="53E96B9E"/>
    <w:rsid w:val="54331DD6"/>
    <w:rsid w:val="5468248D"/>
    <w:rsid w:val="54986E52"/>
    <w:rsid w:val="55081DEA"/>
    <w:rsid w:val="55112230"/>
    <w:rsid w:val="5573153C"/>
    <w:rsid w:val="55745253"/>
    <w:rsid w:val="557C1FAA"/>
    <w:rsid w:val="55BD06DF"/>
    <w:rsid w:val="55FE646C"/>
    <w:rsid w:val="564E6D80"/>
    <w:rsid w:val="569071CF"/>
    <w:rsid w:val="56DE20B1"/>
    <w:rsid w:val="56F516F8"/>
    <w:rsid w:val="571F3616"/>
    <w:rsid w:val="57E26CAC"/>
    <w:rsid w:val="58452AD0"/>
    <w:rsid w:val="587A0A23"/>
    <w:rsid w:val="58B45DF0"/>
    <w:rsid w:val="591F0320"/>
    <w:rsid w:val="5947596C"/>
    <w:rsid w:val="59783889"/>
    <w:rsid w:val="599720D0"/>
    <w:rsid w:val="59E24A91"/>
    <w:rsid w:val="59FA6A27"/>
    <w:rsid w:val="5A423D1D"/>
    <w:rsid w:val="5A993F96"/>
    <w:rsid w:val="5B743A18"/>
    <w:rsid w:val="5B9462A0"/>
    <w:rsid w:val="5C795577"/>
    <w:rsid w:val="5CB847BF"/>
    <w:rsid w:val="5CEC45DA"/>
    <w:rsid w:val="5D0B0390"/>
    <w:rsid w:val="5DE03D2F"/>
    <w:rsid w:val="5EC1205F"/>
    <w:rsid w:val="5ECA3D86"/>
    <w:rsid w:val="5F080E07"/>
    <w:rsid w:val="5F0F3864"/>
    <w:rsid w:val="5F226876"/>
    <w:rsid w:val="5F4355E2"/>
    <w:rsid w:val="5F512082"/>
    <w:rsid w:val="5F7F2DC3"/>
    <w:rsid w:val="5F970A4A"/>
    <w:rsid w:val="5F9E76ED"/>
    <w:rsid w:val="5FD650D9"/>
    <w:rsid w:val="60152602"/>
    <w:rsid w:val="6186668A"/>
    <w:rsid w:val="62115573"/>
    <w:rsid w:val="62EA49F7"/>
    <w:rsid w:val="6312364F"/>
    <w:rsid w:val="633F6E71"/>
    <w:rsid w:val="636D5D54"/>
    <w:rsid w:val="63A159FD"/>
    <w:rsid w:val="63C5117C"/>
    <w:rsid w:val="644B199A"/>
    <w:rsid w:val="64E91093"/>
    <w:rsid w:val="65167592"/>
    <w:rsid w:val="653D70C9"/>
    <w:rsid w:val="65C51BF3"/>
    <w:rsid w:val="661408C0"/>
    <w:rsid w:val="665264EC"/>
    <w:rsid w:val="66CF535D"/>
    <w:rsid w:val="67342894"/>
    <w:rsid w:val="68801A90"/>
    <w:rsid w:val="69D848A9"/>
    <w:rsid w:val="69ED25CF"/>
    <w:rsid w:val="6A7D13B2"/>
    <w:rsid w:val="6A902328"/>
    <w:rsid w:val="6B39651C"/>
    <w:rsid w:val="6B4C7BA5"/>
    <w:rsid w:val="6B9D4CFC"/>
    <w:rsid w:val="6C2F66BD"/>
    <w:rsid w:val="6C5819A0"/>
    <w:rsid w:val="6C8539E5"/>
    <w:rsid w:val="6CEC129F"/>
    <w:rsid w:val="6CFC21DE"/>
    <w:rsid w:val="6D091704"/>
    <w:rsid w:val="6D6A50B2"/>
    <w:rsid w:val="6D8D0448"/>
    <w:rsid w:val="6DAD3097"/>
    <w:rsid w:val="6DF21471"/>
    <w:rsid w:val="6E031C0E"/>
    <w:rsid w:val="6E9F2B3A"/>
    <w:rsid w:val="6EB21A75"/>
    <w:rsid w:val="6F0B1F8C"/>
    <w:rsid w:val="6F5168CA"/>
    <w:rsid w:val="6F9D0F0C"/>
    <w:rsid w:val="6FE3419F"/>
    <w:rsid w:val="6FEE1916"/>
    <w:rsid w:val="70205EFC"/>
    <w:rsid w:val="70846BE3"/>
    <w:rsid w:val="70D72CE1"/>
    <w:rsid w:val="70E6478F"/>
    <w:rsid w:val="70EB28A4"/>
    <w:rsid w:val="70ED448B"/>
    <w:rsid w:val="711D10A2"/>
    <w:rsid w:val="715F4802"/>
    <w:rsid w:val="717D24AB"/>
    <w:rsid w:val="71924BD7"/>
    <w:rsid w:val="722F4D16"/>
    <w:rsid w:val="724A26AB"/>
    <w:rsid w:val="72712A3F"/>
    <w:rsid w:val="72D52201"/>
    <w:rsid w:val="72FD149E"/>
    <w:rsid w:val="73351531"/>
    <w:rsid w:val="744765D2"/>
    <w:rsid w:val="74E474F8"/>
    <w:rsid w:val="75100554"/>
    <w:rsid w:val="75D16070"/>
    <w:rsid w:val="76493EF4"/>
    <w:rsid w:val="768542FB"/>
    <w:rsid w:val="76A45D05"/>
    <w:rsid w:val="76BC63DC"/>
    <w:rsid w:val="76F710A6"/>
    <w:rsid w:val="77765AA7"/>
    <w:rsid w:val="777E31D4"/>
    <w:rsid w:val="77E9237C"/>
    <w:rsid w:val="78542B01"/>
    <w:rsid w:val="78A76842"/>
    <w:rsid w:val="78AD456A"/>
    <w:rsid w:val="78BD078C"/>
    <w:rsid w:val="78FB6824"/>
    <w:rsid w:val="791C406F"/>
    <w:rsid w:val="79643D2F"/>
    <w:rsid w:val="79EF7D0F"/>
    <w:rsid w:val="7A7E54B6"/>
    <w:rsid w:val="7AAB7433"/>
    <w:rsid w:val="7B62492D"/>
    <w:rsid w:val="7BDE7397"/>
    <w:rsid w:val="7C582D2B"/>
    <w:rsid w:val="7C7B4C13"/>
    <w:rsid w:val="7CAA4565"/>
    <w:rsid w:val="7DED1A9A"/>
    <w:rsid w:val="7E214B90"/>
    <w:rsid w:val="7E4A1229"/>
    <w:rsid w:val="7E8E21C1"/>
    <w:rsid w:val="7EB20667"/>
    <w:rsid w:val="7F4E785A"/>
    <w:rsid w:val="7F907C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4"/>
    <w:next w:val="4"/>
    <w:link w:val="74"/>
    <w:autoRedefine/>
    <w:qFormat/>
    <w:uiPriority w:val="0"/>
    <w:pPr>
      <w:keepNext/>
      <w:keepLines/>
      <w:spacing w:before="340" w:after="330" w:line="578" w:lineRule="auto"/>
      <w:outlineLvl w:val="0"/>
    </w:pPr>
    <w:rPr>
      <w:b/>
      <w:bCs/>
      <w:kern w:val="44"/>
      <w:sz w:val="44"/>
      <w:szCs w:val="44"/>
    </w:rPr>
  </w:style>
  <w:style w:type="paragraph" w:styleId="5">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paragraph" w:styleId="6">
    <w:name w:val="heading 3"/>
    <w:basedOn w:val="1"/>
    <w:next w:val="1"/>
    <w:autoRedefine/>
    <w:qFormat/>
    <w:uiPriority w:val="0"/>
    <w:pPr>
      <w:keepNext/>
      <w:keepLines/>
      <w:spacing w:before="260" w:after="260" w:line="416" w:lineRule="auto"/>
      <w:outlineLvl w:val="2"/>
    </w:pPr>
    <w:rPr>
      <w:b/>
      <w:bCs/>
      <w:kern w:val="0"/>
      <w:sz w:val="32"/>
      <w:szCs w:val="32"/>
    </w:rPr>
  </w:style>
  <w:style w:type="paragraph" w:styleId="7">
    <w:name w:val="heading 4"/>
    <w:basedOn w:val="1"/>
    <w:next w:val="8"/>
    <w:autoRedefine/>
    <w:qFormat/>
    <w:uiPriority w:val="0"/>
    <w:pPr>
      <w:keepNext/>
      <w:adjustRightInd w:val="0"/>
      <w:spacing w:before="20" w:line="200" w:lineRule="exact"/>
      <w:jc w:val="center"/>
      <w:textAlignment w:val="baseline"/>
      <w:outlineLvl w:val="3"/>
    </w:pPr>
    <w:rPr>
      <w:rFonts w:ascii="Arial" w:hAnsi="Arial" w:eastAsia="仿宋_GB2312"/>
      <w:b/>
      <w:kern w:val="0"/>
      <w:sz w:val="18"/>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Body Text"/>
    <w:basedOn w:val="1"/>
    <w:autoRedefine/>
    <w:qFormat/>
    <w:uiPriority w:val="0"/>
    <w:pPr>
      <w:spacing w:after="120"/>
    </w:pPr>
    <w:rPr>
      <w:kern w:val="0"/>
      <w:sz w:val="20"/>
    </w:rPr>
  </w:style>
  <w:style w:type="paragraph" w:customStyle="1" w:styleId="4">
    <w:name w:val="Normal_2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8">
    <w:name w:val="Normal Indent"/>
    <w:basedOn w:val="1"/>
    <w:next w:val="9"/>
    <w:autoRedefine/>
    <w:qFormat/>
    <w:uiPriority w:val="0"/>
    <w:pPr>
      <w:ind w:firstLine="420" w:firstLineChars="200"/>
    </w:pPr>
    <w:rPr>
      <w:kern w:val="0"/>
      <w:sz w:val="20"/>
    </w:rPr>
  </w:style>
  <w:style w:type="paragraph" w:styleId="9">
    <w:name w:val="toc 2"/>
    <w:basedOn w:val="1"/>
    <w:next w:val="1"/>
    <w:autoRedefine/>
    <w:qFormat/>
    <w:uiPriority w:val="39"/>
    <w:pPr>
      <w:ind w:left="420" w:leftChars="200"/>
    </w:pPr>
  </w:style>
  <w:style w:type="paragraph" w:styleId="10">
    <w:name w:val="Document Map"/>
    <w:basedOn w:val="1"/>
    <w:autoRedefine/>
    <w:qFormat/>
    <w:uiPriority w:val="0"/>
    <w:pPr>
      <w:shd w:val="clear" w:color="auto" w:fill="000080"/>
    </w:pPr>
    <w:rPr>
      <w:kern w:val="0"/>
      <w:sz w:val="20"/>
      <w:szCs w:val="20"/>
      <w:shd w:val="clear" w:color="auto" w:fill="000080"/>
    </w:rPr>
  </w:style>
  <w:style w:type="paragraph" w:styleId="11">
    <w:name w:val="annotation text"/>
    <w:basedOn w:val="1"/>
    <w:link w:val="35"/>
    <w:autoRedefine/>
    <w:qFormat/>
    <w:uiPriority w:val="0"/>
    <w:pPr>
      <w:jc w:val="left"/>
    </w:pPr>
    <w:rPr>
      <w:rFonts w:ascii="宋体" w:hAnsi="宋体" w:cs="宋体"/>
      <w:szCs w:val="21"/>
    </w:rPr>
  </w:style>
  <w:style w:type="paragraph" w:styleId="12">
    <w:name w:val="Body Text Indent"/>
    <w:basedOn w:val="1"/>
    <w:next w:val="13"/>
    <w:autoRedefine/>
    <w:qFormat/>
    <w:uiPriority w:val="0"/>
    <w:pPr>
      <w:ind w:right="-34" w:firstLine="501" w:firstLineChars="179"/>
    </w:pPr>
    <w:rPr>
      <w:rFonts w:ascii="宋体" w:hAnsi="宋体"/>
      <w:kern w:val="0"/>
      <w:sz w:val="28"/>
      <w:szCs w:val="20"/>
    </w:rPr>
  </w:style>
  <w:style w:type="paragraph" w:styleId="13">
    <w:name w:val="envelope return"/>
    <w:basedOn w:val="1"/>
    <w:unhideWhenUsed/>
    <w:qFormat/>
    <w:uiPriority w:val="99"/>
    <w:pPr>
      <w:snapToGrid w:val="0"/>
    </w:pPr>
    <w:rPr>
      <w:rFonts w:ascii="Arial" w:hAnsi="Arial"/>
    </w:rPr>
  </w:style>
  <w:style w:type="paragraph" w:styleId="14">
    <w:name w:val="toc 5"/>
    <w:basedOn w:val="1"/>
    <w:next w:val="1"/>
    <w:autoRedefine/>
    <w:qFormat/>
    <w:uiPriority w:val="39"/>
    <w:pPr>
      <w:ind w:left="1680" w:leftChars="800"/>
    </w:pPr>
  </w:style>
  <w:style w:type="paragraph" w:styleId="15">
    <w:name w:val="toc 3"/>
    <w:basedOn w:val="1"/>
    <w:next w:val="1"/>
    <w:autoRedefine/>
    <w:qFormat/>
    <w:uiPriority w:val="0"/>
    <w:pPr>
      <w:ind w:left="840" w:leftChars="400"/>
    </w:pPr>
  </w:style>
  <w:style w:type="paragraph" w:styleId="16">
    <w:name w:val="Plain Text"/>
    <w:basedOn w:val="1"/>
    <w:autoRedefine/>
    <w:qFormat/>
    <w:uiPriority w:val="0"/>
    <w:rPr>
      <w:rFonts w:ascii="宋体" w:hAnsi="Courier New"/>
      <w:kern w:val="0"/>
      <w:sz w:val="20"/>
      <w:szCs w:val="20"/>
    </w:rPr>
  </w:style>
  <w:style w:type="paragraph" w:styleId="17">
    <w:name w:val="Balloon Text"/>
    <w:basedOn w:val="1"/>
    <w:link w:val="36"/>
    <w:autoRedefine/>
    <w:qFormat/>
    <w:uiPriority w:val="0"/>
    <w:rPr>
      <w:sz w:val="18"/>
      <w:szCs w:val="18"/>
    </w:rPr>
  </w:style>
  <w:style w:type="paragraph" w:styleId="18">
    <w:name w:val="footer"/>
    <w:basedOn w:val="1"/>
    <w:link w:val="37"/>
    <w:autoRedefine/>
    <w:qFormat/>
    <w:uiPriority w:val="99"/>
    <w:pPr>
      <w:tabs>
        <w:tab w:val="center" w:pos="4153"/>
        <w:tab w:val="right" w:pos="8306"/>
      </w:tabs>
      <w:snapToGrid w:val="0"/>
      <w:jc w:val="left"/>
    </w:pPr>
    <w:rPr>
      <w:kern w:val="0"/>
      <w:sz w:val="18"/>
      <w:szCs w:val="18"/>
    </w:rPr>
  </w:style>
  <w:style w:type="paragraph" w:styleId="19">
    <w:name w:val="header"/>
    <w:basedOn w:val="1"/>
    <w:autoRedefine/>
    <w:qFormat/>
    <w:uiPriority w:val="99"/>
    <w:pPr>
      <w:pBdr>
        <w:bottom w:val="single" w:color="auto" w:sz="6" w:space="1"/>
      </w:pBdr>
      <w:tabs>
        <w:tab w:val="center" w:pos="4153"/>
        <w:tab w:val="right" w:pos="8306"/>
      </w:tabs>
      <w:snapToGrid w:val="0"/>
      <w:jc w:val="center"/>
    </w:pPr>
    <w:rPr>
      <w:kern w:val="0"/>
      <w:sz w:val="18"/>
      <w:szCs w:val="18"/>
    </w:rPr>
  </w:style>
  <w:style w:type="paragraph" w:styleId="20">
    <w:name w:val="toc 1"/>
    <w:basedOn w:val="1"/>
    <w:next w:val="1"/>
    <w:autoRedefine/>
    <w:qFormat/>
    <w:uiPriority w:val="39"/>
    <w:pPr>
      <w:spacing w:line="440" w:lineRule="exact"/>
      <w:jc w:val="center"/>
    </w:pPr>
  </w:style>
  <w:style w:type="paragraph" w:styleId="21">
    <w:name w:val="Subtitle"/>
    <w:basedOn w:val="1"/>
    <w:next w:val="1"/>
    <w:autoRedefine/>
    <w:qFormat/>
    <w:uiPriority w:val="0"/>
    <w:pPr>
      <w:spacing w:before="240" w:after="60" w:line="312" w:lineRule="auto"/>
      <w:jc w:val="center"/>
      <w:outlineLvl w:val="1"/>
    </w:pPr>
    <w:rPr>
      <w:rFonts w:ascii="Cambria" w:hAnsi="Cambria"/>
      <w:b/>
      <w:bCs/>
      <w:kern w:val="28"/>
      <w:sz w:val="32"/>
      <w:szCs w:val="32"/>
    </w:rPr>
  </w:style>
  <w:style w:type="paragraph" w:styleId="22">
    <w:name w:val="Normal (Web)"/>
    <w:basedOn w:val="1"/>
    <w:autoRedefine/>
    <w:qFormat/>
    <w:uiPriority w:val="99"/>
    <w:pPr>
      <w:widowControl/>
      <w:spacing w:before="100" w:beforeAutospacing="1" w:after="100" w:afterAutospacing="1"/>
      <w:jc w:val="left"/>
    </w:pPr>
    <w:rPr>
      <w:kern w:val="0"/>
      <w:sz w:val="24"/>
    </w:rPr>
  </w:style>
  <w:style w:type="paragraph" w:styleId="23">
    <w:name w:val="Title"/>
    <w:basedOn w:val="1"/>
    <w:next w:val="1"/>
    <w:autoRedefine/>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24">
    <w:name w:val="annotation subject"/>
    <w:basedOn w:val="11"/>
    <w:next w:val="11"/>
    <w:link w:val="38"/>
    <w:autoRedefine/>
    <w:qFormat/>
    <w:uiPriority w:val="0"/>
    <w:rPr>
      <w:b/>
      <w:bCs/>
    </w:rPr>
  </w:style>
  <w:style w:type="paragraph" w:styleId="25">
    <w:name w:val="Body Text First Indent"/>
    <w:basedOn w:val="2"/>
    <w:next w:val="1"/>
    <w:autoRedefine/>
    <w:unhideWhenUsed/>
    <w:qFormat/>
    <w:uiPriority w:val="0"/>
    <w:pPr>
      <w:ind w:firstLine="420" w:firstLineChars="100"/>
    </w:pPr>
  </w:style>
  <w:style w:type="paragraph" w:styleId="26">
    <w:name w:val="Body Text First Indent 2"/>
    <w:basedOn w:val="12"/>
    <w:autoRedefine/>
    <w:unhideWhenUsed/>
    <w:qFormat/>
    <w:uiPriority w:val="99"/>
    <w:pPr>
      <w:spacing w:after="120"/>
      <w:ind w:left="420" w:leftChars="200" w:firstLine="420" w:firstLineChars="200"/>
    </w:pPr>
    <w:rPr>
      <w:sz w:val="21"/>
      <w:szCs w:val="24"/>
    </w:rPr>
  </w:style>
  <w:style w:type="table" w:styleId="28">
    <w:name w:val="Table Grid"/>
    <w:basedOn w:val="2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autoRedefine/>
    <w:qFormat/>
    <w:uiPriority w:val="0"/>
  </w:style>
  <w:style w:type="character" w:styleId="31">
    <w:name w:val="Emphasis"/>
    <w:autoRedefine/>
    <w:qFormat/>
    <w:uiPriority w:val="20"/>
    <w:rPr>
      <w:i/>
      <w:iCs/>
    </w:rPr>
  </w:style>
  <w:style w:type="character" w:styleId="32">
    <w:name w:val="Hyperlink"/>
    <w:autoRedefine/>
    <w:qFormat/>
    <w:uiPriority w:val="99"/>
    <w:rPr>
      <w:color w:val="0000FF"/>
      <w:u w:val="single"/>
    </w:rPr>
  </w:style>
  <w:style w:type="character" w:styleId="33">
    <w:name w:val="annotation reference"/>
    <w:autoRedefine/>
    <w:qFormat/>
    <w:uiPriority w:val="0"/>
    <w:rPr>
      <w:sz w:val="21"/>
      <w:szCs w:val="21"/>
    </w:rPr>
  </w:style>
  <w:style w:type="paragraph" w:customStyle="1" w:styleId="34">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35">
    <w:name w:val="批注文字 字符"/>
    <w:link w:val="11"/>
    <w:autoRedefine/>
    <w:qFormat/>
    <w:uiPriority w:val="0"/>
    <w:rPr>
      <w:rFonts w:ascii="宋体" w:hAnsi="宋体" w:cs="宋体"/>
      <w:kern w:val="2"/>
      <w:sz w:val="21"/>
      <w:szCs w:val="21"/>
    </w:rPr>
  </w:style>
  <w:style w:type="character" w:customStyle="1" w:styleId="36">
    <w:name w:val="批注框文本 字符"/>
    <w:link w:val="17"/>
    <w:autoRedefine/>
    <w:qFormat/>
    <w:uiPriority w:val="0"/>
    <w:rPr>
      <w:kern w:val="2"/>
      <w:sz w:val="18"/>
      <w:szCs w:val="18"/>
    </w:rPr>
  </w:style>
  <w:style w:type="character" w:customStyle="1" w:styleId="37">
    <w:name w:val="页脚 字符"/>
    <w:link w:val="18"/>
    <w:autoRedefine/>
    <w:qFormat/>
    <w:uiPriority w:val="99"/>
    <w:rPr>
      <w:sz w:val="18"/>
      <w:szCs w:val="18"/>
    </w:rPr>
  </w:style>
  <w:style w:type="character" w:customStyle="1" w:styleId="38">
    <w:name w:val="批注主题 字符"/>
    <w:link w:val="24"/>
    <w:autoRedefine/>
    <w:qFormat/>
    <w:uiPriority w:val="0"/>
    <w:rPr>
      <w:b/>
      <w:bCs/>
      <w:kern w:val="2"/>
      <w:sz w:val="21"/>
      <w:szCs w:val="24"/>
    </w:rPr>
  </w:style>
  <w:style w:type="paragraph" w:customStyle="1" w:styleId="39">
    <w:name w:val="BodyText"/>
    <w:basedOn w:val="1"/>
    <w:autoRedefine/>
    <w:qFormat/>
    <w:uiPriority w:val="0"/>
    <w:pPr>
      <w:spacing w:after="120"/>
    </w:pPr>
  </w:style>
  <w:style w:type="paragraph" w:customStyle="1" w:styleId="40">
    <w:name w:val="正文_4"/>
    <w:autoRedefine/>
    <w:qFormat/>
    <w:uiPriority w:val="0"/>
    <w:rPr>
      <w:rFonts w:ascii="Times New Roman" w:hAnsi="Times New Roman" w:eastAsia="宋体" w:cs="Times New Roman"/>
      <w:lang w:val="en-US" w:eastAsia="zh-CN" w:bidi="ar-SA"/>
    </w:rPr>
  </w:style>
  <w:style w:type="paragraph" w:customStyle="1" w:styleId="41">
    <w:name w:val="p14"/>
    <w:basedOn w:val="1"/>
    <w:autoRedefine/>
    <w:qFormat/>
    <w:uiPriority w:val="0"/>
    <w:pPr>
      <w:widowControl/>
      <w:spacing w:line="480" w:lineRule="auto"/>
      <w:jc w:val="left"/>
    </w:pPr>
    <w:rPr>
      <w:rFonts w:ascii="宋体" w:hAnsi="宋体" w:cs="宋体"/>
      <w:kern w:val="0"/>
      <w:szCs w:val="21"/>
    </w:rPr>
  </w:style>
  <w:style w:type="paragraph" w:customStyle="1" w:styleId="42">
    <w:name w:val="样式 标题 3 + (中文) 黑体 小四 非加粗 段前: 7.8 磅 段后: 0 磅 行距: 固定值 20 磅"/>
    <w:basedOn w:val="6"/>
    <w:autoRedefine/>
    <w:qFormat/>
    <w:uiPriority w:val="0"/>
    <w:pPr>
      <w:spacing w:before="0" w:after="0" w:line="400" w:lineRule="exact"/>
    </w:pPr>
    <w:rPr>
      <w:rFonts w:eastAsia="黑体" w:cs="宋体"/>
      <w:b w:val="0"/>
      <w:bCs w:val="0"/>
      <w:sz w:val="24"/>
      <w:szCs w:val="20"/>
    </w:rPr>
  </w:style>
  <w:style w:type="paragraph" w:customStyle="1" w:styleId="43">
    <w:name w:val="注释"/>
    <w:basedOn w:val="12"/>
    <w:autoRedefine/>
    <w:qFormat/>
    <w:uiPriority w:val="0"/>
    <w:pPr>
      <w:spacing w:beforeLines="100" w:afterLines="100"/>
      <w:ind w:right="0" w:firstLine="0" w:firstLineChars="0"/>
      <w:jc w:val="center"/>
    </w:pPr>
    <w:rPr>
      <w:rFonts w:ascii="仿宋_GB2312" w:hAnsi="Times New Roman" w:eastAsia="仿宋_GB2312"/>
      <w:sz w:val="36"/>
      <w:szCs w:val="24"/>
    </w:rPr>
  </w:style>
  <w:style w:type="paragraph" w:customStyle="1" w:styleId="44">
    <w:name w:val="样式 标题 2 + Times New Roman 四号 非加粗 段前: 5 磅 段后: 0 磅 行距: 固定值 20..."/>
    <w:basedOn w:val="5"/>
    <w:autoRedefine/>
    <w:qFormat/>
    <w:uiPriority w:val="0"/>
    <w:pPr>
      <w:spacing w:before="100" w:after="0" w:line="400" w:lineRule="exact"/>
    </w:pPr>
    <w:rPr>
      <w:rFonts w:ascii="Times New Roman" w:hAnsi="Times New Roman" w:cs="宋体"/>
      <w:b w:val="0"/>
      <w:bCs w:val="0"/>
      <w:sz w:val="28"/>
      <w:szCs w:val="20"/>
    </w:rPr>
  </w:style>
  <w:style w:type="paragraph" w:customStyle="1" w:styleId="45">
    <w:name w:val="UserStyle_0"/>
    <w:autoRedefine/>
    <w:qFormat/>
    <w:uiPriority w:val="0"/>
    <w:pPr>
      <w:textAlignment w:val="baseline"/>
    </w:pPr>
    <w:rPr>
      <w:rFonts w:ascii="宋体" w:hAnsi="Times New Roman" w:eastAsia="宋体" w:cs="Times New Roman"/>
      <w:color w:val="000000"/>
      <w:sz w:val="24"/>
      <w:szCs w:val="24"/>
      <w:lang w:val="en-US" w:eastAsia="zh-CN" w:bidi="ar-SA"/>
    </w:rPr>
  </w:style>
  <w:style w:type="character" w:customStyle="1" w:styleId="46">
    <w:name w:val="NormalCharacter"/>
    <w:autoRedefine/>
    <w:qFormat/>
    <w:uiPriority w:val="0"/>
  </w:style>
  <w:style w:type="character" w:customStyle="1" w:styleId="47">
    <w:name w:val="font31"/>
    <w:autoRedefine/>
    <w:qFormat/>
    <w:uiPriority w:val="0"/>
    <w:rPr>
      <w:rFonts w:hint="eastAsia" w:ascii="宋体" w:hAnsi="宋体" w:eastAsia="宋体" w:cs="宋体"/>
      <w:color w:val="000000"/>
      <w:sz w:val="21"/>
      <w:szCs w:val="21"/>
      <w:u w:val="none"/>
    </w:rPr>
  </w:style>
  <w:style w:type="paragraph" w:customStyle="1" w:styleId="48">
    <w:name w:val="修订1"/>
    <w:autoRedefine/>
    <w:unhideWhenUsed/>
    <w:qFormat/>
    <w:uiPriority w:val="99"/>
    <w:rPr>
      <w:rFonts w:ascii="Times New Roman" w:hAnsi="Times New Roman" w:eastAsia="宋体" w:cs="Times New Roman"/>
      <w:kern w:val="2"/>
      <w:sz w:val="21"/>
      <w:szCs w:val="24"/>
      <w:lang w:val="en-US" w:eastAsia="zh-CN" w:bidi="ar-SA"/>
    </w:rPr>
  </w:style>
  <w:style w:type="character" w:customStyle="1" w:styleId="49">
    <w:name w:val="tpc_title1"/>
    <w:autoRedefine/>
    <w:qFormat/>
    <w:uiPriority w:val="0"/>
    <w:rPr>
      <w:b/>
      <w:bCs/>
      <w:sz w:val="24"/>
      <w:szCs w:val="24"/>
    </w:rPr>
  </w:style>
  <w:style w:type="paragraph" w:customStyle="1" w:styleId="50">
    <w:name w:val="样式1"/>
    <w:basedOn w:val="1"/>
    <w:next w:val="6"/>
    <w:autoRedefine/>
    <w:qFormat/>
    <w:uiPriority w:val="0"/>
    <w:pPr>
      <w:spacing w:before="120" w:after="120" w:line="300" w:lineRule="auto"/>
    </w:pPr>
    <w:rPr>
      <w:rFonts w:ascii="宋体" w:hAnsi="宋体"/>
      <w:b/>
      <w:sz w:val="24"/>
    </w:rPr>
  </w:style>
  <w:style w:type="paragraph" w:customStyle="1" w:styleId="51">
    <w:name w:val="正文_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52">
    <w:name w:val="二级正文"/>
    <w:basedOn w:val="1"/>
    <w:autoRedefine/>
    <w:qFormat/>
    <w:uiPriority w:val="0"/>
    <w:pPr>
      <w:spacing w:line="360" w:lineRule="auto"/>
      <w:ind w:firstLine="480"/>
    </w:pPr>
    <w:rPr>
      <w:sz w:val="24"/>
    </w:rPr>
  </w:style>
  <w:style w:type="paragraph" w:customStyle="1" w:styleId="53">
    <w:name w:val="段"/>
    <w:next w:val="1"/>
    <w:autoRedefine/>
    <w:qFormat/>
    <w:uiPriority w:val="0"/>
    <w:pPr>
      <w:tabs>
        <w:tab w:val="center" w:pos="4201"/>
        <w:tab w:val="right" w:leader="dot" w:pos="9298"/>
      </w:tabs>
      <w:autoSpaceDE w:val="0"/>
      <w:autoSpaceDN w:val="0"/>
      <w:ind w:firstLine="420" w:firstLineChars="200"/>
      <w:jc w:val="both"/>
    </w:pPr>
    <w:rPr>
      <w:rFonts w:ascii="宋体" w:hAnsi="Calibri" w:eastAsia="Calibri" w:cs="Times New Roman"/>
      <w:sz w:val="21"/>
      <w:lang w:val="en-US" w:eastAsia="zh-CN" w:bidi="ar-SA"/>
    </w:rPr>
  </w:style>
  <w:style w:type="paragraph" w:customStyle="1" w:styleId="54">
    <w:name w:val="正文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5">
    <w:name w:val="标题 2_0_0"/>
    <w:basedOn w:val="56"/>
    <w:next w:val="56"/>
    <w:autoRedefine/>
    <w:unhideWhenUsed/>
    <w:qFormat/>
    <w:uiPriority w:val="0"/>
    <w:pPr>
      <w:keepNext/>
      <w:keepLines/>
      <w:spacing w:line="360" w:lineRule="auto"/>
      <w:outlineLvl w:val="1"/>
    </w:pPr>
    <w:rPr>
      <w:rFonts w:ascii="Arial" w:hAnsi="Arial"/>
      <w:b/>
      <w:bCs/>
      <w:sz w:val="24"/>
      <w:szCs w:val="32"/>
    </w:rPr>
  </w:style>
  <w:style w:type="paragraph" w:customStyle="1" w:styleId="56">
    <w:name w:val="正文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57">
    <w:name w:val="List Paragraph"/>
    <w:basedOn w:val="1"/>
    <w:autoRedefine/>
    <w:qFormat/>
    <w:uiPriority w:val="34"/>
    <w:pPr>
      <w:ind w:firstLine="420" w:firstLineChars="200"/>
    </w:pPr>
  </w:style>
  <w:style w:type="character" w:customStyle="1" w:styleId="58">
    <w:name w:val="font21"/>
    <w:autoRedefine/>
    <w:qFormat/>
    <w:uiPriority w:val="0"/>
    <w:rPr>
      <w:rFonts w:ascii="宋体" w:hAnsi="宋体" w:eastAsia="宋体" w:cs="宋体"/>
      <w:color w:val="000000"/>
      <w:sz w:val="16"/>
      <w:szCs w:val="16"/>
      <w:u w:val="none"/>
    </w:rPr>
  </w:style>
  <w:style w:type="character" w:customStyle="1" w:styleId="59">
    <w:name w:val="font11"/>
    <w:autoRedefine/>
    <w:qFormat/>
    <w:uiPriority w:val="0"/>
    <w:rPr>
      <w:rFonts w:ascii="宋体" w:hAnsi="宋体" w:eastAsia="宋体" w:cs="宋体"/>
      <w:color w:val="000000"/>
      <w:sz w:val="16"/>
      <w:szCs w:val="16"/>
      <w:u w:val="none"/>
    </w:rPr>
  </w:style>
  <w:style w:type="paragraph" w:customStyle="1" w:styleId="60">
    <w:name w:val="修订2"/>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61">
    <w:name w:val="正文_5"/>
    <w:autoRedefine/>
    <w:qFormat/>
    <w:uiPriority w:val="0"/>
    <w:rPr>
      <w:rFonts w:ascii="Times New Roman" w:hAnsi="Times New Roman" w:eastAsia="宋体" w:cs="Times New Roman"/>
      <w:lang w:val="en-US" w:eastAsia="zh-CN" w:bidi="ar-SA"/>
    </w:rPr>
  </w:style>
  <w:style w:type="paragraph" w:customStyle="1" w:styleId="62">
    <w:name w:val="列出段落2"/>
    <w:basedOn w:val="1"/>
    <w:autoRedefine/>
    <w:qFormat/>
    <w:uiPriority w:val="0"/>
    <w:pPr>
      <w:ind w:firstLine="420" w:firstLineChars="200"/>
    </w:pPr>
    <w:rPr>
      <w:rFonts w:ascii="Calibri" w:hAnsi="Calibri"/>
    </w:rPr>
  </w:style>
  <w:style w:type="character" w:customStyle="1" w:styleId="63">
    <w:name w:val="font131"/>
    <w:basedOn w:val="29"/>
    <w:autoRedefine/>
    <w:qFormat/>
    <w:uiPriority w:val="0"/>
    <w:rPr>
      <w:rFonts w:ascii="Calibri" w:hAnsi="Calibri" w:cs="Calibri"/>
      <w:color w:val="000000"/>
      <w:sz w:val="18"/>
      <w:szCs w:val="18"/>
      <w:u w:val="none"/>
    </w:rPr>
  </w:style>
  <w:style w:type="character" w:customStyle="1" w:styleId="64">
    <w:name w:val="font81"/>
    <w:basedOn w:val="29"/>
    <w:autoRedefine/>
    <w:qFormat/>
    <w:uiPriority w:val="0"/>
    <w:rPr>
      <w:rFonts w:hint="eastAsia" w:ascii="宋体" w:hAnsi="宋体" w:eastAsia="宋体" w:cs="宋体"/>
      <w:color w:val="000000"/>
      <w:sz w:val="18"/>
      <w:szCs w:val="18"/>
      <w:u w:val="none"/>
    </w:rPr>
  </w:style>
  <w:style w:type="character" w:customStyle="1" w:styleId="65">
    <w:name w:val="font71"/>
    <w:basedOn w:val="29"/>
    <w:autoRedefine/>
    <w:qFormat/>
    <w:uiPriority w:val="0"/>
    <w:rPr>
      <w:rFonts w:hint="eastAsia" w:ascii="宋体" w:hAnsi="宋体" w:eastAsia="宋体" w:cs="宋体"/>
      <w:b/>
      <w:bCs/>
      <w:color w:val="000000"/>
      <w:sz w:val="18"/>
      <w:szCs w:val="18"/>
      <w:u w:val="none"/>
    </w:rPr>
  </w:style>
  <w:style w:type="character" w:customStyle="1" w:styleId="66">
    <w:name w:val="font111"/>
    <w:basedOn w:val="29"/>
    <w:autoRedefine/>
    <w:qFormat/>
    <w:uiPriority w:val="0"/>
    <w:rPr>
      <w:rFonts w:hint="eastAsia" w:ascii="宋体" w:hAnsi="宋体" w:eastAsia="宋体" w:cs="宋体"/>
      <w:color w:val="000000"/>
      <w:sz w:val="18"/>
      <w:szCs w:val="18"/>
      <w:u w:val="none"/>
    </w:rPr>
  </w:style>
  <w:style w:type="character" w:customStyle="1" w:styleId="67">
    <w:name w:val="font141"/>
    <w:basedOn w:val="29"/>
    <w:autoRedefine/>
    <w:qFormat/>
    <w:uiPriority w:val="0"/>
    <w:rPr>
      <w:rFonts w:hint="eastAsia" w:ascii="宋体" w:hAnsi="宋体" w:eastAsia="宋体" w:cs="宋体"/>
      <w:color w:val="000000"/>
      <w:sz w:val="18"/>
      <w:szCs w:val="18"/>
      <w:u w:val="none"/>
      <w:vertAlign w:val="superscript"/>
    </w:rPr>
  </w:style>
  <w:style w:type="character" w:customStyle="1" w:styleId="68">
    <w:name w:val="font41"/>
    <w:basedOn w:val="29"/>
    <w:autoRedefine/>
    <w:qFormat/>
    <w:uiPriority w:val="0"/>
    <w:rPr>
      <w:rFonts w:hint="eastAsia" w:ascii="宋体" w:hAnsi="宋体" w:eastAsia="宋体" w:cs="宋体"/>
      <w:color w:val="000000"/>
      <w:sz w:val="18"/>
      <w:szCs w:val="18"/>
      <w:u w:val="none"/>
      <w:vertAlign w:val="superscript"/>
    </w:rPr>
  </w:style>
  <w:style w:type="character" w:customStyle="1" w:styleId="69">
    <w:name w:val="font51"/>
    <w:basedOn w:val="29"/>
    <w:autoRedefine/>
    <w:qFormat/>
    <w:uiPriority w:val="0"/>
    <w:rPr>
      <w:rFonts w:hint="eastAsia" w:ascii="宋体" w:hAnsi="宋体" w:eastAsia="宋体" w:cs="宋体"/>
      <w:color w:val="000000"/>
      <w:sz w:val="18"/>
      <w:szCs w:val="18"/>
      <w:u w:val="none"/>
    </w:rPr>
  </w:style>
  <w:style w:type="character" w:customStyle="1" w:styleId="70">
    <w:name w:val="font91"/>
    <w:basedOn w:val="29"/>
    <w:autoRedefine/>
    <w:qFormat/>
    <w:uiPriority w:val="0"/>
    <w:rPr>
      <w:rFonts w:ascii="Calibri" w:hAnsi="Calibri" w:cs="Calibri"/>
      <w:color w:val="000000"/>
      <w:sz w:val="18"/>
      <w:szCs w:val="18"/>
      <w:u w:val="none"/>
    </w:rPr>
  </w:style>
  <w:style w:type="paragraph" w:customStyle="1" w:styleId="71">
    <w:name w:val="Table Paragraph"/>
    <w:basedOn w:val="1"/>
    <w:autoRedefine/>
    <w:qFormat/>
    <w:uiPriority w:val="1"/>
  </w:style>
  <w:style w:type="paragraph" w:customStyle="1" w:styleId="72">
    <w:name w:val="列出段落1"/>
    <w:basedOn w:val="1"/>
    <w:autoRedefine/>
    <w:qFormat/>
    <w:uiPriority w:val="0"/>
    <w:pPr>
      <w:ind w:firstLine="420" w:firstLineChars="200"/>
    </w:pPr>
    <w:rPr>
      <w:szCs w:val="21"/>
    </w:rPr>
  </w:style>
  <w:style w:type="paragraph" w:customStyle="1" w:styleId="73">
    <w:name w:val="_正文"/>
    <w:qFormat/>
    <w:uiPriority w:val="0"/>
    <w:pPr>
      <w:widowControl w:val="0"/>
      <w:spacing w:line="360" w:lineRule="auto"/>
      <w:jc w:val="both"/>
    </w:pPr>
    <w:rPr>
      <w:rFonts w:ascii="宋体" w:hAnsi="宋体" w:eastAsia="宋体" w:cs="宋体"/>
      <w:bCs/>
      <w:kern w:val="2"/>
      <w:sz w:val="21"/>
      <w:szCs w:val="36"/>
      <w:lang w:val="en-US" w:eastAsia="zh-CN" w:bidi="ar-SA"/>
    </w:rPr>
  </w:style>
  <w:style w:type="character" w:customStyle="1" w:styleId="74">
    <w:name w:val="标题 1 字符"/>
    <w:link w:val="3"/>
    <w:qFormat/>
    <w:uiPriority w:val="0"/>
    <w:rPr>
      <w:b/>
      <w:bCs/>
      <w:kern w:val="44"/>
      <w:sz w:val="44"/>
      <w:szCs w:val="44"/>
    </w:rPr>
  </w:style>
  <w:style w:type="paragraph" w:customStyle="1" w:styleId="75">
    <w:name w:val="Table Text"/>
    <w:basedOn w:val="1"/>
    <w:semiHidden/>
    <w:qFormat/>
    <w:uiPriority w:val="0"/>
    <w:rPr>
      <w:rFonts w:ascii="宋体" w:hAnsi="宋体" w:eastAsia="宋体" w:cs="宋体"/>
      <w:sz w:val="28"/>
      <w:szCs w:val="28"/>
      <w:lang w:val="en-US" w:eastAsia="en-US" w:bidi="ar-SA"/>
    </w:rPr>
  </w:style>
  <w:style w:type="table" w:customStyle="1" w:styleId="76">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81</Pages>
  <Words>21398</Words>
  <Characters>22909</Characters>
  <Lines>314</Lines>
  <Paragraphs>88</Paragraphs>
  <TotalTime>46</TotalTime>
  <ScaleCrop>false</ScaleCrop>
  <LinksUpToDate>false</LinksUpToDate>
  <CharactersWithSpaces>24708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2025-03-20T12:06:00Z</dcterms:created>
  <dc:creator>Administrator</dc:creator>
  <cp:lastModifiedBy>Fearless·東</cp:lastModifiedBy>
  <cp:lastPrinted>2024-02-18T11:53:00Z</cp:lastPrinted>
  <dcterms:modified xsi:type="dcterms:W3CDTF">2025-05-08T13:07:59Z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33D7D104FD024CF38B4EF29928865B35_13</vt:lpwstr>
  </property>
  <property fmtid="{D5CDD505-2E9C-101B-9397-08002B2CF9AE}" pid="3" name="KSOProductBuildVer">
    <vt:lpwstr>2052-12.1.0.20784</vt:lpwstr>
  </property>
  <property fmtid="{D5CDD505-2E9C-101B-9397-08002B2CF9AE}" pid="4" name="KSOTemplateDocerSaveRecord">
    <vt:lpwstr>eyJoZGlkIjoiOWUwOWY1OThjOTBmY2I1M2U5OGEyOWE4OWU3MTI0MDIiLCJ1c2VySWQiOiI0NTU3MDE5NTEifQ==</vt:lpwstr>
  </property>
</Properties>
</file>