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E2CBD7">
      <w:pPr>
        <w:tabs>
          <w:tab w:val="left" w:pos="525"/>
        </w:tabs>
        <w:spacing w:line="520" w:lineRule="exact"/>
        <w:ind w:firstLine="883" w:firstLineChars="200"/>
        <w:jc w:val="center"/>
        <w:rPr>
          <w:rFonts w:ascii="宋体" w:hAnsi="宋体"/>
          <w:b/>
          <w:bCs/>
          <w:sz w:val="44"/>
          <w:szCs w:val="44"/>
        </w:rPr>
      </w:pPr>
      <w:r>
        <w:rPr>
          <w:rFonts w:hint="eastAsia" w:ascii="宋体" w:hAnsi="宋体"/>
          <w:b/>
          <w:bCs/>
          <w:sz w:val="44"/>
          <w:szCs w:val="44"/>
        </w:rPr>
        <w:t>采购项目说明</w:t>
      </w:r>
    </w:p>
    <w:p w14:paraId="3FE9030C">
      <w:pPr>
        <w:pStyle w:val="3"/>
        <w:tabs>
          <w:tab w:val="left" w:pos="580"/>
        </w:tabs>
        <w:spacing w:line="520" w:lineRule="exact"/>
        <w:ind w:firstLine="602" w:firstLineChars="200"/>
        <w:rPr>
          <w:rFonts w:ascii="仿宋_GB2312" w:hAnsi="宋体" w:eastAsia="仿宋_GB2312"/>
          <w:color w:val="000000" w:themeColor="text1"/>
          <w:sz w:val="30"/>
          <w:szCs w:val="30"/>
        </w:rPr>
      </w:pPr>
      <w:r>
        <w:rPr>
          <w:rFonts w:hint="eastAsia" w:ascii="仿宋_GB2312" w:hAnsi="宋体" w:eastAsia="仿宋_GB2312"/>
          <w:b/>
          <w:bCs/>
          <w:color w:val="000000" w:themeColor="text1"/>
          <w:sz w:val="30"/>
          <w:szCs w:val="30"/>
        </w:rPr>
        <w:t>一、采购名称：</w:t>
      </w:r>
      <w:r>
        <w:rPr>
          <w:rFonts w:hint="eastAsia" w:ascii="仿宋_GB2312" w:hAnsi="宋体" w:eastAsia="仿宋_GB2312"/>
          <w:color w:val="000000" w:themeColor="text1"/>
          <w:sz w:val="30"/>
          <w:szCs w:val="30"/>
        </w:rPr>
        <w:t>数据手套、VR设备、全地形越野平台及协作机械臂</w:t>
      </w:r>
    </w:p>
    <w:p w14:paraId="38E77B08">
      <w:pPr>
        <w:spacing w:line="520" w:lineRule="exact"/>
        <w:ind w:firstLine="602" w:firstLineChars="200"/>
        <w:rPr>
          <w:rFonts w:ascii="仿宋_GB2312" w:hAnsi="等线" w:eastAsia="仿宋_GB2312"/>
          <w:b/>
          <w:color w:val="000000" w:themeColor="text1"/>
          <w:sz w:val="30"/>
          <w:szCs w:val="30"/>
        </w:rPr>
      </w:pPr>
      <w:r>
        <w:rPr>
          <w:rFonts w:hint="eastAsia" w:ascii="仿宋_GB2312" w:hAnsi="等线" w:eastAsia="仿宋_GB2312"/>
          <w:b/>
          <w:color w:val="000000" w:themeColor="text1"/>
          <w:sz w:val="30"/>
          <w:szCs w:val="30"/>
        </w:rPr>
        <w:t>二、技术参数要求：</w:t>
      </w:r>
    </w:p>
    <w:p w14:paraId="520D502D">
      <w:pPr>
        <w:spacing w:line="520" w:lineRule="exact"/>
        <w:ind w:firstLine="602" w:firstLineChars="200"/>
        <w:rPr>
          <w:rFonts w:ascii="仿宋_GB2312" w:hAnsi="等线" w:eastAsia="仿宋_GB2312"/>
          <w:b/>
          <w:color w:val="000000" w:themeColor="text1"/>
          <w:sz w:val="30"/>
          <w:szCs w:val="30"/>
        </w:rPr>
      </w:pPr>
      <w:r>
        <w:rPr>
          <w:rFonts w:hint="eastAsia" w:ascii="仿宋_GB2312" w:hAnsi="等线" w:eastAsia="仿宋_GB2312"/>
          <w:b/>
          <w:color w:val="000000" w:themeColor="text1"/>
          <w:sz w:val="30"/>
          <w:szCs w:val="30"/>
        </w:rPr>
        <w:t>包一技术参数要求：</w:t>
      </w:r>
    </w:p>
    <w:tbl>
      <w:tblPr>
        <w:tblStyle w:val="8"/>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7"/>
        <w:gridCol w:w="1042"/>
        <w:gridCol w:w="5927"/>
        <w:gridCol w:w="874"/>
        <w:gridCol w:w="740"/>
      </w:tblGrid>
      <w:tr w14:paraId="1883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400" w:type="pct"/>
            <w:vAlign w:val="center"/>
          </w:tcPr>
          <w:p w14:paraId="0D5761ED">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序号</w:t>
            </w:r>
          </w:p>
        </w:tc>
        <w:tc>
          <w:tcPr>
            <w:tcW w:w="558" w:type="pct"/>
            <w:vAlign w:val="center"/>
          </w:tcPr>
          <w:p w14:paraId="5708ED5D">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设备名称</w:t>
            </w:r>
          </w:p>
        </w:tc>
        <w:tc>
          <w:tcPr>
            <w:tcW w:w="3175" w:type="pct"/>
            <w:vAlign w:val="center"/>
          </w:tcPr>
          <w:p w14:paraId="10456C80">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主要技术参数（不低于以下标准）</w:t>
            </w:r>
          </w:p>
        </w:tc>
        <w:tc>
          <w:tcPr>
            <w:tcW w:w="468" w:type="pct"/>
            <w:vAlign w:val="center"/>
          </w:tcPr>
          <w:p w14:paraId="30B7169C">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数量</w:t>
            </w:r>
          </w:p>
        </w:tc>
        <w:tc>
          <w:tcPr>
            <w:tcW w:w="397" w:type="pct"/>
            <w:vAlign w:val="center"/>
          </w:tcPr>
          <w:p w14:paraId="1F9556A2">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单位</w:t>
            </w:r>
          </w:p>
        </w:tc>
      </w:tr>
      <w:tr w14:paraId="35CE5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400" w:type="pct"/>
            <w:vAlign w:val="center"/>
          </w:tcPr>
          <w:p w14:paraId="0AA28B84">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1</w:t>
            </w:r>
          </w:p>
        </w:tc>
        <w:tc>
          <w:tcPr>
            <w:tcW w:w="558" w:type="pct"/>
            <w:vAlign w:val="center"/>
          </w:tcPr>
          <w:p w14:paraId="65822F9C">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数据手套</w:t>
            </w:r>
          </w:p>
        </w:tc>
        <w:tc>
          <w:tcPr>
            <w:tcW w:w="3175" w:type="pct"/>
            <w:vAlign w:val="center"/>
          </w:tcPr>
          <w:p w14:paraId="49CACCED">
            <w:pPr>
              <w:pStyle w:val="2"/>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 具备关节自由度≥10个</w:t>
            </w:r>
          </w:p>
          <w:p w14:paraId="7A8CA1F2">
            <w:pPr>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 多点力反馈≥4个</w:t>
            </w:r>
          </w:p>
          <w:p w14:paraId="49991FCF">
            <w:pPr>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b/>
                <w:color w:val="000000" w:themeColor="text1"/>
                <w:sz w:val="24"/>
              </w:rPr>
              <w:t>▲</w:t>
            </w:r>
            <w:r>
              <w:rPr>
                <w:rFonts w:hint="eastAsia" w:ascii="仿宋_GB2312" w:hAnsi="仿宋_GB2312" w:eastAsia="仿宋_GB2312" w:cs="仿宋_GB2312"/>
                <w:color w:val="000000" w:themeColor="text1"/>
                <w:sz w:val="24"/>
              </w:rPr>
              <w:t>3. 手指最大力反馈≥0.3Nm</w:t>
            </w:r>
          </w:p>
          <w:p w14:paraId="4A59B4F7">
            <w:pPr>
              <w:snapToGrid w:val="0"/>
              <w:spacing w:line="360" w:lineRule="auto"/>
              <w:rPr>
                <w:rFonts w:ascii="仿宋_GB2312" w:hAnsi="仿宋_GB2312" w:eastAsia="仿宋_GB2312" w:cs="仿宋_GB2312"/>
                <w:bCs/>
                <w:color w:val="000000" w:themeColor="text1"/>
                <w:kern w:val="0"/>
                <w:sz w:val="24"/>
              </w:rPr>
            </w:pPr>
            <w:r>
              <w:rPr>
                <w:rFonts w:hint="eastAsia" w:ascii="仿宋_GB2312" w:hAnsi="仿宋_GB2312" w:eastAsia="仿宋_GB2312" w:cs="仿宋_GB2312"/>
                <w:color w:val="000000" w:themeColor="text1"/>
                <w:sz w:val="24"/>
              </w:rPr>
              <w:t>4. 无线模式延迟≤</w:t>
            </w:r>
            <w:r>
              <w:rPr>
                <w:rFonts w:hint="eastAsia" w:ascii="仿宋_GB2312" w:hAnsi="仿宋_GB2312" w:eastAsia="仿宋_GB2312" w:cs="仿宋_GB2312"/>
                <w:bCs/>
                <w:color w:val="000000" w:themeColor="text1"/>
                <w:kern w:val="0"/>
                <w:sz w:val="24"/>
              </w:rPr>
              <w:t>10ms</w:t>
            </w:r>
          </w:p>
          <w:p w14:paraId="7E906733">
            <w:pPr>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b/>
                <w:color w:val="000000" w:themeColor="text1"/>
                <w:sz w:val="24"/>
              </w:rPr>
              <w:t>▲</w:t>
            </w:r>
            <w:r>
              <w:rPr>
                <w:rFonts w:hint="eastAsia" w:ascii="仿宋_GB2312" w:hAnsi="仿宋_GB2312" w:eastAsia="仿宋_GB2312" w:cs="仿宋_GB2312"/>
                <w:color w:val="000000" w:themeColor="text1"/>
                <w:sz w:val="24"/>
              </w:rPr>
              <w:t>5. 具备震动触觉反馈和手指位置跟踪</w:t>
            </w:r>
          </w:p>
          <w:p w14:paraId="2447F304">
            <w:pPr>
              <w:snapToGrid w:val="0"/>
              <w:spacing w:line="360" w:lineRule="auto"/>
              <w:rPr>
                <w:rFonts w:ascii="仿宋_GB2312" w:hAnsi="仿宋_GB2312" w:eastAsia="仿宋_GB2312" w:cs="仿宋_GB2312"/>
                <w:bCs/>
                <w:color w:val="000000" w:themeColor="text1"/>
                <w:kern w:val="0"/>
                <w:sz w:val="24"/>
              </w:rPr>
            </w:pPr>
            <w:r>
              <w:rPr>
                <w:rFonts w:hint="eastAsia" w:ascii="仿宋_GB2312" w:hAnsi="仿宋_GB2312" w:eastAsia="仿宋_GB2312" w:cs="仿宋_GB2312"/>
                <w:b/>
                <w:color w:val="000000" w:themeColor="text1"/>
                <w:sz w:val="24"/>
              </w:rPr>
              <w:t>▲</w:t>
            </w:r>
            <w:r>
              <w:rPr>
                <w:rFonts w:hint="eastAsia" w:ascii="仿宋_GB2312" w:hAnsi="仿宋_GB2312" w:eastAsia="仿宋_GB2312" w:cs="仿宋_GB2312"/>
                <w:bCs/>
                <w:color w:val="000000" w:themeColor="text1"/>
                <w:sz w:val="24"/>
              </w:rPr>
              <w:t xml:space="preserve">6. </w:t>
            </w:r>
            <w:r>
              <w:rPr>
                <w:rFonts w:hint="eastAsia" w:ascii="仿宋_GB2312" w:hAnsi="仿宋_GB2312" w:eastAsia="仿宋_GB2312" w:cs="仿宋_GB2312"/>
                <w:color w:val="000000" w:themeColor="text1"/>
                <w:sz w:val="24"/>
              </w:rPr>
              <w:t>有线模式延迟≤</w:t>
            </w:r>
            <w:r>
              <w:rPr>
                <w:rFonts w:hint="eastAsia" w:ascii="仿宋_GB2312" w:hAnsi="仿宋_GB2312" w:eastAsia="仿宋_GB2312" w:cs="仿宋_GB2312"/>
                <w:bCs/>
                <w:color w:val="000000" w:themeColor="text1"/>
                <w:kern w:val="0"/>
                <w:sz w:val="24"/>
              </w:rPr>
              <w:t>5ms</w:t>
            </w:r>
          </w:p>
          <w:p w14:paraId="668BFFA7">
            <w:pPr>
              <w:snapToGrid w:val="0"/>
              <w:spacing w:line="360" w:lineRule="auto"/>
              <w:rPr>
                <w:rFonts w:ascii="仿宋_GB2312" w:hAnsi="仿宋_GB2312" w:eastAsia="仿宋_GB2312" w:cs="仿宋_GB2312"/>
                <w:bCs/>
                <w:color w:val="000000" w:themeColor="text1"/>
                <w:kern w:val="0"/>
                <w:sz w:val="24"/>
              </w:rPr>
            </w:pPr>
            <w:r>
              <w:rPr>
                <w:rFonts w:hint="eastAsia" w:ascii="仿宋_GB2312" w:hAnsi="仿宋_GB2312" w:eastAsia="仿宋_GB2312" w:cs="仿宋_GB2312"/>
                <w:bCs/>
                <w:color w:val="000000" w:themeColor="text1"/>
                <w:sz w:val="24"/>
              </w:rPr>
              <w:t xml:space="preserve">7. </w:t>
            </w:r>
            <w:r>
              <w:rPr>
                <w:rFonts w:hint="eastAsia" w:ascii="仿宋_GB2312" w:hAnsi="仿宋_GB2312" w:eastAsia="仿宋_GB2312" w:cs="仿宋_GB2312"/>
                <w:bCs/>
                <w:color w:val="000000" w:themeColor="text1"/>
                <w:kern w:val="0"/>
                <w:sz w:val="24"/>
              </w:rPr>
              <w:t>通讯帧率≤200Hz</w:t>
            </w:r>
          </w:p>
          <w:p w14:paraId="5E04F4B1">
            <w:pPr>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8. 工作时间≥3小时</w:t>
            </w:r>
          </w:p>
          <w:p w14:paraId="0DB2AED2">
            <w:pPr>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★9. 能推算数据手套在世界坐标系下的位姿，误差值不超过±0.5mm</w:t>
            </w:r>
          </w:p>
          <w:p w14:paraId="31376719">
            <w:pPr>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b/>
                <w:color w:val="000000" w:themeColor="text1"/>
                <w:sz w:val="24"/>
              </w:rPr>
              <w:t>▲</w:t>
            </w:r>
            <w:r>
              <w:rPr>
                <w:rFonts w:hint="eastAsia" w:ascii="仿宋_GB2312" w:hAnsi="仿宋_GB2312" w:eastAsia="仿宋_GB2312" w:cs="仿宋_GB2312"/>
                <w:bCs/>
                <w:color w:val="000000" w:themeColor="text1"/>
                <w:sz w:val="24"/>
              </w:rPr>
              <w:t>10</w:t>
            </w:r>
            <w:r>
              <w:rPr>
                <w:rFonts w:hint="eastAsia" w:ascii="仿宋_GB2312" w:hAnsi="仿宋_GB2312" w:eastAsia="仿宋_GB2312" w:cs="仿宋_GB2312"/>
                <w:color w:val="000000" w:themeColor="text1"/>
                <w:sz w:val="24"/>
              </w:rPr>
              <w:t>. 支持接入Unity3D等第三方主流平台</w:t>
            </w:r>
          </w:p>
          <w:p w14:paraId="3121BD36">
            <w:pPr>
              <w:snapToGrid w:val="0"/>
              <w:spacing w:line="360" w:lineRule="auto"/>
              <w:rPr>
                <w:rFonts w:ascii="仿宋_GB2312" w:hAnsi="仿宋_GB2312" w:eastAsia="仿宋_GB2312" w:cs="仿宋_GB2312"/>
                <w:color w:val="000000" w:themeColor="text1"/>
                <w:kern w:val="0"/>
                <w:sz w:val="24"/>
              </w:rPr>
            </w:pPr>
            <w:r>
              <w:rPr>
                <w:rFonts w:hint="eastAsia" w:ascii="仿宋_GB2312" w:hAnsi="仿宋_GB2312" w:eastAsia="仿宋_GB2312" w:cs="仿宋_GB2312"/>
                <w:color w:val="000000" w:themeColor="text1"/>
                <w:sz w:val="24"/>
              </w:rPr>
              <w:t xml:space="preserve">11. </w:t>
            </w:r>
            <w:r>
              <w:rPr>
                <w:rFonts w:hint="eastAsia" w:ascii="仿宋_GB2312" w:hAnsi="仿宋_GB2312" w:eastAsia="仿宋_GB2312" w:cs="仿宋_GB2312"/>
                <w:color w:val="000000" w:themeColor="text1"/>
                <w:kern w:val="0"/>
                <w:sz w:val="24"/>
              </w:rPr>
              <w:t>支持追踪3个骨架</w:t>
            </w:r>
          </w:p>
        </w:tc>
        <w:tc>
          <w:tcPr>
            <w:tcW w:w="468" w:type="pct"/>
            <w:vAlign w:val="center"/>
          </w:tcPr>
          <w:p w14:paraId="4FE49B0C">
            <w:pPr>
              <w:jc w:val="center"/>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2</w:t>
            </w:r>
          </w:p>
        </w:tc>
        <w:tc>
          <w:tcPr>
            <w:tcW w:w="397" w:type="pct"/>
            <w:vAlign w:val="center"/>
          </w:tcPr>
          <w:p w14:paraId="5570F20D">
            <w:pPr>
              <w:jc w:val="center"/>
              <w:rPr>
                <w:rFonts w:ascii="仿宋_GB2312" w:hAnsi="仿宋_GB2312" w:eastAsia="仿宋_GB2312" w:cs="仿宋_GB2312"/>
                <w:b/>
                <w:color w:val="000000" w:themeColor="text1"/>
                <w:sz w:val="24"/>
              </w:rPr>
            </w:pPr>
            <w:r>
              <w:rPr>
                <w:rFonts w:hint="eastAsia" w:ascii="仿宋_GB2312" w:hAnsi="仿宋_GB2312" w:eastAsia="仿宋_GB2312" w:cs="仿宋_GB2312"/>
                <w:b/>
                <w:color w:val="000000" w:themeColor="text1"/>
                <w:sz w:val="24"/>
              </w:rPr>
              <w:t>套</w:t>
            </w:r>
          </w:p>
        </w:tc>
      </w:tr>
      <w:tr w14:paraId="3AE71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400" w:type="pct"/>
            <w:vAlign w:val="center"/>
          </w:tcPr>
          <w:p w14:paraId="678CB478">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2</w:t>
            </w:r>
          </w:p>
        </w:tc>
        <w:tc>
          <w:tcPr>
            <w:tcW w:w="558" w:type="pct"/>
            <w:vAlign w:val="center"/>
          </w:tcPr>
          <w:p w14:paraId="555F6977">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VR设备</w:t>
            </w:r>
          </w:p>
        </w:tc>
        <w:tc>
          <w:tcPr>
            <w:tcW w:w="3175" w:type="pct"/>
            <w:vAlign w:val="center"/>
          </w:tcPr>
          <w:p w14:paraId="6A3AADB1">
            <w:pPr>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★1. 显示分辨率≥2880×1600</w:t>
            </w:r>
          </w:p>
          <w:p w14:paraId="3A285491">
            <w:pPr>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2. 视场角≥120×105度</w:t>
            </w:r>
          </w:p>
          <w:p w14:paraId="4CF40495">
            <w:pPr>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▲3. 刷新率≥90 Hz</w:t>
            </w:r>
          </w:p>
          <w:p w14:paraId="730C52B1">
            <w:pPr>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▲4. 能够实现对眼球的追踪</w:t>
            </w:r>
          </w:p>
          <w:p w14:paraId="28D23EA7">
            <w:pPr>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5. 追踪系统：支持Inside-out tracking</w:t>
            </w:r>
          </w:p>
          <w:p w14:paraId="6609C5CC">
            <w:pPr>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★6. 具备声音反馈功能</w:t>
            </w:r>
          </w:p>
          <w:p w14:paraId="17D43D6B">
            <w:pPr>
              <w:snapToGrid w:val="0"/>
              <w:spacing w:line="360" w:lineRule="auto"/>
              <w:rPr>
                <w:rFonts w:ascii="仿宋_GB2312" w:hAnsi="仿宋_GB2312" w:eastAsia="仿宋_GB2312" w:cs="仿宋_GB2312"/>
                <w:color w:val="000000" w:themeColor="text1"/>
                <w:sz w:val="24"/>
              </w:rPr>
            </w:pPr>
            <w:r>
              <w:rPr>
                <w:rFonts w:hint="eastAsia" w:ascii="仿宋_GB2312" w:hAnsi="仿宋_GB2312" w:eastAsia="仿宋_GB2312" w:cs="仿宋_GB2312"/>
                <w:color w:val="000000" w:themeColor="text1"/>
                <w:sz w:val="24"/>
              </w:rPr>
              <w:t>▲7. 混合现实摄像头≥双2000万</w:t>
            </w:r>
          </w:p>
        </w:tc>
        <w:tc>
          <w:tcPr>
            <w:tcW w:w="468" w:type="pct"/>
            <w:vAlign w:val="center"/>
          </w:tcPr>
          <w:p w14:paraId="52F12FE4">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2</w:t>
            </w:r>
          </w:p>
        </w:tc>
        <w:tc>
          <w:tcPr>
            <w:tcW w:w="397" w:type="pct"/>
            <w:vAlign w:val="center"/>
          </w:tcPr>
          <w:p w14:paraId="64FB7A4D">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套</w:t>
            </w:r>
          </w:p>
        </w:tc>
      </w:tr>
    </w:tbl>
    <w:p w14:paraId="5A1EAEA4">
      <w:pPr>
        <w:spacing w:line="520" w:lineRule="exact"/>
        <w:ind w:firstLine="602" w:firstLineChars="200"/>
        <w:rPr>
          <w:rFonts w:ascii="仿宋_GB2312" w:hAnsi="等线" w:eastAsia="仿宋_GB2312"/>
          <w:b/>
          <w:color w:val="000000" w:themeColor="text1"/>
          <w:sz w:val="30"/>
          <w:szCs w:val="30"/>
        </w:rPr>
      </w:pPr>
      <w:bookmarkStart w:id="0" w:name="_Toc168391589"/>
      <w:bookmarkStart w:id="1" w:name="_Toc169271498"/>
      <w:r>
        <w:rPr>
          <w:rFonts w:hint="eastAsia" w:ascii="仿宋_GB2312" w:hAnsi="等线" w:eastAsia="仿宋_GB2312"/>
          <w:b/>
          <w:color w:val="000000" w:themeColor="text1"/>
          <w:sz w:val="30"/>
          <w:szCs w:val="30"/>
        </w:rPr>
        <w:t>包三技术参数要求：</w:t>
      </w:r>
    </w:p>
    <w:tbl>
      <w:tblPr>
        <w:tblStyle w:val="8"/>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7"/>
        <w:gridCol w:w="1042"/>
        <w:gridCol w:w="5927"/>
        <w:gridCol w:w="874"/>
        <w:gridCol w:w="740"/>
      </w:tblGrid>
      <w:tr w14:paraId="35FD7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400" w:type="pct"/>
            <w:vAlign w:val="center"/>
          </w:tcPr>
          <w:p w14:paraId="1CD99F3C">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序号</w:t>
            </w:r>
          </w:p>
        </w:tc>
        <w:tc>
          <w:tcPr>
            <w:tcW w:w="558" w:type="pct"/>
            <w:vAlign w:val="center"/>
          </w:tcPr>
          <w:p w14:paraId="77E825F9">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设备名称</w:t>
            </w:r>
          </w:p>
        </w:tc>
        <w:tc>
          <w:tcPr>
            <w:tcW w:w="3175" w:type="pct"/>
            <w:vAlign w:val="center"/>
          </w:tcPr>
          <w:p w14:paraId="5407C84B">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主要技术参数（不低于以下标准）</w:t>
            </w:r>
          </w:p>
        </w:tc>
        <w:tc>
          <w:tcPr>
            <w:tcW w:w="468" w:type="pct"/>
            <w:vAlign w:val="center"/>
          </w:tcPr>
          <w:p w14:paraId="5B62DC36">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数量</w:t>
            </w:r>
          </w:p>
        </w:tc>
        <w:tc>
          <w:tcPr>
            <w:tcW w:w="397" w:type="pct"/>
            <w:vAlign w:val="center"/>
          </w:tcPr>
          <w:p w14:paraId="198D905A">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单位</w:t>
            </w:r>
          </w:p>
        </w:tc>
      </w:tr>
      <w:tr w14:paraId="679E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400" w:type="pct"/>
            <w:vAlign w:val="center"/>
          </w:tcPr>
          <w:p w14:paraId="4E095A0F">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1</w:t>
            </w:r>
          </w:p>
        </w:tc>
        <w:tc>
          <w:tcPr>
            <w:tcW w:w="558" w:type="pct"/>
            <w:vAlign w:val="center"/>
          </w:tcPr>
          <w:p w14:paraId="226A27B1">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协作机械臂</w:t>
            </w:r>
          </w:p>
        </w:tc>
        <w:tc>
          <w:tcPr>
            <w:tcW w:w="3175" w:type="pct"/>
            <w:vAlign w:val="center"/>
          </w:tcPr>
          <w:p w14:paraId="5B3F0611">
            <w:pPr>
              <w:pStyle w:val="14"/>
              <w:spacing w:line="360" w:lineRule="auto"/>
              <w:ind w:firstLine="0" w:firstLineChars="0"/>
              <w:rPr>
                <w:rFonts w:ascii="仿宋_GB2312" w:hAnsi="仿宋_GB2312" w:eastAsia="仿宋_GB2312" w:cs="仿宋_GB2312"/>
                <w:color w:val="000000" w:themeColor="text1"/>
                <w:kern w:val="2"/>
                <w:sz w:val="24"/>
                <w:szCs w:val="24"/>
              </w:rPr>
            </w:pPr>
            <w:r>
              <w:rPr>
                <w:rFonts w:hint="eastAsia" w:ascii="仿宋_GB2312" w:hAnsi="仿宋_GB2312" w:eastAsia="仿宋_GB2312" w:cs="仿宋_GB2312"/>
                <w:color w:val="000000" w:themeColor="text1"/>
                <w:kern w:val="2"/>
                <w:sz w:val="24"/>
                <w:szCs w:val="24"/>
              </w:rPr>
              <w:t>1. 机械臂IP等级：IP54</w:t>
            </w:r>
          </w:p>
          <w:p w14:paraId="65B8A648">
            <w:pPr>
              <w:pStyle w:val="14"/>
              <w:spacing w:line="360" w:lineRule="auto"/>
              <w:ind w:firstLine="0" w:firstLineChars="0"/>
              <w:rPr>
                <w:rFonts w:ascii="仿宋_GB2312" w:hAnsi="仿宋_GB2312" w:eastAsia="仿宋_GB2312" w:cs="仿宋_GB2312"/>
                <w:color w:val="000000" w:themeColor="text1"/>
                <w:kern w:val="2"/>
                <w:sz w:val="24"/>
                <w:szCs w:val="24"/>
              </w:rPr>
            </w:pPr>
            <w:r>
              <w:rPr>
                <w:rFonts w:hint="eastAsia" w:ascii="仿宋_GB2312" w:hAnsi="仿宋_GB2312" w:eastAsia="仿宋_GB2312" w:cs="仿宋_GB2312"/>
                <w:color w:val="000000" w:themeColor="text1"/>
                <w:sz w:val="24"/>
                <w:szCs w:val="24"/>
              </w:rPr>
              <w:t>★</w:t>
            </w:r>
            <w:r>
              <w:rPr>
                <w:rFonts w:hint="eastAsia" w:ascii="仿宋_GB2312" w:hAnsi="仿宋_GB2312" w:eastAsia="仿宋_GB2312" w:cs="仿宋_GB2312"/>
                <w:color w:val="000000" w:themeColor="text1"/>
                <w:kern w:val="2"/>
                <w:sz w:val="24"/>
                <w:szCs w:val="24"/>
              </w:rPr>
              <w:t>2. 夹爪夹持力大于130N</w:t>
            </w:r>
          </w:p>
          <w:p w14:paraId="2A73073A">
            <w:pPr>
              <w:pStyle w:val="14"/>
              <w:spacing w:line="360" w:lineRule="auto"/>
              <w:ind w:firstLine="0" w:firstLineChars="0"/>
              <w:rPr>
                <w:rFonts w:ascii="仿宋_GB2312" w:hAnsi="仿宋_GB2312" w:eastAsia="仿宋_GB2312" w:cs="仿宋_GB2312"/>
                <w:color w:val="000000" w:themeColor="text1"/>
                <w:kern w:val="2"/>
                <w:sz w:val="24"/>
                <w:szCs w:val="24"/>
              </w:rPr>
            </w:pPr>
            <w:r>
              <w:rPr>
                <w:rFonts w:hint="eastAsia" w:ascii="仿宋_GB2312" w:hAnsi="仿宋_GB2312" w:eastAsia="仿宋_GB2312" w:cs="仿宋_GB2312"/>
                <w:color w:val="000000" w:themeColor="text1"/>
                <w:kern w:val="2"/>
                <w:sz w:val="24"/>
                <w:szCs w:val="24"/>
              </w:rPr>
              <w:t>3. 运动轴数≥6轴</w:t>
            </w:r>
          </w:p>
          <w:p w14:paraId="0E6CBA0D">
            <w:pPr>
              <w:pStyle w:val="14"/>
              <w:spacing w:line="360" w:lineRule="auto"/>
              <w:ind w:firstLine="0" w:firstLineChars="0"/>
              <w:rPr>
                <w:rFonts w:ascii="仿宋_GB2312" w:hAnsi="仿宋_GB2312" w:eastAsia="仿宋_GB2312" w:cs="仿宋_GB2312"/>
                <w:color w:val="000000" w:themeColor="text1"/>
                <w:kern w:val="2"/>
                <w:sz w:val="24"/>
                <w:szCs w:val="24"/>
              </w:rPr>
            </w:pPr>
            <w:r>
              <w:rPr>
                <w:rFonts w:hint="eastAsia" w:ascii="仿宋_GB2312" w:hAnsi="仿宋_GB2312" w:eastAsia="仿宋_GB2312" w:cs="仿宋_GB2312"/>
                <w:color w:val="000000" w:themeColor="text1"/>
                <w:sz w:val="24"/>
                <w:szCs w:val="24"/>
              </w:rPr>
              <w:t>★</w:t>
            </w:r>
            <w:r>
              <w:rPr>
                <w:rFonts w:hint="eastAsia" w:ascii="仿宋_GB2312" w:hAnsi="仿宋_GB2312" w:eastAsia="仿宋_GB2312" w:cs="仿宋_GB2312"/>
                <w:color w:val="000000" w:themeColor="text1"/>
                <w:kern w:val="2"/>
                <w:sz w:val="24"/>
                <w:szCs w:val="24"/>
              </w:rPr>
              <w:t>4. 复位精度≤0.08mm</w:t>
            </w:r>
          </w:p>
          <w:p w14:paraId="6D30F499">
            <w:pPr>
              <w:pStyle w:val="14"/>
              <w:spacing w:line="360" w:lineRule="auto"/>
              <w:ind w:firstLine="0" w:firstLineChars="0"/>
              <w:rPr>
                <w:rFonts w:ascii="仿宋_GB2312" w:hAnsi="仿宋_GB2312" w:eastAsia="仿宋_GB2312" w:cs="仿宋_GB2312"/>
                <w:color w:val="000000" w:themeColor="text1"/>
                <w:kern w:val="2"/>
                <w:sz w:val="24"/>
                <w:szCs w:val="24"/>
              </w:rPr>
            </w:pPr>
            <w:r>
              <w:rPr>
                <w:rFonts w:hint="eastAsia" w:ascii="仿宋_GB2312" w:hAnsi="仿宋_GB2312" w:eastAsia="仿宋_GB2312" w:cs="仿宋_GB2312"/>
                <w:b/>
                <w:color w:val="000000" w:themeColor="text1"/>
                <w:sz w:val="24"/>
                <w:szCs w:val="24"/>
              </w:rPr>
              <w:t>▲</w:t>
            </w:r>
            <w:r>
              <w:rPr>
                <w:rFonts w:hint="eastAsia" w:ascii="仿宋_GB2312" w:hAnsi="仿宋_GB2312" w:eastAsia="仿宋_GB2312" w:cs="仿宋_GB2312"/>
                <w:color w:val="000000" w:themeColor="text1"/>
                <w:kern w:val="2"/>
                <w:sz w:val="24"/>
                <w:szCs w:val="24"/>
              </w:rPr>
              <w:t>5. 整机本机重量≤28kg</w:t>
            </w:r>
          </w:p>
          <w:p w14:paraId="2EDD5B7C">
            <w:pPr>
              <w:pStyle w:val="14"/>
              <w:spacing w:line="360" w:lineRule="auto"/>
              <w:ind w:firstLine="0" w:firstLineChars="0"/>
              <w:rPr>
                <w:rFonts w:ascii="仿宋_GB2312" w:hAnsi="仿宋_GB2312" w:eastAsia="仿宋_GB2312" w:cs="仿宋_GB2312"/>
                <w:color w:val="000000" w:themeColor="text1"/>
                <w:kern w:val="2"/>
                <w:sz w:val="24"/>
                <w:szCs w:val="24"/>
              </w:rPr>
            </w:pPr>
            <w:r>
              <w:rPr>
                <w:rFonts w:hint="eastAsia" w:ascii="仿宋_GB2312" w:hAnsi="仿宋_GB2312" w:eastAsia="仿宋_GB2312" w:cs="仿宋_GB2312"/>
                <w:bCs/>
                <w:color w:val="000000" w:themeColor="text1"/>
                <w:sz w:val="24"/>
                <w:szCs w:val="24"/>
              </w:rPr>
              <w:t>6</w:t>
            </w:r>
            <w:r>
              <w:rPr>
                <w:rFonts w:hint="eastAsia" w:ascii="仿宋_GB2312" w:hAnsi="仿宋_GB2312" w:eastAsia="仿宋_GB2312" w:cs="仿宋_GB2312"/>
                <w:color w:val="000000" w:themeColor="text1"/>
                <w:kern w:val="2"/>
                <w:sz w:val="24"/>
                <w:szCs w:val="24"/>
              </w:rPr>
              <w:t>. 工作半径≥700mm</w:t>
            </w:r>
          </w:p>
          <w:p w14:paraId="3D50E233">
            <w:pPr>
              <w:pStyle w:val="14"/>
              <w:spacing w:line="360" w:lineRule="auto"/>
              <w:ind w:firstLine="0" w:firstLineChars="0"/>
              <w:rPr>
                <w:rFonts w:ascii="仿宋_GB2312" w:hAnsi="仿宋_GB2312" w:eastAsia="仿宋_GB2312" w:cs="仿宋_GB2312"/>
                <w:color w:val="000000" w:themeColor="text1"/>
                <w:kern w:val="2"/>
                <w:sz w:val="24"/>
                <w:szCs w:val="24"/>
              </w:rPr>
            </w:pPr>
            <w:r>
              <w:rPr>
                <w:rFonts w:hint="eastAsia" w:ascii="仿宋_GB2312" w:hAnsi="仿宋_GB2312" w:eastAsia="仿宋_GB2312" w:cs="仿宋_GB2312"/>
                <w:b/>
                <w:color w:val="000000" w:themeColor="text1"/>
                <w:sz w:val="24"/>
                <w:szCs w:val="24"/>
              </w:rPr>
              <w:t>▲</w:t>
            </w:r>
            <w:r>
              <w:rPr>
                <w:rFonts w:hint="eastAsia" w:ascii="仿宋_GB2312" w:hAnsi="仿宋_GB2312" w:eastAsia="仿宋_GB2312" w:cs="仿宋_GB2312"/>
                <w:color w:val="000000" w:themeColor="text1"/>
                <w:kern w:val="2"/>
                <w:sz w:val="24"/>
                <w:szCs w:val="24"/>
              </w:rPr>
              <w:t>7. 最大有效负载≥7kg</w:t>
            </w:r>
          </w:p>
          <w:p w14:paraId="0022241F">
            <w:pPr>
              <w:pStyle w:val="14"/>
              <w:spacing w:line="360" w:lineRule="auto"/>
              <w:ind w:firstLine="0" w:firstLineChars="0"/>
              <w:rPr>
                <w:rFonts w:ascii="仿宋_GB2312" w:hAnsi="仿宋_GB2312" w:eastAsia="仿宋_GB2312" w:cs="仿宋_GB2312"/>
                <w:color w:val="000000" w:themeColor="text1"/>
                <w:kern w:val="2"/>
                <w:sz w:val="24"/>
                <w:szCs w:val="24"/>
              </w:rPr>
            </w:pPr>
            <w:r>
              <w:rPr>
                <w:rFonts w:hint="eastAsia" w:ascii="仿宋_GB2312" w:hAnsi="仿宋_GB2312" w:eastAsia="仿宋_GB2312" w:cs="仿宋_GB2312"/>
                <w:color w:val="000000" w:themeColor="text1"/>
                <w:kern w:val="2"/>
                <w:sz w:val="24"/>
                <w:szCs w:val="24"/>
              </w:rPr>
              <w:t>8. 腕关节扭转扭矩大于8Nm</w:t>
            </w:r>
          </w:p>
          <w:p w14:paraId="2E85C926">
            <w:pPr>
              <w:pStyle w:val="14"/>
              <w:spacing w:line="360" w:lineRule="auto"/>
              <w:ind w:firstLine="0" w:firstLineChars="0"/>
              <w:rPr>
                <w:rFonts w:ascii="仿宋_GB2312" w:hAnsi="仿宋_GB2312" w:eastAsia="仿宋_GB2312" w:cs="仿宋_GB2312"/>
                <w:color w:val="000000" w:themeColor="text1"/>
                <w:kern w:val="2"/>
                <w:sz w:val="24"/>
                <w:szCs w:val="24"/>
              </w:rPr>
            </w:pPr>
            <w:r>
              <w:rPr>
                <w:rFonts w:hint="eastAsia" w:ascii="仿宋_GB2312" w:hAnsi="仿宋_GB2312" w:eastAsia="仿宋_GB2312" w:cs="仿宋_GB2312"/>
                <w:color w:val="000000" w:themeColor="text1"/>
                <w:kern w:val="2"/>
                <w:sz w:val="24"/>
                <w:szCs w:val="24"/>
              </w:rPr>
              <w:t>★9. 支持双臂协作功能</w:t>
            </w:r>
          </w:p>
          <w:p w14:paraId="072B8177">
            <w:pPr>
              <w:pStyle w:val="14"/>
              <w:spacing w:line="360" w:lineRule="auto"/>
              <w:ind w:firstLine="0" w:firstLineChars="0"/>
              <w:rPr>
                <w:rFonts w:ascii="仿宋_GB2312" w:hAnsi="仿宋_GB2312" w:eastAsia="仿宋_GB2312" w:cs="仿宋_GB2312"/>
                <w:color w:val="000000" w:themeColor="text1"/>
                <w:kern w:val="2"/>
                <w:sz w:val="24"/>
                <w:szCs w:val="24"/>
              </w:rPr>
            </w:pPr>
            <w:r>
              <w:rPr>
                <w:rFonts w:hint="eastAsia" w:ascii="仿宋_GB2312" w:hAnsi="仿宋_GB2312" w:eastAsia="仿宋_GB2312" w:cs="仿宋_GB2312"/>
                <w:b/>
                <w:color w:val="000000" w:themeColor="text1"/>
                <w:sz w:val="24"/>
                <w:szCs w:val="24"/>
              </w:rPr>
              <w:t>▲</w:t>
            </w:r>
            <w:r>
              <w:rPr>
                <w:rFonts w:hint="eastAsia" w:ascii="仿宋_GB2312" w:hAnsi="仿宋_GB2312" w:eastAsia="仿宋_GB2312" w:cs="仿宋_GB2312"/>
                <w:color w:val="000000" w:themeColor="text1"/>
                <w:kern w:val="2"/>
                <w:sz w:val="24"/>
                <w:szCs w:val="24"/>
              </w:rPr>
              <w:t>10. 力控精度≤5N</w:t>
            </w:r>
          </w:p>
          <w:p w14:paraId="74967EA2">
            <w:pPr>
              <w:pStyle w:val="14"/>
              <w:spacing w:line="360" w:lineRule="auto"/>
              <w:ind w:firstLine="0" w:firstLineChars="0"/>
              <w:rPr>
                <w:rFonts w:ascii="仿宋_GB2312" w:hAnsi="仿宋_GB2312" w:eastAsia="仿宋_GB2312" w:cs="仿宋_GB2312"/>
                <w:color w:val="000000" w:themeColor="text1"/>
                <w:kern w:val="2"/>
                <w:sz w:val="24"/>
                <w:szCs w:val="24"/>
              </w:rPr>
            </w:pPr>
            <w:r>
              <w:rPr>
                <w:rFonts w:hint="eastAsia" w:ascii="仿宋_GB2312" w:hAnsi="仿宋_GB2312" w:eastAsia="仿宋_GB2312" w:cs="仿宋_GB2312"/>
                <w:color w:val="000000" w:themeColor="text1"/>
                <w:kern w:val="2"/>
                <w:sz w:val="24"/>
                <w:szCs w:val="24"/>
              </w:rPr>
              <w:t>11. 支持定制</w:t>
            </w:r>
          </w:p>
        </w:tc>
        <w:tc>
          <w:tcPr>
            <w:tcW w:w="468" w:type="pct"/>
            <w:vAlign w:val="center"/>
          </w:tcPr>
          <w:p w14:paraId="1B41D9D6">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2</w:t>
            </w:r>
          </w:p>
        </w:tc>
        <w:tc>
          <w:tcPr>
            <w:tcW w:w="397" w:type="pct"/>
            <w:vAlign w:val="center"/>
          </w:tcPr>
          <w:p w14:paraId="37D61B13">
            <w:pPr>
              <w:pStyle w:val="19"/>
              <w:spacing w:line="240" w:lineRule="auto"/>
              <w:ind w:firstLine="0" w:firstLineChars="0"/>
              <w:jc w:val="center"/>
              <w:rPr>
                <w:rFonts w:ascii="仿宋_GB2312" w:hAnsi="仿宋_GB2312" w:eastAsia="仿宋_GB2312" w:cs="仿宋_GB2312"/>
                <w:b/>
                <w:bCs/>
                <w:color w:val="000000" w:themeColor="text1"/>
              </w:rPr>
            </w:pPr>
            <w:r>
              <w:rPr>
                <w:rFonts w:hint="eastAsia" w:ascii="仿宋_GB2312" w:hAnsi="仿宋_GB2312" w:eastAsia="仿宋_GB2312" w:cs="仿宋_GB2312"/>
                <w:b/>
                <w:bCs/>
                <w:color w:val="000000" w:themeColor="text1"/>
              </w:rPr>
              <w:t>套</w:t>
            </w:r>
          </w:p>
        </w:tc>
      </w:tr>
    </w:tbl>
    <w:p w14:paraId="7492FE70">
      <w:pPr>
        <w:pStyle w:val="15"/>
        <w:tabs>
          <w:tab w:val="left" w:pos="0"/>
        </w:tabs>
        <w:snapToGrid w:val="0"/>
        <w:spacing w:beforeLines="20" w:line="360" w:lineRule="auto"/>
        <w:ind w:firstLine="602"/>
        <w:jc w:val="left"/>
        <w:outlineLvl w:val="2"/>
        <w:rPr>
          <w:rFonts w:ascii="仿宋_GB2312" w:hAnsi="仿宋_GB2312" w:eastAsia="仿宋_GB2312" w:cs="仿宋_GB2312"/>
          <w:b/>
          <w:color w:val="000000" w:themeColor="text1"/>
          <w:sz w:val="30"/>
          <w:szCs w:val="30"/>
        </w:rPr>
      </w:pPr>
      <w:r>
        <w:rPr>
          <w:rFonts w:hint="eastAsia" w:ascii="仿宋_GB2312" w:hAnsi="仿宋_GB2312" w:eastAsia="仿宋_GB2312" w:cs="仿宋_GB2312"/>
          <w:b/>
          <w:color w:val="000000" w:themeColor="text1"/>
          <w:sz w:val="30"/>
          <w:szCs w:val="30"/>
        </w:rPr>
        <w:t>三、售后服务承诺</w:t>
      </w:r>
      <w:bookmarkEnd w:id="0"/>
      <w:bookmarkEnd w:id="1"/>
    </w:p>
    <w:p w14:paraId="1CF441E3">
      <w:pPr>
        <w:spacing w:line="520" w:lineRule="exact"/>
        <w:ind w:firstLine="600" w:firstLineChars="200"/>
        <w:rPr>
          <w:rFonts w:ascii="仿宋_GB2312" w:hAnsi="仿宋_GB2312" w:eastAsia="仿宋_GB2312" w:cs="仿宋_GB2312"/>
          <w:color w:val="000000" w:themeColor="text1"/>
          <w:sz w:val="30"/>
          <w:szCs w:val="30"/>
        </w:rPr>
      </w:pPr>
      <w:r>
        <w:rPr>
          <w:rFonts w:hint="eastAsia" w:ascii="仿宋_GB2312" w:hAnsi="仿宋_GB2312" w:eastAsia="仿宋_GB2312" w:cs="仿宋_GB2312"/>
          <w:color w:val="000000" w:themeColor="text1"/>
          <w:sz w:val="30"/>
          <w:szCs w:val="30"/>
        </w:rPr>
        <w:t>1.投标人须严格按采购人的要求，保证进度，保证质量完成项目。</w:t>
      </w:r>
    </w:p>
    <w:p w14:paraId="02F5B25F">
      <w:pPr>
        <w:spacing w:line="520" w:lineRule="exact"/>
        <w:ind w:firstLine="600" w:firstLineChars="200"/>
        <w:rPr>
          <w:rFonts w:ascii="仿宋_GB2312" w:hAnsi="仿宋_GB2312" w:eastAsia="仿宋_GB2312" w:cs="仿宋_GB2312"/>
          <w:color w:val="000000" w:themeColor="text1"/>
          <w:sz w:val="30"/>
          <w:szCs w:val="30"/>
        </w:rPr>
      </w:pPr>
      <w:r>
        <w:rPr>
          <w:rFonts w:hint="eastAsia" w:ascii="仿宋_GB2312" w:hAnsi="仿宋_GB2312" w:eastAsia="仿宋_GB2312" w:cs="仿宋_GB2312"/>
          <w:color w:val="000000" w:themeColor="text1"/>
          <w:sz w:val="30"/>
          <w:szCs w:val="30"/>
        </w:rPr>
        <w:t>2.货物制造质量出现问题，投标人负责三包（包修、包换、包退），费用由厂家负担，采购人有权到投标人所报生产厂家的生产场地检查货物质量和生产进度。货到现场后由于采购人保管不当造成的质量问题，中标人负责修理，但费用由采购人负担。</w:t>
      </w:r>
    </w:p>
    <w:p w14:paraId="1EB2A81D">
      <w:pPr>
        <w:spacing w:line="520" w:lineRule="exact"/>
        <w:ind w:firstLine="600" w:firstLineChars="200"/>
        <w:rPr>
          <w:rFonts w:ascii="仿宋_GB2312" w:hAnsi="仿宋_GB2312" w:eastAsia="仿宋_GB2312" w:cs="仿宋_GB2312"/>
          <w:color w:val="000000" w:themeColor="text1"/>
          <w:sz w:val="30"/>
          <w:szCs w:val="30"/>
        </w:rPr>
      </w:pPr>
      <w:r>
        <w:rPr>
          <w:rFonts w:hint="eastAsia" w:ascii="仿宋_GB2312" w:hAnsi="仿宋_GB2312" w:eastAsia="仿宋_GB2312" w:cs="仿宋_GB2312"/>
          <w:color w:val="000000" w:themeColor="text1"/>
          <w:sz w:val="30"/>
          <w:szCs w:val="30"/>
        </w:rPr>
        <w:t>3.根据采购人要求，中标人派人员对采购人的操作人员进行技术和操作培训，上述培训应持续至采购人操作及维修人员完全掌握对该设备的使用及维修为止。</w:t>
      </w:r>
    </w:p>
    <w:p w14:paraId="1ED2C1A0">
      <w:pPr>
        <w:spacing w:line="520" w:lineRule="exact"/>
        <w:ind w:firstLine="600" w:firstLineChars="200"/>
        <w:rPr>
          <w:rFonts w:ascii="仿宋_GB2312" w:hAnsi="仿宋_GB2312" w:eastAsia="仿宋_GB2312" w:cs="仿宋_GB2312"/>
          <w:color w:val="000000" w:themeColor="text1"/>
          <w:sz w:val="30"/>
          <w:szCs w:val="30"/>
        </w:rPr>
      </w:pPr>
      <w:r>
        <w:rPr>
          <w:rFonts w:hint="eastAsia" w:ascii="仿宋_GB2312" w:hAnsi="仿宋_GB2312" w:eastAsia="仿宋_GB2312" w:cs="仿宋_GB2312"/>
          <w:color w:val="000000" w:themeColor="text1"/>
          <w:sz w:val="30"/>
          <w:szCs w:val="30"/>
        </w:rPr>
        <w:t>4.中标人派驻有经验的专业工程师提供工作指导服务，工作的人数及人员所应具备的条件根据采购人需求情况来确定。</w:t>
      </w:r>
    </w:p>
    <w:p w14:paraId="0B852E88">
      <w:pPr>
        <w:spacing w:line="520" w:lineRule="exact"/>
        <w:ind w:firstLine="600" w:firstLineChars="200"/>
        <w:rPr>
          <w:rFonts w:ascii="仿宋_GB2312" w:hAnsi="仿宋_GB2312" w:eastAsia="仿宋_GB2312" w:cs="仿宋_GB2312"/>
          <w:color w:val="000000" w:themeColor="text1"/>
          <w:sz w:val="30"/>
          <w:szCs w:val="30"/>
        </w:rPr>
      </w:pPr>
      <w:r>
        <w:rPr>
          <w:rFonts w:hint="eastAsia" w:ascii="仿宋_GB2312" w:hAnsi="仿宋_GB2312" w:eastAsia="仿宋_GB2312" w:cs="仿宋_GB2312"/>
          <w:color w:val="000000" w:themeColor="text1"/>
          <w:sz w:val="30"/>
          <w:szCs w:val="30"/>
        </w:rPr>
        <w:t>5.投标人所投标产品均实行12个月免费保修，保证提供的设备为全新、未曾使用过，材料质优，做工一流，质量、规格、性能等方面符合招标文件规定。</w:t>
      </w:r>
    </w:p>
    <w:p w14:paraId="4CE99171">
      <w:pPr>
        <w:spacing w:line="520" w:lineRule="exact"/>
        <w:ind w:firstLine="602" w:firstLineChars="200"/>
        <w:rPr>
          <w:rFonts w:ascii="仿宋_GB2312" w:hAnsi="等线" w:eastAsia="仿宋_GB2312"/>
          <w:b/>
          <w:bCs/>
          <w:color w:val="000000" w:themeColor="text1"/>
          <w:sz w:val="30"/>
          <w:szCs w:val="30"/>
        </w:rPr>
      </w:pPr>
      <w:r>
        <w:rPr>
          <w:rFonts w:hint="eastAsia" w:ascii="仿宋_GB2312" w:hAnsi="等线" w:eastAsia="仿宋_GB2312"/>
          <w:b/>
          <w:bCs/>
          <w:color w:val="000000" w:themeColor="text1"/>
          <w:sz w:val="30"/>
          <w:szCs w:val="30"/>
        </w:rPr>
        <w:t>四、技术参数说明</w:t>
      </w:r>
    </w:p>
    <w:p w14:paraId="33175AA0">
      <w:pPr>
        <w:spacing w:line="520" w:lineRule="exact"/>
        <w:ind w:firstLine="600" w:firstLineChars="200"/>
        <w:rPr>
          <w:rFonts w:ascii="仿宋_GB2312" w:hAnsi="等线" w:eastAsia="仿宋_GB2312"/>
          <w:bCs/>
          <w:color w:val="000000" w:themeColor="text1"/>
          <w:sz w:val="30"/>
          <w:szCs w:val="30"/>
        </w:rPr>
      </w:pPr>
      <w:r>
        <w:rPr>
          <w:rFonts w:hint="eastAsia" w:ascii="仿宋_GB2312" w:hAnsi="等线" w:eastAsia="仿宋_GB2312"/>
          <w:bCs/>
          <w:color w:val="000000" w:themeColor="text1"/>
          <w:sz w:val="30"/>
          <w:szCs w:val="30"/>
        </w:rPr>
        <w:t>1.上述技术说明及要求中所提出的技术规格、要求、参数和标准仅系说明并非进行限制，投标人可提出替代的技术规格、要求、参数和标准，并在技术文件中详细说明。</w:t>
      </w:r>
    </w:p>
    <w:p w14:paraId="5A184295">
      <w:pPr>
        <w:spacing w:line="520" w:lineRule="exact"/>
        <w:ind w:firstLine="600" w:firstLineChars="200"/>
        <w:rPr>
          <w:rFonts w:ascii="仿宋_GB2312" w:hAnsi="等线" w:eastAsia="仿宋_GB2312"/>
          <w:bCs/>
          <w:color w:val="000000" w:themeColor="text1"/>
          <w:sz w:val="30"/>
          <w:szCs w:val="30"/>
        </w:rPr>
      </w:pPr>
      <w:r>
        <w:rPr>
          <w:rFonts w:hint="eastAsia" w:ascii="仿宋_GB2312" w:hAnsi="等线" w:eastAsia="仿宋_GB2312"/>
          <w:bCs/>
          <w:color w:val="000000" w:themeColor="text1"/>
          <w:sz w:val="30"/>
          <w:szCs w:val="30"/>
        </w:rPr>
        <w:t>2.上述技术说明及要求中标注★的技术参数为关键技术参数，对关键技术参数存在任何负偏离将导致投标无效；标注</w:t>
      </w:r>
      <w:r>
        <w:rPr>
          <w:rFonts w:hint="eastAsia" w:ascii="仿宋_GB2312" w:hAnsi="仿宋_GB2312" w:eastAsia="仿宋_GB2312" w:cs="仿宋_GB2312"/>
          <w:b/>
          <w:color w:val="000000" w:themeColor="text1"/>
          <w:sz w:val="30"/>
          <w:szCs w:val="30"/>
        </w:rPr>
        <w:t>▲</w:t>
      </w:r>
      <w:r>
        <w:rPr>
          <w:rFonts w:hint="eastAsia" w:ascii="仿宋_GB2312" w:hAnsi="等线" w:eastAsia="仿宋_GB2312"/>
          <w:bCs/>
          <w:color w:val="000000" w:themeColor="text1"/>
          <w:sz w:val="30"/>
          <w:szCs w:val="30"/>
        </w:rPr>
        <w:t>的技术参数为重要技术参数，对重要技术参数存在任何负偏离将影响技术方面得分情况。所有技术参数投标人应提供所投报产品的技术白皮书或检测报告或厂家的技术说明等证明材料，证明其投标产品的技术性能，如未提供，且评标委员会对该条技术性能存疑，有权视为负偏离。</w:t>
      </w:r>
    </w:p>
    <w:p w14:paraId="6382A27C">
      <w:pPr>
        <w:spacing w:line="520" w:lineRule="exact"/>
        <w:ind w:firstLine="600" w:firstLineChars="200"/>
        <w:rPr>
          <w:rFonts w:ascii="仿宋_GB2312" w:hAnsi="等线" w:eastAsia="仿宋_GB2312"/>
          <w:bCs/>
          <w:color w:val="000000" w:themeColor="text1"/>
          <w:sz w:val="30"/>
          <w:szCs w:val="30"/>
        </w:rPr>
      </w:pPr>
      <w:r>
        <w:rPr>
          <w:rFonts w:hint="eastAsia" w:ascii="仿宋_GB2312" w:hAnsi="等线" w:eastAsia="仿宋_GB2312"/>
          <w:bCs/>
          <w:color w:val="000000" w:themeColor="text1"/>
          <w:sz w:val="30"/>
          <w:szCs w:val="30"/>
        </w:rPr>
        <w:t>3.投标人的投标文件须如实编制技术响应情况，不得完全复制招标文件中的技术参数要求，否则评标委员会对技术性能存疑，有权视为负偏离。</w:t>
      </w:r>
    </w:p>
    <w:p w14:paraId="7A04F640">
      <w:pPr>
        <w:spacing w:line="520" w:lineRule="exact"/>
        <w:ind w:firstLine="602" w:firstLineChars="200"/>
        <w:rPr>
          <w:rFonts w:ascii="仿宋_GB2312" w:hAnsi="等线" w:eastAsia="仿宋_GB2312"/>
          <w:bCs/>
          <w:color w:val="000000" w:themeColor="text1"/>
          <w:sz w:val="30"/>
          <w:szCs w:val="30"/>
        </w:rPr>
      </w:pPr>
      <w:r>
        <w:rPr>
          <w:rFonts w:hint="eastAsia" w:ascii="仿宋_GB2312" w:hAnsi="等线" w:eastAsia="仿宋_GB2312"/>
          <w:b/>
          <w:bCs/>
          <w:color w:val="000000" w:themeColor="text1"/>
          <w:sz w:val="30"/>
          <w:szCs w:val="30"/>
        </w:rPr>
        <w:t>五、</w:t>
      </w:r>
      <w:r>
        <w:rPr>
          <w:rFonts w:hint="eastAsia" w:ascii="仿宋_GB2312" w:hAnsi="等线" w:eastAsia="仿宋_GB2312"/>
          <w:bCs/>
          <w:color w:val="000000" w:themeColor="text1"/>
          <w:sz w:val="30"/>
          <w:szCs w:val="30"/>
        </w:rPr>
        <w:t>多家投标人投报的核心产品品牌相同的，参照财政部令第87号令的规定进行评审。包一核心产品是数据手套；包三核心产品是协作机械臂。</w:t>
      </w:r>
    </w:p>
    <w:p w14:paraId="03155F38">
      <w:pPr>
        <w:spacing w:line="520" w:lineRule="exact"/>
        <w:ind w:firstLine="602" w:firstLineChars="200"/>
        <w:rPr>
          <w:rFonts w:ascii="仿宋_GB2312" w:hAnsi="等线" w:eastAsia="仿宋_GB2312"/>
          <w:b/>
          <w:bCs/>
          <w:color w:val="000000" w:themeColor="text1"/>
          <w:sz w:val="30"/>
          <w:szCs w:val="30"/>
        </w:rPr>
      </w:pPr>
      <w:r>
        <w:rPr>
          <w:rFonts w:hint="eastAsia" w:ascii="仿宋_GB2312" w:hAnsi="等线" w:eastAsia="仿宋_GB2312"/>
          <w:b/>
          <w:bCs/>
          <w:color w:val="000000" w:themeColor="text1"/>
          <w:sz w:val="30"/>
          <w:szCs w:val="30"/>
        </w:rPr>
        <w:t>六、付款方式：</w:t>
      </w:r>
    </w:p>
    <w:p w14:paraId="7370F774">
      <w:pPr>
        <w:spacing w:line="520" w:lineRule="exact"/>
        <w:ind w:firstLine="600" w:firstLineChars="200"/>
        <w:rPr>
          <w:rFonts w:ascii="仿宋_GB2312" w:hAnsi="等线" w:eastAsia="仿宋_GB2312"/>
          <w:color w:val="000000" w:themeColor="text1"/>
          <w:sz w:val="30"/>
          <w:szCs w:val="30"/>
        </w:rPr>
      </w:pPr>
      <w:r>
        <w:rPr>
          <w:rFonts w:hint="eastAsia" w:ascii="仿宋_GB2312" w:hAnsi="等线" w:eastAsia="仿宋_GB2312"/>
          <w:color w:val="000000" w:themeColor="text1"/>
          <w:sz w:val="30"/>
          <w:szCs w:val="30"/>
        </w:rPr>
        <w:t>合同签订后7日内，采购人向中标人支付合同金额的70%，供货按照调试完毕并经采购人验收合格后，采购人向中标人支付合同金额的30%，中标人须在采购人规定的时间内提供符合要求的本单位发票，合同价款中含税。</w:t>
      </w:r>
    </w:p>
    <w:p w14:paraId="29BA5533">
      <w:pPr>
        <w:spacing w:line="520" w:lineRule="exact"/>
        <w:ind w:firstLine="602" w:firstLineChars="200"/>
        <w:rPr>
          <w:rFonts w:ascii="仿宋_GB2312" w:hAnsi="等线" w:eastAsia="仿宋_GB2312"/>
          <w:bCs/>
          <w:color w:val="000000" w:themeColor="text1"/>
          <w:sz w:val="30"/>
          <w:szCs w:val="30"/>
        </w:rPr>
      </w:pPr>
      <w:r>
        <w:rPr>
          <w:rFonts w:hint="eastAsia" w:ascii="仿宋_GB2312" w:hAnsi="等线" w:eastAsia="仿宋_GB2312"/>
          <w:b/>
          <w:color w:val="000000" w:themeColor="text1"/>
          <w:sz w:val="30"/>
          <w:szCs w:val="30"/>
        </w:rPr>
        <w:t>七、</w:t>
      </w:r>
      <w:r>
        <w:rPr>
          <w:rFonts w:hint="eastAsia" w:ascii="仿宋_GB2312" w:hAnsi="等线" w:eastAsia="仿宋_GB2312"/>
          <w:b/>
          <w:bCs/>
          <w:color w:val="000000" w:themeColor="text1"/>
          <w:sz w:val="30"/>
          <w:szCs w:val="30"/>
        </w:rPr>
        <w:t>产品保修期：</w:t>
      </w:r>
      <w:r>
        <w:rPr>
          <w:rFonts w:hint="eastAsia" w:ascii="仿宋_GB2312" w:hAnsi="等线" w:eastAsia="仿宋_GB2312"/>
          <w:bCs/>
          <w:color w:val="000000" w:themeColor="text1"/>
          <w:sz w:val="30"/>
          <w:szCs w:val="30"/>
        </w:rPr>
        <w:t>验收合格后一年。质保期满后，中标人负责终身免费维修，维修需要更换零配件时，按出厂价收取，不再收取其他费用（易耗品除外）。</w:t>
      </w:r>
    </w:p>
    <w:p w14:paraId="3D0C6D76">
      <w:pPr>
        <w:spacing w:line="520" w:lineRule="exact"/>
        <w:ind w:firstLine="602" w:firstLineChars="200"/>
        <w:rPr>
          <w:rFonts w:ascii="仿宋_GB2312" w:hAnsi="等线" w:eastAsia="仿宋_GB2312"/>
          <w:bCs/>
          <w:color w:val="000000" w:themeColor="text1"/>
          <w:sz w:val="30"/>
          <w:szCs w:val="30"/>
        </w:rPr>
      </w:pPr>
      <w:r>
        <w:rPr>
          <w:rFonts w:hint="eastAsia" w:ascii="仿宋_GB2312" w:hAnsi="等线" w:eastAsia="仿宋_GB2312"/>
          <w:b/>
          <w:bCs/>
          <w:color w:val="000000" w:themeColor="text1"/>
          <w:sz w:val="30"/>
          <w:szCs w:val="30"/>
        </w:rPr>
        <w:t>八、供货安装调试地点：</w:t>
      </w:r>
      <w:r>
        <w:rPr>
          <w:rFonts w:hint="eastAsia" w:ascii="仿宋_GB2312" w:hAnsi="等线" w:eastAsia="仿宋_GB2312"/>
          <w:bCs/>
          <w:color w:val="000000" w:themeColor="text1"/>
          <w:sz w:val="30"/>
          <w:szCs w:val="30"/>
        </w:rPr>
        <w:t>采购人指定地点。</w:t>
      </w:r>
    </w:p>
    <w:p w14:paraId="5052ECD0">
      <w:pPr>
        <w:spacing w:line="520" w:lineRule="exact"/>
        <w:ind w:firstLine="602" w:firstLineChars="200"/>
        <w:rPr>
          <w:rFonts w:ascii="仿宋_GB2312" w:hAnsi="等线" w:eastAsia="仿宋_GB2312"/>
          <w:bCs/>
          <w:color w:val="000000" w:themeColor="text1"/>
          <w:sz w:val="30"/>
          <w:szCs w:val="30"/>
        </w:rPr>
      </w:pPr>
      <w:r>
        <w:rPr>
          <w:rFonts w:hint="eastAsia" w:ascii="仿宋_GB2312" w:hAnsi="等线" w:eastAsia="仿宋_GB2312"/>
          <w:b/>
          <w:bCs/>
          <w:color w:val="000000" w:themeColor="text1"/>
          <w:sz w:val="30"/>
          <w:szCs w:val="30"/>
        </w:rPr>
        <w:t>九、供货安装调试完毕时间：</w:t>
      </w:r>
      <w:r>
        <w:rPr>
          <w:rFonts w:hint="eastAsia" w:ascii="仿宋_GB2312" w:hAnsi="等线" w:eastAsia="仿宋_GB2312"/>
          <w:bCs/>
          <w:color w:val="000000" w:themeColor="text1"/>
          <w:sz w:val="30"/>
          <w:szCs w:val="30"/>
        </w:rPr>
        <w:t>要求自合同签订之日起60日内供货安装调试完毕。</w:t>
      </w:r>
    </w:p>
    <w:p w14:paraId="38D4196E">
      <w:pPr>
        <w:spacing w:line="520" w:lineRule="exact"/>
        <w:ind w:firstLine="602" w:firstLineChars="200"/>
        <w:rPr>
          <w:rFonts w:ascii="仿宋_GB2312" w:hAnsi="等线" w:eastAsia="仿宋_GB2312"/>
          <w:b/>
          <w:color w:val="000000" w:themeColor="text1"/>
          <w:sz w:val="30"/>
          <w:szCs w:val="30"/>
        </w:rPr>
      </w:pPr>
      <w:r>
        <w:rPr>
          <w:rFonts w:hint="eastAsia" w:ascii="仿宋_GB2312" w:hAnsi="等线" w:eastAsia="仿宋_GB2312"/>
          <w:b/>
          <w:color w:val="000000" w:themeColor="text1"/>
          <w:sz w:val="30"/>
          <w:szCs w:val="30"/>
        </w:rPr>
        <w:t>十、采购标的的验收标准：</w:t>
      </w:r>
    </w:p>
    <w:p w14:paraId="15E69A35">
      <w:pPr>
        <w:spacing w:line="520" w:lineRule="exact"/>
        <w:ind w:firstLine="600" w:firstLineChars="200"/>
        <w:rPr>
          <w:rFonts w:ascii="仿宋_GB2312" w:hAnsi="等线" w:eastAsia="仿宋_GB2312"/>
          <w:bCs/>
          <w:color w:val="000000" w:themeColor="text1"/>
          <w:sz w:val="30"/>
          <w:szCs w:val="30"/>
        </w:rPr>
      </w:pPr>
      <w:r>
        <w:rPr>
          <w:rFonts w:hint="eastAsia" w:ascii="仿宋_GB2312" w:hAnsi="等线" w:eastAsia="仿宋_GB2312"/>
          <w:bCs/>
          <w:color w:val="000000" w:themeColor="text1"/>
          <w:sz w:val="30"/>
          <w:szCs w:val="30"/>
        </w:rPr>
        <w:t>1.标的物应按照国家及有关部门的规定进行包装，以确保其安全无损地运抵供货地点。</w:t>
      </w:r>
    </w:p>
    <w:p w14:paraId="4116753D">
      <w:pPr>
        <w:spacing w:line="520" w:lineRule="exact"/>
        <w:ind w:firstLine="600" w:firstLineChars="200"/>
        <w:rPr>
          <w:rFonts w:ascii="仿宋_GB2312" w:hAnsi="等线" w:eastAsia="仿宋_GB2312"/>
          <w:bCs/>
          <w:color w:val="000000" w:themeColor="text1"/>
          <w:sz w:val="30"/>
          <w:szCs w:val="30"/>
        </w:rPr>
      </w:pPr>
      <w:r>
        <w:rPr>
          <w:rFonts w:hint="eastAsia" w:ascii="仿宋_GB2312" w:hAnsi="等线" w:eastAsia="仿宋_GB2312"/>
          <w:bCs/>
          <w:color w:val="000000" w:themeColor="text1"/>
          <w:sz w:val="30"/>
          <w:szCs w:val="30"/>
        </w:rPr>
        <w:t>2.标的物必须在运抵供货地点经采购人检验同意后才能开启包装。</w:t>
      </w:r>
    </w:p>
    <w:p w14:paraId="4EB01629">
      <w:pPr>
        <w:spacing w:line="520" w:lineRule="exact"/>
        <w:ind w:firstLine="600" w:firstLineChars="200"/>
        <w:rPr>
          <w:rFonts w:ascii="仿宋_GB2312" w:hAnsi="等线" w:eastAsia="仿宋_GB2312"/>
          <w:bCs/>
          <w:color w:val="000000" w:themeColor="text1"/>
          <w:sz w:val="30"/>
          <w:szCs w:val="30"/>
        </w:rPr>
      </w:pPr>
      <w:r>
        <w:rPr>
          <w:rFonts w:hint="eastAsia" w:ascii="仿宋_GB2312" w:hAnsi="等线" w:eastAsia="仿宋_GB2312"/>
          <w:bCs/>
          <w:color w:val="000000" w:themeColor="text1"/>
          <w:sz w:val="30"/>
          <w:szCs w:val="30"/>
        </w:rPr>
        <w:t>3.标的物属于《强制性产品认证管理规定》范围内的，必须具有“CCC”中国强制认证标志，否则验收不合格。</w:t>
      </w:r>
    </w:p>
    <w:p w14:paraId="2AA86F76">
      <w:pPr>
        <w:spacing w:line="520" w:lineRule="exact"/>
        <w:ind w:firstLine="600" w:firstLineChars="200"/>
        <w:rPr>
          <w:rFonts w:ascii="仿宋_GB2312" w:hAnsi="等线" w:eastAsia="仿宋_GB2312"/>
          <w:bCs/>
          <w:color w:val="000000" w:themeColor="text1"/>
          <w:sz w:val="30"/>
          <w:szCs w:val="30"/>
        </w:rPr>
      </w:pPr>
      <w:r>
        <w:rPr>
          <w:rFonts w:hint="eastAsia" w:ascii="仿宋_GB2312" w:hAnsi="等线" w:eastAsia="仿宋_GB2312"/>
          <w:bCs/>
          <w:color w:val="000000" w:themeColor="text1"/>
          <w:sz w:val="30"/>
          <w:szCs w:val="30"/>
        </w:rPr>
        <w:t>4.合同履行达到验收条件时，中标人向采购人发出项目验收建议，采购人应及时启动项目验收，并通知中标人。验收严格按照鲁财采〔2025〕9号山东省财政厅《关于进一步加强政府采购履约验收工作的指导意见》执行。</w:t>
      </w:r>
    </w:p>
    <w:p w14:paraId="552BDC72">
      <w:pPr>
        <w:spacing w:line="520" w:lineRule="exact"/>
        <w:ind w:firstLine="602" w:firstLineChars="200"/>
        <w:rPr>
          <w:rFonts w:ascii="仿宋_GB2312" w:hAnsi="等线" w:eastAsia="仿宋_GB2312"/>
          <w:bCs/>
          <w:color w:val="000000" w:themeColor="text1"/>
          <w:sz w:val="30"/>
          <w:szCs w:val="30"/>
        </w:rPr>
      </w:pPr>
      <w:r>
        <w:rPr>
          <w:rFonts w:hint="eastAsia" w:ascii="仿宋_GB2312" w:hAnsi="等线" w:eastAsia="仿宋_GB2312"/>
          <w:b/>
          <w:bCs/>
          <w:color w:val="000000" w:themeColor="text1"/>
          <w:sz w:val="30"/>
          <w:szCs w:val="30"/>
        </w:rPr>
        <w:t>十一、预算金额：</w:t>
      </w:r>
      <w:r>
        <w:rPr>
          <w:rFonts w:hint="eastAsia" w:ascii="仿宋_GB2312" w:hAnsi="等线" w:eastAsia="仿宋_GB2312"/>
          <w:bCs/>
          <w:color w:val="000000" w:themeColor="text1"/>
          <w:sz w:val="30"/>
          <w:szCs w:val="30"/>
        </w:rPr>
        <w:t>人民币</w:t>
      </w:r>
      <w:r>
        <w:rPr>
          <w:rFonts w:hint="eastAsia" w:ascii="仿宋_GB2312" w:hAnsi="等线" w:eastAsia="仿宋_GB2312"/>
          <w:bCs/>
          <w:color w:val="000000" w:themeColor="text1"/>
          <w:sz w:val="30"/>
          <w:szCs w:val="30"/>
          <w:lang w:val="en-US" w:eastAsia="zh-CN"/>
        </w:rPr>
        <w:t>130</w:t>
      </w:r>
      <w:r>
        <w:rPr>
          <w:rFonts w:hint="eastAsia" w:ascii="仿宋_GB2312" w:hAnsi="等线" w:eastAsia="仿宋_GB2312"/>
          <w:bCs/>
          <w:color w:val="000000" w:themeColor="text1"/>
          <w:sz w:val="30"/>
          <w:szCs w:val="30"/>
        </w:rPr>
        <w:t>万元。</w:t>
      </w:r>
    </w:p>
    <w:p w14:paraId="0E26AD04">
      <w:pPr>
        <w:spacing w:line="520" w:lineRule="exact"/>
        <w:ind w:firstLine="600" w:firstLineChars="200"/>
        <w:rPr>
          <w:rFonts w:ascii="仿宋_GB2312" w:hAnsi="等线" w:eastAsia="仿宋_GB2312"/>
          <w:bCs/>
          <w:color w:val="000000" w:themeColor="text1"/>
          <w:sz w:val="30"/>
          <w:szCs w:val="30"/>
        </w:rPr>
      </w:pPr>
      <w:r>
        <w:rPr>
          <w:rFonts w:hint="eastAsia" w:ascii="仿宋_GB2312" w:hAnsi="等线" w:eastAsia="仿宋_GB2312"/>
          <w:bCs/>
          <w:color w:val="000000" w:themeColor="text1"/>
          <w:sz w:val="30"/>
          <w:szCs w:val="30"/>
        </w:rPr>
        <w:t>包一：数据手套和VR设备采购  预算金额：70万元；</w:t>
      </w:r>
    </w:p>
    <w:p w14:paraId="4AACCC69">
      <w:pPr>
        <w:spacing w:line="520" w:lineRule="exact"/>
        <w:ind w:firstLine="600" w:firstLineChars="200"/>
        <w:rPr>
          <w:rFonts w:ascii="仿宋_GB2312" w:hAnsi="宋体" w:eastAsia="仿宋_GB2312"/>
          <w:bCs/>
          <w:color w:val="000000" w:themeColor="text1"/>
          <w:sz w:val="30"/>
          <w:szCs w:val="30"/>
        </w:rPr>
      </w:pPr>
      <w:r>
        <w:rPr>
          <w:rFonts w:hint="eastAsia" w:ascii="仿宋_GB2312" w:hAnsi="等线" w:eastAsia="仿宋_GB2312"/>
          <w:bCs/>
          <w:color w:val="000000" w:themeColor="text1"/>
          <w:sz w:val="30"/>
          <w:szCs w:val="30"/>
        </w:rPr>
        <w:t>包三：协作机械臂采购  预算金额：60万元；</w:t>
      </w:r>
    </w:p>
    <w:p w14:paraId="1952FDF1">
      <w:pPr>
        <w:spacing w:line="520" w:lineRule="exact"/>
        <w:ind w:firstLine="600" w:firstLineChars="200"/>
        <w:rPr>
          <w:rFonts w:ascii="仿宋_GB2312" w:hAnsi="宋体" w:eastAsia="仿宋_GB2312"/>
          <w:bCs/>
          <w:sz w:val="30"/>
          <w:szCs w:val="30"/>
        </w:rPr>
      </w:pPr>
      <w:bookmarkStart w:id="2" w:name="_GoBack"/>
      <w:bookmarkEnd w:id="2"/>
    </w:p>
    <w:p w14:paraId="583AF716">
      <w:pPr>
        <w:rPr>
          <w:rFonts w:eastAsia="宋体"/>
          <w:b/>
          <w:sz w:val="44"/>
          <w:szCs w:val="44"/>
        </w:rPr>
      </w:pPr>
      <w:r>
        <w:rPr>
          <w:rFonts w:hint="eastAsia" w:eastAsia="宋体"/>
          <w:b/>
          <w:sz w:val="44"/>
          <w:szCs w:val="44"/>
        </w:rPr>
        <w:br w:type="page"/>
      </w:r>
    </w:p>
    <w:p w14:paraId="2C45AB45">
      <w:pPr>
        <w:pStyle w:val="6"/>
        <w:jc w:val="center"/>
        <w:rPr>
          <w:rFonts w:eastAsia="宋体"/>
          <w:b/>
          <w:sz w:val="44"/>
          <w:szCs w:val="44"/>
        </w:rPr>
      </w:pPr>
      <w:r>
        <w:rPr>
          <w:rFonts w:hint="eastAsia" w:eastAsia="宋体"/>
          <w:b/>
          <w:sz w:val="44"/>
          <w:szCs w:val="44"/>
        </w:rPr>
        <w:t>采购文件购买回执</w:t>
      </w:r>
    </w:p>
    <w:p w14:paraId="476F294B">
      <w:pPr>
        <w:pStyle w:val="6"/>
        <w:rPr>
          <w:rFonts w:eastAsia="宋体"/>
          <w:bCs/>
          <w:sz w:val="30"/>
          <w:szCs w:val="30"/>
        </w:rPr>
      </w:pPr>
    </w:p>
    <w:tbl>
      <w:tblPr>
        <w:tblStyle w:val="7"/>
        <w:tblW w:w="8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0"/>
        <w:gridCol w:w="5911"/>
      </w:tblGrid>
      <w:tr w14:paraId="62515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2710" w:type="dxa"/>
            <w:noWrap/>
            <w:vAlign w:val="center"/>
          </w:tcPr>
          <w:p w14:paraId="75DAA0C2">
            <w:pPr>
              <w:pStyle w:val="6"/>
              <w:jc w:val="center"/>
              <w:rPr>
                <w:rFonts w:eastAsia="宋体"/>
                <w:sz w:val="32"/>
                <w:szCs w:val="32"/>
              </w:rPr>
            </w:pPr>
            <w:r>
              <w:rPr>
                <w:rFonts w:hint="eastAsia" w:eastAsia="宋体"/>
                <w:sz w:val="32"/>
                <w:szCs w:val="32"/>
              </w:rPr>
              <w:t>项目编号</w:t>
            </w:r>
          </w:p>
        </w:tc>
        <w:tc>
          <w:tcPr>
            <w:tcW w:w="5911" w:type="dxa"/>
            <w:noWrap/>
            <w:vAlign w:val="center"/>
          </w:tcPr>
          <w:p w14:paraId="001B6B32">
            <w:pPr>
              <w:pStyle w:val="6"/>
              <w:jc w:val="center"/>
              <w:rPr>
                <w:rFonts w:eastAsia="宋体"/>
                <w:sz w:val="32"/>
                <w:szCs w:val="32"/>
              </w:rPr>
            </w:pPr>
          </w:p>
        </w:tc>
      </w:tr>
      <w:tr w14:paraId="62055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2710" w:type="dxa"/>
            <w:noWrap/>
            <w:vAlign w:val="center"/>
          </w:tcPr>
          <w:p w14:paraId="0410FC5A">
            <w:pPr>
              <w:pStyle w:val="6"/>
              <w:jc w:val="center"/>
              <w:rPr>
                <w:rFonts w:eastAsia="宋体"/>
                <w:sz w:val="32"/>
                <w:szCs w:val="32"/>
              </w:rPr>
            </w:pPr>
            <w:r>
              <w:rPr>
                <w:rFonts w:hint="eastAsia" w:eastAsia="宋体"/>
                <w:sz w:val="32"/>
                <w:szCs w:val="32"/>
              </w:rPr>
              <w:t>项目名称</w:t>
            </w:r>
          </w:p>
        </w:tc>
        <w:tc>
          <w:tcPr>
            <w:tcW w:w="5911" w:type="dxa"/>
            <w:noWrap/>
            <w:vAlign w:val="center"/>
          </w:tcPr>
          <w:p w14:paraId="7B0F770A">
            <w:pPr>
              <w:pStyle w:val="6"/>
              <w:jc w:val="center"/>
              <w:rPr>
                <w:rFonts w:eastAsia="宋体"/>
                <w:color w:val="FF0000"/>
                <w:sz w:val="32"/>
                <w:szCs w:val="32"/>
              </w:rPr>
            </w:pPr>
            <w:r>
              <w:rPr>
                <w:rFonts w:hint="eastAsia" w:eastAsia="宋体"/>
                <w:color w:val="FF0000"/>
                <w:sz w:val="32"/>
                <w:szCs w:val="32"/>
              </w:rPr>
              <w:t>项目名称（分包的注明包名称）</w:t>
            </w:r>
          </w:p>
        </w:tc>
      </w:tr>
      <w:tr w14:paraId="17D5F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2710" w:type="dxa"/>
            <w:noWrap/>
            <w:vAlign w:val="center"/>
          </w:tcPr>
          <w:p w14:paraId="18ACEDAA">
            <w:pPr>
              <w:pStyle w:val="6"/>
              <w:jc w:val="center"/>
              <w:rPr>
                <w:rFonts w:eastAsia="宋体"/>
                <w:sz w:val="32"/>
                <w:szCs w:val="32"/>
              </w:rPr>
            </w:pPr>
            <w:r>
              <w:rPr>
                <w:rFonts w:hint="eastAsia" w:eastAsia="宋体"/>
                <w:sz w:val="32"/>
                <w:szCs w:val="32"/>
              </w:rPr>
              <w:t>购买单位名称</w:t>
            </w:r>
          </w:p>
        </w:tc>
        <w:tc>
          <w:tcPr>
            <w:tcW w:w="5911" w:type="dxa"/>
            <w:noWrap/>
            <w:vAlign w:val="center"/>
          </w:tcPr>
          <w:p w14:paraId="65930D36">
            <w:pPr>
              <w:pStyle w:val="6"/>
              <w:jc w:val="center"/>
              <w:rPr>
                <w:rFonts w:eastAsia="宋体"/>
                <w:bCs/>
                <w:sz w:val="30"/>
                <w:szCs w:val="30"/>
              </w:rPr>
            </w:pPr>
          </w:p>
        </w:tc>
      </w:tr>
      <w:tr w14:paraId="064BA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2710" w:type="dxa"/>
            <w:noWrap/>
            <w:vAlign w:val="center"/>
          </w:tcPr>
          <w:p w14:paraId="2D8EFF2B">
            <w:pPr>
              <w:pStyle w:val="6"/>
              <w:jc w:val="center"/>
              <w:rPr>
                <w:rFonts w:eastAsia="宋体"/>
                <w:sz w:val="32"/>
                <w:szCs w:val="32"/>
              </w:rPr>
            </w:pPr>
            <w:r>
              <w:rPr>
                <w:rFonts w:hint="eastAsia" w:eastAsia="宋体"/>
                <w:sz w:val="32"/>
                <w:szCs w:val="32"/>
              </w:rPr>
              <w:t>联系人</w:t>
            </w:r>
          </w:p>
        </w:tc>
        <w:tc>
          <w:tcPr>
            <w:tcW w:w="5911" w:type="dxa"/>
            <w:noWrap/>
            <w:vAlign w:val="center"/>
          </w:tcPr>
          <w:p w14:paraId="558BFE68">
            <w:pPr>
              <w:pStyle w:val="6"/>
              <w:jc w:val="center"/>
              <w:rPr>
                <w:rFonts w:eastAsia="宋体"/>
                <w:bCs/>
                <w:sz w:val="30"/>
                <w:szCs w:val="30"/>
              </w:rPr>
            </w:pPr>
          </w:p>
        </w:tc>
      </w:tr>
      <w:tr w14:paraId="18E1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2710" w:type="dxa"/>
            <w:noWrap/>
            <w:vAlign w:val="center"/>
          </w:tcPr>
          <w:p w14:paraId="6AB282C3">
            <w:pPr>
              <w:pStyle w:val="6"/>
              <w:jc w:val="center"/>
              <w:rPr>
                <w:rFonts w:eastAsia="宋体"/>
                <w:sz w:val="32"/>
                <w:szCs w:val="32"/>
              </w:rPr>
            </w:pPr>
            <w:r>
              <w:rPr>
                <w:rFonts w:hint="eastAsia" w:eastAsia="宋体"/>
                <w:sz w:val="32"/>
                <w:szCs w:val="32"/>
              </w:rPr>
              <w:t>联系方式</w:t>
            </w:r>
          </w:p>
        </w:tc>
        <w:tc>
          <w:tcPr>
            <w:tcW w:w="5911" w:type="dxa"/>
            <w:noWrap/>
            <w:vAlign w:val="center"/>
          </w:tcPr>
          <w:p w14:paraId="2F8CE9A6">
            <w:pPr>
              <w:pStyle w:val="6"/>
              <w:jc w:val="center"/>
              <w:rPr>
                <w:rFonts w:eastAsia="宋体"/>
                <w:bCs/>
                <w:sz w:val="30"/>
                <w:szCs w:val="30"/>
              </w:rPr>
            </w:pPr>
          </w:p>
        </w:tc>
      </w:tr>
      <w:tr w14:paraId="0E334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2710" w:type="dxa"/>
            <w:noWrap/>
            <w:vAlign w:val="center"/>
          </w:tcPr>
          <w:p w14:paraId="573BC694">
            <w:pPr>
              <w:pStyle w:val="6"/>
              <w:jc w:val="center"/>
              <w:rPr>
                <w:rFonts w:eastAsia="宋体"/>
                <w:sz w:val="32"/>
                <w:szCs w:val="32"/>
              </w:rPr>
            </w:pPr>
            <w:r>
              <w:rPr>
                <w:rFonts w:hint="eastAsia" w:eastAsia="宋体"/>
                <w:sz w:val="32"/>
                <w:szCs w:val="32"/>
              </w:rPr>
              <w:t>邮箱</w:t>
            </w:r>
          </w:p>
        </w:tc>
        <w:tc>
          <w:tcPr>
            <w:tcW w:w="5911" w:type="dxa"/>
            <w:noWrap/>
            <w:vAlign w:val="center"/>
          </w:tcPr>
          <w:p w14:paraId="3555F5AF">
            <w:pPr>
              <w:pStyle w:val="6"/>
              <w:jc w:val="center"/>
              <w:rPr>
                <w:rFonts w:eastAsia="宋体"/>
                <w:bCs/>
                <w:sz w:val="30"/>
                <w:szCs w:val="30"/>
              </w:rPr>
            </w:pPr>
          </w:p>
        </w:tc>
      </w:tr>
      <w:tr w14:paraId="25431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atLeast"/>
          <w:jc w:val="center"/>
        </w:trPr>
        <w:tc>
          <w:tcPr>
            <w:tcW w:w="8621" w:type="dxa"/>
            <w:gridSpan w:val="2"/>
            <w:noWrap/>
            <w:vAlign w:val="center"/>
          </w:tcPr>
          <w:p w14:paraId="49C0EB11">
            <w:pPr>
              <w:pStyle w:val="6"/>
              <w:spacing w:before="0" w:beforeAutospacing="0" w:after="0" w:afterAutospacing="0" w:line="440" w:lineRule="exact"/>
              <w:jc w:val="both"/>
              <w:rPr>
                <w:rFonts w:eastAsia="宋体"/>
                <w:sz w:val="32"/>
                <w:szCs w:val="32"/>
              </w:rPr>
            </w:pPr>
            <w:r>
              <w:rPr>
                <w:rFonts w:hint="eastAsia" w:eastAsia="宋体"/>
                <w:sz w:val="32"/>
                <w:szCs w:val="32"/>
              </w:rPr>
              <w:t>转账的（转账单位须与报价单位名称一致）需将本采购文件购买回执、电汇凭证（编辑成一个P</w:t>
            </w:r>
            <w:r>
              <w:rPr>
                <w:rFonts w:eastAsia="宋体"/>
                <w:sz w:val="32"/>
                <w:szCs w:val="32"/>
              </w:rPr>
              <w:t>DF</w:t>
            </w:r>
            <w:r>
              <w:rPr>
                <w:rFonts w:hint="eastAsia" w:eastAsia="宋体"/>
                <w:sz w:val="32"/>
                <w:szCs w:val="32"/>
              </w:rPr>
              <w:t>文件）发送至我公司邮箱，邮件名称：</w:t>
            </w:r>
            <w:r>
              <w:rPr>
                <w:rFonts w:hint="eastAsia" w:eastAsia="宋体"/>
                <w:sz w:val="32"/>
                <w:szCs w:val="32"/>
                <w:u w:val="single"/>
              </w:rPr>
              <w:t>报价公司名称</w:t>
            </w:r>
            <w:r>
              <w:rPr>
                <w:rFonts w:hint="eastAsia" w:eastAsia="宋体"/>
                <w:sz w:val="32"/>
                <w:szCs w:val="32"/>
              </w:rPr>
              <w:t>+</w:t>
            </w:r>
            <w:r>
              <w:rPr>
                <w:rFonts w:hint="eastAsia" w:eastAsia="宋体"/>
                <w:sz w:val="32"/>
                <w:szCs w:val="32"/>
                <w:u w:val="single"/>
              </w:rPr>
              <w:t>项目名称</w:t>
            </w:r>
            <w:r>
              <w:rPr>
                <w:rFonts w:hint="eastAsia" w:eastAsia="宋体"/>
                <w:sz w:val="32"/>
                <w:szCs w:val="32"/>
              </w:rPr>
              <w:t>+</w:t>
            </w:r>
            <w:r>
              <w:rPr>
                <w:rFonts w:hint="eastAsia" w:eastAsia="宋体"/>
                <w:sz w:val="32"/>
                <w:szCs w:val="32"/>
                <w:u w:val="single"/>
              </w:rPr>
              <w:t>投标备案</w:t>
            </w:r>
            <w:r>
              <w:rPr>
                <w:rFonts w:hint="eastAsia" w:eastAsia="宋体"/>
                <w:sz w:val="32"/>
                <w:szCs w:val="32"/>
              </w:rPr>
              <w:t>）。</w:t>
            </w:r>
          </w:p>
          <w:p w14:paraId="52289821">
            <w:pPr>
              <w:pStyle w:val="6"/>
              <w:spacing w:before="0" w:beforeAutospacing="0" w:after="0" w:afterAutospacing="0" w:line="440" w:lineRule="exact"/>
              <w:jc w:val="both"/>
              <w:rPr>
                <w:rFonts w:eastAsia="宋体"/>
                <w:sz w:val="32"/>
                <w:szCs w:val="32"/>
              </w:rPr>
            </w:pPr>
            <w:r>
              <w:rPr>
                <w:rFonts w:hint="eastAsia" w:eastAsia="宋体"/>
                <w:sz w:val="32"/>
                <w:szCs w:val="32"/>
              </w:rPr>
              <w:t>鲁成招标邮箱：</w:t>
            </w:r>
            <w:r>
              <w:fldChar w:fldCharType="begin"/>
            </w:r>
            <w:r>
              <w:instrText xml:space="preserve"> HYPERLINK "mailto:Lucheng5273175@163.com" </w:instrText>
            </w:r>
            <w:r>
              <w:fldChar w:fldCharType="separate"/>
            </w:r>
            <w:r>
              <w:rPr>
                <w:rStyle w:val="10"/>
                <w:rFonts w:eastAsia="宋体"/>
                <w:sz w:val="32"/>
                <w:szCs w:val="32"/>
              </w:rPr>
              <w:t>Lucheng5273175@163.com</w:t>
            </w:r>
            <w:r>
              <w:rPr>
                <w:rStyle w:val="10"/>
                <w:rFonts w:eastAsia="宋体"/>
                <w:sz w:val="32"/>
                <w:szCs w:val="32"/>
              </w:rPr>
              <w:fldChar w:fldCharType="end"/>
            </w:r>
          </w:p>
          <w:p w14:paraId="4E7D3A6E">
            <w:pPr>
              <w:pStyle w:val="6"/>
              <w:spacing w:before="0" w:beforeAutospacing="0" w:after="0" w:afterAutospacing="0" w:line="440" w:lineRule="exact"/>
              <w:jc w:val="both"/>
              <w:rPr>
                <w:rFonts w:eastAsia="宋体"/>
                <w:sz w:val="32"/>
                <w:szCs w:val="32"/>
              </w:rPr>
            </w:pPr>
            <w:r>
              <w:rPr>
                <w:rFonts w:hint="eastAsia" w:eastAsia="宋体"/>
                <w:sz w:val="32"/>
                <w:szCs w:val="32"/>
              </w:rPr>
              <w:t>转账银行信息：</w:t>
            </w:r>
          </w:p>
          <w:p w14:paraId="6504F6FA">
            <w:pPr>
              <w:pStyle w:val="6"/>
              <w:spacing w:before="0" w:beforeAutospacing="0" w:after="0" w:afterAutospacing="0" w:line="440" w:lineRule="exact"/>
              <w:jc w:val="both"/>
              <w:rPr>
                <w:rFonts w:eastAsia="宋体"/>
                <w:sz w:val="32"/>
                <w:szCs w:val="32"/>
              </w:rPr>
            </w:pPr>
            <w:r>
              <w:rPr>
                <w:rFonts w:hint="eastAsia" w:eastAsia="宋体"/>
                <w:sz w:val="32"/>
                <w:szCs w:val="32"/>
              </w:rPr>
              <w:t>单位名称：山东省鲁成招标有限公司黄岛分公司</w:t>
            </w:r>
          </w:p>
          <w:p w14:paraId="66839A4B">
            <w:pPr>
              <w:pStyle w:val="6"/>
              <w:spacing w:before="0" w:beforeAutospacing="0" w:after="0" w:afterAutospacing="0" w:line="440" w:lineRule="exact"/>
              <w:jc w:val="both"/>
              <w:rPr>
                <w:rFonts w:eastAsia="宋体"/>
                <w:sz w:val="32"/>
                <w:szCs w:val="32"/>
              </w:rPr>
            </w:pPr>
            <w:r>
              <w:rPr>
                <w:rFonts w:hint="eastAsia" w:eastAsia="宋体"/>
                <w:sz w:val="32"/>
                <w:szCs w:val="32"/>
              </w:rPr>
              <w:t>开户银行：威海银行股份有限公司青岛市北支行</w:t>
            </w:r>
          </w:p>
          <w:p w14:paraId="73370A6A">
            <w:pPr>
              <w:pStyle w:val="6"/>
              <w:spacing w:before="0" w:beforeAutospacing="0" w:after="0" w:afterAutospacing="0" w:line="440" w:lineRule="exact"/>
              <w:jc w:val="both"/>
              <w:rPr>
                <w:rFonts w:eastAsia="宋体"/>
                <w:sz w:val="32"/>
                <w:szCs w:val="32"/>
              </w:rPr>
            </w:pPr>
            <w:r>
              <w:rPr>
                <w:rFonts w:hint="eastAsia" w:eastAsia="宋体"/>
                <w:sz w:val="32"/>
                <w:szCs w:val="32"/>
              </w:rPr>
              <w:t>银行账户：8179 6250 1421 0047 49</w:t>
            </w:r>
          </w:p>
          <w:p w14:paraId="68F541E8">
            <w:pPr>
              <w:pStyle w:val="6"/>
              <w:spacing w:before="0" w:beforeAutospacing="0" w:after="0" w:afterAutospacing="0" w:line="440" w:lineRule="exact"/>
              <w:jc w:val="both"/>
              <w:rPr>
                <w:rFonts w:eastAsia="宋体"/>
                <w:sz w:val="32"/>
                <w:szCs w:val="32"/>
              </w:rPr>
            </w:pPr>
            <w:r>
              <w:rPr>
                <w:rFonts w:hint="eastAsia" w:eastAsia="宋体"/>
                <w:sz w:val="32"/>
                <w:szCs w:val="32"/>
              </w:rPr>
              <w:t>行号：313452096257</w:t>
            </w:r>
          </w:p>
          <w:p w14:paraId="25C01742">
            <w:pPr>
              <w:pStyle w:val="6"/>
              <w:spacing w:before="0" w:beforeAutospacing="0" w:after="0" w:afterAutospacing="0" w:line="440" w:lineRule="exact"/>
              <w:jc w:val="both"/>
              <w:rPr>
                <w:rFonts w:eastAsia="宋体"/>
                <w:sz w:val="32"/>
                <w:szCs w:val="32"/>
              </w:rPr>
            </w:pPr>
            <w:r>
              <w:rPr>
                <w:rFonts w:hint="eastAsia" w:eastAsia="宋体"/>
                <w:sz w:val="32"/>
                <w:szCs w:val="32"/>
              </w:rPr>
              <w:t>备注：采购人+项目名称</w:t>
            </w:r>
          </w:p>
        </w:tc>
      </w:tr>
    </w:tbl>
    <w:p w14:paraId="19774194">
      <w:pPr>
        <w:rPr>
          <w:rFonts w:ascii="宋体" w:hAnsi="宋体" w:eastAsia="宋体"/>
        </w:rPr>
      </w:pPr>
    </w:p>
    <w:p w14:paraId="26F08BD9">
      <w:pPr>
        <w:ind w:firstLine="594" w:firstLineChars="198"/>
        <w:rPr>
          <w:rFonts w:ascii="宋体" w:hAnsi="宋体" w:eastAsia="宋体" w:cs="Times New Roman"/>
          <w:sz w:val="30"/>
          <w:szCs w:val="30"/>
        </w:rPr>
      </w:pPr>
    </w:p>
    <w:sectPr>
      <w:pgSz w:w="11906" w:h="16838"/>
      <w:pgMar w:top="1418" w:right="1134" w:bottom="1134"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JiMDk1NzA1OTBhNTdkZDkzY2M4MTM1Y2IwN2Y0NTYifQ=="/>
  </w:docVars>
  <w:rsids>
    <w:rsidRoot w:val="00193839"/>
    <w:rsid w:val="00064A8F"/>
    <w:rsid w:val="00193839"/>
    <w:rsid w:val="0019424A"/>
    <w:rsid w:val="001E437B"/>
    <w:rsid w:val="001E7AFA"/>
    <w:rsid w:val="0028320C"/>
    <w:rsid w:val="004D6C7C"/>
    <w:rsid w:val="005E1BC5"/>
    <w:rsid w:val="007D30BD"/>
    <w:rsid w:val="009764A8"/>
    <w:rsid w:val="00C55438"/>
    <w:rsid w:val="00D146A7"/>
    <w:rsid w:val="00EB4B90"/>
    <w:rsid w:val="00F2481A"/>
    <w:rsid w:val="00F60DA3"/>
    <w:rsid w:val="0DB40E02"/>
    <w:rsid w:val="404D1F5C"/>
    <w:rsid w:val="42EB10B1"/>
    <w:rsid w:val="4A214D88"/>
    <w:rsid w:val="5D9244E5"/>
    <w:rsid w:val="665353EA"/>
    <w:rsid w:val="7162361A"/>
    <w:rsid w:val="748E27FC"/>
    <w:rsid w:val="79F64E0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rPr>
      <w:rFonts w:ascii="Calibri" w:hAnsi="Calibri" w:eastAsia="宋体" w:cs="Times New Roman"/>
      <w:szCs w:val="24"/>
    </w:rPr>
  </w:style>
  <w:style w:type="paragraph" w:styleId="3">
    <w:name w:val="Plain Text"/>
    <w:basedOn w:val="1"/>
    <w:link w:val="17"/>
    <w:qFormat/>
    <w:uiPriority w:val="0"/>
    <w:rPr>
      <w:rFonts w:ascii="宋体" w:hAnsi="Courier New"/>
    </w:rPr>
  </w:style>
  <w:style w:type="paragraph" w:styleId="4">
    <w:name w:val="footer"/>
    <w:basedOn w:val="1"/>
    <w:link w:val="12"/>
    <w:semiHidden/>
    <w:unhideWhenUsed/>
    <w:qFormat/>
    <w:uiPriority w:val="99"/>
    <w:pPr>
      <w:tabs>
        <w:tab w:val="center" w:pos="4153"/>
        <w:tab w:val="right" w:pos="8306"/>
      </w:tabs>
      <w:snapToGrid w:val="0"/>
      <w:jc w:val="left"/>
    </w:pPr>
    <w:rPr>
      <w:sz w:val="18"/>
      <w:szCs w:val="18"/>
    </w:rPr>
  </w:style>
  <w:style w:type="paragraph" w:styleId="5">
    <w:name w:val="header"/>
    <w:basedOn w:val="1"/>
    <w:link w:val="1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8">
    <w:name w:val="Table Grid"/>
    <w:basedOn w:val="7"/>
    <w:qFormat/>
    <w:uiPriority w:val="0"/>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0">
    <w:name w:val="Hyperlink"/>
    <w:qFormat/>
    <w:uiPriority w:val="0"/>
    <w:rPr>
      <w:color w:val="0563C1"/>
      <w:u w:val="single"/>
    </w:rPr>
  </w:style>
  <w:style w:type="character" w:customStyle="1" w:styleId="11">
    <w:name w:val="页眉 Char"/>
    <w:basedOn w:val="9"/>
    <w:link w:val="5"/>
    <w:semiHidden/>
    <w:qFormat/>
    <w:uiPriority w:val="99"/>
    <w:rPr>
      <w:sz w:val="18"/>
      <w:szCs w:val="18"/>
    </w:rPr>
  </w:style>
  <w:style w:type="character" w:customStyle="1" w:styleId="12">
    <w:name w:val="页脚 Char"/>
    <w:basedOn w:val="9"/>
    <w:link w:val="4"/>
    <w:semiHidden/>
    <w:qFormat/>
    <w:uiPriority w:val="99"/>
    <w:rPr>
      <w:sz w:val="18"/>
      <w:szCs w:val="18"/>
    </w:rPr>
  </w:style>
  <w:style w:type="paragraph" w:customStyle="1" w:styleId="13">
    <w:name w:val="Table Text"/>
    <w:basedOn w:val="1"/>
    <w:qFormat/>
    <w:uiPriority w:val="0"/>
    <w:pPr>
      <w:topLinePunct/>
      <w:adjustRightInd w:val="0"/>
      <w:snapToGrid w:val="0"/>
      <w:spacing w:line="240" w:lineRule="atLeast"/>
      <w:jc w:val="left"/>
    </w:pPr>
    <w:rPr>
      <w:snapToGrid w:val="0"/>
      <w:kern w:val="0"/>
      <w:szCs w:val="21"/>
    </w:rPr>
  </w:style>
  <w:style w:type="paragraph" w:customStyle="1" w:styleId="14">
    <w:name w:val="0报告正文"/>
    <w:basedOn w:val="1"/>
    <w:qFormat/>
    <w:uiPriority w:val="0"/>
    <w:pPr>
      <w:adjustRightInd w:val="0"/>
      <w:snapToGrid w:val="0"/>
      <w:spacing w:line="480" w:lineRule="exact"/>
      <w:ind w:firstLine="200" w:firstLineChars="200"/>
    </w:pPr>
    <w:rPr>
      <w:rFonts w:ascii="宋体" w:hAnsi="宋体"/>
      <w:snapToGrid w:val="0"/>
      <w:kern w:val="0"/>
      <w:sz w:val="28"/>
      <w:szCs w:val="28"/>
      <w:lang w:val="zh-CN"/>
    </w:rPr>
  </w:style>
  <w:style w:type="paragraph" w:styleId="15">
    <w:name w:val="List Paragraph"/>
    <w:basedOn w:val="1"/>
    <w:link w:val="18"/>
    <w:qFormat/>
    <w:uiPriority w:val="34"/>
    <w:pPr>
      <w:ind w:firstLine="420" w:firstLineChars="200"/>
    </w:pPr>
  </w:style>
  <w:style w:type="character" w:customStyle="1" w:styleId="16">
    <w:name w:val="批注文字 Char"/>
    <w:basedOn w:val="9"/>
    <w:link w:val="2"/>
    <w:qFormat/>
    <w:uiPriority w:val="0"/>
    <w:rPr>
      <w:rFonts w:ascii="Calibri" w:hAnsi="Calibri" w:eastAsia="宋体" w:cs="Times New Roman"/>
      <w:kern w:val="2"/>
      <w:sz w:val="21"/>
      <w:szCs w:val="24"/>
    </w:rPr>
  </w:style>
  <w:style w:type="character" w:customStyle="1" w:styleId="17">
    <w:name w:val="纯文本 Char"/>
    <w:link w:val="3"/>
    <w:qFormat/>
    <w:uiPriority w:val="0"/>
    <w:rPr>
      <w:rFonts w:ascii="宋体" w:hAnsi="Courier New"/>
      <w:kern w:val="2"/>
      <w:sz w:val="21"/>
      <w:szCs w:val="22"/>
    </w:rPr>
  </w:style>
  <w:style w:type="character" w:customStyle="1" w:styleId="18">
    <w:name w:val="列出段落 Char"/>
    <w:link w:val="15"/>
    <w:qFormat/>
    <w:uiPriority w:val="34"/>
    <w:rPr>
      <w:kern w:val="2"/>
      <w:sz w:val="21"/>
      <w:szCs w:val="22"/>
    </w:rPr>
  </w:style>
  <w:style w:type="paragraph" w:customStyle="1" w:styleId="19">
    <w:name w:val="首行缩进"/>
    <w:basedOn w:val="1"/>
    <w:qFormat/>
    <w:uiPriority w:val="0"/>
    <w:pPr>
      <w:adjustRightInd w:val="0"/>
      <w:snapToGrid w:val="0"/>
      <w:spacing w:line="360" w:lineRule="auto"/>
      <w:ind w:firstLine="480" w:firstLineChars="200"/>
    </w:pPr>
    <w:rPr>
      <w:rFonts w:ascii="Calibri" w:hAnsi="Calibri" w:eastAsia="宋体" w:cs="Times New Roman"/>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2070</Words>
  <Characters>2303</Characters>
  <Lines>18</Lines>
  <Paragraphs>5</Paragraphs>
  <TotalTime>0</TotalTime>
  <ScaleCrop>false</ScaleCrop>
  <LinksUpToDate>false</LinksUpToDate>
  <CharactersWithSpaces>2354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2024-08-28T07:51:00Z</dcterms:created>
  <dc:creator>Administrator</dc:creator>
  <cp:lastModifiedBy>二月初四</cp:lastModifiedBy>
  <dcterms:modified xsi:type="dcterms:W3CDTF">2025-12-26T09:34:03Z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F820A482656443C88719B374DFD85552_12</vt:lpwstr>
  </property>
  <property fmtid="{D5CDD505-2E9C-101B-9397-08002B2CF9AE}" pid="4" name="KSOTemplateDocerSaveRecord">
    <vt:lpwstr>eyJoZGlkIjoiMmQ1NWJkZTIzOWU3ZTAxZGZkODM0ZTAxYzc1ZDkzMGQiLCJ1c2VySWQiOiI5OTE2NjI3NTEifQ==</vt:lpwstr>
  </property>
</Properties>
</file>