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CF152">
      <w:pPr>
        <w:topLinePunct/>
        <w:autoSpaceDE w:val="0"/>
        <w:autoSpaceDN w:val="0"/>
        <w:jc w:val="center"/>
        <w:outlineLvl w:val="9"/>
        <w:rPr>
          <w:rFonts w:hint="eastAsia" w:ascii="宋体" w:hAnsi="宋体" w:eastAsia="宋体" w:cs="宋体"/>
          <w:b/>
          <w:color w:val="auto"/>
          <w:sz w:val="32"/>
          <w:szCs w:val="32"/>
          <w:highlight w:val="none"/>
        </w:rPr>
      </w:pPr>
    </w:p>
    <w:p w14:paraId="2A838F0C">
      <w:pPr>
        <w:outlineLvl w:val="9"/>
        <w:rPr>
          <w:rFonts w:hint="eastAsia" w:ascii="宋体" w:hAnsi="宋体" w:eastAsia="宋体" w:cs="宋体"/>
          <w:b/>
          <w:color w:val="auto"/>
          <w:sz w:val="32"/>
          <w:szCs w:val="32"/>
          <w:highlight w:val="none"/>
        </w:rPr>
      </w:pPr>
    </w:p>
    <w:p w14:paraId="5E6F482E">
      <w:pPr>
        <w:outlineLvl w:val="9"/>
        <w:rPr>
          <w:rFonts w:hint="eastAsia" w:ascii="宋体" w:hAnsi="宋体" w:eastAsia="宋体" w:cs="宋体"/>
          <w:color w:val="auto"/>
          <w:highlight w:val="none"/>
        </w:rPr>
      </w:pPr>
    </w:p>
    <w:p w14:paraId="30D44683">
      <w:pPr>
        <w:topLinePunct/>
        <w:autoSpaceDE w:val="0"/>
        <w:autoSpaceDN w:val="0"/>
        <w:jc w:val="center"/>
        <w:outlineLvl w:val="9"/>
        <w:rPr>
          <w:rFonts w:hint="eastAsia" w:ascii="宋体" w:hAnsi="宋体" w:eastAsia="宋体" w:cs="宋体"/>
          <w:b/>
          <w:bCs w:val="0"/>
          <w:color w:val="auto"/>
          <w:sz w:val="32"/>
          <w:szCs w:val="32"/>
          <w:highlight w:val="none"/>
        </w:rPr>
      </w:pPr>
      <w:r>
        <w:rPr>
          <w:rFonts w:hint="eastAsia" w:ascii="宋体" w:hAnsi="宋体" w:cs="宋体"/>
          <w:b/>
          <w:color w:val="auto"/>
          <w:sz w:val="72"/>
          <w:szCs w:val="72"/>
          <w:highlight w:val="none"/>
        </w:rPr>
        <w:t>招 标 文 件</w:t>
      </w:r>
    </w:p>
    <w:p w14:paraId="58B9EB4B">
      <w:pPr>
        <w:topLinePunct/>
        <w:autoSpaceDE w:val="0"/>
        <w:autoSpaceDN w:val="0"/>
        <w:spacing w:line="60" w:lineRule="exact"/>
        <w:jc w:val="center"/>
        <w:outlineLvl w:val="9"/>
        <w:rPr>
          <w:rFonts w:hint="eastAsia" w:ascii="宋体" w:hAnsi="宋体" w:eastAsia="宋体" w:cs="宋体"/>
          <w:b/>
          <w:bCs w:val="0"/>
          <w:color w:val="auto"/>
          <w:sz w:val="32"/>
          <w:szCs w:val="32"/>
          <w:highlight w:val="none"/>
        </w:rPr>
      </w:pPr>
    </w:p>
    <w:p w14:paraId="14F6A1F2">
      <w:pPr>
        <w:topLinePunct/>
        <w:autoSpaceDE w:val="0"/>
        <w:autoSpaceDN w:val="0"/>
        <w:snapToGrid w:val="0"/>
        <w:jc w:val="center"/>
        <w:outlineLvl w:val="9"/>
        <w:rPr>
          <w:rFonts w:hint="eastAsia" w:ascii="宋体" w:hAnsi="宋体" w:eastAsia="宋体" w:cs="宋体"/>
          <w:b/>
          <w:bCs w:val="0"/>
          <w:color w:val="auto"/>
          <w:sz w:val="32"/>
          <w:szCs w:val="32"/>
          <w:highlight w:val="none"/>
        </w:rPr>
      </w:pPr>
    </w:p>
    <w:p w14:paraId="19DA8001">
      <w:pPr>
        <w:topLinePunct/>
        <w:autoSpaceDE w:val="0"/>
        <w:autoSpaceDN w:val="0"/>
        <w:snapToGrid w:val="0"/>
        <w:jc w:val="center"/>
        <w:outlineLvl w:val="9"/>
        <w:rPr>
          <w:rFonts w:hint="eastAsia" w:ascii="宋体" w:hAnsi="宋体" w:eastAsia="宋体" w:cs="宋体"/>
          <w:b/>
          <w:bCs w:val="0"/>
          <w:color w:val="auto"/>
          <w:sz w:val="32"/>
          <w:szCs w:val="32"/>
          <w:highlight w:val="none"/>
        </w:rPr>
      </w:pPr>
    </w:p>
    <w:p w14:paraId="3C3B8B61">
      <w:pPr>
        <w:topLinePunct/>
        <w:autoSpaceDE w:val="0"/>
        <w:autoSpaceDN w:val="0"/>
        <w:snapToGrid w:val="0"/>
        <w:jc w:val="center"/>
        <w:outlineLvl w:val="9"/>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（商务部分）</w:t>
      </w:r>
    </w:p>
    <w:p w14:paraId="1E53EEAF">
      <w:pPr>
        <w:topLinePunct/>
        <w:autoSpaceDE w:val="0"/>
        <w:autoSpaceDN w:val="0"/>
        <w:snapToGrid w:val="0"/>
        <w:outlineLvl w:val="9"/>
        <w:rPr>
          <w:rFonts w:hint="eastAsia" w:ascii="宋体" w:hAnsi="宋体" w:eastAsia="宋体" w:cs="宋体"/>
          <w:b/>
          <w:bCs w:val="0"/>
          <w:color w:val="auto"/>
          <w:sz w:val="32"/>
          <w:szCs w:val="32"/>
          <w:highlight w:val="none"/>
        </w:rPr>
      </w:pPr>
    </w:p>
    <w:p w14:paraId="11235F40">
      <w:pPr>
        <w:jc w:val="center"/>
        <w:outlineLvl w:val="9"/>
        <w:rPr>
          <w:rFonts w:hint="eastAsia" w:ascii="宋体" w:hAnsi="宋体" w:eastAsia="宋体" w:cs="宋体"/>
          <w:b/>
          <w:color w:val="auto"/>
          <w:sz w:val="24"/>
          <w:szCs w:val="24"/>
          <w:highlight w:val="none"/>
        </w:rPr>
      </w:pPr>
    </w:p>
    <w:p w14:paraId="06B096D6">
      <w:pPr>
        <w:jc w:val="center"/>
        <w:outlineLvl w:val="9"/>
        <w:rPr>
          <w:rFonts w:hint="eastAsia" w:ascii="宋体" w:hAnsi="宋体" w:eastAsia="宋体" w:cs="宋体"/>
          <w:b/>
          <w:color w:val="auto"/>
          <w:sz w:val="24"/>
          <w:szCs w:val="24"/>
          <w:highlight w:val="none"/>
        </w:rPr>
      </w:pPr>
    </w:p>
    <w:p w14:paraId="07BB1513">
      <w:pPr>
        <w:spacing w:line="360" w:lineRule="auto"/>
        <w:ind w:firstLine="995" w:firstLineChars="413"/>
        <w:jc w:val="left"/>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项目名称：</w:t>
      </w:r>
      <w:r>
        <w:rPr>
          <w:rFonts w:hint="eastAsia" w:ascii="宋体" w:hAnsi="宋体" w:eastAsia="宋体" w:cs="宋体"/>
          <w:b/>
          <w:color w:val="auto"/>
          <w:sz w:val="24"/>
          <w:szCs w:val="24"/>
          <w:highlight w:val="none"/>
          <w:u w:val="single"/>
          <w:lang w:eastAsia="zh-CN"/>
        </w:rPr>
        <w:t>国家税务总局庄河市税务局非执法类辅助性服务采购项目</w:t>
      </w:r>
    </w:p>
    <w:p w14:paraId="7B339DFD">
      <w:pPr>
        <w:spacing w:line="360" w:lineRule="auto"/>
        <w:ind w:firstLine="995" w:firstLineChars="413"/>
        <w:jc w:val="left"/>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项目编号：</w:t>
      </w:r>
      <w:r>
        <w:rPr>
          <w:rFonts w:hint="eastAsia" w:ascii="宋体" w:hAnsi="宋体" w:eastAsia="宋体" w:cs="宋体"/>
          <w:b/>
          <w:color w:val="auto"/>
          <w:sz w:val="24"/>
          <w:szCs w:val="24"/>
          <w:highlight w:val="none"/>
          <w:u w:val="single"/>
          <w:lang w:eastAsia="zh-CN"/>
        </w:rPr>
        <w:t>DLZFCG2026194</w:t>
      </w:r>
    </w:p>
    <w:p w14:paraId="02DA3CAD">
      <w:pPr>
        <w:spacing w:line="360" w:lineRule="auto"/>
        <w:ind w:firstLine="995" w:firstLineChars="413"/>
        <w:jc w:val="left"/>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采 购 人：</w:t>
      </w:r>
      <w:r>
        <w:rPr>
          <w:rFonts w:hint="eastAsia" w:ascii="宋体" w:hAnsi="宋体" w:eastAsia="宋体" w:cs="宋体"/>
          <w:b/>
          <w:color w:val="auto"/>
          <w:sz w:val="24"/>
          <w:szCs w:val="24"/>
          <w:highlight w:val="none"/>
          <w:u w:val="single"/>
          <w:lang w:eastAsia="zh-CN"/>
        </w:rPr>
        <w:t>国家税务总局庄河市税务局</w:t>
      </w:r>
    </w:p>
    <w:p w14:paraId="3918AA3F">
      <w:pPr>
        <w:spacing w:line="360" w:lineRule="auto"/>
        <w:ind w:firstLine="995" w:firstLineChars="413"/>
        <w:jc w:val="left"/>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采购代理机构：</w:t>
      </w:r>
      <w:r>
        <w:rPr>
          <w:rFonts w:hint="eastAsia" w:ascii="宋体" w:hAnsi="宋体" w:eastAsia="宋体" w:cs="宋体"/>
          <w:b/>
          <w:color w:val="auto"/>
          <w:sz w:val="24"/>
          <w:szCs w:val="24"/>
          <w:highlight w:val="none"/>
          <w:u w:val="single"/>
          <w:lang w:eastAsia="zh-CN"/>
        </w:rPr>
        <w:t>大连市政府采购中心</w:t>
      </w:r>
    </w:p>
    <w:p w14:paraId="77B171E7">
      <w:pPr>
        <w:topLinePunct/>
        <w:autoSpaceDE w:val="0"/>
        <w:autoSpaceDN w:val="0"/>
        <w:spacing w:line="460" w:lineRule="exact"/>
        <w:outlineLvl w:val="9"/>
        <w:rPr>
          <w:rFonts w:hint="eastAsia" w:ascii="宋体" w:hAnsi="宋体" w:eastAsia="宋体" w:cs="宋体"/>
          <w:b/>
          <w:color w:val="auto"/>
          <w:sz w:val="24"/>
          <w:szCs w:val="24"/>
          <w:highlight w:val="none"/>
        </w:rPr>
      </w:pPr>
    </w:p>
    <w:p w14:paraId="6DC33766">
      <w:pPr>
        <w:topLinePunct/>
        <w:autoSpaceDE w:val="0"/>
        <w:autoSpaceDN w:val="0"/>
        <w:spacing w:line="460" w:lineRule="exact"/>
        <w:jc w:val="center"/>
        <w:outlineLvl w:val="9"/>
        <w:rPr>
          <w:rFonts w:hint="eastAsia" w:ascii="宋体" w:hAnsi="宋体" w:eastAsia="宋体" w:cs="宋体"/>
          <w:b/>
          <w:color w:val="auto"/>
          <w:sz w:val="24"/>
          <w:szCs w:val="24"/>
          <w:highlight w:val="none"/>
        </w:rPr>
      </w:pPr>
    </w:p>
    <w:p w14:paraId="569F3B3E">
      <w:pPr>
        <w:keepNext/>
        <w:keepLines/>
        <w:tabs>
          <w:tab w:val="left" w:pos="780"/>
        </w:tabs>
        <w:spacing w:before="280" w:after="290" w:line="377" w:lineRule="auto"/>
        <w:ind w:left="780" w:firstLine="422" w:firstLineChars="200"/>
        <w:outlineLvl w:val="9"/>
        <w:rPr>
          <w:rFonts w:hint="eastAsia" w:ascii="宋体" w:hAnsi="宋体" w:eastAsia="宋体" w:cs="宋体"/>
          <w:b/>
          <w:bCs w:val="0"/>
          <w:color w:val="auto"/>
          <w:szCs w:val="28"/>
          <w:highlight w:val="none"/>
        </w:rPr>
      </w:pPr>
    </w:p>
    <w:p w14:paraId="0F44ADFB">
      <w:pPr>
        <w:widowControl/>
        <w:spacing w:before="100" w:beforeAutospacing="1" w:after="100" w:afterAutospacing="1"/>
        <w:jc w:val="left"/>
        <w:outlineLvl w:val="9"/>
        <w:rPr>
          <w:rFonts w:hint="eastAsia" w:ascii="宋体" w:hAnsi="宋体" w:eastAsia="宋体" w:cs="宋体"/>
          <w:b/>
          <w:color w:val="auto"/>
          <w:kern w:val="0"/>
          <w:sz w:val="24"/>
          <w:szCs w:val="24"/>
          <w:highlight w:val="none"/>
        </w:rPr>
      </w:pPr>
    </w:p>
    <w:p w14:paraId="0D73F9ED">
      <w:pPr>
        <w:topLinePunct/>
        <w:autoSpaceDE w:val="0"/>
        <w:autoSpaceDN w:val="0"/>
        <w:spacing w:line="460" w:lineRule="exact"/>
        <w:jc w:val="center"/>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国家税务总局庄河市税务局</w:t>
      </w:r>
    </w:p>
    <w:p w14:paraId="056C84FC">
      <w:pPr>
        <w:topLinePunct/>
        <w:autoSpaceDE w:val="0"/>
        <w:autoSpaceDN w:val="0"/>
        <w:spacing w:line="160" w:lineRule="exact"/>
        <w:jc w:val="center"/>
        <w:outlineLvl w:val="9"/>
        <w:rPr>
          <w:rFonts w:hint="eastAsia" w:ascii="宋体" w:hAnsi="宋体" w:eastAsia="宋体" w:cs="宋体"/>
          <w:b/>
          <w:color w:val="auto"/>
          <w:sz w:val="24"/>
          <w:szCs w:val="24"/>
          <w:highlight w:val="none"/>
        </w:rPr>
      </w:pPr>
    </w:p>
    <w:p w14:paraId="4ACB2011">
      <w:pPr>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rPr>
        <w:t>2026</w:t>
      </w:r>
      <w:r>
        <w:rPr>
          <w:rFonts w:hint="eastAsia" w:ascii="宋体" w:hAnsi="宋体" w:eastAsia="宋体" w:cs="宋体"/>
          <w:b/>
          <w:color w:val="auto"/>
          <w:sz w:val="24"/>
          <w:szCs w:val="24"/>
          <w:highlight w:val="none"/>
          <w:u w:val="single"/>
        </w:rPr>
        <w:t>年</w:t>
      </w:r>
      <w:r>
        <w:rPr>
          <w:rFonts w:hint="eastAsia" w:ascii="宋体" w:hAnsi="宋体" w:cs="宋体"/>
          <w:b/>
          <w:color w:val="auto"/>
          <w:sz w:val="24"/>
          <w:szCs w:val="24"/>
          <w:highlight w:val="none"/>
          <w:u w:val="single"/>
          <w:lang w:val="en-US" w:eastAsia="zh-CN"/>
        </w:rPr>
        <w:t>6月</w:t>
      </w:r>
    </w:p>
    <w:p w14:paraId="036D9528">
      <w:pPr>
        <w:outlineLvl w:val="9"/>
        <w:rPr>
          <w:rFonts w:hint="eastAsia" w:ascii="宋体" w:hAnsi="宋体" w:eastAsia="宋体" w:cs="宋体"/>
          <w:b/>
          <w:color w:val="auto"/>
          <w:sz w:val="32"/>
          <w:szCs w:val="32"/>
          <w:highlight w:val="none"/>
        </w:rPr>
      </w:pPr>
    </w:p>
    <w:p w14:paraId="742D0465">
      <w:pPr>
        <w:outlineLvl w:val="9"/>
        <w:rPr>
          <w:rFonts w:hint="eastAsia" w:ascii="宋体" w:hAnsi="宋体" w:eastAsia="宋体" w:cs="宋体"/>
          <w:b/>
          <w:color w:val="auto"/>
          <w:sz w:val="32"/>
          <w:szCs w:val="32"/>
          <w:highlight w:val="none"/>
        </w:rPr>
      </w:pPr>
    </w:p>
    <w:p w14:paraId="4A48D7AA">
      <w:pPr>
        <w:outlineLvl w:val="9"/>
        <w:rPr>
          <w:rFonts w:hint="eastAsia" w:ascii="宋体" w:hAnsi="宋体" w:eastAsia="宋体" w:cs="宋体"/>
          <w:b/>
          <w:color w:val="auto"/>
          <w:sz w:val="32"/>
          <w:szCs w:val="32"/>
          <w:highlight w:val="none"/>
        </w:rPr>
        <w:sectPr>
          <w:footerReference r:id="rId4" w:type="default"/>
          <w:pgSz w:w="11906" w:h="16838"/>
          <w:pgMar w:top="1440" w:right="1752" w:bottom="1440" w:left="1752" w:header="851" w:footer="992" w:gutter="0"/>
          <w:pgBorders>
            <w:top w:val="none" w:sz="0" w:space="0"/>
            <w:left w:val="none" w:sz="0" w:space="0"/>
            <w:bottom w:val="none" w:sz="0" w:space="0"/>
            <w:right w:val="none" w:sz="0" w:space="0"/>
          </w:pgBorders>
          <w:cols w:space="720" w:num="1"/>
          <w:docGrid w:type="lines" w:linePitch="312" w:charSpace="0"/>
        </w:sectPr>
      </w:pPr>
    </w:p>
    <w:p w14:paraId="3B7783EE">
      <w:pPr>
        <w:jc w:val="center"/>
        <w:outlineLvl w:val="9"/>
        <w:rPr>
          <w:b/>
          <w:bCs/>
          <w:color w:val="auto"/>
          <w:sz w:val="32"/>
          <w:szCs w:val="32"/>
          <w:highlight w:val="none"/>
        </w:rPr>
      </w:pPr>
      <w:r>
        <w:rPr>
          <w:rFonts w:ascii="宋体" w:hAnsi="宋体"/>
          <w:b/>
          <w:bCs/>
          <w:color w:val="auto"/>
          <w:sz w:val="32"/>
          <w:szCs w:val="32"/>
          <w:highlight w:val="none"/>
        </w:rPr>
        <w:t>目</w:t>
      </w:r>
      <w:r>
        <w:rPr>
          <w:rFonts w:hint="eastAsia" w:ascii="宋体" w:hAnsi="宋体"/>
          <w:b/>
          <w:bCs/>
          <w:color w:val="auto"/>
          <w:sz w:val="32"/>
          <w:szCs w:val="32"/>
          <w:highlight w:val="none"/>
          <w:lang w:val="en-US" w:eastAsia="zh-CN"/>
        </w:rPr>
        <w:t xml:space="preserve">  </w:t>
      </w:r>
      <w:r>
        <w:rPr>
          <w:rFonts w:ascii="宋体" w:hAnsi="宋体"/>
          <w:b/>
          <w:bCs/>
          <w:color w:val="auto"/>
          <w:sz w:val="32"/>
          <w:szCs w:val="32"/>
          <w:highlight w:val="none"/>
        </w:rPr>
        <w:t>录</w:t>
      </w:r>
    </w:p>
    <w:p w14:paraId="08ECAE08">
      <w:pPr>
        <w:pStyle w:val="18"/>
        <w:tabs>
          <w:tab w:val="right" w:leader="dot" w:pos="8402"/>
        </w:tabs>
        <w:spacing w:line="360" w:lineRule="auto"/>
        <w:outlineLvl w:val="9"/>
        <w:rPr>
          <w:rFonts w:ascii="宋体" w:hAnsi="宋体"/>
          <w:color w:val="auto"/>
          <w:sz w:val="24"/>
          <w:szCs w:val="24"/>
          <w:highlight w:val="none"/>
        </w:rPr>
      </w:pPr>
    </w:p>
    <w:p w14:paraId="2D887822">
      <w:pPr>
        <w:pStyle w:val="18"/>
        <w:tabs>
          <w:tab w:val="right" w:leader="dot" w:pos="8402"/>
        </w:tabs>
        <w:spacing w:line="360" w:lineRule="auto"/>
        <w:rPr>
          <w:b/>
          <w:bCs/>
          <w:color w:val="auto"/>
          <w:sz w:val="24"/>
          <w:szCs w:val="24"/>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TOC \o "1-1" \h \u </w:instrText>
      </w:r>
      <w:r>
        <w:rPr>
          <w:rFonts w:ascii="宋体" w:hAnsi="宋体"/>
          <w:color w:val="auto"/>
          <w:sz w:val="24"/>
          <w:szCs w:val="24"/>
          <w:highlight w:val="none"/>
        </w:rPr>
        <w:fldChar w:fldCharType="separate"/>
      </w: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_Toc6136 </w:instrText>
      </w:r>
      <w:r>
        <w:rPr>
          <w:rFonts w:ascii="宋体" w:hAnsi="宋体"/>
          <w:b/>
          <w:bCs/>
          <w:color w:val="auto"/>
          <w:sz w:val="24"/>
          <w:szCs w:val="24"/>
          <w:highlight w:val="none"/>
        </w:rPr>
        <w:fldChar w:fldCharType="separate"/>
      </w:r>
      <w:r>
        <w:rPr>
          <w:rFonts w:hint="eastAsia" w:ascii="宋体" w:hAnsi="宋体" w:cs="宋体"/>
          <w:b/>
          <w:bCs/>
          <w:color w:val="auto"/>
          <w:kern w:val="44"/>
          <w:sz w:val="24"/>
          <w:szCs w:val="24"/>
          <w:highlight w:val="none"/>
          <w:lang w:eastAsia="zh-CN"/>
        </w:rPr>
        <w:t>第一部分</w:t>
      </w:r>
      <w:r>
        <w:rPr>
          <w:rFonts w:hint="eastAsia" w:ascii="宋体" w:hAnsi="宋体" w:cs="宋体"/>
          <w:b/>
          <w:bCs/>
          <w:color w:val="auto"/>
          <w:kern w:val="44"/>
          <w:sz w:val="24"/>
          <w:szCs w:val="24"/>
          <w:highlight w:val="none"/>
          <w:lang w:val="en-US" w:eastAsia="zh-CN"/>
        </w:rPr>
        <w:t xml:space="preserve">  商务部分</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_Toc6136 \h </w:instrText>
      </w:r>
      <w:r>
        <w:rPr>
          <w:b/>
          <w:bCs/>
          <w:color w:val="auto"/>
          <w:sz w:val="24"/>
          <w:szCs w:val="24"/>
          <w:highlight w:val="none"/>
        </w:rPr>
        <w:fldChar w:fldCharType="separate"/>
      </w:r>
      <w:r>
        <w:rPr>
          <w:b/>
          <w:bCs/>
          <w:color w:val="auto"/>
          <w:sz w:val="24"/>
          <w:szCs w:val="24"/>
          <w:highlight w:val="none"/>
        </w:rPr>
        <w:t>3</w:t>
      </w:r>
      <w:r>
        <w:rPr>
          <w:b/>
          <w:bCs/>
          <w:color w:val="auto"/>
          <w:sz w:val="24"/>
          <w:szCs w:val="24"/>
          <w:highlight w:val="none"/>
        </w:rPr>
        <w:fldChar w:fldCharType="end"/>
      </w:r>
      <w:r>
        <w:rPr>
          <w:rFonts w:ascii="宋体" w:hAnsi="宋体"/>
          <w:b/>
          <w:bCs/>
          <w:color w:val="auto"/>
          <w:sz w:val="24"/>
          <w:szCs w:val="24"/>
          <w:highlight w:val="none"/>
        </w:rPr>
        <w:fldChar w:fldCharType="end"/>
      </w:r>
    </w:p>
    <w:p w14:paraId="0A56FA29">
      <w:pPr>
        <w:pStyle w:val="18"/>
        <w:widowControl w:val="0"/>
        <w:tabs>
          <w:tab w:val="right" w:leader="dot" w:pos="8402"/>
        </w:tabs>
        <w:wordWrap/>
        <w:adjustRightInd/>
        <w:snapToGrid/>
        <w:spacing w:line="360" w:lineRule="auto"/>
        <w:ind w:firstLine="482" w:firstLineChars="200"/>
        <w:textAlignment w:val="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_Toc17498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w:t>
      </w:r>
      <w:r>
        <w:rPr>
          <w:rFonts w:hint="eastAsia" w:ascii="宋体" w:hAnsi="宋体" w:eastAsia="宋体" w:cs="宋体"/>
          <w:b/>
          <w:bCs/>
          <w:color w:val="auto"/>
          <w:sz w:val="24"/>
          <w:szCs w:val="24"/>
          <w:highlight w:val="none"/>
          <w:lang w:val="en-US" w:eastAsia="zh-CN"/>
        </w:rPr>
        <w:t>招标公告</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_Toc17498 \h </w:instrText>
      </w:r>
      <w:r>
        <w:rPr>
          <w:b/>
          <w:bCs/>
          <w:color w:val="auto"/>
          <w:sz w:val="24"/>
          <w:szCs w:val="24"/>
          <w:highlight w:val="none"/>
        </w:rPr>
        <w:fldChar w:fldCharType="separate"/>
      </w:r>
      <w:r>
        <w:rPr>
          <w:b/>
          <w:bCs/>
          <w:color w:val="auto"/>
          <w:sz w:val="24"/>
          <w:szCs w:val="24"/>
          <w:highlight w:val="none"/>
        </w:rPr>
        <w:t>4</w:t>
      </w:r>
      <w:r>
        <w:rPr>
          <w:b/>
          <w:bCs/>
          <w:color w:val="auto"/>
          <w:sz w:val="24"/>
          <w:szCs w:val="24"/>
          <w:highlight w:val="none"/>
        </w:rPr>
        <w:fldChar w:fldCharType="end"/>
      </w:r>
      <w:r>
        <w:rPr>
          <w:rFonts w:ascii="宋体" w:hAnsi="宋体"/>
          <w:b/>
          <w:bCs/>
          <w:color w:val="auto"/>
          <w:sz w:val="24"/>
          <w:szCs w:val="24"/>
          <w:highlight w:val="none"/>
        </w:rPr>
        <w:fldChar w:fldCharType="end"/>
      </w:r>
    </w:p>
    <w:p w14:paraId="2FD6E0A7">
      <w:pPr>
        <w:pStyle w:val="18"/>
        <w:widowControl w:val="0"/>
        <w:tabs>
          <w:tab w:val="right" w:leader="dot" w:pos="8402"/>
        </w:tabs>
        <w:wordWrap/>
        <w:adjustRightInd/>
        <w:snapToGrid/>
        <w:spacing w:line="360" w:lineRule="auto"/>
        <w:ind w:firstLine="482" w:firstLineChars="200"/>
        <w:textAlignment w:val="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_Toc22868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第二章　投标人须知</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_Toc22868 \h </w:instrText>
      </w:r>
      <w:r>
        <w:rPr>
          <w:b/>
          <w:bCs/>
          <w:color w:val="auto"/>
          <w:sz w:val="24"/>
          <w:szCs w:val="24"/>
          <w:highlight w:val="none"/>
        </w:rPr>
        <w:fldChar w:fldCharType="separate"/>
      </w:r>
      <w:r>
        <w:rPr>
          <w:b/>
          <w:bCs/>
          <w:color w:val="auto"/>
          <w:sz w:val="24"/>
          <w:szCs w:val="24"/>
          <w:highlight w:val="none"/>
        </w:rPr>
        <w:t>7</w:t>
      </w:r>
      <w:r>
        <w:rPr>
          <w:b/>
          <w:bCs/>
          <w:color w:val="auto"/>
          <w:sz w:val="24"/>
          <w:szCs w:val="24"/>
          <w:highlight w:val="none"/>
        </w:rPr>
        <w:fldChar w:fldCharType="end"/>
      </w:r>
      <w:r>
        <w:rPr>
          <w:rFonts w:ascii="宋体" w:hAnsi="宋体"/>
          <w:b/>
          <w:bCs/>
          <w:color w:val="auto"/>
          <w:sz w:val="24"/>
          <w:szCs w:val="24"/>
          <w:highlight w:val="none"/>
        </w:rPr>
        <w:fldChar w:fldCharType="end"/>
      </w:r>
    </w:p>
    <w:p w14:paraId="4922B955">
      <w:pPr>
        <w:pStyle w:val="18"/>
        <w:widowControl w:val="0"/>
        <w:tabs>
          <w:tab w:val="right" w:leader="dot" w:pos="8402"/>
        </w:tabs>
        <w:wordWrap/>
        <w:adjustRightInd/>
        <w:snapToGrid/>
        <w:spacing w:line="360" w:lineRule="auto"/>
        <w:ind w:firstLine="482" w:firstLineChars="200"/>
        <w:textAlignment w:val="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_Toc1455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第三章  评标方法及标准</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_Toc1455 \h </w:instrText>
      </w:r>
      <w:r>
        <w:rPr>
          <w:b/>
          <w:bCs/>
          <w:color w:val="auto"/>
          <w:sz w:val="24"/>
          <w:szCs w:val="24"/>
          <w:highlight w:val="none"/>
        </w:rPr>
        <w:fldChar w:fldCharType="separate"/>
      </w:r>
      <w:r>
        <w:rPr>
          <w:b/>
          <w:bCs/>
          <w:color w:val="auto"/>
          <w:sz w:val="24"/>
          <w:szCs w:val="24"/>
          <w:highlight w:val="none"/>
        </w:rPr>
        <w:t>28</w:t>
      </w:r>
      <w:r>
        <w:rPr>
          <w:b/>
          <w:bCs/>
          <w:color w:val="auto"/>
          <w:sz w:val="24"/>
          <w:szCs w:val="24"/>
          <w:highlight w:val="none"/>
        </w:rPr>
        <w:fldChar w:fldCharType="end"/>
      </w:r>
      <w:r>
        <w:rPr>
          <w:rFonts w:ascii="宋体" w:hAnsi="宋体"/>
          <w:b/>
          <w:bCs/>
          <w:color w:val="auto"/>
          <w:sz w:val="24"/>
          <w:szCs w:val="24"/>
          <w:highlight w:val="none"/>
        </w:rPr>
        <w:fldChar w:fldCharType="end"/>
      </w:r>
    </w:p>
    <w:p w14:paraId="1E880322">
      <w:pPr>
        <w:pStyle w:val="18"/>
        <w:widowControl w:val="0"/>
        <w:tabs>
          <w:tab w:val="right" w:leader="dot" w:pos="8402"/>
        </w:tabs>
        <w:wordWrap/>
        <w:adjustRightInd/>
        <w:snapToGrid/>
        <w:spacing w:line="360" w:lineRule="auto"/>
        <w:ind w:firstLine="482" w:firstLineChars="200"/>
        <w:textAlignment w:val="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_Toc20920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第四章  政府采购合同文本</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_Toc20920 \h </w:instrText>
      </w:r>
      <w:r>
        <w:rPr>
          <w:b/>
          <w:bCs/>
          <w:color w:val="auto"/>
          <w:sz w:val="24"/>
          <w:szCs w:val="24"/>
          <w:highlight w:val="none"/>
        </w:rPr>
        <w:fldChar w:fldCharType="separate"/>
      </w:r>
      <w:r>
        <w:rPr>
          <w:b/>
          <w:bCs/>
          <w:color w:val="auto"/>
          <w:sz w:val="24"/>
          <w:szCs w:val="24"/>
          <w:highlight w:val="none"/>
        </w:rPr>
        <w:t>35</w:t>
      </w:r>
      <w:r>
        <w:rPr>
          <w:b/>
          <w:bCs/>
          <w:color w:val="auto"/>
          <w:sz w:val="24"/>
          <w:szCs w:val="24"/>
          <w:highlight w:val="none"/>
        </w:rPr>
        <w:fldChar w:fldCharType="end"/>
      </w:r>
      <w:r>
        <w:rPr>
          <w:rFonts w:ascii="宋体" w:hAnsi="宋体"/>
          <w:b/>
          <w:bCs/>
          <w:color w:val="auto"/>
          <w:sz w:val="24"/>
          <w:szCs w:val="24"/>
          <w:highlight w:val="none"/>
        </w:rPr>
        <w:fldChar w:fldCharType="end"/>
      </w:r>
    </w:p>
    <w:p w14:paraId="32E5EC9D">
      <w:pPr>
        <w:pStyle w:val="18"/>
        <w:widowControl w:val="0"/>
        <w:tabs>
          <w:tab w:val="right" w:leader="dot" w:pos="8402"/>
        </w:tabs>
        <w:wordWrap/>
        <w:adjustRightInd/>
        <w:snapToGrid/>
        <w:spacing w:line="360" w:lineRule="auto"/>
        <w:ind w:firstLine="482" w:firstLineChars="200"/>
        <w:textAlignment w:val="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_Toc389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投标文件格式</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_Toc389 \h </w:instrText>
      </w:r>
      <w:r>
        <w:rPr>
          <w:b/>
          <w:bCs/>
          <w:color w:val="auto"/>
          <w:sz w:val="24"/>
          <w:szCs w:val="24"/>
          <w:highlight w:val="none"/>
        </w:rPr>
        <w:fldChar w:fldCharType="separate"/>
      </w:r>
      <w:r>
        <w:rPr>
          <w:b/>
          <w:bCs/>
          <w:color w:val="auto"/>
          <w:sz w:val="24"/>
          <w:szCs w:val="24"/>
          <w:highlight w:val="none"/>
        </w:rPr>
        <w:t>- 48 -</w:t>
      </w:r>
      <w:r>
        <w:rPr>
          <w:b/>
          <w:bCs/>
          <w:color w:val="auto"/>
          <w:sz w:val="24"/>
          <w:szCs w:val="24"/>
          <w:highlight w:val="none"/>
        </w:rPr>
        <w:fldChar w:fldCharType="end"/>
      </w:r>
      <w:r>
        <w:rPr>
          <w:rFonts w:ascii="宋体" w:hAnsi="宋体"/>
          <w:b/>
          <w:bCs/>
          <w:color w:val="auto"/>
          <w:sz w:val="24"/>
          <w:szCs w:val="24"/>
          <w:highlight w:val="none"/>
        </w:rPr>
        <w:fldChar w:fldCharType="end"/>
      </w:r>
    </w:p>
    <w:p w14:paraId="4ADF8723">
      <w:pPr>
        <w:pStyle w:val="18"/>
        <w:tabs>
          <w:tab w:val="right" w:leader="dot" w:pos="8402"/>
        </w:tabs>
        <w:spacing w:line="360" w:lineRule="auto"/>
        <w:rPr>
          <w:b/>
          <w:bCs/>
          <w:color w:val="auto"/>
          <w:sz w:val="24"/>
          <w:szCs w:val="24"/>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_Toc24789 </w:instrText>
      </w:r>
      <w:r>
        <w:rPr>
          <w:rFonts w:ascii="宋体" w:hAnsi="宋体"/>
          <w:b/>
          <w:bCs/>
          <w:color w:val="auto"/>
          <w:sz w:val="24"/>
          <w:szCs w:val="24"/>
          <w:highlight w:val="none"/>
        </w:rPr>
        <w:fldChar w:fldCharType="separate"/>
      </w:r>
      <w:r>
        <w:rPr>
          <w:rFonts w:hint="eastAsia"/>
          <w:b/>
          <w:bCs/>
          <w:color w:val="auto"/>
          <w:sz w:val="24"/>
          <w:szCs w:val="24"/>
          <w:highlight w:val="none"/>
          <w:lang w:eastAsia="zh-CN"/>
        </w:rPr>
        <w:t>第二部分</w:t>
      </w:r>
      <w:r>
        <w:rPr>
          <w:rFonts w:hint="eastAsia"/>
          <w:b/>
          <w:bCs/>
          <w:color w:val="auto"/>
          <w:sz w:val="24"/>
          <w:szCs w:val="24"/>
          <w:highlight w:val="none"/>
          <w:lang w:val="en-US" w:eastAsia="zh-CN"/>
        </w:rPr>
        <w:t xml:space="preserve">  技术部分</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_Toc24789 \h </w:instrText>
      </w:r>
      <w:r>
        <w:rPr>
          <w:b/>
          <w:bCs/>
          <w:color w:val="auto"/>
          <w:sz w:val="24"/>
          <w:szCs w:val="24"/>
          <w:highlight w:val="none"/>
        </w:rPr>
        <w:fldChar w:fldCharType="separate"/>
      </w:r>
      <w:r>
        <w:rPr>
          <w:b/>
          <w:bCs/>
          <w:color w:val="auto"/>
          <w:sz w:val="24"/>
          <w:szCs w:val="24"/>
          <w:highlight w:val="none"/>
        </w:rPr>
        <w:t>75</w:t>
      </w:r>
      <w:r>
        <w:rPr>
          <w:b/>
          <w:bCs/>
          <w:color w:val="auto"/>
          <w:sz w:val="24"/>
          <w:szCs w:val="24"/>
          <w:highlight w:val="none"/>
        </w:rPr>
        <w:fldChar w:fldCharType="end"/>
      </w:r>
      <w:r>
        <w:rPr>
          <w:rFonts w:ascii="宋体" w:hAnsi="宋体"/>
          <w:b/>
          <w:bCs/>
          <w:color w:val="auto"/>
          <w:sz w:val="24"/>
          <w:szCs w:val="24"/>
          <w:highlight w:val="none"/>
        </w:rPr>
        <w:fldChar w:fldCharType="end"/>
      </w:r>
    </w:p>
    <w:p w14:paraId="452D74DD">
      <w:pPr>
        <w:pStyle w:val="18"/>
        <w:widowControl w:val="0"/>
        <w:tabs>
          <w:tab w:val="right" w:leader="dot" w:pos="8402"/>
        </w:tabs>
        <w:wordWrap/>
        <w:adjustRightInd/>
        <w:snapToGrid/>
        <w:spacing w:line="360" w:lineRule="auto"/>
        <w:ind w:firstLine="482" w:firstLineChars="200"/>
        <w:textAlignment w:val="auto"/>
        <w:rPr>
          <w:color w:val="auto"/>
          <w:highlight w:val="none"/>
        </w:rPr>
      </w:pP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HYPERLINK \l _Toc14189 </w:instrText>
      </w:r>
      <w:r>
        <w:rPr>
          <w:rFonts w:ascii="宋体" w:hAnsi="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项目采购需求</w:t>
      </w:r>
      <w:r>
        <w:rPr>
          <w:b/>
          <w:bCs/>
          <w:color w:val="auto"/>
          <w:sz w:val="24"/>
          <w:szCs w:val="24"/>
          <w:highlight w:val="none"/>
        </w:rPr>
        <w:tab/>
      </w:r>
      <w:r>
        <w:rPr>
          <w:b/>
          <w:bCs/>
          <w:color w:val="auto"/>
          <w:sz w:val="24"/>
          <w:szCs w:val="24"/>
          <w:highlight w:val="none"/>
        </w:rPr>
        <w:fldChar w:fldCharType="begin"/>
      </w:r>
      <w:r>
        <w:rPr>
          <w:b/>
          <w:bCs/>
          <w:color w:val="auto"/>
          <w:sz w:val="24"/>
          <w:szCs w:val="24"/>
          <w:highlight w:val="none"/>
        </w:rPr>
        <w:instrText xml:space="preserve"> PAGEREF _Toc14189 \h </w:instrText>
      </w:r>
      <w:r>
        <w:rPr>
          <w:b/>
          <w:bCs/>
          <w:color w:val="auto"/>
          <w:sz w:val="24"/>
          <w:szCs w:val="24"/>
          <w:highlight w:val="none"/>
        </w:rPr>
        <w:fldChar w:fldCharType="separate"/>
      </w:r>
      <w:r>
        <w:rPr>
          <w:b/>
          <w:bCs/>
          <w:color w:val="auto"/>
          <w:sz w:val="24"/>
          <w:szCs w:val="24"/>
          <w:highlight w:val="none"/>
        </w:rPr>
        <w:t>76</w:t>
      </w:r>
      <w:r>
        <w:rPr>
          <w:b/>
          <w:bCs/>
          <w:color w:val="auto"/>
          <w:sz w:val="24"/>
          <w:szCs w:val="24"/>
          <w:highlight w:val="none"/>
        </w:rPr>
        <w:fldChar w:fldCharType="end"/>
      </w:r>
      <w:r>
        <w:rPr>
          <w:rFonts w:ascii="宋体" w:hAnsi="宋体"/>
          <w:b/>
          <w:bCs/>
          <w:color w:val="auto"/>
          <w:sz w:val="24"/>
          <w:szCs w:val="24"/>
          <w:highlight w:val="none"/>
        </w:rPr>
        <w:fldChar w:fldCharType="end"/>
      </w:r>
    </w:p>
    <w:p w14:paraId="6CBD8F74">
      <w:pPr>
        <w:outlineLvl w:val="9"/>
        <w:rPr>
          <w:rFonts w:hint="eastAsia" w:ascii="宋体" w:hAnsi="宋体" w:eastAsia="宋体" w:cs="宋体"/>
          <w:color w:val="auto"/>
          <w:highlight w:val="none"/>
        </w:rPr>
      </w:pPr>
      <w:r>
        <w:rPr>
          <w:rFonts w:ascii="宋体" w:hAnsi="宋体"/>
          <w:color w:val="auto"/>
          <w:szCs w:val="24"/>
          <w:highlight w:val="none"/>
        </w:rPr>
        <w:fldChar w:fldCharType="end"/>
      </w:r>
    </w:p>
    <w:p w14:paraId="2071EF46">
      <w:pPr>
        <w:outlineLvl w:val="9"/>
        <w:rPr>
          <w:rFonts w:hint="eastAsia" w:ascii="宋体" w:hAnsi="宋体" w:eastAsia="宋体" w:cs="宋体"/>
          <w:b/>
          <w:color w:val="auto"/>
          <w:sz w:val="44"/>
          <w:szCs w:val="44"/>
          <w:highlight w:val="none"/>
        </w:rPr>
      </w:pPr>
    </w:p>
    <w:p w14:paraId="11BDA43F">
      <w:pPr>
        <w:outlineLvl w:val="9"/>
        <w:rPr>
          <w:rFonts w:hint="eastAsia" w:ascii="宋体" w:hAnsi="宋体" w:eastAsia="宋体" w:cs="宋体"/>
          <w:color w:val="auto"/>
          <w:highlight w:val="none"/>
        </w:rPr>
      </w:pPr>
    </w:p>
    <w:p w14:paraId="34EFA8D8">
      <w:pPr>
        <w:keepLines/>
        <w:spacing w:before="340" w:after="330" w:line="576" w:lineRule="auto"/>
        <w:jc w:val="center"/>
        <w:outlineLvl w:val="9"/>
        <w:rPr>
          <w:rFonts w:hint="eastAsia" w:ascii="宋体" w:hAnsi="宋体" w:cs="宋体"/>
          <w:color w:val="auto"/>
          <w:kern w:val="44"/>
          <w:sz w:val="44"/>
          <w:szCs w:val="44"/>
          <w:highlight w:val="none"/>
          <w:lang w:eastAsia="zh-CN"/>
        </w:rPr>
        <w:sectPr>
          <w:footerReference r:id="rId8" w:type="first"/>
          <w:footerReference r:id="rId6" w:type="default"/>
          <w:headerReference r:id="rId5" w:type="even"/>
          <w:footerReference r:id="rId7" w:type="even"/>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45A49B50">
      <w:pPr>
        <w:keepLines/>
        <w:spacing w:before="340" w:after="330" w:line="576" w:lineRule="auto"/>
        <w:jc w:val="center"/>
        <w:outlineLvl w:val="9"/>
        <w:rPr>
          <w:rFonts w:hint="eastAsia" w:ascii="宋体" w:hAnsi="宋体" w:cs="宋体"/>
          <w:color w:val="auto"/>
          <w:kern w:val="44"/>
          <w:sz w:val="44"/>
          <w:szCs w:val="44"/>
          <w:highlight w:val="none"/>
          <w:lang w:eastAsia="zh-CN"/>
        </w:rPr>
      </w:pPr>
    </w:p>
    <w:p w14:paraId="6BF53451">
      <w:pPr>
        <w:keepLines/>
        <w:spacing w:before="340" w:after="330" w:line="576" w:lineRule="auto"/>
        <w:jc w:val="center"/>
        <w:outlineLvl w:val="9"/>
        <w:rPr>
          <w:rFonts w:hint="eastAsia" w:ascii="宋体" w:hAnsi="宋体" w:cs="宋体"/>
          <w:color w:val="auto"/>
          <w:kern w:val="44"/>
          <w:sz w:val="44"/>
          <w:szCs w:val="44"/>
          <w:highlight w:val="none"/>
          <w:lang w:eastAsia="zh-CN"/>
        </w:rPr>
      </w:pPr>
    </w:p>
    <w:p w14:paraId="01C4D63A">
      <w:pPr>
        <w:keepLines/>
        <w:spacing w:before="340" w:after="330" w:line="576" w:lineRule="auto"/>
        <w:jc w:val="center"/>
        <w:outlineLvl w:val="9"/>
        <w:rPr>
          <w:rFonts w:hint="eastAsia" w:ascii="宋体" w:hAnsi="宋体" w:cs="宋体"/>
          <w:color w:val="auto"/>
          <w:kern w:val="44"/>
          <w:sz w:val="44"/>
          <w:szCs w:val="44"/>
          <w:highlight w:val="none"/>
          <w:lang w:eastAsia="zh-CN"/>
        </w:rPr>
      </w:pPr>
    </w:p>
    <w:p w14:paraId="63C6FBBA">
      <w:pPr>
        <w:keepLines/>
        <w:spacing w:before="340" w:after="330" w:line="576" w:lineRule="auto"/>
        <w:jc w:val="center"/>
        <w:outlineLvl w:val="0"/>
        <w:rPr>
          <w:rFonts w:ascii="宋体" w:hAnsi="宋体" w:cs="宋体"/>
          <w:b/>
          <w:bCs/>
          <w:color w:val="auto"/>
          <w:kern w:val="44"/>
          <w:sz w:val="44"/>
          <w:szCs w:val="44"/>
          <w:highlight w:val="none"/>
          <w:lang w:val="en-US" w:eastAsia="zh-CN"/>
        </w:rPr>
      </w:pPr>
      <w:bookmarkStart w:id="0" w:name="_Toc6136"/>
      <w:r>
        <w:rPr>
          <w:rFonts w:hint="eastAsia" w:ascii="宋体" w:hAnsi="宋体" w:cs="宋体"/>
          <w:b/>
          <w:bCs/>
          <w:color w:val="auto"/>
          <w:kern w:val="44"/>
          <w:sz w:val="44"/>
          <w:szCs w:val="44"/>
          <w:highlight w:val="none"/>
          <w:lang w:eastAsia="zh-CN"/>
        </w:rPr>
        <w:t>第一部分</w:t>
      </w:r>
      <w:r>
        <w:rPr>
          <w:rFonts w:hint="eastAsia" w:ascii="宋体" w:hAnsi="宋体" w:cs="宋体"/>
          <w:b/>
          <w:bCs/>
          <w:color w:val="auto"/>
          <w:kern w:val="44"/>
          <w:sz w:val="44"/>
          <w:szCs w:val="44"/>
          <w:highlight w:val="none"/>
          <w:lang w:val="en-US" w:eastAsia="zh-CN"/>
        </w:rPr>
        <w:t xml:space="preserve">  商务部分</w:t>
      </w:r>
      <w:bookmarkEnd w:id="0"/>
    </w:p>
    <w:p w14:paraId="6032A792">
      <w:pPr>
        <w:outlineLvl w:val="9"/>
        <w:rPr>
          <w:rFonts w:hint="eastAsia" w:ascii="宋体" w:hAnsi="宋体" w:eastAsia="宋体" w:cs="宋体"/>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5B6FA80F">
      <w:pPr>
        <w:jc w:val="center"/>
        <w:outlineLvl w:val="0"/>
        <w:rPr>
          <w:rFonts w:hint="default" w:ascii="宋体" w:hAnsi="宋体" w:eastAsia="宋体" w:cs="宋体"/>
          <w:b/>
          <w:bCs/>
          <w:color w:val="auto"/>
          <w:sz w:val="28"/>
          <w:szCs w:val="28"/>
          <w:highlight w:val="none"/>
          <w:lang w:val="en-US" w:eastAsia="zh-CN"/>
        </w:rPr>
      </w:pPr>
      <w:bookmarkStart w:id="1" w:name="_Toc132880271"/>
      <w:bookmarkStart w:id="2" w:name="_Toc17498"/>
      <w:r>
        <w:rPr>
          <w:rFonts w:hint="eastAsia" w:ascii="宋体" w:hAnsi="宋体" w:eastAsia="宋体" w:cs="宋体"/>
          <w:b/>
          <w:bCs/>
          <w:color w:val="auto"/>
          <w:sz w:val="28"/>
          <w:szCs w:val="28"/>
          <w:highlight w:val="none"/>
        </w:rPr>
        <w:t xml:space="preserve">第一章  </w:t>
      </w:r>
      <w:bookmarkEnd w:id="1"/>
      <w:bookmarkStart w:id="3" w:name="OLE_LINK1"/>
      <w:bookmarkStart w:id="4" w:name="OLE_LINK2"/>
      <w:r>
        <w:rPr>
          <w:rFonts w:hint="eastAsia" w:ascii="宋体" w:hAnsi="宋体" w:eastAsia="宋体" w:cs="宋体"/>
          <w:b/>
          <w:bCs/>
          <w:color w:val="auto"/>
          <w:sz w:val="28"/>
          <w:szCs w:val="28"/>
          <w:highlight w:val="none"/>
          <w:lang w:val="en-US" w:eastAsia="zh-CN"/>
        </w:rPr>
        <w:t>招标公告</w:t>
      </w:r>
      <w:bookmarkEnd w:id="2"/>
    </w:p>
    <w:bookmarkEnd w:id="3"/>
    <w:bookmarkEnd w:id="4"/>
    <w:p w14:paraId="63E554BC">
      <w:pPr>
        <w:pBdr>
          <w:top w:val="single" w:color="auto" w:sz="4" w:space="1"/>
          <w:left w:val="single" w:color="auto" w:sz="4" w:space="4"/>
          <w:bottom w:val="single" w:color="auto" w:sz="4" w:space="1"/>
          <w:right w:val="single" w:color="auto" w:sz="4" w:space="4"/>
        </w:pBdr>
        <w:adjustRightInd w:val="0"/>
        <w:snapToGrid w:val="0"/>
        <w:spacing w:line="360" w:lineRule="auto"/>
        <w:outlineLvl w:val="9"/>
        <w:rPr>
          <w:rFonts w:hint="eastAsia" w:ascii="宋体" w:hAnsi="宋体" w:cs="宋体"/>
          <w:color w:val="auto"/>
          <w:szCs w:val="21"/>
          <w:highlight w:val="none"/>
        </w:rPr>
      </w:pPr>
      <w:r>
        <w:rPr>
          <w:rFonts w:hint="eastAsia" w:ascii="宋体" w:hAnsi="宋体" w:cs="宋体"/>
          <w:color w:val="auto"/>
          <w:szCs w:val="21"/>
          <w:highlight w:val="none"/>
        </w:rPr>
        <w:t>项目概况</w:t>
      </w:r>
    </w:p>
    <w:p w14:paraId="457023A6">
      <w:pPr>
        <w:pBdr>
          <w:top w:val="single" w:color="auto" w:sz="4" w:space="1"/>
          <w:left w:val="single" w:color="auto" w:sz="4" w:space="4"/>
          <w:bottom w:val="single" w:color="auto" w:sz="4" w:space="1"/>
          <w:right w:val="single" w:color="auto" w:sz="4" w:space="4"/>
        </w:pBdr>
        <w:spacing w:after="160" w:line="360" w:lineRule="auto"/>
        <w:ind w:firstLine="420" w:firstLineChars="200"/>
        <w:outlineLvl w:val="9"/>
        <w:rPr>
          <w:rFonts w:hint="eastAsia" w:ascii="宋体" w:hAnsi="宋体" w:cs="宋体"/>
          <w:color w:val="auto"/>
          <w:szCs w:val="21"/>
          <w:highlight w:val="none"/>
          <w:u w:val="single"/>
        </w:rPr>
      </w:pPr>
      <w:r>
        <w:rPr>
          <w:rFonts w:hint="eastAsia" w:ascii="宋体" w:hAnsi="宋体" w:cs="宋体"/>
          <w:color w:val="auto"/>
          <w:szCs w:val="21"/>
          <w:highlight w:val="none"/>
          <w:u w:val="single"/>
          <w:lang w:eastAsia="zh-CN"/>
        </w:rPr>
        <w:t>国家税务总局庄河市税务局非执法类辅助性服务采购项目</w:t>
      </w:r>
      <w:r>
        <w:rPr>
          <w:rFonts w:hint="eastAsia" w:ascii="宋体" w:hAnsi="宋体" w:cs="宋体"/>
          <w:color w:val="auto"/>
          <w:szCs w:val="21"/>
          <w:highlight w:val="none"/>
        </w:rPr>
        <w:t>的潜在投标人应在</w:t>
      </w:r>
      <w:r>
        <w:rPr>
          <w:rFonts w:hint="eastAsia" w:ascii="宋体" w:hAnsi="宋体" w:cs="宋体"/>
          <w:color w:val="auto"/>
          <w:szCs w:val="21"/>
          <w:highlight w:val="none"/>
          <w:u w:val="single"/>
        </w:rPr>
        <w:t>大连市公共资源交易平台</w:t>
      </w:r>
      <w:r>
        <w:rPr>
          <w:rFonts w:hint="eastAsia" w:ascii="宋体" w:hAnsi="宋体" w:cs="宋体"/>
          <w:color w:val="auto"/>
          <w:szCs w:val="21"/>
          <w:highlight w:val="none"/>
        </w:rPr>
        <w:t>获取招标文件，并于</w:t>
      </w:r>
      <w:r>
        <w:rPr>
          <w:rFonts w:hint="eastAsia" w:ascii="宋体" w:hAnsi="宋体" w:eastAsia="宋体"/>
          <w:b/>
          <w:bCs/>
          <w:color w:val="auto"/>
          <w:szCs w:val="21"/>
          <w:highlight w:val="none"/>
          <w:u w:val="single"/>
        </w:rPr>
        <w:t>202</w:t>
      </w:r>
      <w:r>
        <w:rPr>
          <w:rFonts w:hint="eastAsia" w:ascii="宋体" w:hAnsi="宋体"/>
          <w:b/>
          <w:bCs/>
          <w:color w:val="auto"/>
          <w:szCs w:val="21"/>
          <w:highlight w:val="none"/>
          <w:u w:val="single"/>
          <w:lang w:val="en-US" w:eastAsia="zh-CN"/>
        </w:rPr>
        <w:t>6</w:t>
      </w:r>
      <w:r>
        <w:rPr>
          <w:rFonts w:hint="eastAsia" w:ascii="宋体" w:hAnsi="宋体" w:eastAsia="宋体"/>
          <w:b/>
          <w:bCs/>
          <w:color w:val="auto"/>
          <w:szCs w:val="21"/>
          <w:highlight w:val="none"/>
          <w:u w:val="single"/>
        </w:rPr>
        <w:t>年</w:t>
      </w:r>
      <w:r>
        <w:rPr>
          <w:rFonts w:hint="eastAsia" w:ascii="宋体" w:hAnsi="宋体"/>
          <w:b/>
          <w:bCs/>
          <w:color w:val="auto"/>
          <w:szCs w:val="21"/>
          <w:highlight w:val="none"/>
          <w:u w:val="single"/>
          <w:lang w:val="en-US" w:eastAsia="zh-CN"/>
        </w:rPr>
        <w:t>7</w:t>
      </w:r>
      <w:r>
        <w:rPr>
          <w:rFonts w:hint="eastAsia" w:ascii="宋体" w:hAnsi="宋体" w:eastAsia="宋体"/>
          <w:b/>
          <w:bCs/>
          <w:color w:val="auto"/>
          <w:szCs w:val="21"/>
          <w:highlight w:val="none"/>
          <w:u w:val="single"/>
        </w:rPr>
        <w:t>月</w:t>
      </w:r>
      <w:r>
        <w:rPr>
          <w:rFonts w:hint="eastAsia" w:ascii="宋体" w:hAnsi="宋体"/>
          <w:b/>
          <w:bCs/>
          <w:color w:val="auto"/>
          <w:szCs w:val="21"/>
          <w:highlight w:val="none"/>
          <w:u w:val="single"/>
          <w:lang w:val="en-US" w:eastAsia="zh-CN"/>
        </w:rPr>
        <w:t>8</w:t>
      </w:r>
      <w:r>
        <w:rPr>
          <w:rFonts w:hint="eastAsia" w:ascii="宋体" w:hAnsi="宋体" w:eastAsia="宋体"/>
          <w:b/>
          <w:bCs/>
          <w:color w:val="auto"/>
          <w:szCs w:val="21"/>
          <w:highlight w:val="none"/>
          <w:u w:val="single"/>
        </w:rPr>
        <w:t>日</w:t>
      </w:r>
      <w:r>
        <w:rPr>
          <w:rFonts w:hint="eastAsia" w:ascii="宋体" w:hAnsi="宋体"/>
          <w:b/>
          <w:bCs/>
          <w:color w:val="auto"/>
          <w:szCs w:val="21"/>
          <w:highlight w:val="none"/>
          <w:u w:val="single"/>
          <w:lang w:val="en-US" w:eastAsia="zh-CN"/>
        </w:rPr>
        <w:t>09</w:t>
      </w:r>
      <w:r>
        <w:rPr>
          <w:rFonts w:hint="eastAsia" w:ascii="宋体" w:hAnsi="宋体" w:eastAsia="宋体"/>
          <w:b/>
          <w:bCs/>
          <w:color w:val="auto"/>
          <w:szCs w:val="21"/>
          <w:highlight w:val="none"/>
          <w:u w:val="single"/>
        </w:rPr>
        <w:t>点</w:t>
      </w:r>
      <w:r>
        <w:rPr>
          <w:rFonts w:hint="eastAsia" w:ascii="宋体" w:hAnsi="宋体"/>
          <w:b/>
          <w:bCs/>
          <w:color w:val="auto"/>
          <w:szCs w:val="21"/>
          <w:highlight w:val="none"/>
          <w:u w:val="single"/>
          <w:lang w:val="en-US" w:eastAsia="zh-CN"/>
        </w:rPr>
        <w:t>00</w:t>
      </w:r>
      <w:r>
        <w:rPr>
          <w:rFonts w:hint="eastAsia" w:ascii="宋体" w:hAnsi="宋体" w:eastAsia="宋体"/>
          <w:b/>
          <w:bCs/>
          <w:color w:val="auto"/>
          <w:szCs w:val="21"/>
          <w:highlight w:val="none"/>
          <w:u w:val="single"/>
        </w:rPr>
        <w:t>分</w:t>
      </w:r>
      <w:r>
        <w:rPr>
          <w:rFonts w:hint="eastAsia" w:ascii="宋体" w:hAnsi="宋体" w:cs="宋体"/>
          <w:color w:val="auto"/>
          <w:szCs w:val="21"/>
          <w:highlight w:val="none"/>
        </w:rPr>
        <w:t>（北京时间）前递交投标文件。</w:t>
      </w:r>
    </w:p>
    <w:p w14:paraId="02D819FC">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一、项目基本情况</w:t>
      </w:r>
    </w:p>
    <w:p w14:paraId="6490A67C">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u w:val="single"/>
          <w:lang w:val="en-US" w:eastAsia="zh-CN"/>
        </w:rPr>
        <w:t>DLZFCG2026194</w:t>
      </w:r>
    </w:p>
    <w:p w14:paraId="564848A6">
      <w:pPr>
        <w:widowControl/>
        <w:spacing w:line="360" w:lineRule="auto"/>
        <w:ind w:firstLine="420" w:firstLineChars="200"/>
        <w:jc w:val="left"/>
        <w:outlineLvl w:val="9"/>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lang w:eastAsia="zh-CN"/>
        </w:rPr>
        <w:t>国家税务总局庄河市税务局非执法类辅助性服务采购项目</w:t>
      </w:r>
    </w:p>
    <w:p w14:paraId="296F4BAD">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kern w:val="0"/>
          <w:szCs w:val="21"/>
          <w:highlight w:val="none"/>
        </w:rPr>
        <w:t>127.26</w:t>
      </w:r>
      <w:r>
        <w:rPr>
          <w:rFonts w:hint="eastAsia" w:ascii="宋体" w:hAnsi="宋体" w:cs="宋体"/>
          <w:color w:val="auto"/>
          <w:szCs w:val="21"/>
          <w:highlight w:val="none"/>
          <w:lang w:eastAsia="zh-CN"/>
        </w:rPr>
        <w:t>万元</w:t>
      </w:r>
      <w:r>
        <w:rPr>
          <w:rFonts w:hint="eastAsia" w:ascii="宋体" w:hAnsi="宋体" w:cs="宋体"/>
          <w:color w:val="auto"/>
          <w:szCs w:val="21"/>
          <w:highlight w:val="none"/>
        </w:rPr>
        <w:t>。</w:t>
      </w:r>
    </w:p>
    <w:p w14:paraId="7AE907BF">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最高限价：</w:t>
      </w:r>
      <w:r>
        <w:rPr>
          <w:rFonts w:hint="eastAsia" w:ascii="宋体" w:hAnsi="宋体" w:cs="宋体"/>
          <w:color w:val="auto"/>
          <w:kern w:val="0"/>
          <w:szCs w:val="21"/>
          <w:highlight w:val="none"/>
        </w:rPr>
        <w:t>127.26</w:t>
      </w:r>
      <w:r>
        <w:rPr>
          <w:rFonts w:hint="eastAsia" w:ascii="宋体" w:hAnsi="宋体" w:cs="宋体"/>
          <w:color w:val="auto"/>
          <w:szCs w:val="21"/>
          <w:highlight w:val="none"/>
          <w:lang w:eastAsia="zh-CN"/>
        </w:rPr>
        <w:t>万元</w:t>
      </w:r>
      <w:r>
        <w:rPr>
          <w:rFonts w:hint="eastAsia" w:ascii="宋体" w:hAnsi="宋体" w:cs="宋体"/>
          <w:color w:val="auto"/>
          <w:szCs w:val="21"/>
          <w:highlight w:val="none"/>
        </w:rPr>
        <w:t>（投标报价超过最高限价的，按无效投标处理）。</w:t>
      </w:r>
    </w:p>
    <w:p w14:paraId="39A2A1EC">
      <w:pPr>
        <w:widowControl/>
        <w:spacing w:line="360" w:lineRule="auto"/>
        <w:ind w:firstLine="420" w:firstLineChars="200"/>
        <w:jc w:val="left"/>
        <w:outlineLvl w:val="9"/>
        <w:rPr>
          <w:rFonts w:hint="eastAsia" w:ascii="宋体" w:hAnsi="宋体" w:cs="宋体"/>
          <w:color w:val="auto"/>
          <w:szCs w:val="21"/>
          <w:highlight w:val="none"/>
          <w:lang w:eastAsia="zh-CN"/>
        </w:rPr>
      </w:pPr>
      <w:r>
        <w:rPr>
          <w:rFonts w:hint="eastAsia" w:ascii="宋体" w:hAnsi="宋体" w:cs="宋体"/>
          <w:color w:val="auto"/>
          <w:szCs w:val="21"/>
          <w:highlight w:val="none"/>
        </w:rPr>
        <w:t>采购需求：国家税务总局庄河市税务局非执法类辅助性纳税服务</w:t>
      </w:r>
      <w:r>
        <w:rPr>
          <w:rFonts w:hint="eastAsia" w:ascii="宋体" w:hAnsi="宋体" w:cs="宋体"/>
          <w:color w:val="auto"/>
          <w:szCs w:val="21"/>
          <w:highlight w:val="none"/>
          <w:lang w:eastAsia="zh-CN"/>
        </w:rPr>
        <w:t>。</w:t>
      </w:r>
    </w:p>
    <w:p w14:paraId="50B1DCCE">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合同履行期限：政府采购合同约定生效之日起一年。</w:t>
      </w:r>
    </w:p>
    <w:p w14:paraId="63821737">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本项目不接受联合体投标。</w:t>
      </w:r>
    </w:p>
    <w:p w14:paraId="42967BB4">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二、申请人的资格要求</w:t>
      </w:r>
    </w:p>
    <w:p w14:paraId="627A9D1A">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一</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szCs w:val="21"/>
          <w:highlight w:val="none"/>
          <w:lang w:eastAsia="zh-CN"/>
        </w:rPr>
        <w:t>：</w:t>
      </w:r>
    </w:p>
    <w:p w14:paraId="6316B3DF">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落实政府采购政策需满足的资格要求：本项目</w:t>
      </w:r>
      <w:r>
        <w:rPr>
          <w:rFonts w:hint="eastAsia" w:ascii="宋体" w:hAnsi="宋体" w:cs="宋体"/>
          <w:color w:val="auto"/>
          <w:szCs w:val="21"/>
          <w:highlight w:val="none"/>
        </w:rPr>
        <w:t>为专门面向</w:t>
      </w:r>
      <w:r>
        <w:rPr>
          <w:rFonts w:hint="eastAsia" w:ascii="宋体" w:hAnsi="宋体" w:cs="宋体"/>
          <w:color w:val="auto"/>
          <w:szCs w:val="21"/>
          <w:highlight w:val="none"/>
          <w:lang w:eastAsia="zh-CN"/>
        </w:rPr>
        <w:t>中小</w:t>
      </w:r>
      <w:r>
        <w:rPr>
          <w:rFonts w:hint="eastAsia" w:ascii="宋体" w:hAnsi="宋体" w:cs="宋体"/>
          <w:color w:val="auto"/>
          <w:szCs w:val="21"/>
          <w:highlight w:val="none"/>
        </w:rPr>
        <w:t>企业采购的项目，监狱企业、残疾人企业视同小微企业，享受促进中小企业发展政策优惠。</w:t>
      </w:r>
    </w:p>
    <w:p w14:paraId="3979D912">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本项目的特定资格要求：无。</w:t>
      </w:r>
    </w:p>
    <w:p w14:paraId="70BB2450">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注：本项目不接受联合体投标，不接受分包。</w:t>
      </w:r>
    </w:p>
    <w:p w14:paraId="178B900D">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截至开标当日评审之前，经“信用中国”网站（www.creditchina.gov.cn）、“中国政府采购网”网站（www.ccgp.gov.cn）查询，被列入失信被执行人、重大税收违法案件当事人名单、政府采购严重违法失信行为记录名单的不得参加本采购项目。</w:t>
      </w:r>
    </w:p>
    <w:p w14:paraId="5FC0DCBB">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三、获取招标文件</w:t>
      </w:r>
    </w:p>
    <w:p w14:paraId="69825C01">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eastAsia="宋体" w:cs="宋体"/>
          <w:b w:val="0"/>
          <w:bCs w:val="0"/>
          <w:color w:val="auto"/>
          <w:szCs w:val="21"/>
          <w:highlight w:val="none"/>
          <w:u w:val="single"/>
        </w:rPr>
        <w:t>202</w:t>
      </w:r>
      <w:r>
        <w:rPr>
          <w:rFonts w:hint="eastAsia" w:ascii="宋体" w:hAnsi="宋体" w:cs="宋体"/>
          <w:b w:val="0"/>
          <w:bCs w:val="0"/>
          <w:color w:val="auto"/>
          <w:szCs w:val="21"/>
          <w:highlight w:val="none"/>
          <w:u w:val="single"/>
          <w:lang w:val="en-US" w:eastAsia="zh-CN"/>
        </w:rPr>
        <w:t>6</w:t>
      </w:r>
      <w:r>
        <w:rPr>
          <w:rFonts w:hint="eastAsia" w:ascii="宋体" w:hAnsi="宋体" w:eastAsia="宋体" w:cs="宋体"/>
          <w:b w:val="0"/>
          <w:bCs w:val="0"/>
          <w:color w:val="auto"/>
          <w:szCs w:val="21"/>
          <w:highlight w:val="none"/>
          <w:u w:val="none"/>
        </w:rPr>
        <w:t>年</w:t>
      </w:r>
      <w:r>
        <w:rPr>
          <w:rFonts w:hint="eastAsia" w:ascii="宋体" w:hAnsi="宋体"/>
          <w:b w:val="0"/>
          <w:bCs w:val="0"/>
          <w:color w:val="auto"/>
          <w:szCs w:val="21"/>
          <w:highlight w:val="none"/>
          <w:u w:val="single"/>
          <w:lang w:val="en-US" w:eastAsia="zh-CN"/>
        </w:rPr>
        <w:t>06</w:t>
      </w:r>
      <w:r>
        <w:rPr>
          <w:rFonts w:hint="eastAsia" w:ascii="宋体" w:hAnsi="宋体" w:eastAsia="宋体"/>
          <w:b w:val="0"/>
          <w:bCs w:val="0"/>
          <w:color w:val="auto"/>
          <w:szCs w:val="21"/>
          <w:highlight w:val="none"/>
          <w:u w:val="single"/>
        </w:rPr>
        <w:t>月</w:t>
      </w:r>
      <w:r>
        <w:rPr>
          <w:rFonts w:hint="eastAsia" w:ascii="宋体" w:hAnsi="宋体"/>
          <w:b w:val="0"/>
          <w:bCs w:val="0"/>
          <w:color w:val="auto"/>
          <w:szCs w:val="21"/>
          <w:highlight w:val="none"/>
          <w:u w:val="single"/>
          <w:lang w:val="en-US" w:eastAsia="zh-CN"/>
        </w:rPr>
        <w:t>16</w:t>
      </w:r>
      <w:r>
        <w:rPr>
          <w:rFonts w:hint="eastAsia" w:ascii="宋体" w:hAnsi="宋体" w:eastAsia="宋体" w:cs="宋体"/>
          <w:b w:val="0"/>
          <w:bCs w:val="0"/>
          <w:color w:val="auto"/>
          <w:szCs w:val="21"/>
          <w:highlight w:val="none"/>
          <w:u w:val="none"/>
        </w:rPr>
        <w:t>日至</w:t>
      </w:r>
      <w:r>
        <w:rPr>
          <w:rFonts w:hint="eastAsia" w:ascii="宋体" w:hAnsi="宋体" w:eastAsia="宋体" w:cs="宋体"/>
          <w:b w:val="0"/>
          <w:bCs w:val="0"/>
          <w:color w:val="auto"/>
          <w:szCs w:val="21"/>
          <w:highlight w:val="none"/>
          <w:u w:val="single"/>
        </w:rPr>
        <w:t>202</w:t>
      </w:r>
      <w:r>
        <w:rPr>
          <w:rFonts w:hint="eastAsia" w:ascii="宋体" w:hAnsi="宋体" w:cs="宋体"/>
          <w:b w:val="0"/>
          <w:bCs w:val="0"/>
          <w:color w:val="auto"/>
          <w:szCs w:val="21"/>
          <w:highlight w:val="none"/>
          <w:u w:val="single"/>
          <w:lang w:val="en-US" w:eastAsia="zh-CN"/>
        </w:rPr>
        <w:t>6</w:t>
      </w:r>
      <w:r>
        <w:rPr>
          <w:rFonts w:hint="eastAsia" w:ascii="宋体" w:hAnsi="宋体" w:eastAsia="宋体" w:cs="宋体"/>
          <w:b w:val="0"/>
          <w:bCs w:val="0"/>
          <w:color w:val="auto"/>
          <w:szCs w:val="21"/>
          <w:highlight w:val="none"/>
          <w:u w:val="none"/>
        </w:rPr>
        <w:t>年</w:t>
      </w:r>
      <w:r>
        <w:rPr>
          <w:rFonts w:hint="eastAsia" w:ascii="宋体" w:hAnsi="宋体"/>
          <w:b w:val="0"/>
          <w:bCs w:val="0"/>
          <w:color w:val="auto"/>
          <w:szCs w:val="21"/>
          <w:highlight w:val="none"/>
          <w:u w:val="single"/>
          <w:lang w:val="en-US" w:eastAsia="zh-CN"/>
        </w:rPr>
        <w:t>06</w:t>
      </w:r>
      <w:r>
        <w:rPr>
          <w:rFonts w:hint="eastAsia" w:ascii="宋体" w:hAnsi="宋体" w:eastAsia="宋体"/>
          <w:b w:val="0"/>
          <w:bCs w:val="0"/>
          <w:color w:val="auto"/>
          <w:szCs w:val="21"/>
          <w:highlight w:val="none"/>
          <w:u w:val="single"/>
        </w:rPr>
        <w:t>月</w:t>
      </w:r>
      <w:r>
        <w:rPr>
          <w:rFonts w:hint="eastAsia" w:ascii="宋体" w:hAnsi="宋体"/>
          <w:b w:val="0"/>
          <w:bCs w:val="0"/>
          <w:color w:val="auto"/>
          <w:szCs w:val="21"/>
          <w:highlight w:val="none"/>
          <w:u w:val="single"/>
          <w:lang w:val="en-US" w:eastAsia="zh-CN"/>
        </w:rPr>
        <w:t>24</w:t>
      </w:r>
      <w:r>
        <w:rPr>
          <w:rFonts w:hint="eastAsia" w:ascii="宋体" w:hAnsi="宋体" w:eastAsia="宋体" w:cs="宋体"/>
          <w:b w:val="0"/>
          <w:bCs w:val="0"/>
          <w:color w:val="auto"/>
          <w:szCs w:val="21"/>
          <w:highlight w:val="none"/>
          <w:u w:val="none"/>
        </w:rPr>
        <w:t>日每天8:00-2</w:t>
      </w:r>
      <w:r>
        <w:rPr>
          <w:rFonts w:hint="eastAsia" w:ascii="宋体" w:hAnsi="宋体" w:cs="宋体"/>
          <w:b w:val="0"/>
          <w:bCs w:val="0"/>
          <w:color w:val="auto"/>
          <w:szCs w:val="21"/>
          <w:highlight w:val="none"/>
          <w:u w:val="none"/>
          <w:lang w:val="en-US" w:eastAsia="zh-CN"/>
        </w:rPr>
        <w:t>1</w:t>
      </w:r>
      <w:r>
        <w:rPr>
          <w:rFonts w:hint="eastAsia" w:ascii="宋体" w:hAnsi="宋体" w:eastAsia="宋体" w:cs="宋体"/>
          <w:b w:val="0"/>
          <w:bCs w:val="0"/>
          <w:color w:val="auto"/>
          <w:szCs w:val="21"/>
          <w:highlight w:val="none"/>
          <w:u w:val="none"/>
        </w:rPr>
        <w:t>:00</w:t>
      </w:r>
      <w:r>
        <w:rPr>
          <w:rFonts w:hint="eastAsia" w:ascii="宋体" w:hAnsi="宋体" w:eastAsia="宋体" w:cs="宋体"/>
          <w:color w:val="auto"/>
          <w:szCs w:val="21"/>
          <w:highlight w:val="none"/>
        </w:rPr>
        <w:t>（北京时间，法定节假日除外）</w:t>
      </w:r>
    </w:p>
    <w:p w14:paraId="58560B54">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地点：</w:t>
      </w:r>
      <w:r>
        <w:rPr>
          <w:rFonts w:hint="eastAsia" w:ascii="宋体" w:hAnsi="宋体"/>
          <w:color w:val="auto"/>
          <w:kern w:val="0"/>
          <w:szCs w:val="21"/>
          <w:highlight w:val="none"/>
        </w:rPr>
        <w:t>登录大连市公共资源交易平台http://ggzyjy.dl.gov.cn/，线上获取。</w:t>
      </w:r>
    </w:p>
    <w:p w14:paraId="7B37A70F">
      <w:pPr>
        <w:wordWrap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w:t>
      </w:r>
    </w:p>
    <w:p w14:paraId="7DAB0675">
      <w:pPr>
        <w:wordWrap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（1）有意投标的供应商（投标单位）必须在大连市公共资源交易平台进行会员注册</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官网</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https://ggzyjy.dl.gov.cn</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（2）供应商入库流程：</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rPr>
        <w:t>https://ggzyjy.dl.gov.cn/zlxz/20250220/8218a22c-b698-47d2-8049-412f02aa2083.html</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（3）供应商（投标单位）通过市公共资源交易平台进行主体登录进行网上报名，具体操作手册详见</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"https://ggzyjy.dl.gov.cn/zlxz/20250220/6065790f-9d83-46ae-9610-7f80c5c34ed8.html" </w:instrText>
      </w:r>
      <w:r>
        <w:rPr>
          <w:rFonts w:hint="eastAsia" w:ascii="宋体" w:hAnsi="宋体" w:eastAsia="宋体" w:cs="宋体"/>
          <w:color w:val="auto"/>
          <w:highlight w:val="none"/>
        </w:rPr>
        <w:fldChar w:fldCharType="separate"/>
      </w:r>
      <w:r>
        <w:rPr>
          <w:rStyle w:val="26"/>
          <w:rFonts w:hint="eastAsia" w:ascii="宋体" w:hAnsi="宋体" w:eastAsia="宋体" w:cs="宋体"/>
          <w:color w:val="auto"/>
          <w:szCs w:val="21"/>
          <w:highlight w:val="none"/>
        </w:rPr>
        <w:t>https://ggzyjy.dl.gov.cn/zlxz/20250220/6065790f-9d83-46ae-9610-7f80c5c34ed8.html</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0181FCB9">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eastAsia="宋体" w:cs="宋体"/>
          <w:color w:val="auto"/>
          <w:szCs w:val="21"/>
          <w:highlight w:val="none"/>
        </w:rPr>
        <w:t>（4）通过大连市公共资源交易平台自行下载新点软件版招标文件。</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请于报名时间截止前下载新点软件版招标文件并保存，逾期未下载，将无法在线递交投标文件。</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（5）电子标的项目供应商（投标单位）需要办理CA锁，使用投标工具制作投标文件，并在投标文件中使用CA签章。</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（6）CA锁办理流程：</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rPr>
        <w:t>https://ggzyjy.dl.gov.cn/zlxz/20250307/55088572-94f8-4f86-980e-f4b00e78a299.html</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（7）平台操作手册：</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"https://ggzyjy.dl.gov.cn/zlxz/20250220/6065790f-9d83-46ae-9610-7f80c5c34ed8.html</w:instrTex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rPr>
        <w:instrText xml:space="preserve">" </w:instrText>
      </w:r>
      <w:r>
        <w:rPr>
          <w:rFonts w:hint="eastAsia" w:ascii="宋体" w:hAnsi="宋体" w:eastAsia="宋体" w:cs="宋体"/>
          <w:color w:val="auto"/>
          <w:szCs w:val="21"/>
          <w:highlight w:val="none"/>
        </w:rPr>
        <w:fldChar w:fldCharType="separate"/>
      </w:r>
      <w:r>
        <w:rPr>
          <w:rStyle w:val="26"/>
          <w:rFonts w:hint="eastAsia" w:ascii="宋体" w:hAnsi="宋体" w:eastAsia="宋体" w:cs="宋体"/>
          <w:color w:val="auto"/>
          <w:szCs w:val="21"/>
          <w:highlight w:val="none"/>
        </w:rPr>
        <w:t>https://ggzyjy.dl.gov.cn/zlxz/20250220/6065790f-9d83-46ae-9610-7f80c5c34ed8.html</w:t>
      </w:r>
      <w:r>
        <w:rPr>
          <w:rStyle w:val="26"/>
          <w:rFonts w:hint="eastAsia" w:ascii="宋体" w:hAnsi="宋体" w:eastAsia="宋体" w:cs="宋体"/>
          <w:color w:val="auto"/>
          <w:szCs w:val="21"/>
          <w:highlight w:val="none"/>
        </w:rPr>
        <w:cr/>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（8）招投标工具下载：https://ggzyjy.dl.gov.cn/zlxz/20250220/cddd26b2-a6e7-4c4d-ba68-07d69796e942.html</w:t>
      </w:r>
    </w:p>
    <w:p w14:paraId="3CEEFC42">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售价：免费。</w:t>
      </w:r>
    </w:p>
    <w:p w14:paraId="32B736D4">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四、提交投标文件截止时间、开标时间和地点</w:t>
      </w:r>
    </w:p>
    <w:p w14:paraId="55855A47">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时间：</w:t>
      </w:r>
      <w:bookmarkStart w:id="5" w:name="OLE_LINK127"/>
      <w:bookmarkStart w:id="6" w:name="OLE_LINK126"/>
      <w:r>
        <w:rPr>
          <w:rFonts w:hint="eastAsia" w:ascii="宋体" w:hAnsi="宋体" w:eastAsia="宋体"/>
          <w:b w:val="0"/>
          <w:bCs w:val="0"/>
          <w:color w:val="auto"/>
          <w:szCs w:val="21"/>
          <w:highlight w:val="none"/>
          <w:u w:val="single"/>
        </w:rPr>
        <w:t>202</w:t>
      </w:r>
      <w:r>
        <w:rPr>
          <w:rFonts w:hint="eastAsia" w:ascii="宋体" w:hAnsi="宋体"/>
          <w:b w:val="0"/>
          <w:bCs w:val="0"/>
          <w:color w:val="auto"/>
          <w:szCs w:val="21"/>
          <w:highlight w:val="none"/>
          <w:u w:val="single"/>
          <w:lang w:val="en-US" w:eastAsia="zh-CN"/>
        </w:rPr>
        <w:t>6</w:t>
      </w:r>
      <w:r>
        <w:rPr>
          <w:rFonts w:hint="eastAsia" w:ascii="宋体" w:hAnsi="宋体" w:eastAsia="宋体"/>
          <w:b w:val="0"/>
          <w:bCs w:val="0"/>
          <w:color w:val="auto"/>
          <w:szCs w:val="21"/>
          <w:highlight w:val="none"/>
          <w:u w:val="single"/>
        </w:rPr>
        <w:t>年</w:t>
      </w:r>
      <w:r>
        <w:rPr>
          <w:rFonts w:hint="eastAsia" w:ascii="宋体" w:hAnsi="宋体" w:eastAsia="宋体"/>
          <w:b w:val="0"/>
          <w:bCs w:val="0"/>
          <w:color w:val="auto"/>
          <w:szCs w:val="21"/>
          <w:highlight w:val="none"/>
          <w:u w:val="single"/>
          <w:lang w:val="en-US" w:eastAsia="zh-CN"/>
        </w:rPr>
        <w:t>7</w:t>
      </w:r>
      <w:r>
        <w:rPr>
          <w:rFonts w:hint="eastAsia" w:ascii="宋体" w:hAnsi="宋体" w:eastAsia="宋体"/>
          <w:b w:val="0"/>
          <w:bCs w:val="0"/>
          <w:color w:val="auto"/>
          <w:szCs w:val="21"/>
          <w:highlight w:val="none"/>
          <w:u w:val="single"/>
        </w:rPr>
        <w:t>月</w:t>
      </w:r>
      <w:r>
        <w:rPr>
          <w:rFonts w:hint="eastAsia" w:ascii="宋体" w:hAnsi="宋体" w:eastAsia="宋体"/>
          <w:b w:val="0"/>
          <w:bCs w:val="0"/>
          <w:color w:val="auto"/>
          <w:szCs w:val="21"/>
          <w:highlight w:val="none"/>
          <w:u w:val="single"/>
          <w:lang w:val="en-US" w:eastAsia="zh-CN"/>
        </w:rPr>
        <w:t>8</w:t>
      </w:r>
      <w:r>
        <w:rPr>
          <w:rFonts w:hint="eastAsia" w:ascii="宋体" w:hAnsi="宋体" w:eastAsia="宋体"/>
          <w:b w:val="0"/>
          <w:bCs w:val="0"/>
          <w:color w:val="auto"/>
          <w:szCs w:val="21"/>
          <w:highlight w:val="none"/>
          <w:u w:val="single"/>
        </w:rPr>
        <w:t>日</w:t>
      </w:r>
      <w:r>
        <w:rPr>
          <w:rFonts w:hint="eastAsia" w:ascii="宋体" w:hAnsi="宋体" w:eastAsia="宋体"/>
          <w:color w:val="auto"/>
          <w:szCs w:val="21"/>
          <w:highlight w:val="none"/>
          <w:u w:val="single"/>
        </w:rPr>
        <w:t>09点00分</w:t>
      </w:r>
      <w:bookmarkEnd w:id="5"/>
      <w:bookmarkEnd w:id="6"/>
      <w:r>
        <w:rPr>
          <w:rFonts w:hint="eastAsia" w:ascii="宋体" w:hAnsi="宋体" w:cs="宋体"/>
          <w:color w:val="auto"/>
          <w:szCs w:val="21"/>
          <w:highlight w:val="none"/>
        </w:rPr>
        <w:t>（北京时间）</w:t>
      </w:r>
    </w:p>
    <w:p w14:paraId="7DB24488">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地点：将投标文件加密版上传至大连公共资源交易平台。本项目采用不见面方式开标进行，各投标人应在本项目开标时间到达前准时使用CA锁登录线上不见面开标系统（网址：https://ggzyjy.dl.gov.cn/BidOpening/bidhall/default/login），在开标时间到达后准时进入本项目，进行线上开标签到解密，参与本项目线上开标及进行投标文件在线解密等开标流程。</w:t>
      </w:r>
    </w:p>
    <w:p w14:paraId="3FCF938C">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五、公告期限</w:t>
      </w:r>
    </w:p>
    <w:p w14:paraId="2B73AB1B">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21F92D24">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六、其他补充事宜</w:t>
      </w:r>
    </w:p>
    <w:p w14:paraId="727157D6">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eastAsia="宋体" w:cs="宋体"/>
          <w:color w:val="auto"/>
          <w:szCs w:val="21"/>
          <w:highlight w:val="none"/>
        </w:rPr>
        <w:t>1.本项目为远程线上不见面开标，具体业务流程及操作手册请于https://ggzyjy.dl.gov.cn/zlxz/20250220/6065790f-9d83-46ae-9610-7f80c5c34ed8.html处自行下载查询学习，并提前按照要求调整好浏览器等相关设置，避免无法在指定时间进入本项目不见面开标大厅参加项目开标、签到及投标文件解密操作，若因投标人自身原因无法在规定时间内（30分钟）进行解密，将无法参与项目评审，投标人自行承担相关后果。解密后等待唱标，唱标结束后3分钟内确认开标结果，未提出异议视为认同开标结果。</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2.各投标人应在本项目开标时间前准时登录线上不见面开标系统（网址：https://ggzyjy.dl.gov.cn/BidOpening/bidhall/default/login）进入本项目，开标时间到达之后进行线上签到，参与本项目线上开标及进行投标文件在线解密等开标流程。</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3.因本项目为远程开标，各投标人须在投标文件内，明确本项目的项目联系人及联系电话（建议包含手机及座机号码），并注意电话来电，以便重要事宜的通知。若因联系电话错误、关机、无法接通等无法联系到投标人，投标人自行承担相应后果。</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4.如本项目不见面方式有任何后续通知，请投标人随时关注公告信息。</w:t>
      </w:r>
      <w:r>
        <w:rPr>
          <w:rFonts w:hint="eastAsia" w:ascii="宋体" w:hAnsi="宋体" w:eastAsia="宋体" w:cs="宋体"/>
          <w:color w:val="auto"/>
          <w:szCs w:val="21"/>
          <w:highlight w:val="none"/>
        </w:rPr>
        <w:cr/>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5.以上业务技术支持，请联系国泰新点公司客服：0512-58188091</w:t>
      </w:r>
      <w:r>
        <w:rPr>
          <w:rFonts w:hint="eastAsia" w:ascii="宋体" w:hAnsi="宋体" w:cs="宋体"/>
          <w:color w:val="auto"/>
          <w:szCs w:val="21"/>
          <w:highlight w:val="none"/>
        </w:rPr>
        <w:t>。</w:t>
      </w:r>
    </w:p>
    <w:p w14:paraId="3012BCB2">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七、对本次招标提出询问，请按以下方式联系</w:t>
      </w:r>
    </w:p>
    <w:p w14:paraId="4F2CB8CA">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1.采购人信息</w:t>
      </w:r>
    </w:p>
    <w:p w14:paraId="45DDC599">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rPr>
        <w:t>国家税务总局</w:t>
      </w:r>
      <w:r>
        <w:rPr>
          <w:rFonts w:hint="eastAsia" w:ascii="宋体" w:hAnsi="宋体" w:cs="宋体"/>
          <w:color w:val="auto"/>
          <w:szCs w:val="21"/>
          <w:highlight w:val="none"/>
          <w:u w:val="single"/>
          <w:lang w:eastAsia="zh-CN"/>
        </w:rPr>
        <w:t>庄河市</w:t>
      </w:r>
      <w:r>
        <w:rPr>
          <w:rFonts w:hint="eastAsia" w:ascii="宋体" w:hAnsi="宋体" w:cs="宋体"/>
          <w:color w:val="auto"/>
          <w:szCs w:val="21"/>
          <w:highlight w:val="none"/>
          <w:u w:val="single"/>
        </w:rPr>
        <w:t>税务局</w:t>
      </w:r>
    </w:p>
    <w:p w14:paraId="65D63BD5">
      <w:pPr>
        <w:widowControl/>
        <w:spacing w:line="360" w:lineRule="auto"/>
        <w:ind w:firstLine="420" w:firstLineChars="200"/>
        <w:jc w:val="left"/>
        <w:outlineLvl w:val="9"/>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辽宁省庄河市世纪大街</w:t>
      </w:r>
      <w:r>
        <w:rPr>
          <w:rFonts w:hint="eastAsia" w:ascii="宋体" w:hAnsi="宋体" w:cs="宋体"/>
          <w:color w:val="auto"/>
          <w:szCs w:val="21"/>
          <w:highlight w:val="none"/>
          <w:u w:val="single"/>
          <w:lang w:val="en-US" w:eastAsia="zh-CN"/>
        </w:rPr>
        <w:t>48号</w:t>
      </w:r>
    </w:p>
    <w:p w14:paraId="66F2DAEE">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联系方式：</w:t>
      </w:r>
      <w:bookmarkStart w:id="7" w:name="OLE_LINK4"/>
      <w:r>
        <w:rPr>
          <w:rFonts w:hint="eastAsia" w:ascii="宋体" w:hAnsi="宋体" w:cs="宋体"/>
          <w:color w:val="auto"/>
          <w:szCs w:val="21"/>
          <w:highlight w:val="none"/>
          <w:u w:val="single"/>
        </w:rPr>
        <w:t>刘昊</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u w:val="single"/>
        </w:rPr>
        <w:t>0411-8</w:t>
      </w:r>
      <w:bookmarkEnd w:id="7"/>
      <w:r>
        <w:rPr>
          <w:rFonts w:hint="eastAsia" w:ascii="宋体" w:hAnsi="宋体" w:cs="宋体"/>
          <w:color w:val="auto"/>
          <w:szCs w:val="21"/>
          <w:highlight w:val="none"/>
          <w:u w:val="single"/>
          <w:lang w:val="en-US" w:eastAsia="zh-CN"/>
        </w:rPr>
        <w:t>9726603</w:t>
      </w:r>
    </w:p>
    <w:p w14:paraId="16109C8D">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594E6F01">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大连市政府采购中心</w:t>
      </w:r>
    </w:p>
    <w:p w14:paraId="417F5B98">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：大连市甘井子区东北北路101号</w:t>
      </w:r>
    </w:p>
    <w:p w14:paraId="22E3FBE1">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电　    话：</w:t>
      </w:r>
      <w:r>
        <w:rPr>
          <w:rFonts w:hint="eastAsia" w:ascii="宋体" w:hAnsi="宋体" w:cs="宋体"/>
          <w:color w:val="auto"/>
          <w:szCs w:val="21"/>
          <w:highlight w:val="none"/>
          <w:u w:val="single"/>
          <w:lang w:eastAsia="zh-CN"/>
        </w:rPr>
        <w:t>0411-</w:t>
      </w:r>
      <w:r>
        <w:rPr>
          <w:rFonts w:hint="eastAsia" w:ascii="宋体" w:hAnsi="宋体" w:cs="宋体"/>
          <w:color w:val="auto"/>
          <w:szCs w:val="21"/>
          <w:highlight w:val="none"/>
          <w:u w:val="single"/>
          <w:lang w:val="en-US" w:eastAsia="zh-CN"/>
        </w:rPr>
        <w:t>65851242</w:t>
      </w:r>
    </w:p>
    <w:p w14:paraId="3DF5BEAE">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3.项目联系方式</w:t>
      </w:r>
    </w:p>
    <w:p w14:paraId="0A1C1513">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项目联系人：</w:t>
      </w:r>
      <w:r>
        <w:rPr>
          <w:rFonts w:hint="eastAsia" w:ascii="宋体" w:hAnsi="宋体" w:cs="宋体"/>
          <w:color w:val="auto"/>
          <w:szCs w:val="21"/>
          <w:highlight w:val="none"/>
          <w:lang w:eastAsia="zh-CN"/>
        </w:rPr>
        <w:t>姜工</w:t>
      </w:r>
    </w:p>
    <w:p w14:paraId="757C4758">
      <w:pPr>
        <w:widowControl/>
        <w:spacing w:line="360" w:lineRule="auto"/>
        <w:ind w:firstLine="420" w:firstLineChars="200"/>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电　    话：</w:t>
      </w:r>
      <w:r>
        <w:rPr>
          <w:rFonts w:hint="eastAsia" w:ascii="宋体" w:hAnsi="宋体" w:cs="宋体"/>
          <w:color w:val="auto"/>
          <w:szCs w:val="21"/>
          <w:highlight w:val="none"/>
          <w:u w:val="single"/>
          <w:lang w:eastAsia="zh-CN"/>
        </w:rPr>
        <w:t>0411-</w:t>
      </w:r>
      <w:r>
        <w:rPr>
          <w:rFonts w:hint="eastAsia" w:ascii="宋体" w:hAnsi="宋体" w:cs="宋体"/>
          <w:color w:val="auto"/>
          <w:szCs w:val="21"/>
          <w:highlight w:val="none"/>
          <w:u w:val="single"/>
          <w:lang w:val="en-US" w:eastAsia="zh-CN"/>
        </w:rPr>
        <w:t>65851242</w:t>
      </w:r>
    </w:p>
    <w:p w14:paraId="5554620D">
      <w:pPr>
        <w:widowControl/>
        <w:spacing w:line="360" w:lineRule="auto"/>
        <w:ind w:firstLine="420" w:firstLineChars="200"/>
        <w:jc w:val="left"/>
        <w:outlineLvl w:val="9"/>
        <w:rPr>
          <w:rFonts w:hint="eastAsia" w:ascii="宋体" w:hAnsi="宋体" w:eastAsia="宋体" w:cs="宋体"/>
          <w:color w:val="auto"/>
          <w:highlight w:val="none"/>
          <w:lang w:eastAsia="zh-CN"/>
        </w:rPr>
      </w:pPr>
    </w:p>
    <w:p w14:paraId="415578D1">
      <w:pPr>
        <w:spacing w:line="360" w:lineRule="auto"/>
        <w:outlineLvl w:val="9"/>
        <w:rPr>
          <w:rFonts w:hint="eastAsia" w:ascii="宋体" w:hAnsi="宋体" w:eastAsia="宋体" w:cs="宋体"/>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78FCDBA7">
      <w:pPr>
        <w:jc w:val="center"/>
        <w:outlineLvl w:val="0"/>
        <w:rPr>
          <w:rFonts w:hint="eastAsia" w:ascii="宋体" w:hAnsi="宋体" w:eastAsia="宋体" w:cs="宋体"/>
          <w:b/>
          <w:bCs/>
          <w:color w:val="auto"/>
          <w:sz w:val="28"/>
          <w:szCs w:val="28"/>
          <w:highlight w:val="none"/>
        </w:rPr>
      </w:pPr>
      <w:bookmarkStart w:id="8" w:name="_Toc132880272"/>
      <w:bookmarkStart w:id="9" w:name="_Toc22868"/>
      <w:r>
        <w:rPr>
          <w:rFonts w:hint="eastAsia" w:ascii="宋体" w:hAnsi="宋体" w:eastAsia="宋体" w:cs="宋体"/>
          <w:b/>
          <w:bCs/>
          <w:color w:val="auto"/>
          <w:sz w:val="28"/>
          <w:szCs w:val="28"/>
          <w:highlight w:val="none"/>
        </w:rPr>
        <w:t>第二章　投标人须知</w:t>
      </w:r>
      <w:bookmarkEnd w:id="8"/>
      <w:bookmarkEnd w:id="9"/>
    </w:p>
    <w:p w14:paraId="67C8799A">
      <w:pPr>
        <w:jc w:val="center"/>
        <w:outlineLvl w:val="9"/>
        <w:rPr>
          <w:rFonts w:hint="eastAsia" w:ascii="宋体" w:hAnsi="宋体" w:eastAsia="宋体" w:cs="宋体"/>
          <w:color w:val="auto"/>
          <w:sz w:val="24"/>
          <w:szCs w:val="24"/>
          <w:highlight w:val="none"/>
        </w:rPr>
      </w:pPr>
      <w:bookmarkStart w:id="10" w:name="_Toc132880273"/>
      <w:r>
        <w:rPr>
          <w:rFonts w:hint="eastAsia" w:ascii="宋体" w:hAnsi="宋体" w:eastAsia="宋体" w:cs="宋体"/>
          <w:color w:val="auto"/>
          <w:sz w:val="24"/>
          <w:szCs w:val="24"/>
          <w:highlight w:val="none"/>
        </w:rPr>
        <w:t>投标人须知前附表</w:t>
      </w:r>
      <w:bookmarkEnd w:id="10"/>
    </w:p>
    <w:tbl>
      <w:tblPr>
        <w:tblStyle w:val="22"/>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984"/>
        <w:gridCol w:w="851"/>
        <w:gridCol w:w="5207"/>
      </w:tblGrid>
      <w:tr w14:paraId="5D0C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14091FE1">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 号</w:t>
            </w:r>
          </w:p>
        </w:tc>
        <w:tc>
          <w:tcPr>
            <w:tcW w:w="1984" w:type="dxa"/>
            <w:tcBorders>
              <w:top w:val="single" w:color="auto" w:sz="4" w:space="0"/>
              <w:left w:val="single" w:color="auto" w:sz="4" w:space="0"/>
              <w:bottom w:val="single" w:color="auto" w:sz="4" w:space="0"/>
              <w:right w:val="single" w:color="auto" w:sz="4" w:space="0"/>
            </w:tcBorders>
            <w:vAlign w:val="center"/>
          </w:tcPr>
          <w:p w14:paraId="7A01AADF">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  别</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46E64FFA">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     容</w:t>
            </w:r>
          </w:p>
        </w:tc>
      </w:tr>
      <w:tr w14:paraId="7E8D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tcBorders>
              <w:top w:val="single" w:color="auto" w:sz="4" w:space="0"/>
              <w:left w:val="single" w:color="auto" w:sz="4" w:space="0"/>
              <w:right w:val="single" w:color="auto" w:sz="4" w:space="0"/>
            </w:tcBorders>
            <w:vAlign w:val="center"/>
          </w:tcPr>
          <w:p w14:paraId="76CDFBD4">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84" w:type="dxa"/>
            <w:vMerge w:val="restart"/>
            <w:tcBorders>
              <w:top w:val="single" w:color="auto" w:sz="4" w:space="0"/>
              <w:left w:val="single" w:color="auto" w:sz="4" w:space="0"/>
              <w:right w:val="single" w:color="auto" w:sz="4" w:space="0"/>
            </w:tcBorders>
            <w:vAlign w:val="center"/>
          </w:tcPr>
          <w:p w14:paraId="2025D04D">
            <w:pPr>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项目名称、编号、预算及最高限价</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7888C8C">
            <w:pPr>
              <w:adjustRightInd w:val="0"/>
              <w:snapToGrid w:val="0"/>
              <w:spacing w:line="360" w:lineRule="auto"/>
              <w:jc w:val="left"/>
              <w:outlineLvl w:val="9"/>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lang w:eastAsia="zh-CN"/>
              </w:rPr>
              <w:t>国家税务总局庄河市税务局非执法类辅助性服务采购项目</w:t>
            </w:r>
          </w:p>
        </w:tc>
      </w:tr>
      <w:tr w14:paraId="5331B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09BEE87A">
            <w:pPr>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tcBorders>
              <w:left w:val="single" w:color="auto" w:sz="4" w:space="0"/>
              <w:right w:val="single" w:color="auto" w:sz="4" w:space="0"/>
            </w:tcBorders>
            <w:vAlign w:val="center"/>
          </w:tcPr>
          <w:p w14:paraId="15C543BB">
            <w:pPr>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5C464E0">
            <w:pPr>
              <w:adjustRightInd w:val="0"/>
              <w:snapToGrid w:val="0"/>
              <w:spacing w:line="360" w:lineRule="auto"/>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u w:val="single"/>
                <w:lang w:eastAsia="zh-CN"/>
              </w:rPr>
              <w:t>DLZFCG2026194</w:t>
            </w:r>
          </w:p>
        </w:tc>
      </w:tr>
      <w:tr w14:paraId="5B6D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5E6FD30F">
            <w:pPr>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tcBorders>
              <w:left w:val="single" w:color="auto" w:sz="4" w:space="0"/>
              <w:right w:val="single" w:color="auto" w:sz="4" w:space="0"/>
            </w:tcBorders>
            <w:vAlign w:val="center"/>
          </w:tcPr>
          <w:p w14:paraId="2B1D47A8">
            <w:pPr>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5FCC1CB3">
            <w:pPr>
              <w:adjustRightInd w:val="0"/>
              <w:snapToGrid w:val="0"/>
              <w:spacing w:line="360" w:lineRule="auto"/>
              <w:jc w:val="left"/>
              <w:outlineLvl w:val="9"/>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项目预算：</w:t>
            </w:r>
            <w:r>
              <w:rPr>
                <w:rFonts w:hint="eastAsia" w:ascii="宋体" w:hAnsi="宋体" w:eastAsia="宋体" w:cs="宋体"/>
                <w:color w:val="auto"/>
                <w:szCs w:val="21"/>
                <w:highlight w:val="none"/>
                <w:u w:val="none"/>
                <w:lang w:eastAsia="zh-CN"/>
              </w:rPr>
              <w:t>127.26</w:t>
            </w:r>
            <w:r>
              <w:rPr>
                <w:rFonts w:hint="eastAsia" w:ascii="宋体" w:hAnsi="宋体" w:eastAsia="宋体" w:cs="宋体"/>
                <w:color w:val="auto"/>
                <w:szCs w:val="21"/>
                <w:highlight w:val="none"/>
                <w:u w:val="none"/>
              </w:rPr>
              <w:t>万元</w:t>
            </w:r>
          </w:p>
        </w:tc>
      </w:tr>
      <w:tr w14:paraId="031B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bottom w:val="single" w:color="auto" w:sz="4" w:space="0"/>
              <w:right w:val="single" w:color="auto" w:sz="4" w:space="0"/>
            </w:tcBorders>
            <w:vAlign w:val="center"/>
          </w:tcPr>
          <w:p w14:paraId="1AE8B7A5">
            <w:pPr>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tcBorders>
              <w:left w:val="single" w:color="auto" w:sz="4" w:space="0"/>
              <w:bottom w:val="single" w:color="auto" w:sz="4" w:space="0"/>
              <w:right w:val="single" w:color="auto" w:sz="4" w:space="0"/>
            </w:tcBorders>
            <w:vAlign w:val="center"/>
          </w:tcPr>
          <w:p w14:paraId="774DFC0F">
            <w:pPr>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75576504">
            <w:pPr>
              <w:adjustRightInd w:val="0"/>
              <w:snapToGrid w:val="0"/>
              <w:spacing w:line="360" w:lineRule="auto"/>
              <w:jc w:val="left"/>
              <w:outlineLvl w:val="9"/>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最高限价</w:t>
            </w:r>
            <w:r>
              <w:rPr>
                <w:rFonts w:hint="eastAsia" w:ascii="宋体" w:hAnsi="宋体" w:eastAsia="宋体" w:cs="宋体"/>
                <w:color w:val="auto"/>
                <w:szCs w:val="21"/>
                <w:highlight w:val="none"/>
                <w:u w:val="none"/>
                <w:lang w:eastAsia="zh-CN"/>
              </w:rPr>
              <w:t>：</w:t>
            </w:r>
            <w:r>
              <w:rPr>
                <w:rFonts w:hint="eastAsia" w:ascii="宋体" w:hAnsi="宋体" w:eastAsia="宋体" w:cs="宋体"/>
                <w:color w:val="auto"/>
                <w:szCs w:val="21"/>
                <w:highlight w:val="none"/>
                <w:u w:val="none"/>
                <w:lang w:val="en-US" w:eastAsia="zh-CN"/>
              </w:rPr>
              <w:t>127.26</w:t>
            </w:r>
            <w:r>
              <w:rPr>
                <w:rFonts w:hint="eastAsia" w:ascii="宋体" w:hAnsi="宋体" w:eastAsia="宋体" w:cs="宋体"/>
                <w:color w:val="auto"/>
                <w:szCs w:val="21"/>
                <w:highlight w:val="none"/>
                <w:u w:val="none"/>
              </w:rPr>
              <w:t>万元</w:t>
            </w:r>
          </w:p>
        </w:tc>
      </w:tr>
      <w:tr w14:paraId="2335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3445266E">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984" w:type="dxa"/>
            <w:tcBorders>
              <w:top w:val="single" w:color="auto" w:sz="4" w:space="0"/>
              <w:left w:val="single" w:color="auto" w:sz="4" w:space="0"/>
              <w:bottom w:val="single" w:color="auto" w:sz="4" w:space="0"/>
              <w:right w:val="single" w:color="auto" w:sz="4" w:space="0"/>
            </w:tcBorders>
            <w:vAlign w:val="center"/>
          </w:tcPr>
          <w:p w14:paraId="2F595280">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555791AC">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详见《招标文件（技术部分）》</w:t>
            </w:r>
          </w:p>
        </w:tc>
      </w:tr>
      <w:tr w14:paraId="3803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66BAE822">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984" w:type="dxa"/>
            <w:tcBorders>
              <w:top w:val="single" w:color="auto" w:sz="4" w:space="0"/>
              <w:left w:val="single" w:color="auto" w:sz="4" w:space="0"/>
              <w:bottom w:val="single" w:color="auto" w:sz="4" w:space="0"/>
              <w:right w:val="single" w:color="auto" w:sz="4" w:space="0"/>
            </w:tcBorders>
            <w:vAlign w:val="center"/>
          </w:tcPr>
          <w:p w14:paraId="7914DAC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项目属性和类别</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425B9972">
            <w:pPr>
              <w:adjustRightInd w:val="0"/>
              <w:snapToGrid w:val="0"/>
              <w:spacing w:line="360" w:lineRule="auto"/>
              <w:jc w:val="left"/>
              <w:rPr>
                <w:rFonts w:ascii="宋体" w:hAnsi="宋体" w:eastAsia="宋体"/>
                <w:b/>
                <w:color w:val="auto"/>
                <w:szCs w:val="21"/>
                <w:highlight w:val="none"/>
              </w:rPr>
            </w:pPr>
            <w:r>
              <w:rPr>
                <w:rFonts w:ascii="宋体" w:hAnsi="宋体" w:eastAsia="宋体"/>
                <w:b/>
                <w:color w:val="auto"/>
                <w:szCs w:val="21"/>
                <w:highlight w:val="none"/>
              </w:rPr>
              <w:t>项目属性：</w:t>
            </w:r>
            <w:r>
              <w:rPr>
                <w:rFonts w:hint="eastAsia" w:ascii="宋体" w:hAnsi="宋体"/>
                <w:color w:val="auto"/>
                <w:szCs w:val="21"/>
                <w:highlight w:val="none"/>
                <w:lang w:eastAsia="zh-CN"/>
              </w:rPr>
              <w:t>□</w:t>
            </w:r>
            <w:r>
              <w:rPr>
                <w:rFonts w:ascii="宋体" w:hAnsi="宋体" w:eastAsia="宋体"/>
                <w:color w:val="auto"/>
                <w:szCs w:val="21"/>
                <w:highlight w:val="none"/>
              </w:rPr>
              <w:t>货物</w:t>
            </w:r>
            <w:r>
              <w:rPr>
                <w:rFonts w:hint="eastAsia" w:ascii="宋体" w:hAnsi="宋体"/>
                <w:color w:val="auto"/>
                <w:szCs w:val="21"/>
                <w:highlight w:val="none"/>
                <w:lang w:eastAsia="zh-CN"/>
              </w:rPr>
              <w:t>☑</w:t>
            </w:r>
            <w:r>
              <w:rPr>
                <w:rFonts w:ascii="宋体" w:hAnsi="宋体" w:eastAsia="宋体"/>
                <w:color w:val="auto"/>
                <w:szCs w:val="21"/>
                <w:highlight w:val="none"/>
              </w:rPr>
              <w:t>服务</w:t>
            </w:r>
          </w:p>
          <w:p w14:paraId="2480DA3C">
            <w:pPr>
              <w:adjustRightInd w:val="0"/>
              <w:snapToGrid w:val="0"/>
              <w:spacing w:line="360" w:lineRule="auto"/>
              <w:jc w:val="left"/>
              <w:outlineLvl w:val="9"/>
              <w:rPr>
                <w:rFonts w:hint="eastAsia" w:ascii="宋体" w:hAnsi="宋体" w:eastAsia="宋体" w:cs="宋体"/>
                <w:color w:val="auto"/>
                <w:szCs w:val="21"/>
                <w:highlight w:val="none"/>
              </w:rPr>
            </w:pPr>
            <w:r>
              <w:rPr>
                <w:rFonts w:ascii="宋体" w:hAnsi="宋体" w:eastAsia="宋体"/>
                <w:b/>
                <w:bCs/>
                <w:color w:val="auto"/>
                <w:szCs w:val="21"/>
                <w:highlight w:val="none"/>
              </w:rPr>
              <w:t>项目类别：</w:t>
            </w:r>
            <w:r>
              <w:rPr>
                <w:rFonts w:hint="eastAsia" w:ascii="宋体" w:hAnsi="宋体"/>
                <w:color w:val="auto"/>
                <w:szCs w:val="21"/>
                <w:highlight w:val="none"/>
                <w:lang w:eastAsia="zh-CN"/>
              </w:rPr>
              <w:t>□</w:t>
            </w:r>
            <w:r>
              <w:rPr>
                <w:rFonts w:ascii="宋体" w:hAnsi="宋体" w:eastAsia="宋体"/>
                <w:color w:val="auto"/>
                <w:szCs w:val="21"/>
                <w:highlight w:val="none"/>
              </w:rPr>
              <w:t>信息化项目</w:t>
            </w:r>
            <w:r>
              <w:rPr>
                <w:rFonts w:hint="eastAsia" w:ascii="宋体" w:hAnsi="宋体"/>
                <w:color w:val="auto"/>
                <w:szCs w:val="21"/>
                <w:highlight w:val="none"/>
                <w:lang w:eastAsia="zh-CN"/>
              </w:rPr>
              <w:t>☑</w:t>
            </w:r>
            <w:r>
              <w:rPr>
                <w:rFonts w:ascii="宋体" w:hAnsi="宋体" w:eastAsia="宋体"/>
                <w:color w:val="auto"/>
                <w:szCs w:val="21"/>
                <w:highlight w:val="none"/>
              </w:rPr>
              <w:t>非信息化项目</w:t>
            </w:r>
          </w:p>
        </w:tc>
      </w:tr>
      <w:tr w14:paraId="3D940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31D3FE8F">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984" w:type="dxa"/>
            <w:tcBorders>
              <w:top w:val="single" w:color="auto" w:sz="4" w:space="0"/>
              <w:left w:val="single" w:color="auto" w:sz="4" w:space="0"/>
              <w:bottom w:val="single" w:color="auto" w:sz="4" w:space="0"/>
              <w:right w:val="single" w:color="auto" w:sz="4" w:space="0"/>
            </w:tcBorders>
            <w:vAlign w:val="center"/>
          </w:tcPr>
          <w:p w14:paraId="77CD8DDC">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5BA713E5">
            <w:pPr>
              <w:adjustRightInd w:val="0"/>
              <w:snapToGrid w:val="0"/>
              <w:spacing w:line="360" w:lineRule="auto"/>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lang w:eastAsia="zh-CN"/>
              </w:rPr>
              <w:t>国家税务总局庄河市税务局</w:t>
            </w:r>
          </w:p>
          <w:p w14:paraId="7F993171">
            <w:pPr>
              <w:adjustRightInd w:val="0"/>
              <w:snapToGrid w:val="0"/>
              <w:spacing w:line="360" w:lineRule="auto"/>
              <w:jc w:val="left"/>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地址：</w:t>
            </w:r>
            <w:r>
              <w:rPr>
                <w:rFonts w:hint="eastAsia" w:ascii="宋体" w:hAnsi="宋体" w:cs="宋体"/>
                <w:color w:val="auto"/>
                <w:szCs w:val="21"/>
                <w:highlight w:val="none"/>
                <w:u w:val="single"/>
                <w:lang w:eastAsia="zh-CN"/>
              </w:rPr>
              <w:t>辽宁省庄河市世纪大街</w:t>
            </w:r>
            <w:r>
              <w:rPr>
                <w:rFonts w:hint="eastAsia" w:ascii="宋体" w:hAnsi="宋体" w:cs="宋体"/>
                <w:color w:val="auto"/>
                <w:szCs w:val="21"/>
                <w:highlight w:val="none"/>
                <w:u w:val="single"/>
                <w:lang w:val="en-US" w:eastAsia="zh-CN"/>
              </w:rPr>
              <w:t>48</w:t>
            </w:r>
            <w:r>
              <w:rPr>
                <w:rFonts w:hint="eastAsia" w:ascii="宋体" w:hAnsi="宋体" w:eastAsia="宋体" w:cs="宋体"/>
                <w:color w:val="auto"/>
                <w:szCs w:val="21"/>
                <w:highlight w:val="none"/>
                <w:u w:val="single"/>
                <w:lang w:val="en-US" w:eastAsia="zh-CN"/>
              </w:rPr>
              <w:t>号</w:t>
            </w:r>
          </w:p>
          <w:p w14:paraId="2E84702C">
            <w:pPr>
              <w:adjustRightInd w:val="0"/>
              <w:snapToGrid w:val="0"/>
              <w:spacing w:line="360" w:lineRule="auto"/>
              <w:jc w:val="left"/>
              <w:outlineLvl w:val="9"/>
              <w:rPr>
                <w:rFonts w:hint="eastAsia" w:ascii="宋体" w:hAnsi="宋体" w:eastAsia="宋体" w:cs="宋体"/>
                <w:bCs/>
                <w:color w:val="auto"/>
                <w:szCs w:val="21"/>
                <w:highlight w:val="none"/>
                <w:u w:val="single"/>
                <w:lang w:eastAsia="zh-CN"/>
              </w:rPr>
            </w:pPr>
            <w:r>
              <w:rPr>
                <w:rFonts w:hint="eastAsia" w:ascii="宋体" w:hAnsi="宋体" w:eastAsia="宋体" w:cs="宋体"/>
                <w:color w:val="auto"/>
                <w:szCs w:val="21"/>
                <w:highlight w:val="none"/>
                <w:u w:val="none"/>
                <w:lang w:eastAsia="zh-CN"/>
              </w:rPr>
              <w:t>联系方式：</w:t>
            </w:r>
            <w:r>
              <w:rPr>
                <w:rFonts w:hint="eastAsia" w:ascii="宋体" w:hAnsi="宋体" w:eastAsia="宋体" w:cs="宋体"/>
                <w:color w:val="auto"/>
                <w:szCs w:val="21"/>
                <w:highlight w:val="none"/>
                <w:u w:val="single"/>
                <w:lang w:eastAsia="zh-CN"/>
              </w:rPr>
              <w:t>0411-8</w:t>
            </w:r>
            <w:r>
              <w:rPr>
                <w:rFonts w:hint="eastAsia" w:ascii="宋体" w:hAnsi="宋体" w:eastAsia="宋体" w:cs="宋体"/>
                <w:color w:val="auto"/>
                <w:szCs w:val="21"/>
                <w:highlight w:val="none"/>
                <w:u w:val="single"/>
                <w:lang w:val="en-US" w:eastAsia="zh-CN"/>
              </w:rPr>
              <w:t>9726603</w:t>
            </w:r>
          </w:p>
        </w:tc>
      </w:tr>
      <w:tr w14:paraId="7350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1438E0BF">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984" w:type="dxa"/>
            <w:tcBorders>
              <w:top w:val="single" w:color="auto" w:sz="4" w:space="0"/>
              <w:left w:val="single" w:color="auto" w:sz="4" w:space="0"/>
              <w:bottom w:val="single" w:color="auto" w:sz="4" w:space="0"/>
              <w:right w:val="single" w:color="auto" w:sz="4" w:space="0"/>
            </w:tcBorders>
            <w:vAlign w:val="center"/>
          </w:tcPr>
          <w:p w14:paraId="06B298DD">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52A37F8D">
            <w:pPr>
              <w:adjustRightInd w:val="0"/>
              <w:snapToGrid w:val="0"/>
              <w:spacing w:line="360" w:lineRule="auto"/>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lang w:eastAsia="zh-CN"/>
              </w:rPr>
              <w:t>大连市政府采购中心</w:t>
            </w:r>
          </w:p>
          <w:p w14:paraId="74A1B054">
            <w:pPr>
              <w:adjustRightInd w:val="0"/>
              <w:snapToGrid w:val="0"/>
              <w:spacing w:line="360" w:lineRule="auto"/>
              <w:jc w:val="left"/>
              <w:outlineLvl w:val="9"/>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地址：</w:t>
            </w:r>
            <w:r>
              <w:rPr>
                <w:rFonts w:hint="eastAsia" w:ascii="宋体" w:hAnsi="宋体" w:cs="宋体"/>
                <w:color w:val="auto"/>
                <w:szCs w:val="21"/>
                <w:highlight w:val="none"/>
                <w:u w:val="single"/>
                <w:lang w:eastAsia="zh-CN"/>
              </w:rPr>
              <w:t>大连市甘井子区东北北路101号</w:t>
            </w:r>
          </w:p>
          <w:p w14:paraId="00771CA6">
            <w:pPr>
              <w:adjustRightInd w:val="0"/>
              <w:snapToGrid w:val="0"/>
              <w:spacing w:line="360" w:lineRule="auto"/>
              <w:jc w:val="left"/>
              <w:outlineLvl w:val="9"/>
              <w:rPr>
                <w:rFonts w:hint="eastAsia" w:ascii="宋体" w:hAnsi="宋体" w:eastAsia="宋体" w:cs="宋体"/>
                <w:bCs/>
                <w:color w:val="auto"/>
                <w:szCs w:val="21"/>
                <w:highlight w:val="none"/>
                <w:u w:val="single"/>
                <w:lang w:eastAsia="zh-CN"/>
              </w:rPr>
            </w:pPr>
            <w:r>
              <w:rPr>
                <w:rFonts w:hint="eastAsia" w:ascii="宋体" w:hAnsi="宋体" w:eastAsia="宋体" w:cs="宋体"/>
                <w:color w:val="auto"/>
                <w:szCs w:val="21"/>
                <w:highlight w:val="none"/>
              </w:rPr>
              <w:t>联系</w:t>
            </w:r>
            <w:r>
              <w:rPr>
                <w:rFonts w:hint="eastAsia" w:ascii="宋体" w:hAnsi="宋体" w:eastAsia="宋体" w:cs="宋体"/>
                <w:bCs/>
                <w:color w:val="auto"/>
                <w:szCs w:val="21"/>
                <w:highlight w:val="none"/>
              </w:rPr>
              <w:t>方式：</w:t>
            </w:r>
            <w:r>
              <w:rPr>
                <w:rFonts w:hint="eastAsia" w:ascii="宋体" w:hAnsi="宋体" w:cs="宋体"/>
                <w:color w:val="auto"/>
                <w:szCs w:val="21"/>
                <w:highlight w:val="none"/>
                <w:u w:val="single"/>
                <w:lang w:eastAsia="zh-CN"/>
              </w:rPr>
              <w:t>0411-</w:t>
            </w:r>
            <w:r>
              <w:rPr>
                <w:rFonts w:hint="eastAsia" w:ascii="宋体" w:hAnsi="宋体" w:cs="宋体"/>
                <w:color w:val="auto"/>
                <w:szCs w:val="21"/>
                <w:highlight w:val="none"/>
                <w:u w:val="single"/>
                <w:lang w:val="en-US" w:eastAsia="zh-CN"/>
              </w:rPr>
              <w:t>65851242</w:t>
            </w:r>
          </w:p>
          <w:p w14:paraId="36D413CE">
            <w:pPr>
              <w:adjustRightInd w:val="0"/>
              <w:snapToGrid w:val="0"/>
              <w:spacing w:line="360" w:lineRule="auto"/>
              <w:jc w:val="left"/>
              <w:outlineLvl w:val="9"/>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邮箱：</w:t>
            </w:r>
            <w:r>
              <w:rPr>
                <w:rFonts w:hint="eastAsia" w:ascii="宋体" w:hAnsi="宋体" w:eastAsia="宋体" w:cs="宋体"/>
                <w:color w:val="auto"/>
                <w:szCs w:val="21"/>
                <w:highlight w:val="none"/>
                <w:lang w:val="en-US" w:eastAsia="zh-CN"/>
              </w:rPr>
              <w:t>305551165</w:t>
            </w:r>
            <w:r>
              <w:rPr>
                <w:rFonts w:hint="eastAsia" w:ascii="宋体" w:hAnsi="宋体" w:eastAsia="宋体" w:cs="宋体"/>
                <w:color w:val="auto"/>
                <w:szCs w:val="21"/>
                <w:highlight w:val="none"/>
                <w:lang w:eastAsia="zh-CN"/>
              </w:rPr>
              <w:t>@qq.com</w:t>
            </w:r>
          </w:p>
        </w:tc>
      </w:tr>
      <w:tr w14:paraId="1C30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0E0877A9">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984" w:type="dxa"/>
            <w:tcBorders>
              <w:top w:val="single" w:color="auto" w:sz="4" w:space="0"/>
              <w:left w:val="single" w:color="auto" w:sz="4" w:space="0"/>
              <w:bottom w:val="single" w:color="auto" w:sz="4" w:space="0"/>
              <w:right w:val="single" w:color="auto" w:sz="4" w:space="0"/>
            </w:tcBorders>
            <w:vAlign w:val="center"/>
          </w:tcPr>
          <w:p w14:paraId="6BB0A403">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投标人资格要求</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12268B6D">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1.符合国家</w:t>
            </w:r>
            <w:r>
              <w:rPr>
                <w:rFonts w:hint="eastAsia" w:ascii="宋体" w:hAnsi="宋体" w:eastAsia="宋体" w:cs="宋体"/>
                <w:color w:val="auto"/>
                <w:szCs w:val="21"/>
                <w:highlight w:val="none"/>
              </w:rPr>
              <w:t>有关</w:t>
            </w:r>
            <w:r>
              <w:rPr>
                <w:rFonts w:hint="eastAsia" w:ascii="宋体" w:hAnsi="宋体" w:eastAsia="宋体" w:cs="宋体"/>
                <w:color w:val="auto"/>
                <w:szCs w:val="21"/>
                <w:highlight w:val="none"/>
                <w:lang w:val="zh-CN"/>
              </w:rPr>
              <w:t>法律规定，在中国境内（指关境内）注册。</w:t>
            </w:r>
          </w:p>
          <w:p w14:paraId="1A83AE35">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2.具备</w:t>
            </w:r>
            <w:r>
              <w:rPr>
                <w:rFonts w:hint="eastAsia" w:ascii="宋体" w:hAnsi="宋体" w:eastAsia="宋体" w:cs="宋体"/>
                <w:color w:val="auto"/>
                <w:szCs w:val="21"/>
                <w:highlight w:val="none"/>
              </w:rPr>
              <w:t>《政府采购法》</w:t>
            </w:r>
            <w:r>
              <w:rPr>
                <w:rFonts w:hint="eastAsia" w:ascii="宋体" w:hAnsi="宋体" w:eastAsia="宋体" w:cs="宋体"/>
                <w:color w:val="auto"/>
                <w:szCs w:val="21"/>
                <w:highlight w:val="none"/>
                <w:lang w:val="zh-CN"/>
              </w:rPr>
              <w:t>第二十二条的规定：</w:t>
            </w:r>
          </w:p>
          <w:p w14:paraId="1BC992D3">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（1）具有独立</w:t>
            </w:r>
            <w:r>
              <w:rPr>
                <w:rFonts w:hint="eastAsia" w:ascii="宋体" w:hAnsi="宋体" w:eastAsia="宋体" w:cs="宋体"/>
                <w:color w:val="auto"/>
                <w:szCs w:val="21"/>
                <w:highlight w:val="none"/>
              </w:rPr>
              <w:t>承担</w:t>
            </w:r>
            <w:r>
              <w:rPr>
                <w:rFonts w:hint="eastAsia" w:ascii="宋体" w:hAnsi="宋体" w:eastAsia="宋体" w:cs="宋体"/>
                <w:color w:val="auto"/>
                <w:szCs w:val="21"/>
                <w:highlight w:val="none"/>
                <w:lang w:val="zh-CN"/>
              </w:rPr>
              <w:t>民事责任的能力；</w:t>
            </w:r>
          </w:p>
          <w:p w14:paraId="651359C2">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（2）具有良好的商业信誉和健全的财务会计制度；</w:t>
            </w:r>
          </w:p>
          <w:p w14:paraId="54EACB35">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（3）具有履行</w:t>
            </w:r>
            <w:r>
              <w:rPr>
                <w:rFonts w:hint="eastAsia" w:ascii="宋体" w:hAnsi="宋体" w:eastAsia="宋体" w:cs="宋体"/>
                <w:color w:val="auto"/>
                <w:szCs w:val="21"/>
                <w:highlight w:val="none"/>
              </w:rPr>
              <w:t>合同</w:t>
            </w:r>
            <w:r>
              <w:rPr>
                <w:rFonts w:hint="eastAsia" w:ascii="宋体" w:hAnsi="宋体" w:eastAsia="宋体" w:cs="宋体"/>
                <w:color w:val="auto"/>
                <w:szCs w:val="21"/>
                <w:highlight w:val="none"/>
                <w:lang w:val="zh-CN"/>
              </w:rPr>
              <w:t>所必需的设备和专业技术能力；</w:t>
            </w:r>
          </w:p>
          <w:p w14:paraId="143762E0">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（4）有依法</w:t>
            </w:r>
            <w:r>
              <w:rPr>
                <w:rFonts w:hint="eastAsia" w:ascii="宋体" w:hAnsi="宋体" w:eastAsia="宋体" w:cs="宋体"/>
                <w:color w:val="auto"/>
                <w:szCs w:val="21"/>
                <w:highlight w:val="none"/>
              </w:rPr>
              <w:t>缴纳</w:t>
            </w:r>
            <w:r>
              <w:rPr>
                <w:rFonts w:hint="eastAsia" w:ascii="宋体" w:hAnsi="宋体" w:eastAsia="宋体" w:cs="宋体"/>
                <w:color w:val="auto"/>
                <w:szCs w:val="21"/>
                <w:highlight w:val="none"/>
                <w:lang w:val="zh-CN"/>
              </w:rPr>
              <w:t>税收和社会保障资金的良好记录；</w:t>
            </w:r>
          </w:p>
          <w:p w14:paraId="215F565D">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（5）参加政府</w:t>
            </w:r>
            <w:r>
              <w:rPr>
                <w:rFonts w:hint="eastAsia" w:ascii="宋体" w:hAnsi="宋体" w:eastAsia="宋体" w:cs="宋体"/>
                <w:color w:val="auto"/>
                <w:szCs w:val="21"/>
                <w:highlight w:val="none"/>
              </w:rPr>
              <w:t>采购</w:t>
            </w:r>
            <w:r>
              <w:rPr>
                <w:rFonts w:hint="eastAsia" w:ascii="宋体" w:hAnsi="宋体" w:eastAsia="宋体" w:cs="宋体"/>
                <w:color w:val="auto"/>
                <w:szCs w:val="21"/>
                <w:highlight w:val="none"/>
                <w:lang w:val="zh-CN"/>
              </w:rPr>
              <w:t>活动前三年内，在经营活动中没有重大违法记录；</w:t>
            </w:r>
          </w:p>
          <w:p w14:paraId="257D6E07">
            <w:pPr>
              <w:adjustRightInd w:val="0"/>
              <w:snapToGrid w:val="0"/>
              <w:spacing w:line="360" w:lineRule="auto"/>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（6）法律、行政法规规定的其他条件。</w:t>
            </w:r>
          </w:p>
          <w:p w14:paraId="3B383FA3">
            <w:pPr>
              <w:spacing w:line="360" w:lineRule="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.落实政府采购政策需满足的资格要求：</w:t>
            </w:r>
            <w:r>
              <w:rPr>
                <w:rFonts w:hint="eastAsia" w:ascii="宋体" w:hAnsi="宋体" w:eastAsia="宋体" w:cs="宋体"/>
                <w:color w:val="auto"/>
                <w:szCs w:val="21"/>
                <w:highlight w:val="none"/>
                <w:u w:val="single"/>
              </w:rPr>
              <w:t>本项目为专门面向中小企业采购项目，监狱企业、残疾人福利性单位视同小型、微型企业，享受促进中小企业发展政策优惠。</w:t>
            </w:r>
          </w:p>
          <w:p w14:paraId="459AFF9A">
            <w:pPr>
              <w:adjustRightInd w:val="0"/>
              <w:snapToGrid w:val="0"/>
              <w:spacing w:line="360" w:lineRule="auto"/>
              <w:jc w:val="left"/>
              <w:outlineLvl w:val="9"/>
              <w:rPr>
                <w:rFonts w:hint="eastAsia"/>
                <w:color w:val="auto"/>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.本项目的特定资格要求：</w:t>
            </w:r>
            <w:r>
              <w:rPr>
                <w:rFonts w:hint="eastAsia" w:ascii="宋体" w:hAnsi="宋体" w:eastAsia="宋体" w:cs="宋体"/>
                <w:color w:val="auto"/>
                <w:szCs w:val="21"/>
                <w:highlight w:val="none"/>
                <w:u w:val="single"/>
              </w:rPr>
              <w:t>无。</w:t>
            </w:r>
          </w:p>
          <w:p w14:paraId="4EC381D6">
            <w:pPr>
              <w:wordWrap w:val="0"/>
              <w:spacing w:line="360" w:lineRule="auto"/>
              <w:jc w:val="left"/>
              <w:outlineLvl w:val="9"/>
              <w:rPr>
                <w:rFonts w:hint="eastAsia" w:ascii="宋体" w:hAnsi="宋体" w:eastAsia="宋体" w:cs="宋体"/>
                <w:bCs/>
                <w:color w:val="auto"/>
                <w:highlight w:val="none"/>
              </w:rPr>
            </w:pPr>
            <w:r>
              <w:rPr>
                <w:rFonts w:hint="eastAsia" w:ascii="宋体" w:hAnsi="宋体" w:eastAsia="宋体" w:cs="宋体"/>
                <w:bCs/>
                <w:color w:val="auto"/>
                <w:highlight w:val="none"/>
              </w:rPr>
              <w:t>注：</w:t>
            </w:r>
            <w:r>
              <w:rPr>
                <w:rFonts w:hint="eastAsia" w:ascii="宋体" w:hAnsi="宋体" w:eastAsia="宋体" w:cs="宋体"/>
                <w:bCs/>
                <w:color w:val="auto"/>
                <w:highlight w:val="none"/>
                <w:lang w:val="en-US" w:eastAsia="zh-CN"/>
              </w:rPr>
              <w:t>1.</w:t>
            </w:r>
            <w:r>
              <w:rPr>
                <w:rFonts w:hint="eastAsia" w:ascii="宋体" w:hAnsi="宋体" w:eastAsia="宋体" w:cs="宋体"/>
                <w:bCs/>
                <w:color w:val="auto"/>
                <w:highlight w:val="none"/>
              </w:rPr>
              <w:t>本项目不接受联合体投标，不接受分包。</w:t>
            </w:r>
          </w:p>
          <w:p w14:paraId="4AAC217E">
            <w:pPr>
              <w:wordWrap w:val="0"/>
              <w:spacing w:line="360" w:lineRule="auto"/>
              <w:jc w:val="left"/>
              <w:outlineLvl w:val="9"/>
              <w:rPr>
                <w:rFonts w:hint="eastAsia" w:ascii="宋体" w:hAnsi="宋体" w:eastAsia="宋体" w:cs="宋体"/>
                <w:bCs/>
                <w:color w:val="auto"/>
                <w:szCs w:val="21"/>
                <w:highlight w:val="none"/>
              </w:rPr>
            </w:pP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截至开标当日评审之前，经“信用中国”网站（www.creditchina.gov.cn）、“中国政府采购网”网站（www.ccgp.gov.cn）查询，被列入失信被执行人、重大税收违法案件当事人名单、政府采购严重违法失信行为记录名单的不得参加本采购项目</w:t>
            </w:r>
            <w:r>
              <w:rPr>
                <w:rFonts w:hint="eastAsia" w:ascii="宋体" w:hAnsi="宋体" w:eastAsia="宋体" w:cs="宋体"/>
                <w:bCs/>
                <w:color w:val="auto"/>
                <w:szCs w:val="21"/>
                <w:highlight w:val="none"/>
              </w:rPr>
              <w:t>。</w:t>
            </w:r>
          </w:p>
        </w:tc>
      </w:tr>
      <w:tr w14:paraId="4612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67DAD31E">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984" w:type="dxa"/>
            <w:tcBorders>
              <w:top w:val="single" w:color="auto" w:sz="4" w:space="0"/>
              <w:left w:val="single" w:color="auto" w:sz="4" w:space="0"/>
              <w:bottom w:val="single" w:color="auto" w:sz="4" w:space="0"/>
              <w:right w:val="single" w:color="auto" w:sz="4" w:space="0"/>
            </w:tcBorders>
            <w:vAlign w:val="center"/>
          </w:tcPr>
          <w:p w14:paraId="43A81370">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04937F30">
            <w:pPr>
              <w:adjustRightInd w:val="0"/>
              <w:snapToGrid w:val="0"/>
              <w:spacing w:line="360" w:lineRule="auto"/>
              <w:jc w:val="left"/>
              <w:rPr>
                <w:rFonts w:ascii="宋体" w:hAnsi="宋体" w:eastAsia="宋体"/>
                <w:color w:val="auto"/>
                <w:szCs w:val="21"/>
                <w:highlight w:val="none"/>
              </w:rPr>
            </w:pPr>
            <w:r>
              <w:rPr>
                <w:rFonts w:hint="eastAsia" w:ascii="宋体" w:hAnsi="宋体"/>
                <w:color w:val="auto"/>
                <w:szCs w:val="21"/>
                <w:highlight w:val="none"/>
                <w:lang w:eastAsia="zh-CN"/>
              </w:rPr>
              <w:t>☑</w:t>
            </w:r>
            <w:r>
              <w:rPr>
                <w:rFonts w:ascii="宋体" w:hAnsi="宋体" w:eastAsia="宋体"/>
                <w:color w:val="auto"/>
                <w:szCs w:val="21"/>
                <w:highlight w:val="none"/>
              </w:rPr>
              <w:t>不接受</w:t>
            </w:r>
          </w:p>
          <w:p w14:paraId="704A7732">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color w:val="auto"/>
                <w:szCs w:val="21"/>
                <w:highlight w:val="none"/>
                <w:lang w:eastAsia="zh-CN"/>
              </w:rPr>
              <w:t>□</w:t>
            </w:r>
            <w:r>
              <w:rPr>
                <w:rFonts w:ascii="宋体" w:hAnsi="宋体" w:eastAsia="宋体"/>
                <w:color w:val="auto"/>
                <w:szCs w:val="21"/>
                <w:highlight w:val="none"/>
              </w:rPr>
              <w:t>接受（接受联合体投标且投标人为联合体的，投标人应提供联合体协议；否则无须提供。）</w:t>
            </w:r>
          </w:p>
        </w:tc>
      </w:tr>
      <w:tr w14:paraId="4264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41997B7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984" w:type="dxa"/>
            <w:tcBorders>
              <w:top w:val="single" w:color="auto" w:sz="4" w:space="0"/>
              <w:left w:val="single" w:color="auto" w:sz="4" w:space="0"/>
              <w:bottom w:val="single" w:color="auto" w:sz="4" w:space="0"/>
              <w:right w:val="single" w:color="auto" w:sz="4" w:space="0"/>
            </w:tcBorders>
            <w:vAlign w:val="center"/>
          </w:tcPr>
          <w:p w14:paraId="36628B6F">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采购标的对应的中小企业划分标准所属行业</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6E884D68">
            <w:pPr>
              <w:adjustRightInd w:val="0"/>
              <w:snapToGrid w:val="0"/>
              <w:spacing w:line="360" w:lineRule="auto"/>
              <w:outlineLvl w:val="9"/>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租赁和商务服务业</w:t>
            </w:r>
          </w:p>
        </w:tc>
      </w:tr>
      <w:tr w14:paraId="5B20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0FAF74EE">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984" w:type="dxa"/>
            <w:tcBorders>
              <w:top w:val="single" w:color="auto" w:sz="4" w:space="0"/>
              <w:left w:val="single" w:color="auto" w:sz="4" w:space="0"/>
              <w:bottom w:val="single" w:color="auto" w:sz="4" w:space="0"/>
              <w:right w:val="single" w:color="auto" w:sz="4" w:space="0"/>
            </w:tcBorders>
            <w:vAlign w:val="center"/>
          </w:tcPr>
          <w:p w14:paraId="2D201B75">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非主体、非关键性工作分包</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7FF9D28A">
            <w:pPr>
              <w:adjustRightInd w:val="0"/>
              <w:snapToGrid w:val="0"/>
              <w:spacing w:line="360" w:lineRule="auto"/>
              <w:jc w:val="left"/>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是否允许中标人将本项目的非主体、非关键性工作进行分包：</w:t>
            </w:r>
          </w:p>
          <w:p w14:paraId="1F83E59B">
            <w:pPr>
              <w:adjustRightInd w:val="0"/>
              <w:snapToGrid w:val="0"/>
              <w:spacing w:line="360" w:lineRule="auto"/>
              <w:jc w:val="left"/>
              <w:rPr>
                <w:rFonts w:ascii="宋体" w:hAnsi="宋体" w:cs="宋体"/>
                <w:color w:val="auto"/>
                <w:szCs w:val="21"/>
                <w:highlight w:val="none"/>
                <w:shd w:val="clear" w:color="auto" w:fill="auto"/>
              </w:rPr>
            </w:pPr>
            <w:r>
              <w:rPr>
                <w:rFonts w:hint="eastAsia" w:ascii="宋体" w:hAnsi="宋体"/>
                <w:color w:val="auto"/>
                <w:szCs w:val="21"/>
                <w:highlight w:val="none"/>
                <w:lang w:eastAsia="zh-CN"/>
              </w:rPr>
              <w:t>☑</w:t>
            </w:r>
            <w:r>
              <w:rPr>
                <w:rFonts w:hint="eastAsia" w:ascii="宋体" w:hAnsi="宋体" w:cs="宋体"/>
                <w:color w:val="auto"/>
                <w:szCs w:val="21"/>
                <w:highlight w:val="none"/>
                <w:shd w:val="clear" w:color="auto" w:fill="auto"/>
              </w:rPr>
              <w:t>不允许</w:t>
            </w:r>
          </w:p>
          <w:p w14:paraId="592876D2">
            <w:pPr>
              <w:adjustRightInd w:val="0"/>
              <w:snapToGrid w:val="0"/>
              <w:spacing w:line="360" w:lineRule="auto"/>
              <w:jc w:val="left"/>
              <w:outlineLvl w:val="9"/>
              <w:rPr>
                <w:rFonts w:hint="eastAsia" w:ascii="宋体" w:hAnsi="宋体" w:eastAsia="宋体" w:cs="宋体"/>
                <w:color w:val="auto"/>
                <w:szCs w:val="21"/>
                <w:highlight w:val="none"/>
                <w:u w:val="single"/>
              </w:rPr>
            </w:pPr>
            <w:r>
              <w:rPr>
                <w:rFonts w:hint="eastAsia" w:ascii="宋体" w:hAnsi="宋体"/>
                <w:color w:val="auto"/>
                <w:szCs w:val="21"/>
                <w:highlight w:val="none"/>
                <w:lang w:eastAsia="zh-CN"/>
              </w:rPr>
              <w:t>□</w:t>
            </w:r>
            <w:r>
              <w:rPr>
                <w:rFonts w:hint="eastAsia" w:ascii="宋体" w:hAnsi="宋体" w:cs="宋体"/>
                <w:color w:val="auto"/>
                <w:szCs w:val="21"/>
                <w:highlight w:val="none"/>
                <w:shd w:val="clear" w:color="auto" w:fill="auto"/>
              </w:rPr>
              <w:t>允许</w:t>
            </w:r>
          </w:p>
        </w:tc>
      </w:tr>
      <w:tr w14:paraId="5A40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0664B54">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984" w:type="dxa"/>
            <w:vAlign w:val="center"/>
          </w:tcPr>
          <w:p w14:paraId="422CCAC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w:t>
            </w:r>
          </w:p>
          <w:p w14:paraId="03E1AAD0">
            <w:pPr>
              <w:keepNext/>
              <w:keepLines/>
              <w:tabs>
                <w:tab w:val="left" w:pos="780"/>
              </w:tabs>
              <w:spacing w:before="280" w:after="290" w:line="377" w:lineRule="auto"/>
              <w:jc w:val="center"/>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（本项目不适用）</w:t>
            </w:r>
          </w:p>
        </w:tc>
        <w:tc>
          <w:tcPr>
            <w:tcW w:w="6058" w:type="dxa"/>
            <w:gridSpan w:val="2"/>
            <w:vAlign w:val="center"/>
          </w:tcPr>
          <w:p w14:paraId="24A1E2C1">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货物类项目填写此栏</w:t>
            </w:r>
          </w:p>
          <w:p w14:paraId="06304EEA">
            <w:pPr>
              <w:adjustRightInd w:val="0"/>
              <w:snapToGrid w:val="0"/>
              <w:spacing w:line="360" w:lineRule="auto"/>
              <w:jc w:val="left"/>
              <w:rPr>
                <w:rFonts w:ascii="宋体" w:hAnsi="宋体" w:eastAsia="宋体"/>
                <w:color w:val="auto"/>
                <w:szCs w:val="21"/>
                <w:highlight w:val="none"/>
              </w:rPr>
            </w:pPr>
            <w:r>
              <w:rPr>
                <w:rFonts w:hint="eastAsia" w:ascii="宋体" w:hAnsi="宋体"/>
                <w:color w:val="auto"/>
                <w:szCs w:val="21"/>
                <w:highlight w:val="none"/>
                <w:lang w:eastAsia="zh-CN"/>
              </w:rPr>
              <w:t>☑</w:t>
            </w:r>
            <w:r>
              <w:rPr>
                <w:rFonts w:ascii="宋体" w:hAnsi="宋体" w:eastAsia="宋体"/>
                <w:color w:val="auto"/>
                <w:szCs w:val="21"/>
                <w:highlight w:val="none"/>
              </w:rPr>
              <w:t>无</w:t>
            </w:r>
          </w:p>
          <w:p w14:paraId="3405C9BB">
            <w:pPr>
              <w:adjustRightInd w:val="0"/>
              <w:snapToGrid w:val="0"/>
              <w:spacing w:line="360" w:lineRule="auto"/>
              <w:jc w:val="left"/>
              <w:rPr>
                <w:rFonts w:ascii="宋体" w:hAnsi="宋体" w:eastAsia="宋体"/>
                <w:color w:val="auto"/>
                <w:szCs w:val="21"/>
                <w:highlight w:val="none"/>
              </w:rPr>
            </w:pPr>
            <w:r>
              <w:rPr>
                <w:rFonts w:hint="eastAsia" w:ascii="宋体" w:hAnsi="宋体"/>
                <w:color w:val="auto"/>
                <w:szCs w:val="21"/>
                <w:highlight w:val="none"/>
                <w:lang w:eastAsia="zh-CN"/>
              </w:rPr>
              <w:t>□</w:t>
            </w:r>
            <w:r>
              <w:rPr>
                <w:rFonts w:ascii="宋体" w:hAnsi="宋体" w:eastAsia="宋体"/>
                <w:color w:val="auto"/>
                <w:szCs w:val="21"/>
                <w:highlight w:val="none"/>
              </w:rPr>
              <w:t>有</w:t>
            </w:r>
          </w:p>
          <w:p w14:paraId="46ADCA09">
            <w:pPr>
              <w:adjustRightInd w:val="0"/>
              <w:snapToGrid w:val="0"/>
              <w:spacing w:line="360" w:lineRule="auto"/>
              <w:jc w:val="left"/>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产品名称：</w:t>
            </w:r>
          </w:p>
          <w:p w14:paraId="788EFB74">
            <w:pPr>
              <w:adjustRightInd w:val="0"/>
              <w:snapToGrid w:val="0"/>
              <w:spacing w:line="360" w:lineRule="auto"/>
              <w:jc w:val="left"/>
              <w:outlineLvl w:val="9"/>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的方式确定一个参加评标的投标人，招标文件未规定的采取随机抽取方式确定，其他投标无效。</w:t>
            </w:r>
          </w:p>
          <w:p w14:paraId="322DC9DA">
            <w:pPr>
              <w:adjustRightInd w:val="0"/>
              <w:snapToGrid w:val="0"/>
              <w:spacing w:line="360" w:lineRule="auto"/>
              <w:jc w:val="left"/>
              <w:outlineLvl w:val="9"/>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lang w:val="zh-CN"/>
              </w:rPr>
              <w:t>采用综合评分法的采购项目，多家投标人提供的核心产品品牌相同，且通过资格审查、符合性审查的，按一家投标人计算，评审后得分最高的同品牌投标人获得中标人推荐资格，（</w:t>
            </w:r>
            <w:r>
              <w:rPr>
                <w:rFonts w:hint="eastAsia" w:ascii="宋体" w:hAnsi="宋体" w:eastAsia="宋体" w:cs="宋体"/>
                <w:b/>
                <w:color w:val="auto"/>
                <w:szCs w:val="21"/>
                <w:highlight w:val="none"/>
              </w:rPr>
              <w:t>评审得分相同的，由采购人或者采购人委托评标委员会按照的方式确定一个投标人获得中标人推荐资格，招标文件未规定的采取随机抽取方式确定</w:t>
            </w:r>
            <w:r>
              <w:rPr>
                <w:rFonts w:hint="eastAsia" w:ascii="宋体" w:hAnsi="宋体" w:eastAsia="宋体" w:cs="宋体"/>
                <w:b/>
                <w:bCs/>
                <w:color w:val="auto"/>
                <w:szCs w:val="21"/>
                <w:highlight w:val="none"/>
                <w:lang w:val="zh-CN"/>
              </w:rPr>
              <w:t>），其他同品牌投标人不作为中标候选人。</w:t>
            </w:r>
          </w:p>
        </w:tc>
      </w:tr>
      <w:tr w14:paraId="41C3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2D607B1">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984" w:type="dxa"/>
            <w:vAlign w:val="center"/>
          </w:tcPr>
          <w:p w14:paraId="44895DA1">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采购进口产品</w:t>
            </w:r>
          </w:p>
        </w:tc>
        <w:tc>
          <w:tcPr>
            <w:tcW w:w="6058" w:type="dxa"/>
            <w:gridSpan w:val="2"/>
            <w:vAlign w:val="center"/>
          </w:tcPr>
          <w:p w14:paraId="7E292FC9">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本采购项目拒绝进口产品参加投标</w:t>
            </w:r>
          </w:p>
          <w:p w14:paraId="40B4521D">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本采购项目已经财政部审核同意购买进口产品</w:t>
            </w:r>
          </w:p>
          <w:p w14:paraId="7CECF02E">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其他____________</w:t>
            </w:r>
          </w:p>
        </w:tc>
      </w:tr>
      <w:tr w14:paraId="7E4E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D5647EB">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984" w:type="dxa"/>
            <w:vAlign w:val="center"/>
          </w:tcPr>
          <w:p w14:paraId="361E0411">
            <w:pPr>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信息发布媒体</w:t>
            </w:r>
          </w:p>
        </w:tc>
        <w:tc>
          <w:tcPr>
            <w:tcW w:w="6058" w:type="dxa"/>
            <w:gridSpan w:val="2"/>
            <w:vAlign w:val="center"/>
          </w:tcPr>
          <w:p w14:paraId="08C95EDD">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w:t>
            </w:r>
          </w:p>
          <w:p w14:paraId="31F8E9ED">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（2）大连市公共资源交易平台（</w:t>
            </w:r>
            <w:bookmarkStart w:id="11" w:name="OLE_LINK117"/>
            <w:bookmarkStart w:id="12" w:name="OLE_LINK116"/>
            <w:r>
              <w:rPr>
                <w:rFonts w:hint="eastAsia" w:ascii="宋体" w:hAnsi="宋体" w:eastAsia="宋体" w:cs="宋体"/>
                <w:color w:val="auto"/>
                <w:szCs w:val="21"/>
                <w:highlight w:val="none"/>
              </w:rPr>
              <w:t>http://ggzyjy.dl.gov.cn/</w:t>
            </w:r>
            <w:bookmarkEnd w:id="11"/>
            <w:bookmarkEnd w:id="12"/>
            <w:r>
              <w:rPr>
                <w:rFonts w:hint="eastAsia" w:ascii="宋体" w:hAnsi="宋体" w:eastAsia="宋体" w:cs="宋体"/>
                <w:color w:val="auto"/>
                <w:szCs w:val="21"/>
                <w:highlight w:val="none"/>
              </w:rPr>
              <w:t>）</w:t>
            </w:r>
          </w:p>
        </w:tc>
      </w:tr>
      <w:tr w14:paraId="6BE4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E19759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984" w:type="dxa"/>
            <w:vAlign w:val="center"/>
          </w:tcPr>
          <w:p w14:paraId="69EEC52A">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获取招标文件</w:t>
            </w:r>
          </w:p>
          <w:p w14:paraId="21D07BBC">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时间、地点和</w:t>
            </w:r>
          </w:p>
          <w:p w14:paraId="59F9924F">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方式等</w:t>
            </w:r>
          </w:p>
        </w:tc>
        <w:tc>
          <w:tcPr>
            <w:tcW w:w="6058" w:type="dxa"/>
            <w:gridSpan w:val="2"/>
            <w:vAlign w:val="center"/>
          </w:tcPr>
          <w:p w14:paraId="42B192F1">
            <w:pPr>
              <w:adjustRightInd w:val="0"/>
              <w:snapToGrid w:val="0"/>
              <w:spacing w:line="360" w:lineRule="auto"/>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时间</w:t>
            </w: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u w:val="single"/>
              </w:rPr>
              <w:t>202</w:t>
            </w:r>
            <w:r>
              <w:rPr>
                <w:rFonts w:hint="eastAsia" w:ascii="宋体" w:hAnsi="宋体" w:cs="宋体"/>
                <w:b w:val="0"/>
                <w:bCs w:val="0"/>
                <w:color w:val="auto"/>
                <w:szCs w:val="21"/>
                <w:highlight w:val="none"/>
                <w:u w:val="single"/>
                <w:lang w:val="en-US" w:eastAsia="zh-CN"/>
              </w:rPr>
              <w:t>6</w:t>
            </w:r>
            <w:r>
              <w:rPr>
                <w:rFonts w:hint="eastAsia" w:ascii="宋体" w:hAnsi="宋体" w:eastAsia="宋体" w:cs="宋体"/>
                <w:b w:val="0"/>
                <w:bCs w:val="0"/>
                <w:color w:val="auto"/>
                <w:szCs w:val="21"/>
                <w:highlight w:val="none"/>
                <w:u w:val="none"/>
              </w:rPr>
              <w:t>年</w:t>
            </w:r>
            <w:r>
              <w:rPr>
                <w:rFonts w:hint="eastAsia" w:ascii="宋体" w:hAnsi="宋体"/>
                <w:b w:val="0"/>
                <w:bCs w:val="0"/>
                <w:color w:val="auto"/>
                <w:szCs w:val="21"/>
                <w:highlight w:val="none"/>
                <w:u w:val="single"/>
                <w:lang w:val="en-US" w:eastAsia="zh-CN"/>
              </w:rPr>
              <w:t>06</w:t>
            </w:r>
            <w:r>
              <w:rPr>
                <w:rFonts w:hint="eastAsia" w:ascii="宋体" w:hAnsi="宋体" w:eastAsia="宋体"/>
                <w:b w:val="0"/>
                <w:bCs w:val="0"/>
                <w:color w:val="auto"/>
                <w:szCs w:val="21"/>
                <w:highlight w:val="none"/>
                <w:u w:val="single"/>
              </w:rPr>
              <w:t>月</w:t>
            </w:r>
            <w:r>
              <w:rPr>
                <w:rFonts w:hint="eastAsia" w:ascii="宋体" w:hAnsi="宋体"/>
                <w:b w:val="0"/>
                <w:bCs w:val="0"/>
                <w:color w:val="auto"/>
                <w:szCs w:val="21"/>
                <w:highlight w:val="none"/>
                <w:u w:val="single"/>
                <w:lang w:val="en-US" w:eastAsia="zh-CN"/>
              </w:rPr>
              <w:t>16</w:t>
            </w:r>
            <w:r>
              <w:rPr>
                <w:rFonts w:hint="eastAsia" w:ascii="宋体" w:hAnsi="宋体" w:eastAsia="宋体" w:cs="宋体"/>
                <w:b w:val="0"/>
                <w:bCs w:val="0"/>
                <w:color w:val="auto"/>
                <w:szCs w:val="21"/>
                <w:highlight w:val="none"/>
                <w:u w:val="none"/>
              </w:rPr>
              <w:t>日至</w:t>
            </w:r>
            <w:r>
              <w:rPr>
                <w:rFonts w:hint="eastAsia" w:ascii="宋体" w:hAnsi="宋体" w:eastAsia="宋体" w:cs="宋体"/>
                <w:b w:val="0"/>
                <w:bCs w:val="0"/>
                <w:color w:val="auto"/>
                <w:szCs w:val="21"/>
                <w:highlight w:val="none"/>
                <w:u w:val="single"/>
              </w:rPr>
              <w:t>202</w:t>
            </w:r>
            <w:r>
              <w:rPr>
                <w:rFonts w:hint="eastAsia" w:ascii="宋体" w:hAnsi="宋体" w:cs="宋体"/>
                <w:b w:val="0"/>
                <w:bCs w:val="0"/>
                <w:color w:val="auto"/>
                <w:szCs w:val="21"/>
                <w:highlight w:val="none"/>
                <w:u w:val="single"/>
                <w:lang w:val="en-US" w:eastAsia="zh-CN"/>
              </w:rPr>
              <w:t>6</w:t>
            </w:r>
            <w:r>
              <w:rPr>
                <w:rFonts w:hint="eastAsia" w:ascii="宋体" w:hAnsi="宋体" w:eastAsia="宋体" w:cs="宋体"/>
                <w:b w:val="0"/>
                <w:bCs w:val="0"/>
                <w:color w:val="auto"/>
                <w:szCs w:val="21"/>
                <w:highlight w:val="none"/>
                <w:u w:val="none"/>
              </w:rPr>
              <w:t>年</w:t>
            </w:r>
            <w:r>
              <w:rPr>
                <w:rFonts w:hint="eastAsia" w:ascii="宋体" w:hAnsi="宋体"/>
                <w:b w:val="0"/>
                <w:bCs w:val="0"/>
                <w:color w:val="auto"/>
                <w:szCs w:val="21"/>
                <w:highlight w:val="none"/>
                <w:u w:val="single"/>
                <w:lang w:val="en-US" w:eastAsia="zh-CN"/>
              </w:rPr>
              <w:t>06</w:t>
            </w:r>
            <w:r>
              <w:rPr>
                <w:rFonts w:hint="eastAsia" w:ascii="宋体" w:hAnsi="宋体" w:eastAsia="宋体"/>
                <w:b w:val="0"/>
                <w:bCs w:val="0"/>
                <w:color w:val="auto"/>
                <w:szCs w:val="21"/>
                <w:highlight w:val="none"/>
                <w:u w:val="single"/>
              </w:rPr>
              <w:t>月</w:t>
            </w:r>
            <w:r>
              <w:rPr>
                <w:rFonts w:hint="eastAsia" w:ascii="宋体" w:hAnsi="宋体"/>
                <w:b w:val="0"/>
                <w:bCs w:val="0"/>
                <w:color w:val="auto"/>
                <w:szCs w:val="21"/>
                <w:highlight w:val="none"/>
                <w:u w:val="single"/>
                <w:lang w:val="en-US" w:eastAsia="zh-CN"/>
              </w:rPr>
              <w:t>24</w:t>
            </w:r>
            <w:r>
              <w:rPr>
                <w:rFonts w:hint="eastAsia" w:ascii="宋体" w:hAnsi="宋体" w:eastAsia="宋体" w:cs="宋体"/>
                <w:b w:val="0"/>
                <w:bCs w:val="0"/>
                <w:color w:val="auto"/>
                <w:szCs w:val="21"/>
                <w:highlight w:val="none"/>
                <w:u w:val="none"/>
              </w:rPr>
              <w:t>日</w:t>
            </w:r>
            <w:bookmarkStart w:id="272" w:name="_GoBack"/>
            <w:bookmarkEnd w:id="272"/>
            <w:r>
              <w:rPr>
                <w:rFonts w:hint="eastAsia" w:ascii="宋体" w:hAnsi="宋体" w:eastAsia="宋体" w:cs="宋体"/>
                <w:b w:val="0"/>
                <w:bCs w:val="0"/>
                <w:color w:val="auto"/>
                <w:szCs w:val="21"/>
                <w:highlight w:val="none"/>
                <w:u w:val="none"/>
              </w:rPr>
              <w:t>每天8:00-2</w:t>
            </w:r>
            <w:r>
              <w:rPr>
                <w:rFonts w:hint="eastAsia" w:ascii="宋体" w:hAnsi="宋体" w:cs="宋体"/>
                <w:b w:val="0"/>
                <w:bCs w:val="0"/>
                <w:color w:val="auto"/>
                <w:szCs w:val="21"/>
                <w:highlight w:val="none"/>
                <w:u w:val="none"/>
                <w:lang w:val="en-US" w:eastAsia="zh-CN"/>
              </w:rPr>
              <w:t>1</w:t>
            </w:r>
            <w:r>
              <w:rPr>
                <w:rFonts w:hint="eastAsia" w:ascii="宋体" w:hAnsi="宋体" w:eastAsia="宋体" w:cs="宋体"/>
                <w:b w:val="0"/>
                <w:bCs w:val="0"/>
                <w:color w:val="auto"/>
                <w:szCs w:val="21"/>
                <w:highlight w:val="none"/>
                <w:u w:val="none"/>
              </w:rPr>
              <w:t>:00</w:t>
            </w:r>
            <w:r>
              <w:rPr>
                <w:rFonts w:hint="eastAsia" w:ascii="宋体" w:hAnsi="宋体" w:eastAsia="宋体" w:cs="宋体"/>
                <w:bCs/>
                <w:color w:val="auto"/>
                <w:szCs w:val="21"/>
                <w:highlight w:val="none"/>
              </w:rPr>
              <w:t>（北京时间，法定节假日除外）。</w:t>
            </w:r>
          </w:p>
          <w:p w14:paraId="5D3FFA03">
            <w:pPr>
              <w:adjustRightInd w:val="0"/>
              <w:snapToGrid w:val="0"/>
              <w:spacing w:line="360" w:lineRule="auto"/>
              <w:outlineLvl w:val="9"/>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地点：</w:t>
            </w:r>
            <w:r>
              <w:rPr>
                <w:rFonts w:hint="eastAsia" w:ascii="宋体" w:hAnsi="宋体" w:eastAsia="宋体" w:cs="宋体"/>
                <w:color w:val="auto"/>
                <w:szCs w:val="21"/>
                <w:highlight w:val="none"/>
                <w:u w:val="single"/>
              </w:rPr>
              <w:t>大连市公共资源交易平台。</w:t>
            </w:r>
          </w:p>
          <w:p w14:paraId="24180215">
            <w:pPr>
              <w:wordWrap w:val="0"/>
              <w:spacing w:line="360" w:lineRule="auto"/>
              <w:outlineLvl w:val="9"/>
              <w:rPr>
                <w:rFonts w:hint="eastAsia" w:ascii="宋体" w:hAnsi="宋体" w:eastAsia="宋体" w:cs="宋体"/>
                <w:color w:val="auto"/>
                <w:kern w:val="0"/>
                <w:szCs w:val="21"/>
                <w:highlight w:val="none"/>
              </w:rPr>
            </w:pPr>
            <w:r>
              <w:rPr>
                <w:rFonts w:hint="eastAsia" w:ascii="宋体" w:hAnsi="宋体" w:eastAsia="宋体" w:cs="宋体"/>
                <w:b/>
                <w:color w:val="auto"/>
                <w:szCs w:val="21"/>
                <w:highlight w:val="none"/>
              </w:rPr>
              <w:t>方式：</w:t>
            </w:r>
            <w:r>
              <w:rPr>
                <w:rFonts w:hint="eastAsia" w:ascii="宋体" w:hAnsi="宋体" w:eastAsia="宋体" w:cs="宋体"/>
                <w:color w:val="auto"/>
                <w:kern w:val="0"/>
                <w:szCs w:val="21"/>
                <w:highlight w:val="none"/>
              </w:rPr>
              <w:t>供应商申请获取采购文件：登陆大连市公共资源交易平台</w:t>
            </w:r>
            <w:r>
              <w:rPr>
                <w:rFonts w:hint="eastAsia" w:ascii="宋体" w:hAnsi="宋体" w:eastAsia="宋体" w:cs="宋体"/>
                <w:color w:val="auto"/>
                <w:sz w:val="24"/>
                <w:highlight w:val="none"/>
              </w:rPr>
              <w:t>http://ggzyjy.dl.g</w:t>
            </w:r>
            <w:r>
              <w:rPr>
                <w:rFonts w:hint="eastAsia" w:ascii="宋体" w:hAnsi="宋体" w:eastAsia="宋体" w:cs="宋体"/>
                <w:color w:val="auto"/>
                <w:szCs w:val="21"/>
                <w:highlight w:val="none"/>
              </w:rPr>
              <w:t>ov.cn/，线上获取。</w:t>
            </w:r>
          </w:p>
        </w:tc>
      </w:tr>
      <w:tr w14:paraId="5474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AACE007">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984" w:type="dxa"/>
            <w:vAlign w:val="center"/>
          </w:tcPr>
          <w:p w14:paraId="2C2BF185">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现场考察/踏勘</w:t>
            </w:r>
          </w:p>
        </w:tc>
        <w:tc>
          <w:tcPr>
            <w:tcW w:w="6058" w:type="dxa"/>
            <w:gridSpan w:val="2"/>
            <w:vAlign w:val="center"/>
          </w:tcPr>
          <w:p w14:paraId="238D8521">
            <w:pPr>
              <w:tabs>
                <w:tab w:val="left" w:pos="0"/>
                <w:tab w:val="left" w:pos="420"/>
              </w:tabs>
              <w:adjustRightInd w:val="0"/>
              <w:snapToGrid w:val="0"/>
              <w:spacing w:line="360" w:lineRule="auto"/>
              <w:jc w:val="left"/>
              <w:rPr>
                <w:rFonts w:ascii="宋体" w:hAnsi="宋体" w:eastAsia="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ascii="宋体" w:hAnsi="宋体" w:eastAsia="宋体"/>
                <w:color w:val="auto"/>
                <w:szCs w:val="21"/>
                <w:highlight w:val="none"/>
              </w:rPr>
              <w:t>不组织现场考察/踏勘</w:t>
            </w:r>
          </w:p>
          <w:p w14:paraId="2A47C358">
            <w:pPr>
              <w:tabs>
                <w:tab w:val="left" w:pos="0"/>
                <w:tab w:val="left" w:pos="420"/>
              </w:tabs>
              <w:adjustRightInd w:val="0"/>
              <w:snapToGrid w:val="0"/>
              <w:spacing w:line="360" w:lineRule="auto"/>
              <w:rPr>
                <w:rFonts w:hint="eastAsia" w:ascii="宋体" w:hAnsi="宋体" w:eastAsia="宋体" w:cs="宋体"/>
                <w:bCs/>
                <w:color w:val="auto"/>
                <w:szCs w:val="21"/>
                <w:highlight w:val="none"/>
              </w:rPr>
            </w:pPr>
            <w:r>
              <w:rPr>
                <w:rFonts w:hint="eastAsia" w:ascii="宋体" w:hAnsi="宋体"/>
                <w:color w:val="auto"/>
                <w:szCs w:val="21"/>
                <w:highlight w:val="none"/>
                <w:lang w:eastAsia="zh-CN"/>
              </w:rPr>
              <w:t>□</w:t>
            </w:r>
            <w:r>
              <w:rPr>
                <w:rFonts w:ascii="宋体" w:hAnsi="宋体" w:eastAsia="宋体"/>
                <w:bCs/>
                <w:color w:val="auto"/>
                <w:szCs w:val="21"/>
                <w:highlight w:val="none"/>
              </w:rPr>
              <w:t>组织现场考察</w:t>
            </w:r>
            <w:r>
              <w:rPr>
                <w:rFonts w:ascii="宋体" w:hAnsi="宋体" w:eastAsia="宋体"/>
                <w:color w:val="auto"/>
                <w:szCs w:val="21"/>
                <w:highlight w:val="none"/>
              </w:rPr>
              <w:t>/踏勘</w:t>
            </w:r>
            <w:r>
              <w:rPr>
                <w:rFonts w:ascii="宋体" w:hAnsi="宋体" w:eastAsia="宋体"/>
                <w:bCs/>
                <w:color w:val="auto"/>
                <w:szCs w:val="21"/>
                <w:highlight w:val="none"/>
              </w:rPr>
              <w:t>：</w:t>
            </w:r>
          </w:p>
          <w:p w14:paraId="458B193C">
            <w:pPr>
              <w:tabs>
                <w:tab w:val="left" w:pos="0"/>
                <w:tab w:val="left" w:pos="420"/>
              </w:tabs>
              <w:adjustRightInd w:val="0"/>
              <w:snapToGrid w:val="0"/>
              <w:spacing w:line="360" w:lineRule="auto"/>
              <w:outlineLvl w:val="9"/>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时间：</w:t>
            </w:r>
            <w:r>
              <w:rPr>
                <w:rFonts w:hint="eastAsia" w:ascii="宋体" w:hAnsi="宋体" w:eastAsia="宋体" w:cs="宋体"/>
                <w:bCs/>
                <w:color w:val="auto"/>
                <w:szCs w:val="21"/>
                <w:highlight w:val="none"/>
              </w:rPr>
              <w:t>年月日午</w:t>
            </w:r>
            <w:r>
              <w:rPr>
                <w:rFonts w:hint="eastAsia" w:ascii="宋体" w:hAnsi="宋体" w:eastAsia="宋体" w:cs="宋体"/>
                <w:color w:val="auto"/>
                <w:szCs w:val="21"/>
                <w:highlight w:val="none"/>
              </w:rPr>
              <w:t>（北京时间）</w:t>
            </w:r>
          </w:p>
          <w:p w14:paraId="28741E51">
            <w:pPr>
              <w:tabs>
                <w:tab w:val="left" w:pos="0"/>
                <w:tab w:val="left" w:pos="420"/>
              </w:tabs>
              <w:adjustRightInd w:val="0"/>
              <w:snapToGrid w:val="0"/>
              <w:spacing w:line="360" w:lineRule="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地点：</w:t>
            </w:r>
          </w:p>
          <w:p w14:paraId="70152FAC">
            <w:pPr>
              <w:tabs>
                <w:tab w:val="left" w:pos="0"/>
                <w:tab w:val="left" w:pos="420"/>
              </w:tabs>
              <w:adjustRightInd w:val="0"/>
              <w:snapToGrid w:val="0"/>
              <w:spacing w:line="360" w:lineRule="auto"/>
              <w:outlineLvl w:val="9"/>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联系人：</w:t>
            </w:r>
          </w:p>
          <w:p w14:paraId="337D1D4B">
            <w:pPr>
              <w:tabs>
                <w:tab w:val="left" w:pos="0"/>
                <w:tab w:val="left" w:pos="420"/>
              </w:tabs>
              <w:adjustRightInd w:val="0"/>
              <w:snapToGrid w:val="0"/>
              <w:spacing w:line="360" w:lineRule="auto"/>
              <w:outlineLvl w:val="9"/>
              <w:rPr>
                <w:rFonts w:hint="eastAsia" w:ascii="宋体" w:hAnsi="宋体" w:eastAsia="宋体" w:cs="宋体"/>
                <w:bCs/>
                <w:color w:val="auto"/>
                <w:szCs w:val="21"/>
                <w:highlight w:val="none"/>
                <w:u w:val="single"/>
              </w:rPr>
            </w:pPr>
            <w:r>
              <w:rPr>
                <w:rFonts w:hint="eastAsia" w:ascii="宋体" w:hAnsi="宋体" w:eastAsia="宋体" w:cs="宋体"/>
                <w:b/>
                <w:color w:val="auto"/>
                <w:szCs w:val="21"/>
                <w:highlight w:val="none"/>
              </w:rPr>
              <w:t>联系电话：</w:t>
            </w:r>
          </w:p>
          <w:p w14:paraId="0EC1DED7">
            <w:pPr>
              <w:tabs>
                <w:tab w:val="left" w:pos="0"/>
                <w:tab w:val="left" w:pos="420"/>
              </w:tabs>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要求：</w:t>
            </w:r>
          </w:p>
        </w:tc>
      </w:tr>
      <w:tr w14:paraId="37E5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0D2A08D">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984" w:type="dxa"/>
            <w:vAlign w:val="center"/>
          </w:tcPr>
          <w:p w14:paraId="452D13E5">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样品</w:t>
            </w:r>
          </w:p>
        </w:tc>
        <w:tc>
          <w:tcPr>
            <w:tcW w:w="6058" w:type="dxa"/>
            <w:gridSpan w:val="2"/>
            <w:vAlign w:val="center"/>
          </w:tcPr>
          <w:p w14:paraId="45F6FEFB">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不要求提供</w:t>
            </w:r>
          </w:p>
          <w:p w14:paraId="6F76FDFF">
            <w:pPr>
              <w:adjustRightInd w:val="0"/>
              <w:snapToGrid w:val="0"/>
              <w:spacing w:line="360" w:lineRule="auto"/>
              <w:jc w:val="left"/>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bCs/>
                <w:color w:val="auto"/>
                <w:szCs w:val="21"/>
                <w:highlight w:val="none"/>
              </w:rPr>
              <w:t>要求提供：</w:t>
            </w:r>
          </w:p>
          <w:p w14:paraId="1E2B926D">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1.样品制作的标准和要求：____________________</w:t>
            </w:r>
          </w:p>
          <w:p w14:paraId="0A41F285">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2.样品检测报告：(□否；□是，检测机构的要求、检测内容详见第六章项目采购需求)</w:t>
            </w:r>
          </w:p>
          <w:p w14:paraId="71942666">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3.样品的评审方法及评审标准：内容详见第三章评标办法及标准</w:t>
            </w:r>
          </w:p>
        </w:tc>
      </w:tr>
      <w:tr w14:paraId="0FFE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6F4E76B6">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984" w:type="dxa"/>
            <w:vMerge w:val="restart"/>
            <w:vAlign w:val="center"/>
          </w:tcPr>
          <w:p w14:paraId="4C64EAE8">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投标文件组成</w:t>
            </w:r>
          </w:p>
        </w:tc>
        <w:tc>
          <w:tcPr>
            <w:tcW w:w="851" w:type="dxa"/>
            <w:vMerge w:val="restart"/>
            <w:vAlign w:val="center"/>
          </w:tcPr>
          <w:p w14:paraId="141922CA">
            <w:pPr>
              <w:topLinePunct/>
              <w:autoSpaceDE w:val="0"/>
              <w:autoSpaceDN w:val="0"/>
              <w:adjustRightInd w:val="0"/>
              <w:snapToGrid w:val="0"/>
              <w:spacing w:line="360" w:lineRule="auto"/>
              <w:jc w:val="center"/>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商务部</w:t>
            </w:r>
            <w:r>
              <w:rPr>
                <w:rFonts w:hint="eastAsia" w:ascii="宋体" w:hAnsi="宋体" w:eastAsia="宋体" w:cs="宋体"/>
                <w:bCs/>
                <w:color w:val="auto"/>
                <w:szCs w:val="21"/>
                <w:highlight w:val="none"/>
              </w:rPr>
              <w:t>分</w:t>
            </w:r>
          </w:p>
        </w:tc>
        <w:tc>
          <w:tcPr>
            <w:tcW w:w="5207" w:type="dxa"/>
            <w:vAlign w:val="center"/>
          </w:tcPr>
          <w:p w14:paraId="34F13FFC">
            <w:pPr>
              <w:widowControl/>
              <w:tabs>
                <w:tab w:val="left" w:pos="0"/>
                <w:tab w:val="left" w:pos="420"/>
              </w:tabs>
              <w:adjustRightInd w:val="0"/>
              <w:snapToGrid w:val="0"/>
              <w:spacing w:line="360" w:lineRule="auto"/>
              <w:jc w:val="left"/>
              <w:outlineLvl w:val="9"/>
              <w:rPr>
                <w:rFonts w:hint="eastAsia" w:ascii="宋体" w:hAnsi="宋体" w:eastAsia="宋体" w:cs="宋体"/>
                <w:b/>
                <w:color w:val="auto"/>
                <w:szCs w:val="21"/>
                <w:highlight w:val="none"/>
              </w:rPr>
            </w:pPr>
            <w:bookmarkStart w:id="13" w:name="OLE_LINK24"/>
            <w:bookmarkStart w:id="14" w:name="OLE_LINK23"/>
            <w:r>
              <w:rPr>
                <w:rFonts w:hint="eastAsia" w:ascii="宋体" w:hAnsi="宋体" w:eastAsia="宋体" w:cs="宋体"/>
                <w:b/>
                <w:color w:val="auto"/>
                <w:szCs w:val="21"/>
                <w:highlight w:val="none"/>
              </w:rPr>
              <w:t>一、资格证明文件：</w:t>
            </w:r>
          </w:p>
          <w:p w14:paraId="239EE38F">
            <w:pPr>
              <w:adjustRightInd w:val="0"/>
              <w:snapToGrid w:val="0"/>
              <w:spacing w:line="360" w:lineRule="auto"/>
              <w:jc w:val="left"/>
              <w:outlineLvl w:val="9"/>
              <w:rPr>
                <w:rFonts w:hint="eastAsia" w:ascii="宋体" w:hAnsi="宋体"/>
                <w:color w:val="auto"/>
                <w:szCs w:val="21"/>
                <w:highlight w:val="none"/>
              </w:rPr>
            </w:pPr>
            <w:bookmarkStart w:id="15" w:name="OLE_LINK38"/>
            <w:bookmarkStart w:id="16" w:name="OLE_LINK39"/>
            <w:r>
              <w:rPr>
                <w:rFonts w:hint="eastAsia" w:ascii="宋体" w:hAnsi="宋体"/>
                <w:color w:val="auto"/>
                <w:szCs w:val="21"/>
                <w:highlight w:val="none"/>
              </w:rPr>
              <w:t>1.</w:t>
            </w:r>
            <w:r>
              <w:rPr>
                <w:rFonts w:hint="eastAsia" w:ascii="宋体" w:hAnsi="宋体" w:cs="宋体"/>
                <w:color w:val="auto"/>
                <w:spacing w:val="-1"/>
                <w:szCs w:val="21"/>
                <w:highlight w:val="none"/>
              </w:rPr>
              <w:t>投标人基本情况；</w:t>
            </w:r>
          </w:p>
          <w:p w14:paraId="0D5F91A7">
            <w:pPr>
              <w:adjustRightInd w:val="0"/>
              <w:snapToGrid w:val="0"/>
              <w:spacing w:line="360" w:lineRule="auto"/>
              <w:jc w:val="left"/>
              <w:outlineLvl w:val="9"/>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★法人或者其他组织的营业执照等证明文件，自然人的身份证明复印件（线上采购项目提供扫描件）</w:t>
            </w:r>
            <w:r>
              <w:rPr>
                <w:rFonts w:hint="eastAsia" w:ascii="宋体" w:hAnsi="宋体"/>
                <w:color w:val="auto"/>
                <w:szCs w:val="21"/>
                <w:highlight w:val="none"/>
              </w:rPr>
              <w:t>；</w:t>
            </w:r>
          </w:p>
          <w:p w14:paraId="3E60DF0B">
            <w:pPr>
              <w:adjustRightInd w:val="0"/>
              <w:snapToGrid w:val="0"/>
              <w:spacing w:line="360" w:lineRule="auto"/>
              <w:jc w:val="left"/>
              <w:outlineLvl w:val="9"/>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.★财务状况报告：</w:t>
            </w:r>
            <w:r>
              <w:rPr>
                <w:rFonts w:hint="eastAsia" w:ascii="宋体" w:hAnsi="宋体"/>
                <w:color w:val="auto"/>
                <w:szCs w:val="21"/>
                <w:highlight w:val="none"/>
              </w:rPr>
              <w:t>202</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或</w:t>
            </w:r>
            <w:r>
              <w:rPr>
                <w:rFonts w:hint="eastAsia" w:ascii="宋体" w:hAnsi="宋体"/>
                <w:color w:val="auto"/>
                <w:szCs w:val="21"/>
                <w:highlight w:val="none"/>
                <w:lang w:val="en-US" w:eastAsia="zh-CN"/>
              </w:rPr>
              <w:t>2024年度</w:t>
            </w:r>
            <w:r>
              <w:rPr>
                <w:rFonts w:ascii="宋体" w:hAnsi="宋体"/>
                <w:color w:val="auto"/>
                <w:szCs w:val="21"/>
                <w:highlight w:val="none"/>
              </w:rPr>
              <w:t>经会计师事务所审计的财务报告（须上传加盖会计师事务所公章及注册会计师签章的扫描件）；没有经审计的财务报告的，可以提供基本开户银行出具的资信证明（上传扫描件）；</w:t>
            </w:r>
          </w:p>
          <w:p w14:paraId="78F69979">
            <w:pPr>
              <w:adjustRightInd w:val="0"/>
              <w:snapToGrid w:val="0"/>
              <w:spacing w:line="360" w:lineRule="auto"/>
              <w:jc w:val="left"/>
              <w:outlineLvl w:val="9"/>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.★依法缴纳税收：20</w:t>
            </w:r>
            <w:r>
              <w:rPr>
                <w:rFonts w:hint="eastAsia" w:ascii="宋体" w:hAnsi="宋体"/>
                <w:color w:val="auto"/>
                <w:szCs w:val="21"/>
                <w:highlight w:val="none"/>
              </w:rPr>
              <w:t>2</w:t>
            </w:r>
            <w:r>
              <w:rPr>
                <w:rFonts w:hint="eastAsia" w:ascii="宋体" w:hAnsi="宋体"/>
                <w:color w:val="auto"/>
                <w:szCs w:val="21"/>
                <w:highlight w:val="none"/>
                <w:lang w:val="en-US" w:eastAsia="zh-CN"/>
              </w:rPr>
              <w:t>5</w:t>
            </w:r>
            <w:r>
              <w:rPr>
                <w:rFonts w:ascii="宋体" w:hAnsi="宋体"/>
                <w:color w:val="auto"/>
                <w:szCs w:val="21"/>
                <w:highlight w:val="none"/>
              </w:rPr>
              <w:t>年</w:t>
            </w:r>
            <w:r>
              <w:rPr>
                <w:rFonts w:hint="eastAsia" w:ascii="宋体" w:hAnsi="宋体"/>
                <w:color w:val="auto"/>
                <w:szCs w:val="21"/>
                <w:highlight w:val="none"/>
                <w:lang w:val="en-US" w:eastAsia="zh-CN"/>
              </w:rPr>
              <w:t>4月</w:t>
            </w:r>
            <w:r>
              <w:rPr>
                <w:rFonts w:ascii="宋体" w:hAnsi="宋体"/>
                <w:color w:val="auto"/>
                <w:szCs w:val="21"/>
                <w:highlight w:val="none"/>
              </w:rPr>
              <w:t>以来不少于</w:t>
            </w:r>
            <w:r>
              <w:rPr>
                <w:rFonts w:hint="eastAsia" w:ascii="宋体" w:hAnsi="宋体"/>
                <w:color w:val="auto"/>
                <w:szCs w:val="21"/>
                <w:highlight w:val="none"/>
              </w:rPr>
              <w:t>2</w:t>
            </w:r>
            <w:r>
              <w:rPr>
                <w:rFonts w:ascii="宋体" w:hAnsi="宋体"/>
                <w:color w:val="auto"/>
                <w:szCs w:val="21"/>
                <w:highlight w:val="none"/>
              </w:rPr>
              <w:t>个月依法缴纳税收（不包括个人所得税）的相关材料，如依法免税或不需要纳税的，则应提供相应证明材料（上传扫描件）；</w:t>
            </w:r>
          </w:p>
          <w:p w14:paraId="0E8D6EA3">
            <w:pPr>
              <w:adjustRightInd w:val="0"/>
              <w:snapToGrid w:val="0"/>
              <w:spacing w:line="360" w:lineRule="auto"/>
              <w:jc w:val="left"/>
              <w:outlineLvl w:val="9"/>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.★社会保障资金：</w:t>
            </w:r>
            <w:r>
              <w:rPr>
                <w:rFonts w:hint="eastAsia" w:ascii="宋体" w:hAnsi="宋体"/>
                <w:color w:val="auto"/>
                <w:szCs w:val="21"/>
                <w:highlight w:val="none"/>
                <w:lang w:val="en-US" w:eastAsia="zh-CN"/>
              </w:rPr>
              <w:t>2025</w:t>
            </w:r>
            <w:r>
              <w:rPr>
                <w:rFonts w:ascii="宋体" w:hAnsi="宋体"/>
                <w:color w:val="auto"/>
                <w:szCs w:val="21"/>
                <w:highlight w:val="none"/>
              </w:rPr>
              <w:t>年</w:t>
            </w:r>
            <w:r>
              <w:rPr>
                <w:rFonts w:hint="eastAsia" w:ascii="宋体" w:hAnsi="宋体"/>
                <w:color w:val="auto"/>
                <w:szCs w:val="21"/>
                <w:highlight w:val="none"/>
                <w:lang w:val="en-US" w:eastAsia="zh-CN"/>
              </w:rPr>
              <w:t>4月</w:t>
            </w:r>
            <w:r>
              <w:rPr>
                <w:rFonts w:ascii="宋体" w:hAnsi="宋体"/>
                <w:color w:val="auto"/>
                <w:szCs w:val="21"/>
                <w:highlight w:val="none"/>
              </w:rPr>
              <w:t>以来不少于</w:t>
            </w:r>
            <w:r>
              <w:rPr>
                <w:rFonts w:hint="eastAsia" w:ascii="宋体" w:hAnsi="宋体"/>
                <w:color w:val="auto"/>
                <w:szCs w:val="21"/>
                <w:highlight w:val="none"/>
              </w:rPr>
              <w:t>2</w:t>
            </w:r>
            <w:r>
              <w:rPr>
                <w:rFonts w:ascii="宋体" w:hAnsi="宋体"/>
                <w:color w:val="auto"/>
                <w:szCs w:val="21"/>
                <w:highlight w:val="none"/>
              </w:rPr>
              <w:t>个月的依法缴纳社会保障资金的相关材料，如依法不需要缴纳社会保障资金的，则应提供相应证明材料（上传扫描件）；</w:t>
            </w:r>
          </w:p>
          <w:p w14:paraId="24D34013">
            <w:pPr>
              <w:adjustRightInd w:val="0"/>
              <w:snapToGrid w:val="0"/>
              <w:spacing w:line="360" w:lineRule="auto"/>
              <w:jc w:val="left"/>
              <w:outlineLvl w:val="9"/>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 xml:space="preserve">.★参加政府采购活动前3年内在经营活动中没有重大 </w:t>
            </w:r>
          </w:p>
          <w:p w14:paraId="1AB9E259">
            <w:pPr>
              <w:adjustRightInd w:val="0"/>
              <w:snapToGrid w:val="0"/>
              <w:spacing w:line="360" w:lineRule="auto"/>
              <w:jc w:val="left"/>
              <w:outlineLvl w:val="9"/>
              <w:rPr>
                <w:rFonts w:hint="eastAsia" w:ascii="宋体" w:hAnsi="宋体" w:cs="宋体"/>
                <w:color w:val="auto"/>
                <w:highlight w:val="none"/>
              </w:rPr>
            </w:pPr>
            <w:r>
              <w:rPr>
                <w:rFonts w:hint="eastAsia" w:ascii="宋体" w:hAnsi="宋体" w:cs="宋体"/>
                <w:color w:val="auto"/>
                <w:highlight w:val="none"/>
              </w:rPr>
              <w:t>违法记录的书面声明；</w:t>
            </w:r>
          </w:p>
          <w:p w14:paraId="6F7316F3">
            <w:pPr>
              <w:adjustRightInd w:val="0"/>
              <w:snapToGrid w:val="0"/>
              <w:spacing w:line="360" w:lineRule="auto"/>
              <w:jc w:val="left"/>
              <w:outlineLvl w:val="9"/>
              <w:rPr>
                <w:rStyle w:val="27"/>
                <w:rFonts w:ascii="宋体" w:hAnsi="宋体" w:cs="宋体"/>
                <w:color w:val="auto"/>
                <w:highlight w:val="none"/>
              </w:rPr>
            </w:pPr>
            <w:r>
              <w:rPr>
                <w:rStyle w:val="27"/>
                <w:rFonts w:hint="eastAsia" w:ascii="宋体" w:hAnsi="宋体" w:cs="宋体"/>
                <w:color w:val="auto"/>
                <w:highlight w:val="none"/>
                <w:lang w:val="en-US" w:eastAsia="zh-CN"/>
              </w:rPr>
              <w:t>7</w:t>
            </w:r>
            <w:r>
              <w:rPr>
                <w:rStyle w:val="27"/>
                <w:rFonts w:hint="eastAsia" w:ascii="宋体" w:hAnsi="宋体" w:cs="宋体"/>
                <w:color w:val="auto"/>
                <w:highlight w:val="none"/>
              </w:rPr>
              <w:t>.具备法律、行政法规规定的其他条件的证明材料；</w:t>
            </w:r>
          </w:p>
          <w:p w14:paraId="72823E8F">
            <w:pPr>
              <w:adjustRightInd w:val="0"/>
              <w:snapToGrid w:val="0"/>
              <w:spacing w:line="360" w:lineRule="auto"/>
              <w:jc w:val="left"/>
              <w:outlineLvl w:val="9"/>
              <w:rPr>
                <w:rFonts w:hint="eastAsia" w:ascii="宋体" w:hAnsi="宋体" w:cs="宋体"/>
                <w:color w:val="auto"/>
                <w:szCs w:val="24"/>
                <w:highlight w:val="none"/>
              </w:rPr>
            </w:pPr>
            <w:r>
              <w:rPr>
                <w:rStyle w:val="27"/>
                <w:rFonts w:hint="eastAsia" w:ascii="宋体" w:hAnsi="宋体" w:cs="宋体"/>
                <w:color w:val="auto"/>
                <w:highlight w:val="none"/>
                <w:lang w:val="en-US" w:eastAsia="zh-CN"/>
              </w:rPr>
              <w:t>8</w:t>
            </w:r>
            <w:r>
              <w:rPr>
                <w:rStyle w:val="27"/>
                <w:rFonts w:hint="eastAsia" w:ascii="宋体" w:hAnsi="宋体" w:cs="宋体"/>
                <w:color w:val="auto"/>
                <w:highlight w:val="none"/>
              </w:rPr>
              <w:t>.</w:t>
            </w:r>
            <w:r>
              <w:rPr>
                <w:rFonts w:hint="eastAsia" w:ascii="宋体" w:hAnsi="宋体" w:cs="宋体"/>
                <w:color w:val="auto"/>
                <w:szCs w:val="24"/>
                <w:highlight w:val="none"/>
              </w:rPr>
              <w:t>★中小企业声明函（中小企业参与应按照《关于印发中小企业划型标准规定的通知》 （工信部联企业〔2011〕300号）如实填写并提交，上传扫描件）/监狱企业证明文件[监狱企业参与应提交省级以上监狱管理局、戒毒管理局（含新疆生产建设兵团）出具的证明文件，格式自拟，上传扫描件]（适用于监狱企业）/残疾人福利性单位声明函（残疾人福利性单位参与应提交此函，上传扫描件）（适用于残疾人福利性单位）。</w:t>
            </w:r>
          </w:p>
          <w:p w14:paraId="59205B0B">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r>
              <w:rPr>
                <w:rFonts w:hint="eastAsia" w:ascii="宋体" w:hAnsi="宋体" w:eastAsia="宋体" w:cs="宋体"/>
                <w:bCs/>
                <w:color w:val="auto"/>
                <w:szCs w:val="21"/>
                <w:highlight w:val="none"/>
              </w:rPr>
              <w:t>其他资格证明文件（若有）</w:t>
            </w:r>
            <w:bookmarkEnd w:id="13"/>
            <w:bookmarkEnd w:id="14"/>
            <w:bookmarkEnd w:id="15"/>
            <w:bookmarkEnd w:id="16"/>
          </w:p>
        </w:tc>
      </w:tr>
      <w:tr w14:paraId="2AAF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03D336C0">
            <w:pPr>
              <w:adjustRightInd w:val="0"/>
              <w:snapToGrid w:val="0"/>
              <w:spacing w:line="360" w:lineRule="auto"/>
              <w:jc w:val="center"/>
              <w:outlineLvl w:val="9"/>
              <w:rPr>
                <w:rFonts w:hint="eastAsia" w:ascii="宋体" w:hAnsi="宋体" w:eastAsia="宋体" w:cs="宋体"/>
                <w:b/>
                <w:color w:val="auto"/>
                <w:szCs w:val="21"/>
                <w:highlight w:val="none"/>
              </w:rPr>
            </w:pPr>
          </w:p>
        </w:tc>
        <w:tc>
          <w:tcPr>
            <w:tcW w:w="1984" w:type="dxa"/>
            <w:vMerge w:val="continue"/>
            <w:vAlign w:val="center"/>
          </w:tcPr>
          <w:p w14:paraId="77295DED">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p>
        </w:tc>
        <w:tc>
          <w:tcPr>
            <w:tcW w:w="851" w:type="dxa"/>
            <w:vMerge w:val="continue"/>
            <w:vAlign w:val="center"/>
          </w:tcPr>
          <w:p w14:paraId="265F139A">
            <w:pPr>
              <w:topLinePunct/>
              <w:autoSpaceDE w:val="0"/>
              <w:autoSpaceDN w:val="0"/>
              <w:adjustRightInd w:val="0"/>
              <w:snapToGrid w:val="0"/>
              <w:spacing w:line="360" w:lineRule="auto"/>
              <w:outlineLvl w:val="9"/>
              <w:rPr>
                <w:rFonts w:hint="eastAsia" w:ascii="宋体" w:hAnsi="宋体" w:eastAsia="宋体" w:cs="宋体"/>
                <w:b/>
                <w:bCs/>
                <w:color w:val="auto"/>
                <w:szCs w:val="21"/>
                <w:highlight w:val="none"/>
              </w:rPr>
            </w:pPr>
          </w:p>
        </w:tc>
        <w:tc>
          <w:tcPr>
            <w:tcW w:w="5207" w:type="dxa"/>
            <w:vAlign w:val="center"/>
          </w:tcPr>
          <w:p w14:paraId="0262FE97">
            <w:pPr>
              <w:adjustRightInd w:val="0"/>
              <w:snapToGrid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二、投标报价表：</w:t>
            </w:r>
          </w:p>
          <w:p w14:paraId="1B405077">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
                <w:color w:val="auto"/>
                <w:szCs w:val="21"/>
                <w:highlight w:val="none"/>
              </w:rPr>
              <w:t>开标一览表</w:t>
            </w:r>
            <w:r>
              <w:rPr>
                <w:rFonts w:hint="eastAsia" w:ascii="宋体" w:hAnsi="宋体" w:eastAsia="宋体" w:cs="宋体"/>
                <w:b/>
                <w:bCs/>
                <w:color w:val="auto"/>
                <w:szCs w:val="21"/>
                <w:highlight w:val="none"/>
              </w:rPr>
              <w:t>（总报价表）</w:t>
            </w:r>
            <w:r>
              <w:rPr>
                <w:rFonts w:hint="eastAsia" w:ascii="宋体" w:hAnsi="宋体" w:eastAsia="宋体" w:cs="宋体"/>
                <w:color w:val="auto"/>
                <w:szCs w:val="21"/>
                <w:highlight w:val="none"/>
              </w:rPr>
              <w:t>（线上采购项目，投标人应按照投标工具的流程和提示编制并上传）</w:t>
            </w:r>
          </w:p>
          <w:p w14:paraId="6B9E8DC1">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2.</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分项报价表</w:t>
            </w:r>
          </w:p>
        </w:tc>
      </w:tr>
      <w:tr w14:paraId="426A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0792CDCD">
            <w:pPr>
              <w:adjustRightInd w:val="0"/>
              <w:snapToGrid w:val="0"/>
              <w:spacing w:line="360" w:lineRule="auto"/>
              <w:jc w:val="center"/>
              <w:outlineLvl w:val="9"/>
              <w:rPr>
                <w:rFonts w:hint="eastAsia" w:ascii="宋体" w:hAnsi="宋体" w:eastAsia="宋体" w:cs="宋体"/>
                <w:b/>
                <w:color w:val="auto"/>
                <w:szCs w:val="21"/>
                <w:highlight w:val="none"/>
              </w:rPr>
            </w:pPr>
          </w:p>
        </w:tc>
        <w:tc>
          <w:tcPr>
            <w:tcW w:w="1984" w:type="dxa"/>
            <w:vMerge w:val="continue"/>
            <w:vAlign w:val="center"/>
          </w:tcPr>
          <w:p w14:paraId="3E0CB16C">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p>
        </w:tc>
        <w:tc>
          <w:tcPr>
            <w:tcW w:w="851" w:type="dxa"/>
            <w:vMerge w:val="continue"/>
            <w:vAlign w:val="center"/>
          </w:tcPr>
          <w:p w14:paraId="72F9E0F8">
            <w:pPr>
              <w:topLinePunct/>
              <w:autoSpaceDE w:val="0"/>
              <w:autoSpaceDN w:val="0"/>
              <w:adjustRightInd w:val="0"/>
              <w:snapToGrid w:val="0"/>
              <w:spacing w:line="360" w:lineRule="auto"/>
              <w:outlineLvl w:val="9"/>
              <w:rPr>
                <w:rFonts w:hint="eastAsia" w:ascii="宋体" w:hAnsi="宋体" w:eastAsia="宋体" w:cs="宋体"/>
                <w:b/>
                <w:bCs/>
                <w:color w:val="auto"/>
                <w:szCs w:val="21"/>
                <w:highlight w:val="none"/>
              </w:rPr>
            </w:pPr>
          </w:p>
        </w:tc>
        <w:tc>
          <w:tcPr>
            <w:tcW w:w="5207" w:type="dxa"/>
            <w:vAlign w:val="center"/>
          </w:tcPr>
          <w:p w14:paraId="0938279D">
            <w:pPr>
              <w:widowControl/>
              <w:shd w:val="clear" w:color="auto" w:fill="FFFFFF"/>
              <w:tabs>
                <w:tab w:val="left" w:pos="475"/>
                <w:tab w:val="left" w:pos="617"/>
              </w:tabs>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三、其他文件及资料：</w:t>
            </w:r>
          </w:p>
          <w:p w14:paraId="4CE34C8E">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1.★授权委托书</w:t>
            </w:r>
          </w:p>
          <w:p w14:paraId="59BE3C04">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2.★投标函</w:t>
            </w:r>
          </w:p>
          <w:p w14:paraId="22547F5A">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3.★商务条款偏离表</w:t>
            </w:r>
          </w:p>
          <w:p w14:paraId="55358C97">
            <w:pPr>
              <w:adjustRightInd w:val="0"/>
              <w:snapToGrid w:val="0"/>
              <w:spacing w:line="360" w:lineRule="auto"/>
              <w:jc w:val="left"/>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.成功案例一览表</w:t>
            </w:r>
          </w:p>
          <w:p w14:paraId="020947F0">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.投标人认为需要提供的其它说明和资料</w:t>
            </w:r>
          </w:p>
        </w:tc>
      </w:tr>
      <w:tr w14:paraId="6C18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28149FF2">
            <w:pPr>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vAlign w:val="center"/>
          </w:tcPr>
          <w:p w14:paraId="0C89D6CD">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p>
        </w:tc>
        <w:tc>
          <w:tcPr>
            <w:tcW w:w="851" w:type="dxa"/>
            <w:vAlign w:val="center"/>
          </w:tcPr>
          <w:p w14:paraId="0A77D171">
            <w:pPr>
              <w:topLinePunct/>
              <w:autoSpaceDE w:val="0"/>
              <w:autoSpaceDN w:val="0"/>
              <w:adjustRightInd w:val="0"/>
              <w:snapToGrid w:val="0"/>
              <w:spacing w:line="360" w:lineRule="auto"/>
              <w:jc w:val="center"/>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技术部分</w:t>
            </w:r>
          </w:p>
        </w:tc>
        <w:tc>
          <w:tcPr>
            <w:tcW w:w="5207" w:type="dxa"/>
            <w:vAlign w:val="center"/>
          </w:tcPr>
          <w:p w14:paraId="45C36965">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1.★技术条款偏离表；</w:t>
            </w:r>
          </w:p>
          <w:p w14:paraId="09C6CDC9">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2.技术力量一览表</w:t>
            </w:r>
          </w:p>
          <w:p w14:paraId="312E08C5">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3.技术人员简历表</w:t>
            </w:r>
          </w:p>
          <w:p w14:paraId="4CAD8FA1">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bookmarkStart w:id="17" w:name="OLE_LINK12"/>
            <w:bookmarkStart w:id="18" w:name="OLE_LINK13"/>
            <w:r>
              <w:rPr>
                <w:rFonts w:hint="eastAsia" w:ascii="宋体" w:hAnsi="宋体" w:eastAsia="宋体" w:cs="宋体"/>
                <w:color w:val="auto"/>
                <w:szCs w:val="21"/>
                <w:highlight w:val="none"/>
              </w:rPr>
              <w:t>稳定性承诺</w:t>
            </w:r>
            <w:bookmarkEnd w:id="17"/>
            <w:bookmarkEnd w:id="18"/>
          </w:p>
          <w:p w14:paraId="0C0C144E">
            <w:pPr>
              <w:adjustRightInd w:val="0"/>
              <w:snapToGrid w:val="0"/>
              <w:spacing w:line="360" w:lineRule="auto"/>
              <w:jc w:val="left"/>
              <w:outlineLvl w:val="9"/>
              <w:rPr>
                <w:rFonts w:hint="eastAsia" w:ascii="宋体" w:hAnsi="宋体" w:eastAsia="宋体" w:cs="宋体"/>
                <w:bCs/>
                <w:color w:val="auto"/>
                <w:szCs w:val="21"/>
                <w:highlight w:val="none"/>
              </w:rPr>
            </w:pPr>
            <w:bookmarkStart w:id="19" w:name="OLE_LINK25"/>
            <w:bookmarkStart w:id="20" w:name="OLE_LINK26"/>
            <w:r>
              <w:rPr>
                <w:rFonts w:hint="eastAsia" w:ascii="宋体" w:hAnsi="宋体" w:eastAsia="宋体" w:cs="宋体"/>
                <w:color w:val="auto"/>
                <w:szCs w:val="21"/>
                <w:highlight w:val="none"/>
              </w:rPr>
              <w:t>5.项目需求理解</w:t>
            </w:r>
          </w:p>
          <w:p w14:paraId="04D064DD">
            <w:pPr>
              <w:adjustRightInd w:val="0"/>
              <w:snapToGrid w:val="0"/>
              <w:spacing w:line="360" w:lineRule="auto"/>
              <w:jc w:val="left"/>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highlight w:val="none"/>
              </w:rPr>
              <w:t>服务方案</w:t>
            </w:r>
          </w:p>
          <w:p w14:paraId="3C125762">
            <w:pPr>
              <w:adjustRightInd w:val="0"/>
              <w:snapToGrid w:val="0"/>
              <w:spacing w:line="360" w:lineRule="auto"/>
              <w:jc w:val="left"/>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应急保障方案</w:t>
            </w:r>
          </w:p>
          <w:p w14:paraId="5376F689">
            <w:pPr>
              <w:adjustRightInd w:val="0"/>
              <w:snapToGrid w:val="0"/>
              <w:spacing w:line="360" w:lineRule="auto"/>
              <w:jc w:val="left"/>
              <w:outlineLvl w:val="9"/>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w:t>
            </w:r>
            <w:r>
              <w:rPr>
                <w:rFonts w:hint="eastAsia" w:ascii="宋体" w:hAnsi="宋体" w:eastAsia="宋体" w:cs="宋体"/>
                <w:color w:val="auto"/>
                <w:highlight w:val="none"/>
                <w:lang w:val="en-US" w:eastAsia="zh-CN"/>
              </w:rPr>
              <w:t>管理实施方案</w:t>
            </w:r>
          </w:p>
          <w:p w14:paraId="4992979A">
            <w:pPr>
              <w:adjustRightInd w:val="0"/>
              <w:snapToGrid w:val="0"/>
              <w:spacing w:line="360" w:lineRule="auto"/>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9.风险管控方案</w:t>
            </w:r>
          </w:p>
          <w:p w14:paraId="2DFDFF98">
            <w:pPr>
              <w:adjustRightInd w:val="0"/>
              <w:snapToGrid w:val="0"/>
              <w:spacing w:line="360" w:lineRule="auto"/>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10.验收</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方案</w:t>
            </w:r>
          </w:p>
          <w:bookmarkEnd w:id="19"/>
          <w:bookmarkEnd w:id="20"/>
          <w:p w14:paraId="67C6E7DC">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highlight w:val="none"/>
              </w:rPr>
              <w:t>11.投标</w:t>
            </w:r>
            <w:r>
              <w:rPr>
                <w:rFonts w:hint="eastAsia" w:ascii="宋体" w:hAnsi="宋体" w:eastAsia="宋体" w:cs="宋体"/>
                <w:bCs/>
                <w:color w:val="auto"/>
                <w:szCs w:val="21"/>
                <w:highlight w:val="none"/>
              </w:rPr>
              <w:t>人认为需要提供的其</w:t>
            </w:r>
            <w:r>
              <w:rPr>
                <w:rFonts w:hint="eastAsia" w:ascii="宋体" w:hAnsi="宋体" w:eastAsia="宋体" w:cs="宋体"/>
                <w:color w:val="auto"/>
                <w:szCs w:val="21"/>
                <w:highlight w:val="none"/>
              </w:rPr>
              <w:t>它说明和资料</w:t>
            </w:r>
          </w:p>
        </w:tc>
      </w:tr>
      <w:tr w14:paraId="63C43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2D16F40E">
            <w:pPr>
              <w:adjustRightInd w:val="0"/>
              <w:snapToGrid w:val="0"/>
              <w:spacing w:line="360" w:lineRule="auto"/>
              <w:jc w:val="center"/>
              <w:outlineLvl w:val="9"/>
              <w:rPr>
                <w:rFonts w:hint="eastAsia" w:ascii="宋体" w:hAnsi="宋体" w:eastAsia="宋体" w:cs="宋体"/>
                <w:b/>
                <w:color w:val="auto"/>
                <w:szCs w:val="21"/>
                <w:highlight w:val="none"/>
              </w:rPr>
            </w:pPr>
          </w:p>
        </w:tc>
        <w:tc>
          <w:tcPr>
            <w:tcW w:w="1984" w:type="dxa"/>
            <w:vMerge w:val="continue"/>
            <w:vAlign w:val="center"/>
          </w:tcPr>
          <w:p w14:paraId="40918072">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p>
        </w:tc>
        <w:tc>
          <w:tcPr>
            <w:tcW w:w="6058" w:type="dxa"/>
            <w:gridSpan w:val="2"/>
            <w:vAlign w:val="center"/>
          </w:tcPr>
          <w:p w14:paraId="579A807B">
            <w:pPr>
              <w:adjustRightInd w:val="0"/>
              <w:snapToGrid w:val="0"/>
              <w:spacing w:line="360" w:lineRule="auto"/>
              <w:jc w:val="left"/>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1.以上带★的文件及资料未按要求提供或提供的无效，则投标无效。</w:t>
            </w:r>
          </w:p>
          <w:p w14:paraId="2EE708A6">
            <w:pPr>
              <w:adjustRightInd w:val="0"/>
              <w:snapToGrid w:val="0"/>
              <w:spacing w:line="360" w:lineRule="auto"/>
              <w:jc w:val="left"/>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2.以上材料，招标文件第五章 投标文件格式 部分有给定格式的，投标人应按照对应规定填写及提供。</w:t>
            </w:r>
          </w:p>
        </w:tc>
      </w:tr>
      <w:tr w14:paraId="57AF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EF3676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984" w:type="dxa"/>
            <w:vAlign w:val="center"/>
          </w:tcPr>
          <w:p w14:paraId="6125A471">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058" w:type="dxa"/>
            <w:gridSpan w:val="2"/>
            <w:vAlign w:val="center"/>
          </w:tcPr>
          <w:p w14:paraId="5616F126">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从提交投标文件的截止之日起计算</w:t>
            </w:r>
            <w:r>
              <w:rPr>
                <w:rFonts w:hint="eastAsia" w:ascii="宋体" w:hAnsi="宋体" w:eastAsia="宋体" w:cs="宋体"/>
                <w:color w:val="auto"/>
                <w:szCs w:val="21"/>
                <w:highlight w:val="none"/>
                <w:u w:val="single"/>
              </w:rPr>
              <w:t>120</w:t>
            </w:r>
            <w:r>
              <w:rPr>
                <w:rFonts w:hint="eastAsia" w:ascii="宋体" w:hAnsi="宋体" w:eastAsia="宋体" w:cs="宋体"/>
                <w:color w:val="auto"/>
                <w:szCs w:val="21"/>
                <w:highlight w:val="none"/>
              </w:rPr>
              <w:t>日历日。</w:t>
            </w:r>
          </w:p>
        </w:tc>
      </w:tr>
      <w:tr w14:paraId="1552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8802F02">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1984" w:type="dxa"/>
            <w:vAlign w:val="center"/>
          </w:tcPr>
          <w:p w14:paraId="57B0E146">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ascii="宋体" w:hAnsi="宋体" w:eastAsia="宋体"/>
                <w:color w:val="auto"/>
                <w:szCs w:val="21"/>
                <w:highlight w:val="none"/>
              </w:rPr>
              <w:t>提交投标文件方式、截止时间、开标时间、地点</w:t>
            </w:r>
          </w:p>
        </w:tc>
        <w:tc>
          <w:tcPr>
            <w:tcW w:w="6058" w:type="dxa"/>
            <w:gridSpan w:val="2"/>
            <w:vAlign w:val="center"/>
          </w:tcPr>
          <w:p w14:paraId="006457A1">
            <w:pPr>
              <w:topLinePunct/>
              <w:autoSpaceDE w:val="0"/>
              <w:autoSpaceDN w:val="0"/>
              <w:adjustRightInd w:val="0"/>
              <w:snapToGrid w:val="0"/>
              <w:spacing w:line="360" w:lineRule="auto"/>
              <w:outlineLvl w:val="9"/>
              <w:rPr>
                <w:rFonts w:hint="eastAsia" w:ascii="宋体" w:hAnsi="宋体" w:eastAsia="宋体"/>
                <w:b/>
                <w:color w:val="auto"/>
                <w:szCs w:val="21"/>
                <w:highlight w:val="none"/>
              </w:rPr>
            </w:pPr>
            <w:r>
              <w:rPr>
                <w:rFonts w:hint="eastAsia" w:ascii="宋体" w:hAnsi="宋体" w:eastAsia="宋体"/>
                <w:b/>
                <w:color w:val="auto"/>
                <w:szCs w:val="21"/>
                <w:highlight w:val="none"/>
              </w:rPr>
              <w:t>提交方式：（线上电子文件提交）</w:t>
            </w:r>
          </w:p>
          <w:p w14:paraId="7FDDA621">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（1）</w:t>
            </w:r>
            <w:r>
              <w:rPr>
                <w:rFonts w:hint="eastAsia" w:ascii="宋体" w:hAnsi="宋体"/>
                <w:b w:val="0"/>
                <w:bCs/>
                <w:color w:val="auto"/>
                <w:szCs w:val="21"/>
                <w:highlight w:val="none"/>
                <w:lang w:eastAsia="zh-CN"/>
              </w:rPr>
              <w:t>投标人</w:t>
            </w:r>
            <w:r>
              <w:rPr>
                <w:rFonts w:hint="eastAsia" w:ascii="宋体" w:hAnsi="宋体" w:eastAsia="宋体"/>
                <w:b w:val="0"/>
                <w:bCs/>
                <w:color w:val="auto"/>
                <w:szCs w:val="21"/>
                <w:highlight w:val="none"/>
              </w:rPr>
              <w:t>应在业务系统“招标文件下载”中下载新点软件版招标文件并使用“新点投标文件制作软件（大连公共资源版）”生成电子投标文件（.dltf加 密）。</w:t>
            </w:r>
          </w:p>
          <w:p w14:paraId="1BE336F8">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（2）投标人应在提交投标文件截止时间前，在大连公共资源交易平台业务系统“上传投标文件”中上传加密投标文件（.dltf加密），并进行模拟解密，确认“模拟解密成功”。</w:t>
            </w:r>
          </w:p>
          <w:p w14:paraId="686868E6">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3）开标当日，投标单位须使用生成投标文件的数字证书（CA）对投标文件进行在线解密。未按要求解密或解密不成功的，视为投标文件无效。解密时间：30分钟，如遇系统故障等原因可适当延时。解密后等待唱标，唱标结束后3分钟内确认开标结果，未提出异议视为认同开标结果。</w:t>
            </w:r>
          </w:p>
          <w:p w14:paraId="024B6BBC">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（4）如投标单位在递交投标文件后，代理机构又发布了更正公告影响了投标文件的编制，则投标单位需要先将之前递交的投标文件撤回后，重新递交修改之后的投标文件。</w:t>
            </w:r>
          </w:p>
          <w:p w14:paraId="6E1BE434">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注：</w:t>
            </w:r>
          </w:p>
          <w:p w14:paraId="7C4F0B78">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1.投标人请下载投标文件制作软件（更新至最新版本），进行制作投标文件。</w:t>
            </w:r>
          </w:p>
          <w:p w14:paraId="0A45818B">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2.制作电子标书时如遇到需要签字而电子版无法签字时，请在纸质文件上签好后扫描至电子标书。</w:t>
            </w:r>
          </w:p>
          <w:p w14:paraId="7E2CF518">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投标截止时间和开标时间：2026年7月8日09点00分（北京时间）</w:t>
            </w:r>
          </w:p>
          <w:p w14:paraId="5868E479">
            <w:pPr>
              <w:topLinePunct/>
              <w:autoSpaceDE w:val="0"/>
              <w:autoSpaceDN w:val="0"/>
              <w:adjustRightInd w:val="0"/>
              <w:snapToGrid w:val="0"/>
              <w:spacing w:line="360" w:lineRule="auto"/>
              <w:outlineLvl w:val="9"/>
              <w:rPr>
                <w:rFonts w:hint="eastAsia" w:ascii="宋体" w:hAnsi="宋体" w:eastAsia="宋体"/>
                <w:b w:val="0"/>
                <w:bCs/>
                <w:color w:val="auto"/>
                <w:szCs w:val="21"/>
                <w:highlight w:val="none"/>
              </w:rPr>
            </w:pPr>
            <w:r>
              <w:rPr>
                <w:rFonts w:hint="eastAsia" w:ascii="宋体" w:hAnsi="宋体" w:eastAsia="宋体"/>
                <w:b w:val="0"/>
                <w:bCs/>
                <w:color w:val="auto"/>
                <w:szCs w:val="21"/>
                <w:highlight w:val="none"/>
              </w:rPr>
              <w:t>开标方式：本项目为远程线上不见面开标，各投标人应在本项目开标时间前准时登录线上不见面开标系统（网址：https://ggzyjy.dl.gov.cn/BidOpening/bidhall/default/login）进入本项目，开标时间到达之后进行线上签到，参与本项目线上开标及进行投标文件在线解密等开标流程。</w:t>
            </w:r>
          </w:p>
          <w:p w14:paraId="770BFBA5">
            <w:pPr>
              <w:topLinePunct/>
              <w:autoSpaceDE w:val="0"/>
              <w:autoSpaceDN w:val="0"/>
              <w:adjustRightInd w:val="0"/>
              <w:snapToGrid w:val="0"/>
              <w:spacing w:line="360" w:lineRule="auto"/>
              <w:outlineLvl w:val="9"/>
              <w:rPr>
                <w:rFonts w:hint="eastAsia" w:ascii="宋体" w:hAnsi="宋体" w:eastAsia="宋体" w:cs="宋体"/>
                <w:color w:val="auto"/>
                <w:highlight w:val="none"/>
                <w:lang w:eastAsia="zh-CN"/>
              </w:rPr>
            </w:pPr>
            <w:r>
              <w:rPr>
                <w:rFonts w:ascii="宋体" w:hAnsi="宋体" w:eastAsia="宋体"/>
                <w:b w:val="0"/>
                <w:bCs/>
                <w:color w:val="auto"/>
                <w:szCs w:val="21"/>
                <w:highlight w:val="none"/>
              </w:rPr>
              <w:t>联系电话：</w:t>
            </w:r>
            <w:r>
              <w:rPr>
                <w:rFonts w:hint="eastAsia" w:ascii="宋体" w:cs="宋体"/>
                <w:b w:val="0"/>
                <w:bCs/>
                <w:color w:val="auto"/>
                <w:szCs w:val="21"/>
                <w:highlight w:val="none"/>
                <w:u w:val="single"/>
              </w:rPr>
              <w:t>0411-65851242</w:t>
            </w:r>
          </w:p>
        </w:tc>
      </w:tr>
      <w:tr w14:paraId="0E6F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6BD7999">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1984" w:type="dxa"/>
            <w:vAlign w:val="center"/>
          </w:tcPr>
          <w:p w14:paraId="3B09F1BE">
            <w:pPr>
              <w:tabs>
                <w:tab w:val="left" w:pos="1875"/>
              </w:tabs>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投标保证金</w:t>
            </w:r>
          </w:p>
        </w:tc>
        <w:tc>
          <w:tcPr>
            <w:tcW w:w="6058" w:type="dxa"/>
            <w:gridSpan w:val="2"/>
            <w:vAlign w:val="center"/>
          </w:tcPr>
          <w:p w14:paraId="6074A511">
            <w:pPr>
              <w:topLinePunct/>
              <w:autoSpaceDE w:val="0"/>
              <w:autoSpaceDN w:val="0"/>
              <w:adjustRightInd w:val="0"/>
              <w:snapToGrid w:val="0"/>
              <w:spacing w:line="360" w:lineRule="auto"/>
              <w:rPr>
                <w:rFonts w:ascii="宋体" w:hAnsi="宋体" w:eastAsia="宋体"/>
                <w:snapToGrid w:val="0"/>
                <w:color w:val="auto"/>
                <w:szCs w:val="21"/>
                <w:highlight w:val="none"/>
                <w:lang w:val="zh-CN"/>
              </w:rPr>
            </w:pP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ascii="宋体" w:hAnsi="宋体" w:eastAsia="宋体"/>
                <w:color w:val="auto"/>
                <w:szCs w:val="21"/>
                <w:highlight w:val="none"/>
              </w:rPr>
              <w:t>不要求提供</w:t>
            </w:r>
          </w:p>
          <w:p w14:paraId="0057436F">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要求提供：</w:t>
            </w:r>
          </w:p>
          <w:p w14:paraId="7EFEFDF6">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（1）金额：</w:t>
            </w:r>
          </w:p>
          <w:p w14:paraId="3FFB9A01">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采购包1：人民币</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p>
          <w:p w14:paraId="6D089A5A">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（2）提交方式：</w:t>
            </w:r>
          </w:p>
          <w:p w14:paraId="7AA83B80">
            <w:pPr>
              <w:topLinePunct/>
              <w:autoSpaceDE w:val="0"/>
              <w:autoSpaceDN w:val="0"/>
              <w:adjustRightInd w:val="0"/>
              <w:snapToGrid w:val="0"/>
              <w:spacing w:line="360" w:lineRule="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收款账户：</w:t>
            </w:r>
          </w:p>
          <w:p w14:paraId="771D45A3">
            <w:pPr>
              <w:topLinePunct/>
              <w:autoSpaceDE w:val="0"/>
              <w:autoSpaceDN w:val="0"/>
              <w:adjustRightInd w:val="0"/>
              <w:snapToGrid w:val="0"/>
              <w:spacing w:line="360" w:lineRule="auto"/>
              <w:outlineLvl w:val="9"/>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开户银行：</w:t>
            </w:r>
          </w:p>
          <w:p w14:paraId="24E2099B">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银行账户：</w:t>
            </w:r>
          </w:p>
        </w:tc>
      </w:tr>
      <w:tr w14:paraId="4810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7E97C37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1984" w:type="dxa"/>
            <w:vMerge w:val="restart"/>
            <w:vAlign w:val="center"/>
          </w:tcPr>
          <w:p w14:paraId="16E50C59">
            <w:pPr>
              <w:tabs>
                <w:tab w:val="left" w:pos="1875"/>
              </w:tabs>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不予退还投标保证金的情形</w:t>
            </w:r>
          </w:p>
        </w:tc>
        <w:tc>
          <w:tcPr>
            <w:tcW w:w="6058" w:type="dxa"/>
            <w:gridSpan w:val="2"/>
            <w:vAlign w:val="center"/>
          </w:tcPr>
          <w:p w14:paraId="4463F7A8">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有下列情形之一的，投标保证金将不予退还：</w:t>
            </w:r>
          </w:p>
          <w:p w14:paraId="3F8ED887">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（1）投标人串通投标或有视为串通投标情形之一的；</w:t>
            </w:r>
          </w:p>
          <w:p w14:paraId="469F1B63">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（2）投标人提供虚假材料；</w:t>
            </w:r>
          </w:p>
          <w:p w14:paraId="3D1CECEA">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（3）投标人采取不正当手段诋毁、排挤其他投标人；</w:t>
            </w:r>
          </w:p>
          <w:p w14:paraId="71C68D1C">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（4）投标截止时间后，投标人在投标有效期内撤销投标文件；</w:t>
            </w:r>
          </w:p>
          <w:p w14:paraId="739318F3">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（5）中标人有下列情形之一的：</w:t>
            </w:r>
          </w:p>
          <w:p w14:paraId="0B6DFF39">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a.除不可抗力外，因中标人自身原因未在中标通知书要求的期限内与采购人签订政府采购合同；</w:t>
            </w:r>
          </w:p>
          <w:p w14:paraId="35C781EA">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b.未按照招标文件、投标文件的约定签订政府采购合同或提交履约保证金。</w:t>
            </w:r>
          </w:p>
          <w:p w14:paraId="7F0C53A8">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注：若上述投标保证金不予退还情形给采购人（采购代理机构）造成损失，则投标人还要承担相应的赔偿责任。</w:t>
            </w:r>
          </w:p>
        </w:tc>
      </w:tr>
      <w:tr w14:paraId="3A9BE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24FE9BD6">
            <w:pPr>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vAlign w:val="center"/>
          </w:tcPr>
          <w:p w14:paraId="39625D64">
            <w:pPr>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vAlign w:val="center"/>
          </w:tcPr>
          <w:p w14:paraId="3D04A919">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其他不予退还投标保证金的情形：</w:t>
            </w:r>
            <w:r>
              <w:rPr>
                <w:rFonts w:hint="eastAsia" w:ascii="宋体" w:hAnsi="宋体" w:eastAsia="宋体" w:cs="宋体"/>
                <w:color w:val="auto"/>
                <w:szCs w:val="21"/>
                <w:highlight w:val="none"/>
                <w:u w:val="single"/>
              </w:rPr>
              <w:t>/</w:t>
            </w:r>
          </w:p>
        </w:tc>
      </w:tr>
      <w:tr w14:paraId="24B7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9F2CCC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984" w:type="dxa"/>
            <w:vAlign w:val="center"/>
          </w:tcPr>
          <w:p w14:paraId="10EC42FD">
            <w:pPr>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信用记录审查</w:t>
            </w:r>
          </w:p>
        </w:tc>
        <w:tc>
          <w:tcPr>
            <w:tcW w:w="6058" w:type="dxa"/>
            <w:gridSpan w:val="2"/>
            <w:vAlign w:val="center"/>
          </w:tcPr>
          <w:p w14:paraId="25E6ED9A">
            <w:pPr>
              <w:topLinePunct/>
              <w:autoSpaceDE w:val="0"/>
              <w:autoSpaceDN w:val="0"/>
              <w:spacing w:line="360" w:lineRule="auto"/>
              <w:outlineLvl w:val="9"/>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根据《财政部关于在政府采购活动中查询及使用信用记录有关问题的通知》（财库〔2016〕125号）规定，开标结束后，采购人、采购代理机构将通过“信用中国”网站（www.creditchina.gov.cn）、中国政府采购网（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），对投标人截止到</w:t>
            </w:r>
            <w:r>
              <w:rPr>
                <w:rFonts w:hint="eastAsia" w:ascii="宋体" w:hAnsi="宋体" w:eastAsia="宋体" w:cs="宋体"/>
                <w:bCs/>
                <w:color w:val="auto"/>
                <w:highlight w:val="none"/>
              </w:rPr>
              <w:t>开标当日评审之前</w:t>
            </w:r>
            <w:r>
              <w:rPr>
                <w:rFonts w:hint="eastAsia" w:ascii="宋体" w:hAnsi="宋体" w:eastAsia="宋体" w:cs="宋体"/>
                <w:color w:val="auto"/>
                <w:szCs w:val="21"/>
                <w:highlight w:val="none"/>
              </w:rPr>
              <w:t>的信用记录进行审查，对列入失信被执行人、重大税收违法案件当事人名单、政府采购严重违法失信行为记录名单及其他不符合《中华人民共和国政府采购法》第二十二条规定条件的投标人，其投标将被拒绝。</w:t>
            </w:r>
          </w:p>
          <w:p w14:paraId="4C5260C0">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本次查询的信用记录仅限于本项目使用，查询结果将留存在采购档案中。</w:t>
            </w:r>
          </w:p>
          <w:p w14:paraId="1CFF1AC8">
            <w:pPr>
              <w:adjustRightInd w:val="0"/>
              <w:snapToGrid w:val="0"/>
              <w:spacing w:line="360" w:lineRule="auto"/>
              <w:jc w:val="left"/>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在上述指定网站不能查询信用信息的投标人，应提供相关证明材料（原件扫描件加盖公章）。</w:t>
            </w:r>
          </w:p>
        </w:tc>
      </w:tr>
      <w:tr w14:paraId="5BAB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48C2C7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984" w:type="dxa"/>
            <w:vAlign w:val="center"/>
          </w:tcPr>
          <w:p w14:paraId="2AB16530">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支持中小型</w:t>
            </w:r>
          </w:p>
          <w:p w14:paraId="6BF3375A">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企业发展</w:t>
            </w:r>
          </w:p>
        </w:tc>
        <w:tc>
          <w:tcPr>
            <w:tcW w:w="6058" w:type="dxa"/>
            <w:gridSpan w:val="2"/>
            <w:vAlign w:val="center"/>
          </w:tcPr>
          <w:p w14:paraId="3147A8E9">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根据《政府采购促进中小型企业发展管理办法》（财库〔2020〕46号），鼓励中小企业参加本项目采购活动。</w:t>
            </w:r>
          </w:p>
          <w:p w14:paraId="0DD5C3EB">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在货物采购项目中，满足所有标的均由中小企业制造，即所有标的均由中小企业生产且使用该中小企业商号或者注册商标的，可享受中小企业扶持政策。</w:t>
            </w:r>
          </w:p>
          <w:p w14:paraId="75FEED74">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在服务采购项目中，满足服务由中小企业承接，即提供服务的人员为中小企业依照《中华人民共和国劳动合同法》订立劳动合同的从业人员的，可享受中小企业扶持政策。</w:t>
            </w:r>
          </w:p>
          <w:p w14:paraId="4BEEF174">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p>
          <w:p w14:paraId="1035E68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专门面向中小企业采购项目。</w:t>
            </w:r>
          </w:p>
          <w:p w14:paraId="799CEDE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□预留份额面向中小企业采购项目（说明：）。</w:t>
            </w:r>
          </w:p>
          <w:p w14:paraId="6368D343">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非专门面向中小企业采购项目。对小型和微型企业的投标价格给予</w:t>
            </w:r>
            <w:r>
              <w:rPr>
                <w:rFonts w:hint="eastAsia" w:ascii="宋体" w:hAnsi="宋体" w:eastAsia="宋体" w:cs="宋体"/>
                <w:color w:val="auto"/>
                <w:szCs w:val="21"/>
                <w:highlight w:val="none"/>
                <w:u w:val="single"/>
              </w:rPr>
              <w:t>15</w:t>
            </w:r>
            <w:r>
              <w:rPr>
                <w:rFonts w:hint="eastAsia" w:ascii="宋体" w:hAnsi="宋体" w:eastAsia="宋体" w:cs="宋体"/>
                <w:color w:val="auto"/>
                <w:szCs w:val="21"/>
                <w:highlight w:val="none"/>
              </w:rPr>
              <w:t>%的扣除，用扣除后的价格参与评审。</w:t>
            </w:r>
          </w:p>
        </w:tc>
      </w:tr>
      <w:tr w14:paraId="3846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8566D3A">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1984" w:type="dxa"/>
            <w:vAlign w:val="center"/>
          </w:tcPr>
          <w:p w14:paraId="0F2CDEEC">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支持监狱企业发展</w:t>
            </w:r>
          </w:p>
        </w:tc>
        <w:tc>
          <w:tcPr>
            <w:tcW w:w="6058" w:type="dxa"/>
            <w:gridSpan w:val="2"/>
            <w:vAlign w:val="center"/>
          </w:tcPr>
          <w:p w14:paraId="2118E53B">
            <w:pPr>
              <w:adjustRightInd w:val="0"/>
              <w:snapToGrid w:val="0"/>
              <w:spacing w:line="360" w:lineRule="auto"/>
              <w:jc w:val="left"/>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根据《关于政府采购支持监狱企业发展有关问题的通知》（财库〔2014〕68号），监狱企业视同小型、微型企业，按照</w:t>
            </w:r>
            <w:r>
              <w:rPr>
                <w:rFonts w:hint="eastAsia" w:ascii="宋体" w:hAnsi="宋体" w:eastAsia="宋体" w:cs="宋体"/>
                <w:b/>
                <w:bCs/>
                <w:color w:val="auto"/>
                <w:szCs w:val="21"/>
                <w:highlight w:val="none"/>
              </w:rPr>
              <w:t>投标人须知前附表第22项</w:t>
            </w:r>
            <w:r>
              <w:rPr>
                <w:rFonts w:hint="eastAsia" w:ascii="宋体" w:hAnsi="宋体" w:eastAsia="宋体" w:cs="宋体"/>
                <w:color w:val="auto"/>
                <w:szCs w:val="21"/>
                <w:highlight w:val="none"/>
              </w:rPr>
              <w:t>享受</w:t>
            </w:r>
            <w:r>
              <w:rPr>
                <w:rFonts w:hint="eastAsia" w:ascii="宋体" w:hAnsi="宋体" w:eastAsia="宋体" w:cs="宋体"/>
                <w:color w:val="auto"/>
                <w:szCs w:val="21"/>
                <w:highlight w:val="none"/>
                <w:lang w:eastAsia="zh-CN"/>
              </w:rPr>
              <w:t>促进政策</w:t>
            </w:r>
            <w:r>
              <w:rPr>
                <w:rFonts w:hint="eastAsia" w:ascii="宋体" w:hAnsi="宋体" w:eastAsia="宋体" w:cs="宋体"/>
                <w:color w:val="auto"/>
                <w:szCs w:val="21"/>
                <w:highlight w:val="none"/>
              </w:rPr>
              <w:t>。</w:t>
            </w:r>
          </w:p>
        </w:tc>
      </w:tr>
      <w:tr w14:paraId="4FFA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224EFDA6">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1984" w:type="dxa"/>
            <w:vAlign w:val="center"/>
          </w:tcPr>
          <w:p w14:paraId="5AC9250F">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促进残疾人</w:t>
            </w:r>
          </w:p>
          <w:p w14:paraId="089AD4B1">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就业</w:t>
            </w:r>
          </w:p>
        </w:tc>
        <w:tc>
          <w:tcPr>
            <w:tcW w:w="6058" w:type="dxa"/>
            <w:gridSpan w:val="2"/>
            <w:vAlign w:val="center"/>
          </w:tcPr>
          <w:p w14:paraId="4BC73A08">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根据《关于促进残疾人就业政府采购政策的通知》（财库〔2017〕141号），残疾人福利性单位视同小型、微型企业，按照</w:t>
            </w:r>
            <w:r>
              <w:rPr>
                <w:rFonts w:hint="eastAsia" w:ascii="宋体" w:hAnsi="宋体" w:eastAsia="宋体" w:cs="宋体"/>
                <w:b/>
                <w:bCs/>
                <w:color w:val="auto"/>
                <w:szCs w:val="21"/>
                <w:highlight w:val="none"/>
              </w:rPr>
              <w:t>投标人须知前附表第22项</w:t>
            </w:r>
            <w:r>
              <w:rPr>
                <w:rFonts w:hint="eastAsia" w:ascii="宋体" w:hAnsi="宋体" w:eastAsia="宋体" w:cs="宋体"/>
                <w:color w:val="auto"/>
                <w:szCs w:val="21"/>
                <w:highlight w:val="none"/>
              </w:rPr>
              <w:t>享受</w:t>
            </w:r>
            <w:r>
              <w:rPr>
                <w:rFonts w:hint="eastAsia" w:ascii="宋体" w:hAnsi="宋体" w:eastAsia="宋体" w:cs="宋体"/>
                <w:color w:val="auto"/>
                <w:szCs w:val="21"/>
                <w:highlight w:val="none"/>
                <w:lang w:eastAsia="zh-CN"/>
              </w:rPr>
              <w:t>促进</w:t>
            </w:r>
            <w:r>
              <w:rPr>
                <w:rFonts w:hint="eastAsia" w:ascii="宋体" w:hAnsi="宋体" w:eastAsia="宋体" w:cs="宋体"/>
                <w:color w:val="auto"/>
                <w:szCs w:val="21"/>
                <w:highlight w:val="none"/>
              </w:rPr>
              <w:t>政策。</w:t>
            </w:r>
          </w:p>
        </w:tc>
      </w:tr>
      <w:tr w14:paraId="76C8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49CEA202">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1984" w:type="dxa"/>
            <w:vMerge w:val="restart"/>
            <w:vAlign w:val="center"/>
          </w:tcPr>
          <w:p w14:paraId="4D17471A">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其他法律法规强制性规定或扶持政策</w:t>
            </w:r>
          </w:p>
        </w:tc>
        <w:tc>
          <w:tcPr>
            <w:tcW w:w="6058" w:type="dxa"/>
            <w:gridSpan w:val="2"/>
            <w:vAlign w:val="center"/>
          </w:tcPr>
          <w:p w14:paraId="0977CB21">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本项目中强制采购节能产品的货物名称：</w:t>
            </w:r>
          </w:p>
          <w:p w14:paraId="4B776B55">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w:t>
            </w:r>
            <w:r>
              <w:rPr>
                <w:rFonts w:hint="eastAsia" w:ascii="宋体" w:hAnsi="宋体" w:eastAsia="宋体" w:cs="宋体"/>
                <w:color w:val="auto"/>
                <w:szCs w:val="21"/>
                <w:highlight w:val="none"/>
                <w:u w:val="single"/>
              </w:rPr>
              <w:t>本项目不涉及</w:t>
            </w:r>
            <w:r>
              <w:rPr>
                <w:rFonts w:hint="eastAsia" w:ascii="宋体" w:hAnsi="宋体" w:eastAsia="宋体" w:cs="宋体"/>
                <w:color w:val="auto"/>
                <w:szCs w:val="21"/>
                <w:highlight w:val="none"/>
              </w:rPr>
              <w:t>。</w:t>
            </w:r>
          </w:p>
          <w:p w14:paraId="1AB952DB">
            <w:pPr>
              <w:topLinePunct/>
              <w:autoSpaceDE w:val="0"/>
              <w:autoSpaceDN w:val="0"/>
              <w:adjustRightInd w:val="0"/>
              <w:snapToGrid w:val="0"/>
              <w:spacing w:line="360" w:lineRule="auto"/>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注：投标人所投上述产品必须具有节能产品认证证书，并提供依据国家确定的认证机构出具的、处于有效期之内的节能产品认证证书复印件，否则投标无效。</w:t>
            </w:r>
          </w:p>
        </w:tc>
      </w:tr>
      <w:tr w14:paraId="0A1F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28A24C5B">
            <w:pPr>
              <w:topLinePunct/>
              <w:autoSpaceDE w:val="0"/>
              <w:autoSpaceDN w:val="0"/>
              <w:adjustRightInd w:val="0"/>
              <w:snapToGrid w:val="0"/>
              <w:spacing w:before="62" w:after="62" w:line="360" w:lineRule="auto"/>
              <w:jc w:val="center"/>
              <w:outlineLvl w:val="9"/>
              <w:rPr>
                <w:rFonts w:hint="eastAsia" w:ascii="宋体" w:hAnsi="宋体" w:eastAsia="宋体" w:cs="宋体"/>
                <w:color w:val="auto"/>
                <w:szCs w:val="21"/>
                <w:highlight w:val="none"/>
              </w:rPr>
            </w:pPr>
          </w:p>
        </w:tc>
        <w:tc>
          <w:tcPr>
            <w:tcW w:w="1984" w:type="dxa"/>
            <w:vMerge w:val="continue"/>
            <w:vAlign w:val="center"/>
          </w:tcPr>
          <w:p w14:paraId="2FDC8C9C">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vAlign w:val="center"/>
          </w:tcPr>
          <w:p w14:paraId="2A29C024">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本项目中列入最新的《网络关键设备和网络安全专用产品目录》的网络安全专用产品的货物名称：</w:t>
            </w:r>
          </w:p>
          <w:p w14:paraId="58B4D104">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w:t>
            </w:r>
            <w:r>
              <w:rPr>
                <w:rFonts w:hint="eastAsia" w:ascii="宋体" w:hAnsi="宋体" w:eastAsia="宋体" w:cs="宋体"/>
                <w:color w:val="auto"/>
                <w:szCs w:val="21"/>
                <w:highlight w:val="none"/>
                <w:u w:val="single"/>
              </w:rPr>
              <w:t>本项目不涉及</w:t>
            </w:r>
            <w:r>
              <w:rPr>
                <w:rFonts w:hint="eastAsia" w:ascii="宋体" w:hAnsi="宋体" w:eastAsia="宋体" w:cs="宋体"/>
                <w:color w:val="auto"/>
                <w:szCs w:val="21"/>
                <w:highlight w:val="none"/>
              </w:rPr>
              <w:t>。</w:t>
            </w:r>
          </w:p>
          <w:p w14:paraId="7E2ED9F4">
            <w:pPr>
              <w:topLinePunct/>
              <w:autoSpaceDE w:val="0"/>
              <w:autoSpaceDN w:val="0"/>
              <w:adjustRightInd w:val="0"/>
              <w:snapToGrid w:val="0"/>
              <w:spacing w:line="360" w:lineRule="auto"/>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注：投标人所投上述产品需为</w:t>
            </w:r>
            <w:r>
              <w:rPr>
                <w:rFonts w:hint="eastAsia" w:ascii="宋体" w:hAnsi="宋体" w:eastAsia="宋体" w:cs="宋体"/>
                <w:color w:val="auto"/>
                <w:kern w:val="0"/>
                <w:szCs w:val="21"/>
                <w:highlight w:val="none"/>
              </w:rPr>
              <w:t>由具备资格的机构安全认证合格或者安全检测符合要求或具备有效的《计算机信息系统安全专用产品销售许可证》的网络安全专用产品，并提供所投产品符合上述要求的证明材料。具备资格的机构是指列入最新《承担网络关键设备和网络安全专用产品安全认证和安全检测任务机构名录》的机构。</w:t>
            </w:r>
          </w:p>
        </w:tc>
      </w:tr>
      <w:tr w14:paraId="6DE0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02991220">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p>
        </w:tc>
        <w:tc>
          <w:tcPr>
            <w:tcW w:w="1984" w:type="dxa"/>
            <w:vMerge w:val="continue"/>
            <w:vAlign w:val="center"/>
          </w:tcPr>
          <w:p w14:paraId="466C10F0">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p>
        </w:tc>
        <w:tc>
          <w:tcPr>
            <w:tcW w:w="6058" w:type="dxa"/>
            <w:gridSpan w:val="2"/>
            <w:vAlign w:val="center"/>
          </w:tcPr>
          <w:p w14:paraId="4D531D9F">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其他法律法规强制性规定或扶持政策：</w:t>
            </w:r>
          </w:p>
          <w:p w14:paraId="03A7035C">
            <w:pPr>
              <w:topLinePunct/>
              <w:autoSpaceDE w:val="0"/>
              <w:autoSpaceDN w:val="0"/>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采购包1：</w:t>
            </w:r>
            <w:r>
              <w:rPr>
                <w:rFonts w:hint="eastAsia" w:ascii="宋体" w:hAnsi="宋体" w:eastAsia="宋体" w:cs="宋体"/>
                <w:color w:val="auto"/>
                <w:szCs w:val="21"/>
                <w:highlight w:val="none"/>
                <w:u w:val="single"/>
              </w:rPr>
              <w:t>本项目不涉及</w:t>
            </w:r>
            <w:r>
              <w:rPr>
                <w:rFonts w:hint="eastAsia" w:ascii="宋体" w:hAnsi="宋体" w:eastAsia="宋体" w:cs="宋体"/>
                <w:color w:val="auto"/>
                <w:szCs w:val="21"/>
                <w:highlight w:val="none"/>
              </w:rPr>
              <w:t>。</w:t>
            </w:r>
          </w:p>
        </w:tc>
      </w:tr>
      <w:tr w14:paraId="0E00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3D3F368">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1984" w:type="dxa"/>
            <w:vAlign w:val="center"/>
          </w:tcPr>
          <w:p w14:paraId="043D1C3C">
            <w:pPr>
              <w:tabs>
                <w:tab w:val="left" w:pos="1875"/>
              </w:tabs>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评标方法</w:t>
            </w:r>
          </w:p>
          <w:p w14:paraId="51E2F2E8">
            <w:pPr>
              <w:tabs>
                <w:tab w:val="left" w:pos="1875"/>
              </w:tabs>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及分值</w:t>
            </w:r>
          </w:p>
        </w:tc>
        <w:tc>
          <w:tcPr>
            <w:tcW w:w="6058" w:type="dxa"/>
            <w:gridSpan w:val="2"/>
            <w:vAlign w:val="center"/>
          </w:tcPr>
          <w:p w14:paraId="2CE4B224">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□本项目采用最低评标价法，详见招标文件商务部分第三章。</w:t>
            </w:r>
          </w:p>
          <w:p w14:paraId="2BE640F8">
            <w:pPr>
              <w:adjustRightInd w:val="0"/>
              <w:snapToGrid w:val="0"/>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本项目采用综合评分法，其中价格分值为</w:t>
            </w:r>
            <w:r>
              <w:rPr>
                <w:rFonts w:hint="eastAsia" w:ascii="宋体" w:hAnsi="宋体" w:eastAsia="宋体" w:cs="宋体"/>
                <w:color w:val="auto"/>
                <w:szCs w:val="21"/>
                <w:highlight w:val="none"/>
                <w:u w:val="single"/>
              </w:rPr>
              <w:t>10</w:t>
            </w:r>
            <w:r>
              <w:rPr>
                <w:rFonts w:hint="eastAsia" w:ascii="宋体" w:hAnsi="宋体" w:eastAsia="宋体" w:cs="宋体"/>
                <w:color w:val="auto"/>
                <w:szCs w:val="21"/>
                <w:highlight w:val="none"/>
              </w:rPr>
              <w:t>分，其他因素分值为</w:t>
            </w:r>
            <w:r>
              <w:rPr>
                <w:rFonts w:hint="eastAsia" w:ascii="宋体" w:hAnsi="宋体" w:eastAsia="宋体" w:cs="宋体"/>
                <w:color w:val="auto"/>
                <w:szCs w:val="21"/>
                <w:highlight w:val="none"/>
                <w:u w:val="single"/>
              </w:rPr>
              <w:t>90</w:t>
            </w:r>
            <w:r>
              <w:rPr>
                <w:rFonts w:hint="eastAsia" w:ascii="宋体" w:hAnsi="宋体" w:eastAsia="宋体" w:cs="宋体"/>
                <w:color w:val="auto"/>
                <w:szCs w:val="21"/>
                <w:highlight w:val="none"/>
              </w:rPr>
              <w:t>分，详见招标文件商务部分第三章。</w:t>
            </w:r>
          </w:p>
        </w:tc>
      </w:tr>
      <w:tr w14:paraId="2C7E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2BF557D">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p>
        </w:tc>
        <w:tc>
          <w:tcPr>
            <w:tcW w:w="1984" w:type="dxa"/>
            <w:vAlign w:val="center"/>
          </w:tcPr>
          <w:p w14:paraId="04F5FDEA">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履约保证金</w:t>
            </w:r>
          </w:p>
        </w:tc>
        <w:tc>
          <w:tcPr>
            <w:tcW w:w="6058" w:type="dxa"/>
            <w:gridSpan w:val="2"/>
            <w:vAlign w:val="center"/>
          </w:tcPr>
          <w:p w14:paraId="77D88570">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color w:val="auto"/>
                <w:szCs w:val="21"/>
                <w:highlight w:val="none"/>
                <w:lang w:eastAsia="zh-CN"/>
              </w:rPr>
              <w:t>☑</w:t>
            </w:r>
            <w:r>
              <w:rPr>
                <w:rFonts w:hint="eastAsia" w:ascii="宋体" w:hAnsi="宋体" w:eastAsia="宋体" w:cs="宋体"/>
                <w:color w:val="auto"/>
                <w:szCs w:val="21"/>
                <w:highlight w:val="none"/>
              </w:rPr>
              <w:t>不要求提供</w:t>
            </w:r>
          </w:p>
          <w:p w14:paraId="06BC8838">
            <w:pPr>
              <w:topLinePunct/>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□本采购项目履约保证金为合同金额的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，提交方式为银行电汇、金融机构或担保机构出具的保函。</w:t>
            </w:r>
          </w:p>
          <w:p w14:paraId="53B44BF3">
            <w:pPr>
              <w:topLinePunct/>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账户信息：</w:t>
            </w:r>
          </w:p>
          <w:p w14:paraId="01E58685">
            <w:pPr>
              <w:topLinePunct/>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收款单位：</w:t>
            </w:r>
          </w:p>
          <w:p w14:paraId="71D4BC58">
            <w:pPr>
              <w:topLinePunct/>
              <w:autoSpaceDE w:val="0"/>
              <w:autoSpaceDN w:val="0"/>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p w14:paraId="1FA82966">
            <w:pPr>
              <w:topLinePunct/>
              <w:autoSpaceDE w:val="0"/>
              <w:autoSpaceDN w:val="0"/>
              <w:adjustRightInd w:val="0"/>
              <w:snapToGrid w:val="0"/>
              <w:spacing w:line="360" w:lineRule="auto"/>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银行账号：</w:t>
            </w:r>
          </w:p>
        </w:tc>
      </w:tr>
      <w:tr w14:paraId="2F7E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52DB2D3">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1984" w:type="dxa"/>
            <w:vAlign w:val="center"/>
          </w:tcPr>
          <w:p w14:paraId="6000DC56">
            <w:pPr>
              <w:topLinePunct/>
              <w:autoSpaceDE w:val="0"/>
              <w:autoSpaceDN w:val="0"/>
              <w:adjustRightInd w:val="0"/>
              <w:snapToGrid w:val="0"/>
              <w:spacing w:line="360" w:lineRule="auto"/>
              <w:jc w:val="center"/>
              <w:outlineLvl w:val="9"/>
              <w:rPr>
                <w:rFonts w:hint="eastAsia" w:ascii="宋体" w:hAnsi="宋体" w:eastAsia="宋体" w:cs="宋体"/>
                <w:b/>
                <w:color w:val="auto"/>
                <w:szCs w:val="21"/>
                <w:highlight w:val="none"/>
              </w:rPr>
            </w:pPr>
            <w:r>
              <w:rPr>
                <w:rFonts w:ascii="宋体" w:hAnsi="宋体" w:eastAsia="宋体"/>
                <w:color w:val="auto"/>
                <w:szCs w:val="21"/>
                <w:highlight w:val="none"/>
              </w:rPr>
              <w:t>接收质疑的方式、部门、电话和通讯地址</w:t>
            </w:r>
          </w:p>
        </w:tc>
        <w:tc>
          <w:tcPr>
            <w:tcW w:w="6058" w:type="dxa"/>
            <w:gridSpan w:val="2"/>
            <w:vAlign w:val="center"/>
          </w:tcPr>
          <w:p w14:paraId="019E1D56">
            <w:pPr>
              <w:spacing w:line="360" w:lineRule="auto"/>
              <w:outlineLvl w:val="9"/>
              <w:rPr>
                <w:rFonts w:hint="eastAsia" w:ascii="宋体" w:hAnsi="宋体" w:eastAsia="宋体" w:cs="Times New Roman"/>
                <w:color w:val="auto"/>
                <w:szCs w:val="21"/>
                <w:highlight w:val="none"/>
              </w:rPr>
            </w:pPr>
            <w:r>
              <w:rPr>
                <w:rFonts w:hint="eastAsia" w:ascii="宋体" w:hAnsi="宋体" w:eastAsia="宋体"/>
                <w:color w:val="auto"/>
                <w:szCs w:val="21"/>
                <w:highlight w:val="none"/>
              </w:rPr>
              <w:t>参与本项目采购活动的供应商如有质疑的，请按照《政府采购质疑和投诉办法》第十二条有关规定通过书面纸质质疑函形式将质疑函提交采购人或采购代理机构。逾期提交的，采购人有权不予受</w:t>
            </w:r>
            <w:r>
              <w:rPr>
                <w:rFonts w:hint="eastAsia" w:ascii="宋体" w:hAnsi="宋体" w:eastAsia="宋体" w:cs="Times New Roman"/>
                <w:color w:val="auto"/>
                <w:szCs w:val="21"/>
                <w:highlight w:val="none"/>
              </w:rPr>
              <w:t>理。</w:t>
            </w:r>
          </w:p>
          <w:p w14:paraId="00903F4F">
            <w:pPr>
              <w:spacing w:line="360" w:lineRule="auto"/>
              <w:outlineLvl w:val="9"/>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联系部门：</w:t>
            </w:r>
            <w:r>
              <w:rPr>
                <w:rFonts w:hint="eastAsia" w:ascii="宋体" w:hAnsi="宋体" w:eastAsia="宋体" w:cs="Times New Roman"/>
                <w:color w:val="auto"/>
                <w:szCs w:val="21"/>
                <w:highlight w:val="none"/>
                <w:lang w:eastAsia="zh-CN"/>
              </w:rPr>
              <w:t>大连市政府采购中心</w:t>
            </w:r>
          </w:p>
          <w:p w14:paraId="2738FC59">
            <w:pPr>
              <w:spacing w:line="360" w:lineRule="auto"/>
              <w:outlineLvl w:val="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联系电话：0411-65851242</w:t>
            </w:r>
          </w:p>
          <w:p w14:paraId="10C89076">
            <w:pPr>
              <w:spacing w:line="360" w:lineRule="auto"/>
              <w:outlineLvl w:val="9"/>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联系人：姜工</w:t>
            </w:r>
          </w:p>
          <w:p w14:paraId="58A9386C">
            <w:pPr>
              <w:spacing w:line="360" w:lineRule="auto"/>
              <w:outlineLvl w:val="9"/>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通讯地址：大连市甘井子区东北北路101号5楼555室</w:t>
            </w:r>
          </w:p>
          <w:p w14:paraId="3D4DB06B">
            <w:pPr>
              <w:spacing w:line="360" w:lineRule="auto"/>
              <w:outlineLvl w:val="9"/>
              <w:rPr>
                <w:rFonts w:hint="eastAsia" w:ascii="宋体" w:hAnsi="宋体" w:eastAsia="宋体" w:cs="宋体"/>
                <w:color w:val="auto"/>
                <w:szCs w:val="21"/>
                <w:highlight w:val="none"/>
                <w:lang w:eastAsia="zh-CN"/>
              </w:rPr>
            </w:pPr>
            <w:r>
              <w:rPr>
                <w:rFonts w:hint="eastAsia" w:ascii="宋体" w:hAnsi="宋体" w:eastAsia="宋体" w:cs="Times New Roman"/>
                <w:color w:val="auto"/>
                <w:szCs w:val="21"/>
                <w:highlight w:val="none"/>
              </w:rPr>
              <w:t>电子邮箱：305551165@qq.com</w:t>
            </w:r>
          </w:p>
        </w:tc>
      </w:tr>
      <w:tr w14:paraId="3399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E6F8DD7">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29</w:t>
            </w:r>
          </w:p>
        </w:tc>
        <w:tc>
          <w:tcPr>
            <w:tcW w:w="1984" w:type="dxa"/>
            <w:vAlign w:val="center"/>
          </w:tcPr>
          <w:p w14:paraId="2C073BE0">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需提交的投标文件份数</w:t>
            </w:r>
          </w:p>
        </w:tc>
        <w:tc>
          <w:tcPr>
            <w:tcW w:w="6058" w:type="dxa"/>
            <w:gridSpan w:val="2"/>
            <w:vAlign w:val="center"/>
          </w:tcPr>
          <w:p w14:paraId="5319EC35">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需提交的投标文件份数：</w:t>
            </w:r>
          </w:p>
          <w:p w14:paraId="70F4095F">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1、电子版1份，投标人应在提交投标文件截止时间前，在</w:t>
            </w:r>
            <w:r>
              <w:rPr>
                <w:rFonts w:hint="eastAsia" w:ascii="宋体" w:hAnsi="宋体" w:eastAsia="宋体" w:cs="宋体"/>
                <w:bCs/>
                <w:color w:val="auto"/>
                <w:szCs w:val="21"/>
                <w:highlight w:val="none"/>
              </w:rPr>
              <w:t>大连公共资源交易平台</w:t>
            </w:r>
            <w:r>
              <w:rPr>
                <w:rFonts w:hint="eastAsia" w:ascii="宋体" w:hAnsi="宋体" w:eastAsia="宋体" w:cs="宋体"/>
                <w:color w:val="auto"/>
                <w:szCs w:val="21"/>
                <w:highlight w:val="none"/>
              </w:rPr>
              <w:t>业务系统“上传投标文件”中上传加密投标文件（. dltf加密），并进行模拟解密，确认“模拟解密成功”。</w:t>
            </w:r>
          </w:p>
          <w:p w14:paraId="7948564D">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2、纸质正本</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rPr>
              <w:t>份（用于存档，</w:t>
            </w:r>
            <w:r>
              <w:rPr>
                <w:rFonts w:hint="eastAsia" w:ascii="宋体" w:hAnsi="宋体" w:eastAsia="宋体" w:cs="宋体"/>
                <w:color w:val="auto"/>
                <w:highlight w:val="none"/>
              </w:rPr>
              <w:t>于开标后3日内送至或邮寄至招标代理公司。</w:t>
            </w:r>
            <w:r>
              <w:rPr>
                <w:rFonts w:hint="eastAsia" w:ascii="宋体" w:hAnsi="宋体" w:eastAsia="宋体" w:cs="宋体"/>
                <w:color w:val="auto"/>
                <w:szCs w:val="21"/>
                <w:highlight w:val="none"/>
              </w:rPr>
              <w:t>）</w:t>
            </w:r>
          </w:p>
          <w:p w14:paraId="00A5F41E">
            <w:pPr>
              <w:keepNext/>
              <w:keepLines/>
              <w:tabs>
                <w:tab w:val="left" w:pos="780"/>
              </w:tabs>
              <w:spacing w:line="360" w:lineRule="auto"/>
              <w:outlineLvl w:val="9"/>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注：（1）按招标文件规定签字盖章。（2）要对纸质投标文件设置目录，并编制页码。页码与目录相对应。（3）纸质投标文件全部采用胶封装订，装订应牢固，不易拆散和换页，不得采用活页夹装订。（4）无论投标单位是否中标，投标文件不予退还。注：各投标人须按照招标人的需求，无偿提供投标文件纸质标书正本一份。（封皮加盖公章及骑缝章）。本项目为电子标，纸质投标文件须与电子版投标文件一致；如不一致，以电子版投标文件为准，纸质投标文件仅作为存档使用。于开标后3日内送至或邮寄至招标代理公司。</w:t>
            </w:r>
          </w:p>
        </w:tc>
      </w:tr>
      <w:tr w14:paraId="3454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5" w:type="dxa"/>
            <w:vAlign w:val="center"/>
          </w:tcPr>
          <w:p w14:paraId="0D43C430">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1984" w:type="dxa"/>
            <w:vAlign w:val="center"/>
          </w:tcPr>
          <w:p w14:paraId="719657E3">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代理费用</w:t>
            </w:r>
          </w:p>
        </w:tc>
        <w:tc>
          <w:tcPr>
            <w:tcW w:w="6058" w:type="dxa"/>
            <w:gridSpan w:val="2"/>
            <w:vAlign w:val="center"/>
          </w:tcPr>
          <w:p w14:paraId="091714A7">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代理费用：</w:t>
            </w:r>
          </w:p>
          <w:p w14:paraId="69EBBC08">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（1）本项目代理费用由</w:t>
            </w:r>
            <w:r>
              <w:rPr>
                <w:rFonts w:hint="eastAsia" w:ascii="宋体" w:hAnsi="宋体" w:eastAsia="宋体" w:cs="宋体"/>
                <w:color w:val="auto"/>
                <w:szCs w:val="21"/>
                <w:highlight w:val="none"/>
                <w:u w:val="single"/>
              </w:rPr>
              <w:t>（中标人）</w:t>
            </w:r>
            <w:r>
              <w:rPr>
                <w:rFonts w:hint="eastAsia" w:ascii="宋体" w:hAnsi="宋体" w:eastAsia="宋体" w:cs="宋体"/>
                <w:color w:val="auto"/>
                <w:szCs w:val="21"/>
                <w:highlight w:val="none"/>
              </w:rPr>
              <w:t>支付。</w:t>
            </w:r>
          </w:p>
          <w:p w14:paraId="377330CA">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（2）代理费用收取方式及标准：</w:t>
            </w:r>
          </w:p>
          <w:tbl>
            <w:tblPr>
              <w:tblStyle w:val="22"/>
              <w:tblW w:w="5544"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2209"/>
            </w:tblGrid>
            <w:tr w14:paraId="0B050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3335" w:type="dxa"/>
                  <w:tcBorders>
                    <w:top w:val="single" w:color="auto" w:sz="4" w:space="0"/>
                    <w:left w:val="single" w:color="auto" w:sz="4" w:space="0"/>
                    <w:bottom w:val="single" w:color="auto" w:sz="4" w:space="0"/>
                    <w:right w:val="single" w:color="auto" w:sz="4" w:space="0"/>
                  </w:tcBorders>
                  <w:vAlign w:val="center"/>
                </w:tcPr>
                <w:p w14:paraId="07F21437">
                  <w:pPr>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pict>
                      <v:group id="1026" o:spid="_x0000_s1032" o:spt="203" style="position:absolute;left:0pt;margin-left:-4.2pt;margin-top:1.1pt;height:68.65pt;width:160.5pt;z-index:251659264;mso-width-relative:page;mso-height-relative:page;" coordorigin="3499,2780" coordsize="3210,1373">
                        <o:lock v:ext="edit" position="f" selection="f" grouping="f" rotation="f" cropping="f" text="f" aspectratio="f"/>
                        <v:line id="1027" o:spid="_x0000_s1033" o:spt="20" style="position:absolute;left:3499;top:2780;height:687;width:3210;" fillcolor="#FFFFFF" filled="f" o:preferrelative="t" stroked="t" coordsize="21600,21600">
                          <v:path arrowok="t"/>
                          <v:fill on="f" color2="#FFFFFF" focussize="0,0"/>
                          <v:stroke weight="0.5pt" color="#000000" color2="#FFFFFF" miterlimit="2"/>
                          <v:imagedata gain="65536f" blacklevel="0f" gamma="0" o:title=""/>
                          <o:lock v:ext="edit" position="f" selection="f" grouping="f" rotation="f" cropping="f" text="f" aspectratio="f"/>
                        </v:line>
                        <v:line id="1028" o:spid="_x0000_s1034" o:spt="20" style="position:absolute;left:3499;top:2780;height:1373;width:3210;" fillcolor="#FFFFFF" filled="f" o:preferrelative="t" stroked="t" coordsize="21600,21600">
                          <v:path arrowok="t"/>
                          <v:fill on="f" color2="#FFFFFF" focussize="0,0"/>
                          <v:stroke weight="0.5pt" color="#000000" color2="#FFFFFF" miterlimit="2"/>
                          <v:imagedata gain="65536f" blacklevel="0f" gamma="0" o:title=""/>
                          <o:lock v:ext="edit" position="f" selection="f" grouping="f" rotation="f" cropping="f" text="f" aspectratio="f"/>
                        </v:line>
                        <v:rect id="1029" o:spid="_x0000_s1035" o:spt="1" style="position:absolute;left:4868;top:2780;height:309;width:321;"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3312EEF9">
                                <w:pPr>
                                  <w:snapToGrid w:val="0"/>
                                </w:pPr>
                                <w:r>
                                  <w:rPr>
                                    <w:rFonts w:hint="eastAsia"/>
                                  </w:rPr>
                                  <w:t>招</w:t>
                                </w:r>
                              </w:p>
                            </w:txbxContent>
                          </v:textbox>
                        </v:rect>
                        <v:rect id="1030" o:spid="_x0000_s1036" o:spt="1" style="position:absolute;left:5303;top:2819;height:309;width:320;"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2D85CD18">
                                <w:pPr>
                                  <w:snapToGrid w:val="0"/>
                                </w:pPr>
                                <w:r>
                                  <w:rPr>
                                    <w:rFonts w:hint="eastAsia"/>
                                  </w:rPr>
                                  <w:t>标</w:t>
                                </w:r>
                              </w:p>
                            </w:txbxContent>
                          </v:textbox>
                        </v:rect>
                        <v:rect id="1031" o:spid="_x0000_s1037" o:spt="1" style="position:absolute;left:5737;top:2866;height:308;width:321;"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642DB098">
                                <w:pPr>
                                  <w:snapToGrid w:val="0"/>
                                </w:pPr>
                                <w:r>
                                  <w:rPr>
                                    <w:rFonts w:hint="eastAsia"/>
                                  </w:rPr>
                                  <w:t>类</w:t>
                                </w:r>
                              </w:p>
                            </w:txbxContent>
                          </v:textbox>
                        </v:rect>
                        <v:rect id="1032" o:spid="_x0000_s1038" o:spt="1" style="position:absolute;left:6172;top:2912;height:309;width:320;"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73FD2F70">
                                <w:pPr>
                                  <w:snapToGrid w:val="0"/>
                                </w:pPr>
                                <w:r>
                                  <w:rPr>
                                    <w:rFonts w:hint="eastAsia"/>
                                  </w:rPr>
                                  <w:t>别</w:t>
                                </w:r>
                              </w:p>
                            </w:txbxContent>
                          </v:textbox>
                        </v:rect>
                        <v:rect id="1033" o:spid="_x0000_s1039" o:spt="1" style="position:absolute;left:5175;top:3197;height:308;width:271;"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2CEAE328">
                                <w:pPr>
                                  <w:snapToGrid w:val="0"/>
                                </w:pPr>
                                <w:r>
                                  <w:rPr>
                                    <w:rFonts w:hint="eastAsia"/>
                                  </w:rPr>
                                  <w:t>费</w:t>
                                </w:r>
                              </w:p>
                            </w:txbxContent>
                          </v:textbox>
                        </v:rect>
                        <v:rect id="1034" o:spid="_x0000_s1040" o:spt="1" style="position:absolute;left:6016;top:3474;height:309;width:320;"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2F6F7C76">
                                <w:pPr>
                                  <w:snapToGrid w:val="0"/>
                                </w:pPr>
                                <w:r>
                                  <w:rPr>
                                    <w:rFonts w:hint="eastAsia"/>
                                  </w:rPr>
                                  <w:t>率</w:t>
                                </w:r>
                              </w:p>
                            </w:txbxContent>
                          </v:textbox>
                        </v:rect>
                        <v:rect id="1035" o:spid="_x0000_s1041" o:spt="1" style="position:absolute;left:3661;top:3374;height:309;width:320;"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59762A46">
                                <w:pPr>
                                  <w:snapToGrid w:val="0"/>
                                </w:pPr>
                                <w:r>
                                  <w:rPr>
                                    <w:rFonts w:hint="eastAsia"/>
                                  </w:rPr>
                                  <w:t>中</w:t>
                                </w:r>
                              </w:p>
                            </w:txbxContent>
                          </v:textbox>
                        </v:rect>
                        <v:rect id="1036" o:spid="_x0000_s1042" o:spt="1" style="position:absolute;left:3974;top:3441;height:309;width:320;"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5E483462">
                                <w:pPr>
                                  <w:snapToGrid w:val="0"/>
                                </w:pPr>
                                <w:r>
                                  <w:rPr>
                                    <w:rFonts w:hint="eastAsia"/>
                                  </w:rPr>
                                  <w:t>标</w:t>
                                </w:r>
                              </w:p>
                            </w:txbxContent>
                          </v:textbox>
                        </v:rect>
                        <v:rect id="1037" o:spid="_x0000_s1043" o:spt="1" style="position:absolute;left:4287;top:3508;height:309;width:319;"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459396FE">
                                <w:pPr>
                                  <w:snapToGrid w:val="0"/>
                                </w:pPr>
                                <w:r>
                                  <w:rPr>
                                    <w:rFonts w:hint="eastAsia"/>
                                  </w:rPr>
                                  <w:t>金</w:t>
                                </w:r>
                              </w:p>
                            </w:txbxContent>
                          </v:textbox>
                        </v:rect>
                        <v:rect id="1038" o:spid="_x0000_s1044" o:spt="1" style="position:absolute;left:4600;top:3575;height:309;width:319;"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04727EF9">
                                <w:pPr>
                                  <w:snapToGrid w:val="0"/>
                                </w:pPr>
                                <w:r>
                                  <w:rPr>
                                    <w:rFonts w:hint="eastAsia"/>
                                  </w:rPr>
                                  <w:t>额</w:t>
                                </w:r>
                              </w:p>
                            </w:txbxContent>
                          </v:textbox>
                        </v:rect>
                        <v:rect id="1039" o:spid="_x0000_s1045" o:spt="1" style="position:absolute;left:4911;top:3642;height:308;width:321;"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2B2BE120">
                                <w:pPr>
                                  <w:snapToGrid w:val="0"/>
                                </w:pPr>
                                <w:r>
                                  <w:rPr>
                                    <w:rFonts w:hint="eastAsia"/>
                                  </w:rPr>
                                  <w:t>（</w:t>
                                </w:r>
                              </w:p>
                            </w:txbxContent>
                          </v:textbox>
                        </v:rect>
                        <v:rect id="1040" o:spid="_x0000_s1046" o:spt="1" style="position:absolute;left:5224;top:3709;height:308;width:321;"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2AE42E10">
                                <w:pPr>
                                  <w:snapToGrid w:val="0"/>
                                </w:pPr>
                                <w:r>
                                  <w:rPr>
                                    <w:rFonts w:hint="eastAsia"/>
                                  </w:rPr>
                                  <w:t>万</w:t>
                                </w:r>
                              </w:p>
                            </w:txbxContent>
                          </v:textbox>
                        </v:rect>
                        <v:rect id="1041" o:spid="_x0000_s1047" o:spt="1" style="position:absolute;left:5567;top:3776;height:308;width:259;"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6C3B9B30">
                                <w:pPr>
                                  <w:snapToGrid w:val="0"/>
                                </w:pPr>
                                <w:r>
                                  <w:rPr>
                                    <w:rFonts w:hint="eastAsia"/>
                                  </w:rPr>
                                  <w:t>元</w:t>
                                </w:r>
                              </w:p>
                            </w:txbxContent>
                          </v:textbox>
                        </v:rect>
                        <v:rect id="1042" o:spid="_x0000_s1048" o:spt="1" style="position:absolute;left:5970;top:3843;height:308;width:79;"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14:paraId="12CBC150">
                                <w:pPr>
                                  <w:snapToGrid w:val="0"/>
                                </w:pPr>
                                <w:r>
                                  <w:rPr>
                                    <w:rFonts w:hint="eastAsia"/>
                                  </w:rPr>
                                  <w:t>）</w:t>
                                </w:r>
                              </w:p>
                            </w:txbxContent>
                          </v:textbox>
                        </v:rect>
                      </v:group>
                    </w:pict>
                  </w:r>
                </w:p>
              </w:tc>
              <w:tc>
                <w:tcPr>
                  <w:tcW w:w="2209" w:type="dxa"/>
                  <w:tcBorders>
                    <w:top w:val="single" w:color="auto" w:sz="4" w:space="0"/>
                    <w:left w:val="single" w:color="auto" w:sz="4" w:space="0"/>
                    <w:bottom w:val="single" w:color="auto" w:sz="4" w:space="0"/>
                    <w:right w:val="single" w:color="auto" w:sz="4" w:space="0"/>
                  </w:tcBorders>
                  <w:vAlign w:val="center"/>
                </w:tcPr>
                <w:p w14:paraId="64780381">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服务招标</w:t>
                  </w:r>
                </w:p>
              </w:tc>
            </w:tr>
            <w:tr w14:paraId="27B8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3335" w:type="dxa"/>
                  <w:tcBorders>
                    <w:top w:val="single" w:color="auto" w:sz="4" w:space="0"/>
                    <w:left w:val="single" w:color="auto" w:sz="4" w:space="0"/>
                    <w:bottom w:val="single" w:color="auto" w:sz="4" w:space="0"/>
                    <w:right w:val="single" w:color="auto" w:sz="4" w:space="0"/>
                  </w:tcBorders>
                  <w:vAlign w:val="center"/>
                </w:tcPr>
                <w:p w14:paraId="5FFBCE79">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100以下</w:t>
                  </w:r>
                </w:p>
              </w:tc>
              <w:tc>
                <w:tcPr>
                  <w:tcW w:w="2209" w:type="dxa"/>
                  <w:tcBorders>
                    <w:top w:val="single" w:color="auto" w:sz="4" w:space="0"/>
                    <w:left w:val="single" w:color="auto" w:sz="4" w:space="0"/>
                    <w:bottom w:val="single" w:color="auto" w:sz="4" w:space="0"/>
                    <w:right w:val="single" w:color="auto" w:sz="4" w:space="0"/>
                  </w:tcBorders>
                  <w:vAlign w:val="center"/>
                </w:tcPr>
                <w:p w14:paraId="16C2C406">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r>
            <w:tr w14:paraId="5325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 w:hRule="atLeast"/>
              </w:trPr>
              <w:tc>
                <w:tcPr>
                  <w:tcW w:w="3335" w:type="dxa"/>
                  <w:tcBorders>
                    <w:top w:val="single" w:color="auto" w:sz="4" w:space="0"/>
                    <w:left w:val="single" w:color="auto" w:sz="4" w:space="0"/>
                    <w:bottom w:val="single" w:color="auto" w:sz="4" w:space="0"/>
                    <w:right w:val="single" w:color="auto" w:sz="4" w:space="0"/>
                  </w:tcBorders>
                  <w:vAlign w:val="center"/>
                </w:tcPr>
                <w:p w14:paraId="5AE640E9">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100--500</w:t>
                  </w:r>
                </w:p>
              </w:tc>
              <w:tc>
                <w:tcPr>
                  <w:tcW w:w="2209" w:type="dxa"/>
                  <w:tcBorders>
                    <w:top w:val="single" w:color="auto" w:sz="4" w:space="0"/>
                    <w:left w:val="single" w:color="auto" w:sz="4" w:space="0"/>
                    <w:bottom w:val="single" w:color="auto" w:sz="4" w:space="0"/>
                    <w:right w:val="single" w:color="auto" w:sz="4" w:space="0"/>
                  </w:tcBorders>
                  <w:vAlign w:val="center"/>
                </w:tcPr>
                <w:p w14:paraId="213DB17F">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0.8%</w:t>
                  </w:r>
                </w:p>
              </w:tc>
            </w:tr>
            <w:tr w14:paraId="36DF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3335" w:type="dxa"/>
                  <w:tcBorders>
                    <w:top w:val="single" w:color="auto" w:sz="4" w:space="0"/>
                    <w:left w:val="single" w:color="auto" w:sz="4" w:space="0"/>
                    <w:bottom w:val="single" w:color="auto" w:sz="4" w:space="0"/>
                    <w:right w:val="single" w:color="auto" w:sz="4" w:space="0"/>
                  </w:tcBorders>
                  <w:vAlign w:val="center"/>
                </w:tcPr>
                <w:p w14:paraId="40FEC613">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500--1000</w:t>
                  </w:r>
                </w:p>
              </w:tc>
              <w:tc>
                <w:tcPr>
                  <w:tcW w:w="2209" w:type="dxa"/>
                  <w:tcBorders>
                    <w:top w:val="single" w:color="auto" w:sz="4" w:space="0"/>
                    <w:left w:val="single" w:color="auto" w:sz="4" w:space="0"/>
                    <w:bottom w:val="single" w:color="auto" w:sz="4" w:space="0"/>
                    <w:right w:val="single" w:color="auto" w:sz="4" w:space="0"/>
                  </w:tcBorders>
                  <w:vAlign w:val="center"/>
                </w:tcPr>
                <w:p w14:paraId="092713C3">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0.45%</w:t>
                  </w:r>
                </w:p>
              </w:tc>
            </w:tr>
          </w:tbl>
          <w:p w14:paraId="78977063">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注：招标代理服务收费按差额定率累进法计算。例如：某服务招标代理业务中标金额为1000万元，计算招标代理服务收费额如下：</w:t>
            </w:r>
          </w:p>
          <w:p w14:paraId="0F5E567C">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100万元×1.5％＝1.5万元</w:t>
            </w:r>
          </w:p>
          <w:p w14:paraId="151C750A">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（500-100）万元×0.8％＝3.2万元</w:t>
            </w:r>
          </w:p>
          <w:p w14:paraId="689FF4D1">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（1000-500）万元×0.45％＝2.25万元</w:t>
            </w:r>
          </w:p>
          <w:p w14:paraId="3D1A6165">
            <w:pPr>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合计收费=1.5十3.2＋2.25＝6.95（万元）</w:t>
            </w:r>
          </w:p>
          <w:p w14:paraId="08FAEB45">
            <w:pPr>
              <w:jc w:val="left"/>
              <w:rPr>
                <w:rFonts w:ascii="宋体" w:hAnsi="宋体" w:cs="宋体"/>
                <w:color w:val="auto"/>
                <w:szCs w:val="21"/>
                <w:highlight w:val="none"/>
              </w:rPr>
            </w:pPr>
            <w:r>
              <w:rPr>
                <w:rFonts w:hint="eastAsia" w:ascii="宋体" w:hAnsi="宋体" w:cs="宋体"/>
                <w:color w:val="auto"/>
                <w:szCs w:val="21"/>
                <w:highlight w:val="none"/>
              </w:rPr>
              <w:t>（3）本次招标代理服务费按</w:t>
            </w:r>
            <w:r>
              <w:rPr>
                <w:rFonts w:hint="eastAsia" w:ascii="宋体" w:hAnsi="宋体" w:cs="宋体"/>
                <w:b/>
                <w:bCs/>
                <w:color w:val="auto"/>
                <w:szCs w:val="21"/>
                <w:highlight w:val="none"/>
                <w:lang w:val="en-US" w:eastAsia="zh-CN"/>
              </w:rPr>
              <w:t>服务</w:t>
            </w:r>
            <w:r>
              <w:rPr>
                <w:rFonts w:hint="eastAsia" w:ascii="宋体" w:hAnsi="宋体" w:cs="宋体"/>
                <w:color w:val="auto"/>
                <w:szCs w:val="21"/>
                <w:highlight w:val="none"/>
              </w:rPr>
              <w:t>招标标准</w:t>
            </w:r>
            <w:r>
              <w:rPr>
                <w:rFonts w:hint="eastAsia" w:ascii="宋体" w:hAnsi="宋体" w:eastAsia="宋体" w:cs="宋体"/>
                <w:b w:val="0"/>
                <w:color w:val="auto"/>
                <w:sz w:val="21"/>
                <w:highlight w:val="none"/>
                <w:u w:val="none"/>
                <w:lang w:val="en-US" w:eastAsia="zh-CN"/>
              </w:rPr>
              <w:t>*70%</w:t>
            </w:r>
            <w:r>
              <w:rPr>
                <w:rFonts w:hint="eastAsia" w:ascii="宋体" w:hAnsi="宋体" w:cs="宋体"/>
                <w:color w:val="auto"/>
                <w:szCs w:val="21"/>
                <w:highlight w:val="none"/>
              </w:rPr>
              <w:t>向中标人收取。</w:t>
            </w:r>
          </w:p>
          <w:p w14:paraId="626287D7">
            <w:pPr>
              <w:spacing w:line="360" w:lineRule="auto"/>
              <w:jc w:val="left"/>
              <w:outlineLvl w:val="9"/>
              <w:rPr>
                <w:rFonts w:hint="eastAsia" w:ascii="宋体" w:hAnsi="宋体" w:eastAsia="宋体" w:cs="Times New Roman"/>
                <w:color w:val="auto"/>
                <w:szCs w:val="21"/>
                <w:highlight w:val="none"/>
                <w:lang w:eastAsia="zh-CN"/>
              </w:rPr>
            </w:pPr>
            <w:r>
              <w:rPr>
                <w:rFonts w:hint="eastAsia" w:ascii="宋体" w:hAnsi="宋体" w:eastAsia="宋体"/>
                <w:color w:val="auto"/>
                <w:szCs w:val="21"/>
                <w:highlight w:val="none"/>
              </w:rPr>
              <w:t>（4）</w:t>
            </w:r>
            <w:r>
              <w:rPr>
                <w:rFonts w:hint="eastAsia" w:ascii="宋体" w:hAnsi="宋体" w:eastAsia="宋体"/>
                <w:b/>
                <w:color w:val="auto"/>
                <w:szCs w:val="21"/>
                <w:highlight w:val="none"/>
              </w:rPr>
              <w:t>代理服务费请汇至</w:t>
            </w:r>
            <w:r>
              <w:rPr>
                <w:rFonts w:hint="eastAsia" w:ascii="宋体" w:hAnsi="宋体"/>
                <w:b/>
                <w:color w:val="auto"/>
                <w:szCs w:val="21"/>
                <w:highlight w:val="none"/>
                <w:lang w:eastAsia="zh-CN"/>
              </w:rPr>
              <w:t>：</w:t>
            </w:r>
          </w:p>
          <w:p w14:paraId="7EC0A843">
            <w:pPr>
              <w:spacing w:line="360" w:lineRule="auto"/>
              <w:jc w:val="left"/>
              <w:outlineLvl w:val="9"/>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户名：大连市政府采购中心</w:t>
            </w:r>
          </w:p>
          <w:p w14:paraId="6FA2C9B0">
            <w:pPr>
              <w:spacing w:line="360" w:lineRule="auto"/>
              <w:jc w:val="left"/>
              <w:outlineLvl w:val="9"/>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开户行：大连银行营业部</w:t>
            </w:r>
          </w:p>
          <w:p w14:paraId="36287D0D">
            <w:pPr>
              <w:spacing w:line="360" w:lineRule="auto"/>
              <w:jc w:val="left"/>
              <w:outlineLvl w:val="9"/>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账号：810023000001083</w:t>
            </w:r>
          </w:p>
          <w:p w14:paraId="7353DCAF">
            <w:pPr>
              <w:spacing w:line="360" w:lineRule="auto"/>
              <w:outlineLvl w:val="9"/>
              <w:rPr>
                <w:rFonts w:hint="eastAsia" w:ascii="宋体" w:hAnsi="宋体" w:eastAsia="宋体" w:cs="宋体"/>
                <w:color w:val="auto"/>
                <w:szCs w:val="21"/>
                <w:highlight w:val="none"/>
              </w:rPr>
            </w:pPr>
            <w:r>
              <w:rPr>
                <w:rFonts w:hint="eastAsia" w:ascii="宋体" w:hAnsi="宋体" w:eastAsia="宋体" w:cs="Times New Roman"/>
                <w:b/>
                <w:bCs/>
                <w:color w:val="auto"/>
                <w:szCs w:val="21"/>
                <w:highlight w:val="none"/>
                <w:lang w:val="en-US" w:eastAsia="zh-CN"/>
              </w:rPr>
              <w:t>备注：项目编号+服务费</w:t>
            </w:r>
          </w:p>
        </w:tc>
      </w:tr>
      <w:tr w14:paraId="6A13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FB1A3B3">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1984" w:type="dxa"/>
            <w:vAlign w:val="center"/>
          </w:tcPr>
          <w:p w14:paraId="7EB0AD8E">
            <w:pPr>
              <w:adjustRightInd/>
              <w:snapToGrid/>
              <w:spacing w:line="400" w:lineRule="exact"/>
              <w:ind w:left="0" w:leftChars="0" w:right="0"/>
              <w:jc w:val="center"/>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auto"/>
              </w:rPr>
              <w:t>其他补充事项</w:t>
            </w:r>
          </w:p>
        </w:tc>
        <w:tc>
          <w:tcPr>
            <w:tcW w:w="6058" w:type="dxa"/>
            <w:gridSpan w:val="2"/>
            <w:vAlign w:val="center"/>
          </w:tcPr>
          <w:p w14:paraId="0614C44E">
            <w:pPr>
              <w:adjustRightInd/>
              <w:snapToGrid/>
              <w:spacing w:line="400" w:lineRule="exact"/>
              <w:ind w:left="0" w:leftChars="0" w:right="0"/>
              <w:textAlignment w:val="auto"/>
              <w:outlineLvl w:val="9"/>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其他补充事项：</w:t>
            </w:r>
          </w:p>
          <w:p w14:paraId="0D35286D">
            <w:pPr>
              <w:adjustRightInd/>
              <w:snapToGrid/>
              <w:spacing w:line="400" w:lineRule="exact"/>
              <w:ind w:left="0" w:leftChars="0" w:right="0"/>
              <w:textAlignment w:val="auto"/>
              <w:outlineLvl w:val="9"/>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1.投标人的投标报价必须包括完成本次招标范围内全部项目，如报价中没有明确提出不包括在预算内的项目，将被视为在投标人的报价中已包含。</w:t>
            </w:r>
          </w:p>
          <w:p w14:paraId="5DDA1658">
            <w:pPr>
              <w:adjustRightInd/>
              <w:snapToGrid/>
              <w:spacing w:line="400" w:lineRule="exact"/>
              <w:ind w:left="0" w:leftChars="0" w:right="0"/>
              <w:textAlignment w:val="auto"/>
              <w:outlineLvl w:val="9"/>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2.供应商在法定质疑期内须一次性提出针对同一采购程序环节的质疑，超过法定质疑期限或重复针对同一采购程序环节提出的质疑将不予受理。</w:t>
            </w:r>
          </w:p>
          <w:p w14:paraId="1CA10326">
            <w:pPr>
              <w:adjustRightInd/>
              <w:snapToGrid/>
              <w:spacing w:line="400" w:lineRule="exact"/>
              <w:ind w:left="0" w:leftChars="0" w:right="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auto"/>
              </w:rPr>
              <w:t>3.投标人在提供服务过程中所使用的一切软硬件工具及产品，涉及知识产权等相关法律问题和责任，由投标人自行承担。</w:t>
            </w:r>
          </w:p>
        </w:tc>
      </w:tr>
      <w:tr w14:paraId="79C4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928C4DF">
            <w:pPr>
              <w:topLinePunct/>
              <w:autoSpaceDE w:val="0"/>
              <w:autoSpaceDN w:val="0"/>
              <w:adjustRightInd w:val="0"/>
              <w:snapToGrid w:val="0"/>
              <w:spacing w:line="360" w:lineRule="auto"/>
              <w:jc w:val="center"/>
              <w:outlineLvl w:val="9"/>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w:t>
            </w:r>
          </w:p>
        </w:tc>
        <w:tc>
          <w:tcPr>
            <w:tcW w:w="1984" w:type="dxa"/>
            <w:vAlign w:val="center"/>
          </w:tcPr>
          <w:p w14:paraId="5C7DD065">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shd w:val="clear" w:color="auto" w:fill="auto"/>
              </w:rPr>
            </w:pPr>
            <w:r>
              <w:rPr>
                <w:rFonts w:hint="eastAsia" w:ascii="宋体" w:hAnsi="宋体" w:eastAsia="宋体" w:cs="Times New Roman"/>
                <w:b w:val="0"/>
                <w:bCs/>
                <w:color w:val="auto"/>
                <w:kern w:val="0"/>
                <w:sz w:val="21"/>
                <w:szCs w:val="21"/>
                <w:highlight w:val="none"/>
                <w:lang w:val="en-US" w:eastAsia="zh-CN" w:bidi="ar-SA"/>
              </w:rPr>
              <w:t>异常低价投标（响应）审查程序</w:t>
            </w:r>
          </w:p>
        </w:tc>
        <w:tc>
          <w:tcPr>
            <w:tcW w:w="6058" w:type="dxa"/>
            <w:gridSpan w:val="2"/>
            <w:vAlign w:val="center"/>
          </w:tcPr>
          <w:p w14:paraId="089F2124">
            <w:pPr>
              <w:numPr>
                <w:ilvl w:val="0"/>
                <w:numId w:val="0"/>
              </w:numPr>
              <w:spacing w:line="360" w:lineRule="auto"/>
              <w:ind w:left="0" w:leftChars="0" w:firstLine="0" w:firstLineChars="0"/>
              <w:outlineLvl w:val="9"/>
              <w:rPr>
                <w:rFonts w:hint="eastAsia" w:ascii="宋体" w:hAnsi="宋体" w:eastAsia="宋体" w:cs="宋体"/>
                <w:color w:val="auto"/>
                <w:szCs w:val="21"/>
                <w:highlight w:val="none"/>
                <w:shd w:val="clear" w:color="auto" w:fill="auto"/>
              </w:rPr>
            </w:pPr>
            <w:r>
              <w:rPr>
                <w:rFonts w:hint="eastAsia" w:ascii="宋体" w:hAnsi="宋体" w:eastAsia="宋体" w:cs="宋体"/>
                <w:b w:val="0"/>
                <w:bCs/>
                <w:color w:val="auto"/>
                <w:kern w:val="0"/>
                <w:sz w:val="21"/>
                <w:szCs w:val="21"/>
                <w:highlight w:val="none"/>
                <w:lang w:val="en-US" w:eastAsia="zh-CN"/>
              </w:rPr>
              <w:t>评审委员会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p>
        </w:tc>
      </w:tr>
      <w:tr w14:paraId="1B12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7B10B19">
            <w:pPr>
              <w:topLinePunct/>
              <w:autoSpaceDE w:val="0"/>
              <w:autoSpaceDN w:val="0"/>
              <w:adjustRightInd w:val="0"/>
              <w:snapToGrid w:val="0"/>
              <w:spacing w:line="360" w:lineRule="auto"/>
              <w:jc w:val="center"/>
              <w:outlineLvl w:val="9"/>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w:t>
            </w:r>
          </w:p>
        </w:tc>
        <w:tc>
          <w:tcPr>
            <w:tcW w:w="1984" w:type="dxa"/>
            <w:vAlign w:val="center"/>
          </w:tcPr>
          <w:p w14:paraId="2B2206B1">
            <w:pPr>
              <w:topLinePunct/>
              <w:autoSpaceDE w:val="0"/>
              <w:autoSpaceDN w:val="0"/>
              <w:adjustRightInd w:val="0"/>
              <w:snapToGrid w:val="0"/>
              <w:spacing w:line="360" w:lineRule="auto"/>
              <w:jc w:val="center"/>
              <w:outlineLvl w:val="9"/>
              <w:rPr>
                <w:rFonts w:hint="eastAsia" w:ascii="宋体" w:hAnsi="宋体" w:eastAsia="宋体" w:cs="宋体"/>
                <w:color w:val="auto"/>
                <w:szCs w:val="21"/>
                <w:highlight w:val="none"/>
                <w:shd w:val="clear" w:color="auto" w:fill="auto"/>
              </w:rPr>
            </w:pPr>
            <w:r>
              <w:rPr>
                <w:rFonts w:hint="eastAsia" w:ascii="宋体" w:hAnsi="宋体" w:eastAsia="宋体" w:cs="宋体"/>
                <w:b w:val="0"/>
                <w:bCs w:val="0"/>
                <w:color w:val="auto"/>
                <w:kern w:val="0"/>
                <w:sz w:val="21"/>
                <w:szCs w:val="21"/>
                <w:highlight w:val="none"/>
                <w:lang w:val="en-US" w:eastAsia="zh-CN"/>
              </w:rPr>
              <w:t>本项目是否适用本国产品政策</w:t>
            </w:r>
          </w:p>
        </w:tc>
        <w:tc>
          <w:tcPr>
            <w:tcW w:w="6058" w:type="dxa"/>
            <w:gridSpan w:val="2"/>
            <w:vAlign w:val="center"/>
          </w:tcPr>
          <w:p w14:paraId="0C481399">
            <w:pPr>
              <w:numPr>
                <w:ilvl w:val="0"/>
                <w:numId w:val="0"/>
              </w:numPr>
              <w:spacing w:line="360" w:lineRule="auto"/>
              <w:ind w:left="0" w:leftChars="0" w:firstLine="0" w:firstLineChars="0"/>
              <w:outlineLvl w:val="9"/>
              <w:rPr>
                <w:rFonts w:hint="eastAsia" w:ascii="宋体" w:hAnsi="宋体" w:eastAsia="宋体" w:cs="宋体"/>
                <w:color w:val="auto"/>
                <w:szCs w:val="21"/>
                <w:highlight w:val="none"/>
                <w:shd w:val="clear" w:color="auto" w:fill="auto"/>
              </w:rPr>
            </w:pPr>
            <w:r>
              <w:rPr>
                <w:rFonts w:hint="eastAsia" w:ascii="宋体" w:hAnsi="宋体" w:eastAsia="宋体" w:cs="宋体"/>
                <w:b w:val="0"/>
                <w:bCs w:val="0"/>
                <w:color w:val="auto"/>
                <w:kern w:val="0"/>
                <w:sz w:val="21"/>
                <w:szCs w:val="21"/>
                <w:highlight w:val="none"/>
                <w:lang w:val="en-US" w:eastAsia="zh-CN"/>
              </w:rPr>
              <w:sym w:font="Wingdings 2" w:char="0001"/>
            </w:r>
            <w:r>
              <w:rPr>
                <w:rFonts w:hint="eastAsia" w:ascii="宋体" w:hAnsi="宋体" w:eastAsia="宋体" w:cs="宋体"/>
                <w:color w:val="auto"/>
                <w:szCs w:val="21"/>
                <w:highlight w:val="none"/>
              </w:rPr>
              <w:sym w:font="Wingdings 2" w:char="0001"/>
            </w:r>
            <w:r>
              <w:rPr>
                <w:rFonts w:hint="eastAsia" w:ascii="宋体" w:hAnsi="宋体" w:eastAsia="宋体" w:cs="宋体"/>
                <w:b w:val="0"/>
                <w:bCs w:val="0"/>
                <w:color w:val="auto"/>
                <w:kern w:val="0"/>
                <w:sz w:val="21"/>
                <w:szCs w:val="21"/>
                <w:highlight w:val="none"/>
                <w:lang w:val="en-US" w:eastAsia="zh-CN"/>
              </w:rPr>
              <w:t>否，本项目不适用本国产品相关政策。</w:t>
            </w:r>
          </w:p>
        </w:tc>
      </w:tr>
    </w:tbl>
    <w:p w14:paraId="5D986DEB">
      <w:pPr>
        <w:outlineLvl w:val="9"/>
        <w:rPr>
          <w:rFonts w:hint="eastAsia" w:ascii="宋体" w:hAnsi="宋体" w:eastAsia="宋体" w:cs="宋体"/>
          <w:color w:val="auto"/>
          <w:highlight w:val="none"/>
        </w:rPr>
      </w:pPr>
    </w:p>
    <w:p w14:paraId="663BAD15">
      <w:pPr>
        <w:outlineLvl w:val="9"/>
        <w:rPr>
          <w:rFonts w:hint="eastAsia" w:ascii="宋体" w:hAnsi="宋体" w:eastAsia="宋体" w:cs="宋体"/>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797DA42C">
      <w:pPr>
        <w:spacing w:before="42" w:line="221" w:lineRule="auto"/>
        <w:ind w:left="3858"/>
        <w:outlineLvl w:val="9"/>
        <w:rPr>
          <w:rFonts w:hint="eastAsia" w:ascii="宋体" w:hAnsi="宋体" w:eastAsia="宋体" w:cs="宋体"/>
          <w:color w:val="auto"/>
          <w:szCs w:val="21"/>
          <w:highlight w:val="none"/>
        </w:rPr>
      </w:pPr>
      <w:bookmarkStart w:id="21" w:name="_Toc29091"/>
      <w:bookmarkStart w:id="22" w:name="_Toc132880274"/>
      <w:r>
        <w:rPr>
          <w:rFonts w:hint="eastAsia" w:ascii="宋体" w:hAnsi="宋体" w:eastAsia="宋体" w:cs="宋体"/>
          <w:color w:val="auto"/>
          <w:spacing w:val="-1"/>
          <w:szCs w:val="21"/>
          <w:highlight w:val="none"/>
        </w:rPr>
        <w:t>投标人须知正文</w:t>
      </w:r>
      <w:bookmarkEnd w:id="21"/>
    </w:p>
    <w:p w14:paraId="42E511F0">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一、总则</w:t>
      </w:r>
      <w:bookmarkEnd w:id="22"/>
    </w:p>
    <w:p w14:paraId="4183B5A0">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1.预算资金及来源</w:t>
      </w:r>
    </w:p>
    <w:p w14:paraId="3D4A7466">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本项目已经</w:t>
      </w:r>
      <w:r>
        <w:rPr>
          <w:rFonts w:hint="eastAsia" w:ascii="宋体" w:hAnsi="宋体" w:eastAsia="宋体" w:cs="宋体"/>
          <w:b/>
          <w:color w:val="auto"/>
          <w:szCs w:val="21"/>
          <w:highlight w:val="none"/>
          <w:u w:val="single"/>
          <w:lang w:eastAsia="zh-CN"/>
        </w:rPr>
        <w:t>国家税务总局庄河市税务局</w:t>
      </w:r>
      <w:r>
        <w:rPr>
          <w:rFonts w:hint="eastAsia" w:ascii="宋体" w:hAnsi="宋体" w:eastAsia="宋体" w:cs="宋体"/>
          <w:color w:val="auto"/>
          <w:szCs w:val="21"/>
          <w:highlight w:val="none"/>
        </w:rPr>
        <w:t>批准立项。</w:t>
      </w:r>
    </w:p>
    <w:p w14:paraId="746D0634">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本项目预算资金见</w:t>
      </w:r>
      <w:r>
        <w:rPr>
          <w:rFonts w:hint="eastAsia" w:ascii="宋体" w:hAnsi="宋体" w:eastAsia="宋体" w:cs="宋体"/>
          <w:b/>
          <w:bCs/>
          <w:color w:val="auto"/>
          <w:szCs w:val="21"/>
          <w:highlight w:val="none"/>
        </w:rPr>
        <w:t>投标人须知前附表</w:t>
      </w:r>
      <w:r>
        <w:rPr>
          <w:rFonts w:hint="eastAsia" w:ascii="宋体" w:hAnsi="宋体" w:eastAsia="宋体" w:cs="宋体"/>
          <w:color w:val="auto"/>
          <w:szCs w:val="21"/>
          <w:highlight w:val="none"/>
        </w:rPr>
        <w:t>，已列入</w:t>
      </w:r>
      <w:r>
        <w:rPr>
          <w:rFonts w:hint="eastAsia" w:ascii="宋体" w:hAnsi="宋体" w:eastAsia="宋体" w:cs="宋体"/>
          <w:b/>
          <w:color w:val="auto"/>
          <w:szCs w:val="21"/>
          <w:highlight w:val="none"/>
          <w:u w:val="single"/>
          <w:lang w:eastAsia="zh-CN"/>
        </w:rPr>
        <w:t>国家税务总局庄河市税务局</w:t>
      </w:r>
      <w:r>
        <w:rPr>
          <w:rFonts w:hint="eastAsia" w:ascii="宋体" w:hAnsi="宋体" w:eastAsia="宋体" w:cs="宋体"/>
          <w:color w:val="auto"/>
          <w:szCs w:val="21"/>
          <w:highlight w:val="none"/>
        </w:rPr>
        <w:t>预算。</w:t>
      </w:r>
    </w:p>
    <w:p w14:paraId="2324C27D">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2.合格的产品和服务</w:t>
      </w:r>
    </w:p>
    <w:p w14:paraId="5BB4AAD6">
      <w:pPr>
        <w:tabs>
          <w:tab w:val="left" w:pos="2160"/>
        </w:tabs>
        <w:topLinePunct/>
        <w:autoSpaceDE w:val="0"/>
        <w:autoSpaceDN w:val="0"/>
        <w:adjustRightInd w:val="0"/>
        <w:snapToGrid w:val="0"/>
        <w:spacing w:line="360" w:lineRule="auto"/>
        <w:ind w:firstLine="420" w:firstLineChars="200"/>
        <w:outlineLvl w:val="9"/>
        <w:rPr>
          <w:rFonts w:ascii="宋体" w:hAnsi="宋体"/>
          <w:color w:val="auto"/>
          <w:szCs w:val="21"/>
          <w:highlight w:val="none"/>
        </w:rPr>
      </w:pPr>
      <w:bookmarkStart w:id="23" w:name="OLE_LINK40"/>
      <w:r>
        <w:rPr>
          <w:rFonts w:ascii="宋体" w:hAnsi="宋体"/>
          <w:color w:val="auto"/>
          <w:szCs w:val="21"/>
          <w:highlight w:val="none"/>
        </w:rPr>
        <w:t>2.1 本项目所涉及的所有产品和服务均应来自中国境内（指关境内），合同金额的支付也仅限于这些产品和服务。</w:t>
      </w:r>
    </w:p>
    <w:p w14:paraId="542A1714">
      <w:pPr>
        <w:tabs>
          <w:tab w:val="left" w:pos="2160"/>
        </w:tabs>
        <w:topLinePunct/>
        <w:autoSpaceDE w:val="0"/>
        <w:autoSpaceDN w:val="0"/>
        <w:adjustRightInd w:val="0"/>
        <w:snapToGrid w:val="0"/>
        <w:spacing w:line="360" w:lineRule="auto"/>
        <w:ind w:firstLine="420" w:firstLineChars="200"/>
        <w:outlineLvl w:val="9"/>
        <w:rPr>
          <w:rFonts w:ascii="宋体" w:hAnsi="宋体"/>
          <w:color w:val="auto"/>
          <w:szCs w:val="21"/>
          <w:highlight w:val="none"/>
        </w:rPr>
      </w:pPr>
      <w:r>
        <w:rPr>
          <w:rFonts w:ascii="宋体" w:hAnsi="宋体"/>
          <w:color w:val="auto"/>
          <w:szCs w:val="21"/>
          <w:highlight w:val="none"/>
        </w:rPr>
        <w:t>2.2 合格的产品和服务即</w:t>
      </w:r>
      <w:r>
        <w:rPr>
          <w:rFonts w:ascii="宋体" w:hAnsi="宋体"/>
          <w:b/>
          <w:bCs/>
          <w:color w:val="auto"/>
          <w:szCs w:val="21"/>
          <w:highlight w:val="none"/>
        </w:rPr>
        <w:t>采购需求</w:t>
      </w:r>
      <w:r>
        <w:rPr>
          <w:rFonts w:ascii="宋体" w:hAnsi="宋体"/>
          <w:color w:val="auto"/>
          <w:szCs w:val="21"/>
          <w:highlight w:val="none"/>
        </w:rPr>
        <w:t>见</w:t>
      </w:r>
      <w:r>
        <w:rPr>
          <w:rFonts w:ascii="宋体" w:hAnsi="宋体"/>
          <w:b/>
          <w:color w:val="auto"/>
          <w:szCs w:val="21"/>
          <w:highlight w:val="none"/>
        </w:rPr>
        <w:t>招标文件（技术部分）。</w:t>
      </w:r>
    </w:p>
    <w:p w14:paraId="1434DB31">
      <w:pPr>
        <w:adjustRightInd w:val="0"/>
        <w:snapToGrid w:val="0"/>
        <w:spacing w:line="360" w:lineRule="auto"/>
        <w:ind w:firstLine="420" w:firstLineChars="200"/>
        <w:outlineLvl w:val="9"/>
        <w:rPr>
          <w:rFonts w:ascii="宋体" w:hAnsi="宋体"/>
          <w:color w:val="auto"/>
          <w:szCs w:val="21"/>
          <w:highlight w:val="none"/>
        </w:rPr>
      </w:pPr>
      <w:r>
        <w:rPr>
          <w:rFonts w:ascii="宋体" w:hAnsi="宋体"/>
          <w:color w:val="auto"/>
          <w:szCs w:val="21"/>
          <w:highlight w:val="none"/>
        </w:rPr>
        <w:t>2.3 投标人应保证所提供的产品及服务免受第三方提出侵犯其知识产权（专利权、商标权、工业设计权及使用权）的请求及起诉。</w:t>
      </w:r>
    </w:p>
    <w:p w14:paraId="1910B20F">
      <w:pPr>
        <w:topLinePunct/>
        <w:autoSpaceDE w:val="0"/>
        <w:autoSpaceDN w:val="0"/>
        <w:adjustRightInd w:val="0"/>
        <w:snapToGrid w:val="0"/>
        <w:spacing w:beforeLines="50" w:afterLines="50" w:line="360" w:lineRule="auto"/>
        <w:ind w:firstLine="422" w:firstLineChars="200"/>
        <w:outlineLvl w:val="9"/>
        <w:rPr>
          <w:rFonts w:ascii="宋体" w:hAnsi="宋体"/>
          <w:b/>
          <w:color w:val="auto"/>
          <w:szCs w:val="21"/>
          <w:highlight w:val="none"/>
        </w:rPr>
      </w:pPr>
      <w:r>
        <w:rPr>
          <w:rFonts w:ascii="宋体" w:hAnsi="宋体"/>
          <w:b/>
          <w:color w:val="auto"/>
          <w:szCs w:val="21"/>
          <w:highlight w:val="none"/>
        </w:rPr>
        <w:t>3.合格的投标人</w:t>
      </w:r>
    </w:p>
    <w:p w14:paraId="6D45AE2C">
      <w:pPr>
        <w:topLinePunct/>
        <w:autoSpaceDE w:val="0"/>
        <w:autoSpaceDN w:val="0"/>
        <w:adjustRightInd w:val="0"/>
        <w:snapToGrid w:val="0"/>
        <w:spacing w:line="360" w:lineRule="auto"/>
        <w:ind w:firstLine="420" w:firstLineChars="200"/>
        <w:outlineLvl w:val="9"/>
        <w:rPr>
          <w:rFonts w:ascii="宋体" w:hAnsi="宋体"/>
          <w:color w:val="auto"/>
          <w:szCs w:val="21"/>
          <w:highlight w:val="none"/>
        </w:rPr>
      </w:pPr>
      <w:r>
        <w:rPr>
          <w:rFonts w:ascii="宋体" w:hAnsi="宋体"/>
          <w:color w:val="auto"/>
          <w:szCs w:val="21"/>
          <w:highlight w:val="none"/>
        </w:rPr>
        <w:t>3.1 一般规定</w:t>
      </w:r>
    </w:p>
    <w:p w14:paraId="6FA06DA3">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3.1.1投标人应遵守《政府采购法》及其实施条例、《政府采购货物和服务招标投标管理办法》、《政府采购质疑和投诉办法》及有关政府采购的规定，同时还应遵守有关法律、法规和规章的强制性规定。</w:t>
      </w:r>
    </w:p>
    <w:p w14:paraId="5205328A">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3.1.2投标人的资格要求及本项目的特定资格要求见</w:t>
      </w:r>
      <w:r>
        <w:rPr>
          <w:rFonts w:hint="default" w:ascii="宋体" w:hAnsi="宋体"/>
          <w:b/>
          <w:color w:val="auto"/>
          <w:sz w:val="21"/>
          <w:szCs w:val="21"/>
          <w:highlight w:val="none"/>
        </w:rPr>
        <w:t>投标人须知前附表</w:t>
      </w:r>
      <w:r>
        <w:rPr>
          <w:rFonts w:hint="default" w:ascii="宋体" w:hAnsi="宋体"/>
          <w:color w:val="auto"/>
          <w:sz w:val="21"/>
          <w:szCs w:val="21"/>
          <w:highlight w:val="none"/>
        </w:rPr>
        <w:t>。</w:t>
      </w:r>
    </w:p>
    <w:p w14:paraId="3FC8F110">
      <w:pPr>
        <w:pStyle w:val="30"/>
        <w:widowControl w:val="0"/>
        <w:spacing w:line="360" w:lineRule="auto"/>
        <w:ind w:firstLine="420" w:firstLineChars="200"/>
        <w:outlineLvl w:val="9"/>
        <w:rPr>
          <w:rFonts w:hint="default" w:ascii="宋体" w:hAnsi="宋体"/>
          <w:color w:val="auto"/>
          <w:sz w:val="21"/>
          <w:szCs w:val="21"/>
          <w:highlight w:val="none"/>
        </w:rPr>
      </w:pPr>
      <w:r>
        <w:rPr>
          <w:rFonts w:hint="default" w:ascii="宋体" w:hAnsi="宋体"/>
          <w:color w:val="auto"/>
          <w:sz w:val="21"/>
          <w:szCs w:val="21"/>
          <w:highlight w:val="none"/>
        </w:rPr>
        <w:t>3.1.3资格条件中所称“重大违法记录”，是指投标人因违法经营受到刑事处罚或者责令停产停业、吊销许可证或者执照、较大数额罚款等行政处罚。</w:t>
      </w:r>
    </w:p>
    <w:p w14:paraId="455BEC7D">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投标人在参加政府采购活动前3年内因违法经营被禁止在一定期限内参加政府采购活动，期限届满的，可以参加政府采购活动。</w:t>
      </w:r>
    </w:p>
    <w:p w14:paraId="64026D2D">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“较大数额罚款”认定为200万元以上的罚款，法律、行政法规以及国务院有关部门明确规定相关领域“较大数额罚款”标准高于200万元的，从其规定。</w:t>
      </w:r>
    </w:p>
    <w:p w14:paraId="6EABBD2B">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3.1.4信用记录要求</w:t>
      </w:r>
    </w:p>
    <w:p w14:paraId="639264A1">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采购人</w:t>
      </w:r>
      <w:r>
        <w:rPr>
          <w:rFonts w:hint="eastAsia" w:ascii="宋体" w:hAnsi="宋体"/>
          <w:color w:val="auto"/>
          <w:sz w:val="21"/>
          <w:szCs w:val="21"/>
          <w:highlight w:val="none"/>
          <w:lang w:val="en-US" w:eastAsia="zh-CN"/>
        </w:rPr>
        <w:t>或</w:t>
      </w:r>
      <w:r>
        <w:rPr>
          <w:rFonts w:hint="default" w:ascii="宋体" w:hAnsi="宋体"/>
          <w:color w:val="auto"/>
          <w:sz w:val="21"/>
          <w:szCs w:val="21"/>
          <w:highlight w:val="none"/>
        </w:rPr>
        <w:t>采购代理机构应当通过“信用中国”网站（www.creditchina.gov.cn）、中国政府采购网（www.ccgp.gov.cn）等渠道查询投标人的信用记录，并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p>
    <w:p w14:paraId="43C84D55">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4134E0D9">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3.2联合体（本项目不适用）</w:t>
      </w:r>
    </w:p>
    <w:p w14:paraId="3C27EDFB">
      <w:pPr>
        <w:pStyle w:val="30"/>
        <w:widowControl w:val="0"/>
        <w:spacing w:line="360" w:lineRule="auto"/>
        <w:ind w:firstLine="420" w:firstLineChars="200"/>
        <w:outlineLvl w:val="9"/>
        <w:rPr>
          <w:rFonts w:hint="default" w:ascii="宋体" w:hAnsi="宋体"/>
          <w:color w:val="auto"/>
          <w:sz w:val="21"/>
          <w:szCs w:val="21"/>
          <w:highlight w:val="none"/>
        </w:rPr>
      </w:pPr>
      <w:r>
        <w:rPr>
          <w:rFonts w:hint="default" w:ascii="宋体" w:hAnsi="宋体"/>
          <w:color w:val="auto"/>
          <w:sz w:val="21"/>
          <w:szCs w:val="21"/>
          <w:highlight w:val="none"/>
        </w:rPr>
        <w:t>3.2.1若本项目接受联合体投标，则两个以上的自然人、法人或者其他组织可以组成一个联合体，以一个投标人的身份共同参加政府采购。</w:t>
      </w:r>
    </w:p>
    <w:p w14:paraId="2B088783">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3.2.2以联合体形式参加投标的，联合体各方应按第二章要求提供资格条件材料。</w:t>
      </w:r>
    </w:p>
    <w:p w14:paraId="1D8B41D8">
      <w:pPr>
        <w:pStyle w:val="30"/>
        <w:widowControl w:val="0"/>
        <w:spacing w:line="360" w:lineRule="auto"/>
        <w:ind w:firstLine="420" w:firstLineChars="200"/>
        <w:outlineLvl w:val="9"/>
        <w:rPr>
          <w:rFonts w:hint="default" w:ascii="宋体" w:hAnsi="宋体"/>
          <w:color w:val="auto"/>
          <w:sz w:val="21"/>
          <w:szCs w:val="21"/>
          <w:highlight w:val="none"/>
        </w:rPr>
      </w:pPr>
      <w:r>
        <w:rPr>
          <w:rFonts w:hint="default" w:ascii="宋体" w:hAnsi="宋体"/>
          <w:color w:val="auto"/>
          <w:sz w:val="21"/>
          <w:szCs w:val="21"/>
          <w:highlight w:val="none"/>
        </w:rPr>
        <w:t>3.2.3联合体中有同类资质的投标人按照联合体分工承担相同工作的，应当按照资质等级较低的投标人确定资质等级。</w:t>
      </w:r>
    </w:p>
    <w:p w14:paraId="0F3084B4">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3.2.4联合体应当提交联合协议，载明联合体各方承担的工作和义务。</w:t>
      </w:r>
    </w:p>
    <w:p w14:paraId="110D3E60">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3.2.5联合体各方应当共同与采购人签订采购合同，就采购合同约定的事项对采购人承担连带责任。</w:t>
      </w:r>
    </w:p>
    <w:p w14:paraId="6F1FC0C3">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3.2.6以联合体形式参加政府采购活动的，联合体各方不得再单独参加或者与其他投标人另外组成联合体参加同一合同项下的政府采购活动。</w:t>
      </w:r>
    </w:p>
    <w:p w14:paraId="66E2FFD5">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3.3禁止规定</w:t>
      </w:r>
    </w:p>
    <w:p w14:paraId="6EA57DCE">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3.3.1单位负责人为同一人或者存在直接控股、管理关系的不同投标人，不得参加同一采购包的政府采购活动。否则投标均无效。</w:t>
      </w:r>
    </w:p>
    <w:p w14:paraId="6FE901CC">
      <w:pPr>
        <w:pStyle w:val="30"/>
        <w:widowControl w:val="0"/>
        <w:spacing w:line="360" w:lineRule="auto"/>
        <w:ind w:firstLine="420" w:firstLineChars="200"/>
        <w:jc w:val="both"/>
        <w:outlineLvl w:val="9"/>
        <w:rPr>
          <w:rFonts w:hint="default" w:ascii="宋体" w:hAnsi="宋体"/>
          <w:color w:val="auto"/>
          <w:sz w:val="21"/>
          <w:szCs w:val="21"/>
          <w:highlight w:val="none"/>
        </w:rPr>
      </w:pPr>
      <w:r>
        <w:rPr>
          <w:rFonts w:hint="default" w:ascii="宋体" w:hAnsi="宋体"/>
          <w:color w:val="auto"/>
          <w:sz w:val="21"/>
          <w:szCs w:val="21"/>
          <w:highlight w:val="none"/>
        </w:rPr>
        <w:t>3.3.2除单一来源采购项目外，为采购项目提供整体设计、规范编制或者项目管理、监理、检测等服务的供应商，不得再参加该采购项目的其他采购活动。否则投标无效。</w:t>
      </w:r>
    </w:p>
    <w:p w14:paraId="42DC82F3">
      <w:pPr>
        <w:topLinePunct/>
        <w:autoSpaceDE w:val="0"/>
        <w:autoSpaceDN w:val="0"/>
        <w:adjustRightInd w:val="0"/>
        <w:snapToGrid w:val="0"/>
        <w:spacing w:beforeLines="50" w:afterLines="50" w:line="360" w:lineRule="auto"/>
        <w:ind w:firstLine="422" w:firstLineChars="200"/>
        <w:outlineLvl w:val="9"/>
        <w:rPr>
          <w:rFonts w:ascii="宋体" w:hAnsi="宋体"/>
          <w:b/>
          <w:color w:val="auto"/>
          <w:szCs w:val="21"/>
          <w:highlight w:val="none"/>
        </w:rPr>
      </w:pPr>
      <w:r>
        <w:rPr>
          <w:rFonts w:ascii="宋体" w:hAnsi="宋体"/>
          <w:b/>
          <w:color w:val="auto"/>
          <w:szCs w:val="21"/>
          <w:highlight w:val="none"/>
        </w:rPr>
        <w:t>4.投标费用</w:t>
      </w:r>
    </w:p>
    <w:p w14:paraId="3BB0BFB9">
      <w:pPr>
        <w:topLinePunct/>
        <w:autoSpaceDE w:val="0"/>
        <w:autoSpaceDN w:val="0"/>
        <w:adjustRightInd w:val="0"/>
        <w:snapToGrid w:val="0"/>
        <w:spacing w:line="360" w:lineRule="auto"/>
        <w:ind w:firstLine="420" w:firstLineChars="200"/>
        <w:outlineLvl w:val="9"/>
        <w:rPr>
          <w:rFonts w:ascii="宋体" w:hAnsi="宋体"/>
          <w:color w:val="auto"/>
          <w:szCs w:val="21"/>
          <w:highlight w:val="none"/>
        </w:rPr>
      </w:pPr>
      <w:r>
        <w:rPr>
          <w:rFonts w:ascii="宋体" w:hAnsi="宋体"/>
          <w:color w:val="auto"/>
          <w:szCs w:val="21"/>
          <w:highlight w:val="none"/>
        </w:rPr>
        <w:t>4.1 投标人应承担所有与编写、提交投标文件有关的费用，不论招标的结果如何，采购人在任何情况下均无义务和责任承担这些费用。</w:t>
      </w:r>
    </w:p>
    <w:p w14:paraId="25104AE7">
      <w:pPr>
        <w:spacing w:line="360" w:lineRule="auto"/>
        <w:ind w:firstLine="643" w:firstLineChars="200"/>
        <w:jc w:val="center"/>
        <w:outlineLvl w:val="9"/>
        <w:rPr>
          <w:rFonts w:ascii="宋体" w:hAnsi="宋体" w:eastAsia="宋体"/>
          <w:b/>
          <w:color w:val="auto"/>
          <w:sz w:val="32"/>
          <w:szCs w:val="21"/>
          <w:highlight w:val="none"/>
        </w:rPr>
      </w:pPr>
      <w:bookmarkStart w:id="24" w:name="_Toc132880275"/>
      <w:r>
        <w:rPr>
          <w:rFonts w:hint="eastAsia" w:ascii="宋体" w:hAnsi="宋体" w:eastAsia="宋体"/>
          <w:b/>
          <w:color w:val="auto"/>
          <w:sz w:val="32"/>
          <w:szCs w:val="21"/>
          <w:highlight w:val="none"/>
        </w:rPr>
        <w:t>二、招标文件</w:t>
      </w:r>
      <w:bookmarkEnd w:id="24"/>
    </w:p>
    <w:p w14:paraId="2628157E">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5.招标文件构成</w:t>
      </w:r>
    </w:p>
    <w:p w14:paraId="2733F248">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第一部分商务部分</w:t>
      </w:r>
    </w:p>
    <w:p w14:paraId="72F72FC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（1）招标公告</w:t>
      </w:r>
    </w:p>
    <w:p w14:paraId="67BAD8A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（2）投标人须知</w:t>
      </w:r>
    </w:p>
    <w:p w14:paraId="797B64A4">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（3）评标方法及标准</w:t>
      </w:r>
    </w:p>
    <w:p w14:paraId="56AC124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（4）政府采购合同文本</w:t>
      </w:r>
    </w:p>
    <w:p w14:paraId="36F74AC8">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（5）投标文件格式</w:t>
      </w:r>
    </w:p>
    <w:p w14:paraId="1A1B1788">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第二部分技术部分</w:t>
      </w:r>
    </w:p>
    <w:p w14:paraId="1696D3B5">
      <w:pPr>
        <w:topLinePunct/>
        <w:autoSpaceDE w:val="0"/>
        <w:autoSpaceDN w:val="0"/>
        <w:adjustRightInd w:val="0"/>
        <w:snapToGrid w:val="0"/>
        <w:spacing w:line="360" w:lineRule="auto"/>
        <w:ind w:firstLine="413" w:firstLineChars="196"/>
        <w:outlineLvl w:val="9"/>
        <w:rPr>
          <w:rFonts w:ascii="宋体" w:hAnsi="宋体" w:eastAsia="宋体"/>
          <w:b/>
          <w:color w:val="auto"/>
          <w:szCs w:val="21"/>
          <w:highlight w:val="none"/>
        </w:rPr>
      </w:pPr>
      <w:r>
        <w:rPr>
          <w:rFonts w:ascii="宋体" w:hAnsi="宋体" w:eastAsia="宋体"/>
          <w:b/>
          <w:color w:val="auto"/>
          <w:szCs w:val="21"/>
          <w:highlight w:val="none"/>
        </w:rPr>
        <w:t>6.招标文件询问、澄清或修改</w:t>
      </w:r>
    </w:p>
    <w:p w14:paraId="070DA223">
      <w:pPr>
        <w:widowControl/>
        <w:topLinePunct/>
        <w:autoSpaceDE w:val="0"/>
        <w:autoSpaceDN w:val="0"/>
        <w:adjustRightInd w:val="0"/>
        <w:snapToGrid w:val="0"/>
        <w:spacing w:line="360" w:lineRule="auto"/>
        <w:ind w:firstLine="420" w:firstLineChars="200"/>
        <w:jc w:val="left"/>
        <w:outlineLvl w:val="9"/>
        <w:rPr>
          <w:rFonts w:ascii="宋体" w:hAnsi="宋体" w:eastAsia="宋体"/>
          <w:b/>
          <w:color w:val="auto"/>
          <w:szCs w:val="21"/>
          <w:highlight w:val="none"/>
        </w:rPr>
      </w:pPr>
      <w:r>
        <w:rPr>
          <w:rFonts w:ascii="宋体" w:hAnsi="宋体" w:eastAsia="宋体"/>
          <w:color w:val="auto"/>
          <w:szCs w:val="21"/>
          <w:highlight w:val="none"/>
        </w:rPr>
        <w:t>6.1 投标人对招标文件如有疑问的，可以向采购人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提出询问，采购人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应当在3个工作日内作出答复</w:t>
      </w:r>
      <w:r>
        <w:rPr>
          <w:rFonts w:ascii="宋体" w:hAnsi="宋体" w:eastAsia="宋体"/>
          <w:bCs/>
          <w:color w:val="auto"/>
          <w:szCs w:val="21"/>
          <w:highlight w:val="none"/>
        </w:rPr>
        <w:t>，但答复的内容不得涉及商业秘密。</w:t>
      </w:r>
      <w:r>
        <w:rPr>
          <w:rFonts w:ascii="宋体" w:hAnsi="宋体" w:eastAsia="宋体"/>
          <w:color w:val="auto"/>
          <w:szCs w:val="21"/>
          <w:highlight w:val="none"/>
        </w:rPr>
        <w:t>如有必要，采购人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可对招标文件进行澄清或者修改。</w:t>
      </w:r>
    </w:p>
    <w:p w14:paraId="03DA05A6">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6.2 采购人可主动对招标文件进行必要的澄清或者修改，但不得改变采购标的和资格条件。</w:t>
      </w:r>
    </w:p>
    <w:p w14:paraId="06D5F58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6.3 澄清或者修改应当在原公告发布媒体上发布澄清公告，通知所有获取招标文件的潜在投标人。</w:t>
      </w:r>
    </w:p>
    <w:p w14:paraId="16C2D915">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6.4 澄清或者修改的内容可能影响投标文件编制的，采购人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应当在投标截止时间至少15日前，以书面形式或通过</w:t>
      </w:r>
      <w:r>
        <w:rPr>
          <w:rFonts w:hint="eastAsia" w:ascii="宋体" w:hAnsi="宋体" w:eastAsia="宋体"/>
          <w:color w:val="auto"/>
          <w:szCs w:val="21"/>
          <w:highlight w:val="none"/>
        </w:rPr>
        <w:t>原公告发布媒体</w:t>
      </w:r>
      <w:r>
        <w:rPr>
          <w:rFonts w:ascii="宋体" w:hAnsi="宋体" w:eastAsia="宋体"/>
          <w:color w:val="auto"/>
          <w:szCs w:val="21"/>
          <w:highlight w:val="none"/>
        </w:rPr>
        <w:t>通知所有获取招标文件的潜在投标人；不足15日的，采购人应当顺延提交投标文件的截止时间。</w:t>
      </w:r>
    </w:p>
    <w:p w14:paraId="653079BC">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6.5 澄清或者修改的内容为招标文件的组成部分。</w:t>
      </w:r>
    </w:p>
    <w:p w14:paraId="0DD1DCAA">
      <w:pPr>
        <w:spacing w:line="360" w:lineRule="auto"/>
        <w:ind w:firstLine="643" w:firstLineChars="200"/>
        <w:jc w:val="center"/>
        <w:outlineLvl w:val="9"/>
        <w:rPr>
          <w:rFonts w:ascii="宋体" w:hAnsi="宋体" w:eastAsia="宋体"/>
          <w:b/>
          <w:color w:val="auto"/>
          <w:sz w:val="32"/>
          <w:szCs w:val="21"/>
          <w:highlight w:val="none"/>
        </w:rPr>
      </w:pPr>
      <w:bookmarkStart w:id="25" w:name="_Toc132880276"/>
      <w:r>
        <w:rPr>
          <w:rFonts w:hint="eastAsia" w:ascii="宋体" w:hAnsi="宋体" w:eastAsia="宋体"/>
          <w:b/>
          <w:color w:val="auto"/>
          <w:sz w:val="32"/>
          <w:szCs w:val="21"/>
          <w:highlight w:val="none"/>
        </w:rPr>
        <w:t>三、投标文件</w:t>
      </w:r>
      <w:bookmarkEnd w:id="25"/>
    </w:p>
    <w:p w14:paraId="08A91C00">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7</w:t>
      </w:r>
      <w:r>
        <w:rPr>
          <w:rFonts w:ascii="宋体" w:hAnsi="宋体" w:eastAsia="宋体"/>
          <w:color w:val="auto"/>
          <w:szCs w:val="21"/>
          <w:highlight w:val="none"/>
        </w:rPr>
        <w:t>．</w:t>
      </w:r>
      <w:r>
        <w:rPr>
          <w:rFonts w:ascii="宋体" w:hAnsi="宋体" w:eastAsia="宋体"/>
          <w:b/>
          <w:color w:val="auto"/>
          <w:szCs w:val="21"/>
          <w:highlight w:val="none"/>
        </w:rPr>
        <w:t>投标文件编制</w:t>
      </w:r>
    </w:p>
    <w:p w14:paraId="784F9DFB">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7.1投标文件的编制</w:t>
      </w:r>
    </w:p>
    <w:p w14:paraId="677C51D7">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7.1.1投标人应先仔细阅读招标文件的全部内容后，再进行投标文件的编制。</w:t>
      </w:r>
    </w:p>
    <w:p w14:paraId="76084904">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679A7FF9">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7.2投标文件的语言</w:t>
      </w:r>
    </w:p>
    <w:p w14:paraId="3B9856DF">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7.2.1除招标文件另有规定外，投标文件应使用中文文本并使用中文简化字，若有不同文本，以中文简化字文本为准。</w:t>
      </w:r>
    </w:p>
    <w:p w14:paraId="4A78F834">
      <w:pPr>
        <w:pStyle w:val="30"/>
        <w:widowControl w:val="0"/>
        <w:spacing w:line="360" w:lineRule="auto"/>
        <w:ind w:firstLine="420" w:firstLineChars="200"/>
        <w:jc w:val="both"/>
        <w:outlineLvl w:val="9"/>
        <w:rPr>
          <w:rFonts w:hint="default" w:ascii="宋体" w:hAnsi="宋体" w:eastAsia="宋体"/>
          <w:color w:val="auto"/>
          <w:sz w:val="21"/>
          <w:szCs w:val="21"/>
          <w:highlight w:val="none"/>
        </w:rPr>
      </w:pPr>
      <w:r>
        <w:rPr>
          <w:rFonts w:hint="default" w:ascii="宋体" w:hAnsi="宋体" w:eastAsia="宋体"/>
          <w:color w:val="auto"/>
          <w:sz w:val="21"/>
          <w:szCs w:val="21"/>
          <w:highlight w:val="none"/>
        </w:rPr>
        <w:t>7.2.2投标文件提供的全部资料中，若属于非中文描述的，应同时提供中文简化字译本。</w:t>
      </w:r>
    </w:p>
    <w:p w14:paraId="1D151F4E">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7.2.3除在招标文件的要求中另有规定外，投标文件计量单位应使用中华人民共和国法定计量单位。</w:t>
      </w:r>
    </w:p>
    <w:p w14:paraId="06B3A287">
      <w:pPr>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7.3</w:t>
      </w:r>
      <w:r>
        <w:rPr>
          <w:rFonts w:hint="eastAsia" w:ascii="宋体" w:hAnsi="宋体"/>
          <w:color w:val="auto"/>
          <w:szCs w:val="21"/>
          <w:highlight w:val="none"/>
          <w:lang w:val="en-US" w:eastAsia="zh-CN"/>
        </w:rPr>
        <w:t>投标人</w:t>
      </w:r>
      <w:r>
        <w:rPr>
          <w:rFonts w:hint="eastAsia" w:ascii="宋体" w:hAnsi="宋体" w:eastAsia="宋体"/>
          <w:color w:val="auto"/>
          <w:szCs w:val="21"/>
          <w:highlight w:val="none"/>
        </w:rPr>
        <w:t>制作投标文件前须提前办理CA锁，使用投标工具制作投标文件，并在投标文件中使用CA签章。CA锁办理流程：</w:t>
      </w:r>
    </w:p>
    <w:p w14:paraId="5EE878BC">
      <w:pPr>
        <w:outlineLvl w:val="9"/>
        <w:rPr>
          <w:rFonts w:ascii="宋体" w:hAnsi="宋体" w:eastAsia="宋体"/>
          <w:color w:val="auto"/>
          <w:szCs w:val="21"/>
          <w:highlight w:val="none"/>
        </w:rPr>
      </w:pPr>
      <w:r>
        <w:rPr>
          <w:color w:val="auto"/>
          <w:highlight w:val="none"/>
        </w:rPr>
        <w:fldChar w:fldCharType="begin"/>
      </w:r>
      <w:r>
        <w:rPr>
          <w:color w:val="auto"/>
          <w:highlight w:val="none"/>
        </w:rPr>
        <w:instrText xml:space="preserve"> HYPERLINK "https://ggzyjy.dl.gov.cn/zlxz/20250307/55088572-94f8-4f86-980e-f4b00e78a299.html" </w:instrText>
      </w:r>
      <w:r>
        <w:rPr>
          <w:color w:val="auto"/>
          <w:highlight w:val="none"/>
        </w:rPr>
        <w:fldChar w:fldCharType="separate"/>
      </w:r>
      <w:r>
        <w:rPr>
          <w:rFonts w:hint="eastAsia" w:ascii="宋体" w:hAnsi="宋体" w:eastAsia="宋体"/>
          <w:color w:val="auto"/>
          <w:highlight w:val="none"/>
        </w:rPr>
        <w:t>https://ggzyjy.dl.gov.cn/zlxz/20250307/55088572-94f8-4f86-980e-f4b00e78a299.html</w:t>
      </w:r>
      <w:r>
        <w:rPr>
          <w:rFonts w:hint="eastAsia" w:ascii="宋体" w:hAnsi="宋体" w:eastAsia="宋体"/>
          <w:color w:val="auto"/>
          <w:highlight w:val="none"/>
        </w:rPr>
        <w:fldChar w:fldCharType="end"/>
      </w:r>
      <w:r>
        <w:rPr>
          <w:rFonts w:hint="eastAsia" w:ascii="宋体" w:hAnsi="宋体" w:eastAsia="宋体"/>
          <w:color w:val="auto"/>
          <w:szCs w:val="21"/>
          <w:highlight w:val="none"/>
        </w:rPr>
        <w:t>。</w:t>
      </w:r>
    </w:p>
    <w:p w14:paraId="1ECF27ED">
      <w:pPr>
        <w:outlineLvl w:val="9"/>
        <w:rPr>
          <w:rFonts w:ascii="宋体" w:hAnsi="宋体" w:eastAsia="宋体"/>
          <w:color w:val="auto"/>
          <w:szCs w:val="21"/>
          <w:highlight w:val="none"/>
        </w:rPr>
      </w:pPr>
      <w:r>
        <w:rPr>
          <w:rFonts w:hint="eastAsia" w:ascii="宋体" w:hAnsi="宋体" w:eastAsia="宋体"/>
          <w:color w:val="auto"/>
          <w:szCs w:val="21"/>
          <w:highlight w:val="none"/>
        </w:rPr>
        <w:t>平台操作手册：</w:t>
      </w:r>
    </w:p>
    <w:p w14:paraId="6CC1C681">
      <w:pPr>
        <w:outlineLvl w:val="9"/>
        <w:rPr>
          <w:rFonts w:ascii="宋体" w:hAnsi="宋体" w:eastAsia="宋体"/>
          <w:color w:val="auto"/>
          <w:szCs w:val="21"/>
          <w:highlight w:val="none"/>
        </w:rPr>
      </w:pPr>
      <w:r>
        <w:rPr>
          <w:rFonts w:hint="eastAsia" w:ascii="宋体" w:hAnsi="宋体" w:eastAsia="宋体"/>
          <w:color w:val="auto"/>
          <w:szCs w:val="21"/>
          <w:highlight w:val="none"/>
        </w:rPr>
        <w:t>https://ggzyjy.dl.gov.cn/zlxz/20250220/6065790f-9d83-46ae-9610-7f80c5c34ed8.html。招投标工具下载：</w:t>
      </w:r>
    </w:p>
    <w:p w14:paraId="69C64CED">
      <w:pPr>
        <w:outlineLvl w:val="9"/>
        <w:rPr>
          <w:rFonts w:ascii="宋体" w:hAnsi="宋体" w:eastAsia="宋体"/>
          <w:color w:val="auto"/>
          <w:szCs w:val="21"/>
          <w:highlight w:val="none"/>
        </w:rPr>
      </w:pPr>
      <w:r>
        <w:rPr>
          <w:color w:val="auto"/>
          <w:highlight w:val="none"/>
        </w:rPr>
        <w:fldChar w:fldCharType="begin"/>
      </w:r>
      <w:r>
        <w:rPr>
          <w:color w:val="auto"/>
          <w:highlight w:val="none"/>
        </w:rPr>
        <w:instrText xml:space="preserve"> HYPERLINK "https://ggzyjy.dl.gov.cn/zlxz/20250220/cddd26b2-a6e7-4c4d-ba68-07d69796e942.html" </w:instrText>
      </w:r>
      <w:r>
        <w:rPr>
          <w:color w:val="auto"/>
          <w:highlight w:val="none"/>
        </w:rPr>
        <w:fldChar w:fldCharType="separate"/>
      </w:r>
      <w:r>
        <w:rPr>
          <w:rFonts w:hint="eastAsia" w:ascii="宋体" w:hAnsi="宋体" w:eastAsia="宋体"/>
          <w:color w:val="auto"/>
          <w:highlight w:val="none"/>
        </w:rPr>
        <w:t>https://ggzyjy.dl.gov.cn/zlxz/20250220/cddd26b2-a6e7-4c4d-ba68-07d69796e942.html</w:t>
      </w:r>
      <w:r>
        <w:rPr>
          <w:rFonts w:hint="eastAsia" w:ascii="宋体" w:hAnsi="宋体" w:eastAsia="宋体"/>
          <w:color w:val="auto"/>
          <w:highlight w:val="none"/>
        </w:rPr>
        <w:fldChar w:fldCharType="end"/>
      </w:r>
      <w:r>
        <w:rPr>
          <w:rFonts w:hint="eastAsia" w:ascii="宋体" w:hAnsi="宋体" w:eastAsia="宋体"/>
          <w:color w:val="auto"/>
          <w:szCs w:val="21"/>
          <w:highlight w:val="none"/>
        </w:rPr>
        <w:t>。</w:t>
      </w:r>
    </w:p>
    <w:p w14:paraId="6FAA38C4">
      <w:pPr>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8.投标文件的组成</w:t>
      </w:r>
    </w:p>
    <w:p w14:paraId="6D135F2A">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8.1 投标文件包括商务部分和技术部分。</w:t>
      </w:r>
    </w:p>
    <w:p w14:paraId="094FD235">
      <w:pPr>
        <w:topLinePunct/>
        <w:autoSpaceDE w:val="0"/>
        <w:autoSpaceDN w:val="0"/>
        <w:adjustRightInd w:val="0"/>
        <w:snapToGrid w:val="0"/>
        <w:spacing w:line="360" w:lineRule="auto"/>
        <w:ind w:firstLine="428" w:firstLineChars="204"/>
        <w:outlineLvl w:val="9"/>
        <w:rPr>
          <w:rFonts w:ascii="宋体" w:hAnsi="宋体" w:eastAsia="宋体"/>
          <w:color w:val="auto"/>
          <w:szCs w:val="21"/>
          <w:highlight w:val="none"/>
        </w:rPr>
      </w:pPr>
      <w:r>
        <w:rPr>
          <w:rFonts w:ascii="宋体" w:hAnsi="宋体" w:eastAsia="宋体"/>
          <w:color w:val="auto"/>
          <w:szCs w:val="21"/>
          <w:highlight w:val="none"/>
        </w:rPr>
        <w:t>8.2 投标文件</w:t>
      </w:r>
      <w:r>
        <w:rPr>
          <w:rFonts w:ascii="宋体" w:hAnsi="宋体" w:eastAsia="宋体"/>
          <w:b/>
          <w:bCs/>
          <w:color w:val="auto"/>
          <w:szCs w:val="21"/>
          <w:highlight w:val="none"/>
        </w:rPr>
        <w:t>商务部分</w:t>
      </w:r>
      <w:r>
        <w:rPr>
          <w:rFonts w:ascii="宋体" w:hAnsi="宋体" w:eastAsia="宋体"/>
          <w:color w:val="auto"/>
          <w:szCs w:val="21"/>
          <w:highlight w:val="none"/>
        </w:rPr>
        <w:t>主要包括的文件和资料：</w:t>
      </w:r>
    </w:p>
    <w:p w14:paraId="4F39A0FF">
      <w:pPr>
        <w:topLinePunct/>
        <w:autoSpaceDE w:val="0"/>
        <w:autoSpaceDN w:val="0"/>
        <w:adjustRightInd w:val="0"/>
        <w:snapToGrid w:val="0"/>
        <w:spacing w:line="360" w:lineRule="auto"/>
        <w:ind w:firstLine="428" w:firstLineChars="204"/>
        <w:outlineLvl w:val="9"/>
        <w:rPr>
          <w:rFonts w:ascii="宋体" w:hAnsi="宋体" w:eastAsia="宋体"/>
          <w:color w:val="auto"/>
          <w:szCs w:val="21"/>
          <w:highlight w:val="none"/>
        </w:rPr>
      </w:pPr>
      <w:r>
        <w:rPr>
          <w:rFonts w:ascii="宋体" w:hAnsi="宋体" w:eastAsia="宋体"/>
          <w:color w:val="auto"/>
          <w:szCs w:val="21"/>
          <w:highlight w:val="none"/>
        </w:rPr>
        <w:t>8.2.1 资格证明文件，见</w:t>
      </w:r>
      <w:r>
        <w:rPr>
          <w:rFonts w:ascii="宋体" w:hAnsi="宋体" w:eastAsia="宋体"/>
          <w:b/>
          <w:color w:val="auto"/>
          <w:szCs w:val="21"/>
          <w:highlight w:val="none"/>
        </w:rPr>
        <w:t>投标人须知前附表。</w:t>
      </w:r>
    </w:p>
    <w:p w14:paraId="43246249">
      <w:pPr>
        <w:overflowPunct w:val="0"/>
        <w:autoSpaceDE w:val="0"/>
        <w:autoSpaceDN w:val="0"/>
        <w:adjustRightInd w:val="0"/>
        <w:snapToGrid w:val="0"/>
        <w:spacing w:line="360" w:lineRule="auto"/>
        <w:ind w:firstLine="426" w:firstLineChars="203"/>
        <w:outlineLvl w:val="9"/>
        <w:rPr>
          <w:rFonts w:ascii="宋体" w:hAnsi="宋体" w:eastAsia="宋体"/>
          <w:color w:val="auto"/>
          <w:szCs w:val="21"/>
          <w:highlight w:val="none"/>
        </w:rPr>
      </w:pPr>
      <w:r>
        <w:rPr>
          <w:rFonts w:ascii="宋体" w:hAnsi="宋体" w:eastAsia="宋体"/>
          <w:color w:val="auto"/>
          <w:szCs w:val="21"/>
          <w:highlight w:val="none"/>
        </w:rPr>
        <w:t>8.2.2 其他文件及资料，见</w:t>
      </w:r>
      <w:r>
        <w:rPr>
          <w:rFonts w:ascii="宋体" w:hAnsi="宋体" w:eastAsia="宋体"/>
          <w:b/>
          <w:color w:val="auto"/>
          <w:szCs w:val="21"/>
          <w:highlight w:val="none"/>
        </w:rPr>
        <w:t>投标人须知前附表。</w:t>
      </w:r>
    </w:p>
    <w:p w14:paraId="7B580E00">
      <w:pPr>
        <w:overflowPunct w:val="0"/>
        <w:autoSpaceDE w:val="0"/>
        <w:autoSpaceDN w:val="0"/>
        <w:adjustRightInd w:val="0"/>
        <w:snapToGrid w:val="0"/>
        <w:spacing w:line="360" w:lineRule="auto"/>
        <w:ind w:firstLine="426" w:firstLineChars="203"/>
        <w:outlineLvl w:val="9"/>
        <w:rPr>
          <w:rFonts w:ascii="宋体" w:hAnsi="宋体" w:eastAsia="宋体"/>
          <w:color w:val="auto"/>
          <w:szCs w:val="21"/>
          <w:highlight w:val="none"/>
        </w:rPr>
      </w:pPr>
      <w:r>
        <w:rPr>
          <w:rFonts w:ascii="宋体" w:hAnsi="宋体" w:eastAsia="宋体"/>
          <w:color w:val="auto"/>
          <w:szCs w:val="21"/>
          <w:highlight w:val="none"/>
        </w:rPr>
        <w:t>8.3 投标文件</w:t>
      </w:r>
      <w:r>
        <w:rPr>
          <w:rFonts w:ascii="宋体" w:hAnsi="宋体" w:eastAsia="宋体"/>
          <w:b/>
          <w:bCs/>
          <w:color w:val="auto"/>
          <w:szCs w:val="21"/>
          <w:highlight w:val="none"/>
        </w:rPr>
        <w:t>技术部分</w:t>
      </w:r>
      <w:r>
        <w:rPr>
          <w:rFonts w:ascii="宋体" w:hAnsi="宋体" w:eastAsia="宋体"/>
          <w:color w:val="auto"/>
          <w:szCs w:val="21"/>
          <w:highlight w:val="none"/>
        </w:rPr>
        <w:t>主要包括的文件及资料，见</w:t>
      </w:r>
      <w:r>
        <w:rPr>
          <w:rFonts w:ascii="宋体" w:hAnsi="宋体" w:eastAsia="宋体"/>
          <w:b/>
          <w:color w:val="auto"/>
          <w:szCs w:val="21"/>
          <w:highlight w:val="none"/>
        </w:rPr>
        <w:t>投标人须知前附表。</w:t>
      </w:r>
    </w:p>
    <w:p w14:paraId="071A0701">
      <w:pPr>
        <w:overflowPunct w:val="0"/>
        <w:autoSpaceDE w:val="0"/>
        <w:autoSpaceDN w:val="0"/>
        <w:adjustRightInd w:val="0"/>
        <w:snapToGrid w:val="0"/>
        <w:spacing w:line="360" w:lineRule="auto"/>
        <w:ind w:firstLine="426" w:firstLineChars="203"/>
        <w:outlineLvl w:val="9"/>
        <w:rPr>
          <w:rFonts w:ascii="宋体" w:hAnsi="宋体" w:eastAsia="宋体"/>
          <w:color w:val="auto"/>
          <w:szCs w:val="21"/>
          <w:highlight w:val="none"/>
        </w:rPr>
      </w:pPr>
      <w:r>
        <w:rPr>
          <w:rFonts w:ascii="宋体" w:hAnsi="宋体" w:eastAsia="宋体"/>
          <w:color w:val="auto"/>
          <w:szCs w:val="21"/>
          <w:highlight w:val="none"/>
        </w:rPr>
        <w:t>8.4 证明资料如标明有效期的，必须在有效期内。</w:t>
      </w:r>
    </w:p>
    <w:p w14:paraId="2C0E550C">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9.报价要求</w:t>
      </w:r>
    </w:p>
    <w:p w14:paraId="52C30F04">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9.1 除招标文件另有规定外，投标应以人民币报价，线上采购项目还须按照投标工具的流程和提示编制并上传投标报价表。</w:t>
      </w:r>
    </w:p>
    <w:p w14:paraId="11042FB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9.2 本项目不接受任何形式的赠送、“零”报价和折扣报价。</w:t>
      </w:r>
    </w:p>
    <w:p w14:paraId="340FE83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9.3 本项目以投标报价为依据计算价格分。</w:t>
      </w:r>
      <w:r>
        <w:rPr>
          <w:rFonts w:hint="eastAsia" w:ascii="宋体" w:hAnsi="宋体" w:eastAsia="宋体"/>
          <w:color w:val="auto"/>
          <w:szCs w:val="21"/>
          <w:highlight w:val="none"/>
        </w:rPr>
        <w:t>投标报价</w:t>
      </w:r>
      <w:r>
        <w:rPr>
          <w:rFonts w:ascii="宋体" w:hAnsi="宋体" w:eastAsia="宋体"/>
          <w:color w:val="auto"/>
          <w:szCs w:val="21"/>
          <w:highlight w:val="none"/>
        </w:rPr>
        <w:t>应包括招标文件中要求投标人承担所有工作内容的全部费用。</w:t>
      </w:r>
    </w:p>
    <w:p w14:paraId="7601EF4A">
      <w:pPr>
        <w:topLinePunct/>
        <w:autoSpaceDE w:val="0"/>
        <w:autoSpaceDN w:val="0"/>
        <w:adjustRightInd w:val="0"/>
        <w:snapToGrid w:val="0"/>
        <w:spacing w:line="360" w:lineRule="auto"/>
        <w:ind w:firstLine="420" w:firstLineChars="200"/>
        <w:outlineLvl w:val="9"/>
        <w:rPr>
          <w:rFonts w:ascii="宋体" w:hAnsi="宋体" w:eastAsia="宋体" w:cs="Times New Roman"/>
          <w:color w:val="auto"/>
          <w:sz w:val="21"/>
          <w:szCs w:val="21"/>
          <w:highlight w:val="none"/>
        </w:rPr>
      </w:pPr>
      <w:r>
        <w:rPr>
          <w:rFonts w:ascii="宋体" w:hAnsi="宋体" w:eastAsia="宋体"/>
          <w:color w:val="auto"/>
          <w:szCs w:val="21"/>
          <w:highlight w:val="none"/>
        </w:rPr>
        <w:t>9.4 评标委员会认为投标人的报价明显低于其他通过符合性审查投标人的报价，有可能影响产品质量或者不能诚信履约的，应当要求其在评标现场合理的时间内提供书面说明，必要时提交相</w:t>
      </w:r>
      <w:r>
        <w:rPr>
          <w:rFonts w:ascii="宋体" w:hAnsi="宋体" w:eastAsia="宋体" w:cs="Times New Roman"/>
          <w:color w:val="auto"/>
          <w:sz w:val="21"/>
          <w:szCs w:val="21"/>
          <w:highlight w:val="none"/>
        </w:rPr>
        <w:t>关证明材料；投标人不能证明其报价合理性的，评标委员会应当将其作为无效投标处理。</w:t>
      </w:r>
    </w:p>
    <w:p w14:paraId="4B34E02A">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评审中出现下列情形之一的，评审委员会应当启动异常低价投标（响应）审查程序：</w:t>
      </w:r>
    </w:p>
    <w:p w14:paraId="4874B066">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投标（响应）报价低于全部通过符合性审查供应商投标（响应）报价平均值50%的，即投标（响应）报价&lt;全部通过符合性审查供应商投标（响应）报价平均值×50%；</w:t>
      </w:r>
    </w:p>
    <w:p w14:paraId="62629399">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投标（响应）报价低于通过符合性审查的次低报价供应商投标（响应）报价50%的，即投标（响应）报价&lt;通过符合性审查的次低报价供应商投标（响应）报价×50%；</w:t>
      </w:r>
    </w:p>
    <w:p w14:paraId="49EEAC1A">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投标（响应）报价低于采购项目最高限价45%的，即投标（响应）报价&lt;采购项目最高限价×45%；</w:t>
      </w:r>
    </w:p>
    <w:p w14:paraId="243D1444">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评审委员会基于专业判断，认为供应商报价过低，有可能影响产品质量或者不能诚信履约的其他情形。</w:t>
      </w:r>
    </w:p>
    <w:p w14:paraId="74DE4A38">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相关法律法规对供应商报价有规定的，从其规定。</w:t>
      </w:r>
    </w:p>
    <w:p w14:paraId="179FED83">
      <w:pPr>
        <w:pStyle w:val="43"/>
        <w:spacing w:line="500" w:lineRule="exact"/>
        <w:ind w:left="0" w:leftChars="0"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项情形，供应商已随投标（响应）文件一并提交相关书面说明及必要的证明材料的，在评审现场可不再重复提交。</w:t>
      </w:r>
    </w:p>
    <w:p w14:paraId="7891C39F">
      <w:pPr>
        <w:topLinePunct/>
        <w:autoSpaceDE w:val="0"/>
        <w:autoSpaceDN w:val="0"/>
        <w:adjustRightInd w:val="0"/>
        <w:snapToGrid w:val="0"/>
        <w:spacing w:line="360" w:lineRule="auto"/>
        <w:ind w:firstLine="420" w:firstLineChars="200"/>
        <w:outlineLvl w:val="9"/>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auto"/>
          <w:sz w:val="21"/>
          <w:szCs w:val="21"/>
          <w:highlight w:val="none"/>
          <w:lang w:val="en-US" w:eastAsia="zh-CN"/>
        </w:rPr>
        <w:t>无效投标（响应）</w:t>
      </w:r>
      <w:r>
        <w:rPr>
          <w:rFonts w:hint="eastAsia" w:ascii="宋体" w:hAnsi="宋体" w:eastAsia="宋体" w:cs="宋体"/>
          <w:color w:val="auto"/>
          <w:sz w:val="21"/>
          <w:szCs w:val="21"/>
          <w:highlight w:val="none"/>
          <w:lang w:val="en-US" w:eastAsia="zh-CN"/>
        </w:rPr>
        <w:t>处理。</w:t>
      </w:r>
    </w:p>
    <w:p w14:paraId="0FB7E57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9.5 最低报价不能作为中标的保证。</w:t>
      </w:r>
    </w:p>
    <w:p w14:paraId="591F6105">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10.</w:t>
      </w:r>
      <w:r>
        <w:rPr>
          <w:rFonts w:hint="eastAsia" w:ascii="宋体" w:hAnsi="宋体" w:eastAsia="宋体"/>
          <w:b/>
          <w:color w:val="auto"/>
          <w:szCs w:val="21"/>
          <w:highlight w:val="none"/>
        </w:rPr>
        <w:t>投标文件的签署、盖章</w:t>
      </w:r>
    </w:p>
    <w:p w14:paraId="46055F70">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10.1 投标文件必须按照招标文件给出文件格式的签署要求进行签署。线上采购项目可以使用电子签章。</w:t>
      </w:r>
    </w:p>
    <w:p w14:paraId="0D702EAA">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10.2 投标人在</w:t>
      </w:r>
      <w:r>
        <w:rPr>
          <w:rFonts w:hint="eastAsia" w:ascii="宋体" w:hAnsi="宋体" w:eastAsia="宋体"/>
          <w:b/>
          <w:color w:val="auto"/>
          <w:kern w:val="0"/>
          <w:szCs w:val="21"/>
          <w:highlight w:val="none"/>
        </w:rPr>
        <w:t>“投标函”“法定代表人授权委托书”</w:t>
      </w:r>
      <w:r>
        <w:rPr>
          <w:rFonts w:hint="eastAsia" w:ascii="宋体" w:hAnsi="宋体" w:eastAsia="宋体"/>
          <w:color w:val="auto"/>
          <w:kern w:val="0"/>
          <w:szCs w:val="21"/>
          <w:highlight w:val="none"/>
        </w:rPr>
        <w:t>上应当按格式要求加盖与投标人名称全称一致的标准公章，并按照招标文件第五章投标文件格式中的相应格式文件要求签署全名或加盖名章。</w:t>
      </w:r>
    </w:p>
    <w:p w14:paraId="16820D72">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10.3 投标文件中的“盖章”指加盖投标人的“公章”，而非“合同专用章”、“投标专用章”等其他非公章。</w:t>
      </w:r>
    </w:p>
    <w:p w14:paraId="4ECDC936">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11</w:t>
      </w:r>
      <w:r>
        <w:rPr>
          <w:rFonts w:ascii="宋体" w:hAnsi="宋体" w:eastAsia="宋体"/>
          <w:color w:val="auto"/>
          <w:szCs w:val="21"/>
          <w:highlight w:val="none"/>
        </w:rPr>
        <w:t>．</w:t>
      </w:r>
      <w:r>
        <w:rPr>
          <w:rFonts w:ascii="宋体" w:hAnsi="宋体" w:eastAsia="宋体"/>
          <w:b/>
          <w:color w:val="auto"/>
          <w:szCs w:val="21"/>
          <w:highlight w:val="none"/>
        </w:rPr>
        <w:t>投标有效期</w:t>
      </w:r>
    </w:p>
    <w:p w14:paraId="565AA70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11.1 投标有效期见</w:t>
      </w:r>
      <w:r>
        <w:rPr>
          <w:rFonts w:ascii="宋体" w:hAnsi="宋体" w:eastAsia="宋体"/>
          <w:b/>
          <w:color w:val="auto"/>
          <w:szCs w:val="21"/>
          <w:highlight w:val="none"/>
        </w:rPr>
        <w:t>投标人须知前附表</w:t>
      </w:r>
      <w:r>
        <w:rPr>
          <w:rFonts w:ascii="宋体" w:hAnsi="宋体" w:eastAsia="宋体"/>
          <w:color w:val="auto"/>
          <w:szCs w:val="21"/>
          <w:highlight w:val="none"/>
        </w:rPr>
        <w:t>，在此期间，投标文件对投标人具有法律约束力，以保证采购人有足够的时间完成评标、定标以及签订合同。投标文件中承诺的投标有效期应当不少于招标文件中载明的投标有效期，否则作为无效投标处理。</w:t>
      </w:r>
    </w:p>
    <w:p w14:paraId="35B9C17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11.2 特殊情况下，在原投标有效期期满之前，采购人可征得投标人同意延长投标有效期。</w:t>
      </w:r>
    </w:p>
    <w:p w14:paraId="06496010">
      <w:pPr>
        <w:spacing w:line="360" w:lineRule="auto"/>
        <w:ind w:firstLine="643" w:firstLineChars="200"/>
        <w:jc w:val="center"/>
        <w:outlineLvl w:val="9"/>
        <w:rPr>
          <w:rFonts w:ascii="宋体" w:hAnsi="宋体" w:eastAsia="宋体"/>
          <w:b/>
          <w:color w:val="auto"/>
          <w:sz w:val="32"/>
          <w:szCs w:val="21"/>
          <w:highlight w:val="none"/>
        </w:rPr>
      </w:pPr>
      <w:bookmarkStart w:id="26" w:name="_Toc132880277"/>
      <w:r>
        <w:rPr>
          <w:rFonts w:hint="eastAsia" w:ascii="宋体" w:hAnsi="宋体" w:eastAsia="宋体"/>
          <w:b/>
          <w:color w:val="auto"/>
          <w:sz w:val="32"/>
          <w:szCs w:val="21"/>
          <w:highlight w:val="none"/>
        </w:rPr>
        <w:t>四、投标文件递交</w:t>
      </w:r>
      <w:bookmarkEnd w:id="26"/>
    </w:p>
    <w:p w14:paraId="0352E0C9">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12</w:t>
      </w:r>
      <w:r>
        <w:rPr>
          <w:rFonts w:ascii="宋体" w:hAnsi="宋体" w:eastAsia="宋体"/>
          <w:color w:val="auto"/>
          <w:szCs w:val="21"/>
          <w:highlight w:val="none"/>
        </w:rPr>
        <w:t>．</w:t>
      </w:r>
      <w:r>
        <w:rPr>
          <w:rFonts w:ascii="宋体" w:hAnsi="宋体" w:eastAsia="宋体"/>
          <w:b/>
          <w:color w:val="auto"/>
          <w:szCs w:val="21"/>
          <w:highlight w:val="none"/>
        </w:rPr>
        <w:t>投标文件递交</w:t>
      </w:r>
    </w:p>
    <w:p w14:paraId="07E4EA7A">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12.1 投标人应当在</w:t>
      </w:r>
      <w:r>
        <w:rPr>
          <w:rFonts w:ascii="宋体" w:hAnsi="宋体" w:eastAsia="宋体"/>
          <w:b/>
          <w:color w:val="auto"/>
          <w:szCs w:val="21"/>
          <w:highlight w:val="none"/>
        </w:rPr>
        <w:t>投标人须知前附表</w:t>
      </w:r>
      <w:r>
        <w:rPr>
          <w:rFonts w:ascii="宋体" w:hAnsi="宋体" w:eastAsia="宋体"/>
          <w:color w:val="auto"/>
          <w:szCs w:val="21"/>
          <w:highlight w:val="none"/>
        </w:rPr>
        <w:t>要求提交投标文件截止时间前，根据《投标人须知前附表》载明方式提交投标文件。提交投标文件截止时间后，递交投标文件的投标将被拒绝。</w:t>
      </w:r>
    </w:p>
    <w:p w14:paraId="566D151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12.2</w:t>
      </w:r>
      <w:r>
        <w:rPr>
          <w:rFonts w:hint="eastAsia" w:ascii="宋体" w:hAnsi="宋体" w:eastAsia="宋体"/>
          <w:color w:val="auto"/>
          <w:szCs w:val="21"/>
          <w:highlight w:val="none"/>
        </w:rPr>
        <w:t>提交投标文件截止时间后，大连市</w:t>
      </w:r>
      <w:r>
        <w:rPr>
          <w:rFonts w:ascii="宋体" w:hAnsi="宋体" w:eastAsia="宋体"/>
          <w:color w:val="auto"/>
          <w:szCs w:val="21"/>
          <w:highlight w:val="none"/>
        </w:rPr>
        <w:t>公共资源交易平台</w:t>
      </w:r>
      <w:r>
        <w:rPr>
          <w:rFonts w:hint="eastAsia" w:ascii="宋体" w:hAnsi="宋体" w:eastAsia="宋体"/>
          <w:color w:val="auto"/>
          <w:szCs w:val="21"/>
          <w:highlight w:val="none"/>
        </w:rPr>
        <w:t>不提供投标文件上传功能。投标人未完成投标文件上传的，投标将被拒绝。</w:t>
      </w:r>
    </w:p>
    <w:p w14:paraId="7F9A42A2">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13</w:t>
      </w:r>
      <w:r>
        <w:rPr>
          <w:rFonts w:ascii="宋体" w:hAnsi="宋体" w:eastAsia="宋体"/>
          <w:color w:val="auto"/>
          <w:szCs w:val="21"/>
          <w:highlight w:val="none"/>
        </w:rPr>
        <w:t>．</w:t>
      </w:r>
      <w:r>
        <w:rPr>
          <w:rFonts w:ascii="宋体" w:hAnsi="宋体" w:eastAsia="宋体"/>
          <w:b/>
          <w:color w:val="auto"/>
          <w:szCs w:val="21"/>
          <w:highlight w:val="none"/>
        </w:rPr>
        <w:t>投标文件补充、修改或撤回</w:t>
      </w:r>
    </w:p>
    <w:p w14:paraId="5D0A110A">
      <w:pPr>
        <w:spacing w:line="360" w:lineRule="auto"/>
        <w:ind w:firstLine="420" w:firstLineChars="200"/>
        <w:outlineLvl w:val="9"/>
        <w:rPr>
          <w:rFonts w:ascii="宋体" w:hAnsi="宋体" w:eastAsia="宋体"/>
          <w:color w:val="auto"/>
          <w:szCs w:val="21"/>
          <w:highlight w:val="none"/>
        </w:rPr>
      </w:pPr>
      <w:bookmarkStart w:id="27" w:name="_Toc132880278"/>
      <w:r>
        <w:rPr>
          <w:rFonts w:hint="eastAsia" w:ascii="宋体" w:hAnsi="宋体" w:eastAsia="宋体"/>
          <w:color w:val="auto"/>
          <w:szCs w:val="21"/>
          <w:highlight w:val="none"/>
        </w:rPr>
        <w:t>13.1 投标人在投标截止时间前，可以登录大连市</w:t>
      </w:r>
      <w:r>
        <w:rPr>
          <w:rFonts w:ascii="宋体" w:hAnsi="宋体" w:eastAsia="宋体"/>
          <w:color w:val="auto"/>
          <w:szCs w:val="21"/>
          <w:highlight w:val="none"/>
        </w:rPr>
        <w:t>公共资源交易平台</w:t>
      </w:r>
      <w:r>
        <w:rPr>
          <w:rFonts w:hint="eastAsia" w:ascii="宋体" w:hAnsi="宋体" w:eastAsia="宋体"/>
          <w:color w:val="auto"/>
          <w:szCs w:val="21"/>
          <w:highlight w:val="none"/>
        </w:rPr>
        <w:t>对所提交的投标文件进行撤回、补充、修改、重新提交。补充、修改的内容应当按照招标文件要求签署、盖章。</w:t>
      </w:r>
    </w:p>
    <w:p w14:paraId="7E8108F6">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13.2 提交投标文件截止时间后，大连市</w:t>
      </w:r>
      <w:r>
        <w:rPr>
          <w:rFonts w:ascii="宋体" w:hAnsi="宋体" w:eastAsia="宋体"/>
          <w:color w:val="auto"/>
          <w:szCs w:val="21"/>
          <w:highlight w:val="none"/>
        </w:rPr>
        <w:t>公共资源交易平台</w:t>
      </w:r>
      <w:r>
        <w:rPr>
          <w:rFonts w:hint="eastAsia" w:ascii="宋体" w:hAnsi="宋体" w:eastAsia="宋体"/>
          <w:color w:val="auto"/>
          <w:szCs w:val="21"/>
          <w:highlight w:val="none"/>
        </w:rPr>
        <w:t>不支持对已提交的投标文件作任何补充、修改或者撤回。</w:t>
      </w:r>
    </w:p>
    <w:p w14:paraId="3B51EA27">
      <w:pPr>
        <w:spacing w:line="360" w:lineRule="auto"/>
        <w:ind w:firstLine="643" w:firstLineChars="200"/>
        <w:jc w:val="center"/>
        <w:outlineLvl w:val="9"/>
        <w:rPr>
          <w:rFonts w:ascii="宋体" w:hAnsi="宋体" w:eastAsia="宋体"/>
          <w:b/>
          <w:color w:val="auto"/>
          <w:sz w:val="32"/>
          <w:szCs w:val="21"/>
          <w:highlight w:val="none"/>
        </w:rPr>
      </w:pPr>
      <w:r>
        <w:rPr>
          <w:rFonts w:hint="eastAsia" w:ascii="宋体" w:hAnsi="宋体" w:eastAsia="宋体"/>
          <w:b/>
          <w:color w:val="auto"/>
          <w:sz w:val="32"/>
          <w:szCs w:val="21"/>
          <w:highlight w:val="none"/>
        </w:rPr>
        <w:t>五、</w:t>
      </w:r>
      <w:bookmarkStart w:id="28" w:name="OLE_LINK115"/>
      <w:bookmarkStart w:id="29" w:name="OLE_LINK114"/>
      <w:r>
        <w:rPr>
          <w:rFonts w:hint="eastAsia" w:ascii="宋体" w:hAnsi="宋体" w:eastAsia="宋体"/>
          <w:b/>
          <w:color w:val="auto"/>
          <w:sz w:val="32"/>
          <w:szCs w:val="21"/>
          <w:highlight w:val="none"/>
        </w:rPr>
        <w:t>开标与评标</w:t>
      </w:r>
      <w:bookmarkEnd w:id="27"/>
      <w:bookmarkEnd w:id="28"/>
      <w:bookmarkEnd w:id="29"/>
    </w:p>
    <w:p w14:paraId="56AD1115">
      <w:pPr>
        <w:topLinePunct/>
        <w:autoSpaceDE w:val="0"/>
        <w:autoSpaceDN w:val="0"/>
        <w:adjustRightInd w:val="0"/>
        <w:snapToGrid w:val="0"/>
        <w:spacing w:line="360" w:lineRule="auto"/>
        <w:ind w:firstLine="422" w:firstLineChars="200"/>
        <w:outlineLvl w:val="9"/>
        <w:rPr>
          <w:rFonts w:ascii="宋体" w:hAnsi="宋体" w:eastAsia="宋体"/>
          <w:color w:val="auto"/>
          <w:szCs w:val="21"/>
          <w:highlight w:val="none"/>
        </w:rPr>
      </w:pPr>
      <w:r>
        <w:rPr>
          <w:rFonts w:ascii="宋体" w:hAnsi="宋体" w:eastAsia="宋体"/>
          <w:b/>
          <w:color w:val="auto"/>
          <w:szCs w:val="21"/>
          <w:highlight w:val="none"/>
        </w:rPr>
        <w:t>14</w:t>
      </w:r>
      <w:r>
        <w:rPr>
          <w:rFonts w:ascii="宋体" w:hAnsi="宋体" w:eastAsia="宋体"/>
          <w:color w:val="auto"/>
          <w:szCs w:val="21"/>
          <w:highlight w:val="none"/>
        </w:rPr>
        <w:t>．</w:t>
      </w:r>
      <w:r>
        <w:rPr>
          <w:rFonts w:ascii="宋体" w:hAnsi="宋体" w:eastAsia="宋体"/>
          <w:b/>
          <w:color w:val="auto"/>
          <w:szCs w:val="21"/>
          <w:highlight w:val="none"/>
        </w:rPr>
        <w:t>开标</w:t>
      </w:r>
    </w:p>
    <w:p w14:paraId="6B9E78F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14.1将在投标人须知前附表规定的时间进行电子开标，将对开标、评标现场活动进行全程录音录像，音像资料作为采购文件一并存档。开标由采购人或者采购代理机构主持，投标人通过登录大连市公共资源交易平台线上不见面开标系统（网址：https://ggzyjy.dl.gov.cn/BidOpening/bidhall/default/login）进入开标大厅远程参加。</w:t>
      </w:r>
    </w:p>
    <w:p w14:paraId="3A26F973">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14.2 提交投标文件截止时间后进入解密程序。投标人不足3家的，不进入解密程序。</w:t>
      </w:r>
    </w:p>
    <w:p w14:paraId="3F08F4B8">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14.3 解密完成后，进行电子开标。开标结束后，采购人或采购代理机构发起开标结果确认，投标人在开标大厅于规定时间内确认开标结果，</w:t>
      </w:r>
      <w:r>
        <w:rPr>
          <w:rFonts w:hint="eastAsia" w:ascii="宋体" w:hAnsi="宋体"/>
          <w:color w:val="auto"/>
          <w:szCs w:val="21"/>
          <w:highlight w:val="none"/>
        </w:rPr>
        <w:t>未提出异议视为认同开标结果</w:t>
      </w:r>
      <w:r>
        <w:rPr>
          <w:rFonts w:hint="eastAsia" w:ascii="Times New Roman" w:hAnsi="Times New Roman"/>
          <w:color w:val="auto"/>
          <w:szCs w:val="21"/>
          <w:highlight w:val="none"/>
        </w:rPr>
        <w:t>，</w:t>
      </w:r>
      <w:r>
        <w:rPr>
          <w:rFonts w:hint="eastAsia" w:ascii="宋体" w:hAnsi="宋体" w:eastAsia="宋体"/>
          <w:color w:val="auto"/>
          <w:szCs w:val="21"/>
          <w:highlight w:val="none"/>
        </w:rPr>
        <w:t>未按时确认的系统将自动确认。</w:t>
      </w:r>
    </w:p>
    <w:p w14:paraId="39D838CA">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14.4 投标人未参加开标的，视同认可开标结果。</w:t>
      </w:r>
    </w:p>
    <w:p w14:paraId="425AE12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14.5 投标人代表对开标过程和开标记录有疑义，以及认为采购人、采购代理机构相关工作人员有需要回避情形的，应及时提出询问或者回避申请。采购人、采购代理机构对投标人代表提出的询问或者回避申请应当及时处理。</w:t>
      </w:r>
    </w:p>
    <w:p w14:paraId="6EC8F304">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14.6 未解密或解密失败的投标文件，按无效投标处理。若解密成功的投标人不足3家，不进入后续程序。</w:t>
      </w:r>
    </w:p>
    <w:p w14:paraId="5621392C">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14.7 在政府采购活动中，采购人员及相关人员与投标人有下列利害关系之一的，应当回避：</w:t>
      </w:r>
    </w:p>
    <w:p w14:paraId="798A0EC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（1）参加采购活动前3年内与投标人存在劳动关系；</w:t>
      </w:r>
    </w:p>
    <w:p w14:paraId="2D70A98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（2）参加采购活动前3年内担任投标人的董事、监事；</w:t>
      </w:r>
    </w:p>
    <w:p w14:paraId="5B1EA1D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（3）参加采购活动前3年内是投标人的控股股东或者实际控制人；</w:t>
      </w:r>
    </w:p>
    <w:p w14:paraId="5B8ECB7C">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（4）与投标人的法定代表人或者负责人有夫妻、直系血亲、三代以内旁系血亲或者近姻亲关系；</w:t>
      </w:r>
    </w:p>
    <w:p w14:paraId="52699E7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（5）与投标人有其他可能影响政府采购活动公平、公正进行的关系。</w:t>
      </w:r>
    </w:p>
    <w:p w14:paraId="18809BF5">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15</w:t>
      </w:r>
      <w:r>
        <w:rPr>
          <w:rFonts w:ascii="宋体" w:hAnsi="宋体" w:eastAsia="宋体"/>
          <w:color w:val="auto"/>
          <w:szCs w:val="21"/>
          <w:highlight w:val="none"/>
        </w:rPr>
        <w:t>．</w:t>
      </w:r>
      <w:r>
        <w:rPr>
          <w:rFonts w:ascii="宋体" w:hAnsi="宋体" w:eastAsia="宋体"/>
          <w:b/>
          <w:color w:val="auto"/>
          <w:szCs w:val="21"/>
          <w:highlight w:val="none"/>
        </w:rPr>
        <w:t>投标资格审查</w:t>
      </w:r>
    </w:p>
    <w:p w14:paraId="195F84E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15.1公开招标采购项目开标结束后，由采购人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依法对投标人的资格进行审查，以确定投标人是否具备投标资格。</w:t>
      </w:r>
    </w:p>
    <w:p w14:paraId="1CFFEC2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15.1.1 审查投标人按照8.2.1提交的</w:t>
      </w:r>
      <w:r>
        <w:rPr>
          <w:rFonts w:ascii="宋体" w:hAnsi="宋体" w:eastAsia="宋体"/>
          <w:b/>
          <w:color w:val="auto"/>
          <w:szCs w:val="21"/>
          <w:highlight w:val="none"/>
        </w:rPr>
        <w:t>“资格证明文件”</w:t>
      </w:r>
      <w:r>
        <w:rPr>
          <w:rFonts w:ascii="宋体" w:hAnsi="宋体" w:eastAsia="宋体"/>
          <w:color w:val="auto"/>
          <w:szCs w:val="21"/>
          <w:highlight w:val="none"/>
        </w:rPr>
        <w:t>。</w:t>
      </w:r>
    </w:p>
    <w:p w14:paraId="0C9B7969">
      <w:pPr>
        <w:topLinePunct/>
        <w:autoSpaceDE w:val="0"/>
        <w:autoSpaceDN w:val="0"/>
        <w:adjustRightInd w:val="0"/>
        <w:snapToGrid w:val="0"/>
        <w:spacing w:line="360" w:lineRule="auto"/>
        <w:ind w:firstLine="420" w:firstLineChars="200"/>
        <w:outlineLvl w:val="9"/>
        <w:rPr>
          <w:rFonts w:ascii="宋体" w:hAnsi="宋体" w:eastAsia="宋体"/>
          <w:b/>
          <w:bCs/>
          <w:color w:val="auto"/>
          <w:szCs w:val="21"/>
          <w:highlight w:val="none"/>
        </w:rPr>
      </w:pPr>
      <w:r>
        <w:rPr>
          <w:rFonts w:ascii="宋体" w:hAnsi="宋体" w:eastAsia="宋体"/>
          <w:color w:val="auto"/>
          <w:szCs w:val="21"/>
          <w:highlight w:val="none"/>
        </w:rPr>
        <w:t>15.1.2 信用记录审查。</w:t>
      </w:r>
      <w:r>
        <w:rPr>
          <w:rFonts w:ascii="宋体" w:hAnsi="宋体" w:eastAsia="宋体"/>
          <w:b/>
          <w:bCs/>
          <w:color w:val="auto"/>
          <w:szCs w:val="21"/>
          <w:highlight w:val="none"/>
        </w:rPr>
        <w:t>见投标人须知前附表。</w:t>
      </w:r>
    </w:p>
    <w:p w14:paraId="5CDFC675">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15.2 未通过资格审查的投标人，其投标无效。</w:t>
      </w:r>
    </w:p>
    <w:p w14:paraId="3956F09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15.3 合格投标人不足3家的，不得评标。</w:t>
      </w:r>
    </w:p>
    <w:p w14:paraId="75880BA1">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16</w:t>
      </w:r>
      <w:r>
        <w:rPr>
          <w:rFonts w:ascii="宋体" w:hAnsi="宋体" w:eastAsia="宋体"/>
          <w:color w:val="auto"/>
          <w:szCs w:val="21"/>
          <w:highlight w:val="none"/>
        </w:rPr>
        <w:t>．</w:t>
      </w:r>
      <w:r>
        <w:rPr>
          <w:rFonts w:ascii="宋体" w:hAnsi="宋体" w:eastAsia="宋体"/>
          <w:b/>
          <w:color w:val="auto"/>
          <w:szCs w:val="21"/>
          <w:highlight w:val="none"/>
        </w:rPr>
        <w:t>评标委员会的组成</w:t>
      </w:r>
    </w:p>
    <w:p w14:paraId="6A46DA4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16.1采购人根据有关法律法规规定组建评标委员会，评标委员会由采购人代表和评审专家组成。</w:t>
      </w:r>
    </w:p>
    <w:p w14:paraId="3C9AAAD4">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17</w:t>
      </w:r>
      <w:r>
        <w:rPr>
          <w:rFonts w:ascii="宋体" w:hAnsi="宋体" w:eastAsia="宋体"/>
          <w:color w:val="auto"/>
          <w:szCs w:val="21"/>
          <w:highlight w:val="none"/>
        </w:rPr>
        <w:t>．</w:t>
      </w:r>
      <w:r>
        <w:rPr>
          <w:rFonts w:ascii="宋体" w:hAnsi="宋体" w:eastAsia="宋体"/>
          <w:b/>
          <w:color w:val="auto"/>
          <w:szCs w:val="21"/>
          <w:highlight w:val="none"/>
        </w:rPr>
        <w:t>投标符合性审查</w:t>
      </w:r>
    </w:p>
    <w:p w14:paraId="303A284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17.1 评标委员会对符合资格的投标人的投标文件进行符合性审查，以确定其是否符合招标文件的商务、技术等实质性要求。</w:t>
      </w:r>
    </w:p>
    <w:p w14:paraId="2331B153">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17.2 未通过符合性审查的投标人，其投标无效。</w:t>
      </w:r>
    </w:p>
    <w:p w14:paraId="0F9FFE6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17.3 通过符合性审查的投标人不足3家的，应予以废标。</w:t>
      </w:r>
    </w:p>
    <w:p w14:paraId="7ECAA85C">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18</w:t>
      </w:r>
      <w:r>
        <w:rPr>
          <w:rFonts w:ascii="宋体" w:hAnsi="宋体" w:eastAsia="宋体"/>
          <w:color w:val="auto"/>
          <w:szCs w:val="21"/>
          <w:highlight w:val="none"/>
        </w:rPr>
        <w:t>．</w:t>
      </w:r>
      <w:r>
        <w:rPr>
          <w:rFonts w:ascii="宋体" w:hAnsi="宋体" w:eastAsia="宋体"/>
          <w:b/>
          <w:color w:val="auto"/>
          <w:szCs w:val="21"/>
          <w:highlight w:val="none"/>
        </w:rPr>
        <w:t>投标文件的澄清</w:t>
      </w:r>
    </w:p>
    <w:p w14:paraId="63C7D22B">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18.1 对于投标文件中含义不明确、同类问题表述不一致或者有明显文字和计算错误的内容，评标委员会可以书面形式要求投标人作出必要的澄清、说明或者补正。</w:t>
      </w:r>
    </w:p>
    <w:p w14:paraId="124F5263">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18.2 投标人的澄清、说明或者补正应当采用书面形式，通过大连市公共资源交易平台上传加盖电子公章的扫描件。投标人的澄清、说明或者补正不得超出投标文件的范围或者改变投标文件的实质性内容。</w:t>
      </w:r>
    </w:p>
    <w:p w14:paraId="2F8987A4">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18.3 除评标委员会要求投标人做出的澄清、说明或者补正以外，评标委员会不接受投标人的任何询问、说明、更改及文件。</w:t>
      </w:r>
    </w:p>
    <w:p w14:paraId="083510BB">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18.4 投标人的澄清必须在规定的时间内提交。</w:t>
      </w:r>
    </w:p>
    <w:p w14:paraId="36021062">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18.5关于投标描述（即投标文件中描述的内容）</w:t>
      </w:r>
    </w:p>
    <w:p w14:paraId="760EC91C">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（1）投标描述前后不一致且不涉及证明材料的：按照本节第18.1条规定执行。</w:t>
      </w:r>
    </w:p>
    <w:p w14:paraId="76CBD92F">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（2）投标描述与证明材料不一致或多份证明材料之间不一致的：</w:t>
      </w:r>
    </w:p>
    <w:p w14:paraId="657C5A46">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①评标委员会将要求投标人进行书面澄清，无法澄清的将按照不利于投标人的内容进行评标。</w:t>
      </w:r>
    </w:p>
    <w:p w14:paraId="5D506D6C">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0AF02D6A">
      <w:pPr>
        <w:topLinePunct/>
        <w:autoSpaceDE w:val="0"/>
        <w:autoSpaceDN w:val="0"/>
        <w:adjustRightInd w:val="0"/>
        <w:snapToGrid w:val="0"/>
        <w:spacing w:line="360" w:lineRule="auto"/>
        <w:ind w:firstLine="420" w:firstLineChars="200"/>
        <w:outlineLvl w:val="9"/>
        <w:rPr>
          <w:rFonts w:ascii="宋体" w:hAnsi="宋体" w:eastAsia="宋体"/>
          <w:color w:val="auto"/>
          <w:kern w:val="0"/>
          <w:szCs w:val="21"/>
          <w:highlight w:val="none"/>
        </w:rPr>
      </w:pPr>
      <w:r>
        <w:rPr>
          <w:rFonts w:hint="eastAsia" w:ascii="宋体" w:hAnsi="宋体" w:eastAsia="宋体"/>
          <w:color w:val="auto"/>
          <w:kern w:val="0"/>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1B8C49BC">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19</w:t>
      </w:r>
      <w:r>
        <w:rPr>
          <w:rFonts w:ascii="宋体" w:hAnsi="宋体" w:eastAsia="宋体"/>
          <w:color w:val="auto"/>
          <w:szCs w:val="21"/>
          <w:highlight w:val="none"/>
        </w:rPr>
        <w:t>．</w:t>
      </w:r>
      <w:r>
        <w:rPr>
          <w:rFonts w:ascii="宋体" w:hAnsi="宋体" w:eastAsia="宋体"/>
          <w:b/>
          <w:color w:val="auto"/>
          <w:szCs w:val="21"/>
          <w:highlight w:val="none"/>
        </w:rPr>
        <w:t>核价原则</w:t>
      </w:r>
    </w:p>
    <w:p w14:paraId="31D4A13E">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bCs/>
          <w:color w:val="auto"/>
          <w:szCs w:val="21"/>
          <w:highlight w:val="none"/>
        </w:rPr>
        <w:t xml:space="preserve">19.1 </w:t>
      </w:r>
      <w:r>
        <w:rPr>
          <w:rFonts w:ascii="宋体" w:hAnsi="宋体" w:eastAsia="宋体"/>
          <w:color w:val="auto"/>
          <w:szCs w:val="21"/>
          <w:highlight w:val="none"/>
        </w:rPr>
        <w:t>投标文件报价出现前后不一致的，除招标文件另有规定外，按照下列规定修正：</w:t>
      </w:r>
    </w:p>
    <w:p w14:paraId="1C11B5A3">
      <w:pPr>
        <w:overflowPunct w:val="0"/>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（1）投标文件中开标一览表（总报价表）内容与投标文件中相应内容不一致的，以开标一览表（总报价表）为准；</w:t>
      </w:r>
    </w:p>
    <w:p w14:paraId="5E85553C">
      <w:pPr>
        <w:overflowPunct w:val="0"/>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（2）大写金额和小写金额不一致的，以大写金额为准；</w:t>
      </w:r>
    </w:p>
    <w:p w14:paraId="1DE4A781">
      <w:pPr>
        <w:overflowPunct w:val="0"/>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（3）单价金额小数点或者百分比有明显错位的，以开标一览表的总价为准，并修改单价；</w:t>
      </w:r>
    </w:p>
    <w:p w14:paraId="54DB169E">
      <w:pPr>
        <w:overflowPunct w:val="0"/>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（4）总价金额与按单价汇总金额不一致的，以单价金额计算结果为准。</w:t>
      </w:r>
    </w:p>
    <w:p w14:paraId="59AF5B01">
      <w:pPr>
        <w:overflowPunct w:val="0"/>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（5）同时出现两种以上不一致的，按照前款规定的顺序修正。修正后的报价按照18.2条的规定经投标人确认后产生约束力，投标人不确认的，其投标无效。</w:t>
      </w:r>
    </w:p>
    <w:p w14:paraId="087FAEF1">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20</w:t>
      </w:r>
      <w:r>
        <w:rPr>
          <w:rFonts w:ascii="宋体" w:hAnsi="宋体" w:eastAsia="宋体"/>
          <w:color w:val="auto"/>
          <w:szCs w:val="21"/>
          <w:highlight w:val="none"/>
        </w:rPr>
        <w:t>．</w:t>
      </w:r>
      <w:r>
        <w:rPr>
          <w:rFonts w:ascii="宋体" w:hAnsi="宋体" w:eastAsia="宋体"/>
          <w:b/>
          <w:color w:val="auto"/>
          <w:szCs w:val="21"/>
          <w:highlight w:val="none"/>
        </w:rPr>
        <w:t>投标无效</w:t>
      </w:r>
    </w:p>
    <w:p w14:paraId="4696270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20.1 投标人及投标文件有下列情况之一的，应当在资格审查时按照投标无效处理：</w:t>
      </w:r>
    </w:p>
    <w:p w14:paraId="0475EEA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（1）不具备招标文件中规定的资格要求的；</w:t>
      </w:r>
    </w:p>
    <w:p w14:paraId="3228480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（2）投标文件组成中“资格证明文件”未提供或无效的；</w:t>
      </w:r>
    </w:p>
    <w:p w14:paraId="1746C883">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（3）未通过信用记录审查或未提供相关证明材料的。</w:t>
      </w:r>
    </w:p>
    <w:p w14:paraId="633B3A80">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20.2 投标人及投标文件有下列情况之一的，应当在符合性审查时按照投标无效处理：</w:t>
      </w:r>
    </w:p>
    <w:p w14:paraId="740320A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（1）投标文</w:t>
      </w:r>
      <w:r>
        <w:rPr>
          <w:rFonts w:ascii="宋体" w:hAnsi="宋体" w:eastAsia="宋体"/>
          <w:color w:val="auto"/>
          <w:sz w:val="21"/>
          <w:szCs w:val="21"/>
          <w:highlight w:val="none"/>
        </w:rPr>
        <w:t>件组成中除“资格证明文件”外，★条款相关文件及资料未提供或提供无效的</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或经评标委员会认定未实质性响应采购文件要求的或响应内容不符合相关强制性规定的或经评标委员会最终认定报价不合理的</w:t>
      </w:r>
      <w:r>
        <w:rPr>
          <w:rFonts w:ascii="宋体" w:hAnsi="宋体" w:eastAsia="宋体"/>
          <w:color w:val="auto"/>
          <w:sz w:val="21"/>
          <w:szCs w:val="21"/>
          <w:highlight w:val="none"/>
        </w:rPr>
        <w:t>；</w:t>
      </w:r>
    </w:p>
    <w:p w14:paraId="4ECCD61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（2）投标文件未按招标文件要求签署、盖章的；</w:t>
      </w:r>
    </w:p>
    <w:p w14:paraId="3EBD4956">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（3）</w:t>
      </w:r>
      <w:r>
        <w:rPr>
          <w:rFonts w:hint="eastAsia" w:ascii="宋体" w:hAnsi="宋体" w:eastAsia="宋体"/>
          <w:color w:val="auto"/>
          <w:szCs w:val="21"/>
          <w:highlight w:val="none"/>
        </w:rPr>
        <w:t>投标报价</w:t>
      </w:r>
      <w:r>
        <w:rPr>
          <w:rFonts w:ascii="宋体" w:hAnsi="宋体" w:eastAsia="宋体"/>
          <w:color w:val="auto"/>
          <w:szCs w:val="21"/>
          <w:highlight w:val="none"/>
        </w:rPr>
        <w:t>超过招标文件中规定的预算金额或者最高限价的；</w:t>
      </w:r>
    </w:p>
    <w:p w14:paraId="57E5F719">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（4）投标有效期不足的；</w:t>
      </w:r>
    </w:p>
    <w:p w14:paraId="4832255F">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（5）投标文件含有采购人不能接受的附加条件的；</w:t>
      </w:r>
    </w:p>
    <w:p w14:paraId="4B2B442C">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20.3 除20.1及20.2情形外，投标人及投标文件有下列情况之一的，应当按照投标无效处理：</w:t>
      </w:r>
    </w:p>
    <w:p w14:paraId="2FA1DDA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（1）提供虚假投标文件材料的；</w:t>
      </w:r>
    </w:p>
    <w:p w14:paraId="05854953">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（2）投标人串通投标的；</w:t>
      </w:r>
    </w:p>
    <w:p w14:paraId="32285033">
      <w:pPr>
        <w:topLinePunct/>
        <w:autoSpaceDE w:val="0"/>
        <w:autoSpaceDN w:val="0"/>
        <w:adjustRightInd w:val="0"/>
        <w:snapToGrid w:val="0"/>
        <w:spacing w:line="360" w:lineRule="auto"/>
        <w:ind w:firstLine="420" w:firstLineChars="200"/>
        <w:outlineLvl w:val="9"/>
        <w:rPr>
          <w:rFonts w:hint="eastAsia" w:ascii="宋体" w:hAnsi="宋体" w:eastAsia="宋体"/>
          <w:color w:val="auto"/>
          <w:szCs w:val="21"/>
          <w:highlight w:val="none"/>
          <w:lang w:eastAsia="zh-CN"/>
        </w:rPr>
      </w:pPr>
      <w:r>
        <w:rPr>
          <w:rFonts w:ascii="宋体" w:hAnsi="宋体" w:eastAsia="宋体"/>
          <w:color w:val="auto"/>
          <w:szCs w:val="21"/>
          <w:highlight w:val="none"/>
        </w:rPr>
        <w:t>（3）投标报价明显低于其他通过符合性审查投标人的报价，且不能证明其报价合理性的</w:t>
      </w:r>
      <w:r>
        <w:rPr>
          <w:rFonts w:hint="eastAsia" w:ascii="宋体" w:hAnsi="宋体"/>
          <w:color w:val="auto"/>
          <w:szCs w:val="21"/>
          <w:highlight w:val="none"/>
          <w:lang w:eastAsia="zh-CN"/>
        </w:rPr>
        <w:t>；</w:t>
      </w:r>
    </w:p>
    <w:p w14:paraId="36078BDA">
      <w:pPr>
        <w:topLinePunct/>
        <w:autoSpaceDE w:val="0"/>
        <w:autoSpaceDN w:val="0"/>
        <w:adjustRightInd w:val="0"/>
        <w:snapToGrid w:val="0"/>
        <w:spacing w:line="360" w:lineRule="auto"/>
        <w:ind w:firstLine="420" w:firstLineChars="200"/>
        <w:outlineLvl w:val="9"/>
        <w:rPr>
          <w:rFonts w:hint="eastAsia" w:ascii="宋体" w:hAnsi="宋体" w:eastAsia="宋体"/>
          <w:color w:val="auto"/>
          <w:szCs w:val="21"/>
          <w:highlight w:val="none"/>
        </w:rPr>
      </w:pPr>
      <w:r>
        <w:rPr>
          <w:rFonts w:hint="eastAsia" w:ascii="宋体" w:hAnsi="宋体" w:eastAsia="宋体"/>
          <w:color w:val="auto"/>
          <w:szCs w:val="21"/>
          <w:highlight w:val="none"/>
        </w:rPr>
        <w:t>（4）不同投标人的投标文件由同一单位或者个人编制；不同投标人委托同一单位或者个人办理投标事宜；不同投标人的投标文件载明的项目管理成员或者联系人员为同一人；不同投标人的投标文件异常一致或者投标报价呈规律性差异不同投标人的投标文件相互混装；不同投标人的投标保证金从同一单位或者个人的账户转出。</w:t>
      </w:r>
    </w:p>
    <w:p w14:paraId="3CFE3241">
      <w:pPr>
        <w:topLinePunct/>
        <w:autoSpaceDE w:val="0"/>
        <w:autoSpaceDN w:val="0"/>
        <w:adjustRightInd w:val="0"/>
        <w:snapToGrid w:val="0"/>
        <w:spacing w:line="360" w:lineRule="auto"/>
        <w:ind w:firstLine="420" w:firstLineChars="200"/>
        <w:outlineLvl w:val="9"/>
        <w:rPr>
          <w:rFonts w:hint="eastAsia" w:ascii="宋体" w:hAnsi="宋体" w:eastAsia="宋体"/>
          <w:color w:val="auto"/>
          <w:szCs w:val="21"/>
          <w:highlight w:val="none"/>
        </w:rPr>
      </w:pPr>
      <w:r>
        <w:rPr>
          <w:rFonts w:hint="eastAsia" w:ascii="宋体" w:hAnsi="宋体" w:eastAsia="宋体"/>
          <w:color w:val="auto"/>
          <w:szCs w:val="21"/>
          <w:highlight w:val="none"/>
        </w:rPr>
        <w:t>（5）不同</w:t>
      </w:r>
      <w:r>
        <w:rPr>
          <w:rFonts w:hint="eastAsia" w:ascii="宋体" w:hAnsi="宋体" w:eastAsia="宋体"/>
          <w:color w:val="auto"/>
          <w:szCs w:val="21"/>
          <w:highlight w:val="none"/>
          <w:lang w:val="en-US" w:eastAsia="zh-CN"/>
        </w:rPr>
        <w:t>投标人</w:t>
      </w:r>
      <w:r>
        <w:rPr>
          <w:rFonts w:hint="eastAsia" w:ascii="宋体" w:hAnsi="宋体" w:eastAsia="宋体"/>
          <w:color w:val="auto"/>
          <w:szCs w:val="21"/>
          <w:highlight w:val="none"/>
        </w:rPr>
        <w:t>制作电子投标（响应）文件的计算机网卡MAC地址相同的；不同</w:t>
      </w:r>
      <w:r>
        <w:rPr>
          <w:rFonts w:hint="eastAsia" w:ascii="宋体" w:hAnsi="宋体" w:eastAsia="宋体"/>
          <w:color w:val="auto"/>
          <w:szCs w:val="21"/>
          <w:highlight w:val="none"/>
          <w:lang w:val="en-US" w:eastAsia="zh-CN"/>
        </w:rPr>
        <w:t>投标人</w:t>
      </w:r>
      <w:r>
        <w:rPr>
          <w:rFonts w:hint="eastAsia" w:ascii="宋体" w:hAnsi="宋体" w:eastAsia="宋体"/>
          <w:color w:val="auto"/>
          <w:szCs w:val="21"/>
          <w:highlight w:val="none"/>
        </w:rPr>
        <w:t>制作电子投标（响应）文件的计算机硬盘序列号相同的；不同</w:t>
      </w:r>
      <w:r>
        <w:rPr>
          <w:rFonts w:hint="eastAsia" w:ascii="宋体" w:hAnsi="宋体" w:eastAsia="宋体"/>
          <w:color w:val="auto"/>
          <w:szCs w:val="21"/>
          <w:highlight w:val="none"/>
          <w:lang w:val="en-US" w:eastAsia="zh-CN"/>
        </w:rPr>
        <w:t>投标人</w:t>
      </w:r>
      <w:r>
        <w:rPr>
          <w:rFonts w:hint="eastAsia" w:ascii="宋体" w:hAnsi="宋体" w:eastAsia="宋体"/>
          <w:color w:val="auto"/>
          <w:szCs w:val="21"/>
          <w:highlight w:val="none"/>
        </w:rPr>
        <w:t>的投标（响应）文件的内容存在两处以上细节错误一致，且无法合理解释的。</w:t>
      </w:r>
    </w:p>
    <w:p w14:paraId="5A4527EF">
      <w:pPr>
        <w:topLinePunct/>
        <w:autoSpaceDE w:val="0"/>
        <w:autoSpaceDN w:val="0"/>
        <w:adjustRightInd w:val="0"/>
        <w:snapToGrid w:val="0"/>
        <w:spacing w:line="360" w:lineRule="auto"/>
        <w:ind w:firstLine="420" w:firstLineChars="200"/>
        <w:outlineLvl w:val="9"/>
        <w:rPr>
          <w:rFonts w:hint="eastAsia" w:ascii="宋体" w:hAnsi="宋体" w:eastAsia="宋体"/>
          <w:color w:val="auto"/>
          <w:szCs w:val="21"/>
          <w:highlight w:val="none"/>
        </w:rPr>
      </w:pPr>
      <w:r>
        <w:rPr>
          <w:rFonts w:hint="eastAsia" w:ascii="宋体" w:hAnsi="宋体" w:eastAsia="宋体"/>
          <w:color w:val="auto"/>
          <w:szCs w:val="21"/>
          <w:highlight w:val="none"/>
        </w:rPr>
        <w:t>（6）法律、法规和招标文件规定的其他无效情形。</w:t>
      </w:r>
    </w:p>
    <w:p w14:paraId="13FB91B2">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21</w:t>
      </w:r>
      <w:r>
        <w:rPr>
          <w:rFonts w:ascii="宋体" w:hAnsi="宋体" w:eastAsia="宋体"/>
          <w:color w:val="auto"/>
          <w:szCs w:val="21"/>
          <w:highlight w:val="none"/>
        </w:rPr>
        <w:t>．</w:t>
      </w:r>
      <w:r>
        <w:rPr>
          <w:rFonts w:ascii="宋体" w:hAnsi="宋体" w:eastAsia="宋体"/>
          <w:b/>
          <w:color w:val="auto"/>
          <w:szCs w:val="21"/>
          <w:highlight w:val="none"/>
        </w:rPr>
        <w:t>比较与评价</w:t>
      </w:r>
    </w:p>
    <w:p w14:paraId="43AF4BF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21.1 评标委员会按照招标文件中规定的评标方法和标准，对符合性审查合格的投标文件进行商务和技术评估，综合比较与评价。</w:t>
      </w:r>
    </w:p>
    <w:p w14:paraId="6A756F0F">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21.2 价格分应当采用低价优先法计算。小型、微型企业和监狱企业、残疾人福利性单位的投标报价按照</w:t>
      </w:r>
      <w:r>
        <w:rPr>
          <w:rFonts w:ascii="宋体" w:hAnsi="宋体" w:eastAsia="宋体"/>
          <w:b/>
          <w:color w:val="auto"/>
          <w:szCs w:val="21"/>
          <w:highlight w:val="none"/>
        </w:rPr>
        <w:t>投标人须知前附表</w:t>
      </w:r>
      <w:r>
        <w:rPr>
          <w:rFonts w:ascii="宋体" w:hAnsi="宋体" w:eastAsia="宋体"/>
          <w:color w:val="auto"/>
          <w:szCs w:val="21"/>
          <w:highlight w:val="none"/>
        </w:rPr>
        <w:t>规定，分别给予扣除，并以扣除后的报价计算价格分。未提供《中小型企业声明函》、《监狱企业证明文件》、《残疾人福利性单位声明函》的，价格不予扣除。同一投标人不得重复享受价格扣除政策。</w:t>
      </w:r>
    </w:p>
    <w:p w14:paraId="6055EBCE">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21.3 评标委员会各成员独立对每个投标人的投标文件进行评价，并汇总得出每个投标人的评审得分。</w:t>
      </w:r>
    </w:p>
    <w:p w14:paraId="1CA8FAA4">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21.4 评标结果按评审得分由高到低顺序排列。得分相同的，按</w:t>
      </w:r>
      <w:r>
        <w:rPr>
          <w:rFonts w:hint="eastAsia" w:ascii="宋体" w:hAnsi="宋体" w:eastAsia="宋体"/>
          <w:color w:val="auto"/>
          <w:szCs w:val="21"/>
          <w:highlight w:val="none"/>
        </w:rPr>
        <w:t>投标报价</w:t>
      </w:r>
      <w:r>
        <w:rPr>
          <w:rFonts w:ascii="宋体" w:hAnsi="宋体" w:eastAsia="宋体"/>
          <w:color w:val="auto"/>
          <w:szCs w:val="21"/>
          <w:highlight w:val="none"/>
        </w:rPr>
        <w:t>由低到高顺序排列。得分且投标报价相同的并列。投标文件满足招标文件全部实质性要求，且按照评审因素的量化指标评审得分最高的投标人为排名第一的中标候选人。</w:t>
      </w:r>
    </w:p>
    <w:p w14:paraId="3693208B">
      <w:pPr>
        <w:topLinePunct/>
        <w:autoSpaceDE w:val="0"/>
        <w:autoSpaceDN w:val="0"/>
        <w:adjustRightInd w:val="0"/>
        <w:snapToGrid w:val="0"/>
        <w:spacing w:line="360" w:lineRule="auto"/>
        <w:ind w:firstLine="420" w:firstLineChars="200"/>
        <w:outlineLvl w:val="9"/>
        <w:rPr>
          <w:rFonts w:ascii="宋体" w:hAnsi="宋体" w:eastAsia="宋体"/>
          <w:b/>
          <w:color w:val="auto"/>
          <w:szCs w:val="21"/>
          <w:highlight w:val="none"/>
        </w:rPr>
      </w:pPr>
      <w:r>
        <w:rPr>
          <w:rFonts w:ascii="宋体" w:hAnsi="宋体" w:eastAsia="宋体"/>
          <w:color w:val="auto"/>
          <w:szCs w:val="21"/>
          <w:highlight w:val="none"/>
        </w:rPr>
        <w:t>21.5 评标方法及标准</w:t>
      </w:r>
      <w:r>
        <w:rPr>
          <w:rFonts w:ascii="宋体" w:hAnsi="宋体" w:eastAsia="宋体"/>
          <w:b/>
          <w:color w:val="auto"/>
          <w:szCs w:val="21"/>
          <w:highlight w:val="none"/>
        </w:rPr>
        <w:t>详见招标文件商务部分第三章。</w:t>
      </w:r>
    </w:p>
    <w:p w14:paraId="34DC575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3FB337BD">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22</w:t>
      </w:r>
      <w:r>
        <w:rPr>
          <w:rFonts w:ascii="宋体" w:hAnsi="宋体" w:eastAsia="宋体"/>
          <w:color w:val="auto"/>
          <w:szCs w:val="21"/>
          <w:highlight w:val="none"/>
        </w:rPr>
        <w:t>．</w:t>
      </w:r>
      <w:r>
        <w:rPr>
          <w:rFonts w:ascii="宋体" w:hAnsi="宋体" w:eastAsia="宋体"/>
          <w:b/>
          <w:color w:val="auto"/>
          <w:szCs w:val="21"/>
          <w:highlight w:val="none"/>
        </w:rPr>
        <w:t>废标</w:t>
      </w:r>
    </w:p>
    <w:p w14:paraId="028A421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22.1 在招标采购中，出现下列情形之一的，应予废标：</w:t>
      </w:r>
    </w:p>
    <w:p w14:paraId="2239C725">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（1）符合专业条件的供应商或者对招标文件作实质响应的供应商不足三家的；</w:t>
      </w:r>
    </w:p>
    <w:p w14:paraId="4B8044F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（2）出现影响采购公正的违法、违规行为的；</w:t>
      </w:r>
    </w:p>
    <w:p w14:paraId="7C68719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（3）投标人的报价均超过了采购预算，采购人不能支付的；</w:t>
      </w:r>
    </w:p>
    <w:p w14:paraId="4C9F4E08">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（4）因重大变故，采购任务取消的。</w:t>
      </w:r>
    </w:p>
    <w:p w14:paraId="5EE98BC2">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22.2 废标后，采购人将废标理由通知所有投标人。</w:t>
      </w:r>
    </w:p>
    <w:p w14:paraId="34271ECE">
      <w:pPr>
        <w:spacing w:line="360" w:lineRule="auto"/>
        <w:ind w:firstLine="643" w:firstLineChars="200"/>
        <w:jc w:val="center"/>
        <w:outlineLvl w:val="9"/>
        <w:rPr>
          <w:rFonts w:ascii="宋体" w:hAnsi="宋体" w:eastAsia="宋体"/>
          <w:b/>
          <w:color w:val="auto"/>
          <w:sz w:val="32"/>
          <w:szCs w:val="21"/>
          <w:highlight w:val="none"/>
        </w:rPr>
      </w:pPr>
      <w:bookmarkStart w:id="30" w:name="_Toc132880279"/>
      <w:r>
        <w:rPr>
          <w:rFonts w:hint="eastAsia" w:ascii="宋体" w:hAnsi="宋体" w:eastAsia="宋体"/>
          <w:b/>
          <w:color w:val="auto"/>
          <w:sz w:val="32"/>
          <w:szCs w:val="21"/>
          <w:highlight w:val="none"/>
        </w:rPr>
        <w:t>六、中标和合同</w:t>
      </w:r>
      <w:bookmarkEnd w:id="30"/>
    </w:p>
    <w:p w14:paraId="396CDAF3">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23</w:t>
      </w:r>
      <w:r>
        <w:rPr>
          <w:rFonts w:ascii="宋体" w:hAnsi="宋体" w:eastAsia="宋体"/>
          <w:color w:val="auto"/>
          <w:szCs w:val="21"/>
          <w:highlight w:val="none"/>
        </w:rPr>
        <w:t>．</w:t>
      </w:r>
      <w:r>
        <w:rPr>
          <w:rFonts w:ascii="宋体" w:hAnsi="宋体" w:eastAsia="宋体"/>
          <w:b/>
          <w:color w:val="auto"/>
          <w:szCs w:val="21"/>
          <w:highlight w:val="none"/>
        </w:rPr>
        <w:t>中标</w:t>
      </w:r>
    </w:p>
    <w:p w14:paraId="2FB9FECA">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23.1采购代理机构在评标结束后2个工作日内将评标报告送采购人。采购人应当自收到评标报告之日起</w:t>
      </w:r>
      <w:r>
        <w:rPr>
          <w:rFonts w:hint="eastAsia" w:ascii="宋体" w:hAnsi="宋体" w:eastAsia="宋体"/>
          <w:color w:val="auto"/>
          <w:szCs w:val="21"/>
          <w:highlight w:val="none"/>
        </w:rPr>
        <w:t>5</w:t>
      </w:r>
      <w:r>
        <w:rPr>
          <w:rFonts w:ascii="宋体" w:hAnsi="宋体" w:eastAsia="宋体"/>
          <w:color w:val="auto"/>
          <w:szCs w:val="21"/>
          <w:highlight w:val="none"/>
        </w:rPr>
        <w:t>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71C538F">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采购人自行组织招标的，采购人应当在评标结束后5个工作日内，按评标报告推荐的中标候选人顺序确定中标人。</w:t>
      </w:r>
    </w:p>
    <w:p w14:paraId="7E27DEE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23.2 采购人或者采购代理机构应当自中标人确定之日起2个工作日内，在</w:t>
      </w:r>
      <w:r>
        <w:rPr>
          <w:rFonts w:ascii="宋体" w:hAnsi="宋体" w:eastAsia="宋体"/>
          <w:b/>
          <w:color w:val="auto"/>
          <w:szCs w:val="21"/>
          <w:highlight w:val="none"/>
        </w:rPr>
        <w:t>投标人须知前附表</w:t>
      </w:r>
      <w:r>
        <w:rPr>
          <w:rFonts w:ascii="宋体" w:hAnsi="宋体" w:eastAsia="宋体"/>
          <w:color w:val="auto"/>
          <w:szCs w:val="21"/>
          <w:highlight w:val="none"/>
        </w:rPr>
        <w:t>规定的媒体上公告中标结果，招标文件应随中标结果同时公告。中标公告期限为1个工作日。</w:t>
      </w:r>
    </w:p>
    <w:p w14:paraId="706480EC">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23.3 在公告中标结果的同时，采购人或者采购代理机构应当向中标人发出中标通知书；对未通过资格审查的投标人，告知其未通过的原因；采用综合评分法评审的，同时告知未中标人本人的评审得分与排序。</w:t>
      </w:r>
    </w:p>
    <w:p w14:paraId="58C6915D">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23.4 中标通知书发出后，采购人或者采购代理机构不得违法改变中标结果，中标人无正当理由不得放弃中标。</w:t>
      </w:r>
    </w:p>
    <w:p w14:paraId="2535D55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23.5 中标通知书对采购人和中标人具有同等法律效力。</w:t>
      </w:r>
    </w:p>
    <w:p w14:paraId="12E7E5F9">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24</w:t>
      </w:r>
      <w:r>
        <w:rPr>
          <w:rFonts w:ascii="宋体" w:hAnsi="宋体" w:eastAsia="宋体"/>
          <w:color w:val="auto"/>
          <w:szCs w:val="21"/>
          <w:highlight w:val="none"/>
        </w:rPr>
        <w:t>．</w:t>
      </w:r>
      <w:r>
        <w:rPr>
          <w:rFonts w:ascii="宋体" w:hAnsi="宋体" w:eastAsia="宋体"/>
          <w:b/>
          <w:color w:val="auto"/>
          <w:szCs w:val="21"/>
          <w:highlight w:val="none"/>
        </w:rPr>
        <w:t>签订合同</w:t>
      </w:r>
    </w:p>
    <w:p w14:paraId="14D53D4B">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24.1 采购人应当自中标通知书发出之日起30日内，按照招标文件和中标人投标文件的规定，与中标人签订合同。</w:t>
      </w:r>
    </w:p>
    <w:p w14:paraId="0FD5D454">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24.2 所签订的合同不得对招标文件确定的事项和中标人投标文件作实质性修改。</w:t>
      </w:r>
    </w:p>
    <w:p w14:paraId="3D47BA11">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24.3 采购人不得向中标人提出任何不合理的要求作为签订合同的条件。</w:t>
      </w:r>
    </w:p>
    <w:p w14:paraId="326C0E77">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24.4 中标人拒绝与采购人签订合同的，采购人可以按照评审报告推荐的中标候选人名单排序，确定下一候选人为中标人，也可以重新开展政府采购活动。</w:t>
      </w:r>
    </w:p>
    <w:p w14:paraId="7E85A59E">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25</w:t>
      </w:r>
      <w:r>
        <w:rPr>
          <w:rFonts w:ascii="宋体" w:hAnsi="宋体" w:eastAsia="宋体"/>
          <w:color w:val="auto"/>
          <w:szCs w:val="21"/>
          <w:highlight w:val="none"/>
        </w:rPr>
        <w:t>．</w:t>
      </w:r>
      <w:r>
        <w:rPr>
          <w:rFonts w:ascii="宋体" w:hAnsi="宋体" w:eastAsia="宋体"/>
          <w:b/>
          <w:color w:val="auto"/>
          <w:szCs w:val="21"/>
          <w:highlight w:val="none"/>
        </w:rPr>
        <w:t>履约保证金</w:t>
      </w:r>
    </w:p>
    <w:p w14:paraId="6536C2A6">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25.1 需提交履约保证金的项目，中标人应在合同签订之日起30日内，按照</w:t>
      </w:r>
      <w:r>
        <w:rPr>
          <w:rFonts w:ascii="宋体" w:hAnsi="宋体" w:eastAsia="宋体"/>
          <w:b/>
          <w:color w:val="auto"/>
          <w:szCs w:val="21"/>
          <w:highlight w:val="none"/>
        </w:rPr>
        <w:t>投标人须知前附表</w:t>
      </w:r>
      <w:r>
        <w:rPr>
          <w:rFonts w:ascii="宋体" w:hAnsi="宋体" w:eastAsia="宋体"/>
          <w:color w:val="auto"/>
          <w:szCs w:val="21"/>
          <w:highlight w:val="none"/>
        </w:rPr>
        <w:t>的规定，向采购人提交履约保证金。</w:t>
      </w:r>
    </w:p>
    <w:p w14:paraId="6B2525AE">
      <w:pPr>
        <w:spacing w:line="360" w:lineRule="auto"/>
        <w:ind w:firstLine="643" w:firstLineChars="200"/>
        <w:jc w:val="center"/>
        <w:outlineLvl w:val="9"/>
        <w:rPr>
          <w:rFonts w:ascii="宋体" w:hAnsi="宋体" w:eastAsia="宋体"/>
          <w:b/>
          <w:color w:val="auto"/>
          <w:sz w:val="32"/>
          <w:szCs w:val="21"/>
          <w:highlight w:val="none"/>
        </w:rPr>
      </w:pPr>
      <w:bookmarkStart w:id="31" w:name="_Toc132880280"/>
      <w:r>
        <w:rPr>
          <w:rFonts w:hint="eastAsia" w:ascii="宋体" w:hAnsi="宋体" w:eastAsia="宋体"/>
          <w:b/>
          <w:color w:val="auto"/>
          <w:sz w:val="32"/>
          <w:szCs w:val="21"/>
          <w:highlight w:val="none"/>
        </w:rPr>
        <w:t>七、询问和质疑</w:t>
      </w:r>
      <w:bookmarkEnd w:id="31"/>
    </w:p>
    <w:p w14:paraId="5AA5BA6D">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26. 询问</w:t>
      </w:r>
    </w:p>
    <w:p w14:paraId="11E5D7A0">
      <w:pPr>
        <w:topLinePunct/>
        <w:autoSpaceDE w:val="0"/>
        <w:autoSpaceDN w:val="0"/>
        <w:adjustRightInd w:val="0"/>
        <w:snapToGrid w:val="0"/>
        <w:spacing w:line="360" w:lineRule="auto"/>
        <w:ind w:firstLine="420" w:firstLineChars="200"/>
        <w:jc w:val="left"/>
        <w:outlineLvl w:val="9"/>
        <w:rPr>
          <w:rFonts w:ascii="宋体" w:hAnsi="宋体" w:eastAsia="宋体"/>
          <w:color w:val="auto"/>
          <w:szCs w:val="21"/>
          <w:highlight w:val="none"/>
        </w:rPr>
      </w:pPr>
      <w:r>
        <w:rPr>
          <w:rFonts w:ascii="宋体" w:hAnsi="宋体" w:eastAsia="宋体"/>
          <w:color w:val="auto"/>
          <w:szCs w:val="21"/>
          <w:highlight w:val="none"/>
        </w:rPr>
        <w:t>26.</w:t>
      </w:r>
      <w:r>
        <w:rPr>
          <w:rFonts w:hint="eastAsia" w:ascii="宋体" w:hAnsi="宋体" w:eastAsia="宋体"/>
          <w:color w:val="auto"/>
          <w:szCs w:val="21"/>
          <w:highlight w:val="none"/>
        </w:rPr>
        <w:t>1</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对政府采购活动事项有疑问的，可以向</w:t>
      </w:r>
      <w:r>
        <w:rPr>
          <w:rFonts w:ascii="宋体" w:hAnsi="宋体" w:eastAsia="宋体"/>
          <w:color w:val="auto"/>
          <w:szCs w:val="21"/>
          <w:highlight w:val="none"/>
        </w:rPr>
        <w:t>采购人或者采购代理机构</w:t>
      </w:r>
      <w:r>
        <w:rPr>
          <w:rFonts w:hint="eastAsia" w:ascii="宋体" w:hAnsi="宋体" w:eastAsia="宋体"/>
          <w:color w:val="auto"/>
          <w:szCs w:val="21"/>
          <w:highlight w:val="none"/>
        </w:rPr>
        <w:t>提出询问，采购人或者采购代理机构应在3个工作日内作出答复，但答复的内容不得涉及商业秘密。</w:t>
      </w:r>
    </w:p>
    <w:p w14:paraId="317CE083">
      <w:pPr>
        <w:topLinePunct/>
        <w:autoSpaceDE w:val="0"/>
        <w:autoSpaceDN w:val="0"/>
        <w:adjustRightInd w:val="0"/>
        <w:snapToGrid w:val="0"/>
        <w:spacing w:line="360" w:lineRule="auto"/>
        <w:ind w:firstLine="422" w:firstLineChars="200"/>
        <w:jc w:val="left"/>
        <w:outlineLvl w:val="9"/>
        <w:rPr>
          <w:rFonts w:ascii="宋体" w:hAnsi="宋体" w:eastAsia="宋体"/>
          <w:b/>
          <w:color w:val="auto"/>
          <w:szCs w:val="21"/>
          <w:highlight w:val="none"/>
        </w:rPr>
      </w:pPr>
      <w:r>
        <w:rPr>
          <w:rFonts w:ascii="宋体" w:hAnsi="宋体" w:eastAsia="宋体"/>
          <w:b/>
          <w:color w:val="auto"/>
          <w:szCs w:val="21"/>
          <w:highlight w:val="none"/>
        </w:rPr>
        <w:t>27</w:t>
      </w:r>
      <w:r>
        <w:rPr>
          <w:rFonts w:ascii="宋体" w:hAnsi="宋体" w:eastAsia="宋体"/>
          <w:color w:val="auto"/>
          <w:szCs w:val="21"/>
          <w:highlight w:val="none"/>
        </w:rPr>
        <w:t>．</w:t>
      </w:r>
      <w:r>
        <w:rPr>
          <w:rFonts w:ascii="宋体" w:hAnsi="宋体" w:eastAsia="宋体"/>
          <w:b/>
          <w:color w:val="auto"/>
          <w:szCs w:val="21"/>
          <w:highlight w:val="none"/>
        </w:rPr>
        <w:t>质疑</w:t>
      </w:r>
    </w:p>
    <w:p w14:paraId="79B616BE">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bookmarkStart w:id="32" w:name="_Toc132880281"/>
      <w:r>
        <w:rPr>
          <w:rFonts w:ascii="宋体" w:hAnsi="宋体" w:eastAsia="宋体"/>
          <w:color w:val="auto"/>
          <w:szCs w:val="21"/>
          <w:highlight w:val="none"/>
        </w:rPr>
        <w:t>27.1</w:t>
      </w:r>
      <w:r>
        <w:rPr>
          <w:rFonts w:hint="eastAsia" w:ascii="宋体" w:hAnsi="宋体"/>
          <w:color w:val="auto"/>
          <w:szCs w:val="21"/>
          <w:highlight w:val="none"/>
          <w:lang w:val="en-US" w:eastAsia="zh-CN"/>
        </w:rPr>
        <w:t>供应商</w:t>
      </w:r>
      <w:r>
        <w:rPr>
          <w:rFonts w:ascii="宋体" w:hAnsi="宋体" w:eastAsia="宋体"/>
          <w:color w:val="auto"/>
          <w:szCs w:val="21"/>
          <w:highlight w:val="none"/>
        </w:rPr>
        <w:t>认为招标文件、招标过程和中标结果使自己的权益受到损害的，可以在知道或者应知其权益受到损害之日起7个工作日内</w:t>
      </w:r>
      <w:r>
        <w:rPr>
          <w:rFonts w:hint="eastAsia" w:ascii="宋体" w:hAnsi="宋体" w:eastAsia="宋体"/>
          <w:color w:val="auto"/>
          <w:szCs w:val="21"/>
          <w:highlight w:val="none"/>
        </w:rPr>
        <w:t>通过书面纸质质疑函形式</w:t>
      </w:r>
      <w:r>
        <w:rPr>
          <w:rFonts w:ascii="宋体" w:hAnsi="宋体" w:eastAsia="宋体"/>
          <w:color w:val="auto"/>
          <w:szCs w:val="21"/>
          <w:highlight w:val="none"/>
        </w:rPr>
        <w:t>向采购人</w:t>
      </w:r>
      <w:r>
        <w:rPr>
          <w:rFonts w:hint="eastAsia" w:ascii="宋体" w:hAnsi="宋体" w:eastAsia="宋体"/>
          <w:color w:val="auto"/>
          <w:szCs w:val="21"/>
          <w:highlight w:val="none"/>
        </w:rPr>
        <w:t>或者采购代理机构</w:t>
      </w:r>
      <w:r>
        <w:rPr>
          <w:rFonts w:ascii="宋体" w:hAnsi="宋体" w:eastAsia="宋体"/>
          <w:color w:val="auto"/>
          <w:szCs w:val="21"/>
          <w:highlight w:val="none"/>
        </w:rPr>
        <w:t>提出质疑。联系部门、联系电话、通讯地址、电子邮箱</w:t>
      </w:r>
      <w:r>
        <w:rPr>
          <w:rFonts w:ascii="宋体" w:hAnsi="宋体" w:eastAsia="宋体"/>
          <w:b/>
          <w:bCs/>
          <w:color w:val="auto"/>
          <w:szCs w:val="21"/>
          <w:highlight w:val="none"/>
        </w:rPr>
        <w:t>见</w:t>
      </w:r>
      <w:r>
        <w:rPr>
          <w:rFonts w:ascii="宋体" w:hAnsi="宋体" w:eastAsia="宋体"/>
          <w:b/>
          <w:color w:val="auto"/>
          <w:szCs w:val="21"/>
          <w:highlight w:val="none"/>
        </w:rPr>
        <w:t>投标人须知前附表</w:t>
      </w:r>
      <w:r>
        <w:rPr>
          <w:rFonts w:ascii="宋体" w:hAnsi="宋体" w:eastAsia="宋体"/>
          <w:color w:val="auto"/>
          <w:szCs w:val="21"/>
          <w:highlight w:val="none"/>
        </w:rPr>
        <w:t>。在法定质疑期内，针对同一采购程序环节的质疑应一次性提出。</w:t>
      </w:r>
    </w:p>
    <w:p w14:paraId="23CBA689">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 xml:space="preserve">27.2 </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应知其权益受到损害之日，是指：</w:t>
      </w:r>
    </w:p>
    <w:p w14:paraId="60713744">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（1）对可以质疑的采购文件提出质疑的，为收到采购文件之日或者采购文件公告期限届满之日；</w:t>
      </w:r>
    </w:p>
    <w:p w14:paraId="142791F6">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（2）对采购过程提出质疑的，为各采购程序环节结束之日；</w:t>
      </w:r>
    </w:p>
    <w:p w14:paraId="6580225C">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（3）对中标结果提出质疑的，为中标结果公告期限届满之日。</w:t>
      </w:r>
    </w:p>
    <w:p w14:paraId="3F5F796F">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 xml:space="preserve">27.3 </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提出质疑应当提交质疑函和必要的证明材料。</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为自然人的，应当由本人签字；</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为法人或者其他组织的，应当由法定代表人、主要负责人，或者其授权代表签字或者签章，并加盖公章。</w:t>
      </w:r>
    </w:p>
    <w:p w14:paraId="19F476AF">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 xml:space="preserve">27.4 </w:t>
      </w:r>
      <w:r>
        <w:rPr>
          <w:rFonts w:ascii="宋体" w:hAnsi="宋体" w:eastAsia="宋体"/>
          <w:color w:val="auto"/>
          <w:szCs w:val="21"/>
          <w:highlight w:val="none"/>
        </w:rPr>
        <w:t>采购人</w:t>
      </w:r>
      <w:r>
        <w:rPr>
          <w:rFonts w:hint="eastAsia" w:ascii="宋体" w:hAnsi="宋体" w:eastAsia="宋体"/>
          <w:color w:val="auto"/>
          <w:szCs w:val="21"/>
          <w:highlight w:val="none"/>
        </w:rPr>
        <w:t>或者采购代理机构应当在收到</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的质疑函后7个工作日内，对质疑内容作出答复，并通过书面形式通知质疑供应商和其他有关</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，但答复内容不得涉及商业秘密。</w:t>
      </w:r>
    </w:p>
    <w:p w14:paraId="5913CACF">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27.5 质疑</w:t>
      </w:r>
      <w:r>
        <w:rPr>
          <w:rFonts w:hint="eastAsia" w:ascii="宋体" w:hAnsi="宋体"/>
          <w:color w:val="auto"/>
          <w:szCs w:val="21"/>
          <w:highlight w:val="none"/>
          <w:lang w:val="en-US" w:eastAsia="zh-CN"/>
        </w:rPr>
        <w:t>供应商</w:t>
      </w:r>
      <w:r>
        <w:rPr>
          <w:rFonts w:hint="eastAsia" w:ascii="宋体" w:hAnsi="宋体" w:eastAsia="宋体"/>
          <w:color w:val="auto"/>
          <w:szCs w:val="21"/>
          <w:highlight w:val="none"/>
        </w:rPr>
        <w:t>对</w:t>
      </w:r>
      <w:r>
        <w:rPr>
          <w:rFonts w:ascii="宋体" w:hAnsi="宋体" w:eastAsia="宋体"/>
          <w:color w:val="auto"/>
          <w:szCs w:val="21"/>
          <w:highlight w:val="none"/>
        </w:rPr>
        <w:t>采购人、采购代理机构</w:t>
      </w:r>
      <w:r>
        <w:rPr>
          <w:rFonts w:hint="eastAsia" w:ascii="宋体" w:hAnsi="宋体" w:eastAsia="宋体"/>
          <w:color w:val="auto"/>
          <w:szCs w:val="21"/>
          <w:highlight w:val="none"/>
        </w:rPr>
        <w:t>的答复不满意或者</w:t>
      </w:r>
      <w:r>
        <w:rPr>
          <w:rFonts w:ascii="宋体" w:hAnsi="宋体" w:eastAsia="宋体"/>
          <w:color w:val="auto"/>
          <w:szCs w:val="21"/>
          <w:highlight w:val="none"/>
        </w:rPr>
        <w:t>采购人、采购代理机构</w:t>
      </w:r>
      <w:r>
        <w:rPr>
          <w:rFonts w:hint="eastAsia" w:ascii="宋体" w:hAnsi="宋体" w:eastAsia="宋体"/>
          <w:color w:val="auto"/>
          <w:szCs w:val="21"/>
          <w:highlight w:val="none"/>
        </w:rPr>
        <w:t>未在规定时间内作出答复的，可以在答复期满后15个工作日内按有关规定，向同级人民政府财政部门投诉。</w:t>
      </w:r>
    </w:p>
    <w:p w14:paraId="0BD2E0DB">
      <w:pPr>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27.6投诉应当有明确的请求和必要的证明材料。投诉的事项不得超出已质疑事项的范围。</w:t>
      </w:r>
    </w:p>
    <w:p w14:paraId="150B44DF">
      <w:pPr>
        <w:spacing w:line="360" w:lineRule="auto"/>
        <w:ind w:firstLine="643" w:firstLineChars="200"/>
        <w:jc w:val="center"/>
        <w:outlineLvl w:val="9"/>
        <w:rPr>
          <w:rFonts w:ascii="宋体" w:hAnsi="宋体" w:eastAsia="宋体" w:cs="黑体"/>
          <w:color w:val="auto"/>
          <w:highlight w:val="none"/>
        </w:rPr>
      </w:pPr>
      <w:r>
        <w:rPr>
          <w:rFonts w:hint="eastAsia" w:ascii="宋体" w:hAnsi="宋体" w:eastAsia="宋体"/>
          <w:b/>
          <w:color w:val="auto"/>
          <w:sz w:val="32"/>
          <w:szCs w:val="21"/>
          <w:highlight w:val="none"/>
        </w:rPr>
        <w:t>八、其他</w:t>
      </w:r>
      <w:bookmarkEnd w:id="32"/>
    </w:p>
    <w:p w14:paraId="745C6672">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bookmarkStart w:id="33" w:name="_Toc217989361"/>
      <w:bookmarkStart w:id="34" w:name="_Toc262111390"/>
      <w:bookmarkStart w:id="35" w:name="_Toc319519285"/>
      <w:bookmarkStart w:id="36" w:name="_Toc233181902"/>
      <w:r>
        <w:rPr>
          <w:rFonts w:ascii="宋体" w:hAnsi="宋体" w:eastAsia="宋体"/>
          <w:b/>
          <w:color w:val="auto"/>
          <w:szCs w:val="21"/>
          <w:highlight w:val="none"/>
        </w:rPr>
        <w:t>28</w:t>
      </w:r>
      <w:r>
        <w:rPr>
          <w:rFonts w:ascii="宋体" w:hAnsi="宋体" w:eastAsia="宋体"/>
          <w:color w:val="auto"/>
          <w:szCs w:val="21"/>
          <w:highlight w:val="none"/>
        </w:rPr>
        <w:t>．</w:t>
      </w:r>
      <w:r>
        <w:rPr>
          <w:rFonts w:ascii="宋体" w:hAnsi="宋体" w:eastAsia="宋体"/>
          <w:b/>
          <w:color w:val="auto"/>
          <w:szCs w:val="21"/>
          <w:highlight w:val="none"/>
        </w:rPr>
        <w:t>保密</w:t>
      </w:r>
    </w:p>
    <w:p w14:paraId="4E779B57">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1E113E7F">
      <w:pPr>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28.2 评标委员会成员和参与评标工作的有关人员对评标情况以及在评标过程中获悉的国家秘密、商业秘密负有保密责任。</w:t>
      </w:r>
    </w:p>
    <w:p w14:paraId="50967BFF">
      <w:pPr>
        <w:topLinePunct/>
        <w:autoSpaceDE w:val="0"/>
        <w:autoSpaceDN w:val="0"/>
        <w:adjustRightInd w:val="0"/>
        <w:snapToGrid w:val="0"/>
        <w:spacing w:line="360" w:lineRule="auto"/>
        <w:ind w:firstLine="422" w:firstLineChars="200"/>
        <w:outlineLvl w:val="9"/>
        <w:rPr>
          <w:rFonts w:ascii="宋体" w:hAnsi="宋体" w:eastAsia="宋体"/>
          <w:b/>
          <w:color w:val="auto"/>
          <w:szCs w:val="21"/>
          <w:highlight w:val="none"/>
        </w:rPr>
      </w:pPr>
      <w:r>
        <w:rPr>
          <w:rFonts w:ascii="宋体" w:hAnsi="宋体" w:eastAsia="宋体"/>
          <w:b/>
          <w:color w:val="auto"/>
          <w:szCs w:val="21"/>
          <w:highlight w:val="none"/>
        </w:rPr>
        <w:t>29. 知识产权与规避专利、版权纠纷</w:t>
      </w:r>
      <w:bookmarkEnd w:id="33"/>
      <w:bookmarkEnd w:id="34"/>
      <w:bookmarkEnd w:id="35"/>
      <w:bookmarkEnd w:id="36"/>
    </w:p>
    <w:p w14:paraId="345557E6">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ascii="宋体" w:hAnsi="宋体" w:eastAsia="宋体"/>
          <w:color w:val="auto"/>
          <w:szCs w:val="21"/>
          <w:highlight w:val="none"/>
        </w:rPr>
        <w:t xml:space="preserve">29.1 </w:t>
      </w:r>
      <w:r>
        <w:rPr>
          <w:rFonts w:hint="eastAsia" w:ascii="宋体" w:hAnsi="宋体" w:eastAsia="宋体"/>
          <w:color w:val="auto"/>
          <w:szCs w:val="21"/>
          <w:highlight w:val="none"/>
        </w:rPr>
        <w:t>知识产权</w:t>
      </w:r>
    </w:p>
    <w:p w14:paraId="3DCEE636">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3AECE66B">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29.2 规避专利、版权纠纷</w:t>
      </w:r>
    </w:p>
    <w:p w14:paraId="6B8501B8">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29.2.1 投标人应保证其投标方案中的有关软件、文件、图纸等没有违反有关专利和版权等知识产权的规定。</w:t>
      </w:r>
    </w:p>
    <w:p w14:paraId="0737759E">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29.2.2 中标人应保证采购人在中华人民共和国使用本项目成果任何一部分、或接受乙方服务时，免受第三方提出的侵犯其专利权、商标权或工业设计权等知识产权的索赔或起诉。</w:t>
      </w:r>
    </w:p>
    <w:p w14:paraId="6C790C06">
      <w:pPr>
        <w:widowControl/>
        <w:topLinePunct/>
        <w:autoSpaceDE w:val="0"/>
        <w:autoSpaceDN w:val="0"/>
        <w:adjustRightInd w:val="0"/>
        <w:snapToGrid w:val="0"/>
        <w:spacing w:line="360" w:lineRule="auto"/>
        <w:ind w:firstLine="420" w:firstLineChars="200"/>
        <w:outlineLvl w:val="9"/>
        <w:rPr>
          <w:rFonts w:ascii="宋体" w:hAnsi="宋体" w:eastAsia="宋体"/>
          <w:color w:val="auto"/>
          <w:szCs w:val="21"/>
          <w:highlight w:val="none"/>
        </w:rPr>
      </w:pPr>
      <w:r>
        <w:rPr>
          <w:rFonts w:hint="eastAsia" w:ascii="宋体" w:hAnsi="宋体" w:eastAsia="宋体"/>
          <w:color w:val="auto"/>
          <w:szCs w:val="21"/>
          <w:highlight w:val="none"/>
        </w:rPr>
        <w:t>29.2.3 如果采购人在使用本项目任何一部分时被任何第三方诉称侵犯了第三方知识产权或任何其他权利，中标人应负责处理这一指控并应以中标人的名义自负费用向起诉方提出抗辩。由此可能产生的一切法律责任和经济责任均由中标人承担。</w:t>
      </w:r>
    </w:p>
    <w:p w14:paraId="6C6F0A30">
      <w:pPr>
        <w:widowControl/>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olor w:val="auto"/>
          <w:szCs w:val="21"/>
          <w:highlight w:val="none"/>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r>
        <w:rPr>
          <w:rFonts w:hint="eastAsia" w:ascii="宋体" w:hAnsi="宋体" w:eastAsia="宋体" w:cs="宋体"/>
          <w:color w:val="auto"/>
          <w:szCs w:val="21"/>
          <w:highlight w:val="none"/>
        </w:rPr>
        <w:t>。</w:t>
      </w:r>
    </w:p>
    <w:bookmarkEnd w:id="23"/>
    <w:p w14:paraId="11603DB7">
      <w:pPr>
        <w:spacing w:line="360" w:lineRule="auto"/>
        <w:outlineLvl w:val="9"/>
        <w:rPr>
          <w:rFonts w:hint="eastAsia" w:ascii="宋体" w:hAnsi="宋体" w:eastAsia="宋体" w:cs="宋体"/>
          <w:color w:val="auto"/>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2282748F">
      <w:pPr>
        <w:jc w:val="center"/>
        <w:outlineLvl w:val="0"/>
        <w:rPr>
          <w:rFonts w:hint="eastAsia" w:ascii="宋体" w:hAnsi="宋体" w:eastAsia="宋体" w:cs="宋体"/>
          <w:b/>
          <w:bCs/>
          <w:color w:val="auto"/>
          <w:sz w:val="28"/>
          <w:szCs w:val="28"/>
          <w:highlight w:val="none"/>
        </w:rPr>
      </w:pPr>
      <w:bookmarkStart w:id="37" w:name="_Toc1762322514"/>
      <w:bookmarkStart w:id="38" w:name="_Toc1298913388"/>
      <w:bookmarkStart w:id="39" w:name="_Toc525052846"/>
      <w:bookmarkStart w:id="40" w:name="_Toc38030149"/>
      <w:bookmarkStart w:id="41" w:name="_Toc132880282"/>
      <w:bookmarkStart w:id="42" w:name="_Toc1168671576"/>
      <w:bookmarkStart w:id="43" w:name="_Toc1481241717"/>
      <w:bookmarkStart w:id="44" w:name="_Toc937455070"/>
      <w:bookmarkStart w:id="45" w:name="_Toc1380332034"/>
      <w:bookmarkStart w:id="46" w:name="_Toc1455"/>
      <w:r>
        <w:rPr>
          <w:rFonts w:hint="eastAsia" w:ascii="宋体" w:hAnsi="宋体" w:eastAsia="宋体" w:cs="宋体"/>
          <w:b/>
          <w:bCs/>
          <w:color w:val="auto"/>
          <w:sz w:val="28"/>
          <w:szCs w:val="28"/>
          <w:highlight w:val="none"/>
        </w:rPr>
        <w:t>第三章  评标方法及标准</w:t>
      </w:r>
      <w:bookmarkEnd w:id="37"/>
      <w:bookmarkEnd w:id="38"/>
      <w:bookmarkEnd w:id="39"/>
      <w:bookmarkEnd w:id="40"/>
      <w:bookmarkEnd w:id="41"/>
      <w:bookmarkEnd w:id="42"/>
      <w:bookmarkEnd w:id="43"/>
      <w:bookmarkEnd w:id="44"/>
      <w:bookmarkEnd w:id="45"/>
      <w:bookmarkEnd w:id="46"/>
    </w:p>
    <w:p w14:paraId="42FBC5AC">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本项目采用综合评分法进行评审，综合评分法是指投标文件满足招标文件全部实质性要求，且按照评审因素的量化指标评审得分最高的供应商为中标候选人的评审方法。评审标准如下表：</w:t>
      </w:r>
    </w:p>
    <w:tbl>
      <w:tblPr>
        <w:tblStyle w:val="22"/>
        <w:tblW w:w="8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969"/>
        <w:gridCol w:w="1176"/>
        <w:gridCol w:w="1142"/>
        <w:gridCol w:w="3902"/>
        <w:gridCol w:w="886"/>
      </w:tblGrid>
      <w:tr w14:paraId="11652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672" w:type="dxa"/>
            <w:tcBorders>
              <w:tl2br w:val="nil"/>
              <w:tr2bl w:val="nil"/>
            </w:tcBorders>
            <w:tcMar>
              <w:top w:w="0" w:type="dxa"/>
              <w:left w:w="108" w:type="dxa"/>
              <w:bottom w:w="0" w:type="dxa"/>
              <w:right w:w="108" w:type="dxa"/>
            </w:tcMar>
            <w:vAlign w:val="center"/>
          </w:tcPr>
          <w:p w14:paraId="1003054E">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序号</w:t>
            </w:r>
          </w:p>
        </w:tc>
        <w:tc>
          <w:tcPr>
            <w:tcW w:w="969" w:type="dxa"/>
            <w:tcBorders>
              <w:tl2br w:val="nil"/>
              <w:tr2bl w:val="nil"/>
            </w:tcBorders>
            <w:tcMar>
              <w:top w:w="0" w:type="dxa"/>
              <w:left w:w="108" w:type="dxa"/>
              <w:bottom w:w="0" w:type="dxa"/>
              <w:right w:w="108" w:type="dxa"/>
            </w:tcMar>
            <w:vAlign w:val="center"/>
          </w:tcPr>
          <w:p w14:paraId="66D369F1">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类别</w:t>
            </w:r>
          </w:p>
        </w:tc>
        <w:tc>
          <w:tcPr>
            <w:tcW w:w="1176" w:type="dxa"/>
            <w:tcBorders>
              <w:tl2br w:val="nil"/>
              <w:tr2bl w:val="nil"/>
            </w:tcBorders>
            <w:tcMar>
              <w:top w:w="0" w:type="dxa"/>
              <w:left w:w="108" w:type="dxa"/>
              <w:bottom w:w="0" w:type="dxa"/>
              <w:right w:w="108" w:type="dxa"/>
            </w:tcMar>
            <w:vAlign w:val="center"/>
          </w:tcPr>
          <w:p w14:paraId="32FA94A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评审因素</w:t>
            </w:r>
          </w:p>
        </w:tc>
        <w:tc>
          <w:tcPr>
            <w:tcW w:w="1142" w:type="dxa"/>
            <w:tcBorders>
              <w:tl2br w:val="nil"/>
              <w:tr2bl w:val="nil"/>
            </w:tcBorders>
            <w:tcMar>
              <w:top w:w="0" w:type="dxa"/>
              <w:left w:w="108" w:type="dxa"/>
              <w:bottom w:w="0" w:type="dxa"/>
              <w:right w:w="108" w:type="dxa"/>
            </w:tcMar>
            <w:vAlign w:val="center"/>
          </w:tcPr>
          <w:p w14:paraId="17280D08">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主要内容</w:t>
            </w:r>
          </w:p>
        </w:tc>
        <w:tc>
          <w:tcPr>
            <w:tcW w:w="3902" w:type="dxa"/>
            <w:tcBorders>
              <w:tl2br w:val="nil"/>
              <w:tr2bl w:val="nil"/>
            </w:tcBorders>
            <w:tcMar>
              <w:top w:w="0" w:type="dxa"/>
              <w:left w:w="108" w:type="dxa"/>
              <w:bottom w:w="0" w:type="dxa"/>
              <w:right w:w="108" w:type="dxa"/>
            </w:tcMar>
            <w:vAlign w:val="center"/>
          </w:tcPr>
          <w:p w14:paraId="0A4D8399">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指标要求</w:t>
            </w:r>
          </w:p>
        </w:tc>
        <w:tc>
          <w:tcPr>
            <w:tcW w:w="886" w:type="dxa"/>
            <w:tcBorders>
              <w:tl2br w:val="nil"/>
              <w:tr2bl w:val="nil"/>
            </w:tcBorders>
            <w:tcMar>
              <w:top w:w="0" w:type="dxa"/>
              <w:left w:w="108" w:type="dxa"/>
              <w:bottom w:w="0" w:type="dxa"/>
              <w:right w:w="108" w:type="dxa"/>
            </w:tcMar>
            <w:vAlign w:val="center"/>
          </w:tcPr>
          <w:p w14:paraId="13652144">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bCs/>
                <w:i w:val="0"/>
                <w:iCs w:val="0"/>
                <w:smallCaps w:val="0"/>
                <w:color w:val="auto"/>
                <w:kern w:val="0"/>
                <w:sz w:val="21"/>
                <w:szCs w:val="21"/>
                <w:highlight w:val="none"/>
                <w:lang w:eastAsia="en-US"/>
              </w:rPr>
              <w:t>分值</w:t>
            </w:r>
          </w:p>
        </w:tc>
      </w:tr>
      <w:tr w14:paraId="61CA9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67476360">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1</w:t>
            </w:r>
          </w:p>
        </w:tc>
        <w:tc>
          <w:tcPr>
            <w:tcW w:w="969" w:type="dxa"/>
            <w:tcBorders>
              <w:tl2br w:val="nil"/>
              <w:tr2bl w:val="nil"/>
            </w:tcBorders>
            <w:tcMar>
              <w:top w:w="0" w:type="dxa"/>
              <w:left w:w="108" w:type="dxa"/>
              <w:bottom w:w="0" w:type="dxa"/>
              <w:right w:w="108" w:type="dxa"/>
            </w:tcMar>
            <w:vAlign w:val="center"/>
          </w:tcPr>
          <w:p w14:paraId="5AB8F08B">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价格分</w:t>
            </w:r>
          </w:p>
        </w:tc>
        <w:tc>
          <w:tcPr>
            <w:tcW w:w="1176" w:type="dxa"/>
            <w:tcBorders>
              <w:tl2br w:val="nil"/>
              <w:tr2bl w:val="nil"/>
            </w:tcBorders>
            <w:tcMar>
              <w:top w:w="0" w:type="dxa"/>
              <w:left w:w="108" w:type="dxa"/>
              <w:bottom w:w="0" w:type="dxa"/>
              <w:right w:w="108" w:type="dxa"/>
            </w:tcMar>
            <w:vAlign w:val="center"/>
          </w:tcPr>
          <w:p w14:paraId="4B1A051F">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报价</w:t>
            </w:r>
          </w:p>
        </w:tc>
        <w:tc>
          <w:tcPr>
            <w:tcW w:w="1142" w:type="dxa"/>
            <w:tcBorders>
              <w:tl2br w:val="nil"/>
              <w:tr2bl w:val="nil"/>
            </w:tcBorders>
            <w:tcMar>
              <w:top w:w="0" w:type="dxa"/>
              <w:left w:w="108" w:type="dxa"/>
              <w:bottom w:w="0" w:type="dxa"/>
              <w:right w:w="108" w:type="dxa"/>
            </w:tcMar>
            <w:vAlign w:val="center"/>
          </w:tcPr>
          <w:p w14:paraId="2D7D7428">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价格</w:t>
            </w:r>
          </w:p>
        </w:tc>
        <w:tc>
          <w:tcPr>
            <w:tcW w:w="3902" w:type="dxa"/>
            <w:tcBorders>
              <w:tl2br w:val="nil"/>
              <w:tr2bl w:val="nil"/>
            </w:tcBorders>
            <w:tcMar>
              <w:top w:w="0" w:type="dxa"/>
              <w:left w:w="108" w:type="dxa"/>
              <w:bottom w:w="0" w:type="dxa"/>
              <w:right w:w="108" w:type="dxa"/>
            </w:tcMar>
            <w:vAlign w:val="top"/>
          </w:tcPr>
          <w:p w14:paraId="2945DEE7">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得分S＝（Pmin/P）×10，其中：Pmin为所有供应商的最低有效报价，P为供应商有效报价。得分保留至小数点后两位。</w:t>
            </w:r>
          </w:p>
          <w:p w14:paraId="1DDDF718">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注：评标基准价是指满足招标文件要求且投标价格最低的投标报价。</w:t>
            </w:r>
          </w:p>
        </w:tc>
        <w:tc>
          <w:tcPr>
            <w:tcW w:w="886" w:type="dxa"/>
            <w:tcBorders>
              <w:tl2br w:val="nil"/>
              <w:tr2bl w:val="nil"/>
            </w:tcBorders>
            <w:tcMar>
              <w:top w:w="0" w:type="dxa"/>
              <w:left w:w="108" w:type="dxa"/>
              <w:bottom w:w="0" w:type="dxa"/>
              <w:right w:w="108" w:type="dxa"/>
            </w:tcMar>
            <w:vAlign w:val="center"/>
          </w:tcPr>
          <w:p w14:paraId="205A9F84">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10</w:t>
            </w:r>
          </w:p>
        </w:tc>
      </w:tr>
      <w:tr w14:paraId="44803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72" w:type="dxa"/>
            <w:tcBorders>
              <w:tl2br w:val="nil"/>
              <w:tr2bl w:val="nil"/>
            </w:tcBorders>
            <w:tcMar>
              <w:top w:w="0" w:type="dxa"/>
              <w:left w:w="108" w:type="dxa"/>
              <w:bottom w:w="0" w:type="dxa"/>
              <w:right w:w="108" w:type="dxa"/>
            </w:tcMar>
            <w:vAlign w:val="center"/>
          </w:tcPr>
          <w:p w14:paraId="2B5F3B9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2</w:t>
            </w:r>
          </w:p>
        </w:tc>
        <w:tc>
          <w:tcPr>
            <w:tcW w:w="969" w:type="dxa"/>
            <w:vMerge w:val="restart"/>
            <w:tcBorders>
              <w:tl2br w:val="nil"/>
              <w:tr2bl w:val="nil"/>
            </w:tcBorders>
            <w:tcMar>
              <w:top w:w="0" w:type="dxa"/>
              <w:left w:w="108" w:type="dxa"/>
              <w:bottom w:w="0" w:type="dxa"/>
              <w:right w:w="108" w:type="dxa"/>
            </w:tcMar>
            <w:vAlign w:val="center"/>
          </w:tcPr>
          <w:p w14:paraId="39E46B80">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客观分</w:t>
            </w:r>
          </w:p>
        </w:tc>
        <w:tc>
          <w:tcPr>
            <w:tcW w:w="1176" w:type="dxa"/>
            <w:vMerge w:val="restart"/>
            <w:tcBorders>
              <w:tl2br w:val="nil"/>
              <w:tr2bl w:val="nil"/>
            </w:tcBorders>
            <w:tcMar>
              <w:top w:w="0" w:type="dxa"/>
              <w:left w:w="108" w:type="dxa"/>
              <w:bottom w:w="0" w:type="dxa"/>
              <w:right w:w="108" w:type="dxa"/>
            </w:tcMar>
            <w:vAlign w:val="center"/>
          </w:tcPr>
          <w:p w14:paraId="6DD0BD1B">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履约能力</w:t>
            </w:r>
          </w:p>
        </w:tc>
        <w:tc>
          <w:tcPr>
            <w:tcW w:w="1142" w:type="dxa"/>
            <w:tcBorders>
              <w:tl2br w:val="nil"/>
              <w:tr2bl w:val="nil"/>
            </w:tcBorders>
            <w:tcMar>
              <w:top w:w="0" w:type="dxa"/>
              <w:left w:w="108" w:type="dxa"/>
              <w:bottom w:w="0" w:type="dxa"/>
              <w:right w:w="108" w:type="dxa"/>
            </w:tcMar>
            <w:vAlign w:val="center"/>
          </w:tcPr>
          <w:p w14:paraId="77EE1258">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eastAsia="zh-CN"/>
              </w:rPr>
              <w:t>成功案例</w:t>
            </w:r>
          </w:p>
        </w:tc>
        <w:tc>
          <w:tcPr>
            <w:tcW w:w="3902" w:type="dxa"/>
            <w:tcBorders>
              <w:tl2br w:val="nil"/>
              <w:tr2bl w:val="nil"/>
            </w:tcBorders>
            <w:tcMar>
              <w:top w:w="0" w:type="dxa"/>
              <w:left w:w="108" w:type="dxa"/>
              <w:bottom w:w="0" w:type="dxa"/>
              <w:right w:w="108" w:type="dxa"/>
            </w:tcMar>
            <w:vAlign w:val="top"/>
          </w:tcPr>
          <w:p w14:paraId="45151F74">
            <w:pPr>
              <w:widowControl/>
              <w:spacing w:before="48" w:after="48"/>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eastAsia="en-US"/>
              </w:rPr>
              <w:t>供应商提供202</w:t>
            </w:r>
            <w:r>
              <w:rPr>
                <w:rFonts w:hint="eastAsia" w:ascii="宋体" w:hAnsi="宋体" w:eastAsia="宋体" w:cs="宋体"/>
                <w:b w:val="0"/>
                <w:bCs w:val="0"/>
                <w:i w:val="0"/>
                <w:iCs w:val="0"/>
                <w:smallCaps w:val="0"/>
                <w:color w:val="auto"/>
                <w:kern w:val="0"/>
                <w:sz w:val="21"/>
                <w:szCs w:val="21"/>
                <w:highlight w:val="none"/>
                <w:lang w:val="en-US" w:eastAsia="zh-CN"/>
              </w:rPr>
              <w:t>3</w:t>
            </w:r>
            <w:r>
              <w:rPr>
                <w:rFonts w:hint="eastAsia" w:ascii="宋体" w:hAnsi="宋体" w:eastAsia="宋体" w:cs="宋体"/>
                <w:b w:val="0"/>
                <w:bCs w:val="0"/>
                <w:i w:val="0"/>
                <w:iCs w:val="0"/>
                <w:smallCaps w:val="0"/>
                <w:color w:val="auto"/>
                <w:kern w:val="0"/>
                <w:sz w:val="21"/>
                <w:szCs w:val="21"/>
                <w:highlight w:val="none"/>
                <w:lang w:eastAsia="en-US"/>
              </w:rPr>
              <w:t>年1月1日至今（以合同签订日期为准）有履约验收记录的类似本项目的案例，每提供1个得1分，最多得5分。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注：提供的证明材料均不得涂改遮挡，如有因与该案例需求方签有保密协议而确需遮挡关键信息的情况，须同时提交该项目保密协议复印件，否则不予认定加分。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1.合同复印件，包括：合同金额、服务内容、买卖双方名称及盖章等合同关键页；</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2.验收报告复印件；</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3.用户出具的成功履行合同的相关证明材料；</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4.第2、3项可提供任意一项；</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以上证明材料的复印件需加盖公章，否则不得分</w:t>
            </w:r>
            <w:r>
              <w:rPr>
                <w:rFonts w:hint="eastAsia" w:ascii="宋体" w:hAnsi="宋体" w:eastAsia="宋体" w:cs="宋体"/>
                <w:b w:val="0"/>
                <w:bCs w:val="0"/>
                <w:i w:val="0"/>
                <w:iCs w:val="0"/>
                <w:smallCaps w:val="0"/>
                <w:color w:val="auto"/>
                <w:kern w:val="0"/>
                <w:sz w:val="21"/>
                <w:szCs w:val="21"/>
                <w:highlight w:val="none"/>
                <w:lang w:eastAsia="zh-CN"/>
              </w:rPr>
              <w:t>。</w:t>
            </w:r>
          </w:p>
        </w:tc>
        <w:tc>
          <w:tcPr>
            <w:tcW w:w="886" w:type="dxa"/>
            <w:tcBorders>
              <w:tl2br w:val="nil"/>
              <w:tr2bl w:val="nil"/>
            </w:tcBorders>
            <w:tcMar>
              <w:top w:w="0" w:type="dxa"/>
              <w:left w:w="108" w:type="dxa"/>
              <w:bottom w:w="0" w:type="dxa"/>
              <w:right w:w="108" w:type="dxa"/>
            </w:tcMar>
            <w:vAlign w:val="center"/>
          </w:tcPr>
          <w:p w14:paraId="5CC40938">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5</w:t>
            </w:r>
          </w:p>
        </w:tc>
      </w:tr>
      <w:tr w14:paraId="3AA96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72" w:type="dxa"/>
            <w:tcBorders>
              <w:tl2br w:val="nil"/>
              <w:tr2bl w:val="nil"/>
            </w:tcBorders>
            <w:tcMar>
              <w:top w:w="0" w:type="dxa"/>
              <w:left w:w="108" w:type="dxa"/>
              <w:bottom w:w="0" w:type="dxa"/>
              <w:right w:w="108" w:type="dxa"/>
            </w:tcMar>
            <w:vAlign w:val="center"/>
          </w:tcPr>
          <w:p w14:paraId="65A534AD">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3</w:t>
            </w:r>
          </w:p>
        </w:tc>
        <w:tc>
          <w:tcPr>
            <w:tcW w:w="969" w:type="dxa"/>
            <w:vMerge w:val="continue"/>
            <w:tcBorders>
              <w:tl2br w:val="nil"/>
              <w:tr2bl w:val="nil"/>
            </w:tcBorders>
            <w:vAlign w:val="center"/>
          </w:tcPr>
          <w:p w14:paraId="3CD125BD">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38E98726">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vMerge w:val="restart"/>
            <w:tcBorders>
              <w:tl2br w:val="nil"/>
              <w:tr2bl w:val="nil"/>
            </w:tcBorders>
            <w:tcMar>
              <w:top w:w="0" w:type="dxa"/>
              <w:left w:w="108" w:type="dxa"/>
              <w:bottom w:w="0" w:type="dxa"/>
              <w:right w:w="108" w:type="dxa"/>
            </w:tcMar>
            <w:vAlign w:val="center"/>
          </w:tcPr>
          <w:p w14:paraId="53F6CD24">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技术力量</w:t>
            </w:r>
          </w:p>
        </w:tc>
        <w:tc>
          <w:tcPr>
            <w:tcW w:w="3902" w:type="dxa"/>
            <w:tcBorders>
              <w:tl2br w:val="nil"/>
              <w:tr2bl w:val="nil"/>
            </w:tcBorders>
            <w:tcMar>
              <w:top w:w="0" w:type="dxa"/>
              <w:left w:w="108" w:type="dxa"/>
              <w:bottom w:w="0" w:type="dxa"/>
              <w:right w:w="108" w:type="dxa"/>
            </w:tcMar>
            <w:vAlign w:val="center"/>
          </w:tcPr>
          <w:p w14:paraId="475D3BF7">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val="en-US" w:eastAsia="zh-CN"/>
              </w:rPr>
              <w:t>1.</w:t>
            </w:r>
            <w:r>
              <w:rPr>
                <w:rFonts w:hint="eastAsia" w:ascii="宋体" w:hAnsi="宋体" w:eastAsia="宋体" w:cs="宋体"/>
                <w:b w:val="0"/>
                <w:bCs w:val="0"/>
                <w:i w:val="0"/>
                <w:iCs w:val="0"/>
                <w:smallCaps w:val="0"/>
                <w:color w:val="auto"/>
                <w:kern w:val="0"/>
                <w:sz w:val="21"/>
                <w:szCs w:val="21"/>
                <w:highlight w:val="none"/>
                <w:lang w:eastAsia="en-US"/>
              </w:rPr>
              <w:t>投入本项目的项目经理：具有</w:t>
            </w:r>
            <w:r>
              <w:rPr>
                <w:rFonts w:hint="eastAsia" w:ascii="宋体" w:hAnsi="宋体" w:eastAsia="宋体" w:cs="宋体"/>
                <w:b w:val="0"/>
                <w:bCs w:val="0"/>
                <w:i w:val="0"/>
                <w:iCs w:val="0"/>
                <w:smallCaps w:val="0"/>
                <w:color w:val="auto"/>
                <w:kern w:val="0"/>
                <w:sz w:val="21"/>
                <w:szCs w:val="21"/>
                <w:highlight w:val="none"/>
                <w:lang w:val="en-US" w:eastAsia="zh-CN"/>
              </w:rPr>
              <w:t>3</w:t>
            </w:r>
            <w:r>
              <w:rPr>
                <w:rFonts w:hint="eastAsia" w:ascii="宋体" w:hAnsi="宋体" w:eastAsia="宋体" w:cs="宋体"/>
                <w:b w:val="0"/>
                <w:bCs w:val="0"/>
                <w:i w:val="0"/>
                <w:iCs w:val="0"/>
                <w:smallCaps w:val="0"/>
                <w:color w:val="auto"/>
                <w:kern w:val="0"/>
                <w:sz w:val="21"/>
                <w:szCs w:val="21"/>
                <w:highlight w:val="none"/>
                <w:lang w:eastAsia="en-US"/>
              </w:rPr>
              <w:t>年及以上政务服务</w:t>
            </w:r>
            <w:r>
              <w:rPr>
                <w:rFonts w:hint="eastAsia" w:ascii="宋体" w:hAnsi="宋体" w:eastAsia="宋体" w:cs="宋体"/>
                <w:b w:val="0"/>
                <w:bCs w:val="0"/>
                <w:i w:val="0"/>
                <w:iCs w:val="0"/>
                <w:smallCaps w:val="0"/>
                <w:color w:val="auto"/>
                <w:kern w:val="0"/>
                <w:sz w:val="21"/>
                <w:szCs w:val="21"/>
                <w:highlight w:val="none"/>
                <w:lang w:eastAsia="zh-CN"/>
              </w:rPr>
              <w:t>等</w:t>
            </w:r>
            <w:r>
              <w:rPr>
                <w:rFonts w:hint="eastAsia" w:ascii="宋体" w:hAnsi="宋体" w:eastAsia="宋体" w:cs="宋体"/>
                <w:b w:val="0"/>
                <w:bCs w:val="0"/>
                <w:i w:val="0"/>
                <w:iCs w:val="0"/>
                <w:smallCaps w:val="0"/>
                <w:color w:val="auto"/>
                <w:kern w:val="0"/>
                <w:sz w:val="21"/>
                <w:szCs w:val="21"/>
                <w:highlight w:val="none"/>
                <w:lang w:eastAsia="en-US"/>
              </w:rPr>
              <w:t>工作经验</w:t>
            </w:r>
            <w:r>
              <w:rPr>
                <w:rFonts w:hint="eastAsia" w:ascii="宋体" w:hAnsi="宋体" w:eastAsia="宋体" w:cs="宋体"/>
                <w:b w:val="0"/>
                <w:bCs w:val="0"/>
                <w:i w:val="0"/>
                <w:iCs w:val="0"/>
                <w:smallCaps w:val="0"/>
                <w:color w:val="auto"/>
                <w:kern w:val="0"/>
                <w:sz w:val="21"/>
                <w:szCs w:val="21"/>
                <w:highlight w:val="none"/>
                <w:lang w:eastAsia="zh-CN"/>
              </w:rPr>
              <w:t>，满足</w:t>
            </w:r>
            <w:r>
              <w:rPr>
                <w:rFonts w:hint="eastAsia" w:ascii="宋体" w:hAnsi="宋体" w:eastAsia="宋体" w:cs="宋体"/>
                <w:b w:val="0"/>
                <w:bCs w:val="0"/>
                <w:i w:val="0"/>
                <w:iCs w:val="0"/>
                <w:smallCaps w:val="0"/>
                <w:color w:val="auto"/>
                <w:kern w:val="0"/>
                <w:sz w:val="21"/>
                <w:szCs w:val="21"/>
                <w:highlight w:val="none"/>
                <w:lang w:eastAsia="en-US"/>
              </w:rPr>
              <w:t>得</w:t>
            </w:r>
            <w:r>
              <w:rPr>
                <w:rFonts w:hint="eastAsia" w:ascii="宋体" w:hAnsi="宋体" w:eastAsia="宋体" w:cs="宋体"/>
                <w:b w:val="0"/>
                <w:bCs w:val="0"/>
                <w:i w:val="0"/>
                <w:iCs w:val="0"/>
                <w:smallCaps w:val="0"/>
                <w:color w:val="auto"/>
                <w:kern w:val="0"/>
                <w:sz w:val="21"/>
                <w:szCs w:val="21"/>
                <w:highlight w:val="none"/>
                <w:lang w:val="en-US" w:eastAsia="zh-CN"/>
              </w:rPr>
              <w:t>3</w:t>
            </w:r>
            <w:r>
              <w:rPr>
                <w:rFonts w:hint="eastAsia" w:ascii="宋体" w:hAnsi="宋体" w:eastAsia="宋体" w:cs="宋体"/>
                <w:b w:val="0"/>
                <w:bCs w:val="0"/>
                <w:i w:val="0"/>
                <w:iCs w:val="0"/>
                <w:smallCaps w:val="0"/>
                <w:color w:val="auto"/>
                <w:kern w:val="0"/>
                <w:sz w:val="21"/>
                <w:szCs w:val="21"/>
                <w:highlight w:val="none"/>
                <w:lang w:eastAsia="en-US"/>
              </w:rPr>
              <w:t>分</w:t>
            </w:r>
            <w:r>
              <w:rPr>
                <w:rFonts w:hint="eastAsia" w:ascii="宋体" w:hAnsi="宋体" w:eastAsia="宋体" w:cs="宋体"/>
                <w:b w:val="0"/>
                <w:bCs w:val="0"/>
                <w:i w:val="0"/>
                <w:iCs w:val="0"/>
                <w:smallCaps w:val="0"/>
                <w:color w:val="auto"/>
                <w:kern w:val="0"/>
                <w:sz w:val="21"/>
                <w:szCs w:val="21"/>
                <w:highlight w:val="none"/>
                <w:lang w:eastAsia="zh-CN"/>
              </w:rPr>
              <w:t>，</w:t>
            </w:r>
            <w:r>
              <w:rPr>
                <w:rFonts w:hint="eastAsia" w:ascii="宋体" w:hAnsi="宋体" w:eastAsia="宋体" w:cs="宋体"/>
                <w:b w:val="0"/>
                <w:bCs w:val="0"/>
                <w:i w:val="0"/>
                <w:iCs w:val="0"/>
                <w:smallCaps w:val="0"/>
                <w:color w:val="auto"/>
                <w:kern w:val="0"/>
                <w:sz w:val="21"/>
                <w:szCs w:val="21"/>
                <w:highlight w:val="none"/>
                <w:lang w:val="en-US" w:eastAsia="zh-CN"/>
              </w:rPr>
              <w:t>满分3分。</w:t>
            </w:r>
          </w:p>
          <w:p w14:paraId="56DB05D7">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val="en-US" w:eastAsia="zh-CN"/>
              </w:rPr>
              <w:t>2.</w:t>
            </w:r>
            <w:r>
              <w:rPr>
                <w:rFonts w:hint="eastAsia" w:ascii="宋体" w:hAnsi="宋体" w:eastAsia="宋体" w:cs="宋体"/>
                <w:b w:val="0"/>
                <w:bCs w:val="0"/>
                <w:i w:val="0"/>
                <w:iCs w:val="0"/>
                <w:smallCaps w:val="0"/>
                <w:color w:val="auto"/>
                <w:kern w:val="0"/>
                <w:sz w:val="21"/>
                <w:szCs w:val="21"/>
                <w:highlight w:val="none"/>
                <w:lang w:eastAsia="en-US"/>
              </w:rPr>
              <w:t>投入本项目的服务人员：</w:t>
            </w:r>
          </w:p>
          <w:p w14:paraId="0A4FC477">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具有1年及以上</w:t>
            </w:r>
            <w:r>
              <w:rPr>
                <w:rFonts w:hint="eastAsia" w:ascii="宋体" w:hAnsi="宋体" w:eastAsia="宋体" w:cs="宋体"/>
                <w:b w:val="0"/>
                <w:bCs w:val="0"/>
                <w:i w:val="0"/>
                <w:iCs w:val="0"/>
                <w:smallCaps w:val="0"/>
                <w:color w:val="auto"/>
                <w:kern w:val="0"/>
                <w:sz w:val="21"/>
                <w:szCs w:val="21"/>
                <w:highlight w:val="none"/>
                <w:lang w:eastAsia="zh-CN"/>
              </w:rPr>
              <w:t>涉税服务、会计、审计</w:t>
            </w:r>
            <w:r>
              <w:rPr>
                <w:rFonts w:hint="eastAsia" w:ascii="宋体" w:hAnsi="宋体" w:eastAsia="宋体" w:cs="宋体"/>
                <w:b w:val="0"/>
                <w:bCs w:val="0"/>
                <w:i w:val="0"/>
                <w:iCs w:val="0"/>
                <w:smallCaps w:val="0"/>
                <w:color w:val="auto"/>
                <w:kern w:val="0"/>
                <w:sz w:val="21"/>
                <w:szCs w:val="21"/>
                <w:highlight w:val="none"/>
                <w:lang w:eastAsia="en-US"/>
              </w:rPr>
              <w:t>等相关服务工作经验</w:t>
            </w:r>
            <w:r>
              <w:rPr>
                <w:rFonts w:hint="eastAsia" w:ascii="宋体" w:hAnsi="宋体" w:eastAsia="宋体" w:cs="宋体"/>
                <w:b w:val="0"/>
                <w:bCs w:val="0"/>
                <w:i w:val="0"/>
                <w:iCs w:val="0"/>
                <w:smallCaps w:val="0"/>
                <w:color w:val="auto"/>
                <w:kern w:val="0"/>
                <w:sz w:val="21"/>
                <w:szCs w:val="21"/>
                <w:highlight w:val="none"/>
                <w:lang w:eastAsia="zh-CN"/>
              </w:rPr>
              <w:t>，每满足一名</w:t>
            </w:r>
            <w:r>
              <w:rPr>
                <w:rFonts w:hint="eastAsia" w:ascii="宋体" w:hAnsi="宋体" w:eastAsia="宋体" w:cs="宋体"/>
                <w:b w:val="0"/>
                <w:bCs w:val="0"/>
                <w:i w:val="0"/>
                <w:iCs w:val="0"/>
                <w:smallCaps w:val="0"/>
                <w:color w:val="auto"/>
                <w:kern w:val="0"/>
                <w:sz w:val="21"/>
                <w:szCs w:val="21"/>
                <w:highlight w:val="none"/>
                <w:lang w:eastAsia="en-US"/>
              </w:rPr>
              <w:t>得</w:t>
            </w:r>
            <w:r>
              <w:rPr>
                <w:rFonts w:hint="eastAsia" w:ascii="宋体" w:hAnsi="宋体" w:eastAsia="宋体" w:cs="宋体"/>
                <w:b w:val="0"/>
                <w:bCs w:val="0"/>
                <w:i w:val="0"/>
                <w:iCs w:val="0"/>
                <w:smallCaps w:val="0"/>
                <w:color w:val="auto"/>
                <w:kern w:val="0"/>
                <w:sz w:val="21"/>
                <w:szCs w:val="21"/>
                <w:highlight w:val="none"/>
                <w:lang w:val="en-US" w:eastAsia="zh-CN"/>
              </w:rPr>
              <w:t>1</w:t>
            </w:r>
            <w:r>
              <w:rPr>
                <w:rFonts w:hint="eastAsia" w:ascii="宋体" w:hAnsi="宋体" w:eastAsia="宋体" w:cs="宋体"/>
                <w:b w:val="0"/>
                <w:bCs w:val="0"/>
                <w:i w:val="0"/>
                <w:iCs w:val="0"/>
                <w:smallCaps w:val="0"/>
                <w:color w:val="auto"/>
                <w:kern w:val="0"/>
                <w:sz w:val="21"/>
                <w:szCs w:val="21"/>
                <w:highlight w:val="none"/>
                <w:lang w:eastAsia="en-US"/>
              </w:rPr>
              <w:t>分，满分</w:t>
            </w:r>
            <w:r>
              <w:rPr>
                <w:rFonts w:hint="eastAsia" w:ascii="宋体" w:hAnsi="宋体" w:eastAsia="宋体" w:cs="宋体"/>
                <w:b w:val="0"/>
                <w:bCs w:val="0"/>
                <w:i w:val="0"/>
                <w:iCs w:val="0"/>
                <w:smallCaps w:val="0"/>
                <w:color w:val="auto"/>
                <w:kern w:val="0"/>
                <w:sz w:val="21"/>
                <w:szCs w:val="21"/>
                <w:highlight w:val="none"/>
                <w:lang w:val="en-US" w:eastAsia="zh-CN"/>
              </w:rPr>
              <w:t>8</w:t>
            </w:r>
            <w:r>
              <w:rPr>
                <w:rFonts w:hint="eastAsia" w:ascii="宋体" w:hAnsi="宋体" w:eastAsia="宋体" w:cs="宋体"/>
                <w:b w:val="0"/>
                <w:bCs w:val="0"/>
                <w:i w:val="0"/>
                <w:iCs w:val="0"/>
                <w:smallCaps w:val="0"/>
                <w:color w:val="auto"/>
                <w:kern w:val="0"/>
                <w:sz w:val="21"/>
                <w:szCs w:val="21"/>
                <w:highlight w:val="none"/>
                <w:lang w:eastAsia="en-US"/>
              </w:rPr>
              <w:t>分。</w:t>
            </w:r>
          </w:p>
        </w:tc>
        <w:tc>
          <w:tcPr>
            <w:tcW w:w="886" w:type="dxa"/>
            <w:tcBorders>
              <w:tl2br w:val="nil"/>
              <w:tr2bl w:val="nil"/>
            </w:tcBorders>
            <w:tcMar>
              <w:top w:w="0" w:type="dxa"/>
              <w:left w:w="108" w:type="dxa"/>
              <w:bottom w:w="0" w:type="dxa"/>
              <w:right w:w="108" w:type="dxa"/>
            </w:tcMar>
            <w:vAlign w:val="center"/>
          </w:tcPr>
          <w:p w14:paraId="53C609E7">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11</w:t>
            </w:r>
          </w:p>
        </w:tc>
      </w:tr>
      <w:tr w14:paraId="13479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004514F5">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4</w:t>
            </w:r>
          </w:p>
        </w:tc>
        <w:tc>
          <w:tcPr>
            <w:tcW w:w="969" w:type="dxa"/>
            <w:vMerge w:val="continue"/>
            <w:tcBorders>
              <w:tl2br w:val="nil"/>
              <w:tr2bl w:val="nil"/>
            </w:tcBorders>
            <w:vAlign w:val="center"/>
          </w:tcPr>
          <w:p w14:paraId="642B36D8">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6830D47D">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vMerge w:val="continue"/>
            <w:tcBorders>
              <w:tl2br w:val="nil"/>
              <w:tr2bl w:val="nil"/>
            </w:tcBorders>
            <w:vAlign w:val="center"/>
          </w:tcPr>
          <w:p w14:paraId="0F8FF77C">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3902" w:type="dxa"/>
            <w:tcBorders>
              <w:tl2br w:val="nil"/>
              <w:tr2bl w:val="nil"/>
            </w:tcBorders>
            <w:tcMar>
              <w:top w:w="0" w:type="dxa"/>
              <w:left w:w="108" w:type="dxa"/>
              <w:bottom w:w="0" w:type="dxa"/>
              <w:right w:w="108" w:type="dxa"/>
            </w:tcMar>
            <w:vAlign w:val="top"/>
          </w:tcPr>
          <w:p w14:paraId="72615BC7">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投入本项目团队人员的稳定性承诺(2分)：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团队人员稳定性承诺比例达80%</w:t>
            </w:r>
            <w:r>
              <w:rPr>
                <w:rFonts w:hint="eastAsia" w:ascii="宋体" w:hAnsi="宋体" w:eastAsia="宋体" w:cs="宋体"/>
                <w:b w:val="0"/>
                <w:bCs w:val="0"/>
                <w:i w:val="0"/>
                <w:iCs w:val="0"/>
                <w:smallCaps w:val="0"/>
                <w:color w:val="auto"/>
                <w:kern w:val="0"/>
                <w:sz w:val="21"/>
                <w:szCs w:val="21"/>
                <w:highlight w:val="none"/>
                <w:lang w:eastAsia="zh-CN"/>
              </w:rPr>
              <w:t>（</w:t>
            </w:r>
            <w:r>
              <w:rPr>
                <w:rFonts w:hint="eastAsia" w:ascii="宋体" w:hAnsi="宋体" w:eastAsia="宋体" w:cs="宋体"/>
                <w:b w:val="0"/>
                <w:bCs w:val="0"/>
                <w:i w:val="0"/>
                <w:iCs w:val="0"/>
                <w:smallCaps w:val="0"/>
                <w:color w:val="auto"/>
                <w:kern w:val="0"/>
                <w:sz w:val="21"/>
                <w:szCs w:val="21"/>
                <w:highlight w:val="none"/>
                <w:lang w:val="en-US" w:eastAsia="zh-CN"/>
              </w:rPr>
              <w:t>含</w:t>
            </w:r>
            <w:r>
              <w:rPr>
                <w:rFonts w:hint="eastAsia" w:ascii="宋体" w:hAnsi="宋体" w:eastAsia="宋体" w:cs="宋体"/>
                <w:b w:val="0"/>
                <w:bCs w:val="0"/>
                <w:i w:val="0"/>
                <w:iCs w:val="0"/>
                <w:smallCaps w:val="0"/>
                <w:color w:val="auto"/>
                <w:kern w:val="0"/>
                <w:sz w:val="21"/>
                <w:szCs w:val="21"/>
                <w:highlight w:val="none"/>
                <w:lang w:eastAsia="zh-CN"/>
              </w:rPr>
              <w:t>）</w:t>
            </w:r>
            <w:r>
              <w:rPr>
                <w:rFonts w:hint="eastAsia" w:ascii="宋体" w:hAnsi="宋体" w:eastAsia="宋体" w:cs="宋体"/>
                <w:b w:val="0"/>
                <w:bCs w:val="0"/>
                <w:i w:val="0"/>
                <w:iCs w:val="0"/>
                <w:smallCaps w:val="0"/>
                <w:color w:val="auto"/>
                <w:kern w:val="0"/>
                <w:sz w:val="21"/>
                <w:szCs w:val="21"/>
                <w:highlight w:val="none"/>
                <w:lang w:eastAsia="en-US"/>
              </w:rPr>
              <w:t>-90%（不含）的，得1分；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团队人员稳定性承诺比例达90%（含）及以上的，得2分。</w:t>
            </w:r>
          </w:p>
        </w:tc>
        <w:tc>
          <w:tcPr>
            <w:tcW w:w="886" w:type="dxa"/>
            <w:tcBorders>
              <w:tl2br w:val="nil"/>
              <w:tr2bl w:val="nil"/>
            </w:tcBorders>
            <w:vAlign w:val="center"/>
          </w:tcPr>
          <w:p w14:paraId="697147C1">
            <w:pPr>
              <w:widowControl/>
              <w:jc w:val="center"/>
              <w:outlineLvl w:val="9"/>
              <w:rPr>
                <w:rFonts w:hint="eastAsia" w:ascii="宋体" w:hAnsi="宋体" w:eastAsia="宋体" w:cs="宋体"/>
                <w:b w:val="0"/>
                <w:bCs w:val="0"/>
                <w:i w:val="0"/>
                <w:iCs w:val="0"/>
                <w:smallCaps w:val="0"/>
                <w:color w:val="auto"/>
                <w:kern w:val="0"/>
                <w:sz w:val="21"/>
                <w:szCs w:val="21"/>
                <w:highlight w:val="none"/>
                <w:lang w:val="en-US" w:eastAsia="zh-CN"/>
              </w:rPr>
            </w:pPr>
            <w:r>
              <w:rPr>
                <w:rFonts w:hint="eastAsia" w:ascii="宋体" w:hAnsi="宋体" w:eastAsia="宋体" w:cs="宋体"/>
                <w:b w:val="0"/>
                <w:bCs w:val="0"/>
                <w:i w:val="0"/>
                <w:iCs w:val="0"/>
                <w:smallCaps w:val="0"/>
                <w:color w:val="auto"/>
                <w:kern w:val="0"/>
                <w:sz w:val="21"/>
                <w:szCs w:val="21"/>
                <w:highlight w:val="none"/>
                <w:lang w:val="en-US" w:eastAsia="zh-CN"/>
              </w:rPr>
              <w:t>2</w:t>
            </w:r>
          </w:p>
        </w:tc>
      </w:tr>
      <w:tr w14:paraId="4C351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7C8769B6">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5</w:t>
            </w:r>
          </w:p>
        </w:tc>
        <w:tc>
          <w:tcPr>
            <w:tcW w:w="969" w:type="dxa"/>
            <w:vMerge w:val="continue"/>
            <w:tcBorders>
              <w:tl2br w:val="nil"/>
              <w:tr2bl w:val="nil"/>
            </w:tcBorders>
            <w:vAlign w:val="center"/>
          </w:tcPr>
          <w:p w14:paraId="325A6B1A">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tcBorders>
              <w:tl2br w:val="nil"/>
              <w:tr2bl w:val="nil"/>
            </w:tcBorders>
            <w:tcMar>
              <w:top w:w="0" w:type="dxa"/>
              <w:left w:w="108" w:type="dxa"/>
              <w:bottom w:w="0" w:type="dxa"/>
              <w:right w:w="108" w:type="dxa"/>
            </w:tcMar>
            <w:vAlign w:val="center"/>
          </w:tcPr>
          <w:p w14:paraId="0E6A2A51">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技术和服务客观指标</w:t>
            </w:r>
          </w:p>
        </w:tc>
        <w:tc>
          <w:tcPr>
            <w:tcW w:w="1142" w:type="dxa"/>
            <w:tcBorders>
              <w:tl2br w:val="nil"/>
              <w:tr2bl w:val="nil"/>
            </w:tcBorders>
            <w:tcMar>
              <w:top w:w="0" w:type="dxa"/>
              <w:left w:w="108" w:type="dxa"/>
              <w:bottom w:w="0" w:type="dxa"/>
              <w:right w:w="108" w:type="dxa"/>
            </w:tcMar>
            <w:vAlign w:val="center"/>
          </w:tcPr>
          <w:p w14:paraId="3E5938E3">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满足指标要求情况</w:t>
            </w:r>
          </w:p>
        </w:tc>
        <w:tc>
          <w:tcPr>
            <w:tcW w:w="3902" w:type="dxa"/>
            <w:tcBorders>
              <w:tl2br w:val="nil"/>
              <w:tr2bl w:val="nil"/>
            </w:tcBorders>
            <w:tcMar>
              <w:top w:w="0" w:type="dxa"/>
              <w:left w:w="108" w:type="dxa"/>
              <w:bottom w:w="0" w:type="dxa"/>
              <w:right w:w="108" w:type="dxa"/>
            </w:tcMar>
            <w:vAlign w:val="top"/>
          </w:tcPr>
          <w:p w14:paraId="484C4BA1">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本项目招标文件技术部分中:</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★代表最关键指标项，不满足该指标项将导致响应被拒绝；</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#代表重要指标，满足或优于该指标得</w:t>
            </w:r>
            <w:r>
              <w:rPr>
                <w:rFonts w:hint="eastAsia" w:ascii="宋体" w:hAnsi="宋体" w:eastAsia="宋体" w:cs="宋体"/>
                <w:b w:val="0"/>
                <w:bCs w:val="0"/>
                <w:i w:val="0"/>
                <w:iCs w:val="0"/>
                <w:smallCaps w:val="0"/>
                <w:color w:val="auto"/>
                <w:kern w:val="0"/>
                <w:sz w:val="21"/>
                <w:szCs w:val="21"/>
                <w:highlight w:val="none"/>
                <w:lang w:val="en-US" w:eastAsia="zh-CN"/>
              </w:rPr>
              <w:t>3</w:t>
            </w:r>
            <w:r>
              <w:rPr>
                <w:rFonts w:hint="eastAsia" w:ascii="宋体" w:hAnsi="宋体" w:eastAsia="宋体" w:cs="宋体"/>
                <w:b w:val="0"/>
                <w:bCs w:val="0"/>
                <w:i w:val="0"/>
                <w:iCs w:val="0"/>
                <w:smallCaps w:val="0"/>
                <w:color w:val="auto"/>
                <w:kern w:val="0"/>
                <w:sz w:val="21"/>
                <w:szCs w:val="21"/>
                <w:highlight w:val="none"/>
                <w:lang w:eastAsia="en-US"/>
              </w:rPr>
              <w:t>分，共计</w:t>
            </w:r>
            <w:r>
              <w:rPr>
                <w:rFonts w:hint="eastAsia" w:ascii="宋体" w:hAnsi="宋体" w:eastAsia="宋体" w:cs="宋体"/>
                <w:b w:val="0"/>
                <w:bCs w:val="0"/>
                <w:i w:val="0"/>
                <w:iCs w:val="0"/>
                <w:smallCaps w:val="0"/>
                <w:color w:val="auto"/>
                <w:kern w:val="0"/>
                <w:sz w:val="21"/>
                <w:szCs w:val="21"/>
                <w:highlight w:val="none"/>
                <w:lang w:val="en-US" w:eastAsia="zh-CN"/>
              </w:rPr>
              <w:t>11</w:t>
            </w:r>
            <w:r>
              <w:rPr>
                <w:rFonts w:hint="eastAsia" w:ascii="宋体" w:hAnsi="宋体" w:eastAsia="宋体" w:cs="宋体"/>
                <w:b w:val="0"/>
                <w:bCs w:val="0"/>
                <w:i w:val="0"/>
                <w:iCs w:val="0"/>
                <w:smallCaps w:val="0"/>
                <w:color w:val="auto"/>
                <w:kern w:val="0"/>
                <w:sz w:val="21"/>
                <w:szCs w:val="21"/>
                <w:highlight w:val="none"/>
                <w:lang w:eastAsia="en-US"/>
              </w:rPr>
              <w:t>项，共计</w:t>
            </w:r>
            <w:r>
              <w:rPr>
                <w:rFonts w:hint="eastAsia" w:ascii="宋体" w:hAnsi="宋体" w:eastAsia="宋体" w:cs="宋体"/>
                <w:b w:val="0"/>
                <w:bCs w:val="0"/>
                <w:i w:val="0"/>
                <w:iCs w:val="0"/>
                <w:smallCaps w:val="0"/>
                <w:color w:val="auto"/>
                <w:kern w:val="0"/>
                <w:sz w:val="21"/>
                <w:szCs w:val="21"/>
                <w:highlight w:val="none"/>
                <w:lang w:val="en-US" w:eastAsia="zh-CN"/>
              </w:rPr>
              <w:t>33</w:t>
            </w:r>
            <w:r>
              <w:rPr>
                <w:rFonts w:hint="eastAsia" w:ascii="宋体" w:hAnsi="宋体" w:eastAsia="宋体" w:cs="宋体"/>
                <w:b w:val="0"/>
                <w:bCs w:val="0"/>
                <w:i w:val="0"/>
                <w:iCs w:val="0"/>
                <w:smallCaps w:val="0"/>
                <w:color w:val="auto"/>
                <w:kern w:val="0"/>
                <w:sz w:val="21"/>
                <w:szCs w:val="21"/>
                <w:highlight w:val="none"/>
                <w:lang w:eastAsia="en-US"/>
              </w:rPr>
              <w:t>分</w:t>
            </w:r>
            <w:r>
              <w:rPr>
                <w:rFonts w:hint="eastAsia" w:ascii="宋体" w:hAnsi="宋体" w:eastAsia="宋体" w:cs="宋体"/>
                <w:b w:val="0"/>
                <w:bCs w:val="0"/>
                <w:i w:val="0"/>
                <w:iCs w:val="0"/>
                <w:smallCaps w:val="0"/>
                <w:color w:val="auto"/>
                <w:kern w:val="0"/>
                <w:sz w:val="21"/>
                <w:szCs w:val="21"/>
                <w:highlight w:val="none"/>
                <w:lang w:eastAsia="zh-CN"/>
              </w:rPr>
              <w:t>；</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△代表一般指标，满足或优于该指标得</w:t>
            </w:r>
            <w:r>
              <w:rPr>
                <w:rFonts w:hint="eastAsia" w:ascii="宋体" w:hAnsi="宋体" w:eastAsia="宋体" w:cs="宋体"/>
                <w:b w:val="0"/>
                <w:bCs w:val="0"/>
                <w:i w:val="0"/>
                <w:iCs w:val="0"/>
                <w:smallCaps w:val="0"/>
                <w:color w:val="auto"/>
                <w:kern w:val="0"/>
                <w:sz w:val="21"/>
                <w:szCs w:val="21"/>
                <w:highlight w:val="none"/>
                <w:lang w:val="en-US" w:eastAsia="zh-CN"/>
              </w:rPr>
              <w:t>1.5</w:t>
            </w:r>
            <w:r>
              <w:rPr>
                <w:rFonts w:hint="eastAsia" w:ascii="宋体" w:hAnsi="宋体" w:eastAsia="宋体" w:cs="宋体"/>
                <w:b w:val="0"/>
                <w:bCs w:val="0"/>
                <w:i w:val="0"/>
                <w:iCs w:val="0"/>
                <w:smallCaps w:val="0"/>
                <w:color w:val="auto"/>
                <w:kern w:val="0"/>
                <w:sz w:val="21"/>
                <w:szCs w:val="21"/>
                <w:highlight w:val="none"/>
                <w:lang w:eastAsia="en-US"/>
              </w:rPr>
              <w:t>分，共计</w:t>
            </w:r>
            <w:r>
              <w:rPr>
                <w:rFonts w:hint="eastAsia" w:ascii="宋体" w:hAnsi="宋体" w:eastAsia="宋体" w:cs="宋体"/>
                <w:b w:val="0"/>
                <w:bCs w:val="0"/>
                <w:i w:val="0"/>
                <w:iCs w:val="0"/>
                <w:smallCaps w:val="0"/>
                <w:color w:val="auto"/>
                <w:kern w:val="0"/>
                <w:sz w:val="21"/>
                <w:szCs w:val="21"/>
                <w:highlight w:val="none"/>
                <w:lang w:val="en-US" w:eastAsia="zh-CN"/>
              </w:rPr>
              <w:t>6</w:t>
            </w:r>
            <w:r>
              <w:rPr>
                <w:rFonts w:hint="eastAsia" w:ascii="宋体" w:hAnsi="宋体" w:eastAsia="宋体" w:cs="宋体"/>
                <w:b w:val="0"/>
                <w:bCs w:val="0"/>
                <w:i w:val="0"/>
                <w:iCs w:val="0"/>
                <w:smallCaps w:val="0"/>
                <w:color w:val="auto"/>
                <w:kern w:val="0"/>
                <w:sz w:val="21"/>
                <w:szCs w:val="21"/>
                <w:highlight w:val="none"/>
                <w:lang w:eastAsia="en-US"/>
              </w:rPr>
              <w:t>项，共计</w:t>
            </w:r>
            <w:r>
              <w:rPr>
                <w:rFonts w:hint="eastAsia" w:ascii="宋体" w:hAnsi="宋体" w:eastAsia="宋体" w:cs="宋体"/>
                <w:b w:val="0"/>
                <w:bCs w:val="0"/>
                <w:i w:val="0"/>
                <w:iCs w:val="0"/>
                <w:smallCaps w:val="0"/>
                <w:color w:val="auto"/>
                <w:kern w:val="0"/>
                <w:sz w:val="21"/>
                <w:szCs w:val="21"/>
                <w:highlight w:val="none"/>
                <w:lang w:val="en-US" w:eastAsia="zh-CN"/>
              </w:rPr>
              <w:t>9</w:t>
            </w:r>
            <w:r>
              <w:rPr>
                <w:rFonts w:hint="eastAsia" w:ascii="宋体" w:hAnsi="宋体" w:eastAsia="宋体" w:cs="宋体"/>
                <w:b w:val="0"/>
                <w:bCs w:val="0"/>
                <w:i w:val="0"/>
                <w:iCs w:val="0"/>
                <w:smallCaps w:val="0"/>
                <w:color w:val="auto"/>
                <w:kern w:val="0"/>
                <w:sz w:val="21"/>
                <w:szCs w:val="21"/>
                <w:highlight w:val="none"/>
                <w:lang w:eastAsia="en-US"/>
              </w:rPr>
              <w:t>分</w:t>
            </w:r>
            <w:r>
              <w:rPr>
                <w:rFonts w:hint="eastAsia" w:ascii="宋体" w:hAnsi="宋体" w:eastAsia="宋体" w:cs="宋体"/>
                <w:b w:val="0"/>
                <w:bCs w:val="0"/>
                <w:i w:val="0"/>
                <w:iCs w:val="0"/>
                <w:smallCaps w:val="0"/>
                <w:color w:val="auto"/>
                <w:kern w:val="0"/>
                <w:sz w:val="21"/>
                <w:szCs w:val="21"/>
                <w:highlight w:val="none"/>
                <w:lang w:eastAsia="zh-CN"/>
              </w:rPr>
              <w:t>。</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对于同一指标项中的多条（行）描述，有一条（行）描述不满足，该项不得分。</w:t>
            </w:r>
          </w:p>
        </w:tc>
        <w:tc>
          <w:tcPr>
            <w:tcW w:w="886" w:type="dxa"/>
            <w:tcBorders>
              <w:tl2br w:val="nil"/>
              <w:tr2bl w:val="nil"/>
            </w:tcBorders>
            <w:tcMar>
              <w:top w:w="0" w:type="dxa"/>
              <w:left w:w="108" w:type="dxa"/>
              <w:bottom w:w="0" w:type="dxa"/>
              <w:right w:w="108" w:type="dxa"/>
            </w:tcMar>
            <w:vAlign w:val="center"/>
          </w:tcPr>
          <w:p w14:paraId="114BB7C0">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val="en-US" w:eastAsia="zh-CN"/>
              </w:rPr>
            </w:pPr>
            <w:r>
              <w:rPr>
                <w:rFonts w:hint="eastAsia" w:ascii="宋体" w:hAnsi="宋体" w:eastAsia="宋体" w:cs="宋体"/>
                <w:b w:val="0"/>
                <w:bCs w:val="0"/>
                <w:i w:val="0"/>
                <w:iCs w:val="0"/>
                <w:smallCaps w:val="0"/>
                <w:color w:val="auto"/>
                <w:kern w:val="0"/>
                <w:sz w:val="21"/>
                <w:szCs w:val="21"/>
                <w:highlight w:val="none"/>
                <w:lang w:val="en-US" w:eastAsia="zh-CN"/>
              </w:rPr>
              <w:t>42</w:t>
            </w:r>
          </w:p>
        </w:tc>
      </w:tr>
      <w:tr w14:paraId="10EA1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0FF56969">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6</w:t>
            </w:r>
          </w:p>
        </w:tc>
        <w:tc>
          <w:tcPr>
            <w:tcW w:w="969" w:type="dxa"/>
            <w:vMerge w:val="restart"/>
            <w:tcBorders>
              <w:tl2br w:val="nil"/>
              <w:tr2bl w:val="nil"/>
            </w:tcBorders>
            <w:tcMar>
              <w:top w:w="0" w:type="dxa"/>
              <w:left w:w="108" w:type="dxa"/>
              <w:bottom w:w="0" w:type="dxa"/>
              <w:right w:w="108" w:type="dxa"/>
            </w:tcMar>
            <w:vAlign w:val="center"/>
          </w:tcPr>
          <w:p w14:paraId="159F7A4B">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主观分</w:t>
            </w:r>
          </w:p>
        </w:tc>
        <w:tc>
          <w:tcPr>
            <w:tcW w:w="1176" w:type="dxa"/>
            <w:vMerge w:val="restart"/>
            <w:tcBorders>
              <w:tl2br w:val="nil"/>
              <w:tr2bl w:val="nil"/>
            </w:tcBorders>
            <w:tcMar>
              <w:top w:w="0" w:type="dxa"/>
              <w:left w:w="108" w:type="dxa"/>
              <w:bottom w:w="0" w:type="dxa"/>
              <w:right w:w="108" w:type="dxa"/>
            </w:tcMar>
            <w:vAlign w:val="center"/>
          </w:tcPr>
          <w:p w14:paraId="4E9F8823">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技术和服务水平</w:t>
            </w:r>
          </w:p>
        </w:tc>
        <w:tc>
          <w:tcPr>
            <w:tcW w:w="1142" w:type="dxa"/>
            <w:tcBorders>
              <w:tl2br w:val="nil"/>
              <w:tr2bl w:val="nil"/>
            </w:tcBorders>
            <w:tcMar>
              <w:top w:w="0" w:type="dxa"/>
              <w:left w:w="108" w:type="dxa"/>
              <w:bottom w:w="0" w:type="dxa"/>
              <w:right w:w="108" w:type="dxa"/>
            </w:tcMar>
            <w:vAlign w:val="center"/>
          </w:tcPr>
          <w:p w14:paraId="32BD103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项目需求理解</w:t>
            </w:r>
          </w:p>
        </w:tc>
        <w:tc>
          <w:tcPr>
            <w:tcW w:w="3902" w:type="dxa"/>
            <w:tcBorders>
              <w:tl2br w:val="nil"/>
              <w:tr2bl w:val="nil"/>
            </w:tcBorders>
            <w:tcMar>
              <w:top w:w="0" w:type="dxa"/>
              <w:left w:w="108" w:type="dxa"/>
              <w:bottom w:w="0" w:type="dxa"/>
              <w:right w:w="108" w:type="dxa"/>
            </w:tcMar>
            <w:vAlign w:val="top"/>
          </w:tcPr>
          <w:p w14:paraId="14C15415">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供应商须充分理解项目采购内容，对项目概述、采购内容及要求等内容进行详细阐述和分析。</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一档标准：对项目需求理解全面、准确、阐述的内容针对性强、详细、透彻且有独到的思考和分析，得5分；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二档标准：对项目需求理解到位，阐述的内容有一定的分析但不够详尽，得4分；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三档标准：对项目需求基本理解，阐述的内容简单重复采购需求，得3分；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四档标准：对项目需求不理解或理解错误，未完整表述且内容空洞，或前后逻辑不通，或出现与本项目无关的内容，得1分；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五档标准：未提供项目需求理解的，得0分。</w:t>
            </w:r>
          </w:p>
        </w:tc>
        <w:tc>
          <w:tcPr>
            <w:tcW w:w="886" w:type="dxa"/>
            <w:tcBorders>
              <w:tl2br w:val="nil"/>
              <w:tr2bl w:val="nil"/>
            </w:tcBorders>
            <w:tcMar>
              <w:top w:w="0" w:type="dxa"/>
              <w:left w:w="108" w:type="dxa"/>
              <w:bottom w:w="0" w:type="dxa"/>
              <w:right w:w="108" w:type="dxa"/>
            </w:tcMar>
            <w:vAlign w:val="center"/>
          </w:tcPr>
          <w:p w14:paraId="013A5EA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061EB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23AD3F10">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7</w:t>
            </w:r>
          </w:p>
        </w:tc>
        <w:tc>
          <w:tcPr>
            <w:tcW w:w="969" w:type="dxa"/>
            <w:vMerge w:val="continue"/>
            <w:tcBorders>
              <w:tl2br w:val="nil"/>
              <w:tr2bl w:val="nil"/>
            </w:tcBorders>
            <w:vAlign w:val="center"/>
          </w:tcPr>
          <w:p w14:paraId="2B22790E">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321A2D20">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tcBorders>
              <w:tl2br w:val="nil"/>
              <w:tr2bl w:val="nil"/>
            </w:tcBorders>
            <w:tcMar>
              <w:top w:w="0" w:type="dxa"/>
              <w:left w:w="108" w:type="dxa"/>
              <w:bottom w:w="0" w:type="dxa"/>
              <w:right w:w="108" w:type="dxa"/>
            </w:tcMar>
            <w:vAlign w:val="center"/>
          </w:tcPr>
          <w:p w14:paraId="49F7EC3C">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服务方案</w:t>
            </w:r>
          </w:p>
        </w:tc>
        <w:tc>
          <w:tcPr>
            <w:tcW w:w="3902" w:type="dxa"/>
            <w:tcBorders>
              <w:tl2br w:val="nil"/>
              <w:tr2bl w:val="nil"/>
            </w:tcBorders>
            <w:tcMar>
              <w:top w:w="0" w:type="dxa"/>
              <w:left w:w="108" w:type="dxa"/>
              <w:bottom w:w="0" w:type="dxa"/>
              <w:right w:w="108" w:type="dxa"/>
            </w:tcMar>
            <w:vAlign w:val="top"/>
          </w:tcPr>
          <w:p w14:paraId="3724CA60">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供应商应详细阐述项目服务方案，方案包括但不限于服务计划、服务方式，建立健全管理制度、服务关键点和难点及应对措施等工作内容。</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一档标准：方案内容完整、详细、可操作性强，阐述的内容针对性强、具体、透彻，能结合项目特点制定方案，得5分；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二档标准：方案内容完整，有具体措施描述，但操作性和针对性不够强，得4分；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三档标准：方案内容仅简单重复采购需求，得3分；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四档标准：方案内容未完整表述且内容空洞，或前后逻辑不通，或出现与本项目无关的内容，得1分；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五档标准：未提供方案的，得0分。</w:t>
            </w:r>
          </w:p>
        </w:tc>
        <w:tc>
          <w:tcPr>
            <w:tcW w:w="886" w:type="dxa"/>
            <w:tcBorders>
              <w:tl2br w:val="nil"/>
              <w:tr2bl w:val="nil"/>
            </w:tcBorders>
            <w:tcMar>
              <w:top w:w="0" w:type="dxa"/>
              <w:left w:w="108" w:type="dxa"/>
              <w:bottom w:w="0" w:type="dxa"/>
              <w:right w:w="108" w:type="dxa"/>
            </w:tcMar>
            <w:vAlign w:val="center"/>
          </w:tcPr>
          <w:p w14:paraId="4293D92F">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3449B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5" w:hRule="atLeast"/>
        </w:trPr>
        <w:tc>
          <w:tcPr>
            <w:tcW w:w="672" w:type="dxa"/>
            <w:tcBorders>
              <w:tl2br w:val="nil"/>
              <w:tr2bl w:val="nil"/>
            </w:tcBorders>
            <w:tcMar>
              <w:top w:w="0" w:type="dxa"/>
              <w:left w:w="108" w:type="dxa"/>
              <w:bottom w:w="0" w:type="dxa"/>
              <w:right w:w="108" w:type="dxa"/>
            </w:tcMar>
            <w:vAlign w:val="center"/>
          </w:tcPr>
          <w:p w14:paraId="5A6A95A7">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8</w:t>
            </w:r>
          </w:p>
        </w:tc>
        <w:tc>
          <w:tcPr>
            <w:tcW w:w="969" w:type="dxa"/>
            <w:vMerge w:val="continue"/>
            <w:tcBorders>
              <w:tl2br w:val="nil"/>
              <w:tr2bl w:val="nil"/>
            </w:tcBorders>
            <w:vAlign w:val="center"/>
          </w:tcPr>
          <w:p w14:paraId="4D7166BC">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272EE656">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tcBorders>
              <w:tl2br w:val="nil"/>
              <w:tr2bl w:val="nil"/>
            </w:tcBorders>
            <w:tcMar>
              <w:top w:w="0" w:type="dxa"/>
              <w:left w:w="108" w:type="dxa"/>
              <w:bottom w:w="0" w:type="dxa"/>
              <w:right w:w="108" w:type="dxa"/>
            </w:tcMar>
            <w:vAlign w:val="center"/>
          </w:tcPr>
          <w:p w14:paraId="56DB2567">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应急保障预案</w:t>
            </w:r>
          </w:p>
        </w:tc>
        <w:tc>
          <w:tcPr>
            <w:tcW w:w="3902" w:type="dxa"/>
            <w:tcBorders>
              <w:tl2br w:val="nil"/>
              <w:tr2bl w:val="nil"/>
            </w:tcBorders>
            <w:tcMar>
              <w:top w:w="0" w:type="dxa"/>
              <w:left w:w="108" w:type="dxa"/>
              <w:bottom w:w="0" w:type="dxa"/>
              <w:right w:w="108" w:type="dxa"/>
            </w:tcMar>
            <w:vAlign w:val="top"/>
          </w:tcPr>
          <w:p w14:paraId="109F22DE">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供应商应根据对项目的了解，制定应急预案。方案包括但不限于重大事件应急保障措施、应急处理流程、应急事件处理、应急演练和培训等工作内容。</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一档标准：预案内容完整、详细、可操作性强，阐述的内容针对性强、具体、透彻，能结合项目特点制定方案，得5分；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二档标准：预案内容完整，有具体措施描述，但操作性和针对性不够强，得4分；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三档标准：预案内容仅简单重复采购需求，得3分；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四档标准：预案内容未完整表述且内容空洞，或前后逻辑不通，出现与本项目无关的内容，得1分；</w:t>
            </w:r>
          </w:p>
          <w:p w14:paraId="3E4E31D1">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五档标准：未提供预案的，得0分。</w:t>
            </w:r>
          </w:p>
        </w:tc>
        <w:tc>
          <w:tcPr>
            <w:tcW w:w="886" w:type="dxa"/>
            <w:tcBorders>
              <w:tl2br w:val="nil"/>
              <w:tr2bl w:val="nil"/>
            </w:tcBorders>
            <w:tcMar>
              <w:top w:w="0" w:type="dxa"/>
              <w:left w:w="108" w:type="dxa"/>
              <w:bottom w:w="0" w:type="dxa"/>
              <w:right w:w="108" w:type="dxa"/>
            </w:tcMar>
            <w:vAlign w:val="center"/>
          </w:tcPr>
          <w:p w14:paraId="6D9ED3A3">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2223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1553D39E">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val="en-US" w:eastAsia="zh-CN"/>
              </w:rPr>
              <w:t>9</w:t>
            </w:r>
          </w:p>
        </w:tc>
        <w:tc>
          <w:tcPr>
            <w:tcW w:w="969" w:type="dxa"/>
            <w:vMerge w:val="continue"/>
            <w:tcBorders>
              <w:tl2br w:val="nil"/>
              <w:tr2bl w:val="nil"/>
            </w:tcBorders>
            <w:vAlign w:val="center"/>
          </w:tcPr>
          <w:p w14:paraId="5CC3C078">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299A9C7B">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tcBorders>
              <w:tl2br w:val="nil"/>
              <w:tr2bl w:val="nil"/>
            </w:tcBorders>
            <w:tcMar>
              <w:top w:w="0" w:type="dxa"/>
              <w:left w:w="108" w:type="dxa"/>
              <w:bottom w:w="0" w:type="dxa"/>
              <w:right w:w="108" w:type="dxa"/>
            </w:tcMar>
            <w:vAlign w:val="center"/>
          </w:tcPr>
          <w:p w14:paraId="1DD5AE8E">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管理实施方案</w:t>
            </w:r>
          </w:p>
        </w:tc>
        <w:tc>
          <w:tcPr>
            <w:tcW w:w="3902" w:type="dxa"/>
            <w:tcBorders>
              <w:tl2br w:val="nil"/>
              <w:tr2bl w:val="nil"/>
            </w:tcBorders>
            <w:tcMar>
              <w:top w:w="0" w:type="dxa"/>
              <w:left w:w="108" w:type="dxa"/>
              <w:bottom w:w="0" w:type="dxa"/>
              <w:right w:w="108" w:type="dxa"/>
            </w:tcMar>
            <w:vAlign w:val="top"/>
          </w:tcPr>
          <w:p w14:paraId="5329D3BC">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供应商应根据对项目的了解，制定实施方案。方案包括但不限于服务人员日常管理、遵守规章制度、调动人员积极性以及针对服务过程中存在问题及时与采购人协调、与其他人员进行配合等工作内容。</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一档标准：方案内容完整、详细、可操作性强，阐述的内容针对性强、具体、透彻，能结合项目特点制定方案，得5分；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二档标准：方案内容完整，有具体措施描述，但操作性和针对性不够强，得4分；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三档标准：方案内容仅简单重复采购需求，得3分；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四档标准：方案内容未完整表述且内容空洞，或前后逻辑不通，出现与本项目无关的内容，得1分；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五档标准：未提供方案的，得0分。</w:t>
            </w:r>
          </w:p>
        </w:tc>
        <w:tc>
          <w:tcPr>
            <w:tcW w:w="886" w:type="dxa"/>
            <w:tcBorders>
              <w:tl2br w:val="nil"/>
              <w:tr2bl w:val="nil"/>
            </w:tcBorders>
            <w:tcMar>
              <w:top w:w="0" w:type="dxa"/>
              <w:left w:w="108" w:type="dxa"/>
              <w:bottom w:w="0" w:type="dxa"/>
              <w:right w:w="108" w:type="dxa"/>
            </w:tcMar>
            <w:vAlign w:val="center"/>
          </w:tcPr>
          <w:p w14:paraId="37BEEAF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7D19C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1554E8BF">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eastAsia="en-US"/>
              </w:rPr>
              <w:t>1</w:t>
            </w:r>
            <w:r>
              <w:rPr>
                <w:rFonts w:hint="eastAsia" w:ascii="宋体" w:hAnsi="宋体" w:eastAsia="宋体" w:cs="宋体"/>
                <w:b w:val="0"/>
                <w:bCs w:val="0"/>
                <w:i w:val="0"/>
                <w:iCs w:val="0"/>
                <w:smallCaps w:val="0"/>
                <w:color w:val="auto"/>
                <w:kern w:val="0"/>
                <w:sz w:val="21"/>
                <w:szCs w:val="21"/>
                <w:highlight w:val="none"/>
                <w:lang w:val="en-US" w:eastAsia="zh-CN"/>
              </w:rPr>
              <w:t>0</w:t>
            </w:r>
          </w:p>
        </w:tc>
        <w:tc>
          <w:tcPr>
            <w:tcW w:w="969" w:type="dxa"/>
            <w:vMerge w:val="continue"/>
            <w:tcBorders>
              <w:tl2br w:val="nil"/>
              <w:tr2bl w:val="nil"/>
            </w:tcBorders>
            <w:vAlign w:val="center"/>
          </w:tcPr>
          <w:p w14:paraId="3AEBB170">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06085B37">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tcBorders>
              <w:tl2br w:val="nil"/>
              <w:tr2bl w:val="nil"/>
            </w:tcBorders>
            <w:tcMar>
              <w:top w:w="0" w:type="dxa"/>
              <w:left w:w="108" w:type="dxa"/>
              <w:bottom w:w="0" w:type="dxa"/>
              <w:right w:w="108" w:type="dxa"/>
            </w:tcMar>
            <w:vAlign w:val="center"/>
          </w:tcPr>
          <w:p w14:paraId="7402018F">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风险管控方案</w:t>
            </w:r>
          </w:p>
        </w:tc>
        <w:tc>
          <w:tcPr>
            <w:tcW w:w="3902" w:type="dxa"/>
            <w:tcBorders>
              <w:tl2br w:val="nil"/>
              <w:tr2bl w:val="nil"/>
            </w:tcBorders>
            <w:tcMar>
              <w:top w:w="0" w:type="dxa"/>
              <w:left w:w="108" w:type="dxa"/>
              <w:bottom w:w="0" w:type="dxa"/>
              <w:right w:w="108" w:type="dxa"/>
            </w:tcMar>
            <w:vAlign w:val="top"/>
          </w:tcPr>
          <w:p w14:paraId="15B7ECD4">
            <w:pPr>
              <w:widowControl/>
              <w:spacing w:before="48" w:after="48"/>
              <w:jc w:val="left"/>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color w:val="auto"/>
                <w:kern w:val="0"/>
                <w:sz w:val="21"/>
                <w:szCs w:val="21"/>
                <w:highlight w:val="none"/>
              </w:rPr>
              <w:t>供应商应根据对项目的了解，制定风险管控。方案包括但不限于对国家政策变化、实施环境变化、重大技术变化等情形的风险管控内容、应对措施、时间和形式等工作内容</w:t>
            </w:r>
            <w:r>
              <w:rPr>
                <w:rFonts w:hint="eastAsia" w:ascii="宋体" w:hAnsi="宋体" w:eastAsia="宋体" w:cs="宋体"/>
                <w:b w:val="0"/>
                <w:bCs w:val="0"/>
                <w:i w:val="0"/>
                <w:iCs w:val="0"/>
                <w:smallCaps w:val="0"/>
                <w:color w:val="auto"/>
                <w:kern w:val="0"/>
                <w:sz w:val="21"/>
                <w:szCs w:val="21"/>
                <w:highlight w:val="none"/>
                <w:lang w:eastAsia="en-US"/>
              </w:rPr>
              <w:t>。</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一档标准：方案内容完整、详细、可操作性强，阐述的内容针对性强、具体、透彻，能结合项目特点制定方案，得5分；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二档标准：方案内容完整，有具体措施描述，但操作性和针对性不够强，得4分；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三档标准：方案内容仅简单重复采购需求，得3分；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四档标准：未完整表述且内容空洞，或前后逻辑不通，出现与本项目无关的内容，得1分；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五档标准：未提供方案的，得0分。</w:t>
            </w:r>
          </w:p>
        </w:tc>
        <w:tc>
          <w:tcPr>
            <w:tcW w:w="886" w:type="dxa"/>
            <w:tcBorders>
              <w:tl2br w:val="nil"/>
              <w:tr2bl w:val="nil"/>
            </w:tcBorders>
            <w:tcMar>
              <w:top w:w="0" w:type="dxa"/>
              <w:left w:w="108" w:type="dxa"/>
              <w:bottom w:w="0" w:type="dxa"/>
              <w:right w:w="108" w:type="dxa"/>
            </w:tcMar>
            <w:vAlign w:val="center"/>
          </w:tcPr>
          <w:p w14:paraId="6C3F0AF2">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48611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2" w:type="dxa"/>
            <w:tcBorders>
              <w:tl2br w:val="nil"/>
              <w:tr2bl w:val="nil"/>
            </w:tcBorders>
            <w:tcMar>
              <w:top w:w="0" w:type="dxa"/>
              <w:left w:w="108" w:type="dxa"/>
              <w:bottom w:w="0" w:type="dxa"/>
              <w:right w:w="108" w:type="dxa"/>
            </w:tcMar>
            <w:vAlign w:val="center"/>
          </w:tcPr>
          <w:p w14:paraId="117DBFC9">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zh-CN"/>
              </w:rPr>
            </w:pPr>
            <w:r>
              <w:rPr>
                <w:rFonts w:hint="eastAsia" w:ascii="宋体" w:hAnsi="宋体" w:eastAsia="宋体" w:cs="宋体"/>
                <w:b w:val="0"/>
                <w:bCs w:val="0"/>
                <w:i w:val="0"/>
                <w:iCs w:val="0"/>
                <w:smallCaps w:val="0"/>
                <w:color w:val="auto"/>
                <w:kern w:val="0"/>
                <w:sz w:val="21"/>
                <w:szCs w:val="21"/>
                <w:highlight w:val="none"/>
                <w:lang w:eastAsia="en-US"/>
              </w:rPr>
              <w:t>1</w:t>
            </w:r>
            <w:r>
              <w:rPr>
                <w:rFonts w:hint="eastAsia" w:ascii="宋体" w:hAnsi="宋体" w:eastAsia="宋体" w:cs="宋体"/>
                <w:b w:val="0"/>
                <w:bCs w:val="0"/>
                <w:i w:val="0"/>
                <w:iCs w:val="0"/>
                <w:smallCaps w:val="0"/>
                <w:color w:val="auto"/>
                <w:kern w:val="0"/>
                <w:sz w:val="21"/>
                <w:szCs w:val="21"/>
                <w:highlight w:val="none"/>
                <w:lang w:val="en-US" w:eastAsia="zh-CN"/>
              </w:rPr>
              <w:t>1</w:t>
            </w:r>
          </w:p>
        </w:tc>
        <w:tc>
          <w:tcPr>
            <w:tcW w:w="969" w:type="dxa"/>
            <w:vMerge w:val="continue"/>
            <w:tcBorders>
              <w:tl2br w:val="nil"/>
              <w:tr2bl w:val="nil"/>
            </w:tcBorders>
            <w:vAlign w:val="center"/>
          </w:tcPr>
          <w:p w14:paraId="43F2ED04">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76" w:type="dxa"/>
            <w:vMerge w:val="continue"/>
            <w:tcBorders>
              <w:tl2br w:val="nil"/>
              <w:tr2bl w:val="nil"/>
            </w:tcBorders>
            <w:vAlign w:val="center"/>
          </w:tcPr>
          <w:p w14:paraId="41B388D0">
            <w:pPr>
              <w:widowControl/>
              <w:jc w:val="left"/>
              <w:outlineLvl w:val="9"/>
              <w:rPr>
                <w:rFonts w:hint="eastAsia" w:ascii="宋体" w:hAnsi="宋体" w:eastAsia="宋体" w:cs="宋体"/>
                <w:b w:val="0"/>
                <w:bCs w:val="0"/>
                <w:i w:val="0"/>
                <w:iCs w:val="0"/>
                <w:smallCaps w:val="0"/>
                <w:color w:val="auto"/>
                <w:kern w:val="0"/>
                <w:sz w:val="21"/>
                <w:szCs w:val="21"/>
                <w:highlight w:val="none"/>
                <w:lang w:eastAsia="en-US"/>
              </w:rPr>
            </w:pPr>
          </w:p>
        </w:tc>
        <w:tc>
          <w:tcPr>
            <w:tcW w:w="1142" w:type="dxa"/>
            <w:tcBorders>
              <w:tl2br w:val="nil"/>
              <w:tr2bl w:val="nil"/>
            </w:tcBorders>
            <w:tcMar>
              <w:top w:w="0" w:type="dxa"/>
              <w:left w:w="108" w:type="dxa"/>
              <w:bottom w:w="0" w:type="dxa"/>
              <w:right w:w="108" w:type="dxa"/>
            </w:tcMar>
            <w:vAlign w:val="center"/>
          </w:tcPr>
          <w:p w14:paraId="3BB944BB">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验收响应方案</w:t>
            </w:r>
          </w:p>
        </w:tc>
        <w:tc>
          <w:tcPr>
            <w:tcW w:w="3902" w:type="dxa"/>
            <w:tcBorders>
              <w:tl2br w:val="nil"/>
              <w:tr2bl w:val="nil"/>
            </w:tcBorders>
            <w:tcMar>
              <w:top w:w="0" w:type="dxa"/>
              <w:left w:w="108" w:type="dxa"/>
              <w:bottom w:w="0" w:type="dxa"/>
              <w:right w:w="108" w:type="dxa"/>
            </w:tcMar>
            <w:vAlign w:val="center"/>
          </w:tcPr>
          <w:p w14:paraId="1503DF37">
            <w:pPr>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color w:val="auto"/>
                <w:sz w:val="21"/>
                <w:szCs w:val="21"/>
                <w:highlight w:val="none"/>
              </w:rPr>
              <w:t>供应商应根据采</w:t>
            </w:r>
            <w:r>
              <w:rPr>
                <w:rFonts w:hint="eastAsia" w:ascii="宋体" w:hAnsi="宋体" w:eastAsia="宋体" w:cs="宋体"/>
                <w:b w:val="0"/>
                <w:bCs w:val="0"/>
                <w:i w:val="0"/>
                <w:iCs w:val="0"/>
                <w:smallCaps w:val="0"/>
                <w:color w:val="auto"/>
                <w:sz w:val="21"/>
                <w:szCs w:val="21"/>
                <w:highlight w:val="none"/>
              </w:rPr>
              <w:t>购人对项目验收的要求，结合自身同类项目经验，制定内容详细、可执行性高的项目验收方案。</w:t>
            </w:r>
            <w:r>
              <w:rPr>
                <w:rFonts w:hint="eastAsia" w:ascii="宋体" w:hAnsi="宋体" w:eastAsia="宋体" w:cs="宋体"/>
                <w:b w:val="0"/>
                <w:bCs w:val="0"/>
                <w:i w:val="0"/>
                <w:iCs w:val="0"/>
                <w:smallCaps w:val="0"/>
                <w:color w:val="auto"/>
                <w:sz w:val="21"/>
                <w:szCs w:val="21"/>
                <w:highlight w:val="none"/>
                <w:lang w:val="en-US" w:eastAsia="zh-CN"/>
              </w:rPr>
              <w:t>供应商</w:t>
            </w:r>
            <w:r>
              <w:rPr>
                <w:rFonts w:hint="eastAsia" w:ascii="宋体" w:hAnsi="宋体" w:eastAsia="宋体" w:cs="宋体"/>
                <w:b w:val="0"/>
                <w:bCs w:val="0"/>
                <w:i w:val="0"/>
                <w:iCs w:val="0"/>
                <w:smallCaps w:val="0"/>
                <w:color w:val="auto"/>
                <w:sz w:val="21"/>
                <w:szCs w:val="21"/>
                <w:highlight w:val="none"/>
              </w:rPr>
              <w:t>必须按照本项目需求书要求详细阐述</w:t>
            </w:r>
            <w:r>
              <w:rPr>
                <w:rFonts w:hint="eastAsia" w:ascii="宋体" w:hAnsi="宋体" w:eastAsia="宋体" w:cs="宋体"/>
                <w:b w:val="0"/>
                <w:bCs w:val="0"/>
                <w:i w:val="0"/>
                <w:iCs w:val="0"/>
                <w:smallCaps w:val="0"/>
                <w:color w:val="auto"/>
                <w:sz w:val="21"/>
                <w:szCs w:val="21"/>
                <w:highlight w:val="none"/>
                <w:lang w:val="en-US" w:eastAsia="zh-CN"/>
              </w:rPr>
              <w:t>服务</w:t>
            </w:r>
            <w:r>
              <w:rPr>
                <w:rFonts w:hint="eastAsia" w:ascii="宋体" w:hAnsi="宋体" w:eastAsia="宋体" w:cs="宋体"/>
                <w:b w:val="0"/>
                <w:bCs w:val="0"/>
                <w:i w:val="0"/>
                <w:iCs w:val="0"/>
                <w:smallCaps w:val="0"/>
                <w:color w:val="auto"/>
                <w:sz w:val="21"/>
                <w:szCs w:val="21"/>
                <w:highlight w:val="none"/>
              </w:rPr>
              <w:t>验收方案。对验收中可能发现的</w:t>
            </w:r>
            <w:r>
              <w:rPr>
                <w:rFonts w:hint="eastAsia" w:ascii="宋体" w:hAnsi="宋体" w:eastAsia="宋体" w:cs="宋体"/>
                <w:color w:val="auto"/>
                <w:sz w:val="21"/>
                <w:szCs w:val="21"/>
                <w:highlight w:val="none"/>
              </w:rPr>
              <w:t>问题，提出有效解决办法和补救措施</w:t>
            </w:r>
            <w:r>
              <w:rPr>
                <w:rFonts w:hint="eastAsia" w:ascii="宋体" w:hAnsi="宋体" w:eastAsia="宋体" w:cs="宋体"/>
                <w:b w:val="0"/>
                <w:bCs w:val="0"/>
                <w:i w:val="0"/>
                <w:iCs w:val="0"/>
                <w:smallCaps w:val="0"/>
                <w:color w:val="auto"/>
                <w:sz w:val="21"/>
                <w:szCs w:val="21"/>
                <w:highlight w:val="none"/>
              </w:rPr>
              <w:t>。</w:t>
            </w:r>
          </w:p>
          <w:p w14:paraId="3A86EC21">
            <w:pPr>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一档标准：方案内容完整、详细、可操作性强，阐述的内容针对性强、具体、透彻，能结合项目特点制定方案，得</w:t>
            </w:r>
            <w:r>
              <w:rPr>
                <w:rFonts w:hint="eastAsia" w:ascii="宋体" w:hAnsi="宋体" w:eastAsia="宋体" w:cs="宋体"/>
                <w:b w:val="0"/>
                <w:bCs w:val="0"/>
                <w:i w:val="0"/>
                <w:iCs w:val="0"/>
                <w:smallCaps w:val="0"/>
                <w:color w:val="auto"/>
                <w:sz w:val="21"/>
                <w:szCs w:val="21"/>
                <w:highlight w:val="none"/>
                <w:lang w:val="en-US" w:eastAsia="zh-CN"/>
              </w:rPr>
              <w:t>5</w:t>
            </w:r>
            <w:r>
              <w:rPr>
                <w:rFonts w:hint="eastAsia" w:ascii="宋体" w:hAnsi="宋体" w:eastAsia="宋体" w:cs="宋体"/>
                <w:b w:val="0"/>
                <w:bCs w:val="0"/>
                <w:i w:val="0"/>
                <w:iCs w:val="0"/>
                <w:smallCaps w:val="0"/>
                <w:color w:val="auto"/>
                <w:sz w:val="21"/>
                <w:szCs w:val="21"/>
                <w:highlight w:val="none"/>
              </w:rPr>
              <w:t>分；</w:t>
            </w:r>
          </w:p>
          <w:p w14:paraId="5F0A183D">
            <w:pPr>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二档标准：方案内容完整，有具体措施描述，但操作性和针对性不够强，得</w:t>
            </w:r>
            <w:r>
              <w:rPr>
                <w:rFonts w:hint="eastAsia" w:ascii="宋体" w:hAnsi="宋体" w:eastAsia="宋体" w:cs="宋体"/>
                <w:b w:val="0"/>
                <w:bCs w:val="0"/>
                <w:i w:val="0"/>
                <w:iCs w:val="0"/>
                <w:smallCaps w:val="0"/>
                <w:color w:val="auto"/>
                <w:sz w:val="21"/>
                <w:szCs w:val="21"/>
                <w:highlight w:val="none"/>
                <w:lang w:val="en-US" w:eastAsia="zh-CN"/>
              </w:rPr>
              <w:t>4</w:t>
            </w:r>
            <w:r>
              <w:rPr>
                <w:rFonts w:hint="eastAsia" w:ascii="宋体" w:hAnsi="宋体" w:eastAsia="宋体" w:cs="宋体"/>
                <w:b w:val="0"/>
                <w:bCs w:val="0"/>
                <w:i w:val="0"/>
                <w:iCs w:val="0"/>
                <w:smallCaps w:val="0"/>
                <w:color w:val="auto"/>
                <w:sz w:val="21"/>
                <w:szCs w:val="21"/>
                <w:highlight w:val="none"/>
              </w:rPr>
              <w:t>分；</w:t>
            </w:r>
          </w:p>
          <w:p w14:paraId="090339F7">
            <w:pPr>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三档标准：方案内容仅简单重复采购需求，得3分；</w:t>
            </w:r>
          </w:p>
          <w:p w14:paraId="398594AA">
            <w:pPr>
              <w:outlineLvl w:val="9"/>
              <w:rPr>
                <w:rFonts w:hint="eastAsia" w:ascii="宋体" w:hAnsi="宋体" w:eastAsia="宋体" w:cs="宋体"/>
                <w:b w:val="0"/>
                <w:bCs w:val="0"/>
                <w:i w:val="0"/>
                <w:iCs w:val="0"/>
                <w:smallCaps w:val="0"/>
                <w:color w:val="auto"/>
                <w:sz w:val="21"/>
                <w:szCs w:val="21"/>
                <w:highlight w:val="none"/>
              </w:rPr>
            </w:pPr>
            <w:r>
              <w:rPr>
                <w:rFonts w:hint="eastAsia" w:ascii="宋体" w:hAnsi="宋体" w:eastAsia="宋体" w:cs="宋体"/>
                <w:b w:val="0"/>
                <w:bCs w:val="0"/>
                <w:i w:val="0"/>
                <w:iCs w:val="0"/>
                <w:smallCaps w:val="0"/>
                <w:color w:val="auto"/>
                <w:sz w:val="21"/>
                <w:szCs w:val="21"/>
                <w:highlight w:val="none"/>
              </w:rPr>
              <w:t>四档标准：方案内容未完整表述且内容空洞，或前后逻辑不通，出现与本项目无关的内容，得1分；</w:t>
            </w:r>
          </w:p>
          <w:p w14:paraId="6A6024E5">
            <w:pP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sz w:val="21"/>
                <w:szCs w:val="21"/>
                <w:highlight w:val="none"/>
              </w:rPr>
              <w:t>五档标准：未提供方案的，得0分。</w:t>
            </w:r>
          </w:p>
        </w:tc>
        <w:tc>
          <w:tcPr>
            <w:tcW w:w="886" w:type="dxa"/>
            <w:tcBorders>
              <w:tl2br w:val="nil"/>
              <w:tr2bl w:val="nil"/>
            </w:tcBorders>
            <w:tcMar>
              <w:top w:w="0" w:type="dxa"/>
              <w:left w:w="108" w:type="dxa"/>
              <w:bottom w:w="0" w:type="dxa"/>
              <w:right w:w="108" w:type="dxa"/>
            </w:tcMar>
            <w:vAlign w:val="center"/>
          </w:tcPr>
          <w:p w14:paraId="0282787F">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5</w:t>
            </w:r>
          </w:p>
        </w:tc>
      </w:tr>
      <w:tr w14:paraId="650BC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861" w:type="dxa"/>
            <w:gridSpan w:val="5"/>
            <w:tcBorders>
              <w:tl2br w:val="nil"/>
              <w:tr2bl w:val="nil"/>
            </w:tcBorders>
            <w:tcMar>
              <w:top w:w="0" w:type="dxa"/>
              <w:left w:w="108" w:type="dxa"/>
              <w:bottom w:w="0" w:type="dxa"/>
              <w:right w:w="108" w:type="dxa"/>
            </w:tcMar>
            <w:vAlign w:val="top"/>
          </w:tcPr>
          <w:p w14:paraId="73560D9A">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合计</w:t>
            </w:r>
          </w:p>
        </w:tc>
        <w:tc>
          <w:tcPr>
            <w:tcW w:w="886" w:type="dxa"/>
            <w:tcBorders>
              <w:tl2br w:val="nil"/>
              <w:tr2bl w:val="nil"/>
            </w:tcBorders>
            <w:tcMar>
              <w:top w:w="0" w:type="dxa"/>
              <w:left w:w="108" w:type="dxa"/>
              <w:bottom w:w="0" w:type="dxa"/>
              <w:right w:w="108" w:type="dxa"/>
            </w:tcMar>
            <w:vAlign w:val="top"/>
          </w:tcPr>
          <w:p w14:paraId="6477DFCD">
            <w:pPr>
              <w:widowControl/>
              <w:spacing w:before="48" w:after="48"/>
              <w:jc w:val="center"/>
              <w:outlineLvl w:val="9"/>
              <w:rPr>
                <w:rFonts w:hint="eastAsia" w:ascii="宋体" w:hAnsi="宋体" w:eastAsia="宋体" w:cs="宋体"/>
                <w:b w:val="0"/>
                <w:bCs w:val="0"/>
                <w:i w:val="0"/>
                <w:iCs w:val="0"/>
                <w:smallCaps w:val="0"/>
                <w:color w:val="auto"/>
                <w:kern w:val="0"/>
                <w:sz w:val="21"/>
                <w:szCs w:val="21"/>
                <w:highlight w:val="none"/>
                <w:lang w:eastAsia="en-US"/>
              </w:rPr>
            </w:pPr>
            <w:r>
              <w:rPr>
                <w:rFonts w:hint="eastAsia" w:ascii="宋体" w:hAnsi="宋体" w:eastAsia="宋体" w:cs="宋体"/>
                <w:b w:val="0"/>
                <w:bCs w:val="0"/>
                <w:i w:val="0"/>
                <w:iCs w:val="0"/>
                <w:smallCaps w:val="0"/>
                <w:color w:val="auto"/>
                <w:kern w:val="0"/>
                <w:sz w:val="21"/>
                <w:szCs w:val="21"/>
                <w:highlight w:val="none"/>
                <w:lang w:eastAsia="en-US"/>
              </w:rPr>
              <w:t>100</w:t>
            </w:r>
          </w:p>
        </w:tc>
      </w:tr>
    </w:tbl>
    <w:p w14:paraId="2B0AF47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p>
    <w:p w14:paraId="53C4C2C3">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落实政府采购政策进行价格调整的规则：本项目专门面向中小企业，不对价格进行扣除。</w:t>
      </w:r>
    </w:p>
    <w:tbl>
      <w:tblPr>
        <w:tblStyle w:val="22"/>
        <w:tblW w:w="89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89"/>
        <w:gridCol w:w="3440"/>
        <w:gridCol w:w="3355"/>
      </w:tblGrid>
      <w:tr w14:paraId="37764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0844BEC4">
            <w:pPr>
              <w:spacing w:line="276"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政府采购政策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7EF467F4">
            <w:pPr>
              <w:spacing w:line="276"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价格扣除规则</w:t>
            </w:r>
          </w:p>
        </w:tc>
        <w:tc>
          <w:tcPr>
            <w:tcW w:w="3355" w:type="dxa"/>
            <w:tcBorders>
              <w:top w:val="single" w:color="000000" w:sz="4" w:space="0"/>
              <w:left w:val="single" w:color="000000" w:sz="4" w:space="0"/>
              <w:bottom w:val="single" w:color="000000" w:sz="4" w:space="0"/>
              <w:right w:val="single" w:color="000000" w:sz="4" w:space="0"/>
            </w:tcBorders>
            <w:vAlign w:val="center"/>
          </w:tcPr>
          <w:p w14:paraId="184FBB6F">
            <w:pPr>
              <w:spacing w:line="276" w:lineRule="auto"/>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享受价格扣除的条件</w:t>
            </w:r>
          </w:p>
        </w:tc>
      </w:tr>
      <w:tr w14:paraId="2DDD0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418BCFF1">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节约能源政策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7E19D3CF">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c>
          <w:tcPr>
            <w:tcW w:w="3355" w:type="dxa"/>
            <w:tcBorders>
              <w:top w:val="single" w:color="000000" w:sz="4" w:space="0"/>
              <w:left w:val="single" w:color="000000" w:sz="4" w:space="0"/>
              <w:bottom w:val="single" w:color="000000" w:sz="4" w:space="0"/>
              <w:right w:val="single" w:color="000000" w:sz="4" w:space="0"/>
            </w:tcBorders>
            <w:vAlign w:val="center"/>
          </w:tcPr>
          <w:p w14:paraId="501FEAE8">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r>
      <w:tr w14:paraId="4A139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58E8EF60">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保护环境政策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7129DF39">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c>
          <w:tcPr>
            <w:tcW w:w="3355" w:type="dxa"/>
            <w:tcBorders>
              <w:top w:val="single" w:color="000000" w:sz="4" w:space="0"/>
              <w:left w:val="single" w:color="000000" w:sz="4" w:space="0"/>
              <w:bottom w:val="single" w:color="000000" w:sz="4" w:space="0"/>
              <w:right w:val="single" w:color="000000" w:sz="4" w:space="0"/>
            </w:tcBorders>
            <w:vAlign w:val="center"/>
          </w:tcPr>
          <w:p w14:paraId="593DEDB2">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r>
      <w:tr w14:paraId="57F21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350A7961">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促进中小企业</w:t>
            </w:r>
          </w:p>
          <w:p w14:paraId="302F24DC">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发展政策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5AFC8715">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c>
          <w:tcPr>
            <w:tcW w:w="3355" w:type="dxa"/>
            <w:tcBorders>
              <w:top w:val="single" w:color="000000" w:sz="4" w:space="0"/>
              <w:left w:val="single" w:color="000000" w:sz="4" w:space="0"/>
              <w:bottom w:val="single" w:color="000000" w:sz="4" w:space="0"/>
              <w:right w:val="single" w:color="000000" w:sz="4" w:space="0"/>
            </w:tcBorders>
            <w:vAlign w:val="center"/>
          </w:tcPr>
          <w:p w14:paraId="1E38FEDC">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r>
      <w:tr w14:paraId="45205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2E9FBFF2">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促进残疾人就业政策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4E6CEC78">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c>
          <w:tcPr>
            <w:tcW w:w="3355" w:type="dxa"/>
            <w:tcBorders>
              <w:top w:val="single" w:color="000000" w:sz="4" w:space="0"/>
              <w:left w:val="single" w:color="000000" w:sz="4" w:space="0"/>
              <w:bottom w:val="single" w:color="000000" w:sz="4" w:space="0"/>
              <w:right w:val="single" w:color="000000" w:sz="4" w:space="0"/>
            </w:tcBorders>
            <w:vAlign w:val="center"/>
          </w:tcPr>
          <w:p w14:paraId="17790BDC">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本项目不涉及</w:t>
            </w:r>
          </w:p>
        </w:tc>
      </w:tr>
      <w:tr w14:paraId="58508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89" w:type="dxa"/>
            <w:tcBorders>
              <w:top w:val="single" w:color="000000" w:sz="4" w:space="0"/>
              <w:left w:val="single" w:color="000000" w:sz="4" w:space="0"/>
              <w:bottom w:val="single" w:color="000000" w:sz="4" w:space="0"/>
              <w:right w:val="single" w:color="000000" w:sz="4" w:space="0"/>
            </w:tcBorders>
            <w:vAlign w:val="center"/>
          </w:tcPr>
          <w:p w14:paraId="356F6D1D">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支持监狱企业</w:t>
            </w:r>
          </w:p>
          <w:p w14:paraId="015DEB7B">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发展政策</w:t>
            </w:r>
          </w:p>
        </w:tc>
        <w:tc>
          <w:tcPr>
            <w:tcW w:w="3440" w:type="dxa"/>
            <w:tcBorders>
              <w:top w:val="single" w:color="000000" w:sz="4" w:space="0"/>
              <w:left w:val="single" w:color="000000" w:sz="4" w:space="0"/>
              <w:bottom w:val="single" w:color="000000" w:sz="4" w:space="0"/>
              <w:right w:val="single" w:color="000000" w:sz="4" w:space="0"/>
            </w:tcBorders>
            <w:vAlign w:val="center"/>
          </w:tcPr>
          <w:p w14:paraId="25F11330">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本项目不涉及</w:t>
            </w:r>
          </w:p>
        </w:tc>
        <w:tc>
          <w:tcPr>
            <w:tcW w:w="3355" w:type="dxa"/>
            <w:tcBorders>
              <w:top w:val="single" w:color="000000" w:sz="4" w:space="0"/>
              <w:left w:val="single" w:color="000000" w:sz="4" w:space="0"/>
              <w:bottom w:val="single" w:color="000000" w:sz="4" w:space="0"/>
              <w:right w:val="single" w:color="000000" w:sz="4" w:space="0"/>
            </w:tcBorders>
            <w:vAlign w:val="center"/>
          </w:tcPr>
          <w:p w14:paraId="30A786FE">
            <w:pPr>
              <w:spacing w:line="276"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本项目不涉及</w:t>
            </w:r>
          </w:p>
        </w:tc>
      </w:tr>
    </w:tbl>
    <w:p w14:paraId="31F13816">
      <w:pPr>
        <w:spacing w:line="360" w:lineRule="auto"/>
        <w:ind w:firstLine="420" w:firstLineChars="200"/>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推荐中标候选人：</w:t>
      </w:r>
    </w:p>
    <w:p w14:paraId="2070A34C">
      <w:pPr>
        <w:widowControl/>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1.按评审后得分由高到低顺序排列。得分相同的，按投标报价由低到高顺序排列。得分且投标报价相同的并列。</w:t>
      </w:r>
    </w:p>
    <w:p w14:paraId="5635AA3C">
      <w:pPr>
        <w:widowControl/>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2.本采购包推荐中标候选人的数量：</w:t>
      </w:r>
      <w:r>
        <w:rPr>
          <w:rFonts w:hint="eastAsia" w:ascii="宋体" w:hAnsi="宋体" w:eastAsia="宋体" w:cs="宋体"/>
          <w:color w:val="auto"/>
          <w:szCs w:val="21"/>
          <w:highlight w:val="none"/>
          <w:u w:val="single"/>
        </w:rPr>
        <w:t>3</w:t>
      </w:r>
      <w:r>
        <w:rPr>
          <w:rFonts w:hint="eastAsia" w:ascii="宋体" w:hAnsi="宋体" w:eastAsia="宋体" w:cs="宋体"/>
          <w:color w:val="auto"/>
          <w:szCs w:val="21"/>
          <w:highlight w:val="none"/>
        </w:rPr>
        <w:t>家。</w:t>
      </w:r>
    </w:p>
    <w:p w14:paraId="503EEED1">
      <w:pPr>
        <w:widowControl/>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中标人数量：</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rPr>
        <w:t>家。</w:t>
      </w:r>
    </w:p>
    <w:p w14:paraId="5781D12B">
      <w:pPr>
        <w:widowControl/>
        <w:wordWrap/>
        <w:topLinePunct/>
        <w:adjustRightInd/>
        <w:snapToGrid w:val="0"/>
        <w:spacing w:line="360" w:lineRule="auto"/>
        <w:ind w:firstLine="420" w:firstLineChars="200"/>
        <w:jc w:val="left"/>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中标候选人并列的，按照</w:t>
      </w:r>
      <w:r>
        <w:rPr>
          <w:rFonts w:hint="eastAsia" w:ascii="宋体" w:hAnsi="宋体" w:eastAsia="宋体" w:cs="宋体"/>
          <w:color w:val="auto"/>
          <w:szCs w:val="21"/>
          <w:highlight w:val="none"/>
          <w:u w:val="single"/>
        </w:rPr>
        <w:t>下列顺序排列以确定将被推荐为合格的中标候选人：1.技术和服务客观指标评估得分高的；2.履约能力指标评估得分高</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；3.技术和服务水平指标评估得分高的</w:t>
      </w:r>
      <w:r>
        <w:rPr>
          <w:rFonts w:hint="eastAsia" w:ascii="宋体" w:hAnsi="宋体" w:eastAsia="宋体" w:cs="宋体"/>
          <w:color w:val="auto"/>
          <w:szCs w:val="21"/>
          <w:highlight w:val="none"/>
        </w:rPr>
        <w:t>方式确定中标人。招标文件未规定的，采取随机抽取的方式确定。</w:t>
      </w:r>
    </w:p>
    <w:p w14:paraId="688ABA0C">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p>
    <w:p w14:paraId="4CFFA694">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p>
    <w:p w14:paraId="02A022D1">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p>
    <w:p w14:paraId="3114DEDE">
      <w:pPr>
        <w:topLinePunct/>
        <w:autoSpaceDE w:val="0"/>
        <w:autoSpaceDN w:val="0"/>
        <w:adjustRightInd w:val="0"/>
        <w:snapToGrid w:val="0"/>
        <w:spacing w:line="360" w:lineRule="auto"/>
        <w:ind w:firstLine="422" w:firstLineChars="200"/>
        <w:outlineLvl w:val="9"/>
        <w:rPr>
          <w:rFonts w:hint="eastAsia" w:ascii="宋体" w:hAnsi="宋体" w:eastAsia="宋体" w:cs="宋体"/>
          <w:b/>
          <w:color w:val="auto"/>
          <w:szCs w:val="21"/>
          <w:highlight w:val="none"/>
        </w:rPr>
      </w:pPr>
    </w:p>
    <w:p w14:paraId="027982A3">
      <w:pPr>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r>
      <w:bookmarkStart w:id="47" w:name="OLE_LINK29"/>
      <w:bookmarkStart w:id="48" w:name="OLE_LINK28"/>
      <w:r>
        <w:rPr>
          <w:rFonts w:hint="eastAsia" w:ascii="宋体" w:hAnsi="宋体" w:eastAsia="宋体" w:cs="宋体"/>
          <w:b/>
          <w:bCs/>
          <w:color w:val="auto"/>
          <w:sz w:val="28"/>
          <w:szCs w:val="28"/>
          <w:highlight w:val="none"/>
        </w:rPr>
        <w:t>资格性审查表</w:t>
      </w:r>
      <w:bookmarkEnd w:id="47"/>
      <w:bookmarkEnd w:id="48"/>
    </w:p>
    <w:tbl>
      <w:tblPr>
        <w:tblStyle w:val="22"/>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855"/>
        <w:gridCol w:w="709"/>
        <w:gridCol w:w="709"/>
        <w:gridCol w:w="694"/>
      </w:tblGrid>
      <w:tr w14:paraId="51326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 w:hRule="atLeast"/>
          <w:jc w:val="center"/>
        </w:trPr>
        <w:tc>
          <w:tcPr>
            <w:tcW w:w="709" w:type="dxa"/>
            <w:vMerge w:val="restart"/>
            <w:vAlign w:val="center"/>
          </w:tcPr>
          <w:p w14:paraId="7A261930">
            <w:pPr>
              <w:spacing w:line="400" w:lineRule="exact"/>
              <w:jc w:val="center"/>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5855" w:type="dxa"/>
            <w:vMerge w:val="restart"/>
            <w:vAlign w:val="center"/>
          </w:tcPr>
          <w:p w14:paraId="264218F3">
            <w:pPr>
              <w:spacing w:line="400" w:lineRule="exact"/>
              <w:jc w:val="center"/>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审查内容</w:t>
            </w:r>
          </w:p>
        </w:tc>
        <w:tc>
          <w:tcPr>
            <w:tcW w:w="2112" w:type="dxa"/>
            <w:gridSpan w:val="3"/>
            <w:vAlign w:val="center"/>
          </w:tcPr>
          <w:p w14:paraId="50F98A5B">
            <w:pPr>
              <w:spacing w:line="400" w:lineRule="exact"/>
              <w:jc w:val="center"/>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投标人简称</w:t>
            </w:r>
          </w:p>
        </w:tc>
      </w:tr>
      <w:tr w14:paraId="5746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709" w:type="dxa"/>
            <w:vMerge w:val="continue"/>
            <w:vAlign w:val="top"/>
          </w:tcPr>
          <w:p w14:paraId="4D63D102">
            <w:pPr>
              <w:spacing w:line="400" w:lineRule="exact"/>
              <w:ind w:firstLine="482"/>
              <w:outlineLvl w:val="9"/>
              <w:rPr>
                <w:rFonts w:hint="eastAsia" w:ascii="宋体" w:hAnsi="宋体" w:eastAsia="宋体" w:cs="宋体"/>
                <w:b/>
                <w:bCs/>
                <w:color w:val="auto"/>
                <w:szCs w:val="21"/>
                <w:highlight w:val="none"/>
              </w:rPr>
            </w:pPr>
          </w:p>
        </w:tc>
        <w:tc>
          <w:tcPr>
            <w:tcW w:w="5855" w:type="dxa"/>
            <w:vMerge w:val="continue"/>
            <w:vAlign w:val="center"/>
          </w:tcPr>
          <w:p w14:paraId="34E9E612">
            <w:pPr>
              <w:spacing w:line="400" w:lineRule="exact"/>
              <w:ind w:firstLine="482"/>
              <w:outlineLvl w:val="9"/>
              <w:rPr>
                <w:rFonts w:hint="eastAsia" w:ascii="宋体" w:hAnsi="宋体" w:eastAsia="宋体" w:cs="宋体"/>
                <w:b/>
                <w:bCs/>
                <w:color w:val="auto"/>
                <w:szCs w:val="21"/>
                <w:highlight w:val="none"/>
              </w:rPr>
            </w:pPr>
          </w:p>
        </w:tc>
        <w:tc>
          <w:tcPr>
            <w:tcW w:w="709" w:type="dxa"/>
            <w:vAlign w:val="center"/>
          </w:tcPr>
          <w:p w14:paraId="2A114D87">
            <w:pPr>
              <w:jc w:val="center"/>
              <w:outlineLvl w:val="9"/>
              <w:rPr>
                <w:rFonts w:hint="eastAsia" w:ascii="宋体" w:hAnsi="宋体" w:eastAsia="宋体" w:cs="宋体"/>
                <w:b/>
                <w:color w:val="auto"/>
                <w:szCs w:val="21"/>
                <w:highlight w:val="none"/>
              </w:rPr>
            </w:pPr>
          </w:p>
        </w:tc>
        <w:tc>
          <w:tcPr>
            <w:tcW w:w="709" w:type="dxa"/>
            <w:vAlign w:val="center"/>
          </w:tcPr>
          <w:p w14:paraId="1095D970">
            <w:pPr>
              <w:jc w:val="center"/>
              <w:outlineLvl w:val="9"/>
              <w:rPr>
                <w:rFonts w:hint="eastAsia" w:ascii="宋体" w:hAnsi="宋体" w:eastAsia="宋体" w:cs="宋体"/>
                <w:b/>
                <w:color w:val="auto"/>
                <w:szCs w:val="21"/>
                <w:highlight w:val="none"/>
              </w:rPr>
            </w:pPr>
          </w:p>
        </w:tc>
        <w:tc>
          <w:tcPr>
            <w:tcW w:w="694" w:type="dxa"/>
            <w:vAlign w:val="center"/>
          </w:tcPr>
          <w:p w14:paraId="7B184D10">
            <w:pPr>
              <w:jc w:val="center"/>
              <w:outlineLvl w:val="9"/>
              <w:rPr>
                <w:rFonts w:hint="eastAsia" w:ascii="宋体" w:hAnsi="宋体" w:eastAsia="宋体" w:cs="宋体"/>
                <w:b/>
                <w:color w:val="auto"/>
                <w:szCs w:val="21"/>
                <w:highlight w:val="none"/>
              </w:rPr>
            </w:pPr>
          </w:p>
        </w:tc>
      </w:tr>
      <w:tr w14:paraId="3AB7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9" w:type="dxa"/>
            <w:vAlign w:val="center"/>
          </w:tcPr>
          <w:p w14:paraId="1ED19C07">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1</w:t>
            </w:r>
          </w:p>
        </w:tc>
        <w:tc>
          <w:tcPr>
            <w:tcW w:w="5855" w:type="dxa"/>
            <w:vAlign w:val="center"/>
          </w:tcPr>
          <w:p w14:paraId="1F927578">
            <w:pPr>
              <w:spacing w:line="276" w:lineRule="auto"/>
              <w:outlineLvl w:val="9"/>
              <w:rPr>
                <w:rFonts w:hint="eastAsia" w:ascii="宋体" w:hAnsi="宋体" w:eastAsia="宋体" w:cs="黑体"/>
                <w:color w:val="auto"/>
                <w:kern w:val="2"/>
                <w:sz w:val="21"/>
                <w:szCs w:val="21"/>
                <w:highlight w:val="none"/>
                <w:lang w:val="en-US" w:eastAsia="zh-CN" w:bidi="ar-SA"/>
              </w:rPr>
            </w:pPr>
            <w:r>
              <w:rPr>
                <w:rFonts w:hint="eastAsia" w:ascii="宋体" w:hAnsi="宋体"/>
                <w:color w:val="auto"/>
                <w:szCs w:val="21"/>
                <w:highlight w:val="none"/>
              </w:rPr>
              <w:t>法人或者其他组织的营业执照等证明文件或自然人的身份证明（自然人身份证明仅限在自然人作为投标主体时使用）</w:t>
            </w:r>
            <w:r>
              <w:rPr>
                <w:rFonts w:hint="eastAsia" w:ascii="宋体" w:hAnsi="宋体" w:cs="宋体"/>
                <w:color w:val="auto"/>
                <w:szCs w:val="21"/>
                <w:highlight w:val="none"/>
              </w:rPr>
              <w:t xml:space="preserve">符合要求情况 </w:t>
            </w:r>
          </w:p>
        </w:tc>
        <w:tc>
          <w:tcPr>
            <w:tcW w:w="709" w:type="dxa"/>
            <w:vAlign w:val="center"/>
          </w:tcPr>
          <w:p w14:paraId="4AB46B71">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67C335D2">
            <w:pPr>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27C4D0F1">
            <w:pPr>
              <w:spacing w:line="400" w:lineRule="exact"/>
              <w:ind w:firstLine="480"/>
              <w:jc w:val="left"/>
              <w:outlineLvl w:val="9"/>
              <w:rPr>
                <w:rFonts w:hint="eastAsia" w:ascii="宋体" w:hAnsi="宋体" w:eastAsia="宋体" w:cs="宋体"/>
                <w:color w:val="auto"/>
                <w:szCs w:val="21"/>
                <w:highlight w:val="none"/>
              </w:rPr>
            </w:pPr>
          </w:p>
        </w:tc>
      </w:tr>
      <w:tr w14:paraId="6360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9" w:type="dxa"/>
            <w:vAlign w:val="center"/>
          </w:tcPr>
          <w:p w14:paraId="556F2744">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2</w:t>
            </w:r>
          </w:p>
        </w:tc>
        <w:tc>
          <w:tcPr>
            <w:tcW w:w="5855" w:type="dxa"/>
            <w:vAlign w:val="center"/>
          </w:tcPr>
          <w:p w14:paraId="2D96FC8D">
            <w:pPr>
              <w:spacing w:line="276" w:lineRule="auto"/>
              <w:outlineLvl w:val="9"/>
              <w:rPr>
                <w:rFonts w:hint="eastAsia" w:ascii="宋体" w:hAnsi="宋体" w:eastAsia="宋体" w:cs="黑体"/>
                <w:color w:val="auto"/>
                <w:kern w:val="2"/>
                <w:sz w:val="21"/>
                <w:szCs w:val="21"/>
                <w:highlight w:val="none"/>
                <w:lang w:val="en-US" w:eastAsia="zh-CN" w:bidi="ar-SA"/>
              </w:rPr>
            </w:pPr>
            <w:r>
              <w:rPr>
                <w:rFonts w:hint="eastAsia" w:ascii="宋体" w:hAnsi="宋体"/>
                <w:color w:val="auto"/>
                <w:szCs w:val="21"/>
                <w:highlight w:val="none"/>
              </w:rPr>
              <w:t>202</w:t>
            </w:r>
            <w:r>
              <w:rPr>
                <w:rFonts w:hint="eastAsia" w:ascii="宋体" w:hAnsi="宋体"/>
                <w:color w:val="auto"/>
                <w:szCs w:val="21"/>
                <w:highlight w:val="none"/>
                <w:lang w:val="en-US" w:eastAsia="zh-CN"/>
              </w:rPr>
              <w:t>5或2024</w:t>
            </w:r>
            <w:r>
              <w:rPr>
                <w:rFonts w:hint="eastAsia" w:ascii="宋体" w:hAnsi="宋体"/>
                <w:color w:val="auto"/>
                <w:szCs w:val="21"/>
                <w:highlight w:val="none"/>
              </w:rPr>
              <w:t>年度</w:t>
            </w:r>
            <w:r>
              <w:rPr>
                <w:rFonts w:ascii="宋体" w:hAnsi="宋体"/>
                <w:color w:val="auto"/>
                <w:szCs w:val="21"/>
                <w:highlight w:val="none"/>
              </w:rPr>
              <w:t>经会计师事务所审计的财务报告（须上传加盖会计师事务所公章及注册会计师签章的扫描件）；没有经审计的财务报告的，可以提供基本开户银行出具的资信证明</w:t>
            </w:r>
            <w:r>
              <w:rPr>
                <w:rFonts w:hint="eastAsia" w:ascii="宋体" w:hAnsi="宋体"/>
                <w:color w:val="auto"/>
                <w:szCs w:val="21"/>
                <w:highlight w:val="none"/>
              </w:rPr>
              <w:t>扫描件</w:t>
            </w:r>
          </w:p>
        </w:tc>
        <w:tc>
          <w:tcPr>
            <w:tcW w:w="709" w:type="dxa"/>
            <w:vAlign w:val="center"/>
          </w:tcPr>
          <w:p w14:paraId="0B4C873B">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407A6416">
            <w:pPr>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226C07D7">
            <w:pPr>
              <w:spacing w:line="400" w:lineRule="exact"/>
              <w:ind w:firstLine="480"/>
              <w:jc w:val="left"/>
              <w:outlineLvl w:val="9"/>
              <w:rPr>
                <w:rFonts w:hint="eastAsia" w:ascii="宋体" w:hAnsi="宋体" w:eastAsia="宋体" w:cs="宋体"/>
                <w:color w:val="auto"/>
                <w:szCs w:val="21"/>
                <w:highlight w:val="none"/>
              </w:rPr>
            </w:pPr>
          </w:p>
        </w:tc>
      </w:tr>
      <w:tr w14:paraId="0387B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9" w:type="dxa"/>
            <w:vAlign w:val="center"/>
          </w:tcPr>
          <w:p w14:paraId="1D018A04">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3</w:t>
            </w:r>
          </w:p>
        </w:tc>
        <w:tc>
          <w:tcPr>
            <w:tcW w:w="5855" w:type="dxa"/>
            <w:vAlign w:val="center"/>
          </w:tcPr>
          <w:p w14:paraId="0777F960">
            <w:pPr>
              <w:spacing w:line="276" w:lineRule="auto"/>
              <w:outlineLvl w:val="9"/>
              <w:rPr>
                <w:rFonts w:hint="eastAsia" w:ascii="宋体" w:hAnsi="宋体" w:eastAsia="宋体" w:cs="黑体"/>
                <w:color w:val="auto"/>
                <w:kern w:val="2"/>
                <w:sz w:val="21"/>
                <w:szCs w:val="21"/>
                <w:highlight w:val="none"/>
                <w:lang w:val="en-US" w:eastAsia="zh-CN" w:bidi="ar-SA"/>
              </w:rPr>
            </w:pPr>
            <w:r>
              <w:rPr>
                <w:rFonts w:ascii="宋体" w:hAnsi="宋体"/>
                <w:color w:val="auto"/>
                <w:szCs w:val="21"/>
                <w:highlight w:val="none"/>
              </w:rPr>
              <w:t>20</w:t>
            </w:r>
            <w:r>
              <w:rPr>
                <w:rFonts w:hint="eastAsia" w:ascii="宋体" w:hAnsi="宋体"/>
                <w:color w:val="auto"/>
                <w:szCs w:val="21"/>
                <w:highlight w:val="none"/>
              </w:rPr>
              <w:t>2</w:t>
            </w:r>
            <w:r>
              <w:rPr>
                <w:rFonts w:hint="eastAsia" w:ascii="宋体" w:hAnsi="宋体"/>
                <w:color w:val="auto"/>
                <w:szCs w:val="21"/>
                <w:highlight w:val="none"/>
                <w:lang w:val="en-US" w:eastAsia="zh-CN"/>
              </w:rPr>
              <w:t>5</w:t>
            </w:r>
            <w:r>
              <w:rPr>
                <w:rFonts w:ascii="宋体" w:hAnsi="宋体"/>
                <w:color w:val="auto"/>
                <w:szCs w:val="21"/>
                <w:highlight w:val="none"/>
              </w:rPr>
              <w:t>年</w:t>
            </w:r>
            <w:r>
              <w:rPr>
                <w:rFonts w:hint="eastAsia" w:ascii="宋体" w:hAnsi="宋体"/>
                <w:color w:val="auto"/>
                <w:szCs w:val="21"/>
                <w:highlight w:val="none"/>
                <w:lang w:val="en-US" w:eastAsia="zh-CN"/>
              </w:rPr>
              <w:t>4月</w:t>
            </w:r>
            <w:r>
              <w:rPr>
                <w:rFonts w:ascii="宋体" w:hAnsi="宋体"/>
                <w:color w:val="auto"/>
                <w:szCs w:val="21"/>
                <w:highlight w:val="none"/>
              </w:rPr>
              <w:t>以来不少于</w:t>
            </w:r>
            <w:r>
              <w:rPr>
                <w:rFonts w:hint="eastAsia" w:ascii="宋体" w:hAnsi="宋体"/>
                <w:color w:val="auto"/>
                <w:szCs w:val="21"/>
                <w:highlight w:val="none"/>
              </w:rPr>
              <w:t>2</w:t>
            </w:r>
            <w:r>
              <w:rPr>
                <w:rFonts w:ascii="宋体" w:hAnsi="宋体"/>
                <w:color w:val="auto"/>
                <w:szCs w:val="21"/>
                <w:highlight w:val="none"/>
              </w:rPr>
              <w:t>个月依法缴纳税收（不包括个人所得税）的相关材料，如依法免税或不需要纳税的，则应提供相应证明材料</w:t>
            </w:r>
            <w:r>
              <w:rPr>
                <w:rFonts w:hint="eastAsia" w:ascii="宋体" w:hAnsi="宋体"/>
                <w:color w:val="auto"/>
                <w:szCs w:val="21"/>
                <w:highlight w:val="none"/>
              </w:rPr>
              <w:t>扫描件</w:t>
            </w:r>
          </w:p>
        </w:tc>
        <w:tc>
          <w:tcPr>
            <w:tcW w:w="709" w:type="dxa"/>
            <w:vAlign w:val="center"/>
          </w:tcPr>
          <w:p w14:paraId="5BD38BE5">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55DB4028">
            <w:pPr>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6E982120">
            <w:pPr>
              <w:spacing w:line="400" w:lineRule="exact"/>
              <w:ind w:firstLine="480"/>
              <w:jc w:val="left"/>
              <w:outlineLvl w:val="9"/>
              <w:rPr>
                <w:rFonts w:hint="eastAsia" w:ascii="宋体" w:hAnsi="宋体" w:eastAsia="宋体" w:cs="宋体"/>
                <w:color w:val="auto"/>
                <w:szCs w:val="21"/>
                <w:highlight w:val="none"/>
              </w:rPr>
            </w:pPr>
          </w:p>
        </w:tc>
      </w:tr>
      <w:tr w14:paraId="2F4F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9" w:type="dxa"/>
            <w:vAlign w:val="center"/>
          </w:tcPr>
          <w:p w14:paraId="178888F4">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4</w:t>
            </w:r>
          </w:p>
        </w:tc>
        <w:tc>
          <w:tcPr>
            <w:tcW w:w="5855" w:type="dxa"/>
            <w:vAlign w:val="center"/>
          </w:tcPr>
          <w:p w14:paraId="070D7849">
            <w:pPr>
              <w:spacing w:line="276" w:lineRule="auto"/>
              <w:outlineLvl w:val="9"/>
              <w:rPr>
                <w:rFonts w:hint="eastAsia" w:ascii="宋体" w:hAnsi="宋体" w:eastAsia="宋体" w:cs="黑体"/>
                <w:color w:val="auto"/>
                <w:kern w:val="2"/>
                <w:sz w:val="21"/>
                <w:szCs w:val="21"/>
                <w:highlight w:val="none"/>
                <w:lang w:val="en-US" w:eastAsia="zh-CN" w:bidi="ar-SA"/>
              </w:rPr>
            </w:pPr>
            <w:r>
              <w:rPr>
                <w:rFonts w:ascii="宋体" w:hAnsi="宋体"/>
                <w:color w:val="auto"/>
                <w:szCs w:val="21"/>
                <w:highlight w:val="none"/>
              </w:rPr>
              <w:t>20</w:t>
            </w:r>
            <w:r>
              <w:rPr>
                <w:rFonts w:hint="eastAsia" w:ascii="宋体" w:hAnsi="宋体"/>
                <w:color w:val="auto"/>
                <w:szCs w:val="21"/>
                <w:highlight w:val="none"/>
              </w:rPr>
              <w:t>2</w:t>
            </w:r>
            <w:r>
              <w:rPr>
                <w:rFonts w:hint="eastAsia" w:ascii="宋体" w:hAnsi="宋体"/>
                <w:color w:val="auto"/>
                <w:szCs w:val="21"/>
                <w:highlight w:val="none"/>
                <w:lang w:val="en-US" w:eastAsia="zh-CN"/>
              </w:rPr>
              <w:t>5</w:t>
            </w:r>
            <w:r>
              <w:rPr>
                <w:rFonts w:ascii="宋体" w:hAnsi="宋体"/>
                <w:color w:val="auto"/>
                <w:szCs w:val="21"/>
                <w:highlight w:val="none"/>
              </w:rPr>
              <w:t>年</w:t>
            </w:r>
            <w:r>
              <w:rPr>
                <w:rFonts w:hint="eastAsia" w:ascii="宋体" w:hAnsi="宋体"/>
                <w:color w:val="auto"/>
                <w:szCs w:val="21"/>
                <w:highlight w:val="none"/>
                <w:lang w:val="en-US" w:eastAsia="zh-CN"/>
              </w:rPr>
              <w:t>4月</w:t>
            </w:r>
            <w:r>
              <w:rPr>
                <w:rFonts w:ascii="宋体" w:hAnsi="宋体"/>
                <w:color w:val="auto"/>
                <w:szCs w:val="21"/>
                <w:highlight w:val="none"/>
              </w:rPr>
              <w:t>以来不少于</w:t>
            </w:r>
            <w:r>
              <w:rPr>
                <w:rFonts w:hint="eastAsia" w:ascii="宋体" w:hAnsi="宋体"/>
                <w:color w:val="auto"/>
                <w:szCs w:val="21"/>
                <w:highlight w:val="none"/>
              </w:rPr>
              <w:t>2</w:t>
            </w:r>
            <w:r>
              <w:rPr>
                <w:rFonts w:ascii="宋体" w:hAnsi="宋体"/>
                <w:color w:val="auto"/>
                <w:szCs w:val="21"/>
                <w:highlight w:val="none"/>
              </w:rPr>
              <w:t>个月的依法缴纳社会保障资金的相关材料，如依法不需要缴纳社会保障资金的，则应提供相应证明材料</w:t>
            </w:r>
            <w:r>
              <w:rPr>
                <w:rFonts w:hint="eastAsia" w:ascii="宋体" w:hAnsi="宋体"/>
                <w:color w:val="auto"/>
                <w:szCs w:val="21"/>
                <w:highlight w:val="none"/>
              </w:rPr>
              <w:t>扫描件</w:t>
            </w:r>
          </w:p>
        </w:tc>
        <w:tc>
          <w:tcPr>
            <w:tcW w:w="709" w:type="dxa"/>
            <w:vAlign w:val="center"/>
          </w:tcPr>
          <w:p w14:paraId="3BEE8AD2">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25A58A9D">
            <w:pPr>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23D17516">
            <w:pPr>
              <w:spacing w:line="400" w:lineRule="exact"/>
              <w:ind w:firstLine="480"/>
              <w:jc w:val="left"/>
              <w:outlineLvl w:val="9"/>
              <w:rPr>
                <w:rFonts w:hint="eastAsia" w:ascii="宋体" w:hAnsi="宋体" w:eastAsia="宋体" w:cs="宋体"/>
                <w:color w:val="auto"/>
                <w:szCs w:val="21"/>
                <w:highlight w:val="none"/>
              </w:rPr>
            </w:pPr>
          </w:p>
        </w:tc>
      </w:tr>
      <w:tr w14:paraId="0FD24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09" w:type="dxa"/>
            <w:vAlign w:val="center"/>
          </w:tcPr>
          <w:p w14:paraId="12A44036">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5</w:t>
            </w:r>
          </w:p>
        </w:tc>
        <w:tc>
          <w:tcPr>
            <w:tcW w:w="5855" w:type="dxa"/>
            <w:vAlign w:val="center"/>
          </w:tcPr>
          <w:p w14:paraId="63481DB5">
            <w:pPr>
              <w:spacing w:line="276" w:lineRule="auto"/>
              <w:outlineLvl w:val="9"/>
              <w:rPr>
                <w:rFonts w:hint="eastAsia" w:ascii="宋体" w:hAnsi="宋体" w:eastAsia="宋体" w:cs="黑体"/>
                <w:color w:val="auto"/>
                <w:kern w:val="2"/>
                <w:sz w:val="21"/>
                <w:szCs w:val="21"/>
                <w:highlight w:val="none"/>
                <w:lang w:val="en-US" w:eastAsia="zh-CN" w:bidi="ar-SA"/>
              </w:rPr>
            </w:pPr>
            <w:r>
              <w:rPr>
                <w:rFonts w:hint="eastAsia" w:ascii="宋体" w:hAnsi="宋体" w:cs="宋体"/>
                <w:snapToGrid w:val="0"/>
                <w:color w:val="auto"/>
                <w:spacing w:val="6"/>
                <w:kern w:val="0"/>
                <w:szCs w:val="21"/>
                <w:highlight w:val="none"/>
                <w:lang w:val="en-US" w:eastAsia="zh-CN"/>
              </w:rPr>
              <w:t>投标人</w:t>
            </w:r>
            <w:r>
              <w:rPr>
                <w:rFonts w:hint="eastAsia" w:ascii="宋体" w:hAnsi="宋体" w:cs="宋体"/>
                <w:snapToGrid w:val="0"/>
                <w:color w:val="auto"/>
                <w:spacing w:val="6"/>
                <w:kern w:val="0"/>
                <w:szCs w:val="21"/>
                <w:highlight w:val="none"/>
              </w:rPr>
              <w:t>提供的中小企业声明函或残疾人福利性单位声明函或由省级以上监狱管理局、戒毒管理局(含新疆生产建设兵团)出具的属于监狱企业的证明文件符合要求情况</w:t>
            </w:r>
          </w:p>
        </w:tc>
        <w:tc>
          <w:tcPr>
            <w:tcW w:w="709" w:type="dxa"/>
            <w:vAlign w:val="center"/>
          </w:tcPr>
          <w:p w14:paraId="7AD85973">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5BDC12BF">
            <w:pPr>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6E90C147">
            <w:pPr>
              <w:spacing w:line="400" w:lineRule="exact"/>
              <w:ind w:firstLine="480"/>
              <w:jc w:val="left"/>
              <w:outlineLvl w:val="9"/>
              <w:rPr>
                <w:rFonts w:hint="eastAsia" w:ascii="宋体" w:hAnsi="宋体" w:eastAsia="宋体" w:cs="宋体"/>
                <w:color w:val="auto"/>
                <w:szCs w:val="21"/>
                <w:highlight w:val="none"/>
              </w:rPr>
            </w:pPr>
          </w:p>
        </w:tc>
      </w:tr>
      <w:tr w14:paraId="094E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709" w:type="dxa"/>
            <w:vAlign w:val="top"/>
          </w:tcPr>
          <w:p w14:paraId="5BA5C4A8">
            <w:pPr>
              <w:widowControl/>
              <w:kinsoku w:val="0"/>
              <w:autoSpaceDE w:val="0"/>
              <w:autoSpaceDN w:val="0"/>
              <w:adjustRightInd w:val="0"/>
              <w:snapToGrid w:val="0"/>
              <w:spacing w:before="69" w:line="183" w:lineRule="auto"/>
              <w:ind w:left="323"/>
              <w:jc w:val="left"/>
              <w:textAlignment w:val="baseline"/>
              <w:outlineLvl w:val="9"/>
              <w:rPr>
                <w:rFonts w:hint="eastAsia" w:ascii="宋体" w:hAnsi="宋体" w:cs="宋体"/>
                <w:snapToGrid w:val="0"/>
                <w:color w:val="auto"/>
                <w:kern w:val="0"/>
                <w:szCs w:val="21"/>
                <w:highlight w:val="none"/>
              </w:rPr>
            </w:pPr>
          </w:p>
          <w:p w14:paraId="1F90BE92">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snapToGrid w:val="0"/>
                <w:color w:val="auto"/>
                <w:kern w:val="0"/>
                <w:szCs w:val="21"/>
                <w:highlight w:val="none"/>
              </w:rPr>
              <w:t>6</w:t>
            </w:r>
          </w:p>
        </w:tc>
        <w:tc>
          <w:tcPr>
            <w:tcW w:w="5855" w:type="dxa"/>
            <w:vAlign w:val="center"/>
          </w:tcPr>
          <w:p w14:paraId="00F0F59D">
            <w:pPr>
              <w:spacing w:line="276" w:lineRule="auto"/>
              <w:outlineLvl w:val="9"/>
              <w:rPr>
                <w:rFonts w:hint="eastAsia" w:ascii="宋体" w:hAnsi="宋体" w:eastAsia="宋体" w:cs="黑体"/>
                <w:color w:val="auto"/>
                <w:kern w:val="2"/>
                <w:sz w:val="21"/>
                <w:szCs w:val="21"/>
                <w:highlight w:val="none"/>
                <w:lang w:val="en-US" w:eastAsia="zh-CN" w:bidi="ar-SA"/>
              </w:rPr>
            </w:pPr>
            <w:r>
              <w:rPr>
                <w:rFonts w:hint="eastAsia" w:ascii="宋体" w:cs="宋体"/>
                <w:color w:val="auto"/>
                <w:szCs w:val="21"/>
                <w:highlight w:val="none"/>
              </w:rPr>
              <w:t>参加政府采购活动前3年内在经营活动中没有重大违法记录的书面声明</w:t>
            </w:r>
            <w:r>
              <w:rPr>
                <w:rFonts w:hint="eastAsia" w:ascii="宋体" w:cs="宋体"/>
                <w:color w:val="auto"/>
                <w:szCs w:val="21"/>
                <w:highlight w:val="none"/>
                <w:lang w:eastAsia="zh-CN"/>
              </w:rPr>
              <w:t>，</w:t>
            </w:r>
            <w:r>
              <w:rPr>
                <w:rFonts w:hint="eastAsia" w:ascii="宋体" w:cs="宋体"/>
                <w:color w:val="auto"/>
                <w:szCs w:val="21"/>
                <w:highlight w:val="none"/>
                <w:lang w:val="en-US" w:eastAsia="zh-CN"/>
              </w:rPr>
              <w:t>提供</w:t>
            </w:r>
            <w:r>
              <w:rPr>
                <w:rFonts w:hint="eastAsia" w:ascii="宋体" w:cs="宋体"/>
                <w:color w:val="auto"/>
                <w:szCs w:val="21"/>
                <w:highlight w:val="none"/>
              </w:rPr>
              <w:t>声明情况。</w:t>
            </w:r>
          </w:p>
        </w:tc>
        <w:tc>
          <w:tcPr>
            <w:tcW w:w="709" w:type="dxa"/>
            <w:vAlign w:val="center"/>
          </w:tcPr>
          <w:p w14:paraId="04CF1423">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7AEE8551">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3BCD7FD6">
            <w:pPr>
              <w:adjustRightInd w:val="0"/>
              <w:snapToGrid w:val="0"/>
              <w:spacing w:line="400" w:lineRule="exact"/>
              <w:ind w:firstLine="480"/>
              <w:jc w:val="left"/>
              <w:outlineLvl w:val="9"/>
              <w:rPr>
                <w:rFonts w:hint="eastAsia" w:ascii="宋体" w:hAnsi="宋体" w:eastAsia="宋体" w:cs="宋体"/>
                <w:color w:val="auto"/>
                <w:szCs w:val="21"/>
                <w:highlight w:val="none"/>
              </w:rPr>
            </w:pPr>
          </w:p>
        </w:tc>
      </w:tr>
      <w:tr w14:paraId="762B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09" w:type="dxa"/>
            <w:vAlign w:val="center"/>
          </w:tcPr>
          <w:p w14:paraId="5B050919">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rPr>
              <w:t>7</w:t>
            </w:r>
          </w:p>
        </w:tc>
        <w:tc>
          <w:tcPr>
            <w:tcW w:w="5855" w:type="dxa"/>
            <w:vAlign w:val="center"/>
          </w:tcPr>
          <w:p w14:paraId="5A91A376">
            <w:pPr>
              <w:spacing w:line="276" w:lineRule="auto"/>
              <w:outlineLvl w:val="9"/>
              <w:rPr>
                <w:rFonts w:hint="eastAsia" w:ascii="宋体" w:hAnsi="宋体" w:eastAsia="宋体"/>
                <w:color w:val="auto"/>
                <w:szCs w:val="21"/>
                <w:highlight w:val="none"/>
              </w:rPr>
            </w:pPr>
            <w:r>
              <w:rPr>
                <w:rFonts w:hint="eastAsia" w:ascii="宋体" w:hAnsi="宋体" w:eastAsia="宋体"/>
                <w:color w:val="auto"/>
                <w:szCs w:val="21"/>
                <w:highlight w:val="none"/>
              </w:rPr>
              <w:t>信用记录符合要求情况</w:t>
            </w:r>
          </w:p>
          <w:p w14:paraId="3E898FFA">
            <w:pPr>
              <w:spacing w:line="276" w:lineRule="auto"/>
              <w:outlineLvl w:val="9"/>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rPr>
              <w:t>在本项目投标人须知前附表第</w:t>
            </w:r>
            <w:r>
              <w:rPr>
                <w:rFonts w:hint="eastAsia" w:ascii="宋体" w:hAnsi="宋体" w:eastAsia="宋体"/>
                <w:color w:val="auto"/>
                <w:szCs w:val="21"/>
                <w:highlight w:val="none"/>
                <w:lang w:val="en-US" w:eastAsia="zh-CN"/>
              </w:rPr>
              <w:t>21</w:t>
            </w:r>
            <w:r>
              <w:rPr>
                <w:rFonts w:hint="eastAsia" w:ascii="宋体" w:hAnsi="宋体" w:eastAsia="宋体"/>
                <w:color w:val="auto"/>
                <w:szCs w:val="21"/>
                <w:highlight w:val="none"/>
              </w:rPr>
              <w:t>项指定网站不能查询信用信息的投标人，应提供相关证明材料（原件扫描件加盖公章）</w:t>
            </w:r>
          </w:p>
        </w:tc>
        <w:tc>
          <w:tcPr>
            <w:tcW w:w="709" w:type="dxa"/>
            <w:vAlign w:val="center"/>
          </w:tcPr>
          <w:p w14:paraId="427C32EC">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485875BB">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23223A19">
            <w:pPr>
              <w:adjustRightInd w:val="0"/>
              <w:snapToGrid w:val="0"/>
              <w:spacing w:line="400" w:lineRule="exact"/>
              <w:ind w:firstLine="480"/>
              <w:jc w:val="left"/>
              <w:outlineLvl w:val="9"/>
              <w:rPr>
                <w:rFonts w:hint="eastAsia" w:ascii="宋体" w:hAnsi="宋体" w:eastAsia="宋体" w:cs="宋体"/>
                <w:color w:val="auto"/>
                <w:szCs w:val="21"/>
                <w:highlight w:val="none"/>
              </w:rPr>
            </w:pPr>
          </w:p>
        </w:tc>
      </w:tr>
      <w:tr w14:paraId="06D0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0DD69B0C">
            <w:pPr>
              <w:snapToGrid w:val="0"/>
              <w:spacing w:line="400" w:lineRule="exact"/>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8</w:t>
            </w:r>
          </w:p>
        </w:tc>
        <w:tc>
          <w:tcPr>
            <w:tcW w:w="5855" w:type="dxa"/>
            <w:vAlign w:val="center"/>
          </w:tcPr>
          <w:p w14:paraId="68DDB355">
            <w:pPr>
              <w:spacing w:line="276" w:lineRule="auto"/>
              <w:outlineLvl w:val="9"/>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rPr>
              <w:t>其他资格证明文件</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如有</w:t>
            </w:r>
            <w:r>
              <w:rPr>
                <w:rFonts w:hint="eastAsia" w:ascii="宋体" w:hAnsi="宋体" w:eastAsia="宋体"/>
                <w:color w:val="auto"/>
                <w:szCs w:val="21"/>
                <w:highlight w:val="none"/>
                <w:lang w:eastAsia="zh-CN"/>
              </w:rPr>
              <w:t>）</w:t>
            </w:r>
          </w:p>
        </w:tc>
        <w:tc>
          <w:tcPr>
            <w:tcW w:w="709" w:type="dxa"/>
            <w:vAlign w:val="center"/>
          </w:tcPr>
          <w:p w14:paraId="6807A176">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709" w:type="dxa"/>
            <w:vAlign w:val="center"/>
          </w:tcPr>
          <w:p w14:paraId="6E0A66A0">
            <w:pPr>
              <w:adjustRightInd w:val="0"/>
              <w:snapToGrid w:val="0"/>
              <w:spacing w:line="400" w:lineRule="exact"/>
              <w:ind w:firstLine="480"/>
              <w:jc w:val="left"/>
              <w:outlineLvl w:val="9"/>
              <w:rPr>
                <w:rFonts w:hint="eastAsia" w:ascii="宋体" w:hAnsi="宋体" w:eastAsia="宋体" w:cs="宋体"/>
                <w:color w:val="auto"/>
                <w:szCs w:val="21"/>
                <w:highlight w:val="none"/>
              </w:rPr>
            </w:pPr>
          </w:p>
        </w:tc>
        <w:tc>
          <w:tcPr>
            <w:tcW w:w="694" w:type="dxa"/>
            <w:vAlign w:val="center"/>
          </w:tcPr>
          <w:p w14:paraId="25D06EC6">
            <w:pPr>
              <w:adjustRightInd w:val="0"/>
              <w:snapToGrid w:val="0"/>
              <w:spacing w:line="400" w:lineRule="exact"/>
              <w:ind w:firstLine="480"/>
              <w:jc w:val="left"/>
              <w:outlineLvl w:val="9"/>
              <w:rPr>
                <w:rFonts w:hint="eastAsia" w:ascii="宋体" w:hAnsi="宋体" w:eastAsia="宋体" w:cs="宋体"/>
                <w:color w:val="auto"/>
                <w:szCs w:val="21"/>
                <w:highlight w:val="none"/>
              </w:rPr>
            </w:pPr>
          </w:p>
        </w:tc>
      </w:tr>
      <w:tr w14:paraId="53A1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564" w:type="dxa"/>
            <w:gridSpan w:val="2"/>
            <w:vAlign w:val="center"/>
          </w:tcPr>
          <w:p w14:paraId="6A072198">
            <w:pPr>
              <w:adjustRightInd w:val="0"/>
              <w:snapToGrid w:val="0"/>
              <w:ind w:firstLine="431"/>
              <w:jc w:val="center"/>
              <w:outlineLvl w:val="9"/>
              <w:rPr>
                <w:rFonts w:hint="eastAsia" w:ascii="宋体" w:hAnsi="宋体" w:eastAsia="宋体" w:cs="宋体"/>
                <w:b/>
                <w:bCs/>
                <w:color w:val="auto"/>
                <w:spacing w:val="-12"/>
                <w:szCs w:val="21"/>
                <w:highlight w:val="none"/>
              </w:rPr>
            </w:pPr>
            <w:r>
              <w:rPr>
                <w:rFonts w:hint="eastAsia" w:ascii="宋体" w:hAnsi="宋体" w:eastAsia="宋体" w:cs="宋体"/>
                <w:b/>
                <w:bCs/>
                <w:color w:val="auto"/>
                <w:spacing w:val="-12"/>
                <w:szCs w:val="21"/>
                <w:highlight w:val="none"/>
              </w:rPr>
              <w:t>审查结论</w:t>
            </w:r>
          </w:p>
        </w:tc>
        <w:tc>
          <w:tcPr>
            <w:tcW w:w="709" w:type="dxa"/>
            <w:vAlign w:val="center"/>
          </w:tcPr>
          <w:p w14:paraId="386E1574">
            <w:pPr>
              <w:adjustRightInd w:val="0"/>
              <w:snapToGrid w:val="0"/>
              <w:spacing w:line="400" w:lineRule="exact"/>
              <w:ind w:firstLine="480"/>
              <w:jc w:val="center"/>
              <w:outlineLvl w:val="9"/>
              <w:rPr>
                <w:rFonts w:hint="eastAsia" w:ascii="宋体" w:hAnsi="宋体" w:eastAsia="宋体" w:cs="宋体"/>
                <w:b/>
                <w:bCs/>
                <w:color w:val="auto"/>
                <w:szCs w:val="21"/>
                <w:highlight w:val="none"/>
              </w:rPr>
            </w:pPr>
          </w:p>
        </w:tc>
        <w:tc>
          <w:tcPr>
            <w:tcW w:w="709" w:type="dxa"/>
            <w:vAlign w:val="center"/>
          </w:tcPr>
          <w:p w14:paraId="44C419E7">
            <w:pPr>
              <w:adjustRightInd w:val="0"/>
              <w:snapToGrid w:val="0"/>
              <w:spacing w:line="400" w:lineRule="exact"/>
              <w:ind w:firstLine="480"/>
              <w:jc w:val="center"/>
              <w:outlineLvl w:val="9"/>
              <w:rPr>
                <w:rFonts w:hint="eastAsia" w:ascii="宋体" w:hAnsi="宋体" w:eastAsia="宋体" w:cs="宋体"/>
                <w:b/>
                <w:bCs/>
                <w:color w:val="auto"/>
                <w:szCs w:val="21"/>
                <w:highlight w:val="none"/>
              </w:rPr>
            </w:pPr>
          </w:p>
        </w:tc>
        <w:tc>
          <w:tcPr>
            <w:tcW w:w="694" w:type="dxa"/>
            <w:vAlign w:val="center"/>
          </w:tcPr>
          <w:p w14:paraId="42D22D99">
            <w:pPr>
              <w:adjustRightInd w:val="0"/>
              <w:snapToGrid w:val="0"/>
              <w:spacing w:line="400" w:lineRule="exact"/>
              <w:ind w:firstLine="480"/>
              <w:jc w:val="center"/>
              <w:outlineLvl w:val="9"/>
              <w:rPr>
                <w:rFonts w:hint="eastAsia" w:ascii="宋体" w:hAnsi="宋体" w:eastAsia="宋体" w:cs="宋体"/>
                <w:b/>
                <w:bCs/>
                <w:color w:val="auto"/>
                <w:szCs w:val="21"/>
                <w:highlight w:val="none"/>
              </w:rPr>
            </w:pPr>
          </w:p>
        </w:tc>
      </w:tr>
      <w:tr w14:paraId="7E0D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8676" w:type="dxa"/>
            <w:gridSpan w:val="5"/>
            <w:vAlign w:val="top"/>
          </w:tcPr>
          <w:p w14:paraId="52EB6E6D">
            <w:pPr>
              <w:adjustRightInd w:val="0"/>
              <w:snapToGrid w:val="0"/>
              <w:spacing w:line="400" w:lineRule="exac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备注：（有不符合项的，需在此处详细写明理由）</w:t>
            </w:r>
          </w:p>
          <w:p w14:paraId="51844DD5">
            <w:pPr>
              <w:adjustRightInd w:val="0"/>
              <w:snapToGrid w:val="0"/>
              <w:spacing w:line="400" w:lineRule="exact"/>
              <w:ind w:firstLine="630" w:firstLineChars="3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审查人签字：</w:t>
            </w:r>
          </w:p>
          <w:p w14:paraId="2C35F6F7">
            <w:pPr>
              <w:adjustRightInd w:val="0"/>
              <w:snapToGrid w:val="0"/>
              <w:spacing w:line="400" w:lineRule="exact"/>
              <w:ind w:firstLine="630" w:firstLineChars="3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审查人单位：</w:t>
            </w:r>
          </w:p>
        </w:tc>
      </w:tr>
    </w:tbl>
    <w:p w14:paraId="627E04E0">
      <w:pPr>
        <w:outlineLvl w:val="9"/>
        <w:rPr>
          <w:rFonts w:hint="eastAsia" w:ascii="宋体" w:hAnsi="宋体" w:eastAsia="宋体" w:cs="宋体"/>
          <w:color w:val="auto"/>
          <w:szCs w:val="21"/>
          <w:highlight w:val="none"/>
        </w:rPr>
      </w:pPr>
    </w:p>
    <w:p w14:paraId="1992817C">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注：1、资格审查由采购人或代理机构进行，至少两人。</w:t>
      </w:r>
    </w:p>
    <w:p w14:paraId="00E3FE15">
      <w:pPr>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2、审查情况或结论合格打√，不合格打×，不合格原因请在备注栏内注明。</w:t>
      </w:r>
    </w:p>
    <w:p w14:paraId="03660FC4">
      <w:pPr>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3、《资格性审查表》是资格性评审的依据，不得对《资格性审查表》以外的内容进行资格审查。</w:t>
      </w:r>
    </w:p>
    <w:p w14:paraId="1B0D14DE">
      <w:pPr>
        <w:jc w:val="left"/>
        <w:outlineLvl w:val="9"/>
        <w:rPr>
          <w:rFonts w:hint="eastAsia" w:ascii="宋体" w:hAnsi="宋体" w:eastAsia="宋体" w:cs="宋体"/>
          <w:color w:val="auto"/>
          <w:szCs w:val="21"/>
          <w:highlight w:val="none"/>
        </w:rPr>
      </w:pPr>
    </w:p>
    <w:p w14:paraId="03ECAE69">
      <w:pPr>
        <w:jc w:val="left"/>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561B17C3">
      <w:pPr>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符合性审查表</w:t>
      </w:r>
    </w:p>
    <w:tbl>
      <w:tblPr>
        <w:tblStyle w:val="22"/>
        <w:tblW w:w="9075"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5130"/>
        <w:gridCol w:w="773"/>
        <w:gridCol w:w="773"/>
        <w:gridCol w:w="773"/>
        <w:gridCol w:w="775"/>
      </w:tblGrid>
      <w:tr w14:paraId="2529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51" w:type="dxa"/>
            <w:vMerge w:val="restart"/>
            <w:vAlign w:val="center"/>
          </w:tcPr>
          <w:p w14:paraId="13117099">
            <w:pPr>
              <w:autoSpaceDE w:val="0"/>
              <w:autoSpaceDN w:val="0"/>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5130" w:type="dxa"/>
            <w:vMerge w:val="restart"/>
            <w:vAlign w:val="center"/>
          </w:tcPr>
          <w:p w14:paraId="2AEB4394">
            <w:pPr>
              <w:autoSpaceDE w:val="0"/>
              <w:autoSpaceDN w:val="0"/>
              <w:adjustRightInd w:val="0"/>
              <w:ind w:firstLine="56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审查内容</w:t>
            </w:r>
          </w:p>
        </w:tc>
        <w:tc>
          <w:tcPr>
            <w:tcW w:w="3094" w:type="dxa"/>
            <w:gridSpan w:val="4"/>
            <w:vAlign w:val="center"/>
          </w:tcPr>
          <w:p w14:paraId="71015C64">
            <w:pPr>
              <w:ind w:firstLine="56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tc>
      </w:tr>
      <w:tr w14:paraId="577D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51" w:type="dxa"/>
            <w:vMerge w:val="continue"/>
            <w:vAlign w:val="center"/>
          </w:tcPr>
          <w:p w14:paraId="0FA4B565">
            <w:pPr>
              <w:autoSpaceDE w:val="0"/>
              <w:autoSpaceDN w:val="0"/>
              <w:adjustRightInd w:val="0"/>
              <w:ind w:firstLine="640"/>
              <w:jc w:val="center"/>
              <w:outlineLvl w:val="9"/>
              <w:rPr>
                <w:rFonts w:hint="eastAsia" w:ascii="宋体" w:hAnsi="宋体" w:eastAsia="宋体" w:cs="宋体"/>
                <w:color w:val="auto"/>
                <w:szCs w:val="21"/>
                <w:highlight w:val="none"/>
              </w:rPr>
            </w:pPr>
          </w:p>
        </w:tc>
        <w:tc>
          <w:tcPr>
            <w:tcW w:w="5130" w:type="dxa"/>
            <w:vMerge w:val="continue"/>
            <w:vAlign w:val="center"/>
          </w:tcPr>
          <w:p w14:paraId="1A4098C9">
            <w:pPr>
              <w:autoSpaceDE w:val="0"/>
              <w:autoSpaceDN w:val="0"/>
              <w:adjustRightInd w:val="0"/>
              <w:ind w:firstLine="640"/>
              <w:jc w:val="center"/>
              <w:outlineLvl w:val="9"/>
              <w:rPr>
                <w:rFonts w:hint="eastAsia" w:ascii="宋体" w:hAnsi="宋体" w:eastAsia="宋体" w:cs="宋体"/>
                <w:color w:val="auto"/>
                <w:szCs w:val="21"/>
                <w:highlight w:val="none"/>
              </w:rPr>
            </w:pPr>
          </w:p>
        </w:tc>
        <w:tc>
          <w:tcPr>
            <w:tcW w:w="773" w:type="dxa"/>
            <w:vAlign w:val="center"/>
          </w:tcPr>
          <w:p w14:paraId="4BE76C02">
            <w:pPr>
              <w:ind w:firstLine="640"/>
              <w:jc w:val="center"/>
              <w:outlineLvl w:val="9"/>
              <w:rPr>
                <w:rFonts w:hint="eastAsia" w:ascii="宋体" w:hAnsi="宋体" w:eastAsia="宋体" w:cs="宋体"/>
                <w:color w:val="auto"/>
                <w:szCs w:val="21"/>
                <w:highlight w:val="none"/>
              </w:rPr>
            </w:pPr>
          </w:p>
        </w:tc>
        <w:tc>
          <w:tcPr>
            <w:tcW w:w="773" w:type="dxa"/>
            <w:vAlign w:val="center"/>
          </w:tcPr>
          <w:p w14:paraId="7FE156DA">
            <w:pPr>
              <w:ind w:firstLine="640"/>
              <w:jc w:val="center"/>
              <w:outlineLvl w:val="9"/>
              <w:rPr>
                <w:rFonts w:hint="eastAsia" w:ascii="宋体" w:hAnsi="宋体" w:eastAsia="宋体" w:cs="宋体"/>
                <w:color w:val="auto"/>
                <w:szCs w:val="21"/>
                <w:highlight w:val="none"/>
              </w:rPr>
            </w:pPr>
          </w:p>
        </w:tc>
        <w:tc>
          <w:tcPr>
            <w:tcW w:w="773" w:type="dxa"/>
            <w:vAlign w:val="center"/>
          </w:tcPr>
          <w:p w14:paraId="65B734CE">
            <w:pPr>
              <w:ind w:firstLine="640"/>
              <w:jc w:val="center"/>
              <w:outlineLvl w:val="9"/>
              <w:rPr>
                <w:rFonts w:hint="eastAsia" w:ascii="宋体" w:hAnsi="宋体" w:eastAsia="宋体" w:cs="宋体"/>
                <w:color w:val="auto"/>
                <w:szCs w:val="21"/>
                <w:highlight w:val="none"/>
              </w:rPr>
            </w:pPr>
          </w:p>
        </w:tc>
        <w:tc>
          <w:tcPr>
            <w:tcW w:w="775" w:type="dxa"/>
            <w:vAlign w:val="center"/>
          </w:tcPr>
          <w:p w14:paraId="2C3165A8">
            <w:pPr>
              <w:ind w:firstLine="640"/>
              <w:jc w:val="center"/>
              <w:outlineLvl w:val="9"/>
              <w:rPr>
                <w:rFonts w:hint="eastAsia" w:ascii="宋体" w:hAnsi="宋体" w:eastAsia="宋体" w:cs="宋体"/>
                <w:color w:val="auto"/>
                <w:szCs w:val="21"/>
                <w:highlight w:val="none"/>
              </w:rPr>
            </w:pPr>
          </w:p>
        </w:tc>
      </w:tr>
      <w:tr w14:paraId="1F01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49489E60">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5130" w:type="dxa"/>
            <w:vAlign w:val="center"/>
          </w:tcPr>
          <w:p w14:paraId="59A908C1">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投标有效期满足招标文件要求。</w:t>
            </w:r>
          </w:p>
        </w:tc>
        <w:tc>
          <w:tcPr>
            <w:tcW w:w="773" w:type="dxa"/>
            <w:vAlign w:val="center"/>
          </w:tcPr>
          <w:p w14:paraId="7B8E298F">
            <w:pPr>
              <w:ind w:firstLine="640"/>
              <w:jc w:val="center"/>
              <w:outlineLvl w:val="9"/>
              <w:rPr>
                <w:rFonts w:hint="eastAsia" w:ascii="宋体" w:hAnsi="宋体" w:eastAsia="宋体" w:cs="宋体"/>
                <w:color w:val="auto"/>
                <w:szCs w:val="21"/>
                <w:highlight w:val="none"/>
              </w:rPr>
            </w:pPr>
          </w:p>
        </w:tc>
        <w:tc>
          <w:tcPr>
            <w:tcW w:w="773" w:type="dxa"/>
            <w:vAlign w:val="center"/>
          </w:tcPr>
          <w:p w14:paraId="248A304B">
            <w:pPr>
              <w:ind w:firstLine="640"/>
              <w:jc w:val="center"/>
              <w:outlineLvl w:val="9"/>
              <w:rPr>
                <w:rFonts w:hint="eastAsia" w:ascii="宋体" w:hAnsi="宋体" w:eastAsia="宋体" w:cs="宋体"/>
                <w:color w:val="auto"/>
                <w:szCs w:val="21"/>
                <w:highlight w:val="none"/>
              </w:rPr>
            </w:pPr>
          </w:p>
        </w:tc>
        <w:tc>
          <w:tcPr>
            <w:tcW w:w="773" w:type="dxa"/>
            <w:vAlign w:val="center"/>
          </w:tcPr>
          <w:p w14:paraId="61088A18">
            <w:pPr>
              <w:ind w:firstLine="640"/>
              <w:jc w:val="center"/>
              <w:outlineLvl w:val="9"/>
              <w:rPr>
                <w:rFonts w:hint="eastAsia" w:ascii="宋体" w:hAnsi="宋体" w:eastAsia="宋体" w:cs="宋体"/>
                <w:color w:val="auto"/>
                <w:szCs w:val="21"/>
                <w:highlight w:val="none"/>
              </w:rPr>
            </w:pPr>
          </w:p>
        </w:tc>
        <w:tc>
          <w:tcPr>
            <w:tcW w:w="775" w:type="dxa"/>
            <w:vAlign w:val="center"/>
          </w:tcPr>
          <w:p w14:paraId="073317C1">
            <w:pPr>
              <w:ind w:firstLine="640"/>
              <w:jc w:val="center"/>
              <w:outlineLvl w:val="9"/>
              <w:rPr>
                <w:rFonts w:hint="eastAsia" w:ascii="宋体" w:hAnsi="宋体" w:eastAsia="宋体" w:cs="宋体"/>
                <w:color w:val="auto"/>
                <w:szCs w:val="21"/>
                <w:highlight w:val="none"/>
              </w:rPr>
            </w:pPr>
          </w:p>
        </w:tc>
      </w:tr>
      <w:tr w14:paraId="01C5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18BC57DE">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5130" w:type="dxa"/>
            <w:vAlign w:val="center"/>
          </w:tcPr>
          <w:p w14:paraId="19F5357E">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投标文件完整性符合招标文件实质性要求</w:t>
            </w:r>
          </w:p>
        </w:tc>
        <w:tc>
          <w:tcPr>
            <w:tcW w:w="773" w:type="dxa"/>
            <w:vAlign w:val="center"/>
          </w:tcPr>
          <w:p w14:paraId="7A42812F">
            <w:pPr>
              <w:ind w:firstLine="640"/>
              <w:jc w:val="center"/>
              <w:outlineLvl w:val="9"/>
              <w:rPr>
                <w:rFonts w:hint="eastAsia" w:ascii="宋体" w:hAnsi="宋体" w:eastAsia="宋体" w:cs="宋体"/>
                <w:color w:val="auto"/>
                <w:szCs w:val="21"/>
                <w:highlight w:val="none"/>
              </w:rPr>
            </w:pPr>
          </w:p>
        </w:tc>
        <w:tc>
          <w:tcPr>
            <w:tcW w:w="773" w:type="dxa"/>
            <w:vAlign w:val="center"/>
          </w:tcPr>
          <w:p w14:paraId="3702F499">
            <w:pPr>
              <w:ind w:firstLine="640"/>
              <w:jc w:val="center"/>
              <w:outlineLvl w:val="9"/>
              <w:rPr>
                <w:rFonts w:hint="eastAsia" w:ascii="宋体" w:hAnsi="宋体" w:eastAsia="宋体" w:cs="宋体"/>
                <w:color w:val="auto"/>
                <w:szCs w:val="21"/>
                <w:highlight w:val="none"/>
              </w:rPr>
            </w:pPr>
          </w:p>
        </w:tc>
        <w:tc>
          <w:tcPr>
            <w:tcW w:w="773" w:type="dxa"/>
            <w:vAlign w:val="center"/>
          </w:tcPr>
          <w:p w14:paraId="2A2D21B4">
            <w:pPr>
              <w:ind w:firstLine="640"/>
              <w:jc w:val="center"/>
              <w:outlineLvl w:val="9"/>
              <w:rPr>
                <w:rFonts w:hint="eastAsia" w:ascii="宋体" w:hAnsi="宋体" w:eastAsia="宋体" w:cs="宋体"/>
                <w:color w:val="auto"/>
                <w:szCs w:val="21"/>
                <w:highlight w:val="none"/>
              </w:rPr>
            </w:pPr>
          </w:p>
        </w:tc>
        <w:tc>
          <w:tcPr>
            <w:tcW w:w="775" w:type="dxa"/>
            <w:vAlign w:val="center"/>
          </w:tcPr>
          <w:p w14:paraId="7B04B4F7">
            <w:pPr>
              <w:ind w:firstLine="640"/>
              <w:jc w:val="center"/>
              <w:outlineLvl w:val="9"/>
              <w:rPr>
                <w:rFonts w:hint="eastAsia" w:ascii="宋体" w:hAnsi="宋体" w:eastAsia="宋体" w:cs="宋体"/>
                <w:color w:val="auto"/>
                <w:szCs w:val="21"/>
                <w:highlight w:val="none"/>
              </w:rPr>
            </w:pPr>
          </w:p>
        </w:tc>
      </w:tr>
      <w:tr w14:paraId="5E06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48471DDD">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5130" w:type="dxa"/>
            <w:vAlign w:val="center"/>
          </w:tcPr>
          <w:p w14:paraId="77785027">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投标文件签署情况符合招标文件实质性要求</w:t>
            </w:r>
          </w:p>
        </w:tc>
        <w:tc>
          <w:tcPr>
            <w:tcW w:w="773" w:type="dxa"/>
            <w:vAlign w:val="center"/>
          </w:tcPr>
          <w:p w14:paraId="49D15535">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0B83B2EF">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26F5F6B2">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4BEA01A4">
            <w:pPr>
              <w:ind w:firstLine="422" w:firstLineChars="200"/>
              <w:jc w:val="center"/>
              <w:outlineLvl w:val="9"/>
              <w:rPr>
                <w:rFonts w:hint="eastAsia" w:ascii="宋体" w:hAnsi="宋体" w:eastAsia="宋体" w:cs="宋体"/>
                <w:b/>
                <w:color w:val="auto"/>
                <w:kern w:val="0"/>
                <w:szCs w:val="21"/>
                <w:highlight w:val="none"/>
              </w:rPr>
            </w:pPr>
          </w:p>
        </w:tc>
      </w:tr>
      <w:tr w14:paraId="648B9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5B8181ED">
            <w:pPr>
              <w:jc w:val="center"/>
              <w:outlineLvl w:val="9"/>
              <w:rPr>
                <w:rFonts w:hint="eastAsia" w:ascii="宋体" w:hAnsi="宋体" w:eastAsia="宋体" w:cs="宋体"/>
                <w:color w:val="auto"/>
                <w:szCs w:val="21"/>
                <w:highlight w:val="none"/>
              </w:rPr>
            </w:pPr>
            <w:r>
              <w:rPr>
                <w:rFonts w:hint="eastAsia" w:ascii="宋体" w:hAnsi="宋体"/>
                <w:color w:val="auto"/>
                <w:szCs w:val="21"/>
                <w:highlight w:val="none"/>
              </w:rPr>
              <w:t>4</w:t>
            </w:r>
          </w:p>
        </w:tc>
        <w:tc>
          <w:tcPr>
            <w:tcW w:w="5130" w:type="dxa"/>
            <w:vAlign w:val="center"/>
          </w:tcPr>
          <w:p w14:paraId="535362F7">
            <w:pPr>
              <w:jc w:val="left"/>
              <w:outlineLvl w:val="9"/>
              <w:rPr>
                <w:rFonts w:hint="eastAsia" w:ascii="宋体" w:hAnsi="宋体" w:eastAsia="宋体" w:cs="宋体"/>
                <w:color w:val="auto"/>
                <w:szCs w:val="21"/>
                <w:highlight w:val="none"/>
              </w:rPr>
            </w:pPr>
            <w:r>
              <w:rPr>
                <w:rFonts w:hint="eastAsia" w:ascii="宋体" w:hAnsi="宋体"/>
                <w:color w:val="auto"/>
                <w:szCs w:val="21"/>
                <w:highlight w:val="none"/>
              </w:rPr>
              <w:t>按照招标文件规定报价，没有漏项</w:t>
            </w:r>
            <w:r>
              <w:rPr>
                <w:rFonts w:hint="eastAsia" w:ascii="宋体" w:hAnsi="宋体"/>
                <w:color w:val="auto"/>
                <w:szCs w:val="21"/>
                <w:highlight w:val="none"/>
                <w:lang w:eastAsia="zh-CN"/>
              </w:rPr>
              <w:t>，且</w:t>
            </w:r>
            <w:r>
              <w:rPr>
                <w:rFonts w:hint="eastAsia" w:ascii="宋体" w:hAnsi="宋体" w:cs="宋体"/>
                <w:color w:val="auto"/>
                <w:szCs w:val="21"/>
                <w:highlight w:val="none"/>
              </w:rPr>
              <w:t>报价未超过招标文件中规定的预算金额或者最高限价的。异常低价供应商能提供书面说明、证明材料，且提供的书面说明、证明材料能证明其报价合理性。</w:t>
            </w:r>
          </w:p>
        </w:tc>
        <w:tc>
          <w:tcPr>
            <w:tcW w:w="773" w:type="dxa"/>
            <w:vAlign w:val="center"/>
          </w:tcPr>
          <w:p w14:paraId="2A1BAD4B">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7F3807A2">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652BE475">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7875EDC7">
            <w:pPr>
              <w:ind w:firstLine="422" w:firstLineChars="200"/>
              <w:jc w:val="center"/>
              <w:outlineLvl w:val="9"/>
              <w:rPr>
                <w:rFonts w:hint="eastAsia" w:ascii="宋体" w:hAnsi="宋体" w:eastAsia="宋体" w:cs="宋体"/>
                <w:b/>
                <w:color w:val="auto"/>
                <w:kern w:val="0"/>
                <w:szCs w:val="21"/>
                <w:highlight w:val="none"/>
              </w:rPr>
            </w:pPr>
          </w:p>
        </w:tc>
      </w:tr>
      <w:tr w14:paraId="2B80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4901F905">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5130" w:type="dxa"/>
            <w:vAlign w:val="center"/>
          </w:tcPr>
          <w:p w14:paraId="25DB2231">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对招标文件项目采购需求中的“★”条款做出实质性响应，未发生重大偏离。</w:t>
            </w:r>
          </w:p>
        </w:tc>
        <w:tc>
          <w:tcPr>
            <w:tcW w:w="773" w:type="dxa"/>
            <w:vAlign w:val="center"/>
          </w:tcPr>
          <w:p w14:paraId="31E43EA8">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0B7E85B3">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3BA3A3ED">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403522D5">
            <w:pPr>
              <w:ind w:firstLine="422" w:firstLineChars="200"/>
              <w:jc w:val="center"/>
              <w:outlineLvl w:val="9"/>
              <w:rPr>
                <w:rFonts w:hint="eastAsia" w:ascii="宋体" w:hAnsi="宋体" w:eastAsia="宋体" w:cs="宋体"/>
                <w:b/>
                <w:color w:val="auto"/>
                <w:kern w:val="0"/>
                <w:szCs w:val="21"/>
                <w:highlight w:val="none"/>
              </w:rPr>
            </w:pPr>
          </w:p>
        </w:tc>
      </w:tr>
      <w:tr w14:paraId="5185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0285B440">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5130" w:type="dxa"/>
            <w:vAlign w:val="center"/>
          </w:tcPr>
          <w:p w14:paraId="23666084">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未发现投标人涂改证明材料或者提供虚假材料。</w:t>
            </w:r>
          </w:p>
        </w:tc>
        <w:tc>
          <w:tcPr>
            <w:tcW w:w="773" w:type="dxa"/>
            <w:vAlign w:val="center"/>
          </w:tcPr>
          <w:p w14:paraId="7DB33C3A">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276B669A">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1E0F02A3">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1009CA7C">
            <w:pPr>
              <w:ind w:firstLine="422" w:firstLineChars="200"/>
              <w:jc w:val="center"/>
              <w:outlineLvl w:val="9"/>
              <w:rPr>
                <w:rFonts w:hint="eastAsia" w:ascii="宋体" w:hAnsi="宋体" w:eastAsia="宋体" w:cs="宋体"/>
                <w:b/>
                <w:color w:val="auto"/>
                <w:kern w:val="0"/>
                <w:szCs w:val="21"/>
                <w:highlight w:val="none"/>
              </w:rPr>
            </w:pPr>
          </w:p>
        </w:tc>
      </w:tr>
      <w:tr w14:paraId="3367E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6F804397">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5130" w:type="dxa"/>
            <w:vAlign w:val="center"/>
          </w:tcPr>
          <w:p w14:paraId="623E023C">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未发现投标文件含有招标人不能接受的附加条件。</w:t>
            </w:r>
          </w:p>
        </w:tc>
        <w:tc>
          <w:tcPr>
            <w:tcW w:w="773" w:type="dxa"/>
            <w:vAlign w:val="center"/>
          </w:tcPr>
          <w:p w14:paraId="3BB89553">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0E4B2333">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4F629BAE">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7A0BAECA">
            <w:pPr>
              <w:ind w:firstLine="422" w:firstLineChars="200"/>
              <w:jc w:val="center"/>
              <w:outlineLvl w:val="9"/>
              <w:rPr>
                <w:rFonts w:hint="eastAsia" w:ascii="宋体" w:hAnsi="宋体" w:eastAsia="宋体" w:cs="宋体"/>
                <w:b/>
                <w:color w:val="auto"/>
                <w:kern w:val="0"/>
                <w:szCs w:val="21"/>
                <w:highlight w:val="none"/>
              </w:rPr>
            </w:pPr>
          </w:p>
        </w:tc>
      </w:tr>
      <w:tr w14:paraId="0400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5F41B628">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5130" w:type="dxa"/>
            <w:vAlign w:val="center"/>
          </w:tcPr>
          <w:p w14:paraId="1B55E73D">
            <w:pPr>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未发现其他不符合法律法规</w:t>
            </w:r>
            <w:r>
              <w:rPr>
                <w:rFonts w:hint="eastAsia" w:ascii="宋体" w:hAnsi="宋体" w:eastAsia="宋体" w:cs="宋体"/>
                <w:color w:val="auto"/>
                <w:szCs w:val="24"/>
                <w:highlight w:val="none"/>
              </w:rPr>
              <w:t>和招标文件规定的</w:t>
            </w:r>
            <w:r>
              <w:rPr>
                <w:rFonts w:hint="eastAsia" w:ascii="宋体" w:hAnsi="宋体" w:eastAsia="宋体" w:cs="宋体"/>
                <w:color w:val="auto"/>
                <w:szCs w:val="21"/>
                <w:highlight w:val="none"/>
              </w:rPr>
              <w:t>实质性要求。</w:t>
            </w:r>
          </w:p>
        </w:tc>
        <w:tc>
          <w:tcPr>
            <w:tcW w:w="773" w:type="dxa"/>
            <w:vAlign w:val="center"/>
          </w:tcPr>
          <w:p w14:paraId="371B823D">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11778DF2">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028987F7">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11B4F1B5">
            <w:pPr>
              <w:ind w:firstLine="422" w:firstLineChars="200"/>
              <w:jc w:val="center"/>
              <w:outlineLvl w:val="9"/>
              <w:rPr>
                <w:rFonts w:hint="eastAsia" w:ascii="宋体" w:hAnsi="宋体" w:eastAsia="宋体" w:cs="宋体"/>
                <w:b/>
                <w:color w:val="auto"/>
                <w:kern w:val="0"/>
                <w:szCs w:val="21"/>
                <w:highlight w:val="none"/>
              </w:rPr>
            </w:pPr>
          </w:p>
        </w:tc>
      </w:tr>
      <w:tr w14:paraId="6116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51" w:type="dxa"/>
            <w:vAlign w:val="center"/>
          </w:tcPr>
          <w:p w14:paraId="4B15D59A">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olor w:val="auto"/>
                <w:szCs w:val="21"/>
                <w:highlight w:val="none"/>
                <w:lang w:val="en-US" w:eastAsia="zh-CN"/>
              </w:rPr>
              <w:t>9</w:t>
            </w:r>
          </w:p>
        </w:tc>
        <w:tc>
          <w:tcPr>
            <w:tcW w:w="5130" w:type="dxa"/>
            <w:vAlign w:val="center"/>
          </w:tcPr>
          <w:p w14:paraId="31F82BDC">
            <w:pPr>
              <w:jc w:val="left"/>
              <w:outlineLvl w:val="9"/>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未发现不同投标人的投标文件的内容存在两处以上细节错误一致，且无法合理解释的情况。</w:t>
            </w:r>
          </w:p>
        </w:tc>
        <w:tc>
          <w:tcPr>
            <w:tcW w:w="773" w:type="dxa"/>
            <w:vAlign w:val="center"/>
          </w:tcPr>
          <w:p w14:paraId="19FB59DA">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2FED03D7">
            <w:pPr>
              <w:ind w:firstLine="422" w:firstLineChars="200"/>
              <w:jc w:val="center"/>
              <w:outlineLvl w:val="9"/>
              <w:rPr>
                <w:rFonts w:hint="eastAsia" w:ascii="宋体" w:hAnsi="宋体" w:eastAsia="宋体" w:cs="宋体"/>
                <w:b/>
                <w:color w:val="auto"/>
                <w:kern w:val="0"/>
                <w:szCs w:val="21"/>
                <w:highlight w:val="none"/>
              </w:rPr>
            </w:pPr>
          </w:p>
        </w:tc>
        <w:tc>
          <w:tcPr>
            <w:tcW w:w="773" w:type="dxa"/>
            <w:vAlign w:val="center"/>
          </w:tcPr>
          <w:p w14:paraId="5CBFAD83">
            <w:pPr>
              <w:ind w:firstLine="422" w:firstLineChars="200"/>
              <w:jc w:val="center"/>
              <w:outlineLvl w:val="9"/>
              <w:rPr>
                <w:rFonts w:hint="eastAsia" w:ascii="宋体" w:hAnsi="宋体" w:eastAsia="宋体" w:cs="宋体"/>
                <w:b/>
                <w:color w:val="auto"/>
                <w:kern w:val="0"/>
                <w:szCs w:val="21"/>
                <w:highlight w:val="none"/>
              </w:rPr>
            </w:pPr>
          </w:p>
        </w:tc>
        <w:tc>
          <w:tcPr>
            <w:tcW w:w="775" w:type="dxa"/>
            <w:vAlign w:val="center"/>
          </w:tcPr>
          <w:p w14:paraId="67E3DDB7">
            <w:pPr>
              <w:ind w:firstLine="422" w:firstLineChars="200"/>
              <w:jc w:val="center"/>
              <w:outlineLvl w:val="9"/>
              <w:rPr>
                <w:rFonts w:hint="eastAsia" w:ascii="宋体" w:hAnsi="宋体" w:eastAsia="宋体" w:cs="宋体"/>
                <w:b/>
                <w:color w:val="auto"/>
                <w:kern w:val="0"/>
                <w:szCs w:val="21"/>
                <w:highlight w:val="none"/>
              </w:rPr>
            </w:pPr>
          </w:p>
        </w:tc>
      </w:tr>
      <w:tr w14:paraId="19AAC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981" w:type="dxa"/>
            <w:gridSpan w:val="2"/>
            <w:vAlign w:val="center"/>
          </w:tcPr>
          <w:p w14:paraId="76A6898F">
            <w:pPr>
              <w:ind w:firstLine="420" w:firstLineChars="20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审查结论</w:t>
            </w:r>
          </w:p>
        </w:tc>
        <w:tc>
          <w:tcPr>
            <w:tcW w:w="773" w:type="dxa"/>
            <w:vAlign w:val="center"/>
          </w:tcPr>
          <w:p w14:paraId="7D9C92C0">
            <w:pPr>
              <w:ind w:firstLine="422" w:firstLineChars="200"/>
              <w:jc w:val="center"/>
              <w:outlineLvl w:val="9"/>
              <w:rPr>
                <w:rFonts w:hint="eastAsia" w:ascii="宋体" w:hAnsi="宋体" w:eastAsia="宋体" w:cs="宋体"/>
                <w:b/>
                <w:bCs/>
                <w:color w:val="auto"/>
                <w:kern w:val="44"/>
                <w:szCs w:val="21"/>
                <w:highlight w:val="none"/>
              </w:rPr>
            </w:pPr>
          </w:p>
        </w:tc>
        <w:tc>
          <w:tcPr>
            <w:tcW w:w="773" w:type="dxa"/>
            <w:vAlign w:val="center"/>
          </w:tcPr>
          <w:p w14:paraId="0279B2DF">
            <w:pPr>
              <w:ind w:firstLine="883" w:firstLineChars="200"/>
              <w:jc w:val="center"/>
              <w:outlineLvl w:val="9"/>
              <w:rPr>
                <w:rFonts w:hint="eastAsia" w:ascii="宋体" w:hAnsi="宋体" w:eastAsia="宋体" w:cs="宋体"/>
                <w:b/>
                <w:bCs/>
                <w:color w:val="auto"/>
                <w:kern w:val="44"/>
                <w:sz w:val="44"/>
                <w:szCs w:val="21"/>
                <w:highlight w:val="none"/>
              </w:rPr>
            </w:pPr>
          </w:p>
        </w:tc>
        <w:tc>
          <w:tcPr>
            <w:tcW w:w="773" w:type="dxa"/>
            <w:vAlign w:val="center"/>
          </w:tcPr>
          <w:p w14:paraId="58E4F043">
            <w:pPr>
              <w:ind w:firstLine="883" w:firstLineChars="200"/>
              <w:jc w:val="center"/>
              <w:outlineLvl w:val="9"/>
              <w:rPr>
                <w:rFonts w:hint="eastAsia" w:ascii="宋体" w:hAnsi="宋体" w:eastAsia="宋体" w:cs="宋体"/>
                <w:b/>
                <w:bCs/>
                <w:color w:val="auto"/>
                <w:kern w:val="44"/>
                <w:sz w:val="44"/>
                <w:szCs w:val="21"/>
                <w:highlight w:val="none"/>
              </w:rPr>
            </w:pPr>
          </w:p>
        </w:tc>
        <w:tc>
          <w:tcPr>
            <w:tcW w:w="775" w:type="dxa"/>
            <w:vAlign w:val="center"/>
          </w:tcPr>
          <w:p w14:paraId="10A6E0AF">
            <w:pPr>
              <w:ind w:firstLine="883" w:firstLineChars="200"/>
              <w:jc w:val="center"/>
              <w:outlineLvl w:val="9"/>
              <w:rPr>
                <w:rFonts w:hint="eastAsia" w:ascii="宋体" w:hAnsi="宋体" w:eastAsia="宋体" w:cs="宋体"/>
                <w:b/>
                <w:bCs/>
                <w:color w:val="auto"/>
                <w:kern w:val="44"/>
                <w:sz w:val="44"/>
                <w:szCs w:val="21"/>
                <w:highlight w:val="none"/>
              </w:rPr>
            </w:pPr>
          </w:p>
        </w:tc>
      </w:tr>
      <w:tr w14:paraId="1BCD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075" w:type="dxa"/>
            <w:gridSpan w:val="6"/>
            <w:vAlign w:val="center"/>
          </w:tcPr>
          <w:p w14:paraId="0451251D">
            <w:pPr>
              <w:adjustRightInd w:val="0"/>
              <w:snapToGrid w:val="0"/>
              <w:ind w:firstLine="48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备注：（有不符合项的，需在此处详细写明理由）</w:t>
            </w:r>
          </w:p>
          <w:p w14:paraId="6F05F277">
            <w:pPr>
              <w:ind w:firstLine="420" w:firstLineChars="20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评委签字：</w:t>
            </w:r>
          </w:p>
        </w:tc>
      </w:tr>
    </w:tbl>
    <w:p w14:paraId="0DD54F72">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注：1、合格项打√，不合格项打×，不合格原因请在备注栏内注明。</w:t>
      </w:r>
    </w:p>
    <w:p w14:paraId="6A8506EB">
      <w:pPr>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kern w:val="0"/>
          <w:szCs w:val="21"/>
          <w:highlight w:val="none"/>
        </w:rPr>
        <w:t>2、《符合性审查表》是符合性评审的依据，《符合性审查表》未列明的，不得作为符合性评审中认定投标（报价）文件无效的依据（属于法律法规规定的投标文件无效的情形除外）。</w:t>
      </w:r>
    </w:p>
    <w:p w14:paraId="6C686B9F">
      <w:pPr>
        <w:outlineLvl w:val="9"/>
        <w:rPr>
          <w:rFonts w:hint="eastAsia" w:ascii="宋体" w:hAnsi="宋体" w:eastAsia="宋体" w:cs="宋体"/>
          <w:color w:val="auto"/>
          <w:szCs w:val="21"/>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151CFC74">
      <w:pPr>
        <w:jc w:val="center"/>
        <w:outlineLvl w:val="0"/>
        <w:rPr>
          <w:rFonts w:hint="eastAsia" w:ascii="宋体" w:hAnsi="宋体" w:eastAsia="宋体" w:cs="宋体"/>
          <w:b/>
          <w:bCs/>
          <w:color w:val="auto"/>
          <w:sz w:val="28"/>
          <w:szCs w:val="28"/>
          <w:highlight w:val="none"/>
        </w:rPr>
      </w:pPr>
      <w:bookmarkStart w:id="49" w:name="_Toc38030150"/>
      <w:bookmarkStart w:id="50" w:name="_Toc614538032"/>
      <w:bookmarkStart w:id="51" w:name="_Toc1484421284"/>
      <w:bookmarkStart w:id="52" w:name="_Toc353483817"/>
      <w:bookmarkStart w:id="53" w:name="_Toc20920"/>
      <w:bookmarkStart w:id="54" w:name="_Toc1505390621"/>
      <w:bookmarkStart w:id="55" w:name="_Toc1406510925"/>
      <w:bookmarkStart w:id="56" w:name="_Toc132880283"/>
      <w:bookmarkStart w:id="57" w:name="_Toc525052847"/>
      <w:bookmarkStart w:id="58" w:name="_Toc1914430521"/>
      <w:r>
        <w:rPr>
          <w:rFonts w:hint="eastAsia" w:ascii="宋体" w:hAnsi="宋体" w:eastAsia="宋体" w:cs="宋体"/>
          <w:b/>
          <w:bCs/>
          <w:color w:val="auto"/>
          <w:sz w:val="28"/>
          <w:szCs w:val="28"/>
          <w:highlight w:val="none"/>
        </w:rPr>
        <w:t>第四章  政府采购合同文本</w:t>
      </w:r>
      <w:bookmarkEnd w:id="49"/>
      <w:bookmarkEnd w:id="50"/>
      <w:bookmarkEnd w:id="51"/>
      <w:bookmarkEnd w:id="52"/>
      <w:bookmarkEnd w:id="53"/>
      <w:bookmarkEnd w:id="54"/>
      <w:bookmarkEnd w:id="55"/>
      <w:bookmarkEnd w:id="56"/>
      <w:bookmarkEnd w:id="57"/>
      <w:bookmarkEnd w:id="58"/>
    </w:p>
    <w:p w14:paraId="06A26D6E">
      <w:pPr>
        <w:jc w:val="center"/>
        <w:outlineLvl w:val="9"/>
        <w:rPr>
          <w:rFonts w:hint="eastAsia" w:ascii="宋体" w:hAnsi="宋体" w:eastAsia="宋体" w:cs="宋体"/>
          <w:b/>
          <w:color w:val="auto"/>
          <w:sz w:val="96"/>
          <w:szCs w:val="96"/>
          <w:highlight w:val="none"/>
        </w:rPr>
      </w:pPr>
    </w:p>
    <w:p w14:paraId="58412845">
      <w:pPr>
        <w:jc w:val="center"/>
        <w:outlineLvl w:val="9"/>
        <w:rPr>
          <w:rFonts w:hint="eastAsia" w:ascii="宋体" w:hAnsi="宋体" w:eastAsia="宋体" w:cs="宋体"/>
          <w:b/>
          <w:color w:val="auto"/>
          <w:sz w:val="96"/>
          <w:szCs w:val="96"/>
          <w:highlight w:val="none"/>
        </w:rPr>
      </w:pPr>
    </w:p>
    <w:p w14:paraId="1473B7B1">
      <w:pPr>
        <w:jc w:val="center"/>
        <w:outlineLvl w:val="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 同 书</w:t>
      </w:r>
    </w:p>
    <w:p w14:paraId="6DA6406B">
      <w:pPr>
        <w:tabs>
          <w:tab w:val="left" w:pos="540"/>
          <w:tab w:val="left" w:pos="1080"/>
          <w:tab w:val="left" w:pos="1440"/>
        </w:tabs>
        <w:snapToGrid w:val="0"/>
        <w:jc w:val="center"/>
        <w:outlineLvl w:val="9"/>
        <w:rPr>
          <w:rFonts w:hint="eastAsia" w:ascii="宋体" w:hAnsi="宋体" w:eastAsia="宋体" w:cs="宋体"/>
          <w:color w:val="auto"/>
          <w:sz w:val="32"/>
          <w:szCs w:val="32"/>
          <w:highlight w:val="none"/>
        </w:rPr>
      </w:pPr>
    </w:p>
    <w:p w14:paraId="420D2ACE">
      <w:pPr>
        <w:tabs>
          <w:tab w:val="left" w:pos="540"/>
          <w:tab w:val="left" w:pos="1080"/>
          <w:tab w:val="left" w:pos="1440"/>
        </w:tabs>
        <w:snapToGrid w:val="0"/>
        <w:jc w:val="center"/>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（中小企业预留合同）</w:t>
      </w:r>
    </w:p>
    <w:p w14:paraId="7D369598">
      <w:pPr>
        <w:tabs>
          <w:tab w:val="left" w:pos="540"/>
          <w:tab w:val="left" w:pos="1080"/>
          <w:tab w:val="left" w:pos="1440"/>
        </w:tabs>
        <w:snapToGrid w:val="0"/>
        <w:jc w:val="center"/>
        <w:outlineLvl w:val="9"/>
        <w:rPr>
          <w:rFonts w:hint="eastAsia" w:ascii="宋体" w:hAnsi="宋体" w:eastAsia="宋体" w:cs="宋体"/>
          <w:color w:val="auto"/>
          <w:sz w:val="32"/>
          <w:szCs w:val="32"/>
          <w:highlight w:val="none"/>
        </w:rPr>
      </w:pPr>
    </w:p>
    <w:p w14:paraId="10AD87FE">
      <w:pPr>
        <w:tabs>
          <w:tab w:val="left" w:pos="540"/>
          <w:tab w:val="left" w:pos="1080"/>
          <w:tab w:val="left" w:pos="1440"/>
        </w:tabs>
        <w:snapToGrid w:val="0"/>
        <w:ind w:left="1680" w:leftChars="800"/>
        <w:jc w:val="center"/>
        <w:outlineLvl w:val="9"/>
        <w:rPr>
          <w:rFonts w:hint="eastAsia" w:ascii="宋体" w:hAnsi="宋体" w:eastAsia="宋体" w:cs="宋体"/>
          <w:color w:val="auto"/>
          <w:sz w:val="32"/>
          <w:szCs w:val="32"/>
          <w:highlight w:val="none"/>
        </w:rPr>
      </w:pPr>
    </w:p>
    <w:p w14:paraId="25DBF8A5">
      <w:pPr>
        <w:tabs>
          <w:tab w:val="left" w:pos="2160"/>
        </w:tabs>
        <w:topLinePunct/>
        <w:autoSpaceDE w:val="0"/>
        <w:autoSpaceDN w:val="0"/>
        <w:snapToGrid w:val="0"/>
        <w:spacing w:line="360" w:lineRule="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color w:val="auto"/>
          <w:sz w:val="24"/>
          <w:szCs w:val="24"/>
          <w:highlight w:val="none"/>
          <w:u w:val="single"/>
          <w:lang w:eastAsia="zh-CN"/>
        </w:rPr>
        <w:t>国家税务总局庄河市税务局非执法类辅助性服务采购项目</w:t>
      </w:r>
    </w:p>
    <w:p w14:paraId="4C92AFB8">
      <w:pPr>
        <w:tabs>
          <w:tab w:val="left" w:pos="540"/>
          <w:tab w:val="left" w:pos="1080"/>
          <w:tab w:val="left" w:pos="1440"/>
        </w:tabs>
        <w:snapToGrid w:val="0"/>
        <w:spacing w:line="360" w:lineRule="auto"/>
        <w:ind w:left="2100" w:leftChars="1000"/>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合同编号：</w:t>
      </w:r>
      <w:r>
        <w:rPr>
          <w:rFonts w:hint="eastAsia" w:ascii="宋体" w:hAnsi="宋体" w:eastAsia="宋体" w:cs="宋体"/>
          <w:color w:val="auto"/>
          <w:sz w:val="24"/>
          <w:szCs w:val="24"/>
          <w:highlight w:val="none"/>
          <w:u w:val="single"/>
          <w:lang w:eastAsia="zh-CN"/>
        </w:rPr>
        <w:t>DLZFCG2026194</w:t>
      </w:r>
    </w:p>
    <w:p w14:paraId="182F3F04">
      <w:pPr>
        <w:tabs>
          <w:tab w:val="left" w:pos="2160"/>
        </w:tabs>
        <w:topLinePunct/>
        <w:autoSpaceDE w:val="0"/>
        <w:autoSpaceDN w:val="0"/>
        <w:snapToGrid w:val="0"/>
        <w:spacing w:line="360" w:lineRule="auto"/>
        <w:ind w:left="2880" w:leftChars="800" w:hanging="1200" w:hangingChars="500"/>
        <w:outlineLvl w:val="9"/>
        <w:rPr>
          <w:rFonts w:hint="eastAsia" w:ascii="宋体" w:hAnsi="宋体" w:eastAsia="宋体" w:cs="宋体"/>
          <w:bCs/>
          <w:color w:val="auto"/>
          <w:sz w:val="24"/>
          <w:szCs w:val="24"/>
          <w:highlight w:val="none"/>
        </w:rPr>
      </w:pPr>
    </w:p>
    <w:p w14:paraId="0DF1E6CB">
      <w:pPr>
        <w:spacing w:line="460" w:lineRule="exact"/>
        <w:jc w:val="center"/>
        <w:outlineLvl w:val="9"/>
        <w:rPr>
          <w:rFonts w:hint="eastAsia" w:ascii="宋体" w:hAnsi="宋体" w:eastAsia="宋体" w:cs="宋体"/>
          <w:bCs/>
          <w:color w:val="auto"/>
          <w:sz w:val="24"/>
          <w:szCs w:val="24"/>
          <w:highlight w:val="none"/>
        </w:rPr>
      </w:pPr>
    </w:p>
    <w:p w14:paraId="72F5EDF5">
      <w:pPr>
        <w:tabs>
          <w:tab w:val="left" w:pos="3045"/>
        </w:tabs>
        <w:spacing w:line="460" w:lineRule="exac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b/>
      </w:r>
    </w:p>
    <w:p w14:paraId="00A14475">
      <w:pPr>
        <w:spacing w:line="460" w:lineRule="exact"/>
        <w:outlineLvl w:val="9"/>
        <w:rPr>
          <w:rFonts w:hint="eastAsia" w:ascii="宋体" w:hAnsi="宋体" w:eastAsia="宋体" w:cs="宋体"/>
          <w:bCs/>
          <w:color w:val="auto"/>
          <w:sz w:val="24"/>
          <w:szCs w:val="24"/>
          <w:highlight w:val="none"/>
        </w:rPr>
      </w:pPr>
    </w:p>
    <w:p w14:paraId="74A3AC3D">
      <w:pPr>
        <w:spacing w:line="460" w:lineRule="exact"/>
        <w:jc w:val="center"/>
        <w:outlineLvl w:val="9"/>
        <w:rPr>
          <w:rFonts w:hint="eastAsia" w:ascii="宋体" w:hAnsi="宋体" w:eastAsia="宋体" w:cs="宋体"/>
          <w:bCs/>
          <w:color w:val="auto"/>
          <w:sz w:val="24"/>
          <w:szCs w:val="24"/>
          <w:highlight w:val="none"/>
        </w:rPr>
      </w:pPr>
    </w:p>
    <w:p w14:paraId="358F1F30">
      <w:pPr>
        <w:spacing w:line="300" w:lineRule="auto"/>
        <w:ind w:left="840" w:leftChars="400" w:firstLine="1298" w:firstLineChars="541"/>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w:t>
      </w:r>
    </w:p>
    <w:p w14:paraId="7C66A3A2">
      <w:pPr>
        <w:spacing w:line="300" w:lineRule="auto"/>
        <w:ind w:left="840" w:leftChars="400" w:firstLine="1298" w:firstLineChars="541"/>
        <w:outlineLvl w:val="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乙    方： </w:t>
      </w:r>
    </w:p>
    <w:p w14:paraId="2880DAC4">
      <w:pPr>
        <w:spacing w:line="300" w:lineRule="auto"/>
        <w:ind w:left="840" w:leftChars="400" w:firstLine="1298" w:firstLineChars="541"/>
        <w:outlineLvl w:val="9"/>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日    期： </w:t>
      </w:r>
      <w:r>
        <w:rPr>
          <w:rFonts w:hint="eastAsia" w:ascii="宋体" w:hAnsi="宋体" w:eastAsia="宋体" w:cs="宋体"/>
          <w:bCs/>
          <w:color w:val="auto"/>
          <w:sz w:val="24"/>
          <w:szCs w:val="24"/>
          <w:highlight w:val="none"/>
          <w:u w:val="single"/>
        </w:rPr>
        <w:t xml:space="preserve">        年    月   日</w:t>
      </w:r>
    </w:p>
    <w:p w14:paraId="45ED11A8">
      <w:pPr>
        <w:spacing w:line="30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u w:val="single"/>
        </w:rPr>
        <w:br w:type="page"/>
      </w:r>
      <w:r>
        <w:rPr>
          <w:rFonts w:hint="eastAsia" w:ascii="宋体" w:hAnsi="宋体" w:eastAsia="宋体" w:cs="宋体"/>
          <w:b/>
          <w:color w:val="auto"/>
          <w:sz w:val="24"/>
          <w:szCs w:val="24"/>
          <w:highlight w:val="none"/>
        </w:rPr>
        <w:t>合同条款前附表</w:t>
      </w:r>
    </w:p>
    <w:tbl>
      <w:tblPr>
        <w:tblStyle w:val="22"/>
        <w:tblW w:w="8343"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5779"/>
      </w:tblGrid>
      <w:tr w14:paraId="6520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7C0F2169">
            <w:pPr>
              <w:tabs>
                <w:tab w:val="left" w:pos="700"/>
              </w:tabs>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7688" w:type="dxa"/>
            <w:gridSpan w:val="3"/>
            <w:tcBorders>
              <w:top w:val="single" w:color="auto" w:sz="4" w:space="0"/>
              <w:left w:val="single" w:color="auto" w:sz="4" w:space="0"/>
              <w:bottom w:val="single" w:color="auto" w:sz="4" w:space="0"/>
              <w:right w:val="single" w:color="auto" w:sz="4" w:space="0"/>
            </w:tcBorders>
            <w:vAlign w:val="center"/>
          </w:tcPr>
          <w:p w14:paraId="0F0CF3F5">
            <w:pPr>
              <w:tabs>
                <w:tab w:val="left" w:pos="700"/>
              </w:tabs>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        容</w:t>
            </w:r>
          </w:p>
        </w:tc>
      </w:tr>
      <w:tr w14:paraId="2562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215DC6B3">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EA84890">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合同名称</w:t>
            </w:r>
          </w:p>
        </w:tc>
        <w:tc>
          <w:tcPr>
            <w:tcW w:w="5779" w:type="dxa"/>
            <w:tcBorders>
              <w:top w:val="single" w:color="auto" w:sz="4" w:space="0"/>
              <w:left w:val="single" w:color="auto" w:sz="4" w:space="0"/>
              <w:bottom w:val="single" w:color="auto" w:sz="4" w:space="0"/>
              <w:right w:val="single" w:color="auto" w:sz="4" w:space="0"/>
            </w:tcBorders>
            <w:vAlign w:val="center"/>
          </w:tcPr>
          <w:p w14:paraId="38B1591A">
            <w:pPr>
              <w:tabs>
                <w:tab w:val="left" w:pos="700"/>
              </w:tabs>
              <w:adjustRightInd w:val="0"/>
              <w:snapToGrid w:val="0"/>
              <w:outlineLvl w:val="9"/>
              <w:rPr>
                <w:rFonts w:hint="eastAsia" w:ascii="宋体" w:hAnsi="宋体" w:eastAsia="宋体" w:cs="宋体"/>
                <w:bCs/>
                <w:color w:val="auto"/>
                <w:szCs w:val="21"/>
                <w:highlight w:val="none"/>
              </w:rPr>
            </w:pPr>
          </w:p>
        </w:tc>
      </w:tr>
      <w:tr w14:paraId="4B04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72842DC2">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F9A8F86">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合同编号</w:t>
            </w:r>
          </w:p>
        </w:tc>
        <w:tc>
          <w:tcPr>
            <w:tcW w:w="5779" w:type="dxa"/>
            <w:tcBorders>
              <w:top w:val="single" w:color="auto" w:sz="4" w:space="0"/>
              <w:left w:val="single" w:color="auto" w:sz="4" w:space="0"/>
              <w:bottom w:val="single" w:color="auto" w:sz="4" w:space="0"/>
              <w:right w:val="single" w:color="auto" w:sz="4" w:space="0"/>
            </w:tcBorders>
            <w:vAlign w:val="center"/>
          </w:tcPr>
          <w:p w14:paraId="6B2E8E22">
            <w:pPr>
              <w:tabs>
                <w:tab w:val="left" w:pos="2160"/>
              </w:tabs>
              <w:topLinePunct/>
              <w:autoSpaceDE w:val="0"/>
              <w:autoSpaceDN w:val="0"/>
              <w:adjustRightInd w:val="0"/>
              <w:snapToGrid w:val="0"/>
              <w:outlineLvl w:val="9"/>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DLZFCG2026194</w:t>
            </w:r>
          </w:p>
        </w:tc>
      </w:tr>
      <w:tr w14:paraId="2C3BF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7A72F7E6">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067C9CE5">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合同类型</w:t>
            </w:r>
          </w:p>
        </w:tc>
        <w:tc>
          <w:tcPr>
            <w:tcW w:w="5779" w:type="dxa"/>
            <w:tcBorders>
              <w:top w:val="single" w:color="auto" w:sz="4" w:space="0"/>
              <w:left w:val="single" w:color="auto" w:sz="4" w:space="0"/>
              <w:bottom w:val="single" w:color="auto" w:sz="4" w:space="0"/>
              <w:right w:val="single" w:color="auto" w:sz="4" w:space="0"/>
            </w:tcBorders>
            <w:vAlign w:val="center"/>
          </w:tcPr>
          <w:p w14:paraId="39C8577F">
            <w:pPr>
              <w:tabs>
                <w:tab w:val="left" w:pos="2160"/>
              </w:tabs>
              <w:topLinePunct/>
              <w:autoSpaceDE w:val="0"/>
              <w:autoSpaceDN w:val="0"/>
              <w:adjustRightInd w:val="0"/>
              <w:snapToGrid w:val="0"/>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服务类</w:t>
            </w:r>
          </w:p>
        </w:tc>
      </w:tr>
      <w:tr w14:paraId="7C58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17A4A7CB">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B10A787">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定价方式</w:t>
            </w:r>
          </w:p>
        </w:tc>
        <w:tc>
          <w:tcPr>
            <w:tcW w:w="5779" w:type="dxa"/>
            <w:tcBorders>
              <w:top w:val="single" w:color="auto" w:sz="4" w:space="0"/>
              <w:left w:val="single" w:color="auto" w:sz="4" w:space="0"/>
              <w:bottom w:val="single" w:color="auto" w:sz="4" w:space="0"/>
              <w:right w:val="single" w:color="auto" w:sz="4" w:space="0"/>
            </w:tcBorders>
            <w:vAlign w:val="center"/>
          </w:tcPr>
          <w:p w14:paraId="1B38670D">
            <w:pPr>
              <w:tabs>
                <w:tab w:val="left" w:pos="2160"/>
              </w:tabs>
              <w:topLinePunct/>
              <w:autoSpaceDE w:val="0"/>
              <w:autoSpaceDN w:val="0"/>
              <w:adjustRightInd w:val="0"/>
              <w:snapToGrid w:val="0"/>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在最高限价下据实结算</w:t>
            </w:r>
          </w:p>
        </w:tc>
      </w:tr>
      <w:tr w14:paraId="7E08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2D05ED81">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F2F1364">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项目类别</w:t>
            </w:r>
          </w:p>
        </w:tc>
        <w:tc>
          <w:tcPr>
            <w:tcW w:w="5779" w:type="dxa"/>
            <w:tcBorders>
              <w:top w:val="single" w:color="auto" w:sz="4" w:space="0"/>
              <w:left w:val="single" w:color="auto" w:sz="4" w:space="0"/>
              <w:bottom w:val="single" w:color="auto" w:sz="4" w:space="0"/>
              <w:right w:val="single" w:color="auto" w:sz="4" w:space="0"/>
            </w:tcBorders>
            <w:vAlign w:val="center"/>
          </w:tcPr>
          <w:p w14:paraId="3F72E1F0">
            <w:pPr>
              <w:tabs>
                <w:tab w:val="left" w:pos="2160"/>
              </w:tabs>
              <w:topLinePunct/>
              <w:autoSpaceDE w:val="0"/>
              <w:autoSpaceDN w:val="0"/>
              <w:adjustRightInd w:val="0"/>
              <w:snapToGrid w:val="0"/>
              <w:outlineLvl w:val="9"/>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信息化项目      </w:t>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非信息化项目</w:t>
            </w:r>
          </w:p>
        </w:tc>
      </w:tr>
      <w:tr w14:paraId="6A0D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vAlign w:val="center"/>
          </w:tcPr>
          <w:p w14:paraId="258F9763">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909" w:type="dxa"/>
            <w:gridSpan w:val="2"/>
            <w:tcBorders>
              <w:top w:val="single" w:color="auto" w:sz="4" w:space="0"/>
              <w:left w:val="single" w:color="auto" w:sz="4" w:space="0"/>
              <w:bottom w:val="single" w:color="auto" w:sz="6" w:space="0"/>
              <w:right w:val="single" w:color="auto" w:sz="6" w:space="0"/>
            </w:tcBorders>
            <w:vAlign w:val="center"/>
          </w:tcPr>
          <w:p w14:paraId="0B57E610">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甲方名称</w:t>
            </w:r>
          </w:p>
        </w:tc>
        <w:tc>
          <w:tcPr>
            <w:tcW w:w="5779" w:type="dxa"/>
            <w:tcBorders>
              <w:top w:val="single" w:color="auto" w:sz="4" w:space="0"/>
              <w:left w:val="single" w:color="auto" w:sz="6" w:space="0"/>
              <w:bottom w:val="single" w:color="auto" w:sz="6" w:space="0"/>
              <w:right w:val="single" w:color="auto" w:sz="4" w:space="0"/>
            </w:tcBorders>
            <w:vAlign w:val="center"/>
          </w:tcPr>
          <w:p w14:paraId="6E2500B0">
            <w:pPr>
              <w:tabs>
                <w:tab w:val="left" w:pos="700"/>
              </w:tabs>
              <w:adjustRightInd w:val="0"/>
              <w:snapToGrid w:val="0"/>
              <w:outlineLvl w:val="9"/>
              <w:rPr>
                <w:rFonts w:hint="eastAsia" w:ascii="宋体" w:hAnsi="宋体" w:eastAsia="宋体" w:cs="宋体"/>
                <w:color w:val="auto"/>
                <w:szCs w:val="21"/>
                <w:highlight w:val="none"/>
              </w:rPr>
            </w:pPr>
          </w:p>
        </w:tc>
      </w:tr>
      <w:tr w14:paraId="5AF8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4357B377">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6" w:space="0"/>
              <w:left w:val="single" w:color="auto" w:sz="4" w:space="0"/>
              <w:bottom w:val="single" w:color="auto" w:sz="6" w:space="0"/>
              <w:right w:val="single" w:color="auto" w:sz="6" w:space="0"/>
            </w:tcBorders>
            <w:vAlign w:val="center"/>
          </w:tcPr>
          <w:p w14:paraId="7D7C83BB">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甲方地址</w:t>
            </w:r>
          </w:p>
        </w:tc>
        <w:tc>
          <w:tcPr>
            <w:tcW w:w="5779" w:type="dxa"/>
            <w:tcBorders>
              <w:top w:val="single" w:color="auto" w:sz="6" w:space="0"/>
              <w:left w:val="single" w:color="auto" w:sz="6" w:space="0"/>
              <w:bottom w:val="single" w:color="auto" w:sz="6" w:space="0"/>
              <w:right w:val="single" w:color="auto" w:sz="4" w:space="0"/>
            </w:tcBorders>
            <w:vAlign w:val="center"/>
          </w:tcPr>
          <w:p w14:paraId="21FF2DEF">
            <w:pPr>
              <w:tabs>
                <w:tab w:val="left" w:pos="700"/>
              </w:tabs>
              <w:adjustRightInd w:val="0"/>
              <w:snapToGrid w:val="0"/>
              <w:outlineLvl w:val="9"/>
              <w:rPr>
                <w:rFonts w:hint="eastAsia" w:ascii="宋体" w:hAnsi="宋体" w:eastAsia="宋体" w:cs="宋体"/>
                <w:color w:val="auto"/>
                <w:szCs w:val="21"/>
                <w:highlight w:val="none"/>
              </w:rPr>
            </w:pPr>
          </w:p>
        </w:tc>
      </w:tr>
      <w:tr w14:paraId="42522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36C9EDD9">
            <w:pPr>
              <w:widowControl/>
              <w:adjustRightInd w:val="0"/>
              <w:snapToGrid w:val="0"/>
              <w:outlineLvl w:val="9"/>
              <w:rPr>
                <w:rFonts w:hint="eastAsia" w:ascii="宋体" w:hAnsi="宋体" w:eastAsia="宋体" w:cs="宋体"/>
                <w:color w:val="auto"/>
                <w:szCs w:val="21"/>
                <w:highlight w:val="none"/>
              </w:rPr>
            </w:pPr>
          </w:p>
        </w:tc>
        <w:tc>
          <w:tcPr>
            <w:tcW w:w="409" w:type="dxa"/>
            <w:vMerge w:val="restart"/>
            <w:tcBorders>
              <w:top w:val="single" w:color="auto" w:sz="6" w:space="0"/>
              <w:left w:val="single" w:color="auto" w:sz="4" w:space="0"/>
              <w:right w:val="single" w:color="auto" w:sz="4" w:space="0"/>
            </w:tcBorders>
            <w:vAlign w:val="center"/>
          </w:tcPr>
          <w:p w14:paraId="689D7A24">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甲方相关部门</w:t>
            </w:r>
          </w:p>
        </w:tc>
        <w:tc>
          <w:tcPr>
            <w:tcW w:w="1500" w:type="dxa"/>
            <w:tcBorders>
              <w:top w:val="single" w:color="auto" w:sz="6" w:space="0"/>
              <w:left w:val="single" w:color="auto" w:sz="4" w:space="0"/>
              <w:bottom w:val="single" w:color="auto" w:sz="6" w:space="0"/>
              <w:right w:val="single" w:color="auto" w:sz="6" w:space="0"/>
            </w:tcBorders>
            <w:vAlign w:val="center"/>
          </w:tcPr>
          <w:p w14:paraId="0E4D2275">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甲方采购部门</w:t>
            </w:r>
          </w:p>
        </w:tc>
        <w:tc>
          <w:tcPr>
            <w:tcW w:w="5779" w:type="dxa"/>
            <w:tcBorders>
              <w:top w:val="single" w:color="auto" w:sz="6" w:space="0"/>
              <w:left w:val="single" w:color="auto" w:sz="6" w:space="0"/>
              <w:bottom w:val="single" w:color="auto" w:sz="6" w:space="0"/>
              <w:right w:val="single" w:color="auto" w:sz="4" w:space="0"/>
            </w:tcBorders>
            <w:vAlign w:val="center"/>
          </w:tcPr>
          <w:p w14:paraId="58F4D438">
            <w:pPr>
              <w:tabs>
                <w:tab w:val="left" w:pos="700"/>
              </w:tabs>
              <w:adjustRightInd w:val="0"/>
              <w:snapToGrid w:val="0"/>
              <w:outlineLvl w:val="9"/>
              <w:rPr>
                <w:rFonts w:hint="eastAsia" w:ascii="宋体" w:hAnsi="宋体" w:eastAsia="宋体" w:cs="宋体"/>
                <w:color w:val="auto"/>
                <w:szCs w:val="21"/>
                <w:highlight w:val="none"/>
              </w:rPr>
            </w:pPr>
          </w:p>
        </w:tc>
      </w:tr>
      <w:tr w14:paraId="3579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0A60288D">
            <w:pPr>
              <w:widowControl/>
              <w:adjustRightInd w:val="0"/>
              <w:snapToGrid w:val="0"/>
              <w:outlineLvl w:val="9"/>
              <w:rPr>
                <w:rFonts w:hint="eastAsia" w:ascii="宋体" w:hAnsi="宋体" w:eastAsia="宋体" w:cs="宋体"/>
                <w:color w:val="auto"/>
                <w:szCs w:val="21"/>
                <w:highlight w:val="none"/>
              </w:rPr>
            </w:pPr>
          </w:p>
        </w:tc>
        <w:tc>
          <w:tcPr>
            <w:tcW w:w="409" w:type="dxa"/>
            <w:vMerge w:val="continue"/>
            <w:tcBorders>
              <w:left w:val="single" w:color="auto" w:sz="4" w:space="0"/>
              <w:right w:val="single" w:color="auto" w:sz="4" w:space="0"/>
            </w:tcBorders>
            <w:vAlign w:val="center"/>
          </w:tcPr>
          <w:p w14:paraId="51E9D4B6">
            <w:pPr>
              <w:tabs>
                <w:tab w:val="left" w:pos="700"/>
              </w:tabs>
              <w:adjustRightInd w:val="0"/>
              <w:snapToGrid w:val="0"/>
              <w:jc w:val="center"/>
              <w:outlineLvl w:val="9"/>
              <w:rPr>
                <w:rFonts w:hint="eastAsia" w:ascii="宋体" w:hAnsi="宋体" w:eastAsia="宋体" w:cs="宋体"/>
                <w:color w:val="auto"/>
                <w:szCs w:val="21"/>
                <w:highlight w:val="none"/>
              </w:rPr>
            </w:pPr>
          </w:p>
        </w:tc>
        <w:tc>
          <w:tcPr>
            <w:tcW w:w="1500" w:type="dxa"/>
            <w:tcBorders>
              <w:top w:val="single" w:color="auto" w:sz="6" w:space="0"/>
              <w:left w:val="single" w:color="auto" w:sz="4" w:space="0"/>
              <w:bottom w:val="single" w:color="auto" w:sz="6" w:space="0"/>
              <w:right w:val="single" w:color="auto" w:sz="6" w:space="0"/>
            </w:tcBorders>
            <w:vAlign w:val="center"/>
          </w:tcPr>
          <w:p w14:paraId="6D5670EB">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5779" w:type="dxa"/>
            <w:tcBorders>
              <w:top w:val="single" w:color="auto" w:sz="6" w:space="0"/>
              <w:left w:val="single" w:color="auto" w:sz="6" w:space="0"/>
              <w:bottom w:val="single" w:color="auto" w:sz="6" w:space="0"/>
              <w:right w:val="single" w:color="auto" w:sz="4" w:space="0"/>
            </w:tcBorders>
            <w:vAlign w:val="center"/>
          </w:tcPr>
          <w:p w14:paraId="37A670A6">
            <w:pPr>
              <w:tabs>
                <w:tab w:val="left" w:pos="700"/>
              </w:tabs>
              <w:adjustRightInd w:val="0"/>
              <w:snapToGrid w:val="0"/>
              <w:outlineLvl w:val="9"/>
              <w:rPr>
                <w:rFonts w:hint="eastAsia" w:ascii="宋体" w:hAnsi="宋体" w:eastAsia="宋体" w:cs="宋体"/>
                <w:color w:val="auto"/>
                <w:szCs w:val="21"/>
                <w:highlight w:val="none"/>
              </w:rPr>
            </w:pPr>
          </w:p>
        </w:tc>
      </w:tr>
      <w:tr w14:paraId="1453D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235E814D">
            <w:pPr>
              <w:widowControl/>
              <w:adjustRightInd w:val="0"/>
              <w:snapToGrid w:val="0"/>
              <w:outlineLvl w:val="9"/>
              <w:rPr>
                <w:rFonts w:hint="eastAsia" w:ascii="宋体" w:hAnsi="宋体" w:eastAsia="宋体" w:cs="宋体"/>
                <w:color w:val="auto"/>
                <w:szCs w:val="21"/>
                <w:highlight w:val="none"/>
              </w:rPr>
            </w:pPr>
          </w:p>
        </w:tc>
        <w:tc>
          <w:tcPr>
            <w:tcW w:w="409" w:type="dxa"/>
            <w:vMerge w:val="continue"/>
            <w:tcBorders>
              <w:left w:val="single" w:color="auto" w:sz="4" w:space="0"/>
              <w:right w:val="single" w:color="auto" w:sz="4" w:space="0"/>
            </w:tcBorders>
            <w:vAlign w:val="center"/>
          </w:tcPr>
          <w:p w14:paraId="582F856D">
            <w:pPr>
              <w:tabs>
                <w:tab w:val="left" w:pos="700"/>
              </w:tabs>
              <w:adjustRightInd w:val="0"/>
              <w:snapToGrid w:val="0"/>
              <w:jc w:val="center"/>
              <w:outlineLvl w:val="9"/>
              <w:rPr>
                <w:rFonts w:hint="eastAsia" w:ascii="宋体" w:hAnsi="宋体" w:eastAsia="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5B262B02">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5779" w:type="dxa"/>
            <w:tcBorders>
              <w:top w:val="single" w:color="auto" w:sz="6" w:space="0"/>
              <w:left w:val="single" w:color="auto" w:sz="6" w:space="0"/>
              <w:bottom w:val="single" w:color="auto" w:sz="4" w:space="0"/>
              <w:right w:val="single" w:color="auto" w:sz="4" w:space="0"/>
            </w:tcBorders>
            <w:vAlign w:val="center"/>
          </w:tcPr>
          <w:p w14:paraId="15C3E85A">
            <w:pPr>
              <w:tabs>
                <w:tab w:val="left" w:pos="700"/>
              </w:tabs>
              <w:adjustRightInd w:val="0"/>
              <w:snapToGrid w:val="0"/>
              <w:outlineLvl w:val="9"/>
              <w:rPr>
                <w:rFonts w:hint="eastAsia" w:ascii="宋体" w:hAnsi="宋体" w:eastAsia="宋体" w:cs="宋体"/>
                <w:color w:val="auto"/>
                <w:szCs w:val="21"/>
                <w:highlight w:val="none"/>
              </w:rPr>
            </w:pPr>
          </w:p>
        </w:tc>
      </w:tr>
      <w:tr w14:paraId="075C7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25574055">
            <w:pPr>
              <w:widowControl/>
              <w:adjustRightInd w:val="0"/>
              <w:snapToGrid w:val="0"/>
              <w:outlineLvl w:val="9"/>
              <w:rPr>
                <w:rFonts w:hint="eastAsia" w:ascii="宋体" w:hAnsi="宋体" w:eastAsia="宋体" w:cs="宋体"/>
                <w:color w:val="auto"/>
                <w:szCs w:val="21"/>
                <w:highlight w:val="none"/>
              </w:rPr>
            </w:pPr>
          </w:p>
        </w:tc>
        <w:tc>
          <w:tcPr>
            <w:tcW w:w="409" w:type="dxa"/>
            <w:vMerge w:val="continue"/>
            <w:tcBorders>
              <w:left w:val="single" w:color="auto" w:sz="4" w:space="0"/>
              <w:right w:val="single" w:color="auto" w:sz="4" w:space="0"/>
            </w:tcBorders>
            <w:vAlign w:val="center"/>
          </w:tcPr>
          <w:p w14:paraId="39162B6D">
            <w:pPr>
              <w:tabs>
                <w:tab w:val="left" w:pos="700"/>
              </w:tabs>
              <w:adjustRightInd w:val="0"/>
              <w:snapToGrid w:val="0"/>
              <w:jc w:val="center"/>
              <w:outlineLvl w:val="9"/>
              <w:rPr>
                <w:rFonts w:hint="eastAsia" w:ascii="宋体" w:hAnsi="宋体" w:eastAsia="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1BF6884C">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甲方需求部门</w:t>
            </w:r>
          </w:p>
        </w:tc>
        <w:tc>
          <w:tcPr>
            <w:tcW w:w="5779" w:type="dxa"/>
            <w:tcBorders>
              <w:top w:val="single" w:color="auto" w:sz="6" w:space="0"/>
              <w:left w:val="single" w:color="auto" w:sz="6" w:space="0"/>
              <w:bottom w:val="single" w:color="auto" w:sz="4" w:space="0"/>
              <w:right w:val="single" w:color="auto" w:sz="4" w:space="0"/>
            </w:tcBorders>
            <w:vAlign w:val="center"/>
          </w:tcPr>
          <w:p w14:paraId="36471B05">
            <w:pPr>
              <w:tabs>
                <w:tab w:val="left" w:pos="700"/>
              </w:tabs>
              <w:adjustRightInd w:val="0"/>
              <w:snapToGrid w:val="0"/>
              <w:outlineLvl w:val="9"/>
              <w:rPr>
                <w:rFonts w:hint="eastAsia" w:ascii="宋体" w:hAnsi="宋体" w:eastAsia="宋体" w:cs="宋体"/>
                <w:color w:val="auto"/>
                <w:szCs w:val="21"/>
                <w:highlight w:val="none"/>
              </w:rPr>
            </w:pPr>
          </w:p>
        </w:tc>
      </w:tr>
      <w:tr w14:paraId="70AA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vAlign w:val="center"/>
          </w:tcPr>
          <w:p w14:paraId="549E99D7">
            <w:pPr>
              <w:widowControl/>
              <w:adjustRightInd w:val="0"/>
              <w:snapToGrid w:val="0"/>
              <w:outlineLvl w:val="9"/>
              <w:rPr>
                <w:rFonts w:hint="eastAsia" w:ascii="宋体" w:hAnsi="宋体" w:eastAsia="宋体" w:cs="宋体"/>
                <w:color w:val="auto"/>
                <w:szCs w:val="21"/>
                <w:highlight w:val="none"/>
              </w:rPr>
            </w:pPr>
          </w:p>
        </w:tc>
        <w:tc>
          <w:tcPr>
            <w:tcW w:w="409" w:type="dxa"/>
            <w:vMerge w:val="continue"/>
            <w:tcBorders>
              <w:left w:val="single" w:color="auto" w:sz="4" w:space="0"/>
              <w:right w:val="single" w:color="auto" w:sz="4" w:space="0"/>
            </w:tcBorders>
            <w:vAlign w:val="center"/>
          </w:tcPr>
          <w:p w14:paraId="34F8F92D">
            <w:pPr>
              <w:tabs>
                <w:tab w:val="left" w:pos="700"/>
              </w:tabs>
              <w:adjustRightInd w:val="0"/>
              <w:snapToGrid w:val="0"/>
              <w:jc w:val="center"/>
              <w:outlineLvl w:val="9"/>
              <w:rPr>
                <w:rFonts w:hint="eastAsia" w:ascii="宋体" w:hAnsi="宋体" w:eastAsia="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37249DC5">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5779" w:type="dxa"/>
            <w:tcBorders>
              <w:top w:val="single" w:color="auto" w:sz="6" w:space="0"/>
              <w:left w:val="single" w:color="auto" w:sz="6" w:space="0"/>
              <w:bottom w:val="single" w:color="auto" w:sz="4" w:space="0"/>
              <w:right w:val="single" w:color="auto" w:sz="4" w:space="0"/>
            </w:tcBorders>
            <w:vAlign w:val="center"/>
          </w:tcPr>
          <w:p w14:paraId="22C40A56">
            <w:pPr>
              <w:tabs>
                <w:tab w:val="left" w:pos="700"/>
              </w:tabs>
              <w:adjustRightInd w:val="0"/>
              <w:snapToGrid w:val="0"/>
              <w:outlineLvl w:val="9"/>
              <w:rPr>
                <w:rFonts w:hint="eastAsia" w:ascii="宋体" w:hAnsi="宋体" w:eastAsia="宋体" w:cs="宋体"/>
                <w:color w:val="auto"/>
                <w:szCs w:val="21"/>
                <w:highlight w:val="none"/>
              </w:rPr>
            </w:pPr>
          </w:p>
        </w:tc>
      </w:tr>
      <w:tr w14:paraId="1050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vAlign w:val="center"/>
          </w:tcPr>
          <w:p w14:paraId="28FCEA2E">
            <w:pPr>
              <w:widowControl/>
              <w:adjustRightInd w:val="0"/>
              <w:snapToGrid w:val="0"/>
              <w:outlineLvl w:val="9"/>
              <w:rPr>
                <w:rFonts w:hint="eastAsia" w:ascii="宋体" w:hAnsi="宋体" w:eastAsia="宋体" w:cs="宋体"/>
                <w:color w:val="auto"/>
                <w:szCs w:val="21"/>
                <w:highlight w:val="none"/>
              </w:rPr>
            </w:pPr>
          </w:p>
        </w:tc>
        <w:tc>
          <w:tcPr>
            <w:tcW w:w="409" w:type="dxa"/>
            <w:vMerge w:val="continue"/>
            <w:tcBorders>
              <w:left w:val="single" w:color="auto" w:sz="4" w:space="0"/>
              <w:bottom w:val="single" w:color="auto" w:sz="4" w:space="0"/>
              <w:right w:val="single" w:color="auto" w:sz="4" w:space="0"/>
            </w:tcBorders>
            <w:vAlign w:val="center"/>
          </w:tcPr>
          <w:p w14:paraId="6A24DE47">
            <w:pPr>
              <w:tabs>
                <w:tab w:val="left" w:pos="700"/>
              </w:tabs>
              <w:adjustRightInd w:val="0"/>
              <w:snapToGrid w:val="0"/>
              <w:jc w:val="center"/>
              <w:outlineLvl w:val="9"/>
              <w:rPr>
                <w:rFonts w:hint="eastAsia" w:ascii="宋体" w:hAnsi="宋体" w:eastAsia="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4372356A">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5779" w:type="dxa"/>
            <w:tcBorders>
              <w:top w:val="single" w:color="auto" w:sz="6" w:space="0"/>
              <w:left w:val="single" w:color="auto" w:sz="6" w:space="0"/>
              <w:bottom w:val="single" w:color="auto" w:sz="4" w:space="0"/>
              <w:right w:val="single" w:color="auto" w:sz="4" w:space="0"/>
            </w:tcBorders>
            <w:vAlign w:val="center"/>
          </w:tcPr>
          <w:p w14:paraId="1B6AE926">
            <w:pPr>
              <w:tabs>
                <w:tab w:val="left" w:pos="700"/>
              </w:tabs>
              <w:adjustRightInd w:val="0"/>
              <w:snapToGrid w:val="0"/>
              <w:outlineLvl w:val="9"/>
              <w:rPr>
                <w:rFonts w:hint="eastAsia" w:ascii="宋体" w:hAnsi="宋体" w:eastAsia="宋体" w:cs="宋体"/>
                <w:color w:val="auto"/>
                <w:szCs w:val="21"/>
                <w:highlight w:val="none"/>
              </w:rPr>
            </w:pPr>
          </w:p>
        </w:tc>
      </w:tr>
      <w:tr w14:paraId="14C2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vAlign w:val="center"/>
          </w:tcPr>
          <w:p w14:paraId="6CB50AFC">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1EE5330">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乙方名称</w:t>
            </w:r>
          </w:p>
        </w:tc>
        <w:tc>
          <w:tcPr>
            <w:tcW w:w="5779" w:type="dxa"/>
            <w:tcBorders>
              <w:top w:val="single" w:color="auto" w:sz="4" w:space="0"/>
              <w:left w:val="single" w:color="auto" w:sz="4" w:space="0"/>
              <w:bottom w:val="single" w:color="auto" w:sz="4" w:space="0"/>
              <w:right w:val="single" w:color="auto" w:sz="4" w:space="0"/>
            </w:tcBorders>
            <w:vAlign w:val="center"/>
          </w:tcPr>
          <w:p w14:paraId="324E59BA">
            <w:pPr>
              <w:tabs>
                <w:tab w:val="left" w:pos="700"/>
              </w:tabs>
              <w:adjustRightInd w:val="0"/>
              <w:snapToGrid w:val="0"/>
              <w:outlineLvl w:val="9"/>
              <w:rPr>
                <w:rFonts w:hint="eastAsia" w:ascii="宋体" w:hAnsi="宋体" w:eastAsia="宋体" w:cs="宋体"/>
                <w:color w:val="auto"/>
                <w:szCs w:val="21"/>
                <w:highlight w:val="none"/>
              </w:rPr>
            </w:pPr>
          </w:p>
        </w:tc>
      </w:tr>
      <w:tr w14:paraId="07452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3A0FEB84">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6CB41AA">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乙方企业性质</w:t>
            </w:r>
          </w:p>
        </w:tc>
        <w:tc>
          <w:tcPr>
            <w:tcW w:w="5779" w:type="dxa"/>
            <w:tcBorders>
              <w:top w:val="single" w:color="auto" w:sz="4" w:space="0"/>
              <w:left w:val="single" w:color="auto" w:sz="4" w:space="0"/>
              <w:bottom w:val="single" w:color="auto" w:sz="4" w:space="0"/>
              <w:right w:val="single" w:color="auto" w:sz="4" w:space="0"/>
            </w:tcBorders>
            <w:vAlign w:val="center"/>
          </w:tcPr>
          <w:p w14:paraId="4855AF40">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中型企业     </w:t>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小型企业            </w:t>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微型企业    </w:t>
            </w:r>
          </w:p>
          <w:p w14:paraId="175104B3">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监狱企业     </w:t>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残疾人福利性单位    </w:t>
            </w:r>
            <w:r>
              <w:rPr>
                <w:rFonts w:hint="eastAsia" w:ascii="宋体" w:hAnsi="宋体" w:eastAsia="宋体" w:cs="宋体"/>
                <w:color w:val="auto"/>
                <w:szCs w:val="21"/>
                <w:highlight w:val="none"/>
              </w:rPr>
              <w:sym w:font="Wingdings 2" w:char="0001"/>
            </w:r>
            <w:r>
              <w:rPr>
                <w:rFonts w:hint="eastAsia" w:ascii="宋体" w:hAnsi="宋体" w:eastAsia="宋体" w:cs="宋体"/>
                <w:color w:val="auto"/>
                <w:szCs w:val="21"/>
                <w:highlight w:val="none"/>
              </w:rPr>
              <w:t xml:space="preserve"> 其他</w:t>
            </w:r>
          </w:p>
        </w:tc>
      </w:tr>
      <w:tr w14:paraId="55B7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76B7D64F">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F592D3C">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乙方地址</w:t>
            </w:r>
          </w:p>
        </w:tc>
        <w:tc>
          <w:tcPr>
            <w:tcW w:w="5779" w:type="dxa"/>
            <w:tcBorders>
              <w:top w:val="single" w:color="auto" w:sz="4" w:space="0"/>
              <w:left w:val="single" w:color="auto" w:sz="4" w:space="0"/>
              <w:bottom w:val="single" w:color="auto" w:sz="4" w:space="0"/>
              <w:right w:val="single" w:color="auto" w:sz="4" w:space="0"/>
            </w:tcBorders>
            <w:vAlign w:val="center"/>
          </w:tcPr>
          <w:p w14:paraId="323B5AB2">
            <w:pPr>
              <w:tabs>
                <w:tab w:val="left" w:pos="700"/>
              </w:tabs>
              <w:adjustRightInd w:val="0"/>
              <w:snapToGrid w:val="0"/>
              <w:outlineLvl w:val="9"/>
              <w:rPr>
                <w:rFonts w:hint="eastAsia" w:ascii="宋体" w:hAnsi="宋体" w:eastAsia="宋体" w:cs="宋体"/>
                <w:color w:val="auto"/>
                <w:szCs w:val="21"/>
                <w:highlight w:val="none"/>
              </w:rPr>
            </w:pPr>
          </w:p>
        </w:tc>
      </w:tr>
      <w:tr w14:paraId="5107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6CFA3318">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E6102D6">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乙方联系人</w:t>
            </w:r>
          </w:p>
        </w:tc>
        <w:tc>
          <w:tcPr>
            <w:tcW w:w="5779" w:type="dxa"/>
            <w:tcBorders>
              <w:top w:val="single" w:color="auto" w:sz="4" w:space="0"/>
              <w:left w:val="single" w:color="auto" w:sz="4" w:space="0"/>
              <w:bottom w:val="single" w:color="auto" w:sz="4" w:space="0"/>
              <w:right w:val="single" w:color="auto" w:sz="4" w:space="0"/>
            </w:tcBorders>
            <w:vAlign w:val="center"/>
          </w:tcPr>
          <w:p w14:paraId="670B6199">
            <w:pPr>
              <w:tabs>
                <w:tab w:val="left" w:pos="700"/>
              </w:tabs>
              <w:adjustRightInd w:val="0"/>
              <w:snapToGrid w:val="0"/>
              <w:outlineLvl w:val="9"/>
              <w:rPr>
                <w:rFonts w:hint="eastAsia" w:ascii="宋体" w:hAnsi="宋体" w:eastAsia="宋体" w:cs="宋体"/>
                <w:color w:val="auto"/>
                <w:szCs w:val="21"/>
                <w:highlight w:val="none"/>
              </w:rPr>
            </w:pPr>
          </w:p>
        </w:tc>
      </w:tr>
      <w:tr w14:paraId="4330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0BD6C16B">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751A03E2">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5779" w:type="dxa"/>
            <w:tcBorders>
              <w:top w:val="single" w:color="auto" w:sz="4" w:space="0"/>
              <w:left w:val="single" w:color="auto" w:sz="4" w:space="0"/>
              <w:bottom w:val="single" w:color="auto" w:sz="4" w:space="0"/>
              <w:right w:val="single" w:color="auto" w:sz="4" w:space="0"/>
            </w:tcBorders>
            <w:vAlign w:val="center"/>
          </w:tcPr>
          <w:p w14:paraId="5930CFB0">
            <w:pPr>
              <w:tabs>
                <w:tab w:val="left" w:pos="700"/>
              </w:tabs>
              <w:adjustRightInd w:val="0"/>
              <w:snapToGrid w:val="0"/>
              <w:outlineLvl w:val="9"/>
              <w:rPr>
                <w:rFonts w:hint="eastAsia" w:ascii="宋体" w:hAnsi="宋体" w:eastAsia="宋体" w:cs="宋体"/>
                <w:color w:val="auto"/>
                <w:szCs w:val="21"/>
                <w:highlight w:val="none"/>
              </w:rPr>
            </w:pPr>
          </w:p>
        </w:tc>
      </w:tr>
      <w:tr w14:paraId="2D02B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4163A49E">
            <w:pPr>
              <w:widowControl/>
              <w:adjustRightInd w:val="0"/>
              <w:snapToGrid w:val="0"/>
              <w:outlineLvl w:val="9"/>
              <w:rPr>
                <w:rFonts w:hint="eastAsia" w:ascii="宋体" w:hAnsi="宋体" w:eastAsia="宋体" w:cs="宋体"/>
                <w:color w:val="auto"/>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70F4EF5">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5779" w:type="dxa"/>
            <w:tcBorders>
              <w:top w:val="single" w:color="auto" w:sz="4" w:space="0"/>
              <w:left w:val="single" w:color="auto" w:sz="4" w:space="0"/>
              <w:bottom w:val="single" w:color="auto" w:sz="4" w:space="0"/>
              <w:right w:val="single" w:color="auto" w:sz="4" w:space="0"/>
            </w:tcBorders>
            <w:vAlign w:val="center"/>
          </w:tcPr>
          <w:p w14:paraId="6B84F4A9">
            <w:pPr>
              <w:tabs>
                <w:tab w:val="left" w:pos="700"/>
              </w:tabs>
              <w:adjustRightInd w:val="0"/>
              <w:snapToGrid w:val="0"/>
              <w:outlineLvl w:val="9"/>
              <w:rPr>
                <w:rFonts w:hint="eastAsia" w:ascii="宋体" w:hAnsi="宋体" w:eastAsia="宋体" w:cs="宋体"/>
                <w:color w:val="auto"/>
                <w:szCs w:val="21"/>
                <w:highlight w:val="none"/>
              </w:rPr>
            </w:pPr>
          </w:p>
        </w:tc>
      </w:tr>
      <w:tr w14:paraId="7071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55" w:type="dxa"/>
            <w:tcBorders>
              <w:top w:val="single" w:color="auto" w:sz="4" w:space="0"/>
              <w:left w:val="single" w:color="auto" w:sz="4" w:space="0"/>
              <w:bottom w:val="single" w:color="auto" w:sz="4" w:space="0"/>
              <w:right w:val="single" w:color="auto" w:sz="4" w:space="0"/>
            </w:tcBorders>
            <w:vAlign w:val="center"/>
          </w:tcPr>
          <w:p w14:paraId="49387878">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A691F4C">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w:t>
            </w:r>
          </w:p>
        </w:tc>
        <w:tc>
          <w:tcPr>
            <w:tcW w:w="5779" w:type="dxa"/>
            <w:tcBorders>
              <w:top w:val="single" w:color="auto" w:sz="4" w:space="0"/>
              <w:left w:val="single" w:color="auto" w:sz="4" w:space="0"/>
              <w:bottom w:val="single" w:color="auto" w:sz="4" w:space="0"/>
              <w:right w:val="single" w:color="auto" w:sz="4" w:space="0"/>
            </w:tcBorders>
            <w:vAlign w:val="center"/>
          </w:tcPr>
          <w:p w14:paraId="57C65648">
            <w:pPr>
              <w:tabs>
                <w:tab w:val="left" w:pos="700"/>
              </w:tabs>
              <w:adjustRightInd w:val="0"/>
              <w:snapToGrid w:val="0"/>
              <w:ind w:left="420" w:hanging="420" w:hangingChars="200"/>
              <w:outlineLvl w:val="9"/>
              <w:rPr>
                <w:rFonts w:hint="eastAsia" w:ascii="宋体" w:hAnsi="宋体" w:eastAsia="宋体" w:cs="宋体"/>
                <w:color w:val="auto"/>
                <w:szCs w:val="21"/>
                <w:highlight w:val="none"/>
              </w:rPr>
            </w:pPr>
            <w:r>
              <w:rPr>
                <w:rFonts w:hint="eastAsia" w:ascii="宋体" w:hAnsi="宋体" w:eastAsia="宋体" w:cs="宋体"/>
                <w:color w:val="auto"/>
                <w:kern w:val="2"/>
                <w:szCs w:val="21"/>
                <w:highlight w:val="none"/>
                <w:lang w:eastAsia="zh-CN"/>
              </w:rPr>
              <w:t>按照实际提供的服务量及验收情况据实结算，最高不超过</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szCs w:val="21"/>
                <w:highlight w:val="none"/>
              </w:rPr>
              <w:t>人民币元整（¥）。</w:t>
            </w:r>
          </w:p>
        </w:tc>
      </w:tr>
      <w:tr w14:paraId="3389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vAlign w:val="center"/>
          </w:tcPr>
          <w:p w14:paraId="470C3592">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F9AE147">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服务内容</w:t>
            </w:r>
          </w:p>
        </w:tc>
        <w:tc>
          <w:tcPr>
            <w:tcW w:w="5779" w:type="dxa"/>
            <w:tcBorders>
              <w:top w:val="single" w:color="auto" w:sz="4" w:space="0"/>
              <w:left w:val="single" w:color="auto" w:sz="4" w:space="0"/>
              <w:bottom w:val="single" w:color="auto" w:sz="4" w:space="0"/>
              <w:right w:val="single" w:color="auto" w:sz="4" w:space="0"/>
            </w:tcBorders>
            <w:vAlign w:val="center"/>
          </w:tcPr>
          <w:p w14:paraId="50D42CBC">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概述服务内容，详见招标文件采购需求。</w:t>
            </w:r>
          </w:p>
          <w:p w14:paraId="28B3CD3F">
            <w:pPr>
              <w:tabs>
                <w:tab w:val="left" w:pos="700"/>
              </w:tabs>
              <w:adjustRightInd w:val="0"/>
              <w:snapToGrid w:val="0"/>
              <w:outlineLvl w:val="9"/>
              <w:rPr>
                <w:rFonts w:hint="eastAsia" w:ascii="宋体" w:hAnsi="宋体" w:eastAsia="宋体" w:cs="宋体"/>
                <w:color w:val="auto"/>
                <w:szCs w:val="21"/>
                <w:highlight w:val="none"/>
              </w:rPr>
            </w:pPr>
          </w:p>
          <w:p w14:paraId="738FA91C">
            <w:pPr>
              <w:tabs>
                <w:tab w:val="left" w:pos="700"/>
              </w:tabs>
              <w:adjustRightInd w:val="0"/>
              <w:snapToGrid w:val="0"/>
              <w:outlineLvl w:val="9"/>
              <w:rPr>
                <w:rFonts w:hint="eastAsia" w:ascii="宋体" w:hAnsi="宋体" w:eastAsia="宋体" w:cs="宋体"/>
                <w:color w:val="auto"/>
                <w:szCs w:val="21"/>
                <w:highlight w:val="none"/>
              </w:rPr>
            </w:pPr>
          </w:p>
          <w:p w14:paraId="398DA11A">
            <w:pPr>
              <w:tabs>
                <w:tab w:val="left" w:pos="700"/>
              </w:tabs>
              <w:adjustRightInd w:val="0"/>
              <w:snapToGrid w:val="0"/>
              <w:outlineLvl w:val="9"/>
              <w:rPr>
                <w:rFonts w:hint="eastAsia" w:ascii="宋体" w:hAnsi="宋体" w:eastAsia="宋体" w:cs="宋体"/>
                <w:color w:val="auto"/>
                <w:szCs w:val="21"/>
                <w:highlight w:val="none"/>
              </w:rPr>
            </w:pPr>
          </w:p>
          <w:p w14:paraId="787760A9">
            <w:pPr>
              <w:tabs>
                <w:tab w:val="left" w:pos="700"/>
              </w:tabs>
              <w:adjustRightInd w:val="0"/>
              <w:snapToGrid w:val="0"/>
              <w:outlineLvl w:val="9"/>
              <w:rPr>
                <w:rFonts w:hint="eastAsia" w:ascii="宋体" w:hAnsi="宋体" w:eastAsia="宋体" w:cs="宋体"/>
                <w:color w:val="auto"/>
                <w:szCs w:val="21"/>
                <w:highlight w:val="none"/>
              </w:rPr>
            </w:pPr>
          </w:p>
          <w:p w14:paraId="164F4864">
            <w:pPr>
              <w:tabs>
                <w:tab w:val="left" w:pos="700"/>
              </w:tabs>
              <w:adjustRightInd w:val="0"/>
              <w:snapToGrid w:val="0"/>
              <w:outlineLvl w:val="9"/>
              <w:rPr>
                <w:rFonts w:hint="eastAsia" w:ascii="宋体" w:hAnsi="宋体" w:eastAsia="宋体" w:cs="宋体"/>
                <w:color w:val="auto"/>
                <w:szCs w:val="21"/>
                <w:highlight w:val="none"/>
              </w:rPr>
            </w:pPr>
          </w:p>
          <w:p w14:paraId="35EA51FD">
            <w:pPr>
              <w:tabs>
                <w:tab w:val="left" w:pos="700"/>
              </w:tabs>
              <w:adjustRightInd w:val="0"/>
              <w:snapToGrid w:val="0"/>
              <w:outlineLvl w:val="9"/>
              <w:rPr>
                <w:rFonts w:hint="eastAsia" w:ascii="宋体" w:hAnsi="宋体" w:eastAsia="宋体" w:cs="宋体"/>
                <w:color w:val="auto"/>
                <w:szCs w:val="21"/>
                <w:highlight w:val="none"/>
              </w:rPr>
            </w:pPr>
          </w:p>
          <w:p w14:paraId="510D6377">
            <w:pPr>
              <w:tabs>
                <w:tab w:val="left" w:pos="700"/>
              </w:tabs>
              <w:adjustRightInd w:val="0"/>
              <w:snapToGrid w:val="0"/>
              <w:outlineLvl w:val="9"/>
              <w:rPr>
                <w:rFonts w:hint="eastAsia" w:ascii="宋体" w:hAnsi="宋体" w:eastAsia="宋体" w:cs="宋体"/>
                <w:color w:val="auto"/>
                <w:szCs w:val="21"/>
                <w:highlight w:val="none"/>
              </w:rPr>
            </w:pPr>
          </w:p>
          <w:p w14:paraId="15C6A0F1">
            <w:pPr>
              <w:tabs>
                <w:tab w:val="left" w:pos="700"/>
              </w:tabs>
              <w:adjustRightInd w:val="0"/>
              <w:snapToGrid w:val="0"/>
              <w:outlineLvl w:val="9"/>
              <w:rPr>
                <w:rFonts w:hint="eastAsia" w:ascii="宋体" w:hAnsi="宋体" w:eastAsia="宋体" w:cs="宋体"/>
                <w:color w:val="auto"/>
                <w:szCs w:val="21"/>
                <w:highlight w:val="none"/>
              </w:rPr>
            </w:pPr>
          </w:p>
        </w:tc>
      </w:tr>
      <w:tr w14:paraId="24DB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655" w:type="dxa"/>
            <w:tcBorders>
              <w:top w:val="single" w:color="auto" w:sz="4" w:space="0"/>
              <w:left w:val="single" w:color="auto" w:sz="4" w:space="0"/>
              <w:bottom w:val="single" w:color="auto" w:sz="4" w:space="0"/>
              <w:right w:val="single" w:color="auto" w:sz="4" w:space="0"/>
            </w:tcBorders>
            <w:vAlign w:val="center"/>
          </w:tcPr>
          <w:p w14:paraId="36E260C2">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2B28958">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合同付款</w:t>
            </w:r>
          </w:p>
        </w:tc>
        <w:tc>
          <w:tcPr>
            <w:tcW w:w="5779" w:type="dxa"/>
            <w:tcBorders>
              <w:top w:val="single" w:color="auto" w:sz="4" w:space="0"/>
              <w:left w:val="single" w:color="auto" w:sz="4" w:space="0"/>
              <w:bottom w:val="single" w:color="auto" w:sz="4" w:space="0"/>
              <w:right w:val="single" w:color="auto" w:sz="4" w:space="0"/>
            </w:tcBorders>
            <w:vAlign w:val="center"/>
          </w:tcPr>
          <w:p w14:paraId="2AA5A414">
            <w:pPr>
              <w:tabs>
                <w:tab w:val="left" w:pos="700"/>
              </w:tabs>
              <w:adjustRightInd w:val="0"/>
              <w:snapToGrid w:val="0"/>
              <w:spacing w:line="240" w:lineRule="auto"/>
              <w:ind w:firstLine="420" w:firstLineChars="200"/>
              <w:jc w:val="left"/>
              <w:outlineLvl w:val="9"/>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lang w:eastAsia="zh-CN"/>
              </w:rPr>
              <w:t>根据《国家税务总局庄河市税务局非执法类辅助服务考核表》的考核结果，按照实际提供的服务量及验收情况据实结算，原则上每月结算支付一次。</w:t>
            </w:r>
          </w:p>
          <w:p w14:paraId="46B3B897">
            <w:pPr>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kern w:val="2"/>
                <w:szCs w:val="21"/>
                <w:highlight w:val="none"/>
                <w:lang w:eastAsia="zh-CN"/>
              </w:rPr>
              <w:t>注：满足合同约定付款支付条件的，甲方原则上应当自收到发票后10个工作日内将资金支付到合同约定的乙方账户，双方另有争议除外。</w:t>
            </w:r>
          </w:p>
        </w:tc>
      </w:tr>
      <w:tr w14:paraId="3C796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4" w:hRule="atLeast"/>
        </w:trPr>
        <w:tc>
          <w:tcPr>
            <w:tcW w:w="655" w:type="dxa"/>
            <w:tcBorders>
              <w:top w:val="single" w:color="auto" w:sz="4" w:space="0"/>
              <w:left w:val="single" w:color="auto" w:sz="4" w:space="0"/>
              <w:bottom w:val="single" w:color="auto" w:sz="4" w:space="0"/>
              <w:right w:val="single" w:color="auto" w:sz="4" w:space="0"/>
            </w:tcBorders>
            <w:vAlign w:val="center"/>
          </w:tcPr>
          <w:p w14:paraId="59C73EF8">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307F25D">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履约保证金及返还</w:t>
            </w:r>
          </w:p>
        </w:tc>
        <w:tc>
          <w:tcPr>
            <w:tcW w:w="5779" w:type="dxa"/>
            <w:tcBorders>
              <w:top w:val="single" w:color="auto" w:sz="4" w:space="0"/>
              <w:left w:val="single" w:color="auto" w:sz="4" w:space="0"/>
              <w:bottom w:val="single" w:color="auto" w:sz="4" w:space="0"/>
              <w:right w:val="single" w:color="auto" w:sz="4" w:space="0"/>
            </w:tcBorders>
            <w:vAlign w:val="center"/>
          </w:tcPr>
          <w:p w14:paraId="4C65568F">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☑本项目不要求提供履约保证金。</w:t>
            </w:r>
          </w:p>
          <w:p w14:paraId="410C7A81">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□本项目要求提供履约保证金。履约保证金为合同总金额的%，即人民币元整（¥），乙方应在合同签订之日起 30 日内提交甲方。提交方式为银行电汇、金融机构或担保机构出具的保函。在合同履行期满，扣除应扣除的款项（如有）且双方无争议后，无息返还。</w:t>
            </w:r>
          </w:p>
          <w:p w14:paraId="5F09EE1C">
            <w:pPr>
              <w:tabs>
                <w:tab w:val="left" w:pos="700"/>
              </w:tabs>
              <w:adjustRightInd w:val="0"/>
              <w:snapToGrid w:val="0"/>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办理返还履约保证金时，乙方应提供履约保证金返还申请（格式另附）、合同或合同关键页复印件、合同约定的其他资料。涉及验收的，应同时提交甲方需求部门出具的项目终验意见或质量保证期（服务期）满验收意见。</w:t>
            </w:r>
          </w:p>
          <w:p w14:paraId="235CCDFC">
            <w:pPr>
              <w:tabs>
                <w:tab w:val="left" w:pos="700"/>
              </w:tabs>
              <w:adjustRightInd w:val="0"/>
              <w:snapToGrid w:val="0"/>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满足履约保证金返还条件的，甲方在收到返还相关信息等合同约定资料后，进行核实。对核实结果无异议的，自完成核实之日起30日内，以方式返还履约保证金或退回保函。</w:t>
            </w:r>
          </w:p>
        </w:tc>
      </w:tr>
      <w:tr w14:paraId="6488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655" w:type="dxa"/>
            <w:tcBorders>
              <w:top w:val="single" w:color="auto" w:sz="4" w:space="0"/>
              <w:left w:val="single" w:color="auto" w:sz="4" w:space="0"/>
              <w:bottom w:val="single" w:color="auto" w:sz="4" w:space="0"/>
              <w:right w:val="single" w:color="auto" w:sz="4" w:space="0"/>
            </w:tcBorders>
            <w:vAlign w:val="center"/>
          </w:tcPr>
          <w:p w14:paraId="1054E74F">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77B880C6">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p>
        </w:tc>
        <w:tc>
          <w:tcPr>
            <w:tcW w:w="5779" w:type="dxa"/>
            <w:tcBorders>
              <w:top w:val="single" w:color="auto" w:sz="4" w:space="0"/>
              <w:left w:val="single" w:color="auto" w:sz="4" w:space="0"/>
              <w:bottom w:val="single" w:color="auto" w:sz="4" w:space="0"/>
              <w:right w:val="single" w:color="auto" w:sz="4" w:space="0"/>
            </w:tcBorders>
            <w:vAlign w:val="center"/>
          </w:tcPr>
          <w:p w14:paraId="04B3C021">
            <w:pPr>
              <w:tabs>
                <w:tab w:val="left" w:pos="700"/>
              </w:tabs>
              <w:adjustRightInd w:val="0"/>
              <w:snapToGrid w:val="0"/>
              <w:outlineLvl w:val="9"/>
              <w:rPr>
                <w:rFonts w:hint="eastAsia" w:ascii="宋体" w:hAnsi="宋体" w:eastAsia="宋体" w:cs="宋体"/>
                <w:color w:val="auto"/>
                <w:szCs w:val="21"/>
                <w:highlight w:val="none"/>
                <w:lang w:val="en-US" w:eastAsia="zh-CN"/>
              </w:rPr>
            </w:pPr>
          </w:p>
        </w:tc>
      </w:tr>
      <w:tr w14:paraId="42C3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655" w:type="dxa"/>
            <w:tcBorders>
              <w:top w:val="single" w:color="auto" w:sz="4" w:space="0"/>
              <w:left w:val="single" w:color="auto" w:sz="4" w:space="0"/>
              <w:bottom w:val="single" w:color="auto" w:sz="4" w:space="0"/>
              <w:right w:val="single" w:color="auto" w:sz="4" w:space="0"/>
            </w:tcBorders>
            <w:vAlign w:val="center"/>
          </w:tcPr>
          <w:p w14:paraId="0A6148F5">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957170B">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合同履约地点</w:t>
            </w:r>
          </w:p>
        </w:tc>
        <w:tc>
          <w:tcPr>
            <w:tcW w:w="5779" w:type="dxa"/>
            <w:tcBorders>
              <w:top w:val="single" w:color="auto" w:sz="4" w:space="0"/>
              <w:left w:val="single" w:color="auto" w:sz="4" w:space="0"/>
              <w:bottom w:val="single" w:color="auto" w:sz="4" w:space="0"/>
              <w:right w:val="single" w:color="auto" w:sz="4" w:space="0"/>
            </w:tcBorders>
            <w:vAlign w:val="center"/>
          </w:tcPr>
          <w:p w14:paraId="6454A537">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甲方指定地点</w:t>
            </w:r>
          </w:p>
        </w:tc>
      </w:tr>
      <w:tr w14:paraId="64B8A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trPr>
        <w:tc>
          <w:tcPr>
            <w:tcW w:w="655" w:type="dxa"/>
            <w:tcBorders>
              <w:top w:val="single" w:color="auto" w:sz="4" w:space="0"/>
              <w:left w:val="single" w:color="auto" w:sz="4" w:space="0"/>
              <w:bottom w:val="single" w:color="auto" w:sz="4" w:space="0"/>
              <w:right w:val="single" w:color="auto" w:sz="4" w:space="0"/>
            </w:tcBorders>
            <w:vAlign w:val="center"/>
          </w:tcPr>
          <w:p w14:paraId="203A6E61">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CF22C7A">
            <w:pPr>
              <w:tabs>
                <w:tab w:val="left" w:pos="700"/>
              </w:tabs>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合同纠纷解决方式</w:t>
            </w:r>
          </w:p>
        </w:tc>
        <w:tc>
          <w:tcPr>
            <w:tcW w:w="5779" w:type="dxa"/>
            <w:tcBorders>
              <w:top w:val="single" w:color="auto" w:sz="4" w:space="0"/>
              <w:left w:val="single" w:color="auto" w:sz="4" w:space="0"/>
              <w:bottom w:val="single" w:color="auto" w:sz="4" w:space="0"/>
              <w:right w:val="single" w:color="auto" w:sz="4" w:space="0"/>
            </w:tcBorders>
            <w:vAlign w:val="center"/>
          </w:tcPr>
          <w:p w14:paraId="21C1E02C">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甲乙双方应首先通过友好协商解决在执行本合同中所发生的或与本合同有关的一切争端。如从协商开始</w:t>
            </w:r>
            <w:r>
              <w:rPr>
                <w:rFonts w:hint="eastAsia" w:ascii="宋体" w:hAnsi="宋体" w:eastAsia="宋体" w:cs="宋体"/>
                <w:color w:val="auto"/>
                <w:szCs w:val="21"/>
                <w:highlight w:val="none"/>
                <w:u w:val="single"/>
              </w:rPr>
              <w:t>30</w:t>
            </w:r>
            <w:r>
              <w:rPr>
                <w:rFonts w:hint="eastAsia" w:ascii="宋体" w:hAnsi="宋体" w:eastAsia="宋体" w:cs="宋体"/>
                <w:color w:val="auto"/>
                <w:szCs w:val="21"/>
                <w:highlight w:val="none"/>
              </w:rPr>
              <w:t>天内仍不能解决，可以选择以下途径之一解决纠纷：</w:t>
            </w:r>
          </w:p>
          <w:p w14:paraId="70D24153">
            <w:pPr>
              <w:tabs>
                <w:tab w:val="left" w:pos="700"/>
              </w:tabs>
              <w:adjustRightInd w:val="0"/>
              <w:snapToGrid w:val="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☑向甲方所在地人民法院提起诉讼</w:t>
            </w:r>
          </w:p>
        </w:tc>
      </w:tr>
    </w:tbl>
    <w:p w14:paraId="1C061636">
      <w:pPr>
        <w:tabs>
          <w:tab w:val="left" w:pos="700"/>
        </w:tabs>
        <w:topLinePunct/>
        <w:autoSpaceDE w:val="0"/>
        <w:autoSpaceDN w:val="0"/>
        <w:spacing w:line="460" w:lineRule="exact"/>
        <w:outlineLvl w:val="9"/>
        <w:rPr>
          <w:rFonts w:hint="eastAsia" w:ascii="宋体" w:hAnsi="宋体" w:eastAsia="宋体" w:cs="宋体"/>
          <w:b/>
          <w:color w:val="auto"/>
          <w:sz w:val="24"/>
          <w:highlight w:val="none"/>
        </w:rPr>
      </w:pPr>
      <w:r>
        <w:rPr>
          <w:rFonts w:hint="eastAsia" w:ascii="宋体" w:hAnsi="宋体" w:eastAsia="宋体" w:cs="宋体"/>
          <w:b/>
          <w:color w:val="auto"/>
          <w:sz w:val="28"/>
          <w:highlight w:val="none"/>
        </w:rPr>
        <w:br w:type="page"/>
      </w:r>
    </w:p>
    <w:p w14:paraId="47BC6D84">
      <w:pPr>
        <w:tabs>
          <w:tab w:val="left" w:pos="0"/>
        </w:tabs>
        <w:topLinePunct/>
        <w:autoSpaceDE w:val="0"/>
        <w:autoSpaceDN w:val="0"/>
        <w:spacing w:line="360" w:lineRule="auto"/>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   合  同 </w:t>
      </w:r>
    </w:p>
    <w:p w14:paraId="48941C9F">
      <w:pPr>
        <w:tabs>
          <w:tab w:val="left" w:pos="540"/>
        </w:tabs>
        <w:topLinePunct/>
        <w:autoSpaceDE w:val="0"/>
        <w:autoSpaceDN w:val="0"/>
        <w:spacing w:line="460" w:lineRule="exact"/>
        <w:outlineLvl w:val="9"/>
        <w:rPr>
          <w:rFonts w:hint="eastAsia" w:ascii="宋体" w:hAnsi="宋体" w:eastAsia="宋体" w:cs="宋体"/>
          <w:b/>
          <w:color w:val="auto"/>
          <w:sz w:val="24"/>
          <w:highlight w:val="none"/>
        </w:rPr>
      </w:pPr>
    </w:p>
    <w:p w14:paraId="7FEA64E9">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国家税务总局庄河市税务局</w:t>
      </w:r>
      <w:r>
        <w:rPr>
          <w:rFonts w:hint="eastAsia" w:ascii="宋体" w:hAnsi="宋体" w:eastAsia="宋体" w:cs="宋体"/>
          <w:color w:val="auto"/>
          <w:szCs w:val="21"/>
          <w:highlight w:val="none"/>
        </w:rPr>
        <w:t>（以下简称“甲方”）通过</w:t>
      </w:r>
      <w:r>
        <w:rPr>
          <w:rFonts w:hint="eastAsia" w:ascii="宋体" w:hAnsi="宋体" w:eastAsia="宋体" w:cs="宋体"/>
          <w:color w:val="auto"/>
          <w:szCs w:val="21"/>
          <w:highlight w:val="none"/>
          <w:u w:val="single"/>
        </w:rPr>
        <w:t>公开招标</w:t>
      </w:r>
      <w:r>
        <w:rPr>
          <w:rFonts w:hint="eastAsia" w:ascii="宋体" w:hAnsi="宋体" w:eastAsia="宋体" w:cs="宋体"/>
          <w:color w:val="auto"/>
          <w:szCs w:val="21"/>
          <w:highlight w:val="none"/>
          <w:lang w:val="en-US" w:eastAsia="zh-CN"/>
        </w:rPr>
        <w:t>方式</w:t>
      </w:r>
      <w:r>
        <w:rPr>
          <w:rFonts w:hint="eastAsia" w:ascii="宋体" w:hAnsi="宋体" w:eastAsia="宋体" w:cs="宋体"/>
          <w:color w:val="auto"/>
          <w:szCs w:val="21"/>
          <w:highlight w:val="none"/>
        </w:rPr>
        <w:t>采购，确定_ _____公司（以下简称“乙方”）为《项目》中标（成交）供应商。甲乙双方同意按照该项目招标（采购）文件约定的内容，签署《合同书》（合同编号：，以下简称“合同”)。</w:t>
      </w:r>
    </w:p>
    <w:p w14:paraId="36CFD106">
      <w:pPr>
        <w:topLinePunct/>
        <w:autoSpaceDE w:val="0"/>
        <w:autoSpaceDN w:val="0"/>
        <w:snapToGrid w:val="0"/>
        <w:spacing w:line="360" w:lineRule="auto"/>
        <w:ind w:left="482"/>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 合同文件</w:t>
      </w:r>
    </w:p>
    <w:p w14:paraId="07558ABE">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本合同所附下列文件是构成本合同不可分割的部分：</w:t>
      </w:r>
    </w:p>
    <w:p w14:paraId="4C51D5A1">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（1）合同通用条款；</w:t>
      </w:r>
    </w:p>
    <w:p w14:paraId="543275A2">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（2）报价表（总报价表和分项报价表）；</w:t>
      </w:r>
    </w:p>
    <w:p w14:paraId="08EC741B">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（3）招标（采购）文件；</w:t>
      </w:r>
    </w:p>
    <w:p w14:paraId="20C2CFF3">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（4）投标（响应）文件。</w:t>
      </w:r>
    </w:p>
    <w:p w14:paraId="3BBCC491">
      <w:pPr>
        <w:topLinePunct/>
        <w:autoSpaceDE w:val="0"/>
        <w:autoSpaceDN w:val="0"/>
        <w:snapToGrid w:val="0"/>
        <w:spacing w:line="360" w:lineRule="auto"/>
        <w:ind w:left="482"/>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 合同范围和条件</w:t>
      </w:r>
    </w:p>
    <w:p w14:paraId="228C1287">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本合同的范围和条件应与上述合同文件的规定相一致。</w:t>
      </w:r>
    </w:p>
    <w:p w14:paraId="7A0DB429">
      <w:pPr>
        <w:tabs>
          <w:tab w:val="left" w:pos="700"/>
        </w:tabs>
        <w:topLinePunct/>
        <w:autoSpaceDE w:val="0"/>
        <w:autoSpaceDN w:val="0"/>
        <w:snapToGrid w:val="0"/>
        <w:spacing w:line="360" w:lineRule="auto"/>
        <w:ind w:firstLine="413" w:firstLineChars="196"/>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 合同金额</w:t>
      </w:r>
    </w:p>
    <w:p w14:paraId="414CCB26">
      <w:pPr>
        <w:tabs>
          <w:tab w:val="left" w:pos="700"/>
        </w:tabs>
        <w:topLinePunct/>
        <w:autoSpaceDE w:val="0"/>
        <w:autoSpaceDN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w:t>
      </w:r>
      <w:r>
        <w:rPr>
          <w:rFonts w:hint="eastAsia" w:ascii="宋体" w:hAnsi="宋体" w:eastAsia="宋体" w:cs="宋体"/>
          <w:color w:val="auto"/>
          <w:kern w:val="2"/>
          <w:szCs w:val="21"/>
          <w:highlight w:val="none"/>
          <w:lang w:eastAsia="zh-CN"/>
        </w:rPr>
        <w:t>按照实际提供的服务量及验收情况据实结算，最高不超过</w:t>
      </w:r>
      <w:r>
        <w:rPr>
          <w:rFonts w:hint="eastAsia" w:ascii="宋体" w:hAnsi="宋体" w:eastAsia="宋体" w:cs="宋体"/>
          <w:color w:val="auto"/>
          <w:kern w:val="2"/>
          <w:szCs w:val="21"/>
          <w:highlight w:val="none"/>
          <w:lang w:val="en-US" w:eastAsia="zh-CN"/>
        </w:rPr>
        <w:t xml:space="preserve">  </w:t>
      </w:r>
      <w:r>
        <w:rPr>
          <w:rFonts w:hint="eastAsia" w:ascii="宋体" w:hAnsi="宋体" w:eastAsia="宋体" w:cs="宋体"/>
          <w:color w:val="auto"/>
          <w:szCs w:val="21"/>
          <w:highlight w:val="none"/>
        </w:rPr>
        <w:t>人民币元整（¥）。</w:t>
      </w:r>
    </w:p>
    <w:p w14:paraId="5E7236F6">
      <w:pPr>
        <w:tabs>
          <w:tab w:val="left" w:pos="700"/>
        </w:tabs>
        <w:topLinePunct/>
        <w:autoSpaceDE w:val="0"/>
        <w:autoSpaceDN w:val="0"/>
        <w:snapToGrid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4.付款条件</w:t>
      </w:r>
    </w:p>
    <w:p w14:paraId="2234CE09">
      <w:pPr>
        <w:spacing w:line="360" w:lineRule="auto"/>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根据《</w:t>
      </w:r>
      <w:r>
        <w:rPr>
          <w:rFonts w:hint="eastAsia" w:ascii="宋体" w:hAnsi="宋体" w:eastAsia="宋体" w:cs="宋体"/>
          <w:color w:val="auto"/>
          <w:kern w:val="0"/>
          <w:szCs w:val="21"/>
          <w:highlight w:val="none"/>
          <w:lang w:eastAsia="zh-CN"/>
        </w:rPr>
        <w:t>国家税务总局庄河市税务局非执法类辅助服务</w:t>
      </w:r>
      <w:r>
        <w:rPr>
          <w:rFonts w:hint="eastAsia" w:ascii="宋体" w:hAnsi="宋体" w:eastAsia="宋体" w:cs="宋体"/>
          <w:color w:val="auto"/>
          <w:kern w:val="0"/>
          <w:szCs w:val="21"/>
          <w:highlight w:val="none"/>
        </w:rPr>
        <w:t>考核表》的考核结果，按照实际</w:t>
      </w:r>
      <w:r>
        <w:rPr>
          <w:rFonts w:hint="eastAsia" w:ascii="宋体" w:hAnsi="宋体" w:eastAsia="宋体" w:cs="宋体"/>
          <w:color w:val="auto"/>
          <w:kern w:val="0"/>
          <w:szCs w:val="21"/>
          <w:highlight w:val="none"/>
          <w:lang w:eastAsia="zh-CN"/>
        </w:rPr>
        <w:t>提供的服务量及</w:t>
      </w:r>
      <w:r>
        <w:rPr>
          <w:rFonts w:hint="eastAsia" w:ascii="宋体" w:hAnsi="宋体" w:eastAsia="宋体" w:cs="宋体"/>
          <w:color w:val="auto"/>
          <w:kern w:val="0"/>
          <w:szCs w:val="21"/>
          <w:highlight w:val="none"/>
        </w:rPr>
        <w:t>验收情况</w:t>
      </w:r>
      <w:r>
        <w:rPr>
          <w:rFonts w:hint="eastAsia" w:ascii="宋体" w:hAnsi="宋体" w:eastAsia="宋体" w:cs="宋体"/>
          <w:color w:val="auto"/>
          <w:kern w:val="0"/>
          <w:szCs w:val="21"/>
          <w:highlight w:val="none"/>
          <w:lang w:eastAsia="zh-CN"/>
        </w:rPr>
        <w:t>据实</w:t>
      </w:r>
      <w:r>
        <w:rPr>
          <w:rFonts w:hint="eastAsia" w:ascii="宋体" w:hAnsi="宋体" w:eastAsia="宋体" w:cs="宋体"/>
          <w:color w:val="auto"/>
          <w:kern w:val="0"/>
          <w:szCs w:val="21"/>
          <w:highlight w:val="none"/>
        </w:rPr>
        <w:t>结算，原则上每月结算支付一次。</w:t>
      </w:r>
    </w:p>
    <w:p w14:paraId="131E67E6">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注：满足合同约定付款支付条件的，甲方原则上应当自收到发票后10个工作日内将资金支付到合同约定的乙方账户，双方另有争议除外。</w:t>
      </w:r>
    </w:p>
    <w:p w14:paraId="0FC869D7">
      <w:pPr>
        <w:topLinePunct/>
        <w:autoSpaceDE w:val="0"/>
        <w:autoSpaceDN w:val="0"/>
        <w:snapToGrid w:val="0"/>
        <w:spacing w:line="360" w:lineRule="auto"/>
        <w:ind w:left="482"/>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 合同签订及生效</w:t>
      </w:r>
    </w:p>
    <w:p w14:paraId="2D893B15">
      <w:pPr>
        <w:tabs>
          <w:tab w:val="left" w:pos="840"/>
        </w:tabs>
        <w:snapToGrid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份，由甲乙双方法定代表人或被授权人签字并盖章后生效。</w:t>
      </w:r>
    </w:p>
    <w:p w14:paraId="0AFE24CF">
      <w:pPr>
        <w:tabs>
          <w:tab w:val="left" w:pos="840"/>
        </w:tabs>
        <w:snapToGrid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乙方由法定代表人签订合同的，应提供法定代表人身份证复印件；乙方由被授权人签订合同的，应提供授权委托书和法定代表人及被授权人身份证复印件。</w:t>
      </w:r>
    </w:p>
    <w:p w14:paraId="191C887B">
      <w:pPr>
        <w:tabs>
          <w:tab w:val="left" w:pos="840"/>
        </w:tabs>
        <w:snapToGrid w:val="0"/>
        <w:spacing w:line="360" w:lineRule="auto"/>
        <w:ind w:firstLine="420" w:firstLineChars="200"/>
        <w:jc w:val="center"/>
        <w:outlineLvl w:val="9"/>
        <w:rPr>
          <w:rFonts w:hint="eastAsia" w:ascii="宋体" w:hAnsi="宋体" w:eastAsia="宋体" w:cs="宋体"/>
          <w:color w:val="auto"/>
          <w:szCs w:val="21"/>
          <w:highlight w:val="none"/>
        </w:rPr>
      </w:pPr>
    </w:p>
    <w:p w14:paraId="4AD3EA4C">
      <w:pPr>
        <w:tabs>
          <w:tab w:val="left" w:pos="700"/>
        </w:tabs>
        <w:topLinePunct/>
        <w:autoSpaceDE w:val="0"/>
        <w:autoSpaceDN w:val="0"/>
        <w:spacing w:line="360" w:lineRule="auto"/>
        <w:ind w:left="36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国家税务总局庄河市税务局</w:t>
      </w:r>
      <w:r>
        <w:rPr>
          <w:rFonts w:hint="eastAsia" w:ascii="宋体" w:hAnsi="宋体" w:eastAsia="宋体" w:cs="宋体"/>
          <w:color w:val="auto"/>
          <w:szCs w:val="21"/>
          <w:highlight w:val="none"/>
        </w:rPr>
        <w:t>乙方：</w:t>
      </w:r>
    </w:p>
    <w:p w14:paraId="1E6917E1">
      <w:pPr>
        <w:tabs>
          <w:tab w:val="left" w:pos="700"/>
        </w:tabs>
        <w:topLinePunct/>
        <w:autoSpaceDE w:val="0"/>
        <w:autoSpaceDN w:val="0"/>
        <w:spacing w:line="360" w:lineRule="auto"/>
        <w:ind w:left="36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7D027064">
      <w:pPr>
        <w:tabs>
          <w:tab w:val="left" w:pos="700"/>
        </w:tabs>
        <w:topLinePunct/>
        <w:autoSpaceDE w:val="0"/>
        <w:autoSpaceDN w:val="0"/>
        <w:spacing w:line="360" w:lineRule="auto"/>
        <w:ind w:left="36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盖章：                                盖章： </w:t>
      </w:r>
    </w:p>
    <w:p w14:paraId="3AB12778">
      <w:pPr>
        <w:tabs>
          <w:tab w:val="left" w:pos="700"/>
        </w:tabs>
        <w:topLinePunct/>
        <w:autoSpaceDE w:val="0"/>
        <w:autoSpaceDN w:val="0"/>
        <w:spacing w:line="360" w:lineRule="auto"/>
        <w:ind w:left="360"/>
        <w:outlineLvl w:val="9"/>
        <w:rPr>
          <w:rFonts w:hint="eastAsia" w:ascii="宋体" w:hAnsi="宋体" w:eastAsia="宋体" w:cs="宋体"/>
          <w:b/>
          <w:color w:val="auto"/>
          <w:sz w:val="24"/>
          <w:highlight w:val="none"/>
        </w:rPr>
      </w:pPr>
      <w:r>
        <w:rPr>
          <w:rFonts w:hint="eastAsia" w:ascii="宋体" w:hAnsi="宋体" w:eastAsia="宋体" w:cs="宋体"/>
          <w:color w:val="auto"/>
          <w:szCs w:val="21"/>
          <w:highlight w:val="none"/>
        </w:rPr>
        <w:t>日期：    年    月    日               日期：     年   月   日</w:t>
      </w:r>
    </w:p>
    <w:p w14:paraId="6BEB5BE5">
      <w:pPr>
        <w:topLinePunct/>
        <w:autoSpaceDE w:val="0"/>
        <w:autoSpaceDN w:val="0"/>
        <w:spacing w:line="360" w:lineRule="auto"/>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二   合 同 通 用 条 款</w:t>
      </w:r>
    </w:p>
    <w:p w14:paraId="5F1298F7">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 定义</w:t>
      </w:r>
    </w:p>
    <w:p w14:paraId="2FFC15AA">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本合同下列术语应解释为：</w:t>
      </w:r>
    </w:p>
    <w:p w14:paraId="03802043">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1.1“甲方”</w:t>
      </w:r>
      <w:r>
        <w:rPr>
          <w:rFonts w:hint="eastAsia" w:ascii="宋体" w:hAnsi="宋体" w:eastAsia="宋体" w:cs="宋体"/>
          <w:color w:val="auto"/>
          <w:szCs w:val="21"/>
          <w:highlight w:val="none"/>
          <w:lang w:eastAsia="zh-CN"/>
        </w:rPr>
        <w:t>国家税务总局庄河市税务局</w:t>
      </w:r>
      <w:r>
        <w:rPr>
          <w:rFonts w:hint="eastAsia" w:ascii="宋体" w:hAnsi="宋体" w:eastAsia="宋体" w:cs="宋体"/>
          <w:color w:val="auto"/>
          <w:szCs w:val="21"/>
          <w:highlight w:val="none"/>
        </w:rPr>
        <w:t>。</w:t>
      </w:r>
    </w:p>
    <w:p w14:paraId="35CE276D">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1.1.1“甲方采购部门”见“合同条款前附表”第6项“甲方采购部门”。</w:t>
      </w:r>
    </w:p>
    <w:p w14:paraId="38F48206">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1.1.2“甲方需求部门”见“合同条款前附表”第6项“甲方需求部门”。</w:t>
      </w:r>
    </w:p>
    <w:p w14:paraId="3DBF767B">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1.2“乙方”见“合同条款前附表”第7项“乙方名称”。</w:t>
      </w:r>
    </w:p>
    <w:p w14:paraId="79537167">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 “合同”系指甲乙双方签订的、合同格式中载明的甲乙双方所达成的协议，包括所有的附件、附录和上述文件所提到的构成合同的所有文件。</w:t>
      </w:r>
    </w:p>
    <w:p w14:paraId="5F1AEFDB">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“天”除非特别指出，“天”均为自然天。</w:t>
      </w:r>
    </w:p>
    <w:p w14:paraId="70C703F4">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 标准</w:t>
      </w:r>
    </w:p>
    <w:p w14:paraId="371D2718">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乙方为甲方交付或提供的服务应符合招标（采购）文件所述的标准，如果没有提及适用标准，则应符合相应的国家标准。这些标准必须是有关机构发布的最新版本的标准。</w:t>
      </w:r>
    </w:p>
    <w:p w14:paraId="6C7D3F12">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除非技术要求中另有规定，计量单位均采用中华人民共和国法定计量单位。</w:t>
      </w:r>
    </w:p>
    <w:p w14:paraId="27EDA84E">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 服务</w:t>
      </w:r>
    </w:p>
    <w:p w14:paraId="4E4E0128">
      <w:pPr>
        <w:tabs>
          <w:tab w:val="left" w:pos="700"/>
        </w:tabs>
        <w:spacing w:line="360" w:lineRule="auto"/>
        <w:ind w:firstLine="420" w:firstLineChars="200"/>
        <w:outlineLvl w:val="9"/>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3.1 本项目的“服务”见“合同条款前附表”第9项“服务内容”。</w:t>
      </w:r>
    </w:p>
    <w:p w14:paraId="4229E4F1">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乙方应保证所提供的服务符合合同规定的技术要求。如不符时，乙方应负全责并尽快处理解决，由此造成的损失和相关费用由乙方负责，甲方保留终止合同及索赔的权利。</w:t>
      </w:r>
    </w:p>
    <w:p w14:paraId="60EFFC29">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乙方应保证通过执行合同中全部方案后，可以取得本合同约定的结果，达到本合同约定的预期目标。对任何情况下出现的问题，应尽快提出解决方案。</w:t>
      </w:r>
    </w:p>
    <w:p w14:paraId="00ABF104">
      <w:pPr>
        <w:tabs>
          <w:tab w:val="left" w:pos="0"/>
          <w:tab w:val="left" w:pos="54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3.4 如果乙方提供的服务和解决方案不符合甲方要求，或在规定的时间内没有弥补缺陷，甲方有权采取一切必要的补救措施，由此产生的费用全部由乙方负责。</w:t>
      </w:r>
    </w:p>
    <w:p w14:paraId="38943349">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3.5 除合同条款另行规定外，伴随服务的费用应含在合同价中，不单独进行支付。</w:t>
      </w:r>
    </w:p>
    <w:p w14:paraId="5B04476E">
      <w:pPr>
        <w:tabs>
          <w:tab w:val="left" w:pos="0"/>
          <w:tab w:val="left" w:pos="540"/>
        </w:tabs>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 知识产权</w:t>
      </w:r>
    </w:p>
    <w:p w14:paraId="2CCB82E9">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乙方应保证所提供的服务免受第三方提出侵犯其知识产权（专利权、商标权、软件著作权、版权等）的起诉。</w:t>
      </w:r>
    </w:p>
    <w:p w14:paraId="645B12BD">
      <w:pPr>
        <w:tabs>
          <w:tab w:val="left" w:pos="0"/>
          <w:tab w:val="left" w:pos="540"/>
        </w:tabs>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p>
    <w:p w14:paraId="12E481BB">
      <w:pPr>
        <w:tabs>
          <w:tab w:val="left" w:pos="0"/>
          <w:tab w:val="left" w:pos="540"/>
        </w:tabs>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4.3 乙方不得利用本项目实施过程中所产生的成果（包括发明、发现、可运行系统、源代码及相关技术资料、文档等），另行自行开发本合同业务范围内供纳税人缴费人使用的软件或产品，不得利用开发便利变相收费或搭车收费。</w:t>
      </w:r>
    </w:p>
    <w:p w14:paraId="1732ECD3">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 保密条款</w:t>
      </w:r>
    </w:p>
    <w:p w14:paraId="0B6D0182">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甲乙双方应对在本合同签订或履行过程中所接触的对方信息，包括但不限于知识产权、技术资料、技术诀窍、内部管理及其他相关信息，负有保密义务。</w:t>
      </w:r>
    </w:p>
    <w:p w14:paraId="7987A920">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3CBD87A3">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应以审慎态度避免泄漏、公开或传播甲方的信息；</w:t>
      </w:r>
    </w:p>
    <w:p w14:paraId="6A6CDA01">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在开发过程中对数据的处理方式应事先得到甲方的许可；</w:t>
      </w:r>
    </w:p>
    <w:p w14:paraId="171A7FC4">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未经甲方书面许可，不得对有关信息进行修改、补充、复制；</w:t>
      </w:r>
    </w:p>
    <w:p w14:paraId="06B3E05A">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未经甲方书面许可，不得将信息以任何方式（如E-mail）携带出甲方场所；</w:t>
      </w:r>
    </w:p>
    <w:p w14:paraId="0F505DD7">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未经甲方书面许可，不得将信息透露给任何其他人； </w:t>
      </w:r>
    </w:p>
    <w:p w14:paraId="580E008C">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 严禁在提交的软件产品中设置远程维护接口和后门程序；</w:t>
      </w:r>
    </w:p>
    <w:p w14:paraId="63B7BB4F">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 不得进行系统软硬件设备的远程维护；</w:t>
      </w:r>
    </w:p>
    <w:p w14:paraId="314C3796">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 甲方以书面形式提出的其他保密措施。</w:t>
      </w:r>
    </w:p>
    <w:p w14:paraId="77479C98">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保密期限不受合同有效期的限制，在合同有效期结束后，信息接受方仍应承担保密义务，直至该等信息成为公开信息。</w:t>
      </w:r>
    </w:p>
    <w:p w14:paraId="2C35AA23">
      <w:pPr>
        <w:widowControl/>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5.4 甲乙双方如出现泄密行为，泄密方应承担相关的法律责任，包括但是不限于对由此给对方造成的经济损失进行赔偿。</w:t>
      </w:r>
    </w:p>
    <w:p w14:paraId="40B27E29">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 项目管理</w:t>
      </w:r>
    </w:p>
    <w:p w14:paraId="69314685">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乙方应按照甲方项目整编归档内容、整理标准质量、移交时间等档案管理要求，对项目相关文件进行收集、整理、归档并移交。</w:t>
      </w:r>
    </w:p>
    <w:p w14:paraId="6BA69E4C">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乙方应按甲方要求，配合做好政务信息系统安全检查、评测、审计、工程监理等监督管理工作及系统间数据交互和衔接工作，如实、完整提供政务信息系统建设、运营、维护和政务数据安全管理相关情况，不得拒绝、隐匿、瞒报。</w:t>
      </w:r>
    </w:p>
    <w:p w14:paraId="3C21542A">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 履约验收要求</w:t>
      </w:r>
    </w:p>
    <w:p w14:paraId="13C85F9B">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甲方需求部门严格按照采购合同开展履约验收。验收时,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0553D6C9">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7.2具体履约验收要求详见招标（采购）文件。</w:t>
      </w:r>
    </w:p>
    <w:p w14:paraId="40C57CCA">
      <w:pPr>
        <w:tabs>
          <w:tab w:val="left" w:pos="0"/>
          <w:tab w:val="left" w:pos="540"/>
        </w:tabs>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 履约保证金</w:t>
      </w:r>
    </w:p>
    <w:p w14:paraId="44B50990">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需提交履约保证金的项目，乙方应按照“合同条款前附表”第 11 项“履约保证金及返还”提交履约保证金。</w:t>
      </w:r>
    </w:p>
    <w:p w14:paraId="3082B2DD">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履约保证金的金额可用于补偿甲方因乙方不能完成其合同义务而蒙受的损失。</w:t>
      </w:r>
    </w:p>
    <w:p w14:paraId="434C7E4D">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6986026B">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8.4 乙方不履行合同、或者履行合同义务不符合约定使得合同目的不能实现，履约保证金不予退还，给甲方造成的损失超过履约保证金数额的，还应当对超过部分予以赔偿。</w:t>
      </w:r>
    </w:p>
    <w:p w14:paraId="1C2B0C14">
      <w:pPr>
        <w:tabs>
          <w:tab w:val="left" w:pos="700"/>
        </w:tabs>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8.5 履约保证金在合同履行期满后，扣除相应款项（如有）且双方无争议后，凭返还申请等资料一次性无息返还，详见“合同条款前附表”第11项“履约保证金及返还”。</w:t>
      </w:r>
    </w:p>
    <w:p w14:paraId="3C42666E">
      <w:pPr>
        <w:tabs>
          <w:tab w:val="left" w:pos="0"/>
          <w:tab w:val="left" w:pos="540"/>
        </w:tabs>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9．履约延误</w:t>
      </w:r>
    </w:p>
    <w:p w14:paraId="7C9367E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乙方应按照本合同的规定提供服务。</w:t>
      </w:r>
    </w:p>
    <w:p w14:paraId="4D1A3010">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w:t>
      </w:r>
      <w:r>
        <w:rPr>
          <w:rFonts w:hint="eastAsia" w:ascii="宋体" w:hAnsi="宋体" w:eastAsia="宋体" w:cs="宋体"/>
          <w:color w:val="auto"/>
          <w:szCs w:val="21"/>
          <w:highlight w:val="none"/>
          <w:lang w:val="en-US" w:eastAsia="zh-CN"/>
        </w:rPr>
        <w:t>间接损失及甲方为维权所支付的</w:t>
      </w:r>
      <w:r>
        <w:rPr>
          <w:rFonts w:hint="eastAsia" w:ascii="宋体" w:hAnsi="宋体" w:eastAsia="宋体" w:cs="宋体"/>
          <w:color w:val="auto"/>
          <w:szCs w:val="21"/>
          <w:highlight w:val="none"/>
        </w:rPr>
        <w:t>调查取证费、诉讼费、律师费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差旅费</w:t>
      </w:r>
      <w:r>
        <w:rPr>
          <w:rFonts w:hint="eastAsia" w:ascii="宋体" w:hAnsi="宋体" w:eastAsia="宋体" w:cs="宋体"/>
          <w:color w:val="auto"/>
          <w:szCs w:val="21"/>
          <w:highlight w:val="none"/>
        </w:rPr>
        <w:t>等</w:t>
      </w:r>
      <w:r>
        <w:rPr>
          <w:rFonts w:hint="eastAsia" w:ascii="宋体" w:hAnsi="宋体" w:cs="宋体"/>
          <w:color w:val="auto"/>
          <w:szCs w:val="21"/>
          <w:highlight w:val="none"/>
          <w:lang w:eastAsia="zh-CN"/>
        </w:rPr>
        <w:t>。</w:t>
      </w:r>
    </w:p>
    <w:p w14:paraId="2A27040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赔偿费。</w:t>
      </w:r>
    </w:p>
    <w:p w14:paraId="5ECBD34C">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除不可抗力和根据合同规定延期取得甲方同意而不收取误期赔偿费之外，乙方延误工期，将按合同规定被收取误期赔偿费。</w:t>
      </w:r>
    </w:p>
    <w:p w14:paraId="041F87B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9.5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178834D7">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 违约责任</w:t>
      </w:r>
    </w:p>
    <w:p w14:paraId="4415141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w:t>
      </w:r>
      <w:r>
        <w:rPr>
          <w:rFonts w:hint="eastAsia" w:ascii="宋体" w:hAnsi="宋体" w:eastAsia="宋体" w:cs="宋体"/>
          <w:color w:val="auto"/>
          <w:szCs w:val="21"/>
          <w:highlight w:val="none"/>
          <w:lang w:val="en-US" w:eastAsia="zh-CN"/>
        </w:rPr>
        <w:t>间接损失及甲方为维权所支付的</w:t>
      </w:r>
      <w:r>
        <w:rPr>
          <w:rFonts w:hint="eastAsia" w:ascii="宋体" w:hAnsi="宋体" w:eastAsia="宋体" w:cs="宋体"/>
          <w:color w:val="auto"/>
          <w:szCs w:val="21"/>
          <w:highlight w:val="none"/>
        </w:rPr>
        <w:t>调查取证费、诉讼费、律师费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差旅费</w:t>
      </w:r>
      <w:r>
        <w:rPr>
          <w:rFonts w:hint="eastAsia" w:ascii="宋体" w:hAnsi="宋体" w:eastAsia="宋体" w:cs="宋体"/>
          <w:color w:val="auto"/>
          <w:szCs w:val="21"/>
          <w:highlight w:val="none"/>
        </w:rPr>
        <w:t>等</w:t>
      </w:r>
      <w:r>
        <w:rPr>
          <w:rFonts w:hint="eastAsia" w:ascii="宋体" w:hAnsi="宋体" w:cs="宋体"/>
          <w:color w:val="auto"/>
          <w:szCs w:val="21"/>
          <w:highlight w:val="none"/>
          <w:lang w:eastAsia="zh-CN"/>
        </w:rPr>
        <w:t>。</w:t>
      </w:r>
    </w:p>
    <w:p w14:paraId="6FFEDAC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78479F9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除应支付甲方违约金等外，甲方有权根据合同或有关部门出具的检验证书向乙方提出索赔。</w:t>
      </w:r>
    </w:p>
    <w:p w14:paraId="74479C8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如果乙方对差异负有责任而甲方提出索赔，乙方同意按照下列方式解决索赔事宜：</w:t>
      </w:r>
    </w:p>
    <w:p w14:paraId="52CEB6F8">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在甲方发出索赔通知后5个工作日内，乙方未作书面答复，上述索赔应视为已被乙方接受。如乙方未能在甲方发出索赔通知后5个工作日内或甲方同意的延长期限内着手解决索赔事宜，甲方有权从乙方的合同款项中扣除索赔金额。</w:t>
      </w:r>
    </w:p>
    <w:p w14:paraId="3F4AC188">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 乙方利用本项目实施过程中所产生的成果（包括发明、发现、可运行系统、源代码及相关技术资料、文档等），另行自行开发本合同业务范围内供纳税人缴费人使用的软件或产品，或利用为税务机关提供信息化服务的便利，向纳税人缴费人搭车收费或变相收费的，或有其他失信行为的，纳入国家税务总局失信名单。</w:t>
      </w:r>
    </w:p>
    <w:p w14:paraId="7DB3AD21">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对于影响恶劣的严重违法失信行为，推送财政部纳入政府采购严重违法失信行为记录名单。</w:t>
      </w:r>
    </w:p>
    <w:p w14:paraId="5F367EF2">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10.6 如果乙方在本项目实施过程中发生违反网络安全规定行为造成不良后果的，自甲方做出认定之日起三年内，税务系统各单位可以拒绝乙方参与税务系统政府采购活动。</w:t>
      </w:r>
    </w:p>
    <w:p w14:paraId="6CE9C31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不良后果指造成数据失窃或丢失、敏感信息泄露、主要业务系统瘫痪等网络安全事件。</w:t>
      </w:r>
    </w:p>
    <w:p w14:paraId="70E9D64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 对于本协议未约定的、招标（采购）文件（技术部分）中约定的违约处理条款，按招标（采购）文件（技术部分）相关约定执行；对本协议与招标（采购）文件（技术部分）约定不同的违约处理条款，以本协议约定为准。</w:t>
      </w:r>
    </w:p>
    <w:p w14:paraId="0D361120">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 不可抗力</w:t>
      </w:r>
    </w:p>
    <w:p w14:paraId="3B1C5ABE">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本条所述的“不可抗力”系指双方不可预见、不可避免、不可克服的客观情况，但不包括双方的违约或疏忽。这些事件包括但不限于：战争、严重火灾、洪水、台风、地震等。</w:t>
      </w:r>
    </w:p>
    <w:p w14:paraId="5D555DD1">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如果乙方因不可抗力而导致合同实施延误或不能履行合同义务，不应承担误期赔偿或终止合同的责任。</w:t>
      </w:r>
    </w:p>
    <w:p w14:paraId="12E1D708">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1D353A19">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r>
        <w:rPr>
          <w:rFonts w:hint="eastAsia" w:ascii="宋体" w:hAnsi="宋体" w:eastAsia="宋体" w:cs="宋体"/>
          <w:color w:val="auto"/>
          <w:highlight w:val="none"/>
        </w:rPr>
        <w:t>甲方不承担违约责任</w:t>
      </w:r>
      <w:r>
        <w:rPr>
          <w:rFonts w:hint="eastAsia" w:ascii="宋体" w:hAnsi="宋体" w:eastAsia="宋体" w:cs="宋体"/>
          <w:color w:val="auto"/>
          <w:szCs w:val="21"/>
          <w:highlight w:val="none"/>
        </w:rPr>
        <w:t>。</w:t>
      </w:r>
    </w:p>
    <w:p w14:paraId="198D24E8">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 争端的解决</w:t>
      </w:r>
    </w:p>
    <w:p w14:paraId="49A70FF8">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甲乙双方应首先通过友好协商解决在执行本合同中所发生的或与本合同有关的一切争端。如从协商开始</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天内仍不能解决，可以按合同约定的方式提诉讼。</w:t>
      </w:r>
    </w:p>
    <w:p w14:paraId="4A3B7E3B">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12.2诉讼应向甲方所在地或人民法院提起诉讼。</w:t>
      </w:r>
    </w:p>
    <w:p w14:paraId="16D20E1B">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12.3诉讼费除人民法院另有判决外，应由败诉方负担。</w:t>
      </w:r>
    </w:p>
    <w:p w14:paraId="622498EF">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12.4在诉讼期间，除正在进行诉讼部分外，本合同的其它部分应继续执行。</w:t>
      </w:r>
    </w:p>
    <w:p w14:paraId="0DC62245">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 违约终止合同</w:t>
      </w:r>
    </w:p>
    <w:p w14:paraId="598117F1">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w:t>
      </w:r>
      <w:r>
        <w:rPr>
          <w:rFonts w:hint="eastAsia" w:ascii="宋体" w:hAnsi="宋体" w:eastAsia="宋体" w:cs="宋体"/>
          <w:color w:val="auto"/>
          <w:szCs w:val="21"/>
          <w:highlight w:val="none"/>
          <w:lang w:val="en-US" w:eastAsia="zh-CN"/>
        </w:rPr>
        <w:t>间接损失及甲方为维权所支付的</w:t>
      </w:r>
      <w:r>
        <w:rPr>
          <w:rFonts w:hint="eastAsia" w:ascii="宋体" w:hAnsi="宋体" w:eastAsia="宋体" w:cs="宋体"/>
          <w:color w:val="auto"/>
          <w:szCs w:val="21"/>
          <w:highlight w:val="none"/>
        </w:rPr>
        <w:t>调查取证费、诉讼费、律师费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差旅费</w:t>
      </w:r>
      <w:r>
        <w:rPr>
          <w:rFonts w:hint="eastAsia" w:ascii="宋体" w:hAnsi="宋体" w:eastAsia="宋体" w:cs="宋体"/>
          <w:color w:val="auto"/>
          <w:szCs w:val="21"/>
          <w:highlight w:val="none"/>
        </w:rPr>
        <w:t>等</w:t>
      </w:r>
      <w:r>
        <w:rPr>
          <w:rFonts w:hint="eastAsia" w:ascii="宋体" w:hAnsi="宋体" w:cs="宋体"/>
          <w:color w:val="auto"/>
          <w:szCs w:val="21"/>
          <w:highlight w:val="none"/>
          <w:lang w:eastAsia="zh-CN"/>
        </w:rPr>
        <w:t>。</w:t>
      </w:r>
    </w:p>
    <w:p w14:paraId="2BC22040">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13.1.1 乙方不履行合同</w:t>
      </w:r>
      <w:r>
        <w:rPr>
          <w:rFonts w:hint="eastAsia" w:ascii="宋体" w:hAnsi="宋体" w:cs="宋体"/>
          <w:color w:val="auto"/>
          <w:szCs w:val="21"/>
          <w:highlight w:val="none"/>
          <w:lang w:eastAsia="zh-CN"/>
        </w:rPr>
        <w:t>义</w:t>
      </w:r>
      <w:r>
        <w:rPr>
          <w:rFonts w:hint="eastAsia" w:ascii="宋体" w:hAnsi="宋体" w:eastAsia="宋体" w:cs="宋体"/>
          <w:color w:val="auto"/>
          <w:szCs w:val="21"/>
          <w:highlight w:val="none"/>
        </w:rPr>
        <w:t>务或者履行合同义务不符合合同约定；</w:t>
      </w:r>
    </w:p>
    <w:p w14:paraId="06E19EE0">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 如果乙方未能在合同规定的期限或甲方同意延长的期限内提供服务；</w:t>
      </w:r>
    </w:p>
    <w:p w14:paraId="0A0D6F50">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13.1.3 因乙方人员自身技术能力、经验不足等问题造成甲方发生重大紧急故障，带来重大影响和损失的；</w:t>
      </w:r>
    </w:p>
    <w:p w14:paraId="177F4FA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13.1.4 乙方对重大紧急故障没有及时响应，或不能在规定时间内解决处理故障、恢复正常运行的；</w:t>
      </w:r>
    </w:p>
    <w:p w14:paraId="5F311DCD">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13.1.5 不能满足本项目技术需求的管理要求和规范，且经多次整改无明显改进的；</w:t>
      </w:r>
    </w:p>
    <w:p w14:paraId="0D8CD141">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13.1.6 在合同服务期内，同一个应用系统在升级完善、运行维护支持服务过程中，出现5次经甲乙双方确认的用户投诉的；</w:t>
      </w:r>
    </w:p>
    <w:p w14:paraId="679B9CAD">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13.1.7 乙方利用本项目实施过程中所产生的成果（包括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3694495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13.1.8 乙方在本项目实施过程中发生违反网络安全规定行为造成不良后果的。</w:t>
      </w:r>
    </w:p>
    <w:p w14:paraId="72C4431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13.1.9 乙方提供的服务侵犯甲方、第三方知识产权等合法权益的；</w:t>
      </w:r>
    </w:p>
    <w:p w14:paraId="61C52F5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13.1.10 乙方或乙方人员造成甲方或第三方经济损失而拒不赔偿的；</w:t>
      </w:r>
    </w:p>
    <w:p w14:paraId="5AE472DB">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13.1.11 乙方转让其应履行的合同义务，或未经甲方同意采取分包方式履行合同</w:t>
      </w:r>
    </w:p>
    <w:p w14:paraId="6C508CE0">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的；</w:t>
      </w:r>
    </w:p>
    <w:p w14:paraId="05ECDBF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13.1.12 乙方有其他严重违约行为的。</w:t>
      </w:r>
    </w:p>
    <w:p w14:paraId="110C8D2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如果甲方根据上述第12.1条的规定，终止了全部或部分合同，甲方可以适当的条件和方法购买乙方未能提供的服务，乙方应对甲方购买类似服务所超出的费用负责。同时，乙方应继续执行合同中未终止的部分。</w:t>
      </w:r>
    </w:p>
    <w:p w14:paraId="199A592C">
      <w:pPr>
        <w:spacing w:line="360" w:lineRule="auto"/>
        <w:ind w:firstLine="441" w:firstLineChars="21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12.3若乙方不履行合同义务导致合同目的无法实现，甲方可以单方解除合同，甲方不需要为此承担责任，乙方需要向甲方赔付合同总价款的30%作为违约金。</w:t>
      </w:r>
    </w:p>
    <w:p w14:paraId="65EEEB1A">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 破产终止合同</w:t>
      </w:r>
    </w:p>
    <w:p w14:paraId="5F3ACB7B">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如果乙方破产或无清偿能力，甲方可在任何时候以书面形式通知乙方终止合同而不</w:t>
      </w:r>
      <w:r>
        <w:rPr>
          <w:rFonts w:hint="eastAsia" w:ascii="宋体" w:hAnsi="宋体" w:cs="宋体"/>
          <w:color w:val="auto"/>
          <w:szCs w:val="21"/>
          <w:highlight w:val="none"/>
          <w:lang w:val="en-US" w:eastAsia="zh-CN"/>
        </w:rPr>
        <w:t>承担违约责任。</w:t>
      </w:r>
    </w:p>
    <w:p w14:paraId="6B4F85DE">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14.2该终止合同将不损害或影响甲方已经采取或将要采取的任何行动或补救措施的权</w:t>
      </w:r>
      <w:r>
        <w:rPr>
          <w:rFonts w:hint="eastAsia" w:ascii="宋体" w:hAnsi="宋体" w:cs="宋体"/>
          <w:color w:val="auto"/>
          <w:szCs w:val="21"/>
          <w:highlight w:val="none"/>
          <w:lang w:eastAsia="zh-CN"/>
        </w:rPr>
        <w:t>利</w:t>
      </w:r>
      <w:r>
        <w:rPr>
          <w:rFonts w:hint="eastAsia" w:ascii="宋体" w:hAnsi="宋体" w:eastAsia="宋体" w:cs="宋体"/>
          <w:color w:val="auto"/>
          <w:szCs w:val="21"/>
          <w:highlight w:val="none"/>
        </w:rPr>
        <w:t>。</w:t>
      </w:r>
    </w:p>
    <w:p w14:paraId="4ABBBB53">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 其他情况的终止合同</w:t>
      </w:r>
    </w:p>
    <w:p w14:paraId="5DE5973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乙方在执行合同的过程中发生重大事故或变故，对履行合同有直接影响的，甲方可以提出终止合同而不</w:t>
      </w:r>
      <w:r>
        <w:rPr>
          <w:rFonts w:hint="eastAsia" w:ascii="宋体" w:hAnsi="宋体" w:cs="宋体"/>
          <w:color w:val="auto"/>
          <w:szCs w:val="21"/>
          <w:highlight w:val="none"/>
          <w:lang w:val="en-US" w:eastAsia="zh-CN"/>
        </w:rPr>
        <w:t>承担违约责任。</w:t>
      </w:r>
    </w:p>
    <w:p w14:paraId="20F9F9E9">
      <w:pPr>
        <w:topLinePunct/>
        <w:autoSpaceDE w:val="0"/>
        <w:autoSpaceDN w:val="0"/>
        <w:spacing w:line="360" w:lineRule="auto"/>
        <w:ind w:firstLine="420" w:firstLineChars="200"/>
        <w:outlineLvl w:val="9"/>
        <w:rPr>
          <w:b/>
          <w:bCs/>
          <w:color w:val="auto"/>
          <w:highlight w:val="none"/>
        </w:rPr>
      </w:pPr>
      <w:r>
        <w:rPr>
          <w:rFonts w:hint="eastAsia" w:ascii="宋体" w:hAnsi="宋体" w:eastAsia="宋体" w:cs="宋体"/>
          <w:color w:val="auto"/>
          <w:szCs w:val="21"/>
          <w:highlight w:val="none"/>
        </w:rPr>
        <w:t>15.2 在服务期内，由于甲方工作计划调整，推广使用新应用系统导致本项目相关服务停止的，甲方可以提出终止合同而不</w:t>
      </w:r>
      <w:r>
        <w:rPr>
          <w:rFonts w:hint="eastAsia" w:ascii="宋体" w:hAnsi="宋体" w:cs="宋体"/>
          <w:color w:val="auto"/>
          <w:szCs w:val="21"/>
          <w:highlight w:val="none"/>
          <w:lang w:val="en-US" w:eastAsia="zh-CN"/>
        </w:rPr>
        <w:t>承担违约责任。</w:t>
      </w:r>
    </w:p>
    <w:p w14:paraId="64AB4C34">
      <w:pPr>
        <w:pStyle w:val="2"/>
        <w:topLinePunct/>
        <w:autoSpaceDE w:val="0"/>
        <w:autoSpaceDN w:val="0"/>
        <w:spacing w:line="360" w:lineRule="auto"/>
        <w:ind w:firstLine="420" w:firstLineChars="200"/>
        <w:outlineLvl w:val="9"/>
        <w:rPr>
          <w:rFonts w:hint="eastAsia"/>
          <w:color w:val="auto"/>
          <w:highlight w:val="none"/>
        </w:rPr>
      </w:pPr>
      <w:r>
        <w:rPr>
          <w:rFonts w:hint="eastAsia" w:ascii="宋体" w:hAnsi="宋体" w:eastAsia="宋体" w:cs="宋体"/>
          <w:b w:val="0"/>
          <w:color w:val="auto"/>
          <w:kern w:val="2"/>
          <w:sz w:val="21"/>
          <w:szCs w:val="21"/>
          <w:highlight w:val="none"/>
          <w:lang w:val="en-US" w:eastAsia="zh-CN" w:bidi="ar-SA"/>
        </w:rPr>
        <w:t>15.3 因为政府政策调整或甲方主管部门上级文件规定，必须取消本合同项下项目的，甲方有权单方解除合同，且不承担违约责任。届时，乙方未提供服务的，甲方无需支付任何费用；乙方已经提供服务的，双方根据本合同约定据实结算。除此之外，甲方无需再承担任何责任。</w:t>
      </w:r>
    </w:p>
    <w:p w14:paraId="034AEDB6">
      <w:pPr>
        <w:tabs>
          <w:tab w:val="left" w:pos="700"/>
        </w:tabs>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 合同修改或变更</w:t>
      </w:r>
    </w:p>
    <w:p w14:paraId="04619E15">
      <w:pPr>
        <w:spacing w:line="360" w:lineRule="auto"/>
        <w:ind w:firstLine="482"/>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合同如有未尽事宜，须经甲乙双方共同协商，做出补充约定，并签订书面补充合同或变更协议。补充合同或变更协议作为本合同的一部分，与本合同具有同等效力。</w:t>
      </w:r>
    </w:p>
    <w:p w14:paraId="392ADDE6">
      <w:pPr>
        <w:topLinePunct/>
        <w:autoSpaceDE w:val="0"/>
        <w:autoSpaceDN w:val="0"/>
        <w:spacing w:line="360" w:lineRule="auto"/>
        <w:ind w:firstLine="420" w:firstLineChars="200"/>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16.2 除了双方签署书面修改或变更协议，并成为本合同不可分割的一部分的情况之外，本合同的条款不得有任何变化或修改。</w:t>
      </w:r>
    </w:p>
    <w:p w14:paraId="57BB9297">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由于采购人项目统一规划等原因导致本项目停止部分服务的，甲方将启动合同变更程序，与乙方协商变更相关合同条款。</w:t>
      </w:r>
    </w:p>
    <w:p w14:paraId="1601674B">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 转让和分包</w:t>
      </w:r>
    </w:p>
    <w:p w14:paraId="6AC28277">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除甲方事先书面同意外，乙方不得部分转让或全部转让其应履行的合同义务，</w:t>
      </w:r>
      <w:r>
        <w:rPr>
          <w:rFonts w:hint="eastAsia" w:ascii="宋体" w:hAnsi="宋体" w:eastAsia="宋体" w:cs="宋体"/>
          <w:color w:val="auto"/>
          <w:highlight w:val="none"/>
        </w:rPr>
        <w:t>转让的乙方应当承担违约责任。</w:t>
      </w:r>
    </w:p>
    <w:p w14:paraId="3A56D68C">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未经甲方同意，乙方不得采取分包方式履行合同。经甲方同意分包履行合同的，乙方就采购项目及分包项目向甲方负责，分包供应商就分包项目承担责任。</w:t>
      </w:r>
    </w:p>
    <w:p w14:paraId="4628D2CA">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 合同语言</w:t>
      </w:r>
    </w:p>
    <w:p w14:paraId="55E17C8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本合同语言为中文。</w:t>
      </w:r>
    </w:p>
    <w:p w14:paraId="5AA0688D">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双方交换的与合同有关的信件和其他文件应用合同语言书写。</w:t>
      </w:r>
    </w:p>
    <w:p w14:paraId="22651564">
      <w:pPr>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19. 适用法律</w:t>
      </w:r>
    </w:p>
    <w:p w14:paraId="5DA0F170">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本合同按照中华人民共和国现行法律进行解释。</w:t>
      </w:r>
    </w:p>
    <w:p w14:paraId="3D0F1A14">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本合同的履行、违约责任和解决争议的方法等适用《中华人民共和国民法典》。</w:t>
      </w:r>
    </w:p>
    <w:p w14:paraId="5288B1BD">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20. 税费</w:t>
      </w:r>
    </w:p>
    <w:p w14:paraId="3F22028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合同服务的所有税费均已包含于合同价中，甲方不再另行支付。</w:t>
      </w:r>
    </w:p>
    <w:p w14:paraId="61A013C4">
      <w:pPr>
        <w:tabs>
          <w:tab w:val="left" w:pos="700"/>
        </w:tabs>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 合同生效</w:t>
      </w:r>
    </w:p>
    <w:p w14:paraId="29865509">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本合同一式</w:t>
      </w:r>
      <w:r>
        <w:rPr>
          <w:rFonts w:hint="eastAsia" w:ascii="宋体" w:hAnsi="宋体" w:cs="宋体"/>
          <w:color w:val="auto"/>
          <w:szCs w:val="21"/>
          <w:highlight w:val="none"/>
          <w:lang w:val="en-US" w:eastAsia="zh-CN"/>
        </w:rPr>
        <w:t>_</w:t>
      </w:r>
      <w:r>
        <w:rPr>
          <w:rFonts w:hint="eastAsia" w:ascii="宋体" w:hAnsi="宋体" w:eastAsia="宋体" w:cs="宋体"/>
          <w:color w:val="auto"/>
          <w:szCs w:val="21"/>
          <w:highlight w:val="none"/>
        </w:rPr>
        <w:t>份，由甲乙双方法定代表人或被授权人签字并盖章后生效。</w:t>
      </w:r>
    </w:p>
    <w:p w14:paraId="0C7A05E5">
      <w:pPr>
        <w:spacing w:line="360" w:lineRule="auto"/>
        <w:ind w:firstLine="420" w:firstLineChars="200"/>
        <w:outlineLvl w:val="9"/>
        <w:rPr>
          <w:rFonts w:hint="eastAsia" w:ascii="宋体" w:hAnsi="宋体" w:eastAsia="宋体" w:cs="宋体"/>
          <w:color w:val="auto"/>
          <w:szCs w:val="21"/>
          <w:highlight w:val="none"/>
        </w:rPr>
      </w:pPr>
    </w:p>
    <w:p w14:paraId="0311D807">
      <w:pP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73717134">
      <w:pPr>
        <w:topLinePunct/>
        <w:autoSpaceDE w:val="0"/>
        <w:autoSpaceDN w:val="0"/>
        <w:spacing w:line="360" w:lineRule="auto"/>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   招标（采购）文件及投标（响应）文件（如需要，可另附）</w:t>
      </w:r>
    </w:p>
    <w:p w14:paraId="5622696B">
      <w:pPr>
        <w:spacing w:line="360" w:lineRule="auto"/>
        <w:jc w:val="center"/>
        <w:outlineLvl w:val="9"/>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24"/>
          <w:highlight w:val="none"/>
        </w:rPr>
        <w:t>四   报价表（总报价表和分项报价表，如有需要可另附）</w:t>
      </w:r>
    </w:p>
    <w:p w14:paraId="53AF2985">
      <w:pPr>
        <w:outlineLvl w:val="9"/>
        <w:rPr>
          <w:rFonts w:hint="eastAsia" w:ascii="宋体" w:hAnsi="宋体" w:eastAsia="宋体" w:cs="宋体"/>
          <w:color w:val="auto"/>
          <w:highlight w:val="none"/>
        </w:rPr>
      </w:pPr>
    </w:p>
    <w:p w14:paraId="52B702C1">
      <w:pPr>
        <w:outlineLvl w:val="9"/>
        <w:rPr>
          <w:rFonts w:hint="eastAsia" w:ascii="宋体" w:hAnsi="宋体" w:eastAsia="宋体" w:cs="宋体"/>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7266D18B">
      <w:pPr>
        <w:jc w:val="center"/>
        <w:outlineLvl w:val="0"/>
        <w:rPr>
          <w:rFonts w:hint="eastAsia" w:ascii="宋体" w:hAnsi="宋体" w:eastAsia="宋体" w:cs="宋体"/>
          <w:b/>
          <w:bCs/>
          <w:color w:val="auto"/>
          <w:sz w:val="28"/>
          <w:szCs w:val="28"/>
          <w:highlight w:val="none"/>
        </w:rPr>
      </w:pPr>
      <w:bookmarkStart w:id="59" w:name="_Toc132880284"/>
      <w:bookmarkStart w:id="60" w:name="_Toc389"/>
      <w:r>
        <w:rPr>
          <w:rFonts w:hint="eastAsia" w:ascii="宋体" w:hAnsi="宋体" w:eastAsia="宋体" w:cs="宋体"/>
          <w:b/>
          <w:bCs/>
          <w:color w:val="auto"/>
          <w:sz w:val="28"/>
          <w:szCs w:val="28"/>
          <w:highlight w:val="none"/>
        </w:rPr>
        <w:t>第五章　投标文件格式</w:t>
      </w:r>
      <w:bookmarkEnd w:id="59"/>
      <w:bookmarkEnd w:id="60"/>
    </w:p>
    <w:p w14:paraId="616C7F74">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投标人必须按下列文本格式，如实提供具有法律效力的资格证明文件和真实有效的其他文件资料，任何不按下列文本格式提供或有实质性变更将由投标人承担风险。</w:t>
      </w:r>
    </w:p>
    <w:p w14:paraId="681678F4">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1.投标人应严格按照本章规定填写和提交全部格式文件以及其他有关资料，混乱的编排导致投标文件被误读或查找不到，后果由投标人承担。</w:t>
      </w:r>
    </w:p>
    <w:p w14:paraId="16DD59AA">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2.所附表格中要求回答的全部问题和信息都必须正面回答。</w:t>
      </w:r>
    </w:p>
    <w:p w14:paraId="6DDB2E2F">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3.资格声明文件的签字人应保证全部声明和问题的回答是真实的和准确的。</w:t>
      </w:r>
    </w:p>
    <w:p w14:paraId="5A653512">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4.评标委员会将应用投标人提交的资料并根据自己的判断，决定投标人履行合同的合格性及能力。</w:t>
      </w:r>
    </w:p>
    <w:p w14:paraId="44A0AB17">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5.全部文件应按投标人须知中规定的语言提交。</w:t>
      </w:r>
    </w:p>
    <w:p w14:paraId="22271490">
      <w:pPr>
        <w:topLinePunct/>
        <w:autoSpaceDE w:val="0"/>
        <w:autoSpaceDN w:val="0"/>
        <w:adjustRightInd w:val="0"/>
        <w:snapToGrid w:val="0"/>
        <w:spacing w:line="360" w:lineRule="auto"/>
        <w:ind w:firstLine="422" w:firstLineChars="200"/>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6.以下格式文件为要求填写内容的固定格式，投标人不得擅自修改格式，其他未提供格式的文件和资料由投标人自行设计编制格式填写。</w:t>
      </w:r>
    </w:p>
    <w:p w14:paraId="3B1ADD04">
      <w:pPr>
        <w:adjustRightInd w:val="0"/>
        <w:snapToGrid w:val="0"/>
        <w:spacing w:beforeLines="20" w:after="4" w:line="360" w:lineRule="auto"/>
        <w:ind w:firstLine="422" w:firstLineChars="200"/>
        <w:jc w:val="center"/>
        <w:outlineLvl w:val="9"/>
        <w:rPr>
          <w:rFonts w:hint="eastAsia" w:ascii="宋体" w:hAnsi="宋体" w:eastAsia="宋体" w:cs="宋体"/>
          <w:b/>
          <w:bCs/>
          <w:color w:val="auto"/>
          <w:highlight w:val="none"/>
        </w:rPr>
      </w:pPr>
    </w:p>
    <w:p w14:paraId="4849F937">
      <w:pPr>
        <w:ind w:firstLine="422" w:firstLineChars="200"/>
        <w:jc w:val="center"/>
        <w:outlineLvl w:val="9"/>
        <w:rPr>
          <w:rFonts w:hint="eastAsia" w:ascii="宋体" w:hAnsi="宋体" w:eastAsia="宋体" w:cs="宋体"/>
          <w:b/>
          <w:bCs/>
          <w:color w:val="auto"/>
          <w:highlight w:val="none"/>
        </w:rPr>
      </w:pPr>
    </w:p>
    <w:p w14:paraId="26049441">
      <w:pPr>
        <w:outlineLvl w:val="9"/>
        <w:rPr>
          <w:rFonts w:hint="eastAsia" w:ascii="宋体" w:hAnsi="宋体" w:eastAsia="宋体" w:cs="宋体"/>
          <w:color w:val="auto"/>
          <w:highlight w:val="none"/>
        </w:rPr>
      </w:pPr>
    </w:p>
    <w:p w14:paraId="1F2AA221">
      <w:pPr>
        <w:outlineLvl w:val="9"/>
        <w:rPr>
          <w:rFonts w:hint="eastAsia" w:ascii="宋体" w:hAnsi="宋体" w:eastAsia="宋体" w:cs="宋体"/>
          <w:b/>
          <w:bCs/>
          <w:color w:val="auto"/>
          <w:highlight w:val="none"/>
        </w:rPr>
      </w:pPr>
    </w:p>
    <w:p w14:paraId="7A57ED3F">
      <w:pPr>
        <w:adjustRightInd w:val="0"/>
        <w:snapToGrid w:val="0"/>
        <w:spacing w:line="360" w:lineRule="auto"/>
        <w:jc w:val="center"/>
        <w:outlineLvl w:val="9"/>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036C1FE8">
      <w:pPr>
        <w:spacing w:line="600" w:lineRule="auto"/>
        <w:jc w:val="center"/>
        <w:outlineLvl w:val="9"/>
        <w:rPr>
          <w:rFonts w:hint="eastAsia" w:ascii="宋体" w:hAnsi="宋体" w:eastAsia="宋体" w:cs="宋体"/>
          <w:b/>
          <w:color w:val="auto"/>
          <w:kern w:val="0"/>
          <w:sz w:val="44"/>
          <w:szCs w:val="44"/>
          <w:highlight w:val="none"/>
        </w:rPr>
      </w:pPr>
    </w:p>
    <w:p w14:paraId="76535BC7">
      <w:pPr>
        <w:spacing w:line="600" w:lineRule="auto"/>
        <w:jc w:val="center"/>
        <w:outlineLvl w:val="9"/>
        <w:rPr>
          <w:rFonts w:hint="eastAsia" w:ascii="宋体" w:hAnsi="宋体" w:eastAsia="宋体" w:cs="宋体"/>
          <w:bCs/>
          <w:color w:val="auto"/>
          <w:kern w:val="0"/>
          <w:sz w:val="32"/>
          <w:szCs w:val="32"/>
          <w:highlight w:val="none"/>
        </w:rPr>
      </w:pPr>
    </w:p>
    <w:p w14:paraId="7BED6AD8">
      <w:pPr>
        <w:spacing w:line="600" w:lineRule="auto"/>
        <w:jc w:val="center"/>
        <w:outlineLvl w:val="9"/>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投  标  文  件</w:t>
      </w:r>
    </w:p>
    <w:p w14:paraId="4400CE8C">
      <w:pPr>
        <w:spacing w:line="600" w:lineRule="auto"/>
        <w:jc w:val="center"/>
        <w:outlineLvl w:val="9"/>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商务部分</w:t>
      </w:r>
    </w:p>
    <w:p w14:paraId="61FAB974">
      <w:pPr>
        <w:spacing w:line="360" w:lineRule="auto"/>
        <w:ind w:firstLine="640" w:firstLineChars="200"/>
        <w:jc w:val="center"/>
        <w:outlineLvl w:val="9"/>
        <w:rPr>
          <w:rFonts w:hint="eastAsia" w:ascii="宋体" w:hAnsi="宋体" w:eastAsia="宋体" w:cs="宋体"/>
          <w:color w:val="auto"/>
          <w:kern w:val="0"/>
          <w:sz w:val="32"/>
          <w:szCs w:val="32"/>
          <w:highlight w:val="none"/>
        </w:rPr>
      </w:pPr>
    </w:p>
    <w:p w14:paraId="00B5DDFB">
      <w:pPr>
        <w:spacing w:line="360" w:lineRule="auto"/>
        <w:jc w:val="center"/>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（填写正本或副本）</w:t>
      </w:r>
    </w:p>
    <w:p w14:paraId="7DB48856">
      <w:pPr>
        <w:spacing w:line="360" w:lineRule="auto"/>
        <w:ind w:firstLine="480" w:firstLineChars="200"/>
        <w:jc w:val="center"/>
        <w:outlineLvl w:val="9"/>
        <w:rPr>
          <w:rFonts w:hint="eastAsia" w:ascii="宋体" w:hAnsi="宋体" w:eastAsia="宋体" w:cs="宋体"/>
          <w:bCs/>
          <w:color w:val="auto"/>
          <w:kern w:val="0"/>
          <w:sz w:val="24"/>
          <w:szCs w:val="24"/>
          <w:highlight w:val="none"/>
        </w:rPr>
      </w:pPr>
    </w:p>
    <w:p w14:paraId="01CA0805">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p>
    <w:p w14:paraId="0E2CC69F">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项目编号：</w:t>
      </w:r>
    </w:p>
    <w:p w14:paraId="0C488168">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所投采购包：</w:t>
      </w:r>
    </w:p>
    <w:p w14:paraId="062C737E">
      <w:pPr>
        <w:spacing w:line="360" w:lineRule="auto"/>
        <w:ind w:left="1470" w:leftChars="700" w:firstLine="480" w:firstLineChars="200"/>
        <w:jc w:val="center"/>
        <w:outlineLvl w:val="9"/>
        <w:rPr>
          <w:rFonts w:hint="eastAsia" w:ascii="宋体" w:hAnsi="宋体" w:eastAsia="宋体" w:cs="宋体"/>
          <w:bCs/>
          <w:color w:val="auto"/>
          <w:kern w:val="0"/>
          <w:sz w:val="24"/>
          <w:szCs w:val="24"/>
          <w:highlight w:val="none"/>
        </w:rPr>
      </w:pPr>
    </w:p>
    <w:p w14:paraId="1BFBD2B8">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投标人：</w:t>
      </w:r>
    </w:p>
    <w:p w14:paraId="43451397">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  期：</w:t>
      </w:r>
    </w:p>
    <w:p w14:paraId="195900F9">
      <w:pPr>
        <w:widowControl/>
        <w:jc w:val="left"/>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217DEDD7">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格式1  授权委托书</w:t>
      </w:r>
    </w:p>
    <w:p w14:paraId="513A3D3E">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1-1法定代表人授权委托书</w:t>
      </w:r>
    </w:p>
    <w:p w14:paraId="7A0AA5AD">
      <w:pPr>
        <w:adjustRightInd w:val="0"/>
        <w:snapToGrid w:val="0"/>
        <w:spacing w:line="360" w:lineRule="auto"/>
        <w:jc w:val="center"/>
        <w:outlineLvl w:val="9"/>
        <w:rPr>
          <w:rFonts w:hint="eastAsia" w:ascii="宋体" w:hAnsi="宋体" w:eastAsia="宋体" w:cs="宋体"/>
          <w:b/>
          <w:bCs/>
          <w:color w:val="auto"/>
          <w:sz w:val="24"/>
          <w:highlight w:val="none"/>
        </w:rPr>
      </w:pPr>
      <w:r>
        <w:rPr>
          <w:rFonts w:hint="eastAsia" w:ascii="宋体" w:hAnsi="宋体" w:eastAsia="宋体" w:cs="宋体"/>
          <w:color w:val="auto"/>
          <w:szCs w:val="21"/>
          <w:highlight w:val="none"/>
        </w:rPr>
        <w:t>(适用于授权代表参加投标)</w:t>
      </w:r>
    </w:p>
    <w:p w14:paraId="438F1A0E">
      <w:pPr>
        <w:outlineLvl w:val="9"/>
        <w:rPr>
          <w:rFonts w:hint="eastAsia" w:ascii="宋体" w:hAnsi="宋体" w:eastAsia="宋体" w:cs="宋体"/>
          <w:color w:val="auto"/>
          <w:szCs w:val="21"/>
          <w:highlight w:val="none"/>
        </w:rPr>
      </w:pPr>
    </w:p>
    <w:p w14:paraId="69C5CF2A">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本授权书声明：注册于___________（投标人住址）的___________（投标人名称）法定代表人_______（姓名、职务）代表本公司授权_______（被授权投标代表姓名、职务）为本公司的合法投标代表，就贵方组织的《</w:t>
      </w:r>
      <w:r>
        <w:rPr>
          <w:rFonts w:hint="eastAsia" w:ascii="宋体" w:hAnsi="宋体" w:eastAsia="宋体" w:cs="宋体"/>
          <w:color w:val="auto"/>
          <w:szCs w:val="21"/>
          <w:highlight w:val="none"/>
          <w:u w:val="single"/>
        </w:rPr>
        <w:t xml:space="preserve">          项目</w:t>
      </w:r>
      <w:r>
        <w:rPr>
          <w:rFonts w:hint="eastAsia" w:ascii="宋体" w:hAnsi="宋体" w:eastAsia="宋体" w:cs="宋体"/>
          <w:color w:val="auto"/>
          <w:szCs w:val="21"/>
          <w:highlight w:val="none"/>
        </w:rPr>
        <w:t>》（项目编号：_______）投标、合同的执行，以本公司名义处理一切与之有关的事务。</w:t>
      </w:r>
    </w:p>
    <w:p w14:paraId="5F03DFCE">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本授权书于______年______月_____日生效，特此声明。</w:t>
      </w:r>
    </w:p>
    <w:p w14:paraId="707E2139">
      <w:pPr>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被授权投标代表无转委托权。</w:t>
      </w:r>
    </w:p>
    <w:p w14:paraId="16F4EA54">
      <w:pPr>
        <w:adjustRightInd w:val="0"/>
        <w:snapToGrid w:val="0"/>
        <w:spacing w:line="360" w:lineRule="auto"/>
        <w:outlineLvl w:val="9"/>
        <w:rPr>
          <w:rFonts w:hint="eastAsia" w:ascii="宋体" w:hAnsi="宋体" w:eastAsia="宋体" w:cs="宋体"/>
          <w:color w:val="auto"/>
          <w:szCs w:val="21"/>
          <w:highlight w:val="none"/>
        </w:rPr>
      </w:pPr>
    </w:p>
    <w:tbl>
      <w:tblPr>
        <w:tblStyle w:val="22"/>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1144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vAlign w:val="center"/>
          </w:tcPr>
          <w:p w14:paraId="210B46F9">
            <w:pPr>
              <w:adjustRightInd w:val="0"/>
              <w:snapToGrid w:val="0"/>
              <w:spacing w:line="360" w:lineRule="auto"/>
              <w:jc w:val="center"/>
              <w:outlineLvl w:val="9"/>
              <w:rPr>
                <w:rFonts w:hint="eastAsia" w:ascii="宋体" w:hAnsi="宋体" w:eastAsia="宋体" w:cs="宋体"/>
                <w:color w:val="auto"/>
                <w:szCs w:val="21"/>
                <w:highlight w:val="none"/>
              </w:rPr>
            </w:pPr>
          </w:p>
          <w:p w14:paraId="0F04F993">
            <w:pPr>
              <w:adjustRightInd w:val="0"/>
              <w:snapToGrid w:val="0"/>
              <w:spacing w:line="360" w:lineRule="auto"/>
              <w:jc w:val="center"/>
              <w:outlineLvl w:val="9"/>
              <w:rPr>
                <w:rFonts w:hint="eastAsia" w:ascii="宋体" w:hAnsi="宋体" w:eastAsia="宋体" w:cs="宋体"/>
                <w:color w:val="auto"/>
                <w:szCs w:val="21"/>
                <w:highlight w:val="none"/>
              </w:rPr>
            </w:pPr>
          </w:p>
          <w:p w14:paraId="17171CE3">
            <w:pPr>
              <w:adjustRightInd w:val="0"/>
              <w:snapToGrid w:val="0"/>
              <w:spacing w:line="360" w:lineRule="auto"/>
              <w:jc w:val="center"/>
              <w:outlineLvl w:val="9"/>
              <w:rPr>
                <w:rFonts w:hint="eastAsia" w:ascii="宋体" w:hAnsi="宋体" w:eastAsia="宋体" w:cs="宋体"/>
                <w:color w:val="auto"/>
                <w:szCs w:val="21"/>
                <w:highlight w:val="none"/>
              </w:rPr>
            </w:pPr>
          </w:p>
          <w:p w14:paraId="2FAF265C">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被授权投标代表</w:t>
            </w:r>
            <w:r>
              <w:rPr>
                <w:rFonts w:hint="eastAsia" w:ascii="宋体" w:hAnsi="宋体" w:eastAsia="宋体" w:cs="宋体"/>
                <w:color w:val="auto"/>
                <w:szCs w:val="21"/>
                <w:highlight w:val="none"/>
              </w:rPr>
              <w:t>身份证复印件</w:t>
            </w:r>
          </w:p>
          <w:p w14:paraId="1B05A3E0">
            <w:pPr>
              <w:adjustRightInd w:val="0"/>
              <w:snapToGrid w:val="0"/>
              <w:spacing w:line="360" w:lineRule="auto"/>
              <w:jc w:val="center"/>
              <w:outlineLvl w:val="9"/>
              <w:rPr>
                <w:rFonts w:hint="eastAsia" w:ascii="宋体" w:hAnsi="宋体" w:eastAsia="宋体" w:cs="宋体"/>
                <w:color w:val="auto"/>
                <w:szCs w:val="21"/>
                <w:highlight w:val="none"/>
              </w:rPr>
            </w:pPr>
          </w:p>
          <w:p w14:paraId="78983DFF">
            <w:pPr>
              <w:adjustRightInd w:val="0"/>
              <w:snapToGrid w:val="0"/>
              <w:spacing w:line="360" w:lineRule="auto"/>
              <w:jc w:val="center"/>
              <w:outlineLvl w:val="9"/>
              <w:rPr>
                <w:rFonts w:hint="eastAsia" w:ascii="宋体" w:hAnsi="宋体" w:eastAsia="宋体" w:cs="宋体"/>
                <w:color w:val="auto"/>
                <w:szCs w:val="21"/>
                <w:highlight w:val="none"/>
              </w:rPr>
            </w:pPr>
          </w:p>
          <w:p w14:paraId="499B4383">
            <w:pPr>
              <w:adjustRightInd w:val="0"/>
              <w:snapToGrid w:val="0"/>
              <w:spacing w:line="360" w:lineRule="auto"/>
              <w:jc w:val="center"/>
              <w:outlineLvl w:val="9"/>
              <w:rPr>
                <w:rFonts w:hint="eastAsia" w:ascii="宋体" w:hAnsi="宋体" w:eastAsia="宋体" w:cs="宋体"/>
                <w:color w:val="auto"/>
                <w:szCs w:val="21"/>
                <w:highlight w:val="none"/>
              </w:rPr>
            </w:pPr>
          </w:p>
        </w:tc>
      </w:tr>
    </w:tbl>
    <w:p w14:paraId="5D8D8033">
      <w:pPr>
        <w:adjustRightInd w:val="0"/>
        <w:snapToGrid w:val="0"/>
        <w:spacing w:line="360" w:lineRule="auto"/>
        <w:jc w:val="left"/>
        <w:outlineLvl w:val="9"/>
        <w:rPr>
          <w:rFonts w:hint="eastAsia" w:ascii="宋体" w:hAnsi="宋体" w:eastAsia="宋体" w:cs="宋体"/>
          <w:color w:val="auto"/>
          <w:szCs w:val="21"/>
          <w:highlight w:val="none"/>
        </w:rPr>
      </w:pPr>
    </w:p>
    <w:p w14:paraId="13BF1317">
      <w:pPr>
        <w:tabs>
          <w:tab w:val="left" w:pos="1230"/>
        </w:tabs>
        <w:topLinePunct/>
        <w:autoSpaceDE w:val="0"/>
        <w:autoSpaceDN w:val="0"/>
        <w:adjustRightInd w:val="0"/>
        <w:snapToGrid w:val="0"/>
        <w:spacing w:line="360" w:lineRule="auto"/>
        <w:ind w:left="36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投标人名称（公章）：________________</w:t>
      </w:r>
    </w:p>
    <w:p w14:paraId="763D8132">
      <w:pPr>
        <w:tabs>
          <w:tab w:val="left" w:pos="1230"/>
        </w:tabs>
        <w:topLinePunct/>
        <w:autoSpaceDE w:val="0"/>
        <w:autoSpaceDN w:val="0"/>
        <w:adjustRightInd w:val="0"/>
        <w:snapToGrid w:val="0"/>
        <w:spacing w:line="360" w:lineRule="auto"/>
        <w:ind w:left="36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法定代表人（签字或签章）：________________</w:t>
      </w:r>
    </w:p>
    <w:p w14:paraId="2F6EDA01">
      <w:pPr>
        <w:tabs>
          <w:tab w:val="left" w:pos="1230"/>
        </w:tabs>
        <w:topLinePunct/>
        <w:autoSpaceDE w:val="0"/>
        <w:autoSpaceDN w:val="0"/>
        <w:adjustRightInd w:val="0"/>
        <w:snapToGrid w:val="0"/>
        <w:spacing w:line="360" w:lineRule="auto"/>
        <w:ind w:left="36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被授权投标代表（签字）：________________</w:t>
      </w:r>
    </w:p>
    <w:p w14:paraId="3A74F80E">
      <w:pPr>
        <w:tabs>
          <w:tab w:val="left" w:pos="1230"/>
        </w:tabs>
        <w:topLinePunct/>
        <w:autoSpaceDE w:val="0"/>
        <w:autoSpaceDN w:val="0"/>
        <w:adjustRightInd w:val="0"/>
        <w:snapToGrid w:val="0"/>
        <w:spacing w:line="360" w:lineRule="auto"/>
        <w:ind w:left="36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被授权投标代表联系电话：____________</w:t>
      </w:r>
    </w:p>
    <w:p w14:paraId="7E58049D">
      <w:pPr>
        <w:tabs>
          <w:tab w:val="left" w:pos="1230"/>
        </w:tabs>
        <w:topLinePunct/>
        <w:autoSpaceDE w:val="0"/>
        <w:autoSpaceDN w:val="0"/>
        <w:adjustRightInd w:val="0"/>
        <w:snapToGrid w:val="0"/>
        <w:spacing w:line="360" w:lineRule="auto"/>
        <w:ind w:left="363"/>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日期：____________</w:t>
      </w:r>
    </w:p>
    <w:p w14:paraId="1FE5D35B">
      <w:pPr>
        <w:topLinePunct/>
        <w:autoSpaceDE w:val="0"/>
        <w:autoSpaceDN w:val="0"/>
        <w:adjustRightInd w:val="0"/>
        <w:snapToGrid w:val="0"/>
        <w:spacing w:line="360" w:lineRule="auto"/>
        <w:jc w:val="left"/>
        <w:outlineLvl w:val="9"/>
        <w:rPr>
          <w:rFonts w:hint="eastAsia" w:ascii="宋体" w:hAnsi="宋体" w:eastAsia="宋体" w:cs="宋体"/>
          <w:color w:val="auto"/>
          <w:highlight w:val="none"/>
        </w:rPr>
      </w:pPr>
    </w:p>
    <w:p w14:paraId="7A6610A3">
      <w:pPr>
        <w:topLinePunct/>
        <w:autoSpaceDE w:val="0"/>
        <w:autoSpaceDN w:val="0"/>
        <w:adjustRightInd w:val="0"/>
        <w:snapToGrid w:val="0"/>
        <w:spacing w:line="360" w:lineRule="auto"/>
        <w:jc w:val="left"/>
        <w:outlineLvl w:val="9"/>
        <w:rPr>
          <w:rFonts w:hint="eastAsia" w:ascii="宋体" w:hAnsi="宋体" w:eastAsia="宋体" w:cs="宋体"/>
          <w:i/>
          <w:iCs/>
          <w:color w:val="auto"/>
          <w:highlight w:val="none"/>
        </w:rPr>
      </w:pPr>
      <w:r>
        <w:rPr>
          <w:rFonts w:hint="eastAsia" w:ascii="宋体" w:hAnsi="宋体" w:eastAsia="宋体" w:cs="宋体"/>
          <w:color w:val="auto"/>
          <w:highlight w:val="none"/>
        </w:rPr>
        <w:t>特别说明：</w:t>
      </w:r>
    </w:p>
    <w:p w14:paraId="53C5D8FE">
      <w:pPr>
        <w:tabs>
          <w:tab w:val="left" w:pos="312"/>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highlight w:val="none"/>
        </w:rPr>
        <w:t>1.投标人如由被授权投标代表参与投标活动的，须同时提供《法定代表人授权委托书》和被授权投标代表身份证复印件</w:t>
      </w:r>
      <w:r>
        <w:rPr>
          <w:rFonts w:hint="eastAsia" w:ascii="宋体" w:hAnsi="宋体" w:eastAsia="宋体" w:cs="宋体"/>
          <w:bCs/>
          <w:color w:val="auto"/>
          <w:szCs w:val="21"/>
          <w:highlight w:val="none"/>
        </w:rPr>
        <w:t>（线上采购项目提供扫描件，下同）</w:t>
      </w:r>
      <w:r>
        <w:rPr>
          <w:rFonts w:hint="eastAsia" w:ascii="宋体" w:hAnsi="宋体" w:eastAsia="宋体" w:cs="宋体"/>
          <w:color w:val="auto"/>
          <w:highlight w:val="none"/>
        </w:rPr>
        <w:t>。《法定代表人授权委托书》应当按本格式要求加盖与投标人名称全称一致的标准公章，并签署法定代表人或被授权投标代表的全名或加盖名章</w:t>
      </w:r>
      <w:r>
        <w:rPr>
          <w:rFonts w:hint="eastAsia" w:ascii="宋体" w:hAnsi="宋体"/>
          <w:color w:val="auto"/>
          <w:highlight w:val="none"/>
        </w:rPr>
        <w:t>（</w:t>
      </w:r>
      <w:r>
        <w:rPr>
          <w:rFonts w:ascii="宋体" w:hAnsi="宋体"/>
          <w:bCs/>
          <w:color w:val="auto"/>
          <w:szCs w:val="21"/>
          <w:highlight w:val="none"/>
        </w:rPr>
        <w:t>线上采购项目</w:t>
      </w:r>
      <w:r>
        <w:rPr>
          <w:rFonts w:hint="eastAsia" w:ascii="宋体" w:hAnsi="宋体"/>
          <w:bCs/>
          <w:color w:val="auto"/>
          <w:szCs w:val="21"/>
          <w:highlight w:val="none"/>
        </w:rPr>
        <w:t>应上传</w:t>
      </w:r>
      <w:r>
        <w:rPr>
          <w:rFonts w:ascii="宋体" w:hAnsi="宋体"/>
          <w:bCs/>
          <w:color w:val="auto"/>
          <w:szCs w:val="21"/>
          <w:highlight w:val="none"/>
        </w:rPr>
        <w:t>扫描件</w:t>
      </w:r>
      <w:r>
        <w:rPr>
          <w:rFonts w:hint="eastAsia" w:ascii="宋体" w:hAnsi="宋体"/>
          <w:color w:val="auto"/>
          <w:highlight w:val="none"/>
        </w:rPr>
        <w:t>）</w:t>
      </w:r>
      <w:r>
        <w:rPr>
          <w:rFonts w:hint="eastAsia" w:ascii="宋体" w:hAnsi="宋体" w:eastAsia="宋体" w:cs="宋体"/>
          <w:color w:val="auto"/>
          <w:szCs w:val="21"/>
          <w:highlight w:val="none"/>
        </w:rPr>
        <w:t>。</w:t>
      </w:r>
    </w:p>
    <w:p w14:paraId="6E1E1A1C">
      <w:pPr>
        <w:tabs>
          <w:tab w:val="left" w:pos="312"/>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2.投标人如由法定代表人作为投标代表参与投标活动的，仅须提供法定代表人身份证复印件</w:t>
      </w:r>
      <w:r>
        <w:rPr>
          <w:rFonts w:hint="eastAsia" w:ascii="宋体" w:hAnsi="宋体" w:eastAsia="宋体" w:cs="宋体"/>
          <w:b/>
          <w:bCs/>
          <w:color w:val="auto"/>
          <w:highlight w:val="none"/>
        </w:rPr>
        <w:t>。</w:t>
      </w:r>
    </w:p>
    <w:p w14:paraId="07D67648">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1-2法定代表人身份证明复印件</w:t>
      </w:r>
    </w:p>
    <w:p w14:paraId="02674566">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(适用于法定代表人参加投标)</w:t>
      </w:r>
    </w:p>
    <w:p w14:paraId="75FFB22D">
      <w:pPr>
        <w:topLinePunct/>
        <w:autoSpaceDE w:val="0"/>
        <w:autoSpaceDN w:val="0"/>
        <w:adjustRightInd w:val="0"/>
        <w:snapToGrid w:val="0"/>
        <w:spacing w:line="360" w:lineRule="auto"/>
        <w:ind w:firstLine="420" w:firstLineChars="200"/>
        <w:outlineLvl w:val="9"/>
        <w:rPr>
          <w:rFonts w:hint="eastAsia" w:ascii="宋体" w:hAnsi="宋体" w:eastAsia="宋体" w:cs="宋体"/>
          <w:color w:val="auto"/>
          <w:highlight w:val="none"/>
        </w:rPr>
      </w:pPr>
    </w:p>
    <w:tbl>
      <w:tblPr>
        <w:tblStyle w:val="22"/>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242A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vAlign w:val="center"/>
          </w:tcPr>
          <w:p w14:paraId="01623673">
            <w:pPr>
              <w:adjustRightInd w:val="0"/>
              <w:snapToGrid w:val="0"/>
              <w:spacing w:line="360" w:lineRule="auto"/>
              <w:jc w:val="center"/>
              <w:outlineLvl w:val="9"/>
              <w:rPr>
                <w:rFonts w:hint="eastAsia" w:ascii="宋体" w:hAnsi="宋体" w:eastAsia="宋体" w:cs="宋体"/>
                <w:color w:val="auto"/>
                <w:szCs w:val="21"/>
                <w:highlight w:val="none"/>
              </w:rPr>
            </w:pPr>
          </w:p>
          <w:p w14:paraId="428C7748">
            <w:pPr>
              <w:adjustRightInd w:val="0"/>
              <w:snapToGrid w:val="0"/>
              <w:spacing w:line="360" w:lineRule="auto"/>
              <w:jc w:val="center"/>
              <w:outlineLvl w:val="9"/>
              <w:rPr>
                <w:rFonts w:hint="eastAsia" w:ascii="宋体" w:hAnsi="宋体" w:eastAsia="宋体" w:cs="宋体"/>
                <w:color w:val="auto"/>
                <w:szCs w:val="21"/>
                <w:highlight w:val="none"/>
              </w:rPr>
            </w:pPr>
          </w:p>
          <w:p w14:paraId="3B82B789">
            <w:pPr>
              <w:adjustRightInd w:val="0"/>
              <w:snapToGrid w:val="0"/>
              <w:spacing w:line="360" w:lineRule="auto"/>
              <w:jc w:val="center"/>
              <w:outlineLvl w:val="9"/>
              <w:rPr>
                <w:rFonts w:hint="eastAsia" w:ascii="宋体" w:hAnsi="宋体" w:eastAsia="宋体" w:cs="宋体"/>
                <w:color w:val="auto"/>
                <w:szCs w:val="21"/>
                <w:highlight w:val="none"/>
              </w:rPr>
            </w:pPr>
          </w:p>
          <w:p w14:paraId="76AA64D2">
            <w:pPr>
              <w:adjustRightInd w:val="0"/>
              <w:snapToGrid w:val="0"/>
              <w:spacing w:line="360" w:lineRule="auto"/>
              <w:jc w:val="center"/>
              <w:outlineLvl w:val="9"/>
              <w:rPr>
                <w:rFonts w:hint="eastAsia" w:ascii="宋体" w:hAnsi="宋体" w:eastAsia="宋体" w:cs="宋体"/>
                <w:color w:val="auto"/>
                <w:szCs w:val="21"/>
                <w:highlight w:val="none"/>
              </w:rPr>
            </w:pPr>
          </w:p>
          <w:p w14:paraId="2F4540B7">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法定代表人身份证明复印件</w:t>
            </w:r>
          </w:p>
          <w:p w14:paraId="5557AE4C">
            <w:pPr>
              <w:adjustRightInd w:val="0"/>
              <w:snapToGrid w:val="0"/>
              <w:spacing w:line="360" w:lineRule="auto"/>
              <w:jc w:val="center"/>
              <w:outlineLvl w:val="9"/>
              <w:rPr>
                <w:rFonts w:hint="eastAsia" w:ascii="宋体" w:hAnsi="宋体" w:eastAsia="宋体" w:cs="宋体"/>
                <w:color w:val="auto"/>
                <w:szCs w:val="21"/>
                <w:highlight w:val="none"/>
              </w:rPr>
            </w:pPr>
          </w:p>
          <w:p w14:paraId="1DD707EA">
            <w:pPr>
              <w:adjustRightInd w:val="0"/>
              <w:snapToGrid w:val="0"/>
              <w:spacing w:line="360" w:lineRule="auto"/>
              <w:jc w:val="center"/>
              <w:outlineLvl w:val="9"/>
              <w:rPr>
                <w:rFonts w:hint="eastAsia" w:ascii="宋体" w:hAnsi="宋体" w:eastAsia="宋体" w:cs="宋体"/>
                <w:color w:val="auto"/>
                <w:szCs w:val="21"/>
                <w:highlight w:val="none"/>
              </w:rPr>
            </w:pPr>
          </w:p>
          <w:p w14:paraId="6A578656">
            <w:pPr>
              <w:adjustRightInd w:val="0"/>
              <w:snapToGrid w:val="0"/>
              <w:spacing w:line="360" w:lineRule="auto"/>
              <w:jc w:val="center"/>
              <w:outlineLvl w:val="9"/>
              <w:rPr>
                <w:rFonts w:hint="eastAsia" w:ascii="宋体" w:hAnsi="宋体" w:eastAsia="宋体" w:cs="宋体"/>
                <w:color w:val="auto"/>
                <w:szCs w:val="21"/>
                <w:highlight w:val="none"/>
              </w:rPr>
            </w:pPr>
          </w:p>
          <w:p w14:paraId="73B61511">
            <w:pPr>
              <w:adjustRightInd w:val="0"/>
              <w:snapToGrid w:val="0"/>
              <w:spacing w:line="360" w:lineRule="auto"/>
              <w:jc w:val="center"/>
              <w:outlineLvl w:val="9"/>
              <w:rPr>
                <w:rFonts w:hint="eastAsia" w:ascii="宋体" w:hAnsi="宋体" w:eastAsia="宋体" w:cs="宋体"/>
                <w:color w:val="auto"/>
                <w:szCs w:val="21"/>
                <w:highlight w:val="none"/>
              </w:rPr>
            </w:pPr>
          </w:p>
        </w:tc>
      </w:tr>
    </w:tbl>
    <w:p w14:paraId="0BD6B86D">
      <w:pPr>
        <w:topLinePunct/>
        <w:autoSpaceDE w:val="0"/>
        <w:autoSpaceDN w:val="0"/>
        <w:adjustRightInd w:val="0"/>
        <w:snapToGrid w:val="0"/>
        <w:spacing w:line="360" w:lineRule="auto"/>
        <w:jc w:val="left"/>
        <w:outlineLvl w:val="9"/>
        <w:rPr>
          <w:rFonts w:hint="eastAsia" w:ascii="宋体" w:hAnsi="宋体" w:eastAsia="宋体" w:cs="宋体"/>
          <w:color w:val="auto"/>
          <w:highlight w:val="none"/>
        </w:rPr>
      </w:pPr>
    </w:p>
    <w:p w14:paraId="60D525CF">
      <w:pPr>
        <w:topLinePunct/>
        <w:autoSpaceDE w:val="0"/>
        <w:autoSpaceDN w:val="0"/>
        <w:adjustRightInd w:val="0"/>
        <w:snapToGrid w:val="0"/>
        <w:spacing w:line="360" w:lineRule="auto"/>
        <w:jc w:val="left"/>
        <w:outlineLvl w:val="9"/>
        <w:rPr>
          <w:rFonts w:hint="eastAsia" w:ascii="宋体" w:hAnsi="宋体" w:eastAsia="宋体" w:cs="宋体"/>
          <w:i/>
          <w:iCs/>
          <w:color w:val="auto"/>
          <w:highlight w:val="none"/>
        </w:rPr>
      </w:pPr>
      <w:r>
        <w:rPr>
          <w:rFonts w:hint="eastAsia" w:ascii="宋体" w:hAnsi="宋体" w:eastAsia="宋体" w:cs="宋体"/>
          <w:color w:val="auto"/>
          <w:highlight w:val="none"/>
        </w:rPr>
        <w:t>特别说明：</w:t>
      </w:r>
    </w:p>
    <w:p w14:paraId="5D8A965B">
      <w:pPr>
        <w:tabs>
          <w:tab w:val="left" w:pos="312"/>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投标人如由</w:t>
      </w:r>
      <w:r>
        <w:rPr>
          <w:rFonts w:hint="eastAsia" w:ascii="宋体" w:hAnsi="宋体" w:eastAsia="宋体" w:cs="宋体"/>
          <w:b/>
          <w:bCs/>
          <w:color w:val="auto"/>
          <w:highlight w:val="none"/>
        </w:rPr>
        <w:t>法定代表人作为投标代表参与投标活动的，仅须提供法定代表人身份证复印件</w:t>
      </w:r>
      <w:r>
        <w:rPr>
          <w:rFonts w:hint="eastAsia" w:ascii="宋体" w:hAnsi="宋体" w:cs="宋体"/>
          <w:bCs/>
          <w:color w:val="auto"/>
          <w:szCs w:val="21"/>
          <w:highlight w:val="none"/>
        </w:rPr>
        <w:t>（线上采购项目提供扫描件，下同）</w:t>
      </w:r>
      <w:r>
        <w:rPr>
          <w:rFonts w:hint="eastAsia" w:ascii="宋体" w:hAnsi="宋体" w:eastAsia="宋体" w:cs="宋体"/>
          <w:color w:val="auto"/>
          <w:highlight w:val="none"/>
        </w:rPr>
        <w:t>。</w:t>
      </w:r>
    </w:p>
    <w:p w14:paraId="61A82E74">
      <w:pPr>
        <w:ind w:firstLine="420" w:firstLineChars="200"/>
        <w:outlineLvl w:val="9"/>
        <w:rPr>
          <w:rFonts w:hint="eastAsia" w:ascii="宋体" w:hAnsi="宋体" w:eastAsia="宋体" w:cs="宋体"/>
          <w:color w:val="auto"/>
          <w:szCs w:val="21"/>
          <w:highlight w:val="none"/>
        </w:rPr>
      </w:pPr>
    </w:p>
    <w:p w14:paraId="5CAC45FB">
      <w:pPr>
        <w:widowControl/>
        <w:jc w:val="left"/>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345B1F92">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1-3自然人授权委托书</w:t>
      </w:r>
    </w:p>
    <w:p w14:paraId="5849AB07">
      <w:pPr>
        <w:adjustRightInd w:val="0"/>
        <w:snapToGrid w:val="0"/>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(适用于自然人投标)</w:t>
      </w:r>
    </w:p>
    <w:p w14:paraId="7F9D779F">
      <w:pPr>
        <w:outlineLvl w:val="9"/>
        <w:rPr>
          <w:rFonts w:hint="eastAsia" w:ascii="宋体" w:hAnsi="宋体" w:eastAsia="宋体" w:cs="宋体"/>
          <w:color w:val="auto"/>
          <w:szCs w:val="21"/>
          <w:highlight w:val="none"/>
        </w:rPr>
      </w:pPr>
    </w:p>
    <w:p w14:paraId="6886DA17">
      <w:pPr>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致____________(采购人或采购代理机构)：</w:t>
      </w:r>
    </w:p>
    <w:p w14:paraId="67BBC87E">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本授权书声明：我________(姓名、身份证号码)系自然人，现授权委托____________(姓名、身份证号码)以本人名义参加《</w:t>
      </w:r>
      <w:r>
        <w:rPr>
          <w:rFonts w:hint="eastAsia" w:ascii="宋体" w:hAnsi="宋体" w:eastAsia="宋体" w:cs="宋体"/>
          <w:color w:val="auto"/>
          <w:highlight w:val="none"/>
          <w:u w:val="single"/>
        </w:rPr>
        <w:t xml:space="preserve">          项目</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项目编号：    </w:t>
      </w:r>
      <w:r>
        <w:rPr>
          <w:rFonts w:hint="eastAsia" w:ascii="宋体" w:hAnsi="宋体" w:eastAsia="宋体" w:cs="宋体"/>
          <w:color w:val="auto"/>
          <w:highlight w:val="none"/>
        </w:rPr>
        <w:t>）的投标活动，并代表本人全权办理针对上述项目的投标、签约等具体事务和签署相关文件。</w:t>
      </w:r>
    </w:p>
    <w:p w14:paraId="13BB57F1">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本人对被授权人的签字事项负全部责任。</w:t>
      </w:r>
    </w:p>
    <w:p w14:paraId="593DBBEF">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授权委托代理期限：从　　年　　月　　日起至　　年　　月　　日止。</w:t>
      </w:r>
    </w:p>
    <w:p w14:paraId="7D4CAAB4">
      <w:pPr>
        <w:spacing w:line="360" w:lineRule="auto"/>
        <w:ind w:firstLine="420" w:firstLineChars="200"/>
        <w:outlineLvl w:val="9"/>
        <w:rPr>
          <w:rFonts w:hint="eastAsia" w:ascii="宋体" w:hAnsi="宋体" w:eastAsia="宋体" w:cs="宋体"/>
          <w:color w:val="auto"/>
          <w:highlight w:val="none"/>
        </w:rPr>
      </w:pPr>
    </w:p>
    <w:p w14:paraId="4DE3ED55">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代理人无转委托权，特此委托。</w:t>
      </w:r>
    </w:p>
    <w:p w14:paraId="12F7BFDF">
      <w:pPr>
        <w:spacing w:line="360" w:lineRule="auto"/>
        <w:ind w:firstLine="420" w:firstLineChars="200"/>
        <w:outlineLvl w:val="9"/>
        <w:rPr>
          <w:rFonts w:hint="eastAsia" w:ascii="宋体" w:hAnsi="宋体" w:eastAsia="宋体" w:cs="宋体"/>
          <w:color w:val="auto"/>
          <w:highlight w:val="none"/>
        </w:rPr>
      </w:pPr>
    </w:p>
    <w:p w14:paraId="4177AFC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我已在下面签字，以资证明。</w:t>
      </w:r>
    </w:p>
    <w:p w14:paraId="127E658F">
      <w:pPr>
        <w:spacing w:line="360" w:lineRule="auto"/>
        <w:ind w:firstLine="420" w:firstLineChars="200"/>
        <w:outlineLvl w:val="9"/>
        <w:rPr>
          <w:rFonts w:hint="eastAsia" w:ascii="宋体" w:hAnsi="宋体" w:eastAsia="宋体" w:cs="宋体"/>
          <w:color w:val="auto"/>
          <w:highlight w:val="none"/>
        </w:rPr>
      </w:pPr>
    </w:p>
    <w:p w14:paraId="3086AD2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自然人签字并在签名处加盖食指指印：　　　　年　　月　　日</w:t>
      </w:r>
    </w:p>
    <w:p w14:paraId="2AD0CB22">
      <w:pPr>
        <w:spacing w:line="360" w:lineRule="auto"/>
        <w:ind w:firstLine="480" w:firstLineChars="200"/>
        <w:outlineLvl w:val="9"/>
        <w:rPr>
          <w:rFonts w:hint="eastAsia" w:ascii="宋体" w:hAnsi="宋体" w:eastAsia="宋体" w:cs="宋体"/>
          <w:color w:val="auto"/>
          <w:sz w:val="24"/>
          <w:szCs w:val="24"/>
          <w:highlight w:val="none"/>
        </w:rPr>
      </w:pPr>
    </w:p>
    <w:p w14:paraId="1112FBB0">
      <w:pPr>
        <w:topLinePunct/>
        <w:autoSpaceDE w:val="0"/>
        <w:autoSpaceDN w:val="0"/>
        <w:adjustRightInd w:val="0"/>
        <w:snapToGrid w:val="0"/>
        <w:spacing w:line="360" w:lineRule="auto"/>
        <w:jc w:val="left"/>
        <w:outlineLvl w:val="9"/>
        <w:rPr>
          <w:rFonts w:hint="eastAsia" w:ascii="宋体" w:hAnsi="宋体" w:eastAsia="宋体" w:cs="宋体"/>
          <w:color w:val="auto"/>
          <w:highlight w:val="none"/>
        </w:rPr>
      </w:pPr>
    </w:p>
    <w:p w14:paraId="58B83333">
      <w:pPr>
        <w:topLinePunct/>
        <w:autoSpaceDE w:val="0"/>
        <w:autoSpaceDN w:val="0"/>
        <w:adjustRightInd w:val="0"/>
        <w:snapToGrid w:val="0"/>
        <w:spacing w:line="360" w:lineRule="auto"/>
        <w:jc w:val="left"/>
        <w:outlineLvl w:val="9"/>
        <w:rPr>
          <w:rFonts w:hint="eastAsia" w:ascii="宋体" w:hAnsi="宋体" w:eastAsia="宋体" w:cs="宋体"/>
          <w:i/>
          <w:iCs/>
          <w:color w:val="auto"/>
          <w:highlight w:val="none"/>
        </w:rPr>
      </w:pPr>
      <w:r>
        <w:rPr>
          <w:rFonts w:hint="eastAsia" w:ascii="宋体" w:hAnsi="宋体" w:eastAsia="宋体" w:cs="宋体"/>
          <w:color w:val="auto"/>
          <w:highlight w:val="none"/>
        </w:rPr>
        <w:t>特别说明：</w:t>
      </w:r>
    </w:p>
    <w:p w14:paraId="60A80CE4">
      <w:pPr>
        <w:tabs>
          <w:tab w:val="left" w:pos="312"/>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投标人如由</w:t>
      </w:r>
      <w:r>
        <w:rPr>
          <w:rFonts w:hint="eastAsia" w:ascii="宋体" w:hAnsi="宋体" w:eastAsia="宋体" w:cs="宋体"/>
          <w:b/>
          <w:bCs/>
          <w:color w:val="auto"/>
          <w:highlight w:val="none"/>
        </w:rPr>
        <w:t>被授权人参与投标活动的，</w:t>
      </w:r>
      <w:r>
        <w:rPr>
          <w:rFonts w:hint="eastAsia" w:ascii="宋体" w:hAnsi="宋体" w:eastAsia="宋体" w:cs="宋体"/>
          <w:color w:val="auto"/>
          <w:highlight w:val="none"/>
        </w:rPr>
        <w:t>须提供《自然人授权委托书》，《自然人授权委托书》应当按本格式要求签字并由自然人在签名处加盖食指指印</w:t>
      </w:r>
      <w:r>
        <w:rPr>
          <w:rFonts w:hint="eastAsia" w:ascii="宋体" w:hAnsi="宋体" w:eastAsia="宋体" w:cs="宋体"/>
          <w:color w:val="auto"/>
          <w:szCs w:val="21"/>
          <w:highlight w:val="none"/>
        </w:rPr>
        <w:t>。</w:t>
      </w:r>
      <w:r>
        <w:rPr>
          <w:rFonts w:hint="eastAsia" w:ascii="宋体" w:hAnsi="宋体" w:eastAsia="宋体" w:cs="宋体"/>
          <w:b/>
          <w:bCs/>
          <w:color w:val="auto"/>
          <w:highlight w:val="none"/>
        </w:rPr>
        <w:t>（线上项目提供扫描件，下同）</w:t>
      </w:r>
      <w:r>
        <w:rPr>
          <w:rFonts w:hint="eastAsia" w:ascii="宋体" w:hAnsi="宋体" w:eastAsia="宋体" w:cs="宋体"/>
          <w:b/>
          <w:bCs/>
          <w:color w:val="auto"/>
          <w:highlight w:val="none"/>
          <w:lang w:eastAsia="zh-CN"/>
        </w:rPr>
        <w:t>。</w:t>
      </w:r>
    </w:p>
    <w:p w14:paraId="3768A9BE">
      <w:pPr>
        <w:spacing w:line="360" w:lineRule="auto"/>
        <w:ind w:firstLine="480" w:firstLineChars="200"/>
        <w:outlineLvl w:val="9"/>
        <w:rPr>
          <w:rFonts w:hint="eastAsia" w:ascii="宋体" w:hAnsi="宋体" w:eastAsia="宋体" w:cs="宋体"/>
          <w:color w:val="auto"/>
          <w:sz w:val="24"/>
          <w:szCs w:val="24"/>
          <w:highlight w:val="none"/>
        </w:rPr>
      </w:pPr>
    </w:p>
    <w:p w14:paraId="01515A81">
      <w:pPr>
        <w:ind w:firstLine="420" w:firstLineChars="200"/>
        <w:outlineLvl w:val="9"/>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rPr>
        <w:br w:type="page"/>
      </w:r>
    </w:p>
    <w:p w14:paraId="0308BD94">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  投标函</w:t>
      </w:r>
    </w:p>
    <w:p w14:paraId="06C76E17">
      <w:pPr>
        <w:spacing w:line="360" w:lineRule="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国家税务总局庄河市税务局</w:t>
      </w:r>
    </w:p>
    <w:p w14:paraId="1FB90C1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根据______（项目名称）（项目编号：______）的招标公告，______（姓名、职务）代表投标人______（投标人名称、地址）参加项目招标的有关活动。据此函，作如下承诺：</w:t>
      </w:r>
    </w:p>
    <w:p w14:paraId="3DB7F3EE">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1.同意在本项目招标文件中规定的开标日起</w:t>
      </w:r>
      <w:r>
        <w:rPr>
          <w:rFonts w:hint="eastAsia" w:ascii="宋体" w:hAnsi="宋体" w:eastAsia="宋体" w:cs="宋体"/>
          <w:color w:val="auto"/>
          <w:highlight w:val="none"/>
          <w:u w:val="single"/>
        </w:rPr>
        <w:t>120天</w:t>
      </w:r>
      <w:r>
        <w:rPr>
          <w:rFonts w:hint="eastAsia" w:ascii="宋体" w:hAnsi="宋体" w:eastAsia="宋体" w:cs="宋体"/>
          <w:color w:val="auto"/>
          <w:highlight w:val="none"/>
        </w:rPr>
        <w:t>遵守本投标文件中的承诺，且在期满之前均具有约束力。</w:t>
      </w:r>
    </w:p>
    <w:p w14:paraId="47C7D3BE">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2.具备政府采购相关法律法规规定的参加政府采购活动的供应商应当具备的条件：</w:t>
      </w:r>
    </w:p>
    <w:p w14:paraId="21417144">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p w14:paraId="2910821F">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p w14:paraId="1F54A785">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p w14:paraId="2DFEA1D2">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p w14:paraId="763849C9">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（5）参加此项采购活动前三年内，在经营活动中没有重大违法记录。</w:t>
      </w:r>
    </w:p>
    <w:p w14:paraId="7EE3FDE3">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 </w:t>
      </w:r>
    </w:p>
    <w:p w14:paraId="5F90A3C7">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3.具备本项目招标文件中规定的其他要求和资质条件。</w:t>
      </w:r>
    </w:p>
    <w:p w14:paraId="19FA1992">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4.提供投标人须知规定的全部投标文件。</w:t>
      </w:r>
    </w:p>
    <w:p w14:paraId="1E9EFC20">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5.已详细审阅全部招标文件（包括招标文件澄清函），理解投标人须知的所有条款。</w:t>
      </w:r>
    </w:p>
    <w:p w14:paraId="3CD6805B">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6.完全理解贵方“最低报价不能作为中标的保证”的规定。</w:t>
      </w:r>
    </w:p>
    <w:p w14:paraId="200FF676">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7.接受招标文件中全部合同条款，且无任何异议；保证忠实地执行双方所签订的合同，并承担合同规定的责任和义务。</w:t>
      </w:r>
    </w:p>
    <w:p w14:paraId="47823536">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8.完全满足和响应招标文件中的各项商务和技术要求，若有偏差，已在投标文件中明确说明。</w:t>
      </w:r>
    </w:p>
    <w:p w14:paraId="0FBDEB9C">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9.愿意提供任何与投标有关的数据、情况和技术资料等。若贵方需要，愿意提供一切证明材料。</w:t>
      </w:r>
    </w:p>
    <w:p w14:paraId="370F79CD">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10.我方已详细审核全部投标文件、参考资料及有关附件，确认无误。</w:t>
      </w:r>
    </w:p>
    <w:p w14:paraId="405714DC">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11.对本次招标内容及与本项目有关的知识产权、技术资料、商业秘密及相关信息保密。</w:t>
      </w:r>
    </w:p>
    <w:p w14:paraId="5BB63ACF">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12.已知悉并承诺遵守《税务系统信息化服务商失信行为记录名单制度(试行) 》关于失信行为进行记录和结果应用的相关规定，及对于违反网络安全规定行为造成不良后果、“围猎”税务人员、违法违规聘用离职税务人员、国家税务总局发票电子化改革领导小组办公室认定的失信行为，3年内限制参加税务系统政府采购活动的相关规定。</w:t>
      </w:r>
    </w:p>
    <w:p w14:paraId="110945E9">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13.已知悉并承诺遵守采购文件中关于供应链安全管理的全部要求。</w:t>
      </w:r>
    </w:p>
    <w:p w14:paraId="797A5BFA">
      <w:pPr>
        <w:spacing w:line="360" w:lineRule="auto"/>
        <w:ind w:firstLine="420" w:firstLineChars="200"/>
        <w:outlineLvl w:val="9"/>
        <w:rPr>
          <w:rFonts w:hint="eastAsia" w:ascii="宋体" w:hAnsi="宋体" w:eastAsia="宋体" w:cs="宋体"/>
          <w:color w:val="auto"/>
          <w:highlight w:val="none"/>
        </w:rPr>
      </w:pPr>
    </w:p>
    <w:p w14:paraId="325809B7">
      <w:pPr>
        <w:spacing w:line="360" w:lineRule="auto"/>
        <w:ind w:firstLine="420" w:firstLineChars="200"/>
        <w:outlineLvl w:val="9"/>
        <w:rPr>
          <w:rFonts w:hint="eastAsia" w:ascii="宋体" w:hAnsi="宋体" w:eastAsia="宋体" w:cs="宋体"/>
          <w:color w:val="auto"/>
          <w:highlight w:val="none"/>
        </w:rPr>
      </w:pPr>
    </w:p>
    <w:p w14:paraId="12C3969F">
      <w:pPr>
        <w:spacing w:line="360" w:lineRule="auto"/>
        <w:ind w:firstLine="420" w:firstLineChars="200"/>
        <w:outlineLvl w:val="9"/>
        <w:rPr>
          <w:rFonts w:hint="eastAsia" w:ascii="宋体" w:hAnsi="宋体" w:eastAsia="宋体" w:cs="宋体"/>
          <w:color w:val="auto"/>
          <w:highlight w:val="none"/>
        </w:rPr>
      </w:pPr>
    </w:p>
    <w:p w14:paraId="3EC3C9A0">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投标人名称（公章）：____________</w:t>
      </w:r>
    </w:p>
    <w:p w14:paraId="670E15FD">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法定代表人（签字或签章）/被授权投标代表（签字）：____________</w:t>
      </w:r>
    </w:p>
    <w:p w14:paraId="2127E004">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投标人地址：____________</w:t>
      </w:r>
    </w:p>
    <w:p w14:paraId="0D311BDE">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邮编：____________</w:t>
      </w:r>
    </w:p>
    <w:p w14:paraId="1F6E5E34">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电话：____________</w:t>
      </w:r>
    </w:p>
    <w:p w14:paraId="61B16C72">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传真：____________</w:t>
      </w:r>
    </w:p>
    <w:p w14:paraId="45C6958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期：____________          </w:t>
      </w:r>
    </w:p>
    <w:p w14:paraId="50BD4178">
      <w:pPr>
        <w:spacing w:line="360" w:lineRule="auto"/>
        <w:ind w:firstLine="420" w:firstLineChars="200"/>
        <w:outlineLvl w:val="9"/>
        <w:rPr>
          <w:rFonts w:hint="eastAsia" w:ascii="宋体" w:hAnsi="宋体" w:eastAsia="宋体" w:cs="宋体"/>
          <w:color w:val="auto"/>
          <w:highlight w:val="none"/>
        </w:rPr>
      </w:pPr>
    </w:p>
    <w:p w14:paraId="120D5467">
      <w:pPr>
        <w:ind w:firstLine="480" w:firstLineChars="200"/>
        <w:outlineLvl w:val="9"/>
        <w:rPr>
          <w:rFonts w:hint="eastAsia" w:ascii="宋体" w:hAnsi="宋体" w:eastAsia="宋体" w:cs="宋体"/>
          <w:color w:val="auto"/>
          <w:sz w:val="24"/>
          <w:highlight w:val="none"/>
        </w:rPr>
      </w:pPr>
    </w:p>
    <w:p w14:paraId="7BFC6A18">
      <w:pPr>
        <w:adjustRightInd w:val="0"/>
        <w:snapToGrid w:val="0"/>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特别说明：</w:t>
      </w:r>
    </w:p>
    <w:p w14:paraId="26AF5DAD">
      <w:pPr>
        <w:adjustRightInd w:val="0"/>
        <w:snapToGrid w:val="0"/>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投标人应当按上述格式要求加盖与投标人名称全称一致的标准公章，并签署法定代表人或</w:t>
      </w:r>
      <w:r>
        <w:rPr>
          <w:rFonts w:hint="eastAsia" w:ascii="宋体" w:hAnsi="宋体" w:eastAsia="宋体" w:cs="宋体"/>
          <w:bCs/>
          <w:color w:val="auto"/>
          <w:szCs w:val="21"/>
          <w:highlight w:val="none"/>
        </w:rPr>
        <w:t>被授权投标代表</w:t>
      </w:r>
      <w:r>
        <w:rPr>
          <w:rFonts w:hint="eastAsia" w:ascii="宋体" w:hAnsi="宋体" w:eastAsia="宋体" w:cs="宋体"/>
          <w:color w:val="auto"/>
          <w:szCs w:val="21"/>
          <w:highlight w:val="none"/>
        </w:rPr>
        <w:t>的全名或加盖名章</w:t>
      </w:r>
      <w:r>
        <w:rPr>
          <w:rFonts w:hint="eastAsia" w:ascii="宋体" w:hAnsi="宋体" w:cs="宋体"/>
          <w:color w:val="auto"/>
          <w:szCs w:val="21"/>
          <w:highlight w:val="none"/>
        </w:rPr>
        <w:t>，上传扫描件</w:t>
      </w:r>
      <w:r>
        <w:rPr>
          <w:rFonts w:hint="eastAsia" w:ascii="宋体" w:hAnsi="宋体" w:eastAsia="宋体" w:cs="宋体"/>
          <w:color w:val="auto"/>
          <w:highlight w:val="none"/>
        </w:rPr>
        <w:t>。</w:t>
      </w:r>
    </w:p>
    <w:p w14:paraId="06AF99E4">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bookmarkStart w:id="61" w:name="_Toc18153"/>
      <w:bookmarkStart w:id="62" w:name="_Toc8860"/>
      <w:r>
        <w:rPr>
          <w:rFonts w:hint="eastAsia" w:ascii="宋体" w:hAnsi="宋体" w:eastAsia="宋体" w:cs="宋体"/>
          <w:b/>
          <w:bCs/>
          <w:color w:val="auto"/>
          <w:sz w:val="28"/>
          <w:szCs w:val="28"/>
          <w:highlight w:val="none"/>
        </w:rPr>
        <w:t>格式3  投标报价表</w:t>
      </w:r>
    </w:p>
    <w:bookmarkEnd w:id="61"/>
    <w:bookmarkEnd w:id="62"/>
    <w:p w14:paraId="011A58E2">
      <w:pPr>
        <w:tabs>
          <w:tab w:val="left" w:pos="1230"/>
        </w:tabs>
        <w:topLinePunct/>
        <w:autoSpaceDE w:val="0"/>
        <w:autoSpaceDN w:val="0"/>
        <w:adjustRightInd w:val="0"/>
        <w:snapToGrid w:val="0"/>
        <w:spacing w:line="360" w:lineRule="auto"/>
        <w:ind w:firstLine="562" w:firstLineChars="200"/>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1.开标一览表（总报价表）</w:t>
      </w:r>
    </w:p>
    <w:p w14:paraId="2D3DF082">
      <w:pPr>
        <w:topLinePunct/>
        <w:autoSpaceDE w:val="0"/>
        <w:autoSpaceDN w:val="0"/>
        <w:adjustRightInd w:val="0"/>
        <w:snapToGrid w:val="0"/>
        <w:spacing w:line="360" w:lineRule="auto"/>
        <w:ind w:left="2"/>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(服务类项目适用)</w:t>
      </w:r>
    </w:p>
    <w:p w14:paraId="3B51D1AB">
      <w:pPr>
        <w:topLinePunct/>
        <w:autoSpaceDE w:val="0"/>
        <w:autoSpaceDN w:val="0"/>
        <w:adjustRightInd w:val="0"/>
        <w:snapToGrid w:val="0"/>
        <w:spacing w:line="360" w:lineRule="auto"/>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项目编号：</w:t>
      </w:r>
    </w:p>
    <w:p w14:paraId="339949C9">
      <w:pPr>
        <w:adjustRightInd w:val="0"/>
        <w:snapToGrid w:val="0"/>
        <w:spacing w:line="360" w:lineRule="auto"/>
        <w:ind w:right="840"/>
        <w:outlineLvl w:val="9"/>
        <w:rPr>
          <w:rFonts w:hint="eastAsia" w:ascii="宋体" w:hAnsi="宋体" w:eastAsia="宋体" w:cs="宋体"/>
          <w:bCs/>
          <w:color w:val="auto"/>
          <w:w w:val="150"/>
          <w:szCs w:val="21"/>
          <w:highlight w:val="none"/>
        </w:rPr>
      </w:pPr>
      <w:r>
        <w:rPr>
          <w:rFonts w:hint="eastAsia" w:ascii="宋体" w:hAnsi="宋体" w:eastAsia="宋体" w:cs="宋体"/>
          <w:color w:val="auto"/>
          <w:highlight w:val="none"/>
        </w:rPr>
        <w:t>采购包号：                                      价格单位：人民币元。</w:t>
      </w:r>
    </w:p>
    <w:tbl>
      <w:tblPr>
        <w:tblStyle w:val="22"/>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1"/>
        <w:gridCol w:w="4918"/>
        <w:gridCol w:w="2553"/>
      </w:tblGrid>
      <w:tr w14:paraId="2E71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478829C2">
            <w:pPr>
              <w:adjustRightInd w:val="0"/>
              <w:snapToGrid w:val="0"/>
              <w:spacing w:beforeLines="20" w:afterLines="2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4918" w:type="dxa"/>
            <w:vAlign w:val="center"/>
          </w:tcPr>
          <w:p w14:paraId="06CF6C0B">
            <w:pPr>
              <w:adjustRightInd w:val="0"/>
              <w:snapToGrid w:val="0"/>
              <w:spacing w:beforeLines="20" w:afterLines="2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w:t>
            </w:r>
          </w:p>
        </w:tc>
        <w:tc>
          <w:tcPr>
            <w:tcW w:w="2553" w:type="dxa"/>
            <w:vAlign w:val="center"/>
          </w:tcPr>
          <w:p w14:paraId="6AC64523">
            <w:pPr>
              <w:adjustRightInd w:val="0"/>
              <w:snapToGrid w:val="0"/>
              <w:spacing w:beforeLines="20" w:afterLines="2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价格小计</w:t>
            </w:r>
          </w:p>
        </w:tc>
      </w:tr>
      <w:tr w14:paraId="2ABA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04F85DA4">
            <w:pPr>
              <w:adjustRightInd w:val="0"/>
              <w:snapToGrid w:val="0"/>
              <w:spacing w:beforeLines="20" w:afterLines="20"/>
              <w:jc w:val="center"/>
              <w:outlineLvl w:val="9"/>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w:t>
            </w:r>
          </w:p>
        </w:tc>
        <w:tc>
          <w:tcPr>
            <w:tcW w:w="4918" w:type="dxa"/>
            <w:vAlign w:val="center"/>
          </w:tcPr>
          <w:p w14:paraId="108EC735">
            <w:pPr>
              <w:adjustRightInd w:val="0"/>
              <w:snapToGrid w:val="0"/>
              <w:jc w:val="center"/>
              <w:outlineLvl w:val="9"/>
              <w:rPr>
                <w:rFonts w:hint="eastAsia" w:ascii="宋体" w:hAnsi="宋体" w:eastAsia="宋体" w:cs="宋体"/>
                <w:color w:val="auto"/>
                <w:szCs w:val="21"/>
                <w:highlight w:val="none"/>
              </w:rPr>
            </w:pPr>
          </w:p>
        </w:tc>
        <w:tc>
          <w:tcPr>
            <w:tcW w:w="2553" w:type="dxa"/>
            <w:vAlign w:val="center"/>
          </w:tcPr>
          <w:p w14:paraId="64EEDB04">
            <w:pPr>
              <w:adjustRightInd w:val="0"/>
              <w:snapToGrid w:val="0"/>
              <w:spacing w:beforeLines="20" w:afterLines="20"/>
              <w:jc w:val="center"/>
              <w:outlineLvl w:val="9"/>
              <w:rPr>
                <w:rFonts w:hint="eastAsia" w:ascii="宋体" w:hAnsi="宋体" w:eastAsia="宋体" w:cs="宋体"/>
                <w:b/>
                <w:color w:val="auto"/>
                <w:szCs w:val="21"/>
                <w:highlight w:val="none"/>
              </w:rPr>
            </w:pPr>
          </w:p>
        </w:tc>
      </w:tr>
      <w:tr w14:paraId="2078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0335EC20">
            <w:pPr>
              <w:adjustRightInd w:val="0"/>
              <w:snapToGrid w:val="0"/>
              <w:spacing w:beforeLines="20" w:afterLines="2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918" w:type="dxa"/>
            <w:vAlign w:val="center"/>
          </w:tcPr>
          <w:p w14:paraId="6B2CC4E4">
            <w:pPr>
              <w:jc w:val="center"/>
              <w:outlineLvl w:val="9"/>
              <w:rPr>
                <w:rFonts w:hint="eastAsia" w:ascii="宋体" w:hAnsi="宋体" w:eastAsia="宋体" w:cs="宋体"/>
                <w:color w:val="auto"/>
                <w:szCs w:val="21"/>
                <w:highlight w:val="none"/>
              </w:rPr>
            </w:pPr>
          </w:p>
        </w:tc>
        <w:tc>
          <w:tcPr>
            <w:tcW w:w="2553" w:type="dxa"/>
            <w:vAlign w:val="center"/>
          </w:tcPr>
          <w:p w14:paraId="2AFB6811">
            <w:pPr>
              <w:adjustRightInd w:val="0"/>
              <w:snapToGrid w:val="0"/>
              <w:spacing w:beforeLines="20" w:afterLines="20"/>
              <w:jc w:val="center"/>
              <w:outlineLvl w:val="9"/>
              <w:rPr>
                <w:rFonts w:hint="eastAsia" w:ascii="宋体" w:hAnsi="宋体" w:eastAsia="宋体" w:cs="宋体"/>
                <w:color w:val="auto"/>
                <w:szCs w:val="21"/>
                <w:highlight w:val="none"/>
              </w:rPr>
            </w:pPr>
          </w:p>
        </w:tc>
      </w:tr>
      <w:tr w14:paraId="27C1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5D4A800B">
            <w:pPr>
              <w:adjustRightInd w:val="0"/>
              <w:snapToGrid w:val="0"/>
              <w:spacing w:beforeLines="20" w:afterLines="2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4918" w:type="dxa"/>
            <w:vAlign w:val="center"/>
          </w:tcPr>
          <w:p w14:paraId="7C533008">
            <w:pPr>
              <w:jc w:val="center"/>
              <w:outlineLvl w:val="9"/>
              <w:rPr>
                <w:rFonts w:hint="eastAsia" w:ascii="宋体" w:hAnsi="宋体" w:eastAsia="宋体" w:cs="宋体"/>
                <w:color w:val="auto"/>
                <w:szCs w:val="21"/>
                <w:highlight w:val="none"/>
              </w:rPr>
            </w:pPr>
          </w:p>
        </w:tc>
        <w:tc>
          <w:tcPr>
            <w:tcW w:w="2553" w:type="dxa"/>
            <w:vAlign w:val="center"/>
          </w:tcPr>
          <w:p w14:paraId="13F0F210">
            <w:pPr>
              <w:adjustRightInd w:val="0"/>
              <w:snapToGrid w:val="0"/>
              <w:spacing w:beforeLines="20" w:afterLines="20"/>
              <w:jc w:val="center"/>
              <w:outlineLvl w:val="9"/>
              <w:rPr>
                <w:rFonts w:hint="eastAsia" w:ascii="宋体" w:hAnsi="宋体" w:eastAsia="宋体" w:cs="宋体"/>
                <w:color w:val="auto"/>
                <w:szCs w:val="21"/>
                <w:highlight w:val="none"/>
              </w:rPr>
            </w:pPr>
          </w:p>
        </w:tc>
      </w:tr>
      <w:tr w14:paraId="584D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36580AD8">
            <w:pPr>
              <w:adjustRightInd w:val="0"/>
              <w:snapToGrid w:val="0"/>
              <w:spacing w:beforeLines="20" w:afterLines="20"/>
              <w:jc w:val="center"/>
              <w:outlineLvl w:val="9"/>
              <w:rPr>
                <w:rFonts w:hint="eastAsia" w:ascii="宋体" w:hAnsi="宋体" w:eastAsia="宋体" w:cs="宋体"/>
                <w:color w:val="auto"/>
                <w:szCs w:val="21"/>
                <w:highlight w:val="none"/>
              </w:rPr>
            </w:pPr>
          </w:p>
        </w:tc>
        <w:tc>
          <w:tcPr>
            <w:tcW w:w="4918" w:type="dxa"/>
            <w:vAlign w:val="center"/>
          </w:tcPr>
          <w:p w14:paraId="5A6D4C67">
            <w:pPr>
              <w:jc w:val="center"/>
              <w:outlineLvl w:val="9"/>
              <w:rPr>
                <w:rFonts w:hint="eastAsia" w:ascii="宋体" w:hAnsi="宋体" w:eastAsia="宋体" w:cs="宋体"/>
                <w:color w:val="auto"/>
                <w:szCs w:val="21"/>
                <w:highlight w:val="none"/>
              </w:rPr>
            </w:pPr>
          </w:p>
        </w:tc>
        <w:tc>
          <w:tcPr>
            <w:tcW w:w="2553" w:type="dxa"/>
            <w:vAlign w:val="center"/>
          </w:tcPr>
          <w:p w14:paraId="35BA3E61">
            <w:pPr>
              <w:adjustRightInd w:val="0"/>
              <w:snapToGrid w:val="0"/>
              <w:spacing w:beforeLines="20" w:afterLines="20"/>
              <w:jc w:val="center"/>
              <w:outlineLvl w:val="9"/>
              <w:rPr>
                <w:rFonts w:hint="eastAsia" w:ascii="宋体" w:hAnsi="宋体" w:eastAsia="宋体" w:cs="宋体"/>
                <w:color w:val="auto"/>
                <w:szCs w:val="21"/>
                <w:highlight w:val="none"/>
              </w:rPr>
            </w:pPr>
          </w:p>
        </w:tc>
      </w:tr>
      <w:tr w14:paraId="2CF9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081FCB2C">
            <w:pPr>
              <w:adjustRightInd w:val="0"/>
              <w:snapToGrid w:val="0"/>
              <w:spacing w:beforeLines="20" w:afterLines="20"/>
              <w:jc w:val="center"/>
              <w:outlineLvl w:val="9"/>
              <w:rPr>
                <w:rFonts w:hint="eastAsia" w:ascii="宋体" w:hAnsi="宋体" w:eastAsia="宋体" w:cs="宋体"/>
                <w:color w:val="auto"/>
                <w:szCs w:val="21"/>
                <w:highlight w:val="none"/>
              </w:rPr>
            </w:pPr>
          </w:p>
        </w:tc>
        <w:tc>
          <w:tcPr>
            <w:tcW w:w="4918" w:type="dxa"/>
            <w:vAlign w:val="center"/>
          </w:tcPr>
          <w:p w14:paraId="1E0F20A2">
            <w:pPr>
              <w:jc w:val="center"/>
              <w:outlineLvl w:val="9"/>
              <w:rPr>
                <w:rFonts w:hint="eastAsia" w:ascii="宋体" w:hAnsi="宋体" w:eastAsia="宋体" w:cs="宋体"/>
                <w:color w:val="auto"/>
                <w:szCs w:val="21"/>
                <w:highlight w:val="none"/>
              </w:rPr>
            </w:pPr>
          </w:p>
        </w:tc>
        <w:tc>
          <w:tcPr>
            <w:tcW w:w="2553" w:type="dxa"/>
            <w:vAlign w:val="center"/>
          </w:tcPr>
          <w:p w14:paraId="4C64DB55">
            <w:pPr>
              <w:adjustRightInd w:val="0"/>
              <w:snapToGrid w:val="0"/>
              <w:spacing w:beforeLines="20" w:afterLines="20"/>
              <w:jc w:val="center"/>
              <w:outlineLvl w:val="9"/>
              <w:rPr>
                <w:rFonts w:hint="eastAsia" w:ascii="宋体" w:hAnsi="宋体" w:eastAsia="宋体" w:cs="宋体"/>
                <w:color w:val="auto"/>
                <w:szCs w:val="21"/>
                <w:highlight w:val="none"/>
              </w:rPr>
            </w:pPr>
          </w:p>
        </w:tc>
      </w:tr>
      <w:tr w14:paraId="0C914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61" w:type="dxa"/>
            <w:vAlign w:val="center"/>
          </w:tcPr>
          <w:p w14:paraId="1F5B20A1">
            <w:pPr>
              <w:adjustRightInd w:val="0"/>
              <w:snapToGrid w:val="0"/>
              <w:spacing w:beforeLines="20" w:afterLines="20"/>
              <w:jc w:val="center"/>
              <w:outlineLvl w:val="9"/>
              <w:rPr>
                <w:rFonts w:hint="eastAsia" w:ascii="宋体" w:hAnsi="宋体" w:eastAsia="宋体" w:cs="宋体"/>
                <w:color w:val="auto"/>
                <w:szCs w:val="21"/>
                <w:highlight w:val="none"/>
              </w:rPr>
            </w:pPr>
          </w:p>
        </w:tc>
        <w:tc>
          <w:tcPr>
            <w:tcW w:w="4918" w:type="dxa"/>
            <w:vAlign w:val="center"/>
          </w:tcPr>
          <w:p w14:paraId="0B51252C">
            <w:pPr>
              <w:jc w:val="center"/>
              <w:outlineLvl w:val="9"/>
              <w:rPr>
                <w:rFonts w:hint="eastAsia" w:ascii="宋体" w:hAnsi="宋体" w:eastAsia="宋体" w:cs="宋体"/>
                <w:color w:val="auto"/>
                <w:szCs w:val="21"/>
                <w:highlight w:val="none"/>
              </w:rPr>
            </w:pPr>
          </w:p>
        </w:tc>
        <w:tc>
          <w:tcPr>
            <w:tcW w:w="2553" w:type="dxa"/>
            <w:vAlign w:val="center"/>
          </w:tcPr>
          <w:p w14:paraId="2A77D013">
            <w:pPr>
              <w:adjustRightInd w:val="0"/>
              <w:snapToGrid w:val="0"/>
              <w:spacing w:beforeLines="20" w:afterLines="20"/>
              <w:jc w:val="center"/>
              <w:outlineLvl w:val="9"/>
              <w:rPr>
                <w:rFonts w:hint="eastAsia" w:ascii="宋体" w:hAnsi="宋体" w:eastAsia="宋体" w:cs="宋体"/>
                <w:color w:val="auto"/>
                <w:szCs w:val="21"/>
                <w:highlight w:val="none"/>
              </w:rPr>
            </w:pPr>
          </w:p>
        </w:tc>
      </w:tr>
      <w:tr w14:paraId="22A3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79" w:type="dxa"/>
            <w:gridSpan w:val="2"/>
            <w:vAlign w:val="center"/>
          </w:tcPr>
          <w:p w14:paraId="6F78DC6E">
            <w:pPr>
              <w:adjustRightInd w:val="0"/>
              <w:snapToGrid w:val="0"/>
              <w:spacing w:beforeLines="20" w:afterLines="2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报价合计（小写）</w:t>
            </w:r>
          </w:p>
        </w:tc>
        <w:tc>
          <w:tcPr>
            <w:tcW w:w="2553" w:type="dxa"/>
            <w:vAlign w:val="center"/>
          </w:tcPr>
          <w:p w14:paraId="2F2CC2B2">
            <w:pPr>
              <w:adjustRightInd w:val="0"/>
              <w:snapToGrid w:val="0"/>
              <w:spacing w:beforeLines="20" w:afterLines="20"/>
              <w:jc w:val="center"/>
              <w:outlineLvl w:val="9"/>
              <w:rPr>
                <w:rFonts w:hint="eastAsia" w:ascii="宋体" w:hAnsi="宋体" w:eastAsia="宋体" w:cs="宋体"/>
                <w:b/>
                <w:bCs/>
                <w:color w:val="auto"/>
                <w:sz w:val="44"/>
                <w:szCs w:val="21"/>
                <w:highlight w:val="none"/>
              </w:rPr>
            </w:pPr>
          </w:p>
        </w:tc>
      </w:tr>
      <w:tr w14:paraId="7020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779" w:type="dxa"/>
            <w:gridSpan w:val="2"/>
            <w:vAlign w:val="center"/>
          </w:tcPr>
          <w:p w14:paraId="3853F2D9">
            <w:pPr>
              <w:adjustRightInd w:val="0"/>
              <w:snapToGrid w:val="0"/>
              <w:spacing w:beforeLines="20" w:afterLines="20"/>
              <w:jc w:val="center"/>
              <w:outlineLvl w:val="9"/>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报价合计（大写）</w:t>
            </w:r>
          </w:p>
        </w:tc>
        <w:tc>
          <w:tcPr>
            <w:tcW w:w="2553" w:type="dxa"/>
            <w:vAlign w:val="center"/>
          </w:tcPr>
          <w:p w14:paraId="5406BC71">
            <w:pPr>
              <w:adjustRightInd w:val="0"/>
              <w:snapToGrid w:val="0"/>
              <w:spacing w:beforeLines="20" w:afterLines="20"/>
              <w:jc w:val="center"/>
              <w:outlineLvl w:val="9"/>
              <w:rPr>
                <w:rFonts w:hint="eastAsia" w:ascii="宋体" w:hAnsi="宋体" w:eastAsia="宋体" w:cs="宋体"/>
                <w:b/>
                <w:bCs/>
                <w:color w:val="auto"/>
                <w:sz w:val="44"/>
                <w:szCs w:val="21"/>
                <w:highlight w:val="none"/>
              </w:rPr>
            </w:pPr>
          </w:p>
        </w:tc>
      </w:tr>
    </w:tbl>
    <w:p w14:paraId="57874F9C">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2BE7ABDB">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1.本项目总价及分项报价均不接受任何形式的赠送、“零”报价和折扣报价。</w:t>
      </w:r>
    </w:p>
    <w:p w14:paraId="05DF5D4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2.本项目执行中所发生的所有费用均计入投标报价中，采购人不再另行支付其他任何费用。</w:t>
      </w:r>
    </w:p>
    <w:p w14:paraId="46E4EA25">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3.投标人应根据《招标文件-技术部分》相关要求填报。</w:t>
      </w:r>
    </w:p>
    <w:p w14:paraId="6AAB8A47">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4.如报价不一致，按照投标人须知“19.核价原则”进行修正。</w:t>
      </w:r>
    </w:p>
    <w:p w14:paraId="3095A108">
      <w:pPr>
        <w:topLinePunct/>
        <w:autoSpaceDE w:val="0"/>
        <w:autoSpaceDN w:val="0"/>
        <w:adjustRightInd w:val="0"/>
        <w:snapToGrid w:val="0"/>
        <w:spacing w:line="360" w:lineRule="auto"/>
        <w:ind w:firstLine="525" w:firstLineChars="250"/>
        <w:jc w:val="left"/>
        <w:outlineLvl w:val="9"/>
        <w:rPr>
          <w:rFonts w:hint="eastAsia" w:ascii="宋体" w:hAnsi="宋体" w:eastAsia="宋体" w:cs="宋体"/>
          <w:color w:val="auto"/>
          <w:highlight w:val="none"/>
        </w:rPr>
      </w:pPr>
    </w:p>
    <w:p w14:paraId="66C21D40">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30699E41">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投标人代表（签字或盖章）</w:t>
      </w:r>
      <w:r>
        <w:rPr>
          <w:rFonts w:hint="eastAsia" w:ascii="宋体" w:hAnsi="宋体" w:eastAsia="宋体" w:cs="宋体"/>
          <w:color w:val="auto"/>
          <w:szCs w:val="21"/>
          <w:highlight w:val="none"/>
        </w:rPr>
        <w:t>：</w:t>
      </w:r>
    </w:p>
    <w:p w14:paraId="2BADD40F">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58DFB4E4">
      <w:pPr>
        <w:widowControl/>
        <w:jc w:val="center"/>
        <w:outlineLvl w:val="9"/>
        <w:rPr>
          <w:rFonts w:hint="eastAsia" w:ascii="宋体" w:hAnsi="宋体" w:eastAsia="宋体" w:cs="宋体"/>
          <w:b/>
          <w:color w:val="auto"/>
          <w:sz w:val="28"/>
          <w:highlight w:val="none"/>
        </w:rPr>
      </w:pPr>
      <w:r>
        <w:rPr>
          <w:rFonts w:hint="eastAsia" w:ascii="宋体" w:hAnsi="宋体" w:eastAsia="宋体" w:cs="宋体"/>
          <w:color w:val="auto"/>
          <w:szCs w:val="21"/>
          <w:highlight w:val="none"/>
        </w:rPr>
        <w:br w:type="page"/>
      </w:r>
      <w:r>
        <w:rPr>
          <w:rFonts w:hint="eastAsia" w:ascii="宋体" w:hAnsi="宋体" w:eastAsia="宋体" w:cs="宋体"/>
          <w:b/>
          <w:color w:val="auto"/>
          <w:sz w:val="28"/>
          <w:highlight w:val="none"/>
        </w:rPr>
        <w:t>2.分项报价表</w:t>
      </w:r>
    </w:p>
    <w:p w14:paraId="2824FC32">
      <w:pPr>
        <w:topLinePunct/>
        <w:autoSpaceDE w:val="0"/>
        <w:autoSpaceDN w:val="0"/>
        <w:adjustRightInd w:val="0"/>
        <w:snapToGrid w:val="0"/>
        <w:spacing w:line="360" w:lineRule="auto"/>
        <w:ind w:left="2"/>
        <w:jc w:val="center"/>
        <w:outlineLvl w:val="9"/>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（服务类项目适用)</w:t>
      </w:r>
    </w:p>
    <w:p w14:paraId="3BE609D5">
      <w:pPr>
        <w:topLinePunct/>
        <w:autoSpaceDE w:val="0"/>
        <w:autoSpaceDN w:val="0"/>
        <w:adjustRightInd w:val="0"/>
        <w:snapToGrid w:val="0"/>
        <w:spacing w:line="360" w:lineRule="auto"/>
        <w:jc w:val="left"/>
        <w:outlineLvl w:val="9"/>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项目编号：</w:t>
      </w:r>
    </w:p>
    <w:p w14:paraId="7C9B3E23">
      <w:pPr>
        <w:adjustRightInd w:val="0"/>
        <w:snapToGrid w:val="0"/>
        <w:spacing w:line="360" w:lineRule="auto"/>
        <w:ind w:right="840"/>
        <w:outlineLvl w:val="9"/>
        <w:rPr>
          <w:rFonts w:hint="eastAsia" w:ascii="宋体" w:hAnsi="宋体" w:eastAsia="宋体" w:cs="宋体"/>
          <w:bCs/>
          <w:color w:val="auto"/>
          <w:w w:val="150"/>
          <w:szCs w:val="21"/>
          <w:highlight w:val="none"/>
        </w:rPr>
      </w:pPr>
      <w:r>
        <w:rPr>
          <w:rFonts w:hint="eastAsia" w:ascii="宋体" w:hAnsi="宋体" w:eastAsia="宋体" w:cs="宋体"/>
          <w:color w:val="auto"/>
          <w:highlight w:val="none"/>
        </w:rPr>
        <w:t>采购包号：                             价格单位：人民币元</w:t>
      </w:r>
    </w:p>
    <w:tbl>
      <w:tblPr>
        <w:tblStyle w:val="22"/>
        <w:tblW w:w="91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4"/>
        <w:gridCol w:w="1691"/>
        <w:gridCol w:w="2331"/>
        <w:gridCol w:w="1271"/>
        <w:gridCol w:w="1259"/>
        <w:gridCol w:w="1342"/>
        <w:gridCol w:w="643"/>
      </w:tblGrid>
      <w:tr w14:paraId="6B7FC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168A3175">
            <w:pPr>
              <w:widowControl/>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691" w:type="dxa"/>
            <w:tcBorders>
              <w:top w:val="single" w:color="auto" w:sz="4" w:space="0"/>
              <w:left w:val="nil"/>
              <w:bottom w:val="single" w:color="auto" w:sz="4" w:space="0"/>
              <w:right w:val="single" w:color="auto" w:sz="4" w:space="0"/>
            </w:tcBorders>
            <w:vAlign w:val="center"/>
          </w:tcPr>
          <w:p w14:paraId="227C31BF">
            <w:pPr>
              <w:widowControl/>
              <w:ind w:left="-84" w:leftChars="-40" w:firstLine="82" w:firstLineChars="39"/>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项目名称</w:t>
            </w:r>
          </w:p>
        </w:tc>
        <w:tc>
          <w:tcPr>
            <w:tcW w:w="2331" w:type="dxa"/>
            <w:tcBorders>
              <w:top w:val="single" w:color="auto" w:sz="4" w:space="0"/>
              <w:left w:val="nil"/>
              <w:bottom w:val="single" w:color="auto" w:sz="4" w:space="0"/>
              <w:right w:val="single" w:color="auto" w:sz="4" w:space="0"/>
            </w:tcBorders>
            <w:vAlign w:val="center"/>
          </w:tcPr>
          <w:p w14:paraId="2C9B7E87">
            <w:pPr>
              <w:widowControl/>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内容描述</w:t>
            </w:r>
          </w:p>
        </w:tc>
        <w:tc>
          <w:tcPr>
            <w:tcW w:w="1271" w:type="dxa"/>
            <w:tcBorders>
              <w:top w:val="single" w:color="auto" w:sz="4" w:space="0"/>
              <w:left w:val="single" w:color="auto" w:sz="4" w:space="0"/>
              <w:bottom w:val="single" w:color="auto" w:sz="4" w:space="0"/>
              <w:right w:val="single" w:color="auto" w:sz="4" w:space="0"/>
            </w:tcBorders>
            <w:vAlign w:val="center"/>
          </w:tcPr>
          <w:p w14:paraId="03457B9B">
            <w:pPr>
              <w:widowControl/>
              <w:spacing w:after="0" w:line="24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…费用</w:t>
            </w:r>
          </w:p>
          <w:p w14:paraId="1B3D4847">
            <w:pPr>
              <w:widowControl/>
              <w:spacing w:after="0" w:line="240" w:lineRule="auto"/>
              <w:jc w:val="center"/>
              <w:outlineLvl w:val="9"/>
              <w:rPr>
                <w:rFonts w:hint="eastAsia" w:ascii="宋体" w:hAnsi="宋体" w:eastAsia="宋体" w:cs="宋体"/>
                <w:b/>
                <w:color w:val="auto"/>
                <w:szCs w:val="21"/>
                <w:highlight w:val="none"/>
              </w:rPr>
            </w:pPr>
            <w:r>
              <w:rPr>
                <w:rFonts w:hint="eastAsia" w:ascii="宋体" w:hAnsi="宋体" w:cs="宋体"/>
                <w:b/>
                <w:color w:val="auto"/>
                <w:szCs w:val="21"/>
                <w:highlight w:val="none"/>
              </w:rPr>
              <w:t>数量</w:t>
            </w:r>
          </w:p>
        </w:tc>
        <w:tc>
          <w:tcPr>
            <w:tcW w:w="1259" w:type="dxa"/>
            <w:tcBorders>
              <w:top w:val="single" w:color="auto" w:sz="4" w:space="0"/>
              <w:left w:val="single" w:color="auto" w:sz="4" w:space="0"/>
              <w:bottom w:val="single" w:color="auto" w:sz="4" w:space="0"/>
              <w:right w:val="single" w:color="auto" w:sz="4" w:space="0"/>
            </w:tcBorders>
            <w:vAlign w:val="center"/>
          </w:tcPr>
          <w:p w14:paraId="4040D5A1">
            <w:pPr>
              <w:widowControl/>
              <w:spacing w:after="0" w:line="24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…费用</w:t>
            </w:r>
          </w:p>
          <w:p w14:paraId="045ADD64">
            <w:pPr>
              <w:widowControl/>
              <w:spacing w:after="0" w:line="240" w:lineRule="auto"/>
              <w:jc w:val="center"/>
              <w:outlineLvl w:val="9"/>
              <w:rPr>
                <w:rFonts w:hint="eastAsia" w:ascii="宋体" w:hAnsi="宋体" w:eastAsia="宋体" w:cs="宋体"/>
                <w:b/>
                <w:color w:val="auto"/>
                <w:szCs w:val="21"/>
                <w:highlight w:val="none"/>
              </w:rPr>
            </w:pPr>
            <w:r>
              <w:rPr>
                <w:rFonts w:hint="eastAsia" w:ascii="宋体" w:hAnsi="宋体" w:cs="宋体"/>
                <w:b/>
                <w:color w:val="auto"/>
                <w:szCs w:val="21"/>
                <w:highlight w:val="none"/>
              </w:rPr>
              <w:t>单价</w:t>
            </w:r>
          </w:p>
        </w:tc>
        <w:tc>
          <w:tcPr>
            <w:tcW w:w="1342" w:type="dxa"/>
            <w:tcBorders>
              <w:top w:val="single" w:color="auto" w:sz="4" w:space="0"/>
              <w:left w:val="single" w:color="auto" w:sz="4" w:space="0"/>
              <w:bottom w:val="single" w:color="auto" w:sz="4" w:space="0"/>
              <w:right w:val="single" w:color="auto" w:sz="4" w:space="0"/>
            </w:tcBorders>
            <w:vAlign w:val="center"/>
          </w:tcPr>
          <w:p w14:paraId="58CCC47E">
            <w:pPr>
              <w:widowControl/>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小计</w:t>
            </w:r>
          </w:p>
          <w:p w14:paraId="1DD65E02">
            <w:pPr>
              <w:widowControl/>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（元）</w:t>
            </w:r>
          </w:p>
        </w:tc>
        <w:tc>
          <w:tcPr>
            <w:tcW w:w="643" w:type="dxa"/>
            <w:tcBorders>
              <w:top w:val="single" w:color="auto" w:sz="4" w:space="0"/>
              <w:left w:val="nil"/>
              <w:bottom w:val="single" w:color="auto" w:sz="4" w:space="0"/>
              <w:right w:val="single" w:color="auto" w:sz="4" w:space="0"/>
            </w:tcBorders>
            <w:vAlign w:val="center"/>
          </w:tcPr>
          <w:p w14:paraId="7052C5B1">
            <w:pPr>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60FE4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54379DEC">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1" w:type="dxa"/>
            <w:tcBorders>
              <w:top w:val="single" w:color="auto" w:sz="4" w:space="0"/>
              <w:left w:val="nil"/>
              <w:bottom w:val="single" w:color="auto" w:sz="4" w:space="0"/>
              <w:right w:val="single" w:color="auto" w:sz="4" w:space="0"/>
            </w:tcBorders>
            <w:vAlign w:val="center"/>
          </w:tcPr>
          <w:p w14:paraId="1E77C0F9">
            <w:pPr>
              <w:jc w:val="center"/>
              <w:outlineLvl w:val="9"/>
              <w:rPr>
                <w:rFonts w:hint="eastAsia" w:ascii="宋体" w:hAnsi="宋体" w:eastAsia="宋体" w:cs="宋体"/>
                <w:color w:val="auto"/>
                <w:szCs w:val="21"/>
                <w:highlight w:val="none"/>
              </w:rPr>
            </w:pPr>
          </w:p>
        </w:tc>
        <w:tc>
          <w:tcPr>
            <w:tcW w:w="2331" w:type="dxa"/>
            <w:tcBorders>
              <w:top w:val="single" w:color="auto" w:sz="4" w:space="0"/>
              <w:left w:val="nil"/>
              <w:bottom w:val="single" w:color="auto" w:sz="4" w:space="0"/>
              <w:right w:val="single" w:color="auto" w:sz="4" w:space="0"/>
            </w:tcBorders>
            <w:vAlign w:val="center"/>
          </w:tcPr>
          <w:p w14:paraId="3D69E27D">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vAlign w:val="center"/>
          </w:tcPr>
          <w:p w14:paraId="7543BAD2">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166BA010">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3CA49E80">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058417E3">
            <w:pPr>
              <w:tabs>
                <w:tab w:val="left" w:pos="425"/>
              </w:tabs>
              <w:snapToGrid w:val="0"/>
              <w:jc w:val="center"/>
              <w:outlineLvl w:val="9"/>
              <w:rPr>
                <w:rFonts w:hint="eastAsia" w:ascii="宋体" w:hAnsi="宋体" w:eastAsia="宋体" w:cs="宋体"/>
                <w:color w:val="auto"/>
                <w:szCs w:val="21"/>
                <w:highlight w:val="none"/>
              </w:rPr>
            </w:pPr>
          </w:p>
        </w:tc>
      </w:tr>
      <w:tr w14:paraId="3F8CB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52AF1D9A">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1" w:type="dxa"/>
            <w:tcBorders>
              <w:top w:val="single" w:color="auto" w:sz="4" w:space="0"/>
              <w:left w:val="nil"/>
              <w:bottom w:val="single" w:color="auto" w:sz="4" w:space="0"/>
              <w:right w:val="single" w:color="auto" w:sz="4" w:space="0"/>
            </w:tcBorders>
            <w:vAlign w:val="center"/>
          </w:tcPr>
          <w:p w14:paraId="243BB3CB">
            <w:pPr>
              <w:jc w:val="center"/>
              <w:outlineLvl w:val="9"/>
              <w:rPr>
                <w:rFonts w:hint="eastAsia" w:ascii="宋体" w:hAnsi="宋体" w:eastAsia="宋体" w:cs="宋体"/>
                <w:color w:val="auto"/>
                <w:szCs w:val="21"/>
                <w:highlight w:val="none"/>
              </w:rPr>
            </w:pPr>
          </w:p>
        </w:tc>
        <w:tc>
          <w:tcPr>
            <w:tcW w:w="2331" w:type="dxa"/>
            <w:tcBorders>
              <w:top w:val="single" w:color="auto" w:sz="4" w:space="0"/>
              <w:left w:val="nil"/>
              <w:bottom w:val="single" w:color="auto" w:sz="4" w:space="0"/>
              <w:right w:val="single" w:color="auto" w:sz="4" w:space="0"/>
            </w:tcBorders>
            <w:vAlign w:val="center"/>
          </w:tcPr>
          <w:p w14:paraId="450E4215">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vAlign w:val="center"/>
          </w:tcPr>
          <w:p w14:paraId="740AB9F4">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4E86D597">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4B187767">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3E08C8C8">
            <w:pPr>
              <w:tabs>
                <w:tab w:val="left" w:pos="425"/>
              </w:tabs>
              <w:snapToGrid w:val="0"/>
              <w:jc w:val="center"/>
              <w:outlineLvl w:val="9"/>
              <w:rPr>
                <w:rFonts w:hint="eastAsia" w:ascii="宋体" w:hAnsi="宋体" w:eastAsia="宋体" w:cs="宋体"/>
                <w:color w:val="auto"/>
                <w:szCs w:val="21"/>
                <w:highlight w:val="none"/>
              </w:rPr>
            </w:pPr>
          </w:p>
        </w:tc>
      </w:tr>
      <w:tr w14:paraId="24CA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5CE6E800">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1" w:type="dxa"/>
            <w:tcBorders>
              <w:top w:val="single" w:color="auto" w:sz="4" w:space="0"/>
              <w:left w:val="nil"/>
              <w:bottom w:val="single" w:color="auto" w:sz="4" w:space="0"/>
              <w:right w:val="single" w:color="auto" w:sz="4" w:space="0"/>
            </w:tcBorders>
            <w:vAlign w:val="center"/>
          </w:tcPr>
          <w:p w14:paraId="0881AA02">
            <w:pPr>
              <w:jc w:val="center"/>
              <w:outlineLvl w:val="9"/>
              <w:rPr>
                <w:rFonts w:hint="eastAsia" w:ascii="宋体" w:hAnsi="宋体" w:eastAsia="宋体" w:cs="宋体"/>
                <w:color w:val="auto"/>
                <w:szCs w:val="21"/>
                <w:highlight w:val="none"/>
              </w:rPr>
            </w:pPr>
          </w:p>
        </w:tc>
        <w:tc>
          <w:tcPr>
            <w:tcW w:w="2331" w:type="dxa"/>
            <w:tcBorders>
              <w:top w:val="single" w:color="auto" w:sz="4" w:space="0"/>
              <w:left w:val="nil"/>
              <w:bottom w:val="single" w:color="auto" w:sz="4" w:space="0"/>
              <w:right w:val="single" w:color="auto" w:sz="4" w:space="0"/>
            </w:tcBorders>
            <w:vAlign w:val="center"/>
          </w:tcPr>
          <w:p w14:paraId="3B6149CE">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vAlign w:val="center"/>
          </w:tcPr>
          <w:p w14:paraId="6894061F">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3D0062AD">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7CAABC54">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2A21190B">
            <w:pPr>
              <w:tabs>
                <w:tab w:val="left" w:pos="425"/>
              </w:tabs>
              <w:snapToGrid w:val="0"/>
              <w:jc w:val="center"/>
              <w:outlineLvl w:val="9"/>
              <w:rPr>
                <w:rFonts w:hint="eastAsia" w:ascii="宋体" w:hAnsi="宋体" w:eastAsia="宋体" w:cs="宋体"/>
                <w:color w:val="auto"/>
                <w:szCs w:val="21"/>
                <w:highlight w:val="none"/>
              </w:rPr>
            </w:pPr>
          </w:p>
        </w:tc>
      </w:tr>
      <w:tr w14:paraId="62335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1FC676D2">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691" w:type="dxa"/>
            <w:tcBorders>
              <w:top w:val="single" w:color="auto" w:sz="4" w:space="0"/>
              <w:left w:val="nil"/>
              <w:bottom w:val="single" w:color="auto" w:sz="4" w:space="0"/>
              <w:right w:val="single" w:color="auto" w:sz="4" w:space="0"/>
            </w:tcBorders>
            <w:vAlign w:val="center"/>
          </w:tcPr>
          <w:p w14:paraId="3E7139DA">
            <w:pPr>
              <w:jc w:val="center"/>
              <w:outlineLvl w:val="9"/>
              <w:rPr>
                <w:rFonts w:hint="eastAsia" w:ascii="宋体" w:hAnsi="宋体" w:eastAsia="宋体" w:cs="宋体"/>
                <w:color w:val="auto"/>
                <w:szCs w:val="21"/>
                <w:highlight w:val="none"/>
              </w:rPr>
            </w:pPr>
          </w:p>
        </w:tc>
        <w:tc>
          <w:tcPr>
            <w:tcW w:w="2331" w:type="dxa"/>
            <w:tcBorders>
              <w:top w:val="single" w:color="auto" w:sz="4" w:space="0"/>
              <w:left w:val="nil"/>
              <w:bottom w:val="single" w:color="auto" w:sz="4" w:space="0"/>
              <w:right w:val="single" w:color="auto" w:sz="4" w:space="0"/>
            </w:tcBorders>
            <w:vAlign w:val="center"/>
          </w:tcPr>
          <w:p w14:paraId="682B2E14">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vAlign w:val="center"/>
          </w:tcPr>
          <w:p w14:paraId="64297189">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5886D366">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1F3672EA">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4D9E13B4">
            <w:pPr>
              <w:tabs>
                <w:tab w:val="left" w:pos="425"/>
              </w:tabs>
              <w:snapToGrid w:val="0"/>
              <w:jc w:val="center"/>
              <w:outlineLvl w:val="9"/>
              <w:rPr>
                <w:rFonts w:hint="eastAsia" w:ascii="宋体" w:hAnsi="宋体" w:eastAsia="宋体" w:cs="宋体"/>
                <w:color w:val="auto"/>
                <w:szCs w:val="21"/>
                <w:highlight w:val="none"/>
              </w:rPr>
            </w:pPr>
          </w:p>
        </w:tc>
      </w:tr>
      <w:tr w14:paraId="722BD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blHeader/>
          <w:jc w:val="center"/>
        </w:trPr>
        <w:tc>
          <w:tcPr>
            <w:tcW w:w="644" w:type="dxa"/>
            <w:tcBorders>
              <w:top w:val="single" w:color="auto" w:sz="4" w:space="0"/>
              <w:left w:val="single" w:color="auto" w:sz="4" w:space="0"/>
              <w:bottom w:val="single" w:color="auto" w:sz="4" w:space="0"/>
              <w:right w:val="single" w:color="auto" w:sz="4" w:space="0"/>
            </w:tcBorders>
            <w:vAlign w:val="center"/>
          </w:tcPr>
          <w:p w14:paraId="38105B22">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691" w:type="dxa"/>
            <w:tcBorders>
              <w:top w:val="single" w:color="auto" w:sz="4" w:space="0"/>
              <w:left w:val="nil"/>
              <w:bottom w:val="single" w:color="auto" w:sz="4" w:space="0"/>
              <w:right w:val="single" w:color="auto" w:sz="4" w:space="0"/>
            </w:tcBorders>
            <w:vAlign w:val="center"/>
          </w:tcPr>
          <w:p w14:paraId="34D24934">
            <w:pPr>
              <w:jc w:val="center"/>
              <w:outlineLvl w:val="9"/>
              <w:rPr>
                <w:rFonts w:hint="eastAsia" w:ascii="宋体" w:hAnsi="宋体" w:eastAsia="宋体" w:cs="宋体"/>
                <w:color w:val="auto"/>
                <w:szCs w:val="21"/>
                <w:highlight w:val="none"/>
              </w:rPr>
            </w:pPr>
          </w:p>
        </w:tc>
        <w:tc>
          <w:tcPr>
            <w:tcW w:w="2331" w:type="dxa"/>
            <w:tcBorders>
              <w:top w:val="single" w:color="auto" w:sz="4" w:space="0"/>
              <w:left w:val="nil"/>
              <w:bottom w:val="single" w:color="auto" w:sz="4" w:space="0"/>
              <w:right w:val="single" w:color="auto" w:sz="4" w:space="0"/>
            </w:tcBorders>
            <w:vAlign w:val="center"/>
          </w:tcPr>
          <w:p w14:paraId="28B62EC9">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single" w:color="auto" w:sz="4" w:space="0"/>
              <w:left w:val="single" w:color="auto" w:sz="4" w:space="0"/>
              <w:bottom w:val="single" w:color="auto" w:sz="4" w:space="0"/>
              <w:right w:val="single" w:color="auto" w:sz="4" w:space="0"/>
            </w:tcBorders>
            <w:vAlign w:val="center"/>
          </w:tcPr>
          <w:p w14:paraId="215403AC">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4CAEA16A">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1AEDBD2A">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27B29A05">
            <w:pPr>
              <w:tabs>
                <w:tab w:val="left" w:pos="425"/>
              </w:tabs>
              <w:snapToGrid w:val="0"/>
              <w:jc w:val="center"/>
              <w:outlineLvl w:val="9"/>
              <w:rPr>
                <w:rFonts w:hint="eastAsia" w:ascii="宋体" w:hAnsi="宋体" w:eastAsia="宋体" w:cs="宋体"/>
                <w:color w:val="auto"/>
                <w:szCs w:val="21"/>
                <w:highlight w:val="none"/>
              </w:rPr>
            </w:pPr>
          </w:p>
        </w:tc>
      </w:tr>
      <w:tr w14:paraId="1185D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blHeader/>
          <w:jc w:val="center"/>
        </w:trPr>
        <w:tc>
          <w:tcPr>
            <w:tcW w:w="644" w:type="dxa"/>
            <w:tcBorders>
              <w:top w:val="nil"/>
              <w:left w:val="single" w:color="auto" w:sz="4" w:space="0"/>
              <w:bottom w:val="single" w:color="auto" w:sz="4" w:space="0"/>
              <w:right w:val="single" w:color="auto" w:sz="4" w:space="0"/>
            </w:tcBorders>
            <w:vAlign w:val="center"/>
          </w:tcPr>
          <w:p w14:paraId="1D901552">
            <w:pPr>
              <w:tabs>
                <w:tab w:val="left" w:pos="425"/>
              </w:tabs>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1" w:type="dxa"/>
            <w:tcBorders>
              <w:top w:val="nil"/>
              <w:left w:val="nil"/>
              <w:bottom w:val="single" w:color="auto" w:sz="4" w:space="0"/>
              <w:right w:val="single" w:color="auto" w:sz="4" w:space="0"/>
            </w:tcBorders>
            <w:vAlign w:val="center"/>
          </w:tcPr>
          <w:p w14:paraId="3D8E48B0">
            <w:pPr>
              <w:jc w:val="center"/>
              <w:outlineLvl w:val="9"/>
              <w:rPr>
                <w:rFonts w:hint="eastAsia" w:ascii="宋体" w:hAnsi="宋体" w:eastAsia="宋体" w:cs="宋体"/>
                <w:color w:val="auto"/>
                <w:szCs w:val="21"/>
                <w:highlight w:val="none"/>
              </w:rPr>
            </w:pPr>
          </w:p>
        </w:tc>
        <w:tc>
          <w:tcPr>
            <w:tcW w:w="2331" w:type="dxa"/>
            <w:tcBorders>
              <w:top w:val="nil"/>
              <w:left w:val="nil"/>
              <w:bottom w:val="single" w:color="auto" w:sz="4" w:space="0"/>
              <w:right w:val="single" w:color="auto" w:sz="4" w:space="0"/>
            </w:tcBorders>
            <w:vAlign w:val="center"/>
          </w:tcPr>
          <w:p w14:paraId="47D2FDC0">
            <w:pPr>
              <w:tabs>
                <w:tab w:val="left" w:pos="425"/>
              </w:tabs>
              <w:snapToGrid w:val="0"/>
              <w:jc w:val="center"/>
              <w:outlineLvl w:val="9"/>
              <w:rPr>
                <w:rFonts w:hint="eastAsia" w:ascii="宋体" w:hAnsi="宋体" w:eastAsia="宋体" w:cs="宋体"/>
                <w:color w:val="auto"/>
                <w:szCs w:val="21"/>
                <w:highlight w:val="none"/>
              </w:rPr>
            </w:pPr>
          </w:p>
        </w:tc>
        <w:tc>
          <w:tcPr>
            <w:tcW w:w="1271" w:type="dxa"/>
            <w:tcBorders>
              <w:top w:val="nil"/>
              <w:left w:val="single" w:color="auto" w:sz="4" w:space="0"/>
              <w:bottom w:val="single" w:color="auto" w:sz="4" w:space="0"/>
              <w:right w:val="single" w:color="auto" w:sz="4" w:space="0"/>
            </w:tcBorders>
            <w:vAlign w:val="center"/>
          </w:tcPr>
          <w:p w14:paraId="79BC8D65">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nil"/>
              <w:left w:val="single" w:color="auto" w:sz="4" w:space="0"/>
              <w:bottom w:val="single" w:color="auto" w:sz="4" w:space="0"/>
              <w:right w:val="single" w:color="auto" w:sz="4" w:space="0"/>
            </w:tcBorders>
            <w:vAlign w:val="center"/>
          </w:tcPr>
          <w:p w14:paraId="1E6F21E9">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nil"/>
              <w:left w:val="single" w:color="auto" w:sz="4" w:space="0"/>
              <w:bottom w:val="single" w:color="auto" w:sz="4" w:space="0"/>
              <w:right w:val="single" w:color="auto" w:sz="4" w:space="0"/>
            </w:tcBorders>
            <w:vAlign w:val="center"/>
          </w:tcPr>
          <w:p w14:paraId="2E209FA3">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nil"/>
              <w:left w:val="single" w:color="auto" w:sz="4" w:space="0"/>
              <w:bottom w:val="single" w:color="auto" w:sz="4" w:space="0"/>
              <w:right w:val="single" w:color="auto" w:sz="4" w:space="0"/>
            </w:tcBorders>
            <w:vAlign w:val="center"/>
          </w:tcPr>
          <w:p w14:paraId="720E186C">
            <w:pPr>
              <w:tabs>
                <w:tab w:val="left" w:pos="425"/>
              </w:tabs>
              <w:snapToGrid w:val="0"/>
              <w:jc w:val="center"/>
              <w:outlineLvl w:val="9"/>
              <w:rPr>
                <w:rFonts w:hint="eastAsia" w:ascii="宋体" w:hAnsi="宋体" w:eastAsia="宋体" w:cs="宋体"/>
                <w:color w:val="auto"/>
                <w:szCs w:val="21"/>
                <w:highlight w:val="none"/>
              </w:rPr>
            </w:pPr>
          </w:p>
        </w:tc>
      </w:tr>
      <w:tr w14:paraId="34B8F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blHeader/>
          <w:jc w:val="center"/>
        </w:trPr>
        <w:tc>
          <w:tcPr>
            <w:tcW w:w="4666" w:type="dxa"/>
            <w:gridSpan w:val="3"/>
            <w:tcBorders>
              <w:top w:val="single" w:color="auto" w:sz="4" w:space="0"/>
              <w:left w:val="single" w:color="auto" w:sz="4" w:space="0"/>
              <w:bottom w:val="single" w:color="auto" w:sz="4" w:space="0"/>
              <w:right w:val="single" w:color="auto" w:sz="4" w:space="0"/>
            </w:tcBorders>
            <w:vAlign w:val="center"/>
          </w:tcPr>
          <w:p w14:paraId="5EEC48D4">
            <w:pPr>
              <w:tabs>
                <w:tab w:val="left" w:pos="425"/>
              </w:tabs>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   计</w:t>
            </w:r>
          </w:p>
        </w:tc>
        <w:tc>
          <w:tcPr>
            <w:tcW w:w="1271" w:type="dxa"/>
            <w:tcBorders>
              <w:top w:val="single" w:color="auto" w:sz="4" w:space="0"/>
              <w:left w:val="single" w:color="auto" w:sz="4" w:space="0"/>
              <w:bottom w:val="single" w:color="auto" w:sz="4" w:space="0"/>
              <w:right w:val="single" w:color="auto" w:sz="4" w:space="0"/>
            </w:tcBorders>
            <w:vAlign w:val="center"/>
          </w:tcPr>
          <w:p w14:paraId="26AA937C">
            <w:pPr>
              <w:tabs>
                <w:tab w:val="left" w:pos="425"/>
              </w:tabs>
              <w:snapToGrid w:val="0"/>
              <w:jc w:val="center"/>
              <w:outlineLvl w:val="9"/>
              <w:rPr>
                <w:rFonts w:hint="eastAsia" w:ascii="宋体" w:hAnsi="宋体" w:eastAsia="宋体" w:cs="宋体"/>
                <w:color w:val="auto"/>
                <w:szCs w:val="21"/>
                <w:highlight w:val="none"/>
              </w:rPr>
            </w:pPr>
          </w:p>
        </w:tc>
        <w:tc>
          <w:tcPr>
            <w:tcW w:w="1259" w:type="dxa"/>
            <w:tcBorders>
              <w:top w:val="single" w:color="auto" w:sz="4" w:space="0"/>
              <w:left w:val="single" w:color="auto" w:sz="4" w:space="0"/>
              <w:bottom w:val="single" w:color="auto" w:sz="4" w:space="0"/>
              <w:right w:val="single" w:color="auto" w:sz="4" w:space="0"/>
            </w:tcBorders>
            <w:vAlign w:val="center"/>
          </w:tcPr>
          <w:p w14:paraId="0A62493F">
            <w:pPr>
              <w:tabs>
                <w:tab w:val="left" w:pos="425"/>
              </w:tabs>
              <w:snapToGrid w:val="0"/>
              <w:jc w:val="center"/>
              <w:outlineLvl w:val="9"/>
              <w:rPr>
                <w:rFonts w:hint="eastAsia" w:ascii="宋体" w:hAnsi="宋体" w:eastAsia="宋体" w:cs="宋体"/>
                <w:color w:val="auto"/>
                <w:szCs w:val="21"/>
                <w:highlight w:val="none"/>
              </w:rPr>
            </w:pPr>
          </w:p>
        </w:tc>
        <w:tc>
          <w:tcPr>
            <w:tcW w:w="1342" w:type="dxa"/>
            <w:tcBorders>
              <w:top w:val="single" w:color="auto" w:sz="4" w:space="0"/>
              <w:left w:val="single" w:color="auto" w:sz="4" w:space="0"/>
              <w:bottom w:val="single" w:color="auto" w:sz="4" w:space="0"/>
              <w:right w:val="single" w:color="auto" w:sz="4" w:space="0"/>
            </w:tcBorders>
            <w:vAlign w:val="center"/>
          </w:tcPr>
          <w:p w14:paraId="6A3FE6ED">
            <w:pPr>
              <w:tabs>
                <w:tab w:val="left" w:pos="425"/>
              </w:tabs>
              <w:snapToGrid w:val="0"/>
              <w:jc w:val="center"/>
              <w:outlineLvl w:val="9"/>
              <w:rPr>
                <w:rFonts w:hint="eastAsia" w:ascii="宋体" w:hAnsi="宋体" w:eastAsia="宋体" w:cs="宋体"/>
                <w:color w:val="auto"/>
                <w:szCs w:val="21"/>
                <w:highlight w:val="none"/>
              </w:rPr>
            </w:pPr>
          </w:p>
        </w:tc>
        <w:tc>
          <w:tcPr>
            <w:tcW w:w="643" w:type="dxa"/>
            <w:tcBorders>
              <w:top w:val="single" w:color="auto" w:sz="4" w:space="0"/>
              <w:left w:val="single" w:color="auto" w:sz="4" w:space="0"/>
              <w:bottom w:val="single" w:color="auto" w:sz="4" w:space="0"/>
              <w:right w:val="single" w:color="auto" w:sz="4" w:space="0"/>
            </w:tcBorders>
            <w:vAlign w:val="center"/>
          </w:tcPr>
          <w:p w14:paraId="674C28C2">
            <w:pPr>
              <w:tabs>
                <w:tab w:val="left" w:pos="425"/>
              </w:tabs>
              <w:snapToGrid w:val="0"/>
              <w:jc w:val="center"/>
              <w:outlineLvl w:val="9"/>
              <w:rPr>
                <w:rFonts w:hint="eastAsia" w:ascii="宋体" w:hAnsi="宋体" w:eastAsia="宋体" w:cs="宋体"/>
                <w:color w:val="auto"/>
                <w:szCs w:val="21"/>
                <w:highlight w:val="none"/>
              </w:rPr>
            </w:pPr>
          </w:p>
        </w:tc>
      </w:tr>
    </w:tbl>
    <w:p w14:paraId="6E3E8B59">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66A0C89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1.本项目总价及分项报价均不接受任何形式的赠送、“零”报价和折扣报价。</w:t>
      </w:r>
    </w:p>
    <w:p w14:paraId="646FD44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2.如报价不一致，按照投标人须知“19.核价原则”进行修正。</w:t>
      </w:r>
    </w:p>
    <w:p w14:paraId="7A16D6AC">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3.本表中小计=数量×单价。</w:t>
      </w:r>
    </w:p>
    <w:p w14:paraId="738D080B">
      <w:pPr>
        <w:spacing w:line="360" w:lineRule="auto"/>
        <w:ind w:firstLine="420" w:firstLineChars="200"/>
        <w:outlineLvl w:val="9"/>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投标（响应）报价低于采购项目最高限价45%的，即投标（响应）报价&lt;采购项目最高限价×45%；供应商可随投标（响应）文件在本表后一并提交相关书面说明及必要的证明材料。</w:t>
      </w:r>
    </w:p>
    <w:p w14:paraId="6A632C46">
      <w:pPr>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color w:val="auto"/>
          <w:szCs w:val="21"/>
          <w:highlight w:val="none"/>
          <w:lang w:val="en-US" w:eastAsia="zh-CN"/>
        </w:rPr>
        <w:t>5.</w:t>
      </w:r>
      <w:r>
        <w:rPr>
          <w:rFonts w:hint="eastAsia" w:ascii="宋体" w:hAnsi="宋体" w:eastAsia="宋体" w:cs="宋体"/>
          <w:color w:val="auto"/>
          <w:szCs w:val="21"/>
          <w:highlight w:val="none"/>
        </w:rPr>
        <w:t>本表仅供参考，可扩展。</w:t>
      </w:r>
    </w:p>
    <w:p w14:paraId="60CDEE2B">
      <w:pPr>
        <w:spacing w:line="360" w:lineRule="auto"/>
        <w:ind w:firstLine="422" w:firstLineChars="200"/>
        <w:outlineLvl w:val="9"/>
        <w:rPr>
          <w:rFonts w:hint="eastAsia" w:ascii="宋体" w:hAnsi="宋体" w:eastAsia="宋体" w:cs="宋体"/>
          <w:b/>
          <w:color w:val="auto"/>
          <w:szCs w:val="21"/>
          <w:highlight w:val="none"/>
        </w:rPr>
      </w:pPr>
    </w:p>
    <w:p w14:paraId="2F6654C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p>
    <w:p w14:paraId="508C82F5">
      <w:pPr>
        <w:ind w:firstLine="420" w:firstLineChars="200"/>
        <w:outlineLvl w:val="9"/>
        <w:rPr>
          <w:rFonts w:hint="eastAsia" w:ascii="宋体" w:hAnsi="宋体" w:eastAsia="宋体" w:cs="宋体"/>
          <w:color w:val="auto"/>
          <w:szCs w:val="21"/>
          <w:highlight w:val="none"/>
        </w:rPr>
      </w:pPr>
    </w:p>
    <w:p w14:paraId="1F52620E">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4E9F09C6">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投标人代表（签字或盖章）</w:t>
      </w:r>
      <w:r>
        <w:rPr>
          <w:rFonts w:hint="eastAsia" w:ascii="宋体" w:hAnsi="宋体" w:eastAsia="宋体" w:cs="宋体"/>
          <w:color w:val="auto"/>
          <w:szCs w:val="21"/>
          <w:highlight w:val="none"/>
        </w:rPr>
        <w:t>：</w:t>
      </w:r>
    </w:p>
    <w:p w14:paraId="28A45302">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550FCD7B">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格式4  商务条款偏离表</w:t>
      </w:r>
    </w:p>
    <w:tbl>
      <w:tblPr>
        <w:tblStyle w:val="22"/>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798"/>
        <w:gridCol w:w="1545"/>
        <w:gridCol w:w="1530"/>
        <w:gridCol w:w="1515"/>
        <w:gridCol w:w="1285"/>
      </w:tblGrid>
      <w:tr w14:paraId="1FA0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58159C9A">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798" w:type="dxa"/>
            <w:tcBorders>
              <w:top w:val="single" w:color="auto" w:sz="4" w:space="0"/>
              <w:left w:val="single" w:color="auto" w:sz="4" w:space="0"/>
              <w:bottom w:val="single" w:color="auto" w:sz="4" w:space="0"/>
              <w:right w:val="single" w:color="auto" w:sz="4" w:space="0"/>
            </w:tcBorders>
            <w:vAlign w:val="center"/>
          </w:tcPr>
          <w:p w14:paraId="71FEEEE6">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招标文件条目号</w:t>
            </w:r>
          </w:p>
        </w:tc>
        <w:tc>
          <w:tcPr>
            <w:tcW w:w="1545" w:type="dxa"/>
            <w:tcBorders>
              <w:top w:val="single" w:color="auto" w:sz="4" w:space="0"/>
              <w:left w:val="single" w:color="auto" w:sz="4" w:space="0"/>
              <w:bottom w:val="single" w:color="auto" w:sz="4" w:space="0"/>
              <w:right w:val="single" w:color="auto" w:sz="4" w:space="0"/>
            </w:tcBorders>
            <w:vAlign w:val="center"/>
          </w:tcPr>
          <w:p w14:paraId="5644C725">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w:t>
            </w:r>
          </w:p>
          <w:p w14:paraId="5D068026">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商务条款</w:t>
            </w:r>
          </w:p>
        </w:tc>
        <w:tc>
          <w:tcPr>
            <w:tcW w:w="1530" w:type="dxa"/>
            <w:tcBorders>
              <w:top w:val="single" w:color="auto" w:sz="4" w:space="0"/>
              <w:left w:val="single" w:color="auto" w:sz="4" w:space="0"/>
              <w:bottom w:val="single" w:color="auto" w:sz="4" w:space="0"/>
              <w:right w:val="single" w:color="auto" w:sz="4" w:space="0"/>
            </w:tcBorders>
            <w:vAlign w:val="center"/>
          </w:tcPr>
          <w:p w14:paraId="065B9333">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w:t>
            </w:r>
          </w:p>
          <w:p w14:paraId="1F7226F1">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商务条款</w:t>
            </w:r>
          </w:p>
        </w:tc>
        <w:tc>
          <w:tcPr>
            <w:tcW w:w="1515" w:type="dxa"/>
            <w:tcBorders>
              <w:top w:val="single" w:color="auto" w:sz="4" w:space="0"/>
              <w:left w:val="single" w:color="auto" w:sz="4" w:space="0"/>
              <w:bottom w:val="single" w:color="auto" w:sz="4" w:space="0"/>
              <w:right w:val="single" w:color="auto" w:sz="4" w:space="0"/>
            </w:tcBorders>
            <w:vAlign w:val="center"/>
          </w:tcPr>
          <w:p w14:paraId="09B3A9FA">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w:t>
            </w:r>
          </w:p>
          <w:p w14:paraId="08E71923">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（无/正/负）</w:t>
            </w:r>
          </w:p>
        </w:tc>
        <w:tc>
          <w:tcPr>
            <w:tcW w:w="1285" w:type="dxa"/>
            <w:tcBorders>
              <w:top w:val="single" w:color="auto" w:sz="4" w:space="0"/>
              <w:left w:val="single" w:color="auto" w:sz="4" w:space="0"/>
              <w:bottom w:val="single" w:color="auto" w:sz="4" w:space="0"/>
              <w:right w:val="single" w:color="auto" w:sz="4" w:space="0"/>
            </w:tcBorders>
            <w:vAlign w:val="center"/>
          </w:tcPr>
          <w:p w14:paraId="1074B679">
            <w:pPr>
              <w:topLinePunct/>
              <w:autoSpaceDE w:val="0"/>
              <w:autoSpaceDN w:val="0"/>
              <w:spacing w:beforeLines="20" w:after="4"/>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w:t>
            </w:r>
          </w:p>
        </w:tc>
      </w:tr>
      <w:tr w14:paraId="23C4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5777B753">
            <w:pPr>
              <w:topLinePunct/>
              <w:autoSpaceDE w:val="0"/>
              <w:autoSpaceDN w:val="0"/>
              <w:spacing w:beforeLines="20" w:after="4"/>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98" w:type="dxa"/>
            <w:tcBorders>
              <w:top w:val="single" w:color="auto" w:sz="4" w:space="0"/>
              <w:left w:val="single" w:color="auto" w:sz="4" w:space="0"/>
              <w:bottom w:val="single" w:color="auto" w:sz="4" w:space="0"/>
              <w:right w:val="single" w:color="auto" w:sz="4" w:space="0"/>
            </w:tcBorders>
            <w:vAlign w:val="top"/>
          </w:tcPr>
          <w:p w14:paraId="02C47C66">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45" w:type="dxa"/>
            <w:tcBorders>
              <w:top w:val="single" w:color="auto" w:sz="4" w:space="0"/>
              <w:left w:val="single" w:color="auto" w:sz="4" w:space="0"/>
              <w:bottom w:val="single" w:color="auto" w:sz="4" w:space="0"/>
              <w:right w:val="single" w:color="auto" w:sz="4" w:space="0"/>
            </w:tcBorders>
            <w:vAlign w:val="top"/>
          </w:tcPr>
          <w:p w14:paraId="53764C70">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30" w:type="dxa"/>
            <w:tcBorders>
              <w:top w:val="single" w:color="auto" w:sz="4" w:space="0"/>
              <w:left w:val="single" w:color="auto" w:sz="4" w:space="0"/>
              <w:bottom w:val="single" w:color="auto" w:sz="4" w:space="0"/>
              <w:right w:val="single" w:color="auto" w:sz="4" w:space="0"/>
            </w:tcBorders>
            <w:vAlign w:val="top"/>
          </w:tcPr>
          <w:p w14:paraId="72729888">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15" w:type="dxa"/>
            <w:tcBorders>
              <w:top w:val="single" w:color="auto" w:sz="4" w:space="0"/>
              <w:left w:val="single" w:color="auto" w:sz="4" w:space="0"/>
              <w:bottom w:val="single" w:color="auto" w:sz="4" w:space="0"/>
              <w:right w:val="single" w:color="auto" w:sz="4" w:space="0"/>
            </w:tcBorders>
            <w:vAlign w:val="top"/>
          </w:tcPr>
          <w:p w14:paraId="0200B501">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285" w:type="dxa"/>
            <w:tcBorders>
              <w:top w:val="single" w:color="auto" w:sz="4" w:space="0"/>
              <w:left w:val="single" w:color="auto" w:sz="4" w:space="0"/>
              <w:bottom w:val="single" w:color="auto" w:sz="4" w:space="0"/>
              <w:right w:val="single" w:color="auto" w:sz="4" w:space="0"/>
            </w:tcBorders>
            <w:vAlign w:val="top"/>
          </w:tcPr>
          <w:p w14:paraId="50F469BE">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r>
      <w:tr w14:paraId="0E33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72DAFA77">
            <w:pPr>
              <w:topLinePunct/>
              <w:autoSpaceDE w:val="0"/>
              <w:autoSpaceDN w:val="0"/>
              <w:spacing w:beforeLines="20" w:after="4"/>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98" w:type="dxa"/>
            <w:tcBorders>
              <w:top w:val="single" w:color="auto" w:sz="4" w:space="0"/>
              <w:left w:val="single" w:color="auto" w:sz="4" w:space="0"/>
              <w:bottom w:val="single" w:color="auto" w:sz="4" w:space="0"/>
              <w:right w:val="single" w:color="auto" w:sz="4" w:space="0"/>
            </w:tcBorders>
            <w:vAlign w:val="top"/>
          </w:tcPr>
          <w:p w14:paraId="66437FCE">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45" w:type="dxa"/>
            <w:tcBorders>
              <w:top w:val="single" w:color="auto" w:sz="4" w:space="0"/>
              <w:left w:val="single" w:color="auto" w:sz="4" w:space="0"/>
              <w:bottom w:val="single" w:color="auto" w:sz="4" w:space="0"/>
              <w:right w:val="single" w:color="auto" w:sz="4" w:space="0"/>
            </w:tcBorders>
            <w:vAlign w:val="top"/>
          </w:tcPr>
          <w:p w14:paraId="778D9B00">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30" w:type="dxa"/>
            <w:tcBorders>
              <w:top w:val="single" w:color="auto" w:sz="4" w:space="0"/>
              <w:left w:val="single" w:color="auto" w:sz="4" w:space="0"/>
              <w:bottom w:val="single" w:color="auto" w:sz="4" w:space="0"/>
              <w:right w:val="single" w:color="auto" w:sz="4" w:space="0"/>
            </w:tcBorders>
            <w:vAlign w:val="top"/>
          </w:tcPr>
          <w:p w14:paraId="52A7347A">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15" w:type="dxa"/>
            <w:tcBorders>
              <w:top w:val="single" w:color="auto" w:sz="4" w:space="0"/>
              <w:left w:val="single" w:color="auto" w:sz="4" w:space="0"/>
              <w:bottom w:val="single" w:color="auto" w:sz="4" w:space="0"/>
              <w:right w:val="single" w:color="auto" w:sz="4" w:space="0"/>
            </w:tcBorders>
            <w:vAlign w:val="top"/>
          </w:tcPr>
          <w:p w14:paraId="5CCBF569">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285" w:type="dxa"/>
            <w:tcBorders>
              <w:top w:val="single" w:color="auto" w:sz="4" w:space="0"/>
              <w:left w:val="single" w:color="auto" w:sz="4" w:space="0"/>
              <w:bottom w:val="single" w:color="auto" w:sz="4" w:space="0"/>
              <w:right w:val="single" w:color="auto" w:sz="4" w:space="0"/>
            </w:tcBorders>
            <w:vAlign w:val="top"/>
          </w:tcPr>
          <w:p w14:paraId="41D85DB6">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r>
      <w:tr w14:paraId="47F2A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78AC9EA8">
            <w:pPr>
              <w:topLinePunct/>
              <w:autoSpaceDE w:val="0"/>
              <w:autoSpaceDN w:val="0"/>
              <w:spacing w:beforeLines="20" w:after="4"/>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98" w:type="dxa"/>
            <w:tcBorders>
              <w:top w:val="single" w:color="auto" w:sz="4" w:space="0"/>
              <w:left w:val="single" w:color="auto" w:sz="4" w:space="0"/>
              <w:bottom w:val="single" w:color="auto" w:sz="4" w:space="0"/>
              <w:right w:val="single" w:color="auto" w:sz="4" w:space="0"/>
            </w:tcBorders>
            <w:vAlign w:val="top"/>
          </w:tcPr>
          <w:p w14:paraId="51749909">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45" w:type="dxa"/>
            <w:tcBorders>
              <w:top w:val="single" w:color="auto" w:sz="4" w:space="0"/>
              <w:left w:val="single" w:color="auto" w:sz="4" w:space="0"/>
              <w:bottom w:val="single" w:color="auto" w:sz="4" w:space="0"/>
              <w:right w:val="single" w:color="auto" w:sz="4" w:space="0"/>
            </w:tcBorders>
            <w:vAlign w:val="top"/>
          </w:tcPr>
          <w:p w14:paraId="7B6D2E38">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30" w:type="dxa"/>
            <w:tcBorders>
              <w:top w:val="single" w:color="auto" w:sz="4" w:space="0"/>
              <w:left w:val="single" w:color="auto" w:sz="4" w:space="0"/>
              <w:bottom w:val="single" w:color="auto" w:sz="4" w:space="0"/>
              <w:right w:val="single" w:color="auto" w:sz="4" w:space="0"/>
            </w:tcBorders>
            <w:vAlign w:val="top"/>
          </w:tcPr>
          <w:p w14:paraId="48B8E3B6">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15" w:type="dxa"/>
            <w:tcBorders>
              <w:top w:val="single" w:color="auto" w:sz="4" w:space="0"/>
              <w:left w:val="single" w:color="auto" w:sz="4" w:space="0"/>
              <w:bottom w:val="single" w:color="auto" w:sz="4" w:space="0"/>
              <w:right w:val="single" w:color="auto" w:sz="4" w:space="0"/>
            </w:tcBorders>
            <w:vAlign w:val="top"/>
          </w:tcPr>
          <w:p w14:paraId="43000BF3">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285" w:type="dxa"/>
            <w:tcBorders>
              <w:top w:val="single" w:color="auto" w:sz="4" w:space="0"/>
              <w:left w:val="single" w:color="auto" w:sz="4" w:space="0"/>
              <w:bottom w:val="single" w:color="auto" w:sz="4" w:space="0"/>
              <w:right w:val="single" w:color="auto" w:sz="4" w:space="0"/>
            </w:tcBorders>
            <w:vAlign w:val="top"/>
          </w:tcPr>
          <w:p w14:paraId="31DA8537">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r>
      <w:tr w14:paraId="77EC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17E60AAB">
            <w:pPr>
              <w:topLinePunct/>
              <w:autoSpaceDE w:val="0"/>
              <w:autoSpaceDN w:val="0"/>
              <w:spacing w:beforeLines="20" w:after="4"/>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98" w:type="dxa"/>
            <w:tcBorders>
              <w:top w:val="single" w:color="auto" w:sz="4" w:space="0"/>
              <w:left w:val="single" w:color="auto" w:sz="4" w:space="0"/>
              <w:bottom w:val="single" w:color="auto" w:sz="4" w:space="0"/>
              <w:right w:val="single" w:color="auto" w:sz="4" w:space="0"/>
            </w:tcBorders>
            <w:vAlign w:val="top"/>
          </w:tcPr>
          <w:p w14:paraId="293B888A">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45" w:type="dxa"/>
            <w:tcBorders>
              <w:top w:val="single" w:color="auto" w:sz="4" w:space="0"/>
              <w:left w:val="single" w:color="auto" w:sz="4" w:space="0"/>
              <w:bottom w:val="single" w:color="auto" w:sz="4" w:space="0"/>
              <w:right w:val="single" w:color="auto" w:sz="4" w:space="0"/>
            </w:tcBorders>
            <w:vAlign w:val="top"/>
          </w:tcPr>
          <w:p w14:paraId="1AC68AE0">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30" w:type="dxa"/>
            <w:tcBorders>
              <w:top w:val="single" w:color="auto" w:sz="4" w:space="0"/>
              <w:left w:val="single" w:color="auto" w:sz="4" w:space="0"/>
              <w:bottom w:val="single" w:color="auto" w:sz="4" w:space="0"/>
              <w:right w:val="single" w:color="auto" w:sz="4" w:space="0"/>
            </w:tcBorders>
            <w:vAlign w:val="top"/>
          </w:tcPr>
          <w:p w14:paraId="0588152C">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15" w:type="dxa"/>
            <w:tcBorders>
              <w:top w:val="single" w:color="auto" w:sz="4" w:space="0"/>
              <w:left w:val="single" w:color="auto" w:sz="4" w:space="0"/>
              <w:bottom w:val="single" w:color="auto" w:sz="4" w:space="0"/>
              <w:right w:val="single" w:color="auto" w:sz="4" w:space="0"/>
            </w:tcBorders>
            <w:vAlign w:val="top"/>
          </w:tcPr>
          <w:p w14:paraId="0493DAE2">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285" w:type="dxa"/>
            <w:tcBorders>
              <w:top w:val="single" w:color="auto" w:sz="4" w:space="0"/>
              <w:left w:val="single" w:color="auto" w:sz="4" w:space="0"/>
              <w:bottom w:val="single" w:color="auto" w:sz="4" w:space="0"/>
              <w:right w:val="single" w:color="auto" w:sz="4" w:space="0"/>
            </w:tcBorders>
            <w:vAlign w:val="top"/>
          </w:tcPr>
          <w:p w14:paraId="4CBCA0A8">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r>
      <w:tr w14:paraId="4081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77273EB4">
            <w:pPr>
              <w:topLinePunct/>
              <w:autoSpaceDE w:val="0"/>
              <w:autoSpaceDN w:val="0"/>
              <w:spacing w:beforeLines="20" w:after="4"/>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798" w:type="dxa"/>
            <w:tcBorders>
              <w:top w:val="single" w:color="auto" w:sz="4" w:space="0"/>
              <w:left w:val="single" w:color="auto" w:sz="4" w:space="0"/>
              <w:bottom w:val="single" w:color="auto" w:sz="4" w:space="0"/>
              <w:right w:val="single" w:color="auto" w:sz="4" w:space="0"/>
            </w:tcBorders>
            <w:vAlign w:val="top"/>
          </w:tcPr>
          <w:p w14:paraId="3D313C3E">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45" w:type="dxa"/>
            <w:tcBorders>
              <w:top w:val="single" w:color="auto" w:sz="4" w:space="0"/>
              <w:left w:val="single" w:color="auto" w:sz="4" w:space="0"/>
              <w:bottom w:val="single" w:color="auto" w:sz="4" w:space="0"/>
              <w:right w:val="single" w:color="auto" w:sz="4" w:space="0"/>
            </w:tcBorders>
            <w:vAlign w:val="top"/>
          </w:tcPr>
          <w:p w14:paraId="37BCA720">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30" w:type="dxa"/>
            <w:tcBorders>
              <w:top w:val="single" w:color="auto" w:sz="4" w:space="0"/>
              <w:left w:val="single" w:color="auto" w:sz="4" w:space="0"/>
              <w:bottom w:val="single" w:color="auto" w:sz="4" w:space="0"/>
              <w:right w:val="single" w:color="auto" w:sz="4" w:space="0"/>
            </w:tcBorders>
            <w:vAlign w:val="top"/>
          </w:tcPr>
          <w:p w14:paraId="35A134EA">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515" w:type="dxa"/>
            <w:tcBorders>
              <w:top w:val="single" w:color="auto" w:sz="4" w:space="0"/>
              <w:left w:val="single" w:color="auto" w:sz="4" w:space="0"/>
              <w:bottom w:val="single" w:color="auto" w:sz="4" w:space="0"/>
              <w:right w:val="single" w:color="auto" w:sz="4" w:space="0"/>
            </w:tcBorders>
            <w:vAlign w:val="top"/>
          </w:tcPr>
          <w:p w14:paraId="5F40C3DA">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c>
          <w:tcPr>
            <w:tcW w:w="1285" w:type="dxa"/>
            <w:tcBorders>
              <w:top w:val="single" w:color="auto" w:sz="4" w:space="0"/>
              <w:left w:val="single" w:color="auto" w:sz="4" w:space="0"/>
              <w:bottom w:val="single" w:color="auto" w:sz="4" w:space="0"/>
              <w:right w:val="single" w:color="auto" w:sz="4" w:space="0"/>
            </w:tcBorders>
            <w:vAlign w:val="top"/>
          </w:tcPr>
          <w:p w14:paraId="00CD1A6A">
            <w:pPr>
              <w:topLinePunct/>
              <w:autoSpaceDE w:val="0"/>
              <w:autoSpaceDN w:val="0"/>
              <w:spacing w:beforeLines="20" w:after="312"/>
              <w:jc w:val="center"/>
              <w:outlineLvl w:val="9"/>
              <w:rPr>
                <w:rFonts w:hint="eastAsia" w:ascii="宋体" w:hAnsi="宋体" w:eastAsia="宋体" w:cs="宋体"/>
                <w:b/>
                <w:bCs/>
                <w:color w:val="auto"/>
                <w:sz w:val="44"/>
                <w:szCs w:val="21"/>
                <w:highlight w:val="none"/>
              </w:rPr>
            </w:pPr>
          </w:p>
        </w:tc>
      </w:tr>
    </w:tbl>
    <w:p w14:paraId="0E290F9A">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2055CD0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1.商务条款无需条对条应答，如无偏离，请在此表中填写“无偏离”；如有偏离，请在此表中应答为“正/负偏离”并说明偏离情况。</w:t>
      </w:r>
    </w:p>
    <w:p w14:paraId="103F18E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2.如《招标文件-商务部分》中有标注★号的，则为实质性要求，必须满足，如应答为“负偏离”，将导致投标无效。</w:t>
      </w:r>
    </w:p>
    <w:p w14:paraId="5FCA87DE">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3.本表可扩展。</w:t>
      </w:r>
    </w:p>
    <w:p w14:paraId="4A7C9FED">
      <w:pPr>
        <w:topLinePunct/>
        <w:autoSpaceDE w:val="0"/>
        <w:autoSpaceDN w:val="0"/>
        <w:spacing w:line="500" w:lineRule="exact"/>
        <w:outlineLvl w:val="9"/>
        <w:rPr>
          <w:rFonts w:hint="eastAsia" w:ascii="宋体" w:hAnsi="宋体" w:eastAsia="宋体" w:cs="宋体"/>
          <w:color w:val="auto"/>
          <w:sz w:val="24"/>
          <w:highlight w:val="none"/>
        </w:rPr>
      </w:pPr>
    </w:p>
    <w:p w14:paraId="7EA9504B">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0F5E64C7">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投标人代表（签字或盖章）</w:t>
      </w:r>
      <w:r>
        <w:rPr>
          <w:rFonts w:hint="eastAsia" w:ascii="宋体" w:hAnsi="宋体" w:eastAsia="宋体" w:cs="宋体"/>
          <w:color w:val="auto"/>
          <w:szCs w:val="21"/>
          <w:highlight w:val="none"/>
        </w:rPr>
        <w:t>：</w:t>
      </w:r>
    </w:p>
    <w:p w14:paraId="683D3F84">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0C1ED094">
      <w:pPr>
        <w:outlineLvl w:val="9"/>
        <w:rPr>
          <w:rFonts w:hint="eastAsia" w:ascii="宋体" w:hAnsi="宋体" w:eastAsia="宋体" w:cs="宋体"/>
          <w:b/>
          <w:bCs/>
          <w:color w:val="auto"/>
          <w:sz w:val="28"/>
          <w:szCs w:val="28"/>
          <w:highlight w:val="none"/>
        </w:rPr>
      </w:pPr>
    </w:p>
    <w:p w14:paraId="3C1DD56C">
      <w:pPr>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r>
        <w:rPr>
          <w:rFonts w:hint="eastAsia" w:ascii="宋体" w:hAnsi="宋体" w:eastAsia="宋体" w:cs="宋体"/>
          <w:b/>
          <w:bCs/>
          <w:color w:val="auto"/>
          <w:sz w:val="28"/>
          <w:szCs w:val="28"/>
          <w:highlight w:val="none"/>
        </w:rPr>
        <w:t>格式5  投标人具备投标资格证明文件</w:t>
      </w:r>
    </w:p>
    <w:p w14:paraId="7A6FC9D7">
      <w:pPr>
        <w:adjustRightInd w:val="0"/>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5-1投标人基本情况</w:t>
      </w:r>
    </w:p>
    <w:tbl>
      <w:tblPr>
        <w:tblStyle w:val="2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596"/>
        <w:gridCol w:w="1640"/>
        <w:gridCol w:w="1788"/>
        <w:gridCol w:w="2834"/>
      </w:tblGrid>
      <w:tr w14:paraId="2D983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224C9467">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p>
        </w:tc>
        <w:tc>
          <w:tcPr>
            <w:tcW w:w="2236" w:type="dxa"/>
            <w:gridSpan w:val="2"/>
            <w:vAlign w:val="center"/>
          </w:tcPr>
          <w:p w14:paraId="51A0DA67">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5DE0296E">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2834" w:type="dxa"/>
            <w:vAlign w:val="center"/>
          </w:tcPr>
          <w:p w14:paraId="2EB7F528">
            <w:pPr>
              <w:spacing w:line="360" w:lineRule="auto"/>
              <w:jc w:val="center"/>
              <w:outlineLvl w:val="9"/>
              <w:rPr>
                <w:rFonts w:hint="eastAsia" w:ascii="宋体" w:hAnsi="宋体" w:eastAsia="宋体" w:cs="宋体"/>
                <w:color w:val="auto"/>
                <w:szCs w:val="21"/>
                <w:highlight w:val="none"/>
              </w:rPr>
            </w:pPr>
          </w:p>
        </w:tc>
      </w:tr>
      <w:tr w14:paraId="5B9AC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71063D17">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236" w:type="dxa"/>
            <w:gridSpan w:val="2"/>
            <w:vAlign w:val="center"/>
          </w:tcPr>
          <w:p w14:paraId="182EE4EC">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6CEAF6D1">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834" w:type="dxa"/>
            <w:vAlign w:val="center"/>
          </w:tcPr>
          <w:p w14:paraId="0D55A678">
            <w:pPr>
              <w:spacing w:line="360" w:lineRule="auto"/>
              <w:jc w:val="center"/>
              <w:outlineLvl w:val="9"/>
              <w:rPr>
                <w:rFonts w:hint="eastAsia" w:ascii="宋体" w:hAnsi="宋体" w:eastAsia="宋体" w:cs="宋体"/>
                <w:color w:val="auto"/>
                <w:szCs w:val="21"/>
                <w:highlight w:val="none"/>
              </w:rPr>
            </w:pPr>
          </w:p>
        </w:tc>
      </w:tr>
      <w:tr w14:paraId="79E1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1605B978">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w:t>
            </w:r>
          </w:p>
        </w:tc>
        <w:tc>
          <w:tcPr>
            <w:tcW w:w="2236" w:type="dxa"/>
            <w:gridSpan w:val="2"/>
            <w:vAlign w:val="center"/>
          </w:tcPr>
          <w:p w14:paraId="7FF18A8B">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3F7D9B1E">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834" w:type="dxa"/>
            <w:vAlign w:val="center"/>
          </w:tcPr>
          <w:p w14:paraId="1FA55CFC">
            <w:pPr>
              <w:spacing w:line="360" w:lineRule="auto"/>
              <w:jc w:val="center"/>
              <w:outlineLvl w:val="9"/>
              <w:rPr>
                <w:rFonts w:hint="eastAsia" w:ascii="宋体" w:hAnsi="宋体" w:eastAsia="宋体" w:cs="宋体"/>
                <w:color w:val="auto"/>
                <w:szCs w:val="21"/>
                <w:highlight w:val="none"/>
              </w:rPr>
            </w:pPr>
          </w:p>
        </w:tc>
      </w:tr>
      <w:tr w14:paraId="513E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711BC3BA">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236" w:type="dxa"/>
            <w:gridSpan w:val="2"/>
            <w:vAlign w:val="center"/>
          </w:tcPr>
          <w:p w14:paraId="4766F63A">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7D2E301B">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2834" w:type="dxa"/>
            <w:vAlign w:val="center"/>
          </w:tcPr>
          <w:p w14:paraId="42652282">
            <w:pPr>
              <w:spacing w:line="360" w:lineRule="auto"/>
              <w:jc w:val="center"/>
              <w:outlineLvl w:val="9"/>
              <w:rPr>
                <w:rFonts w:hint="eastAsia" w:ascii="宋体" w:hAnsi="宋体" w:eastAsia="宋体" w:cs="宋体"/>
                <w:color w:val="auto"/>
                <w:szCs w:val="21"/>
                <w:highlight w:val="none"/>
              </w:rPr>
            </w:pPr>
          </w:p>
        </w:tc>
      </w:tr>
      <w:tr w14:paraId="6816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7D57B96A">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上年营业收入</w:t>
            </w:r>
          </w:p>
        </w:tc>
        <w:tc>
          <w:tcPr>
            <w:tcW w:w="2236" w:type="dxa"/>
            <w:gridSpan w:val="2"/>
            <w:vAlign w:val="center"/>
          </w:tcPr>
          <w:p w14:paraId="6B810680">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52D1F350">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2834" w:type="dxa"/>
            <w:vAlign w:val="center"/>
          </w:tcPr>
          <w:p w14:paraId="42299EF7">
            <w:pPr>
              <w:spacing w:line="360" w:lineRule="auto"/>
              <w:jc w:val="center"/>
              <w:outlineLvl w:val="9"/>
              <w:rPr>
                <w:rFonts w:hint="eastAsia" w:ascii="宋体" w:hAnsi="宋体" w:eastAsia="宋体" w:cs="宋体"/>
                <w:color w:val="auto"/>
                <w:szCs w:val="21"/>
                <w:highlight w:val="none"/>
              </w:rPr>
            </w:pPr>
          </w:p>
        </w:tc>
      </w:tr>
      <w:tr w14:paraId="66F7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8" w:type="dxa"/>
            <w:gridSpan w:val="2"/>
            <w:vAlign w:val="center"/>
          </w:tcPr>
          <w:p w14:paraId="1A63CD33">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基本账户开户行及账号</w:t>
            </w:r>
          </w:p>
        </w:tc>
        <w:tc>
          <w:tcPr>
            <w:tcW w:w="6262" w:type="dxa"/>
            <w:gridSpan w:val="3"/>
            <w:vAlign w:val="center"/>
          </w:tcPr>
          <w:p w14:paraId="77A413FF">
            <w:pPr>
              <w:spacing w:line="360" w:lineRule="auto"/>
              <w:jc w:val="center"/>
              <w:outlineLvl w:val="9"/>
              <w:rPr>
                <w:rFonts w:hint="eastAsia" w:ascii="宋体" w:hAnsi="宋体" w:eastAsia="宋体" w:cs="宋体"/>
                <w:color w:val="auto"/>
                <w:szCs w:val="21"/>
                <w:highlight w:val="none"/>
              </w:rPr>
            </w:pPr>
          </w:p>
        </w:tc>
      </w:tr>
      <w:tr w14:paraId="082E4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8" w:type="dxa"/>
            <w:gridSpan w:val="2"/>
            <w:vAlign w:val="center"/>
          </w:tcPr>
          <w:p w14:paraId="6DD54FA0">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税务登记机关</w:t>
            </w:r>
          </w:p>
        </w:tc>
        <w:tc>
          <w:tcPr>
            <w:tcW w:w="6262" w:type="dxa"/>
            <w:gridSpan w:val="3"/>
            <w:vAlign w:val="center"/>
          </w:tcPr>
          <w:p w14:paraId="3A48166A">
            <w:pPr>
              <w:spacing w:line="360" w:lineRule="auto"/>
              <w:jc w:val="center"/>
              <w:outlineLvl w:val="9"/>
              <w:rPr>
                <w:rFonts w:hint="eastAsia" w:ascii="宋体" w:hAnsi="宋体" w:eastAsia="宋体" w:cs="宋体"/>
                <w:color w:val="auto"/>
                <w:szCs w:val="21"/>
                <w:highlight w:val="none"/>
              </w:rPr>
            </w:pPr>
          </w:p>
        </w:tc>
      </w:tr>
      <w:tr w14:paraId="6D2D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8" w:type="dxa"/>
            <w:gridSpan w:val="2"/>
            <w:vAlign w:val="center"/>
          </w:tcPr>
          <w:p w14:paraId="25CD5AD0">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资质名称</w:t>
            </w:r>
          </w:p>
        </w:tc>
        <w:tc>
          <w:tcPr>
            <w:tcW w:w="1640" w:type="dxa"/>
            <w:vAlign w:val="center"/>
          </w:tcPr>
          <w:p w14:paraId="63714D10">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等级</w:t>
            </w:r>
          </w:p>
        </w:tc>
        <w:tc>
          <w:tcPr>
            <w:tcW w:w="1788" w:type="dxa"/>
            <w:vAlign w:val="center"/>
          </w:tcPr>
          <w:p w14:paraId="69BFB5F6">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2834" w:type="dxa"/>
            <w:vAlign w:val="center"/>
          </w:tcPr>
          <w:p w14:paraId="6770AEF3">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p>
        </w:tc>
      </w:tr>
      <w:tr w14:paraId="7964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8" w:type="dxa"/>
            <w:gridSpan w:val="2"/>
            <w:vAlign w:val="center"/>
          </w:tcPr>
          <w:p w14:paraId="17E6F313">
            <w:pPr>
              <w:spacing w:line="360" w:lineRule="auto"/>
              <w:jc w:val="center"/>
              <w:outlineLvl w:val="9"/>
              <w:rPr>
                <w:rFonts w:hint="eastAsia" w:ascii="宋体" w:hAnsi="宋体" w:eastAsia="宋体" w:cs="宋体"/>
                <w:color w:val="auto"/>
                <w:szCs w:val="21"/>
                <w:highlight w:val="none"/>
              </w:rPr>
            </w:pPr>
          </w:p>
        </w:tc>
        <w:tc>
          <w:tcPr>
            <w:tcW w:w="1640" w:type="dxa"/>
            <w:vAlign w:val="center"/>
          </w:tcPr>
          <w:p w14:paraId="74A0C5ED">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059055E3">
            <w:pPr>
              <w:spacing w:line="360" w:lineRule="auto"/>
              <w:jc w:val="center"/>
              <w:outlineLvl w:val="9"/>
              <w:rPr>
                <w:rFonts w:hint="eastAsia" w:ascii="宋体" w:hAnsi="宋体" w:eastAsia="宋体" w:cs="宋体"/>
                <w:color w:val="auto"/>
                <w:szCs w:val="21"/>
                <w:highlight w:val="none"/>
              </w:rPr>
            </w:pPr>
          </w:p>
        </w:tc>
        <w:tc>
          <w:tcPr>
            <w:tcW w:w="2834" w:type="dxa"/>
            <w:vAlign w:val="center"/>
          </w:tcPr>
          <w:p w14:paraId="2E7F0F98">
            <w:pPr>
              <w:spacing w:line="360" w:lineRule="auto"/>
              <w:jc w:val="center"/>
              <w:outlineLvl w:val="9"/>
              <w:rPr>
                <w:rFonts w:hint="eastAsia" w:ascii="宋体" w:hAnsi="宋体" w:eastAsia="宋体" w:cs="宋体"/>
                <w:color w:val="auto"/>
                <w:szCs w:val="21"/>
                <w:highlight w:val="none"/>
              </w:rPr>
            </w:pPr>
          </w:p>
        </w:tc>
      </w:tr>
      <w:tr w14:paraId="681C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98" w:type="dxa"/>
            <w:gridSpan w:val="2"/>
            <w:vAlign w:val="center"/>
          </w:tcPr>
          <w:p w14:paraId="1E797264">
            <w:pPr>
              <w:spacing w:line="360" w:lineRule="auto"/>
              <w:jc w:val="center"/>
              <w:outlineLvl w:val="9"/>
              <w:rPr>
                <w:rFonts w:hint="eastAsia" w:ascii="宋体" w:hAnsi="宋体" w:eastAsia="宋体" w:cs="宋体"/>
                <w:color w:val="auto"/>
                <w:szCs w:val="21"/>
                <w:highlight w:val="none"/>
              </w:rPr>
            </w:pPr>
          </w:p>
        </w:tc>
        <w:tc>
          <w:tcPr>
            <w:tcW w:w="1640" w:type="dxa"/>
            <w:vAlign w:val="center"/>
          </w:tcPr>
          <w:p w14:paraId="44C99EFC">
            <w:pPr>
              <w:spacing w:line="360" w:lineRule="auto"/>
              <w:jc w:val="center"/>
              <w:outlineLvl w:val="9"/>
              <w:rPr>
                <w:rFonts w:hint="eastAsia" w:ascii="宋体" w:hAnsi="宋体" w:eastAsia="宋体" w:cs="宋体"/>
                <w:color w:val="auto"/>
                <w:szCs w:val="21"/>
                <w:highlight w:val="none"/>
              </w:rPr>
            </w:pPr>
          </w:p>
        </w:tc>
        <w:tc>
          <w:tcPr>
            <w:tcW w:w="1788" w:type="dxa"/>
            <w:vAlign w:val="center"/>
          </w:tcPr>
          <w:p w14:paraId="63E12409">
            <w:pPr>
              <w:spacing w:line="360" w:lineRule="auto"/>
              <w:jc w:val="center"/>
              <w:outlineLvl w:val="9"/>
              <w:rPr>
                <w:rFonts w:hint="eastAsia" w:ascii="宋体" w:hAnsi="宋体" w:eastAsia="宋体" w:cs="宋体"/>
                <w:color w:val="auto"/>
                <w:szCs w:val="21"/>
                <w:highlight w:val="none"/>
              </w:rPr>
            </w:pPr>
          </w:p>
        </w:tc>
        <w:tc>
          <w:tcPr>
            <w:tcW w:w="2834" w:type="dxa"/>
            <w:vAlign w:val="center"/>
          </w:tcPr>
          <w:p w14:paraId="65A17433">
            <w:pPr>
              <w:spacing w:line="360" w:lineRule="auto"/>
              <w:jc w:val="center"/>
              <w:outlineLvl w:val="9"/>
              <w:rPr>
                <w:rFonts w:hint="eastAsia" w:ascii="宋体" w:hAnsi="宋体" w:eastAsia="宋体" w:cs="宋体"/>
                <w:color w:val="auto"/>
                <w:szCs w:val="21"/>
                <w:highlight w:val="none"/>
              </w:rPr>
            </w:pPr>
          </w:p>
        </w:tc>
      </w:tr>
      <w:tr w14:paraId="185F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vAlign w:val="center"/>
          </w:tcPr>
          <w:p w14:paraId="038BC3C3">
            <w:pPr>
              <w:spacing w:line="360" w:lineRule="auto"/>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858" w:type="dxa"/>
            <w:gridSpan w:val="4"/>
            <w:vAlign w:val="center"/>
          </w:tcPr>
          <w:p w14:paraId="4E15DFA2">
            <w:pPr>
              <w:spacing w:line="360" w:lineRule="auto"/>
              <w:jc w:val="center"/>
              <w:outlineLvl w:val="9"/>
              <w:rPr>
                <w:rFonts w:hint="eastAsia" w:ascii="宋体" w:hAnsi="宋体" w:eastAsia="宋体" w:cs="宋体"/>
                <w:color w:val="auto"/>
                <w:szCs w:val="21"/>
                <w:highlight w:val="none"/>
              </w:rPr>
            </w:pPr>
          </w:p>
        </w:tc>
      </w:tr>
    </w:tbl>
    <w:p w14:paraId="1FAE6FCD">
      <w:pPr>
        <w:topLinePunct/>
        <w:autoSpaceDE w:val="0"/>
        <w:autoSpaceDN w:val="0"/>
        <w:spacing w:line="500" w:lineRule="exact"/>
        <w:outlineLvl w:val="9"/>
        <w:rPr>
          <w:rFonts w:hint="eastAsia" w:ascii="宋体" w:hAnsi="宋体" w:eastAsia="宋体" w:cs="宋体"/>
          <w:color w:val="auto"/>
          <w:sz w:val="24"/>
          <w:highlight w:val="none"/>
        </w:rPr>
      </w:pPr>
    </w:p>
    <w:p w14:paraId="2B7339CF">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0C6B4C16">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投标人代表（签字或盖章）</w:t>
      </w:r>
      <w:r>
        <w:rPr>
          <w:rFonts w:hint="eastAsia" w:ascii="宋体" w:hAnsi="宋体" w:eastAsia="宋体" w:cs="宋体"/>
          <w:color w:val="auto"/>
          <w:szCs w:val="21"/>
          <w:highlight w:val="none"/>
        </w:rPr>
        <w:t>：</w:t>
      </w:r>
    </w:p>
    <w:p w14:paraId="6757865D">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1A4EEC86">
      <w:pPr>
        <w:ind w:firstLine="420" w:firstLineChars="200"/>
        <w:outlineLvl w:val="9"/>
        <w:rPr>
          <w:rFonts w:hint="eastAsia" w:ascii="宋体" w:hAnsi="宋体" w:eastAsia="宋体" w:cs="宋体"/>
          <w:color w:val="auto"/>
          <w:szCs w:val="21"/>
          <w:highlight w:val="none"/>
        </w:rPr>
      </w:pPr>
    </w:p>
    <w:p w14:paraId="6EFB2701">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5-2法人或者其他组织的营业执照等证明文件，自然人的身份证明复印件（线上采购项目提供扫描件，下同）</w:t>
      </w:r>
    </w:p>
    <w:p w14:paraId="36EE83A7">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根据资格条件要求提供相应材料。</w:t>
      </w:r>
    </w:p>
    <w:p w14:paraId="6B6E94C3">
      <w:pPr>
        <w:keepNext/>
        <w:keepLines/>
        <w:tabs>
          <w:tab w:val="left" w:pos="780"/>
        </w:tabs>
        <w:spacing w:before="280" w:after="290" w:line="377" w:lineRule="auto"/>
        <w:ind w:left="780" w:firstLine="200"/>
        <w:outlineLvl w:val="9"/>
        <w:rPr>
          <w:rFonts w:hint="eastAsia" w:ascii="宋体" w:hAnsi="宋体" w:eastAsia="宋体" w:cs="宋体"/>
          <w:bCs/>
          <w:color w:val="auto"/>
          <w:szCs w:val="28"/>
          <w:highlight w:val="none"/>
        </w:rPr>
      </w:pPr>
    </w:p>
    <w:p w14:paraId="629A6FAE">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5-3 财务状况报告</w:t>
      </w:r>
    </w:p>
    <w:p w14:paraId="4ACFCEE1">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根据资格条件要求提供相应材料。</w:t>
      </w:r>
    </w:p>
    <w:p w14:paraId="5FB103F4">
      <w:pPr>
        <w:spacing w:line="360" w:lineRule="auto"/>
        <w:ind w:firstLine="480" w:firstLineChars="200"/>
        <w:jc w:val="left"/>
        <w:outlineLvl w:val="9"/>
        <w:rPr>
          <w:rFonts w:hint="eastAsia" w:ascii="宋体" w:hAnsi="宋体" w:eastAsia="宋体" w:cs="宋体"/>
          <w:color w:val="auto"/>
          <w:kern w:val="0"/>
          <w:sz w:val="24"/>
          <w:highlight w:val="none"/>
        </w:rPr>
      </w:pPr>
    </w:p>
    <w:p w14:paraId="798429E2">
      <w:pPr>
        <w:spacing w:line="360" w:lineRule="auto"/>
        <w:ind w:firstLine="480" w:firstLineChars="200"/>
        <w:jc w:val="left"/>
        <w:outlineLvl w:val="9"/>
        <w:rPr>
          <w:rFonts w:hint="eastAsia" w:ascii="宋体" w:hAnsi="宋体" w:eastAsia="宋体" w:cs="宋体"/>
          <w:color w:val="auto"/>
          <w:kern w:val="0"/>
          <w:sz w:val="24"/>
          <w:highlight w:val="none"/>
        </w:rPr>
      </w:pPr>
    </w:p>
    <w:p w14:paraId="01720B1C">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5-4依法缴纳税收的相关材料</w:t>
      </w:r>
    </w:p>
    <w:p w14:paraId="557E6C18">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根据资格条件要求提供相应材料。</w:t>
      </w:r>
    </w:p>
    <w:p w14:paraId="08B64DC5">
      <w:pPr>
        <w:spacing w:line="360" w:lineRule="auto"/>
        <w:ind w:firstLine="480" w:firstLineChars="200"/>
        <w:jc w:val="left"/>
        <w:outlineLvl w:val="9"/>
        <w:rPr>
          <w:rFonts w:hint="eastAsia" w:ascii="宋体" w:hAnsi="宋体" w:eastAsia="宋体" w:cs="宋体"/>
          <w:color w:val="auto"/>
          <w:kern w:val="0"/>
          <w:sz w:val="24"/>
          <w:highlight w:val="none"/>
        </w:rPr>
      </w:pPr>
    </w:p>
    <w:p w14:paraId="0F9DE44A">
      <w:pPr>
        <w:spacing w:line="360" w:lineRule="auto"/>
        <w:ind w:firstLine="480" w:firstLineChars="200"/>
        <w:jc w:val="left"/>
        <w:outlineLvl w:val="9"/>
        <w:rPr>
          <w:rFonts w:hint="eastAsia" w:ascii="宋体" w:hAnsi="宋体" w:eastAsia="宋体" w:cs="宋体"/>
          <w:color w:val="auto"/>
          <w:kern w:val="0"/>
          <w:sz w:val="24"/>
          <w:highlight w:val="none"/>
        </w:rPr>
      </w:pPr>
    </w:p>
    <w:p w14:paraId="403568F2">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5-5依法缴纳社会保障资金的相关材料</w:t>
      </w:r>
    </w:p>
    <w:p w14:paraId="2D1D6247">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根据资格条件要求提供相应材料。</w:t>
      </w:r>
    </w:p>
    <w:p w14:paraId="5CF3A6E7">
      <w:pPr>
        <w:spacing w:line="360" w:lineRule="auto"/>
        <w:ind w:firstLine="480" w:firstLineChars="200"/>
        <w:jc w:val="left"/>
        <w:outlineLvl w:val="9"/>
        <w:rPr>
          <w:rFonts w:hint="eastAsia" w:ascii="宋体" w:hAnsi="宋体" w:eastAsia="宋体" w:cs="宋体"/>
          <w:color w:val="auto"/>
          <w:kern w:val="0"/>
          <w:sz w:val="24"/>
          <w:highlight w:val="none"/>
        </w:rPr>
      </w:pPr>
    </w:p>
    <w:p w14:paraId="30B90E10">
      <w:pPr>
        <w:spacing w:line="360" w:lineRule="auto"/>
        <w:ind w:firstLine="480" w:firstLineChars="200"/>
        <w:jc w:val="left"/>
        <w:outlineLvl w:val="9"/>
        <w:rPr>
          <w:rFonts w:hint="eastAsia" w:ascii="宋体" w:hAnsi="宋体" w:eastAsia="宋体" w:cs="宋体"/>
          <w:color w:val="auto"/>
          <w:kern w:val="0"/>
          <w:sz w:val="24"/>
          <w:highlight w:val="none"/>
        </w:rPr>
      </w:pPr>
    </w:p>
    <w:p w14:paraId="0CE37468">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r>
        <w:rPr>
          <w:rFonts w:hint="eastAsia" w:ascii="宋体" w:hAnsi="宋体" w:eastAsia="宋体" w:cs="宋体"/>
          <w:b/>
          <w:bCs/>
          <w:color w:val="auto"/>
          <w:sz w:val="28"/>
          <w:szCs w:val="28"/>
          <w:highlight w:val="none"/>
        </w:rPr>
        <w:t>5-6参加本次政府采购活动前三年内在经营活动中</w:t>
      </w:r>
    </w:p>
    <w:p w14:paraId="6B629387">
      <w:pPr>
        <w:snapToGrid w:val="0"/>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没有重大违法记录的书面声明</w:t>
      </w:r>
    </w:p>
    <w:p w14:paraId="1DFD6C47">
      <w:pPr>
        <w:spacing w:line="360" w:lineRule="auto"/>
        <w:ind w:firstLine="420" w:firstLineChars="200"/>
        <w:outlineLvl w:val="9"/>
        <w:rPr>
          <w:rFonts w:hint="eastAsia" w:ascii="宋体" w:hAnsi="宋体" w:eastAsia="宋体" w:cs="宋体"/>
          <w:color w:val="auto"/>
          <w:highlight w:val="none"/>
        </w:rPr>
      </w:pPr>
    </w:p>
    <w:p w14:paraId="030AD97A">
      <w:pPr>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致________（采购人或采购代理机构）：</w:t>
      </w:r>
    </w:p>
    <w:p w14:paraId="0F12D738">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我单位在参加本次采购活动前三年内在经营活动中没有《政府采购法》第二十二条第一款第（五）项所称重大违法记录，包括：</w:t>
      </w:r>
    </w:p>
    <w:p w14:paraId="37044A3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我单位未因经营活动中的违法行为受到刑事处罚或者责令停产停业、吊销许可证或者执照、较大数额罚款等行政处罚。</w:t>
      </w:r>
    </w:p>
    <w:p w14:paraId="0677980A">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特此声明！</w:t>
      </w:r>
    </w:p>
    <w:p w14:paraId="5AE77E48">
      <w:pPr>
        <w:spacing w:line="360" w:lineRule="auto"/>
        <w:ind w:firstLine="420" w:firstLineChars="200"/>
        <w:outlineLvl w:val="9"/>
        <w:rPr>
          <w:rFonts w:hint="eastAsia" w:ascii="宋体" w:hAnsi="宋体" w:eastAsia="宋体" w:cs="宋体"/>
          <w:color w:val="auto"/>
          <w:highlight w:val="none"/>
        </w:rPr>
      </w:pPr>
    </w:p>
    <w:p w14:paraId="2A69BE64">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（请投标人根据实际情况如实声明，否则视为提供虚假材料。）</w:t>
      </w:r>
    </w:p>
    <w:p w14:paraId="43547986">
      <w:pPr>
        <w:spacing w:line="360" w:lineRule="auto"/>
        <w:ind w:firstLine="420" w:firstLineChars="200"/>
        <w:outlineLvl w:val="9"/>
        <w:rPr>
          <w:rFonts w:hint="eastAsia" w:ascii="宋体" w:hAnsi="宋体" w:eastAsia="宋体" w:cs="宋体"/>
          <w:color w:val="auto"/>
          <w:highlight w:val="none"/>
        </w:rPr>
      </w:pPr>
    </w:p>
    <w:p w14:paraId="52575F88">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投标人（全称并加盖公章）：             </w:t>
      </w:r>
    </w:p>
    <w:p w14:paraId="2CD00AF8">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投标人代表（签字或盖章）：             </w:t>
      </w:r>
    </w:p>
    <w:p w14:paraId="5DA7D23E">
      <w:pPr>
        <w:spacing w:line="360" w:lineRule="auto"/>
        <w:ind w:firstLine="420" w:firstLineChars="200"/>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p>
    <w:p w14:paraId="389DD358">
      <w:pPr>
        <w:widowControl/>
        <w:jc w:val="center"/>
        <w:outlineLvl w:val="9"/>
        <w:rPr>
          <w:rFonts w:hint="eastAsia" w:ascii="宋体" w:hAnsi="宋体" w:eastAsia="宋体" w:cs="宋体"/>
          <w:color w:val="auto"/>
          <w:kern w:val="0"/>
          <w:szCs w:val="21"/>
          <w:highlight w:val="none"/>
        </w:rPr>
      </w:pPr>
    </w:p>
    <w:p w14:paraId="49C6D07F">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5-7在本项目投标人须知前附表第21项指定网站不能查询信用信息的投标人，应提供相关证明材料（原件扫描件加盖公章）</w:t>
      </w:r>
    </w:p>
    <w:p w14:paraId="11A90159">
      <w:pPr>
        <w:outlineLvl w:val="9"/>
        <w:rPr>
          <w:rFonts w:hint="eastAsia" w:ascii="宋体" w:hAnsi="宋体" w:eastAsia="宋体" w:cs="宋体"/>
          <w:color w:val="auto"/>
          <w:highlight w:val="none"/>
        </w:rPr>
      </w:pPr>
    </w:p>
    <w:p w14:paraId="6C4F8720">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color w:val="auto"/>
          <w:kern w:val="0"/>
          <w:highlight w:val="none"/>
        </w:rPr>
        <w:br w:type="page"/>
      </w:r>
      <w:r>
        <w:rPr>
          <w:rFonts w:hint="eastAsia" w:ascii="宋体" w:hAnsi="宋体" w:eastAsia="宋体" w:cs="宋体"/>
          <w:b/>
          <w:bCs/>
          <w:color w:val="auto"/>
          <w:sz w:val="28"/>
          <w:szCs w:val="28"/>
          <w:highlight w:val="none"/>
        </w:rPr>
        <w:t>5-8中小企业声明函或残疾人福利性单位声明函或由省级以上监狱管理局、戒毒管理局(含新疆生产建设兵团)出具的属于监狱企业的证明文件</w:t>
      </w:r>
    </w:p>
    <w:p w14:paraId="7063447C">
      <w:pPr>
        <w:widowControl/>
        <w:jc w:val="center"/>
        <w:outlineLvl w:val="9"/>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rPr>
        <w:t>中小企业声明函（服务）</w:t>
      </w:r>
    </w:p>
    <w:p w14:paraId="26B54BA0">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本公司（联合体）郑重声明，根据《政府采购促进中小企业发展管理办法》（财库〔2020〕46号）的规定，本公司（联合体）参加</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（单位名称）</w:t>
      </w:r>
      <w:r>
        <w:rPr>
          <w:rFonts w:hint="eastAsia" w:ascii="宋体" w:hAnsi="宋体" w:cs="宋体"/>
          <w:color w:val="auto"/>
          <w:kern w:val="0"/>
          <w:sz w:val="24"/>
          <w:highlight w:val="none"/>
        </w:rPr>
        <w:t>的</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（项目名称）</w:t>
      </w:r>
      <w:r>
        <w:rPr>
          <w:rFonts w:hint="eastAsia" w:ascii="宋体" w:hAnsi="宋体" w:cs="宋体"/>
          <w:color w:val="auto"/>
          <w:kern w:val="0"/>
          <w:sz w:val="24"/>
          <w:highlight w:val="none"/>
        </w:rPr>
        <w:t>采购活动，服务全部由符合政策要求的中小企业承接。相关企业（含联合体中的中小企业、签订分包意向协议的中小企业）的具体情况如下：</w:t>
      </w:r>
    </w:p>
    <w:p w14:paraId="0C15BA03">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w:t>
      </w:r>
      <w:r>
        <w:rPr>
          <w:rStyle w:val="28"/>
          <w:rFonts w:hint="eastAsia" w:ascii="宋体" w:hAnsi="宋体" w:cs="宋体"/>
          <w:color w:val="auto"/>
          <w:kern w:val="0"/>
          <w:sz w:val="24"/>
          <w:highlight w:val="none"/>
        </w:rPr>
        <w:footnoteReference w:id="0"/>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中型企业、小型企业、微型企业）</w:t>
      </w:r>
      <w:r>
        <w:rPr>
          <w:rFonts w:hint="eastAsia" w:ascii="宋体" w:hAnsi="宋体" w:cs="宋体"/>
          <w:color w:val="auto"/>
          <w:kern w:val="0"/>
          <w:sz w:val="24"/>
          <w:highlight w:val="none"/>
        </w:rPr>
        <w:t>；</w:t>
      </w:r>
    </w:p>
    <w:p w14:paraId="01AB29D9">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（标的名称）</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（采购文件中明确的所属行业）</w:t>
      </w:r>
      <w:r>
        <w:rPr>
          <w:rFonts w:hint="eastAsia" w:ascii="宋体" w:hAnsi="宋体" w:cs="宋体"/>
          <w:color w:val="auto"/>
          <w:kern w:val="0"/>
          <w:sz w:val="24"/>
          <w:highlight w:val="none"/>
        </w:rPr>
        <w:t>；承建（承接）企业为</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（企业名称）</w:t>
      </w:r>
      <w:r>
        <w:rPr>
          <w:rFonts w:hint="eastAsia" w:ascii="宋体" w:hAnsi="宋体" w:cs="宋体"/>
          <w:color w:val="auto"/>
          <w:kern w:val="0"/>
          <w:sz w:val="24"/>
          <w:highlight w:val="none"/>
        </w:rPr>
        <w:t>，从业人员</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人，营业收入为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万元，资产总额为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万元，属于</w:t>
      </w:r>
      <w:r>
        <w:rPr>
          <w:rFonts w:hint="eastAsia" w:ascii="宋体" w:hAnsi="宋体" w:cs="宋体"/>
          <w:color w:val="auto"/>
          <w:kern w:val="0"/>
          <w:sz w:val="24"/>
          <w:highlight w:val="none"/>
          <w:u w:val="single"/>
        </w:rPr>
        <w:t xml:space="preserve">   </w:t>
      </w:r>
      <w:r>
        <w:rPr>
          <w:rFonts w:hint="eastAsia" w:ascii="宋体" w:hAnsi="宋体" w:cs="宋体"/>
          <w:i/>
          <w:iCs/>
          <w:color w:val="auto"/>
          <w:kern w:val="0"/>
          <w:sz w:val="24"/>
          <w:highlight w:val="none"/>
          <w:u w:val="single"/>
        </w:rPr>
        <w:t>（中型企业、小型企业、微型企业）</w:t>
      </w:r>
      <w:r>
        <w:rPr>
          <w:rFonts w:hint="eastAsia" w:ascii="宋体" w:hAnsi="宋体" w:cs="宋体"/>
          <w:color w:val="auto"/>
          <w:kern w:val="0"/>
          <w:sz w:val="24"/>
          <w:highlight w:val="none"/>
        </w:rPr>
        <w:t>；</w:t>
      </w:r>
    </w:p>
    <w:p w14:paraId="5A811E06">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　　……</w:t>
      </w:r>
    </w:p>
    <w:p w14:paraId="5607C830">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　　以上企业，不属于大企业的分支机构，不存在控股股东为大企业的情形，也不存在与大企业的负责人为同一人的情形。</w:t>
      </w:r>
    </w:p>
    <w:p w14:paraId="27316F56">
      <w:pPr>
        <w:widowControl/>
        <w:spacing w:line="560" w:lineRule="exact"/>
        <w:ind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　　本企业对上述声明内容的真实性负责。如有虚假，将依法承担相应责任。</w:t>
      </w:r>
    </w:p>
    <w:p w14:paraId="40B38B0F">
      <w:pPr>
        <w:widowControl/>
        <w:spacing w:line="560" w:lineRule="exact"/>
        <w:ind w:firstLine="3840" w:firstLineChars="1600"/>
        <w:jc w:val="left"/>
        <w:outlineLvl w:val="9"/>
        <w:rPr>
          <w:rFonts w:ascii="宋体" w:hAnsi="宋体" w:cs="宋体"/>
          <w:color w:val="auto"/>
          <w:kern w:val="0"/>
          <w:sz w:val="24"/>
          <w:highlight w:val="none"/>
        </w:rPr>
      </w:pPr>
    </w:p>
    <w:p w14:paraId="780ACFA3">
      <w:pPr>
        <w:widowControl/>
        <w:spacing w:line="560" w:lineRule="exact"/>
        <w:ind w:firstLine="3840" w:firstLineChars="1600"/>
        <w:jc w:val="left"/>
        <w:outlineLvl w:val="9"/>
        <w:rPr>
          <w:rFonts w:ascii="宋体" w:hAnsi="宋体" w:cs="宋体"/>
          <w:color w:val="auto"/>
          <w:kern w:val="0"/>
          <w:sz w:val="24"/>
          <w:highlight w:val="none"/>
        </w:rPr>
      </w:pPr>
    </w:p>
    <w:p w14:paraId="6092F6A3">
      <w:pPr>
        <w:widowControl/>
        <w:spacing w:line="560" w:lineRule="exact"/>
        <w:ind w:firstLine="3840" w:firstLineChars="16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企业名称（盖章）：</w:t>
      </w:r>
    </w:p>
    <w:p w14:paraId="2CBA88E2">
      <w:pPr>
        <w:widowControl/>
        <w:spacing w:line="560" w:lineRule="exact"/>
        <w:ind w:firstLine="3840" w:firstLineChars="16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日期：</w:t>
      </w:r>
    </w:p>
    <w:p w14:paraId="0B43AF17">
      <w:pPr>
        <w:widowControl/>
        <w:spacing w:line="560" w:lineRule="exact"/>
        <w:ind w:firstLine="560" w:firstLineChars="200"/>
        <w:jc w:val="left"/>
        <w:outlineLvl w:val="9"/>
        <w:rPr>
          <w:rFonts w:ascii="宋体" w:hAnsi="宋体" w:cs="宋体"/>
          <w:color w:val="auto"/>
          <w:kern w:val="0"/>
          <w:sz w:val="28"/>
          <w:szCs w:val="28"/>
          <w:highlight w:val="none"/>
        </w:rPr>
      </w:pPr>
    </w:p>
    <w:p w14:paraId="57507078">
      <w:pPr>
        <w:outlineLvl w:val="9"/>
        <w:rPr>
          <w:rFonts w:ascii="宋体" w:hAnsi="宋体" w:cs="宋体"/>
          <w:color w:val="auto"/>
          <w:highlight w:val="none"/>
        </w:rPr>
      </w:pPr>
    </w:p>
    <w:p w14:paraId="29348D3B">
      <w:pPr>
        <w:spacing w:line="360" w:lineRule="auto"/>
        <w:jc w:val="center"/>
        <w:outlineLvl w:val="9"/>
        <w:rPr>
          <w:rFonts w:ascii="宋体" w:hAnsi="宋体" w:cs="宋体"/>
          <w:b/>
          <w:bCs/>
          <w:color w:val="auto"/>
          <w:sz w:val="30"/>
          <w:szCs w:val="30"/>
          <w:highlight w:val="none"/>
        </w:rPr>
        <w:sectPr>
          <w:footerReference r:id="rId9" w:type="first"/>
          <w:pgSz w:w="11906" w:h="16838"/>
          <w:pgMar w:top="1134" w:right="1531" w:bottom="1871" w:left="1531" w:header="794" w:footer="828" w:gutter="0"/>
          <w:pgNumType w:fmt="numberInDash"/>
          <w:cols w:space="720" w:num="1"/>
          <w:titlePg/>
          <w:docGrid w:type="lines" w:linePitch="319" w:charSpace="0"/>
        </w:sectPr>
      </w:pPr>
    </w:p>
    <w:p w14:paraId="5E79131F">
      <w:pPr>
        <w:spacing w:line="360" w:lineRule="auto"/>
        <w:jc w:val="center"/>
        <w:outlineLvl w:val="9"/>
        <w:rPr>
          <w:rFonts w:ascii="宋体" w:hAnsi="宋体" w:cs="宋体"/>
          <w:b/>
          <w:bCs/>
          <w:color w:val="auto"/>
          <w:sz w:val="30"/>
          <w:szCs w:val="30"/>
          <w:highlight w:val="none"/>
        </w:rPr>
      </w:pPr>
      <w:r>
        <w:rPr>
          <w:rFonts w:hint="eastAsia" w:ascii="宋体" w:hAnsi="宋体" w:cs="宋体"/>
          <w:b/>
          <w:bCs/>
          <w:color w:val="auto"/>
          <w:sz w:val="30"/>
          <w:szCs w:val="30"/>
          <w:highlight w:val="none"/>
        </w:rPr>
        <w:t>《中小企业声明函》</w:t>
      </w:r>
      <w:r>
        <w:rPr>
          <w:rFonts w:ascii="宋体" w:hAnsi="宋体" w:cs="宋体"/>
          <w:b/>
          <w:bCs/>
          <w:color w:val="auto"/>
          <w:sz w:val="30"/>
          <w:szCs w:val="30"/>
          <w:highlight w:val="none"/>
        </w:rPr>
        <w:t>填报要点</w:t>
      </w:r>
    </w:p>
    <w:p w14:paraId="5BD5277E">
      <w:pPr>
        <w:pStyle w:val="9"/>
        <w:numPr>
          <w:ilvl w:val="0"/>
          <w:numId w:val="1"/>
        </w:numPr>
        <w:wordWrap w:val="0"/>
        <w:spacing w:before="0" w:beforeAutospacing="0" w:after="0" w:afterAutospacing="0" w:line="360" w:lineRule="auto"/>
        <w:outlineLvl w:val="9"/>
        <w:rPr>
          <w:rFonts w:cs="宋体"/>
          <w:color w:val="auto"/>
          <w:highlight w:val="none"/>
        </w:rPr>
      </w:pPr>
      <w:r>
        <w:rPr>
          <w:rFonts w:hint="eastAsia" w:cs="宋体"/>
          <w:color w:val="auto"/>
          <w:highlight w:val="none"/>
        </w:rPr>
        <w:t>单位名称和项目名称：要与采购文件一致。</w:t>
      </w:r>
    </w:p>
    <w:p w14:paraId="6EAD1A19">
      <w:pPr>
        <w:pStyle w:val="9"/>
        <w:wordWrap w:val="0"/>
        <w:spacing w:before="0" w:beforeAutospacing="0" w:after="0" w:afterAutospacing="0" w:line="360" w:lineRule="auto"/>
        <w:ind w:left="630"/>
        <w:outlineLvl w:val="9"/>
        <w:rPr>
          <w:rFonts w:cs="宋体"/>
          <w:color w:val="auto"/>
          <w:highlight w:val="none"/>
        </w:rPr>
      </w:pPr>
      <w:r>
        <w:rPr>
          <w:rFonts w:hint="eastAsia" w:cs="宋体"/>
          <w:color w:val="auto"/>
          <w:highlight w:val="none"/>
        </w:rPr>
        <w:t>“单位名称”应填写采购人名称。</w:t>
      </w:r>
    </w:p>
    <w:p w14:paraId="1E859B71">
      <w:pPr>
        <w:pStyle w:val="9"/>
        <w:wordWrap w:val="0"/>
        <w:spacing w:before="0" w:beforeAutospacing="0" w:after="0" w:afterAutospacing="0" w:line="360" w:lineRule="auto"/>
        <w:ind w:left="630"/>
        <w:outlineLvl w:val="9"/>
        <w:rPr>
          <w:rFonts w:cs="宋体"/>
          <w:color w:val="auto"/>
          <w:highlight w:val="none"/>
        </w:rPr>
      </w:pPr>
      <w:r>
        <w:rPr>
          <w:rFonts w:hint="eastAsia" w:cs="宋体"/>
          <w:color w:val="auto"/>
          <w:highlight w:val="none"/>
        </w:rPr>
        <w:t>“项目名称”应按照采购文件中确定的项目名称填写。</w:t>
      </w:r>
    </w:p>
    <w:p w14:paraId="1EFD0725">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二、标的名称</w:t>
      </w:r>
    </w:p>
    <w:p w14:paraId="58516AB5">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标的名称应填写是项目名称。</w:t>
      </w:r>
    </w:p>
    <w:p w14:paraId="79D41A6E">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三、所属行业：应和采购文件的划分的所属行业一致</w:t>
      </w:r>
    </w:p>
    <w:p w14:paraId="24C12FF2">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四、制造厂家/承建（承接）企业</w:t>
      </w:r>
    </w:p>
    <w:p w14:paraId="565E128E">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填写投标单位企业名称。</w:t>
      </w:r>
    </w:p>
    <w:p w14:paraId="74AE99BD">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五、从业人员、营业收入、资产总额</w:t>
      </w:r>
    </w:p>
    <w:p w14:paraId="62E805DF">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填写投标单位的信息数据。</w:t>
      </w:r>
    </w:p>
    <w:p w14:paraId="29563DD3">
      <w:pPr>
        <w:pStyle w:val="9"/>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注意：要填写上一年度数据，无上一年度数据的新成立企业可不填报。</w:t>
      </w:r>
    </w:p>
    <w:p w14:paraId="00163028">
      <w:pPr>
        <w:pStyle w:val="9"/>
        <w:numPr>
          <w:ilvl w:val="0"/>
          <w:numId w:val="2"/>
        </w:numPr>
        <w:wordWrap w:val="0"/>
        <w:spacing w:before="0" w:beforeAutospacing="0" w:after="0" w:afterAutospacing="0" w:line="360" w:lineRule="auto"/>
        <w:ind w:firstLine="480" w:firstLineChars="200"/>
        <w:outlineLvl w:val="9"/>
        <w:rPr>
          <w:rFonts w:cs="宋体"/>
          <w:color w:val="auto"/>
          <w:highlight w:val="none"/>
        </w:rPr>
      </w:pPr>
      <w:r>
        <w:rPr>
          <w:rFonts w:hint="eastAsia" w:cs="宋体"/>
          <w:color w:val="auto"/>
          <w:highlight w:val="none"/>
        </w:rPr>
        <w:t>落款名称（即出具单位）</w:t>
      </w:r>
    </w:p>
    <w:p w14:paraId="0E804CFB">
      <w:pPr>
        <w:pStyle w:val="9"/>
        <w:wordWrap w:val="0"/>
        <w:spacing w:before="0" w:beforeAutospacing="0" w:after="0" w:afterAutospacing="0" w:line="360" w:lineRule="auto"/>
        <w:ind w:left="420" w:leftChars="200"/>
        <w:outlineLvl w:val="9"/>
        <w:rPr>
          <w:rFonts w:cs="宋体"/>
          <w:color w:val="auto"/>
          <w:highlight w:val="none"/>
        </w:rPr>
      </w:pPr>
      <w:r>
        <w:rPr>
          <w:rFonts w:hint="eastAsia" w:cs="宋体"/>
          <w:color w:val="auto"/>
          <w:highlight w:val="none"/>
        </w:rPr>
        <w:t>填写投标单位企业名称。</w:t>
      </w:r>
    </w:p>
    <w:p w14:paraId="01A92FAA">
      <w:pPr>
        <w:widowControl/>
        <w:spacing w:line="360" w:lineRule="auto"/>
        <w:ind w:firstLine="562" w:firstLineChars="200"/>
        <w:jc w:val="left"/>
        <w:outlineLvl w:val="9"/>
        <w:rPr>
          <w:rStyle w:val="24"/>
          <w:rFonts w:ascii="宋体" w:hAnsi="宋体" w:cs="宋体"/>
          <w:color w:val="auto"/>
          <w:kern w:val="0"/>
          <w:sz w:val="28"/>
          <w:szCs w:val="28"/>
          <w:highlight w:val="none"/>
        </w:rPr>
      </w:pPr>
    </w:p>
    <w:p w14:paraId="51423C09">
      <w:pPr>
        <w:widowControl/>
        <w:spacing w:line="360" w:lineRule="auto"/>
        <w:ind w:firstLine="562" w:firstLineChars="200"/>
        <w:jc w:val="left"/>
        <w:outlineLvl w:val="9"/>
        <w:rPr>
          <w:rStyle w:val="24"/>
          <w:rFonts w:ascii="宋体" w:hAnsi="宋体" w:cs="宋体"/>
          <w:color w:val="auto"/>
          <w:kern w:val="0"/>
          <w:sz w:val="28"/>
          <w:szCs w:val="28"/>
          <w:highlight w:val="none"/>
        </w:rPr>
      </w:pPr>
    </w:p>
    <w:p w14:paraId="445CCC5D">
      <w:pPr>
        <w:widowControl/>
        <w:spacing w:line="360" w:lineRule="auto"/>
        <w:ind w:firstLine="562" w:firstLineChars="200"/>
        <w:jc w:val="left"/>
        <w:outlineLvl w:val="9"/>
        <w:rPr>
          <w:rStyle w:val="24"/>
          <w:rFonts w:ascii="宋体" w:hAnsi="宋体" w:cs="宋体"/>
          <w:color w:val="auto"/>
          <w:kern w:val="0"/>
          <w:sz w:val="28"/>
          <w:szCs w:val="28"/>
          <w:highlight w:val="none"/>
        </w:rPr>
      </w:pPr>
    </w:p>
    <w:p w14:paraId="47DA857F">
      <w:pPr>
        <w:spacing w:line="360" w:lineRule="auto"/>
        <w:ind w:firstLine="480" w:firstLineChars="200"/>
        <w:outlineLvl w:val="9"/>
        <w:rPr>
          <w:rFonts w:ascii="宋体"/>
          <w:color w:val="auto"/>
          <w:sz w:val="24"/>
          <w:highlight w:val="none"/>
        </w:rPr>
      </w:pPr>
      <w:r>
        <w:rPr>
          <w:rFonts w:hint="eastAsia" w:ascii="宋体"/>
          <w:color w:val="auto"/>
          <w:sz w:val="24"/>
          <w:highlight w:val="none"/>
        </w:rPr>
        <w:t>重要提示:1.投标人应仔细阅读《中小企业声明函》填报要点，否则，因填写或提交等产生的一切不利后果，须自行承担。</w:t>
      </w:r>
    </w:p>
    <w:p w14:paraId="3FCF2FE2">
      <w:pPr>
        <w:spacing w:line="360" w:lineRule="auto"/>
        <w:ind w:firstLine="480" w:firstLineChars="200"/>
        <w:outlineLvl w:val="9"/>
        <w:rPr>
          <w:rFonts w:ascii="宋体"/>
          <w:color w:val="auto"/>
          <w:sz w:val="24"/>
          <w:highlight w:val="none"/>
        </w:rPr>
      </w:pPr>
      <w:r>
        <w:rPr>
          <w:rFonts w:hint="eastAsia" w:ascii="宋体"/>
          <w:color w:val="auto"/>
          <w:sz w:val="24"/>
          <w:highlight w:val="none"/>
        </w:rPr>
        <w:t>2.投标供应商对“中小企业声明函”的真实性负责。如对相关信息了解不充分，或者不能确定相关信息真实、准确的，不建议出具“中小企业声明函”。</w:t>
      </w:r>
    </w:p>
    <w:p w14:paraId="4A211FD6">
      <w:pPr>
        <w:widowControl/>
        <w:snapToGrid w:val="0"/>
        <w:spacing w:line="312" w:lineRule="auto"/>
        <w:ind w:firstLine="480" w:firstLineChars="200"/>
        <w:contextualSpacing/>
        <w:jc w:val="left"/>
        <w:outlineLvl w:val="9"/>
        <w:rPr>
          <w:rFonts w:hint="eastAsia" w:ascii="宋体"/>
          <w:color w:val="auto"/>
          <w:sz w:val="24"/>
          <w:highlight w:val="none"/>
          <w:lang w:eastAsia="zh-CN"/>
        </w:rPr>
      </w:pPr>
      <w:r>
        <w:rPr>
          <w:rFonts w:hint="eastAsia" w:ascii="宋体"/>
          <w:color w:val="auto"/>
          <w:sz w:val="24"/>
          <w:highlight w:val="none"/>
        </w:rPr>
        <w:t>3.如投标人提供的“中小企业声明函”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color w:val="auto"/>
          <w:sz w:val="24"/>
          <w:highlight w:val="none"/>
          <w:lang w:eastAsia="zh-CN"/>
        </w:rPr>
        <w:t>。</w:t>
      </w:r>
    </w:p>
    <w:p w14:paraId="08176C59">
      <w:pPr>
        <w:widowControl/>
        <w:snapToGrid w:val="0"/>
        <w:spacing w:line="312" w:lineRule="auto"/>
        <w:ind w:firstLine="480" w:firstLineChars="200"/>
        <w:contextualSpacing/>
        <w:jc w:val="center"/>
        <w:outlineLvl w:val="9"/>
        <w:rPr>
          <w:rFonts w:hint="eastAsia" w:ascii="宋体"/>
          <w:color w:val="auto"/>
          <w:sz w:val="24"/>
          <w:highlight w:val="none"/>
          <w:lang w:eastAsia="zh-CN"/>
        </w:rPr>
      </w:pPr>
    </w:p>
    <w:p w14:paraId="4575438B">
      <w:pPr>
        <w:widowControl/>
        <w:snapToGrid w:val="0"/>
        <w:spacing w:line="312" w:lineRule="auto"/>
        <w:ind w:firstLine="480" w:firstLineChars="200"/>
        <w:contextualSpacing/>
        <w:jc w:val="center"/>
        <w:outlineLvl w:val="9"/>
        <w:rPr>
          <w:rFonts w:hint="eastAsia" w:ascii="宋体"/>
          <w:color w:val="auto"/>
          <w:sz w:val="24"/>
          <w:highlight w:val="none"/>
          <w:lang w:eastAsia="zh-CN"/>
        </w:rPr>
      </w:pPr>
    </w:p>
    <w:p w14:paraId="20DEC6D2">
      <w:pPr>
        <w:widowControl/>
        <w:snapToGrid w:val="0"/>
        <w:spacing w:line="312" w:lineRule="auto"/>
        <w:ind w:firstLine="562" w:firstLineChars="200"/>
        <w:contextualSpacing/>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1FE82A33">
      <w:pPr>
        <w:spacing w:line="588" w:lineRule="exact"/>
        <w:ind w:firstLine="444" w:firstLineChars="200"/>
        <w:outlineLvl w:val="9"/>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F02F29">
      <w:pPr>
        <w:spacing w:line="588" w:lineRule="exact"/>
        <w:ind w:firstLine="444" w:firstLineChars="200"/>
        <w:outlineLvl w:val="9"/>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08DEA673">
      <w:pPr>
        <w:spacing w:line="588" w:lineRule="exact"/>
        <w:ind w:firstLine="444" w:firstLineChars="200"/>
        <w:outlineLvl w:val="9"/>
        <w:rPr>
          <w:rFonts w:hint="eastAsia" w:ascii="宋体" w:hAnsi="宋体" w:eastAsia="宋体" w:cs="宋体"/>
          <w:color w:val="auto"/>
          <w:spacing w:val="6"/>
          <w:szCs w:val="21"/>
          <w:highlight w:val="none"/>
        </w:rPr>
      </w:pPr>
    </w:p>
    <w:p w14:paraId="234EB90D">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2181FE14">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2E5AA773">
      <w:pPr>
        <w:widowControl/>
        <w:snapToGrid w:val="0"/>
        <w:spacing w:line="312" w:lineRule="auto"/>
        <w:ind w:firstLine="420" w:firstLineChars="200"/>
        <w:contextualSpacing/>
        <w:jc w:val="center"/>
        <w:outlineLvl w:val="9"/>
        <w:rPr>
          <w:rFonts w:hint="eastAsia" w:ascii="宋体" w:hAnsi="宋体" w:eastAsia="宋体" w:cs="宋体"/>
          <w:color w:val="auto"/>
          <w:highlight w:val="none"/>
        </w:rPr>
      </w:pPr>
      <w:r>
        <w:rPr>
          <w:rFonts w:hint="eastAsia" w:ascii="宋体" w:hAnsi="宋体" w:eastAsia="宋体" w:cs="宋体"/>
          <w:color w:val="auto"/>
          <w:kern w:val="0"/>
          <w:szCs w:val="21"/>
          <w:highlight w:val="none"/>
        </w:rPr>
        <w:br w:type="page"/>
      </w:r>
      <w:r>
        <w:rPr>
          <w:rFonts w:hint="eastAsia" w:ascii="宋体" w:hAnsi="宋体" w:eastAsia="宋体" w:cs="宋体"/>
          <w:b/>
          <w:bCs/>
          <w:color w:val="auto"/>
          <w:sz w:val="28"/>
          <w:szCs w:val="28"/>
          <w:highlight w:val="none"/>
        </w:rPr>
        <w:t>由省级以上监狱管理局、戒毒管理局(含新疆生产建设兵团)出具的属于监狱企业的证明文件</w:t>
      </w:r>
    </w:p>
    <w:p w14:paraId="7EEB1D9E">
      <w:pPr>
        <w:spacing w:before="211" w:line="220" w:lineRule="auto"/>
        <w:jc w:val="center"/>
        <w:outlineLvl w:val="9"/>
        <w:rPr>
          <w:rFonts w:ascii="宋体" w:hAnsi="宋体" w:cs="宋体"/>
          <w:color w:val="auto"/>
          <w:szCs w:val="21"/>
          <w:highlight w:val="none"/>
        </w:rPr>
      </w:pPr>
      <w:r>
        <w:rPr>
          <w:rFonts w:ascii="宋体" w:hAnsi="宋体" w:cs="宋体"/>
          <w:color w:val="auto"/>
          <w:spacing w:val="9"/>
          <w:szCs w:val="21"/>
          <w:highlight w:val="none"/>
        </w:rPr>
        <w:t>（非监狱企业提供服务的无需提供）</w:t>
      </w:r>
    </w:p>
    <w:p w14:paraId="624A3053">
      <w:pPr>
        <w:pStyle w:val="2"/>
        <w:spacing w:line="268" w:lineRule="auto"/>
        <w:outlineLvl w:val="9"/>
        <w:rPr>
          <w:rFonts w:ascii="宋体" w:hAnsi="宋体"/>
          <w:color w:val="auto"/>
          <w:highlight w:val="none"/>
        </w:rPr>
      </w:pPr>
    </w:p>
    <w:p w14:paraId="529A32D9">
      <w:pPr>
        <w:pStyle w:val="2"/>
        <w:spacing w:line="269" w:lineRule="auto"/>
        <w:outlineLvl w:val="9"/>
        <w:rPr>
          <w:rFonts w:ascii="宋体" w:hAnsi="宋体"/>
          <w:color w:val="auto"/>
          <w:highlight w:val="none"/>
        </w:rPr>
      </w:pPr>
    </w:p>
    <w:p w14:paraId="68D922AB">
      <w:pPr>
        <w:spacing w:before="68" w:line="247" w:lineRule="auto"/>
        <w:ind w:left="36" w:right="28" w:firstLine="4"/>
        <w:outlineLvl w:val="9"/>
        <w:rPr>
          <w:rFonts w:ascii="宋体" w:hAnsi="宋体" w:cs="宋体"/>
          <w:color w:val="auto"/>
          <w:szCs w:val="21"/>
          <w:highlight w:val="none"/>
        </w:rPr>
      </w:pPr>
      <w:r>
        <w:rPr>
          <w:rFonts w:ascii="宋体" w:hAnsi="宋体" w:cs="宋体"/>
          <w:color w:val="auto"/>
          <w:spacing w:val="2"/>
          <w:szCs w:val="21"/>
          <w:highlight w:val="none"/>
        </w:rPr>
        <w:t>未提供“由省级以上监狱管理局、戒毒管理局(含新疆生产建设兵团</w:t>
      </w:r>
      <w:r>
        <w:rPr>
          <w:rFonts w:ascii="宋体" w:hAnsi="宋体" w:cs="宋体"/>
          <w:color w:val="auto"/>
          <w:spacing w:val="1"/>
          <w:szCs w:val="21"/>
          <w:highlight w:val="none"/>
        </w:rPr>
        <w:t>)出具的属于监狱企业的证明文</w:t>
      </w:r>
      <w:r>
        <w:rPr>
          <w:rFonts w:ascii="宋体" w:hAnsi="宋体" w:cs="宋体"/>
          <w:color w:val="auto"/>
          <w:spacing w:val="-1"/>
          <w:szCs w:val="21"/>
          <w:highlight w:val="none"/>
        </w:rPr>
        <w:t>件”的</w:t>
      </w:r>
      <w:r>
        <w:rPr>
          <w:rFonts w:hint="eastAsia" w:ascii="宋体" w:hAnsi="宋体" w:cs="宋体"/>
          <w:color w:val="auto"/>
          <w:spacing w:val="-1"/>
          <w:szCs w:val="21"/>
          <w:highlight w:val="none"/>
        </w:rPr>
        <w:t>，</w:t>
      </w:r>
      <w:r>
        <w:rPr>
          <w:rFonts w:ascii="宋体" w:hAnsi="宋体" w:cs="宋体"/>
          <w:color w:val="auto"/>
          <w:spacing w:val="-1"/>
          <w:szCs w:val="21"/>
          <w:highlight w:val="none"/>
        </w:rPr>
        <w:t>不享受促进中小企业发展政策优惠。</w:t>
      </w:r>
    </w:p>
    <w:p w14:paraId="1E50A7CE">
      <w:pPr>
        <w:spacing w:line="360" w:lineRule="auto"/>
        <w:ind w:firstLine="396" w:firstLineChars="200"/>
        <w:jc w:val="left"/>
        <w:outlineLvl w:val="9"/>
        <w:rPr>
          <w:rFonts w:hint="eastAsia" w:ascii="宋体" w:hAnsi="宋体" w:eastAsia="宋体" w:cs="宋体"/>
          <w:color w:val="auto"/>
          <w:kern w:val="0"/>
          <w:szCs w:val="21"/>
          <w:highlight w:val="none"/>
        </w:rPr>
      </w:pPr>
      <w:r>
        <w:rPr>
          <w:rFonts w:ascii="宋体" w:hAnsi="宋体" w:cs="宋体"/>
          <w:color w:val="auto"/>
          <w:spacing w:val="-6"/>
          <w:szCs w:val="21"/>
          <w:highlight w:val="none"/>
        </w:rPr>
        <w:t>（示例略）</w:t>
      </w:r>
    </w:p>
    <w:p w14:paraId="7B239BF8">
      <w:pPr>
        <w:keepNext/>
        <w:keepLines/>
        <w:tabs>
          <w:tab w:val="left" w:pos="780"/>
        </w:tabs>
        <w:spacing w:before="280" w:after="290" w:line="377" w:lineRule="auto"/>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5-9其他资格证明文件</w:t>
      </w:r>
    </w:p>
    <w:p w14:paraId="7CBB11DA">
      <w:pPr>
        <w:spacing w:line="360" w:lineRule="auto"/>
        <w:ind w:firstLine="420"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（若有）</w:t>
      </w:r>
    </w:p>
    <w:p w14:paraId="5959E3D4">
      <w:pPr>
        <w:spacing w:line="360" w:lineRule="auto"/>
        <w:ind w:firstLine="420" w:firstLineChars="200"/>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根据资格条件要求提供相应材料。</w:t>
      </w:r>
    </w:p>
    <w:p w14:paraId="386049AE">
      <w:pPr>
        <w:outlineLvl w:val="9"/>
        <w:rPr>
          <w:rFonts w:hint="eastAsia" w:ascii="宋体" w:hAnsi="宋体" w:eastAsia="宋体" w:cs="宋体"/>
          <w:color w:val="auto"/>
          <w:sz w:val="24"/>
          <w:highlight w:val="none"/>
        </w:rPr>
      </w:pPr>
    </w:p>
    <w:p w14:paraId="6E29493D">
      <w:pPr>
        <w:snapToGrid w:val="0"/>
        <w:spacing w:line="360" w:lineRule="auto"/>
        <w:jc w:val="center"/>
        <w:outlineLvl w:val="9"/>
        <w:rPr>
          <w:rFonts w:hint="eastAsia" w:ascii="宋体" w:hAnsi="宋体" w:eastAsia="宋体" w:cs="宋体"/>
          <w:b/>
          <w:bCs/>
          <w:color w:val="auto"/>
          <w:sz w:val="28"/>
          <w:szCs w:val="28"/>
          <w:highlight w:val="none"/>
        </w:rPr>
      </w:pPr>
      <w:bookmarkStart w:id="63" w:name="_Toc1097421187"/>
      <w:bookmarkStart w:id="64" w:name="_Toc680706022"/>
      <w:bookmarkStart w:id="65" w:name="_Toc78504842"/>
      <w:bookmarkStart w:id="66" w:name="_Toc598152851"/>
      <w:bookmarkStart w:id="67" w:name="_Toc681730266"/>
      <w:bookmarkStart w:id="68" w:name="_Toc1615545750"/>
      <w:bookmarkStart w:id="69" w:name="_Toc220361175"/>
      <w:bookmarkStart w:id="70" w:name="_Toc1381122819"/>
      <w:bookmarkStart w:id="71" w:name="_Toc1749127877"/>
      <w:bookmarkStart w:id="72" w:name="_Toc38030154"/>
      <w:bookmarkStart w:id="73" w:name="_Toc1652355655"/>
      <w:bookmarkStart w:id="74" w:name="_Toc113393336"/>
      <w:bookmarkStart w:id="75" w:name="_Toc386861148"/>
      <w:bookmarkStart w:id="76" w:name="_Toc38030071"/>
      <w:bookmarkStart w:id="77" w:name="_Toc1403531177"/>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成功案例一览表</w:t>
      </w:r>
      <w:bookmarkEnd w:id="63"/>
      <w:bookmarkEnd w:id="64"/>
      <w:bookmarkEnd w:id="65"/>
      <w:bookmarkEnd w:id="66"/>
      <w:bookmarkEnd w:id="67"/>
      <w:bookmarkEnd w:id="68"/>
      <w:bookmarkEnd w:id="69"/>
      <w:bookmarkEnd w:id="70"/>
      <w:bookmarkEnd w:id="71"/>
    </w:p>
    <w:p w14:paraId="00889EA0">
      <w:pPr>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（根据招标文件要求调整）</w:t>
      </w:r>
    </w:p>
    <w:tbl>
      <w:tblPr>
        <w:tblStyle w:val="22"/>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441"/>
        <w:gridCol w:w="1361"/>
      </w:tblGrid>
      <w:tr w14:paraId="4FDE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FEC9283">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819" w:type="dxa"/>
            <w:tcBorders>
              <w:top w:val="single" w:color="auto" w:sz="4" w:space="0"/>
              <w:left w:val="single" w:color="auto" w:sz="4" w:space="0"/>
              <w:bottom w:val="single" w:color="auto" w:sz="4" w:space="0"/>
              <w:right w:val="single" w:color="auto" w:sz="4" w:space="0"/>
            </w:tcBorders>
            <w:vAlign w:val="center"/>
          </w:tcPr>
          <w:p w14:paraId="28300BC7">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31A744D5">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名称</w:t>
            </w:r>
          </w:p>
        </w:tc>
        <w:tc>
          <w:tcPr>
            <w:tcW w:w="864" w:type="dxa"/>
            <w:tcBorders>
              <w:top w:val="single" w:color="auto" w:sz="4" w:space="0"/>
              <w:left w:val="single" w:color="auto" w:sz="4" w:space="0"/>
              <w:bottom w:val="single" w:color="auto" w:sz="4" w:space="0"/>
              <w:right w:val="single" w:color="auto" w:sz="4" w:space="0"/>
            </w:tcBorders>
            <w:vAlign w:val="center"/>
          </w:tcPr>
          <w:p w14:paraId="4943784A">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64E1C319">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甲方</w:t>
            </w:r>
          </w:p>
        </w:tc>
        <w:tc>
          <w:tcPr>
            <w:tcW w:w="707" w:type="dxa"/>
            <w:tcBorders>
              <w:top w:val="single" w:color="auto" w:sz="4" w:space="0"/>
              <w:left w:val="single" w:color="auto" w:sz="4" w:space="0"/>
              <w:bottom w:val="single" w:color="auto" w:sz="4" w:space="0"/>
              <w:right w:val="single" w:color="auto" w:sz="4" w:space="0"/>
            </w:tcBorders>
            <w:vAlign w:val="center"/>
          </w:tcPr>
          <w:p w14:paraId="199917A6">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合同时间</w:t>
            </w:r>
          </w:p>
        </w:tc>
        <w:tc>
          <w:tcPr>
            <w:tcW w:w="744" w:type="dxa"/>
            <w:tcBorders>
              <w:top w:val="single" w:color="auto" w:sz="4" w:space="0"/>
              <w:left w:val="single" w:color="auto" w:sz="4" w:space="0"/>
              <w:bottom w:val="single" w:color="auto" w:sz="4" w:space="0"/>
              <w:right w:val="single" w:color="auto" w:sz="4" w:space="0"/>
            </w:tcBorders>
            <w:vAlign w:val="center"/>
          </w:tcPr>
          <w:p w14:paraId="4FD5B101">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53557FE3">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金额</w:t>
            </w:r>
          </w:p>
        </w:tc>
        <w:tc>
          <w:tcPr>
            <w:tcW w:w="1221" w:type="dxa"/>
            <w:tcBorders>
              <w:top w:val="single" w:color="auto" w:sz="4" w:space="0"/>
              <w:left w:val="single" w:color="auto" w:sz="4" w:space="0"/>
              <w:bottom w:val="single" w:color="auto" w:sz="4" w:space="0"/>
              <w:right w:val="single" w:color="auto" w:sz="4" w:space="0"/>
            </w:tcBorders>
            <w:vAlign w:val="center"/>
          </w:tcPr>
          <w:p w14:paraId="63033729">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合同主要</w:t>
            </w:r>
          </w:p>
          <w:p w14:paraId="2D4307A3">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w:t>
            </w:r>
          </w:p>
        </w:tc>
        <w:tc>
          <w:tcPr>
            <w:tcW w:w="1161" w:type="dxa"/>
            <w:tcBorders>
              <w:top w:val="single" w:color="auto" w:sz="4" w:space="0"/>
              <w:left w:val="single" w:color="auto" w:sz="4" w:space="0"/>
              <w:bottom w:val="single" w:color="auto" w:sz="4" w:space="0"/>
              <w:right w:val="single" w:color="auto" w:sz="4" w:space="0"/>
            </w:tcBorders>
            <w:vAlign w:val="center"/>
          </w:tcPr>
          <w:p w14:paraId="0F6F1E0E">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用  户</w:t>
            </w:r>
          </w:p>
          <w:p w14:paraId="0AA92679">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联系人</w:t>
            </w:r>
          </w:p>
        </w:tc>
        <w:tc>
          <w:tcPr>
            <w:tcW w:w="1441" w:type="dxa"/>
            <w:tcBorders>
              <w:top w:val="single" w:color="auto" w:sz="4" w:space="0"/>
              <w:left w:val="single" w:color="auto" w:sz="4" w:space="0"/>
              <w:bottom w:val="single" w:color="auto" w:sz="4" w:space="0"/>
              <w:right w:val="single" w:color="auto" w:sz="4" w:space="0"/>
            </w:tcBorders>
            <w:vAlign w:val="center"/>
          </w:tcPr>
          <w:p w14:paraId="2E908892">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用户联</w:t>
            </w:r>
          </w:p>
          <w:p w14:paraId="7F1F69C6">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系电话</w:t>
            </w:r>
          </w:p>
        </w:tc>
        <w:tc>
          <w:tcPr>
            <w:tcW w:w="1361" w:type="dxa"/>
            <w:tcBorders>
              <w:top w:val="single" w:color="auto" w:sz="4" w:space="0"/>
              <w:left w:val="single" w:color="auto" w:sz="4" w:space="0"/>
              <w:bottom w:val="single" w:color="auto" w:sz="4" w:space="0"/>
              <w:right w:val="single" w:color="auto" w:sz="4" w:space="0"/>
            </w:tcBorders>
            <w:vAlign w:val="center"/>
          </w:tcPr>
          <w:p w14:paraId="3F922ECD">
            <w:pPr>
              <w:topLinePunct/>
              <w:autoSpaceDE w:val="0"/>
              <w:autoSpaceDN w:val="0"/>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3675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103F6020">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19" w:type="dxa"/>
            <w:tcBorders>
              <w:top w:val="single" w:color="auto" w:sz="4" w:space="0"/>
              <w:left w:val="single" w:color="auto" w:sz="4" w:space="0"/>
              <w:bottom w:val="single" w:color="auto" w:sz="4" w:space="0"/>
              <w:right w:val="single" w:color="auto" w:sz="4" w:space="0"/>
            </w:tcBorders>
            <w:vAlign w:val="center"/>
          </w:tcPr>
          <w:p w14:paraId="61CBF22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446151B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22683459">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26EC14B4">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0318AE7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5AEFDFE1">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A25A88C">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2FD8E1E8">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r w14:paraId="128C4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752E7BC4">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19" w:type="dxa"/>
            <w:tcBorders>
              <w:top w:val="single" w:color="auto" w:sz="4" w:space="0"/>
              <w:left w:val="single" w:color="auto" w:sz="4" w:space="0"/>
              <w:bottom w:val="single" w:color="auto" w:sz="4" w:space="0"/>
              <w:right w:val="single" w:color="auto" w:sz="4" w:space="0"/>
            </w:tcBorders>
            <w:vAlign w:val="center"/>
          </w:tcPr>
          <w:p w14:paraId="4E1C370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393DC15A">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6EC3E5E1">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4EEE75F5">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1FE2CF54">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28615225">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87B457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3738BE08">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r w14:paraId="62BBB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84B6CBF">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19" w:type="dxa"/>
            <w:tcBorders>
              <w:top w:val="single" w:color="auto" w:sz="4" w:space="0"/>
              <w:left w:val="single" w:color="auto" w:sz="4" w:space="0"/>
              <w:bottom w:val="single" w:color="auto" w:sz="4" w:space="0"/>
              <w:right w:val="single" w:color="auto" w:sz="4" w:space="0"/>
            </w:tcBorders>
            <w:vAlign w:val="center"/>
          </w:tcPr>
          <w:p w14:paraId="03B1D3B5">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1F16313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4B1B14B1">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2E37D1B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0062509">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27717C57">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1EDDFAAC">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7FC1CBA1">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r w14:paraId="3953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7A972B1">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819" w:type="dxa"/>
            <w:tcBorders>
              <w:top w:val="single" w:color="auto" w:sz="4" w:space="0"/>
              <w:left w:val="single" w:color="auto" w:sz="4" w:space="0"/>
              <w:bottom w:val="single" w:color="auto" w:sz="4" w:space="0"/>
              <w:right w:val="single" w:color="auto" w:sz="4" w:space="0"/>
            </w:tcBorders>
            <w:vAlign w:val="center"/>
          </w:tcPr>
          <w:p w14:paraId="1BE56F1F">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779C4AA3">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0AE3EC83">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044EBA14">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1A863EB">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2F5465B4">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4CFA8916">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66E2D320">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r w14:paraId="2A37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EBEEC0F">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819" w:type="dxa"/>
            <w:tcBorders>
              <w:top w:val="single" w:color="auto" w:sz="4" w:space="0"/>
              <w:left w:val="single" w:color="auto" w:sz="4" w:space="0"/>
              <w:bottom w:val="single" w:color="auto" w:sz="4" w:space="0"/>
              <w:right w:val="single" w:color="auto" w:sz="4" w:space="0"/>
            </w:tcBorders>
            <w:vAlign w:val="center"/>
          </w:tcPr>
          <w:p w14:paraId="65ABFB9F">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5F6AFCC4">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5E5315EB">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6B049CEB">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2A89FDA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46319992">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1FF7C8D">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31F647B3">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r w14:paraId="7DD5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6F35E4F">
            <w:pPr>
              <w:topLinePunct/>
              <w:autoSpaceDE w:val="0"/>
              <w:autoSpaceDN w:val="0"/>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819" w:type="dxa"/>
            <w:tcBorders>
              <w:top w:val="single" w:color="auto" w:sz="4" w:space="0"/>
              <w:left w:val="single" w:color="auto" w:sz="4" w:space="0"/>
              <w:bottom w:val="single" w:color="auto" w:sz="4" w:space="0"/>
              <w:right w:val="single" w:color="auto" w:sz="4" w:space="0"/>
            </w:tcBorders>
            <w:vAlign w:val="center"/>
          </w:tcPr>
          <w:p w14:paraId="2075F88F">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vAlign w:val="center"/>
          </w:tcPr>
          <w:p w14:paraId="084A3CB7">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vAlign w:val="top"/>
          </w:tcPr>
          <w:p w14:paraId="5A3FD51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14:paraId="028CD7F9">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F0575E3">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vAlign w:val="center"/>
          </w:tcPr>
          <w:p w14:paraId="22960566">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2281FCC8">
            <w:pPr>
              <w:topLinePunct/>
              <w:autoSpaceDE w:val="0"/>
              <w:autoSpaceDN w:val="0"/>
              <w:adjustRightInd w:val="0"/>
              <w:snapToGrid w:val="0"/>
              <w:jc w:val="center"/>
              <w:outlineLvl w:val="9"/>
              <w:rPr>
                <w:rFonts w:hint="eastAsia" w:ascii="宋体" w:hAnsi="宋体" w:eastAsia="宋体" w:cs="宋体"/>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14:paraId="195C0EEA">
            <w:pPr>
              <w:topLinePunct/>
              <w:autoSpaceDE w:val="0"/>
              <w:autoSpaceDN w:val="0"/>
              <w:adjustRightInd w:val="0"/>
              <w:snapToGrid w:val="0"/>
              <w:jc w:val="center"/>
              <w:outlineLvl w:val="9"/>
              <w:rPr>
                <w:rFonts w:hint="eastAsia" w:ascii="宋体" w:hAnsi="宋体" w:eastAsia="宋体" w:cs="宋体"/>
                <w:color w:val="auto"/>
                <w:szCs w:val="21"/>
                <w:highlight w:val="none"/>
              </w:rPr>
            </w:pPr>
          </w:p>
        </w:tc>
      </w:tr>
    </w:tbl>
    <w:p w14:paraId="73A1AD19">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bookmarkEnd w:id="72"/>
    <w:bookmarkEnd w:id="73"/>
    <w:bookmarkEnd w:id="74"/>
    <w:bookmarkEnd w:id="75"/>
    <w:bookmarkEnd w:id="76"/>
    <w:bookmarkEnd w:id="77"/>
    <w:p w14:paraId="1150CC74">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b w:val="0"/>
          <w:bCs w:val="0"/>
          <w:i w:val="0"/>
          <w:iCs w:val="0"/>
          <w:smallCaps w:val="0"/>
          <w:color w:val="auto"/>
          <w:kern w:val="0"/>
          <w:sz w:val="21"/>
          <w:szCs w:val="21"/>
          <w:highlight w:val="none"/>
          <w:lang w:eastAsia="en-US"/>
        </w:rPr>
        <w:t>提供202</w:t>
      </w:r>
      <w:r>
        <w:rPr>
          <w:rFonts w:hint="eastAsia" w:ascii="宋体" w:hAnsi="宋体" w:eastAsia="宋体" w:cs="宋体"/>
          <w:b w:val="0"/>
          <w:bCs w:val="0"/>
          <w:i w:val="0"/>
          <w:iCs w:val="0"/>
          <w:smallCaps w:val="0"/>
          <w:color w:val="auto"/>
          <w:kern w:val="0"/>
          <w:sz w:val="21"/>
          <w:szCs w:val="21"/>
          <w:highlight w:val="none"/>
          <w:lang w:val="en-US" w:eastAsia="zh-CN"/>
        </w:rPr>
        <w:t>3</w:t>
      </w:r>
      <w:r>
        <w:rPr>
          <w:rFonts w:hint="eastAsia" w:ascii="宋体" w:hAnsi="宋体" w:eastAsia="宋体" w:cs="宋体"/>
          <w:b w:val="0"/>
          <w:bCs w:val="0"/>
          <w:i w:val="0"/>
          <w:iCs w:val="0"/>
          <w:smallCaps w:val="0"/>
          <w:color w:val="auto"/>
          <w:kern w:val="0"/>
          <w:sz w:val="21"/>
          <w:szCs w:val="21"/>
          <w:highlight w:val="none"/>
          <w:lang w:eastAsia="en-US"/>
        </w:rPr>
        <w:t>年1月1日至今（以合同签订日期为准）有履约验收记录的类似本项目的案例，每提供1个得1分，最多得5分。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注：提供的证明材料均不得涂改遮挡，如有因与该案例需求方签有保密协议而确需遮挡关键信息的情况，须同时提交该项目保密协议复印件，否则不予认定加分。</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1.合同复印件，包括：合同金额、服务内容、买卖双方名称及盖章等合同关键页；</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2.验收报告复印件；</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3.用户出具的成功履行合同的相关证明材料；</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4.第2、3项可提供任意一项；</w:t>
      </w:r>
      <w:r>
        <w:rPr>
          <w:rFonts w:hint="eastAsia" w:ascii="宋体" w:hAnsi="宋体" w:eastAsia="宋体" w:cs="宋体"/>
          <w:b w:val="0"/>
          <w:bCs w:val="0"/>
          <w:i w:val="0"/>
          <w:iCs w:val="0"/>
          <w:smallCaps w:val="0"/>
          <w:color w:val="auto"/>
          <w:kern w:val="0"/>
          <w:sz w:val="21"/>
          <w:szCs w:val="21"/>
          <w:highlight w:val="none"/>
          <w:lang w:eastAsia="en-US"/>
        </w:rPr>
        <w:br w:type="textWrapping"/>
      </w:r>
      <w:r>
        <w:rPr>
          <w:rFonts w:hint="eastAsia" w:ascii="宋体" w:hAnsi="宋体" w:eastAsia="宋体" w:cs="宋体"/>
          <w:b w:val="0"/>
          <w:bCs w:val="0"/>
          <w:i w:val="0"/>
          <w:iCs w:val="0"/>
          <w:smallCaps w:val="0"/>
          <w:color w:val="auto"/>
          <w:kern w:val="0"/>
          <w:sz w:val="21"/>
          <w:szCs w:val="21"/>
          <w:highlight w:val="none"/>
          <w:lang w:eastAsia="en-US"/>
        </w:rPr>
        <w:t>以上证明材料的复印件需加盖公章，否则不得分</w:t>
      </w:r>
      <w:r>
        <w:rPr>
          <w:rFonts w:hint="eastAsia" w:ascii="宋体" w:hAnsi="宋体" w:eastAsia="宋体" w:cs="宋体"/>
          <w:b w:val="0"/>
          <w:bCs w:val="0"/>
          <w:i w:val="0"/>
          <w:iCs w:val="0"/>
          <w:smallCaps w:val="0"/>
          <w:color w:val="auto"/>
          <w:kern w:val="0"/>
          <w:sz w:val="21"/>
          <w:szCs w:val="21"/>
          <w:highlight w:val="none"/>
          <w:lang w:eastAsia="zh-CN"/>
        </w:rPr>
        <w:t>。</w:t>
      </w:r>
    </w:p>
    <w:p w14:paraId="014726F3">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p>
    <w:p w14:paraId="4966E5BE">
      <w:pPr>
        <w:snapToGrid w:val="0"/>
        <w:spacing w:line="360" w:lineRule="auto"/>
        <w:jc w:val="center"/>
        <w:outlineLvl w:val="9"/>
        <w:rPr>
          <w:rFonts w:hint="eastAsia" w:ascii="宋体" w:hAnsi="宋体" w:eastAsia="宋体" w:cs="宋体"/>
          <w:b/>
          <w:bCs/>
          <w:color w:val="auto"/>
          <w:sz w:val="36"/>
          <w:szCs w:val="36"/>
          <w:highlight w:val="none"/>
        </w:rPr>
      </w:pPr>
      <w:bookmarkStart w:id="78" w:name="OLE_LINK16"/>
      <w:bookmarkStart w:id="79" w:name="OLE_LINK17"/>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 xml:space="preserve"> 投标人认为需要提供的其它说明和资料</w:t>
      </w:r>
    </w:p>
    <w:bookmarkEnd w:id="78"/>
    <w:bookmarkEnd w:id="79"/>
    <w:p w14:paraId="45E8C9A9">
      <w:pP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55D9F0F6">
      <w:pPr>
        <w:spacing w:line="600" w:lineRule="auto"/>
        <w:jc w:val="center"/>
        <w:outlineLvl w:val="9"/>
        <w:rPr>
          <w:rFonts w:hint="eastAsia" w:ascii="宋体" w:hAnsi="宋体" w:eastAsia="宋体" w:cs="宋体"/>
          <w:b/>
          <w:color w:val="auto"/>
          <w:kern w:val="0"/>
          <w:sz w:val="44"/>
          <w:szCs w:val="44"/>
          <w:highlight w:val="none"/>
        </w:rPr>
      </w:pPr>
    </w:p>
    <w:p w14:paraId="1B8CC389">
      <w:pPr>
        <w:spacing w:line="600" w:lineRule="auto"/>
        <w:jc w:val="center"/>
        <w:outlineLvl w:val="9"/>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投  标  文  件</w:t>
      </w:r>
    </w:p>
    <w:p w14:paraId="64288F49">
      <w:pPr>
        <w:spacing w:line="600" w:lineRule="auto"/>
        <w:jc w:val="center"/>
        <w:outlineLvl w:val="9"/>
        <w:rPr>
          <w:rFonts w:hint="eastAsia" w:ascii="宋体" w:hAnsi="宋体" w:eastAsia="宋体" w:cs="宋体"/>
          <w:bCs/>
          <w:color w:val="auto"/>
          <w:kern w:val="0"/>
          <w:sz w:val="32"/>
          <w:szCs w:val="32"/>
          <w:highlight w:val="none"/>
        </w:rPr>
      </w:pPr>
      <w:r>
        <w:rPr>
          <w:rFonts w:hint="eastAsia" w:ascii="宋体" w:hAnsi="宋体" w:eastAsia="宋体" w:cs="宋体"/>
          <w:bCs/>
          <w:color w:val="auto"/>
          <w:kern w:val="0"/>
          <w:sz w:val="32"/>
          <w:szCs w:val="32"/>
          <w:highlight w:val="none"/>
        </w:rPr>
        <w:t>技术部分</w:t>
      </w:r>
    </w:p>
    <w:p w14:paraId="61AC7FE8">
      <w:pPr>
        <w:spacing w:line="360" w:lineRule="auto"/>
        <w:jc w:val="center"/>
        <w:outlineLvl w:val="9"/>
        <w:rPr>
          <w:rFonts w:hint="eastAsia" w:ascii="宋体" w:hAnsi="宋体" w:eastAsia="宋体" w:cs="宋体"/>
          <w:color w:val="auto"/>
          <w:kern w:val="0"/>
          <w:sz w:val="32"/>
          <w:szCs w:val="32"/>
          <w:highlight w:val="none"/>
        </w:rPr>
      </w:pPr>
    </w:p>
    <w:p w14:paraId="39F326E0">
      <w:pPr>
        <w:spacing w:line="360" w:lineRule="auto"/>
        <w:jc w:val="center"/>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（填写正本或副本）</w:t>
      </w:r>
    </w:p>
    <w:p w14:paraId="0FAB443B">
      <w:pPr>
        <w:spacing w:line="360" w:lineRule="auto"/>
        <w:ind w:firstLine="480" w:firstLineChars="200"/>
        <w:jc w:val="center"/>
        <w:outlineLvl w:val="9"/>
        <w:rPr>
          <w:rFonts w:hint="eastAsia" w:ascii="宋体" w:hAnsi="宋体" w:eastAsia="宋体" w:cs="宋体"/>
          <w:bCs/>
          <w:color w:val="auto"/>
          <w:kern w:val="0"/>
          <w:sz w:val="24"/>
          <w:szCs w:val="24"/>
          <w:highlight w:val="none"/>
        </w:rPr>
      </w:pPr>
    </w:p>
    <w:p w14:paraId="1F60250B">
      <w:pPr>
        <w:outlineLvl w:val="9"/>
        <w:rPr>
          <w:rFonts w:hint="eastAsia" w:ascii="宋体" w:hAnsi="宋体" w:eastAsia="宋体" w:cs="宋体"/>
          <w:bCs/>
          <w:color w:val="auto"/>
          <w:kern w:val="0"/>
          <w:sz w:val="24"/>
          <w:szCs w:val="24"/>
          <w:highlight w:val="none"/>
        </w:rPr>
      </w:pPr>
    </w:p>
    <w:p w14:paraId="379B49FC">
      <w:pPr>
        <w:outlineLvl w:val="9"/>
        <w:rPr>
          <w:rFonts w:hint="eastAsia" w:ascii="宋体" w:hAnsi="宋体" w:eastAsia="宋体" w:cs="宋体"/>
          <w:color w:val="auto"/>
          <w:highlight w:val="none"/>
        </w:rPr>
      </w:pPr>
    </w:p>
    <w:p w14:paraId="6BC4CBF5">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项目名称：</w:t>
      </w:r>
    </w:p>
    <w:p w14:paraId="219B1DF2">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项目编号：</w:t>
      </w:r>
    </w:p>
    <w:p w14:paraId="580B1078">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所投采购包：</w:t>
      </w:r>
    </w:p>
    <w:p w14:paraId="37891B8E">
      <w:pPr>
        <w:spacing w:line="360" w:lineRule="auto"/>
        <w:ind w:left="1470" w:leftChars="700" w:firstLine="480" w:firstLineChars="200"/>
        <w:jc w:val="center"/>
        <w:outlineLvl w:val="9"/>
        <w:rPr>
          <w:rFonts w:hint="eastAsia" w:ascii="宋体" w:hAnsi="宋体" w:eastAsia="宋体" w:cs="宋体"/>
          <w:bCs/>
          <w:color w:val="auto"/>
          <w:kern w:val="0"/>
          <w:sz w:val="24"/>
          <w:szCs w:val="24"/>
          <w:highlight w:val="none"/>
        </w:rPr>
      </w:pPr>
    </w:p>
    <w:p w14:paraId="4ACC5B69">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投标人：</w:t>
      </w:r>
    </w:p>
    <w:p w14:paraId="619CC9F4">
      <w:pPr>
        <w:spacing w:line="360" w:lineRule="auto"/>
        <w:ind w:left="1470" w:leftChars="700" w:firstLine="1680" w:firstLineChars="700"/>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日  期：</w:t>
      </w:r>
    </w:p>
    <w:p w14:paraId="1D750CC7">
      <w:pPr>
        <w:widowControl/>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36"/>
          <w:szCs w:val="36"/>
          <w:highlight w:val="none"/>
        </w:rPr>
        <w:br w:type="page"/>
      </w:r>
      <w:r>
        <w:rPr>
          <w:rFonts w:hint="eastAsia" w:ascii="宋体" w:hAnsi="宋体" w:eastAsia="宋体" w:cs="宋体"/>
          <w:b/>
          <w:bCs/>
          <w:color w:val="auto"/>
          <w:sz w:val="28"/>
          <w:szCs w:val="28"/>
          <w:highlight w:val="none"/>
        </w:rPr>
        <w:t>格式9 技术条款偏离表</w:t>
      </w:r>
    </w:p>
    <w:tbl>
      <w:tblPr>
        <w:tblStyle w:val="22"/>
        <w:tblW w:w="92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28"/>
        <w:gridCol w:w="1516"/>
        <w:gridCol w:w="1038"/>
        <w:gridCol w:w="2116"/>
        <w:gridCol w:w="1142"/>
        <w:gridCol w:w="1863"/>
        <w:gridCol w:w="668"/>
      </w:tblGrid>
      <w:tr w14:paraId="395E4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2A0BD987">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516" w:type="dxa"/>
            <w:vAlign w:val="top"/>
          </w:tcPr>
          <w:p w14:paraId="3DEE59D2">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w:t>
            </w:r>
          </w:p>
          <w:p w14:paraId="334C54F0">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技术部分序号</w:t>
            </w:r>
          </w:p>
        </w:tc>
        <w:tc>
          <w:tcPr>
            <w:tcW w:w="1038" w:type="dxa"/>
            <w:vAlign w:val="top"/>
          </w:tcPr>
          <w:p w14:paraId="0F7BDD58">
            <w:pPr>
              <w:adjustRightInd w:val="0"/>
              <w:snapToGrid w:val="0"/>
              <w:spacing w:line="256"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重要性</w:t>
            </w:r>
          </w:p>
          <w:p w14:paraId="295225ED">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Cs w:val="21"/>
                <w:highlight w:val="none"/>
              </w:rPr>
              <w:t>★#△</w:t>
            </w:r>
            <w:r>
              <w:rPr>
                <w:rFonts w:hint="eastAsia" w:ascii="宋体" w:hAnsi="宋体" w:eastAsia="宋体" w:cs="宋体"/>
                <w:b/>
                <w:color w:val="auto"/>
                <w:sz w:val="24"/>
                <w:szCs w:val="24"/>
                <w:highlight w:val="none"/>
              </w:rPr>
              <w:t>）</w:t>
            </w:r>
          </w:p>
        </w:tc>
        <w:tc>
          <w:tcPr>
            <w:tcW w:w="2116" w:type="dxa"/>
            <w:vAlign w:val="center"/>
          </w:tcPr>
          <w:p w14:paraId="6F75AF93">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招标文件</w:t>
            </w:r>
          </w:p>
          <w:p w14:paraId="60F2BEC5">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技术部分内容要求</w:t>
            </w:r>
          </w:p>
        </w:tc>
        <w:tc>
          <w:tcPr>
            <w:tcW w:w="1142" w:type="dxa"/>
            <w:vAlign w:val="center"/>
          </w:tcPr>
          <w:p w14:paraId="14E3FEC3">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投标文件</w:t>
            </w:r>
          </w:p>
          <w:p w14:paraId="1A008C48">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应答情况</w:t>
            </w:r>
          </w:p>
        </w:tc>
        <w:tc>
          <w:tcPr>
            <w:tcW w:w="1863" w:type="dxa"/>
            <w:vAlign w:val="center"/>
          </w:tcPr>
          <w:p w14:paraId="44E3B157">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偏离（无/正/负）</w:t>
            </w:r>
          </w:p>
        </w:tc>
        <w:tc>
          <w:tcPr>
            <w:tcW w:w="668" w:type="dxa"/>
            <w:vAlign w:val="center"/>
          </w:tcPr>
          <w:p w14:paraId="27331869">
            <w:pPr>
              <w:adjustRightInd w:val="0"/>
              <w:snapToGrid w:val="0"/>
              <w:jc w:val="center"/>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642A4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63F7E339">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516" w:type="dxa"/>
            <w:vAlign w:val="center"/>
          </w:tcPr>
          <w:p w14:paraId="6381A320">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038" w:type="dxa"/>
            <w:vAlign w:val="top"/>
          </w:tcPr>
          <w:p w14:paraId="4D4F8640">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2116" w:type="dxa"/>
            <w:vAlign w:val="center"/>
          </w:tcPr>
          <w:p w14:paraId="1F498099">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142" w:type="dxa"/>
            <w:vAlign w:val="center"/>
          </w:tcPr>
          <w:p w14:paraId="00BCD350">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59D93BAE">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762DDBA7">
            <w:pPr>
              <w:adjustRightInd w:val="0"/>
              <w:snapToGrid w:val="0"/>
              <w:jc w:val="center"/>
              <w:outlineLvl w:val="9"/>
              <w:rPr>
                <w:rFonts w:hint="eastAsia" w:ascii="宋体" w:hAnsi="宋体" w:eastAsia="宋体" w:cs="宋体"/>
                <w:color w:val="auto"/>
                <w:szCs w:val="21"/>
                <w:highlight w:val="none"/>
              </w:rPr>
            </w:pPr>
          </w:p>
        </w:tc>
      </w:tr>
      <w:tr w14:paraId="50730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5ED1FD69">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516" w:type="dxa"/>
            <w:vAlign w:val="center"/>
          </w:tcPr>
          <w:p w14:paraId="6CB974DB">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038" w:type="dxa"/>
            <w:vAlign w:val="top"/>
          </w:tcPr>
          <w:p w14:paraId="7416C24B">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2116" w:type="dxa"/>
            <w:vAlign w:val="center"/>
          </w:tcPr>
          <w:p w14:paraId="62420C63">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142" w:type="dxa"/>
            <w:vAlign w:val="center"/>
          </w:tcPr>
          <w:p w14:paraId="3852EB2F">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55C87906">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622D58CF">
            <w:pPr>
              <w:adjustRightInd w:val="0"/>
              <w:snapToGrid w:val="0"/>
              <w:jc w:val="center"/>
              <w:outlineLvl w:val="9"/>
              <w:rPr>
                <w:rFonts w:hint="eastAsia" w:ascii="宋体" w:hAnsi="宋体" w:eastAsia="宋体" w:cs="宋体"/>
                <w:color w:val="auto"/>
                <w:szCs w:val="21"/>
                <w:highlight w:val="none"/>
              </w:rPr>
            </w:pPr>
          </w:p>
        </w:tc>
      </w:tr>
      <w:tr w14:paraId="74E12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787B24FD">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516" w:type="dxa"/>
            <w:vAlign w:val="center"/>
          </w:tcPr>
          <w:p w14:paraId="412EA22C">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038" w:type="dxa"/>
            <w:vAlign w:val="top"/>
          </w:tcPr>
          <w:p w14:paraId="36F48728">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2116" w:type="dxa"/>
            <w:vAlign w:val="center"/>
          </w:tcPr>
          <w:p w14:paraId="6F7AFE9B">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142" w:type="dxa"/>
            <w:vAlign w:val="center"/>
          </w:tcPr>
          <w:p w14:paraId="1008B44D">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6FE31393">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4BCBE4DD">
            <w:pPr>
              <w:adjustRightInd w:val="0"/>
              <w:snapToGrid w:val="0"/>
              <w:jc w:val="center"/>
              <w:outlineLvl w:val="9"/>
              <w:rPr>
                <w:rFonts w:hint="eastAsia" w:ascii="宋体" w:hAnsi="宋体" w:eastAsia="宋体" w:cs="宋体"/>
                <w:color w:val="auto"/>
                <w:szCs w:val="21"/>
                <w:highlight w:val="none"/>
              </w:rPr>
            </w:pPr>
          </w:p>
        </w:tc>
      </w:tr>
      <w:tr w14:paraId="6CB51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70FFE415">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516" w:type="dxa"/>
            <w:vAlign w:val="center"/>
          </w:tcPr>
          <w:p w14:paraId="7E7D4707">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038" w:type="dxa"/>
            <w:vAlign w:val="top"/>
          </w:tcPr>
          <w:p w14:paraId="409A4E65">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2116" w:type="dxa"/>
            <w:vAlign w:val="center"/>
          </w:tcPr>
          <w:p w14:paraId="480B60E0">
            <w:pPr>
              <w:adjustRightInd w:val="0"/>
              <w:snapToGrid w:val="0"/>
              <w:ind w:left="50" w:leftChars="24" w:right="55" w:rightChars="26"/>
              <w:jc w:val="center"/>
              <w:outlineLvl w:val="9"/>
              <w:rPr>
                <w:rFonts w:hint="eastAsia" w:ascii="宋体" w:hAnsi="宋体" w:eastAsia="宋体" w:cs="宋体"/>
                <w:color w:val="auto"/>
                <w:szCs w:val="21"/>
                <w:highlight w:val="none"/>
              </w:rPr>
            </w:pPr>
          </w:p>
        </w:tc>
        <w:tc>
          <w:tcPr>
            <w:tcW w:w="1142" w:type="dxa"/>
            <w:vAlign w:val="center"/>
          </w:tcPr>
          <w:p w14:paraId="022C4E39">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388F0707">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2E907B49">
            <w:pPr>
              <w:adjustRightInd w:val="0"/>
              <w:snapToGrid w:val="0"/>
              <w:jc w:val="center"/>
              <w:outlineLvl w:val="9"/>
              <w:rPr>
                <w:rFonts w:hint="eastAsia" w:ascii="宋体" w:hAnsi="宋体" w:eastAsia="宋体" w:cs="宋体"/>
                <w:color w:val="auto"/>
                <w:szCs w:val="21"/>
                <w:highlight w:val="none"/>
              </w:rPr>
            </w:pPr>
          </w:p>
        </w:tc>
      </w:tr>
      <w:tr w14:paraId="380DD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4652747E">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516" w:type="dxa"/>
            <w:vAlign w:val="center"/>
          </w:tcPr>
          <w:p w14:paraId="0EF62B35">
            <w:pPr>
              <w:adjustRightInd w:val="0"/>
              <w:snapToGrid w:val="0"/>
              <w:jc w:val="center"/>
              <w:outlineLvl w:val="9"/>
              <w:rPr>
                <w:rFonts w:hint="eastAsia" w:ascii="宋体" w:hAnsi="宋体" w:eastAsia="宋体" w:cs="宋体"/>
                <w:color w:val="auto"/>
                <w:szCs w:val="21"/>
                <w:highlight w:val="none"/>
              </w:rPr>
            </w:pPr>
          </w:p>
        </w:tc>
        <w:tc>
          <w:tcPr>
            <w:tcW w:w="1038" w:type="dxa"/>
            <w:vAlign w:val="top"/>
          </w:tcPr>
          <w:p w14:paraId="3FD5E36D">
            <w:pPr>
              <w:adjustRightInd w:val="0"/>
              <w:snapToGrid w:val="0"/>
              <w:jc w:val="center"/>
              <w:outlineLvl w:val="9"/>
              <w:rPr>
                <w:rFonts w:hint="eastAsia" w:ascii="宋体" w:hAnsi="宋体" w:eastAsia="宋体" w:cs="宋体"/>
                <w:color w:val="auto"/>
                <w:szCs w:val="21"/>
                <w:highlight w:val="none"/>
              </w:rPr>
            </w:pPr>
          </w:p>
        </w:tc>
        <w:tc>
          <w:tcPr>
            <w:tcW w:w="2116" w:type="dxa"/>
            <w:vAlign w:val="center"/>
          </w:tcPr>
          <w:p w14:paraId="48F025E4">
            <w:pPr>
              <w:adjustRightInd w:val="0"/>
              <w:snapToGrid w:val="0"/>
              <w:jc w:val="center"/>
              <w:outlineLvl w:val="9"/>
              <w:rPr>
                <w:rFonts w:hint="eastAsia" w:ascii="宋体" w:hAnsi="宋体" w:eastAsia="宋体" w:cs="宋体"/>
                <w:color w:val="auto"/>
                <w:szCs w:val="21"/>
                <w:highlight w:val="none"/>
              </w:rPr>
            </w:pPr>
          </w:p>
        </w:tc>
        <w:tc>
          <w:tcPr>
            <w:tcW w:w="1142" w:type="dxa"/>
            <w:vAlign w:val="center"/>
          </w:tcPr>
          <w:p w14:paraId="189B4218">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4E53A2B0">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67A4C384">
            <w:pPr>
              <w:adjustRightInd w:val="0"/>
              <w:snapToGrid w:val="0"/>
              <w:jc w:val="center"/>
              <w:outlineLvl w:val="9"/>
              <w:rPr>
                <w:rFonts w:hint="eastAsia" w:ascii="宋体" w:hAnsi="宋体" w:eastAsia="宋体" w:cs="宋体"/>
                <w:color w:val="auto"/>
                <w:szCs w:val="21"/>
                <w:highlight w:val="none"/>
              </w:rPr>
            </w:pPr>
          </w:p>
        </w:tc>
      </w:tr>
      <w:tr w14:paraId="7BB80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vAlign w:val="center"/>
          </w:tcPr>
          <w:p w14:paraId="0B0149EC">
            <w:pPr>
              <w:adjustRightInd w:val="0"/>
              <w:snapToGri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516" w:type="dxa"/>
            <w:vAlign w:val="center"/>
          </w:tcPr>
          <w:p w14:paraId="6EB040F9">
            <w:pPr>
              <w:adjustRightInd w:val="0"/>
              <w:snapToGrid w:val="0"/>
              <w:jc w:val="center"/>
              <w:outlineLvl w:val="9"/>
              <w:rPr>
                <w:rFonts w:hint="eastAsia" w:ascii="宋体" w:hAnsi="宋体" w:eastAsia="宋体" w:cs="宋体"/>
                <w:color w:val="auto"/>
                <w:szCs w:val="21"/>
                <w:highlight w:val="none"/>
              </w:rPr>
            </w:pPr>
          </w:p>
        </w:tc>
        <w:tc>
          <w:tcPr>
            <w:tcW w:w="1038" w:type="dxa"/>
            <w:vAlign w:val="top"/>
          </w:tcPr>
          <w:p w14:paraId="65E6AA08">
            <w:pPr>
              <w:adjustRightInd w:val="0"/>
              <w:snapToGrid w:val="0"/>
              <w:jc w:val="center"/>
              <w:outlineLvl w:val="9"/>
              <w:rPr>
                <w:rFonts w:hint="eastAsia" w:ascii="宋体" w:hAnsi="宋体" w:eastAsia="宋体" w:cs="宋体"/>
                <w:color w:val="auto"/>
                <w:szCs w:val="21"/>
                <w:highlight w:val="none"/>
              </w:rPr>
            </w:pPr>
          </w:p>
        </w:tc>
        <w:tc>
          <w:tcPr>
            <w:tcW w:w="2116" w:type="dxa"/>
            <w:vAlign w:val="center"/>
          </w:tcPr>
          <w:p w14:paraId="4421C61C">
            <w:pPr>
              <w:adjustRightInd w:val="0"/>
              <w:snapToGrid w:val="0"/>
              <w:jc w:val="center"/>
              <w:outlineLvl w:val="9"/>
              <w:rPr>
                <w:rFonts w:hint="eastAsia" w:ascii="宋体" w:hAnsi="宋体" w:eastAsia="宋体" w:cs="宋体"/>
                <w:color w:val="auto"/>
                <w:szCs w:val="21"/>
                <w:highlight w:val="none"/>
              </w:rPr>
            </w:pPr>
          </w:p>
        </w:tc>
        <w:tc>
          <w:tcPr>
            <w:tcW w:w="1142" w:type="dxa"/>
            <w:vAlign w:val="center"/>
          </w:tcPr>
          <w:p w14:paraId="5985D7F1">
            <w:pPr>
              <w:adjustRightInd w:val="0"/>
              <w:snapToGrid w:val="0"/>
              <w:jc w:val="center"/>
              <w:outlineLvl w:val="9"/>
              <w:rPr>
                <w:rFonts w:hint="eastAsia" w:ascii="宋体" w:hAnsi="宋体" w:eastAsia="宋体" w:cs="宋体"/>
                <w:color w:val="auto"/>
                <w:szCs w:val="21"/>
                <w:highlight w:val="none"/>
              </w:rPr>
            </w:pPr>
          </w:p>
        </w:tc>
        <w:tc>
          <w:tcPr>
            <w:tcW w:w="1863" w:type="dxa"/>
            <w:vAlign w:val="center"/>
          </w:tcPr>
          <w:p w14:paraId="3E7B3A7A">
            <w:pPr>
              <w:adjustRightInd w:val="0"/>
              <w:snapToGrid w:val="0"/>
              <w:jc w:val="center"/>
              <w:outlineLvl w:val="9"/>
              <w:rPr>
                <w:rFonts w:hint="eastAsia" w:ascii="宋体" w:hAnsi="宋体" w:eastAsia="宋体" w:cs="宋体"/>
                <w:color w:val="auto"/>
                <w:szCs w:val="21"/>
                <w:highlight w:val="none"/>
              </w:rPr>
            </w:pPr>
          </w:p>
        </w:tc>
        <w:tc>
          <w:tcPr>
            <w:tcW w:w="668" w:type="dxa"/>
            <w:vAlign w:val="center"/>
          </w:tcPr>
          <w:p w14:paraId="0A89DCFA">
            <w:pPr>
              <w:adjustRightInd w:val="0"/>
              <w:snapToGrid w:val="0"/>
              <w:jc w:val="center"/>
              <w:outlineLvl w:val="9"/>
              <w:rPr>
                <w:rFonts w:hint="eastAsia" w:ascii="宋体" w:hAnsi="宋体" w:eastAsia="宋体" w:cs="宋体"/>
                <w:color w:val="auto"/>
                <w:szCs w:val="21"/>
                <w:highlight w:val="none"/>
              </w:rPr>
            </w:pPr>
          </w:p>
        </w:tc>
      </w:tr>
    </w:tbl>
    <w:p w14:paraId="6A3231DA">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42728C74">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1.按照《招标文件-技术部分》内容要求，一一对应填写。如果对《招标文件-技术部分》内容不做一一响应，而将“投标文件应答情况”简单笼统描述为“无偏离”，则视为无效应答。</w:t>
      </w:r>
    </w:p>
    <w:p w14:paraId="280911DD">
      <w:pPr>
        <w:topLinePunct/>
        <w:autoSpaceDE w:val="0"/>
        <w:autoSpaceDN w:val="0"/>
        <w:spacing w:line="360" w:lineRule="auto"/>
        <w:ind w:firstLine="422" w:firstLineChars="200"/>
        <w:outlineLvl w:val="9"/>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2.《招标文件-技术部分》内容须条对条应答，</w:t>
      </w:r>
      <w:r>
        <w:rPr>
          <w:rFonts w:hint="eastAsia" w:ascii="宋体" w:hAnsi="宋体" w:eastAsia="宋体" w:cs="宋体"/>
          <w:color w:val="auto"/>
          <w:szCs w:val="21"/>
          <w:highlight w:val="none"/>
        </w:rPr>
        <w:t>不得遗漏。如无偏离，请在此表中填写“无偏离”。如有偏离，请在此表中应答为“正/负偏离”并说明偏离情况；</w:t>
      </w:r>
    </w:p>
    <w:p w14:paraId="03983302">
      <w:pPr>
        <w:topLinePunct/>
        <w:autoSpaceDE w:val="0"/>
        <w:autoSpaceDN w:val="0"/>
        <w:spacing w:line="360" w:lineRule="auto"/>
        <w:ind w:firstLine="422" w:firstLineChars="200"/>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3.如《招标文件-技术部分》中有标注★号的，则为实质性要求，必须满足，如应答为“负偏离”或未应答，将导致投标无效。</w:t>
      </w:r>
    </w:p>
    <w:p w14:paraId="1A5DA40D">
      <w:pPr>
        <w:adjustRightInd w:val="0"/>
        <w:snapToGrid w:val="0"/>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4.如《招标文件-技术部分》中有标注“#”为重要指标、标注“△”为一般指标项，接受供应商应答为“负偏离”；如供应商应答为“无偏离”或“正偏离”，将根据评审标准在评审时予以加分。</w:t>
      </w:r>
    </w:p>
    <w:p w14:paraId="465C4396">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p>
    <w:p w14:paraId="4582DB5E">
      <w:pPr>
        <w:widowControl/>
        <w:spacing w:afterLines="50" w:line="360" w:lineRule="auto"/>
        <w:ind w:firstLine="420" w:firstLineChars="200"/>
        <w:jc w:val="left"/>
        <w:outlineLvl w:val="9"/>
        <w:rPr>
          <w:rFonts w:hint="eastAsia" w:ascii="宋体" w:hAnsi="宋体" w:eastAsia="宋体" w:cs="宋体"/>
          <w:color w:val="auto"/>
          <w:kern w:val="0"/>
          <w:szCs w:val="21"/>
          <w:highlight w:val="none"/>
        </w:rPr>
      </w:pPr>
    </w:p>
    <w:p w14:paraId="393B4D86">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（全称并加盖公章</w:t>
      </w:r>
      <w:r>
        <w:rPr>
          <w:rFonts w:hint="eastAsia" w:ascii="宋体" w:hAnsi="宋体" w:eastAsia="宋体" w:cs="宋体"/>
          <w:color w:val="auto"/>
          <w:szCs w:val="21"/>
          <w:highlight w:val="none"/>
        </w:rPr>
        <w:t>）：</w:t>
      </w:r>
    </w:p>
    <w:p w14:paraId="60DA9802">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投标人代表（签字或盖章）</w:t>
      </w:r>
      <w:r>
        <w:rPr>
          <w:rFonts w:hint="eastAsia" w:ascii="宋体" w:hAnsi="宋体" w:eastAsia="宋体" w:cs="宋体"/>
          <w:color w:val="auto"/>
          <w:szCs w:val="21"/>
          <w:highlight w:val="none"/>
        </w:rPr>
        <w:t>：</w:t>
      </w:r>
    </w:p>
    <w:p w14:paraId="728444FC">
      <w:pPr>
        <w:tabs>
          <w:tab w:val="left" w:pos="1230"/>
        </w:tabs>
        <w:topLinePunct/>
        <w:autoSpaceDE w:val="0"/>
        <w:autoSpaceDN w:val="0"/>
        <w:adjustRightInd w:val="0"/>
        <w:snapToGrid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p>
    <w:p w14:paraId="5DF4E523">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80" w:name="OLE_LINK19"/>
      <w:bookmarkStart w:id="81" w:name="OLE_LINK27"/>
      <w:bookmarkStart w:id="82" w:name="OLE_LINK18"/>
    </w:p>
    <w:p w14:paraId="58D3C204">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格式10技术力量一览表</w:t>
      </w:r>
    </w:p>
    <w:tbl>
      <w:tblPr>
        <w:tblStyle w:val="22"/>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078"/>
        <w:gridCol w:w="1263"/>
        <w:gridCol w:w="775"/>
        <w:gridCol w:w="1350"/>
        <w:gridCol w:w="1300"/>
        <w:gridCol w:w="1250"/>
        <w:gridCol w:w="725"/>
        <w:gridCol w:w="787"/>
      </w:tblGrid>
      <w:tr w14:paraId="39BE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649" w:type="dxa"/>
            <w:tcBorders>
              <w:top w:val="single" w:color="auto" w:sz="4" w:space="0"/>
              <w:left w:val="single" w:color="auto" w:sz="4" w:space="0"/>
              <w:bottom w:val="single" w:color="auto" w:sz="4" w:space="0"/>
              <w:right w:val="single" w:color="auto" w:sz="4" w:space="0"/>
            </w:tcBorders>
            <w:vAlign w:val="center"/>
          </w:tcPr>
          <w:p w14:paraId="5E685B0D">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78" w:type="dxa"/>
            <w:tcBorders>
              <w:top w:val="single" w:color="auto" w:sz="4" w:space="0"/>
              <w:left w:val="single" w:color="auto" w:sz="4" w:space="0"/>
              <w:bottom w:val="single" w:color="auto" w:sz="4" w:space="0"/>
              <w:right w:val="single" w:color="auto" w:sz="4" w:space="0"/>
            </w:tcBorders>
            <w:vAlign w:val="center"/>
          </w:tcPr>
          <w:p w14:paraId="725FDF65">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姓 名</w:t>
            </w:r>
          </w:p>
        </w:tc>
        <w:tc>
          <w:tcPr>
            <w:tcW w:w="1263" w:type="dxa"/>
            <w:tcBorders>
              <w:top w:val="single" w:color="auto" w:sz="4" w:space="0"/>
              <w:left w:val="single" w:color="auto" w:sz="4" w:space="0"/>
              <w:bottom w:val="single" w:color="auto" w:sz="4" w:space="0"/>
              <w:right w:val="single" w:color="auto" w:sz="4" w:space="0"/>
            </w:tcBorders>
            <w:vAlign w:val="center"/>
          </w:tcPr>
          <w:p w14:paraId="2117E6E2">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技术职称</w:t>
            </w:r>
          </w:p>
        </w:tc>
        <w:tc>
          <w:tcPr>
            <w:tcW w:w="775" w:type="dxa"/>
            <w:tcBorders>
              <w:top w:val="single" w:color="auto" w:sz="4" w:space="0"/>
              <w:left w:val="single" w:color="auto" w:sz="4" w:space="0"/>
              <w:bottom w:val="single" w:color="auto" w:sz="4" w:space="0"/>
              <w:right w:val="single" w:color="auto" w:sz="4" w:space="0"/>
            </w:tcBorders>
            <w:vAlign w:val="center"/>
          </w:tcPr>
          <w:p w14:paraId="0D5DB7C0">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人员级别</w:t>
            </w:r>
          </w:p>
        </w:tc>
        <w:tc>
          <w:tcPr>
            <w:tcW w:w="1350" w:type="dxa"/>
            <w:tcBorders>
              <w:top w:val="single" w:color="auto" w:sz="4" w:space="0"/>
              <w:left w:val="single" w:color="auto" w:sz="4" w:space="0"/>
              <w:bottom w:val="single" w:color="auto" w:sz="4" w:space="0"/>
              <w:right w:val="single" w:color="auto" w:sz="4" w:space="0"/>
            </w:tcBorders>
            <w:vAlign w:val="center"/>
          </w:tcPr>
          <w:p w14:paraId="353B765C">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相关工作经验年限</w:t>
            </w:r>
          </w:p>
        </w:tc>
        <w:tc>
          <w:tcPr>
            <w:tcW w:w="1300" w:type="dxa"/>
            <w:tcBorders>
              <w:top w:val="single" w:color="auto" w:sz="4" w:space="0"/>
              <w:left w:val="single" w:color="auto" w:sz="4" w:space="0"/>
              <w:bottom w:val="single" w:color="auto" w:sz="4" w:space="0"/>
              <w:right w:val="single" w:color="auto" w:sz="4" w:space="0"/>
            </w:tcBorders>
            <w:vAlign w:val="center"/>
          </w:tcPr>
          <w:p w14:paraId="477C4DC9">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本项目中担任职务</w:t>
            </w:r>
          </w:p>
        </w:tc>
        <w:tc>
          <w:tcPr>
            <w:tcW w:w="1250" w:type="dxa"/>
            <w:tcBorders>
              <w:top w:val="single" w:color="auto" w:sz="4" w:space="0"/>
              <w:left w:val="single" w:color="auto" w:sz="4" w:space="0"/>
              <w:bottom w:val="single" w:color="auto" w:sz="4" w:space="0"/>
              <w:right w:val="single" w:color="auto" w:sz="4" w:space="0"/>
            </w:tcBorders>
            <w:vAlign w:val="center"/>
          </w:tcPr>
          <w:p w14:paraId="5382C5EC">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认证情况</w:t>
            </w:r>
          </w:p>
        </w:tc>
        <w:tc>
          <w:tcPr>
            <w:tcW w:w="725" w:type="dxa"/>
            <w:tcBorders>
              <w:top w:val="single" w:color="auto" w:sz="4" w:space="0"/>
              <w:left w:val="single" w:color="auto" w:sz="4" w:space="0"/>
              <w:bottom w:val="single" w:color="auto" w:sz="4" w:space="0"/>
              <w:right w:val="single" w:color="auto" w:sz="4" w:space="0"/>
            </w:tcBorders>
            <w:vAlign w:val="center"/>
          </w:tcPr>
          <w:p w14:paraId="220214DF">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是否驻场</w:t>
            </w:r>
          </w:p>
        </w:tc>
        <w:tc>
          <w:tcPr>
            <w:tcW w:w="787" w:type="dxa"/>
            <w:tcBorders>
              <w:top w:val="single" w:color="auto" w:sz="4" w:space="0"/>
              <w:left w:val="single" w:color="auto" w:sz="4" w:space="0"/>
              <w:bottom w:val="single" w:color="auto" w:sz="4" w:space="0"/>
              <w:right w:val="single" w:color="auto" w:sz="4" w:space="0"/>
            </w:tcBorders>
            <w:vAlign w:val="center"/>
          </w:tcPr>
          <w:p w14:paraId="215B0F62">
            <w:pPr>
              <w:adjustRightInd w:val="0"/>
              <w:jc w:val="center"/>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是否专职</w:t>
            </w:r>
          </w:p>
        </w:tc>
      </w:tr>
      <w:tr w14:paraId="47DC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 w:type="dxa"/>
            <w:tcBorders>
              <w:top w:val="single" w:color="auto" w:sz="4" w:space="0"/>
              <w:left w:val="single" w:color="auto" w:sz="4" w:space="0"/>
              <w:bottom w:val="single" w:color="auto" w:sz="4" w:space="0"/>
              <w:right w:val="single" w:color="auto" w:sz="4" w:space="0"/>
            </w:tcBorders>
            <w:vAlign w:val="center"/>
          </w:tcPr>
          <w:p w14:paraId="4902D179">
            <w:pPr>
              <w:adjustRightInd w:val="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078" w:type="dxa"/>
            <w:tcBorders>
              <w:top w:val="single" w:color="auto" w:sz="4" w:space="0"/>
              <w:left w:val="single" w:color="auto" w:sz="4" w:space="0"/>
              <w:bottom w:val="single" w:color="auto" w:sz="4" w:space="0"/>
              <w:right w:val="single" w:color="auto" w:sz="4" w:space="0"/>
            </w:tcBorders>
            <w:vAlign w:val="center"/>
          </w:tcPr>
          <w:p w14:paraId="1EDB651E">
            <w:pPr>
              <w:adjustRightInd w:val="0"/>
              <w:jc w:val="center"/>
              <w:outlineLvl w:val="9"/>
              <w:rPr>
                <w:rFonts w:hint="eastAsia" w:ascii="宋体" w:hAnsi="宋体" w:eastAsia="宋体" w:cs="宋体"/>
                <w:color w:val="auto"/>
                <w:sz w:val="24"/>
                <w:highlight w:val="none"/>
              </w:rPr>
            </w:pPr>
          </w:p>
        </w:tc>
        <w:tc>
          <w:tcPr>
            <w:tcW w:w="1263" w:type="dxa"/>
            <w:tcBorders>
              <w:top w:val="single" w:color="auto" w:sz="4" w:space="0"/>
              <w:left w:val="single" w:color="auto" w:sz="4" w:space="0"/>
              <w:bottom w:val="single" w:color="auto" w:sz="4" w:space="0"/>
              <w:right w:val="single" w:color="auto" w:sz="4" w:space="0"/>
            </w:tcBorders>
            <w:vAlign w:val="center"/>
          </w:tcPr>
          <w:p w14:paraId="02984DF3">
            <w:pPr>
              <w:adjustRightInd w:val="0"/>
              <w:jc w:val="center"/>
              <w:outlineLvl w:val="9"/>
              <w:rPr>
                <w:rFonts w:hint="eastAsia" w:ascii="宋体" w:hAnsi="宋体" w:eastAsia="宋体" w:cs="宋体"/>
                <w:color w:val="auto"/>
                <w:sz w:val="24"/>
                <w:highlight w:val="none"/>
              </w:rPr>
            </w:pPr>
          </w:p>
        </w:tc>
        <w:tc>
          <w:tcPr>
            <w:tcW w:w="775" w:type="dxa"/>
            <w:tcBorders>
              <w:top w:val="single" w:color="auto" w:sz="4" w:space="0"/>
              <w:left w:val="single" w:color="auto" w:sz="4" w:space="0"/>
              <w:bottom w:val="single" w:color="auto" w:sz="4" w:space="0"/>
              <w:right w:val="single" w:color="auto" w:sz="4" w:space="0"/>
            </w:tcBorders>
            <w:vAlign w:val="center"/>
          </w:tcPr>
          <w:p w14:paraId="609434BB">
            <w:pPr>
              <w:adjustRightInd w:val="0"/>
              <w:jc w:val="center"/>
              <w:outlineLvl w:val="9"/>
              <w:rPr>
                <w:rFonts w:hint="eastAsia" w:ascii="宋体" w:hAnsi="宋体" w:eastAsia="宋体" w:cs="宋体"/>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033A0475">
            <w:pPr>
              <w:adjustRightInd w:val="0"/>
              <w:jc w:val="center"/>
              <w:outlineLvl w:val="9"/>
              <w:rPr>
                <w:rFonts w:hint="eastAsia" w:ascii="宋体" w:hAnsi="宋体" w:eastAsia="宋体" w:cs="宋体"/>
                <w:color w:val="auto"/>
                <w:sz w:val="24"/>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42F29761">
            <w:pPr>
              <w:adjustRightInd w:val="0"/>
              <w:jc w:val="center"/>
              <w:outlineLvl w:val="9"/>
              <w:rPr>
                <w:rFonts w:hint="eastAsia" w:ascii="宋体" w:hAnsi="宋体" w:eastAsia="宋体" w:cs="宋体"/>
                <w:color w:val="auto"/>
                <w:sz w:val="24"/>
                <w:highlight w:val="none"/>
              </w:rPr>
            </w:pPr>
          </w:p>
        </w:tc>
        <w:tc>
          <w:tcPr>
            <w:tcW w:w="1250" w:type="dxa"/>
            <w:tcBorders>
              <w:top w:val="single" w:color="auto" w:sz="4" w:space="0"/>
              <w:left w:val="single" w:color="auto" w:sz="4" w:space="0"/>
              <w:bottom w:val="single" w:color="auto" w:sz="4" w:space="0"/>
              <w:right w:val="single" w:color="auto" w:sz="4" w:space="0"/>
            </w:tcBorders>
            <w:vAlign w:val="center"/>
          </w:tcPr>
          <w:p w14:paraId="4C38F63D">
            <w:pPr>
              <w:adjustRightInd w:val="0"/>
              <w:jc w:val="center"/>
              <w:outlineLvl w:val="9"/>
              <w:rPr>
                <w:rFonts w:hint="eastAsia" w:ascii="宋体" w:hAnsi="宋体" w:eastAsia="宋体" w:cs="宋体"/>
                <w:color w:val="auto"/>
                <w:sz w:val="24"/>
                <w:highlight w:val="none"/>
              </w:rPr>
            </w:pPr>
          </w:p>
        </w:tc>
        <w:tc>
          <w:tcPr>
            <w:tcW w:w="725" w:type="dxa"/>
            <w:tcBorders>
              <w:top w:val="single" w:color="auto" w:sz="4" w:space="0"/>
              <w:left w:val="single" w:color="auto" w:sz="4" w:space="0"/>
              <w:bottom w:val="single" w:color="auto" w:sz="4" w:space="0"/>
              <w:right w:val="single" w:color="auto" w:sz="4" w:space="0"/>
            </w:tcBorders>
            <w:vAlign w:val="center"/>
          </w:tcPr>
          <w:p w14:paraId="0A626E6A">
            <w:pPr>
              <w:adjustRightInd w:val="0"/>
              <w:jc w:val="center"/>
              <w:outlineLvl w:val="9"/>
              <w:rPr>
                <w:rFonts w:hint="eastAsia" w:ascii="宋体" w:hAnsi="宋体" w:eastAsia="宋体" w:cs="宋体"/>
                <w:color w:val="auto"/>
                <w:sz w:val="24"/>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123D749C">
            <w:pPr>
              <w:adjustRightInd w:val="0"/>
              <w:jc w:val="center"/>
              <w:outlineLvl w:val="9"/>
              <w:rPr>
                <w:rFonts w:hint="eastAsia" w:ascii="宋体" w:hAnsi="宋体" w:eastAsia="宋体" w:cs="宋体"/>
                <w:color w:val="auto"/>
                <w:sz w:val="24"/>
                <w:highlight w:val="none"/>
              </w:rPr>
            </w:pPr>
          </w:p>
        </w:tc>
      </w:tr>
      <w:tr w14:paraId="236CC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vAlign w:val="center"/>
          </w:tcPr>
          <w:p w14:paraId="10C7A1FD">
            <w:pPr>
              <w:adjustRightInd w:val="0"/>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078" w:type="dxa"/>
            <w:tcBorders>
              <w:top w:val="single" w:color="auto" w:sz="4" w:space="0"/>
              <w:left w:val="single" w:color="auto" w:sz="4" w:space="0"/>
              <w:bottom w:val="single" w:color="auto" w:sz="4" w:space="0"/>
              <w:right w:val="single" w:color="auto" w:sz="4" w:space="0"/>
            </w:tcBorders>
            <w:vAlign w:val="center"/>
          </w:tcPr>
          <w:p w14:paraId="6114F9C4">
            <w:pPr>
              <w:adjustRightInd w:val="0"/>
              <w:jc w:val="center"/>
              <w:outlineLvl w:val="9"/>
              <w:rPr>
                <w:rFonts w:hint="eastAsia" w:ascii="宋体" w:hAnsi="宋体" w:eastAsia="宋体" w:cs="宋体"/>
                <w:color w:val="auto"/>
                <w:sz w:val="24"/>
                <w:highlight w:val="none"/>
              </w:rPr>
            </w:pPr>
          </w:p>
        </w:tc>
        <w:tc>
          <w:tcPr>
            <w:tcW w:w="1263" w:type="dxa"/>
            <w:tcBorders>
              <w:top w:val="single" w:color="auto" w:sz="4" w:space="0"/>
              <w:left w:val="single" w:color="auto" w:sz="4" w:space="0"/>
              <w:bottom w:val="single" w:color="auto" w:sz="4" w:space="0"/>
              <w:right w:val="single" w:color="auto" w:sz="4" w:space="0"/>
            </w:tcBorders>
            <w:vAlign w:val="center"/>
          </w:tcPr>
          <w:p w14:paraId="52B8B5EB">
            <w:pPr>
              <w:adjustRightInd w:val="0"/>
              <w:jc w:val="center"/>
              <w:outlineLvl w:val="9"/>
              <w:rPr>
                <w:rFonts w:hint="eastAsia" w:ascii="宋体" w:hAnsi="宋体" w:eastAsia="宋体" w:cs="宋体"/>
                <w:color w:val="auto"/>
                <w:sz w:val="24"/>
                <w:highlight w:val="none"/>
              </w:rPr>
            </w:pPr>
          </w:p>
        </w:tc>
        <w:tc>
          <w:tcPr>
            <w:tcW w:w="775" w:type="dxa"/>
            <w:tcBorders>
              <w:top w:val="single" w:color="auto" w:sz="4" w:space="0"/>
              <w:left w:val="single" w:color="auto" w:sz="4" w:space="0"/>
              <w:bottom w:val="single" w:color="auto" w:sz="4" w:space="0"/>
              <w:right w:val="single" w:color="auto" w:sz="4" w:space="0"/>
            </w:tcBorders>
            <w:vAlign w:val="center"/>
          </w:tcPr>
          <w:p w14:paraId="49D16ADD">
            <w:pPr>
              <w:adjustRightInd w:val="0"/>
              <w:jc w:val="center"/>
              <w:outlineLvl w:val="9"/>
              <w:rPr>
                <w:rFonts w:hint="eastAsia" w:ascii="宋体" w:hAnsi="宋体" w:eastAsia="宋体" w:cs="宋体"/>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05F2B34F">
            <w:pPr>
              <w:adjustRightInd w:val="0"/>
              <w:jc w:val="center"/>
              <w:outlineLvl w:val="9"/>
              <w:rPr>
                <w:rFonts w:hint="eastAsia" w:ascii="宋体" w:hAnsi="宋体" w:eastAsia="宋体" w:cs="宋体"/>
                <w:color w:val="auto"/>
                <w:sz w:val="24"/>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1BB64482">
            <w:pPr>
              <w:adjustRightInd w:val="0"/>
              <w:jc w:val="center"/>
              <w:outlineLvl w:val="9"/>
              <w:rPr>
                <w:rFonts w:hint="eastAsia" w:ascii="宋体" w:hAnsi="宋体" w:eastAsia="宋体" w:cs="宋体"/>
                <w:color w:val="auto"/>
                <w:sz w:val="24"/>
                <w:highlight w:val="none"/>
              </w:rPr>
            </w:pPr>
            <w:r>
              <w:rPr>
                <w:rFonts w:hint="eastAsia" w:ascii="宋体" w:hAnsi="宋体" w:eastAsia="宋体" w:cs="宋体"/>
                <w:color w:val="auto"/>
                <w:szCs w:val="21"/>
                <w:highlight w:val="none"/>
              </w:rPr>
              <w:t>……</w:t>
            </w:r>
          </w:p>
        </w:tc>
        <w:tc>
          <w:tcPr>
            <w:tcW w:w="1250" w:type="dxa"/>
            <w:tcBorders>
              <w:top w:val="single" w:color="auto" w:sz="4" w:space="0"/>
              <w:left w:val="single" w:color="auto" w:sz="4" w:space="0"/>
              <w:bottom w:val="single" w:color="auto" w:sz="4" w:space="0"/>
              <w:right w:val="single" w:color="auto" w:sz="4" w:space="0"/>
            </w:tcBorders>
            <w:vAlign w:val="center"/>
          </w:tcPr>
          <w:p w14:paraId="7D0F54D1">
            <w:pPr>
              <w:adjustRightInd w:val="0"/>
              <w:jc w:val="center"/>
              <w:outlineLvl w:val="9"/>
              <w:rPr>
                <w:rFonts w:hint="eastAsia" w:ascii="宋体" w:hAnsi="宋体" w:eastAsia="宋体" w:cs="宋体"/>
                <w:color w:val="auto"/>
                <w:sz w:val="24"/>
                <w:highlight w:val="none"/>
              </w:rPr>
            </w:pPr>
          </w:p>
        </w:tc>
        <w:tc>
          <w:tcPr>
            <w:tcW w:w="725" w:type="dxa"/>
            <w:tcBorders>
              <w:top w:val="single" w:color="auto" w:sz="4" w:space="0"/>
              <w:left w:val="single" w:color="auto" w:sz="4" w:space="0"/>
              <w:bottom w:val="single" w:color="auto" w:sz="4" w:space="0"/>
              <w:right w:val="single" w:color="auto" w:sz="4" w:space="0"/>
            </w:tcBorders>
            <w:vAlign w:val="center"/>
          </w:tcPr>
          <w:p w14:paraId="5196441E">
            <w:pPr>
              <w:adjustRightInd w:val="0"/>
              <w:jc w:val="center"/>
              <w:outlineLvl w:val="9"/>
              <w:rPr>
                <w:rFonts w:hint="eastAsia" w:ascii="宋体" w:hAnsi="宋体" w:eastAsia="宋体" w:cs="宋体"/>
                <w:color w:val="auto"/>
                <w:sz w:val="24"/>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32B24A0E">
            <w:pPr>
              <w:adjustRightInd w:val="0"/>
              <w:jc w:val="center"/>
              <w:outlineLvl w:val="9"/>
              <w:rPr>
                <w:rFonts w:hint="eastAsia" w:ascii="宋体" w:hAnsi="宋体" w:eastAsia="宋体" w:cs="宋体"/>
                <w:color w:val="auto"/>
                <w:sz w:val="24"/>
                <w:highlight w:val="none"/>
              </w:rPr>
            </w:pPr>
          </w:p>
        </w:tc>
      </w:tr>
      <w:tr w14:paraId="3944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vAlign w:val="center"/>
          </w:tcPr>
          <w:p w14:paraId="24704F1B">
            <w:pPr>
              <w:adjustRightInd w:val="0"/>
              <w:jc w:val="center"/>
              <w:outlineLvl w:val="9"/>
              <w:rPr>
                <w:rFonts w:hint="eastAsia" w:ascii="宋体" w:hAnsi="宋体" w:eastAsia="宋体" w:cs="宋体"/>
                <w:color w:val="auto"/>
                <w:sz w:val="24"/>
                <w:highlight w:val="none"/>
              </w:rPr>
            </w:pPr>
            <w:r>
              <w:rPr>
                <w:rFonts w:hint="eastAsia" w:ascii="宋体" w:hAnsi="宋体" w:eastAsia="宋体" w:cs="宋体"/>
                <w:color w:val="auto"/>
                <w:highlight w:val="none"/>
              </w:rPr>
              <w:t>……</w:t>
            </w:r>
          </w:p>
        </w:tc>
        <w:tc>
          <w:tcPr>
            <w:tcW w:w="1078" w:type="dxa"/>
            <w:tcBorders>
              <w:top w:val="single" w:color="auto" w:sz="4" w:space="0"/>
              <w:left w:val="single" w:color="auto" w:sz="4" w:space="0"/>
              <w:bottom w:val="single" w:color="auto" w:sz="4" w:space="0"/>
              <w:right w:val="single" w:color="auto" w:sz="4" w:space="0"/>
            </w:tcBorders>
            <w:vAlign w:val="center"/>
          </w:tcPr>
          <w:p w14:paraId="4F2E9ED2">
            <w:pPr>
              <w:adjustRightInd w:val="0"/>
              <w:jc w:val="center"/>
              <w:outlineLvl w:val="9"/>
              <w:rPr>
                <w:rFonts w:hint="eastAsia" w:ascii="宋体" w:hAnsi="宋体" w:eastAsia="宋体" w:cs="宋体"/>
                <w:color w:val="auto"/>
                <w:sz w:val="24"/>
                <w:highlight w:val="none"/>
              </w:rPr>
            </w:pPr>
          </w:p>
        </w:tc>
        <w:tc>
          <w:tcPr>
            <w:tcW w:w="1263" w:type="dxa"/>
            <w:tcBorders>
              <w:top w:val="single" w:color="auto" w:sz="4" w:space="0"/>
              <w:left w:val="single" w:color="auto" w:sz="4" w:space="0"/>
              <w:bottom w:val="single" w:color="auto" w:sz="4" w:space="0"/>
              <w:right w:val="single" w:color="auto" w:sz="4" w:space="0"/>
            </w:tcBorders>
            <w:vAlign w:val="center"/>
          </w:tcPr>
          <w:p w14:paraId="1D4813D9">
            <w:pPr>
              <w:adjustRightInd w:val="0"/>
              <w:jc w:val="center"/>
              <w:outlineLvl w:val="9"/>
              <w:rPr>
                <w:rFonts w:hint="eastAsia" w:ascii="宋体" w:hAnsi="宋体" w:eastAsia="宋体" w:cs="宋体"/>
                <w:color w:val="auto"/>
                <w:sz w:val="24"/>
                <w:highlight w:val="none"/>
              </w:rPr>
            </w:pPr>
          </w:p>
        </w:tc>
        <w:tc>
          <w:tcPr>
            <w:tcW w:w="775" w:type="dxa"/>
            <w:tcBorders>
              <w:top w:val="single" w:color="auto" w:sz="4" w:space="0"/>
              <w:left w:val="single" w:color="auto" w:sz="4" w:space="0"/>
              <w:bottom w:val="single" w:color="auto" w:sz="4" w:space="0"/>
              <w:right w:val="single" w:color="auto" w:sz="4" w:space="0"/>
            </w:tcBorders>
            <w:vAlign w:val="center"/>
          </w:tcPr>
          <w:p w14:paraId="2A783D77">
            <w:pPr>
              <w:adjustRightInd w:val="0"/>
              <w:jc w:val="center"/>
              <w:outlineLvl w:val="9"/>
              <w:rPr>
                <w:rFonts w:hint="eastAsia" w:ascii="宋体" w:hAnsi="宋体" w:eastAsia="宋体" w:cs="宋体"/>
                <w:color w:val="auto"/>
                <w:sz w:val="24"/>
                <w:highlight w:val="none"/>
              </w:rPr>
            </w:pPr>
          </w:p>
        </w:tc>
        <w:tc>
          <w:tcPr>
            <w:tcW w:w="1350" w:type="dxa"/>
            <w:tcBorders>
              <w:top w:val="single" w:color="auto" w:sz="4" w:space="0"/>
              <w:left w:val="single" w:color="auto" w:sz="4" w:space="0"/>
              <w:bottom w:val="single" w:color="auto" w:sz="4" w:space="0"/>
              <w:right w:val="single" w:color="auto" w:sz="4" w:space="0"/>
            </w:tcBorders>
            <w:vAlign w:val="center"/>
          </w:tcPr>
          <w:p w14:paraId="695B2C84">
            <w:pPr>
              <w:adjustRightInd w:val="0"/>
              <w:jc w:val="center"/>
              <w:outlineLvl w:val="9"/>
              <w:rPr>
                <w:rFonts w:hint="eastAsia" w:ascii="宋体" w:hAnsi="宋体" w:eastAsia="宋体" w:cs="宋体"/>
                <w:color w:val="auto"/>
                <w:sz w:val="24"/>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247AE15F">
            <w:pPr>
              <w:adjustRightInd w:val="0"/>
              <w:jc w:val="center"/>
              <w:outlineLvl w:val="9"/>
              <w:rPr>
                <w:rFonts w:hint="eastAsia" w:ascii="宋体" w:hAnsi="宋体" w:eastAsia="宋体" w:cs="宋体"/>
                <w:color w:val="auto"/>
                <w:sz w:val="24"/>
                <w:highlight w:val="none"/>
              </w:rPr>
            </w:pPr>
            <w:r>
              <w:rPr>
                <w:rFonts w:hint="eastAsia" w:ascii="宋体" w:hAnsi="宋体" w:eastAsia="宋体" w:cs="宋体"/>
                <w:color w:val="auto"/>
                <w:szCs w:val="21"/>
                <w:highlight w:val="none"/>
              </w:rPr>
              <w:t>……</w:t>
            </w:r>
          </w:p>
        </w:tc>
        <w:tc>
          <w:tcPr>
            <w:tcW w:w="1250" w:type="dxa"/>
            <w:tcBorders>
              <w:top w:val="single" w:color="auto" w:sz="4" w:space="0"/>
              <w:left w:val="single" w:color="auto" w:sz="4" w:space="0"/>
              <w:bottom w:val="single" w:color="auto" w:sz="4" w:space="0"/>
              <w:right w:val="single" w:color="auto" w:sz="4" w:space="0"/>
            </w:tcBorders>
            <w:vAlign w:val="center"/>
          </w:tcPr>
          <w:p w14:paraId="4734E965">
            <w:pPr>
              <w:adjustRightInd w:val="0"/>
              <w:jc w:val="center"/>
              <w:outlineLvl w:val="9"/>
              <w:rPr>
                <w:rFonts w:hint="eastAsia" w:ascii="宋体" w:hAnsi="宋体" w:eastAsia="宋体" w:cs="宋体"/>
                <w:color w:val="auto"/>
                <w:sz w:val="24"/>
                <w:highlight w:val="none"/>
              </w:rPr>
            </w:pPr>
          </w:p>
        </w:tc>
        <w:tc>
          <w:tcPr>
            <w:tcW w:w="725" w:type="dxa"/>
            <w:tcBorders>
              <w:top w:val="single" w:color="auto" w:sz="4" w:space="0"/>
              <w:left w:val="single" w:color="auto" w:sz="4" w:space="0"/>
              <w:bottom w:val="single" w:color="auto" w:sz="4" w:space="0"/>
              <w:right w:val="single" w:color="auto" w:sz="4" w:space="0"/>
            </w:tcBorders>
            <w:vAlign w:val="center"/>
          </w:tcPr>
          <w:p w14:paraId="18B58EC5">
            <w:pPr>
              <w:adjustRightInd w:val="0"/>
              <w:jc w:val="center"/>
              <w:outlineLvl w:val="9"/>
              <w:rPr>
                <w:rFonts w:hint="eastAsia" w:ascii="宋体" w:hAnsi="宋体" w:eastAsia="宋体" w:cs="宋体"/>
                <w:color w:val="auto"/>
                <w:sz w:val="24"/>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1E782294">
            <w:pPr>
              <w:adjustRightInd w:val="0"/>
              <w:jc w:val="center"/>
              <w:outlineLvl w:val="9"/>
              <w:rPr>
                <w:rFonts w:hint="eastAsia" w:ascii="宋体" w:hAnsi="宋体" w:eastAsia="宋体" w:cs="宋体"/>
                <w:color w:val="auto"/>
                <w:sz w:val="24"/>
                <w:highlight w:val="none"/>
              </w:rPr>
            </w:pPr>
          </w:p>
        </w:tc>
      </w:tr>
      <w:tr w14:paraId="13E7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9A34A5E">
            <w:pPr>
              <w:adjustRightInd w:val="0"/>
              <w:jc w:val="center"/>
              <w:outlineLvl w:val="9"/>
              <w:rPr>
                <w:rFonts w:hint="eastAsia" w:ascii="宋体" w:hAnsi="宋体" w:eastAsia="宋体" w:cs="宋体"/>
                <w:color w:val="auto"/>
                <w:szCs w:val="24"/>
                <w:highlight w:val="none"/>
              </w:rPr>
            </w:pPr>
            <w:r>
              <w:rPr>
                <w:rFonts w:hint="eastAsia" w:ascii="宋体" w:hAnsi="宋体" w:eastAsia="宋体" w:cs="宋体"/>
                <w:color w:val="auto"/>
                <w:highlight w:val="none"/>
              </w:rPr>
              <w:t>……</w:t>
            </w:r>
          </w:p>
        </w:tc>
        <w:tc>
          <w:tcPr>
            <w:tcW w:w="1078" w:type="dxa"/>
            <w:vAlign w:val="center"/>
          </w:tcPr>
          <w:p w14:paraId="3846B828">
            <w:pPr>
              <w:adjustRightInd w:val="0"/>
              <w:jc w:val="center"/>
              <w:outlineLvl w:val="9"/>
              <w:rPr>
                <w:rFonts w:hint="eastAsia" w:ascii="宋体" w:hAnsi="宋体" w:eastAsia="宋体" w:cs="宋体"/>
                <w:color w:val="auto"/>
                <w:sz w:val="24"/>
                <w:szCs w:val="24"/>
                <w:highlight w:val="none"/>
              </w:rPr>
            </w:pPr>
          </w:p>
        </w:tc>
        <w:tc>
          <w:tcPr>
            <w:tcW w:w="1263" w:type="dxa"/>
            <w:vAlign w:val="center"/>
          </w:tcPr>
          <w:p w14:paraId="557E23FF">
            <w:pPr>
              <w:adjustRightInd w:val="0"/>
              <w:jc w:val="center"/>
              <w:outlineLvl w:val="9"/>
              <w:rPr>
                <w:rFonts w:hint="eastAsia" w:ascii="宋体" w:hAnsi="宋体" w:eastAsia="宋体" w:cs="宋体"/>
                <w:color w:val="auto"/>
                <w:sz w:val="24"/>
                <w:szCs w:val="24"/>
                <w:highlight w:val="none"/>
              </w:rPr>
            </w:pPr>
          </w:p>
        </w:tc>
        <w:tc>
          <w:tcPr>
            <w:tcW w:w="775" w:type="dxa"/>
            <w:vAlign w:val="center"/>
          </w:tcPr>
          <w:p w14:paraId="7B87BF1F">
            <w:pPr>
              <w:adjustRightInd w:val="0"/>
              <w:jc w:val="center"/>
              <w:outlineLvl w:val="9"/>
              <w:rPr>
                <w:rFonts w:hint="eastAsia" w:ascii="宋体" w:hAnsi="宋体" w:eastAsia="宋体" w:cs="宋体"/>
                <w:color w:val="auto"/>
                <w:sz w:val="24"/>
                <w:szCs w:val="24"/>
                <w:highlight w:val="none"/>
              </w:rPr>
            </w:pPr>
          </w:p>
        </w:tc>
        <w:tc>
          <w:tcPr>
            <w:tcW w:w="1350" w:type="dxa"/>
            <w:vAlign w:val="center"/>
          </w:tcPr>
          <w:p w14:paraId="073F0DCD">
            <w:pPr>
              <w:adjustRightInd w:val="0"/>
              <w:jc w:val="center"/>
              <w:outlineLvl w:val="9"/>
              <w:rPr>
                <w:rFonts w:hint="eastAsia" w:ascii="宋体" w:hAnsi="宋体" w:eastAsia="宋体" w:cs="宋体"/>
                <w:color w:val="auto"/>
                <w:sz w:val="24"/>
                <w:szCs w:val="24"/>
                <w:highlight w:val="none"/>
              </w:rPr>
            </w:pPr>
          </w:p>
        </w:tc>
        <w:tc>
          <w:tcPr>
            <w:tcW w:w="1300" w:type="dxa"/>
            <w:vAlign w:val="center"/>
          </w:tcPr>
          <w:p w14:paraId="6CBB4FFC">
            <w:pPr>
              <w:adjustRightInd w:val="0"/>
              <w:jc w:val="center"/>
              <w:outlineLvl w:val="9"/>
              <w:rPr>
                <w:rFonts w:hint="eastAsia" w:ascii="宋体" w:hAnsi="宋体" w:eastAsia="宋体" w:cs="宋体"/>
                <w:color w:val="auto"/>
                <w:sz w:val="24"/>
                <w:szCs w:val="24"/>
                <w:highlight w:val="none"/>
              </w:rPr>
            </w:pPr>
          </w:p>
        </w:tc>
        <w:tc>
          <w:tcPr>
            <w:tcW w:w="1250" w:type="dxa"/>
            <w:vAlign w:val="center"/>
          </w:tcPr>
          <w:p w14:paraId="2C491DD8">
            <w:pPr>
              <w:adjustRightInd w:val="0"/>
              <w:jc w:val="center"/>
              <w:outlineLvl w:val="9"/>
              <w:rPr>
                <w:rFonts w:hint="eastAsia" w:ascii="宋体" w:hAnsi="宋体" w:eastAsia="宋体" w:cs="宋体"/>
                <w:color w:val="auto"/>
                <w:sz w:val="24"/>
                <w:szCs w:val="24"/>
                <w:highlight w:val="none"/>
              </w:rPr>
            </w:pPr>
          </w:p>
        </w:tc>
        <w:tc>
          <w:tcPr>
            <w:tcW w:w="725" w:type="dxa"/>
            <w:vAlign w:val="center"/>
          </w:tcPr>
          <w:p w14:paraId="7CCD7581">
            <w:pPr>
              <w:adjustRightInd w:val="0"/>
              <w:jc w:val="center"/>
              <w:outlineLvl w:val="9"/>
              <w:rPr>
                <w:rFonts w:hint="eastAsia" w:ascii="宋体" w:hAnsi="宋体" w:eastAsia="宋体" w:cs="宋体"/>
                <w:color w:val="auto"/>
                <w:sz w:val="24"/>
                <w:szCs w:val="24"/>
                <w:highlight w:val="none"/>
              </w:rPr>
            </w:pPr>
          </w:p>
        </w:tc>
        <w:tc>
          <w:tcPr>
            <w:tcW w:w="787" w:type="dxa"/>
            <w:vAlign w:val="center"/>
          </w:tcPr>
          <w:p w14:paraId="6A3AF8C3">
            <w:pPr>
              <w:adjustRightInd w:val="0"/>
              <w:jc w:val="center"/>
              <w:outlineLvl w:val="9"/>
              <w:rPr>
                <w:rFonts w:hint="eastAsia" w:ascii="宋体" w:hAnsi="宋体" w:eastAsia="宋体" w:cs="宋体"/>
                <w:color w:val="auto"/>
                <w:sz w:val="24"/>
                <w:szCs w:val="24"/>
                <w:highlight w:val="none"/>
              </w:rPr>
            </w:pPr>
          </w:p>
        </w:tc>
      </w:tr>
    </w:tbl>
    <w:p w14:paraId="7DDDC453">
      <w:pPr>
        <w:topLinePunct/>
        <w:autoSpaceDE w:val="0"/>
        <w:autoSpaceDN w:val="0"/>
        <w:spacing w:line="360" w:lineRule="auto"/>
        <w:outlineLvl w:val="9"/>
        <w:rPr>
          <w:rFonts w:hint="eastAsia" w:ascii="宋体" w:hAnsi="宋体" w:eastAsia="宋体" w:cs="宋体"/>
          <w:color w:val="auto"/>
          <w:szCs w:val="21"/>
          <w:highlight w:val="none"/>
        </w:rPr>
      </w:pPr>
    </w:p>
    <w:p w14:paraId="189EC31D">
      <w:pPr>
        <w:topLinePunct/>
        <w:autoSpaceDE w:val="0"/>
        <w:autoSpaceDN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p>
    <w:p w14:paraId="4E5998C4">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供应商需按照上述格式填写投入本项目所有人员的相关信息。</w:t>
      </w:r>
    </w:p>
    <w:p w14:paraId="51E38E47">
      <w:pPr>
        <w:ind w:firstLine="420" w:firstLineChars="200"/>
        <w:outlineLvl w:val="9"/>
        <w:rPr>
          <w:rFonts w:hint="eastAsia" w:ascii="宋体" w:hAnsi="宋体" w:eastAsia="宋体" w:cs="宋体"/>
          <w:color w:val="auto"/>
          <w:kern w:val="0"/>
          <w:szCs w:val="21"/>
          <w:highlight w:val="none"/>
          <w:lang w:val="en-US" w:eastAsia="zh-CN"/>
        </w:rPr>
      </w:pPr>
    </w:p>
    <w:p w14:paraId="7082C9F2">
      <w:pPr>
        <w:topLinePunct/>
        <w:autoSpaceDE w:val="0"/>
        <w:autoSpaceDN w:val="0"/>
        <w:spacing w:line="360" w:lineRule="auto"/>
        <w:ind w:firstLine="420" w:firstLineChars="200"/>
        <w:outlineLvl w:val="9"/>
        <w:rPr>
          <w:rFonts w:hint="eastAsia" w:ascii="宋体" w:hAnsi="宋体" w:eastAsia="宋体" w:cs="宋体"/>
          <w:bCs/>
          <w:color w:val="auto"/>
          <w:szCs w:val="21"/>
          <w:highlight w:val="none"/>
        </w:rPr>
      </w:pPr>
    </w:p>
    <w:p w14:paraId="424B19D5">
      <w:pPr>
        <w:widowControl/>
        <w:jc w:val="left"/>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0C256D9">
      <w:pPr>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格式11技术人员简历表</w:t>
      </w:r>
    </w:p>
    <w:tbl>
      <w:tblPr>
        <w:tblStyle w:val="2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2A3A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2DE89524">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tc>
        <w:tc>
          <w:tcPr>
            <w:tcW w:w="1713" w:type="dxa"/>
            <w:tcBorders>
              <w:top w:val="single" w:color="auto" w:sz="4" w:space="0"/>
              <w:left w:val="single" w:color="auto" w:sz="4" w:space="0"/>
              <w:bottom w:val="single" w:color="auto" w:sz="4" w:space="0"/>
              <w:right w:val="single" w:color="auto" w:sz="4" w:space="0"/>
            </w:tcBorders>
            <w:vAlign w:val="center"/>
          </w:tcPr>
          <w:p w14:paraId="3DF9D23C">
            <w:pPr>
              <w:adjustRightInd w:val="0"/>
              <w:jc w:val="center"/>
              <w:outlineLvl w:val="9"/>
              <w:rPr>
                <w:rFonts w:hint="eastAsia" w:ascii="宋体" w:hAnsi="宋体" w:eastAsia="宋体" w:cs="宋体"/>
                <w:color w:val="auto"/>
                <w:szCs w:val="21"/>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32C4CE92">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    别</w:t>
            </w:r>
          </w:p>
        </w:tc>
        <w:tc>
          <w:tcPr>
            <w:tcW w:w="1388" w:type="dxa"/>
            <w:tcBorders>
              <w:top w:val="single" w:color="auto" w:sz="4" w:space="0"/>
              <w:left w:val="single" w:color="auto" w:sz="4" w:space="0"/>
              <w:bottom w:val="single" w:color="auto" w:sz="4" w:space="0"/>
              <w:right w:val="single" w:color="auto" w:sz="4" w:space="0"/>
            </w:tcBorders>
            <w:vAlign w:val="center"/>
          </w:tcPr>
          <w:p w14:paraId="0BF47AC8">
            <w:pPr>
              <w:adjustRightInd w:val="0"/>
              <w:jc w:val="center"/>
              <w:outlineLvl w:val="9"/>
              <w:rPr>
                <w:rFonts w:hint="eastAsia" w:ascii="宋体" w:hAnsi="宋体" w:eastAsia="宋体" w:cs="宋体"/>
                <w:color w:val="auto"/>
                <w:szCs w:val="21"/>
                <w:highlight w:val="none"/>
              </w:rPr>
            </w:pPr>
          </w:p>
        </w:tc>
        <w:tc>
          <w:tcPr>
            <w:tcW w:w="1796" w:type="dxa"/>
            <w:tcBorders>
              <w:top w:val="single" w:color="auto" w:sz="4" w:space="0"/>
              <w:left w:val="single" w:color="auto" w:sz="4" w:space="0"/>
              <w:bottom w:val="single" w:color="auto" w:sz="4" w:space="0"/>
              <w:right w:val="single" w:color="auto" w:sz="4" w:space="0"/>
            </w:tcBorders>
            <w:vAlign w:val="center"/>
          </w:tcPr>
          <w:p w14:paraId="1093BEE8">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出生日期</w:t>
            </w:r>
          </w:p>
        </w:tc>
        <w:tc>
          <w:tcPr>
            <w:tcW w:w="1263" w:type="dxa"/>
            <w:tcBorders>
              <w:top w:val="single" w:color="auto" w:sz="4" w:space="0"/>
              <w:left w:val="single" w:color="auto" w:sz="4" w:space="0"/>
              <w:bottom w:val="single" w:color="auto" w:sz="4" w:space="0"/>
              <w:right w:val="single" w:color="auto" w:sz="4" w:space="0"/>
            </w:tcBorders>
            <w:vAlign w:val="center"/>
          </w:tcPr>
          <w:p w14:paraId="480D6495">
            <w:pPr>
              <w:adjustRightInd w:val="0"/>
              <w:jc w:val="center"/>
              <w:outlineLvl w:val="9"/>
              <w:rPr>
                <w:rFonts w:hint="eastAsia" w:ascii="宋体" w:hAnsi="宋体" w:eastAsia="宋体" w:cs="宋体"/>
                <w:color w:val="auto"/>
                <w:szCs w:val="21"/>
                <w:highlight w:val="none"/>
              </w:rPr>
            </w:pPr>
          </w:p>
        </w:tc>
      </w:tr>
      <w:tr w14:paraId="3C06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3BDE2A43">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学   历</w:t>
            </w:r>
          </w:p>
        </w:tc>
        <w:tc>
          <w:tcPr>
            <w:tcW w:w="1713" w:type="dxa"/>
            <w:tcBorders>
              <w:top w:val="single" w:color="auto" w:sz="4" w:space="0"/>
              <w:left w:val="single" w:color="auto" w:sz="4" w:space="0"/>
              <w:bottom w:val="single" w:color="auto" w:sz="4" w:space="0"/>
              <w:right w:val="single" w:color="auto" w:sz="4" w:space="0"/>
            </w:tcBorders>
            <w:vAlign w:val="center"/>
          </w:tcPr>
          <w:p w14:paraId="26FB6987">
            <w:pPr>
              <w:adjustRightInd w:val="0"/>
              <w:jc w:val="center"/>
              <w:outlineLvl w:val="9"/>
              <w:rPr>
                <w:rFonts w:hint="eastAsia" w:ascii="宋体" w:hAnsi="宋体" w:eastAsia="宋体" w:cs="宋体"/>
                <w:color w:val="auto"/>
                <w:szCs w:val="21"/>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7A7C7162">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毕业学校</w:t>
            </w:r>
          </w:p>
        </w:tc>
        <w:tc>
          <w:tcPr>
            <w:tcW w:w="1388" w:type="dxa"/>
            <w:tcBorders>
              <w:top w:val="single" w:color="auto" w:sz="4" w:space="0"/>
              <w:left w:val="single" w:color="auto" w:sz="4" w:space="0"/>
              <w:bottom w:val="single" w:color="auto" w:sz="4" w:space="0"/>
              <w:right w:val="single" w:color="auto" w:sz="4" w:space="0"/>
            </w:tcBorders>
            <w:vAlign w:val="center"/>
          </w:tcPr>
          <w:p w14:paraId="18AC8BF1">
            <w:pPr>
              <w:adjustRightInd w:val="0"/>
              <w:jc w:val="center"/>
              <w:outlineLvl w:val="9"/>
              <w:rPr>
                <w:rFonts w:hint="eastAsia" w:ascii="宋体" w:hAnsi="宋体" w:eastAsia="宋体" w:cs="宋体"/>
                <w:color w:val="auto"/>
                <w:szCs w:val="21"/>
                <w:highlight w:val="none"/>
              </w:rPr>
            </w:pPr>
          </w:p>
        </w:tc>
        <w:tc>
          <w:tcPr>
            <w:tcW w:w="1796" w:type="dxa"/>
            <w:tcBorders>
              <w:top w:val="single" w:color="auto" w:sz="4" w:space="0"/>
              <w:left w:val="single" w:color="auto" w:sz="4" w:space="0"/>
              <w:bottom w:val="single" w:color="auto" w:sz="4" w:space="0"/>
              <w:right w:val="single" w:color="auto" w:sz="4" w:space="0"/>
            </w:tcBorders>
            <w:vAlign w:val="center"/>
          </w:tcPr>
          <w:p w14:paraId="5883F3C6">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1263" w:type="dxa"/>
            <w:tcBorders>
              <w:top w:val="single" w:color="auto" w:sz="4" w:space="0"/>
              <w:left w:val="single" w:color="auto" w:sz="4" w:space="0"/>
              <w:bottom w:val="single" w:color="auto" w:sz="4" w:space="0"/>
              <w:right w:val="single" w:color="auto" w:sz="4" w:space="0"/>
            </w:tcBorders>
            <w:vAlign w:val="center"/>
          </w:tcPr>
          <w:p w14:paraId="456315F6">
            <w:pPr>
              <w:adjustRightInd w:val="0"/>
              <w:jc w:val="center"/>
              <w:outlineLvl w:val="9"/>
              <w:rPr>
                <w:rFonts w:hint="eastAsia" w:ascii="宋体" w:hAnsi="宋体" w:eastAsia="宋体" w:cs="宋体"/>
                <w:color w:val="auto"/>
                <w:szCs w:val="21"/>
                <w:highlight w:val="none"/>
              </w:rPr>
            </w:pPr>
          </w:p>
        </w:tc>
      </w:tr>
      <w:tr w14:paraId="59F6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4E7E652B">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公司职务</w:t>
            </w:r>
          </w:p>
        </w:tc>
        <w:tc>
          <w:tcPr>
            <w:tcW w:w="1713" w:type="dxa"/>
            <w:tcBorders>
              <w:top w:val="single" w:color="auto" w:sz="4" w:space="0"/>
              <w:left w:val="single" w:color="auto" w:sz="4" w:space="0"/>
              <w:bottom w:val="single" w:color="auto" w:sz="4" w:space="0"/>
              <w:right w:val="single" w:color="auto" w:sz="4" w:space="0"/>
            </w:tcBorders>
            <w:vAlign w:val="center"/>
          </w:tcPr>
          <w:p w14:paraId="1D009B5A">
            <w:pPr>
              <w:adjustRightInd w:val="0"/>
              <w:jc w:val="center"/>
              <w:outlineLvl w:val="9"/>
              <w:rPr>
                <w:rFonts w:hint="eastAsia" w:ascii="宋体" w:hAnsi="宋体" w:eastAsia="宋体" w:cs="宋体"/>
                <w:color w:val="auto"/>
                <w:szCs w:val="21"/>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79C0278E">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任职时间</w:t>
            </w:r>
          </w:p>
        </w:tc>
        <w:tc>
          <w:tcPr>
            <w:tcW w:w="1388" w:type="dxa"/>
            <w:tcBorders>
              <w:top w:val="single" w:color="auto" w:sz="4" w:space="0"/>
              <w:left w:val="single" w:color="auto" w:sz="4" w:space="0"/>
              <w:bottom w:val="single" w:color="auto" w:sz="4" w:space="0"/>
              <w:right w:val="single" w:color="auto" w:sz="4" w:space="0"/>
            </w:tcBorders>
            <w:vAlign w:val="center"/>
          </w:tcPr>
          <w:p w14:paraId="787E9F68">
            <w:pPr>
              <w:adjustRightInd w:val="0"/>
              <w:jc w:val="center"/>
              <w:outlineLvl w:val="9"/>
              <w:rPr>
                <w:rFonts w:hint="eastAsia" w:ascii="宋体" w:hAnsi="宋体" w:eastAsia="宋体" w:cs="宋体"/>
                <w:color w:val="auto"/>
                <w:szCs w:val="21"/>
                <w:highlight w:val="none"/>
              </w:rPr>
            </w:pPr>
          </w:p>
        </w:tc>
        <w:tc>
          <w:tcPr>
            <w:tcW w:w="1796" w:type="dxa"/>
            <w:tcBorders>
              <w:top w:val="single" w:color="auto" w:sz="4" w:space="0"/>
              <w:left w:val="single" w:color="auto" w:sz="4" w:space="0"/>
              <w:bottom w:val="single" w:color="auto" w:sz="4" w:space="0"/>
              <w:right w:val="single" w:color="auto" w:sz="4" w:space="0"/>
            </w:tcBorders>
            <w:vAlign w:val="center"/>
          </w:tcPr>
          <w:p w14:paraId="238275E3">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拟在本项目任职岗位</w:t>
            </w:r>
          </w:p>
        </w:tc>
        <w:tc>
          <w:tcPr>
            <w:tcW w:w="1263" w:type="dxa"/>
            <w:tcBorders>
              <w:top w:val="single" w:color="auto" w:sz="4" w:space="0"/>
              <w:left w:val="single" w:color="auto" w:sz="4" w:space="0"/>
              <w:bottom w:val="single" w:color="auto" w:sz="4" w:space="0"/>
              <w:right w:val="single" w:color="auto" w:sz="4" w:space="0"/>
            </w:tcBorders>
            <w:vAlign w:val="center"/>
          </w:tcPr>
          <w:p w14:paraId="5E1FDDF3">
            <w:pPr>
              <w:adjustRightInd w:val="0"/>
              <w:jc w:val="center"/>
              <w:outlineLvl w:val="9"/>
              <w:rPr>
                <w:rFonts w:hint="eastAsia" w:ascii="宋体" w:hAnsi="宋体" w:eastAsia="宋体" w:cs="宋体"/>
                <w:color w:val="auto"/>
                <w:szCs w:val="21"/>
                <w:highlight w:val="none"/>
              </w:rPr>
            </w:pPr>
          </w:p>
        </w:tc>
      </w:tr>
      <w:tr w14:paraId="518E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vAlign w:val="center"/>
          </w:tcPr>
          <w:p w14:paraId="64A7D01C">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人员级别</w:t>
            </w:r>
          </w:p>
        </w:tc>
        <w:tc>
          <w:tcPr>
            <w:tcW w:w="1713" w:type="dxa"/>
            <w:tcBorders>
              <w:top w:val="single" w:color="auto" w:sz="4" w:space="0"/>
              <w:left w:val="single" w:color="auto" w:sz="4" w:space="0"/>
              <w:bottom w:val="single" w:color="auto" w:sz="4" w:space="0"/>
              <w:right w:val="single" w:color="auto" w:sz="4" w:space="0"/>
            </w:tcBorders>
            <w:vAlign w:val="center"/>
          </w:tcPr>
          <w:p w14:paraId="2CDAE65C">
            <w:pPr>
              <w:adjustRightInd w:val="0"/>
              <w:jc w:val="center"/>
              <w:outlineLvl w:val="9"/>
              <w:rPr>
                <w:rFonts w:hint="eastAsia" w:ascii="宋体" w:hAnsi="宋体" w:eastAsia="宋体" w:cs="宋体"/>
                <w:color w:val="auto"/>
                <w:szCs w:val="21"/>
                <w:highlight w:val="none"/>
              </w:rPr>
            </w:pPr>
          </w:p>
        </w:tc>
        <w:tc>
          <w:tcPr>
            <w:tcW w:w="1505" w:type="dxa"/>
            <w:tcBorders>
              <w:top w:val="single" w:color="auto" w:sz="4" w:space="0"/>
              <w:left w:val="single" w:color="auto" w:sz="4" w:space="0"/>
              <w:bottom w:val="single" w:color="auto" w:sz="4" w:space="0"/>
              <w:right w:val="single" w:color="auto" w:sz="4" w:space="0"/>
            </w:tcBorders>
            <w:vAlign w:val="center"/>
          </w:tcPr>
          <w:p w14:paraId="3FD3258F">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从事工作年限</w:t>
            </w:r>
          </w:p>
        </w:tc>
        <w:tc>
          <w:tcPr>
            <w:tcW w:w="1388" w:type="dxa"/>
            <w:tcBorders>
              <w:top w:val="single" w:color="auto" w:sz="4" w:space="0"/>
              <w:left w:val="single" w:color="auto" w:sz="4" w:space="0"/>
              <w:bottom w:val="single" w:color="auto" w:sz="4" w:space="0"/>
              <w:right w:val="single" w:color="auto" w:sz="4" w:space="0"/>
            </w:tcBorders>
            <w:vAlign w:val="center"/>
          </w:tcPr>
          <w:p w14:paraId="2FAB8EE2">
            <w:pPr>
              <w:adjustRightInd w:val="0"/>
              <w:jc w:val="center"/>
              <w:outlineLvl w:val="9"/>
              <w:rPr>
                <w:rFonts w:hint="eastAsia" w:ascii="宋体" w:hAnsi="宋体" w:eastAsia="宋体" w:cs="宋体"/>
                <w:color w:val="auto"/>
                <w:szCs w:val="21"/>
                <w:highlight w:val="none"/>
              </w:rPr>
            </w:pPr>
          </w:p>
        </w:tc>
        <w:tc>
          <w:tcPr>
            <w:tcW w:w="1796" w:type="dxa"/>
            <w:tcBorders>
              <w:top w:val="single" w:color="auto" w:sz="4" w:space="0"/>
              <w:left w:val="single" w:color="auto" w:sz="4" w:space="0"/>
              <w:bottom w:val="single" w:color="auto" w:sz="4" w:space="0"/>
              <w:right w:val="single" w:color="auto" w:sz="4" w:space="0"/>
            </w:tcBorders>
            <w:vAlign w:val="center"/>
          </w:tcPr>
          <w:p w14:paraId="1C9E0DA4">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具有同类岗位的项目个数</w:t>
            </w:r>
          </w:p>
        </w:tc>
        <w:tc>
          <w:tcPr>
            <w:tcW w:w="1263" w:type="dxa"/>
            <w:tcBorders>
              <w:top w:val="single" w:color="auto" w:sz="4" w:space="0"/>
              <w:left w:val="single" w:color="auto" w:sz="4" w:space="0"/>
              <w:bottom w:val="single" w:color="auto" w:sz="4" w:space="0"/>
              <w:right w:val="single" w:color="auto" w:sz="4" w:space="0"/>
            </w:tcBorders>
            <w:vAlign w:val="center"/>
          </w:tcPr>
          <w:p w14:paraId="4E90366B">
            <w:pPr>
              <w:adjustRightInd w:val="0"/>
              <w:jc w:val="center"/>
              <w:outlineLvl w:val="9"/>
              <w:rPr>
                <w:rFonts w:hint="eastAsia" w:ascii="宋体" w:hAnsi="宋体" w:eastAsia="宋体" w:cs="宋体"/>
                <w:color w:val="auto"/>
                <w:szCs w:val="21"/>
                <w:highlight w:val="none"/>
              </w:rPr>
            </w:pPr>
          </w:p>
        </w:tc>
      </w:tr>
      <w:tr w14:paraId="7104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vAlign w:val="center"/>
          </w:tcPr>
          <w:p w14:paraId="664186AC">
            <w:pPr>
              <w:adjustRightInd w:val="0"/>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资格证书、认证证书</w:t>
            </w:r>
          </w:p>
        </w:tc>
        <w:tc>
          <w:tcPr>
            <w:tcW w:w="7665" w:type="dxa"/>
            <w:gridSpan w:val="5"/>
            <w:tcBorders>
              <w:top w:val="single" w:color="auto" w:sz="4" w:space="0"/>
              <w:left w:val="single" w:color="auto" w:sz="4" w:space="0"/>
              <w:bottom w:val="single" w:color="auto" w:sz="4" w:space="0"/>
              <w:right w:val="single" w:color="auto" w:sz="4" w:space="0"/>
            </w:tcBorders>
            <w:vAlign w:val="center"/>
          </w:tcPr>
          <w:p w14:paraId="4A2B0FB4">
            <w:pPr>
              <w:adjustRightInd w:val="0"/>
              <w:jc w:val="center"/>
              <w:outlineLvl w:val="9"/>
              <w:rPr>
                <w:rFonts w:hint="eastAsia" w:ascii="宋体" w:hAnsi="宋体" w:eastAsia="宋体" w:cs="宋体"/>
                <w:color w:val="auto"/>
                <w:szCs w:val="21"/>
                <w:highlight w:val="none"/>
              </w:rPr>
            </w:pPr>
          </w:p>
        </w:tc>
      </w:tr>
      <w:tr w14:paraId="3C37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vAlign w:val="top"/>
          </w:tcPr>
          <w:p w14:paraId="3E421191">
            <w:pP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工作简历及主要业绩</w:t>
            </w:r>
          </w:p>
          <w:p w14:paraId="3D054091">
            <w:pPr>
              <w:adjustRightInd w:val="0"/>
              <w:outlineLvl w:val="9"/>
              <w:rPr>
                <w:rFonts w:hint="eastAsia" w:ascii="宋体" w:hAnsi="宋体" w:eastAsia="宋体" w:cs="宋体"/>
                <w:color w:val="auto"/>
                <w:szCs w:val="21"/>
                <w:highlight w:val="none"/>
              </w:rPr>
            </w:pPr>
          </w:p>
        </w:tc>
      </w:tr>
    </w:tbl>
    <w:p w14:paraId="0DFC782F">
      <w:pPr>
        <w:topLinePunct/>
        <w:autoSpaceDE w:val="0"/>
        <w:autoSpaceDN w:val="0"/>
        <w:spacing w:line="360" w:lineRule="auto"/>
        <w:ind w:firstLine="420" w:firstLineChars="200"/>
        <w:outlineLvl w:val="9"/>
        <w:rPr>
          <w:rFonts w:hint="eastAsia" w:ascii="宋体" w:hAnsi="宋体" w:eastAsia="宋体" w:cs="宋体"/>
          <w:color w:val="auto"/>
          <w:szCs w:val="21"/>
          <w:highlight w:val="none"/>
        </w:rPr>
      </w:pPr>
    </w:p>
    <w:p w14:paraId="3A1EE3CA">
      <w:pPr>
        <w:spacing w:line="360" w:lineRule="auto"/>
        <w:ind w:firstLine="420" w:firstLineChars="200"/>
        <w:jc w:val="center"/>
        <w:outlineLvl w:val="9"/>
        <w:rPr>
          <w:rFonts w:hint="eastAsia" w:ascii="宋体" w:hAnsi="宋体" w:eastAsia="宋体" w:cs="宋体"/>
          <w:color w:val="auto"/>
          <w:kern w:val="0"/>
          <w:szCs w:val="21"/>
          <w:highlight w:val="none"/>
        </w:rPr>
      </w:pPr>
    </w:p>
    <w:p w14:paraId="523A5359">
      <w:pPr>
        <w:widowControl/>
        <w:jc w:val="left"/>
        <w:outlineLvl w:val="9"/>
        <w:rPr>
          <w:rFonts w:hint="eastAsia" w:ascii="宋体" w:hAnsi="宋体" w:eastAsia="宋体" w:cs="宋体"/>
          <w:color w:val="auto"/>
          <w:kern w:val="0"/>
          <w:szCs w:val="21"/>
          <w:highlight w:val="none"/>
        </w:rPr>
      </w:pPr>
    </w:p>
    <w:p w14:paraId="34D55A54">
      <w:pPr>
        <w:widowControl/>
        <w:jc w:val="left"/>
        <w:outlineLvl w:val="9"/>
        <w:rPr>
          <w:rFonts w:hint="eastAsia" w:ascii="宋体" w:hAnsi="宋体" w:eastAsia="宋体" w:cs="宋体"/>
          <w:b/>
          <w:bCs/>
          <w:color w:val="auto"/>
          <w:sz w:val="28"/>
          <w:szCs w:val="28"/>
          <w:highlight w:val="none"/>
        </w:rPr>
      </w:pPr>
    </w:p>
    <w:p w14:paraId="76046B0C">
      <w:pPr>
        <w:widowControl/>
        <w:jc w:val="left"/>
        <w:outlineLvl w:val="9"/>
        <w:rPr>
          <w:rFonts w:hint="eastAsia" w:ascii="宋体" w:hAnsi="宋体" w:eastAsia="宋体" w:cs="宋体"/>
          <w:color w:val="auto"/>
          <w:kern w:val="0"/>
          <w:szCs w:val="21"/>
          <w:highlight w:val="none"/>
        </w:rPr>
      </w:pPr>
    </w:p>
    <w:p w14:paraId="11E1CAAB">
      <w:pPr>
        <w:widowControl/>
        <w:jc w:val="left"/>
        <w:outlineLvl w:val="9"/>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572B8C78">
      <w:pPr>
        <w:widowControl/>
        <w:jc w:val="center"/>
        <w:textAlignment w:val="baseline"/>
        <w:outlineLvl w:val="9"/>
        <w:rPr>
          <w:rFonts w:hint="eastAsia" w:ascii="宋体" w:hAnsi="宋体" w:eastAsia="宋体" w:cs="宋体"/>
          <w:b/>
          <w:bCs/>
          <w:color w:val="auto"/>
          <w:kern w:val="0"/>
          <w:sz w:val="28"/>
          <w:szCs w:val="28"/>
          <w:highlight w:val="none"/>
        </w:rPr>
      </w:pPr>
      <w:bookmarkStart w:id="83" w:name="OLE_LINK20"/>
      <w:r>
        <w:rPr>
          <w:rFonts w:hint="eastAsia" w:ascii="宋体" w:hAnsi="宋体" w:eastAsia="宋体" w:cs="宋体"/>
          <w:b/>
          <w:bCs/>
          <w:color w:val="auto"/>
          <w:kern w:val="0"/>
          <w:sz w:val="28"/>
          <w:szCs w:val="28"/>
          <w:highlight w:val="none"/>
        </w:rPr>
        <w:t>格式12稳定性承诺</w:t>
      </w:r>
    </w:p>
    <w:p w14:paraId="208A8252">
      <w:pPr>
        <w:widowControl/>
        <w:jc w:val="center"/>
        <w:textAlignment w:val="baseline"/>
        <w:outlineLvl w:val="9"/>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（格式自拟）</w:t>
      </w:r>
    </w:p>
    <w:p w14:paraId="36D875B6">
      <w:pPr>
        <w:widowControl/>
        <w:jc w:val="center"/>
        <w:textAlignment w:val="baseline"/>
        <w:outlineLvl w:val="9"/>
        <w:rPr>
          <w:rFonts w:hint="eastAsia" w:ascii="宋体" w:hAnsi="宋体" w:eastAsia="宋体" w:cs="宋体"/>
          <w:b/>
          <w:bCs/>
          <w:color w:val="auto"/>
          <w:kern w:val="0"/>
          <w:sz w:val="28"/>
          <w:szCs w:val="28"/>
          <w:highlight w:val="none"/>
        </w:rPr>
      </w:pPr>
    </w:p>
    <w:p w14:paraId="285703AC">
      <w:pPr>
        <w:widowControl/>
        <w:jc w:val="center"/>
        <w:textAlignment w:val="baseline"/>
        <w:outlineLvl w:val="9"/>
        <w:rPr>
          <w:rFonts w:hint="eastAsia" w:ascii="宋体" w:hAnsi="宋体" w:eastAsia="宋体" w:cs="宋体"/>
          <w:b/>
          <w:bCs/>
          <w:color w:val="auto"/>
          <w:kern w:val="0"/>
          <w:sz w:val="28"/>
          <w:szCs w:val="28"/>
          <w:highlight w:val="none"/>
        </w:rPr>
      </w:pPr>
    </w:p>
    <w:p w14:paraId="2DBEB52B">
      <w:pPr>
        <w:widowControl/>
        <w:jc w:val="center"/>
        <w:textAlignment w:val="baseline"/>
        <w:outlineLvl w:val="9"/>
        <w:rPr>
          <w:rFonts w:hint="eastAsia" w:ascii="宋体" w:hAnsi="宋体" w:eastAsia="宋体" w:cs="宋体"/>
          <w:b/>
          <w:bCs/>
          <w:color w:val="auto"/>
          <w:kern w:val="0"/>
          <w:sz w:val="28"/>
          <w:szCs w:val="28"/>
          <w:highlight w:val="none"/>
        </w:rPr>
      </w:pPr>
    </w:p>
    <w:p w14:paraId="7EFAD585">
      <w:pPr>
        <w:widowControl/>
        <w:jc w:val="center"/>
        <w:textAlignment w:val="baseline"/>
        <w:outlineLvl w:val="9"/>
        <w:rPr>
          <w:rFonts w:hint="eastAsia" w:ascii="宋体" w:hAnsi="宋体" w:eastAsia="宋体" w:cs="宋体"/>
          <w:b/>
          <w:bCs/>
          <w:color w:val="auto"/>
          <w:kern w:val="0"/>
          <w:sz w:val="28"/>
          <w:szCs w:val="28"/>
          <w:highlight w:val="none"/>
        </w:rPr>
      </w:pPr>
    </w:p>
    <w:p w14:paraId="6AFFA896">
      <w:pPr>
        <w:widowControl/>
        <w:jc w:val="center"/>
        <w:textAlignment w:val="baseline"/>
        <w:outlineLvl w:val="9"/>
        <w:rPr>
          <w:rFonts w:hint="eastAsia" w:ascii="宋体" w:hAnsi="宋体" w:eastAsia="宋体" w:cs="宋体"/>
          <w:b/>
          <w:bCs/>
          <w:color w:val="auto"/>
          <w:kern w:val="0"/>
          <w:sz w:val="28"/>
          <w:szCs w:val="28"/>
          <w:highlight w:val="none"/>
        </w:rPr>
      </w:pPr>
    </w:p>
    <w:p w14:paraId="33416019">
      <w:pPr>
        <w:widowControl/>
        <w:jc w:val="center"/>
        <w:textAlignment w:val="baseline"/>
        <w:outlineLvl w:val="9"/>
        <w:rPr>
          <w:rFonts w:hint="eastAsia" w:ascii="宋体" w:hAnsi="宋体" w:eastAsia="宋体" w:cs="宋体"/>
          <w:b/>
          <w:bCs/>
          <w:color w:val="auto"/>
          <w:kern w:val="0"/>
          <w:sz w:val="28"/>
          <w:szCs w:val="28"/>
          <w:highlight w:val="none"/>
        </w:rPr>
      </w:pPr>
    </w:p>
    <w:p w14:paraId="09C14390">
      <w:pPr>
        <w:widowControl/>
        <w:jc w:val="center"/>
        <w:textAlignment w:val="baseline"/>
        <w:outlineLvl w:val="9"/>
        <w:rPr>
          <w:rFonts w:hint="eastAsia" w:ascii="宋体" w:hAnsi="宋体" w:eastAsia="宋体" w:cs="宋体"/>
          <w:b/>
          <w:bCs/>
          <w:color w:val="auto"/>
          <w:kern w:val="0"/>
          <w:sz w:val="28"/>
          <w:szCs w:val="28"/>
          <w:highlight w:val="none"/>
        </w:rPr>
      </w:pPr>
    </w:p>
    <w:p w14:paraId="11A55839">
      <w:pPr>
        <w:widowControl/>
        <w:jc w:val="center"/>
        <w:textAlignment w:val="baseline"/>
        <w:outlineLvl w:val="9"/>
        <w:rPr>
          <w:rFonts w:hint="eastAsia" w:ascii="宋体" w:hAnsi="宋体" w:eastAsia="宋体" w:cs="宋体"/>
          <w:b/>
          <w:bCs/>
          <w:color w:val="auto"/>
          <w:kern w:val="0"/>
          <w:sz w:val="28"/>
          <w:szCs w:val="28"/>
          <w:highlight w:val="none"/>
        </w:rPr>
      </w:pPr>
    </w:p>
    <w:p w14:paraId="79D895EC">
      <w:pPr>
        <w:widowControl/>
        <w:jc w:val="center"/>
        <w:textAlignment w:val="baseline"/>
        <w:outlineLvl w:val="9"/>
        <w:rPr>
          <w:rFonts w:hint="eastAsia" w:ascii="宋体" w:hAnsi="宋体" w:eastAsia="宋体" w:cs="宋体"/>
          <w:b/>
          <w:bCs/>
          <w:color w:val="auto"/>
          <w:kern w:val="0"/>
          <w:sz w:val="28"/>
          <w:szCs w:val="28"/>
          <w:highlight w:val="none"/>
        </w:rPr>
      </w:pPr>
    </w:p>
    <w:p w14:paraId="5AB22C2E">
      <w:pPr>
        <w:widowControl/>
        <w:jc w:val="center"/>
        <w:textAlignment w:val="baseline"/>
        <w:outlineLvl w:val="9"/>
        <w:rPr>
          <w:rFonts w:hint="eastAsia" w:ascii="宋体" w:hAnsi="宋体" w:eastAsia="宋体" w:cs="宋体"/>
          <w:b/>
          <w:bCs/>
          <w:color w:val="auto"/>
          <w:kern w:val="0"/>
          <w:sz w:val="28"/>
          <w:szCs w:val="28"/>
          <w:highlight w:val="none"/>
        </w:rPr>
      </w:pPr>
    </w:p>
    <w:p w14:paraId="0444D593">
      <w:pPr>
        <w:widowControl/>
        <w:jc w:val="center"/>
        <w:textAlignment w:val="baseline"/>
        <w:outlineLvl w:val="9"/>
        <w:rPr>
          <w:rFonts w:hint="eastAsia" w:ascii="宋体" w:hAnsi="宋体" w:eastAsia="宋体" w:cs="宋体"/>
          <w:b/>
          <w:bCs/>
          <w:color w:val="auto"/>
          <w:kern w:val="0"/>
          <w:sz w:val="28"/>
          <w:szCs w:val="28"/>
          <w:highlight w:val="none"/>
        </w:rPr>
      </w:pPr>
    </w:p>
    <w:p w14:paraId="184C14CE">
      <w:pPr>
        <w:widowControl/>
        <w:jc w:val="center"/>
        <w:textAlignment w:val="baseline"/>
        <w:outlineLvl w:val="9"/>
        <w:rPr>
          <w:rFonts w:hint="eastAsia" w:ascii="宋体" w:hAnsi="宋体" w:eastAsia="宋体" w:cs="宋体"/>
          <w:b/>
          <w:bCs/>
          <w:color w:val="auto"/>
          <w:kern w:val="0"/>
          <w:sz w:val="28"/>
          <w:szCs w:val="28"/>
          <w:highlight w:val="none"/>
        </w:rPr>
      </w:pPr>
    </w:p>
    <w:p w14:paraId="5414B7E1">
      <w:pPr>
        <w:widowControl/>
        <w:jc w:val="center"/>
        <w:textAlignment w:val="baseline"/>
        <w:outlineLvl w:val="9"/>
        <w:rPr>
          <w:rFonts w:hint="eastAsia" w:ascii="宋体" w:hAnsi="宋体" w:eastAsia="宋体" w:cs="宋体"/>
          <w:b/>
          <w:bCs/>
          <w:color w:val="auto"/>
          <w:kern w:val="0"/>
          <w:sz w:val="28"/>
          <w:szCs w:val="28"/>
          <w:highlight w:val="none"/>
        </w:rPr>
      </w:pPr>
    </w:p>
    <w:p w14:paraId="672900AC">
      <w:pPr>
        <w:widowControl/>
        <w:jc w:val="center"/>
        <w:textAlignment w:val="baseline"/>
        <w:outlineLvl w:val="9"/>
        <w:rPr>
          <w:rFonts w:hint="eastAsia" w:ascii="宋体" w:hAnsi="宋体" w:eastAsia="宋体" w:cs="宋体"/>
          <w:b/>
          <w:bCs/>
          <w:color w:val="auto"/>
          <w:kern w:val="0"/>
          <w:sz w:val="28"/>
          <w:szCs w:val="28"/>
          <w:highlight w:val="none"/>
        </w:rPr>
      </w:pPr>
    </w:p>
    <w:p w14:paraId="0F744824">
      <w:pPr>
        <w:widowControl/>
        <w:jc w:val="center"/>
        <w:textAlignment w:val="baseline"/>
        <w:outlineLvl w:val="9"/>
        <w:rPr>
          <w:rFonts w:hint="eastAsia" w:ascii="宋体" w:hAnsi="宋体" w:eastAsia="宋体" w:cs="宋体"/>
          <w:b/>
          <w:bCs/>
          <w:color w:val="auto"/>
          <w:kern w:val="0"/>
          <w:sz w:val="28"/>
          <w:szCs w:val="28"/>
          <w:highlight w:val="none"/>
        </w:rPr>
      </w:pPr>
    </w:p>
    <w:p w14:paraId="53EBB722">
      <w:pPr>
        <w:widowControl/>
        <w:jc w:val="center"/>
        <w:textAlignment w:val="baseline"/>
        <w:outlineLvl w:val="9"/>
        <w:rPr>
          <w:rFonts w:hint="eastAsia" w:ascii="宋体" w:hAnsi="宋体" w:eastAsia="宋体" w:cs="宋体"/>
          <w:b/>
          <w:bCs/>
          <w:color w:val="auto"/>
          <w:kern w:val="0"/>
          <w:sz w:val="28"/>
          <w:szCs w:val="28"/>
          <w:highlight w:val="none"/>
        </w:rPr>
      </w:pPr>
    </w:p>
    <w:p w14:paraId="49017691">
      <w:pPr>
        <w:widowControl/>
        <w:jc w:val="center"/>
        <w:textAlignment w:val="baseline"/>
        <w:outlineLvl w:val="9"/>
        <w:rPr>
          <w:rFonts w:hint="eastAsia" w:ascii="宋体" w:hAnsi="宋体" w:eastAsia="宋体" w:cs="宋体"/>
          <w:b/>
          <w:bCs/>
          <w:color w:val="auto"/>
          <w:kern w:val="0"/>
          <w:sz w:val="28"/>
          <w:szCs w:val="28"/>
          <w:highlight w:val="none"/>
        </w:rPr>
      </w:pPr>
    </w:p>
    <w:p w14:paraId="2CC3B3A0">
      <w:pPr>
        <w:widowControl/>
        <w:jc w:val="center"/>
        <w:textAlignment w:val="baseline"/>
        <w:outlineLvl w:val="9"/>
        <w:rPr>
          <w:rFonts w:hint="eastAsia" w:ascii="宋体" w:hAnsi="宋体" w:eastAsia="宋体" w:cs="宋体"/>
          <w:b/>
          <w:bCs/>
          <w:color w:val="auto"/>
          <w:kern w:val="0"/>
          <w:sz w:val="28"/>
          <w:szCs w:val="28"/>
          <w:highlight w:val="none"/>
        </w:rPr>
      </w:pPr>
    </w:p>
    <w:p w14:paraId="195FA664">
      <w:pPr>
        <w:widowControl/>
        <w:jc w:val="center"/>
        <w:textAlignment w:val="baseline"/>
        <w:outlineLvl w:val="9"/>
        <w:rPr>
          <w:rFonts w:hint="eastAsia" w:ascii="宋体" w:hAnsi="宋体" w:eastAsia="宋体" w:cs="宋体"/>
          <w:b/>
          <w:bCs/>
          <w:color w:val="auto"/>
          <w:kern w:val="0"/>
          <w:sz w:val="28"/>
          <w:szCs w:val="28"/>
          <w:highlight w:val="none"/>
        </w:rPr>
      </w:pPr>
    </w:p>
    <w:p w14:paraId="06C98B14">
      <w:pPr>
        <w:widowControl/>
        <w:jc w:val="center"/>
        <w:textAlignment w:val="baseline"/>
        <w:outlineLvl w:val="9"/>
        <w:rPr>
          <w:rFonts w:hint="eastAsia" w:ascii="宋体" w:hAnsi="宋体" w:eastAsia="宋体" w:cs="宋体"/>
          <w:b/>
          <w:bCs/>
          <w:color w:val="auto"/>
          <w:kern w:val="0"/>
          <w:sz w:val="28"/>
          <w:szCs w:val="28"/>
          <w:highlight w:val="none"/>
        </w:rPr>
      </w:pPr>
    </w:p>
    <w:bookmarkEnd w:id="83"/>
    <w:p w14:paraId="3AF5EEB5">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格式13项目需求理解</w:t>
      </w:r>
    </w:p>
    <w:p w14:paraId="5C0F0BE8">
      <w:pPr>
        <w:spacing w:line="360" w:lineRule="auto"/>
        <w:ind w:firstLine="562"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b/>
          <w:bCs/>
          <w:color w:val="auto"/>
          <w:kern w:val="0"/>
          <w:sz w:val="28"/>
          <w:szCs w:val="28"/>
          <w:highlight w:val="none"/>
        </w:rPr>
        <w:t>（格式自拟）</w:t>
      </w:r>
    </w:p>
    <w:p w14:paraId="67EC6CCD">
      <w:pPr>
        <w:spacing w:line="360" w:lineRule="auto"/>
        <w:ind w:firstLine="420" w:firstLineChars="200"/>
        <w:jc w:val="left"/>
        <w:outlineLvl w:val="9"/>
        <w:rPr>
          <w:rFonts w:hint="eastAsia" w:ascii="宋体" w:hAnsi="宋体" w:eastAsia="宋体" w:cs="宋体"/>
          <w:color w:val="auto"/>
          <w:kern w:val="0"/>
          <w:szCs w:val="21"/>
          <w:highlight w:val="none"/>
        </w:rPr>
      </w:pPr>
    </w:p>
    <w:p w14:paraId="0E12D3E2">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格式14服务方案</w:t>
      </w:r>
    </w:p>
    <w:p w14:paraId="4EE7F83D">
      <w:pPr>
        <w:spacing w:line="360" w:lineRule="auto"/>
        <w:ind w:firstLine="562"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b/>
          <w:bCs/>
          <w:color w:val="auto"/>
          <w:kern w:val="0"/>
          <w:sz w:val="28"/>
          <w:szCs w:val="28"/>
          <w:highlight w:val="none"/>
        </w:rPr>
        <w:t>（格式自拟）</w:t>
      </w:r>
    </w:p>
    <w:p w14:paraId="7A47AE2F">
      <w:pPr>
        <w:spacing w:line="360" w:lineRule="auto"/>
        <w:ind w:firstLine="420" w:firstLineChars="200"/>
        <w:jc w:val="center"/>
        <w:outlineLvl w:val="9"/>
        <w:rPr>
          <w:rFonts w:hint="eastAsia" w:ascii="宋体" w:hAnsi="宋体" w:eastAsia="宋体" w:cs="宋体"/>
          <w:color w:val="auto"/>
          <w:kern w:val="0"/>
          <w:szCs w:val="21"/>
          <w:highlight w:val="none"/>
        </w:rPr>
      </w:pPr>
    </w:p>
    <w:p w14:paraId="35A8C6C7">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格式15应急保障方案</w:t>
      </w:r>
    </w:p>
    <w:p w14:paraId="3FEED414">
      <w:pPr>
        <w:spacing w:line="360" w:lineRule="auto"/>
        <w:ind w:firstLine="562"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b/>
          <w:bCs/>
          <w:color w:val="auto"/>
          <w:kern w:val="0"/>
          <w:sz w:val="28"/>
          <w:szCs w:val="28"/>
          <w:highlight w:val="none"/>
        </w:rPr>
        <w:t>（格式自拟）</w:t>
      </w:r>
    </w:p>
    <w:p w14:paraId="4936B171">
      <w:pPr>
        <w:spacing w:line="360" w:lineRule="auto"/>
        <w:ind w:firstLine="420" w:firstLineChars="200"/>
        <w:jc w:val="center"/>
        <w:outlineLvl w:val="9"/>
        <w:rPr>
          <w:rFonts w:hint="eastAsia" w:ascii="宋体" w:hAnsi="宋体" w:eastAsia="宋体" w:cs="宋体"/>
          <w:color w:val="auto"/>
          <w:kern w:val="0"/>
          <w:szCs w:val="21"/>
          <w:highlight w:val="none"/>
        </w:rPr>
      </w:pPr>
    </w:p>
    <w:p w14:paraId="7829AE82">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格式16管理实施方案</w:t>
      </w:r>
    </w:p>
    <w:p w14:paraId="62B06938">
      <w:pPr>
        <w:spacing w:line="360" w:lineRule="auto"/>
        <w:ind w:firstLine="562"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b/>
          <w:bCs/>
          <w:color w:val="auto"/>
          <w:kern w:val="0"/>
          <w:sz w:val="28"/>
          <w:szCs w:val="28"/>
          <w:highlight w:val="none"/>
        </w:rPr>
        <w:t>（格式自拟）</w:t>
      </w:r>
    </w:p>
    <w:p w14:paraId="5D512D26">
      <w:pPr>
        <w:jc w:val="center"/>
        <w:outlineLvl w:val="9"/>
        <w:rPr>
          <w:rFonts w:hint="eastAsia" w:ascii="宋体" w:hAnsi="宋体" w:eastAsia="宋体" w:cs="宋体"/>
          <w:b/>
          <w:bCs/>
          <w:color w:val="auto"/>
          <w:sz w:val="28"/>
          <w:szCs w:val="28"/>
          <w:highlight w:val="none"/>
        </w:rPr>
      </w:pPr>
    </w:p>
    <w:p w14:paraId="110B8163">
      <w:pPr>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格式17风险管控方案</w:t>
      </w:r>
    </w:p>
    <w:p w14:paraId="30EAF7DF">
      <w:pPr>
        <w:spacing w:line="360" w:lineRule="auto"/>
        <w:ind w:firstLine="562" w:firstLineChars="200"/>
        <w:jc w:val="center"/>
        <w:outlineLvl w:val="9"/>
        <w:rPr>
          <w:rFonts w:hint="eastAsia" w:ascii="宋体" w:hAnsi="宋体" w:eastAsia="宋体" w:cs="宋体"/>
          <w:color w:val="auto"/>
          <w:kern w:val="0"/>
          <w:szCs w:val="21"/>
          <w:highlight w:val="none"/>
        </w:rPr>
      </w:pPr>
      <w:r>
        <w:rPr>
          <w:rFonts w:hint="eastAsia" w:ascii="宋体" w:hAnsi="宋体" w:eastAsia="宋体" w:cs="宋体"/>
          <w:b/>
          <w:bCs/>
          <w:color w:val="auto"/>
          <w:kern w:val="0"/>
          <w:sz w:val="28"/>
          <w:szCs w:val="28"/>
          <w:highlight w:val="none"/>
        </w:rPr>
        <w:t>（格式自拟）</w:t>
      </w:r>
    </w:p>
    <w:p w14:paraId="7C280EA3">
      <w:pPr>
        <w:spacing w:line="360" w:lineRule="auto"/>
        <w:ind w:firstLine="420" w:firstLineChars="200"/>
        <w:jc w:val="center"/>
        <w:outlineLvl w:val="9"/>
        <w:rPr>
          <w:rFonts w:hint="eastAsia" w:ascii="宋体" w:hAnsi="宋体" w:eastAsia="宋体" w:cs="宋体"/>
          <w:color w:val="auto"/>
          <w:kern w:val="0"/>
          <w:szCs w:val="21"/>
          <w:highlight w:val="none"/>
        </w:rPr>
      </w:pPr>
    </w:p>
    <w:p w14:paraId="36D95DE2">
      <w:pPr>
        <w:jc w:val="center"/>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28"/>
          <w:szCs w:val="28"/>
          <w:highlight w:val="none"/>
        </w:rPr>
        <w:t>格式18验收</w:t>
      </w:r>
      <w:r>
        <w:rPr>
          <w:rFonts w:hint="eastAsia" w:ascii="宋体" w:hAnsi="宋体" w:eastAsia="宋体" w:cs="宋体"/>
          <w:b/>
          <w:bCs/>
          <w:color w:val="auto"/>
          <w:sz w:val="28"/>
          <w:szCs w:val="28"/>
          <w:highlight w:val="none"/>
          <w:lang w:val="en-US" w:eastAsia="zh-CN"/>
        </w:rPr>
        <w:t>响应</w:t>
      </w:r>
      <w:r>
        <w:rPr>
          <w:rFonts w:hint="eastAsia" w:ascii="宋体" w:hAnsi="宋体" w:eastAsia="宋体" w:cs="宋体"/>
          <w:b/>
          <w:bCs/>
          <w:color w:val="auto"/>
          <w:sz w:val="28"/>
          <w:szCs w:val="28"/>
          <w:highlight w:val="none"/>
        </w:rPr>
        <w:t>方案</w:t>
      </w:r>
    </w:p>
    <w:bookmarkEnd w:id="80"/>
    <w:bookmarkEnd w:id="81"/>
    <w:bookmarkEnd w:id="82"/>
    <w:p w14:paraId="73F7FA3A">
      <w:pPr>
        <w:spacing w:line="360" w:lineRule="auto"/>
        <w:ind w:firstLine="562" w:firstLineChars="200"/>
        <w:jc w:val="center"/>
        <w:outlineLvl w:val="9"/>
        <w:rPr>
          <w:rFonts w:hint="eastAsia" w:ascii="宋体" w:hAnsi="宋体" w:eastAsia="宋体" w:cs="宋体"/>
          <w:color w:val="auto"/>
          <w:kern w:val="0"/>
          <w:szCs w:val="21"/>
          <w:highlight w:val="none"/>
        </w:rPr>
      </w:pPr>
      <w:bookmarkStart w:id="84" w:name="OLE_LINK22"/>
      <w:bookmarkStart w:id="85" w:name="OLE_LINK21"/>
      <w:r>
        <w:rPr>
          <w:rFonts w:hint="eastAsia" w:ascii="宋体" w:hAnsi="宋体" w:eastAsia="宋体" w:cs="宋体"/>
          <w:b/>
          <w:bCs/>
          <w:color w:val="auto"/>
          <w:kern w:val="0"/>
          <w:sz w:val="28"/>
          <w:szCs w:val="28"/>
          <w:highlight w:val="none"/>
        </w:rPr>
        <w:t>（格式自拟）</w:t>
      </w:r>
    </w:p>
    <w:p w14:paraId="6B0B8A66">
      <w:pPr>
        <w:spacing w:line="360" w:lineRule="auto"/>
        <w:ind w:firstLine="420" w:firstLineChars="200"/>
        <w:jc w:val="center"/>
        <w:outlineLvl w:val="9"/>
        <w:rPr>
          <w:rFonts w:hint="eastAsia" w:ascii="宋体" w:hAnsi="宋体" w:eastAsia="宋体" w:cs="宋体"/>
          <w:color w:val="auto"/>
          <w:kern w:val="0"/>
          <w:szCs w:val="21"/>
          <w:highlight w:val="none"/>
        </w:rPr>
      </w:pPr>
    </w:p>
    <w:p w14:paraId="4A8DFF5C">
      <w:pPr>
        <w:spacing w:line="360" w:lineRule="auto"/>
        <w:ind w:firstLine="562" w:firstLineChars="200"/>
        <w:jc w:val="center"/>
        <w:outlineLvl w:val="9"/>
        <w:rPr>
          <w:rFonts w:hint="eastAsia" w:ascii="宋体" w:hAnsi="宋体" w:eastAsia="宋体" w:cs="宋体"/>
          <w:bCs/>
          <w:color w:val="auto"/>
          <w:kern w:val="0"/>
          <w:sz w:val="24"/>
          <w:szCs w:val="28"/>
          <w:highlight w:val="none"/>
        </w:rPr>
      </w:pPr>
      <w:r>
        <w:rPr>
          <w:rFonts w:hint="eastAsia" w:ascii="宋体" w:hAnsi="宋体" w:eastAsia="宋体" w:cs="宋体"/>
          <w:b/>
          <w:bCs/>
          <w:color w:val="auto"/>
          <w:kern w:val="0"/>
          <w:sz w:val="28"/>
          <w:szCs w:val="28"/>
          <w:highlight w:val="none"/>
        </w:rPr>
        <w:t>格式19投标人认为需要提供的其它说明和资料</w:t>
      </w:r>
    </w:p>
    <w:bookmarkEnd w:id="84"/>
    <w:bookmarkEnd w:id="85"/>
    <w:p w14:paraId="6EABF69F">
      <w:pPr>
        <w:widowControl/>
        <w:ind w:firstLine="562" w:firstLineChars="200"/>
        <w:jc w:val="left"/>
        <w:textAlignment w:val="baseline"/>
        <w:outlineLvl w:val="9"/>
        <w:rPr>
          <w:rFonts w:hint="eastAsia" w:ascii="宋体" w:hAnsi="宋体" w:eastAsia="宋体" w:cs="宋体"/>
          <w:bCs/>
          <w:color w:val="auto"/>
          <w:sz w:val="32"/>
          <w:szCs w:val="32"/>
          <w:highlight w:val="none"/>
        </w:rPr>
      </w:pPr>
      <w:r>
        <w:rPr>
          <w:rFonts w:hint="eastAsia" w:ascii="宋体" w:hAnsi="宋体" w:eastAsia="宋体" w:cs="宋体"/>
          <w:b/>
          <w:bCs/>
          <w:color w:val="auto"/>
          <w:kern w:val="0"/>
          <w:sz w:val="28"/>
          <w:szCs w:val="28"/>
          <w:highlight w:val="none"/>
        </w:rPr>
        <w:br w:type="page"/>
      </w:r>
    </w:p>
    <w:p w14:paraId="4A4E40AD">
      <w:pPr>
        <w:topLinePunct/>
        <w:autoSpaceDE w:val="0"/>
        <w:autoSpaceDN w:val="0"/>
        <w:jc w:val="center"/>
        <w:outlineLvl w:val="9"/>
        <w:rPr>
          <w:rFonts w:hint="eastAsia" w:ascii="宋体" w:hAnsi="宋体" w:eastAsia="宋体" w:cs="宋体"/>
          <w:bCs/>
          <w:color w:val="auto"/>
          <w:sz w:val="32"/>
          <w:szCs w:val="32"/>
          <w:highlight w:val="none"/>
        </w:rPr>
      </w:pPr>
    </w:p>
    <w:p w14:paraId="060D310F">
      <w:pPr>
        <w:jc w:val="center"/>
        <w:outlineLvl w:val="9"/>
        <w:rPr>
          <w:rFonts w:hint="eastAsia"/>
          <w:color w:val="auto"/>
          <w:sz w:val="44"/>
          <w:szCs w:val="44"/>
          <w:highlight w:val="none"/>
          <w:lang w:eastAsia="zh-CN"/>
        </w:rPr>
      </w:pPr>
    </w:p>
    <w:p w14:paraId="441BA8AE">
      <w:pPr>
        <w:jc w:val="center"/>
        <w:outlineLvl w:val="9"/>
        <w:rPr>
          <w:rFonts w:hint="eastAsia"/>
          <w:color w:val="auto"/>
          <w:sz w:val="44"/>
          <w:szCs w:val="44"/>
          <w:highlight w:val="none"/>
          <w:lang w:eastAsia="zh-CN"/>
        </w:rPr>
      </w:pPr>
    </w:p>
    <w:p w14:paraId="428DA4F1">
      <w:pPr>
        <w:jc w:val="center"/>
        <w:outlineLvl w:val="9"/>
        <w:rPr>
          <w:rFonts w:hint="eastAsia"/>
          <w:color w:val="auto"/>
          <w:sz w:val="44"/>
          <w:szCs w:val="44"/>
          <w:highlight w:val="none"/>
          <w:lang w:eastAsia="zh-CN"/>
        </w:rPr>
      </w:pPr>
    </w:p>
    <w:p w14:paraId="70C63130">
      <w:pPr>
        <w:jc w:val="center"/>
        <w:outlineLvl w:val="9"/>
        <w:rPr>
          <w:rFonts w:hint="eastAsia"/>
          <w:color w:val="auto"/>
          <w:sz w:val="44"/>
          <w:szCs w:val="44"/>
          <w:highlight w:val="none"/>
          <w:lang w:eastAsia="zh-CN"/>
        </w:rPr>
      </w:pPr>
    </w:p>
    <w:p w14:paraId="6B76A92D">
      <w:pPr>
        <w:jc w:val="center"/>
        <w:outlineLvl w:val="0"/>
        <w:rPr>
          <w:b/>
          <w:bCs/>
          <w:color w:val="auto"/>
          <w:sz w:val="44"/>
          <w:szCs w:val="44"/>
          <w:highlight w:val="none"/>
          <w:lang w:val="en-US" w:eastAsia="zh-CN"/>
        </w:rPr>
      </w:pPr>
      <w:bookmarkStart w:id="86" w:name="_Toc24789"/>
      <w:r>
        <w:rPr>
          <w:rFonts w:hint="eastAsia"/>
          <w:b/>
          <w:bCs/>
          <w:color w:val="auto"/>
          <w:sz w:val="44"/>
          <w:szCs w:val="44"/>
          <w:highlight w:val="none"/>
          <w:lang w:eastAsia="zh-CN"/>
        </w:rPr>
        <w:t>第二部分</w:t>
      </w:r>
      <w:r>
        <w:rPr>
          <w:rFonts w:hint="eastAsia"/>
          <w:b/>
          <w:bCs/>
          <w:color w:val="auto"/>
          <w:sz w:val="44"/>
          <w:szCs w:val="44"/>
          <w:highlight w:val="none"/>
          <w:lang w:val="en-US" w:eastAsia="zh-CN"/>
        </w:rPr>
        <w:t xml:space="preserve">  技术部分</w:t>
      </w:r>
      <w:bookmarkEnd w:id="86"/>
    </w:p>
    <w:p w14:paraId="304EE9D2">
      <w:pPr>
        <w:widowControl/>
        <w:jc w:val="center"/>
        <w:outlineLvl w:val="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r>
      <w:bookmarkStart w:id="87" w:name="_Toc132880285"/>
      <w:bookmarkStart w:id="88" w:name="_Toc14189"/>
      <w:r>
        <w:rPr>
          <w:rFonts w:hint="eastAsia" w:ascii="宋体" w:hAnsi="宋体" w:eastAsia="宋体" w:cs="宋体"/>
          <w:b/>
          <w:bCs/>
          <w:color w:val="auto"/>
          <w:sz w:val="28"/>
          <w:szCs w:val="28"/>
          <w:highlight w:val="none"/>
        </w:rPr>
        <w:t>第六章  项目采购需求</w:t>
      </w:r>
      <w:bookmarkEnd w:id="87"/>
      <w:bookmarkEnd w:id="88"/>
    </w:p>
    <w:p w14:paraId="53316914">
      <w:pPr>
        <w:widowControl/>
        <w:spacing w:line="360" w:lineRule="auto"/>
        <w:jc w:val="center"/>
        <w:outlineLvl w:val="9"/>
        <w:rPr>
          <w:rFonts w:ascii="宋体" w:hAnsi="宋体" w:cs="宋体"/>
          <w:color w:val="auto"/>
          <w:kern w:val="0"/>
          <w:szCs w:val="21"/>
          <w:highlight w:val="none"/>
        </w:rPr>
      </w:pPr>
      <w:r>
        <w:rPr>
          <w:rFonts w:hint="eastAsia" w:ascii="宋体" w:hAnsi="宋体" w:cs="宋体"/>
          <w:b/>
          <w:bCs/>
          <w:color w:val="auto"/>
          <w:kern w:val="36"/>
          <w:szCs w:val="21"/>
          <w:highlight w:val="none"/>
        </w:rPr>
        <w:t>1项目概述</w:t>
      </w:r>
      <w:bookmarkStart w:id="89" w:name="_Toc7069"/>
      <w:bookmarkStart w:id="90" w:name="_Toc8105"/>
    </w:p>
    <w:p w14:paraId="232510F5">
      <w:pPr>
        <w:widowControl/>
        <w:spacing w:line="360" w:lineRule="auto"/>
        <w:jc w:val="left"/>
        <w:outlineLvl w:val="9"/>
        <w:rPr>
          <w:rFonts w:ascii="宋体" w:hAnsi="宋体" w:cs="宋体"/>
          <w:b/>
          <w:bCs/>
          <w:i/>
          <w:iCs/>
          <w:color w:val="auto"/>
          <w:kern w:val="0"/>
          <w:szCs w:val="21"/>
          <w:highlight w:val="none"/>
        </w:rPr>
      </w:pPr>
      <w:r>
        <w:rPr>
          <w:rFonts w:hint="eastAsia" w:ascii="宋体" w:hAnsi="宋体" w:cs="宋体"/>
          <w:b/>
          <w:bCs/>
          <w:color w:val="auto"/>
          <w:kern w:val="0"/>
          <w:szCs w:val="21"/>
          <w:highlight w:val="none"/>
        </w:rPr>
        <w:t>1.1项目背景</w:t>
      </w:r>
      <w:bookmarkEnd w:id="89"/>
      <w:bookmarkEnd w:id="90"/>
    </w:p>
    <w:p w14:paraId="122CEABB">
      <w:pPr>
        <w:widowControl/>
        <w:spacing w:line="360" w:lineRule="auto"/>
        <w:jc w:val="left"/>
        <w:outlineLvl w:val="9"/>
        <w:rPr>
          <w:rFonts w:ascii="宋体" w:hAnsi="宋体" w:cs="宋体"/>
          <w:b/>
          <w:bCs/>
          <w:color w:val="auto"/>
          <w:kern w:val="0"/>
          <w:szCs w:val="21"/>
          <w:highlight w:val="none"/>
        </w:rPr>
      </w:pPr>
      <w:bookmarkStart w:id="91" w:name="_Toc7280"/>
      <w:bookmarkStart w:id="92" w:name="_Toc256000002"/>
      <w:bookmarkStart w:id="93" w:name="_Toc18411"/>
      <w:r>
        <w:rPr>
          <w:rFonts w:hint="eastAsia" w:ascii="宋体" w:hAnsi="宋体" w:cs="宋体"/>
          <w:b/>
          <w:bCs/>
          <w:color w:val="auto"/>
          <w:kern w:val="0"/>
          <w:szCs w:val="21"/>
          <w:highlight w:val="none"/>
        </w:rPr>
        <w:t>1.1.1项目目的、意义及背景</w:t>
      </w:r>
      <w:bookmarkEnd w:id="91"/>
      <w:bookmarkEnd w:id="92"/>
      <w:bookmarkEnd w:id="93"/>
    </w:p>
    <w:p w14:paraId="0FD55BE8">
      <w:pPr>
        <w:widowControl/>
        <w:spacing w:line="360" w:lineRule="auto"/>
        <w:ind w:firstLine="420" w:firstLineChars="200"/>
        <w:outlineLvl w:val="9"/>
        <w:rPr>
          <w:rFonts w:ascii="宋体" w:hAnsi="宋体" w:cs="宋体"/>
          <w:color w:val="auto"/>
          <w:kern w:val="0"/>
          <w:szCs w:val="21"/>
          <w:highlight w:val="none"/>
        </w:rPr>
      </w:pPr>
      <w:bookmarkStart w:id="94" w:name="_Toc25214"/>
      <w:bookmarkStart w:id="95" w:name="_Toc32184"/>
      <w:bookmarkStart w:id="96" w:name="_Toc995"/>
      <w:bookmarkStart w:id="97" w:name="_Toc256000003"/>
      <w:r>
        <w:rPr>
          <w:rFonts w:hint="eastAsia" w:ascii="宋体" w:hAnsi="宋体" w:cs="宋体"/>
          <w:color w:val="auto"/>
          <w:kern w:val="0"/>
          <w:szCs w:val="21"/>
          <w:highlight w:val="none"/>
        </w:rPr>
        <w:t>国家税务总局庄河市税务局组织实施管辖企业的各项税收、社会保险费、非税收入等征收管理。办税服务厅设置“前台”“中台”“后台”三大职能区域，前台配置导办咨询区域、自助办税区域、窗口区域等功能区域，中台设置征纳互动集中运营中心，负责征纳互动“问办协同”服务、办税服务厅对外公开电话受理、税费诉求收集，后台负责运营监控，强化办税服务运行数据、办税服务热点诉求等分析，完善渠道运行预警机制，统筹调度各类服务资源，推动服务渠道扎口运营管理；开创“一窗办理”和“一岗通办”新的办税模式。</w:t>
      </w:r>
    </w:p>
    <w:p w14:paraId="6D2B50D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为满足工作需求，保障税收工作顺利开展，进一步优化税收营商环境，为纳税人缴费人提供更加高效优质的服务，拟采购非执法类辅助性服务。</w:t>
      </w:r>
    </w:p>
    <w:bookmarkEnd w:id="94"/>
    <w:bookmarkEnd w:id="95"/>
    <w:bookmarkEnd w:id="96"/>
    <w:p w14:paraId="21A01802">
      <w:pPr>
        <w:widowControl/>
        <w:spacing w:line="360" w:lineRule="auto"/>
        <w:jc w:val="left"/>
        <w:outlineLvl w:val="9"/>
        <w:rPr>
          <w:rFonts w:ascii="宋体" w:hAnsi="宋体" w:cs="宋体"/>
          <w:b/>
          <w:bCs/>
          <w:color w:val="auto"/>
          <w:kern w:val="0"/>
          <w:szCs w:val="21"/>
          <w:highlight w:val="none"/>
        </w:rPr>
      </w:pPr>
      <w:bookmarkStart w:id="98" w:name="_Toc23027"/>
      <w:bookmarkStart w:id="99" w:name="_Toc17199"/>
      <w:r>
        <w:rPr>
          <w:rFonts w:hint="eastAsia" w:ascii="宋体" w:hAnsi="宋体" w:cs="宋体"/>
          <w:b/>
          <w:bCs/>
          <w:color w:val="auto"/>
          <w:kern w:val="0"/>
          <w:szCs w:val="21"/>
          <w:highlight w:val="none"/>
        </w:rPr>
        <w:t>1.2项目内容</w:t>
      </w:r>
      <w:bookmarkEnd w:id="97"/>
      <w:bookmarkEnd w:id="98"/>
      <w:bookmarkEnd w:id="99"/>
    </w:p>
    <w:p w14:paraId="4ED7387C">
      <w:pPr>
        <w:widowControl/>
        <w:spacing w:line="360" w:lineRule="auto"/>
        <w:jc w:val="left"/>
        <w:outlineLvl w:val="9"/>
        <w:rPr>
          <w:rFonts w:ascii="宋体" w:hAnsi="宋体" w:cs="宋体"/>
          <w:b/>
          <w:bCs/>
          <w:color w:val="auto"/>
          <w:kern w:val="0"/>
          <w:szCs w:val="21"/>
          <w:highlight w:val="none"/>
        </w:rPr>
      </w:pPr>
      <w:bookmarkStart w:id="100" w:name="_Toc256000004"/>
      <w:bookmarkStart w:id="101" w:name="_Toc4241"/>
      <w:bookmarkStart w:id="102" w:name="_Toc5112"/>
      <w:r>
        <w:rPr>
          <w:rFonts w:hint="eastAsia" w:ascii="宋体" w:hAnsi="宋体" w:cs="宋体"/>
          <w:b/>
          <w:bCs/>
          <w:color w:val="auto"/>
          <w:kern w:val="0"/>
          <w:szCs w:val="21"/>
          <w:highlight w:val="none"/>
        </w:rPr>
        <w:t>1.2.1采购内容</w:t>
      </w:r>
      <w:bookmarkEnd w:id="100"/>
      <w:bookmarkEnd w:id="101"/>
      <w:bookmarkEnd w:id="102"/>
    </w:p>
    <w:p w14:paraId="257911E9">
      <w:pPr>
        <w:spacing w:line="360" w:lineRule="auto"/>
        <w:ind w:firstLine="315" w:firstLineChars="150"/>
        <w:outlineLvl w:val="9"/>
        <w:rPr>
          <w:rFonts w:ascii="宋体" w:hAnsi="宋体" w:cs="宋体"/>
          <w:color w:val="auto"/>
          <w:kern w:val="0"/>
          <w:szCs w:val="21"/>
          <w:highlight w:val="none"/>
        </w:rPr>
      </w:pPr>
      <w:bookmarkStart w:id="103" w:name="_Toc6135"/>
      <w:bookmarkStart w:id="104" w:name="_Toc15921"/>
      <w:bookmarkStart w:id="105" w:name="_Toc19710"/>
      <w:bookmarkStart w:id="106" w:name="_Toc256000005"/>
      <w:r>
        <w:rPr>
          <w:rFonts w:hint="eastAsia" w:ascii="宋体" w:hAnsi="宋体" w:cs="宋体"/>
          <w:color w:val="auto"/>
          <w:kern w:val="0"/>
          <w:szCs w:val="21"/>
          <w:highlight w:val="none"/>
        </w:rPr>
        <w:t>本项目预算最高控制价金额为127.26万元，采购内容为国家税务总局庄河市税务局采购非执法类辅助性纳税服务，项目内容为按照规章制度和岗位职责开展工作，协助在职干部为纳税人办理纳税咨询、征缴服务及其他相关工作，堵塞税收漏洞。服务工作主要内容为：导税服务、税费咨询服务、税费辅导服务、信息采集与录入辅助服务、税费需求响应服务、和采购人需要的临时调配等其他相关服务。</w:t>
      </w:r>
      <w:bookmarkEnd w:id="103"/>
      <w:bookmarkEnd w:id="104"/>
      <w:bookmarkEnd w:id="105"/>
      <w:bookmarkStart w:id="107" w:name="_Toc22937"/>
      <w:bookmarkStart w:id="108" w:name="_Toc14674"/>
    </w:p>
    <w:p w14:paraId="6D063F0B">
      <w:pPr>
        <w:widowControl/>
        <w:spacing w:line="360" w:lineRule="auto"/>
        <w:jc w:val="left"/>
        <w:outlineLvl w:val="9"/>
        <w:rPr>
          <w:rFonts w:ascii="宋体" w:hAnsi="宋体" w:cs="宋体"/>
          <w:b/>
          <w:bCs/>
          <w:color w:val="auto"/>
          <w:kern w:val="0"/>
          <w:szCs w:val="21"/>
          <w:highlight w:val="none"/>
        </w:rPr>
      </w:pPr>
      <w:r>
        <w:rPr>
          <w:rFonts w:hint="eastAsia" w:ascii="宋体" w:hAnsi="宋体" w:cs="宋体"/>
          <w:b/>
          <w:bCs/>
          <w:color w:val="auto"/>
          <w:kern w:val="0"/>
          <w:szCs w:val="21"/>
          <w:highlight w:val="none"/>
        </w:rPr>
        <w:t>1.2.2项目实施要求</w:t>
      </w:r>
      <w:bookmarkEnd w:id="106"/>
      <w:bookmarkEnd w:id="107"/>
      <w:bookmarkEnd w:id="108"/>
    </w:p>
    <w:p w14:paraId="4974C6AE">
      <w:pPr>
        <w:widowControl/>
        <w:spacing w:line="360" w:lineRule="auto"/>
        <w:jc w:val="left"/>
        <w:outlineLvl w:val="9"/>
        <w:rPr>
          <w:rFonts w:ascii="宋体" w:hAnsi="宋体" w:cs="宋体"/>
          <w:b/>
          <w:bCs/>
          <w:color w:val="auto"/>
          <w:kern w:val="0"/>
          <w:szCs w:val="21"/>
          <w:highlight w:val="none"/>
        </w:rPr>
      </w:pPr>
      <w:bookmarkStart w:id="109" w:name="_Toc1524"/>
      <w:bookmarkStart w:id="110" w:name="_Toc23563"/>
      <w:r>
        <w:rPr>
          <w:rFonts w:hint="eastAsia" w:ascii="宋体" w:hAnsi="宋体" w:cs="宋体"/>
          <w:b/>
          <w:bCs/>
          <w:color w:val="auto"/>
          <w:kern w:val="0"/>
          <w:szCs w:val="21"/>
          <w:highlight w:val="none"/>
        </w:rPr>
        <w:t>1.2.2.1实施范围要求</w:t>
      </w:r>
      <w:bookmarkEnd w:id="109"/>
      <w:bookmarkEnd w:id="110"/>
    </w:p>
    <w:p w14:paraId="5A7BBF60">
      <w:pPr>
        <w:widowControl/>
        <w:spacing w:line="360" w:lineRule="auto"/>
        <w:ind w:firstLine="420" w:firstLineChars="200"/>
        <w:outlineLvl w:val="9"/>
        <w:rPr>
          <w:rFonts w:ascii="宋体" w:hAnsi="宋体" w:cs="宋体"/>
          <w:color w:val="auto"/>
          <w:kern w:val="0"/>
          <w:szCs w:val="21"/>
          <w:highlight w:val="none"/>
        </w:rPr>
      </w:pPr>
      <w:bookmarkStart w:id="111" w:name="_Toc5937"/>
      <w:bookmarkStart w:id="112" w:name="_Toc24275"/>
      <w:bookmarkStart w:id="113" w:name="_Toc16604"/>
      <w:r>
        <w:rPr>
          <w:rFonts w:hint="eastAsia" w:ascii="宋体" w:hAnsi="宋体" w:cs="宋体"/>
          <w:color w:val="auto"/>
          <w:kern w:val="0"/>
          <w:szCs w:val="21"/>
          <w:highlight w:val="none"/>
        </w:rPr>
        <w:t>为国家税务总局庄河市税务局提供非执法类辅助性服务。</w:t>
      </w:r>
      <w:bookmarkEnd w:id="111"/>
      <w:bookmarkEnd w:id="112"/>
      <w:bookmarkEnd w:id="113"/>
    </w:p>
    <w:p w14:paraId="42D8969D">
      <w:pPr>
        <w:widowControl/>
        <w:spacing w:line="360" w:lineRule="auto"/>
        <w:jc w:val="left"/>
        <w:outlineLvl w:val="9"/>
        <w:rPr>
          <w:rFonts w:ascii="宋体" w:hAnsi="宋体" w:cs="宋体"/>
          <w:b/>
          <w:bCs/>
          <w:color w:val="auto"/>
          <w:kern w:val="0"/>
          <w:szCs w:val="21"/>
          <w:highlight w:val="none"/>
        </w:rPr>
      </w:pPr>
      <w:bookmarkStart w:id="114" w:name="_Toc5308"/>
      <w:bookmarkStart w:id="115" w:name="_Toc32017"/>
      <w:r>
        <w:rPr>
          <w:rFonts w:hint="eastAsia" w:ascii="宋体" w:hAnsi="宋体" w:cs="宋体"/>
          <w:b/>
          <w:bCs/>
          <w:color w:val="auto"/>
          <w:kern w:val="0"/>
          <w:szCs w:val="21"/>
          <w:highlight w:val="none"/>
        </w:rPr>
        <w:t>1.2.2.2实施时间要求</w:t>
      </w:r>
      <w:bookmarkEnd w:id="114"/>
      <w:bookmarkEnd w:id="115"/>
    </w:p>
    <w:p w14:paraId="701A269D">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szCs w:val="21"/>
          <w:highlight w:val="none"/>
        </w:rPr>
        <w:t>政府采购合同约定生效之日起一年。</w:t>
      </w:r>
    </w:p>
    <w:p w14:paraId="6912C1A8">
      <w:pPr>
        <w:widowControl/>
        <w:spacing w:line="360" w:lineRule="auto"/>
        <w:jc w:val="left"/>
        <w:outlineLvl w:val="9"/>
        <w:rPr>
          <w:rFonts w:ascii="宋体" w:hAnsi="宋体" w:cs="宋体"/>
          <w:b/>
          <w:bCs/>
          <w:color w:val="auto"/>
          <w:kern w:val="0"/>
          <w:szCs w:val="21"/>
          <w:highlight w:val="none"/>
        </w:rPr>
      </w:pPr>
      <w:bookmarkStart w:id="116" w:name="_Toc6140"/>
      <w:bookmarkStart w:id="117" w:name="_Toc23866"/>
      <w:r>
        <w:rPr>
          <w:rFonts w:hint="eastAsia" w:ascii="宋体" w:hAnsi="宋体" w:cs="宋体"/>
          <w:b/>
          <w:bCs/>
          <w:color w:val="auto"/>
          <w:kern w:val="0"/>
          <w:szCs w:val="21"/>
          <w:highlight w:val="none"/>
        </w:rPr>
        <w:t>1.2.2.3实施地点要求</w:t>
      </w:r>
      <w:bookmarkEnd w:id="116"/>
      <w:bookmarkEnd w:id="117"/>
    </w:p>
    <w:p w14:paraId="34ED78DB">
      <w:pPr>
        <w:widowControl/>
        <w:spacing w:line="360" w:lineRule="auto"/>
        <w:ind w:firstLine="420" w:firstLineChars="200"/>
        <w:outlineLvl w:val="9"/>
        <w:rPr>
          <w:rFonts w:ascii="宋体" w:hAnsi="宋体" w:cs="宋体"/>
          <w:color w:val="auto"/>
          <w:kern w:val="0"/>
          <w:szCs w:val="21"/>
          <w:highlight w:val="none"/>
        </w:rPr>
      </w:pPr>
      <w:bookmarkStart w:id="118" w:name="_Toc31262"/>
      <w:bookmarkStart w:id="119" w:name="_Toc15343"/>
      <w:bookmarkStart w:id="120" w:name="_Toc17938"/>
      <w:r>
        <w:rPr>
          <w:rFonts w:hint="eastAsia" w:ascii="宋体" w:hAnsi="宋体" w:cs="宋体"/>
          <w:color w:val="auto"/>
          <w:kern w:val="0"/>
          <w:szCs w:val="21"/>
          <w:highlight w:val="none"/>
        </w:rPr>
        <w:t>国家税务总局庄河市税务局指定地点。</w:t>
      </w:r>
      <w:bookmarkEnd w:id="118"/>
      <w:bookmarkEnd w:id="119"/>
      <w:bookmarkEnd w:id="120"/>
    </w:p>
    <w:p w14:paraId="4BAEDB6F">
      <w:pPr>
        <w:spacing w:line="360" w:lineRule="auto"/>
        <w:jc w:val="center"/>
        <w:outlineLvl w:val="9"/>
        <w:rPr>
          <w:rFonts w:ascii="宋体" w:hAnsi="宋体" w:cs="宋体"/>
          <w:b/>
          <w:bCs/>
          <w:color w:val="auto"/>
          <w:kern w:val="36"/>
          <w:szCs w:val="21"/>
          <w:highlight w:val="none"/>
        </w:rPr>
      </w:pPr>
      <w:bookmarkStart w:id="121" w:name="_Toc4297"/>
      <w:bookmarkStart w:id="122" w:name="_Toc4240"/>
      <w:bookmarkStart w:id="123" w:name="_Toc256000006"/>
      <w:r>
        <w:rPr>
          <w:rFonts w:hint="eastAsia" w:ascii="宋体" w:hAnsi="宋体" w:cs="宋体"/>
          <w:b/>
          <w:bCs/>
          <w:color w:val="auto"/>
          <w:kern w:val="36"/>
          <w:szCs w:val="21"/>
          <w:highlight w:val="none"/>
        </w:rPr>
        <w:t>2投标/响应要求</w:t>
      </w:r>
      <w:bookmarkEnd w:id="121"/>
      <w:bookmarkEnd w:id="122"/>
      <w:bookmarkEnd w:id="123"/>
    </w:p>
    <w:p w14:paraId="50A7E922">
      <w:pPr>
        <w:widowControl/>
        <w:spacing w:line="360" w:lineRule="auto"/>
        <w:jc w:val="left"/>
        <w:outlineLvl w:val="9"/>
        <w:rPr>
          <w:rFonts w:ascii="宋体" w:hAnsi="宋体" w:cs="宋体"/>
          <w:b/>
          <w:bCs/>
          <w:color w:val="auto"/>
          <w:kern w:val="0"/>
          <w:szCs w:val="21"/>
          <w:highlight w:val="none"/>
        </w:rPr>
      </w:pPr>
      <w:bookmarkStart w:id="124" w:name="_Toc256000007"/>
      <w:bookmarkStart w:id="125" w:name="_Toc9669"/>
      <w:bookmarkStart w:id="126" w:name="_Toc6385"/>
      <w:r>
        <w:rPr>
          <w:rFonts w:hint="eastAsia" w:ascii="宋体" w:hAnsi="宋体" w:cs="宋体"/>
          <w:b/>
          <w:bCs/>
          <w:color w:val="auto"/>
          <w:kern w:val="0"/>
          <w:szCs w:val="21"/>
          <w:highlight w:val="none"/>
        </w:rPr>
        <w:t>2.1对供应商的要求</w:t>
      </w:r>
      <w:bookmarkEnd w:id="124"/>
      <w:bookmarkEnd w:id="125"/>
      <w:bookmarkEnd w:id="126"/>
    </w:p>
    <w:p w14:paraId="082B475A">
      <w:pPr>
        <w:widowControl/>
        <w:spacing w:line="360" w:lineRule="auto"/>
        <w:jc w:val="left"/>
        <w:outlineLvl w:val="9"/>
        <w:rPr>
          <w:rFonts w:ascii="宋体" w:hAnsi="宋体" w:cs="宋体"/>
          <w:b/>
          <w:bCs/>
          <w:color w:val="auto"/>
          <w:kern w:val="0"/>
          <w:szCs w:val="21"/>
          <w:highlight w:val="none"/>
        </w:rPr>
      </w:pPr>
      <w:bookmarkStart w:id="127" w:name="_Toc8043"/>
      <w:bookmarkStart w:id="128" w:name="_Toc256000008"/>
      <w:bookmarkStart w:id="129" w:name="_Toc28487"/>
      <w:r>
        <w:rPr>
          <w:rFonts w:hint="eastAsia" w:ascii="宋体" w:hAnsi="宋体" w:cs="宋体"/>
          <w:b/>
          <w:bCs/>
          <w:color w:val="auto"/>
          <w:kern w:val="0"/>
          <w:szCs w:val="21"/>
          <w:highlight w:val="none"/>
        </w:rPr>
        <w:t>2.1.1必备资质</w:t>
      </w:r>
      <w:bookmarkEnd w:id="127"/>
      <w:bookmarkEnd w:id="128"/>
      <w:bookmarkEnd w:id="129"/>
    </w:p>
    <w:p w14:paraId="1E01ECB9">
      <w:pPr>
        <w:widowControl/>
        <w:spacing w:line="360" w:lineRule="auto"/>
        <w:jc w:val="left"/>
        <w:outlineLvl w:val="9"/>
        <w:rPr>
          <w:rFonts w:ascii="宋体" w:hAnsi="宋体" w:cs="宋体"/>
          <w:b/>
          <w:bCs/>
          <w:color w:val="auto"/>
          <w:kern w:val="0"/>
          <w:szCs w:val="21"/>
          <w:highlight w:val="none"/>
        </w:rPr>
      </w:pPr>
      <w:bookmarkStart w:id="130" w:name="_Toc25816"/>
      <w:bookmarkStart w:id="131" w:name="_Toc466"/>
      <w:r>
        <w:rPr>
          <w:rFonts w:hint="eastAsia" w:ascii="宋体" w:hAnsi="宋体" w:cs="宋体"/>
          <w:b/>
          <w:bCs/>
          <w:color w:val="auto"/>
          <w:kern w:val="0"/>
          <w:szCs w:val="21"/>
          <w:highlight w:val="none"/>
        </w:rPr>
        <w:t>2.1.1.1投标人应遵守有关国家法律、法规和条例,具备《中华人民共和国政府采购法》第二十二条的规定和本文件中规定的条件。</w:t>
      </w:r>
      <w:bookmarkEnd w:id="130"/>
      <w:bookmarkEnd w:id="131"/>
    </w:p>
    <w:p w14:paraId="75F69B5C">
      <w:pPr>
        <w:widowControl/>
        <w:spacing w:line="360" w:lineRule="auto"/>
        <w:ind w:firstLine="420" w:firstLineChars="200"/>
        <w:outlineLvl w:val="9"/>
        <w:rPr>
          <w:rFonts w:ascii="宋体" w:hAnsi="宋体" w:cs="宋体"/>
          <w:color w:val="auto"/>
          <w:kern w:val="0"/>
          <w:szCs w:val="21"/>
          <w:highlight w:val="none"/>
        </w:rPr>
      </w:pPr>
      <w:bookmarkStart w:id="132" w:name="_Toc10481"/>
      <w:bookmarkStart w:id="133" w:name="_Toc7600"/>
      <w:r>
        <w:rPr>
          <w:rFonts w:hint="eastAsia" w:ascii="宋体" w:hAnsi="宋体" w:cs="宋体"/>
          <w:color w:val="auto"/>
          <w:kern w:val="0"/>
          <w:szCs w:val="21"/>
          <w:highlight w:val="none"/>
        </w:rPr>
        <w:t>1.符合国家有关法律规定，在中国境内（指关境内）注册。</w:t>
      </w:r>
      <w:bookmarkEnd w:id="132"/>
      <w:bookmarkEnd w:id="133"/>
    </w:p>
    <w:p w14:paraId="594B561A">
      <w:pPr>
        <w:widowControl/>
        <w:spacing w:line="360" w:lineRule="auto"/>
        <w:ind w:firstLine="420" w:firstLineChars="200"/>
        <w:outlineLvl w:val="9"/>
        <w:rPr>
          <w:rFonts w:ascii="宋体" w:hAnsi="宋体" w:cs="宋体"/>
          <w:color w:val="auto"/>
          <w:kern w:val="0"/>
          <w:szCs w:val="21"/>
          <w:highlight w:val="none"/>
        </w:rPr>
      </w:pPr>
      <w:bookmarkStart w:id="134" w:name="_Toc696"/>
      <w:bookmarkStart w:id="135" w:name="_Toc11658"/>
      <w:r>
        <w:rPr>
          <w:rFonts w:hint="eastAsia" w:ascii="宋体" w:hAnsi="宋体" w:cs="宋体"/>
          <w:color w:val="auto"/>
          <w:kern w:val="0"/>
          <w:szCs w:val="21"/>
          <w:highlight w:val="none"/>
        </w:rPr>
        <w:t>2.投标人应遵守有关国家法律、法规和条例,具备《中华人民共和国政府采购法》第二十二条的规定和本文件中规定的条件：</w:t>
      </w:r>
      <w:bookmarkEnd w:id="134"/>
      <w:bookmarkEnd w:id="135"/>
    </w:p>
    <w:p w14:paraId="182FC67F">
      <w:pPr>
        <w:widowControl/>
        <w:spacing w:line="360" w:lineRule="auto"/>
        <w:ind w:firstLine="420" w:firstLineChars="200"/>
        <w:outlineLvl w:val="9"/>
        <w:rPr>
          <w:rFonts w:ascii="宋体" w:hAnsi="宋体" w:cs="宋体"/>
          <w:color w:val="auto"/>
          <w:kern w:val="0"/>
          <w:szCs w:val="21"/>
          <w:highlight w:val="none"/>
        </w:rPr>
      </w:pPr>
      <w:bookmarkStart w:id="136" w:name="_Toc31184"/>
      <w:bookmarkStart w:id="137" w:name="_Toc6555"/>
      <w:r>
        <w:rPr>
          <w:rFonts w:hint="eastAsia" w:ascii="宋体" w:hAnsi="宋体" w:cs="宋体"/>
          <w:color w:val="auto"/>
          <w:kern w:val="0"/>
          <w:szCs w:val="21"/>
          <w:highlight w:val="none"/>
        </w:rPr>
        <w:t>(1)具有独立承担民事责任的能力；</w:t>
      </w:r>
      <w:bookmarkEnd w:id="136"/>
      <w:bookmarkEnd w:id="137"/>
    </w:p>
    <w:p w14:paraId="74B5A570">
      <w:pPr>
        <w:widowControl/>
        <w:spacing w:line="360" w:lineRule="auto"/>
        <w:ind w:firstLine="420" w:firstLineChars="200"/>
        <w:outlineLvl w:val="9"/>
        <w:rPr>
          <w:rFonts w:ascii="宋体" w:hAnsi="宋体" w:cs="宋体"/>
          <w:color w:val="auto"/>
          <w:kern w:val="0"/>
          <w:szCs w:val="21"/>
          <w:highlight w:val="none"/>
        </w:rPr>
      </w:pPr>
      <w:bookmarkStart w:id="138" w:name="_Toc25853"/>
      <w:bookmarkStart w:id="139" w:name="_Toc28401"/>
      <w:r>
        <w:rPr>
          <w:rFonts w:hint="eastAsia" w:ascii="宋体" w:hAnsi="宋体" w:cs="宋体"/>
          <w:color w:val="auto"/>
          <w:kern w:val="0"/>
          <w:szCs w:val="21"/>
          <w:highlight w:val="none"/>
        </w:rPr>
        <w:t>(2)具有良好的商业信誉和健全的财务会计制度；</w:t>
      </w:r>
      <w:bookmarkEnd w:id="138"/>
      <w:bookmarkEnd w:id="139"/>
    </w:p>
    <w:p w14:paraId="129EA9A0">
      <w:pPr>
        <w:widowControl/>
        <w:spacing w:line="360" w:lineRule="auto"/>
        <w:ind w:firstLine="420" w:firstLineChars="200"/>
        <w:outlineLvl w:val="9"/>
        <w:rPr>
          <w:rFonts w:ascii="宋体" w:hAnsi="宋体" w:cs="宋体"/>
          <w:color w:val="auto"/>
          <w:kern w:val="0"/>
          <w:szCs w:val="21"/>
          <w:highlight w:val="none"/>
        </w:rPr>
      </w:pPr>
      <w:bookmarkStart w:id="140" w:name="_Toc22886"/>
      <w:bookmarkStart w:id="141" w:name="_Toc7338"/>
      <w:r>
        <w:rPr>
          <w:rFonts w:hint="eastAsia" w:ascii="宋体" w:hAnsi="宋体" w:cs="宋体"/>
          <w:color w:val="auto"/>
          <w:kern w:val="0"/>
          <w:szCs w:val="21"/>
          <w:highlight w:val="none"/>
        </w:rPr>
        <w:t>(3)具有履行合同所必需的设备和专业技术能力；</w:t>
      </w:r>
      <w:bookmarkEnd w:id="140"/>
      <w:bookmarkEnd w:id="141"/>
    </w:p>
    <w:p w14:paraId="6EDBC181">
      <w:pPr>
        <w:widowControl/>
        <w:spacing w:line="360" w:lineRule="auto"/>
        <w:ind w:firstLine="420" w:firstLineChars="200"/>
        <w:outlineLvl w:val="9"/>
        <w:rPr>
          <w:rFonts w:ascii="宋体" w:hAnsi="宋体" w:cs="宋体"/>
          <w:color w:val="auto"/>
          <w:kern w:val="0"/>
          <w:szCs w:val="21"/>
          <w:highlight w:val="none"/>
        </w:rPr>
      </w:pPr>
      <w:bookmarkStart w:id="142" w:name="_Toc30057"/>
      <w:bookmarkStart w:id="143" w:name="_Toc2650"/>
      <w:r>
        <w:rPr>
          <w:rFonts w:hint="eastAsia" w:ascii="宋体" w:hAnsi="宋体" w:cs="宋体"/>
          <w:color w:val="auto"/>
          <w:kern w:val="0"/>
          <w:szCs w:val="21"/>
          <w:highlight w:val="none"/>
        </w:rPr>
        <w:t>(4)有依法缴纳税收和社会保障资金的良好记录；</w:t>
      </w:r>
      <w:bookmarkEnd w:id="142"/>
      <w:bookmarkEnd w:id="143"/>
    </w:p>
    <w:p w14:paraId="372B7A07">
      <w:pPr>
        <w:widowControl/>
        <w:spacing w:line="360" w:lineRule="auto"/>
        <w:ind w:firstLine="420" w:firstLineChars="200"/>
        <w:outlineLvl w:val="9"/>
        <w:rPr>
          <w:rFonts w:ascii="宋体" w:hAnsi="宋体" w:cs="宋体"/>
          <w:color w:val="auto"/>
          <w:kern w:val="0"/>
          <w:szCs w:val="21"/>
          <w:highlight w:val="none"/>
        </w:rPr>
      </w:pPr>
      <w:bookmarkStart w:id="144" w:name="_Toc7315"/>
      <w:bookmarkStart w:id="145" w:name="_Toc9318"/>
      <w:r>
        <w:rPr>
          <w:rFonts w:hint="eastAsia" w:ascii="宋体" w:hAnsi="宋体" w:cs="宋体"/>
          <w:color w:val="auto"/>
          <w:kern w:val="0"/>
          <w:szCs w:val="21"/>
          <w:highlight w:val="none"/>
        </w:rPr>
        <w:t>(5)参加政府采购活动前三年内，在经营活动中没有重大违法记录；</w:t>
      </w:r>
      <w:bookmarkEnd w:id="144"/>
      <w:bookmarkEnd w:id="145"/>
    </w:p>
    <w:p w14:paraId="604A6A8D">
      <w:pPr>
        <w:widowControl/>
        <w:spacing w:line="360" w:lineRule="auto"/>
        <w:ind w:firstLine="420" w:firstLineChars="200"/>
        <w:outlineLvl w:val="9"/>
        <w:rPr>
          <w:rFonts w:ascii="宋体" w:hAnsi="宋体" w:cs="宋体"/>
          <w:color w:val="auto"/>
          <w:kern w:val="0"/>
          <w:szCs w:val="21"/>
          <w:highlight w:val="none"/>
        </w:rPr>
      </w:pPr>
      <w:bookmarkStart w:id="146" w:name="_Toc18364"/>
      <w:bookmarkStart w:id="147" w:name="_Toc3792"/>
      <w:r>
        <w:rPr>
          <w:rFonts w:hint="eastAsia" w:ascii="宋体" w:hAnsi="宋体" w:cs="宋体"/>
          <w:color w:val="auto"/>
          <w:kern w:val="0"/>
          <w:szCs w:val="21"/>
          <w:highlight w:val="none"/>
        </w:rPr>
        <w:t>(6)法律、行政法规规定的其他条件。</w:t>
      </w:r>
      <w:bookmarkEnd w:id="146"/>
      <w:bookmarkEnd w:id="147"/>
    </w:p>
    <w:p w14:paraId="6FC3741E">
      <w:pPr>
        <w:widowControl/>
        <w:spacing w:line="360" w:lineRule="auto"/>
        <w:jc w:val="left"/>
        <w:outlineLvl w:val="9"/>
        <w:rPr>
          <w:rFonts w:ascii="宋体" w:hAnsi="宋体" w:cs="宋体"/>
          <w:b/>
          <w:bCs/>
          <w:color w:val="auto"/>
          <w:kern w:val="0"/>
          <w:szCs w:val="21"/>
          <w:highlight w:val="none"/>
        </w:rPr>
      </w:pPr>
      <w:bookmarkStart w:id="148" w:name="_Toc256000009"/>
      <w:bookmarkStart w:id="149" w:name="_Toc26546"/>
      <w:bookmarkStart w:id="150" w:name="_Toc4354"/>
      <w:r>
        <w:rPr>
          <w:rFonts w:hint="eastAsia" w:ascii="宋体" w:hAnsi="宋体" w:cs="宋体"/>
          <w:b/>
          <w:bCs/>
          <w:color w:val="auto"/>
          <w:kern w:val="0"/>
          <w:szCs w:val="21"/>
          <w:highlight w:val="none"/>
        </w:rPr>
        <w:t>2.1.2优选资质/优选指标</w:t>
      </w:r>
      <w:bookmarkEnd w:id="148"/>
      <w:bookmarkEnd w:id="149"/>
      <w:bookmarkEnd w:id="150"/>
    </w:p>
    <w:p w14:paraId="57101F7A">
      <w:pPr>
        <w:widowControl/>
        <w:spacing w:line="360" w:lineRule="auto"/>
        <w:jc w:val="left"/>
        <w:outlineLvl w:val="9"/>
        <w:rPr>
          <w:rFonts w:ascii="宋体" w:hAnsi="宋体" w:cs="宋体"/>
          <w:b/>
          <w:bCs/>
          <w:color w:val="auto"/>
          <w:kern w:val="0"/>
          <w:szCs w:val="21"/>
          <w:highlight w:val="none"/>
        </w:rPr>
      </w:pPr>
      <w:bookmarkStart w:id="151" w:name="_Toc27533"/>
      <w:bookmarkStart w:id="152" w:name="_Toc13399"/>
      <w:r>
        <w:rPr>
          <w:rFonts w:hint="eastAsia" w:ascii="宋体" w:hAnsi="宋体" w:cs="宋体"/>
          <w:b/>
          <w:bCs/>
          <w:color w:val="auto"/>
          <w:kern w:val="0"/>
          <w:szCs w:val="21"/>
          <w:highlight w:val="none"/>
        </w:rPr>
        <w:t>2.1.2.1相关证书</w:t>
      </w:r>
      <w:bookmarkEnd w:id="151"/>
      <w:bookmarkEnd w:id="152"/>
    </w:p>
    <w:p w14:paraId="3120BFCC">
      <w:pPr>
        <w:widowControl/>
        <w:spacing w:line="360" w:lineRule="auto"/>
        <w:jc w:val="left"/>
        <w:outlineLvl w:val="9"/>
        <w:rPr>
          <w:rFonts w:hint="eastAsia" w:ascii="宋体" w:hAnsi="宋体" w:eastAsia="宋体" w:cs="宋体"/>
          <w:b w:val="0"/>
          <w:bCs w:val="0"/>
          <w:color w:val="auto"/>
          <w:kern w:val="0"/>
          <w:szCs w:val="21"/>
          <w:highlight w:val="none"/>
          <w:lang w:val="en-US" w:eastAsia="zh-CN"/>
        </w:rPr>
      </w:pPr>
      <w:bookmarkStart w:id="153" w:name="_Toc13050"/>
      <w:bookmarkStart w:id="154" w:name="_Toc9914"/>
      <w:r>
        <w:rPr>
          <w:rFonts w:hint="eastAsia" w:ascii="宋体" w:hAnsi="宋体" w:cs="宋体"/>
          <w:b w:val="0"/>
          <w:bCs w:val="0"/>
          <w:color w:val="auto"/>
          <w:kern w:val="0"/>
          <w:szCs w:val="21"/>
          <w:highlight w:val="none"/>
          <w:lang w:val="en-US" w:eastAsia="zh-CN"/>
        </w:rPr>
        <w:t xml:space="preserve">    无</w:t>
      </w:r>
    </w:p>
    <w:p w14:paraId="2A28ABD2">
      <w:pPr>
        <w:widowControl/>
        <w:spacing w:line="360" w:lineRule="auto"/>
        <w:jc w:val="left"/>
        <w:outlineLvl w:val="9"/>
        <w:rPr>
          <w:rFonts w:ascii="宋体" w:hAnsi="宋体" w:cs="宋体"/>
          <w:b/>
          <w:bCs/>
          <w:color w:val="auto"/>
          <w:kern w:val="0"/>
          <w:szCs w:val="21"/>
          <w:highlight w:val="none"/>
        </w:rPr>
      </w:pPr>
      <w:r>
        <w:rPr>
          <w:rFonts w:hint="eastAsia" w:ascii="宋体" w:hAnsi="宋体" w:cs="宋体"/>
          <w:b/>
          <w:bCs/>
          <w:color w:val="auto"/>
          <w:kern w:val="0"/>
          <w:szCs w:val="21"/>
          <w:highlight w:val="none"/>
        </w:rPr>
        <w:t>2.1.2.2成功案例</w:t>
      </w:r>
      <w:bookmarkEnd w:id="153"/>
      <w:bookmarkEnd w:id="154"/>
    </w:p>
    <w:p w14:paraId="57742E19">
      <w:pPr>
        <w:widowControl/>
        <w:spacing w:line="360" w:lineRule="auto"/>
        <w:ind w:firstLine="420" w:firstLineChars="200"/>
        <w:outlineLvl w:val="9"/>
        <w:rPr>
          <w:rFonts w:ascii="宋体" w:hAnsi="宋体" w:cs="宋体"/>
          <w:color w:val="auto"/>
          <w:kern w:val="0"/>
          <w:szCs w:val="21"/>
          <w:highlight w:val="none"/>
        </w:rPr>
      </w:pPr>
      <w:bookmarkStart w:id="155" w:name="_Toc21481"/>
      <w:bookmarkStart w:id="156" w:name="_Toc31065"/>
      <w:r>
        <w:rPr>
          <w:rFonts w:hint="eastAsia" w:ascii="宋体" w:hAnsi="宋体" w:cs="宋体"/>
          <w:color w:val="auto"/>
          <w:kern w:val="0"/>
          <w:szCs w:val="21"/>
          <w:highlight w:val="none"/>
        </w:rPr>
        <w:t>提供2023年1月1日至今（以合同签订日期为准）有履约验收记录的类似本项目的案例。</w:t>
      </w:r>
    </w:p>
    <w:bookmarkEnd w:id="155"/>
    <w:bookmarkEnd w:id="156"/>
    <w:p w14:paraId="3F5C392B">
      <w:pPr>
        <w:widowControl/>
        <w:spacing w:line="360" w:lineRule="auto"/>
        <w:jc w:val="left"/>
        <w:outlineLvl w:val="9"/>
        <w:rPr>
          <w:rFonts w:ascii="宋体" w:hAnsi="宋体" w:cs="宋体"/>
          <w:b/>
          <w:bCs/>
          <w:color w:val="auto"/>
          <w:kern w:val="0"/>
          <w:szCs w:val="21"/>
          <w:highlight w:val="none"/>
        </w:rPr>
      </w:pPr>
      <w:bookmarkStart w:id="157" w:name="_Toc1880"/>
      <w:bookmarkStart w:id="158" w:name="_Toc31468"/>
      <w:bookmarkStart w:id="159" w:name="_Toc256000010"/>
      <w:r>
        <w:rPr>
          <w:rFonts w:hint="eastAsia" w:ascii="宋体" w:hAnsi="宋体" w:cs="宋体"/>
          <w:b/>
          <w:bCs/>
          <w:color w:val="auto"/>
          <w:kern w:val="0"/>
          <w:szCs w:val="21"/>
          <w:highlight w:val="none"/>
        </w:rPr>
        <w:t>2.1.3是否允许联合体</w:t>
      </w:r>
      <w:bookmarkEnd w:id="157"/>
      <w:bookmarkEnd w:id="158"/>
      <w:bookmarkEnd w:id="159"/>
    </w:p>
    <w:p w14:paraId="46FEEEA3">
      <w:pPr>
        <w:widowControl/>
        <w:overflowPunct w:val="0"/>
        <w:autoSpaceDN w:val="0"/>
        <w:adjustRightInd w:val="0"/>
        <w:spacing w:line="360" w:lineRule="auto"/>
        <w:ind w:firstLine="420" w:firstLineChars="200"/>
        <w:jc w:val="left"/>
        <w:textAlignment w:val="baseline"/>
        <w:outlineLvl w:val="9"/>
        <w:rPr>
          <w:rFonts w:ascii="宋体" w:hAnsi="宋体" w:cs="宋体"/>
          <w:color w:val="auto"/>
          <w:szCs w:val="21"/>
          <w:highlight w:val="none"/>
        </w:rPr>
      </w:pPr>
      <w:r>
        <w:rPr>
          <w:rFonts w:hint="eastAsia" w:ascii="宋体" w:hAnsi="宋体" w:cs="宋体"/>
          <w:color w:val="auto"/>
          <w:kern w:val="0"/>
          <w:szCs w:val="21"/>
          <w:highlight w:val="none"/>
        </w:rPr>
        <w:t>本项目不接受联合体，不容许分包或转包。</w:t>
      </w:r>
    </w:p>
    <w:p w14:paraId="5EFC5705">
      <w:pPr>
        <w:widowControl/>
        <w:spacing w:line="360" w:lineRule="auto"/>
        <w:jc w:val="left"/>
        <w:outlineLvl w:val="9"/>
        <w:rPr>
          <w:rFonts w:ascii="宋体" w:hAnsi="宋体" w:cs="宋体"/>
          <w:b/>
          <w:bCs/>
          <w:color w:val="auto"/>
          <w:kern w:val="0"/>
          <w:szCs w:val="21"/>
          <w:highlight w:val="none"/>
        </w:rPr>
      </w:pPr>
      <w:bookmarkStart w:id="160" w:name="_Toc28020"/>
      <w:bookmarkStart w:id="161" w:name="_Toc256000012"/>
      <w:bookmarkStart w:id="162" w:name="_Toc26401"/>
      <w:r>
        <w:rPr>
          <w:rFonts w:hint="eastAsia" w:ascii="宋体" w:hAnsi="宋体" w:cs="宋体"/>
          <w:b/>
          <w:bCs/>
          <w:color w:val="auto"/>
          <w:kern w:val="0"/>
          <w:szCs w:val="21"/>
          <w:highlight w:val="none"/>
        </w:rPr>
        <w:t>2.1.</w:t>
      </w:r>
      <w:r>
        <w:rPr>
          <w:rFonts w:hint="eastAsia" w:ascii="宋体" w:hAnsi="宋体" w:cs="宋体"/>
          <w:b/>
          <w:bCs/>
          <w:color w:val="auto"/>
          <w:kern w:val="0"/>
          <w:szCs w:val="21"/>
          <w:highlight w:val="none"/>
          <w:lang w:val="en-US" w:eastAsia="zh-CN"/>
        </w:rPr>
        <w:t>4</w:t>
      </w:r>
      <w:r>
        <w:rPr>
          <w:rFonts w:hint="eastAsia" w:ascii="宋体" w:hAnsi="宋体" w:cs="宋体"/>
          <w:b/>
          <w:bCs/>
          <w:color w:val="auto"/>
          <w:kern w:val="0"/>
          <w:szCs w:val="21"/>
          <w:highlight w:val="none"/>
        </w:rPr>
        <w:t>其他要求</w:t>
      </w:r>
      <w:bookmarkEnd w:id="160"/>
      <w:bookmarkEnd w:id="161"/>
      <w:bookmarkEnd w:id="162"/>
    </w:p>
    <w:p w14:paraId="6EFFA2C2">
      <w:pPr>
        <w:widowControl/>
        <w:spacing w:line="360" w:lineRule="auto"/>
        <w:ind w:firstLine="420" w:firstLineChars="200"/>
        <w:jc w:val="left"/>
        <w:outlineLvl w:val="9"/>
        <w:rPr>
          <w:rFonts w:hint="eastAsia" w:ascii="宋体" w:hAnsi="宋体" w:cs="宋体"/>
          <w:color w:val="auto"/>
          <w:szCs w:val="21"/>
          <w:highlight w:val="none"/>
        </w:rPr>
      </w:pPr>
      <w:bookmarkStart w:id="163" w:name="_Toc16018"/>
      <w:bookmarkStart w:id="164" w:name="_Toc7803"/>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落实政府采购政策需满足的资格要求：本项目</w:t>
      </w:r>
      <w:r>
        <w:rPr>
          <w:rFonts w:hint="eastAsia" w:ascii="宋体" w:hAnsi="宋体" w:cs="宋体"/>
          <w:color w:val="auto"/>
          <w:szCs w:val="21"/>
          <w:highlight w:val="none"/>
        </w:rPr>
        <w:t>为专门面向</w:t>
      </w:r>
      <w:r>
        <w:rPr>
          <w:rFonts w:hint="eastAsia" w:ascii="宋体" w:hAnsi="宋体" w:cs="宋体"/>
          <w:color w:val="auto"/>
          <w:szCs w:val="21"/>
          <w:highlight w:val="none"/>
          <w:lang w:eastAsia="zh-CN"/>
        </w:rPr>
        <w:t>中小</w:t>
      </w:r>
      <w:r>
        <w:rPr>
          <w:rFonts w:hint="eastAsia" w:ascii="宋体" w:hAnsi="宋体" w:cs="宋体"/>
          <w:color w:val="auto"/>
          <w:szCs w:val="21"/>
          <w:highlight w:val="none"/>
        </w:rPr>
        <w:t>企业采购的项目，监狱企业、残疾人企业视同小微企业，享受促进中小企业发展政策优惠。</w:t>
      </w:r>
    </w:p>
    <w:p w14:paraId="73DAFE4B">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本项目的特定资格要求：无。</w:t>
      </w:r>
    </w:p>
    <w:p w14:paraId="2FE4AEAB">
      <w:pPr>
        <w:widowControl/>
        <w:spacing w:line="360" w:lineRule="auto"/>
        <w:ind w:firstLine="420" w:firstLineChars="200"/>
        <w:jc w:val="left"/>
        <w:outlineLvl w:val="9"/>
        <w:rPr>
          <w:rFonts w:hint="eastAsia" w:ascii="宋体" w:hAnsi="宋体" w:cs="宋体"/>
          <w:color w:val="auto"/>
          <w:szCs w:val="21"/>
          <w:highlight w:val="none"/>
        </w:rPr>
      </w:pPr>
      <w:r>
        <w:rPr>
          <w:rFonts w:hint="eastAsia" w:ascii="宋体" w:hAnsi="宋体" w:cs="宋体"/>
          <w:color w:val="auto"/>
          <w:szCs w:val="21"/>
          <w:highlight w:val="none"/>
        </w:rPr>
        <w:t>注：本项目不接受联合体投标，不接受分包。</w:t>
      </w:r>
    </w:p>
    <w:p w14:paraId="7F59F3D3">
      <w:pPr>
        <w:widowControl/>
        <w:spacing w:line="360" w:lineRule="auto"/>
        <w:ind w:firstLine="420" w:firstLineChars="200"/>
        <w:outlineLvl w:val="9"/>
        <w:rPr>
          <w:rFonts w:ascii="宋体" w:hAnsi="宋体" w:cs="宋体"/>
          <w:color w:val="auto"/>
          <w:kern w:val="0"/>
          <w:szCs w:val="21"/>
          <w:highlight w:val="none"/>
          <w:lang w:eastAsia="en-US"/>
        </w:rPr>
      </w:pPr>
      <w:r>
        <w:rPr>
          <w:rFonts w:hint="eastAsia" w:ascii="宋体" w:hAnsi="宋体" w:cs="宋体"/>
          <w:color w:val="auto"/>
          <w:szCs w:val="21"/>
          <w:highlight w:val="none"/>
        </w:rPr>
        <w:t>截至开标当日评审之前，经“信用中国”网站（www.creditchina.gov.cn）、“中国政府采购网”网站（www.ccgp.gov.cn）查询，被列入失信被执行人、重大税收违法案件当事人名单、政府采购严重违法失信行为记录名单的不得参加本采购项目</w:t>
      </w:r>
      <w:r>
        <w:rPr>
          <w:rFonts w:hint="eastAsia" w:ascii="宋体" w:hAnsi="宋体" w:cs="宋体"/>
          <w:color w:val="auto"/>
          <w:kern w:val="0"/>
          <w:szCs w:val="21"/>
          <w:highlight w:val="none"/>
          <w:lang w:eastAsia="en-US"/>
        </w:rPr>
        <w:t>。</w:t>
      </w:r>
      <w:bookmarkEnd w:id="163"/>
      <w:bookmarkEnd w:id="164"/>
    </w:p>
    <w:p w14:paraId="01F43414">
      <w:pPr>
        <w:widowControl/>
        <w:spacing w:line="360" w:lineRule="auto"/>
        <w:jc w:val="left"/>
        <w:outlineLvl w:val="9"/>
        <w:rPr>
          <w:rFonts w:ascii="宋体" w:hAnsi="宋体" w:cs="宋体"/>
          <w:b/>
          <w:bCs/>
          <w:color w:val="auto"/>
          <w:kern w:val="0"/>
          <w:szCs w:val="21"/>
          <w:highlight w:val="none"/>
        </w:rPr>
      </w:pPr>
      <w:bookmarkStart w:id="165" w:name="_Toc6126"/>
      <w:bookmarkStart w:id="166" w:name="_Toc8297"/>
      <w:bookmarkStart w:id="167" w:name="_Toc256000013"/>
      <w:r>
        <w:rPr>
          <w:rFonts w:hint="eastAsia" w:ascii="宋体" w:hAnsi="宋体" w:cs="宋体"/>
          <w:b/>
          <w:bCs/>
          <w:color w:val="auto"/>
          <w:kern w:val="0"/>
          <w:szCs w:val="21"/>
          <w:highlight w:val="none"/>
        </w:rPr>
        <w:t>2.2技术部分投标/响应内容</w:t>
      </w:r>
      <w:bookmarkEnd w:id="165"/>
      <w:bookmarkEnd w:id="166"/>
      <w:bookmarkEnd w:id="167"/>
    </w:p>
    <w:p w14:paraId="319114E7">
      <w:pPr>
        <w:widowControl/>
        <w:spacing w:line="360" w:lineRule="auto"/>
        <w:jc w:val="left"/>
        <w:outlineLvl w:val="9"/>
        <w:rPr>
          <w:rFonts w:ascii="宋体" w:hAnsi="宋体" w:cs="宋体"/>
          <w:b/>
          <w:bCs/>
          <w:color w:val="auto"/>
          <w:kern w:val="0"/>
          <w:szCs w:val="21"/>
          <w:highlight w:val="none"/>
        </w:rPr>
      </w:pPr>
      <w:bookmarkStart w:id="168" w:name="_Toc9598"/>
      <w:bookmarkStart w:id="169" w:name="_Toc30842"/>
      <w:r>
        <w:rPr>
          <w:rFonts w:hint="eastAsia" w:ascii="宋体" w:hAnsi="宋体" w:cs="宋体"/>
          <w:b/>
          <w:bCs/>
          <w:color w:val="auto"/>
          <w:kern w:val="0"/>
          <w:szCs w:val="21"/>
          <w:highlight w:val="none"/>
        </w:rPr>
        <w:t>2.2.1技术投标/响应总要求</w:t>
      </w:r>
      <w:bookmarkEnd w:id="168"/>
      <w:bookmarkEnd w:id="169"/>
    </w:p>
    <w:p w14:paraId="5571ED83">
      <w:pPr>
        <w:widowControl/>
        <w:spacing w:line="360" w:lineRule="auto"/>
        <w:ind w:firstLine="420" w:firstLineChars="200"/>
        <w:outlineLvl w:val="9"/>
        <w:rPr>
          <w:rFonts w:ascii="宋体" w:hAnsi="宋体" w:cs="宋体"/>
          <w:color w:val="auto"/>
          <w:kern w:val="0"/>
          <w:szCs w:val="21"/>
          <w:highlight w:val="none"/>
        </w:rPr>
      </w:pPr>
      <w:bookmarkStart w:id="170" w:name="_Toc13653"/>
      <w:bookmarkStart w:id="171" w:name="_Toc2023"/>
      <w:r>
        <w:rPr>
          <w:rFonts w:hint="eastAsia" w:ascii="宋体" w:hAnsi="宋体" w:cs="宋体"/>
          <w:color w:val="auto"/>
          <w:kern w:val="0"/>
          <w:szCs w:val="21"/>
          <w:highlight w:val="none"/>
        </w:rPr>
        <w:t>符合国家有关法律规定，在中国境内（指关境内）注册。</w:t>
      </w:r>
      <w:bookmarkEnd w:id="170"/>
      <w:bookmarkEnd w:id="171"/>
    </w:p>
    <w:p w14:paraId="4A488217">
      <w:pPr>
        <w:widowControl/>
        <w:spacing w:line="360" w:lineRule="auto"/>
        <w:jc w:val="left"/>
        <w:outlineLvl w:val="9"/>
        <w:rPr>
          <w:rFonts w:ascii="宋体" w:hAnsi="宋体" w:cs="宋体"/>
          <w:b/>
          <w:bCs/>
          <w:color w:val="auto"/>
          <w:kern w:val="0"/>
          <w:szCs w:val="21"/>
          <w:highlight w:val="none"/>
        </w:rPr>
      </w:pPr>
      <w:bookmarkStart w:id="172" w:name="_Toc256000014"/>
      <w:bookmarkStart w:id="173" w:name="_Toc3047"/>
      <w:bookmarkStart w:id="174" w:name="_Toc16177"/>
      <w:r>
        <w:rPr>
          <w:rFonts w:hint="eastAsia" w:ascii="宋体" w:hAnsi="宋体" w:cs="宋体"/>
          <w:b/>
          <w:bCs/>
          <w:color w:val="auto"/>
          <w:kern w:val="0"/>
          <w:szCs w:val="21"/>
          <w:highlight w:val="none"/>
        </w:rPr>
        <w:t>2.2.2</w:t>
      </w:r>
      <w:bookmarkEnd w:id="172"/>
      <w:r>
        <w:rPr>
          <w:rFonts w:hint="eastAsia" w:ascii="宋体" w:hAnsi="宋体" w:cs="宋体"/>
          <w:b/>
          <w:bCs/>
          <w:color w:val="auto"/>
          <w:kern w:val="0"/>
          <w:szCs w:val="21"/>
          <w:highlight w:val="none"/>
        </w:rPr>
        <w:t>投标/响应方案要求</w:t>
      </w:r>
      <w:bookmarkEnd w:id="173"/>
      <w:bookmarkEnd w:id="174"/>
    </w:p>
    <w:p w14:paraId="4A585CE1">
      <w:pPr>
        <w:widowControl/>
        <w:spacing w:line="360" w:lineRule="auto"/>
        <w:ind w:firstLine="420" w:firstLineChars="200"/>
        <w:outlineLvl w:val="9"/>
        <w:rPr>
          <w:rFonts w:ascii="宋体" w:hAnsi="宋体" w:cs="宋体"/>
          <w:color w:val="auto"/>
          <w:kern w:val="0"/>
          <w:szCs w:val="21"/>
          <w:highlight w:val="none"/>
        </w:rPr>
      </w:pPr>
      <w:bookmarkStart w:id="175" w:name="_Toc9046"/>
      <w:bookmarkStart w:id="176" w:name="_Toc9948"/>
      <w:bookmarkStart w:id="177" w:name="_Toc256000015"/>
      <w:r>
        <w:rPr>
          <w:rFonts w:hint="eastAsia" w:ascii="宋体" w:hAnsi="宋体" w:cs="宋体"/>
          <w:color w:val="auto"/>
          <w:kern w:val="0"/>
          <w:szCs w:val="21"/>
          <w:highlight w:val="none"/>
        </w:rPr>
        <w:t>供应商应提供项目需求理解、服务方案、应急保障方案、管理实施方案、风险管控方案、验收响应方案。以下相关方案，若作为评审因素，应在满足★关键指标项要求的前提下，根据项目特点和采购需求，制定更为完整、详细、可操作性强的方案。</w:t>
      </w:r>
      <w:bookmarkEnd w:id="175"/>
      <w:bookmarkEnd w:id="176"/>
    </w:p>
    <w:p w14:paraId="117203FB">
      <w:pPr>
        <w:widowControl/>
        <w:spacing w:line="360" w:lineRule="auto"/>
        <w:ind w:firstLine="420" w:firstLineChars="200"/>
        <w:outlineLvl w:val="9"/>
        <w:rPr>
          <w:rFonts w:ascii="宋体" w:hAnsi="宋体" w:cs="宋体"/>
          <w:color w:val="auto"/>
          <w:kern w:val="0"/>
          <w:szCs w:val="21"/>
          <w:highlight w:val="none"/>
        </w:rPr>
      </w:pPr>
      <w:bookmarkStart w:id="178" w:name="_Toc10033"/>
      <w:bookmarkStart w:id="179" w:name="_Toc26827"/>
      <w:r>
        <w:rPr>
          <w:rFonts w:hint="eastAsia" w:ascii="宋体" w:hAnsi="宋体" w:cs="宋体"/>
          <w:color w:val="auto"/>
          <w:kern w:val="0"/>
          <w:szCs w:val="21"/>
          <w:highlight w:val="none"/>
        </w:rPr>
        <w:t>1.项目需求理解</w:t>
      </w:r>
      <w:bookmarkEnd w:id="178"/>
      <w:bookmarkEnd w:id="179"/>
    </w:p>
    <w:p w14:paraId="0DA944E6">
      <w:pPr>
        <w:widowControl/>
        <w:spacing w:line="360" w:lineRule="auto"/>
        <w:ind w:firstLine="420" w:firstLineChars="200"/>
        <w:outlineLvl w:val="9"/>
        <w:rPr>
          <w:rFonts w:ascii="宋体" w:hAnsi="宋体" w:cs="宋体"/>
          <w:color w:val="auto"/>
          <w:kern w:val="0"/>
          <w:szCs w:val="21"/>
          <w:highlight w:val="none"/>
        </w:rPr>
      </w:pPr>
      <w:bookmarkStart w:id="180" w:name="_Toc21226"/>
      <w:bookmarkStart w:id="181" w:name="_Toc27399"/>
      <w:r>
        <w:rPr>
          <w:rFonts w:hint="eastAsia" w:ascii="宋体" w:hAnsi="宋体" w:cs="宋体"/>
          <w:color w:val="auto"/>
          <w:kern w:val="0"/>
          <w:szCs w:val="21"/>
          <w:highlight w:val="none"/>
        </w:rPr>
        <w:t>供应商须充分理解项目采购内容，对项目概述、采购内容及要求等内容进行详细阐述和分析。</w:t>
      </w:r>
      <w:bookmarkEnd w:id="180"/>
      <w:bookmarkEnd w:id="181"/>
    </w:p>
    <w:p w14:paraId="0374768F">
      <w:pPr>
        <w:widowControl/>
        <w:spacing w:line="360" w:lineRule="auto"/>
        <w:ind w:firstLine="420" w:firstLineChars="200"/>
        <w:outlineLvl w:val="9"/>
        <w:rPr>
          <w:rFonts w:ascii="宋体" w:hAnsi="宋体" w:cs="宋体"/>
          <w:color w:val="auto"/>
          <w:kern w:val="0"/>
          <w:szCs w:val="21"/>
          <w:highlight w:val="none"/>
        </w:rPr>
      </w:pPr>
      <w:bookmarkStart w:id="182" w:name="_Toc26549"/>
      <w:bookmarkStart w:id="183" w:name="_Toc29831"/>
      <w:r>
        <w:rPr>
          <w:rFonts w:hint="eastAsia" w:ascii="宋体" w:hAnsi="宋体" w:cs="宋体"/>
          <w:color w:val="auto"/>
          <w:kern w:val="0"/>
          <w:szCs w:val="21"/>
          <w:highlight w:val="none"/>
        </w:rPr>
        <w:t>2.服务方案</w:t>
      </w:r>
      <w:bookmarkEnd w:id="182"/>
      <w:bookmarkEnd w:id="183"/>
    </w:p>
    <w:p w14:paraId="4B7CAE2B">
      <w:pPr>
        <w:widowControl/>
        <w:spacing w:line="360" w:lineRule="auto"/>
        <w:ind w:firstLine="420" w:firstLineChars="200"/>
        <w:outlineLvl w:val="9"/>
        <w:rPr>
          <w:rFonts w:ascii="宋体" w:hAnsi="宋体" w:cs="宋体"/>
          <w:color w:val="auto"/>
          <w:kern w:val="0"/>
          <w:szCs w:val="21"/>
          <w:highlight w:val="none"/>
        </w:rPr>
      </w:pPr>
      <w:bookmarkStart w:id="184" w:name="_Toc5392"/>
      <w:bookmarkStart w:id="185" w:name="_Toc373"/>
      <w:r>
        <w:rPr>
          <w:rFonts w:hint="eastAsia" w:ascii="宋体" w:hAnsi="宋体" w:cs="宋体"/>
          <w:color w:val="auto"/>
          <w:kern w:val="0"/>
          <w:szCs w:val="21"/>
          <w:highlight w:val="none"/>
        </w:rPr>
        <w:t>供应商应详细阐述项目服务方案，方案包括但不限于服务计划、服务方式、建立健全管理制度、服务关键点和难点及应对措施等工作内容。</w:t>
      </w:r>
      <w:bookmarkEnd w:id="184"/>
      <w:bookmarkEnd w:id="185"/>
    </w:p>
    <w:p w14:paraId="11BBA40A">
      <w:pPr>
        <w:widowControl/>
        <w:spacing w:line="360" w:lineRule="auto"/>
        <w:ind w:firstLine="420" w:firstLineChars="200"/>
        <w:outlineLvl w:val="9"/>
        <w:rPr>
          <w:rFonts w:ascii="宋体" w:hAnsi="宋体" w:cs="宋体"/>
          <w:color w:val="auto"/>
          <w:kern w:val="0"/>
          <w:szCs w:val="21"/>
          <w:highlight w:val="none"/>
        </w:rPr>
      </w:pPr>
      <w:bookmarkStart w:id="186" w:name="_Toc28415"/>
      <w:bookmarkStart w:id="187" w:name="_Toc4169"/>
      <w:r>
        <w:rPr>
          <w:rFonts w:hint="eastAsia" w:ascii="宋体" w:hAnsi="宋体" w:cs="宋体"/>
          <w:color w:val="auto"/>
          <w:kern w:val="0"/>
          <w:szCs w:val="21"/>
          <w:highlight w:val="none"/>
        </w:rPr>
        <w:t>3.应急保障方案</w:t>
      </w:r>
      <w:bookmarkEnd w:id="186"/>
      <w:bookmarkEnd w:id="187"/>
    </w:p>
    <w:p w14:paraId="4C95DB2F">
      <w:pPr>
        <w:widowControl/>
        <w:spacing w:line="360" w:lineRule="auto"/>
        <w:ind w:firstLine="420" w:firstLineChars="200"/>
        <w:outlineLvl w:val="9"/>
        <w:rPr>
          <w:rFonts w:ascii="宋体" w:hAnsi="宋体" w:cs="宋体"/>
          <w:color w:val="auto"/>
          <w:kern w:val="0"/>
          <w:szCs w:val="21"/>
          <w:highlight w:val="none"/>
        </w:rPr>
      </w:pPr>
      <w:bookmarkStart w:id="188" w:name="_Toc5793"/>
      <w:bookmarkStart w:id="189" w:name="_Toc25122"/>
      <w:r>
        <w:rPr>
          <w:rFonts w:hint="eastAsia" w:ascii="宋体" w:hAnsi="宋体" w:cs="宋体"/>
          <w:color w:val="auto"/>
          <w:kern w:val="0"/>
          <w:szCs w:val="21"/>
          <w:highlight w:val="none"/>
        </w:rPr>
        <w:t>供应商应根据对项目的了解，制定应急预案。方案包括但不限于重大事件应急保障措施、应急处理流程、应急事件处理、应急演练和培训等工作内容。</w:t>
      </w:r>
      <w:bookmarkEnd w:id="188"/>
      <w:bookmarkEnd w:id="189"/>
    </w:p>
    <w:p w14:paraId="772E454F">
      <w:pPr>
        <w:widowControl/>
        <w:spacing w:line="360" w:lineRule="auto"/>
        <w:ind w:firstLine="420" w:firstLineChars="200"/>
        <w:outlineLvl w:val="9"/>
        <w:rPr>
          <w:rFonts w:ascii="宋体" w:hAnsi="宋体" w:cs="宋体"/>
          <w:color w:val="auto"/>
          <w:kern w:val="0"/>
          <w:szCs w:val="21"/>
          <w:highlight w:val="none"/>
        </w:rPr>
      </w:pPr>
      <w:bookmarkStart w:id="190" w:name="_Toc11549"/>
      <w:bookmarkStart w:id="191" w:name="_Toc21511"/>
      <w:r>
        <w:rPr>
          <w:rFonts w:hint="eastAsia" w:ascii="宋体" w:hAnsi="宋体" w:cs="宋体"/>
          <w:color w:val="auto"/>
          <w:kern w:val="0"/>
          <w:szCs w:val="21"/>
          <w:highlight w:val="none"/>
        </w:rPr>
        <w:t>4.管理实施方案</w:t>
      </w:r>
      <w:bookmarkEnd w:id="190"/>
      <w:bookmarkEnd w:id="191"/>
    </w:p>
    <w:p w14:paraId="607397EC">
      <w:pPr>
        <w:widowControl/>
        <w:spacing w:line="360" w:lineRule="auto"/>
        <w:ind w:firstLine="420" w:firstLineChars="200"/>
        <w:outlineLvl w:val="9"/>
        <w:rPr>
          <w:rFonts w:ascii="宋体" w:hAnsi="宋体" w:cs="宋体"/>
          <w:color w:val="auto"/>
          <w:kern w:val="0"/>
          <w:szCs w:val="21"/>
          <w:highlight w:val="none"/>
        </w:rPr>
      </w:pPr>
      <w:bookmarkStart w:id="192" w:name="_Toc24764"/>
      <w:bookmarkStart w:id="193" w:name="_Toc30837"/>
      <w:r>
        <w:rPr>
          <w:rFonts w:hint="eastAsia" w:ascii="宋体" w:hAnsi="宋体" w:cs="宋体"/>
          <w:color w:val="auto"/>
          <w:kern w:val="0"/>
          <w:szCs w:val="21"/>
          <w:highlight w:val="none"/>
        </w:rPr>
        <w:t>供应商应根据对项目的了解，制定实施方案。方案包括但不限于服务人员日常管理、遵守规章制度、调动人员积极性以及针对服务过程中存在问题及时与采购人协调、与其他人员进行配合等工作内容。</w:t>
      </w:r>
      <w:bookmarkEnd w:id="192"/>
      <w:bookmarkEnd w:id="193"/>
    </w:p>
    <w:p w14:paraId="6704E2AB">
      <w:pPr>
        <w:widowControl/>
        <w:spacing w:line="360" w:lineRule="auto"/>
        <w:ind w:firstLine="420" w:firstLineChars="200"/>
        <w:outlineLvl w:val="9"/>
        <w:rPr>
          <w:rFonts w:ascii="宋体" w:hAnsi="宋体" w:cs="宋体"/>
          <w:color w:val="auto"/>
          <w:kern w:val="0"/>
          <w:szCs w:val="21"/>
          <w:highlight w:val="none"/>
        </w:rPr>
      </w:pPr>
      <w:bookmarkStart w:id="194" w:name="_Toc1334"/>
      <w:bookmarkStart w:id="195" w:name="_Toc2400"/>
      <w:r>
        <w:rPr>
          <w:rFonts w:hint="eastAsia" w:ascii="宋体" w:hAnsi="宋体" w:cs="宋体"/>
          <w:color w:val="auto"/>
          <w:kern w:val="0"/>
          <w:szCs w:val="21"/>
          <w:highlight w:val="none"/>
        </w:rPr>
        <w:t>5.风险管控方案</w:t>
      </w:r>
      <w:bookmarkEnd w:id="194"/>
      <w:bookmarkEnd w:id="195"/>
    </w:p>
    <w:p w14:paraId="19B29ABE">
      <w:pPr>
        <w:widowControl/>
        <w:spacing w:line="360" w:lineRule="auto"/>
        <w:ind w:firstLine="420" w:firstLineChars="200"/>
        <w:outlineLvl w:val="9"/>
        <w:rPr>
          <w:rFonts w:ascii="宋体" w:hAnsi="宋体" w:cs="宋体"/>
          <w:color w:val="auto"/>
          <w:kern w:val="0"/>
          <w:szCs w:val="21"/>
          <w:highlight w:val="none"/>
        </w:rPr>
      </w:pPr>
      <w:bookmarkStart w:id="196" w:name="_Toc265"/>
      <w:bookmarkStart w:id="197" w:name="_Toc348"/>
      <w:r>
        <w:rPr>
          <w:rFonts w:hint="eastAsia" w:ascii="宋体" w:hAnsi="宋体" w:cs="宋体"/>
          <w:color w:val="auto"/>
          <w:kern w:val="0"/>
          <w:szCs w:val="21"/>
          <w:highlight w:val="none"/>
        </w:rPr>
        <w:t>供应商应根据对项目的了解，制定风险管控。方案包括但不限于对国家政策变化、实施环境变化、重大技术变化等情形的风险管控内容、应对措施、时间和形式等工作内容。</w:t>
      </w:r>
      <w:bookmarkEnd w:id="196"/>
      <w:bookmarkEnd w:id="197"/>
    </w:p>
    <w:p w14:paraId="405052AF">
      <w:pPr>
        <w:widowControl/>
        <w:spacing w:line="360" w:lineRule="auto"/>
        <w:ind w:firstLine="420" w:firstLineChars="200"/>
        <w:outlineLvl w:val="9"/>
        <w:rPr>
          <w:rFonts w:ascii="宋体" w:hAnsi="宋体" w:cs="宋体"/>
          <w:color w:val="auto"/>
          <w:kern w:val="0"/>
          <w:szCs w:val="21"/>
          <w:highlight w:val="none"/>
        </w:rPr>
      </w:pPr>
      <w:bookmarkStart w:id="198" w:name="_Toc26905"/>
      <w:bookmarkStart w:id="199" w:name="_Toc7167"/>
      <w:r>
        <w:rPr>
          <w:rFonts w:hint="eastAsia" w:ascii="宋体" w:hAnsi="宋体" w:cs="宋体"/>
          <w:color w:val="auto"/>
          <w:kern w:val="0"/>
          <w:szCs w:val="21"/>
          <w:highlight w:val="none"/>
        </w:rPr>
        <w:t>6.验收响应方案</w:t>
      </w:r>
      <w:bookmarkEnd w:id="198"/>
      <w:bookmarkEnd w:id="199"/>
    </w:p>
    <w:p w14:paraId="34ACB15C">
      <w:pPr>
        <w:widowControl/>
        <w:spacing w:line="360" w:lineRule="auto"/>
        <w:ind w:firstLine="420" w:firstLineChars="200"/>
        <w:outlineLvl w:val="9"/>
        <w:rPr>
          <w:rFonts w:ascii="宋体" w:hAnsi="宋体" w:cs="宋体"/>
          <w:color w:val="auto"/>
          <w:kern w:val="0"/>
          <w:szCs w:val="21"/>
          <w:highlight w:val="none"/>
        </w:rPr>
      </w:pPr>
      <w:bookmarkStart w:id="200" w:name="_Toc444"/>
      <w:bookmarkStart w:id="201" w:name="_Toc4739"/>
      <w:r>
        <w:rPr>
          <w:rFonts w:hint="eastAsia" w:ascii="仿宋" w:hAnsi="仿宋" w:eastAsia="仿宋" w:cs="仿宋"/>
          <w:color w:val="auto"/>
          <w:szCs w:val="21"/>
          <w:highlight w:val="none"/>
        </w:rPr>
        <w:t>供应商应根据采</w:t>
      </w:r>
      <w:r>
        <w:rPr>
          <w:rFonts w:hint="eastAsia" w:ascii="仿宋" w:hAnsi="仿宋" w:eastAsia="仿宋" w:cs="仿宋"/>
          <w:b w:val="0"/>
          <w:bCs w:val="0"/>
          <w:i w:val="0"/>
          <w:iCs w:val="0"/>
          <w:smallCaps w:val="0"/>
          <w:color w:val="auto"/>
          <w:sz w:val="21"/>
          <w:szCs w:val="21"/>
          <w:highlight w:val="none"/>
        </w:rPr>
        <w:t>购人对项目验收的要求，结合自身同类项目经验，制定内容详细、可执行性高的项目验收方案。</w:t>
      </w:r>
      <w:r>
        <w:rPr>
          <w:rFonts w:hint="eastAsia" w:ascii="仿宋" w:hAnsi="仿宋" w:eastAsia="仿宋" w:cs="仿宋"/>
          <w:b w:val="0"/>
          <w:bCs w:val="0"/>
          <w:i w:val="0"/>
          <w:iCs w:val="0"/>
          <w:smallCaps w:val="0"/>
          <w:color w:val="auto"/>
          <w:sz w:val="21"/>
          <w:szCs w:val="21"/>
          <w:highlight w:val="none"/>
          <w:lang w:val="en-US" w:eastAsia="zh-CN"/>
        </w:rPr>
        <w:t>供应商</w:t>
      </w:r>
      <w:r>
        <w:rPr>
          <w:rFonts w:hint="eastAsia" w:ascii="仿宋" w:hAnsi="仿宋" w:eastAsia="仿宋" w:cs="仿宋"/>
          <w:b w:val="0"/>
          <w:bCs w:val="0"/>
          <w:i w:val="0"/>
          <w:iCs w:val="0"/>
          <w:smallCaps w:val="0"/>
          <w:color w:val="auto"/>
          <w:sz w:val="21"/>
          <w:szCs w:val="21"/>
          <w:highlight w:val="none"/>
        </w:rPr>
        <w:t>必须按照本项目需求书要求详细阐述</w:t>
      </w:r>
      <w:r>
        <w:rPr>
          <w:rFonts w:hint="eastAsia" w:ascii="仿宋" w:hAnsi="仿宋" w:eastAsia="仿宋" w:cs="仿宋"/>
          <w:b w:val="0"/>
          <w:bCs w:val="0"/>
          <w:i w:val="0"/>
          <w:iCs w:val="0"/>
          <w:smallCaps w:val="0"/>
          <w:color w:val="auto"/>
          <w:sz w:val="21"/>
          <w:szCs w:val="21"/>
          <w:highlight w:val="none"/>
          <w:lang w:val="en-US" w:eastAsia="zh-CN"/>
        </w:rPr>
        <w:t>服务</w:t>
      </w:r>
      <w:r>
        <w:rPr>
          <w:rFonts w:hint="eastAsia" w:ascii="仿宋" w:hAnsi="仿宋" w:eastAsia="仿宋" w:cs="仿宋"/>
          <w:b w:val="0"/>
          <w:bCs w:val="0"/>
          <w:i w:val="0"/>
          <w:iCs w:val="0"/>
          <w:smallCaps w:val="0"/>
          <w:color w:val="auto"/>
          <w:sz w:val="21"/>
          <w:szCs w:val="21"/>
          <w:highlight w:val="none"/>
        </w:rPr>
        <w:t>验收方案。对验收中可能发现的</w:t>
      </w:r>
      <w:r>
        <w:rPr>
          <w:rFonts w:hint="eastAsia" w:ascii="仿宋" w:hAnsi="仿宋" w:eastAsia="仿宋" w:cs="仿宋"/>
          <w:color w:val="auto"/>
          <w:szCs w:val="21"/>
          <w:highlight w:val="none"/>
        </w:rPr>
        <w:t>问题，提出有效解决办法和补救措施</w:t>
      </w:r>
      <w:r>
        <w:rPr>
          <w:rFonts w:hint="eastAsia" w:ascii="宋体" w:hAnsi="宋体" w:cs="宋体"/>
          <w:color w:val="auto"/>
          <w:kern w:val="0"/>
          <w:szCs w:val="21"/>
          <w:highlight w:val="none"/>
        </w:rPr>
        <w:t>。</w:t>
      </w:r>
      <w:bookmarkEnd w:id="200"/>
      <w:bookmarkEnd w:id="201"/>
    </w:p>
    <w:p w14:paraId="07F0FDFA">
      <w:pPr>
        <w:spacing w:line="360" w:lineRule="auto"/>
        <w:jc w:val="center"/>
        <w:outlineLvl w:val="9"/>
        <w:rPr>
          <w:rFonts w:ascii="宋体" w:hAnsi="宋体" w:cs="宋体"/>
          <w:b/>
          <w:bCs/>
          <w:color w:val="auto"/>
          <w:kern w:val="36"/>
          <w:szCs w:val="21"/>
          <w:highlight w:val="none"/>
        </w:rPr>
      </w:pPr>
      <w:bookmarkStart w:id="202" w:name="_Toc18132"/>
      <w:bookmarkStart w:id="203" w:name="_Toc17749"/>
      <w:r>
        <w:rPr>
          <w:rFonts w:hint="eastAsia" w:ascii="宋体" w:hAnsi="宋体" w:cs="宋体"/>
          <w:b/>
          <w:bCs/>
          <w:color w:val="auto"/>
          <w:kern w:val="36"/>
          <w:szCs w:val="21"/>
          <w:highlight w:val="none"/>
        </w:rPr>
        <w:t>3项目需求</w:t>
      </w:r>
      <w:bookmarkEnd w:id="177"/>
      <w:bookmarkEnd w:id="202"/>
      <w:bookmarkEnd w:id="203"/>
    </w:p>
    <w:p w14:paraId="3BEBD06C">
      <w:pPr>
        <w:widowControl/>
        <w:spacing w:line="360" w:lineRule="auto"/>
        <w:jc w:val="left"/>
        <w:outlineLvl w:val="9"/>
        <w:rPr>
          <w:rFonts w:ascii="宋体" w:hAnsi="宋体" w:cs="宋体"/>
          <w:b/>
          <w:bCs/>
          <w:color w:val="auto"/>
          <w:kern w:val="0"/>
          <w:szCs w:val="21"/>
          <w:highlight w:val="none"/>
        </w:rPr>
      </w:pPr>
      <w:bookmarkStart w:id="204" w:name="_Toc256000016"/>
      <w:bookmarkStart w:id="205" w:name="_Toc1556"/>
      <w:bookmarkStart w:id="206" w:name="_Toc27867"/>
      <w:r>
        <w:rPr>
          <w:rFonts w:hint="eastAsia" w:ascii="宋体" w:hAnsi="宋体" w:cs="宋体"/>
          <w:b/>
          <w:bCs/>
          <w:color w:val="auto"/>
          <w:kern w:val="0"/>
          <w:szCs w:val="21"/>
          <w:highlight w:val="none"/>
        </w:rPr>
        <w:t>3.1总体要求</w:t>
      </w:r>
      <w:bookmarkEnd w:id="204"/>
      <w:bookmarkEnd w:id="205"/>
      <w:bookmarkEnd w:id="206"/>
    </w:p>
    <w:p w14:paraId="3A9809D5">
      <w:pPr>
        <w:widowControl/>
        <w:spacing w:line="360" w:lineRule="auto"/>
        <w:ind w:firstLine="420" w:firstLineChars="200"/>
        <w:outlineLvl w:val="9"/>
        <w:rPr>
          <w:rFonts w:ascii="宋体" w:hAnsi="宋体" w:cs="宋体"/>
          <w:color w:val="auto"/>
          <w:kern w:val="0"/>
          <w:szCs w:val="21"/>
          <w:highlight w:val="none"/>
        </w:rPr>
      </w:pPr>
      <w:bookmarkStart w:id="207" w:name="_Toc2158"/>
      <w:bookmarkStart w:id="208" w:name="_Toc3782"/>
      <w:r>
        <w:rPr>
          <w:rFonts w:hint="eastAsia" w:ascii="宋体" w:hAnsi="宋体" w:cs="宋体"/>
          <w:color w:val="auto"/>
          <w:kern w:val="0"/>
          <w:szCs w:val="21"/>
          <w:highlight w:val="none"/>
        </w:rPr>
        <w:t>国家税务总局庄河市税务局采购非执法类辅助性纳税服务，项目内容为按照规章制度和岗位职责开展工作，协助在职干部为纳税人办理纳税咨询、征缴服务及其他相关工作，堵塞税收漏洞。服务工作主要内容为：</w:t>
      </w:r>
    </w:p>
    <w:p w14:paraId="2D9736BF">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（一）导税服务</w:t>
      </w:r>
    </w:p>
    <w:p w14:paraId="29C4C2B8">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主要引导纳税人缴费人在相关的服务区域或窗口办理税费事项；辅导纳税人填写资料；协助纳税人核对资料和表单填写的完整性；解答纳税人缴费人办理税费事项咨询；宣传税费法律法规政策；维护办税服务厅秩序，以及为纳税人缴费人提供准确、快捷的其他指引服务等，具体内容如下：</w:t>
      </w:r>
    </w:p>
    <w:p w14:paraId="3D5FE4B2">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1.引导服务：引导纳税人缴费人到相关服务区域或窗口办理税费事项，帮助其了解、熟悉办税流程，提供准确、快捷的指引，做到合理有效分流人员，减少排队等候时间。</w:t>
      </w:r>
    </w:p>
    <w:p w14:paraId="058F2D50">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2.资料预检：在纳税人缴费人办理业务之前，对提供的资料进行初步检查，确保资料的完整性和正确性。</w:t>
      </w:r>
    </w:p>
    <w:p w14:paraId="30762D6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3.秩序维护：维护办税服务点的秩序，确保纳税人缴费人有序办理税费业务。</w:t>
      </w:r>
    </w:p>
    <w:p w14:paraId="71B4B18C">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4.问题记录、跟踪：对导税、咨询过程中发现的问题进行记录，对需回复的事项进行记录并跟踪，记录当天服务过程中发现的问题和需要跟踪服务的事项，并提交对应的业务小组负责人。</w:t>
      </w:r>
    </w:p>
    <w:p w14:paraId="70D213D3">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（二）税费咨询服务</w:t>
      </w:r>
    </w:p>
    <w:p w14:paraId="1DF70E9F">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主要负责接听12366咨询服务热线，为纳税人缴费人提供税费咨询服务、办税指南服务，同时记录并转办纳税服务投诉、涉税违法举报等，具体内容如下：</w:t>
      </w:r>
    </w:p>
    <w:p w14:paraId="09DA0C80">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1.税费咨询服务：为纳税人缴费人提供国家税收法律法规、规章及规范性文件等方面的咨询；解答纳税人缴费人关于税务登记、税费申报、税费缴纳、发票管理等问题。</w:t>
      </w:r>
    </w:p>
    <w:p w14:paraId="60F2246E">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办税指南服务：为纳税人缴费人办理税务登记、发票领购、申报纳税、社保缴费等业务提供详细的咨询服务，告知纳税人缴费人所需提交资料、办理时间和地点等；指导纳税人缴费人使用全国统一规范电子税务局网页端、电子税务局 APP、自然人电子税务局扣缴端、个人所得税 APP、社保缴费小程序、社保费管理客户端等办理相关业务，包括如何网上申报、开具数电发票、提交发票额度调整申请等。</w:t>
      </w:r>
    </w:p>
    <w:p w14:paraId="580EB5E5">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记录和转办投诉和举报：记录和转办纳税人缴费人对税务机关工作人员在税费服务过程中，为按规定要求提供相关服务的投诉，如：服务态度不好、办税效率低等；记录和转办纳税人缴费人对税务机关工作人员在税收工作中的违法违纪行为的举报，如税务干部索贿受贿等。</w:t>
      </w:r>
    </w:p>
    <w:p w14:paraId="67CC248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4.记录和转办涉税违法举报：记录和转办对发票的开具、取得、使用等环节存在的违法违规行为进行举报，如应开具而未开具发票，开具虚假发票等。</w:t>
      </w:r>
    </w:p>
    <w:p w14:paraId="6CDBBF07">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（三）税费辅导服务</w:t>
      </w:r>
    </w:p>
    <w:p w14:paraId="61D60023">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协助在职干部对辖区内所涉及的税收管理工作，包括受理税收业务信息、收缴税款并开具完税证明等。辅导纳税人缴费人进行相关表单的正确填写；引导纳税人缴费人使用电子税务局、自助办税终端等进行信息确认、综合事项报告、税费缴纳等辅导服务；辅导纳税人缴费人进行税费申报、发票领用、发票代开、三方协议签订等相关业务；提高纳税人缴费人的网上办事意识。辅导纳税人（缴费人）通过电子税务局、自助办税终端等渠道办理税费事项。</w:t>
      </w:r>
    </w:p>
    <w:p w14:paraId="0141DD83">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具体内容如下：</w:t>
      </w:r>
    </w:p>
    <w:p w14:paraId="5A190485">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1.设备管理：负责自助服务区设备的日常管理。</w:t>
      </w:r>
    </w:p>
    <w:p w14:paraId="6BAA354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2.咨询辅导：帮助纳税人缴费人了解、熟悉税费办理流程，辅导纳税人缴费人正确填写相关表格和涉税资料，提供相关的政策咨询以及解答一些较为复杂的办税疑难问题等。</w:t>
      </w:r>
    </w:p>
    <w:p w14:paraId="58E4B567">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3.政策宣传：向纳税人缴费人进行政策宣传并发放最新税费宣传资料，确保纳税人缴费人能够及时了解到最新的税费政策，帮助纳税人缴费人顺利完成相关业务。</w:t>
      </w:r>
    </w:p>
    <w:p w14:paraId="73132460">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4.自助办税辅导：辅导纳税人缴费人在全国统一规范电子税务局网页端、电子税务局APP、 自然人电子税务局扣缴端、个人所得税 APP、社保缴费小程序、社保费管理客户端等办理相关业务。</w:t>
      </w:r>
    </w:p>
    <w:p w14:paraId="6661B2AE">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5.问题收集并反馈：收集纳税人缴费人高频咨询辅导的问题并向大厅负责人进行反馈。</w:t>
      </w:r>
    </w:p>
    <w:p w14:paraId="2915AF78">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（四）信息采集与录入辅助服务</w:t>
      </w:r>
    </w:p>
    <w:p w14:paraId="1CF259BC">
      <w:pPr>
        <w:spacing w:line="360" w:lineRule="auto"/>
        <w:ind w:firstLine="210" w:firstLineChars="100"/>
        <w:outlineLvl w:val="9"/>
        <w:rPr>
          <w:rFonts w:ascii="宋体" w:hAnsi="宋体" w:cs="宋体"/>
          <w:color w:val="auto"/>
          <w:kern w:val="0"/>
          <w:szCs w:val="21"/>
          <w:highlight w:val="none"/>
        </w:rPr>
      </w:pPr>
      <w:r>
        <w:rPr>
          <w:rFonts w:hint="eastAsia" w:ascii="宋体" w:hAnsi="宋体" w:cs="宋体"/>
          <w:color w:val="auto"/>
          <w:kern w:val="0"/>
          <w:szCs w:val="21"/>
          <w:highlight w:val="none"/>
        </w:rPr>
        <w:t>根据纳税人提供的申请、申报等表单，进行资料预审，相关数据的登记录入，以及按日收集整理各类文书资料、及时传递纸质资料文书、按规定时限装订装箱各类留存资料文档。</w:t>
      </w:r>
    </w:p>
    <w:p w14:paraId="197BF69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（五）税费需求响应服务</w:t>
      </w:r>
    </w:p>
    <w:p w14:paraId="5380297D">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在岛内（王家岛、石城岛）政务服务窗口为纳税人缴费人办理相关涉税费业务，收集岛内纳税人缴费人合理办税办费需求且及时响应。</w:t>
      </w:r>
    </w:p>
    <w:p w14:paraId="4B978EF3">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（六）采购人需要的临时调配等其他相关服务。</w:t>
      </w:r>
      <w:bookmarkEnd w:id="207"/>
      <w:bookmarkEnd w:id="208"/>
      <w:bookmarkStart w:id="209" w:name="_Toc13957"/>
      <w:bookmarkStart w:id="210" w:name="_Toc17826"/>
      <w:bookmarkStart w:id="211" w:name="_Toc256000017"/>
    </w:p>
    <w:p w14:paraId="2B149F72">
      <w:pPr>
        <w:widowControl/>
        <w:spacing w:line="360" w:lineRule="auto"/>
        <w:outlineLvl w:val="9"/>
        <w:rPr>
          <w:rFonts w:ascii="宋体" w:hAnsi="宋体" w:cs="宋体"/>
          <w:b/>
          <w:bCs/>
          <w:color w:val="auto"/>
          <w:kern w:val="0"/>
          <w:szCs w:val="21"/>
          <w:highlight w:val="none"/>
        </w:rPr>
      </w:pPr>
      <w:r>
        <w:rPr>
          <w:rFonts w:hint="eastAsia" w:ascii="宋体" w:hAnsi="宋体" w:cs="宋体"/>
          <w:b/>
          <w:bCs/>
          <w:color w:val="auto"/>
          <w:kern w:val="0"/>
          <w:szCs w:val="21"/>
          <w:highlight w:val="none"/>
        </w:rPr>
        <w:t>3.2服务内容和要求</w:t>
      </w:r>
      <w:bookmarkEnd w:id="209"/>
      <w:bookmarkEnd w:id="210"/>
      <w:bookmarkEnd w:id="211"/>
    </w:p>
    <w:p w14:paraId="5DA7C946">
      <w:pPr>
        <w:widowControl/>
        <w:spacing w:line="360" w:lineRule="auto"/>
        <w:ind w:firstLine="420" w:firstLineChars="200"/>
        <w:outlineLvl w:val="9"/>
        <w:rPr>
          <w:rFonts w:ascii="宋体" w:hAnsi="宋体" w:cs="宋体"/>
          <w:color w:val="auto"/>
          <w:kern w:val="0"/>
          <w:szCs w:val="21"/>
          <w:highlight w:val="none"/>
        </w:rPr>
      </w:pPr>
      <w:bookmarkStart w:id="212" w:name="_Toc16579"/>
      <w:bookmarkStart w:id="213" w:name="_Toc14915"/>
      <w:r>
        <w:rPr>
          <w:rFonts w:hint="eastAsia" w:ascii="宋体" w:hAnsi="宋体" w:cs="宋体"/>
          <w:color w:val="auto"/>
          <w:kern w:val="0"/>
          <w:szCs w:val="21"/>
          <w:highlight w:val="none"/>
        </w:rPr>
        <w:t>采购文件（技术部分）中有标注★号的，为必备服务要求，必须满足，如未作出响应，将导致响应无效；#为重要服务内容、△为一般服务内容。</w:t>
      </w:r>
      <w:bookmarkEnd w:id="212"/>
      <w:bookmarkEnd w:id="213"/>
    </w:p>
    <w:p w14:paraId="59952143">
      <w:pPr>
        <w:widowControl/>
        <w:spacing w:line="360" w:lineRule="auto"/>
        <w:jc w:val="left"/>
        <w:outlineLvl w:val="9"/>
        <w:rPr>
          <w:rFonts w:ascii="宋体" w:hAnsi="宋体" w:cs="宋体"/>
          <w:b/>
          <w:bCs/>
          <w:color w:val="auto"/>
          <w:kern w:val="0"/>
          <w:szCs w:val="21"/>
          <w:highlight w:val="none"/>
        </w:rPr>
      </w:pPr>
      <w:bookmarkStart w:id="214" w:name="_Toc256000018"/>
      <w:bookmarkStart w:id="215" w:name="_Toc11821"/>
      <w:bookmarkStart w:id="216" w:name="_Toc13558"/>
      <w:r>
        <w:rPr>
          <w:rFonts w:hint="eastAsia" w:ascii="宋体" w:hAnsi="宋体" w:cs="宋体"/>
          <w:b/>
          <w:bCs/>
          <w:color w:val="auto"/>
          <w:kern w:val="0"/>
          <w:szCs w:val="21"/>
          <w:highlight w:val="none"/>
          <w:lang w:eastAsia="en-US"/>
        </w:rPr>
        <w:t>3.2.1</w:t>
      </w:r>
      <w:bookmarkEnd w:id="214"/>
      <w:r>
        <w:rPr>
          <w:rFonts w:hint="eastAsia" w:ascii="宋体" w:hAnsi="宋体" w:cs="宋体"/>
          <w:b/>
          <w:bCs/>
          <w:color w:val="auto"/>
          <w:kern w:val="0"/>
          <w:szCs w:val="21"/>
          <w:highlight w:val="none"/>
        </w:rPr>
        <w:t>总体实施要求</w:t>
      </w:r>
      <w:bookmarkEnd w:id="215"/>
      <w:bookmarkEnd w:id="216"/>
    </w:p>
    <w:tbl>
      <w:tblPr>
        <w:tblStyle w:val="22"/>
        <w:tblW w:w="835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590"/>
        <w:gridCol w:w="1117"/>
        <w:gridCol w:w="843"/>
        <w:gridCol w:w="3870"/>
        <w:gridCol w:w="674"/>
        <w:gridCol w:w="1256"/>
      </w:tblGrid>
      <w:tr w14:paraId="7F7D6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4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67DA1EA3">
            <w:pPr>
              <w:spacing w:line="360" w:lineRule="auto"/>
              <w:jc w:val="center"/>
              <w:outlineLvl w:val="9"/>
              <w:rPr>
                <w:rFonts w:ascii="宋体" w:hAnsi="宋体" w:cs="宋体"/>
                <w:b/>
                <w:color w:val="auto"/>
                <w:szCs w:val="21"/>
                <w:highlight w:val="none"/>
              </w:rPr>
            </w:pPr>
            <w:bookmarkStart w:id="217" w:name="_Toc256000019"/>
            <w:bookmarkStart w:id="218" w:name="_Toc19594"/>
            <w:bookmarkStart w:id="219" w:name="_Toc12849"/>
            <w:r>
              <w:rPr>
                <w:rFonts w:hint="eastAsia" w:ascii="宋体" w:hAnsi="宋体" w:cs="宋体"/>
                <w:b/>
                <w:color w:val="auto"/>
                <w:szCs w:val="21"/>
                <w:highlight w:val="none"/>
              </w:rPr>
              <w:t>序号</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166F2A1">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指标</w:t>
            </w:r>
          </w:p>
          <w:p w14:paraId="31BCCB03">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种类</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394EB85">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指标</w:t>
            </w:r>
          </w:p>
          <w:p w14:paraId="435D02BB">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名称</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013217D">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指标内容</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E55A13D">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重要性</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04A7571">
            <w:pPr>
              <w:spacing w:line="360" w:lineRule="auto"/>
              <w:jc w:val="center"/>
              <w:outlineLvl w:val="9"/>
              <w:rPr>
                <w:rFonts w:ascii="宋体" w:hAnsi="宋体" w:cs="宋体"/>
                <w:b/>
                <w:color w:val="auto"/>
                <w:szCs w:val="21"/>
                <w:highlight w:val="none"/>
              </w:rPr>
            </w:pPr>
            <w:r>
              <w:rPr>
                <w:rFonts w:hint="eastAsia" w:ascii="宋体" w:hAnsi="宋体" w:cs="宋体"/>
                <w:b/>
                <w:color w:val="auto"/>
                <w:szCs w:val="21"/>
                <w:highlight w:val="none"/>
              </w:rPr>
              <w:t>是否需要证明材料</w:t>
            </w:r>
          </w:p>
        </w:tc>
      </w:tr>
      <w:tr w14:paraId="5EC7D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69"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670F0565">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B309DB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7FC62D4">
            <w:pPr>
              <w:spacing w:line="360" w:lineRule="auto"/>
              <w:jc w:val="left"/>
              <w:outlineLvl w:val="9"/>
              <w:rPr>
                <w:rFonts w:ascii="宋体" w:hAnsi="宋体" w:cs="宋体"/>
                <w:color w:val="auto"/>
                <w:szCs w:val="21"/>
                <w:highlight w:val="none"/>
              </w:rPr>
            </w:pPr>
            <w:r>
              <w:rPr>
                <w:color w:val="auto"/>
                <w:spacing w:val="7"/>
                <w:sz w:val="20"/>
                <w:szCs w:val="20"/>
                <w:highlight w:val="none"/>
              </w:rPr>
              <w:t>导税服务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31E108C">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供应商提供的服务人员应根据纳税人缴费人的业务需求，引导纳税人缴费人前往正确的涉税窗口办理业务。</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6B9707C">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7FC3976">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67AA9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5"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F0E694E">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2</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4D731D9">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22E47DF">
            <w:pPr>
              <w:spacing w:line="360" w:lineRule="auto"/>
              <w:jc w:val="left"/>
              <w:outlineLvl w:val="9"/>
              <w:rPr>
                <w:rFonts w:ascii="宋体" w:hAnsi="宋体" w:cs="宋体"/>
                <w:color w:val="auto"/>
                <w:szCs w:val="21"/>
                <w:highlight w:val="none"/>
              </w:rPr>
            </w:pPr>
            <w:r>
              <w:rPr>
                <w:color w:val="auto"/>
                <w:spacing w:val="7"/>
                <w:sz w:val="20"/>
                <w:szCs w:val="20"/>
                <w:highlight w:val="none"/>
              </w:rPr>
              <w:t>导税服务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162381A">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根据纳税人缴费人的业务需要为其提供相应的办税表单。</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B13F97F">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495BC1D">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7C666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0"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4BC55EE">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3</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222002E">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911F659">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税费咨询服务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F567203">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根据采购人的统筹安排，解答纳税人(缴费人)及社会公众提出的税收法律法规、征管规定、办税流程、涉税系统操作等各类税收业务咨询。</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E83A7E1">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87CA606">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61D32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0"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CAA5723">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4</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280E0ED">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B72036F">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税费辅导服务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021EA16">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协助在职干部对辖区内所涉及的税收管理工作，包括受理税收业务信息、收缴税款并开具完税证明等。</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5B489E5">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AEA652E">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7DD2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4A917D1F">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5</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A17B0C6">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E0EC973">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税费辅导服务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48A4548">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根据采购人的统筹安排，开展税（费）政策、税法等内容宣传。</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B0929AB">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402AC37">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53518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59E6F745">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6</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3C3E5DB">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F112FD8">
            <w:pPr>
              <w:spacing w:line="360" w:lineRule="auto"/>
              <w:jc w:val="left"/>
              <w:outlineLvl w:val="9"/>
              <w:rPr>
                <w:rFonts w:ascii="宋体" w:hAnsi="宋体" w:cs="宋体"/>
                <w:color w:val="auto"/>
                <w:szCs w:val="21"/>
                <w:highlight w:val="none"/>
              </w:rPr>
            </w:pPr>
            <w:r>
              <w:rPr>
                <w:rFonts w:hint="eastAsia" w:ascii="宋体" w:hAnsi="宋体" w:cs="宋体"/>
                <w:color w:val="auto"/>
                <w:kern w:val="0"/>
                <w:szCs w:val="21"/>
                <w:highlight w:val="none"/>
              </w:rPr>
              <w:t>信息采集与录入辅助服务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63C16FC">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根据纳税人(缴费人)提供的申请、申报等表单，进行相关数据的登记录入。</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A119BE2">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03BAEE2">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5276B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45D8B048">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7</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65288C6">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E72AA0F">
            <w:pPr>
              <w:spacing w:line="360" w:lineRule="auto"/>
              <w:jc w:val="left"/>
              <w:outlineLvl w:val="9"/>
              <w:rPr>
                <w:rFonts w:ascii="宋体" w:hAnsi="宋体" w:cs="宋体"/>
                <w:color w:val="auto"/>
                <w:szCs w:val="21"/>
                <w:highlight w:val="none"/>
              </w:rPr>
            </w:pPr>
            <w:r>
              <w:rPr>
                <w:rFonts w:hint="eastAsia" w:ascii="宋体" w:hAnsi="宋体" w:cs="宋体"/>
                <w:color w:val="auto"/>
                <w:kern w:val="0"/>
                <w:szCs w:val="21"/>
                <w:highlight w:val="none"/>
              </w:rPr>
              <w:t>信息采集与录入辅助服务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9FD6DC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按照各类档案资料（涉密资料除外）的归档范围、归档要求协助进行分类、扫描、装订、排列、编号、编目、装盒。</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B31433A">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52F74D9">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19B31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3279C537">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8</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8288E35">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7D566CD">
            <w:pPr>
              <w:spacing w:line="360" w:lineRule="auto"/>
              <w:jc w:val="left"/>
              <w:outlineLvl w:val="9"/>
              <w:rPr>
                <w:rFonts w:ascii="宋体" w:hAnsi="宋体" w:cs="宋体"/>
                <w:color w:val="auto"/>
                <w:szCs w:val="21"/>
                <w:highlight w:val="none"/>
              </w:rPr>
            </w:pPr>
            <w:r>
              <w:rPr>
                <w:rFonts w:hint="eastAsia" w:ascii="宋体" w:hAnsi="宋体" w:cs="宋体"/>
                <w:color w:val="auto"/>
                <w:kern w:val="0"/>
                <w:szCs w:val="21"/>
                <w:highlight w:val="none"/>
              </w:rPr>
              <w:t>信息采集与录入辅助服务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74245FE">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收发文的分类、保管、领取，正式发文、信息简报、税收分析、会议材料、汇报材料的排版、打印、盖章、装订和归档，信件、快递的收发、登记、跟踪(包括但不限于EMS)。</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A88B51D">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4C020C3">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4E73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15C0BB97">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9</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04C2A88">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5984765">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税费需求响应服务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3BC3E53">
            <w:pPr>
              <w:spacing w:line="360" w:lineRule="auto"/>
              <w:jc w:val="left"/>
              <w:outlineLvl w:val="9"/>
              <w:rPr>
                <w:rFonts w:ascii="宋体" w:hAnsi="宋体" w:cs="宋体"/>
                <w:color w:val="auto"/>
                <w:szCs w:val="21"/>
                <w:highlight w:val="none"/>
              </w:rPr>
            </w:pPr>
            <w:r>
              <w:rPr>
                <w:rFonts w:hint="eastAsia" w:ascii="宋体" w:hAnsi="宋体" w:cs="宋体"/>
                <w:color w:val="auto"/>
                <w:kern w:val="0"/>
                <w:szCs w:val="21"/>
                <w:highlight w:val="none"/>
              </w:rPr>
              <w:t>在岛内（王家岛、石城岛）政务服务窗口为纳税人缴费人办理相关涉税费业务</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4BDD947">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752CFCE">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59CC8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8194F7C">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10</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4109FC3">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98B2AAC">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税费需求响应服务</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8AF6260">
            <w:pPr>
              <w:spacing w:line="360" w:lineRule="auto"/>
              <w:outlineLvl w:val="9"/>
              <w:rPr>
                <w:rFonts w:ascii="宋体" w:hAnsi="宋体" w:cs="宋体"/>
                <w:color w:val="auto"/>
                <w:kern w:val="0"/>
                <w:szCs w:val="21"/>
                <w:highlight w:val="none"/>
              </w:rPr>
            </w:pPr>
            <w:r>
              <w:rPr>
                <w:rFonts w:hint="eastAsia" w:ascii="宋体" w:hAnsi="宋体" w:cs="宋体"/>
                <w:color w:val="auto"/>
                <w:kern w:val="0"/>
                <w:szCs w:val="21"/>
                <w:highlight w:val="none"/>
              </w:rPr>
              <w:t>收集岛内纳税人缴费人合理办税办费需求且及时响应</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E02F2B8">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EAFAD42">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62C2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0AC9489B">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11</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841917B">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E2AB31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人员服务质量</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F0B124B">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承诺服务期间服务有效投诉≤1％，处理率100％。</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FE5C8B6">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4C4F9E3">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462D9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0746DFC">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12</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24C7D5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技术和服务</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BD15A3E">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人员服务质量</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BD2DB37">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承诺服务期间纳税人缴费人满意率&gt;98％。</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85B8C9B">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5FE7B01">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0EF00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55F06686">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13</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C67760B">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管理实施要求</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3D4CD81">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纪律要求</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D5A8D47">
            <w:pPr>
              <w:spacing w:line="360" w:lineRule="auto"/>
              <w:jc w:val="left"/>
              <w:outlineLvl w:val="9"/>
              <w:rPr>
                <w:rFonts w:ascii="宋体" w:hAnsi="宋体" w:cs="宋体"/>
                <w:color w:val="auto"/>
                <w:szCs w:val="21"/>
                <w:highlight w:val="none"/>
              </w:rPr>
            </w:pPr>
            <w:r>
              <w:rPr>
                <w:rFonts w:hint="eastAsia" w:ascii="宋体" w:hAnsi="宋体" w:cs="宋体"/>
                <w:color w:val="auto"/>
                <w:spacing w:val="-3"/>
                <w:szCs w:val="21"/>
                <w:highlight w:val="none"/>
              </w:rPr>
              <w:t>供应商需确保派驻人员严格遵守国家保密制度，接受采购方保密工作统一要求，避免违规泄密事项的发生。</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28EB73A">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3104053">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2B4C4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13E4CACB">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14</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E5C36A1">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管理实施要求</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0A6CEF7">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培训管理</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8D51A0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按照采购人的要求，负责分局非执法类辅助性服务人员的培训、教育、管理、考核等工作，保证其具备完成日常工作的基本素质和能力，严格遵守国家法律和采购人的规章制度，服务期间严格服从采购人管理</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D2DC6DB">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A41101D">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162EB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61338BD1">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15</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21D6C60">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管理实施要求</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2D6B6D1">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培训管理</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F9B618C">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供应商配备的机关非执法类辅助性服务人员要经过礼仪礼貌、行为规范、税收基础知识、税务部门规章制度、业务操作流程的系统培训，确保符合关于税收业务、技能、特殊服务要求</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7328B04">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CB8B2AD">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5DE60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44B4ACC">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16</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5F257C71">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管理实施要求</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630B19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工作标准</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8B9EC97">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投入本项目人员须按照采购人规定统一着装，挂牌上岗，文明服务，礼仪规范</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65251798">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31CCDE6C">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r w14:paraId="1B9CE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atLeast"/>
        </w:trPr>
        <w:tc>
          <w:tcPr>
            <w:tcW w:w="590"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22020CE8">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17</w:t>
            </w:r>
          </w:p>
        </w:tc>
        <w:tc>
          <w:tcPr>
            <w:tcW w:w="1117"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4FCF2112">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管理实施要求</w:t>
            </w:r>
          </w:p>
        </w:tc>
        <w:tc>
          <w:tcPr>
            <w:tcW w:w="843"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17F60945">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工作标准</w:t>
            </w:r>
          </w:p>
        </w:tc>
        <w:tc>
          <w:tcPr>
            <w:tcW w:w="3870"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7AB84ED7">
            <w:pPr>
              <w:spacing w:line="360" w:lineRule="auto"/>
              <w:jc w:val="left"/>
              <w:outlineLvl w:val="9"/>
              <w:rPr>
                <w:rFonts w:ascii="宋体" w:hAnsi="宋体" w:cs="宋体"/>
                <w:color w:val="auto"/>
                <w:szCs w:val="21"/>
                <w:highlight w:val="none"/>
              </w:rPr>
            </w:pPr>
            <w:r>
              <w:rPr>
                <w:rFonts w:hint="eastAsia" w:ascii="宋体" w:hAnsi="宋体" w:cs="宋体"/>
                <w:color w:val="auto"/>
                <w:szCs w:val="21"/>
                <w:highlight w:val="none"/>
              </w:rPr>
              <w:t>应全面保障投入本项目人员的合法权益，投入本项目人员应发工资参考同行业工资水平</w:t>
            </w:r>
          </w:p>
        </w:tc>
        <w:tc>
          <w:tcPr>
            <w:tcW w:w="674"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01C2F4D3">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w:t>
            </w:r>
          </w:p>
        </w:tc>
        <w:tc>
          <w:tcPr>
            <w:tcW w:w="1256" w:type="dxa"/>
            <w:tcBorders>
              <w:top w:val="single" w:color="000000" w:sz="6" w:space="0"/>
              <w:left w:val="nil"/>
              <w:bottom w:val="single" w:color="000000" w:sz="6" w:space="0"/>
              <w:right w:val="single" w:color="000000" w:sz="6" w:space="0"/>
            </w:tcBorders>
            <w:tcMar>
              <w:top w:w="22" w:type="dxa"/>
              <w:left w:w="22" w:type="dxa"/>
              <w:bottom w:w="22" w:type="dxa"/>
              <w:right w:w="22" w:type="dxa"/>
            </w:tcMar>
            <w:vAlign w:val="center"/>
          </w:tcPr>
          <w:p w14:paraId="2B7A1072">
            <w:pPr>
              <w:spacing w:line="360" w:lineRule="auto"/>
              <w:jc w:val="center"/>
              <w:outlineLvl w:val="9"/>
              <w:rPr>
                <w:rFonts w:ascii="宋体" w:hAnsi="宋体" w:cs="宋体"/>
                <w:color w:val="auto"/>
                <w:szCs w:val="21"/>
                <w:highlight w:val="none"/>
              </w:rPr>
            </w:pPr>
            <w:r>
              <w:rPr>
                <w:rFonts w:hint="eastAsia" w:ascii="宋体" w:hAnsi="宋体" w:cs="宋体"/>
                <w:color w:val="auto"/>
                <w:szCs w:val="21"/>
                <w:highlight w:val="none"/>
              </w:rPr>
              <w:t>否</w:t>
            </w:r>
          </w:p>
        </w:tc>
      </w:tr>
    </w:tbl>
    <w:p w14:paraId="76D6A215">
      <w:pPr>
        <w:pStyle w:val="2"/>
        <w:spacing w:line="228" w:lineRule="auto"/>
        <w:outlineLvl w:val="9"/>
        <w:rPr>
          <w:bCs/>
          <w:color w:val="auto"/>
          <w:spacing w:val="6"/>
          <w:sz w:val="20"/>
          <w:szCs w:val="20"/>
          <w:highlight w:val="none"/>
        </w:rPr>
      </w:pPr>
    </w:p>
    <w:p w14:paraId="6D7C38ED">
      <w:pPr>
        <w:pStyle w:val="2"/>
        <w:spacing w:line="228" w:lineRule="auto"/>
        <w:ind w:left="3829"/>
        <w:outlineLvl w:val="9"/>
        <w:rPr>
          <w:bCs/>
          <w:color w:val="auto"/>
          <w:sz w:val="20"/>
          <w:szCs w:val="20"/>
          <w:highlight w:val="none"/>
        </w:rPr>
      </w:pPr>
      <w:r>
        <w:rPr>
          <w:bCs/>
          <w:color w:val="auto"/>
          <w:spacing w:val="6"/>
          <w:sz w:val="20"/>
          <w:szCs w:val="20"/>
          <w:highlight w:val="none"/>
        </w:rPr>
        <w:t>工作量参考表</w:t>
      </w:r>
    </w:p>
    <w:p w14:paraId="30CDF8E2">
      <w:pPr>
        <w:spacing w:line="45" w:lineRule="exact"/>
        <w:outlineLvl w:val="9"/>
        <w:rPr>
          <w:color w:val="auto"/>
          <w:szCs w:val="21"/>
          <w:highlight w:val="none"/>
        </w:rPr>
      </w:pPr>
    </w:p>
    <w:tbl>
      <w:tblPr>
        <w:tblStyle w:val="22"/>
        <w:tblW w:w="8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410"/>
        <w:gridCol w:w="2031"/>
        <w:gridCol w:w="1859"/>
      </w:tblGrid>
      <w:tr w14:paraId="021A4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07198271">
            <w:pPr>
              <w:pStyle w:val="39"/>
              <w:spacing w:beforeAutospacing="0" w:line="229" w:lineRule="auto"/>
              <w:jc w:val="center"/>
              <w:outlineLvl w:val="9"/>
              <w:rPr>
                <w:color w:val="auto"/>
                <w:sz w:val="20"/>
                <w:szCs w:val="20"/>
                <w:highlight w:val="none"/>
              </w:rPr>
            </w:pPr>
            <w:r>
              <w:rPr>
                <w:b/>
                <w:color w:val="auto"/>
                <w:spacing w:val="4"/>
                <w:sz w:val="20"/>
                <w:szCs w:val="20"/>
                <w:highlight w:val="none"/>
              </w:rPr>
              <w:t>序号</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37CA58F7">
            <w:pPr>
              <w:pStyle w:val="39"/>
              <w:spacing w:beforeAutospacing="0" w:line="228" w:lineRule="auto"/>
              <w:jc w:val="center"/>
              <w:outlineLvl w:val="9"/>
              <w:rPr>
                <w:color w:val="auto"/>
                <w:sz w:val="20"/>
                <w:szCs w:val="20"/>
                <w:highlight w:val="none"/>
              </w:rPr>
            </w:pPr>
            <w:r>
              <w:rPr>
                <w:b/>
                <w:color w:val="auto"/>
                <w:spacing w:val="6"/>
                <w:sz w:val="20"/>
                <w:szCs w:val="20"/>
                <w:highlight w:val="none"/>
              </w:rPr>
              <w:t>服务内容</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0F3FF224">
            <w:pPr>
              <w:pStyle w:val="39"/>
              <w:spacing w:beforeAutospacing="0" w:line="289" w:lineRule="auto"/>
              <w:ind w:hanging="71"/>
              <w:jc w:val="center"/>
              <w:outlineLvl w:val="9"/>
              <w:rPr>
                <w:b/>
                <w:color w:val="auto"/>
                <w:sz w:val="20"/>
                <w:szCs w:val="20"/>
                <w:highlight w:val="none"/>
              </w:rPr>
            </w:pPr>
            <w:r>
              <w:rPr>
                <w:b/>
                <w:color w:val="auto"/>
                <w:sz w:val="20"/>
                <w:szCs w:val="20"/>
                <w:highlight w:val="none"/>
              </w:rPr>
              <w:t>日均总辅导</w:t>
            </w:r>
          </w:p>
          <w:p w14:paraId="4F40CBC9">
            <w:pPr>
              <w:pStyle w:val="39"/>
              <w:spacing w:beforeAutospacing="0" w:line="289" w:lineRule="auto"/>
              <w:ind w:hanging="71"/>
              <w:jc w:val="center"/>
              <w:outlineLvl w:val="9"/>
              <w:rPr>
                <w:color w:val="auto"/>
                <w:sz w:val="20"/>
                <w:szCs w:val="20"/>
                <w:highlight w:val="none"/>
              </w:rPr>
            </w:pPr>
            <w:r>
              <w:rPr>
                <w:b/>
                <w:color w:val="auto"/>
                <w:sz w:val="20"/>
                <w:szCs w:val="20"/>
                <w:highlight w:val="none"/>
              </w:rPr>
              <w:t>人</w:t>
            </w:r>
            <w:r>
              <w:rPr>
                <w:b/>
                <w:color w:val="auto"/>
                <w:spacing w:val="4"/>
                <w:sz w:val="20"/>
                <w:szCs w:val="20"/>
                <w:highlight w:val="none"/>
              </w:rPr>
              <w:t>数（人次）</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3E2564BE">
            <w:pPr>
              <w:pStyle w:val="39"/>
              <w:spacing w:beforeAutospacing="0" w:line="228" w:lineRule="auto"/>
              <w:jc w:val="center"/>
              <w:outlineLvl w:val="9"/>
              <w:rPr>
                <w:color w:val="auto"/>
                <w:sz w:val="20"/>
                <w:szCs w:val="20"/>
                <w:highlight w:val="none"/>
              </w:rPr>
            </w:pPr>
            <w:r>
              <w:rPr>
                <w:b/>
                <w:color w:val="auto"/>
                <w:spacing w:val="6"/>
                <w:sz w:val="20"/>
                <w:szCs w:val="20"/>
                <w:highlight w:val="none"/>
              </w:rPr>
              <w:t>人日均服务量（人）</w:t>
            </w:r>
          </w:p>
        </w:tc>
      </w:tr>
      <w:tr w14:paraId="0774E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5D46D386">
            <w:pPr>
              <w:widowControl/>
              <w:spacing w:line="270" w:lineRule="exact"/>
              <w:ind w:left="546"/>
              <w:textAlignment w:val="center"/>
              <w:outlineLvl w:val="9"/>
              <w:rPr>
                <w:color w:val="auto"/>
                <w:sz w:val="20"/>
                <w:szCs w:val="20"/>
                <w:highlight w:val="none"/>
              </w:rPr>
            </w:pPr>
            <w:r>
              <w:rPr>
                <w:rFonts w:hint="eastAsia" w:ascii="宋体" w:hAnsi="宋体" w:cs="宋体"/>
                <w:color w:val="auto"/>
                <w:kern w:val="0"/>
                <w:sz w:val="22"/>
                <w:highlight w:val="none"/>
              </w:rPr>
              <w:t>1</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70FEEA9F">
            <w:pPr>
              <w:widowControl/>
              <w:spacing w:line="228" w:lineRule="auto"/>
              <w:ind w:firstLine="1540" w:firstLineChars="700"/>
              <w:textAlignment w:val="center"/>
              <w:outlineLvl w:val="9"/>
              <w:rPr>
                <w:color w:val="auto"/>
                <w:sz w:val="20"/>
                <w:szCs w:val="20"/>
                <w:highlight w:val="none"/>
              </w:rPr>
            </w:pPr>
            <w:r>
              <w:rPr>
                <w:rFonts w:hint="eastAsia" w:ascii="宋体" w:hAnsi="宋体" w:cs="宋体"/>
                <w:color w:val="auto"/>
                <w:kern w:val="0"/>
                <w:sz w:val="22"/>
                <w:highlight w:val="none"/>
              </w:rPr>
              <w:t>导税服务</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4A93A0EB">
            <w:pPr>
              <w:widowControl/>
              <w:spacing w:line="269" w:lineRule="exact"/>
              <w:ind w:left="692" w:firstLine="330" w:firstLineChars="150"/>
              <w:textAlignment w:val="center"/>
              <w:outlineLvl w:val="9"/>
              <w:rPr>
                <w:color w:val="auto"/>
                <w:sz w:val="20"/>
                <w:szCs w:val="20"/>
                <w:highlight w:val="none"/>
              </w:rPr>
            </w:pPr>
            <w:r>
              <w:rPr>
                <w:rFonts w:hint="eastAsia" w:ascii="宋体" w:hAnsi="宋体" w:cs="宋体"/>
                <w:color w:val="auto"/>
                <w:kern w:val="0"/>
                <w:sz w:val="22"/>
                <w:highlight w:val="none"/>
              </w:rPr>
              <w:t>102</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5463D84B">
            <w:pPr>
              <w:widowControl/>
              <w:spacing w:line="269" w:lineRule="exact"/>
              <w:ind w:firstLine="880" w:firstLineChars="400"/>
              <w:textAlignment w:val="center"/>
              <w:outlineLvl w:val="9"/>
              <w:rPr>
                <w:color w:val="auto"/>
                <w:sz w:val="20"/>
                <w:szCs w:val="20"/>
                <w:highlight w:val="none"/>
              </w:rPr>
            </w:pPr>
            <w:r>
              <w:rPr>
                <w:rFonts w:hint="eastAsia" w:ascii="宋体" w:hAnsi="宋体" w:cs="宋体"/>
                <w:color w:val="auto"/>
                <w:kern w:val="0"/>
                <w:sz w:val="22"/>
                <w:highlight w:val="none"/>
              </w:rPr>
              <w:t>34</w:t>
            </w:r>
          </w:p>
        </w:tc>
      </w:tr>
      <w:tr w14:paraId="3738A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31719F7E">
            <w:pPr>
              <w:widowControl/>
              <w:jc w:val="center"/>
              <w:textAlignment w:val="center"/>
              <w:outlineLvl w:val="9"/>
              <w:rPr>
                <w:rFonts w:hint="eastAsia" w:eastAsia="宋体"/>
                <w:color w:val="auto"/>
                <w:position w:val="1"/>
                <w:sz w:val="20"/>
                <w:szCs w:val="20"/>
                <w:highlight w:val="none"/>
                <w:lang w:eastAsia="zh-CN"/>
              </w:rPr>
            </w:pPr>
            <w:r>
              <w:rPr>
                <w:rFonts w:hint="eastAsia" w:ascii="宋体" w:hAnsi="宋体" w:cs="宋体"/>
                <w:color w:val="auto"/>
                <w:kern w:val="0"/>
                <w:sz w:val="22"/>
                <w:highlight w:val="none"/>
                <w:lang w:val="en-US" w:eastAsia="zh-CN"/>
              </w:rPr>
              <w:t>2</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4119D1C3">
            <w:pPr>
              <w:widowControl/>
              <w:jc w:val="center"/>
              <w:textAlignment w:val="center"/>
              <w:outlineLvl w:val="9"/>
              <w:rPr>
                <w:color w:val="auto"/>
                <w:spacing w:val="5"/>
                <w:sz w:val="20"/>
                <w:szCs w:val="20"/>
                <w:highlight w:val="none"/>
              </w:rPr>
            </w:pPr>
            <w:r>
              <w:rPr>
                <w:rFonts w:hint="eastAsia" w:ascii="宋体" w:hAnsi="宋体" w:cs="宋体"/>
                <w:color w:val="auto"/>
                <w:kern w:val="0"/>
                <w:sz w:val="22"/>
                <w:highlight w:val="none"/>
              </w:rPr>
              <w:t>税费咨询服务</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25A3E769">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306</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69106258">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51</w:t>
            </w:r>
          </w:p>
        </w:tc>
      </w:tr>
      <w:tr w14:paraId="6CA0D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6DCDBB37">
            <w:pPr>
              <w:widowControl/>
              <w:jc w:val="center"/>
              <w:textAlignment w:val="center"/>
              <w:outlineLvl w:val="9"/>
              <w:rPr>
                <w:rFonts w:hint="eastAsia" w:eastAsia="宋体"/>
                <w:color w:val="auto"/>
                <w:position w:val="1"/>
                <w:sz w:val="20"/>
                <w:szCs w:val="20"/>
                <w:highlight w:val="none"/>
                <w:lang w:val="en-US" w:eastAsia="zh-CN"/>
              </w:rPr>
            </w:pPr>
            <w:r>
              <w:rPr>
                <w:rFonts w:hint="eastAsia"/>
                <w:color w:val="auto"/>
                <w:position w:val="1"/>
                <w:sz w:val="20"/>
                <w:szCs w:val="20"/>
                <w:highlight w:val="none"/>
                <w:lang w:val="en-US" w:eastAsia="zh-CN"/>
              </w:rPr>
              <w:t>3</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11474AB3">
            <w:pPr>
              <w:widowControl/>
              <w:jc w:val="center"/>
              <w:textAlignment w:val="center"/>
              <w:outlineLvl w:val="9"/>
              <w:rPr>
                <w:color w:val="auto"/>
                <w:spacing w:val="5"/>
                <w:sz w:val="20"/>
                <w:szCs w:val="20"/>
                <w:highlight w:val="none"/>
              </w:rPr>
            </w:pPr>
            <w:r>
              <w:rPr>
                <w:rFonts w:hint="eastAsia" w:ascii="宋体" w:hAnsi="宋体" w:cs="宋体"/>
                <w:color w:val="auto"/>
                <w:kern w:val="0"/>
                <w:sz w:val="22"/>
                <w:highlight w:val="none"/>
              </w:rPr>
              <w:t>税费辅导服务</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06B475F6">
            <w:pPr>
              <w:widowControl/>
              <w:jc w:val="center"/>
              <w:textAlignment w:val="center"/>
              <w:outlineLvl w:val="9"/>
              <w:rPr>
                <w:rFonts w:hint="eastAsia" w:eastAsia="宋体"/>
                <w:color w:val="auto"/>
                <w:spacing w:val="1"/>
                <w:position w:val="1"/>
                <w:sz w:val="20"/>
                <w:szCs w:val="20"/>
                <w:highlight w:val="none"/>
                <w:lang w:eastAsia="zh-CN"/>
              </w:rPr>
            </w:pPr>
            <w:r>
              <w:rPr>
                <w:rFonts w:hint="eastAsia" w:ascii="宋体" w:hAnsi="宋体" w:cs="宋体"/>
                <w:color w:val="auto"/>
                <w:kern w:val="0"/>
                <w:sz w:val="22"/>
                <w:highlight w:val="none"/>
                <w:lang w:val="en-US" w:eastAsia="zh-CN"/>
              </w:rPr>
              <w:t>195</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79FD2643">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39</w:t>
            </w:r>
          </w:p>
        </w:tc>
      </w:tr>
      <w:tr w14:paraId="34B67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7EAA7776">
            <w:pPr>
              <w:widowControl/>
              <w:jc w:val="center"/>
              <w:textAlignment w:val="center"/>
              <w:outlineLvl w:val="9"/>
              <w:rPr>
                <w:color w:val="auto"/>
                <w:position w:val="1"/>
                <w:sz w:val="20"/>
                <w:szCs w:val="20"/>
                <w:highlight w:val="none"/>
              </w:rPr>
            </w:pPr>
            <w:r>
              <w:rPr>
                <w:rFonts w:hint="eastAsia" w:ascii="宋体" w:hAnsi="宋体" w:cs="宋体"/>
                <w:color w:val="auto"/>
                <w:kern w:val="0"/>
                <w:sz w:val="22"/>
                <w:highlight w:val="none"/>
              </w:rPr>
              <w:t>4</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415740F8">
            <w:pPr>
              <w:widowControl/>
              <w:jc w:val="center"/>
              <w:textAlignment w:val="center"/>
              <w:outlineLvl w:val="9"/>
              <w:rPr>
                <w:rFonts w:ascii="宋体" w:hAnsi="宋体" w:cs="宋体"/>
                <w:color w:val="auto"/>
                <w:kern w:val="0"/>
                <w:sz w:val="22"/>
                <w:highlight w:val="none"/>
              </w:rPr>
            </w:pPr>
            <w:r>
              <w:rPr>
                <w:rFonts w:hint="eastAsia" w:ascii="宋体" w:hAnsi="宋体" w:cs="宋体"/>
                <w:color w:val="auto"/>
                <w:kern w:val="0"/>
                <w:szCs w:val="21"/>
                <w:highlight w:val="none"/>
              </w:rPr>
              <w:t>信息采集与录入辅助服务</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4FDA927E">
            <w:pPr>
              <w:widowControl/>
              <w:jc w:val="center"/>
              <w:textAlignment w:val="center"/>
              <w:outlineLvl w:val="9"/>
              <w:rPr>
                <w:rFonts w:hint="eastAsia" w:eastAsia="宋体"/>
                <w:color w:val="auto"/>
                <w:spacing w:val="1"/>
                <w:position w:val="1"/>
                <w:sz w:val="20"/>
                <w:szCs w:val="20"/>
                <w:highlight w:val="none"/>
                <w:lang w:eastAsia="zh-CN"/>
              </w:rPr>
            </w:pPr>
            <w:r>
              <w:rPr>
                <w:rFonts w:hint="eastAsia" w:ascii="宋体" w:hAnsi="宋体" w:cs="宋体"/>
                <w:color w:val="auto"/>
                <w:kern w:val="0"/>
                <w:sz w:val="22"/>
                <w:highlight w:val="none"/>
                <w:lang w:val="en-US" w:eastAsia="zh-CN"/>
              </w:rPr>
              <w:t>252</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698D71C7">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36</w:t>
            </w:r>
          </w:p>
        </w:tc>
      </w:tr>
      <w:tr w14:paraId="241CA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1010" w:type="dxa"/>
            <w:tcBorders>
              <w:top w:val="single" w:color="000000" w:sz="2" w:space="0"/>
              <w:left w:val="single" w:color="000000" w:sz="2" w:space="0"/>
              <w:bottom w:val="single" w:color="000000" w:sz="2" w:space="0"/>
              <w:right w:val="single" w:color="000000" w:sz="2" w:space="0"/>
              <w:tl2br w:val="nil"/>
              <w:tr2bl w:val="nil"/>
            </w:tcBorders>
            <w:vAlign w:val="center"/>
          </w:tcPr>
          <w:p w14:paraId="09AD1088">
            <w:pPr>
              <w:widowControl/>
              <w:jc w:val="center"/>
              <w:textAlignment w:val="center"/>
              <w:outlineLvl w:val="9"/>
              <w:rPr>
                <w:color w:val="auto"/>
                <w:position w:val="1"/>
                <w:sz w:val="20"/>
                <w:szCs w:val="20"/>
                <w:highlight w:val="none"/>
              </w:rPr>
            </w:pPr>
            <w:r>
              <w:rPr>
                <w:rFonts w:hint="eastAsia" w:ascii="宋体" w:hAnsi="宋体" w:cs="宋体"/>
                <w:color w:val="auto"/>
                <w:kern w:val="0"/>
                <w:sz w:val="22"/>
                <w:highlight w:val="none"/>
              </w:rPr>
              <w:t>5</w:t>
            </w:r>
          </w:p>
        </w:tc>
        <w:tc>
          <w:tcPr>
            <w:tcW w:w="3410" w:type="dxa"/>
            <w:tcBorders>
              <w:top w:val="single" w:color="000000" w:sz="2" w:space="0"/>
              <w:left w:val="single" w:color="000000" w:sz="2" w:space="0"/>
              <w:bottom w:val="single" w:color="000000" w:sz="2" w:space="0"/>
              <w:right w:val="single" w:color="000000" w:sz="2" w:space="0"/>
              <w:tl2br w:val="nil"/>
              <w:tr2bl w:val="nil"/>
            </w:tcBorders>
            <w:vAlign w:val="center"/>
          </w:tcPr>
          <w:p w14:paraId="3525F194">
            <w:pPr>
              <w:widowControl/>
              <w:jc w:val="center"/>
              <w:textAlignment w:val="center"/>
              <w:outlineLvl w:val="9"/>
              <w:rPr>
                <w:color w:val="auto"/>
                <w:spacing w:val="5"/>
                <w:sz w:val="20"/>
                <w:szCs w:val="20"/>
                <w:highlight w:val="none"/>
              </w:rPr>
            </w:pPr>
            <w:r>
              <w:rPr>
                <w:rFonts w:hint="eastAsia" w:ascii="宋体" w:hAnsi="宋体" w:cs="宋体"/>
                <w:color w:val="auto"/>
                <w:kern w:val="0"/>
                <w:sz w:val="22"/>
                <w:highlight w:val="none"/>
              </w:rPr>
              <w:t>税费需求响应服务</w:t>
            </w:r>
          </w:p>
        </w:tc>
        <w:tc>
          <w:tcPr>
            <w:tcW w:w="2031" w:type="dxa"/>
            <w:tcBorders>
              <w:top w:val="single" w:color="000000" w:sz="2" w:space="0"/>
              <w:left w:val="single" w:color="000000" w:sz="2" w:space="0"/>
              <w:bottom w:val="single" w:color="000000" w:sz="2" w:space="0"/>
              <w:right w:val="single" w:color="000000" w:sz="2" w:space="0"/>
              <w:tl2br w:val="nil"/>
              <w:tr2bl w:val="nil"/>
            </w:tcBorders>
            <w:vAlign w:val="center"/>
          </w:tcPr>
          <w:p w14:paraId="6142F8EA">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90</w:t>
            </w:r>
          </w:p>
        </w:tc>
        <w:tc>
          <w:tcPr>
            <w:tcW w:w="1859" w:type="dxa"/>
            <w:tcBorders>
              <w:top w:val="single" w:color="000000" w:sz="2" w:space="0"/>
              <w:left w:val="single" w:color="000000" w:sz="2" w:space="0"/>
              <w:bottom w:val="single" w:color="000000" w:sz="2" w:space="0"/>
              <w:right w:val="single" w:color="000000" w:sz="2" w:space="0"/>
              <w:tl2br w:val="nil"/>
              <w:tr2bl w:val="nil"/>
            </w:tcBorders>
            <w:vAlign w:val="center"/>
          </w:tcPr>
          <w:p w14:paraId="62124DC1">
            <w:pPr>
              <w:widowControl/>
              <w:jc w:val="center"/>
              <w:textAlignment w:val="center"/>
              <w:outlineLvl w:val="9"/>
              <w:rPr>
                <w:color w:val="auto"/>
                <w:spacing w:val="1"/>
                <w:position w:val="1"/>
                <w:sz w:val="20"/>
                <w:szCs w:val="20"/>
                <w:highlight w:val="none"/>
              </w:rPr>
            </w:pPr>
            <w:r>
              <w:rPr>
                <w:rFonts w:hint="eastAsia" w:ascii="宋体" w:hAnsi="宋体" w:cs="宋体"/>
                <w:color w:val="auto"/>
                <w:kern w:val="0"/>
                <w:sz w:val="22"/>
                <w:highlight w:val="none"/>
              </w:rPr>
              <w:t>45</w:t>
            </w:r>
          </w:p>
        </w:tc>
      </w:tr>
    </w:tbl>
    <w:p w14:paraId="615B0537">
      <w:pPr>
        <w:spacing w:line="360" w:lineRule="auto"/>
        <w:jc w:val="center"/>
        <w:outlineLvl w:val="9"/>
        <w:rPr>
          <w:rFonts w:ascii="宋体" w:hAnsi="宋体" w:cs="宋体"/>
          <w:b/>
          <w:bCs/>
          <w:color w:val="auto"/>
          <w:kern w:val="36"/>
          <w:szCs w:val="21"/>
          <w:highlight w:val="none"/>
          <w:lang w:eastAsia="en-US"/>
        </w:rPr>
      </w:pPr>
      <w:r>
        <w:rPr>
          <w:rFonts w:hint="eastAsia" w:ascii="宋体" w:hAnsi="宋体" w:cs="宋体"/>
          <w:b/>
          <w:bCs/>
          <w:color w:val="auto"/>
          <w:kern w:val="36"/>
          <w:szCs w:val="21"/>
          <w:highlight w:val="none"/>
          <w:lang w:eastAsia="en-US"/>
        </w:rPr>
        <w:t>4人员要求</w:t>
      </w:r>
      <w:bookmarkEnd w:id="217"/>
      <w:bookmarkEnd w:id="218"/>
      <w:bookmarkEnd w:id="219"/>
    </w:p>
    <w:p w14:paraId="7F2ECFFC">
      <w:pPr>
        <w:widowControl/>
        <w:spacing w:line="360" w:lineRule="auto"/>
        <w:jc w:val="left"/>
        <w:outlineLvl w:val="9"/>
        <w:rPr>
          <w:rFonts w:ascii="宋体" w:hAnsi="宋体" w:cs="宋体"/>
          <w:b/>
          <w:bCs/>
          <w:color w:val="auto"/>
          <w:kern w:val="0"/>
          <w:szCs w:val="21"/>
          <w:highlight w:val="none"/>
          <w:lang w:eastAsia="en-US"/>
        </w:rPr>
      </w:pPr>
      <w:bookmarkStart w:id="220" w:name="_Toc12109"/>
      <w:bookmarkStart w:id="221" w:name="_Toc31346"/>
      <w:bookmarkStart w:id="222" w:name="_Toc256000020"/>
      <w:r>
        <w:rPr>
          <w:rFonts w:hint="eastAsia" w:ascii="宋体" w:hAnsi="宋体" w:cs="宋体"/>
          <w:b/>
          <w:bCs/>
          <w:color w:val="auto"/>
          <w:kern w:val="0"/>
          <w:szCs w:val="21"/>
          <w:highlight w:val="none"/>
          <w:lang w:eastAsia="en-US"/>
        </w:rPr>
        <w:t>4.1总体要求</w:t>
      </w:r>
      <w:bookmarkEnd w:id="220"/>
      <w:bookmarkEnd w:id="221"/>
      <w:bookmarkEnd w:id="222"/>
    </w:p>
    <w:p w14:paraId="597FEF36">
      <w:pPr>
        <w:widowControl/>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本项目需要提供服务团队。</w:t>
      </w:r>
    </w:p>
    <w:p w14:paraId="0E9D823F">
      <w:pPr>
        <w:widowControl/>
        <w:spacing w:line="360" w:lineRule="auto"/>
        <w:jc w:val="left"/>
        <w:outlineLvl w:val="9"/>
        <w:rPr>
          <w:rFonts w:ascii="宋体" w:hAnsi="宋体" w:cs="宋体"/>
          <w:b/>
          <w:bCs/>
          <w:color w:val="auto"/>
          <w:kern w:val="0"/>
          <w:szCs w:val="21"/>
          <w:highlight w:val="none"/>
        </w:rPr>
      </w:pPr>
      <w:bookmarkStart w:id="223" w:name="_Toc13775"/>
      <w:bookmarkStart w:id="224" w:name="_Toc15336"/>
      <w:r>
        <w:rPr>
          <w:rFonts w:hint="eastAsia" w:ascii="宋体" w:hAnsi="宋体" w:cs="宋体"/>
          <w:b/>
          <w:bCs/>
          <w:color w:val="auto"/>
          <w:kern w:val="0"/>
          <w:szCs w:val="21"/>
          <w:highlight w:val="none"/>
        </w:rPr>
        <w:t>4.2管理团队</w:t>
      </w:r>
    </w:p>
    <w:p w14:paraId="5F0ECCD2">
      <w:pPr>
        <w:widowControl/>
        <w:spacing w:line="360" w:lineRule="auto"/>
        <w:jc w:val="left"/>
        <w:outlineLvl w:val="9"/>
        <w:rPr>
          <w:rFonts w:ascii="宋体" w:hAnsi="宋体" w:cs="宋体"/>
          <w:b/>
          <w:bCs/>
          <w:color w:val="auto"/>
          <w:kern w:val="0"/>
          <w:szCs w:val="21"/>
          <w:highlight w:val="none"/>
        </w:rPr>
      </w:pPr>
      <w:r>
        <w:rPr>
          <w:rFonts w:hint="eastAsia" w:ascii="宋体" w:hAnsi="宋体" w:cs="宋体"/>
          <w:b/>
          <w:bCs/>
          <w:color w:val="auto"/>
          <w:kern w:val="0"/>
          <w:szCs w:val="21"/>
          <w:highlight w:val="none"/>
        </w:rPr>
        <w:t>4.2.1项目经理</w:t>
      </w:r>
    </w:p>
    <w:p w14:paraId="5658AA83">
      <w:pPr>
        <w:widowControl/>
        <w:spacing w:line="360" w:lineRule="auto"/>
        <w:ind w:firstLine="420" w:firstLineChars="200"/>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投标人需配备一名熟练掌握税务相关业务的驻场管理人员，服务期间不得更换，以保证服务工作有序开展。应优先选取有政务服务工作经验的人员做为驻场管理人员，须具备良好的沟通能力、执行能力和责任心以及丰富的税收相关知识，负责工作人员日常管理及做好现场矛盾化解、投诉处理工作。</w:t>
      </w:r>
    </w:p>
    <w:p w14:paraId="783BB09B">
      <w:pPr>
        <w:widowControl/>
        <w:spacing w:line="360" w:lineRule="auto"/>
        <w:jc w:val="left"/>
        <w:outlineLvl w:val="9"/>
        <w:rPr>
          <w:rFonts w:ascii="宋体" w:hAnsi="宋体" w:cs="宋体"/>
          <w:b/>
          <w:bCs/>
          <w:color w:val="auto"/>
          <w:kern w:val="0"/>
          <w:szCs w:val="21"/>
          <w:highlight w:val="none"/>
        </w:rPr>
      </w:pPr>
      <w:r>
        <w:rPr>
          <w:rFonts w:hint="eastAsia" w:ascii="宋体" w:hAnsi="宋体" w:cs="宋体"/>
          <w:b/>
          <w:bCs/>
          <w:color w:val="auto"/>
          <w:kern w:val="0"/>
          <w:szCs w:val="21"/>
          <w:highlight w:val="none"/>
        </w:rPr>
        <w:t>4.3技术团队</w:t>
      </w:r>
      <w:bookmarkEnd w:id="223"/>
      <w:bookmarkEnd w:id="224"/>
    </w:p>
    <w:p w14:paraId="7DF5B743">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投标人需综合参考业务需求量配备服务人员，具体要求为：</w:t>
      </w:r>
    </w:p>
    <w:p w14:paraId="5AF79EDD">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1.拥护中国共产党的领导，政治立场坚定，遵纪守法，品行端正，无犯罪记录。</w:t>
      </w:r>
    </w:p>
    <w:p w14:paraId="14DC2D67">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2.具备良好的思想素质和道德品质，作风正派。</w:t>
      </w:r>
    </w:p>
    <w:p w14:paraId="42A08935">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3.年龄一般应在20周岁以上，身体健康，五官端正，形象气质佳，会讲普通话，能熟练使用电脑，有相关工作经验者优先。</w:t>
      </w:r>
    </w:p>
    <w:p w14:paraId="175D886E">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4.大学专科（含专科）以上学历，会计学、经济学、汉语言类、计算机类等专业者优先；为保证办税服务厅非执法类辅助性服务的延续性。</w:t>
      </w:r>
    </w:p>
    <w:p w14:paraId="5F6B9F7A">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5.遵守工作制度和纪律，严格按照合同约定履行工作职责，秉公办事，服从管理。</w:t>
      </w:r>
    </w:p>
    <w:p w14:paraId="5FBD92B1">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6.有较强的服务意识、责任意识和学习能力，积极主动热情，执行力强。</w:t>
      </w:r>
    </w:p>
    <w:p w14:paraId="3793EEBC">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7.能严格遵守有关信息安全的保密规定，严守保密纪律，有效避免信息安全泄密事件的发生。</w:t>
      </w:r>
    </w:p>
    <w:p w14:paraId="1661ACC0">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8.工作时间按国家劳动法及工作单位相关规定执行，特殊情况在双方签订合同时约定。</w:t>
      </w:r>
    </w:p>
    <w:p w14:paraId="52D1BA16">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9.供应商提供的非执法类辅助性服务人员要严格遵守廉洁纪律。</w:t>
      </w:r>
    </w:p>
    <w:p w14:paraId="63ED7458">
      <w:pPr>
        <w:widowControl/>
        <w:spacing w:line="360" w:lineRule="auto"/>
        <w:ind w:firstLine="420" w:firstLineChars="200"/>
        <w:jc w:val="left"/>
        <w:outlineLvl w:val="9"/>
        <w:rPr>
          <w:rFonts w:ascii="宋体" w:hAnsi="宋体" w:cs="宋体"/>
          <w:b/>
          <w:bCs/>
          <w:color w:val="auto"/>
          <w:kern w:val="0"/>
          <w:szCs w:val="21"/>
          <w:highlight w:val="none"/>
        </w:rPr>
      </w:pPr>
      <w:r>
        <w:rPr>
          <w:rFonts w:hint="eastAsia" w:ascii="宋体" w:hAnsi="宋体" w:cs="宋体"/>
          <w:color w:val="auto"/>
          <w:kern w:val="0"/>
          <w:szCs w:val="21"/>
          <w:highlight w:val="none"/>
        </w:rPr>
        <w:t>10.承诺服务人员稳定率≧80%予以加分考虑。</w:t>
      </w:r>
    </w:p>
    <w:p w14:paraId="3A8EE355">
      <w:pPr>
        <w:widowControl/>
        <w:spacing w:line="360" w:lineRule="auto"/>
        <w:jc w:val="left"/>
        <w:outlineLvl w:val="9"/>
        <w:rPr>
          <w:rFonts w:ascii="宋体" w:hAnsi="宋体" w:cs="宋体"/>
          <w:b/>
          <w:bCs/>
          <w:i/>
          <w:iCs/>
          <w:color w:val="auto"/>
          <w:kern w:val="0"/>
          <w:szCs w:val="21"/>
          <w:highlight w:val="none"/>
          <w:lang w:eastAsia="en-US"/>
        </w:rPr>
      </w:pPr>
      <w:bookmarkStart w:id="225" w:name="_Toc26949"/>
      <w:bookmarkStart w:id="226" w:name="_Toc31520"/>
      <w:bookmarkStart w:id="227" w:name="_Toc256000025"/>
      <w:r>
        <w:rPr>
          <w:rFonts w:hint="eastAsia" w:ascii="宋体" w:hAnsi="宋体" w:cs="宋体"/>
          <w:b/>
          <w:bCs/>
          <w:color w:val="auto"/>
          <w:kern w:val="0"/>
          <w:szCs w:val="21"/>
          <w:highlight w:val="none"/>
          <w:lang w:eastAsia="en-US"/>
        </w:rPr>
        <w:t>4.</w:t>
      </w:r>
      <w:r>
        <w:rPr>
          <w:rFonts w:hint="eastAsia" w:ascii="宋体" w:hAnsi="宋体" w:cs="宋体"/>
          <w:b/>
          <w:bCs/>
          <w:color w:val="auto"/>
          <w:kern w:val="0"/>
          <w:szCs w:val="21"/>
          <w:highlight w:val="none"/>
        </w:rPr>
        <w:t>4</w:t>
      </w:r>
      <w:r>
        <w:rPr>
          <w:rFonts w:hint="eastAsia" w:ascii="宋体" w:hAnsi="宋体" w:cs="宋体"/>
          <w:b/>
          <w:bCs/>
          <w:color w:val="auto"/>
          <w:kern w:val="0"/>
          <w:szCs w:val="21"/>
          <w:highlight w:val="none"/>
          <w:lang w:eastAsia="en-US"/>
        </w:rPr>
        <w:t>优选资质/优选指标</w:t>
      </w:r>
      <w:bookmarkEnd w:id="225"/>
      <w:bookmarkEnd w:id="226"/>
      <w:bookmarkEnd w:id="227"/>
    </w:p>
    <w:tbl>
      <w:tblPr>
        <w:tblStyle w:val="22"/>
        <w:tblW w:w="9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8"/>
        <w:gridCol w:w="862"/>
        <w:gridCol w:w="862"/>
        <w:gridCol w:w="5470"/>
        <w:gridCol w:w="1500"/>
      </w:tblGrid>
      <w:tr w14:paraId="1A3DD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jc w:val="center"/>
        </w:trPr>
        <w:tc>
          <w:tcPr>
            <w:tcW w:w="428" w:type="dxa"/>
            <w:tcBorders>
              <w:top w:val="single" w:color="000000" w:sz="4" w:space="0"/>
              <w:left w:val="single" w:color="000000" w:sz="4" w:space="0"/>
              <w:bottom w:val="single" w:color="000000" w:sz="4" w:space="0"/>
              <w:right w:val="single" w:color="000000" w:sz="4" w:space="0"/>
              <w:tl2br w:val="nil"/>
              <w:tr2bl w:val="nil"/>
            </w:tcBorders>
            <w:shd w:val="clear" w:color="auto" w:fill="D3D3D3"/>
            <w:vAlign w:val="top"/>
          </w:tcPr>
          <w:p w14:paraId="5CD4E29D">
            <w:pPr>
              <w:pStyle w:val="39"/>
              <w:spacing w:beforeAutospacing="0" w:line="229" w:lineRule="auto"/>
              <w:jc w:val="center"/>
              <w:outlineLvl w:val="9"/>
              <w:rPr>
                <w:color w:val="auto"/>
                <w:sz w:val="20"/>
                <w:szCs w:val="20"/>
                <w:highlight w:val="none"/>
              </w:rPr>
            </w:pPr>
            <w:r>
              <w:rPr>
                <w:b/>
                <w:color w:val="auto"/>
                <w:spacing w:val="4"/>
                <w:sz w:val="20"/>
                <w:szCs w:val="20"/>
                <w:highlight w:val="none"/>
              </w:rPr>
              <w:t>序号</w:t>
            </w:r>
          </w:p>
        </w:tc>
        <w:tc>
          <w:tcPr>
            <w:tcW w:w="862" w:type="dxa"/>
            <w:tcBorders>
              <w:top w:val="single" w:color="000000" w:sz="4" w:space="0"/>
              <w:left w:val="single" w:color="000000" w:sz="4" w:space="0"/>
              <w:bottom w:val="single" w:color="000000" w:sz="4" w:space="0"/>
              <w:right w:val="single" w:color="000000" w:sz="4" w:space="0"/>
              <w:tl2br w:val="nil"/>
              <w:tr2bl w:val="nil"/>
            </w:tcBorders>
            <w:shd w:val="clear" w:color="auto" w:fill="D3D3D3"/>
            <w:vAlign w:val="top"/>
          </w:tcPr>
          <w:p w14:paraId="25BCA011">
            <w:pPr>
              <w:pStyle w:val="39"/>
              <w:spacing w:beforeAutospacing="0" w:line="228" w:lineRule="auto"/>
              <w:jc w:val="center"/>
              <w:outlineLvl w:val="9"/>
              <w:rPr>
                <w:color w:val="auto"/>
                <w:sz w:val="20"/>
                <w:szCs w:val="20"/>
                <w:highlight w:val="none"/>
              </w:rPr>
            </w:pPr>
            <w:r>
              <w:rPr>
                <w:b/>
                <w:color w:val="auto"/>
                <w:spacing w:val="6"/>
                <w:sz w:val="20"/>
                <w:szCs w:val="20"/>
                <w:highlight w:val="none"/>
              </w:rPr>
              <w:t>人员类别</w:t>
            </w:r>
          </w:p>
        </w:tc>
        <w:tc>
          <w:tcPr>
            <w:tcW w:w="862" w:type="dxa"/>
            <w:tcBorders>
              <w:top w:val="single" w:color="000000" w:sz="4" w:space="0"/>
              <w:left w:val="single" w:color="000000" w:sz="4" w:space="0"/>
              <w:bottom w:val="single" w:color="000000" w:sz="4" w:space="0"/>
              <w:right w:val="single" w:color="000000" w:sz="4" w:space="0"/>
              <w:tl2br w:val="nil"/>
              <w:tr2bl w:val="nil"/>
            </w:tcBorders>
            <w:shd w:val="clear" w:color="auto" w:fill="D3D3D3"/>
            <w:vAlign w:val="top"/>
          </w:tcPr>
          <w:p w14:paraId="0A7CCE84">
            <w:pPr>
              <w:pStyle w:val="39"/>
              <w:spacing w:beforeAutospacing="0" w:line="228" w:lineRule="auto"/>
              <w:jc w:val="center"/>
              <w:outlineLvl w:val="9"/>
              <w:rPr>
                <w:color w:val="auto"/>
                <w:sz w:val="20"/>
                <w:szCs w:val="20"/>
                <w:highlight w:val="none"/>
              </w:rPr>
            </w:pPr>
            <w:r>
              <w:rPr>
                <w:b/>
                <w:color w:val="auto"/>
                <w:spacing w:val="6"/>
                <w:sz w:val="20"/>
                <w:szCs w:val="20"/>
                <w:highlight w:val="none"/>
              </w:rPr>
              <w:t>人员岗位</w:t>
            </w:r>
          </w:p>
        </w:tc>
        <w:tc>
          <w:tcPr>
            <w:tcW w:w="5470" w:type="dxa"/>
            <w:tcBorders>
              <w:top w:val="single" w:color="000000" w:sz="4" w:space="0"/>
              <w:left w:val="single" w:color="000000" w:sz="4" w:space="0"/>
              <w:bottom w:val="single" w:color="000000" w:sz="4" w:space="0"/>
              <w:right w:val="single" w:color="000000" w:sz="4" w:space="0"/>
              <w:tl2br w:val="nil"/>
              <w:tr2bl w:val="nil"/>
            </w:tcBorders>
            <w:shd w:val="clear" w:color="auto" w:fill="D3D3D3"/>
            <w:vAlign w:val="top"/>
          </w:tcPr>
          <w:p w14:paraId="0BAD21C0">
            <w:pPr>
              <w:pStyle w:val="39"/>
              <w:spacing w:beforeAutospacing="0" w:line="229" w:lineRule="auto"/>
              <w:jc w:val="center"/>
              <w:outlineLvl w:val="9"/>
              <w:rPr>
                <w:color w:val="auto"/>
                <w:sz w:val="20"/>
                <w:szCs w:val="20"/>
                <w:highlight w:val="none"/>
              </w:rPr>
            </w:pPr>
            <w:r>
              <w:rPr>
                <w:b/>
                <w:color w:val="auto"/>
                <w:spacing w:val="6"/>
                <w:sz w:val="20"/>
                <w:szCs w:val="20"/>
                <w:highlight w:val="none"/>
              </w:rPr>
              <w:t>人员要求</w:t>
            </w:r>
          </w:p>
        </w:tc>
        <w:tc>
          <w:tcPr>
            <w:tcW w:w="1500" w:type="dxa"/>
            <w:tcBorders>
              <w:top w:val="single" w:color="000000" w:sz="4" w:space="0"/>
              <w:left w:val="single" w:color="000000" w:sz="4" w:space="0"/>
              <w:bottom w:val="single" w:color="000000" w:sz="4" w:space="0"/>
              <w:right w:val="single" w:color="000000" w:sz="4" w:space="0"/>
              <w:tl2br w:val="nil"/>
              <w:tr2bl w:val="nil"/>
            </w:tcBorders>
            <w:shd w:val="clear" w:color="auto" w:fill="D3D3D3"/>
            <w:vAlign w:val="top"/>
          </w:tcPr>
          <w:p w14:paraId="4FA048AE">
            <w:pPr>
              <w:pStyle w:val="39"/>
              <w:spacing w:beforeAutospacing="0" w:line="228" w:lineRule="auto"/>
              <w:jc w:val="center"/>
              <w:outlineLvl w:val="9"/>
              <w:rPr>
                <w:color w:val="auto"/>
                <w:sz w:val="20"/>
                <w:szCs w:val="20"/>
                <w:highlight w:val="none"/>
              </w:rPr>
            </w:pPr>
            <w:r>
              <w:rPr>
                <w:b/>
                <w:color w:val="auto"/>
                <w:spacing w:val="6"/>
                <w:sz w:val="20"/>
                <w:szCs w:val="20"/>
                <w:highlight w:val="none"/>
              </w:rPr>
              <w:t>是否作为加分项</w:t>
            </w:r>
          </w:p>
        </w:tc>
      </w:tr>
      <w:tr w14:paraId="40B16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428" w:type="dxa"/>
            <w:tcBorders>
              <w:top w:val="single" w:color="000000" w:sz="4" w:space="0"/>
              <w:left w:val="single" w:color="000000" w:sz="4" w:space="0"/>
              <w:bottom w:val="single" w:color="000000" w:sz="4" w:space="0"/>
              <w:right w:val="single" w:color="000000" w:sz="4" w:space="0"/>
              <w:tl2br w:val="nil"/>
              <w:tr2bl w:val="nil"/>
            </w:tcBorders>
            <w:vAlign w:val="center"/>
          </w:tcPr>
          <w:p w14:paraId="715CAE89">
            <w:pPr>
              <w:pStyle w:val="39"/>
              <w:spacing w:beforeAutospacing="0" w:line="270" w:lineRule="exact"/>
              <w:jc w:val="center"/>
              <w:outlineLvl w:val="9"/>
              <w:rPr>
                <w:color w:val="auto"/>
                <w:sz w:val="20"/>
                <w:szCs w:val="20"/>
                <w:highlight w:val="none"/>
              </w:rPr>
            </w:pPr>
            <w:r>
              <w:rPr>
                <w:color w:val="auto"/>
                <w:position w:val="1"/>
                <w:sz w:val="20"/>
                <w:szCs w:val="20"/>
                <w:highlight w:val="none"/>
              </w:rPr>
              <w:t>1</w:t>
            </w:r>
          </w:p>
        </w:tc>
        <w:tc>
          <w:tcPr>
            <w:tcW w:w="862" w:type="dxa"/>
            <w:tcBorders>
              <w:top w:val="single" w:color="000000" w:sz="4" w:space="0"/>
              <w:left w:val="single" w:color="000000" w:sz="4" w:space="0"/>
              <w:bottom w:val="single" w:color="000000" w:sz="4" w:space="0"/>
              <w:right w:val="single" w:color="000000" w:sz="4" w:space="0"/>
              <w:tl2br w:val="nil"/>
              <w:tr2bl w:val="nil"/>
            </w:tcBorders>
            <w:vAlign w:val="center"/>
          </w:tcPr>
          <w:p w14:paraId="54B4435E">
            <w:pPr>
              <w:jc w:val="center"/>
              <w:outlineLvl w:val="9"/>
              <w:rPr>
                <w:rFonts w:hint="eastAsia"/>
                <w:color w:val="auto"/>
                <w:szCs w:val="21"/>
                <w:highlight w:val="none"/>
              </w:rPr>
            </w:pPr>
            <w:r>
              <w:rPr>
                <w:rFonts w:hint="eastAsia"/>
                <w:color w:val="auto"/>
                <w:szCs w:val="21"/>
                <w:highlight w:val="none"/>
              </w:rPr>
              <w:t>管理团队</w:t>
            </w:r>
          </w:p>
        </w:tc>
        <w:tc>
          <w:tcPr>
            <w:tcW w:w="862" w:type="dxa"/>
            <w:tcBorders>
              <w:top w:val="single" w:color="000000" w:sz="4" w:space="0"/>
              <w:left w:val="single" w:color="000000" w:sz="4" w:space="0"/>
              <w:bottom w:val="single" w:color="000000" w:sz="4" w:space="0"/>
              <w:right w:val="single" w:color="000000" w:sz="4" w:space="0"/>
              <w:tl2br w:val="nil"/>
              <w:tr2bl w:val="nil"/>
            </w:tcBorders>
            <w:vAlign w:val="center"/>
          </w:tcPr>
          <w:p w14:paraId="2430EE0E">
            <w:pPr>
              <w:jc w:val="center"/>
              <w:outlineLvl w:val="9"/>
              <w:rPr>
                <w:rFonts w:hint="eastAsia"/>
                <w:color w:val="auto"/>
                <w:szCs w:val="21"/>
                <w:highlight w:val="none"/>
              </w:rPr>
            </w:pPr>
            <w:r>
              <w:rPr>
                <w:rFonts w:hint="eastAsia"/>
                <w:color w:val="auto"/>
                <w:szCs w:val="21"/>
                <w:highlight w:val="none"/>
              </w:rPr>
              <w:t>项目经理</w:t>
            </w:r>
          </w:p>
        </w:tc>
        <w:tc>
          <w:tcPr>
            <w:tcW w:w="5470" w:type="dxa"/>
            <w:tcBorders>
              <w:top w:val="single" w:color="000000" w:sz="4" w:space="0"/>
              <w:left w:val="single" w:color="000000" w:sz="4" w:space="0"/>
              <w:bottom w:val="single" w:color="000000" w:sz="4" w:space="0"/>
              <w:right w:val="single" w:color="000000" w:sz="4" w:space="0"/>
              <w:tl2br w:val="nil"/>
              <w:tr2bl w:val="nil"/>
            </w:tcBorders>
            <w:vAlign w:val="center"/>
          </w:tcPr>
          <w:p w14:paraId="20EF11AE">
            <w:pPr>
              <w:jc w:val="center"/>
              <w:outlineLvl w:val="9"/>
              <w:rPr>
                <w:rFonts w:hint="eastAsia"/>
                <w:color w:val="auto"/>
                <w:szCs w:val="21"/>
                <w:highlight w:val="none"/>
              </w:rPr>
            </w:pPr>
            <w:r>
              <w:rPr>
                <w:rFonts w:hint="eastAsia"/>
                <w:color w:val="auto"/>
                <w:szCs w:val="21"/>
                <w:highlight w:val="none"/>
              </w:rPr>
              <w:t>具有3年及以上政务服务等工作经验，予以加分。</w:t>
            </w:r>
          </w:p>
        </w:tc>
        <w:tc>
          <w:tcPr>
            <w:tcW w:w="1500" w:type="dxa"/>
            <w:tcBorders>
              <w:top w:val="single" w:color="000000" w:sz="4" w:space="0"/>
              <w:left w:val="single" w:color="000000" w:sz="4" w:space="0"/>
              <w:bottom w:val="single" w:color="000000" w:sz="4" w:space="0"/>
              <w:right w:val="single" w:color="000000" w:sz="4" w:space="0"/>
              <w:tl2br w:val="nil"/>
              <w:tr2bl w:val="nil"/>
            </w:tcBorders>
            <w:vAlign w:val="center"/>
          </w:tcPr>
          <w:p w14:paraId="28D1229D">
            <w:pPr>
              <w:jc w:val="center"/>
              <w:outlineLvl w:val="9"/>
              <w:rPr>
                <w:rFonts w:hint="eastAsia"/>
                <w:color w:val="auto"/>
                <w:szCs w:val="21"/>
                <w:highlight w:val="none"/>
              </w:rPr>
            </w:pPr>
            <w:r>
              <w:rPr>
                <w:rFonts w:hint="eastAsia"/>
                <w:color w:val="auto"/>
                <w:szCs w:val="21"/>
                <w:highlight w:val="none"/>
              </w:rPr>
              <w:t>是</w:t>
            </w:r>
          </w:p>
        </w:tc>
      </w:tr>
      <w:tr w14:paraId="29E11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428" w:type="dxa"/>
            <w:tcBorders>
              <w:top w:val="single" w:color="000000" w:sz="4" w:space="0"/>
              <w:left w:val="single" w:color="000000" w:sz="4" w:space="0"/>
              <w:bottom w:val="single" w:color="000000" w:sz="4" w:space="0"/>
              <w:right w:val="single" w:color="000000" w:sz="4" w:space="0"/>
              <w:tl2br w:val="nil"/>
              <w:tr2bl w:val="nil"/>
            </w:tcBorders>
            <w:vAlign w:val="center"/>
          </w:tcPr>
          <w:p w14:paraId="279059B3">
            <w:pPr>
              <w:pStyle w:val="39"/>
              <w:spacing w:beforeAutospacing="0" w:line="270" w:lineRule="exact"/>
              <w:jc w:val="center"/>
              <w:outlineLvl w:val="9"/>
              <w:rPr>
                <w:color w:val="auto"/>
                <w:sz w:val="20"/>
                <w:szCs w:val="20"/>
                <w:highlight w:val="none"/>
              </w:rPr>
            </w:pPr>
            <w:r>
              <w:rPr>
                <w:color w:val="auto"/>
                <w:position w:val="1"/>
                <w:sz w:val="20"/>
                <w:szCs w:val="20"/>
                <w:highlight w:val="none"/>
              </w:rPr>
              <w:t>2</w:t>
            </w:r>
          </w:p>
        </w:tc>
        <w:tc>
          <w:tcPr>
            <w:tcW w:w="862" w:type="dxa"/>
            <w:tcBorders>
              <w:top w:val="single" w:color="000000" w:sz="4" w:space="0"/>
              <w:left w:val="single" w:color="000000" w:sz="4" w:space="0"/>
              <w:bottom w:val="single" w:color="000000" w:sz="4" w:space="0"/>
              <w:right w:val="single" w:color="000000" w:sz="4" w:space="0"/>
              <w:tl2br w:val="nil"/>
              <w:tr2bl w:val="nil"/>
            </w:tcBorders>
            <w:vAlign w:val="center"/>
          </w:tcPr>
          <w:p w14:paraId="28EB905A">
            <w:pPr>
              <w:jc w:val="center"/>
              <w:outlineLvl w:val="9"/>
              <w:rPr>
                <w:rFonts w:hint="eastAsia"/>
                <w:color w:val="auto"/>
                <w:szCs w:val="21"/>
                <w:highlight w:val="none"/>
              </w:rPr>
            </w:pPr>
            <w:r>
              <w:rPr>
                <w:rFonts w:hint="eastAsia"/>
                <w:color w:val="auto"/>
                <w:szCs w:val="21"/>
                <w:highlight w:val="none"/>
              </w:rPr>
              <w:t>技术团队</w:t>
            </w:r>
          </w:p>
        </w:tc>
        <w:tc>
          <w:tcPr>
            <w:tcW w:w="862" w:type="dxa"/>
            <w:tcBorders>
              <w:top w:val="single" w:color="000000" w:sz="4" w:space="0"/>
              <w:left w:val="single" w:color="000000" w:sz="4" w:space="0"/>
              <w:bottom w:val="single" w:color="000000" w:sz="4" w:space="0"/>
              <w:right w:val="single" w:color="000000" w:sz="4" w:space="0"/>
              <w:tl2br w:val="nil"/>
              <w:tr2bl w:val="nil"/>
            </w:tcBorders>
            <w:vAlign w:val="center"/>
          </w:tcPr>
          <w:p w14:paraId="78D5FFAB">
            <w:pPr>
              <w:jc w:val="center"/>
              <w:outlineLvl w:val="9"/>
              <w:rPr>
                <w:rFonts w:hint="eastAsia"/>
                <w:color w:val="auto"/>
                <w:szCs w:val="21"/>
                <w:highlight w:val="none"/>
              </w:rPr>
            </w:pPr>
            <w:r>
              <w:rPr>
                <w:rFonts w:hint="eastAsia"/>
                <w:color w:val="auto"/>
                <w:szCs w:val="21"/>
                <w:highlight w:val="none"/>
              </w:rPr>
              <w:t>服务人员</w:t>
            </w:r>
          </w:p>
        </w:tc>
        <w:tc>
          <w:tcPr>
            <w:tcW w:w="5470" w:type="dxa"/>
            <w:tcBorders>
              <w:top w:val="single" w:color="000000" w:sz="4" w:space="0"/>
              <w:left w:val="single" w:color="000000" w:sz="4" w:space="0"/>
              <w:bottom w:val="single" w:color="000000" w:sz="4" w:space="0"/>
              <w:right w:val="single" w:color="000000" w:sz="4" w:space="0"/>
              <w:tl2br w:val="nil"/>
              <w:tr2bl w:val="nil"/>
            </w:tcBorders>
            <w:vAlign w:val="center"/>
          </w:tcPr>
          <w:p w14:paraId="4CAB81BB">
            <w:pPr>
              <w:jc w:val="center"/>
              <w:outlineLvl w:val="9"/>
              <w:rPr>
                <w:rFonts w:hint="eastAsia"/>
                <w:color w:val="auto"/>
                <w:szCs w:val="21"/>
                <w:highlight w:val="none"/>
              </w:rPr>
            </w:pPr>
            <w:r>
              <w:rPr>
                <w:rFonts w:hint="eastAsia"/>
                <w:color w:val="auto"/>
                <w:szCs w:val="21"/>
                <w:highlight w:val="none"/>
              </w:rPr>
              <w:t>具有1年及以上涉税服务、会计、审计等相关服务工作经验</w:t>
            </w:r>
          </w:p>
        </w:tc>
        <w:tc>
          <w:tcPr>
            <w:tcW w:w="1500" w:type="dxa"/>
            <w:tcBorders>
              <w:top w:val="single" w:color="000000" w:sz="4" w:space="0"/>
              <w:left w:val="single" w:color="000000" w:sz="4" w:space="0"/>
              <w:bottom w:val="single" w:color="000000" w:sz="4" w:space="0"/>
              <w:right w:val="single" w:color="000000" w:sz="4" w:space="0"/>
              <w:tl2br w:val="nil"/>
              <w:tr2bl w:val="nil"/>
            </w:tcBorders>
            <w:vAlign w:val="center"/>
          </w:tcPr>
          <w:p w14:paraId="74FA3E07">
            <w:pPr>
              <w:jc w:val="center"/>
              <w:outlineLvl w:val="9"/>
              <w:rPr>
                <w:rFonts w:hint="eastAsia"/>
                <w:color w:val="auto"/>
                <w:szCs w:val="21"/>
                <w:highlight w:val="none"/>
              </w:rPr>
            </w:pPr>
            <w:r>
              <w:rPr>
                <w:rFonts w:hint="eastAsia"/>
                <w:color w:val="auto"/>
                <w:szCs w:val="21"/>
                <w:highlight w:val="none"/>
              </w:rPr>
              <w:t>是</w:t>
            </w:r>
          </w:p>
        </w:tc>
      </w:tr>
    </w:tbl>
    <w:p w14:paraId="5D3ABA95">
      <w:pPr>
        <w:spacing w:line="360" w:lineRule="auto"/>
        <w:jc w:val="center"/>
        <w:outlineLvl w:val="9"/>
        <w:rPr>
          <w:rFonts w:ascii="宋体" w:hAnsi="宋体" w:cs="宋体"/>
          <w:b/>
          <w:bCs/>
          <w:color w:val="auto"/>
          <w:kern w:val="36"/>
          <w:szCs w:val="21"/>
          <w:highlight w:val="none"/>
          <w:lang w:eastAsia="en-US"/>
        </w:rPr>
      </w:pPr>
      <w:bookmarkStart w:id="228" w:name="_Toc5233"/>
      <w:bookmarkStart w:id="229" w:name="_Toc32000"/>
      <w:bookmarkStart w:id="230" w:name="_Toc256000026"/>
      <w:r>
        <w:rPr>
          <w:rFonts w:hint="eastAsia" w:ascii="宋体" w:hAnsi="宋体" w:cs="宋体"/>
          <w:b/>
          <w:bCs/>
          <w:color w:val="auto"/>
          <w:kern w:val="36"/>
          <w:szCs w:val="21"/>
          <w:highlight w:val="none"/>
          <w:lang w:eastAsia="en-US"/>
        </w:rPr>
        <w:t>5管理实施要求</w:t>
      </w:r>
      <w:bookmarkEnd w:id="228"/>
      <w:bookmarkEnd w:id="229"/>
      <w:bookmarkEnd w:id="230"/>
    </w:p>
    <w:p w14:paraId="1979FD7C">
      <w:pPr>
        <w:spacing w:line="360" w:lineRule="auto"/>
        <w:ind w:firstLine="420" w:firstLineChars="200"/>
        <w:outlineLvl w:val="9"/>
        <w:rPr>
          <w:rFonts w:ascii="宋体" w:hAnsi="宋体" w:cs="宋体"/>
          <w:color w:val="auto"/>
          <w:kern w:val="0"/>
          <w:szCs w:val="21"/>
          <w:highlight w:val="none"/>
        </w:rPr>
      </w:pPr>
      <w:bookmarkStart w:id="231" w:name="_Toc2255"/>
      <w:bookmarkStart w:id="232" w:name="_Toc15443"/>
      <w:r>
        <w:rPr>
          <w:rFonts w:hint="eastAsia" w:ascii="宋体" w:hAnsi="宋体" w:cs="宋体"/>
          <w:color w:val="auto"/>
          <w:kern w:val="0"/>
          <w:szCs w:val="21"/>
          <w:highlight w:val="none"/>
        </w:rPr>
        <w:t>1.供应商应制定相关制度规范，主要包括制定投入本项目人员的日常管理制度、服务用语规范、业务记录规范、人员责任规范、业务转办规范、业务培训制度、知识库运维制度等，并报采购人备查。</w:t>
      </w:r>
    </w:p>
    <w:p w14:paraId="55FCC11D">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根据采购人实际情况，配备足够服务人员以保障服务质量，并满足采购人非执法类辅助性服务的需求，若出现不满足采购人非执法类辅助性服务的情况，供应商应在1个工作日内补充到位，补充的服务人员，应当与采购人协商确定。若出现人员未补充到位而影响服务质量的，采购人可以解除合同。</w:t>
      </w:r>
    </w:p>
    <w:p w14:paraId="282FD6AB">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供应商按照采购人的要求，加强对投入本项目人员的培训、教育、管理、考核等工作，保证其具备完成日常工作的基本素质和能力，严格遵守国家法律和采购人的规章制度，服务期间严格服从采购人管理。供应商配备的机关非执法类辅助性服务人员要经过礼仪礼貌、行为规范、税收基础知识、税务部门规章制度、业务操作流程的系统培训，确保符合关于税收业务、技能、特殊服务要求；机关非执法类辅助性服务人员要按照采购人的服务标准、服务规范、服务质量等做好服务及管理工作。在合同履行期内，供应商若发生政治事件、重大舆情及涉黑涉恶等事件，非执法类辅助性服务人员发生严重泄密事件等，采购人有权终止合同，由供应商承担相应法律责任。</w:t>
      </w:r>
    </w:p>
    <w:p w14:paraId="311B2711">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供应商应于合同生效之日起实现对该项目的有效接管，确保工作衔接顺畅、运转有序。对投入本项目人员需经培训到位上岗后，未经采购人同意，不得进行更换。对不能胜任工作或出现重大过错的服务人员，应按照采购人的要求及时予以更换，更换服务人员涉及的各项费用及劳动补偿均由供应商承担。因供应商原因造成服务不到位，给采购人造成的损失，采购人有权要求供应商进行整改,由此造成的损失由供应商负责赔偿；若供应商多次整改不到位，采购人有权解除合同。</w:t>
      </w:r>
    </w:p>
    <w:p w14:paraId="739CF180">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5.对投入本项目的人员在采购人场所服务期间应遵守职业规范和采购人有关规定，因合同范围内正常工作、意外和个人原因导致的投入本项目人员人身损害由供应商负责赔偿，由此给采购人造成损失的，供应商应当赔偿采购人全部损失。投入本项目人员伤残疾病等费用均由供应商负担。投入本项目人员在执行服务中造成他人人身伤亡、财产损失的，由供应商负责处理并承担相关赔偿及法律责任。</w:t>
      </w:r>
    </w:p>
    <w:p w14:paraId="7A103AAE">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6.供应商应采取有力措施确保该项目顺利运转，确保各项工作扎实到位：</w:t>
      </w:r>
    </w:p>
    <w:p w14:paraId="18B7B50B">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（1）保证投入本项目人员能严格按采购人要求开展工作，并保证工作的及时性、准确性；</w:t>
      </w:r>
    </w:p>
    <w:p w14:paraId="4B109782">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（2）投入本项目人员不得发生弄虚作假行为及责任纠纷；</w:t>
      </w:r>
    </w:p>
    <w:p w14:paraId="0564642E">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（3）投入本项目人员须按照采购人规定统一着装，挂牌上岗，文明服务，礼仪规范；</w:t>
      </w:r>
    </w:p>
    <w:p w14:paraId="6675427D">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（4）非投入本项目人员与供应商发生劳动纠纷的（含工伤事故），产生的所有的法律责任由中标人承担，由此造成采购人损失的，由供应商承担赔偿责任；</w:t>
      </w:r>
    </w:p>
    <w:p w14:paraId="2B22DC13">
      <w:pPr>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（5）供应商应对投入本项目人员的轮岗机制应提前做好处理方案，按照采购人需求明确调整到位的时间，做好规范轮岗、离岗交接工作；</w:t>
      </w:r>
    </w:p>
    <w:p w14:paraId="44012E19">
      <w:pPr>
        <w:spacing w:line="360" w:lineRule="auto"/>
        <w:ind w:firstLine="420" w:firstLineChars="200"/>
        <w:outlineLvl w:val="9"/>
        <w:rPr>
          <w:color w:val="auto"/>
          <w:highlight w:val="none"/>
        </w:rPr>
      </w:pPr>
      <w:r>
        <w:rPr>
          <w:rFonts w:hint="eastAsia" w:ascii="宋体" w:hAnsi="宋体" w:cs="宋体"/>
          <w:color w:val="auto"/>
          <w:kern w:val="0"/>
          <w:szCs w:val="21"/>
          <w:highlight w:val="none"/>
        </w:rPr>
        <w:t>7.供应商应全面保障投入本项目人员的合法权益，投入本项目人员应发工资参考同行业工资水平。中标价包含完成本项目所需的成本、劳务、投入本项目人员费用（供应商支付投入本项目人员薪酬必须符合国家各项规定，包括最低保障工资的规定、按要求为非投入本项目人员缴纳社会保险等）、意外保险、绩效工资、加班费、相关福利支出、培训费、体检费、服装费、管理费、维护费、质量保证、利润、税金、其他等各种费用，以及合同约定范围内除不可抗力以外的其他一切为本项目所需的全部费用。采购人因政策、机构调整等原因导致不能继续履行合同的，可终止本合同，无需承担违约责任，供应商负责做好非执法类辅助性服务人员的善后工作，包括但不限于经济赔偿等。</w:t>
      </w:r>
      <w:bookmarkEnd w:id="231"/>
      <w:bookmarkEnd w:id="232"/>
    </w:p>
    <w:p w14:paraId="3CDB7B1C">
      <w:pPr>
        <w:spacing w:line="360" w:lineRule="auto"/>
        <w:jc w:val="center"/>
        <w:outlineLvl w:val="9"/>
        <w:rPr>
          <w:rFonts w:ascii="宋体" w:hAnsi="宋体" w:cs="宋体"/>
          <w:b/>
          <w:bCs/>
          <w:color w:val="auto"/>
          <w:kern w:val="36"/>
          <w:szCs w:val="21"/>
          <w:highlight w:val="none"/>
        </w:rPr>
      </w:pPr>
      <w:bookmarkStart w:id="233" w:name="_Toc3536"/>
      <w:bookmarkStart w:id="234" w:name="_Toc256000027"/>
      <w:bookmarkStart w:id="235" w:name="_Toc25371"/>
      <w:r>
        <w:rPr>
          <w:rFonts w:hint="eastAsia" w:ascii="宋体" w:hAnsi="宋体" w:cs="宋体"/>
          <w:b/>
          <w:bCs/>
          <w:color w:val="auto"/>
          <w:kern w:val="36"/>
          <w:szCs w:val="21"/>
          <w:highlight w:val="none"/>
        </w:rPr>
        <w:t>6风险管控要求</w:t>
      </w:r>
      <w:bookmarkEnd w:id="233"/>
      <w:bookmarkEnd w:id="234"/>
      <w:bookmarkEnd w:id="235"/>
    </w:p>
    <w:p w14:paraId="7CF04BBD">
      <w:pPr>
        <w:widowControl/>
        <w:spacing w:line="360" w:lineRule="auto"/>
        <w:ind w:firstLine="420" w:firstLineChars="200"/>
        <w:outlineLvl w:val="9"/>
        <w:rPr>
          <w:rFonts w:ascii="宋体" w:hAnsi="宋体" w:cs="宋体"/>
          <w:color w:val="auto"/>
          <w:kern w:val="0"/>
          <w:szCs w:val="21"/>
          <w:highlight w:val="none"/>
        </w:rPr>
      </w:pPr>
      <w:bookmarkStart w:id="236" w:name="_Toc19762"/>
      <w:bookmarkStart w:id="237" w:name="_Toc26023"/>
      <w:r>
        <w:rPr>
          <w:rFonts w:hint="eastAsia" w:ascii="宋体" w:hAnsi="宋体" w:cs="宋体"/>
          <w:color w:val="auto"/>
          <w:kern w:val="0"/>
          <w:szCs w:val="21"/>
          <w:highlight w:val="none"/>
        </w:rPr>
        <w:t>供应商应建立一套全面的风险管理体系，识别、评估、应对和监控合同履行过程中的各类风险，具体包括风险识别、评估结果、采取的应对措施及效果。</w:t>
      </w:r>
      <w:bookmarkEnd w:id="236"/>
      <w:bookmarkEnd w:id="237"/>
    </w:p>
    <w:p w14:paraId="21412E9C">
      <w:pPr>
        <w:widowControl/>
        <w:spacing w:line="360" w:lineRule="auto"/>
        <w:ind w:firstLine="420" w:firstLineChars="200"/>
        <w:outlineLvl w:val="9"/>
        <w:rPr>
          <w:rFonts w:ascii="宋体" w:hAnsi="宋体" w:cs="宋体"/>
          <w:color w:val="auto"/>
          <w:kern w:val="0"/>
          <w:szCs w:val="21"/>
          <w:highlight w:val="none"/>
        </w:rPr>
      </w:pPr>
      <w:bookmarkStart w:id="238" w:name="_Toc17096"/>
      <w:bookmarkStart w:id="239" w:name="_Toc3275"/>
      <w:r>
        <w:rPr>
          <w:rFonts w:hint="eastAsia" w:ascii="宋体" w:hAnsi="宋体" w:cs="宋体"/>
          <w:color w:val="auto"/>
          <w:kern w:val="0"/>
          <w:szCs w:val="21"/>
          <w:highlight w:val="none"/>
        </w:rPr>
        <w:t>合同履行过程中，如出现国家政策变化、实施环境变化、重大技术变化等因素而导致合同履行出现风险，中标人必须及时与采购人沟通协商，对相关风险及时作出应对，避免出现损害国家利益和社会公共利益的情形。</w:t>
      </w:r>
      <w:bookmarkEnd w:id="238"/>
      <w:bookmarkEnd w:id="239"/>
    </w:p>
    <w:p w14:paraId="5173C59D">
      <w:pPr>
        <w:spacing w:line="360" w:lineRule="auto"/>
        <w:jc w:val="center"/>
        <w:outlineLvl w:val="9"/>
        <w:rPr>
          <w:rFonts w:ascii="宋体" w:hAnsi="宋体" w:cs="宋体"/>
          <w:b/>
          <w:bCs/>
          <w:color w:val="auto"/>
          <w:kern w:val="36"/>
          <w:szCs w:val="21"/>
          <w:highlight w:val="none"/>
          <w:lang w:eastAsia="en-US"/>
        </w:rPr>
      </w:pPr>
      <w:bookmarkStart w:id="240" w:name="_Toc256000028"/>
      <w:bookmarkStart w:id="241" w:name="_Toc24775"/>
      <w:bookmarkStart w:id="242" w:name="_Toc32533"/>
      <w:r>
        <w:rPr>
          <w:rFonts w:hint="eastAsia" w:ascii="宋体" w:hAnsi="宋体" w:cs="宋体"/>
          <w:b/>
          <w:bCs/>
          <w:color w:val="auto"/>
          <w:kern w:val="36"/>
          <w:szCs w:val="21"/>
          <w:highlight w:val="none"/>
          <w:lang w:eastAsia="en-US"/>
        </w:rPr>
        <w:t>7履约验收要求</w:t>
      </w:r>
      <w:bookmarkEnd w:id="240"/>
      <w:bookmarkEnd w:id="241"/>
      <w:bookmarkEnd w:id="242"/>
    </w:p>
    <w:p w14:paraId="00BC048F">
      <w:pPr>
        <w:widowControl/>
        <w:spacing w:line="360" w:lineRule="auto"/>
        <w:jc w:val="left"/>
        <w:outlineLvl w:val="9"/>
        <w:rPr>
          <w:rFonts w:ascii="宋体" w:hAnsi="宋体" w:cs="宋体"/>
          <w:b/>
          <w:bCs/>
          <w:color w:val="auto"/>
          <w:kern w:val="0"/>
          <w:szCs w:val="21"/>
          <w:highlight w:val="none"/>
          <w:lang w:eastAsia="en-US"/>
        </w:rPr>
      </w:pPr>
      <w:bookmarkStart w:id="243" w:name="_Toc256000029"/>
      <w:bookmarkStart w:id="244" w:name="_Toc6284"/>
      <w:bookmarkStart w:id="245" w:name="_Toc31641"/>
      <w:r>
        <w:rPr>
          <w:rFonts w:hint="eastAsia" w:ascii="宋体" w:hAnsi="宋体" w:cs="宋体"/>
          <w:b/>
          <w:bCs/>
          <w:color w:val="auto"/>
          <w:kern w:val="0"/>
          <w:szCs w:val="21"/>
          <w:highlight w:val="none"/>
          <w:lang w:eastAsia="en-US"/>
        </w:rPr>
        <w:t>7.1总体要求</w:t>
      </w:r>
      <w:bookmarkEnd w:id="243"/>
      <w:bookmarkEnd w:id="244"/>
      <w:bookmarkEnd w:id="245"/>
    </w:p>
    <w:tbl>
      <w:tblPr>
        <w:tblStyle w:val="22"/>
        <w:tblW w:w="835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96"/>
        <w:gridCol w:w="8054"/>
      </w:tblGrid>
      <w:tr w14:paraId="0FD3F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96" w:type="dxa"/>
            <w:tcBorders>
              <w:top w:val="single" w:color="000000" w:sz="6" w:space="0"/>
              <w:left w:val="single" w:color="000000" w:sz="6" w:space="0"/>
              <w:bottom w:val="single" w:color="000000" w:sz="6" w:space="0"/>
              <w:right w:val="single" w:color="000000" w:sz="6" w:space="0"/>
            </w:tcBorders>
            <w:shd w:val="clear" w:color="auto" w:fill="D3D3D3"/>
            <w:tcMar>
              <w:top w:w="22" w:type="dxa"/>
              <w:left w:w="22" w:type="dxa"/>
              <w:bottom w:w="22" w:type="dxa"/>
              <w:right w:w="22" w:type="dxa"/>
            </w:tcMar>
            <w:vAlign w:val="center"/>
          </w:tcPr>
          <w:p w14:paraId="2325D7DC">
            <w:pPr>
              <w:widowControl/>
              <w:jc w:val="center"/>
              <w:outlineLvl w:val="9"/>
              <w:rPr>
                <w:rFonts w:ascii="宋体" w:hAnsi="宋体" w:cs="宋体"/>
                <w:b/>
                <w:bCs/>
                <w:color w:val="auto"/>
                <w:kern w:val="0"/>
                <w:szCs w:val="21"/>
                <w:highlight w:val="none"/>
                <w:lang w:eastAsia="en-US"/>
              </w:rPr>
            </w:pPr>
            <w:r>
              <w:rPr>
                <w:rFonts w:hint="eastAsia" w:ascii="宋体" w:hAnsi="宋体" w:cs="宋体"/>
                <w:b/>
                <w:bCs/>
                <w:color w:val="auto"/>
                <w:kern w:val="0"/>
                <w:szCs w:val="21"/>
                <w:highlight w:val="none"/>
                <w:lang w:eastAsia="en-US"/>
              </w:rPr>
              <w:t>验收名称</w:t>
            </w:r>
          </w:p>
        </w:tc>
        <w:tc>
          <w:tcPr>
            <w:tcW w:w="8054" w:type="dxa"/>
            <w:tcBorders>
              <w:top w:val="single" w:color="000000" w:sz="6" w:space="0"/>
              <w:left w:val="single" w:color="000000" w:sz="6" w:space="0"/>
              <w:bottom w:val="single" w:color="000000" w:sz="6" w:space="0"/>
              <w:right w:val="single" w:color="000000" w:sz="6" w:space="0"/>
            </w:tcBorders>
            <w:shd w:val="clear" w:color="auto" w:fill="D3D3D3"/>
            <w:tcMar>
              <w:top w:w="22" w:type="dxa"/>
              <w:left w:w="22" w:type="dxa"/>
              <w:bottom w:w="22" w:type="dxa"/>
              <w:right w:w="22" w:type="dxa"/>
            </w:tcMar>
            <w:vAlign w:val="center"/>
          </w:tcPr>
          <w:p w14:paraId="6D8ED999">
            <w:pPr>
              <w:widowControl/>
              <w:jc w:val="center"/>
              <w:outlineLvl w:val="9"/>
              <w:rPr>
                <w:rFonts w:ascii="宋体" w:hAnsi="宋体" w:cs="宋体"/>
                <w:b/>
                <w:bCs/>
                <w:color w:val="auto"/>
                <w:kern w:val="0"/>
                <w:szCs w:val="21"/>
                <w:highlight w:val="none"/>
                <w:lang w:eastAsia="en-US"/>
              </w:rPr>
            </w:pPr>
            <w:r>
              <w:rPr>
                <w:rFonts w:hint="eastAsia" w:ascii="宋体" w:hAnsi="宋体" w:cs="宋体"/>
                <w:b/>
                <w:bCs/>
                <w:color w:val="auto"/>
                <w:kern w:val="0"/>
                <w:szCs w:val="21"/>
                <w:highlight w:val="none"/>
                <w:lang w:eastAsia="en-US"/>
              </w:rPr>
              <w:t>验收要求</w:t>
            </w:r>
          </w:p>
        </w:tc>
      </w:tr>
      <w:tr w14:paraId="26F70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96"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16C7FAB9">
            <w:pPr>
              <w:widowControl/>
              <w:jc w:val="center"/>
              <w:outlineLvl w:val="9"/>
              <w:rPr>
                <w:rFonts w:ascii="宋体" w:hAnsi="宋体" w:cs="宋体"/>
                <w:color w:val="auto"/>
                <w:kern w:val="0"/>
                <w:szCs w:val="21"/>
                <w:highlight w:val="none"/>
                <w:lang w:eastAsia="en-US"/>
              </w:rPr>
            </w:pPr>
            <w:r>
              <w:rPr>
                <w:rFonts w:hint="eastAsia" w:ascii="宋体" w:hAnsi="宋体" w:cs="宋体"/>
                <w:color w:val="auto"/>
                <w:kern w:val="0"/>
                <w:szCs w:val="21"/>
                <w:highlight w:val="none"/>
                <w:lang w:eastAsia="en-US"/>
              </w:rPr>
              <w:t>验收</w:t>
            </w:r>
          </w:p>
        </w:tc>
        <w:tc>
          <w:tcPr>
            <w:tcW w:w="8054"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10DDB780">
            <w:pPr>
              <w:widowControl/>
              <w:jc w:val="left"/>
              <w:outlineLvl w:val="9"/>
              <w:rPr>
                <w:rFonts w:ascii="宋体" w:hAnsi="宋体" w:cs="宋体"/>
                <w:color w:val="auto"/>
                <w:kern w:val="0"/>
                <w:szCs w:val="21"/>
                <w:highlight w:val="none"/>
              </w:rPr>
            </w:pPr>
            <w:r>
              <w:rPr>
                <w:rFonts w:hint="eastAsia" w:ascii="宋体" w:hAnsi="宋体" w:cs="宋体"/>
                <w:color w:val="auto"/>
                <w:kern w:val="0"/>
                <w:szCs w:val="21"/>
                <w:highlight w:val="none"/>
              </w:rPr>
              <w:t>采购人根据中标人服务内容及国家和行业的相关标准对中标人完成工作的服务质量、技术指标、服务成果进行验收。采购人对中标人定期进行监督、记录和考核，以作为日常验收依据。中标人以月报的形式汇报日常管理、考核等工作开展情况，以备采购人监督。</w:t>
            </w:r>
          </w:p>
        </w:tc>
      </w:tr>
    </w:tbl>
    <w:p w14:paraId="4F7F4AF5">
      <w:pPr>
        <w:widowControl/>
        <w:spacing w:line="360" w:lineRule="auto"/>
        <w:jc w:val="left"/>
        <w:outlineLvl w:val="9"/>
        <w:rPr>
          <w:rFonts w:ascii="宋体" w:hAnsi="宋体" w:cs="宋体"/>
          <w:b/>
          <w:bCs/>
          <w:color w:val="auto"/>
          <w:kern w:val="0"/>
          <w:szCs w:val="21"/>
          <w:highlight w:val="none"/>
        </w:rPr>
      </w:pPr>
      <w:bookmarkStart w:id="246" w:name="_Toc25986"/>
      <w:bookmarkStart w:id="247" w:name="_Toc19943"/>
      <w:bookmarkStart w:id="248" w:name="_Toc256000030"/>
      <w:r>
        <w:rPr>
          <w:rFonts w:hint="eastAsia" w:ascii="宋体" w:hAnsi="宋体" w:cs="宋体"/>
          <w:b/>
          <w:bCs/>
          <w:color w:val="auto"/>
          <w:kern w:val="0"/>
          <w:szCs w:val="21"/>
          <w:highlight w:val="none"/>
        </w:rPr>
        <w:t>7.2具体要求</w:t>
      </w:r>
      <w:bookmarkEnd w:id="246"/>
      <w:bookmarkEnd w:id="247"/>
      <w:bookmarkEnd w:id="248"/>
    </w:p>
    <w:p w14:paraId="64A9C8DA">
      <w:pPr>
        <w:widowControl/>
        <w:spacing w:line="360" w:lineRule="auto"/>
        <w:ind w:firstLine="420" w:firstLineChars="200"/>
        <w:outlineLvl w:val="9"/>
        <w:rPr>
          <w:rFonts w:ascii="宋体" w:hAnsi="宋体" w:cs="宋体"/>
          <w:color w:val="auto"/>
          <w:kern w:val="0"/>
          <w:szCs w:val="21"/>
          <w:highlight w:val="none"/>
        </w:rPr>
      </w:pPr>
      <w:bookmarkStart w:id="249" w:name="_Toc11038"/>
      <w:bookmarkStart w:id="250" w:name="_Toc22207"/>
      <w:r>
        <w:rPr>
          <w:rFonts w:hint="eastAsia" w:ascii="宋体" w:hAnsi="宋体" w:cs="宋体"/>
          <w:color w:val="auto"/>
          <w:kern w:val="0"/>
          <w:szCs w:val="21"/>
          <w:highlight w:val="none"/>
        </w:rPr>
        <w:t>（一）采购人根据每个窗口每月运转情况结合考核打分情况进行项目验收及费用支付，若出现个别窗口无法运转的情况，按比例扣除相应费用后结合考核打分进行结算，次月结算上月费用。</w:t>
      </w:r>
    </w:p>
    <w:p w14:paraId="37E1AA69">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二）采购人相关部门对供应商上月服务情况进行考核（结合日常监督情况），考核为百分制。考核得分≥90分，全额拨付当月服务费用；90分&gt;考核得分≥80分，只拨付当月服务费用的95%；80分＞考核得分≥70分，只拨付当月服务费用的90%；70分＞考核得分≥60 分的，只拨付当月服务费用的85%；考核得分＜60分，只拨付当月服务费用的80%。</w:t>
      </w:r>
    </w:p>
    <w:p w14:paraId="0D0C9E94">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（三）供应商出现考核得分＜60分的情况或一票否决情况时,采购人有权单方面解除合同并追究供应商责任。</w:t>
      </w:r>
    </w:p>
    <w:bookmarkEnd w:id="249"/>
    <w:bookmarkEnd w:id="250"/>
    <w:p w14:paraId="71587978">
      <w:pPr>
        <w:widowControl/>
        <w:spacing w:line="360" w:lineRule="auto"/>
        <w:ind w:firstLine="422" w:firstLineChars="200"/>
        <w:jc w:val="left"/>
        <w:outlineLvl w:val="9"/>
        <w:rPr>
          <w:rFonts w:ascii="宋体" w:hAnsi="宋体" w:cs="宋体"/>
          <w:color w:val="auto"/>
          <w:kern w:val="0"/>
          <w:szCs w:val="21"/>
          <w:highlight w:val="none"/>
        </w:rPr>
      </w:pPr>
      <w:bookmarkStart w:id="251" w:name="_Toc8643"/>
      <w:bookmarkStart w:id="252" w:name="_Toc19998"/>
      <w:r>
        <w:rPr>
          <w:rFonts w:hint="eastAsia" w:ascii="宋体" w:hAnsi="宋体" w:cs="宋体"/>
          <w:b/>
          <w:bCs/>
          <w:color w:val="auto"/>
          <w:kern w:val="36"/>
          <w:szCs w:val="21"/>
          <w:highlight w:val="none"/>
        </w:rPr>
        <w:t>验收时，非执法类辅助型服务需求部门按规定填写《项目验收书》（每月付款时提供）。验收合格后，结算当月实际应支付金额。</w:t>
      </w:r>
      <w:bookmarkEnd w:id="251"/>
      <w:bookmarkEnd w:id="252"/>
      <w:bookmarkStart w:id="253" w:name="_Toc256000031"/>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1"/>
        <w:gridCol w:w="1477"/>
        <w:gridCol w:w="4975"/>
        <w:gridCol w:w="922"/>
        <w:gridCol w:w="577"/>
      </w:tblGrid>
      <w:tr w14:paraId="3A1D6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8522" w:type="dxa"/>
            <w:gridSpan w:val="5"/>
            <w:vAlign w:val="center"/>
          </w:tcPr>
          <w:p w14:paraId="6A1246F3">
            <w:pPr>
              <w:widowControl/>
              <w:jc w:val="center"/>
              <w:textAlignment w:val="center"/>
              <w:outlineLvl w:val="9"/>
              <w:rPr>
                <w:rFonts w:ascii="宋体" w:hAnsi="宋体" w:cs="宋体"/>
                <w:color w:val="auto"/>
                <w:kern w:val="36"/>
                <w:szCs w:val="21"/>
                <w:highlight w:val="none"/>
              </w:rPr>
            </w:pPr>
            <w:r>
              <w:rPr>
                <w:rFonts w:hint="eastAsia" w:ascii="宋体" w:hAnsi="宋体" w:cs="宋体"/>
                <w:b/>
                <w:color w:val="auto"/>
                <w:kern w:val="0"/>
                <w:szCs w:val="21"/>
                <w:highlight w:val="none"/>
              </w:rPr>
              <w:t>国家税务总局庄河市税务局非执法类辅助服务考核表</w:t>
            </w:r>
          </w:p>
        </w:tc>
      </w:tr>
      <w:tr w14:paraId="3F96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Align w:val="center"/>
          </w:tcPr>
          <w:p w14:paraId="6FD72BF0">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序号</w:t>
            </w:r>
          </w:p>
        </w:tc>
        <w:tc>
          <w:tcPr>
            <w:tcW w:w="1477" w:type="dxa"/>
            <w:vAlign w:val="center"/>
          </w:tcPr>
          <w:p w14:paraId="6B04463F">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项目</w:t>
            </w:r>
          </w:p>
        </w:tc>
        <w:tc>
          <w:tcPr>
            <w:tcW w:w="4975" w:type="dxa"/>
            <w:vAlign w:val="center"/>
          </w:tcPr>
          <w:p w14:paraId="33F840D8">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细则</w:t>
            </w:r>
          </w:p>
        </w:tc>
        <w:tc>
          <w:tcPr>
            <w:tcW w:w="922" w:type="dxa"/>
            <w:vAlign w:val="center"/>
          </w:tcPr>
          <w:p w14:paraId="5E203F6C">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扣分</w:t>
            </w:r>
          </w:p>
        </w:tc>
        <w:tc>
          <w:tcPr>
            <w:tcW w:w="577" w:type="dxa"/>
            <w:vAlign w:val="center"/>
          </w:tcPr>
          <w:p w14:paraId="4D54D69C">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备注</w:t>
            </w:r>
          </w:p>
        </w:tc>
      </w:tr>
      <w:tr w14:paraId="01AE3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restart"/>
            <w:vAlign w:val="center"/>
          </w:tcPr>
          <w:p w14:paraId="680CBC20">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1</w:t>
            </w:r>
          </w:p>
        </w:tc>
        <w:tc>
          <w:tcPr>
            <w:tcW w:w="1477" w:type="dxa"/>
            <w:vMerge w:val="restart"/>
            <w:vAlign w:val="center"/>
          </w:tcPr>
          <w:p w14:paraId="13EA2371">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工作配合度（50分）</w:t>
            </w:r>
          </w:p>
        </w:tc>
        <w:tc>
          <w:tcPr>
            <w:tcW w:w="4975" w:type="dxa"/>
            <w:vAlign w:val="center"/>
          </w:tcPr>
          <w:p w14:paraId="6DD91A04">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不服从采购人管理的，或不配合采购人要求的加班等相关工</w:t>
            </w:r>
            <w:r>
              <w:rPr>
                <w:rStyle w:val="61"/>
                <w:rFonts w:hint="eastAsia"/>
                <w:color w:val="auto"/>
                <w:sz w:val="21"/>
                <w:szCs w:val="21"/>
                <w:highlight w:val="none"/>
              </w:rPr>
              <w:t>作，或采取各种方式欺瞒、应付采购人的，按次扣10分。</w:t>
            </w:r>
          </w:p>
        </w:tc>
        <w:tc>
          <w:tcPr>
            <w:tcW w:w="922" w:type="dxa"/>
            <w:vAlign w:val="top"/>
          </w:tcPr>
          <w:p w14:paraId="5A9832A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0DD01114">
            <w:pPr>
              <w:widowControl/>
              <w:spacing w:line="360" w:lineRule="auto"/>
              <w:textAlignment w:val="baseline"/>
              <w:outlineLvl w:val="9"/>
              <w:rPr>
                <w:rFonts w:ascii="宋体" w:hAnsi="宋体" w:cs="宋体"/>
                <w:color w:val="auto"/>
                <w:kern w:val="36"/>
                <w:szCs w:val="21"/>
                <w:highlight w:val="none"/>
              </w:rPr>
            </w:pPr>
          </w:p>
        </w:tc>
      </w:tr>
      <w:tr w14:paraId="6393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9326588">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6BB92BC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58C6AE1D">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未按要求将工作人员及时配备到位的，每人次扣</w:t>
            </w:r>
            <w:r>
              <w:rPr>
                <w:rStyle w:val="61"/>
                <w:rFonts w:hint="eastAsia"/>
                <w:color w:val="auto"/>
                <w:sz w:val="21"/>
                <w:szCs w:val="21"/>
                <w:highlight w:val="none"/>
              </w:rPr>
              <w:t>5分。配备的工作人员与岗位需求不匹配的，按人次扣5分。</w:t>
            </w:r>
          </w:p>
        </w:tc>
        <w:tc>
          <w:tcPr>
            <w:tcW w:w="922" w:type="dxa"/>
            <w:vAlign w:val="top"/>
          </w:tcPr>
          <w:p w14:paraId="16BC774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6CD93242">
            <w:pPr>
              <w:widowControl/>
              <w:spacing w:line="360" w:lineRule="auto"/>
              <w:textAlignment w:val="baseline"/>
              <w:outlineLvl w:val="9"/>
              <w:rPr>
                <w:rFonts w:ascii="宋体" w:hAnsi="宋体" w:cs="宋体"/>
                <w:color w:val="auto"/>
                <w:kern w:val="36"/>
                <w:szCs w:val="21"/>
                <w:highlight w:val="none"/>
              </w:rPr>
            </w:pPr>
          </w:p>
        </w:tc>
      </w:tr>
      <w:tr w14:paraId="754A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2DB6EE3">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742F34E2">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38AAD3B9">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当月未将</w:t>
            </w:r>
            <w:r>
              <w:rPr>
                <w:rStyle w:val="61"/>
                <w:rFonts w:hint="eastAsia"/>
                <w:color w:val="auto"/>
                <w:sz w:val="21"/>
                <w:szCs w:val="21"/>
                <w:highlight w:val="none"/>
              </w:rPr>
              <w:t>90%服务费（不含税费）足额用于本项目工作人员的，包括但不限于工资薪金、社保医保、加班费、福利等，按人次扣1分，超过10人次（含10次）的扣15分。</w:t>
            </w:r>
          </w:p>
        </w:tc>
        <w:tc>
          <w:tcPr>
            <w:tcW w:w="922" w:type="dxa"/>
            <w:vAlign w:val="top"/>
          </w:tcPr>
          <w:p w14:paraId="30A5F1B6">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35893182">
            <w:pPr>
              <w:widowControl/>
              <w:spacing w:line="360" w:lineRule="auto"/>
              <w:textAlignment w:val="baseline"/>
              <w:outlineLvl w:val="9"/>
              <w:rPr>
                <w:rFonts w:ascii="宋体" w:hAnsi="宋体" w:cs="宋体"/>
                <w:color w:val="auto"/>
                <w:kern w:val="36"/>
                <w:szCs w:val="21"/>
                <w:highlight w:val="none"/>
              </w:rPr>
            </w:pPr>
          </w:p>
        </w:tc>
      </w:tr>
      <w:tr w14:paraId="08F0D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84AEDF8">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3F0C0829">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24AB45F2">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未按要求对员工开展安全、保密培训并签订保密协议的，按</w:t>
            </w:r>
            <w:r>
              <w:rPr>
                <w:rStyle w:val="61"/>
                <w:rFonts w:hint="eastAsia"/>
                <w:color w:val="auto"/>
                <w:sz w:val="21"/>
                <w:szCs w:val="21"/>
                <w:highlight w:val="none"/>
              </w:rPr>
              <w:t>人次扣1分。</w:t>
            </w:r>
          </w:p>
        </w:tc>
        <w:tc>
          <w:tcPr>
            <w:tcW w:w="922" w:type="dxa"/>
            <w:vAlign w:val="top"/>
          </w:tcPr>
          <w:p w14:paraId="1AC2A768">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1BBDCAF5">
            <w:pPr>
              <w:widowControl/>
              <w:spacing w:line="360" w:lineRule="auto"/>
              <w:textAlignment w:val="baseline"/>
              <w:outlineLvl w:val="9"/>
              <w:rPr>
                <w:rFonts w:ascii="宋体" w:hAnsi="宋体" w:cs="宋体"/>
                <w:color w:val="auto"/>
                <w:kern w:val="36"/>
                <w:szCs w:val="21"/>
                <w:highlight w:val="none"/>
              </w:rPr>
            </w:pPr>
          </w:p>
        </w:tc>
      </w:tr>
      <w:tr w14:paraId="4396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4DD83F5B">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2C5AD1BC">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3B745757">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未按要求对本项目工作人员进行体检的（检查项目包括但不</w:t>
            </w:r>
            <w:r>
              <w:rPr>
                <w:rStyle w:val="61"/>
                <w:rFonts w:hint="eastAsia"/>
                <w:color w:val="auto"/>
                <w:sz w:val="21"/>
                <w:szCs w:val="21"/>
                <w:highlight w:val="none"/>
              </w:rPr>
              <w:t>限于各类传染病、心脏疾病、血液疾病相关检查），扣15分。</w:t>
            </w:r>
          </w:p>
        </w:tc>
        <w:tc>
          <w:tcPr>
            <w:tcW w:w="922" w:type="dxa"/>
            <w:vAlign w:val="top"/>
          </w:tcPr>
          <w:p w14:paraId="4BE4C00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12EC9D9F">
            <w:pPr>
              <w:widowControl/>
              <w:spacing w:line="360" w:lineRule="auto"/>
              <w:textAlignment w:val="baseline"/>
              <w:outlineLvl w:val="9"/>
              <w:rPr>
                <w:rFonts w:ascii="宋体" w:hAnsi="宋体" w:cs="宋体"/>
                <w:color w:val="auto"/>
                <w:kern w:val="36"/>
                <w:szCs w:val="21"/>
                <w:highlight w:val="none"/>
              </w:rPr>
            </w:pPr>
          </w:p>
        </w:tc>
      </w:tr>
      <w:tr w14:paraId="0147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3447E5AE">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67246FC7">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2CC3C51">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未按要求提供本项目工作人员相关履历证明材料或者提供虚假证明材料的，按人次扣5分，超过3人次（含3次）的，扣15分。</w:t>
            </w:r>
          </w:p>
        </w:tc>
        <w:tc>
          <w:tcPr>
            <w:tcW w:w="922" w:type="dxa"/>
            <w:vAlign w:val="top"/>
          </w:tcPr>
          <w:p w14:paraId="46B58540">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A4C438C">
            <w:pPr>
              <w:widowControl/>
              <w:spacing w:line="360" w:lineRule="auto"/>
              <w:textAlignment w:val="baseline"/>
              <w:outlineLvl w:val="9"/>
              <w:rPr>
                <w:rFonts w:ascii="宋体" w:hAnsi="宋体" w:cs="宋体"/>
                <w:color w:val="auto"/>
                <w:kern w:val="36"/>
                <w:szCs w:val="21"/>
                <w:highlight w:val="none"/>
              </w:rPr>
            </w:pPr>
          </w:p>
        </w:tc>
      </w:tr>
      <w:tr w14:paraId="762D2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3D69F757">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4664F8F9">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362D1EBE">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未做好本项目工作人员档案管理，</w:t>
            </w:r>
            <w:r>
              <w:rPr>
                <w:rStyle w:val="61"/>
                <w:rFonts w:hint="eastAsia"/>
                <w:color w:val="auto"/>
                <w:sz w:val="21"/>
                <w:szCs w:val="21"/>
                <w:highlight w:val="none"/>
              </w:rPr>
              <w:t>出现问题不能及时溯源的，按次扣5分。</w:t>
            </w:r>
          </w:p>
        </w:tc>
        <w:tc>
          <w:tcPr>
            <w:tcW w:w="922" w:type="dxa"/>
            <w:vAlign w:val="top"/>
          </w:tcPr>
          <w:p w14:paraId="5E444EC2">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17FB0BB7">
            <w:pPr>
              <w:widowControl/>
              <w:spacing w:line="360" w:lineRule="auto"/>
              <w:textAlignment w:val="baseline"/>
              <w:outlineLvl w:val="9"/>
              <w:rPr>
                <w:rFonts w:ascii="宋体" w:hAnsi="宋体" w:cs="宋体"/>
                <w:color w:val="auto"/>
                <w:kern w:val="36"/>
                <w:szCs w:val="21"/>
                <w:highlight w:val="none"/>
              </w:rPr>
            </w:pPr>
          </w:p>
        </w:tc>
      </w:tr>
      <w:tr w14:paraId="0C81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1AD5768E">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61B3109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26FD50B4">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未经采购人同意擅自聘用、调整、辞退本项目工作人员的，</w:t>
            </w:r>
            <w:r>
              <w:rPr>
                <w:rStyle w:val="61"/>
                <w:rFonts w:hint="eastAsia"/>
                <w:color w:val="auto"/>
                <w:sz w:val="21"/>
                <w:szCs w:val="21"/>
                <w:highlight w:val="none"/>
              </w:rPr>
              <w:t>按人次扣5分。</w:t>
            </w:r>
          </w:p>
        </w:tc>
        <w:tc>
          <w:tcPr>
            <w:tcW w:w="922" w:type="dxa"/>
            <w:vAlign w:val="top"/>
          </w:tcPr>
          <w:p w14:paraId="47C083E9">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34066D9E">
            <w:pPr>
              <w:widowControl/>
              <w:spacing w:line="360" w:lineRule="auto"/>
              <w:textAlignment w:val="baseline"/>
              <w:outlineLvl w:val="9"/>
              <w:rPr>
                <w:rFonts w:ascii="宋体" w:hAnsi="宋体" w:cs="宋体"/>
                <w:color w:val="auto"/>
                <w:kern w:val="36"/>
                <w:szCs w:val="21"/>
                <w:highlight w:val="none"/>
              </w:rPr>
            </w:pPr>
          </w:p>
        </w:tc>
      </w:tr>
      <w:tr w14:paraId="13A1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restart"/>
            <w:vAlign w:val="center"/>
          </w:tcPr>
          <w:p w14:paraId="174C707D">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2</w:t>
            </w:r>
          </w:p>
        </w:tc>
        <w:tc>
          <w:tcPr>
            <w:tcW w:w="1477" w:type="dxa"/>
            <w:vMerge w:val="restart"/>
            <w:vAlign w:val="center"/>
          </w:tcPr>
          <w:p w14:paraId="2FA5C810">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工作纪律（20分）</w:t>
            </w:r>
          </w:p>
        </w:tc>
        <w:tc>
          <w:tcPr>
            <w:tcW w:w="4975" w:type="dxa"/>
            <w:vAlign w:val="center"/>
          </w:tcPr>
          <w:p w14:paraId="44F8358D">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工作人员迟到、早退的按人次扣</w:t>
            </w:r>
            <w:r>
              <w:rPr>
                <w:rStyle w:val="61"/>
                <w:rFonts w:hint="eastAsia"/>
                <w:color w:val="auto"/>
                <w:sz w:val="21"/>
                <w:szCs w:val="21"/>
                <w:highlight w:val="none"/>
              </w:rPr>
              <w:t>1分，旷工的按人次扣2分。</w:t>
            </w:r>
          </w:p>
        </w:tc>
        <w:tc>
          <w:tcPr>
            <w:tcW w:w="922" w:type="dxa"/>
            <w:vAlign w:val="top"/>
          </w:tcPr>
          <w:p w14:paraId="61550B25">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944FCFB">
            <w:pPr>
              <w:widowControl/>
              <w:spacing w:line="360" w:lineRule="auto"/>
              <w:textAlignment w:val="baseline"/>
              <w:outlineLvl w:val="9"/>
              <w:rPr>
                <w:rFonts w:ascii="宋体" w:hAnsi="宋体" w:cs="宋体"/>
                <w:color w:val="auto"/>
                <w:kern w:val="36"/>
                <w:szCs w:val="21"/>
                <w:highlight w:val="none"/>
              </w:rPr>
            </w:pPr>
          </w:p>
        </w:tc>
      </w:tr>
      <w:tr w14:paraId="1742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E9723F1">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478A469A">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1C4B3F46">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工作时间内进行与工作无关事项，例如玩手机、串岗、聊天</w:t>
            </w:r>
            <w:r>
              <w:rPr>
                <w:rStyle w:val="61"/>
                <w:rFonts w:hint="eastAsia"/>
                <w:color w:val="auto"/>
                <w:sz w:val="21"/>
                <w:szCs w:val="21"/>
                <w:highlight w:val="none"/>
              </w:rPr>
              <w:t>等行为，每发现一起按人次扣1分。</w:t>
            </w:r>
          </w:p>
        </w:tc>
        <w:tc>
          <w:tcPr>
            <w:tcW w:w="922" w:type="dxa"/>
            <w:vAlign w:val="top"/>
          </w:tcPr>
          <w:p w14:paraId="7AC564D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2A0723F">
            <w:pPr>
              <w:widowControl/>
              <w:spacing w:line="360" w:lineRule="auto"/>
              <w:textAlignment w:val="baseline"/>
              <w:outlineLvl w:val="9"/>
              <w:rPr>
                <w:rFonts w:ascii="宋体" w:hAnsi="宋体" w:cs="宋体"/>
                <w:color w:val="auto"/>
                <w:kern w:val="36"/>
                <w:szCs w:val="21"/>
                <w:highlight w:val="none"/>
              </w:rPr>
            </w:pPr>
          </w:p>
        </w:tc>
      </w:tr>
      <w:tr w14:paraId="65D5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085AAE8F">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2D30D4BA">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5914DC5">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工作人员未按要求着工装的按人次扣</w:t>
            </w:r>
            <w:r>
              <w:rPr>
                <w:rStyle w:val="61"/>
                <w:rFonts w:hint="eastAsia"/>
                <w:color w:val="auto"/>
                <w:sz w:val="21"/>
                <w:szCs w:val="21"/>
                <w:highlight w:val="none"/>
              </w:rPr>
              <w:t>0.5分，当月所有工作人员累计出现5次（含5次）的扣5分；工作人员指甲、发型等不符合工作要求的，按人次扣1分。</w:t>
            </w:r>
          </w:p>
        </w:tc>
        <w:tc>
          <w:tcPr>
            <w:tcW w:w="922" w:type="dxa"/>
            <w:vAlign w:val="top"/>
          </w:tcPr>
          <w:p w14:paraId="07204F1A">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31686CC3">
            <w:pPr>
              <w:widowControl/>
              <w:spacing w:line="360" w:lineRule="auto"/>
              <w:textAlignment w:val="baseline"/>
              <w:outlineLvl w:val="9"/>
              <w:rPr>
                <w:rFonts w:ascii="宋体" w:hAnsi="宋体" w:cs="宋体"/>
                <w:color w:val="auto"/>
                <w:kern w:val="36"/>
                <w:szCs w:val="21"/>
                <w:highlight w:val="none"/>
              </w:rPr>
            </w:pPr>
          </w:p>
        </w:tc>
      </w:tr>
      <w:tr w14:paraId="2B75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59E7DA6F">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31B29FE6">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193C92A2">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工作人员未向采购人管理人员报备擅自离岗、离岗时未点击“暂停服务</w:t>
            </w:r>
            <w:r>
              <w:rPr>
                <w:rStyle w:val="61"/>
                <w:rFonts w:hint="eastAsia"/>
                <w:color w:val="auto"/>
                <w:sz w:val="21"/>
                <w:szCs w:val="21"/>
                <w:highlight w:val="none"/>
              </w:rPr>
              <w:t>”提示牌的，未经批准自行离职的，按人次扣3分。</w:t>
            </w:r>
          </w:p>
        </w:tc>
        <w:tc>
          <w:tcPr>
            <w:tcW w:w="922" w:type="dxa"/>
            <w:vAlign w:val="top"/>
          </w:tcPr>
          <w:p w14:paraId="4BB92CE9">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A514DCC">
            <w:pPr>
              <w:widowControl/>
              <w:spacing w:line="360" w:lineRule="auto"/>
              <w:textAlignment w:val="baseline"/>
              <w:outlineLvl w:val="9"/>
              <w:rPr>
                <w:rFonts w:ascii="宋体" w:hAnsi="宋体" w:cs="宋体"/>
                <w:color w:val="auto"/>
                <w:kern w:val="36"/>
                <w:szCs w:val="21"/>
                <w:highlight w:val="none"/>
              </w:rPr>
            </w:pPr>
          </w:p>
        </w:tc>
      </w:tr>
      <w:tr w14:paraId="26FE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54BEF69B">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5EF5A994">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C3EFBCA">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工作人员未严格按照纳税服务规范履行工作程序，为纳税人</w:t>
            </w:r>
            <w:r>
              <w:rPr>
                <w:rStyle w:val="61"/>
                <w:rFonts w:hint="eastAsia"/>
                <w:color w:val="auto"/>
                <w:sz w:val="21"/>
                <w:szCs w:val="21"/>
                <w:highlight w:val="none"/>
              </w:rPr>
              <w:t>提供如“过手”税费等代位服务的，按次扣3分。</w:t>
            </w:r>
          </w:p>
        </w:tc>
        <w:tc>
          <w:tcPr>
            <w:tcW w:w="922" w:type="dxa"/>
            <w:vAlign w:val="top"/>
          </w:tcPr>
          <w:p w14:paraId="5FBCBDDB">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16CD582">
            <w:pPr>
              <w:widowControl/>
              <w:spacing w:line="360" w:lineRule="auto"/>
              <w:textAlignment w:val="baseline"/>
              <w:outlineLvl w:val="9"/>
              <w:rPr>
                <w:rFonts w:ascii="宋体" w:hAnsi="宋体" w:cs="宋体"/>
                <w:color w:val="auto"/>
                <w:kern w:val="36"/>
                <w:szCs w:val="21"/>
                <w:highlight w:val="none"/>
              </w:rPr>
            </w:pPr>
          </w:p>
        </w:tc>
      </w:tr>
      <w:tr w14:paraId="4F7FE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6F84E8CC">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2DC14DAC">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18166E35">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工作人员虚报当天业务量的，按次扣</w:t>
            </w:r>
            <w:r>
              <w:rPr>
                <w:rStyle w:val="61"/>
                <w:rFonts w:hint="eastAsia"/>
                <w:color w:val="auto"/>
                <w:sz w:val="21"/>
                <w:szCs w:val="21"/>
                <w:highlight w:val="none"/>
              </w:rPr>
              <w:t>5分。</w:t>
            </w:r>
          </w:p>
        </w:tc>
        <w:tc>
          <w:tcPr>
            <w:tcW w:w="922" w:type="dxa"/>
            <w:vAlign w:val="top"/>
          </w:tcPr>
          <w:p w14:paraId="1D67052B">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54342B39">
            <w:pPr>
              <w:widowControl/>
              <w:spacing w:line="360" w:lineRule="auto"/>
              <w:textAlignment w:val="baseline"/>
              <w:outlineLvl w:val="9"/>
              <w:rPr>
                <w:rFonts w:ascii="宋体" w:hAnsi="宋体" w:cs="宋体"/>
                <w:color w:val="auto"/>
                <w:kern w:val="36"/>
                <w:szCs w:val="21"/>
                <w:highlight w:val="none"/>
              </w:rPr>
            </w:pPr>
          </w:p>
        </w:tc>
      </w:tr>
      <w:tr w14:paraId="241C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2D093FBA">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083F370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7E29F228">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工作人员为亲友及其他特定关系人在审批、办理业务中提供</w:t>
            </w:r>
            <w:r>
              <w:rPr>
                <w:rStyle w:val="61"/>
                <w:rFonts w:hint="eastAsia"/>
                <w:color w:val="auto"/>
                <w:sz w:val="21"/>
                <w:szCs w:val="21"/>
                <w:highlight w:val="none"/>
              </w:rPr>
              <w:t>便利，违规操作涉税业务的，按次扣5分；工作人员出现滥用职权谋取私利，收受纳税人贿赂、礼品礼金，借用管理对象钱款、车辆，接收宴请等违法行为，按次扣10分。</w:t>
            </w:r>
          </w:p>
        </w:tc>
        <w:tc>
          <w:tcPr>
            <w:tcW w:w="922" w:type="dxa"/>
            <w:vAlign w:val="top"/>
          </w:tcPr>
          <w:p w14:paraId="542EF9F1">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23DE3491">
            <w:pPr>
              <w:widowControl/>
              <w:spacing w:line="360" w:lineRule="auto"/>
              <w:textAlignment w:val="baseline"/>
              <w:outlineLvl w:val="9"/>
              <w:rPr>
                <w:rFonts w:ascii="宋体" w:hAnsi="宋体" w:cs="宋体"/>
                <w:color w:val="auto"/>
                <w:kern w:val="36"/>
                <w:szCs w:val="21"/>
                <w:highlight w:val="none"/>
              </w:rPr>
            </w:pPr>
          </w:p>
        </w:tc>
      </w:tr>
      <w:tr w14:paraId="5158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3480404">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367D563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04BFD15">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工作人员擅自将与工作相关的场景、物品、信息等通过各种</w:t>
            </w:r>
            <w:r>
              <w:rPr>
                <w:rStyle w:val="61"/>
                <w:rFonts w:hint="eastAsia"/>
                <w:color w:val="auto"/>
                <w:sz w:val="21"/>
                <w:szCs w:val="21"/>
                <w:highlight w:val="none"/>
              </w:rPr>
              <w:t>渠道发布或泄露的，按次扣5分；工作人员通过任何渠道发表不当言论，按次扣5分。</w:t>
            </w:r>
          </w:p>
        </w:tc>
        <w:tc>
          <w:tcPr>
            <w:tcW w:w="922" w:type="dxa"/>
            <w:vAlign w:val="top"/>
          </w:tcPr>
          <w:p w14:paraId="68C02617">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072432E">
            <w:pPr>
              <w:widowControl/>
              <w:spacing w:line="360" w:lineRule="auto"/>
              <w:textAlignment w:val="baseline"/>
              <w:outlineLvl w:val="9"/>
              <w:rPr>
                <w:rFonts w:ascii="宋体" w:hAnsi="宋体" w:cs="宋体"/>
                <w:color w:val="auto"/>
                <w:kern w:val="36"/>
                <w:szCs w:val="21"/>
                <w:highlight w:val="none"/>
              </w:rPr>
            </w:pPr>
          </w:p>
        </w:tc>
      </w:tr>
      <w:tr w14:paraId="7FF1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restart"/>
            <w:vAlign w:val="center"/>
          </w:tcPr>
          <w:p w14:paraId="2FBBE38E">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3</w:t>
            </w:r>
          </w:p>
        </w:tc>
        <w:tc>
          <w:tcPr>
            <w:tcW w:w="1477" w:type="dxa"/>
            <w:vMerge w:val="restart"/>
            <w:vAlign w:val="center"/>
          </w:tcPr>
          <w:p w14:paraId="0AF7B44E">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工作质量（20分）</w:t>
            </w:r>
          </w:p>
        </w:tc>
        <w:tc>
          <w:tcPr>
            <w:tcW w:w="4975" w:type="dxa"/>
            <w:vAlign w:val="center"/>
          </w:tcPr>
          <w:p w14:paraId="5C5A103C">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上班到岗后未叫号受理业务,按次扣</w:t>
            </w:r>
            <w:r>
              <w:rPr>
                <w:rStyle w:val="61"/>
                <w:rFonts w:hint="eastAsia"/>
                <w:color w:val="auto"/>
                <w:sz w:val="21"/>
                <w:szCs w:val="21"/>
                <w:highlight w:val="none"/>
              </w:rPr>
              <w:t>0.5分；未办理完等候区已取号的最后一位纳税人（缴费人）业务离开岗位,按次扣1分。</w:t>
            </w:r>
          </w:p>
        </w:tc>
        <w:tc>
          <w:tcPr>
            <w:tcW w:w="922" w:type="dxa"/>
            <w:vAlign w:val="top"/>
          </w:tcPr>
          <w:p w14:paraId="096435B7">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0196608A">
            <w:pPr>
              <w:widowControl/>
              <w:spacing w:line="360" w:lineRule="auto"/>
              <w:textAlignment w:val="baseline"/>
              <w:outlineLvl w:val="9"/>
              <w:rPr>
                <w:rFonts w:ascii="宋体" w:hAnsi="宋体" w:cs="宋体"/>
                <w:color w:val="auto"/>
                <w:kern w:val="36"/>
                <w:szCs w:val="21"/>
                <w:highlight w:val="none"/>
              </w:rPr>
            </w:pPr>
          </w:p>
        </w:tc>
      </w:tr>
      <w:tr w14:paraId="38C3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6F16188D">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6891323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35EAE77F">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未按要求尽到一次告知义务或推诿，造成纳</w:t>
            </w:r>
            <w:r>
              <w:rPr>
                <w:rStyle w:val="61"/>
                <w:rFonts w:hint="eastAsia"/>
                <w:color w:val="auto"/>
                <w:sz w:val="21"/>
                <w:szCs w:val="21"/>
                <w:highlight w:val="none"/>
              </w:rPr>
              <w:t>税人（缴费人）多次往返的，按次扣1分。</w:t>
            </w:r>
          </w:p>
        </w:tc>
        <w:tc>
          <w:tcPr>
            <w:tcW w:w="922" w:type="dxa"/>
            <w:vAlign w:val="top"/>
          </w:tcPr>
          <w:p w14:paraId="45CFE94A">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2F00171C">
            <w:pPr>
              <w:widowControl/>
              <w:spacing w:line="360" w:lineRule="auto"/>
              <w:textAlignment w:val="baseline"/>
              <w:outlineLvl w:val="9"/>
              <w:rPr>
                <w:rFonts w:ascii="宋体" w:hAnsi="宋体" w:cs="宋体"/>
                <w:color w:val="auto"/>
                <w:kern w:val="36"/>
                <w:szCs w:val="21"/>
                <w:highlight w:val="none"/>
              </w:rPr>
            </w:pPr>
          </w:p>
        </w:tc>
      </w:tr>
      <w:tr w14:paraId="4B2BA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08230EAD">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5D1A6CD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044425AF">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与纳税人（缴费人）发生争吵，按次扣</w:t>
            </w:r>
            <w:r>
              <w:rPr>
                <w:rStyle w:val="61"/>
                <w:rFonts w:hint="eastAsia"/>
                <w:color w:val="auto"/>
                <w:sz w:val="21"/>
                <w:szCs w:val="21"/>
                <w:highlight w:val="none"/>
              </w:rPr>
              <w:t>3分；经调查确属服务人员责任的，按次扣5分。</w:t>
            </w:r>
          </w:p>
        </w:tc>
        <w:tc>
          <w:tcPr>
            <w:tcW w:w="922" w:type="dxa"/>
            <w:vAlign w:val="top"/>
          </w:tcPr>
          <w:p w14:paraId="01A86E27">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01C34F20">
            <w:pPr>
              <w:widowControl/>
              <w:spacing w:line="360" w:lineRule="auto"/>
              <w:textAlignment w:val="baseline"/>
              <w:outlineLvl w:val="9"/>
              <w:rPr>
                <w:rFonts w:ascii="宋体" w:hAnsi="宋体" w:cs="宋体"/>
                <w:color w:val="auto"/>
                <w:kern w:val="36"/>
                <w:szCs w:val="21"/>
                <w:highlight w:val="none"/>
              </w:rPr>
            </w:pPr>
          </w:p>
        </w:tc>
      </w:tr>
      <w:tr w14:paraId="2FC3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4AD2A290">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768E5020">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0BBAEE33">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服务人员应保持办公环境的干净整洁，下班后未对桌面物品</w:t>
            </w:r>
            <w:r>
              <w:rPr>
                <w:rStyle w:val="61"/>
                <w:rFonts w:hint="eastAsia"/>
                <w:color w:val="auto"/>
                <w:sz w:val="21"/>
                <w:szCs w:val="21"/>
                <w:highlight w:val="none"/>
              </w:rPr>
              <w:t>进行整理，未倒垃圾的，按次扣0.5分；下班后未关闭所有办公电子设备电源或未锁存印章、票证等重要办公用品，按次扣1分。</w:t>
            </w:r>
          </w:p>
        </w:tc>
        <w:tc>
          <w:tcPr>
            <w:tcW w:w="922" w:type="dxa"/>
            <w:vAlign w:val="top"/>
          </w:tcPr>
          <w:p w14:paraId="716EDCC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1AC7E273">
            <w:pPr>
              <w:widowControl/>
              <w:spacing w:line="360" w:lineRule="auto"/>
              <w:textAlignment w:val="baseline"/>
              <w:outlineLvl w:val="9"/>
              <w:rPr>
                <w:rFonts w:ascii="宋体" w:hAnsi="宋体" w:cs="宋体"/>
                <w:color w:val="auto"/>
                <w:kern w:val="36"/>
                <w:szCs w:val="21"/>
                <w:highlight w:val="none"/>
              </w:rPr>
            </w:pPr>
          </w:p>
        </w:tc>
      </w:tr>
      <w:tr w14:paraId="0648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28C3BA04">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3DEE9D36">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6967428">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一般投诉，凡造成纳税人（缴费人）向政务中心、采购人相关部门投诉办税厅工作人员服务态度差等，且查证属实的，</w:t>
            </w:r>
            <w:r>
              <w:rPr>
                <w:rStyle w:val="61"/>
                <w:rFonts w:hint="eastAsia"/>
                <w:color w:val="auto"/>
                <w:sz w:val="21"/>
                <w:szCs w:val="21"/>
                <w:highlight w:val="none"/>
              </w:rPr>
              <w:t>按次扣3分；严重投诉，造成严重影响税务机关荣誉及形象的，按次扣5分。</w:t>
            </w:r>
          </w:p>
        </w:tc>
        <w:tc>
          <w:tcPr>
            <w:tcW w:w="922" w:type="dxa"/>
            <w:vAlign w:val="top"/>
          </w:tcPr>
          <w:p w14:paraId="30379703">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73EA2A3C">
            <w:pPr>
              <w:widowControl/>
              <w:spacing w:line="360" w:lineRule="auto"/>
              <w:textAlignment w:val="baseline"/>
              <w:outlineLvl w:val="9"/>
              <w:rPr>
                <w:rFonts w:ascii="宋体" w:hAnsi="宋体" w:cs="宋体"/>
                <w:color w:val="auto"/>
                <w:kern w:val="36"/>
                <w:szCs w:val="21"/>
                <w:highlight w:val="none"/>
              </w:rPr>
            </w:pPr>
          </w:p>
        </w:tc>
      </w:tr>
      <w:tr w14:paraId="2275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795532F8">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2EDC35E5">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411CBA3B">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服务人员应严格按照工作流程和规章制度办理业务，保证受理资料的完整性、录入操作系统的准确性。每发生一起受理</w:t>
            </w:r>
            <w:r>
              <w:rPr>
                <w:rStyle w:val="61"/>
                <w:rFonts w:hint="eastAsia"/>
                <w:color w:val="auto"/>
                <w:sz w:val="21"/>
                <w:szCs w:val="21"/>
                <w:highlight w:val="none"/>
              </w:rPr>
              <w:t>材料不准确、不完整的，每户次扣0.5分；发生业务办理差错的，每户次扣1分，情节严重造成重大影响的（涉及税款退补或滞纳金、执法过错追究等）每户次扣5分；发生违规操作的，每户次扣5分；严格按照要求进行采集、保管、传递相关资料并归档，不得出现失误，未按规定开展工作的，每户次扣1分。</w:t>
            </w:r>
          </w:p>
        </w:tc>
        <w:tc>
          <w:tcPr>
            <w:tcW w:w="922" w:type="dxa"/>
            <w:vAlign w:val="top"/>
          </w:tcPr>
          <w:p w14:paraId="3F342E3C">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64D5AC45">
            <w:pPr>
              <w:widowControl/>
              <w:spacing w:line="360" w:lineRule="auto"/>
              <w:textAlignment w:val="baseline"/>
              <w:outlineLvl w:val="9"/>
              <w:rPr>
                <w:rFonts w:ascii="宋体" w:hAnsi="宋体" w:cs="宋体"/>
                <w:color w:val="auto"/>
                <w:kern w:val="36"/>
                <w:szCs w:val="21"/>
                <w:highlight w:val="none"/>
              </w:rPr>
            </w:pPr>
          </w:p>
        </w:tc>
      </w:tr>
      <w:tr w14:paraId="5CB9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restart"/>
            <w:vAlign w:val="center"/>
          </w:tcPr>
          <w:p w14:paraId="0B93CAA2">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4</w:t>
            </w:r>
          </w:p>
        </w:tc>
        <w:tc>
          <w:tcPr>
            <w:tcW w:w="1477" w:type="dxa"/>
            <w:vMerge w:val="restart"/>
            <w:vAlign w:val="center"/>
          </w:tcPr>
          <w:p w14:paraId="691C5EE0">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服务质量（10分）</w:t>
            </w:r>
          </w:p>
        </w:tc>
        <w:tc>
          <w:tcPr>
            <w:tcW w:w="4975" w:type="dxa"/>
            <w:vAlign w:val="center"/>
          </w:tcPr>
          <w:p w14:paraId="07887D06">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工作人员不服从采购人管理的，按人次扣</w:t>
            </w:r>
            <w:r>
              <w:rPr>
                <w:rStyle w:val="61"/>
                <w:rFonts w:hint="eastAsia"/>
                <w:color w:val="auto"/>
                <w:sz w:val="21"/>
                <w:szCs w:val="21"/>
                <w:highlight w:val="none"/>
              </w:rPr>
              <w:t>1分。</w:t>
            </w:r>
          </w:p>
        </w:tc>
        <w:tc>
          <w:tcPr>
            <w:tcW w:w="922" w:type="dxa"/>
            <w:vAlign w:val="top"/>
          </w:tcPr>
          <w:p w14:paraId="6C026E57">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1D22FF99">
            <w:pPr>
              <w:widowControl/>
              <w:spacing w:line="360" w:lineRule="auto"/>
              <w:textAlignment w:val="baseline"/>
              <w:outlineLvl w:val="9"/>
              <w:rPr>
                <w:rFonts w:ascii="宋体" w:hAnsi="宋体" w:cs="宋体"/>
                <w:color w:val="auto"/>
                <w:kern w:val="36"/>
                <w:szCs w:val="21"/>
                <w:highlight w:val="none"/>
              </w:rPr>
            </w:pPr>
          </w:p>
        </w:tc>
      </w:tr>
      <w:tr w14:paraId="314F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6E66FBBE">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48EF27C7">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733A412">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项目经理不具备团队管理能力或充足的知识储备，解决问题的能力欠缺经采购人提醒后仍未解决或更换人员的，按次扣</w:t>
            </w:r>
            <w:r>
              <w:rPr>
                <w:rStyle w:val="61"/>
                <w:rFonts w:hint="eastAsia"/>
                <w:color w:val="auto"/>
                <w:sz w:val="21"/>
                <w:szCs w:val="21"/>
                <w:highlight w:val="none"/>
              </w:rPr>
              <w:t>5分。</w:t>
            </w:r>
          </w:p>
        </w:tc>
        <w:tc>
          <w:tcPr>
            <w:tcW w:w="922" w:type="dxa"/>
            <w:vAlign w:val="top"/>
          </w:tcPr>
          <w:p w14:paraId="0B301A7B">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6756A140">
            <w:pPr>
              <w:widowControl/>
              <w:spacing w:line="360" w:lineRule="auto"/>
              <w:textAlignment w:val="baseline"/>
              <w:outlineLvl w:val="9"/>
              <w:rPr>
                <w:rFonts w:ascii="宋体" w:hAnsi="宋体" w:cs="宋体"/>
                <w:color w:val="auto"/>
                <w:kern w:val="36"/>
                <w:szCs w:val="21"/>
                <w:highlight w:val="none"/>
              </w:rPr>
            </w:pPr>
          </w:p>
        </w:tc>
      </w:tr>
      <w:tr w14:paraId="5CC7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restart"/>
            <w:vAlign w:val="center"/>
          </w:tcPr>
          <w:p w14:paraId="11423A0C">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5</w:t>
            </w:r>
          </w:p>
        </w:tc>
        <w:tc>
          <w:tcPr>
            <w:tcW w:w="1477" w:type="dxa"/>
            <w:vMerge w:val="restart"/>
            <w:vAlign w:val="center"/>
          </w:tcPr>
          <w:p w14:paraId="7CB7C29D">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一票否决</w:t>
            </w:r>
          </w:p>
        </w:tc>
        <w:tc>
          <w:tcPr>
            <w:tcW w:w="4975" w:type="dxa"/>
            <w:vAlign w:val="center"/>
          </w:tcPr>
          <w:p w14:paraId="59514ED3">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工作人员出现重大违规违纪事项被通报，或引发舆情事件，</w:t>
            </w:r>
            <w:r>
              <w:rPr>
                <w:rStyle w:val="61"/>
                <w:rFonts w:hint="eastAsia"/>
                <w:color w:val="auto"/>
                <w:sz w:val="21"/>
                <w:szCs w:val="21"/>
                <w:highlight w:val="none"/>
              </w:rPr>
              <w:t>或出现“吃、拿、卡、要”等违反廉洁纪律的行为，采购人有权提前终止合同并保留追究责任的权利。</w:t>
            </w:r>
          </w:p>
        </w:tc>
        <w:tc>
          <w:tcPr>
            <w:tcW w:w="922" w:type="dxa"/>
            <w:vAlign w:val="top"/>
          </w:tcPr>
          <w:p w14:paraId="2D3153C5">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01D3CD0F">
            <w:pPr>
              <w:widowControl/>
              <w:spacing w:line="360" w:lineRule="auto"/>
              <w:textAlignment w:val="baseline"/>
              <w:outlineLvl w:val="9"/>
              <w:rPr>
                <w:rFonts w:ascii="宋体" w:hAnsi="宋体" w:cs="宋体"/>
                <w:color w:val="auto"/>
                <w:kern w:val="36"/>
                <w:szCs w:val="21"/>
                <w:highlight w:val="none"/>
              </w:rPr>
            </w:pPr>
          </w:p>
        </w:tc>
      </w:tr>
      <w:tr w14:paraId="74A7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41655678">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4CF57A56">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23D69CF6">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未按承诺函履行承诺，采购人有权提前终止合同并保留追究</w:t>
            </w:r>
            <w:r>
              <w:rPr>
                <w:rStyle w:val="61"/>
                <w:rFonts w:hint="eastAsia"/>
                <w:color w:val="auto"/>
                <w:sz w:val="21"/>
                <w:szCs w:val="21"/>
                <w:highlight w:val="none"/>
              </w:rPr>
              <w:t>责任的权利。</w:t>
            </w:r>
          </w:p>
        </w:tc>
        <w:tc>
          <w:tcPr>
            <w:tcW w:w="922" w:type="dxa"/>
            <w:vAlign w:val="top"/>
          </w:tcPr>
          <w:p w14:paraId="069CC435">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08908D29">
            <w:pPr>
              <w:widowControl/>
              <w:spacing w:line="360" w:lineRule="auto"/>
              <w:textAlignment w:val="baseline"/>
              <w:outlineLvl w:val="9"/>
              <w:rPr>
                <w:rFonts w:ascii="宋体" w:hAnsi="宋体" w:cs="宋体"/>
                <w:color w:val="auto"/>
                <w:kern w:val="36"/>
                <w:szCs w:val="21"/>
                <w:highlight w:val="none"/>
              </w:rPr>
            </w:pPr>
          </w:p>
        </w:tc>
      </w:tr>
      <w:tr w14:paraId="6DDA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4C083C05">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526B2714">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150C018E">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因供应商劳务纠纷，或供应商克扣采购人已足额支付</w:t>
            </w:r>
            <w:r>
              <w:rPr>
                <w:rStyle w:val="61"/>
                <w:rFonts w:hint="eastAsia"/>
                <w:color w:val="auto"/>
                <w:sz w:val="21"/>
                <w:szCs w:val="21"/>
                <w:highlight w:val="none"/>
              </w:rPr>
              <w:t>的服务费等，造成采购人负面舆情的，采购人有权提前终止合同并保留追究责任的权利。</w:t>
            </w:r>
          </w:p>
        </w:tc>
        <w:tc>
          <w:tcPr>
            <w:tcW w:w="922" w:type="dxa"/>
            <w:vAlign w:val="top"/>
          </w:tcPr>
          <w:p w14:paraId="21BE60A1">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5ABE32C1">
            <w:pPr>
              <w:widowControl/>
              <w:spacing w:line="360" w:lineRule="auto"/>
              <w:textAlignment w:val="baseline"/>
              <w:outlineLvl w:val="9"/>
              <w:rPr>
                <w:rFonts w:ascii="宋体" w:hAnsi="宋体" w:cs="宋体"/>
                <w:color w:val="auto"/>
                <w:kern w:val="36"/>
                <w:szCs w:val="21"/>
                <w:highlight w:val="none"/>
              </w:rPr>
            </w:pPr>
          </w:p>
        </w:tc>
      </w:tr>
      <w:tr w14:paraId="017D1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50B677EC">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5D3E4E49">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6C611353">
            <w:pPr>
              <w:widowControl/>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供应商工作人员违反保密规定，擅自将工作场景、工作内容等信息通过互联网及其他介质发布或存储的，造成采购人负</w:t>
            </w:r>
            <w:r>
              <w:rPr>
                <w:rStyle w:val="61"/>
                <w:rFonts w:hint="eastAsia"/>
                <w:color w:val="auto"/>
                <w:sz w:val="21"/>
                <w:szCs w:val="21"/>
                <w:highlight w:val="none"/>
              </w:rPr>
              <w:t>面舆情的，采购人有权提前终止合同并保留追究责任的权利。</w:t>
            </w:r>
          </w:p>
        </w:tc>
        <w:tc>
          <w:tcPr>
            <w:tcW w:w="922" w:type="dxa"/>
            <w:vAlign w:val="top"/>
          </w:tcPr>
          <w:p w14:paraId="248F5ED3">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2A11286B">
            <w:pPr>
              <w:widowControl/>
              <w:spacing w:line="360" w:lineRule="auto"/>
              <w:textAlignment w:val="baseline"/>
              <w:outlineLvl w:val="9"/>
              <w:rPr>
                <w:rFonts w:ascii="宋体" w:hAnsi="宋体" w:cs="宋体"/>
                <w:color w:val="auto"/>
                <w:kern w:val="36"/>
                <w:szCs w:val="21"/>
                <w:highlight w:val="none"/>
              </w:rPr>
            </w:pPr>
          </w:p>
        </w:tc>
      </w:tr>
      <w:tr w14:paraId="6E2F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Merge w:val="continue"/>
            <w:vAlign w:val="top"/>
          </w:tcPr>
          <w:p w14:paraId="1D92ABC4">
            <w:pPr>
              <w:widowControl/>
              <w:spacing w:line="360" w:lineRule="auto"/>
              <w:textAlignment w:val="baseline"/>
              <w:outlineLvl w:val="9"/>
              <w:rPr>
                <w:rFonts w:ascii="宋体" w:hAnsi="宋体" w:cs="宋体"/>
                <w:color w:val="auto"/>
                <w:kern w:val="36"/>
                <w:szCs w:val="21"/>
                <w:highlight w:val="none"/>
              </w:rPr>
            </w:pPr>
          </w:p>
        </w:tc>
        <w:tc>
          <w:tcPr>
            <w:tcW w:w="1477" w:type="dxa"/>
            <w:vMerge w:val="continue"/>
            <w:vAlign w:val="top"/>
          </w:tcPr>
          <w:p w14:paraId="5D5CB793">
            <w:pPr>
              <w:widowControl/>
              <w:spacing w:line="360" w:lineRule="auto"/>
              <w:textAlignment w:val="baseline"/>
              <w:outlineLvl w:val="9"/>
              <w:rPr>
                <w:rFonts w:ascii="宋体" w:hAnsi="宋体" w:cs="宋体"/>
                <w:color w:val="auto"/>
                <w:kern w:val="36"/>
                <w:szCs w:val="21"/>
                <w:highlight w:val="none"/>
              </w:rPr>
            </w:pPr>
          </w:p>
        </w:tc>
        <w:tc>
          <w:tcPr>
            <w:tcW w:w="4975" w:type="dxa"/>
            <w:vAlign w:val="center"/>
          </w:tcPr>
          <w:p w14:paraId="0922031E">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其他未明确列举但实质上损害采购人合法利益的行为。</w:t>
            </w:r>
          </w:p>
        </w:tc>
        <w:tc>
          <w:tcPr>
            <w:tcW w:w="922" w:type="dxa"/>
            <w:vAlign w:val="top"/>
          </w:tcPr>
          <w:p w14:paraId="6BADD17D">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2A09BDF4">
            <w:pPr>
              <w:widowControl/>
              <w:spacing w:line="360" w:lineRule="auto"/>
              <w:textAlignment w:val="baseline"/>
              <w:outlineLvl w:val="9"/>
              <w:rPr>
                <w:rFonts w:ascii="宋体" w:hAnsi="宋体" w:cs="宋体"/>
                <w:color w:val="auto"/>
                <w:kern w:val="36"/>
                <w:szCs w:val="21"/>
                <w:highlight w:val="none"/>
              </w:rPr>
            </w:pPr>
          </w:p>
        </w:tc>
      </w:tr>
      <w:tr w14:paraId="7BF1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1" w:type="dxa"/>
            <w:vAlign w:val="center"/>
          </w:tcPr>
          <w:p w14:paraId="01ADB043">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6</w:t>
            </w:r>
          </w:p>
        </w:tc>
        <w:tc>
          <w:tcPr>
            <w:tcW w:w="1477" w:type="dxa"/>
            <w:vAlign w:val="center"/>
          </w:tcPr>
          <w:p w14:paraId="79ECC982">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特别说明</w:t>
            </w:r>
          </w:p>
        </w:tc>
        <w:tc>
          <w:tcPr>
            <w:tcW w:w="4975" w:type="dxa"/>
            <w:vAlign w:val="center"/>
          </w:tcPr>
          <w:p w14:paraId="4D556D4E">
            <w:pPr>
              <w:widowControl/>
              <w:jc w:val="left"/>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采购人有权根据项目运转实际情况对本表进行优化。</w:t>
            </w:r>
          </w:p>
        </w:tc>
        <w:tc>
          <w:tcPr>
            <w:tcW w:w="922" w:type="dxa"/>
            <w:vAlign w:val="top"/>
          </w:tcPr>
          <w:p w14:paraId="61178949">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5EC7E875">
            <w:pPr>
              <w:widowControl/>
              <w:spacing w:line="360" w:lineRule="auto"/>
              <w:textAlignment w:val="baseline"/>
              <w:outlineLvl w:val="9"/>
              <w:rPr>
                <w:rFonts w:ascii="宋体" w:hAnsi="宋体" w:cs="宋体"/>
                <w:color w:val="auto"/>
                <w:kern w:val="36"/>
                <w:szCs w:val="21"/>
                <w:highlight w:val="none"/>
              </w:rPr>
            </w:pPr>
          </w:p>
        </w:tc>
      </w:tr>
      <w:tr w14:paraId="6E437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3" w:type="dxa"/>
            <w:gridSpan w:val="3"/>
            <w:vAlign w:val="center"/>
          </w:tcPr>
          <w:p w14:paraId="02060FC1">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扣分合计</w:t>
            </w:r>
          </w:p>
        </w:tc>
        <w:tc>
          <w:tcPr>
            <w:tcW w:w="922" w:type="dxa"/>
            <w:vAlign w:val="top"/>
          </w:tcPr>
          <w:p w14:paraId="77562C9E">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219A26BC">
            <w:pPr>
              <w:widowControl/>
              <w:spacing w:line="360" w:lineRule="auto"/>
              <w:textAlignment w:val="baseline"/>
              <w:outlineLvl w:val="9"/>
              <w:rPr>
                <w:rFonts w:ascii="宋体" w:hAnsi="宋体" w:cs="宋体"/>
                <w:color w:val="auto"/>
                <w:kern w:val="36"/>
                <w:szCs w:val="21"/>
                <w:highlight w:val="none"/>
              </w:rPr>
            </w:pPr>
          </w:p>
        </w:tc>
      </w:tr>
      <w:tr w14:paraId="4EED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3" w:type="dxa"/>
            <w:gridSpan w:val="3"/>
            <w:vAlign w:val="center"/>
          </w:tcPr>
          <w:p w14:paraId="53A9EF88">
            <w:pPr>
              <w:widowControl/>
              <w:jc w:val="center"/>
              <w:textAlignment w:val="center"/>
              <w:outlineLvl w:val="9"/>
              <w:rPr>
                <w:rFonts w:ascii="宋体" w:hAnsi="宋体" w:cs="宋体"/>
                <w:color w:val="auto"/>
                <w:kern w:val="36"/>
                <w:szCs w:val="21"/>
                <w:highlight w:val="none"/>
              </w:rPr>
            </w:pPr>
            <w:r>
              <w:rPr>
                <w:rFonts w:hint="eastAsia" w:ascii="宋体" w:hAnsi="宋体" w:cs="宋体"/>
                <w:color w:val="auto"/>
                <w:kern w:val="0"/>
                <w:szCs w:val="21"/>
                <w:highlight w:val="none"/>
              </w:rPr>
              <w:t>得分合计</w:t>
            </w:r>
          </w:p>
        </w:tc>
        <w:tc>
          <w:tcPr>
            <w:tcW w:w="922" w:type="dxa"/>
            <w:vAlign w:val="top"/>
          </w:tcPr>
          <w:p w14:paraId="41C78532">
            <w:pPr>
              <w:widowControl/>
              <w:spacing w:line="360" w:lineRule="auto"/>
              <w:textAlignment w:val="baseline"/>
              <w:outlineLvl w:val="9"/>
              <w:rPr>
                <w:rFonts w:ascii="宋体" w:hAnsi="宋体" w:cs="宋体"/>
                <w:color w:val="auto"/>
                <w:kern w:val="36"/>
                <w:szCs w:val="21"/>
                <w:highlight w:val="none"/>
              </w:rPr>
            </w:pPr>
          </w:p>
        </w:tc>
        <w:tc>
          <w:tcPr>
            <w:tcW w:w="577" w:type="dxa"/>
            <w:vAlign w:val="top"/>
          </w:tcPr>
          <w:p w14:paraId="59C7CB8A">
            <w:pPr>
              <w:widowControl/>
              <w:spacing w:line="360" w:lineRule="auto"/>
              <w:textAlignment w:val="baseline"/>
              <w:outlineLvl w:val="9"/>
              <w:rPr>
                <w:rFonts w:ascii="宋体" w:hAnsi="宋体" w:cs="宋体"/>
                <w:color w:val="auto"/>
                <w:kern w:val="36"/>
                <w:szCs w:val="21"/>
                <w:highlight w:val="none"/>
              </w:rPr>
            </w:pPr>
          </w:p>
        </w:tc>
      </w:tr>
    </w:tbl>
    <w:p w14:paraId="7E6C1555">
      <w:pPr>
        <w:spacing w:line="360" w:lineRule="auto"/>
        <w:jc w:val="center"/>
        <w:outlineLvl w:val="9"/>
        <w:rPr>
          <w:rFonts w:ascii="宋体" w:hAnsi="宋体" w:cs="宋体"/>
          <w:b/>
          <w:bCs/>
          <w:color w:val="auto"/>
          <w:kern w:val="36"/>
          <w:szCs w:val="21"/>
          <w:highlight w:val="none"/>
          <w:lang w:eastAsia="en-US"/>
        </w:rPr>
      </w:pPr>
      <w:bookmarkStart w:id="254" w:name="_Toc77"/>
      <w:bookmarkStart w:id="255" w:name="_Toc4899"/>
    </w:p>
    <w:p w14:paraId="47242B3F">
      <w:pPr>
        <w:spacing w:line="360" w:lineRule="auto"/>
        <w:jc w:val="center"/>
        <w:outlineLvl w:val="9"/>
        <w:rPr>
          <w:rFonts w:ascii="宋体" w:hAnsi="宋体" w:cs="宋体"/>
          <w:b/>
          <w:bCs/>
          <w:color w:val="auto"/>
          <w:kern w:val="36"/>
          <w:szCs w:val="21"/>
          <w:highlight w:val="none"/>
          <w:lang w:eastAsia="en-US"/>
        </w:rPr>
      </w:pPr>
      <w:r>
        <w:rPr>
          <w:rFonts w:hint="eastAsia" w:ascii="宋体" w:hAnsi="宋体" w:cs="宋体"/>
          <w:b/>
          <w:bCs/>
          <w:color w:val="auto"/>
          <w:kern w:val="36"/>
          <w:szCs w:val="21"/>
          <w:highlight w:val="none"/>
          <w:lang w:eastAsia="en-US"/>
        </w:rPr>
        <w:t>8其他要求</w:t>
      </w:r>
      <w:bookmarkEnd w:id="253"/>
      <w:bookmarkEnd w:id="254"/>
      <w:bookmarkEnd w:id="255"/>
    </w:p>
    <w:p w14:paraId="7E365476">
      <w:pPr>
        <w:widowControl/>
        <w:spacing w:line="360" w:lineRule="auto"/>
        <w:jc w:val="left"/>
        <w:outlineLvl w:val="9"/>
        <w:rPr>
          <w:rFonts w:ascii="宋体" w:hAnsi="宋体" w:cs="宋体"/>
          <w:b/>
          <w:bCs/>
          <w:color w:val="auto"/>
          <w:kern w:val="0"/>
          <w:szCs w:val="21"/>
          <w:highlight w:val="none"/>
          <w:lang w:eastAsia="en-US"/>
        </w:rPr>
      </w:pPr>
      <w:bookmarkStart w:id="256" w:name="_Toc27977"/>
      <w:bookmarkStart w:id="257" w:name="_Toc13563"/>
      <w:bookmarkStart w:id="258" w:name="_Toc256000032"/>
      <w:r>
        <w:rPr>
          <w:rFonts w:hint="eastAsia" w:ascii="宋体" w:hAnsi="宋体" w:cs="宋体"/>
          <w:b/>
          <w:bCs/>
          <w:color w:val="auto"/>
          <w:kern w:val="0"/>
          <w:szCs w:val="21"/>
          <w:highlight w:val="none"/>
          <w:lang w:eastAsia="en-US"/>
        </w:rPr>
        <w:t>8.1必备要求</w:t>
      </w:r>
      <w:bookmarkEnd w:id="256"/>
      <w:bookmarkEnd w:id="257"/>
      <w:bookmarkEnd w:id="258"/>
    </w:p>
    <w:p w14:paraId="37EACD20">
      <w:pPr>
        <w:widowControl/>
        <w:spacing w:line="360" w:lineRule="auto"/>
        <w:jc w:val="left"/>
        <w:outlineLvl w:val="9"/>
        <w:rPr>
          <w:rFonts w:ascii="宋体" w:hAnsi="宋体" w:cs="宋体"/>
          <w:b/>
          <w:bCs/>
          <w:color w:val="auto"/>
          <w:kern w:val="0"/>
          <w:szCs w:val="21"/>
          <w:highlight w:val="none"/>
          <w:lang w:eastAsia="en-US"/>
        </w:rPr>
      </w:pPr>
      <w:bookmarkStart w:id="259" w:name="_Toc14964"/>
      <w:bookmarkStart w:id="260" w:name="_Toc256000033"/>
      <w:bookmarkStart w:id="261" w:name="_Toc8763"/>
      <w:r>
        <w:rPr>
          <w:rFonts w:hint="eastAsia" w:ascii="宋体" w:hAnsi="宋体" w:cs="宋体"/>
          <w:b/>
          <w:bCs/>
          <w:color w:val="auto"/>
          <w:kern w:val="0"/>
          <w:szCs w:val="21"/>
          <w:highlight w:val="none"/>
          <w:lang w:eastAsia="en-US"/>
        </w:rPr>
        <w:t>8.1.1通用必备要求</w:t>
      </w:r>
      <w:bookmarkEnd w:id="259"/>
      <w:bookmarkEnd w:id="260"/>
      <w:bookmarkEnd w:id="261"/>
    </w:p>
    <w:p w14:paraId="2E823310">
      <w:pPr>
        <w:widowControl/>
        <w:spacing w:line="360" w:lineRule="auto"/>
        <w:ind w:firstLine="420" w:firstLineChars="200"/>
        <w:outlineLvl w:val="9"/>
        <w:rPr>
          <w:rFonts w:ascii="宋体" w:hAnsi="宋体" w:cs="宋体"/>
          <w:color w:val="auto"/>
          <w:kern w:val="0"/>
          <w:szCs w:val="21"/>
          <w:highlight w:val="none"/>
        </w:rPr>
      </w:pPr>
      <w:bookmarkStart w:id="262" w:name="_Toc19665"/>
      <w:bookmarkStart w:id="263" w:name="_Toc21389"/>
      <w:r>
        <w:rPr>
          <w:rFonts w:hint="eastAsia" w:ascii="宋体" w:hAnsi="宋体" w:cs="宋体"/>
          <w:color w:val="auto"/>
          <w:kern w:val="0"/>
          <w:szCs w:val="21"/>
          <w:highlight w:val="none"/>
        </w:rPr>
        <w:t>相关要求由供应商在响应时应答，在履约验收中，采购人将按照采购文件、中标/成交供应商响应文件、采购合同等对中标/成交供应商提供服务进行验收。</w:t>
      </w:r>
      <w:bookmarkEnd w:id="262"/>
      <w:bookmarkEnd w:id="263"/>
    </w:p>
    <w:p w14:paraId="5332B273">
      <w:pPr>
        <w:widowControl/>
        <w:spacing w:line="360" w:lineRule="auto"/>
        <w:ind w:firstLine="420" w:firstLineChars="200"/>
        <w:outlineLvl w:val="9"/>
        <w:rPr>
          <w:rFonts w:ascii="宋体" w:hAnsi="宋体" w:cs="宋体"/>
          <w:color w:val="auto"/>
          <w:kern w:val="0"/>
          <w:szCs w:val="21"/>
          <w:highlight w:val="none"/>
        </w:rPr>
      </w:pPr>
      <w:bookmarkStart w:id="264" w:name="_Toc17298"/>
      <w:bookmarkStart w:id="265" w:name="_Toc16913"/>
      <w:r>
        <w:rPr>
          <w:rFonts w:hint="eastAsia" w:ascii="宋体" w:hAnsi="宋体" w:cs="宋体"/>
          <w:color w:val="auto"/>
          <w:kern w:val="0"/>
          <w:szCs w:val="21"/>
          <w:highlight w:val="none"/>
        </w:rPr>
        <w:t>付款方式：根据《国家税务总局庄河市税务局非执法类辅助服务考核表》的考核结果，按照实际验收情况结算，原则上每月结算支付一次。注：满足合同约定付款支付条件的，我局原则上应当自收到发票后10个工作日内将资金支付到合同约定的供应商账户，双方另有争议除外。</w:t>
      </w:r>
      <w:bookmarkEnd w:id="264"/>
      <w:bookmarkEnd w:id="265"/>
    </w:p>
    <w:p w14:paraId="22005D46">
      <w:pPr>
        <w:widowControl/>
        <w:spacing w:line="360" w:lineRule="auto"/>
        <w:jc w:val="left"/>
        <w:outlineLvl w:val="9"/>
        <w:rPr>
          <w:rFonts w:ascii="宋体" w:hAnsi="宋体" w:cs="宋体"/>
          <w:b/>
          <w:bCs/>
          <w:color w:val="auto"/>
          <w:kern w:val="0"/>
          <w:szCs w:val="21"/>
          <w:highlight w:val="none"/>
          <w:lang w:eastAsia="en-US"/>
        </w:rPr>
      </w:pPr>
      <w:bookmarkStart w:id="266" w:name="_Toc20347"/>
      <w:bookmarkStart w:id="267" w:name="_Toc256000034"/>
      <w:bookmarkStart w:id="268" w:name="_Toc23045"/>
      <w:r>
        <w:rPr>
          <w:rFonts w:hint="eastAsia" w:ascii="宋体" w:hAnsi="宋体" w:cs="宋体"/>
          <w:b/>
          <w:bCs/>
          <w:color w:val="auto"/>
          <w:kern w:val="0"/>
          <w:szCs w:val="21"/>
          <w:highlight w:val="none"/>
          <w:lang w:eastAsia="en-US"/>
        </w:rPr>
        <w:t>8.2付款安排建议</w:t>
      </w:r>
      <w:bookmarkEnd w:id="266"/>
      <w:bookmarkEnd w:id="267"/>
      <w:bookmarkEnd w:id="268"/>
    </w:p>
    <w:tbl>
      <w:tblPr>
        <w:tblStyle w:val="22"/>
        <w:tblW w:w="83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13"/>
        <w:gridCol w:w="8037"/>
      </w:tblGrid>
      <w:tr w14:paraId="02A47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313" w:type="dxa"/>
            <w:tcBorders>
              <w:top w:val="single" w:color="000000" w:sz="6" w:space="0"/>
              <w:left w:val="single" w:color="000000" w:sz="6" w:space="0"/>
              <w:bottom w:val="single" w:color="000000" w:sz="6" w:space="0"/>
              <w:right w:val="single" w:color="000000" w:sz="6" w:space="0"/>
            </w:tcBorders>
            <w:shd w:val="clear" w:color="auto" w:fill="D3D3D3"/>
            <w:tcMar>
              <w:top w:w="22" w:type="dxa"/>
              <w:left w:w="22" w:type="dxa"/>
              <w:bottom w:w="22" w:type="dxa"/>
              <w:right w:w="22" w:type="dxa"/>
            </w:tcMar>
            <w:vAlign w:val="center"/>
          </w:tcPr>
          <w:p w14:paraId="1355165E">
            <w:pPr>
              <w:widowControl/>
              <w:jc w:val="center"/>
              <w:outlineLvl w:val="9"/>
              <w:rPr>
                <w:rFonts w:ascii="宋体" w:hAnsi="宋体" w:cs="宋体"/>
                <w:b/>
                <w:bCs/>
                <w:color w:val="auto"/>
                <w:kern w:val="0"/>
                <w:szCs w:val="21"/>
                <w:highlight w:val="none"/>
                <w:lang w:eastAsia="en-US"/>
              </w:rPr>
            </w:pPr>
            <w:r>
              <w:rPr>
                <w:rFonts w:hint="eastAsia" w:ascii="宋体" w:hAnsi="宋体" w:cs="宋体"/>
                <w:b/>
                <w:bCs/>
                <w:color w:val="auto"/>
                <w:kern w:val="0"/>
                <w:szCs w:val="21"/>
                <w:highlight w:val="none"/>
                <w:lang w:eastAsia="en-US"/>
              </w:rPr>
              <w:t>付款名称</w:t>
            </w:r>
          </w:p>
        </w:tc>
        <w:tc>
          <w:tcPr>
            <w:tcW w:w="8037" w:type="dxa"/>
            <w:tcBorders>
              <w:top w:val="single" w:color="000000" w:sz="6" w:space="0"/>
              <w:left w:val="single" w:color="000000" w:sz="6" w:space="0"/>
              <w:bottom w:val="single" w:color="000000" w:sz="6" w:space="0"/>
              <w:right w:val="single" w:color="000000" w:sz="6" w:space="0"/>
            </w:tcBorders>
            <w:shd w:val="clear" w:color="auto" w:fill="D3D3D3"/>
            <w:tcMar>
              <w:top w:w="22" w:type="dxa"/>
              <w:left w:w="22" w:type="dxa"/>
              <w:bottom w:w="22" w:type="dxa"/>
              <w:right w:w="22" w:type="dxa"/>
            </w:tcMar>
            <w:vAlign w:val="center"/>
          </w:tcPr>
          <w:p w14:paraId="3CCABD92">
            <w:pPr>
              <w:widowControl/>
              <w:jc w:val="center"/>
              <w:outlineLvl w:val="9"/>
              <w:rPr>
                <w:rFonts w:ascii="宋体" w:hAnsi="宋体" w:cs="宋体"/>
                <w:b/>
                <w:bCs/>
                <w:color w:val="auto"/>
                <w:kern w:val="0"/>
                <w:szCs w:val="21"/>
                <w:highlight w:val="none"/>
                <w:lang w:eastAsia="en-US"/>
              </w:rPr>
            </w:pPr>
            <w:r>
              <w:rPr>
                <w:rFonts w:hint="eastAsia" w:ascii="宋体" w:hAnsi="宋体" w:cs="宋体"/>
                <w:b/>
                <w:bCs/>
                <w:color w:val="auto"/>
                <w:kern w:val="0"/>
                <w:szCs w:val="21"/>
                <w:highlight w:val="none"/>
                <w:lang w:eastAsia="en-US"/>
              </w:rPr>
              <w:t>付款要求</w:t>
            </w:r>
          </w:p>
        </w:tc>
      </w:tr>
      <w:tr w14:paraId="68EB5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313"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5A1FE245">
            <w:pPr>
              <w:widowControl/>
              <w:jc w:val="center"/>
              <w:outlineLvl w:val="9"/>
              <w:rPr>
                <w:rFonts w:ascii="宋体" w:hAnsi="宋体" w:cs="宋体"/>
                <w:color w:val="auto"/>
                <w:kern w:val="0"/>
                <w:szCs w:val="21"/>
                <w:highlight w:val="none"/>
              </w:rPr>
            </w:pPr>
            <w:r>
              <w:rPr>
                <w:rFonts w:hint="eastAsia" w:ascii="宋体" w:hAnsi="宋体" w:cs="宋体"/>
                <w:color w:val="auto"/>
                <w:kern w:val="0"/>
                <w:szCs w:val="21"/>
                <w:highlight w:val="none"/>
              </w:rPr>
              <w:t>每月付款</w:t>
            </w:r>
          </w:p>
        </w:tc>
        <w:tc>
          <w:tcPr>
            <w:tcW w:w="8037" w:type="dxa"/>
            <w:tcBorders>
              <w:top w:val="single" w:color="000000" w:sz="6" w:space="0"/>
              <w:left w:val="single" w:color="000000" w:sz="6" w:space="0"/>
              <w:bottom w:val="single" w:color="000000" w:sz="6" w:space="0"/>
              <w:right w:val="single" w:color="000000" w:sz="6" w:space="0"/>
            </w:tcBorders>
            <w:tcMar>
              <w:top w:w="22" w:type="dxa"/>
              <w:left w:w="22" w:type="dxa"/>
              <w:bottom w:w="22" w:type="dxa"/>
              <w:right w:w="22" w:type="dxa"/>
            </w:tcMar>
            <w:vAlign w:val="center"/>
          </w:tcPr>
          <w:p w14:paraId="00912F76">
            <w:pPr>
              <w:widowControl/>
              <w:spacing w:line="360" w:lineRule="auto"/>
              <w:ind w:firstLine="420" w:firstLineChars="200"/>
              <w:outlineLvl w:val="9"/>
              <w:rPr>
                <w:rFonts w:ascii="宋体" w:hAnsi="宋体" w:cs="宋体"/>
                <w:color w:val="auto"/>
                <w:kern w:val="0"/>
                <w:szCs w:val="21"/>
                <w:highlight w:val="none"/>
              </w:rPr>
            </w:pPr>
            <w:r>
              <w:rPr>
                <w:rFonts w:hint="eastAsia" w:ascii="宋体" w:hAnsi="宋体" w:cs="宋体"/>
                <w:color w:val="auto"/>
                <w:kern w:val="0"/>
                <w:szCs w:val="21"/>
                <w:highlight w:val="none"/>
              </w:rPr>
              <w:t>根据《国家税务总局庄河市税务局非执法类辅助服务考核表》的考核结果，按照实际验收情况结算，原则上每月结算支付一次。注：满足合同约定付款支付条件的，我局原则上应当自收到发票后10个工作日内将资金支付到合同约定的供应商账户，双方另有争议除外。</w:t>
            </w:r>
          </w:p>
        </w:tc>
      </w:tr>
    </w:tbl>
    <w:p w14:paraId="26275905">
      <w:pPr>
        <w:widowControl/>
        <w:spacing w:line="360" w:lineRule="auto"/>
        <w:jc w:val="left"/>
        <w:outlineLvl w:val="9"/>
        <w:rPr>
          <w:rFonts w:ascii="宋体" w:hAnsi="宋体" w:cs="宋体"/>
          <w:b/>
          <w:bCs/>
          <w:i/>
          <w:iCs/>
          <w:color w:val="auto"/>
          <w:kern w:val="0"/>
          <w:szCs w:val="21"/>
          <w:highlight w:val="none"/>
        </w:rPr>
      </w:pPr>
      <w:bookmarkStart w:id="269" w:name="_Toc256000035"/>
      <w:bookmarkStart w:id="270" w:name="_Toc17079"/>
      <w:bookmarkStart w:id="271" w:name="_Toc9359"/>
      <w:r>
        <w:rPr>
          <w:rFonts w:hint="eastAsia" w:ascii="宋体" w:hAnsi="宋体" w:cs="宋体"/>
          <w:b/>
          <w:bCs/>
          <w:color w:val="auto"/>
          <w:kern w:val="0"/>
          <w:szCs w:val="21"/>
          <w:highlight w:val="none"/>
        </w:rPr>
        <w:t>8.3其他要求</w:t>
      </w:r>
      <w:bookmarkEnd w:id="269"/>
      <w:bookmarkEnd w:id="270"/>
      <w:bookmarkEnd w:id="271"/>
    </w:p>
    <w:p w14:paraId="7AC908E8">
      <w:pPr>
        <w:spacing w:line="360" w:lineRule="auto"/>
        <w:outlineLvl w:val="9"/>
        <w:rPr>
          <w:rFonts w:ascii="宋体" w:hAnsi="宋体" w:cs="宋体"/>
          <w:b/>
          <w:bCs/>
          <w:color w:val="auto"/>
          <w:spacing w:val="-3"/>
          <w:szCs w:val="21"/>
          <w:highlight w:val="none"/>
        </w:rPr>
      </w:pPr>
      <w:r>
        <w:rPr>
          <w:rFonts w:hint="eastAsia" w:ascii="宋体" w:hAnsi="宋体" w:cs="宋体"/>
          <w:b/>
          <w:bCs/>
          <w:color w:val="auto"/>
          <w:spacing w:val="-3"/>
          <w:szCs w:val="21"/>
          <w:highlight w:val="none"/>
        </w:rPr>
        <w:t>8.3.1保密要求</w:t>
      </w:r>
    </w:p>
    <w:p w14:paraId="4DE74E1A">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★供应商需确保派驻人员严格遵守国家保密制度，接受采购方保密工作统一要求，避免违规泄密事项的发生。</w:t>
      </w:r>
    </w:p>
    <w:p w14:paraId="387BD133">
      <w:pPr>
        <w:spacing w:line="360" w:lineRule="auto"/>
        <w:outlineLvl w:val="9"/>
        <w:rPr>
          <w:rFonts w:ascii="宋体" w:hAnsi="宋体" w:cs="宋体"/>
          <w:b/>
          <w:bCs/>
          <w:color w:val="auto"/>
          <w:spacing w:val="-3"/>
          <w:szCs w:val="21"/>
          <w:highlight w:val="none"/>
        </w:rPr>
      </w:pPr>
      <w:r>
        <w:rPr>
          <w:rFonts w:hint="eastAsia" w:ascii="宋体" w:hAnsi="宋体" w:cs="宋体"/>
          <w:b/>
          <w:bCs/>
          <w:color w:val="auto"/>
          <w:spacing w:val="-3"/>
          <w:szCs w:val="21"/>
          <w:highlight w:val="none"/>
        </w:rPr>
        <w:t>8.3.2知识转移、知识产权、项目归档要求</w:t>
      </w:r>
    </w:p>
    <w:p w14:paraId="4EF47C00">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供应商要采取有效方法、途径保证采购人能顺利完成本项目服务过程中各阶段服务方案产出的吸收和转移。供应商应保证所提供的服务免受第三方提出侵犯其知识产权（专利权、商标权、版权等）的起诉。因侵害他人知识产权而产生的法律责任，全部由供应商承担。项目验收前，供应商需要遵照采购人要求配合其完成对项目资料的归档工作。</w:t>
      </w:r>
    </w:p>
    <w:p w14:paraId="7EE21377">
      <w:pPr>
        <w:spacing w:line="360" w:lineRule="auto"/>
        <w:outlineLvl w:val="9"/>
        <w:rPr>
          <w:rFonts w:ascii="宋体" w:hAnsi="宋体" w:cs="宋体"/>
          <w:b/>
          <w:bCs/>
          <w:color w:val="auto"/>
          <w:spacing w:val="-3"/>
          <w:szCs w:val="21"/>
          <w:highlight w:val="none"/>
        </w:rPr>
      </w:pPr>
      <w:r>
        <w:rPr>
          <w:rFonts w:hint="eastAsia" w:ascii="宋体" w:hAnsi="宋体" w:cs="宋体"/>
          <w:b/>
          <w:bCs/>
          <w:color w:val="auto"/>
          <w:spacing w:val="-3"/>
          <w:szCs w:val="21"/>
          <w:highlight w:val="none"/>
        </w:rPr>
        <w:t>8.3.3其他</w:t>
      </w:r>
    </w:p>
    <w:p w14:paraId="23840435">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★（1）供应商对履行合同期内所发生的用工人员在任何时候、任何情况下发生的意外伤害事故等涉及的责任和事故赔偿负全部责任。</w:t>
      </w:r>
    </w:p>
    <w:p w14:paraId="0B2E7313">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★（2）投标预算内费用包括按采购人要求完成该项目的一切成本，除此之外采购人不再支付其他费用。</w:t>
      </w:r>
    </w:p>
    <w:p w14:paraId="4F839453">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★（3）供应商的报价必须包括完成本次招标范围内全部项目，如报价中没有明确提出不包括在预算内的项目，将被视为报价中已包含。</w:t>
      </w:r>
    </w:p>
    <w:p w14:paraId="50FF73DF">
      <w:pPr>
        <w:spacing w:line="360" w:lineRule="auto"/>
        <w:ind w:firstLine="408" w:firstLineChars="200"/>
        <w:outlineLvl w:val="9"/>
        <w:rPr>
          <w:rFonts w:ascii="宋体" w:hAnsi="宋体" w:cs="宋体"/>
          <w:color w:val="auto"/>
          <w:spacing w:val="-3"/>
          <w:szCs w:val="21"/>
          <w:highlight w:val="none"/>
        </w:rPr>
      </w:pPr>
      <w:r>
        <w:rPr>
          <w:rFonts w:hint="eastAsia" w:ascii="宋体" w:hAnsi="宋体" w:cs="宋体"/>
          <w:color w:val="auto"/>
          <w:spacing w:val="-3"/>
          <w:szCs w:val="21"/>
          <w:highlight w:val="none"/>
        </w:rPr>
        <w:t>（4）提供服务的人员，如需就餐的，需按照相关规定缴纳费用。</w:t>
      </w:r>
    </w:p>
    <w:p w14:paraId="4F2342AE">
      <w:pPr>
        <w:widowControl/>
        <w:spacing w:line="360" w:lineRule="auto"/>
        <w:jc w:val="left"/>
        <w:outlineLvl w:val="9"/>
        <w:rPr>
          <w:rFonts w:ascii="黑体" w:hAnsi="黑体" w:eastAsia="黑体"/>
          <w:color w:val="auto"/>
          <w:szCs w:val="21"/>
          <w:highlight w:val="none"/>
        </w:rPr>
      </w:pPr>
    </w:p>
    <w:p w14:paraId="0D6A03C0">
      <w:pPr>
        <w:outlineLvl w:val="9"/>
        <w:rPr>
          <w:color w:val="auto"/>
          <w:highlight w:val="none"/>
        </w:rPr>
      </w:pPr>
    </w:p>
    <w:p w14:paraId="5A761202">
      <w:pPr>
        <w:widowControl/>
        <w:spacing w:line="360" w:lineRule="auto"/>
        <w:ind w:firstLine="630"/>
        <w:jc w:val="left"/>
        <w:outlineLvl w:val="9"/>
        <w:rPr>
          <w:rFonts w:ascii="仿宋_GB2312" w:hAnsi="仿宋_GB2312" w:eastAsia="仿宋_GB2312" w:cs="仿宋_GB2312"/>
          <w:color w:val="auto"/>
          <w:kern w:val="0"/>
          <w:szCs w:val="21"/>
          <w:highlight w:val="none"/>
        </w:rPr>
      </w:pPr>
    </w:p>
    <w:p w14:paraId="5E827969">
      <w:pPr>
        <w:widowControl/>
        <w:spacing w:line="360" w:lineRule="auto"/>
        <w:jc w:val="left"/>
        <w:outlineLvl w:val="9"/>
        <w:rPr>
          <w:rFonts w:ascii="Times New Roman" w:hAnsi="Times New Roman" w:eastAsia="Times New Roman" w:cs="Times New Roman"/>
          <w:color w:val="auto"/>
          <w:kern w:val="0"/>
          <w:szCs w:val="21"/>
          <w:highlight w:val="none"/>
        </w:rPr>
      </w:pPr>
    </w:p>
    <w:p w14:paraId="24DE2636">
      <w:pPr>
        <w:spacing w:line="360" w:lineRule="auto"/>
        <w:ind w:firstLine="408" w:firstLineChars="200"/>
        <w:outlineLvl w:val="9"/>
        <w:rPr>
          <w:rFonts w:ascii="仿宋_GB2312" w:hAnsi="仿宋_GB2312" w:eastAsia="仿宋_GB2312" w:cs="仿宋_GB2312"/>
          <w:color w:val="auto"/>
          <w:spacing w:val="-3"/>
          <w:szCs w:val="21"/>
          <w:highlight w:val="none"/>
        </w:rPr>
      </w:pPr>
    </w:p>
    <w:p w14:paraId="067B03F5">
      <w:pPr>
        <w:outlineLvl w:val="9"/>
        <w:rPr>
          <w:color w:val="auto"/>
          <w:highlight w:val="none"/>
        </w:rPr>
      </w:pPr>
    </w:p>
    <w:p w14:paraId="0229E288">
      <w:pPr>
        <w:spacing w:line="360" w:lineRule="auto"/>
        <w:ind w:firstLine="408" w:firstLineChars="200"/>
        <w:outlineLvl w:val="9"/>
        <w:rPr>
          <w:rFonts w:hint="eastAsia" w:ascii="宋体" w:hAnsi="宋体" w:eastAsia="宋体" w:cs="宋体"/>
          <w:color w:val="auto"/>
          <w:spacing w:val="-3"/>
          <w:szCs w:val="21"/>
          <w:highlight w:val="none"/>
        </w:rPr>
      </w:pPr>
    </w:p>
    <w:p w14:paraId="07F46C40">
      <w:pPr>
        <w:widowControl/>
        <w:spacing w:line="360" w:lineRule="auto"/>
        <w:jc w:val="left"/>
        <w:outlineLvl w:val="9"/>
        <w:rPr>
          <w:rFonts w:hint="eastAsia" w:ascii="宋体" w:hAnsi="宋体" w:eastAsia="宋体" w:cs="宋体"/>
          <w:color w:val="auto"/>
          <w:szCs w:val="21"/>
          <w:highlight w:val="none"/>
        </w:rPr>
      </w:pPr>
    </w:p>
    <w:p w14:paraId="5BBE4ED3">
      <w:pPr>
        <w:outlineLvl w:val="9"/>
        <w:rPr>
          <w:rFonts w:hint="eastAsia" w:ascii="宋体" w:hAnsi="宋体" w:eastAsia="宋体" w:cs="宋体"/>
          <w:color w:val="auto"/>
          <w:highlight w:val="none"/>
        </w:rPr>
      </w:pPr>
    </w:p>
    <w:sectPr>
      <w:footerReference r:id="rId13" w:type="first"/>
      <w:footerReference r:id="rId11" w:type="default"/>
      <w:headerReference r:id="rId10" w:type="even"/>
      <w:footerReference r:id="rId12"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大标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FangSong_GB2312">
    <w:altName w:val="仿宋_GB2312"/>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B96A8">
    <w:pPr>
      <w:jc w:val="center"/>
      <w:rPr>
        <w:rFonts w:ascii="宋体" w:hAnsi="宋体"/>
        <w:sz w:val="24"/>
      </w:rPr>
    </w:pPr>
    <w:r>
      <w:rPr>
        <w:rFonts w:ascii="Calibri" w:hAnsi="Calibri" w:eastAsia="宋体" w:cs="黑体"/>
        <w:kern w:val="2"/>
        <w:sz w:val="24"/>
        <w:szCs w:val="22"/>
        <w:lang w:val="en-US" w:eastAsia="zh-CN" w:bidi="ar-SA"/>
      </w:rPr>
      <w:pict>
        <v:rect id="4097" o:spid="_x0000_s2049" o:spt="1" style="position:absolute;left:0pt;margin-top:0pt;height:144pt;width:144pt;mso-position-horizontal:outside;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39B5961D">
                <w:pPr>
                  <w:jc w:val="center"/>
                </w:pPr>
                <w:r>
                  <w:t xml:space="preserve">— </w:t>
                </w:r>
                <w:r>
                  <w:fldChar w:fldCharType="begin"/>
                </w:r>
                <w:r>
                  <w:instrText xml:space="preserve"> PAGE  \* MERGEFORMAT </w:instrText>
                </w:r>
                <w:r>
                  <w:fldChar w:fldCharType="separate"/>
                </w:r>
                <w:r>
                  <w:t>1</w:t>
                </w:r>
                <w:r>
                  <w:fldChar w:fldCharType="end"/>
                </w:r>
                <w:r>
                  <w:t xml:space="preserve"> —</w:t>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28B26">
    <w:pPr>
      <w:jc w:val="center"/>
      <w:rPr>
        <w:rFonts w:ascii="宋体" w:hAnsi="宋体"/>
        <w:sz w:val="24"/>
      </w:rPr>
    </w:pPr>
    <w:r>
      <w:rPr>
        <w:rFonts w:ascii="Calibri" w:hAnsi="Calibri" w:eastAsia="宋体" w:cs="黑体"/>
        <w:kern w:val="2"/>
        <w:sz w:val="24"/>
        <w:szCs w:val="22"/>
        <w:lang w:val="en-US" w:eastAsia="zh-CN" w:bidi="ar-SA"/>
      </w:rPr>
      <w:pict>
        <v:rect id="4098" o:spid="_x0000_s2051" o:spt="1" style="position:absolute;left:0pt;margin-top:0pt;height:144pt;width:144pt;mso-position-horizontal:outside;mso-position-horizontal-relative:margin;mso-wrap-style:none;z-index:25166131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6692CCAA">
                <w:pPr>
                  <w:jc w:val="center"/>
                </w:pPr>
                <w:r>
                  <w:t xml:space="preserve">— </w:t>
                </w:r>
                <w:r>
                  <w:fldChar w:fldCharType="begin"/>
                </w:r>
                <w:r>
                  <w:instrText xml:space="preserve"> PAGE  \* MERGEFORMAT </w:instrText>
                </w:r>
                <w:r>
                  <w:fldChar w:fldCharType="separate"/>
                </w:r>
                <w:r>
                  <w:t>4</w:t>
                </w:r>
                <w:r>
                  <w:fldChar w:fldCharType="end"/>
                </w:r>
                <w:r>
                  <w:t xml:space="preserve"> —</w:t>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21C8B">
    <w:pPr>
      <w:pStyle w:val="16"/>
      <w:framePr w:wrap="around" w:vAnchor="text" w:hAnchor="margin" w:xAlign="center" w:y="1"/>
      <w:rPr>
        <w:rStyle w:val="25"/>
      </w:rPr>
    </w:pPr>
    <w:r>
      <w:fldChar w:fldCharType="begin"/>
    </w:r>
    <w:r>
      <w:rPr>
        <w:rStyle w:val="25"/>
      </w:rPr>
      <w:instrText xml:space="preserve">PAGE  </w:instrText>
    </w:r>
    <w:r>
      <w:fldChar w:fldCharType="separate"/>
    </w:r>
    <w:r>
      <w:fldChar w:fldCharType="end"/>
    </w:r>
  </w:p>
  <w:p w14:paraId="4F003B99">
    <w:pPr>
      <w:pStyle w:val="16"/>
    </w:pPr>
  </w:p>
  <w:p w14:paraId="3A567FE5"/>
  <w:p w14:paraId="17C634FB"/>
  <w:p w14:paraId="0895F505"/>
  <w:p w14:paraId="4FF571A0"/>
  <w:p w14:paraId="67575F44"/>
  <w:p w14:paraId="77733364"/>
  <w:p w14:paraId="0B769B86"/>
  <w:p w14:paraId="70CDF391"/>
  <w:p w14:paraId="1F419760"/>
  <w:p w14:paraId="225D22EB"/>
  <w:p w14:paraId="04294689"/>
  <w:p w14:paraId="530D0CEE"/>
  <w:p w14:paraId="512680E1"/>
  <w:p w14:paraId="65027E7B"/>
  <w:p w14:paraId="66D424D4"/>
  <w:p w14:paraId="449DAA06"/>
  <w:p w14:paraId="7746EB1F"/>
  <w:p w14:paraId="682791FF"/>
  <w:p w14:paraId="7B5C329C"/>
  <w:p w14:paraId="65D403E3"/>
  <w:p w14:paraId="6361B384"/>
  <w:p w14:paraId="18355360"/>
  <w:p w14:paraId="675D57DD"/>
  <w:p w14:paraId="628A99D2"/>
  <w:p w14:paraId="1FE3D791"/>
  <w:p w14:paraId="52DA82EC"/>
  <w:p w14:paraId="6B539B54"/>
  <w:p w14:paraId="5519D2D8"/>
  <w:p w14:paraId="14F03709"/>
  <w:p w14:paraId="707FF2CC"/>
  <w:p w14:paraId="03314FA6"/>
  <w:p w14:paraId="2B38FBBC"/>
  <w:p w14:paraId="77FFB925"/>
  <w:p w14:paraId="5FDFAF0D"/>
  <w:p w14:paraId="5EA6DA77"/>
  <w:p w14:paraId="090BA06B"/>
  <w:p w14:paraId="38D21946"/>
  <w:p w14:paraId="1E15BEC8"/>
  <w:p w14:paraId="18B30D70"/>
  <w:p w14:paraId="60083224"/>
  <w:p w14:paraId="29337270"/>
  <w:p w14:paraId="0FB3BFB2"/>
  <w:p w14:paraId="7A0669AF"/>
  <w:p w14:paraId="713A76AE"/>
  <w:p w14:paraId="75FC455E"/>
  <w:p w14:paraId="4EA17649"/>
  <w:p w14:paraId="614F082E"/>
  <w:p w14:paraId="557387ED"/>
  <w:p w14:paraId="5EDA2AA5"/>
  <w:p w14:paraId="2D700CB9"/>
  <w:p w14:paraId="7947EFA9"/>
  <w:p w14:paraId="6C7C6B66"/>
  <w:p w14:paraId="68796757"/>
  <w:p w14:paraId="24DCC7D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1395F">
    <w:pPr>
      <w:jc w:val="center"/>
      <w:rPr>
        <w:rFonts w:ascii="宋体" w:hAnsi="宋体"/>
        <w:sz w:val="24"/>
      </w:rPr>
    </w:pPr>
    <w:r>
      <w:rPr>
        <w:rFonts w:ascii="Calibri" w:hAnsi="Calibri" w:eastAsia="宋体" w:cs="黑体"/>
        <w:kern w:val="2"/>
        <w:sz w:val="24"/>
        <w:szCs w:val="22"/>
        <w:lang w:val="en-US" w:eastAsia="zh-CN" w:bidi="ar-SA"/>
      </w:rPr>
      <w:pict>
        <v:rect id="4099" o:spid="_x0000_s2050" o:spt="1" style="position:absolute;left:0pt;margin-top:0pt;height:144pt;width:144pt;mso-position-horizontal:outside;mso-position-horizontal-relative:margin;mso-wrap-style:none;z-index:251663360;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7145C9FB">
                <w:pPr>
                  <w:jc w:val="center"/>
                </w:pPr>
                <w:r>
                  <w:t xml:space="preserve">— </w:t>
                </w:r>
                <w:r>
                  <w:fldChar w:fldCharType="begin"/>
                </w:r>
                <w:r>
                  <w:instrText xml:space="preserve"> PAGE  \* MERGEFORMAT </w:instrText>
                </w:r>
                <w:r>
                  <w:fldChar w:fldCharType="separate"/>
                </w:r>
                <w:r>
                  <w:t>2</w:t>
                </w:r>
                <w:r>
                  <w:fldChar w:fldCharType="end"/>
                </w:r>
                <w:r>
                  <w:t xml:space="preserve"> —</w:t>
                </w: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A4251">
    <w:pPr>
      <w:pStyle w:val="16"/>
      <w:rPr>
        <w:szCs w:val="21"/>
      </w:rPr>
    </w:pPr>
    <w:r>
      <w:rPr>
        <w:rFonts w:ascii="Calibri" w:hAnsi="Calibri" w:eastAsia="宋体" w:cs="Times New Roman"/>
        <w:kern w:val="2"/>
        <w:sz w:val="18"/>
        <w:szCs w:val="18"/>
        <w:lang w:val="en-US" w:eastAsia="zh-CN" w:bidi="ar-SA"/>
      </w:rPr>
      <w:pict>
        <v:rect id="文本框 6" o:spid="_x0000_s2052" o:spt="1" style="position:absolute;left:0pt;margin-top:0pt;height:144pt;width:144pt;mso-position-horizontal:center;mso-position-horizontal-relative:margin;mso-wrap-style:none;z-index:25166438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63DC6013">
                <w:pPr>
                  <w:pStyle w:val="16"/>
                </w:pPr>
                <w:r>
                  <w:fldChar w:fldCharType="begin"/>
                </w:r>
                <w:r>
                  <w:instrText xml:space="preserve"> PAGE  \* MERGEFORMAT </w:instrText>
                </w:r>
                <w:r>
                  <w:fldChar w:fldCharType="separate"/>
                </w:r>
                <w:r>
                  <w:t>- 46 -</w:t>
                </w:r>
                <w: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AF8DF">
    <w:pPr>
      <w:jc w:val="center"/>
      <w:rPr>
        <w:rFonts w:ascii="宋体" w:hAnsi="宋体"/>
        <w:sz w:val="24"/>
      </w:rPr>
    </w:pPr>
    <w:r>
      <w:rPr>
        <w:rFonts w:ascii="Calibri" w:hAnsi="Calibri" w:eastAsia="宋体" w:cs="黑体"/>
        <w:kern w:val="2"/>
        <w:sz w:val="24"/>
        <w:szCs w:val="22"/>
        <w:lang w:val="en-US" w:eastAsia="zh-CN" w:bidi="ar-SA"/>
      </w:rPr>
      <w:pict>
        <v:rect id="4100" o:spid="_x0000_s2054" o:spt="1" style="position:absolute;left:0pt;margin-top:0pt;height:144pt;width:144pt;mso-position-horizontal:outside;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15593F95">
                <w:pPr>
                  <w:jc w:val="center"/>
                </w:pPr>
                <w:r>
                  <w:t xml:space="preserve">— </w:t>
                </w:r>
                <w:r>
                  <w:fldChar w:fldCharType="begin"/>
                </w:r>
                <w:r>
                  <w:instrText xml:space="preserve"> PAGE  \* MERGEFORMAT </w:instrText>
                </w:r>
                <w:r>
                  <w:fldChar w:fldCharType="separate"/>
                </w:r>
                <w:r>
                  <w:t>47</w:t>
                </w:r>
                <w:r>
                  <w:fldChar w:fldCharType="end"/>
                </w:r>
                <w:r>
                  <w:t xml:space="preserve"> —</w:t>
                </w:r>
              </w:p>
            </w:txbxContent>
          </v:textbox>
        </v:rect>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B6845">
    <w:pPr>
      <w:pStyle w:val="16"/>
      <w:framePr w:wrap="around" w:vAnchor="text" w:hAnchor="margin" w:xAlign="center" w:y="1"/>
      <w:rPr>
        <w:rStyle w:val="25"/>
      </w:rPr>
    </w:pPr>
    <w:r>
      <w:fldChar w:fldCharType="begin"/>
    </w:r>
    <w:r>
      <w:rPr>
        <w:rStyle w:val="25"/>
      </w:rPr>
      <w:instrText xml:space="preserve">PAGE  </w:instrText>
    </w:r>
    <w:r>
      <w:fldChar w:fldCharType="separate"/>
    </w:r>
    <w:r>
      <w:fldChar w:fldCharType="end"/>
    </w:r>
  </w:p>
  <w:p w14:paraId="3EFF26A5">
    <w:pPr>
      <w:pStyle w:val="16"/>
    </w:pPr>
  </w:p>
  <w:p w14:paraId="15509E87"/>
  <w:p w14:paraId="58DF33BA"/>
  <w:p w14:paraId="626407F3"/>
  <w:p w14:paraId="48BBB728"/>
  <w:p w14:paraId="6C3788FA"/>
  <w:p w14:paraId="198642A8"/>
  <w:p w14:paraId="48F4600D"/>
  <w:p w14:paraId="1CD87149"/>
  <w:p w14:paraId="013BE107"/>
  <w:p w14:paraId="53EA940B"/>
  <w:p w14:paraId="0453DAB6"/>
  <w:p w14:paraId="60A09D7B"/>
  <w:p w14:paraId="018DDCB1"/>
  <w:p w14:paraId="2B851369"/>
  <w:p w14:paraId="4934297B"/>
  <w:p w14:paraId="37E5216C"/>
  <w:p w14:paraId="7EE561EA"/>
  <w:p w14:paraId="2C02117D"/>
  <w:p w14:paraId="2D7BAFEB"/>
  <w:p w14:paraId="1619D705"/>
  <w:p w14:paraId="5F5A512E"/>
  <w:p w14:paraId="4749E3A0"/>
  <w:p w14:paraId="3F3BF0A4"/>
  <w:p w14:paraId="475BF765"/>
  <w:p w14:paraId="4B32E84A"/>
  <w:p w14:paraId="2F739DAB"/>
  <w:p w14:paraId="25E0DB9B"/>
  <w:p w14:paraId="6A2BAD0C"/>
  <w:p w14:paraId="3F7AC7CF"/>
  <w:p w14:paraId="04983A84"/>
  <w:p w14:paraId="0068A265"/>
  <w:p w14:paraId="4FAB082F"/>
  <w:p w14:paraId="549C5B62"/>
  <w:p w14:paraId="540F5042"/>
  <w:p w14:paraId="5BBCBC72"/>
  <w:p w14:paraId="0DC0A577"/>
  <w:p w14:paraId="4D1D2290"/>
  <w:p w14:paraId="6ABA613D"/>
  <w:p w14:paraId="22775C49"/>
  <w:p w14:paraId="255320F1"/>
  <w:p w14:paraId="15FB72E7"/>
  <w:p w14:paraId="325A47E6"/>
  <w:p w14:paraId="3EF80AA0"/>
  <w:p w14:paraId="54EFAAAF"/>
  <w:p w14:paraId="6978A7B9"/>
  <w:p w14:paraId="667ECDA5"/>
  <w:p w14:paraId="248779B9"/>
  <w:p w14:paraId="08BF3984"/>
  <w:p w14:paraId="305B14B0"/>
  <w:p w14:paraId="4D08B36E"/>
  <w:p w14:paraId="21442380"/>
  <w:p w14:paraId="319C0602"/>
  <w:p w14:paraId="6480ADF6"/>
  <w:p w14:paraId="7E9D149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28946">
    <w:pPr>
      <w:jc w:val="center"/>
      <w:rPr>
        <w:rFonts w:ascii="宋体" w:hAnsi="宋体"/>
        <w:sz w:val="24"/>
      </w:rPr>
    </w:pPr>
    <w:r>
      <w:rPr>
        <w:rFonts w:ascii="Calibri" w:hAnsi="Calibri" w:eastAsia="宋体" w:cs="黑体"/>
        <w:kern w:val="2"/>
        <w:sz w:val="24"/>
        <w:szCs w:val="22"/>
        <w:lang w:val="en-US" w:eastAsia="zh-CN" w:bidi="ar-SA"/>
      </w:rPr>
      <w:pict>
        <v:rect id="4101" o:spid="_x0000_s2053" o:spt="1" style="position:absolute;left:0pt;margin-top:0pt;height:144pt;width:144pt;mso-position-horizontal:outside;mso-position-horizontal-relative:margin;mso-wrap-style:none;z-index:251662336;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14:paraId="246811D2">
                <w:pPr>
                  <w:jc w:val="center"/>
                </w:pPr>
                <w:r>
                  <w:t xml:space="preserve">— </w:t>
                </w:r>
                <w:r>
                  <w:fldChar w:fldCharType="begin"/>
                </w:r>
                <w:r>
                  <w:instrText xml:space="preserve"> PAGE  \* MERGEFORMAT </w:instrText>
                </w:r>
                <w:r>
                  <w:fldChar w:fldCharType="separate"/>
                </w:r>
                <w:r>
                  <w:t>35</w:t>
                </w:r>
                <w:r>
                  <w:fldChar w:fldCharType="end"/>
                </w:r>
                <w:r>
                  <w:t xml:space="preserve"> —</w:t>
                </w:r>
              </w:p>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6BD091E">
      <w:pPr>
        <w:pStyle w:val="19"/>
      </w:pPr>
      <w:r>
        <w:rPr>
          <w:rStyle w:val="28"/>
        </w:rPr>
        <w:footnoteRef/>
      </w:r>
      <w:r>
        <w:t xml:space="preserve"> </w:t>
      </w:r>
      <w:r>
        <w:rPr>
          <w:rFonts w:hint="eastAsia" w:ascii="宋体" w:hAnsi="宋体" w:cs="宋体"/>
          <w:color w:val="000000"/>
          <w:kern w:val="0"/>
          <w:lang w:val="en-US"/>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159A8"/>
  <w:p w14:paraId="0F453F86"/>
  <w:p w14:paraId="06E8AF1B"/>
  <w:p w14:paraId="2C3923DC"/>
  <w:p w14:paraId="3C004DA6"/>
  <w:p w14:paraId="79140121"/>
  <w:p w14:paraId="45037167"/>
  <w:p w14:paraId="4116DADA"/>
  <w:p w14:paraId="39122933"/>
  <w:p w14:paraId="7E837AE3"/>
  <w:p w14:paraId="248C5380"/>
  <w:p w14:paraId="3492C110"/>
  <w:p w14:paraId="463768C0"/>
  <w:p w14:paraId="2DF9F201"/>
  <w:p w14:paraId="0D239415"/>
  <w:p w14:paraId="15179AB6"/>
  <w:p w14:paraId="7C2E1FB0"/>
  <w:p w14:paraId="1190F461"/>
  <w:p w14:paraId="48CEB917"/>
  <w:p w14:paraId="0CDA57CF"/>
  <w:p w14:paraId="1D9AC28E"/>
  <w:p w14:paraId="6AD89F16"/>
  <w:p w14:paraId="5B37891B"/>
  <w:p w14:paraId="77262D43"/>
  <w:p w14:paraId="2E9B8540"/>
  <w:p w14:paraId="1C4FC153"/>
  <w:p w14:paraId="4BD86A8C"/>
  <w:p w14:paraId="2CA33802"/>
  <w:p w14:paraId="62847A08"/>
  <w:p w14:paraId="3512D1AF"/>
  <w:p w14:paraId="0B41E1C3"/>
  <w:p w14:paraId="1C6D8A86"/>
  <w:p w14:paraId="2A2CBB3D"/>
  <w:p w14:paraId="6752A659"/>
  <w:p w14:paraId="402CF106"/>
  <w:p w14:paraId="70563701"/>
  <w:p w14:paraId="60674B70"/>
  <w:p w14:paraId="40A3646E"/>
  <w:p w14:paraId="258AD770"/>
  <w:p w14:paraId="7F2E30B7"/>
  <w:p w14:paraId="2CC7B41B"/>
  <w:p w14:paraId="721186CD"/>
  <w:p w14:paraId="1BEBA1F6"/>
  <w:p w14:paraId="1877D67D"/>
  <w:p w14:paraId="279D692A"/>
  <w:p w14:paraId="6FFB2042"/>
  <w:p w14:paraId="4E0F26C4"/>
  <w:p w14:paraId="1D04689C"/>
  <w:p w14:paraId="2E1C1EBB"/>
  <w:p w14:paraId="6926F390"/>
  <w:p w14:paraId="755E2F63"/>
  <w:p w14:paraId="4CE9AFD3"/>
  <w:p w14:paraId="74E852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5051B"/>
  <w:p w14:paraId="00AA8681"/>
  <w:p w14:paraId="0C9EFD73"/>
  <w:p w14:paraId="4DF5FAA4"/>
  <w:p w14:paraId="7B8629EF"/>
  <w:p w14:paraId="45B29E7F"/>
  <w:p w14:paraId="78D11E82"/>
  <w:p w14:paraId="2A80C34E"/>
  <w:p w14:paraId="653C8F8A"/>
  <w:p w14:paraId="44D5A89E"/>
  <w:p w14:paraId="65E2ABD1"/>
  <w:p w14:paraId="6BDA1F5A"/>
  <w:p w14:paraId="13C61F51"/>
  <w:p w14:paraId="788FD36F"/>
  <w:p w14:paraId="3D7CEE05"/>
  <w:p w14:paraId="7EC297CE"/>
  <w:p w14:paraId="5A463902"/>
  <w:p w14:paraId="6224B941"/>
  <w:p w14:paraId="410F5A49"/>
  <w:p w14:paraId="363E5F02"/>
  <w:p w14:paraId="2D2144B9"/>
  <w:p w14:paraId="57F2A698"/>
  <w:p w14:paraId="5630899C"/>
  <w:p w14:paraId="4B072E17"/>
  <w:p w14:paraId="08B3E271"/>
  <w:p w14:paraId="0ECB9D92"/>
  <w:p w14:paraId="6CCE370B"/>
  <w:p w14:paraId="7D89C060"/>
  <w:p w14:paraId="11E23F52"/>
  <w:p w14:paraId="36604B01"/>
  <w:p w14:paraId="1A411E41"/>
  <w:p w14:paraId="2FB8114C"/>
  <w:p w14:paraId="170ED214"/>
  <w:p w14:paraId="72C6D71D"/>
  <w:p w14:paraId="10568616"/>
  <w:p w14:paraId="37524F03"/>
  <w:p w14:paraId="695CCDA8"/>
  <w:p w14:paraId="4839DACC"/>
  <w:p w14:paraId="0B4FFC2E"/>
  <w:p w14:paraId="257CD8FD"/>
  <w:p w14:paraId="5FFB4FD4"/>
  <w:p w14:paraId="1AFF8462"/>
  <w:p w14:paraId="0AFFCD38"/>
  <w:p w14:paraId="074E679F"/>
  <w:p w14:paraId="28FE8618"/>
  <w:p w14:paraId="65024AAA"/>
  <w:p w14:paraId="40B8E040"/>
  <w:p w14:paraId="6C39FA6F"/>
  <w:p w14:paraId="34607BCD"/>
  <w:p w14:paraId="3AF0FC7D"/>
  <w:p w14:paraId="0725FC0B"/>
  <w:p w14:paraId="0240565B"/>
  <w:p w14:paraId="7348FB9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105444"/>
    <w:multiLevelType w:val="singleLevel"/>
    <w:tmpl w:val="8F105444"/>
    <w:lvl w:ilvl="0" w:tentative="0">
      <w:start w:val="1"/>
      <w:numFmt w:val="chineseCounting"/>
      <w:suff w:val="nothing"/>
      <w:lvlText w:val="%1、"/>
      <w:lvlJc w:val="left"/>
      <w:pPr>
        <w:ind w:left="630" w:firstLine="0"/>
      </w:pPr>
      <w:rPr>
        <w:rFonts w:hint="eastAsia"/>
      </w:rPr>
    </w:lvl>
  </w:abstractNum>
  <w:abstractNum w:abstractNumId="1">
    <w:nsid w:val="01E7F73A"/>
    <w:multiLevelType w:val="singleLevel"/>
    <w:tmpl w:val="01E7F73A"/>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2"/>
    <w:footnote w:id="3"/>
  </w:footnotePr>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7DFD24C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3">
    <w:name w:val="heading 1"/>
    <w:basedOn w:val="1"/>
    <w:next w:val="1"/>
    <w:qFormat/>
    <w:uiPriority w:val="0"/>
    <w:pPr>
      <w:keepNext/>
      <w:spacing w:before="240" w:after="60"/>
      <w:outlineLvl w:val="0"/>
    </w:pPr>
    <w:rPr>
      <w:rFonts w:ascii="Arial" w:hAnsi="Arial"/>
      <w:b/>
      <w:bCs/>
      <w:kern w:val="32"/>
      <w:sz w:val="32"/>
      <w:szCs w:val="32"/>
    </w:rPr>
  </w:style>
  <w:style w:type="paragraph" w:styleId="4">
    <w:name w:val="heading 2"/>
    <w:basedOn w:val="1"/>
    <w:next w:val="1"/>
    <w:link w:val="44"/>
    <w:qFormat/>
    <w:uiPriority w:val="9"/>
    <w:pPr>
      <w:keepNext/>
      <w:keepLines/>
      <w:spacing w:before="260" w:after="260" w:line="360" w:lineRule="auto"/>
      <w:jc w:val="left"/>
      <w:outlineLvl w:val="1"/>
    </w:pPr>
    <w:rPr>
      <w:rFonts w:ascii="Cambria" w:hAnsi="Cambria" w:eastAsia="方正大标宋简体" w:cs="Times New Roman"/>
      <w:bCs/>
      <w:sz w:val="36"/>
      <w:szCs w:val="32"/>
    </w:rPr>
  </w:style>
  <w:style w:type="paragraph" w:styleId="5">
    <w:name w:val="heading 3"/>
    <w:basedOn w:val="1"/>
    <w:next w:val="1"/>
    <w:link w:val="45"/>
    <w:qFormat/>
    <w:uiPriority w:val="0"/>
    <w:pPr>
      <w:keepNext/>
      <w:keepLines/>
      <w:adjustRightInd w:val="0"/>
      <w:spacing w:before="260" w:after="260" w:line="360" w:lineRule="auto"/>
      <w:jc w:val="left"/>
      <w:outlineLvl w:val="2"/>
    </w:pPr>
    <w:rPr>
      <w:rFonts w:ascii="Calibri" w:hAnsi="Calibri" w:eastAsia="黑体" w:cs="Times New Roman"/>
      <w:bCs/>
      <w:kern w:val="0"/>
      <w:sz w:val="32"/>
      <w:szCs w:val="32"/>
    </w:rPr>
  </w:style>
  <w:style w:type="paragraph" w:styleId="6">
    <w:name w:val="heading 4"/>
    <w:basedOn w:val="1"/>
    <w:next w:val="1"/>
    <w:link w:val="60"/>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7">
    <w:name w:val="heading 5"/>
    <w:basedOn w:val="8"/>
    <w:next w:val="9"/>
    <w:link w:val="47"/>
    <w:qFormat/>
    <w:uiPriority w:val="9"/>
    <w:pPr>
      <w:keepNext/>
      <w:keepLines/>
      <w:tabs>
        <w:tab w:val="left" w:pos="780"/>
      </w:tabs>
      <w:spacing w:before="280" w:after="290" w:line="377" w:lineRule="auto"/>
      <w:ind w:firstLine="200" w:firstLineChars="200"/>
      <w:outlineLvl w:val="4"/>
    </w:pPr>
    <w:rPr>
      <w:rFonts w:ascii="Times New Roman" w:hAnsi="Times New Roman" w:eastAsia="FangSong_GB2312" w:cs="宋体"/>
      <w:bCs/>
      <w:szCs w:val="28"/>
    </w:rPr>
  </w:style>
  <w:style w:type="character" w:default="1" w:styleId="23">
    <w:name w:val="Default Paragraph Font"/>
    <w:semiHidden/>
    <w:unhideWhenUsed/>
    <w:qFormat/>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2">
    <w:name w:val="Body Text"/>
    <w:basedOn w:val="1"/>
    <w:link w:val="49"/>
    <w:qFormat/>
    <w:uiPriority w:val="0"/>
    <w:rPr>
      <w:rFonts w:ascii="Calibri" w:hAnsi="Calibri" w:eastAsia="宋体" w:cs="Times New Roman"/>
      <w:b/>
      <w:szCs w:val="24"/>
    </w:rPr>
  </w:style>
  <w:style w:type="paragraph" w:styleId="8">
    <w:name w:val="List Number 2"/>
    <w:basedOn w:val="1"/>
    <w:qFormat/>
    <w:uiPriority w:val="0"/>
    <w:pPr>
      <w:tabs>
        <w:tab w:val="left" w:pos="780"/>
      </w:tabs>
      <w:ind w:left="780" w:hanging="360"/>
    </w:pPr>
    <w:rPr>
      <w:rFonts w:ascii="Calibri" w:hAnsi="Calibri" w:eastAsia="宋体" w:cs="Times New Roman"/>
    </w:rPr>
  </w:style>
  <w:style w:type="paragraph" w:styleId="9">
    <w:name w:val="Normal (Web)"/>
    <w:basedOn w:val="1"/>
    <w:link w:val="56"/>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0">
    <w:name w:val="table of authorities"/>
    <w:basedOn w:val="1"/>
    <w:next w:val="1"/>
    <w:qFormat/>
    <w:uiPriority w:val="99"/>
    <w:pPr>
      <w:ind w:left="420" w:leftChars="200"/>
    </w:pPr>
    <w:rPr>
      <w:rFonts w:ascii="Calibri" w:hAnsi="Calibri" w:eastAsia="宋体" w:cs="宋体"/>
    </w:rPr>
  </w:style>
  <w:style w:type="paragraph" w:styleId="11">
    <w:name w:val="annotation text"/>
    <w:basedOn w:val="1"/>
    <w:link w:val="48"/>
    <w:qFormat/>
    <w:uiPriority w:val="99"/>
    <w:pPr>
      <w:jc w:val="left"/>
    </w:pPr>
    <w:rPr>
      <w:rFonts w:ascii="Calibri" w:hAnsi="Calibri" w:eastAsia="宋体" w:cs="Times New Roman"/>
    </w:rPr>
  </w:style>
  <w:style w:type="paragraph" w:styleId="12">
    <w:name w:val="toc 3"/>
    <w:basedOn w:val="1"/>
    <w:next w:val="1"/>
    <w:qFormat/>
    <w:uiPriority w:val="39"/>
    <w:pPr>
      <w:ind w:left="840" w:leftChars="400"/>
    </w:pPr>
    <w:rPr>
      <w:rFonts w:ascii="Calibri" w:hAnsi="Calibri" w:eastAsia="宋体" w:cs="Times New Roman"/>
    </w:rPr>
  </w:style>
  <w:style w:type="paragraph" w:styleId="13">
    <w:name w:val="Plain Text"/>
    <w:basedOn w:val="1"/>
    <w:link w:val="50"/>
    <w:qFormat/>
    <w:uiPriority w:val="99"/>
    <w:rPr>
      <w:rFonts w:ascii="宋体" w:hAnsi="Courier New" w:eastAsia="宋体" w:cs="Courier New"/>
      <w:szCs w:val="21"/>
    </w:rPr>
  </w:style>
  <w:style w:type="paragraph" w:styleId="14">
    <w:name w:val="Date"/>
    <w:basedOn w:val="1"/>
    <w:next w:val="1"/>
    <w:link w:val="51"/>
    <w:qFormat/>
    <w:uiPriority w:val="0"/>
    <w:pPr>
      <w:ind w:left="100" w:leftChars="2500"/>
    </w:pPr>
    <w:rPr>
      <w:rFonts w:ascii="Calibri" w:hAnsi="Calibri" w:eastAsia="宋体" w:cs="Times New Roman"/>
    </w:rPr>
  </w:style>
  <w:style w:type="paragraph" w:styleId="15">
    <w:name w:val="Balloon Text"/>
    <w:basedOn w:val="1"/>
    <w:link w:val="52"/>
    <w:qFormat/>
    <w:uiPriority w:val="99"/>
    <w:rPr>
      <w:rFonts w:ascii="Calibri" w:hAnsi="Calibri" w:eastAsia="宋体" w:cs="Times New Roman"/>
      <w:sz w:val="18"/>
      <w:szCs w:val="18"/>
    </w:rPr>
  </w:style>
  <w:style w:type="paragraph" w:styleId="16">
    <w:name w:val="footer"/>
    <w:basedOn w:val="1"/>
    <w:link w:val="53"/>
    <w:qFormat/>
    <w:uiPriority w:val="99"/>
    <w:pPr>
      <w:tabs>
        <w:tab w:val="center" w:pos="4153"/>
        <w:tab w:val="right" w:pos="8306"/>
      </w:tabs>
      <w:snapToGrid w:val="0"/>
      <w:jc w:val="left"/>
    </w:pPr>
    <w:rPr>
      <w:rFonts w:ascii="Calibri" w:hAnsi="Calibri" w:eastAsia="宋体" w:cs="Times New Roman"/>
      <w:sz w:val="18"/>
      <w:szCs w:val="18"/>
    </w:rPr>
  </w:style>
  <w:style w:type="paragraph" w:styleId="17">
    <w:name w:val="header"/>
    <w:basedOn w:val="1"/>
    <w:link w:val="54"/>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8">
    <w:name w:val="toc 1"/>
    <w:basedOn w:val="1"/>
    <w:next w:val="1"/>
    <w:qFormat/>
    <w:uiPriority w:val="39"/>
    <w:rPr>
      <w:rFonts w:ascii="Calibri" w:hAnsi="Calibri" w:eastAsia="宋体" w:cs="Times New Roman"/>
    </w:rPr>
  </w:style>
  <w:style w:type="paragraph" w:styleId="19">
    <w:name w:val="footnote text"/>
    <w:basedOn w:val="1"/>
    <w:qFormat/>
    <w:uiPriority w:val="0"/>
    <w:pPr>
      <w:snapToGrid w:val="0"/>
      <w:jc w:val="left"/>
    </w:pPr>
    <w:rPr>
      <w:sz w:val="18"/>
      <w:szCs w:val="18"/>
      <w:lang w:val="zh-CN"/>
    </w:rPr>
  </w:style>
  <w:style w:type="paragraph" w:styleId="20">
    <w:name w:val="toc 2"/>
    <w:basedOn w:val="1"/>
    <w:next w:val="1"/>
    <w:qFormat/>
    <w:uiPriority w:val="39"/>
    <w:pPr>
      <w:ind w:left="420" w:leftChars="200"/>
    </w:pPr>
    <w:rPr>
      <w:rFonts w:ascii="Calibri" w:hAnsi="Calibri" w:eastAsia="宋体" w:cs="Times New Roman"/>
    </w:rPr>
  </w:style>
  <w:style w:type="paragraph" w:styleId="21">
    <w:name w:val="annotation subject"/>
    <w:basedOn w:val="11"/>
    <w:next w:val="11"/>
    <w:link w:val="55"/>
    <w:qFormat/>
    <w:uiPriority w:val="0"/>
    <w:rPr>
      <w:b/>
      <w:bCs/>
    </w:rPr>
  </w:style>
  <w:style w:type="character" w:styleId="24">
    <w:name w:val="Strong"/>
    <w:qFormat/>
    <w:uiPriority w:val="0"/>
    <w:rPr>
      <w:b/>
      <w:bCs/>
    </w:rPr>
  </w:style>
  <w:style w:type="character" w:styleId="25">
    <w:name w:val="page number"/>
    <w:basedOn w:val="23"/>
    <w:qFormat/>
    <w:uiPriority w:val="99"/>
  </w:style>
  <w:style w:type="character" w:styleId="26">
    <w:name w:val="Hyperlink"/>
    <w:qFormat/>
    <w:uiPriority w:val="99"/>
    <w:rPr>
      <w:color w:val="0000FF"/>
      <w:u w:val="single"/>
    </w:rPr>
  </w:style>
  <w:style w:type="character" w:styleId="27">
    <w:name w:val="annotation reference"/>
    <w:basedOn w:val="23"/>
    <w:qFormat/>
    <w:uiPriority w:val="99"/>
    <w:rPr>
      <w:sz w:val="21"/>
      <w:szCs w:val="21"/>
    </w:rPr>
  </w:style>
  <w:style w:type="character" w:styleId="28">
    <w:name w:val="footnote reference"/>
    <w:basedOn w:val="23"/>
    <w:qFormat/>
    <w:uiPriority w:val="0"/>
    <w:rPr>
      <w:vertAlign w:val="superscript"/>
    </w:rPr>
  </w:style>
  <w:style w:type="paragraph" w:customStyle="1" w:styleId="29">
    <w:name w:val="标题 41"/>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customStyle="1" w:styleId="30">
    <w:name w:val="null3"/>
    <w:qFormat/>
    <w:uiPriority w:val="0"/>
    <w:rPr>
      <w:rFonts w:hint="eastAsia" w:ascii="Calibri" w:hAnsi="Calibri" w:eastAsia="宋体" w:cs="Times New Roman"/>
      <w:kern w:val="0"/>
      <w:sz w:val="20"/>
      <w:szCs w:val="20"/>
      <w:lang w:val="en-US" w:eastAsia="zh-CN" w:bidi="ar-SA"/>
    </w:rPr>
  </w:style>
  <w:style w:type="paragraph" w:customStyle="1" w:styleId="31">
    <w:name w:val="样式1"/>
    <w:basedOn w:val="1"/>
    <w:qFormat/>
    <w:uiPriority w:val="0"/>
    <w:pPr>
      <w:jc w:val="center"/>
    </w:pPr>
    <w:rPr>
      <w:rFonts w:ascii="Calibri" w:hAnsi="Calibri" w:eastAsia="方正大标宋简体" w:cs="Times New Roman"/>
      <w:sz w:val="52"/>
    </w:rPr>
  </w:style>
  <w:style w:type="paragraph" w:customStyle="1" w:styleId="32">
    <w:name w:val="Normal Indent1"/>
    <w:qFormat/>
    <w:uiPriority w:val="0"/>
    <w:pPr>
      <w:spacing w:afterLines="50" w:line="360" w:lineRule="auto"/>
      <w:ind w:firstLine="420" w:firstLineChars="200"/>
    </w:pPr>
    <w:rPr>
      <w:rFonts w:ascii="Times New Roman" w:hAnsi="Times New Roman" w:eastAsia="宋体" w:cs="Times New Roman"/>
      <w:kern w:val="0"/>
      <w:sz w:val="20"/>
      <w:szCs w:val="20"/>
      <w:lang w:val="en-US" w:eastAsia="zh-CN" w:bidi="ar-SA"/>
    </w:rPr>
  </w:style>
  <w:style w:type="paragraph" w:customStyle="1" w:styleId="33">
    <w:name w:val="PlainText"/>
    <w:basedOn w:val="1"/>
    <w:link w:val="58"/>
    <w:qFormat/>
    <w:uiPriority w:val="99"/>
    <w:pPr>
      <w:widowControl/>
      <w:textAlignment w:val="baseline"/>
    </w:pPr>
    <w:rPr>
      <w:rFonts w:ascii="宋体" w:hAnsi="Courier New"/>
    </w:rPr>
  </w:style>
  <w:style w:type="paragraph" w:customStyle="1" w:styleId="34">
    <w:name w:val="List Paragraph"/>
    <w:basedOn w:val="1"/>
    <w:link w:val="59"/>
    <w:qFormat/>
    <w:uiPriority w:val="34"/>
    <w:pPr>
      <w:widowControl/>
      <w:ind w:firstLine="420"/>
    </w:pPr>
    <w:rPr>
      <w:szCs w:val="21"/>
    </w:rPr>
  </w:style>
  <w:style w:type="paragraph" w:customStyle="1" w:styleId="35">
    <w:name w:val="*正文"/>
    <w:basedOn w:val="1"/>
    <w:qFormat/>
    <w:uiPriority w:val="0"/>
    <w:pPr>
      <w:widowControl/>
      <w:ind w:firstLine="200" w:firstLineChars="200"/>
      <w:jc w:val="left"/>
      <w:textAlignment w:val="baseline"/>
    </w:pPr>
    <w:rPr>
      <w:rFonts w:ascii="宋体" w:hAnsi="宋体" w:eastAsia="宋体" w:cs="Times New Roman"/>
      <w:kern w:val="0"/>
      <w:sz w:val="20"/>
      <w:szCs w:val="24"/>
    </w:rPr>
  </w:style>
  <w:style w:type="paragraph" w:customStyle="1" w:styleId="36">
    <w:name w:val="Normal_0"/>
    <w:next w:val="37"/>
    <w:qFormat/>
    <w:uiPriority w:val="0"/>
    <w:pPr>
      <w:widowControl w:val="0"/>
      <w:spacing w:after="160" w:line="259" w:lineRule="auto"/>
      <w:jc w:val="both"/>
    </w:pPr>
    <w:rPr>
      <w:rFonts w:ascii="Times New Roman" w:hAnsi="Times New Roman" w:eastAsia="宋体" w:cs="Times New Roman"/>
      <w:kern w:val="2"/>
      <w:sz w:val="24"/>
      <w:szCs w:val="20"/>
      <w:lang w:val="en-US" w:eastAsia="zh-CN" w:bidi="ar-SA"/>
    </w:rPr>
  </w:style>
  <w:style w:type="paragraph" w:customStyle="1" w:styleId="37">
    <w:name w:val="Heading 5_0"/>
    <w:basedOn w:val="1"/>
    <w:next w:val="36"/>
    <w:qFormat/>
    <w:uiPriority w:val="0"/>
    <w:pPr>
      <w:spacing w:after="160" w:line="360" w:lineRule="auto"/>
      <w:ind w:left="991" w:hanging="991"/>
      <w:outlineLvl w:val="4"/>
    </w:pPr>
    <w:rPr>
      <w:rFonts w:ascii="Calibri" w:hAnsi="Calibri" w:eastAsia="黑体" w:cs="Times New Roman"/>
      <w:b/>
      <w:bCs/>
      <w:sz w:val="28"/>
      <w:szCs w:val="32"/>
    </w:rPr>
  </w:style>
  <w:style w:type="paragraph" w:customStyle="1" w:styleId="38">
    <w:name w:val="Normal_0_0"/>
    <w:next w:val="1"/>
    <w:qFormat/>
    <w:uiPriority w:val="0"/>
    <w:pPr>
      <w:overflowPunct w:val="0"/>
      <w:autoSpaceDE w:val="0"/>
      <w:autoSpaceDN w:val="0"/>
      <w:adjustRightInd w:val="0"/>
      <w:spacing w:after="160" w:line="259" w:lineRule="auto"/>
      <w:jc w:val="both"/>
      <w:textAlignment w:val="baseline"/>
    </w:pPr>
    <w:rPr>
      <w:rFonts w:ascii="Times New Roman" w:hAnsi="Times New Roman" w:eastAsia="宋体" w:cs="Times New Roman"/>
      <w:kern w:val="0"/>
      <w:sz w:val="21"/>
      <w:szCs w:val="20"/>
      <w:lang w:val="en-US" w:eastAsia="zh-CN" w:bidi="ar-SA"/>
    </w:rPr>
  </w:style>
  <w:style w:type="paragraph" w:customStyle="1" w:styleId="39">
    <w:name w:val="Table Text"/>
    <w:basedOn w:val="1"/>
    <w:qFormat/>
    <w:uiPriority w:val="0"/>
    <w:pPr>
      <w:spacing w:before="100" w:beforeAutospacing="1" w:after="160" w:line="256" w:lineRule="auto"/>
    </w:pPr>
    <w:rPr>
      <w:rFonts w:ascii="宋体" w:hAnsi="宋体" w:eastAsia="宋体" w:cs="宋体"/>
      <w:szCs w:val="21"/>
    </w:rPr>
  </w:style>
  <w:style w:type="paragraph" w:customStyle="1" w:styleId="40">
    <w:name w:val="MsoNormal"/>
    <w:basedOn w:val="1"/>
    <w:qFormat/>
    <w:uiPriority w:val="0"/>
    <w:pPr>
      <w:widowControl/>
      <w:jc w:val="left"/>
    </w:pPr>
    <w:rPr>
      <w:rFonts w:ascii="Times New Roman" w:hAnsi="Times New Roman" w:eastAsia="Times New Roman" w:cs="Times New Roman"/>
      <w:kern w:val="0"/>
      <w:sz w:val="24"/>
      <w:szCs w:val="24"/>
      <w:lang w:eastAsia="en-US"/>
    </w:rPr>
  </w:style>
  <w:style w:type="paragraph" w:customStyle="1" w:styleId="41">
    <w:name w:val="MsoBodyText"/>
    <w:basedOn w:val="1"/>
    <w:qFormat/>
    <w:uiPriority w:val="0"/>
    <w:pPr>
      <w:widowControl/>
      <w:jc w:val="left"/>
    </w:pPr>
    <w:rPr>
      <w:rFonts w:ascii="Times New Roman" w:hAnsi="Times New Roman" w:eastAsia="Times New Roman" w:cs="Times New Roman"/>
      <w:kern w:val="0"/>
      <w:sz w:val="24"/>
      <w:szCs w:val="24"/>
      <w:lang w:eastAsia="en-US"/>
    </w:rPr>
  </w:style>
  <w:style w:type="paragraph" w:customStyle="1" w:styleId="42">
    <w:name w:val="p"/>
    <w:basedOn w:val="1"/>
    <w:qFormat/>
    <w:uiPriority w:val="0"/>
    <w:pPr>
      <w:widowControl/>
      <w:jc w:val="left"/>
    </w:pPr>
    <w:rPr>
      <w:rFonts w:ascii="Times New Roman" w:hAnsi="Times New Roman" w:eastAsia="Times New Roman" w:cs="Times New Roman"/>
      <w:kern w:val="0"/>
      <w:sz w:val="24"/>
      <w:szCs w:val="24"/>
      <w:lang w:eastAsia="en-US"/>
    </w:rPr>
  </w:style>
  <w:style w:type="paragraph" w:customStyle="1" w:styleId="43">
    <w:name w:val="正文缩进2"/>
    <w:basedOn w:val="1"/>
    <w:qFormat/>
    <w:uiPriority w:val="0"/>
    <w:pPr>
      <w:wordWrap w:val="0"/>
      <w:ind w:firstLine="480"/>
    </w:pPr>
    <w:rPr>
      <w:iCs/>
      <w:shd w:val="clear" w:color="auto" w:fill="FFFFFF"/>
      <w:lang w:val="zh-CN"/>
    </w:rPr>
  </w:style>
  <w:style w:type="character" w:customStyle="1" w:styleId="44">
    <w:name w:val="标题 2 Char"/>
    <w:basedOn w:val="23"/>
    <w:link w:val="4"/>
    <w:qFormat/>
    <w:uiPriority w:val="9"/>
    <w:rPr>
      <w:rFonts w:ascii="Cambria" w:hAnsi="Cambria" w:eastAsia="方正大标宋简体" w:cs="Times New Roman"/>
      <w:bCs/>
      <w:sz w:val="36"/>
      <w:szCs w:val="32"/>
    </w:rPr>
  </w:style>
  <w:style w:type="character" w:customStyle="1" w:styleId="45">
    <w:name w:val="标题 3 Char"/>
    <w:basedOn w:val="23"/>
    <w:link w:val="5"/>
    <w:qFormat/>
    <w:uiPriority w:val="0"/>
    <w:rPr>
      <w:rFonts w:ascii="Calibri" w:hAnsi="Calibri" w:eastAsia="黑体" w:cs="Times New Roman"/>
      <w:bCs/>
      <w:kern w:val="0"/>
      <w:sz w:val="32"/>
      <w:szCs w:val="32"/>
    </w:rPr>
  </w:style>
  <w:style w:type="character" w:customStyle="1" w:styleId="46">
    <w:name w:val="标题 4 Char"/>
    <w:basedOn w:val="23"/>
    <w:link w:val="6"/>
    <w:qFormat/>
    <w:uiPriority w:val="0"/>
    <w:rPr>
      <w:rFonts w:ascii="Cambria" w:hAnsi="Cambria" w:eastAsia="宋体" w:cs="黑体"/>
      <w:b/>
      <w:bCs/>
      <w:sz w:val="28"/>
      <w:szCs w:val="28"/>
    </w:rPr>
  </w:style>
  <w:style w:type="character" w:customStyle="1" w:styleId="47">
    <w:name w:val="标题 5 Char"/>
    <w:basedOn w:val="23"/>
    <w:link w:val="7"/>
    <w:qFormat/>
    <w:uiPriority w:val="9"/>
    <w:rPr>
      <w:rFonts w:ascii="Times New Roman" w:hAnsi="Times New Roman" w:eastAsia="FangSong_GB2312" w:cs="宋体"/>
      <w:bCs/>
      <w:szCs w:val="28"/>
    </w:rPr>
  </w:style>
  <w:style w:type="character" w:customStyle="1" w:styleId="48">
    <w:name w:val="批注文字 Char"/>
    <w:basedOn w:val="23"/>
    <w:link w:val="11"/>
    <w:qFormat/>
    <w:uiPriority w:val="99"/>
    <w:rPr>
      <w:rFonts w:ascii="Calibri" w:hAnsi="Calibri" w:eastAsia="宋体" w:cs="Times New Roman"/>
    </w:rPr>
  </w:style>
  <w:style w:type="character" w:customStyle="1" w:styleId="49">
    <w:name w:val="正文文本 Char"/>
    <w:basedOn w:val="23"/>
    <w:link w:val="2"/>
    <w:qFormat/>
    <w:uiPriority w:val="0"/>
    <w:rPr>
      <w:rFonts w:ascii="Calibri" w:hAnsi="Calibri" w:eastAsia="宋体" w:cs="Times New Roman"/>
      <w:b/>
      <w:szCs w:val="24"/>
    </w:rPr>
  </w:style>
  <w:style w:type="character" w:customStyle="1" w:styleId="50">
    <w:name w:val="纯文本 Char"/>
    <w:basedOn w:val="23"/>
    <w:link w:val="13"/>
    <w:qFormat/>
    <w:uiPriority w:val="99"/>
    <w:rPr>
      <w:rFonts w:ascii="宋体" w:hAnsi="Courier New" w:eastAsia="宋体" w:cs="Courier New"/>
      <w:szCs w:val="21"/>
    </w:rPr>
  </w:style>
  <w:style w:type="character" w:customStyle="1" w:styleId="51">
    <w:name w:val="日期 Char"/>
    <w:basedOn w:val="23"/>
    <w:link w:val="14"/>
    <w:qFormat/>
    <w:uiPriority w:val="0"/>
    <w:rPr>
      <w:rFonts w:ascii="Calibri" w:hAnsi="Calibri" w:eastAsia="宋体" w:cs="Times New Roman"/>
    </w:rPr>
  </w:style>
  <w:style w:type="character" w:customStyle="1" w:styleId="52">
    <w:name w:val="批注框文本 Char"/>
    <w:basedOn w:val="23"/>
    <w:link w:val="15"/>
    <w:qFormat/>
    <w:uiPriority w:val="99"/>
    <w:rPr>
      <w:rFonts w:ascii="Calibri" w:hAnsi="Calibri" w:eastAsia="宋体" w:cs="Times New Roman"/>
      <w:sz w:val="18"/>
      <w:szCs w:val="18"/>
    </w:rPr>
  </w:style>
  <w:style w:type="character" w:customStyle="1" w:styleId="53">
    <w:name w:val="页脚 Char"/>
    <w:basedOn w:val="23"/>
    <w:link w:val="16"/>
    <w:qFormat/>
    <w:uiPriority w:val="99"/>
    <w:rPr>
      <w:rFonts w:ascii="Calibri" w:hAnsi="Calibri" w:eastAsia="宋体" w:cs="Times New Roman"/>
      <w:sz w:val="18"/>
      <w:szCs w:val="18"/>
    </w:rPr>
  </w:style>
  <w:style w:type="character" w:customStyle="1" w:styleId="54">
    <w:name w:val="页眉 Char"/>
    <w:basedOn w:val="23"/>
    <w:link w:val="17"/>
    <w:qFormat/>
    <w:uiPriority w:val="99"/>
    <w:rPr>
      <w:rFonts w:ascii="Calibri" w:hAnsi="Calibri" w:eastAsia="宋体" w:cs="Times New Roman"/>
      <w:sz w:val="18"/>
      <w:szCs w:val="18"/>
    </w:rPr>
  </w:style>
  <w:style w:type="character" w:customStyle="1" w:styleId="55">
    <w:name w:val="批注主题 Char"/>
    <w:basedOn w:val="48"/>
    <w:link w:val="21"/>
    <w:qFormat/>
    <w:uiPriority w:val="0"/>
    <w:rPr>
      <w:b/>
      <w:bCs/>
    </w:rPr>
  </w:style>
  <w:style w:type="character" w:customStyle="1" w:styleId="56">
    <w:name w:val="普通(网站) Char"/>
    <w:link w:val="9"/>
    <w:qFormat/>
    <w:uiPriority w:val="0"/>
    <w:rPr>
      <w:rFonts w:ascii="宋体" w:hAnsi="宋体" w:eastAsia="宋体" w:cs="Times New Roman"/>
      <w:kern w:val="0"/>
      <w:sz w:val="24"/>
      <w:szCs w:val="24"/>
    </w:rPr>
  </w:style>
  <w:style w:type="character" w:customStyle="1" w:styleId="57">
    <w:name w:val="NormalCharacter"/>
    <w:qFormat/>
    <w:uiPriority w:val="99"/>
  </w:style>
  <w:style w:type="character" w:customStyle="1" w:styleId="58">
    <w:name w:val="UserStyle_2"/>
    <w:link w:val="33"/>
    <w:qFormat/>
    <w:uiPriority w:val="99"/>
    <w:rPr>
      <w:rFonts w:ascii="宋体" w:hAnsi="Courier New"/>
    </w:rPr>
  </w:style>
  <w:style w:type="character" w:customStyle="1" w:styleId="59">
    <w:name w:val="列出段落 Char"/>
    <w:link w:val="34"/>
    <w:qFormat/>
    <w:uiPriority w:val="34"/>
    <w:rPr>
      <w:szCs w:val="21"/>
    </w:rPr>
  </w:style>
  <w:style w:type="character" w:customStyle="1" w:styleId="60">
    <w:name w:val="标题 4 Char1"/>
    <w:basedOn w:val="23"/>
    <w:link w:val="6"/>
    <w:qFormat/>
    <w:uiPriority w:val="0"/>
    <w:rPr>
      <w:rFonts w:ascii="Cambria" w:hAnsi="Cambria" w:eastAsia="宋体" w:cs="Times New Roman"/>
      <w:b/>
      <w:bCs/>
      <w:sz w:val="28"/>
      <w:szCs w:val="28"/>
    </w:rPr>
  </w:style>
  <w:style w:type="character" w:customStyle="1" w:styleId="61">
    <w:name w:val="font01"/>
    <w:basedOn w:val="23"/>
    <w:qFormat/>
    <w:uiPriority w:val="0"/>
    <w:rPr>
      <w:rFonts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1"/>
    <customShpInfo spid="_x0000_s2050"/>
    <customShpInfo spid="_x0000_s2052"/>
    <customShpInfo spid="_x0000_s2054"/>
    <customShpInfo spid="_x0000_s2053"/>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90</Pages>
  <Words>96</Words>
  <Characters>111</Characters>
  <Lines>1505</Lines>
  <Paragraphs>1438</Paragraphs>
  <TotalTime>2</TotalTime>
  <ScaleCrop>false</ScaleCrop>
  <LinksUpToDate>false</LinksUpToDate>
  <CharactersWithSpaces>118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2025-03-19T23:41:00Z</dcterms:created>
  <dc:creator>微软用户</dc:creator>
  <cp:lastModifiedBy>JP</cp:lastModifiedBy>
  <cp:lastPrinted>2026-04-28T09:40:00Z</cp:lastPrinted>
  <dcterms:modified xsi:type="dcterms:W3CDTF">2026-06-16T06:15:07Z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eyJoZGlkIjoiNzZmM2IxN2VlOGY4MjRjM2VhNGQ5OGYyODVlYjgwNjciLCJ1c2VySWQiOiIxMDU3MTQ5MTEwIn0=</vt:lpwstr>
  </property>
  <property fmtid="{D5CDD505-2E9C-101B-9397-08002B2CF9AE}" pid="3" name="KSOProductBuildVer">
    <vt:lpwstr>2052-12.1.0.26895</vt:lpwstr>
  </property>
  <property fmtid="{D5CDD505-2E9C-101B-9397-08002B2CF9AE}" pid="4" name="ICV">
    <vt:lpwstr>D2A7E78CB6A64657ACB3FCF36DED738B_13</vt:lpwstr>
  </property>
</Properties>
</file>