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9934E6">
      <w:pPr>
        <w:spacing w:line="720" w:lineRule="auto"/>
        <w:ind w:left="-315" w:leftChars="-150"/>
        <w:jc w:val="center"/>
        <w:rPr>
          <w:rFonts w:ascii="仿宋" w:hAnsi="仿宋" w:eastAsia="仿宋" w:cs="仿宋"/>
          <w:color w:val="auto"/>
          <w:sz w:val="44"/>
          <w:szCs w:val="44"/>
          <w:highlight w:val="none"/>
        </w:rPr>
      </w:pPr>
      <w:bookmarkStart w:id="0" w:name="_Toc451447849"/>
      <w:bookmarkStart w:id="1" w:name="_Toc11294"/>
      <w:bookmarkStart w:id="2" w:name="_Toc30974"/>
      <w:r>
        <w:rPr>
          <w:rFonts w:hint="eastAsia" w:ascii="宋体" w:hAnsi="宋体" w:cs="宋体"/>
          <w:color w:val="auto"/>
          <w:sz w:val="36"/>
          <w:szCs w:val="36"/>
          <w:highlight w:val="none"/>
        </w:rPr>
        <w:drawing>
          <wp:anchor distT="0" distB="0" distL="114300" distR="114300" simplePos="0" relativeHeight="251661312" behindDoc="1" locked="0" layoutInCell="1" allowOverlap="1">
            <wp:simplePos x="0" y="0"/>
            <wp:positionH relativeFrom="column">
              <wp:posOffset>5004435</wp:posOffset>
            </wp:positionH>
            <wp:positionV relativeFrom="paragraph">
              <wp:posOffset>78105</wp:posOffset>
            </wp:positionV>
            <wp:extent cx="847725" cy="962025"/>
            <wp:effectExtent l="0" t="0" r="9525" b="9525"/>
            <wp:wrapTight wrapText="bothSides">
              <wp:wrapPolygon>
                <wp:start x="0" y="0"/>
                <wp:lineTo x="0" y="21386"/>
                <wp:lineTo x="21357" y="21386"/>
                <wp:lineTo x="21357" y="0"/>
                <wp:lineTo x="0" y="0"/>
              </wp:wrapPolygon>
            </wp:wrapTight>
            <wp:docPr id="23" name="图片 4"/>
            <wp:cNvGraphicFramePr/>
            <a:graphic xmlns:a="http://schemas.openxmlformats.org/drawingml/2006/main">
              <a:graphicData uri="http://schemas.openxmlformats.org/drawingml/2006/picture">
                <pic:pic xmlns:pic="http://schemas.openxmlformats.org/drawingml/2006/picture">
                  <pic:nvPicPr>
                    <pic:cNvPr id="23" name="图片 4"/>
                    <pic:cNvPicPr/>
                  </pic:nvPicPr>
                  <pic:blipFill>
                    <a:blip r:embed="rId20"/>
                    <a:stretch>
                      <a:fillRect/>
                    </a:stretch>
                  </pic:blipFill>
                  <pic:spPr>
                    <a:xfrm>
                      <a:off x="0" y="0"/>
                      <a:ext cx="847725" cy="962025"/>
                    </a:xfrm>
                    <a:prstGeom prst="rect">
                      <a:avLst/>
                    </a:prstGeom>
                    <a:noFill/>
                    <a:ln>
                      <a:noFill/>
                    </a:ln>
                  </pic:spPr>
                </pic:pic>
              </a:graphicData>
            </a:graphic>
          </wp:anchor>
        </w:drawing>
      </w:r>
    </w:p>
    <w:p w14:paraId="403D53E3">
      <w:pPr>
        <w:spacing w:line="720" w:lineRule="auto"/>
        <w:ind w:left="-315" w:leftChars="-150"/>
        <w:jc w:val="center"/>
        <w:rPr>
          <w:rFonts w:ascii="仿宋" w:hAnsi="仿宋" w:eastAsia="仿宋" w:cs="仿宋"/>
          <w:b/>
          <w:bCs/>
          <w:color w:val="auto"/>
          <w:sz w:val="44"/>
          <w:szCs w:val="44"/>
          <w:highlight w:val="none"/>
        </w:rPr>
      </w:pPr>
    </w:p>
    <w:p w14:paraId="604D417D">
      <w:pPr>
        <w:spacing w:line="720" w:lineRule="auto"/>
        <w:ind w:left="-315" w:leftChars="-150"/>
        <w:jc w:val="center"/>
        <w:rPr>
          <w:rFonts w:ascii="仿宋" w:hAnsi="仿宋" w:eastAsia="仿宋" w:cs="仿宋"/>
          <w:b/>
          <w:color w:val="auto"/>
          <w:sz w:val="48"/>
          <w:szCs w:val="48"/>
          <w:highlight w:val="none"/>
        </w:rPr>
      </w:pPr>
      <w:r>
        <w:rPr>
          <w:rFonts w:hint="eastAsia" w:ascii="仿宋" w:hAnsi="仿宋" w:eastAsia="仿宋" w:cs="仿宋"/>
          <w:b/>
          <w:bCs/>
          <w:color w:val="auto"/>
          <w:sz w:val="40"/>
          <w:szCs w:val="40"/>
          <w:highlight w:val="none"/>
        </w:rPr>
        <w:t>华中科技大学同济医学院附属梨园医院诊疗环境修缮改造项目-血液净化中心改造工程（施工设计一体化）</w:t>
      </w:r>
    </w:p>
    <w:p w14:paraId="10BAC8F6">
      <w:pPr>
        <w:rPr>
          <w:rFonts w:ascii="仿宋" w:hAnsi="仿宋" w:eastAsia="仿宋" w:cs="仿宋"/>
          <w:color w:val="auto"/>
          <w:sz w:val="18"/>
          <w:szCs w:val="18"/>
          <w:highlight w:val="none"/>
        </w:rPr>
      </w:pPr>
    </w:p>
    <w:p w14:paraId="3095D9B5">
      <w:pPr>
        <w:pStyle w:val="20"/>
        <w:tabs>
          <w:tab w:val="left" w:pos="1435"/>
          <w:tab w:val="left" w:pos="2695"/>
          <w:tab w:val="left" w:pos="3955"/>
        </w:tabs>
        <w:rPr>
          <w:rFonts w:ascii="仿宋" w:hAnsi="仿宋" w:eastAsia="仿宋" w:cs="仿宋"/>
          <w:b/>
          <w:bCs/>
          <w:color w:val="auto"/>
          <w:highlight w:val="none"/>
        </w:rPr>
      </w:pPr>
      <w:r>
        <w:rPr>
          <w:rFonts w:hint="eastAsia" w:ascii="仿宋" w:hAnsi="仿宋" w:eastAsia="仿宋" w:cs="仿宋"/>
          <w:b/>
          <w:bCs/>
          <w:color w:val="auto"/>
          <w:highlight w:val="none"/>
        </w:rPr>
        <w:t>招</w:t>
      </w:r>
    </w:p>
    <w:p w14:paraId="2CDEFB2E">
      <w:pPr>
        <w:pStyle w:val="20"/>
        <w:tabs>
          <w:tab w:val="left" w:pos="1435"/>
          <w:tab w:val="left" w:pos="2695"/>
          <w:tab w:val="left" w:pos="3955"/>
        </w:tabs>
        <w:rPr>
          <w:rFonts w:ascii="仿宋" w:hAnsi="仿宋" w:eastAsia="仿宋" w:cs="仿宋"/>
          <w:b/>
          <w:bCs/>
          <w:color w:val="auto"/>
          <w:highlight w:val="none"/>
        </w:rPr>
      </w:pPr>
      <w:r>
        <w:rPr>
          <w:rFonts w:hint="eastAsia" w:ascii="仿宋" w:hAnsi="仿宋" w:eastAsia="仿宋" w:cs="仿宋"/>
          <w:b/>
          <w:bCs/>
          <w:color w:val="auto"/>
          <w:highlight w:val="none"/>
        </w:rPr>
        <w:t>标</w:t>
      </w:r>
    </w:p>
    <w:p w14:paraId="67D73AA4">
      <w:pPr>
        <w:pStyle w:val="20"/>
        <w:tabs>
          <w:tab w:val="left" w:pos="1435"/>
          <w:tab w:val="left" w:pos="2695"/>
          <w:tab w:val="left" w:pos="3955"/>
        </w:tabs>
        <w:rPr>
          <w:rFonts w:ascii="仿宋" w:hAnsi="仿宋" w:eastAsia="仿宋" w:cs="仿宋"/>
          <w:b/>
          <w:bCs/>
          <w:color w:val="auto"/>
          <w:highlight w:val="none"/>
        </w:rPr>
      </w:pPr>
      <w:r>
        <w:rPr>
          <w:rFonts w:hint="eastAsia" w:ascii="仿宋" w:hAnsi="仿宋" w:eastAsia="仿宋" w:cs="仿宋"/>
          <w:b/>
          <w:bCs/>
          <w:color w:val="auto"/>
          <w:highlight w:val="none"/>
        </w:rPr>
        <w:t>文</w:t>
      </w:r>
    </w:p>
    <w:p w14:paraId="7AC35CBF">
      <w:pPr>
        <w:pStyle w:val="20"/>
        <w:tabs>
          <w:tab w:val="left" w:pos="1435"/>
          <w:tab w:val="left" w:pos="2695"/>
          <w:tab w:val="left" w:pos="3955"/>
        </w:tabs>
        <w:rPr>
          <w:rFonts w:ascii="仿宋" w:hAnsi="仿宋" w:eastAsia="仿宋" w:cs="仿宋"/>
          <w:b/>
          <w:bCs/>
          <w:color w:val="auto"/>
          <w:highlight w:val="none"/>
        </w:rPr>
      </w:pPr>
      <w:r>
        <w:rPr>
          <w:rFonts w:hint="eastAsia" w:ascii="仿宋" w:hAnsi="仿宋" w:eastAsia="仿宋" w:cs="仿宋"/>
          <w:b/>
          <w:bCs/>
          <w:color w:val="auto"/>
          <w:highlight w:val="none"/>
        </w:rPr>
        <w:t>件</w:t>
      </w:r>
    </w:p>
    <w:p w14:paraId="6C18061C">
      <w:pPr>
        <w:pStyle w:val="9"/>
        <w:rPr>
          <w:rFonts w:ascii="仿宋" w:hAnsi="仿宋" w:eastAsia="仿宋" w:cs="仿宋"/>
          <w:color w:val="auto"/>
          <w:sz w:val="32"/>
          <w:highlight w:val="none"/>
        </w:rPr>
      </w:pPr>
    </w:p>
    <w:p w14:paraId="63FD1A27">
      <w:pPr>
        <w:pStyle w:val="9"/>
        <w:rPr>
          <w:rFonts w:ascii="仿宋" w:hAnsi="仿宋" w:eastAsia="仿宋" w:cs="仿宋"/>
          <w:color w:val="auto"/>
          <w:sz w:val="32"/>
          <w:highlight w:val="none"/>
        </w:rPr>
      </w:pPr>
    </w:p>
    <w:p w14:paraId="3DE3C677">
      <w:pPr>
        <w:spacing w:line="480" w:lineRule="auto"/>
        <w:rPr>
          <w:rFonts w:ascii="仿宋" w:hAnsi="仿宋" w:eastAsia="仿宋" w:cs="仿宋"/>
          <w:color w:val="auto"/>
          <w:sz w:val="28"/>
          <w:highlight w:val="none"/>
        </w:rPr>
      </w:pPr>
      <w:r>
        <w:rPr>
          <w:rFonts w:hint="eastAsia" w:ascii="仿宋" w:hAnsi="仿宋" w:eastAsia="仿宋" w:cs="仿宋"/>
          <w:color w:val="auto"/>
          <w:sz w:val="28"/>
          <w:highlight w:val="none"/>
        </w:rPr>
        <w:t>招标人：</w:t>
      </w:r>
      <w:r>
        <w:rPr>
          <w:rFonts w:hint="eastAsia" w:ascii="仿宋" w:hAnsi="仿宋" w:eastAsia="仿宋" w:cs="仿宋"/>
          <w:color w:val="auto"/>
          <w:sz w:val="28"/>
          <w:highlight w:val="none"/>
          <w:u w:val="single"/>
        </w:rPr>
        <w:t>华中科技大学同济医学院附属梨园医院</w:t>
      </w:r>
    </w:p>
    <w:p w14:paraId="712DC659">
      <w:pPr>
        <w:spacing w:line="480" w:lineRule="auto"/>
        <w:rPr>
          <w:rFonts w:ascii="仿宋" w:hAnsi="仿宋" w:eastAsia="仿宋" w:cs="仿宋"/>
          <w:color w:val="auto"/>
          <w:sz w:val="36"/>
          <w:szCs w:val="36"/>
          <w:highlight w:val="none"/>
        </w:rPr>
      </w:pPr>
      <w:r>
        <w:rPr>
          <w:rFonts w:hint="eastAsia" w:ascii="仿宋" w:hAnsi="仿宋" w:eastAsia="仿宋" w:cs="仿宋"/>
          <w:color w:val="auto"/>
          <w:sz w:val="28"/>
          <w:highlight w:val="none"/>
        </w:rPr>
        <w:t>招标代理机构：</w:t>
      </w:r>
      <w:r>
        <w:rPr>
          <w:rFonts w:hint="eastAsia" w:ascii="仿宋" w:hAnsi="仿宋" w:eastAsia="仿宋" w:cs="仿宋"/>
          <w:color w:val="auto"/>
          <w:spacing w:val="-1"/>
          <w:sz w:val="28"/>
          <w:szCs w:val="28"/>
          <w:highlight w:val="none"/>
          <w:u w:val="single"/>
        </w:rPr>
        <w:t>华尔兹国际工程咨询（湖北）有限公司</w:t>
      </w:r>
    </w:p>
    <w:p w14:paraId="65F4E060">
      <w:pPr>
        <w:tabs>
          <w:tab w:val="left" w:pos="1401"/>
          <w:tab w:val="left" w:pos="6371"/>
        </w:tabs>
        <w:spacing w:before="62" w:line="480" w:lineRule="auto"/>
        <w:ind w:right="303"/>
        <w:rPr>
          <w:rFonts w:ascii="仿宋" w:hAnsi="仿宋" w:eastAsia="仿宋" w:cs="仿宋"/>
          <w:color w:val="auto"/>
          <w:sz w:val="28"/>
          <w:highlight w:val="none"/>
        </w:rPr>
      </w:pPr>
      <w:r>
        <w:rPr>
          <w:rFonts w:hint="eastAsia" w:ascii="仿宋" w:hAnsi="仿宋" w:eastAsia="仿宋" w:cs="仿宋"/>
          <w:color w:val="auto"/>
          <w:sz w:val="28"/>
          <w:highlight w:val="none"/>
        </w:rPr>
        <w:t>日   期</w:t>
      </w:r>
      <w:r>
        <w:rPr>
          <w:rFonts w:hint="eastAsia" w:ascii="仿宋" w:hAnsi="仿宋" w:eastAsia="仿宋" w:cs="仿宋"/>
          <w:color w:val="auto"/>
          <w:spacing w:val="-4"/>
          <w:sz w:val="28"/>
          <w:highlight w:val="none"/>
        </w:rPr>
        <w:t>：</w:t>
      </w:r>
      <w:r>
        <w:rPr>
          <w:rFonts w:hint="eastAsia" w:ascii="仿宋" w:hAnsi="仿宋" w:eastAsia="仿宋" w:cs="仿宋"/>
          <w:color w:val="auto"/>
          <w:sz w:val="28"/>
          <w:highlight w:val="none"/>
          <w:u w:val="single"/>
        </w:rPr>
        <w:t>2026年0</w:t>
      </w:r>
      <w:r>
        <w:rPr>
          <w:rFonts w:hint="eastAsia" w:ascii="仿宋" w:hAnsi="仿宋" w:eastAsia="仿宋" w:cs="仿宋"/>
          <w:color w:val="auto"/>
          <w:sz w:val="28"/>
          <w:highlight w:val="none"/>
          <w:u w:val="single"/>
          <w:lang w:val="en-US" w:eastAsia="zh-CN"/>
        </w:rPr>
        <w:t>7</w:t>
      </w:r>
      <w:r>
        <w:rPr>
          <w:rFonts w:hint="eastAsia" w:ascii="仿宋" w:hAnsi="仿宋" w:eastAsia="仿宋" w:cs="仿宋"/>
          <w:color w:val="auto"/>
          <w:sz w:val="28"/>
          <w:highlight w:val="none"/>
          <w:u w:val="single"/>
        </w:rPr>
        <w:t>月</w:t>
      </w:r>
    </w:p>
    <w:p w14:paraId="3A1C49E8">
      <w:pPr>
        <w:pStyle w:val="16"/>
        <w:tabs>
          <w:tab w:val="right" w:leader="dot" w:pos="8573"/>
        </w:tabs>
        <w:jc w:val="center"/>
        <w:rPr>
          <w:rFonts w:ascii="仿宋" w:hAnsi="仿宋" w:eastAsia="仿宋" w:cs="仿宋"/>
          <w:b/>
          <w:color w:val="auto"/>
          <w:sz w:val="36"/>
          <w:szCs w:val="36"/>
          <w:highlight w:val="none"/>
        </w:rPr>
        <w:sectPr>
          <w:footerReference r:id="rId3" w:type="default"/>
          <w:endnotePr>
            <w:numFmt w:val="decimal"/>
          </w:endnotePr>
          <w:pgSz w:w="11906" w:h="16838"/>
          <w:pgMar w:top="1418" w:right="1418" w:bottom="1418" w:left="1418" w:header="851" w:footer="992" w:gutter="0"/>
          <w:pgNumType w:start="1"/>
          <w:cols w:space="720" w:num="1"/>
          <w:docGrid w:type="lines" w:linePitch="312" w:charSpace="0"/>
        </w:sectPr>
      </w:pPr>
    </w:p>
    <w:p w14:paraId="40B6248E">
      <w:pPr>
        <w:pStyle w:val="16"/>
        <w:tabs>
          <w:tab w:val="right" w:leader="dot" w:pos="8573"/>
        </w:tabs>
        <w:jc w:val="center"/>
        <w:rPr>
          <w:rFonts w:ascii="仿宋" w:hAnsi="仿宋" w:eastAsia="仿宋" w:cs="仿宋"/>
          <w:b/>
          <w:color w:val="auto"/>
          <w:sz w:val="36"/>
          <w:szCs w:val="36"/>
          <w:highlight w:val="none"/>
        </w:rPr>
      </w:pPr>
      <w:r>
        <w:rPr>
          <w:rFonts w:hint="eastAsia" w:ascii="仿宋" w:hAnsi="仿宋" w:eastAsia="仿宋" w:cs="仿宋"/>
          <w:b/>
          <w:color w:val="auto"/>
          <w:sz w:val="36"/>
          <w:szCs w:val="36"/>
          <w:highlight w:val="none"/>
        </w:rPr>
        <w:t>目    录</w:t>
      </w:r>
    </w:p>
    <w:p w14:paraId="678E53EC">
      <w:pPr>
        <w:pStyle w:val="16"/>
        <w:tabs>
          <w:tab w:val="right" w:leader="dot" w:pos="9070"/>
        </w:tabs>
        <w:spacing w:line="360" w:lineRule="auto"/>
        <w:rPr>
          <w:rFonts w:ascii="仿宋" w:hAnsi="仿宋" w:eastAsia="仿宋" w:cs="仿宋"/>
          <w:color w:val="auto"/>
          <w:sz w:val="24"/>
          <w:highlight w:val="none"/>
        </w:rPr>
      </w:pPr>
      <w:bookmarkStart w:id="3" w:name="_Toc4234"/>
      <w:bookmarkStart w:id="4" w:name="_Toc23490"/>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TOC \o "1-4" \h \u </w:instrText>
      </w:r>
      <w:r>
        <w:rPr>
          <w:rFonts w:hint="eastAsia" w:ascii="仿宋" w:hAnsi="仿宋" w:eastAsia="仿宋" w:cs="仿宋"/>
          <w:color w:val="auto"/>
          <w:sz w:val="24"/>
          <w:highlight w:val="none"/>
        </w:rPr>
        <w:fldChar w:fldCharType="separate"/>
      </w:r>
      <w:r>
        <w:rPr>
          <w:color w:val="auto"/>
          <w:highlight w:val="none"/>
        </w:rPr>
        <w:fldChar w:fldCharType="begin"/>
      </w:r>
      <w:r>
        <w:rPr>
          <w:color w:val="auto"/>
          <w:highlight w:val="none"/>
        </w:rPr>
        <w:instrText xml:space="preserve"> HYPERLINK \l "_Toc11942" </w:instrText>
      </w:r>
      <w:r>
        <w:rPr>
          <w:color w:val="auto"/>
          <w:highlight w:val="none"/>
        </w:rPr>
        <w:fldChar w:fldCharType="separate"/>
      </w:r>
      <w:r>
        <w:rPr>
          <w:rFonts w:hint="eastAsia" w:ascii="仿宋" w:hAnsi="仿宋" w:eastAsia="仿宋" w:cs="仿宋"/>
          <w:color w:val="auto"/>
          <w:sz w:val="24"/>
          <w:highlight w:val="none"/>
        </w:rPr>
        <w:t>第一章、招标公告</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_Toc11942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1</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7AAF7761">
      <w:pPr>
        <w:pStyle w:val="16"/>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"_Toc17505" </w:instrText>
      </w:r>
      <w:r>
        <w:rPr>
          <w:color w:val="auto"/>
          <w:highlight w:val="none"/>
        </w:rPr>
        <w:fldChar w:fldCharType="separate"/>
      </w:r>
      <w:r>
        <w:rPr>
          <w:rFonts w:hint="eastAsia" w:ascii="仿宋" w:hAnsi="仿宋" w:eastAsia="仿宋" w:cs="仿宋"/>
          <w:color w:val="auto"/>
          <w:sz w:val="24"/>
          <w:highlight w:val="none"/>
        </w:rPr>
        <w:t>第二章 投标人须知</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_Toc17505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4</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712B99F0">
      <w:pPr>
        <w:pStyle w:val="17"/>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"_Toc9040" </w:instrText>
      </w:r>
      <w:r>
        <w:rPr>
          <w:color w:val="auto"/>
          <w:highlight w:val="none"/>
        </w:rPr>
        <w:fldChar w:fldCharType="separate"/>
      </w:r>
      <w:r>
        <w:rPr>
          <w:rFonts w:hint="eastAsia" w:ascii="仿宋" w:hAnsi="仿宋" w:eastAsia="仿宋" w:cs="仿宋"/>
          <w:color w:val="auto"/>
          <w:sz w:val="24"/>
          <w:highlight w:val="none"/>
        </w:rPr>
        <w:t>一、 投标人须知前附表</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_Toc9040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4</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023DC7E0">
      <w:pPr>
        <w:pStyle w:val="17"/>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"_Toc1743" </w:instrText>
      </w:r>
      <w:r>
        <w:rPr>
          <w:color w:val="auto"/>
          <w:highlight w:val="none"/>
        </w:rPr>
        <w:fldChar w:fldCharType="separate"/>
      </w:r>
      <w:r>
        <w:rPr>
          <w:rFonts w:hint="eastAsia" w:ascii="仿宋" w:hAnsi="仿宋" w:eastAsia="仿宋" w:cs="仿宋"/>
          <w:color w:val="auto"/>
          <w:sz w:val="24"/>
          <w:highlight w:val="none"/>
        </w:rPr>
        <w:t>合同通用条款前附表</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_Toc1743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9</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3967499D">
      <w:pPr>
        <w:pStyle w:val="17"/>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"_Toc31062" </w:instrText>
      </w:r>
      <w:r>
        <w:rPr>
          <w:color w:val="auto"/>
          <w:highlight w:val="none"/>
        </w:rPr>
        <w:fldChar w:fldCharType="separate"/>
      </w:r>
      <w:r>
        <w:rPr>
          <w:rFonts w:hint="eastAsia" w:ascii="仿宋" w:hAnsi="仿宋" w:eastAsia="仿宋" w:cs="仿宋"/>
          <w:color w:val="auto"/>
          <w:sz w:val="24"/>
          <w:highlight w:val="none"/>
        </w:rPr>
        <w:t>1. 说  明</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_Toc31062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10</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49C5A7FC">
      <w:pPr>
        <w:pStyle w:val="17"/>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"_Toc12518" </w:instrText>
      </w:r>
      <w:r>
        <w:rPr>
          <w:color w:val="auto"/>
          <w:highlight w:val="none"/>
        </w:rPr>
        <w:fldChar w:fldCharType="separate"/>
      </w:r>
      <w:r>
        <w:rPr>
          <w:rFonts w:hint="eastAsia" w:ascii="仿宋" w:hAnsi="仿宋" w:eastAsia="仿宋" w:cs="仿宋"/>
          <w:color w:val="auto"/>
          <w:sz w:val="24"/>
          <w:highlight w:val="none"/>
        </w:rPr>
        <w:t>一、 总则</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_Toc12518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10</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13CAC956">
      <w:pPr>
        <w:pStyle w:val="12"/>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"_Toc27193" </w:instrText>
      </w:r>
      <w:r>
        <w:rPr>
          <w:color w:val="auto"/>
          <w:highlight w:val="none"/>
        </w:rPr>
        <w:fldChar w:fldCharType="separate"/>
      </w:r>
      <w:r>
        <w:rPr>
          <w:rFonts w:hint="eastAsia" w:ascii="仿宋" w:hAnsi="仿宋" w:eastAsia="仿宋" w:cs="仿宋"/>
          <w:color w:val="auto"/>
          <w:sz w:val="24"/>
          <w:highlight w:val="none"/>
        </w:rPr>
        <w:t>1.1 项目概况</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_Toc27193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10</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02E56366">
      <w:pPr>
        <w:pStyle w:val="12"/>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"_Toc13803" </w:instrText>
      </w:r>
      <w:r>
        <w:rPr>
          <w:color w:val="auto"/>
          <w:highlight w:val="none"/>
        </w:rPr>
        <w:fldChar w:fldCharType="separate"/>
      </w:r>
      <w:r>
        <w:rPr>
          <w:rFonts w:hint="eastAsia" w:ascii="仿宋" w:hAnsi="仿宋" w:eastAsia="仿宋" w:cs="仿宋"/>
          <w:color w:val="auto"/>
          <w:sz w:val="24"/>
          <w:highlight w:val="none"/>
        </w:rPr>
        <w:t>1.2 资金来源和落实情况</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_Toc13803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10</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559BA0FF">
      <w:pPr>
        <w:pStyle w:val="12"/>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"_Toc25800" </w:instrText>
      </w:r>
      <w:r>
        <w:rPr>
          <w:color w:val="auto"/>
          <w:highlight w:val="none"/>
        </w:rPr>
        <w:fldChar w:fldCharType="separate"/>
      </w:r>
      <w:r>
        <w:rPr>
          <w:rFonts w:hint="eastAsia" w:ascii="仿宋" w:hAnsi="仿宋" w:eastAsia="仿宋" w:cs="仿宋"/>
          <w:color w:val="auto"/>
          <w:sz w:val="24"/>
          <w:highlight w:val="none"/>
        </w:rPr>
        <w:t>1.3 采购范围、时间要求和质量要求</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_Toc25800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10</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797EF739">
      <w:pPr>
        <w:pStyle w:val="12"/>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"_Toc30597" </w:instrText>
      </w:r>
      <w:r>
        <w:rPr>
          <w:color w:val="auto"/>
          <w:highlight w:val="none"/>
        </w:rPr>
        <w:fldChar w:fldCharType="separate"/>
      </w:r>
      <w:r>
        <w:rPr>
          <w:rFonts w:hint="eastAsia" w:ascii="仿宋" w:hAnsi="仿宋" w:eastAsia="仿宋" w:cs="仿宋"/>
          <w:color w:val="auto"/>
          <w:sz w:val="24"/>
          <w:highlight w:val="none"/>
        </w:rPr>
        <w:t>1.4 供应商资格要求</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_Toc30597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10</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24CC8FB3">
      <w:pPr>
        <w:pStyle w:val="12"/>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"_Toc8640" </w:instrText>
      </w:r>
      <w:r>
        <w:rPr>
          <w:color w:val="auto"/>
          <w:highlight w:val="none"/>
        </w:rPr>
        <w:fldChar w:fldCharType="separate"/>
      </w:r>
      <w:r>
        <w:rPr>
          <w:rFonts w:hint="eastAsia" w:ascii="仿宋" w:hAnsi="仿宋" w:eastAsia="仿宋" w:cs="仿宋"/>
          <w:color w:val="auto"/>
          <w:sz w:val="24"/>
          <w:highlight w:val="none"/>
        </w:rPr>
        <w:t>1.5 费用承担</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_Toc8640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11</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6B0C4B43">
      <w:pPr>
        <w:pStyle w:val="12"/>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"_Toc31342" </w:instrText>
      </w:r>
      <w:r>
        <w:rPr>
          <w:color w:val="auto"/>
          <w:highlight w:val="none"/>
        </w:rPr>
        <w:fldChar w:fldCharType="separate"/>
      </w:r>
      <w:r>
        <w:rPr>
          <w:rFonts w:hint="eastAsia" w:ascii="仿宋" w:hAnsi="仿宋" w:eastAsia="仿宋" w:cs="仿宋"/>
          <w:color w:val="auto"/>
          <w:sz w:val="24"/>
          <w:highlight w:val="none"/>
        </w:rPr>
        <w:t>1.6 保密</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_Toc31342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11</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2B0E48E8">
      <w:pPr>
        <w:pStyle w:val="12"/>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"_Toc11828" </w:instrText>
      </w:r>
      <w:r>
        <w:rPr>
          <w:color w:val="auto"/>
          <w:highlight w:val="none"/>
        </w:rPr>
        <w:fldChar w:fldCharType="separate"/>
      </w:r>
      <w:r>
        <w:rPr>
          <w:rFonts w:hint="eastAsia" w:ascii="仿宋" w:hAnsi="仿宋" w:eastAsia="仿宋" w:cs="仿宋"/>
          <w:color w:val="auto"/>
          <w:sz w:val="24"/>
          <w:highlight w:val="none"/>
        </w:rPr>
        <w:t>1.7 语言文字</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_Toc11828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11</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7C627ED1">
      <w:pPr>
        <w:pStyle w:val="12"/>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"_Toc19875" </w:instrText>
      </w:r>
      <w:r>
        <w:rPr>
          <w:color w:val="auto"/>
          <w:highlight w:val="none"/>
        </w:rPr>
        <w:fldChar w:fldCharType="separate"/>
      </w:r>
      <w:r>
        <w:rPr>
          <w:rFonts w:hint="eastAsia" w:ascii="仿宋" w:hAnsi="仿宋" w:eastAsia="仿宋" w:cs="仿宋"/>
          <w:color w:val="auto"/>
          <w:sz w:val="24"/>
          <w:highlight w:val="none"/>
        </w:rPr>
        <w:t>1.8 计量单位</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_Toc19875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11</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4486002B">
      <w:pPr>
        <w:pStyle w:val="12"/>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"_Toc8831" </w:instrText>
      </w:r>
      <w:r>
        <w:rPr>
          <w:color w:val="auto"/>
          <w:highlight w:val="none"/>
        </w:rPr>
        <w:fldChar w:fldCharType="separate"/>
      </w:r>
      <w:r>
        <w:rPr>
          <w:rFonts w:hint="eastAsia" w:ascii="仿宋" w:hAnsi="仿宋" w:eastAsia="仿宋" w:cs="仿宋"/>
          <w:color w:val="auto"/>
          <w:sz w:val="24"/>
          <w:highlight w:val="none"/>
        </w:rPr>
        <w:t>1.9 踏勘现场</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_Toc8831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11</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6705CA37">
      <w:pPr>
        <w:pStyle w:val="12"/>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"_Toc8224" </w:instrText>
      </w:r>
      <w:r>
        <w:rPr>
          <w:color w:val="auto"/>
          <w:highlight w:val="none"/>
        </w:rPr>
        <w:fldChar w:fldCharType="separate"/>
      </w:r>
      <w:r>
        <w:rPr>
          <w:rFonts w:hint="eastAsia" w:ascii="仿宋" w:hAnsi="仿宋" w:eastAsia="仿宋" w:cs="仿宋"/>
          <w:color w:val="auto"/>
          <w:sz w:val="24"/>
          <w:highlight w:val="none"/>
        </w:rPr>
        <w:t>1.10 投标预备会</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_Toc8224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11</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6D34B729">
      <w:pPr>
        <w:pStyle w:val="12"/>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"_Toc12690" </w:instrText>
      </w:r>
      <w:r>
        <w:rPr>
          <w:color w:val="auto"/>
          <w:highlight w:val="none"/>
        </w:rPr>
        <w:fldChar w:fldCharType="separate"/>
      </w:r>
      <w:r>
        <w:rPr>
          <w:rFonts w:hint="eastAsia" w:ascii="仿宋" w:hAnsi="仿宋" w:eastAsia="仿宋" w:cs="仿宋"/>
          <w:color w:val="auto"/>
          <w:sz w:val="24"/>
          <w:highlight w:val="none"/>
        </w:rPr>
        <w:t>1.11 中标后分包</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_Toc12690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11</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2CF64D43">
      <w:pPr>
        <w:pStyle w:val="12"/>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"_Toc8551" </w:instrText>
      </w:r>
      <w:r>
        <w:rPr>
          <w:color w:val="auto"/>
          <w:highlight w:val="none"/>
        </w:rPr>
        <w:fldChar w:fldCharType="separate"/>
      </w:r>
      <w:r>
        <w:rPr>
          <w:rFonts w:hint="eastAsia" w:ascii="仿宋" w:hAnsi="仿宋" w:eastAsia="仿宋" w:cs="仿宋"/>
          <w:color w:val="auto"/>
          <w:sz w:val="24"/>
          <w:highlight w:val="none"/>
        </w:rPr>
        <w:t>1.12 政府采购政策</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_Toc8551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12</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3B15EE4A">
      <w:pPr>
        <w:pStyle w:val="17"/>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"_Toc23512" </w:instrText>
      </w:r>
      <w:r>
        <w:rPr>
          <w:color w:val="auto"/>
          <w:highlight w:val="none"/>
        </w:rPr>
        <w:fldChar w:fldCharType="separate"/>
      </w:r>
      <w:r>
        <w:rPr>
          <w:rFonts w:hint="eastAsia" w:ascii="仿宋" w:hAnsi="仿宋" w:eastAsia="仿宋" w:cs="仿宋"/>
          <w:color w:val="auto"/>
          <w:sz w:val="24"/>
          <w:highlight w:val="none"/>
        </w:rPr>
        <w:t>二、 招标文件</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_Toc23512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13</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2E609A1D">
      <w:pPr>
        <w:pStyle w:val="12"/>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"_Toc27496" </w:instrText>
      </w:r>
      <w:r>
        <w:rPr>
          <w:color w:val="auto"/>
          <w:highlight w:val="none"/>
        </w:rPr>
        <w:fldChar w:fldCharType="separate"/>
      </w:r>
      <w:r>
        <w:rPr>
          <w:rFonts w:hint="eastAsia" w:ascii="仿宋" w:hAnsi="仿宋" w:eastAsia="仿宋" w:cs="仿宋"/>
          <w:color w:val="auto"/>
          <w:sz w:val="24"/>
          <w:highlight w:val="none"/>
        </w:rPr>
        <w:t>2.1 招标文件的组成</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_Toc27496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13</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6FEDEF8C">
      <w:pPr>
        <w:pStyle w:val="12"/>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"_Toc10754" </w:instrText>
      </w:r>
      <w:r>
        <w:rPr>
          <w:color w:val="auto"/>
          <w:highlight w:val="none"/>
        </w:rPr>
        <w:fldChar w:fldCharType="separate"/>
      </w:r>
      <w:r>
        <w:rPr>
          <w:rFonts w:hint="eastAsia" w:ascii="仿宋" w:hAnsi="仿宋" w:eastAsia="仿宋" w:cs="仿宋"/>
          <w:color w:val="auto"/>
          <w:sz w:val="24"/>
          <w:highlight w:val="none"/>
        </w:rPr>
        <w:t>2.2 招标文件的澄清或者修改</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_Toc10754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14</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45F14DD2">
      <w:pPr>
        <w:pStyle w:val="17"/>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"_Toc26756" </w:instrText>
      </w:r>
      <w:r>
        <w:rPr>
          <w:color w:val="auto"/>
          <w:highlight w:val="none"/>
        </w:rPr>
        <w:fldChar w:fldCharType="separate"/>
      </w:r>
      <w:r>
        <w:rPr>
          <w:rFonts w:hint="eastAsia" w:ascii="仿宋" w:hAnsi="仿宋" w:eastAsia="仿宋" w:cs="仿宋"/>
          <w:color w:val="auto"/>
          <w:sz w:val="24"/>
          <w:highlight w:val="none"/>
        </w:rPr>
        <w:t>三、 投标文件</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_Toc26756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14</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0207891E">
      <w:pPr>
        <w:pStyle w:val="12"/>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"_Toc14206" </w:instrText>
      </w:r>
      <w:r>
        <w:rPr>
          <w:color w:val="auto"/>
          <w:highlight w:val="none"/>
        </w:rPr>
        <w:fldChar w:fldCharType="separate"/>
      </w:r>
      <w:r>
        <w:rPr>
          <w:rFonts w:hint="eastAsia" w:ascii="仿宋" w:hAnsi="仿宋" w:eastAsia="仿宋" w:cs="仿宋"/>
          <w:color w:val="auto"/>
          <w:sz w:val="24"/>
          <w:highlight w:val="none"/>
        </w:rPr>
        <w:t>3.1 投标文件的组成</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_Toc14206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14</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1279BADA">
      <w:pPr>
        <w:pStyle w:val="12"/>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"_Toc32445" </w:instrText>
      </w:r>
      <w:r>
        <w:rPr>
          <w:color w:val="auto"/>
          <w:highlight w:val="none"/>
        </w:rPr>
        <w:fldChar w:fldCharType="separate"/>
      </w:r>
      <w:r>
        <w:rPr>
          <w:rFonts w:hint="eastAsia" w:ascii="仿宋" w:hAnsi="仿宋" w:eastAsia="仿宋" w:cs="仿宋"/>
          <w:color w:val="auto"/>
          <w:sz w:val="24"/>
          <w:highlight w:val="none"/>
        </w:rPr>
        <w:t>3.2 投标报价</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_Toc32445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14</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527A143D">
      <w:pPr>
        <w:pStyle w:val="12"/>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"_Toc20842" </w:instrText>
      </w:r>
      <w:r>
        <w:rPr>
          <w:color w:val="auto"/>
          <w:highlight w:val="none"/>
        </w:rPr>
        <w:fldChar w:fldCharType="separate"/>
      </w:r>
      <w:r>
        <w:rPr>
          <w:rFonts w:hint="eastAsia" w:ascii="仿宋" w:hAnsi="仿宋" w:eastAsia="仿宋" w:cs="仿宋"/>
          <w:color w:val="auto"/>
          <w:sz w:val="24"/>
          <w:highlight w:val="none"/>
        </w:rPr>
        <w:t>3.3 投标有效期</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_Toc20842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15</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119A99A7">
      <w:pPr>
        <w:pStyle w:val="12"/>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"_Toc20819" </w:instrText>
      </w:r>
      <w:r>
        <w:rPr>
          <w:color w:val="auto"/>
          <w:highlight w:val="none"/>
        </w:rPr>
        <w:fldChar w:fldCharType="separate"/>
      </w:r>
      <w:r>
        <w:rPr>
          <w:rFonts w:hint="eastAsia" w:ascii="仿宋" w:hAnsi="仿宋" w:eastAsia="仿宋" w:cs="仿宋"/>
          <w:color w:val="auto"/>
          <w:sz w:val="24"/>
          <w:highlight w:val="none"/>
        </w:rPr>
        <w:t>3.4 备选投标方案</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_Toc20819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15</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265A02D3">
      <w:pPr>
        <w:pStyle w:val="12"/>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"_Toc22071" </w:instrText>
      </w:r>
      <w:r>
        <w:rPr>
          <w:color w:val="auto"/>
          <w:highlight w:val="none"/>
        </w:rPr>
        <w:fldChar w:fldCharType="separate"/>
      </w:r>
      <w:r>
        <w:rPr>
          <w:rFonts w:hint="eastAsia" w:ascii="仿宋" w:hAnsi="仿宋" w:eastAsia="仿宋" w:cs="仿宋"/>
          <w:color w:val="auto"/>
          <w:sz w:val="24"/>
          <w:highlight w:val="none"/>
        </w:rPr>
        <w:t>3.5 投标文件的编制</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_Toc22071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15</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3549ABF8">
      <w:pPr>
        <w:pStyle w:val="17"/>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"_Toc13406" </w:instrText>
      </w:r>
      <w:r>
        <w:rPr>
          <w:color w:val="auto"/>
          <w:highlight w:val="none"/>
        </w:rPr>
        <w:fldChar w:fldCharType="separate"/>
      </w:r>
      <w:r>
        <w:rPr>
          <w:rFonts w:hint="eastAsia" w:ascii="仿宋" w:hAnsi="仿宋" w:eastAsia="仿宋" w:cs="仿宋"/>
          <w:color w:val="auto"/>
          <w:sz w:val="24"/>
          <w:highlight w:val="none"/>
        </w:rPr>
        <w:t>四、 投标</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_Toc13406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16</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2762BB0B">
      <w:pPr>
        <w:pStyle w:val="17"/>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"_Toc9057" </w:instrText>
      </w:r>
      <w:r>
        <w:rPr>
          <w:color w:val="auto"/>
          <w:highlight w:val="none"/>
        </w:rPr>
        <w:fldChar w:fldCharType="separate"/>
      </w:r>
      <w:r>
        <w:rPr>
          <w:rFonts w:hint="eastAsia" w:ascii="仿宋" w:hAnsi="仿宋" w:eastAsia="仿宋" w:cs="仿宋"/>
          <w:color w:val="auto"/>
          <w:sz w:val="24"/>
          <w:highlight w:val="none"/>
        </w:rPr>
        <w:t>五、 开标</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_Toc9057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17</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0BB559BC">
      <w:pPr>
        <w:pStyle w:val="12"/>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"_Toc2597" </w:instrText>
      </w:r>
      <w:r>
        <w:rPr>
          <w:color w:val="auto"/>
          <w:highlight w:val="none"/>
        </w:rPr>
        <w:fldChar w:fldCharType="separate"/>
      </w:r>
      <w:r>
        <w:rPr>
          <w:rFonts w:hint="eastAsia" w:ascii="仿宋" w:hAnsi="仿宋" w:eastAsia="仿宋" w:cs="仿宋"/>
          <w:color w:val="auto"/>
          <w:sz w:val="24"/>
          <w:highlight w:val="none"/>
        </w:rPr>
        <w:t>5.1 开标时间和地点</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_Toc2597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17</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7F738CA0">
      <w:pPr>
        <w:pStyle w:val="12"/>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"_Toc2529" </w:instrText>
      </w:r>
      <w:r>
        <w:rPr>
          <w:color w:val="auto"/>
          <w:highlight w:val="none"/>
        </w:rPr>
        <w:fldChar w:fldCharType="separate"/>
      </w:r>
      <w:r>
        <w:rPr>
          <w:rFonts w:hint="eastAsia" w:ascii="仿宋" w:hAnsi="仿宋" w:eastAsia="仿宋" w:cs="仿宋"/>
          <w:color w:val="auto"/>
          <w:sz w:val="24"/>
          <w:highlight w:val="none"/>
        </w:rPr>
        <w:t>5.2 开标程序</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_Toc2529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17</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1EE2F543">
      <w:pPr>
        <w:pStyle w:val="12"/>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"_Toc16451" </w:instrText>
      </w:r>
      <w:r>
        <w:rPr>
          <w:color w:val="auto"/>
          <w:highlight w:val="none"/>
        </w:rPr>
        <w:fldChar w:fldCharType="separate"/>
      </w:r>
      <w:r>
        <w:rPr>
          <w:rFonts w:hint="eastAsia" w:ascii="仿宋" w:hAnsi="仿宋" w:eastAsia="仿宋" w:cs="仿宋"/>
          <w:color w:val="auto"/>
          <w:sz w:val="24"/>
          <w:highlight w:val="none"/>
        </w:rPr>
        <w:t>5.3 开标异议</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_Toc16451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17</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693068ED">
      <w:pPr>
        <w:pStyle w:val="12"/>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"_Toc18252" </w:instrText>
      </w:r>
      <w:r>
        <w:rPr>
          <w:color w:val="auto"/>
          <w:highlight w:val="none"/>
        </w:rPr>
        <w:fldChar w:fldCharType="separate"/>
      </w:r>
      <w:r>
        <w:rPr>
          <w:rFonts w:hint="eastAsia" w:ascii="仿宋" w:hAnsi="仿宋" w:eastAsia="仿宋" w:cs="仿宋"/>
          <w:color w:val="auto"/>
          <w:sz w:val="24"/>
          <w:highlight w:val="none"/>
        </w:rPr>
        <w:t>4.1 投标文件的密封和标记</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_Toc18252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16</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5D7AC868">
      <w:pPr>
        <w:pStyle w:val="12"/>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"_Toc4823" </w:instrText>
      </w:r>
      <w:r>
        <w:rPr>
          <w:color w:val="auto"/>
          <w:highlight w:val="none"/>
        </w:rPr>
        <w:fldChar w:fldCharType="separate"/>
      </w:r>
      <w:r>
        <w:rPr>
          <w:rFonts w:hint="eastAsia" w:ascii="仿宋" w:hAnsi="仿宋" w:eastAsia="仿宋" w:cs="仿宋"/>
          <w:color w:val="auto"/>
          <w:sz w:val="24"/>
          <w:highlight w:val="none"/>
        </w:rPr>
        <w:t>4.2 投标文件的递交</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_Toc4823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16</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0C4C5D7D">
      <w:pPr>
        <w:pStyle w:val="12"/>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"_Toc12467" </w:instrText>
      </w:r>
      <w:r>
        <w:rPr>
          <w:color w:val="auto"/>
          <w:highlight w:val="none"/>
        </w:rPr>
        <w:fldChar w:fldCharType="separate"/>
      </w:r>
      <w:r>
        <w:rPr>
          <w:rFonts w:hint="eastAsia" w:ascii="仿宋" w:hAnsi="仿宋" w:eastAsia="仿宋" w:cs="仿宋"/>
          <w:color w:val="auto"/>
          <w:sz w:val="24"/>
          <w:highlight w:val="none"/>
        </w:rPr>
        <w:t>4.3 投标文件的修改与撤回</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_Toc12467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16</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70874EF5">
      <w:pPr>
        <w:pStyle w:val="17"/>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"_Toc11859" </w:instrText>
      </w:r>
      <w:r>
        <w:rPr>
          <w:color w:val="auto"/>
          <w:highlight w:val="none"/>
        </w:rPr>
        <w:fldChar w:fldCharType="separate"/>
      </w:r>
      <w:r>
        <w:rPr>
          <w:rFonts w:hint="eastAsia" w:ascii="仿宋" w:hAnsi="仿宋" w:eastAsia="仿宋" w:cs="仿宋"/>
          <w:color w:val="auto"/>
          <w:sz w:val="24"/>
          <w:highlight w:val="none"/>
        </w:rPr>
        <w:t>六、 评标</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_Toc11859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17</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4CE2157A">
      <w:pPr>
        <w:pStyle w:val="12"/>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"_Toc26054" </w:instrText>
      </w:r>
      <w:r>
        <w:rPr>
          <w:color w:val="auto"/>
          <w:highlight w:val="none"/>
        </w:rPr>
        <w:fldChar w:fldCharType="separate"/>
      </w:r>
      <w:r>
        <w:rPr>
          <w:rFonts w:hint="eastAsia" w:ascii="仿宋" w:hAnsi="仿宋" w:eastAsia="仿宋" w:cs="仿宋"/>
          <w:color w:val="auto"/>
          <w:sz w:val="24"/>
          <w:highlight w:val="none"/>
        </w:rPr>
        <w:t>6.1 评标委员会</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_Toc26054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17</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5C61868D">
      <w:pPr>
        <w:pStyle w:val="12"/>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"_Toc19623" </w:instrText>
      </w:r>
      <w:r>
        <w:rPr>
          <w:color w:val="auto"/>
          <w:highlight w:val="none"/>
        </w:rPr>
        <w:fldChar w:fldCharType="separate"/>
      </w:r>
      <w:r>
        <w:rPr>
          <w:rFonts w:hint="eastAsia" w:ascii="仿宋" w:hAnsi="仿宋" w:eastAsia="仿宋" w:cs="仿宋"/>
          <w:color w:val="auto"/>
          <w:sz w:val="24"/>
          <w:highlight w:val="none"/>
        </w:rPr>
        <w:t>6.2 评标原则</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_Toc19623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18</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642452C9">
      <w:pPr>
        <w:pStyle w:val="12"/>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"_Toc21958" </w:instrText>
      </w:r>
      <w:r>
        <w:rPr>
          <w:color w:val="auto"/>
          <w:highlight w:val="none"/>
        </w:rPr>
        <w:fldChar w:fldCharType="separate"/>
      </w:r>
      <w:r>
        <w:rPr>
          <w:rFonts w:hint="eastAsia" w:ascii="仿宋" w:hAnsi="仿宋" w:eastAsia="仿宋" w:cs="仿宋"/>
          <w:color w:val="auto"/>
          <w:sz w:val="24"/>
          <w:highlight w:val="none"/>
        </w:rPr>
        <w:t>6.3 评标</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_Toc21958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18</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6AE6C820">
      <w:pPr>
        <w:pStyle w:val="17"/>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"_Toc4311" </w:instrText>
      </w:r>
      <w:r>
        <w:rPr>
          <w:color w:val="auto"/>
          <w:highlight w:val="none"/>
        </w:rPr>
        <w:fldChar w:fldCharType="separate"/>
      </w:r>
      <w:r>
        <w:rPr>
          <w:rFonts w:hint="eastAsia" w:ascii="仿宋" w:hAnsi="仿宋" w:eastAsia="仿宋" w:cs="仿宋"/>
          <w:color w:val="auto"/>
          <w:sz w:val="24"/>
          <w:highlight w:val="none"/>
        </w:rPr>
        <w:t>七、 定标</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_Toc4311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19</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21D9B5C8">
      <w:pPr>
        <w:pStyle w:val="12"/>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"_Toc27974" </w:instrText>
      </w:r>
      <w:r>
        <w:rPr>
          <w:color w:val="auto"/>
          <w:highlight w:val="none"/>
        </w:rPr>
        <w:fldChar w:fldCharType="separate"/>
      </w:r>
      <w:r>
        <w:rPr>
          <w:rFonts w:hint="eastAsia" w:ascii="仿宋" w:hAnsi="仿宋" w:eastAsia="仿宋" w:cs="仿宋"/>
          <w:color w:val="auto"/>
          <w:sz w:val="24"/>
          <w:highlight w:val="none"/>
        </w:rPr>
        <w:t>7.1 确定中标供应商</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_Toc27974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19</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2449BB8C">
      <w:pPr>
        <w:pStyle w:val="12"/>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"_Toc15429" </w:instrText>
      </w:r>
      <w:r>
        <w:rPr>
          <w:color w:val="auto"/>
          <w:highlight w:val="none"/>
        </w:rPr>
        <w:fldChar w:fldCharType="separate"/>
      </w:r>
      <w:r>
        <w:rPr>
          <w:rFonts w:hint="eastAsia" w:ascii="仿宋" w:hAnsi="仿宋" w:eastAsia="仿宋" w:cs="仿宋"/>
          <w:color w:val="auto"/>
          <w:sz w:val="24"/>
          <w:highlight w:val="none"/>
        </w:rPr>
        <w:t>7.2 中标结果公告</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_Toc15429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19</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72B2D7E5">
      <w:pPr>
        <w:pStyle w:val="12"/>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"_Toc15060" </w:instrText>
      </w:r>
      <w:r>
        <w:rPr>
          <w:color w:val="auto"/>
          <w:highlight w:val="none"/>
        </w:rPr>
        <w:fldChar w:fldCharType="separate"/>
      </w:r>
      <w:r>
        <w:rPr>
          <w:rFonts w:hint="eastAsia" w:ascii="仿宋" w:hAnsi="仿宋" w:eastAsia="仿宋" w:cs="仿宋"/>
          <w:color w:val="auto"/>
          <w:sz w:val="24"/>
          <w:highlight w:val="none"/>
        </w:rPr>
        <w:t>7.3 中标通知</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_Toc15060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19</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25581D7D">
      <w:pPr>
        <w:pStyle w:val="17"/>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"_Toc29487" </w:instrText>
      </w:r>
      <w:r>
        <w:rPr>
          <w:color w:val="auto"/>
          <w:highlight w:val="none"/>
        </w:rPr>
        <w:fldChar w:fldCharType="separate"/>
      </w:r>
      <w:r>
        <w:rPr>
          <w:rFonts w:hint="eastAsia" w:ascii="仿宋" w:hAnsi="仿宋" w:eastAsia="仿宋" w:cs="仿宋"/>
          <w:color w:val="auto"/>
          <w:sz w:val="24"/>
          <w:highlight w:val="none"/>
        </w:rPr>
        <w:t>八、 质疑和投诉</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_Toc29487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19</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1ACB60F8">
      <w:pPr>
        <w:pStyle w:val="12"/>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"_Toc2555" </w:instrText>
      </w:r>
      <w:r>
        <w:rPr>
          <w:color w:val="auto"/>
          <w:highlight w:val="none"/>
        </w:rPr>
        <w:fldChar w:fldCharType="separate"/>
      </w:r>
      <w:r>
        <w:rPr>
          <w:rFonts w:hint="eastAsia" w:ascii="仿宋" w:hAnsi="仿宋" w:eastAsia="仿宋" w:cs="仿宋"/>
          <w:color w:val="auto"/>
          <w:sz w:val="24"/>
          <w:highlight w:val="none"/>
        </w:rPr>
        <w:t>8.1质疑</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_Toc2555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19</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67C66154">
      <w:pPr>
        <w:pStyle w:val="12"/>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"_Toc12846" </w:instrText>
      </w:r>
      <w:r>
        <w:rPr>
          <w:color w:val="auto"/>
          <w:highlight w:val="none"/>
        </w:rPr>
        <w:fldChar w:fldCharType="separate"/>
      </w:r>
      <w:r>
        <w:rPr>
          <w:rFonts w:hint="eastAsia" w:ascii="仿宋" w:hAnsi="仿宋" w:eastAsia="仿宋" w:cs="仿宋"/>
          <w:color w:val="auto"/>
          <w:sz w:val="24"/>
          <w:highlight w:val="none"/>
        </w:rPr>
        <w:t>8.2质疑回复</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_Toc12846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20</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57BF8191">
      <w:pPr>
        <w:pStyle w:val="12"/>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"_Toc12095" </w:instrText>
      </w:r>
      <w:r>
        <w:rPr>
          <w:color w:val="auto"/>
          <w:highlight w:val="none"/>
        </w:rPr>
        <w:fldChar w:fldCharType="separate"/>
      </w:r>
      <w:r>
        <w:rPr>
          <w:rFonts w:hint="eastAsia" w:ascii="仿宋" w:hAnsi="仿宋" w:eastAsia="仿宋" w:cs="仿宋"/>
          <w:color w:val="auto"/>
          <w:sz w:val="24"/>
          <w:highlight w:val="none"/>
        </w:rPr>
        <w:t>8.3投诉</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_Toc12095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20</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0D9929DF">
      <w:pPr>
        <w:pStyle w:val="17"/>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"_Toc25795" </w:instrText>
      </w:r>
      <w:r>
        <w:rPr>
          <w:color w:val="auto"/>
          <w:highlight w:val="none"/>
        </w:rPr>
        <w:fldChar w:fldCharType="separate"/>
      </w:r>
      <w:r>
        <w:rPr>
          <w:rFonts w:hint="eastAsia" w:ascii="仿宋" w:hAnsi="仿宋" w:eastAsia="仿宋" w:cs="仿宋"/>
          <w:color w:val="auto"/>
          <w:sz w:val="24"/>
          <w:highlight w:val="none"/>
        </w:rPr>
        <w:t>九、 合同授予</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_Toc25795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20</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7FCE424C">
      <w:pPr>
        <w:pStyle w:val="12"/>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"_Toc21755" </w:instrText>
      </w:r>
      <w:r>
        <w:rPr>
          <w:color w:val="auto"/>
          <w:highlight w:val="none"/>
        </w:rPr>
        <w:fldChar w:fldCharType="separate"/>
      </w:r>
      <w:r>
        <w:rPr>
          <w:rFonts w:hint="eastAsia" w:ascii="仿宋" w:hAnsi="仿宋" w:eastAsia="仿宋" w:cs="仿宋"/>
          <w:color w:val="auto"/>
          <w:sz w:val="24"/>
          <w:highlight w:val="none"/>
        </w:rPr>
        <w:t>9.1履约担保</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_Toc21755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20</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54FB154A">
      <w:pPr>
        <w:pStyle w:val="12"/>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"_Toc19765" </w:instrText>
      </w:r>
      <w:r>
        <w:rPr>
          <w:color w:val="auto"/>
          <w:highlight w:val="none"/>
        </w:rPr>
        <w:fldChar w:fldCharType="separate"/>
      </w:r>
      <w:r>
        <w:rPr>
          <w:rFonts w:hint="eastAsia" w:ascii="仿宋" w:hAnsi="仿宋" w:eastAsia="仿宋" w:cs="仿宋"/>
          <w:color w:val="auto"/>
          <w:sz w:val="24"/>
          <w:highlight w:val="none"/>
        </w:rPr>
        <w:t>9.2 签订合同</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_Toc19765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21</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2E99BA2F">
      <w:pPr>
        <w:pStyle w:val="17"/>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"_Toc22613" </w:instrText>
      </w:r>
      <w:r>
        <w:rPr>
          <w:color w:val="auto"/>
          <w:highlight w:val="none"/>
        </w:rPr>
        <w:fldChar w:fldCharType="separate"/>
      </w:r>
      <w:r>
        <w:rPr>
          <w:rFonts w:hint="eastAsia" w:ascii="仿宋" w:hAnsi="仿宋" w:eastAsia="仿宋" w:cs="仿宋"/>
          <w:color w:val="auto"/>
          <w:sz w:val="24"/>
          <w:highlight w:val="none"/>
        </w:rPr>
        <w:t>十、 招标代理服务费</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_Toc22613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21</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25DF9448">
      <w:pPr>
        <w:pStyle w:val="12"/>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"_Toc12349" </w:instrText>
      </w:r>
      <w:r>
        <w:rPr>
          <w:color w:val="auto"/>
          <w:highlight w:val="none"/>
        </w:rPr>
        <w:fldChar w:fldCharType="separate"/>
      </w:r>
      <w:r>
        <w:rPr>
          <w:rFonts w:hint="eastAsia" w:ascii="仿宋" w:hAnsi="仿宋" w:eastAsia="仿宋" w:cs="仿宋"/>
          <w:color w:val="auto"/>
          <w:sz w:val="24"/>
          <w:highlight w:val="none"/>
        </w:rPr>
        <w:t>10.1收取方式和标准</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_Toc12349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21</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2382B4CF">
      <w:pPr>
        <w:pStyle w:val="12"/>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"_Toc32413" </w:instrText>
      </w:r>
      <w:r>
        <w:rPr>
          <w:color w:val="auto"/>
          <w:highlight w:val="none"/>
        </w:rPr>
        <w:fldChar w:fldCharType="separate"/>
      </w:r>
      <w:r>
        <w:rPr>
          <w:rFonts w:hint="eastAsia" w:ascii="仿宋" w:hAnsi="仿宋" w:eastAsia="仿宋" w:cs="仿宋"/>
          <w:color w:val="auto"/>
          <w:sz w:val="24"/>
          <w:highlight w:val="none"/>
        </w:rPr>
        <w:t>10.2收取时间</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_Toc32413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21</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46E17657">
      <w:pPr>
        <w:pStyle w:val="17"/>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"_Toc2914" </w:instrText>
      </w:r>
      <w:r>
        <w:rPr>
          <w:color w:val="auto"/>
          <w:highlight w:val="none"/>
        </w:rPr>
        <w:fldChar w:fldCharType="separate"/>
      </w:r>
      <w:r>
        <w:rPr>
          <w:rFonts w:hint="eastAsia" w:ascii="仿宋" w:hAnsi="仿宋" w:eastAsia="仿宋" w:cs="仿宋"/>
          <w:color w:val="auto"/>
          <w:sz w:val="24"/>
          <w:highlight w:val="none"/>
        </w:rPr>
        <w:t>十一、 无效投标和废标</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_Toc2914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21</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6BF7C7E5">
      <w:pPr>
        <w:pStyle w:val="12"/>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"_Toc20178" </w:instrText>
      </w:r>
      <w:r>
        <w:rPr>
          <w:color w:val="auto"/>
          <w:highlight w:val="none"/>
        </w:rPr>
        <w:fldChar w:fldCharType="separate"/>
      </w:r>
      <w:r>
        <w:rPr>
          <w:rFonts w:hint="eastAsia" w:ascii="仿宋" w:hAnsi="仿宋" w:eastAsia="仿宋" w:cs="仿宋"/>
          <w:color w:val="auto"/>
          <w:sz w:val="24"/>
          <w:highlight w:val="none"/>
        </w:rPr>
        <w:t>11.1 无效投标</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_Toc20178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21</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79F20244">
      <w:pPr>
        <w:pStyle w:val="12"/>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"_Toc4854" </w:instrText>
      </w:r>
      <w:r>
        <w:rPr>
          <w:color w:val="auto"/>
          <w:highlight w:val="none"/>
        </w:rPr>
        <w:fldChar w:fldCharType="separate"/>
      </w:r>
      <w:r>
        <w:rPr>
          <w:rFonts w:hint="eastAsia" w:ascii="仿宋" w:hAnsi="仿宋" w:eastAsia="仿宋" w:cs="仿宋"/>
          <w:color w:val="auto"/>
          <w:sz w:val="24"/>
          <w:highlight w:val="none"/>
        </w:rPr>
        <w:t>11.2 废标</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_Toc4854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21</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1F1264D9">
      <w:pPr>
        <w:pStyle w:val="17"/>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"_Toc30755" </w:instrText>
      </w:r>
      <w:r>
        <w:rPr>
          <w:color w:val="auto"/>
          <w:highlight w:val="none"/>
        </w:rPr>
        <w:fldChar w:fldCharType="separate"/>
      </w:r>
      <w:r>
        <w:rPr>
          <w:rFonts w:hint="eastAsia" w:ascii="仿宋" w:hAnsi="仿宋" w:eastAsia="仿宋" w:cs="仿宋"/>
          <w:color w:val="auto"/>
          <w:sz w:val="24"/>
          <w:highlight w:val="none"/>
        </w:rPr>
        <w:t>十二、 纪律和监督</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_Toc30755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22</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77A57976">
      <w:pPr>
        <w:pStyle w:val="12"/>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"_Toc23808" </w:instrText>
      </w:r>
      <w:r>
        <w:rPr>
          <w:color w:val="auto"/>
          <w:highlight w:val="none"/>
        </w:rPr>
        <w:fldChar w:fldCharType="separate"/>
      </w:r>
      <w:r>
        <w:rPr>
          <w:rFonts w:hint="eastAsia" w:ascii="仿宋" w:hAnsi="仿宋" w:eastAsia="仿宋" w:cs="仿宋"/>
          <w:color w:val="auto"/>
          <w:sz w:val="24"/>
          <w:highlight w:val="none"/>
        </w:rPr>
        <w:t>12.1 对采购人和采购代理机构的纪律要求</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_Toc23808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22</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3EDCA512">
      <w:pPr>
        <w:pStyle w:val="12"/>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"_Toc13734" </w:instrText>
      </w:r>
      <w:r>
        <w:rPr>
          <w:color w:val="auto"/>
          <w:highlight w:val="none"/>
        </w:rPr>
        <w:fldChar w:fldCharType="separate"/>
      </w:r>
      <w:r>
        <w:rPr>
          <w:rFonts w:hint="eastAsia" w:ascii="仿宋" w:hAnsi="仿宋" w:eastAsia="仿宋" w:cs="仿宋"/>
          <w:color w:val="auto"/>
          <w:sz w:val="24"/>
          <w:highlight w:val="none"/>
        </w:rPr>
        <w:t>12.2 对供应商的纪律要求</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_Toc13734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22</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533020C2">
      <w:pPr>
        <w:pStyle w:val="12"/>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"_Toc2221" </w:instrText>
      </w:r>
      <w:r>
        <w:rPr>
          <w:color w:val="auto"/>
          <w:highlight w:val="none"/>
        </w:rPr>
        <w:fldChar w:fldCharType="separate"/>
      </w:r>
      <w:r>
        <w:rPr>
          <w:rFonts w:hint="eastAsia" w:ascii="仿宋" w:hAnsi="仿宋" w:eastAsia="仿宋" w:cs="仿宋"/>
          <w:color w:val="auto"/>
          <w:sz w:val="24"/>
          <w:highlight w:val="none"/>
        </w:rPr>
        <w:t>12.3 对评标委员会成员的纪律要求</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_Toc2221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22</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71B88450">
      <w:pPr>
        <w:pStyle w:val="17"/>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"_Toc24733" </w:instrText>
      </w:r>
      <w:r>
        <w:rPr>
          <w:color w:val="auto"/>
          <w:highlight w:val="none"/>
        </w:rPr>
        <w:fldChar w:fldCharType="separate"/>
      </w:r>
      <w:r>
        <w:rPr>
          <w:rFonts w:hint="eastAsia" w:ascii="仿宋" w:hAnsi="仿宋" w:eastAsia="仿宋" w:cs="仿宋"/>
          <w:color w:val="auto"/>
          <w:sz w:val="24"/>
          <w:highlight w:val="none"/>
        </w:rPr>
        <w:t>十三、 需要补充的其他内容</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_Toc24733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23</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2398DF1E">
      <w:pPr>
        <w:pStyle w:val="16"/>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"_Toc28146" </w:instrText>
      </w:r>
      <w:r>
        <w:rPr>
          <w:color w:val="auto"/>
          <w:highlight w:val="none"/>
        </w:rPr>
        <w:fldChar w:fldCharType="separate"/>
      </w:r>
      <w:r>
        <w:rPr>
          <w:rFonts w:hint="eastAsia" w:ascii="仿宋" w:hAnsi="仿宋" w:eastAsia="仿宋" w:cs="仿宋"/>
          <w:color w:val="auto"/>
          <w:sz w:val="24"/>
          <w:highlight w:val="none"/>
        </w:rPr>
        <w:t>第三章、项目概况及技术要求</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_Toc28146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24</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7D59F65F">
      <w:pPr>
        <w:pStyle w:val="17"/>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"_Toc11769" </w:instrText>
      </w:r>
      <w:r>
        <w:rPr>
          <w:color w:val="auto"/>
          <w:highlight w:val="none"/>
        </w:rPr>
        <w:fldChar w:fldCharType="separate"/>
      </w:r>
      <w:r>
        <w:rPr>
          <w:rFonts w:hint="eastAsia" w:ascii="仿宋" w:hAnsi="仿宋" w:eastAsia="仿宋" w:cs="仿宋"/>
          <w:color w:val="auto"/>
          <w:sz w:val="24"/>
          <w:highlight w:val="none"/>
        </w:rPr>
        <w:t>一、项目概况</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_Toc11769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24</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37E62AF0">
      <w:pPr>
        <w:pStyle w:val="17"/>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"_Toc32639" </w:instrText>
      </w:r>
      <w:r>
        <w:rPr>
          <w:color w:val="auto"/>
          <w:highlight w:val="none"/>
        </w:rPr>
        <w:fldChar w:fldCharType="separate"/>
      </w:r>
      <w:r>
        <w:rPr>
          <w:rFonts w:hint="eastAsia" w:ascii="仿宋" w:hAnsi="仿宋" w:eastAsia="仿宋" w:cs="仿宋"/>
          <w:color w:val="auto"/>
          <w:sz w:val="24"/>
          <w:highlight w:val="none"/>
        </w:rPr>
        <w:t>二、技术和材料要求</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_Toc32639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30</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05B98BBE">
      <w:pPr>
        <w:pStyle w:val="16"/>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"_Toc14602" </w:instrText>
      </w:r>
      <w:r>
        <w:rPr>
          <w:color w:val="auto"/>
          <w:highlight w:val="none"/>
        </w:rPr>
        <w:fldChar w:fldCharType="separate"/>
      </w:r>
      <w:r>
        <w:rPr>
          <w:rFonts w:hint="eastAsia" w:ascii="仿宋" w:hAnsi="仿宋" w:eastAsia="仿宋" w:cs="仿宋"/>
          <w:color w:val="auto"/>
          <w:sz w:val="24"/>
          <w:highlight w:val="none"/>
        </w:rPr>
        <w:t>第四章、评标标准及方法</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_Toc14602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33</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1CA901BD">
      <w:pPr>
        <w:pStyle w:val="16"/>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"_Toc6470" </w:instrText>
      </w:r>
      <w:r>
        <w:rPr>
          <w:color w:val="auto"/>
          <w:highlight w:val="none"/>
        </w:rPr>
        <w:fldChar w:fldCharType="separate"/>
      </w:r>
      <w:r>
        <w:rPr>
          <w:rFonts w:hint="eastAsia" w:ascii="仿宋" w:hAnsi="仿宋" w:eastAsia="仿宋" w:cs="仿宋"/>
          <w:color w:val="auto"/>
          <w:sz w:val="24"/>
          <w:highlight w:val="none"/>
        </w:rPr>
        <w:t>一、评标方法</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_Toc6470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33</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6D98A0B4">
      <w:pPr>
        <w:pStyle w:val="16"/>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"_Toc19565" </w:instrText>
      </w:r>
      <w:r>
        <w:rPr>
          <w:color w:val="auto"/>
          <w:highlight w:val="none"/>
        </w:rPr>
        <w:fldChar w:fldCharType="separate"/>
      </w:r>
      <w:r>
        <w:rPr>
          <w:rFonts w:hint="eastAsia" w:ascii="仿宋" w:hAnsi="仿宋" w:eastAsia="仿宋" w:cs="仿宋"/>
          <w:bCs/>
          <w:color w:val="auto"/>
          <w:sz w:val="24"/>
          <w:highlight w:val="none"/>
        </w:rPr>
        <w:t>（一）投标文件初审</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_Toc19565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33</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759E46AC">
      <w:pPr>
        <w:pStyle w:val="16"/>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"_Toc2067" </w:instrText>
      </w:r>
      <w:r>
        <w:rPr>
          <w:color w:val="auto"/>
          <w:highlight w:val="none"/>
        </w:rPr>
        <w:fldChar w:fldCharType="separate"/>
      </w:r>
      <w:r>
        <w:rPr>
          <w:rFonts w:hint="eastAsia" w:ascii="仿宋" w:hAnsi="仿宋" w:eastAsia="仿宋" w:cs="仿宋"/>
          <w:bCs/>
          <w:color w:val="auto"/>
          <w:sz w:val="24"/>
          <w:highlight w:val="none"/>
        </w:rPr>
        <w:t>（二）澄清有关问题</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_Toc2067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35</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17EFCC68">
      <w:pPr>
        <w:pStyle w:val="16"/>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"_Toc9151" </w:instrText>
      </w:r>
      <w:r>
        <w:rPr>
          <w:color w:val="auto"/>
          <w:highlight w:val="none"/>
        </w:rPr>
        <w:fldChar w:fldCharType="separate"/>
      </w:r>
      <w:r>
        <w:rPr>
          <w:rFonts w:hint="eastAsia" w:ascii="仿宋" w:hAnsi="仿宋" w:eastAsia="仿宋" w:cs="仿宋"/>
          <w:bCs/>
          <w:color w:val="auto"/>
          <w:sz w:val="24"/>
          <w:highlight w:val="none"/>
        </w:rPr>
        <w:t>（三）比较与评价</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_Toc9151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37</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367C8A19">
      <w:pPr>
        <w:pStyle w:val="16"/>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"_Toc15117" </w:instrText>
      </w:r>
      <w:r>
        <w:rPr>
          <w:color w:val="auto"/>
          <w:highlight w:val="none"/>
        </w:rPr>
        <w:fldChar w:fldCharType="separate"/>
      </w:r>
      <w:r>
        <w:rPr>
          <w:rFonts w:hint="eastAsia" w:ascii="仿宋" w:hAnsi="仿宋" w:eastAsia="仿宋" w:cs="仿宋"/>
          <w:bCs/>
          <w:color w:val="auto"/>
          <w:sz w:val="24"/>
          <w:highlight w:val="none"/>
        </w:rPr>
        <w:t>（四）推荐中标候选人名单</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_Toc15117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37</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67BC4AB4">
      <w:pPr>
        <w:pStyle w:val="17"/>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"_Toc29603" </w:instrText>
      </w:r>
      <w:r>
        <w:rPr>
          <w:color w:val="auto"/>
          <w:highlight w:val="none"/>
        </w:rPr>
        <w:fldChar w:fldCharType="separate"/>
      </w:r>
      <w:r>
        <w:rPr>
          <w:rFonts w:hint="eastAsia" w:ascii="仿宋" w:hAnsi="仿宋" w:eastAsia="仿宋" w:cs="仿宋"/>
          <w:color w:val="auto"/>
          <w:sz w:val="24"/>
          <w:highlight w:val="none"/>
        </w:rPr>
        <w:t>附表1：资格性检查表</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_Toc29603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37</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574A62D2">
      <w:pPr>
        <w:pStyle w:val="16"/>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"_Toc22038" </w:instrText>
      </w:r>
      <w:r>
        <w:rPr>
          <w:color w:val="auto"/>
          <w:highlight w:val="none"/>
        </w:rPr>
        <w:fldChar w:fldCharType="separate"/>
      </w:r>
      <w:r>
        <w:rPr>
          <w:rFonts w:hint="eastAsia" w:ascii="仿宋" w:hAnsi="仿宋" w:eastAsia="仿宋" w:cs="仿宋"/>
          <w:color w:val="auto"/>
          <w:sz w:val="24"/>
          <w:highlight w:val="none"/>
        </w:rPr>
        <w:t>第五章、合同(参考)</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_Toc22038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46</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37865F0D">
      <w:pPr>
        <w:pStyle w:val="16"/>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"_Toc13069" </w:instrText>
      </w:r>
      <w:r>
        <w:rPr>
          <w:color w:val="auto"/>
          <w:highlight w:val="none"/>
        </w:rPr>
        <w:fldChar w:fldCharType="separate"/>
      </w:r>
      <w:r>
        <w:rPr>
          <w:rFonts w:hint="eastAsia" w:ascii="仿宋" w:hAnsi="仿宋" w:eastAsia="仿宋" w:cs="仿宋"/>
          <w:color w:val="auto"/>
          <w:sz w:val="24"/>
          <w:highlight w:val="none"/>
        </w:rPr>
        <w:t>第六章、投标文件格式</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_Toc13069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51</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0BB0E674">
      <w:pPr>
        <w:pStyle w:val="17"/>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"_Toc21609" </w:instrText>
      </w:r>
      <w:r>
        <w:rPr>
          <w:color w:val="auto"/>
          <w:highlight w:val="none"/>
        </w:rPr>
        <w:fldChar w:fldCharType="separate"/>
      </w:r>
      <w:r>
        <w:rPr>
          <w:rFonts w:hint="eastAsia" w:ascii="仿宋" w:hAnsi="仿宋" w:eastAsia="仿宋" w:cs="仿宋"/>
          <w:color w:val="auto"/>
          <w:sz w:val="24"/>
          <w:highlight w:val="none"/>
        </w:rPr>
        <w:t>封面及目录</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_Toc21609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51</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1EE38474">
      <w:pPr>
        <w:pStyle w:val="16"/>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"_Toc14336" </w:instrText>
      </w:r>
      <w:r>
        <w:rPr>
          <w:color w:val="auto"/>
          <w:highlight w:val="none"/>
        </w:rPr>
        <w:fldChar w:fldCharType="separate"/>
      </w:r>
      <w:r>
        <w:rPr>
          <w:rFonts w:hint="eastAsia" w:ascii="仿宋" w:hAnsi="仿宋" w:eastAsia="仿宋" w:cs="仿宋"/>
          <w:color w:val="auto"/>
          <w:sz w:val="24"/>
          <w:highlight w:val="none"/>
        </w:rPr>
        <w:t>一、投标函</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_Toc14336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52</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0AFEA97D">
      <w:pPr>
        <w:pStyle w:val="17"/>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"_Toc9447" </w:instrText>
      </w:r>
      <w:r>
        <w:rPr>
          <w:color w:val="auto"/>
          <w:highlight w:val="none"/>
        </w:rPr>
        <w:fldChar w:fldCharType="separate"/>
      </w:r>
      <w:r>
        <w:rPr>
          <w:rFonts w:hint="eastAsia" w:ascii="仿宋" w:hAnsi="仿宋" w:eastAsia="仿宋" w:cs="仿宋"/>
          <w:color w:val="auto"/>
          <w:sz w:val="24"/>
          <w:highlight w:val="none"/>
        </w:rPr>
        <w:t>二、投标一览表</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_Toc9447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55</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22119195">
      <w:pPr>
        <w:pStyle w:val="17"/>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"_Toc2846" </w:instrText>
      </w:r>
      <w:r>
        <w:rPr>
          <w:color w:val="auto"/>
          <w:highlight w:val="none"/>
        </w:rPr>
        <w:fldChar w:fldCharType="separate"/>
      </w:r>
      <w:r>
        <w:rPr>
          <w:rFonts w:hint="eastAsia" w:ascii="仿宋" w:hAnsi="仿宋" w:eastAsia="仿宋" w:cs="仿宋"/>
          <w:color w:val="auto"/>
          <w:sz w:val="24"/>
          <w:highlight w:val="none"/>
        </w:rPr>
        <w:t>三、分项报价表</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_Toc2846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56</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662F18B7">
      <w:pPr>
        <w:pStyle w:val="17"/>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"_Toc13799" </w:instrText>
      </w:r>
      <w:r>
        <w:rPr>
          <w:color w:val="auto"/>
          <w:highlight w:val="none"/>
        </w:rPr>
        <w:fldChar w:fldCharType="separate"/>
      </w:r>
      <w:r>
        <w:rPr>
          <w:rFonts w:hint="eastAsia" w:ascii="仿宋" w:hAnsi="仿宋" w:eastAsia="仿宋" w:cs="仿宋"/>
          <w:color w:val="auto"/>
          <w:sz w:val="24"/>
          <w:highlight w:val="none"/>
        </w:rPr>
        <w:t>五、资格证明文件</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_Toc13799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59</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5DB9F0B9">
      <w:pPr>
        <w:pStyle w:val="17"/>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"_Toc12465" </w:instrText>
      </w:r>
      <w:r>
        <w:rPr>
          <w:color w:val="auto"/>
          <w:highlight w:val="none"/>
        </w:rPr>
        <w:fldChar w:fldCharType="separate"/>
      </w:r>
      <w:r>
        <w:rPr>
          <w:rFonts w:hint="eastAsia" w:ascii="仿宋" w:hAnsi="仿宋" w:eastAsia="仿宋" w:cs="仿宋"/>
          <w:color w:val="auto"/>
          <w:sz w:val="24"/>
          <w:highlight w:val="none"/>
        </w:rPr>
        <w:t>六、投标人专职技术人员配置情况</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_Toc12465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60</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152E869D">
      <w:pPr>
        <w:pStyle w:val="17"/>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"_Toc21651" </w:instrText>
      </w:r>
      <w:r>
        <w:rPr>
          <w:color w:val="auto"/>
          <w:highlight w:val="none"/>
        </w:rPr>
        <w:fldChar w:fldCharType="separate"/>
      </w:r>
      <w:r>
        <w:rPr>
          <w:rFonts w:hint="eastAsia" w:ascii="仿宋" w:hAnsi="仿宋" w:eastAsia="仿宋" w:cs="仿宋"/>
          <w:color w:val="auto"/>
          <w:sz w:val="24"/>
          <w:highlight w:val="none"/>
        </w:rPr>
        <w:t>七、类似项目业绩表及证明材料</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_Toc21651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61</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77278664">
      <w:pPr>
        <w:pStyle w:val="17"/>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"_Toc23328" </w:instrText>
      </w:r>
      <w:r>
        <w:rPr>
          <w:color w:val="auto"/>
          <w:highlight w:val="none"/>
        </w:rPr>
        <w:fldChar w:fldCharType="separate"/>
      </w:r>
      <w:r>
        <w:rPr>
          <w:rFonts w:hint="eastAsia" w:ascii="仿宋" w:hAnsi="仿宋" w:eastAsia="仿宋" w:cs="仿宋"/>
          <w:color w:val="auto"/>
          <w:sz w:val="24"/>
          <w:highlight w:val="none"/>
        </w:rPr>
        <w:t>八、技术评分项资料</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_Toc23328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62</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73577E51">
      <w:pPr>
        <w:pStyle w:val="17"/>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"_Toc9231" </w:instrText>
      </w:r>
      <w:r>
        <w:rPr>
          <w:color w:val="auto"/>
          <w:highlight w:val="none"/>
        </w:rPr>
        <w:fldChar w:fldCharType="separate"/>
      </w:r>
      <w:r>
        <w:rPr>
          <w:rFonts w:hint="eastAsia" w:ascii="仿宋" w:hAnsi="仿宋" w:eastAsia="仿宋" w:cs="仿宋"/>
          <w:color w:val="auto"/>
          <w:sz w:val="24"/>
          <w:highlight w:val="none"/>
        </w:rPr>
        <w:t>九、其它承诺</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_Toc9231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63</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708712A4">
      <w:pPr>
        <w:pStyle w:val="17"/>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"_Toc23020" </w:instrText>
      </w:r>
      <w:r>
        <w:rPr>
          <w:color w:val="auto"/>
          <w:highlight w:val="none"/>
        </w:rPr>
        <w:fldChar w:fldCharType="separate"/>
      </w:r>
      <w:r>
        <w:rPr>
          <w:rFonts w:hint="eastAsia" w:ascii="仿宋" w:hAnsi="仿宋" w:eastAsia="仿宋" w:cs="仿宋"/>
          <w:color w:val="auto"/>
          <w:sz w:val="24"/>
          <w:highlight w:val="none"/>
        </w:rPr>
        <w:t>附件一：</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_Toc23020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64</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4C35B810">
      <w:pPr>
        <w:pStyle w:val="17"/>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"_Toc21251" </w:instrText>
      </w:r>
      <w:r>
        <w:rPr>
          <w:color w:val="auto"/>
          <w:highlight w:val="none"/>
        </w:rPr>
        <w:fldChar w:fldCharType="separate"/>
      </w:r>
      <w:r>
        <w:rPr>
          <w:rFonts w:hint="eastAsia" w:ascii="仿宋" w:hAnsi="仿宋" w:eastAsia="仿宋" w:cs="仿宋"/>
          <w:color w:val="auto"/>
          <w:sz w:val="24"/>
          <w:highlight w:val="none"/>
        </w:rPr>
        <w:t>评审标准附件C：</w:t>
      </w:r>
      <w:r>
        <w:rPr>
          <w:rFonts w:hint="eastAsia" w:ascii="仿宋" w:hAnsi="仿宋" w:eastAsia="仿宋" w:cs="仿宋"/>
          <w:bCs/>
          <w:color w:val="auto"/>
          <w:kern w:val="0"/>
          <w:sz w:val="24"/>
          <w:highlight w:val="none"/>
        </w:rPr>
        <w:t>中小企业声明函</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_Toc21251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64</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79DD24EB">
      <w:pPr>
        <w:pStyle w:val="17"/>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"_Toc29093" </w:instrText>
      </w:r>
      <w:r>
        <w:rPr>
          <w:color w:val="auto"/>
          <w:highlight w:val="none"/>
        </w:rPr>
        <w:fldChar w:fldCharType="separate"/>
      </w:r>
      <w:r>
        <w:rPr>
          <w:rFonts w:hint="eastAsia" w:ascii="仿宋" w:hAnsi="仿宋" w:eastAsia="仿宋" w:cs="仿宋"/>
          <w:color w:val="auto"/>
          <w:sz w:val="24"/>
          <w:highlight w:val="none"/>
        </w:rPr>
        <w:t>附件二：</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_Toc29093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65</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4365D59D">
      <w:pPr>
        <w:pStyle w:val="17"/>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"_Toc10810" </w:instrText>
      </w:r>
      <w:r>
        <w:rPr>
          <w:color w:val="auto"/>
          <w:highlight w:val="none"/>
        </w:rPr>
        <w:fldChar w:fldCharType="separate"/>
      </w:r>
      <w:r>
        <w:rPr>
          <w:rFonts w:hint="eastAsia" w:ascii="仿宋" w:hAnsi="仿宋" w:eastAsia="仿宋" w:cs="仿宋"/>
          <w:bCs/>
          <w:color w:val="auto"/>
          <w:sz w:val="24"/>
          <w:highlight w:val="none"/>
        </w:rPr>
        <w:t>评审标准附件D 财政部环保总局关于环境标志产品政府采购实施的意见</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_Toc10810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68</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77DFB6CA">
      <w:pPr>
        <w:pStyle w:val="17"/>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"_Toc27769" </w:instrText>
      </w:r>
      <w:r>
        <w:rPr>
          <w:color w:val="auto"/>
          <w:highlight w:val="none"/>
        </w:rPr>
        <w:fldChar w:fldCharType="separate"/>
      </w:r>
      <w:r>
        <w:rPr>
          <w:rFonts w:hint="eastAsia" w:ascii="仿宋" w:hAnsi="仿宋" w:eastAsia="仿宋" w:cs="仿宋"/>
          <w:color w:val="auto"/>
          <w:spacing w:val="6"/>
          <w:sz w:val="24"/>
          <w:highlight w:val="none"/>
        </w:rPr>
        <w:t>附件三残疾人福利性单位声明函</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_Toc27769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69</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597620B8">
      <w:pPr>
        <w:pStyle w:val="17"/>
        <w:tabs>
          <w:tab w:val="right" w:leader="dot" w:pos="9070"/>
        </w:tabs>
        <w:spacing w:line="360" w:lineRule="auto"/>
        <w:rPr>
          <w:rFonts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"_Toc9588" </w:instrText>
      </w:r>
      <w:r>
        <w:rPr>
          <w:color w:val="auto"/>
          <w:highlight w:val="none"/>
        </w:rPr>
        <w:fldChar w:fldCharType="separate"/>
      </w:r>
      <w:r>
        <w:rPr>
          <w:rFonts w:hint="eastAsia" w:ascii="仿宋" w:hAnsi="仿宋" w:eastAsia="仿宋" w:cs="仿宋"/>
          <w:color w:val="auto"/>
          <w:spacing w:val="6"/>
          <w:sz w:val="24"/>
          <w:highlight w:val="none"/>
        </w:rPr>
        <w:t>附件四：联合体协议书(仅适用于联合体投标)</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_Toc9588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70</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6C21DBDD">
      <w:pPr>
        <w:spacing w:line="360" w:lineRule="auto"/>
        <w:rPr>
          <w:rFonts w:ascii="仿宋" w:hAnsi="仿宋" w:eastAsia="仿宋" w:cs="仿宋"/>
          <w:color w:val="auto"/>
          <w:sz w:val="24"/>
          <w:highlight w:val="none"/>
        </w:rPr>
        <w:sectPr>
          <w:footerReference r:id="rId4" w:type="default"/>
          <w:endnotePr>
            <w:numFmt w:val="decimal"/>
          </w:endnotePr>
          <w:pgSz w:w="11906" w:h="16838"/>
          <w:pgMar w:top="1418" w:right="1418" w:bottom="1418" w:left="1418" w:header="851" w:footer="992" w:gutter="0"/>
          <w:pgNumType w:start="1"/>
          <w:cols w:space="720" w:num="1"/>
          <w:docGrid w:type="lines" w:linePitch="312" w:charSpace="0"/>
        </w:sectPr>
      </w:pPr>
      <w:r>
        <w:rPr>
          <w:rFonts w:hint="eastAsia" w:ascii="仿宋" w:hAnsi="仿宋" w:eastAsia="仿宋" w:cs="仿宋"/>
          <w:color w:val="auto"/>
          <w:sz w:val="24"/>
          <w:highlight w:val="none"/>
        </w:rPr>
        <w:fldChar w:fldCharType="end"/>
      </w:r>
    </w:p>
    <w:p w14:paraId="599053FD">
      <w:pPr>
        <w:pStyle w:val="2"/>
        <w:spacing w:before="0" w:after="0" w:line="240" w:lineRule="auto"/>
        <w:jc w:val="center"/>
        <w:rPr>
          <w:rFonts w:ascii="仿宋" w:hAnsi="仿宋" w:eastAsia="仿宋" w:cs="仿宋"/>
          <w:color w:val="auto"/>
          <w:kern w:val="2"/>
          <w:sz w:val="36"/>
          <w:highlight w:val="none"/>
        </w:rPr>
      </w:pPr>
      <w:bookmarkStart w:id="5" w:name="_Toc365"/>
      <w:bookmarkStart w:id="6" w:name="_Toc11942"/>
      <w:r>
        <w:rPr>
          <w:rFonts w:hint="eastAsia" w:ascii="仿宋" w:hAnsi="仿宋" w:eastAsia="仿宋" w:cs="仿宋"/>
          <w:color w:val="auto"/>
          <w:kern w:val="2"/>
          <w:sz w:val="36"/>
          <w:highlight w:val="none"/>
        </w:rPr>
        <w:t>第一章、</w:t>
      </w:r>
      <w:bookmarkEnd w:id="3"/>
      <w:bookmarkEnd w:id="4"/>
      <w:r>
        <w:rPr>
          <w:rFonts w:hint="eastAsia" w:ascii="仿宋" w:hAnsi="仿宋" w:eastAsia="仿宋" w:cs="仿宋"/>
          <w:color w:val="auto"/>
          <w:kern w:val="2"/>
          <w:sz w:val="36"/>
          <w:highlight w:val="none"/>
        </w:rPr>
        <w:t>招标公告</w:t>
      </w:r>
      <w:bookmarkEnd w:id="5"/>
      <w:bookmarkEnd w:id="6"/>
    </w:p>
    <w:p w14:paraId="7DC9DBD4">
      <w:pPr>
        <w:spacing w:line="360" w:lineRule="auto"/>
        <w:ind w:firstLine="480" w:firstLineChars="200"/>
        <w:rPr>
          <w:rFonts w:ascii="仿宋" w:hAnsi="仿宋" w:eastAsia="仿宋" w:cs="仿宋"/>
          <w:color w:val="auto"/>
          <w:sz w:val="24"/>
          <w:highlight w:val="none"/>
        </w:rPr>
      </w:pPr>
    </w:p>
    <w:p w14:paraId="44D85E67">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华中科技大学同济医学院附属梨园医院诊疗环境修缮改造项目-血液净化中心改造工程（施工设计一体化）的潜在投标人应在</w:t>
      </w:r>
      <w:r>
        <w:rPr>
          <w:rFonts w:hint="eastAsia" w:ascii="仿宋" w:hAnsi="仿宋" w:eastAsia="仿宋" w:cs="仿宋"/>
          <w:color w:val="auto"/>
          <w:sz w:val="24"/>
          <w:highlight w:val="none"/>
          <w:u w:val="single"/>
        </w:rPr>
        <w:t>网络邮箱（hezgj2023@163.com）</w:t>
      </w:r>
      <w:r>
        <w:rPr>
          <w:rFonts w:hint="eastAsia" w:ascii="仿宋" w:hAnsi="仿宋" w:eastAsia="仿宋" w:cs="仿宋"/>
          <w:color w:val="auto"/>
          <w:sz w:val="24"/>
          <w:highlight w:val="none"/>
        </w:rPr>
        <w:t>获取招标文件，并于</w:t>
      </w:r>
      <w:r>
        <w:rPr>
          <w:rFonts w:hint="eastAsia" w:ascii="仿宋" w:hAnsi="仿宋" w:eastAsia="仿宋" w:cs="仿宋"/>
          <w:color w:val="auto"/>
          <w:sz w:val="24"/>
          <w:highlight w:val="none"/>
          <w:u w:val="single"/>
        </w:rPr>
        <w:t>2026年</w:t>
      </w:r>
      <w:r>
        <w:rPr>
          <w:rFonts w:hint="eastAsia" w:ascii="仿宋" w:hAnsi="仿宋" w:eastAsia="仿宋" w:cs="仿宋"/>
          <w:color w:val="auto"/>
          <w:sz w:val="24"/>
          <w:highlight w:val="none"/>
          <w:u w:val="single"/>
          <w:lang w:val="en-US" w:eastAsia="zh-CN"/>
        </w:rPr>
        <w:t>8</w:t>
      </w:r>
      <w:r>
        <w:rPr>
          <w:rFonts w:hint="eastAsia" w:ascii="仿宋" w:hAnsi="仿宋" w:eastAsia="仿宋" w:cs="仿宋"/>
          <w:color w:val="auto"/>
          <w:sz w:val="24"/>
          <w:highlight w:val="none"/>
          <w:u w:val="single"/>
        </w:rPr>
        <w:t>月</w:t>
      </w:r>
      <w:r>
        <w:rPr>
          <w:rFonts w:hint="eastAsia" w:ascii="仿宋" w:hAnsi="仿宋" w:eastAsia="仿宋" w:cs="仿宋"/>
          <w:color w:val="auto"/>
          <w:sz w:val="24"/>
          <w:highlight w:val="none"/>
          <w:u w:val="single"/>
          <w:lang w:val="en-US" w:eastAsia="zh-CN"/>
        </w:rPr>
        <w:t>12</w:t>
      </w:r>
      <w:r>
        <w:rPr>
          <w:rFonts w:hint="eastAsia" w:ascii="仿宋" w:hAnsi="仿宋" w:eastAsia="仿宋" w:cs="仿宋"/>
          <w:color w:val="auto"/>
          <w:sz w:val="24"/>
          <w:highlight w:val="none"/>
          <w:u w:val="single"/>
        </w:rPr>
        <w:t>日10时00分</w:t>
      </w:r>
      <w:r>
        <w:rPr>
          <w:rFonts w:hint="eastAsia" w:ascii="仿宋" w:hAnsi="仿宋" w:eastAsia="仿宋" w:cs="仿宋"/>
          <w:color w:val="auto"/>
          <w:sz w:val="24"/>
          <w:highlight w:val="none"/>
        </w:rPr>
        <w:t>（北京时间）前递交投标文件。</w:t>
      </w:r>
    </w:p>
    <w:p w14:paraId="5EF84634">
      <w:pPr>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一、项目基本情况</w:t>
      </w:r>
    </w:p>
    <w:p w14:paraId="5654B5E1">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1、项目编号：HEZNB-GC-2026-023</w:t>
      </w:r>
    </w:p>
    <w:p w14:paraId="491CFDEB">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2、项目名称：华中科技大学同济医学院附属梨园医院诊疗环境修缮改造项目-血液净化中心改造工程（施工设计一体化）</w:t>
      </w:r>
    </w:p>
    <w:p w14:paraId="504C6D92">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3、采购方式：公开招标</w:t>
      </w:r>
    </w:p>
    <w:p w14:paraId="0239A111">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4、预算金额：388</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51878</w:t>
      </w:r>
      <w:r>
        <w:rPr>
          <w:rFonts w:hint="eastAsia" w:ascii="仿宋" w:hAnsi="仿宋" w:eastAsia="仿宋" w:cs="仿宋"/>
          <w:color w:val="auto"/>
          <w:sz w:val="24"/>
          <w:highlight w:val="none"/>
          <w:lang w:val="zh-CN"/>
        </w:rPr>
        <w:t>（万元）</w:t>
      </w:r>
    </w:p>
    <w:p w14:paraId="31BF8043">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5、最高限价：388</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51878（万元）</w:t>
      </w:r>
      <w:r>
        <w:rPr>
          <w:rFonts w:hint="eastAsia" w:ascii="仿宋" w:hAnsi="仿宋" w:eastAsia="仿宋" w:cs="仿宋"/>
          <w:color w:val="auto"/>
          <w:sz w:val="24"/>
          <w:highlight w:val="none"/>
          <w:lang w:val="zh-CN"/>
        </w:rPr>
        <w:t>超最高限价作</w:t>
      </w:r>
      <w:r>
        <w:rPr>
          <w:rFonts w:hint="eastAsia" w:ascii="仿宋" w:hAnsi="仿宋" w:eastAsia="仿宋" w:cs="仿宋"/>
          <w:color w:val="auto"/>
          <w:sz w:val="24"/>
          <w:highlight w:val="none"/>
        </w:rPr>
        <w:t>无效标处理</w:t>
      </w:r>
    </w:p>
    <w:p w14:paraId="3CB23D5E">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6、采购需求：包含血液净化中心和配套辅助用房的深化设计、采购（主要包括配套设备、材料、系统等）与施工。</w:t>
      </w:r>
    </w:p>
    <w:p w14:paraId="3C4B07F4">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7、计划工期：90日历天</w:t>
      </w:r>
    </w:p>
    <w:p w14:paraId="6DAEBCDA">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8、质保期：2年，有防水要求的保修期5年，自竣工验收之日起算。</w:t>
      </w:r>
    </w:p>
    <w:p w14:paraId="7C44A0A6">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9、本项目（是/否）接受联合体投标：</w:t>
      </w:r>
      <w:r>
        <w:rPr>
          <w:rFonts w:hint="eastAsia" w:ascii="仿宋" w:hAnsi="仿宋" w:eastAsia="仿宋" w:cs="仿宋"/>
          <w:color w:val="auto"/>
          <w:sz w:val="24"/>
          <w:highlight w:val="none"/>
          <w:lang w:val="en-US" w:eastAsia="zh-CN"/>
        </w:rPr>
        <w:t>是</w:t>
      </w:r>
    </w:p>
    <w:p w14:paraId="4ABA32D8">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10、本项目（是/否）专门面向中小企业：</w:t>
      </w:r>
      <w:r>
        <w:rPr>
          <w:rFonts w:hint="eastAsia" w:ascii="仿宋" w:hAnsi="仿宋" w:eastAsia="仿宋" w:cs="仿宋"/>
          <w:color w:val="auto"/>
          <w:sz w:val="24"/>
          <w:highlight w:val="none"/>
          <w:lang w:val="en-US" w:eastAsia="zh-CN"/>
        </w:rPr>
        <w:t>否</w:t>
      </w:r>
    </w:p>
    <w:p w14:paraId="7B91B621">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11、本项目面向中小企业类型：</w:t>
      </w:r>
      <w:r>
        <w:rPr>
          <w:rFonts w:hint="eastAsia" w:ascii="仿宋" w:hAnsi="仿宋" w:eastAsia="仿宋" w:cs="仿宋"/>
          <w:color w:val="auto"/>
          <w:sz w:val="24"/>
          <w:highlight w:val="none"/>
          <w:lang w:val="en-US" w:eastAsia="zh-CN"/>
        </w:rPr>
        <w:t>/</w:t>
      </w:r>
    </w:p>
    <w:p w14:paraId="25AE7E5F">
      <w:pPr>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二、申请人的资格要求</w:t>
      </w:r>
    </w:p>
    <w:p w14:paraId="519F7156">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1、满足《中华人民共和国政府采购法》第二十二条规定，即：</w:t>
      </w:r>
    </w:p>
    <w:p w14:paraId="5FA89E76">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（1）具有独立承担民事责任的能力；</w:t>
      </w:r>
    </w:p>
    <w:p w14:paraId="6AF0E846">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（2）具有良好的商业信誉和健全的财务会计制度；</w:t>
      </w:r>
    </w:p>
    <w:p w14:paraId="019BC58B">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（3）具有履行合同所必需的设备和专业技术能力；</w:t>
      </w:r>
    </w:p>
    <w:p w14:paraId="4CB28C68">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（4）有依法缴纳税收和社会保障资金的良好记录；</w:t>
      </w:r>
    </w:p>
    <w:p w14:paraId="096D50F5">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（5）参加政府采购活动前三年内，在经营活动中没有重大违法记录；</w:t>
      </w:r>
    </w:p>
    <w:p w14:paraId="22356C32">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（6）法律、行政法规规定的其他条件。</w:t>
      </w:r>
    </w:p>
    <w:p w14:paraId="1C291B79">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2、单位负责人为同一人或者存在直接控股、管理关系的不同投标人，不得参加本项目同一合同项下的政府采购活动。</w:t>
      </w:r>
    </w:p>
    <w:p w14:paraId="3AF3B7D9">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3、为本采购项目提供整体</w:t>
      </w:r>
      <w:r>
        <w:rPr>
          <w:rFonts w:hint="eastAsia" w:ascii="仿宋" w:hAnsi="仿宋" w:eastAsia="仿宋" w:cs="仿宋"/>
          <w:color w:val="auto"/>
          <w:sz w:val="24"/>
          <w:highlight w:val="none"/>
          <w:lang w:val="en-US" w:eastAsia="zh-CN"/>
        </w:rPr>
        <w:t>设计</w:t>
      </w:r>
      <w:r>
        <w:rPr>
          <w:rFonts w:hint="eastAsia" w:ascii="仿宋" w:hAnsi="仿宋" w:eastAsia="仿宋" w:cs="仿宋"/>
          <w:color w:val="auto"/>
          <w:sz w:val="24"/>
          <w:highlight w:val="none"/>
        </w:rPr>
        <w:t>、规范编制或者项目管理、监理、检测等服务的，不得再参加本项目的招标采购活动。</w:t>
      </w:r>
    </w:p>
    <w:p w14:paraId="4AB768A3">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4、未被列入失信被执行人、重大税收违法案件当事人名单，未被列入政府采购严重违法失信行为记录名单。</w:t>
      </w:r>
    </w:p>
    <w:p w14:paraId="3D4FF007">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5、落实政府采购政策需满足的资格要求：</w:t>
      </w:r>
      <w:r>
        <w:rPr>
          <w:rFonts w:hint="eastAsia" w:ascii="仿宋" w:hAnsi="仿宋" w:eastAsia="仿宋" w:cs="仿宋"/>
          <w:color w:val="auto"/>
          <w:sz w:val="24"/>
          <w:highlight w:val="none"/>
          <w:u w:val="single"/>
          <w:lang w:val="en-US" w:eastAsia="zh-CN"/>
        </w:rPr>
        <w:t>/</w:t>
      </w:r>
      <w:r>
        <w:rPr>
          <w:rFonts w:hint="eastAsia" w:ascii="仿宋" w:hAnsi="仿宋" w:eastAsia="仿宋" w:cs="仿宋"/>
          <w:color w:val="auto"/>
          <w:sz w:val="24"/>
          <w:highlight w:val="none"/>
          <w:u w:val="single"/>
        </w:rPr>
        <w:t xml:space="preserve"> ；</w:t>
      </w:r>
    </w:p>
    <w:p w14:paraId="3CA2AEFC">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6、本项目的特定资格要求：</w:t>
      </w:r>
    </w:p>
    <w:p w14:paraId="63F93E1F">
      <w:pPr>
        <w:autoSpaceDE w:val="0"/>
        <w:autoSpaceDN w:val="0"/>
        <w:spacing w:line="360" w:lineRule="auto"/>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（1）投标人需具备中华人民共和国相关行政主管部门颁发的以下资质：</w:t>
      </w:r>
    </w:p>
    <w:p w14:paraId="1F4E34AD">
      <w:pPr>
        <w:autoSpaceDE w:val="0"/>
        <w:autoSpaceDN w:val="0"/>
        <w:spacing w:line="360" w:lineRule="auto"/>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①具备建设行政主管部门颁发的工程设计综合资质甲级或建筑行业乙级及以上或建筑行业（建筑工程）乙级及以上或建筑装饰工程设计专项乙级及以上设计资质；</w:t>
      </w:r>
    </w:p>
    <w:p w14:paraId="20E538C0">
      <w:pPr>
        <w:autoSpaceDE w:val="0"/>
        <w:autoSpaceDN w:val="0"/>
        <w:spacing w:line="360" w:lineRule="auto"/>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②建筑工程施工总承包叁级及以上企业资质或建筑装修装饰工程专业承包二级及以上资质，并具有有效的安全生产许可证。</w:t>
      </w:r>
    </w:p>
    <w:p w14:paraId="6A5BCB5B">
      <w:pPr>
        <w:numPr>
          <w:ilvl w:val="0"/>
          <w:numId w:val="0"/>
        </w:numPr>
        <w:spacing w:line="360" w:lineRule="auto"/>
        <w:rPr>
          <w:rFonts w:ascii="仿宋" w:hAnsi="仿宋" w:eastAsia="仿宋" w:cs="仿宋"/>
          <w:color w:val="auto"/>
          <w:kern w:val="0"/>
          <w:sz w:val="24"/>
          <w:highlight w:val="none"/>
        </w:rPr>
      </w:pPr>
      <w:r>
        <w:rPr>
          <w:rFonts w:ascii="仿宋" w:hAnsi="仿宋" w:eastAsia="仿宋" w:cs="仿宋"/>
          <w:color w:val="auto"/>
          <w:kern w:val="0"/>
          <w:sz w:val="24"/>
          <w:szCs w:val="24"/>
          <w:highlight w:val="none"/>
          <w:lang w:val="en-US" w:eastAsia="zh-CN" w:bidi="ar-SA"/>
        </w:rPr>
        <w:t>（2）</w:t>
      </w:r>
      <w:r>
        <w:rPr>
          <w:rFonts w:hint="eastAsia" w:ascii="仿宋" w:hAnsi="仿宋" w:eastAsia="仿宋" w:cs="仿宋"/>
          <w:color w:val="auto"/>
          <w:kern w:val="0"/>
          <w:sz w:val="24"/>
          <w:highlight w:val="none"/>
        </w:rPr>
        <w:t>人员要求：①项目经理（或项目负责人）要求：具有建筑或机电工程专业贰级及以上注册建造师及执业资格和有效的安全生产考核合格证书（B证）且不得同时在两个或者两个以上工程项目担任项目经理（或项目负责人）。</w:t>
      </w:r>
    </w:p>
    <w:p w14:paraId="7359A4A7">
      <w:pPr>
        <w:spacing w:line="360" w:lineRule="auto"/>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②设计负责人要求：具备工程类中级及以上职称。</w:t>
      </w:r>
    </w:p>
    <w:p w14:paraId="10870A4B">
      <w:pPr>
        <w:spacing w:line="360" w:lineRule="auto"/>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③拟派施工员、资料员、质检员、安全员、材料员具有相应岗位资格证。</w:t>
      </w:r>
    </w:p>
    <w:p w14:paraId="02D5F109">
      <w:pPr>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④本项目拟投入人员不得相互兼职。并在人员、设备、资金等方面具有相应的设计、施工能力。</w:t>
      </w:r>
    </w:p>
    <w:p w14:paraId="2A0C6E5A">
      <w:pPr>
        <w:spacing w:line="360" w:lineRule="auto"/>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lang w:eastAsia="zh-CN"/>
        </w:rPr>
        <w:t>（</w:t>
      </w:r>
      <w:r>
        <w:rPr>
          <w:rFonts w:hint="eastAsia" w:ascii="仿宋" w:hAnsi="仿宋" w:eastAsia="仿宋" w:cs="仿宋"/>
          <w:color w:val="auto"/>
          <w:kern w:val="0"/>
          <w:sz w:val="24"/>
          <w:highlight w:val="none"/>
          <w:lang w:val="en-US" w:eastAsia="zh-CN"/>
        </w:rPr>
        <w:t>3</w:t>
      </w:r>
      <w:r>
        <w:rPr>
          <w:rFonts w:hint="eastAsia" w:ascii="仿宋" w:hAnsi="仿宋" w:eastAsia="仿宋" w:cs="仿宋"/>
          <w:color w:val="auto"/>
          <w:kern w:val="0"/>
          <w:sz w:val="24"/>
          <w:highlight w:val="none"/>
          <w:lang w:eastAsia="zh-CN"/>
        </w:rPr>
        <w:t>）以联合体投标的，联合体组成成员不得超过2家，应提供联合体协议书。报名登记后联合体成员不可更改（</w:t>
      </w:r>
      <w:r>
        <w:rPr>
          <w:rFonts w:hint="eastAsia" w:ascii="仿宋" w:hAnsi="仿宋" w:eastAsia="仿宋" w:cs="仿宋"/>
          <w:color w:val="auto"/>
          <w:kern w:val="0"/>
          <w:sz w:val="24"/>
          <w:highlight w:val="none"/>
          <w:lang w:val="en-US" w:eastAsia="zh-CN"/>
        </w:rPr>
        <w:t>联合体</w:t>
      </w:r>
      <w:r>
        <w:rPr>
          <w:rFonts w:hint="eastAsia" w:ascii="仿宋" w:hAnsi="仿宋" w:eastAsia="仿宋" w:cs="仿宋"/>
          <w:color w:val="auto"/>
          <w:kern w:val="0"/>
          <w:sz w:val="24"/>
          <w:highlight w:val="none"/>
          <w:lang w:eastAsia="zh-CN"/>
        </w:rPr>
        <w:t xml:space="preserve">牵头人由施工方派出。项目经理由施工方派出）。 </w:t>
      </w:r>
    </w:p>
    <w:p w14:paraId="00FB9C9D">
      <w:pPr>
        <w:spacing w:line="46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三、获取招标文件</w:t>
      </w:r>
    </w:p>
    <w:p w14:paraId="218BD6FE">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1、获取时间：2026年</w:t>
      </w: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lang w:val="en-US" w:eastAsia="zh-CN"/>
        </w:rPr>
        <w:t>23</w:t>
      </w:r>
      <w:r>
        <w:rPr>
          <w:rFonts w:hint="eastAsia" w:ascii="仿宋" w:hAnsi="仿宋" w:eastAsia="仿宋" w:cs="仿宋"/>
          <w:color w:val="auto"/>
          <w:sz w:val="24"/>
          <w:highlight w:val="none"/>
        </w:rPr>
        <w:t>日至2026年</w:t>
      </w: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lang w:val="en-US" w:eastAsia="zh-CN"/>
        </w:rPr>
        <w:t>29</w:t>
      </w:r>
      <w:r>
        <w:rPr>
          <w:rFonts w:hint="eastAsia" w:ascii="仿宋" w:hAnsi="仿宋" w:eastAsia="仿宋" w:cs="仿宋"/>
          <w:color w:val="auto"/>
          <w:sz w:val="24"/>
          <w:highlight w:val="none"/>
        </w:rPr>
        <w:t>日，每天上午09:00 至11:30，下午14:00 至17:00（北京时间，法定节假日或休息日除外）</w:t>
      </w:r>
    </w:p>
    <w:p w14:paraId="02FFFE77">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2、获取方式：网络邮箱获取（</w:t>
      </w:r>
      <w:r>
        <w:rPr>
          <w:rFonts w:hint="eastAsia" w:ascii="仿宋" w:hAnsi="仿宋" w:eastAsia="仿宋" w:cs="仿宋"/>
          <w:b/>
          <w:bCs/>
          <w:color w:val="auto"/>
          <w:sz w:val="24"/>
          <w:highlight w:val="none"/>
        </w:rPr>
        <w:t>hezgj2023@163.com</w:t>
      </w:r>
      <w:r>
        <w:rPr>
          <w:rFonts w:hint="eastAsia" w:ascii="仿宋" w:hAnsi="仿宋" w:eastAsia="仿宋" w:cs="仿宋"/>
          <w:color w:val="auto"/>
          <w:sz w:val="24"/>
          <w:highlight w:val="none"/>
        </w:rPr>
        <w:t>）</w:t>
      </w:r>
    </w:p>
    <w:p w14:paraId="4148BEE9">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1）法定代表人自己领取的，凭法定代表人身份证明书领取；</w:t>
      </w:r>
    </w:p>
    <w:p w14:paraId="50E19F1A">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2）法定代表人委托他人领取的，凭法定代表人授权书领取；</w:t>
      </w:r>
    </w:p>
    <w:p w14:paraId="75AECD0F">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3）报名表（格式自拟，需包含供应商名称、项目名称、项目编号、联系人、联系方式、邮箱、报名具体时间（年月日时））；</w:t>
      </w:r>
    </w:p>
    <w:p w14:paraId="55BC4343">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4）联合体投标的需提供联合体协议书（本项目</w:t>
      </w:r>
      <w:r>
        <w:rPr>
          <w:rFonts w:hint="eastAsia" w:ascii="仿宋" w:hAnsi="仿宋" w:eastAsia="仿宋" w:cs="仿宋"/>
          <w:color w:val="auto"/>
          <w:sz w:val="24"/>
          <w:highlight w:val="none"/>
          <w:lang w:val="en-US" w:eastAsia="zh-CN"/>
        </w:rPr>
        <w:t>接受</w:t>
      </w:r>
      <w:r>
        <w:rPr>
          <w:rFonts w:hint="eastAsia" w:ascii="仿宋" w:hAnsi="仿宋" w:eastAsia="仿宋" w:cs="仿宋"/>
          <w:color w:val="auto"/>
          <w:sz w:val="24"/>
          <w:highlight w:val="none"/>
        </w:rPr>
        <w:t>联合体）；</w:t>
      </w:r>
    </w:p>
    <w:p w14:paraId="324CC7C1">
      <w:pPr>
        <w:spacing w:line="360" w:lineRule="auto"/>
        <w:rPr>
          <w:rFonts w:ascii="仿宋" w:hAnsi="仿宋" w:eastAsia="仿宋" w:cs="仿宋"/>
          <w:b/>
          <w:bCs/>
          <w:color w:val="auto"/>
          <w:sz w:val="24"/>
          <w:highlight w:val="none"/>
        </w:rPr>
      </w:pPr>
      <w:r>
        <w:rPr>
          <w:rFonts w:hint="eastAsia" w:ascii="仿宋" w:hAnsi="仿宋" w:eastAsia="仿宋" w:cs="仿宋"/>
          <w:color w:val="auto"/>
          <w:sz w:val="24"/>
          <w:highlight w:val="none"/>
        </w:rPr>
        <w:t>5）网上报名需把所有加盖公章后的报名资料</w:t>
      </w:r>
      <w:r>
        <w:rPr>
          <w:rFonts w:hint="eastAsia" w:ascii="仿宋" w:hAnsi="仿宋" w:eastAsia="仿宋" w:cs="仿宋"/>
          <w:b/>
          <w:bCs/>
          <w:color w:val="auto"/>
          <w:sz w:val="24"/>
          <w:highlight w:val="none"/>
        </w:rPr>
        <w:t>扫描后编辑为一个</w:t>
      </w:r>
      <w:r>
        <w:rPr>
          <w:rFonts w:hint="eastAsia" w:ascii="仿宋" w:hAnsi="仿宋" w:eastAsia="仿宋" w:cs="仿宋"/>
          <w:b/>
          <w:bCs/>
          <w:color w:val="auto"/>
          <w:sz w:val="24"/>
          <w:highlight w:val="none"/>
          <w:u w:val="single"/>
        </w:rPr>
        <w:t>PDF文档</w:t>
      </w:r>
      <w:r>
        <w:rPr>
          <w:rFonts w:hint="eastAsia" w:ascii="仿宋" w:hAnsi="仿宋" w:eastAsia="仿宋" w:cs="仿宋"/>
          <w:color w:val="auto"/>
          <w:sz w:val="24"/>
          <w:highlight w:val="none"/>
        </w:rPr>
        <w:t>发至招标代理邮箱（文件重命名为单位名称+项目名称）进行审核。注：PDF报名资料名称需注明供应商名称、项目名称，如有疑问请与招标代理工作人员联系。招标人、招标代理机构对电子文本传输过程中发生的迟交或遗失均不承担责任；</w:t>
      </w:r>
    </w:p>
    <w:p w14:paraId="688E928B">
      <w:pPr>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6）报名资料接收邮箱：hezgj2023@163.com</w:t>
      </w:r>
    </w:p>
    <w:p w14:paraId="18BD68DD">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3、售价：500元（售后不退）</w:t>
      </w:r>
    </w:p>
    <w:p w14:paraId="46BB152E">
      <w:pPr>
        <w:spacing w:line="360" w:lineRule="auto"/>
        <w:rPr>
          <w:rFonts w:ascii="仿宋" w:hAnsi="仿宋" w:eastAsia="仿宋" w:cs="仿宋"/>
          <w:b/>
          <w:bCs/>
          <w:color w:val="auto"/>
          <w:sz w:val="24"/>
          <w:highlight w:val="none"/>
        </w:rPr>
      </w:pPr>
      <w:bookmarkStart w:id="7" w:name="四、提交投标文件截止时间、开标时间和地点"/>
      <w:bookmarkEnd w:id="7"/>
      <w:r>
        <w:rPr>
          <w:rFonts w:hint="eastAsia" w:ascii="仿宋" w:hAnsi="仿宋" w:eastAsia="仿宋" w:cs="仿宋"/>
          <w:b/>
          <w:bCs/>
          <w:color w:val="auto"/>
          <w:sz w:val="24"/>
          <w:highlight w:val="none"/>
        </w:rPr>
        <w:t>四、提交投标文件截止时间、开标时间和地点</w:t>
      </w:r>
    </w:p>
    <w:p w14:paraId="254D5E73">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zh-CN"/>
        </w:rPr>
        <w:t>开标时间、投标截止时间：</w:t>
      </w:r>
      <w:r>
        <w:rPr>
          <w:rFonts w:hint="eastAsia" w:ascii="仿宋" w:hAnsi="仿宋" w:eastAsia="仿宋" w:cs="仿宋"/>
          <w:color w:val="auto"/>
          <w:sz w:val="24"/>
          <w:highlight w:val="none"/>
        </w:rPr>
        <w:t>2026年</w:t>
      </w: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lang w:val="en-US" w:eastAsia="zh-CN"/>
        </w:rPr>
        <w:t>12</w:t>
      </w:r>
      <w:r>
        <w:rPr>
          <w:rFonts w:hint="eastAsia" w:ascii="仿宋" w:hAnsi="仿宋" w:eastAsia="仿宋" w:cs="仿宋"/>
          <w:color w:val="auto"/>
          <w:sz w:val="24"/>
          <w:highlight w:val="none"/>
        </w:rPr>
        <w:t>日10时00分（北京时间）</w:t>
      </w:r>
    </w:p>
    <w:p w14:paraId="1F6E2216">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2、地点：华尔兹国际工程咨询（湖北）有限公司</w:t>
      </w:r>
      <w:r>
        <w:rPr>
          <w:rFonts w:hint="eastAsia" w:ascii="仿宋" w:hAnsi="仿宋" w:eastAsia="仿宋" w:cs="仿宋"/>
          <w:color w:val="auto"/>
          <w:sz w:val="24"/>
          <w:highlight w:val="none"/>
          <w:lang w:val="zh-CN"/>
        </w:rPr>
        <w:t>（武汉市江岸区金桥大道107号凯信大厦3号楼12层）</w:t>
      </w:r>
    </w:p>
    <w:p w14:paraId="384F4788">
      <w:pPr>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五、公告期限</w:t>
      </w:r>
    </w:p>
    <w:p w14:paraId="30733CF0">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自本公告发布之日起 5 个工作日。</w:t>
      </w:r>
    </w:p>
    <w:p w14:paraId="09254BC3">
      <w:pPr>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六、其他补充事宜</w:t>
      </w:r>
    </w:p>
    <w:p w14:paraId="03E1A25A">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本次招标公告在</w:t>
      </w:r>
      <w:r>
        <w:rPr>
          <w:rFonts w:hint="eastAsia" w:ascii="仿宋" w:hAnsi="仿宋" w:eastAsia="仿宋" w:cs="仿宋"/>
          <w:color w:val="auto"/>
          <w:sz w:val="24"/>
          <w:highlight w:val="none"/>
          <w:u w:val="single"/>
        </w:rPr>
        <w:t>中国政府采购网</w:t>
      </w:r>
      <w:r>
        <w:rPr>
          <w:rFonts w:hint="eastAsia" w:ascii="仿宋" w:hAnsi="仿宋" w:eastAsia="仿宋" w:cs="仿宋"/>
          <w:color w:val="auto"/>
          <w:sz w:val="24"/>
          <w:highlight w:val="none"/>
        </w:rPr>
        <w:t>上发布。</w:t>
      </w:r>
    </w:p>
    <w:p w14:paraId="02A9C6A0">
      <w:pPr>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七、对本次招标提出询问，请按以下方式联系。</w:t>
      </w:r>
    </w:p>
    <w:p w14:paraId="28FE2BAD">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1.招标人信息</w:t>
      </w:r>
    </w:p>
    <w:p w14:paraId="2E1FA157">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名称：华中科技大学同济医学院附属梨园医院</w:t>
      </w:r>
    </w:p>
    <w:p w14:paraId="2383306F">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地址：武汉市武昌区沿湖大道39号</w:t>
      </w:r>
    </w:p>
    <w:p w14:paraId="0F7BB4FD">
      <w:pPr>
        <w:pStyle w:val="37"/>
        <w:spacing w:line="360" w:lineRule="auto"/>
        <w:ind w:firstLine="0"/>
        <w:rPr>
          <w:rFonts w:ascii="仿宋" w:hAnsi="仿宋" w:eastAsia="仿宋" w:cs="仿宋"/>
          <w:color w:val="auto"/>
          <w:sz w:val="24"/>
          <w:highlight w:val="none"/>
        </w:rPr>
      </w:pPr>
      <w:r>
        <w:rPr>
          <w:rFonts w:hint="eastAsia" w:ascii="仿宋" w:hAnsi="仿宋" w:eastAsia="仿宋" w:cs="仿宋"/>
          <w:color w:val="auto"/>
          <w:sz w:val="24"/>
          <w:highlight w:val="none"/>
        </w:rPr>
        <w:t>联系方式：027-86785987</w:t>
      </w:r>
    </w:p>
    <w:p w14:paraId="205AC885">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2.采购代理机构信息</w:t>
      </w:r>
    </w:p>
    <w:p w14:paraId="4FBAC8A7">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名称：华尔兹国际工程咨询（湖北）有限公司</w:t>
      </w:r>
    </w:p>
    <w:p w14:paraId="7F7B303C">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地址：武汉市江岸区金桥大道107号凯信大厦3号楼12层</w:t>
      </w:r>
    </w:p>
    <w:p w14:paraId="453A9909">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联系人：李亚荣、田立、李健、李桃</w:t>
      </w:r>
    </w:p>
    <w:p w14:paraId="3932326A">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联系方式：18071717822</w:t>
      </w:r>
    </w:p>
    <w:p w14:paraId="201E4818">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3.项目联系方式</w:t>
      </w:r>
    </w:p>
    <w:p w14:paraId="7B01F392">
      <w:pPr>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项目联系人：李亚荣、田立、李健、李桃</w:t>
      </w:r>
    </w:p>
    <w:p w14:paraId="68829E07">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电话：18071717822</w:t>
      </w:r>
    </w:p>
    <w:p w14:paraId="3FAA7DAB">
      <w:pPr>
        <w:spacing w:line="360" w:lineRule="auto"/>
        <w:jc w:val="center"/>
        <w:rPr>
          <w:rFonts w:ascii="仿宋" w:hAnsi="仿宋" w:eastAsia="仿宋" w:cs="仿宋"/>
          <w:color w:val="auto"/>
          <w:sz w:val="24"/>
          <w:highlight w:val="none"/>
        </w:rPr>
        <w:sectPr>
          <w:headerReference r:id="rId5" w:type="default"/>
          <w:footerReference r:id="rId6" w:type="default"/>
          <w:pgSz w:w="11910" w:h="16840"/>
          <w:pgMar w:top="1440" w:right="1800" w:bottom="1440" w:left="1800" w:header="892" w:footer="995" w:gutter="0"/>
          <w:pgNumType w:start="1"/>
          <w:cols w:space="720" w:num="1"/>
        </w:sectPr>
      </w:pPr>
    </w:p>
    <w:p w14:paraId="6C6C9AF5">
      <w:pPr>
        <w:pStyle w:val="2"/>
        <w:numPr>
          <w:ilvl w:val="0"/>
          <w:numId w:val="1"/>
        </w:numPr>
        <w:spacing w:before="240" w:line="360" w:lineRule="auto"/>
        <w:ind w:left="1457" w:hanging="1457"/>
        <w:jc w:val="center"/>
        <w:rPr>
          <w:rFonts w:ascii="仿宋" w:hAnsi="仿宋" w:eastAsia="仿宋" w:cs="仿宋"/>
          <w:color w:val="auto"/>
          <w:kern w:val="2"/>
          <w:sz w:val="36"/>
          <w:highlight w:val="none"/>
        </w:rPr>
      </w:pPr>
      <w:bookmarkStart w:id="8" w:name="_Toc17505"/>
      <w:bookmarkStart w:id="9" w:name="_Toc5197"/>
      <w:bookmarkStart w:id="10" w:name="_Toc21173"/>
      <w:bookmarkStart w:id="11" w:name="_Toc18313"/>
      <w:r>
        <w:rPr>
          <w:rFonts w:hint="eastAsia" w:ascii="仿宋" w:hAnsi="仿宋" w:eastAsia="仿宋" w:cs="仿宋"/>
          <w:color w:val="auto"/>
          <w:kern w:val="2"/>
          <w:sz w:val="36"/>
          <w:highlight w:val="none"/>
        </w:rPr>
        <w:t>投标人须知</w:t>
      </w:r>
      <w:bookmarkEnd w:id="8"/>
      <w:bookmarkEnd w:id="9"/>
      <w:bookmarkEnd w:id="10"/>
      <w:bookmarkEnd w:id="11"/>
    </w:p>
    <w:p w14:paraId="4B9E6D4F">
      <w:pPr>
        <w:pStyle w:val="3"/>
        <w:numPr>
          <w:ilvl w:val="0"/>
          <w:numId w:val="2"/>
        </w:numPr>
        <w:spacing w:before="0" w:afterLines="50" w:line="360" w:lineRule="auto"/>
        <w:rPr>
          <w:rFonts w:ascii="仿宋" w:hAnsi="仿宋" w:eastAsia="仿宋" w:cs="仿宋"/>
          <w:color w:val="auto"/>
          <w:sz w:val="30"/>
          <w:highlight w:val="none"/>
        </w:rPr>
      </w:pPr>
      <w:bookmarkStart w:id="12" w:name="_Toc9040"/>
      <w:bookmarkStart w:id="13" w:name="_Toc172968212"/>
      <w:bookmarkStart w:id="14" w:name="_Toc11833"/>
      <w:bookmarkStart w:id="15" w:name="_Toc149630811"/>
      <w:bookmarkStart w:id="16" w:name="_Toc234116320"/>
      <w:r>
        <w:rPr>
          <w:rFonts w:hint="eastAsia" w:ascii="仿宋" w:hAnsi="仿宋" w:eastAsia="仿宋" w:cs="仿宋"/>
          <w:color w:val="auto"/>
          <w:sz w:val="30"/>
          <w:highlight w:val="none"/>
        </w:rPr>
        <w:t>投标人须知前附表</w:t>
      </w:r>
      <w:bookmarkEnd w:id="12"/>
      <w:bookmarkEnd w:id="13"/>
      <w:bookmarkEnd w:id="14"/>
      <w:bookmarkEnd w:id="15"/>
      <w:bookmarkEnd w:id="16"/>
    </w:p>
    <w:p w14:paraId="29E6F792">
      <w:pPr>
        <w:autoSpaceDE w:val="0"/>
        <w:autoSpaceDN w:val="0"/>
        <w:adjustRightInd w:val="0"/>
        <w:snapToGrid w:val="0"/>
        <w:spacing w:line="360" w:lineRule="auto"/>
        <w:ind w:firstLine="480" w:firstLineChars="200"/>
        <w:rPr>
          <w:rFonts w:ascii="仿宋" w:hAnsi="仿宋" w:eastAsia="仿宋" w:cs="仿宋"/>
          <w:color w:val="auto"/>
          <w:sz w:val="24"/>
          <w:highlight w:val="none"/>
          <w:lang w:val="zh-CN"/>
        </w:rPr>
      </w:pPr>
      <w:r>
        <w:rPr>
          <w:rFonts w:hint="eastAsia" w:ascii="仿宋" w:hAnsi="仿宋" w:eastAsia="仿宋" w:cs="仿宋"/>
          <w:color w:val="auto"/>
          <w:sz w:val="24"/>
          <w:highlight w:val="none"/>
        </w:rPr>
        <w:t>供应商应仔细阅读本招标文件的第二章“供应商须知”，下面所列资料是对“供应商须知”的具体补充和说明。</w:t>
      </w:r>
      <w:r>
        <w:rPr>
          <w:rFonts w:hint="eastAsia" w:ascii="仿宋" w:hAnsi="仿宋" w:eastAsia="仿宋" w:cs="仿宋"/>
          <w:color w:val="auto"/>
          <w:sz w:val="24"/>
          <w:highlight w:val="none"/>
          <w:lang w:val="zh-CN"/>
        </w:rPr>
        <w:t>如有矛盾，应以本表为准。</w:t>
      </w:r>
    </w:p>
    <w:tbl>
      <w:tblPr>
        <w:tblStyle w:val="22"/>
        <w:tblW w:w="0" w:type="auto"/>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Layout w:type="fixed"/>
        <w:tblCellMar>
          <w:top w:w="57" w:type="dxa"/>
          <w:left w:w="108" w:type="dxa"/>
          <w:bottom w:w="57" w:type="dxa"/>
          <w:right w:w="108" w:type="dxa"/>
        </w:tblCellMar>
      </w:tblPr>
      <w:tblGrid>
        <w:gridCol w:w="740"/>
        <w:gridCol w:w="2595"/>
        <w:gridCol w:w="19"/>
        <w:gridCol w:w="5694"/>
        <w:gridCol w:w="6"/>
      </w:tblGrid>
      <w:tr w14:paraId="69561CD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CellMar>
            <w:top w:w="57" w:type="dxa"/>
            <w:left w:w="108" w:type="dxa"/>
            <w:bottom w:w="57" w:type="dxa"/>
            <w:right w:w="108" w:type="dxa"/>
          </w:tblCellMar>
        </w:tblPrEx>
        <w:trPr>
          <w:gridAfter w:val="1"/>
          <w:wAfter w:w="6" w:type="dxa"/>
          <w:trHeight w:val="454" w:hRule="atLeast"/>
          <w:tblHeader/>
        </w:trPr>
        <w:tc>
          <w:tcPr>
            <w:tcW w:w="740" w:type="dxa"/>
            <w:shd w:val="clear" w:color="auto" w:fill="FFFFFF"/>
            <w:noWrap/>
            <w:vAlign w:val="center"/>
          </w:tcPr>
          <w:p w14:paraId="2461F595">
            <w:pPr>
              <w:autoSpaceDE w:val="0"/>
              <w:autoSpaceDN w:val="0"/>
              <w:snapToGrid w:val="0"/>
              <w:spacing w:line="300" w:lineRule="auto"/>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2595" w:type="dxa"/>
            <w:shd w:val="clear" w:color="auto" w:fill="FFFFFF"/>
            <w:noWrap/>
            <w:vAlign w:val="center"/>
          </w:tcPr>
          <w:p w14:paraId="0D326FB5">
            <w:pPr>
              <w:autoSpaceDE w:val="0"/>
              <w:autoSpaceDN w:val="0"/>
              <w:snapToGrid w:val="0"/>
              <w:spacing w:line="300" w:lineRule="auto"/>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条款名称</w:t>
            </w:r>
          </w:p>
        </w:tc>
        <w:tc>
          <w:tcPr>
            <w:tcW w:w="5713" w:type="dxa"/>
            <w:gridSpan w:val="2"/>
            <w:shd w:val="clear" w:color="auto" w:fill="FFFFFF"/>
            <w:noWrap/>
            <w:vAlign w:val="center"/>
          </w:tcPr>
          <w:p w14:paraId="0A7D5515">
            <w:pPr>
              <w:autoSpaceDE w:val="0"/>
              <w:autoSpaceDN w:val="0"/>
              <w:snapToGrid w:val="0"/>
              <w:spacing w:line="300" w:lineRule="auto"/>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内容</w:t>
            </w:r>
          </w:p>
        </w:tc>
      </w:tr>
      <w:tr w14:paraId="16209B2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CellMar>
            <w:top w:w="57" w:type="dxa"/>
            <w:left w:w="108" w:type="dxa"/>
            <w:bottom w:w="57" w:type="dxa"/>
            <w:right w:w="108" w:type="dxa"/>
          </w:tblCellMar>
        </w:tblPrEx>
        <w:trPr>
          <w:gridAfter w:val="1"/>
          <w:wAfter w:w="6" w:type="dxa"/>
          <w:trHeight w:val="454" w:hRule="atLeast"/>
        </w:trPr>
        <w:tc>
          <w:tcPr>
            <w:tcW w:w="740" w:type="dxa"/>
            <w:shd w:val="clear" w:color="auto" w:fill="FFFFFF"/>
            <w:noWrap/>
            <w:vAlign w:val="center"/>
          </w:tcPr>
          <w:p w14:paraId="7B631FA1">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2595" w:type="dxa"/>
            <w:shd w:val="clear" w:color="auto" w:fill="FFFFFF"/>
            <w:noWrap/>
            <w:vAlign w:val="center"/>
          </w:tcPr>
          <w:p w14:paraId="079043C5">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采购人</w:t>
            </w:r>
          </w:p>
        </w:tc>
        <w:tc>
          <w:tcPr>
            <w:tcW w:w="5713" w:type="dxa"/>
            <w:gridSpan w:val="2"/>
            <w:shd w:val="clear" w:color="auto" w:fill="FFFFFF"/>
            <w:noWrap/>
            <w:vAlign w:val="center"/>
          </w:tcPr>
          <w:p w14:paraId="1E207FF0">
            <w:pPr>
              <w:snapToGrid w:val="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华中科技大学同济医学院附属梨园医院</w:t>
            </w:r>
          </w:p>
        </w:tc>
      </w:tr>
      <w:tr w14:paraId="3D8194D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CellMar>
            <w:top w:w="57" w:type="dxa"/>
            <w:left w:w="108" w:type="dxa"/>
            <w:bottom w:w="57" w:type="dxa"/>
            <w:right w:w="108" w:type="dxa"/>
          </w:tblCellMar>
        </w:tblPrEx>
        <w:trPr>
          <w:gridAfter w:val="1"/>
          <w:wAfter w:w="6" w:type="dxa"/>
          <w:trHeight w:val="454" w:hRule="atLeast"/>
        </w:trPr>
        <w:tc>
          <w:tcPr>
            <w:tcW w:w="740" w:type="dxa"/>
            <w:shd w:val="clear" w:color="auto" w:fill="FFFFFF"/>
            <w:noWrap/>
            <w:vAlign w:val="center"/>
          </w:tcPr>
          <w:p w14:paraId="37CF550B">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2</w:t>
            </w:r>
          </w:p>
        </w:tc>
        <w:tc>
          <w:tcPr>
            <w:tcW w:w="2595" w:type="dxa"/>
            <w:shd w:val="clear" w:color="auto" w:fill="FFFFFF"/>
            <w:noWrap/>
            <w:vAlign w:val="center"/>
          </w:tcPr>
          <w:p w14:paraId="06CDF9AD">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采购代理机构</w:t>
            </w:r>
          </w:p>
        </w:tc>
        <w:tc>
          <w:tcPr>
            <w:tcW w:w="5713" w:type="dxa"/>
            <w:gridSpan w:val="2"/>
            <w:shd w:val="clear" w:color="auto" w:fill="FFFFFF"/>
            <w:noWrap/>
            <w:vAlign w:val="center"/>
          </w:tcPr>
          <w:p w14:paraId="6FA9FEFC">
            <w:pPr>
              <w:snapToGrid w:val="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华尔兹国际工程咨询（湖北）有限公司</w:t>
            </w:r>
          </w:p>
        </w:tc>
      </w:tr>
      <w:tr w14:paraId="5163784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CellMar>
            <w:top w:w="57" w:type="dxa"/>
            <w:left w:w="108" w:type="dxa"/>
            <w:bottom w:w="57" w:type="dxa"/>
            <w:right w:w="108" w:type="dxa"/>
          </w:tblCellMar>
        </w:tblPrEx>
        <w:trPr>
          <w:gridAfter w:val="1"/>
          <w:wAfter w:w="6" w:type="dxa"/>
          <w:trHeight w:val="454" w:hRule="atLeast"/>
        </w:trPr>
        <w:tc>
          <w:tcPr>
            <w:tcW w:w="740" w:type="dxa"/>
            <w:shd w:val="clear" w:color="auto" w:fill="FFFFFF"/>
            <w:noWrap/>
            <w:vAlign w:val="center"/>
          </w:tcPr>
          <w:p w14:paraId="1996B714">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3</w:t>
            </w:r>
          </w:p>
        </w:tc>
        <w:tc>
          <w:tcPr>
            <w:tcW w:w="2595" w:type="dxa"/>
            <w:shd w:val="clear" w:color="auto" w:fill="FFFFFF"/>
            <w:noWrap/>
            <w:vAlign w:val="center"/>
          </w:tcPr>
          <w:p w14:paraId="56008E38">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项目名称</w:t>
            </w:r>
          </w:p>
        </w:tc>
        <w:tc>
          <w:tcPr>
            <w:tcW w:w="5713" w:type="dxa"/>
            <w:gridSpan w:val="2"/>
            <w:shd w:val="clear" w:color="auto" w:fill="FFFFFF"/>
            <w:noWrap/>
            <w:vAlign w:val="center"/>
          </w:tcPr>
          <w:p w14:paraId="41C23354">
            <w:pPr>
              <w:snapToGrid w:val="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lang w:val="zh-CN"/>
              </w:rPr>
              <w:t>华中科技大学同济医学院附属梨园医院诊疗环境修缮改造项目-血液净化中心改造工程（施工设计一体化）</w:t>
            </w:r>
          </w:p>
        </w:tc>
      </w:tr>
      <w:tr w14:paraId="02F001C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CellMar>
            <w:top w:w="57" w:type="dxa"/>
            <w:left w:w="108" w:type="dxa"/>
            <w:bottom w:w="57" w:type="dxa"/>
            <w:right w:w="108" w:type="dxa"/>
          </w:tblCellMar>
        </w:tblPrEx>
        <w:trPr>
          <w:gridAfter w:val="1"/>
          <w:wAfter w:w="6" w:type="dxa"/>
          <w:trHeight w:val="90" w:hRule="atLeast"/>
        </w:trPr>
        <w:tc>
          <w:tcPr>
            <w:tcW w:w="740" w:type="dxa"/>
            <w:shd w:val="clear" w:color="auto" w:fill="FFFFFF"/>
            <w:noWrap/>
            <w:vAlign w:val="center"/>
          </w:tcPr>
          <w:p w14:paraId="268CC82A">
            <w:pPr>
              <w:snapToGrid w:val="0"/>
              <w:spacing w:line="300" w:lineRule="auto"/>
              <w:jc w:val="center"/>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4</w:t>
            </w:r>
          </w:p>
        </w:tc>
        <w:tc>
          <w:tcPr>
            <w:tcW w:w="2595" w:type="dxa"/>
            <w:shd w:val="clear" w:color="auto" w:fill="FFFFFF"/>
            <w:noWrap/>
            <w:vAlign w:val="center"/>
          </w:tcPr>
          <w:p w14:paraId="7038086A">
            <w:pPr>
              <w:snapToGrid w:val="0"/>
              <w:spacing w:line="300" w:lineRule="auto"/>
              <w:jc w:val="center"/>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项目地点</w:t>
            </w:r>
          </w:p>
        </w:tc>
        <w:tc>
          <w:tcPr>
            <w:tcW w:w="5713" w:type="dxa"/>
            <w:gridSpan w:val="2"/>
            <w:shd w:val="clear" w:color="auto" w:fill="FFFFFF"/>
            <w:noWrap/>
            <w:vAlign w:val="center"/>
          </w:tcPr>
          <w:p w14:paraId="3243B9F6">
            <w:pPr>
              <w:snapToGrid w:val="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武汉市东湖风景区沿湖大道39号梨园医院内</w:t>
            </w:r>
          </w:p>
        </w:tc>
      </w:tr>
      <w:tr w14:paraId="64C92A3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CellMar>
            <w:top w:w="57" w:type="dxa"/>
            <w:left w:w="108" w:type="dxa"/>
            <w:bottom w:w="57" w:type="dxa"/>
            <w:right w:w="108" w:type="dxa"/>
          </w:tblCellMar>
        </w:tblPrEx>
        <w:trPr>
          <w:gridAfter w:val="1"/>
          <w:wAfter w:w="6" w:type="dxa"/>
          <w:trHeight w:val="454" w:hRule="atLeast"/>
        </w:trPr>
        <w:tc>
          <w:tcPr>
            <w:tcW w:w="740" w:type="dxa"/>
            <w:shd w:val="clear" w:color="auto" w:fill="FFFFFF"/>
            <w:noWrap/>
            <w:vAlign w:val="center"/>
          </w:tcPr>
          <w:p w14:paraId="228E067E">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5</w:t>
            </w:r>
          </w:p>
        </w:tc>
        <w:tc>
          <w:tcPr>
            <w:tcW w:w="2595" w:type="dxa"/>
            <w:shd w:val="clear" w:color="auto" w:fill="FFFFFF"/>
            <w:noWrap/>
            <w:vAlign w:val="center"/>
          </w:tcPr>
          <w:p w14:paraId="44DACEAD">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项目内容</w:t>
            </w:r>
          </w:p>
        </w:tc>
        <w:tc>
          <w:tcPr>
            <w:tcW w:w="5713" w:type="dxa"/>
            <w:gridSpan w:val="2"/>
            <w:shd w:val="clear" w:color="auto" w:fill="FFFFFF"/>
            <w:noWrap/>
            <w:vAlign w:val="center"/>
          </w:tcPr>
          <w:p w14:paraId="2E9FAFF7">
            <w:pPr>
              <w:snapToGrid w:val="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详见招标文件第三章</w:t>
            </w:r>
          </w:p>
        </w:tc>
      </w:tr>
      <w:tr w14:paraId="5C4727F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CellMar>
            <w:top w:w="57" w:type="dxa"/>
            <w:left w:w="108" w:type="dxa"/>
            <w:bottom w:w="57" w:type="dxa"/>
            <w:right w:w="108" w:type="dxa"/>
          </w:tblCellMar>
        </w:tblPrEx>
        <w:trPr>
          <w:gridAfter w:val="1"/>
          <w:wAfter w:w="6" w:type="dxa"/>
          <w:trHeight w:val="454" w:hRule="atLeast"/>
        </w:trPr>
        <w:tc>
          <w:tcPr>
            <w:tcW w:w="740" w:type="dxa"/>
            <w:shd w:val="clear" w:color="auto" w:fill="FFFFFF"/>
            <w:noWrap/>
            <w:vAlign w:val="center"/>
          </w:tcPr>
          <w:p w14:paraId="73708EF9">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6</w:t>
            </w:r>
          </w:p>
        </w:tc>
        <w:tc>
          <w:tcPr>
            <w:tcW w:w="2595" w:type="dxa"/>
            <w:shd w:val="clear" w:color="auto" w:fill="FFFFFF"/>
            <w:noWrap/>
            <w:vAlign w:val="center"/>
          </w:tcPr>
          <w:p w14:paraId="1195A40A">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资金落实情况</w:t>
            </w:r>
          </w:p>
        </w:tc>
        <w:tc>
          <w:tcPr>
            <w:tcW w:w="5713" w:type="dxa"/>
            <w:gridSpan w:val="2"/>
            <w:shd w:val="clear" w:color="auto" w:fill="FFFFFF"/>
            <w:noWrap/>
            <w:vAlign w:val="center"/>
          </w:tcPr>
          <w:p w14:paraId="41C5A819">
            <w:pPr>
              <w:snapToGrid w:val="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已落实</w:t>
            </w:r>
          </w:p>
        </w:tc>
      </w:tr>
      <w:tr w14:paraId="0D44B91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CellMar>
            <w:top w:w="57" w:type="dxa"/>
            <w:left w:w="108" w:type="dxa"/>
            <w:bottom w:w="57" w:type="dxa"/>
            <w:right w:w="108" w:type="dxa"/>
          </w:tblCellMar>
        </w:tblPrEx>
        <w:trPr>
          <w:gridAfter w:val="1"/>
          <w:wAfter w:w="6" w:type="dxa"/>
          <w:trHeight w:val="454" w:hRule="atLeast"/>
        </w:trPr>
        <w:tc>
          <w:tcPr>
            <w:tcW w:w="740" w:type="dxa"/>
            <w:shd w:val="clear" w:color="auto" w:fill="FFFFFF"/>
            <w:noWrap/>
            <w:vAlign w:val="center"/>
          </w:tcPr>
          <w:p w14:paraId="34CDD302">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7</w:t>
            </w:r>
          </w:p>
        </w:tc>
        <w:tc>
          <w:tcPr>
            <w:tcW w:w="2595" w:type="dxa"/>
            <w:shd w:val="clear" w:color="auto" w:fill="FFFFFF"/>
            <w:noWrap/>
            <w:vAlign w:val="center"/>
          </w:tcPr>
          <w:p w14:paraId="7D7491EB">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采购范围</w:t>
            </w:r>
          </w:p>
        </w:tc>
        <w:tc>
          <w:tcPr>
            <w:tcW w:w="5713" w:type="dxa"/>
            <w:gridSpan w:val="2"/>
            <w:shd w:val="clear" w:color="auto" w:fill="FFFFFF"/>
            <w:noWrap/>
            <w:vAlign w:val="center"/>
          </w:tcPr>
          <w:p w14:paraId="567BCA28">
            <w:pPr>
              <w:pStyle w:val="19"/>
              <w:autoSpaceDE w:val="0"/>
              <w:autoSpaceDN w:val="0"/>
              <w:adjustRightInd w:val="0"/>
              <w:spacing w:line="300" w:lineRule="auto"/>
              <w:ind w:left="21" w:leftChars="10" w:right="21" w:rightChars="10"/>
              <w:jc w:val="both"/>
              <w:rPr>
                <w:rFonts w:ascii="仿宋" w:hAnsi="仿宋" w:eastAsia="仿宋" w:cs="仿宋"/>
                <w:color w:val="auto"/>
                <w:kern w:val="2"/>
                <w:highlight w:val="none"/>
                <w:lang w:val="zh-CN"/>
              </w:rPr>
            </w:pPr>
            <w:r>
              <w:rPr>
                <w:rFonts w:hint="eastAsia" w:ascii="仿宋" w:hAnsi="仿宋" w:eastAsia="仿宋" w:cs="仿宋"/>
                <w:color w:val="auto"/>
                <w:kern w:val="2"/>
                <w:highlight w:val="none"/>
                <w:lang w:val="zh-CN"/>
              </w:rPr>
              <w:t>详见招标文件第三章</w:t>
            </w:r>
          </w:p>
        </w:tc>
      </w:tr>
      <w:tr w14:paraId="6D8FBE1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CellMar>
            <w:top w:w="57" w:type="dxa"/>
            <w:left w:w="108" w:type="dxa"/>
            <w:bottom w:w="57" w:type="dxa"/>
            <w:right w:w="108" w:type="dxa"/>
          </w:tblCellMar>
        </w:tblPrEx>
        <w:trPr>
          <w:gridAfter w:val="1"/>
          <w:wAfter w:w="6" w:type="dxa"/>
          <w:trHeight w:val="454" w:hRule="atLeast"/>
        </w:trPr>
        <w:tc>
          <w:tcPr>
            <w:tcW w:w="740" w:type="dxa"/>
            <w:shd w:val="clear" w:color="auto" w:fill="FFFFFF"/>
            <w:noWrap/>
            <w:vAlign w:val="center"/>
          </w:tcPr>
          <w:p w14:paraId="71837ED1">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8</w:t>
            </w:r>
          </w:p>
        </w:tc>
        <w:tc>
          <w:tcPr>
            <w:tcW w:w="2595" w:type="dxa"/>
            <w:shd w:val="clear" w:color="auto" w:fill="FFFFFF"/>
            <w:noWrap/>
            <w:vAlign w:val="center"/>
          </w:tcPr>
          <w:p w14:paraId="1CA98FDD">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供应商资质条件、能力和信誉</w:t>
            </w:r>
          </w:p>
        </w:tc>
        <w:tc>
          <w:tcPr>
            <w:tcW w:w="5713" w:type="dxa"/>
            <w:gridSpan w:val="2"/>
            <w:shd w:val="clear" w:color="auto" w:fill="FFFFFF"/>
            <w:noWrap/>
            <w:vAlign w:val="center"/>
          </w:tcPr>
          <w:p w14:paraId="3A6DF665">
            <w:pPr>
              <w:snapToGrid w:val="0"/>
              <w:spacing w:line="300" w:lineRule="auto"/>
              <w:rPr>
                <w:rFonts w:ascii="仿宋" w:hAnsi="仿宋" w:eastAsia="仿宋" w:cs="仿宋"/>
                <w:color w:val="auto"/>
                <w:highlight w:val="none"/>
                <w:lang w:val="zh-CN"/>
              </w:rPr>
            </w:pPr>
            <w:r>
              <w:rPr>
                <w:rFonts w:hint="eastAsia" w:ascii="仿宋" w:hAnsi="仿宋" w:eastAsia="仿宋" w:cs="仿宋"/>
                <w:color w:val="auto"/>
                <w:sz w:val="24"/>
                <w:highlight w:val="none"/>
              </w:rPr>
              <w:t>详见第一章《招标公告》第二条“供应商资格要求”</w:t>
            </w:r>
          </w:p>
        </w:tc>
      </w:tr>
      <w:tr w14:paraId="6B31DC1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CellMar>
            <w:top w:w="57" w:type="dxa"/>
            <w:left w:w="108" w:type="dxa"/>
            <w:bottom w:w="57" w:type="dxa"/>
            <w:right w:w="108" w:type="dxa"/>
          </w:tblCellMar>
        </w:tblPrEx>
        <w:trPr>
          <w:trHeight w:val="454" w:hRule="atLeast"/>
        </w:trPr>
        <w:tc>
          <w:tcPr>
            <w:tcW w:w="740" w:type="dxa"/>
            <w:shd w:val="clear" w:color="auto" w:fill="FFFFFF"/>
            <w:noWrap/>
            <w:vAlign w:val="center"/>
          </w:tcPr>
          <w:p w14:paraId="53AA5918">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9</w:t>
            </w:r>
          </w:p>
        </w:tc>
        <w:tc>
          <w:tcPr>
            <w:tcW w:w="2595" w:type="dxa"/>
            <w:shd w:val="clear" w:color="auto" w:fill="FFFFFF"/>
            <w:noWrap/>
            <w:vAlign w:val="center"/>
          </w:tcPr>
          <w:p w14:paraId="22D227F9">
            <w:pPr>
              <w:spacing w:line="3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密封情况检查</w:t>
            </w:r>
          </w:p>
        </w:tc>
        <w:tc>
          <w:tcPr>
            <w:tcW w:w="5719" w:type="dxa"/>
            <w:gridSpan w:val="3"/>
            <w:shd w:val="clear" w:color="auto" w:fill="FFFFFF"/>
            <w:noWrap/>
            <w:vAlign w:val="center"/>
          </w:tcPr>
          <w:p w14:paraId="4F405B83">
            <w:pPr>
              <w:pStyle w:val="8"/>
              <w:topLinePunct/>
              <w:spacing w:after="0" w:line="3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☑供应商或供应商代表检查</w:t>
            </w:r>
          </w:p>
          <w:p w14:paraId="4672C8C7">
            <w:pPr>
              <w:spacing w:line="360" w:lineRule="exact"/>
              <w:rPr>
                <w:rFonts w:ascii="仿宋" w:hAnsi="仿宋" w:eastAsia="仿宋" w:cs="仿宋"/>
                <w:color w:val="auto"/>
                <w:sz w:val="24"/>
                <w:highlight w:val="none"/>
              </w:rPr>
            </w:pPr>
            <w:r>
              <w:rPr>
                <w:rFonts w:hint="eastAsia" w:ascii="仿宋" w:hAnsi="仿宋" w:eastAsia="仿宋" w:cs="仿宋"/>
                <w:color w:val="auto"/>
                <w:sz w:val="24"/>
                <w:highlight w:val="none"/>
              </w:rPr>
              <w:t>□采购人委托的公证机构检查</w:t>
            </w:r>
          </w:p>
        </w:tc>
      </w:tr>
      <w:tr w14:paraId="66D3AD6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CellMar>
            <w:top w:w="57" w:type="dxa"/>
            <w:left w:w="108" w:type="dxa"/>
            <w:bottom w:w="57" w:type="dxa"/>
            <w:right w:w="108" w:type="dxa"/>
          </w:tblCellMar>
        </w:tblPrEx>
        <w:trPr>
          <w:gridAfter w:val="1"/>
          <w:wAfter w:w="6" w:type="dxa"/>
          <w:trHeight w:val="477" w:hRule="atLeast"/>
        </w:trPr>
        <w:tc>
          <w:tcPr>
            <w:tcW w:w="740" w:type="dxa"/>
            <w:shd w:val="clear" w:color="auto" w:fill="FFFFFF"/>
            <w:noWrap/>
            <w:vAlign w:val="center"/>
          </w:tcPr>
          <w:p w14:paraId="0A743EFB">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10</w:t>
            </w:r>
          </w:p>
        </w:tc>
        <w:tc>
          <w:tcPr>
            <w:tcW w:w="2595" w:type="dxa"/>
            <w:shd w:val="clear" w:color="auto" w:fill="FFFFFF"/>
            <w:noWrap/>
            <w:vAlign w:val="center"/>
          </w:tcPr>
          <w:p w14:paraId="7EF77004">
            <w:pPr>
              <w:spacing w:line="3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开标顺序</w:t>
            </w:r>
          </w:p>
        </w:tc>
        <w:tc>
          <w:tcPr>
            <w:tcW w:w="5713" w:type="dxa"/>
            <w:gridSpan w:val="2"/>
            <w:shd w:val="clear" w:color="auto" w:fill="FFFFFF"/>
            <w:noWrap/>
            <w:vAlign w:val="center"/>
          </w:tcPr>
          <w:p w14:paraId="4C0D44AD">
            <w:pPr>
              <w:pStyle w:val="8"/>
              <w:topLinePunct/>
              <w:spacing w:after="0" w:line="3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☑投标文件递交先后逆序</w:t>
            </w:r>
          </w:p>
          <w:p w14:paraId="57515E24">
            <w:pPr>
              <w:pStyle w:val="8"/>
              <w:topLinePunct/>
              <w:spacing w:after="0" w:line="3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□投标文件递交先后次序</w:t>
            </w:r>
          </w:p>
          <w:p w14:paraId="541DCEDB">
            <w:pPr>
              <w:spacing w:line="360" w:lineRule="exact"/>
              <w:rPr>
                <w:rFonts w:ascii="仿宋" w:hAnsi="仿宋" w:eastAsia="仿宋" w:cs="仿宋"/>
                <w:color w:val="auto"/>
                <w:sz w:val="24"/>
                <w:highlight w:val="none"/>
              </w:rPr>
            </w:pPr>
            <w:r>
              <w:rPr>
                <w:rFonts w:hint="eastAsia" w:ascii="仿宋" w:hAnsi="仿宋" w:eastAsia="仿宋" w:cs="仿宋"/>
                <w:color w:val="auto"/>
                <w:sz w:val="24"/>
                <w:highlight w:val="none"/>
              </w:rPr>
              <w:t>□开标时抽签决定次序</w:t>
            </w:r>
          </w:p>
        </w:tc>
      </w:tr>
      <w:tr w14:paraId="6310A7A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gridAfter w:val="1"/>
          <w:wAfter w:w="6" w:type="dxa"/>
          <w:trHeight w:val="477" w:hRule="atLeast"/>
        </w:trPr>
        <w:tc>
          <w:tcPr>
            <w:tcW w:w="740" w:type="dxa"/>
            <w:shd w:val="clear" w:color="auto" w:fill="FFFFFF"/>
            <w:noWrap/>
            <w:vAlign w:val="center"/>
          </w:tcPr>
          <w:p w14:paraId="60A41D36">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11</w:t>
            </w:r>
          </w:p>
        </w:tc>
        <w:tc>
          <w:tcPr>
            <w:tcW w:w="2595" w:type="dxa"/>
            <w:shd w:val="clear" w:color="auto" w:fill="FFFFFF"/>
            <w:noWrap/>
            <w:vAlign w:val="center"/>
          </w:tcPr>
          <w:p w14:paraId="2FD9B9C3">
            <w:pPr>
              <w:spacing w:line="3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是否接受联合体投标</w:t>
            </w:r>
          </w:p>
        </w:tc>
        <w:tc>
          <w:tcPr>
            <w:tcW w:w="5713" w:type="dxa"/>
            <w:gridSpan w:val="2"/>
            <w:shd w:val="clear" w:color="auto" w:fill="FFFFFF"/>
            <w:noWrap/>
            <w:vAlign w:val="center"/>
          </w:tcPr>
          <w:p w14:paraId="1784F2CB">
            <w:pPr>
              <w:pStyle w:val="8"/>
              <w:topLinePunct/>
              <w:spacing w:after="0" w:line="3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sym w:font="Wingdings 2" w:char="00A3"/>
            </w:r>
            <w:r>
              <w:rPr>
                <w:rFonts w:hint="eastAsia" w:ascii="仿宋" w:hAnsi="仿宋" w:eastAsia="仿宋" w:cs="仿宋"/>
                <w:color w:val="auto"/>
                <w:sz w:val="24"/>
                <w:szCs w:val="24"/>
                <w:highlight w:val="none"/>
              </w:rPr>
              <w:t>不接受</w:t>
            </w:r>
          </w:p>
          <w:p w14:paraId="4E22F4CE">
            <w:pPr>
              <w:pStyle w:val="8"/>
              <w:topLinePunct/>
              <w:spacing w:after="0" w:line="3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sym w:font="Wingdings 2" w:char="0052"/>
            </w:r>
            <w:r>
              <w:rPr>
                <w:rFonts w:hint="eastAsia" w:ascii="仿宋" w:hAnsi="仿宋" w:eastAsia="仿宋" w:cs="仿宋"/>
                <w:color w:val="auto"/>
                <w:sz w:val="24"/>
                <w:szCs w:val="24"/>
                <w:highlight w:val="none"/>
              </w:rPr>
              <w:t>接受，应满足下列要求：</w:t>
            </w:r>
          </w:p>
          <w:p w14:paraId="412740CA">
            <w:pPr>
              <w:pStyle w:val="8"/>
              <w:topLinePunct/>
              <w:spacing w:after="0" w:line="3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联合体投标需提供联合体协议，按照联合体协议约定的分工认定”。</w:t>
            </w:r>
          </w:p>
          <w:p w14:paraId="63CF95F0">
            <w:pPr>
              <w:pStyle w:val="8"/>
              <w:topLinePunct/>
              <w:spacing w:after="0" w:line="3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（1）以联合体参加的，应提交联合体协议并注明牵头人及各方拟承担的工作、责任及权利，并承诺一旦成交联合体各方将向采购人承担连带责任。</w:t>
            </w:r>
          </w:p>
          <w:p w14:paraId="7E540087">
            <w:pPr>
              <w:pStyle w:val="8"/>
              <w:topLinePunct/>
              <w:spacing w:after="0" w:line="3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（2）联合体中有同类资质的供应商按照联合体分工承担相同工作的，应当按照资质等级较低的供应商确定资质等级（如有）。</w:t>
            </w:r>
          </w:p>
          <w:p w14:paraId="63753546">
            <w:pPr>
              <w:pStyle w:val="8"/>
              <w:topLinePunct/>
              <w:spacing w:after="0" w:line="3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（3）联合体成员不得超过2家数。</w:t>
            </w:r>
          </w:p>
          <w:p w14:paraId="66536E25">
            <w:pPr>
              <w:pStyle w:val="8"/>
              <w:topLinePunct/>
              <w:spacing w:after="0"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单位负责人为同一人或者存在直接控股、管理关系的不同供应商，不得作为不同的申请人同时参加本项目的采购活动，但可以组成联合体，以一个申请人身份参与本项目采购活动；以联合体形式参加本项目采购活动的，联合体各方不得再单独参与或者与其他供应商另外组成联合体参与本项目的采购活动。</w:t>
            </w:r>
          </w:p>
          <w:p w14:paraId="4F42EA55">
            <w:pPr>
              <w:pStyle w:val="8"/>
              <w:topLinePunct/>
              <w:spacing w:after="0" w:line="3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联合体</w:t>
            </w:r>
            <w:r>
              <w:rPr>
                <w:rFonts w:hint="eastAsia" w:ascii="仿宋" w:hAnsi="仿宋" w:eastAsia="仿宋" w:cs="仿宋"/>
                <w:color w:val="auto"/>
                <w:sz w:val="24"/>
                <w:szCs w:val="24"/>
                <w:highlight w:val="none"/>
                <w:lang w:eastAsia="zh-CN"/>
              </w:rPr>
              <w:t>牵头人由施工方派出。项目经理由施工方派出。</w:t>
            </w:r>
          </w:p>
        </w:tc>
      </w:tr>
      <w:tr w14:paraId="1D5FD21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gridAfter w:val="1"/>
          <w:wAfter w:w="6" w:type="dxa"/>
          <w:trHeight w:val="477" w:hRule="atLeast"/>
        </w:trPr>
        <w:tc>
          <w:tcPr>
            <w:tcW w:w="740" w:type="dxa"/>
            <w:shd w:val="clear" w:color="auto" w:fill="FFFFFF"/>
            <w:noWrap/>
            <w:vAlign w:val="center"/>
          </w:tcPr>
          <w:p w14:paraId="5C76FFA8">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12</w:t>
            </w:r>
          </w:p>
        </w:tc>
        <w:tc>
          <w:tcPr>
            <w:tcW w:w="2595" w:type="dxa"/>
            <w:shd w:val="clear" w:color="auto" w:fill="FFFFFF"/>
            <w:noWrap/>
            <w:vAlign w:val="center"/>
          </w:tcPr>
          <w:p w14:paraId="1BB4DAA4">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供应商不得</w:t>
            </w:r>
          </w:p>
          <w:p w14:paraId="1644C6F7">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存在的其他情形</w:t>
            </w:r>
          </w:p>
        </w:tc>
        <w:tc>
          <w:tcPr>
            <w:tcW w:w="5713" w:type="dxa"/>
            <w:gridSpan w:val="2"/>
            <w:shd w:val="clear" w:color="auto" w:fill="FFFFFF"/>
            <w:noWrap/>
            <w:vAlign w:val="center"/>
          </w:tcPr>
          <w:p w14:paraId="5AE2C08E">
            <w:pPr>
              <w:snapToGrid w:val="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详见资格要求</w:t>
            </w:r>
          </w:p>
        </w:tc>
      </w:tr>
      <w:tr w14:paraId="0C31996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CellMar>
            <w:top w:w="57" w:type="dxa"/>
            <w:left w:w="108" w:type="dxa"/>
            <w:bottom w:w="57" w:type="dxa"/>
            <w:right w:w="108" w:type="dxa"/>
          </w:tblCellMar>
        </w:tblPrEx>
        <w:trPr>
          <w:gridAfter w:val="1"/>
          <w:wAfter w:w="6" w:type="dxa"/>
          <w:trHeight w:val="477" w:hRule="atLeast"/>
        </w:trPr>
        <w:tc>
          <w:tcPr>
            <w:tcW w:w="740" w:type="dxa"/>
            <w:shd w:val="clear" w:color="auto" w:fill="FFFFFF"/>
            <w:noWrap/>
            <w:vAlign w:val="center"/>
          </w:tcPr>
          <w:p w14:paraId="6EDF7FFA">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13</w:t>
            </w:r>
          </w:p>
        </w:tc>
        <w:tc>
          <w:tcPr>
            <w:tcW w:w="2595" w:type="dxa"/>
            <w:shd w:val="clear" w:color="auto" w:fill="FFFFFF"/>
            <w:noWrap/>
            <w:vAlign w:val="center"/>
          </w:tcPr>
          <w:p w14:paraId="41BDD461">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踏勘现场</w:t>
            </w:r>
          </w:p>
        </w:tc>
        <w:tc>
          <w:tcPr>
            <w:tcW w:w="5713" w:type="dxa"/>
            <w:gridSpan w:val="2"/>
            <w:shd w:val="clear" w:color="auto" w:fill="FFFFFF"/>
            <w:noWrap/>
            <w:vAlign w:val="center"/>
          </w:tcPr>
          <w:p w14:paraId="146BE3FF">
            <w:pPr>
              <w:pStyle w:val="28"/>
              <w:snapToGrid w:val="0"/>
              <w:spacing w:line="300" w:lineRule="auto"/>
              <w:rPr>
                <w:rFonts w:ascii="仿宋" w:hAnsi="仿宋" w:eastAsia="仿宋" w:cs="仿宋"/>
                <w:b/>
                <w:bCs/>
                <w:color w:val="auto"/>
                <w:highlight w:val="none"/>
              </w:rPr>
            </w:pPr>
            <w:r>
              <w:rPr>
                <w:rFonts w:hint="eastAsia" w:ascii="仿宋" w:hAnsi="仿宋" w:eastAsia="仿宋" w:cs="仿宋"/>
                <w:b/>
                <w:bCs/>
                <w:color w:val="auto"/>
                <w:highlight w:val="none"/>
              </w:rPr>
              <w:sym w:font="Wingdings 2" w:char="0052"/>
            </w:r>
            <w:r>
              <w:rPr>
                <w:rFonts w:hint="eastAsia" w:ascii="仿宋" w:hAnsi="仿宋" w:eastAsia="仿宋" w:cs="仿宋"/>
                <w:b/>
                <w:bCs/>
                <w:color w:val="auto"/>
                <w:highlight w:val="none"/>
              </w:rPr>
              <w:t>不组织，供应商自行踏勘</w:t>
            </w:r>
          </w:p>
          <w:p w14:paraId="28000343">
            <w:pPr>
              <w:pStyle w:val="28"/>
              <w:snapToGrid w:val="0"/>
              <w:spacing w:line="300" w:lineRule="auto"/>
              <w:rPr>
                <w:rFonts w:ascii="仿宋" w:hAnsi="仿宋" w:eastAsia="仿宋" w:cs="仿宋"/>
                <w:b/>
                <w:bCs/>
                <w:color w:val="auto"/>
                <w:highlight w:val="none"/>
              </w:rPr>
            </w:pPr>
            <w:r>
              <w:rPr>
                <w:rFonts w:hint="eastAsia" w:ascii="仿宋" w:hAnsi="仿宋" w:eastAsia="仿宋" w:cs="仿宋"/>
                <w:b/>
                <w:bCs/>
                <w:color w:val="auto"/>
                <w:highlight w:val="none"/>
              </w:rPr>
              <w:sym w:font="Wingdings 2" w:char="00A3"/>
            </w:r>
            <w:r>
              <w:rPr>
                <w:rFonts w:hint="eastAsia" w:ascii="仿宋" w:hAnsi="仿宋" w:eastAsia="仿宋" w:cs="仿宋"/>
                <w:b/>
                <w:bCs/>
                <w:color w:val="auto"/>
                <w:highlight w:val="none"/>
              </w:rPr>
              <w:t>组织（报名结束后将通知各供应商集中踏勘）</w:t>
            </w:r>
          </w:p>
          <w:p w14:paraId="630E8EB3">
            <w:pPr>
              <w:pStyle w:val="28"/>
              <w:snapToGrid w:val="0"/>
              <w:spacing w:line="300" w:lineRule="auto"/>
              <w:rPr>
                <w:rFonts w:ascii="仿宋" w:hAnsi="仿宋" w:eastAsia="仿宋" w:cs="仿宋"/>
                <w:b/>
                <w:bCs/>
                <w:color w:val="auto"/>
                <w:highlight w:val="none"/>
              </w:rPr>
            </w:pPr>
            <w:r>
              <w:rPr>
                <w:rFonts w:hint="eastAsia" w:ascii="仿宋" w:hAnsi="仿宋" w:eastAsia="仿宋" w:cs="仿宋"/>
                <w:b/>
                <w:bCs/>
                <w:color w:val="auto"/>
                <w:highlight w:val="none"/>
              </w:rPr>
              <w:t>踏勘时间：</w:t>
            </w:r>
          </w:p>
          <w:p w14:paraId="09B261C4">
            <w:pPr>
              <w:pStyle w:val="28"/>
              <w:snapToGrid w:val="0"/>
              <w:spacing w:line="300" w:lineRule="auto"/>
              <w:rPr>
                <w:rFonts w:ascii="仿宋" w:hAnsi="仿宋" w:eastAsia="仿宋" w:cs="仿宋"/>
                <w:b/>
                <w:bCs/>
                <w:color w:val="auto"/>
                <w:highlight w:val="none"/>
              </w:rPr>
            </w:pPr>
            <w:r>
              <w:rPr>
                <w:rFonts w:hint="eastAsia" w:ascii="仿宋" w:hAnsi="仿宋" w:eastAsia="仿宋" w:cs="仿宋"/>
                <w:b/>
                <w:bCs/>
                <w:color w:val="auto"/>
                <w:highlight w:val="none"/>
              </w:rPr>
              <w:t xml:space="preserve">踏勘地点： </w:t>
            </w:r>
          </w:p>
          <w:p w14:paraId="195ABF76">
            <w:pPr>
              <w:pStyle w:val="28"/>
              <w:snapToGrid w:val="0"/>
              <w:spacing w:line="300" w:lineRule="auto"/>
              <w:rPr>
                <w:rFonts w:ascii="仿宋" w:hAnsi="仿宋" w:eastAsia="仿宋" w:cs="仿宋"/>
                <w:color w:val="auto"/>
                <w:highlight w:val="none"/>
              </w:rPr>
            </w:pPr>
            <w:r>
              <w:rPr>
                <w:rFonts w:hint="eastAsia" w:ascii="仿宋" w:hAnsi="仿宋" w:eastAsia="仿宋" w:cs="仿宋"/>
                <w:b/>
                <w:bCs/>
                <w:color w:val="auto"/>
                <w:highlight w:val="none"/>
              </w:rPr>
              <w:t xml:space="preserve">踏勘联系人： </w:t>
            </w:r>
          </w:p>
        </w:tc>
      </w:tr>
      <w:tr w14:paraId="2D1309E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CellMar>
            <w:top w:w="57" w:type="dxa"/>
            <w:left w:w="108" w:type="dxa"/>
            <w:bottom w:w="57" w:type="dxa"/>
            <w:right w:w="108" w:type="dxa"/>
          </w:tblCellMar>
        </w:tblPrEx>
        <w:trPr>
          <w:gridAfter w:val="1"/>
          <w:wAfter w:w="6" w:type="dxa"/>
          <w:trHeight w:val="477" w:hRule="atLeast"/>
        </w:trPr>
        <w:tc>
          <w:tcPr>
            <w:tcW w:w="740" w:type="dxa"/>
            <w:shd w:val="clear" w:color="auto" w:fill="FFFFFF"/>
            <w:noWrap/>
            <w:vAlign w:val="center"/>
          </w:tcPr>
          <w:p w14:paraId="657C82FC">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14</w:t>
            </w:r>
          </w:p>
        </w:tc>
        <w:tc>
          <w:tcPr>
            <w:tcW w:w="2595" w:type="dxa"/>
            <w:shd w:val="clear" w:color="auto" w:fill="FFFFFF"/>
            <w:noWrap/>
            <w:vAlign w:val="center"/>
          </w:tcPr>
          <w:p w14:paraId="330900C1">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投标预备会</w:t>
            </w:r>
          </w:p>
        </w:tc>
        <w:tc>
          <w:tcPr>
            <w:tcW w:w="5713" w:type="dxa"/>
            <w:gridSpan w:val="2"/>
            <w:shd w:val="clear" w:color="auto" w:fill="FFFFFF"/>
            <w:noWrap/>
            <w:vAlign w:val="center"/>
          </w:tcPr>
          <w:p w14:paraId="2AD72E2D">
            <w:pPr>
              <w:pStyle w:val="28"/>
              <w:snapToGrid w:val="0"/>
              <w:spacing w:line="300" w:lineRule="auto"/>
              <w:rPr>
                <w:rFonts w:ascii="仿宋" w:hAnsi="仿宋" w:eastAsia="仿宋" w:cs="仿宋"/>
                <w:color w:val="auto"/>
                <w:highlight w:val="none"/>
              </w:rPr>
            </w:pPr>
            <w:r>
              <w:rPr>
                <w:rFonts w:hint="eastAsia" w:ascii="仿宋" w:hAnsi="仿宋" w:eastAsia="仿宋" w:cs="仿宋"/>
                <w:color w:val="auto"/>
                <w:highlight w:val="none"/>
              </w:rPr>
              <w:sym w:font="Wingdings 2" w:char="0052"/>
            </w:r>
            <w:r>
              <w:rPr>
                <w:rFonts w:hint="eastAsia" w:ascii="仿宋" w:hAnsi="仿宋" w:eastAsia="仿宋" w:cs="仿宋"/>
                <w:color w:val="auto"/>
                <w:highlight w:val="none"/>
              </w:rPr>
              <w:t>不召开</w:t>
            </w:r>
          </w:p>
          <w:p w14:paraId="30CB426B">
            <w:pPr>
              <w:pStyle w:val="28"/>
              <w:snapToGrid w:val="0"/>
              <w:spacing w:line="300" w:lineRule="auto"/>
              <w:rPr>
                <w:rFonts w:ascii="仿宋" w:hAnsi="仿宋" w:eastAsia="仿宋" w:cs="仿宋"/>
                <w:color w:val="auto"/>
                <w:highlight w:val="none"/>
              </w:rPr>
            </w:pPr>
            <w:r>
              <w:rPr>
                <w:rFonts w:hint="eastAsia" w:ascii="仿宋" w:hAnsi="仿宋" w:eastAsia="仿宋" w:cs="仿宋"/>
                <w:color w:val="auto"/>
                <w:highlight w:val="none"/>
              </w:rPr>
              <w:t>□召开，召开时间：</w:t>
            </w:r>
          </w:p>
          <w:p w14:paraId="406B3EC2">
            <w:pPr>
              <w:pStyle w:val="28"/>
              <w:snapToGrid w:val="0"/>
              <w:spacing w:line="300" w:lineRule="auto"/>
              <w:ind w:firstLine="960" w:firstLineChars="400"/>
              <w:rPr>
                <w:rFonts w:ascii="仿宋" w:hAnsi="仿宋" w:eastAsia="仿宋" w:cs="仿宋"/>
                <w:color w:val="auto"/>
                <w:highlight w:val="none"/>
              </w:rPr>
            </w:pPr>
            <w:r>
              <w:rPr>
                <w:rFonts w:hint="eastAsia" w:ascii="仿宋" w:hAnsi="仿宋" w:eastAsia="仿宋" w:cs="仿宋"/>
                <w:color w:val="auto"/>
                <w:highlight w:val="none"/>
              </w:rPr>
              <w:t>召开地点：</w:t>
            </w:r>
          </w:p>
        </w:tc>
      </w:tr>
      <w:tr w14:paraId="71CD89C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CellMar>
            <w:top w:w="57" w:type="dxa"/>
            <w:left w:w="108" w:type="dxa"/>
            <w:bottom w:w="57" w:type="dxa"/>
            <w:right w:w="108" w:type="dxa"/>
          </w:tblCellMar>
        </w:tblPrEx>
        <w:trPr>
          <w:gridAfter w:val="1"/>
          <w:wAfter w:w="6" w:type="dxa"/>
          <w:trHeight w:val="477" w:hRule="atLeast"/>
        </w:trPr>
        <w:tc>
          <w:tcPr>
            <w:tcW w:w="740" w:type="dxa"/>
            <w:shd w:val="clear" w:color="auto" w:fill="FFFFFF"/>
            <w:noWrap/>
            <w:vAlign w:val="center"/>
          </w:tcPr>
          <w:p w14:paraId="53FF8909">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15</w:t>
            </w:r>
          </w:p>
        </w:tc>
        <w:tc>
          <w:tcPr>
            <w:tcW w:w="2595" w:type="dxa"/>
            <w:shd w:val="clear" w:color="auto" w:fill="FFFFFF"/>
            <w:noWrap/>
            <w:vAlign w:val="center"/>
          </w:tcPr>
          <w:p w14:paraId="2717E2A2">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中标后分包</w:t>
            </w:r>
          </w:p>
        </w:tc>
        <w:tc>
          <w:tcPr>
            <w:tcW w:w="5713" w:type="dxa"/>
            <w:gridSpan w:val="2"/>
            <w:shd w:val="clear" w:color="auto" w:fill="FFFFFF"/>
            <w:noWrap/>
            <w:vAlign w:val="center"/>
          </w:tcPr>
          <w:p w14:paraId="35CC149F">
            <w:pPr>
              <w:pStyle w:val="28"/>
              <w:snapToGrid w:val="0"/>
              <w:spacing w:line="300" w:lineRule="auto"/>
              <w:rPr>
                <w:rFonts w:ascii="仿宋" w:hAnsi="仿宋" w:eastAsia="仿宋" w:cs="仿宋"/>
                <w:color w:val="auto"/>
                <w:highlight w:val="none"/>
              </w:rPr>
            </w:pPr>
            <w:r>
              <w:rPr>
                <w:rFonts w:hint="eastAsia" w:ascii="仿宋" w:hAnsi="仿宋" w:eastAsia="仿宋" w:cs="仿宋"/>
                <w:color w:val="auto"/>
                <w:highlight w:val="none"/>
              </w:rPr>
              <w:sym w:font="Wingdings 2" w:char="0052"/>
            </w:r>
            <w:r>
              <w:rPr>
                <w:rFonts w:hint="eastAsia" w:ascii="仿宋" w:hAnsi="仿宋" w:eastAsia="仿宋" w:cs="仿宋"/>
                <w:color w:val="auto"/>
                <w:highlight w:val="none"/>
              </w:rPr>
              <w:t>不允许</w:t>
            </w:r>
          </w:p>
          <w:p w14:paraId="1BCCB229">
            <w:pPr>
              <w:pStyle w:val="28"/>
              <w:snapToGrid w:val="0"/>
              <w:spacing w:line="300" w:lineRule="auto"/>
              <w:ind w:left="960" w:hanging="960" w:hangingChars="400"/>
              <w:rPr>
                <w:rFonts w:ascii="仿宋" w:hAnsi="仿宋" w:eastAsia="仿宋" w:cs="仿宋"/>
                <w:color w:val="auto"/>
                <w:highlight w:val="none"/>
              </w:rPr>
            </w:pPr>
            <w:r>
              <w:rPr>
                <w:rFonts w:hint="eastAsia" w:ascii="仿宋" w:hAnsi="仿宋" w:eastAsia="仿宋" w:cs="仿宋"/>
                <w:color w:val="auto"/>
                <w:highlight w:val="none"/>
              </w:rPr>
              <w:t>□允许，分包内容要求：</w:t>
            </w:r>
          </w:p>
          <w:p w14:paraId="16750E9F">
            <w:pPr>
              <w:autoSpaceDE w:val="0"/>
              <w:autoSpaceDN w:val="0"/>
              <w:snapToGrid w:val="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分包金额要求：</w:t>
            </w:r>
          </w:p>
          <w:p w14:paraId="5954A0D6">
            <w:pPr>
              <w:autoSpaceDE w:val="0"/>
              <w:autoSpaceDN w:val="0"/>
              <w:snapToGrid w:val="0"/>
              <w:spacing w:line="300" w:lineRule="auto"/>
              <w:rPr>
                <w:rFonts w:ascii="仿宋" w:hAnsi="仿宋" w:eastAsia="仿宋" w:cs="仿宋"/>
                <w:color w:val="auto"/>
                <w:highlight w:val="none"/>
              </w:rPr>
            </w:pPr>
            <w:r>
              <w:rPr>
                <w:rFonts w:hint="eastAsia" w:ascii="仿宋" w:hAnsi="仿宋" w:eastAsia="仿宋" w:cs="仿宋"/>
                <w:color w:val="auto"/>
                <w:sz w:val="24"/>
                <w:highlight w:val="none"/>
              </w:rPr>
              <w:t xml:space="preserve">        分包人资质要求：</w:t>
            </w:r>
          </w:p>
        </w:tc>
      </w:tr>
      <w:tr w14:paraId="4F83868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CellMar>
            <w:top w:w="57" w:type="dxa"/>
            <w:left w:w="108" w:type="dxa"/>
            <w:bottom w:w="57" w:type="dxa"/>
            <w:right w:w="108" w:type="dxa"/>
          </w:tblCellMar>
        </w:tblPrEx>
        <w:trPr>
          <w:gridAfter w:val="1"/>
          <w:wAfter w:w="6" w:type="dxa"/>
          <w:trHeight w:val="477" w:hRule="atLeast"/>
        </w:trPr>
        <w:tc>
          <w:tcPr>
            <w:tcW w:w="740" w:type="dxa"/>
            <w:shd w:val="clear" w:color="auto" w:fill="FFFFFF"/>
            <w:noWrap/>
            <w:vAlign w:val="center"/>
          </w:tcPr>
          <w:p w14:paraId="2B9C5232">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16</w:t>
            </w:r>
          </w:p>
        </w:tc>
        <w:tc>
          <w:tcPr>
            <w:tcW w:w="2595" w:type="dxa"/>
            <w:shd w:val="clear" w:color="auto" w:fill="FFFFFF"/>
            <w:noWrap/>
            <w:vAlign w:val="center"/>
          </w:tcPr>
          <w:p w14:paraId="34BA628A">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是否接受进口产品</w:t>
            </w:r>
          </w:p>
        </w:tc>
        <w:tc>
          <w:tcPr>
            <w:tcW w:w="5713" w:type="dxa"/>
            <w:gridSpan w:val="2"/>
            <w:shd w:val="clear" w:color="auto" w:fill="FFFFFF"/>
            <w:noWrap/>
            <w:vAlign w:val="center"/>
          </w:tcPr>
          <w:p w14:paraId="6373BAF0">
            <w:pPr>
              <w:pStyle w:val="8"/>
              <w:topLinePunct/>
              <w:snapToGrid w:val="0"/>
              <w:spacing w:after="0" w:line="30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□接  受</w:t>
            </w:r>
          </w:p>
          <w:p w14:paraId="49974495">
            <w:pPr>
              <w:pStyle w:val="8"/>
              <w:topLinePunct/>
              <w:snapToGrid w:val="0"/>
              <w:spacing w:after="0" w:line="300" w:lineRule="auto"/>
              <w:rPr>
                <w:rFonts w:ascii="仿宋" w:hAnsi="仿宋" w:eastAsia="仿宋" w:cs="仿宋"/>
                <w:color w:val="auto"/>
                <w:highlight w:val="none"/>
              </w:rPr>
            </w:pPr>
            <w:r>
              <w:rPr>
                <w:rFonts w:hint="eastAsia" w:ascii="仿宋" w:hAnsi="仿宋" w:eastAsia="仿宋" w:cs="仿宋"/>
                <w:color w:val="auto"/>
                <w:sz w:val="24"/>
                <w:highlight w:val="none"/>
              </w:rPr>
              <w:sym w:font="Wingdings 2" w:char="0052"/>
            </w:r>
            <w:r>
              <w:rPr>
                <w:rFonts w:hint="eastAsia" w:ascii="仿宋" w:hAnsi="仿宋" w:eastAsia="仿宋" w:cs="仿宋"/>
                <w:color w:val="auto"/>
                <w:sz w:val="24"/>
                <w:szCs w:val="24"/>
                <w:highlight w:val="none"/>
              </w:rPr>
              <w:t>不接受</w:t>
            </w:r>
          </w:p>
        </w:tc>
      </w:tr>
      <w:tr w14:paraId="2D14C7E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CellMar>
            <w:top w:w="57" w:type="dxa"/>
            <w:left w:w="108" w:type="dxa"/>
            <w:bottom w:w="57" w:type="dxa"/>
            <w:right w:w="108" w:type="dxa"/>
          </w:tblCellMar>
        </w:tblPrEx>
        <w:trPr>
          <w:gridAfter w:val="1"/>
          <w:wAfter w:w="6" w:type="dxa"/>
          <w:trHeight w:val="477" w:hRule="atLeast"/>
        </w:trPr>
        <w:tc>
          <w:tcPr>
            <w:tcW w:w="740" w:type="dxa"/>
            <w:shd w:val="clear" w:color="auto" w:fill="FFFFFF"/>
            <w:noWrap/>
            <w:vAlign w:val="center"/>
          </w:tcPr>
          <w:p w14:paraId="0175687C">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17</w:t>
            </w:r>
          </w:p>
        </w:tc>
        <w:tc>
          <w:tcPr>
            <w:tcW w:w="2614" w:type="dxa"/>
            <w:gridSpan w:val="2"/>
            <w:shd w:val="clear" w:color="auto" w:fill="FFFFFF"/>
            <w:noWrap/>
            <w:vAlign w:val="center"/>
          </w:tcPr>
          <w:p w14:paraId="6914EE06">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信用信息查询的渠道</w:t>
            </w:r>
          </w:p>
        </w:tc>
        <w:tc>
          <w:tcPr>
            <w:tcW w:w="5694" w:type="dxa"/>
            <w:shd w:val="clear" w:color="auto" w:fill="FFFFFF"/>
            <w:noWrap/>
            <w:vAlign w:val="center"/>
          </w:tcPr>
          <w:p w14:paraId="776C339D">
            <w:pPr>
              <w:autoSpaceDE w:val="0"/>
              <w:autoSpaceDN w:val="0"/>
              <w:adjustRightInd w:val="0"/>
              <w:snapToGrid w:val="0"/>
              <w:spacing w:line="30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信用中国（http://</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仿宋" w:hAnsi="仿宋" w:eastAsia="仿宋" w:cs="仿宋"/>
                <w:color w:val="auto"/>
                <w:sz w:val="24"/>
                <w:highlight w:val="none"/>
              </w:rPr>
              <w:t>www.creditchina.gov.cn</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w:t>
            </w:r>
          </w:p>
          <w:p w14:paraId="622F7FEA">
            <w:pPr>
              <w:autoSpaceDE w:val="0"/>
              <w:autoSpaceDN w:val="0"/>
              <w:adjustRightInd w:val="0"/>
              <w:snapToGrid w:val="0"/>
              <w:spacing w:line="30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中国政府采购网（</w:t>
            </w:r>
            <w:r>
              <w:rPr>
                <w:color w:val="auto"/>
                <w:highlight w:val="none"/>
              </w:rPr>
              <w:fldChar w:fldCharType="begin"/>
            </w:r>
            <w:r>
              <w:rPr>
                <w:color w:val="auto"/>
                <w:highlight w:val="none"/>
              </w:rPr>
              <w:instrText xml:space="preserve"> HYPERLINK "http://www.ccgp.gov.cn/cr/list" </w:instrText>
            </w:r>
            <w:r>
              <w:rPr>
                <w:color w:val="auto"/>
                <w:highlight w:val="none"/>
              </w:rPr>
              <w:fldChar w:fldCharType="separate"/>
            </w:r>
            <w:r>
              <w:rPr>
                <w:rFonts w:hint="eastAsia" w:ascii="仿宋" w:hAnsi="仿宋" w:eastAsia="仿宋" w:cs="仿宋"/>
                <w:color w:val="auto"/>
                <w:sz w:val="24"/>
                <w:highlight w:val="none"/>
              </w:rPr>
              <w:t>http://www.ccgp.gov.cn/cr/list</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w:t>
            </w:r>
          </w:p>
        </w:tc>
      </w:tr>
      <w:tr w14:paraId="24F9209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CellMar>
            <w:top w:w="57" w:type="dxa"/>
            <w:left w:w="108" w:type="dxa"/>
            <w:bottom w:w="57" w:type="dxa"/>
            <w:right w:w="108" w:type="dxa"/>
          </w:tblCellMar>
        </w:tblPrEx>
        <w:trPr>
          <w:gridAfter w:val="1"/>
          <w:wAfter w:w="6" w:type="dxa"/>
          <w:trHeight w:val="477" w:hRule="atLeast"/>
        </w:trPr>
        <w:tc>
          <w:tcPr>
            <w:tcW w:w="740" w:type="dxa"/>
            <w:tcBorders>
              <w:bottom w:val="single" w:color="auto" w:sz="4" w:space="0"/>
            </w:tcBorders>
            <w:shd w:val="clear" w:color="auto" w:fill="FFFFFF"/>
            <w:noWrap/>
            <w:vAlign w:val="center"/>
          </w:tcPr>
          <w:p w14:paraId="38CAC4C6">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18</w:t>
            </w:r>
          </w:p>
        </w:tc>
        <w:tc>
          <w:tcPr>
            <w:tcW w:w="2614" w:type="dxa"/>
            <w:gridSpan w:val="2"/>
            <w:shd w:val="clear" w:color="auto" w:fill="FFFFFF"/>
            <w:noWrap/>
            <w:vAlign w:val="center"/>
          </w:tcPr>
          <w:p w14:paraId="6506A5C4">
            <w:pPr>
              <w:autoSpaceDE w:val="0"/>
              <w:autoSpaceDN w:val="0"/>
              <w:snapToGrid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信用信息查询的截止时点</w:t>
            </w:r>
          </w:p>
        </w:tc>
        <w:tc>
          <w:tcPr>
            <w:tcW w:w="5694" w:type="dxa"/>
            <w:shd w:val="clear" w:color="auto" w:fill="FFFFFF"/>
            <w:noWrap/>
            <w:vAlign w:val="center"/>
          </w:tcPr>
          <w:p w14:paraId="107979EF">
            <w:pPr>
              <w:snapToGrid w:val="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投标截止时间</w:t>
            </w:r>
          </w:p>
        </w:tc>
      </w:tr>
      <w:tr w14:paraId="2D621A6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CellMar>
            <w:top w:w="57" w:type="dxa"/>
            <w:left w:w="108" w:type="dxa"/>
            <w:bottom w:w="57" w:type="dxa"/>
            <w:right w:w="108" w:type="dxa"/>
          </w:tblCellMar>
        </w:tblPrEx>
        <w:trPr>
          <w:gridAfter w:val="1"/>
          <w:wAfter w:w="6" w:type="dxa"/>
          <w:trHeight w:val="477" w:hRule="atLeast"/>
        </w:trPr>
        <w:tc>
          <w:tcPr>
            <w:tcW w:w="740" w:type="dxa"/>
            <w:tcBorders>
              <w:bottom w:val="single" w:color="auto" w:sz="4" w:space="0"/>
            </w:tcBorders>
            <w:shd w:val="clear" w:color="auto" w:fill="FFFFFF"/>
            <w:noWrap/>
            <w:vAlign w:val="center"/>
          </w:tcPr>
          <w:p w14:paraId="70CD7CDF">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19</w:t>
            </w:r>
          </w:p>
        </w:tc>
        <w:tc>
          <w:tcPr>
            <w:tcW w:w="2614" w:type="dxa"/>
            <w:gridSpan w:val="2"/>
            <w:shd w:val="clear" w:color="auto" w:fill="FFFFFF"/>
            <w:noWrap/>
            <w:vAlign w:val="center"/>
          </w:tcPr>
          <w:p w14:paraId="120F5363">
            <w:pPr>
              <w:autoSpaceDE w:val="0"/>
              <w:autoSpaceDN w:val="0"/>
              <w:snapToGrid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信用信息查询记录和证据留存的具体方式</w:t>
            </w:r>
          </w:p>
        </w:tc>
        <w:tc>
          <w:tcPr>
            <w:tcW w:w="5694" w:type="dxa"/>
            <w:shd w:val="clear" w:color="auto" w:fill="FFFFFF"/>
            <w:noWrap/>
            <w:vAlign w:val="center"/>
          </w:tcPr>
          <w:p w14:paraId="3B0471AD">
            <w:pPr>
              <w:snapToGrid w:val="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网上查询</w:t>
            </w:r>
          </w:p>
        </w:tc>
      </w:tr>
      <w:tr w14:paraId="3FB8E7F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CellMar>
            <w:top w:w="57" w:type="dxa"/>
            <w:left w:w="108" w:type="dxa"/>
            <w:bottom w:w="57" w:type="dxa"/>
            <w:right w:w="108" w:type="dxa"/>
          </w:tblCellMar>
        </w:tblPrEx>
        <w:trPr>
          <w:gridAfter w:val="1"/>
          <w:wAfter w:w="6" w:type="dxa"/>
          <w:trHeight w:val="21" w:hRule="atLeast"/>
        </w:trPr>
        <w:tc>
          <w:tcPr>
            <w:tcW w:w="740" w:type="dxa"/>
            <w:tcBorders>
              <w:top w:val="single" w:color="auto" w:sz="4" w:space="0"/>
              <w:bottom w:val="single" w:color="auto" w:sz="4" w:space="0"/>
            </w:tcBorders>
            <w:shd w:val="clear" w:color="auto" w:fill="FFFFFF"/>
            <w:noWrap/>
            <w:vAlign w:val="center"/>
          </w:tcPr>
          <w:p w14:paraId="153657CB">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20</w:t>
            </w:r>
          </w:p>
        </w:tc>
        <w:tc>
          <w:tcPr>
            <w:tcW w:w="2614" w:type="dxa"/>
            <w:gridSpan w:val="2"/>
            <w:shd w:val="clear" w:color="auto" w:fill="FFFFFF"/>
            <w:noWrap/>
            <w:vAlign w:val="center"/>
          </w:tcPr>
          <w:p w14:paraId="4A50FA9D">
            <w:pPr>
              <w:rPr>
                <w:rFonts w:ascii="仿宋" w:hAnsi="仿宋" w:eastAsia="仿宋" w:cs="仿宋"/>
                <w:color w:val="auto"/>
                <w:sz w:val="24"/>
                <w:highlight w:val="none"/>
              </w:rPr>
            </w:pPr>
            <w:r>
              <w:rPr>
                <w:rFonts w:hint="eastAsia" w:ascii="仿宋" w:hAnsi="仿宋" w:eastAsia="仿宋" w:cs="仿宋"/>
                <w:color w:val="auto"/>
                <w:sz w:val="24"/>
                <w:highlight w:val="none"/>
              </w:rPr>
              <w:t>信用信息的使用规则</w:t>
            </w:r>
          </w:p>
        </w:tc>
        <w:tc>
          <w:tcPr>
            <w:tcW w:w="5694" w:type="dxa"/>
            <w:shd w:val="clear" w:color="auto" w:fill="FFFFFF"/>
            <w:noWrap/>
            <w:vAlign w:val="center"/>
          </w:tcPr>
          <w:p w14:paraId="718297F1">
            <w:pPr>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投标单位信用信息有效性为本项目投标有效期内，在投标有效期内信用信息发生变化，列入失信被执行人、重大税收违法案件当事人名单、政府采购严重违法失信行为记录名单及其他不符合《中华人民共和国政府采购法》第二十二条规定条件的供应商，应当拒绝其参与政府采购活动，已产生中标结果的应撤消其中标单位资格，已与采购人签定合同的应当终止合同，所发生的损失由失信供应商承担。</w:t>
            </w:r>
          </w:p>
          <w:p w14:paraId="08FBEFAE">
            <w:pPr>
              <w:spacing w:line="300" w:lineRule="auto"/>
              <w:ind w:firstLine="600" w:firstLineChars="250"/>
              <w:rPr>
                <w:rFonts w:ascii="仿宋" w:hAnsi="仿宋" w:eastAsia="仿宋" w:cs="仿宋"/>
                <w:color w:val="auto"/>
                <w:sz w:val="24"/>
                <w:highlight w:val="none"/>
              </w:rPr>
            </w:pPr>
            <w:r>
              <w:rPr>
                <w:rFonts w:hint="eastAsia" w:ascii="仿宋" w:hAnsi="仿宋" w:eastAsia="仿宋" w:cs="仿宋"/>
                <w:color w:val="auto"/>
                <w:sz w:val="24"/>
                <w:highlight w:val="none"/>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14:paraId="25A9763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CellMar>
            <w:top w:w="57" w:type="dxa"/>
            <w:left w:w="108" w:type="dxa"/>
            <w:bottom w:w="57" w:type="dxa"/>
            <w:right w:w="108" w:type="dxa"/>
          </w:tblCellMar>
        </w:tblPrEx>
        <w:trPr>
          <w:gridAfter w:val="1"/>
          <w:wAfter w:w="6" w:type="dxa"/>
          <w:trHeight w:val="606" w:hRule="atLeast"/>
        </w:trPr>
        <w:tc>
          <w:tcPr>
            <w:tcW w:w="740" w:type="dxa"/>
            <w:tcBorders>
              <w:top w:val="single" w:color="auto" w:sz="4" w:space="0"/>
              <w:bottom w:val="single" w:color="auto" w:sz="4" w:space="0"/>
            </w:tcBorders>
            <w:shd w:val="clear" w:color="auto" w:fill="FFFFFF"/>
            <w:noWrap/>
            <w:vAlign w:val="center"/>
          </w:tcPr>
          <w:p w14:paraId="365D9307">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21</w:t>
            </w:r>
          </w:p>
        </w:tc>
        <w:tc>
          <w:tcPr>
            <w:tcW w:w="2614" w:type="dxa"/>
            <w:gridSpan w:val="2"/>
            <w:shd w:val="clear" w:color="auto" w:fill="FFFFFF"/>
            <w:noWrap/>
            <w:vAlign w:val="center"/>
          </w:tcPr>
          <w:p w14:paraId="5FA6317B">
            <w:pPr>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政府采购相关扶持政策</w:t>
            </w:r>
          </w:p>
        </w:tc>
        <w:tc>
          <w:tcPr>
            <w:tcW w:w="5694" w:type="dxa"/>
            <w:shd w:val="clear" w:color="auto" w:fill="FFFFFF"/>
            <w:noWrap/>
            <w:vAlign w:val="center"/>
          </w:tcPr>
          <w:p w14:paraId="50208EE9">
            <w:pPr>
              <w:autoSpaceDE w:val="0"/>
              <w:autoSpaceDN w:val="0"/>
              <w:adjustRightInd w:val="0"/>
              <w:snapToGrid w:val="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本项目所属行业：</w:t>
            </w:r>
            <w:r>
              <w:rPr>
                <w:rFonts w:hint="eastAsia" w:ascii="仿宋" w:hAnsi="仿宋" w:eastAsia="仿宋" w:cs="仿宋"/>
                <w:color w:val="auto"/>
                <w:sz w:val="24"/>
                <w:highlight w:val="none"/>
                <w:u w:val="single"/>
              </w:rPr>
              <w:t>建筑业</w:t>
            </w:r>
          </w:p>
          <w:p w14:paraId="401E6211">
            <w:pPr>
              <w:autoSpaceDE w:val="0"/>
              <w:autoSpaceDN w:val="0"/>
              <w:adjustRightInd w:val="0"/>
              <w:snapToGrid w:val="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专门面向中小企业的项目</w:t>
            </w:r>
          </w:p>
          <w:p w14:paraId="0C73DD07">
            <w:pPr>
              <w:autoSpaceDE w:val="0"/>
              <w:autoSpaceDN w:val="0"/>
              <w:adjustRightInd w:val="0"/>
              <w:snapToGrid w:val="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sym w:font="Wingdings 2" w:char="0052"/>
            </w:r>
            <w:r>
              <w:rPr>
                <w:rFonts w:hint="eastAsia" w:ascii="仿宋" w:hAnsi="仿宋" w:eastAsia="仿宋" w:cs="仿宋"/>
                <w:color w:val="auto"/>
                <w:sz w:val="24"/>
                <w:highlight w:val="none"/>
              </w:rPr>
              <w:t>非专门面向中小企业的项目</w:t>
            </w:r>
          </w:p>
          <w:p w14:paraId="555C27AC">
            <w:pPr>
              <w:autoSpaceDE w:val="0"/>
              <w:autoSpaceDN w:val="0"/>
              <w:adjustRightInd w:val="0"/>
              <w:snapToGrid w:val="0"/>
              <w:ind w:firstLine="600" w:firstLineChars="250"/>
              <w:rPr>
                <w:rFonts w:ascii="仿宋" w:hAnsi="仿宋" w:eastAsia="仿宋" w:cs="仿宋"/>
                <w:color w:val="auto"/>
                <w:sz w:val="24"/>
                <w:highlight w:val="none"/>
              </w:rPr>
            </w:pPr>
            <w:r>
              <w:rPr>
                <w:rFonts w:hint="eastAsia" w:ascii="仿宋" w:hAnsi="仿宋" w:eastAsia="仿宋" w:cs="仿宋"/>
                <w:color w:val="auto"/>
                <w:sz w:val="24"/>
                <w:highlight w:val="none"/>
              </w:rPr>
              <w:t>为促进中小企业发展，依据《关于印发&lt;政府采购促进中小企业发展管理办法&gt;的通知》（财库〔2020〕46号）、《财政部 司法部关于政府采购支持监狱企业发展有关问题的通知》（财库〔2014〕68号）、《关于促进残疾人就业政府采购政策的通知》（财库〔2017〕141号）、《湖北省财政厅 湖北省公共资源交易监督管理局关于落实稳住经济一揽子政策进一步加大政府采购支持中小企业力度的通知》（鄂财采发〔2022〕5号）的规定，本项目投标人如符合上述文件规定的，需提供《中小企业声明函》、监狱企业证明文件、《残疾人福利性单位声明函》，评审时，评标委员会将依据“投标人须知前附表”规定的报价扣除比例，对投标人报价进行价格扣除，用扣除后的价格参与评审。</w:t>
            </w:r>
          </w:p>
          <w:p w14:paraId="57B8E776">
            <w:pPr>
              <w:autoSpaceDE w:val="0"/>
              <w:autoSpaceDN w:val="0"/>
              <w:adjustRightInd w:val="0"/>
              <w:snapToGrid w:val="0"/>
              <w:ind w:firstLine="600" w:firstLineChars="250"/>
              <w:rPr>
                <w:rFonts w:ascii="仿宋" w:hAnsi="仿宋" w:eastAsia="仿宋" w:cs="仿宋"/>
                <w:color w:val="auto"/>
                <w:sz w:val="24"/>
                <w:highlight w:val="none"/>
              </w:rPr>
            </w:pPr>
            <w:r>
              <w:rPr>
                <w:rFonts w:hint="eastAsia" w:ascii="仿宋" w:hAnsi="仿宋" w:eastAsia="仿宋" w:cs="仿宋"/>
                <w:color w:val="auto"/>
                <w:sz w:val="24"/>
                <w:highlight w:val="none"/>
              </w:rPr>
              <w:t>1.对于未预留份额专门面向中小企业采购的采购项目，以及预留份额项目中的非预留部分采购包，对小微企业报价给予比例扣除，价格扣除比例为：3%（货物服务10%-20%）；</w:t>
            </w:r>
          </w:p>
          <w:p w14:paraId="2BD5A41D">
            <w:pPr>
              <w:autoSpaceDE w:val="0"/>
              <w:autoSpaceDN w:val="0"/>
              <w:adjustRightInd w:val="0"/>
              <w:snapToGrid w:val="0"/>
              <w:ind w:firstLine="600" w:firstLineChars="250"/>
              <w:rPr>
                <w:rFonts w:ascii="仿宋" w:hAnsi="仿宋" w:eastAsia="仿宋" w:cs="仿宋"/>
                <w:color w:val="auto"/>
                <w:sz w:val="24"/>
                <w:highlight w:val="none"/>
              </w:rPr>
            </w:pPr>
            <w:r>
              <w:rPr>
                <w:rFonts w:hint="eastAsia" w:ascii="仿宋" w:hAnsi="仿宋" w:eastAsia="仿宋" w:cs="仿宋"/>
                <w:color w:val="auto"/>
                <w:sz w:val="24"/>
                <w:highlight w:val="none"/>
              </w:rPr>
              <w:t>2.接受大中型企业与小微企业组成联合体或者允许大中型企业向一家或者多家小微企业分包的采购项目，对于联合协议或者分包意向协议约定小微企业的合同份额占到合同总金额40%以上的，对联合体或者大中型企业的报价给予比例扣除，价格扣除比例为：1%（货物服务4%-6%）；</w:t>
            </w:r>
          </w:p>
          <w:p w14:paraId="0DEADEE2">
            <w:pPr>
              <w:autoSpaceDE w:val="0"/>
              <w:autoSpaceDN w:val="0"/>
              <w:adjustRightInd w:val="0"/>
              <w:snapToGrid w:val="0"/>
              <w:ind w:firstLine="600" w:firstLineChars="250"/>
              <w:rPr>
                <w:color w:val="auto"/>
                <w:highlight w:val="none"/>
              </w:rPr>
            </w:pPr>
            <w:r>
              <w:rPr>
                <w:rFonts w:hint="eastAsia" w:ascii="仿宋" w:hAnsi="仿宋" w:eastAsia="仿宋" w:cs="仿宋"/>
                <w:color w:val="auto"/>
                <w:sz w:val="24"/>
                <w:highlight w:val="none"/>
              </w:rPr>
              <w:t>3.中小企业应当提供《中小企业声明函》（详见本招标文件第七章 响应文件格式），对符合鄂财采发〔2022〕5号文第二条规定享受上限评审优惠的小微企业，还应提供符合该条款要求的其他证明材料，否则在评审时不享受上述评审优惠。</w:t>
            </w:r>
          </w:p>
        </w:tc>
      </w:tr>
      <w:tr w14:paraId="11DD60E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CellMar>
            <w:top w:w="57" w:type="dxa"/>
            <w:left w:w="108" w:type="dxa"/>
            <w:bottom w:w="57" w:type="dxa"/>
            <w:right w:w="108" w:type="dxa"/>
          </w:tblCellMar>
        </w:tblPrEx>
        <w:trPr>
          <w:gridAfter w:val="1"/>
          <w:wAfter w:w="6" w:type="dxa"/>
          <w:trHeight w:val="90" w:hRule="atLeast"/>
        </w:trPr>
        <w:tc>
          <w:tcPr>
            <w:tcW w:w="740" w:type="dxa"/>
            <w:tcBorders>
              <w:top w:val="single" w:color="auto" w:sz="4" w:space="0"/>
            </w:tcBorders>
            <w:shd w:val="clear" w:color="auto" w:fill="FFFFFF"/>
            <w:noWrap/>
            <w:vAlign w:val="center"/>
          </w:tcPr>
          <w:p w14:paraId="401D3006">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22</w:t>
            </w:r>
          </w:p>
        </w:tc>
        <w:tc>
          <w:tcPr>
            <w:tcW w:w="2614" w:type="dxa"/>
            <w:gridSpan w:val="2"/>
            <w:shd w:val="clear" w:color="auto" w:fill="auto"/>
            <w:noWrap/>
            <w:vAlign w:val="center"/>
          </w:tcPr>
          <w:p w14:paraId="55EAFFAA">
            <w:pPr>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供应商确认收到招标文件澄清或者修改的时间</w:t>
            </w:r>
          </w:p>
        </w:tc>
        <w:tc>
          <w:tcPr>
            <w:tcW w:w="5694" w:type="dxa"/>
            <w:shd w:val="clear" w:color="auto" w:fill="auto"/>
            <w:noWrap/>
            <w:vAlign w:val="center"/>
          </w:tcPr>
          <w:p w14:paraId="53C9F021">
            <w:pPr>
              <w:autoSpaceDE w:val="0"/>
              <w:autoSpaceDN w:val="0"/>
              <w:snapToGrid w:val="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在收到相应澄清文件后</w:t>
            </w:r>
            <w:r>
              <w:rPr>
                <w:rFonts w:hint="eastAsia" w:ascii="仿宋" w:hAnsi="仿宋" w:eastAsia="仿宋" w:cs="仿宋"/>
                <w:color w:val="auto"/>
                <w:sz w:val="24"/>
                <w:highlight w:val="none"/>
                <w:u w:val="single"/>
              </w:rPr>
              <w:t xml:space="preserve">  24  </w:t>
            </w:r>
            <w:r>
              <w:rPr>
                <w:rFonts w:hint="eastAsia" w:ascii="仿宋" w:hAnsi="仿宋" w:eastAsia="仿宋" w:cs="仿宋"/>
                <w:color w:val="auto"/>
                <w:sz w:val="24"/>
                <w:highlight w:val="none"/>
              </w:rPr>
              <w:t>小时内</w:t>
            </w:r>
          </w:p>
        </w:tc>
      </w:tr>
      <w:tr w14:paraId="5F68C6D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CellMar>
            <w:top w:w="57" w:type="dxa"/>
            <w:left w:w="108" w:type="dxa"/>
            <w:bottom w:w="57" w:type="dxa"/>
            <w:right w:w="108" w:type="dxa"/>
          </w:tblCellMar>
        </w:tblPrEx>
        <w:trPr>
          <w:gridAfter w:val="1"/>
          <w:wAfter w:w="6" w:type="dxa"/>
          <w:trHeight w:val="620" w:hRule="atLeast"/>
        </w:trPr>
        <w:tc>
          <w:tcPr>
            <w:tcW w:w="740" w:type="dxa"/>
            <w:shd w:val="clear" w:color="auto" w:fill="FFFFFF"/>
            <w:noWrap/>
            <w:vAlign w:val="center"/>
          </w:tcPr>
          <w:p w14:paraId="7EF7385F">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23</w:t>
            </w:r>
          </w:p>
        </w:tc>
        <w:tc>
          <w:tcPr>
            <w:tcW w:w="2614" w:type="dxa"/>
            <w:gridSpan w:val="2"/>
            <w:shd w:val="clear" w:color="auto" w:fill="auto"/>
            <w:noWrap/>
            <w:vAlign w:val="center"/>
          </w:tcPr>
          <w:p w14:paraId="5445CA5C">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投标有效期</w:t>
            </w:r>
          </w:p>
        </w:tc>
        <w:tc>
          <w:tcPr>
            <w:tcW w:w="5694" w:type="dxa"/>
            <w:shd w:val="clear" w:color="auto" w:fill="auto"/>
            <w:noWrap/>
            <w:vAlign w:val="center"/>
          </w:tcPr>
          <w:p w14:paraId="3BB9C2A6">
            <w:pPr>
              <w:autoSpaceDE w:val="0"/>
              <w:autoSpaceDN w:val="0"/>
              <w:snapToGrid w:val="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投标截止日期后</w:t>
            </w:r>
            <w:r>
              <w:rPr>
                <w:rFonts w:hint="eastAsia" w:ascii="仿宋" w:hAnsi="仿宋" w:eastAsia="仿宋" w:cs="仿宋"/>
                <w:color w:val="auto"/>
                <w:sz w:val="24"/>
                <w:highlight w:val="none"/>
                <w:u w:val="single"/>
              </w:rPr>
              <w:t xml:space="preserve"> 90 </w:t>
            </w:r>
            <w:r>
              <w:rPr>
                <w:rFonts w:hint="eastAsia" w:ascii="仿宋" w:hAnsi="仿宋" w:eastAsia="仿宋" w:cs="仿宋"/>
                <w:color w:val="auto"/>
                <w:sz w:val="24"/>
                <w:highlight w:val="none"/>
              </w:rPr>
              <w:t>天</w:t>
            </w:r>
          </w:p>
        </w:tc>
      </w:tr>
      <w:tr w14:paraId="4ECEDE7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CellMar>
            <w:top w:w="57" w:type="dxa"/>
            <w:left w:w="108" w:type="dxa"/>
            <w:bottom w:w="57" w:type="dxa"/>
            <w:right w:w="108" w:type="dxa"/>
          </w:tblCellMar>
        </w:tblPrEx>
        <w:trPr>
          <w:gridAfter w:val="1"/>
          <w:wAfter w:w="6" w:type="dxa"/>
          <w:trHeight w:val="477" w:hRule="atLeast"/>
        </w:trPr>
        <w:tc>
          <w:tcPr>
            <w:tcW w:w="740" w:type="dxa"/>
            <w:shd w:val="clear" w:color="auto" w:fill="auto"/>
            <w:noWrap/>
            <w:vAlign w:val="center"/>
          </w:tcPr>
          <w:p w14:paraId="1F49153A">
            <w:pPr>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24</w:t>
            </w:r>
          </w:p>
        </w:tc>
        <w:tc>
          <w:tcPr>
            <w:tcW w:w="2614" w:type="dxa"/>
            <w:gridSpan w:val="2"/>
            <w:shd w:val="clear" w:color="auto" w:fill="auto"/>
            <w:noWrap/>
            <w:vAlign w:val="center"/>
          </w:tcPr>
          <w:p w14:paraId="30AC5747">
            <w:pPr>
              <w:autoSpaceDE w:val="0"/>
              <w:autoSpaceDN w:val="0"/>
              <w:adjustRightInd w:val="0"/>
              <w:spacing w:line="276" w:lineRule="auto"/>
              <w:jc w:val="center"/>
              <w:rPr>
                <w:rFonts w:ascii="仿宋" w:hAnsi="仿宋" w:eastAsia="仿宋" w:cs="仿宋"/>
                <w:color w:val="auto"/>
                <w:sz w:val="24"/>
                <w:highlight w:val="none"/>
              </w:rPr>
            </w:pPr>
            <w:r>
              <w:rPr>
                <w:rFonts w:hint="eastAsia" w:ascii="仿宋" w:hAnsi="仿宋" w:eastAsia="仿宋" w:cs="仿宋"/>
                <w:snapToGrid w:val="0"/>
                <w:color w:val="auto"/>
                <w:kern w:val="0"/>
                <w:sz w:val="24"/>
                <w:highlight w:val="none"/>
                <w:lang w:val="zh-CN"/>
              </w:rPr>
              <w:t>招标文件中要求提供的其他资料</w:t>
            </w:r>
          </w:p>
        </w:tc>
        <w:tc>
          <w:tcPr>
            <w:tcW w:w="5694" w:type="dxa"/>
            <w:shd w:val="clear" w:color="auto" w:fill="auto"/>
            <w:noWrap/>
            <w:vAlign w:val="center"/>
          </w:tcPr>
          <w:p w14:paraId="35BC1390">
            <w:pPr>
              <w:autoSpaceDE w:val="0"/>
              <w:autoSpaceDN w:val="0"/>
              <w:adjustRightInd w:val="0"/>
              <w:spacing w:line="500" w:lineRule="exact"/>
              <w:rPr>
                <w:rFonts w:ascii="仿宋" w:hAnsi="仿宋" w:eastAsia="仿宋" w:cs="仿宋"/>
                <w:color w:val="auto"/>
                <w:sz w:val="24"/>
                <w:highlight w:val="none"/>
              </w:rPr>
            </w:pPr>
            <w:r>
              <w:rPr>
                <w:rFonts w:hint="eastAsia" w:ascii="仿宋" w:hAnsi="仿宋" w:eastAsia="仿宋" w:cs="仿宋"/>
                <w:color w:val="auto"/>
                <w:sz w:val="24"/>
                <w:highlight w:val="none"/>
              </w:rPr>
              <w:t>详见招标文件第三章</w:t>
            </w:r>
          </w:p>
        </w:tc>
      </w:tr>
      <w:tr w14:paraId="658419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CellMar>
            <w:top w:w="57" w:type="dxa"/>
            <w:left w:w="108" w:type="dxa"/>
            <w:bottom w:w="57" w:type="dxa"/>
            <w:right w:w="108" w:type="dxa"/>
          </w:tblCellMar>
        </w:tblPrEx>
        <w:trPr>
          <w:gridAfter w:val="1"/>
          <w:wAfter w:w="6" w:type="dxa"/>
          <w:trHeight w:val="477" w:hRule="atLeast"/>
        </w:trPr>
        <w:tc>
          <w:tcPr>
            <w:tcW w:w="740" w:type="dxa"/>
            <w:shd w:val="clear" w:color="auto" w:fill="auto"/>
            <w:noWrap/>
            <w:vAlign w:val="center"/>
          </w:tcPr>
          <w:p w14:paraId="4A5FBA5A">
            <w:pPr>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25</w:t>
            </w:r>
          </w:p>
        </w:tc>
        <w:tc>
          <w:tcPr>
            <w:tcW w:w="2614" w:type="dxa"/>
            <w:gridSpan w:val="2"/>
            <w:shd w:val="clear" w:color="auto" w:fill="auto"/>
            <w:noWrap/>
            <w:vAlign w:val="center"/>
          </w:tcPr>
          <w:p w14:paraId="5F3A56DD">
            <w:pPr>
              <w:autoSpaceDE w:val="0"/>
              <w:autoSpaceDN w:val="0"/>
              <w:adjustRightInd w:val="0"/>
              <w:spacing w:line="276" w:lineRule="auto"/>
              <w:jc w:val="center"/>
              <w:rPr>
                <w:rFonts w:ascii="仿宋" w:hAnsi="仿宋" w:eastAsia="仿宋" w:cs="仿宋"/>
                <w:color w:val="auto"/>
                <w:sz w:val="24"/>
                <w:highlight w:val="none"/>
              </w:rPr>
            </w:pPr>
            <w:r>
              <w:rPr>
                <w:rFonts w:hint="eastAsia" w:ascii="仿宋" w:hAnsi="仿宋" w:eastAsia="仿宋" w:cs="仿宋"/>
                <w:snapToGrid w:val="0"/>
                <w:color w:val="auto"/>
                <w:kern w:val="0"/>
                <w:sz w:val="24"/>
                <w:highlight w:val="none"/>
                <w:lang w:val="zh-CN"/>
              </w:rPr>
              <w:t>技术要求允许偏离的范围及项数</w:t>
            </w:r>
          </w:p>
        </w:tc>
        <w:tc>
          <w:tcPr>
            <w:tcW w:w="5694" w:type="dxa"/>
            <w:shd w:val="clear" w:color="auto" w:fill="auto"/>
            <w:noWrap/>
            <w:vAlign w:val="center"/>
          </w:tcPr>
          <w:p w14:paraId="23F1CFE2">
            <w:pPr>
              <w:widowControl/>
              <w:spacing w:line="500" w:lineRule="exact"/>
              <w:jc w:val="left"/>
              <w:rPr>
                <w:rFonts w:ascii="仿宋" w:hAnsi="仿宋" w:eastAsia="仿宋" w:cs="仿宋"/>
                <w:color w:val="auto"/>
                <w:highlight w:val="none"/>
              </w:rPr>
            </w:pPr>
            <w:r>
              <w:rPr>
                <w:rFonts w:hint="eastAsia" w:ascii="仿宋" w:hAnsi="仿宋" w:eastAsia="仿宋" w:cs="仿宋"/>
                <w:color w:val="auto"/>
                <w:kern w:val="0"/>
                <w:sz w:val="24"/>
                <w:highlight w:val="none"/>
              </w:rPr>
              <w:t>不允许负偏离</w:t>
            </w:r>
          </w:p>
        </w:tc>
      </w:tr>
      <w:tr w14:paraId="313F65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CellMar>
            <w:top w:w="57" w:type="dxa"/>
            <w:left w:w="108" w:type="dxa"/>
            <w:bottom w:w="57" w:type="dxa"/>
            <w:right w:w="108" w:type="dxa"/>
          </w:tblCellMar>
        </w:tblPrEx>
        <w:trPr>
          <w:gridAfter w:val="1"/>
          <w:wAfter w:w="6" w:type="dxa"/>
          <w:trHeight w:val="477" w:hRule="atLeast"/>
        </w:trPr>
        <w:tc>
          <w:tcPr>
            <w:tcW w:w="740" w:type="dxa"/>
            <w:shd w:val="clear" w:color="auto" w:fill="auto"/>
            <w:noWrap/>
            <w:vAlign w:val="center"/>
          </w:tcPr>
          <w:p w14:paraId="01B23569">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26</w:t>
            </w:r>
          </w:p>
        </w:tc>
        <w:tc>
          <w:tcPr>
            <w:tcW w:w="2614" w:type="dxa"/>
            <w:gridSpan w:val="2"/>
            <w:shd w:val="clear" w:color="auto" w:fill="auto"/>
            <w:noWrap/>
            <w:vAlign w:val="center"/>
          </w:tcPr>
          <w:p w14:paraId="73406583">
            <w:pPr>
              <w:autoSpaceDE w:val="0"/>
              <w:autoSpaceDN w:val="0"/>
              <w:adjustRightInd w:val="0"/>
              <w:spacing w:line="360" w:lineRule="auto"/>
              <w:jc w:val="center"/>
              <w:rPr>
                <w:rFonts w:ascii="仿宋" w:hAnsi="仿宋" w:eastAsia="仿宋" w:cs="仿宋"/>
                <w:color w:val="auto"/>
                <w:sz w:val="24"/>
                <w:highlight w:val="none"/>
              </w:rPr>
            </w:pPr>
            <w:r>
              <w:rPr>
                <w:rFonts w:hint="eastAsia" w:ascii="仿宋" w:hAnsi="仿宋" w:eastAsia="仿宋" w:cs="仿宋"/>
                <w:snapToGrid w:val="0"/>
                <w:color w:val="auto"/>
                <w:kern w:val="0"/>
                <w:sz w:val="24"/>
                <w:highlight w:val="none"/>
                <w:lang w:val="zh-CN"/>
              </w:rPr>
              <w:t>投标保证金金额及接受保证金的账户信息</w:t>
            </w:r>
          </w:p>
        </w:tc>
        <w:tc>
          <w:tcPr>
            <w:tcW w:w="5694" w:type="dxa"/>
            <w:shd w:val="clear" w:color="auto" w:fill="auto"/>
            <w:noWrap/>
            <w:vAlign w:val="center"/>
          </w:tcPr>
          <w:p w14:paraId="47D090E9">
            <w:pPr>
              <w:pStyle w:val="30"/>
              <w:autoSpaceDE/>
              <w:autoSpaceDN/>
              <w:adjustRightInd/>
              <w:spacing w:line="360" w:lineRule="auto"/>
              <w:ind w:firstLine="0"/>
              <w:textAlignment w:val="auto"/>
              <w:rPr>
                <w:rFonts w:ascii="仿宋" w:hAnsi="仿宋" w:eastAsia="仿宋" w:cs="仿宋"/>
                <w:color w:val="auto"/>
                <w:sz w:val="24"/>
                <w:highlight w:val="none"/>
              </w:rPr>
            </w:pPr>
            <w:r>
              <w:rPr>
                <w:rFonts w:hint="eastAsia" w:ascii="仿宋" w:hAnsi="仿宋" w:eastAsia="仿宋" w:cs="仿宋"/>
                <w:color w:val="auto"/>
                <w:sz w:val="24"/>
                <w:szCs w:val="24"/>
                <w:highlight w:val="none"/>
              </w:rPr>
              <w:t>不要求递交投标保证金</w:t>
            </w:r>
          </w:p>
        </w:tc>
      </w:tr>
      <w:tr w14:paraId="3697E71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CellMar>
            <w:top w:w="57" w:type="dxa"/>
            <w:left w:w="108" w:type="dxa"/>
            <w:bottom w:w="57" w:type="dxa"/>
            <w:right w:w="108" w:type="dxa"/>
          </w:tblCellMar>
        </w:tblPrEx>
        <w:trPr>
          <w:gridAfter w:val="1"/>
          <w:wAfter w:w="6" w:type="dxa"/>
          <w:trHeight w:val="477" w:hRule="atLeast"/>
        </w:trPr>
        <w:tc>
          <w:tcPr>
            <w:tcW w:w="740" w:type="dxa"/>
            <w:shd w:val="clear" w:color="auto" w:fill="auto"/>
            <w:noWrap/>
            <w:vAlign w:val="center"/>
          </w:tcPr>
          <w:p w14:paraId="756608BE">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27</w:t>
            </w:r>
          </w:p>
        </w:tc>
        <w:tc>
          <w:tcPr>
            <w:tcW w:w="2614" w:type="dxa"/>
            <w:gridSpan w:val="2"/>
            <w:shd w:val="clear" w:color="auto" w:fill="FFFFFF"/>
            <w:noWrap/>
            <w:vAlign w:val="center"/>
          </w:tcPr>
          <w:p w14:paraId="33F076F8">
            <w:pPr>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是否允许递交备选投标方案</w:t>
            </w:r>
          </w:p>
        </w:tc>
        <w:tc>
          <w:tcPr>
            <w:tcW w:w="5694" w:type="dxa"/>
            <w:shd w:val="clear" w:color="auto" w:fill="FFFFFF"/>
            <w:noWrap/>
            <w:vAlign w:val="center"/>
          </w:tcPr>
          <w:p w14:paraId="0245F6F9">
            <w:pPr>
              <w:pStyle w:val="8"/>
              <w:topLinePunct/>
              <w:snapToGrid w:val="0"/>
              <w:spacing w:after="0" w:line="300" w:lineRule="auto"/>
              <w:rPr>
                <w:rFonts w:ascii="仿宋" w:hAnsi="仿宋" w:eastAsia="仿宋" w:cs="仿宋"/>
                <w:color w:val="auto"/>
                <w:sz w:val="24"/>
                <w:szCs w:val="24"/>
                <w:highlight w:val="none"/>
              </w:rPr>
            </w:pPr>
            <w:r>
              <w:rPr>
                <w:rFonts w:hint="eastAsia" w:ascii="仿宋" w:hAnsi="仿宋" w:eastAsia="仿宋" w:cs="仿宋"/>
                <w:color w:val="auto"/>
                <w:sz w:val="24"/>
                <w:highlight w:val="none"/>
              </w:rPr>
              <w:sym w:font="Wingdings 2" w:char="0052"/>
            </w:r>
            <w:r>
              <w:rPr>
                <w:rFonts w:hint="eastAsia" w:ascii="仿宋" w:hAnsi="仿宋" w:eastAsia="仿宋" w:cs="仿宋"/>
                <w:color w:val="auto"/>
                <w:sz w:val="24"/>
                <w:szCs w:val="24"/>
                <w:highlight w:val="none"/>
              </w:rPr>
              <w:t>不允许</w:t>
            </w:r>
          </w:p>
          <w:p w14:paraId="5E50E7B9">
            <w:pPr>
              <w:snapToGrid w:val="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□允许</w:t>
            </w:r>
          </w:p>
        </w:tc>
      </w:tr>
      <w:tr w14:paraId="0B3B497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CellMar>
            <w:top w:w="57" w:type="dxa"/>
            <w:left w:w="108" w:type="dxa"/>
            <w:bottom w:w="57" w:type="dxa"/>
            <w:right w:w="108" w:type="dxa"/>
          </w:tblCellMar>
        </w:tblPrEx>
        <w:trPr>
          <w:gridAfter w:val="1"/>
          <w:wAfter w:w="6" w:type="dxa"/>
          <w:trHeight w:val="477" w:hRule="atLeast"/>
        </w:trPr>
        <w:tc>
          <w:tcPr>
            <w:tcW w:w="740" w:type="dxa"/>
            <w:shd w:val="clear" w:color="auto" w:fill="auto"/>
            <w:noWrap/>
            <w:vAlign w:val="center"/>
          </w:tcPr>
          <w:p w14:paraId="17B6DE4A">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28</w:t>
            </w:r>
          </w:p>
        </w:tc>
        <w:tc>
          <w:tcPr>
            <w:tcW w:w="2614" w:type="dxa"/>
            <w:gridSpan w:val="2"/>
            <w:shd w:val="clear" w:color="auto" w:fill="FFFFFF"/>
            <w:noWrap/>
            <w:vAlign w:val="center"/>
          </w:tcPr>
          <w:p w14:paraId="1E5401E0">
            <w:pPr>
              <w:autoSpaceDE w:val="0"/>
              <w:autoSpaceDN w:val="0"/>
              <w:snapToGrid w:val="0"/>
              <w:spacing w:line="300" w:lineRule="auto"/>
              <w:jc w:val="center"/>
              <w:rPr>
                <w:rFonts w:ascii="仿宋" w:hAnsi="仿宋" w:eastAsia="仿宋" w:cs="仿宋"/>
                <w:snapToGrid w:val="0"/>
                <w:color w:val="auto"/>
                <w:kern w:val="0"/>
                <w:sz w:val="24"/>
                <w:highlight w:val="none"/>
                <w:lang w:val="zh-CN"/>
              </w:rPr>
            </w:pPr>
            <w:r>
              <w:rPr>
                <w:rFonts w:hint="eastAsia" w:ascii="仿宋" w:hAnsi="仿宋" w:eastAsia="仿宋" w:cs="仿宋"/>
                <w:color w:val="auto"/>
                <w:sz w:val="24"/>
                <w:highlight w:val="none"/>
              </w:rPr>
              <w:t>投标文件份数</w:t>
            </w:r>
          </w:p>
        </w:tc>
        <w:tc>
          <w:tcPr>
            <w:tcW w:w="5694" w:type="dxa"/>
            <w:shd w:val="clear" w:color="auto" w:fill="FFFFFF"/>
            <w:noWrap/>
            <w:vAlign w:val="center"/>
          </w:tcPr>
          <w:p w14:paraId="51C64F3B">
            <w:pPr>
              <w:tabs>
                <w:tab w:val="left" w:pos="1260"/>
              </w:tabs>
              <w:snapToGrid w:val="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投标文件纸质版：</w:t>
            </w:r>
            <w:r>
              <w:rPr>
                <w:rFonts w:hint="eastAsia" w:ascii="仿宋" w:hAnsi="仿宋" w:eastAsia="仿宋" w:cs="仿宋"/>
                <w:color w:val="auto"/>
                <w:sz w:val="24"/>
                <w:highlight w:val="none"/>
                <w:u w:val="single"/>
              </w:rPr>
              <w:t>正本一份，副本二份</w:t>
            </w:r>
            <w:r>
              <w:rPr>
                <w:rFonts w:hint="eastAsia" w:ascii="仿宋" w:hAnsi="仿宋" w:eastAsia="仿宋" w:cs="仿宋"/>
                <w:color w:val="auto"/>
                <w:sz w:val="24"/>
                <w:highlight w:val="none"/>
              </w:rPr>
              <w:t>。</w:t>
            </w:r>
          </w:p>
          <w:p w14:paraId="25653C4F">
            <w:pPr>
              <w:tabs>
                <w:tab w:val="left" w:pos="1260"/>
              </w:tabs>
              <w:snapToGrid w:val="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投标文件电子版：</w:t>
            </w:r>
          </w:p>
          <w:p w14:paraId="184FBFB1">
            <w:pPr>
              <w:tabs>
                <w:tab w:val="left" w:pos="1260"/>
              </w:tabs>
              <w:snapToGrid w:val="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□不要求</w:t>
            </w:r>
          </w:p>
          <w:p w14:paraId="46447314">
            <w:pPr>
              <w:tabs>
                <w:tab w:val="left" w:pos="1260"/>
              </w:tabs>
              <w:snapToGrid w:val="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sym w:font="Wingdings 2" w:char="0052"/>
            </w:r>
            <w:r>
              <w:rPr>
                <w:rFonts w:hint="eastAsia" w:ascii="仿宋" w:hAnsi="仿宋" w:eastAsia="仿宋" w:cs="仿宋"/>
                <w:color w:val="auto"/>
                <w:sz w:val="24"/>
                <w:highlight w:val="none"/>
              </w:rPr>
              <w:t xml:space="preserve">要求，投标文件电子版内容：与正本保持一致 </w:t>
            </w:r>
          </w:p>
          <w:p w14:paraId="69926799">
            <w:pPr>
              <w:tabs>
                <w:tab w:val="left" w:pos="1260"/>
              </w:tabs>
              <w:snapToGrid w:val="0"/>
              <w:spacing w:line="300" w:lineRule="auto"/>
              <w:ind w:firstLine="960" w:firstLineChars="400"/>
              <w:rPr>
                <w:rFonts w:ascii="仿宋" w:hAnsi="仿宋" w:eastAsia="仿宋" w:cs="仿宋"/>
                <w:color w:val="auto"/>
                <w:sz w:val="24"/>
                <w:highlight w:val="none"/>
              </w:rPr>
            </w:pPr>
            <w:r>
              <w:rPr>
                <w:rFonts w:hint="eastAsia" w:ascii="仿宋" w:hAnsi="仿宋" w:eastAsia="仿宋" w:cs="仿宋"/>
                <w:color w:val="auto"/>
                <w:sz w:val="24"/>
                <w:highlight w:val="none"/>
              </w:rPr>
              <w:t>投标文件电子版格式：Word版及PDF版</w:t>
            </w:r>
          </w:p>
          <w:p w14:paraId="2E9A385F">
            <w:pPr>
              <w:tabs>
                <w:tab w:val="left" w:pos="1260"/>
              </w:tabs>
              <w:snapToGrid w:val="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投标文件电子版份数： 1份    </w:t>
            </w:r>
          </w:p>
          <w:p w14:paraId="04E20626">
            <w:pPr>
              <w:tabs>
                <w:tab w:val="left" w:pos="1260"/>
              </w:tabs>
              <w:snapToGrid w:val="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投标文件电子版形式： U盘 </w:t>
            </w:r>
          </w:p>
        </w:tc>
      </w:tr>
      <w:tr w14:paraId="6BB5C31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CellMar>
            <w:top w:w="57" w:type="dxa"/>
            <w:left w:w="108" w:type="dxa"/>
            <w:bottom w:w="57" w:type="dxa"/>
            <w:right w:w="108" w:type="dxa"/>
          </w:tblCellMar>
        </w:tblPrEx>
        <w:trPr>
          <w:gridAfter w:val="1"/>
          <w:wAfter w:w="6" w:type="dxa"/>
          <w:trHeight w:val="477" w:hRule="atLeast"/>
        </w:trPr>
        <w:tc>
          <w:tcPr>
            <w:tcW w:w="740" w:type="dxa"/>
            <w:shd w:val="clear" w:color="auto" w:fill="auto"/>
            <w:noWrap/>
            <w:vAlign w:val="center"/>
          </w:tcPr>
          <w:p w14:paraId="49A94854">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29</w:t>
            </w:r>
          </w:p>
        </w:tc>
        <w:tc>
          <w:tcPr>
            <w:tcW w:w="2614" w:type="dxa"/>
            <w:gridSpan w:val="2"/>
            <w:shd w:val="clear" w:color="auto" w:fill="FFFFFF"/>
            <w:noWrap/>
            <w:vAlign w:val="center"/>
          </w:tcPr>
          <w:p w14:paraId="73068548">
            <w:pPr>
              <w:autoSpaceDE w:val="0"/>
              <w:autoSpaceDN w:val="0"/>
              <w:adjustRightInd w:val="0"/>
              <w:spacing w:line="360" w:lineRule="auto"/>
              <w:jc w:val="center"/>
              <w:rPr>
                <w:rFonts w:ascii="仿宋" w:hAnsi="仿宋" w:eastAsia="仿宋" w:cs="仿宋"/>
                <w:snapToGrid w:val="0"/>
                <w:color w:val="auto"/>
                <w:kern w:val="0"/>
                <w:sz w:val="24"/>
                <w:highlight w:val="none"/>
                <w:lang w:val="zh-CN"/>
              </w:rPr>
            </w:pPr>
            <w:r>
              <w:rPr>
                <w:rFonts w:hint="eastAsia" w:ascii="仿宋" w:hAnsi="仿宋" w:eastAsia="仿宋" w:cs="仿宋"/>
                <w:snapToGrid w:val="0"/>
                <w:color w:val="auto"/>
                <w:kern w:val="0"/>
                <w:sz w:val="24"/>
                <w:highlight w:val="none"/>
                <w:lang w:val="zh-CN"/>
              </w:rPr>
              <w:t>投标文件送达地点及投标截止时间</w:t>
            </w:r>
          </w:p>
        </w:tc>
        <w:tc>
          <w:tcPr>
            <w:tcW w:w="5694" w:type="dxa"/>
            <w:shd w:val="clear" w:color="auto" w:fill="FFFFFF"/>
            <w:noWrap/>
            <w:vAlign w:val="center"/>
          </w:tcPr>
          <w:p w14:paraId="1EC07D1A">
            <w:pPr>
              <w:tabs>
                <w:tab w:val="left" w:pos="1260"/>
              </w:tabs>
              <w:snapToGrid w:val="0"/>
              <w:spacing w:line="36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lang w:val="zh-CN"/>
              </w:rPr>
              <w:t>投标文件送达地</w:t>
            </w:r>
            <w:r>
              <w:rPr>
                <w:rFonts w:hint="eastAsia" w:ascii="仿宋" w:hAnsi="仿宋" w:eastAsia="仿宋" w:cs="仿宋"/>
                <w:color w:val="auto"/>
                <w:sz w:val="24"/>
                <w:highlight w:val="none"/>
              </w:rPr>
              <w:t>点：华尔兹国际工程咨询（湖北）有限公司</w:t>
            </w:r>
            <w:r>
              <w:rPr>
                <w:rFonts w:hint="eastAsia" w:ascii="仿宋" w:hAnsi="仿宋" w:eastAsia="仿宋" w:cs="仿宋"/>
                <w:color w:val="auto"/>
                <w:sz w:val="24"/>
                <w:highlight w:val="none"/>
                <w:lang w:val="zh-CN"/>
              </w:rPr>
              <w:t>（武汉市江岸区金桥大道107号凯信大厦3号楼12层）</w:t>
            </w:r>
          </w:p>
          <w:p w14:paraId="7814D6D1">
            <w:pPr>
              <w:spacing w:line="360" w:lineRule="auto"/>
              <w:rPr>
                <w:rFonts w:ascii="仿宋" w:hAnsi="仿宋" w:eastAsia="仿宋" w:cs="仿宋"/>
                <w:color w:val="auto"/>
                <w:sz w:val="24"/>
                <w:highlight w:val="none"/>
              </w:rPr>
            </w:pPr>
            <w:r>
              <w:rPr>
                <w:rFonts w:hint="eastAsia" w:ascii="仿宋" w:hAnsi="仿宋" w:eastAsia="仿宋" w:cs="仿宋"/>
                <w:snapToGrid w:val="0"/>
                <w:color w:val="auto"/>
                <w:kern w:val="0"/>
                <w:sz w:val="24"/>
                <w:highlight w:val="none"/>
                <w:lang w:val="zh-CN"/>
              </w:rPr>
              <w:t>投标截止时间：</w:t>
            </w:r>
            <w:r>
              <w:rPr>
                <w:rFonts w:hint="eastAsia" w:ascii="仿宋" w:hAnsi="仿宋" w:eastAsia="仿宋" w:cs="仿宋"/>
                <w:color w:val="auto"/>
                <w:sz w:val="24"/>
                <w:highlight w:val="none"/>
              </w:rPr>
              <w:t>2026年    月    日10时00分（北京时间）</w:t>
            </w:r>
          </w:p>
        </w:tc>
      </w:tr>
      <w:tr w14:paraId="74E858A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CellMar>
            <w:top w:w="57" w:type="dxa"/>
            <w:left w:w="108" w:type="dxa"/>
            <w:bottom w:w="57" w:type="dxa"/>
            <w:right w:w="108" w:type="dxa"/>
          </w:tblCellMar>
        </w:tblPrEx>
        <w:trPr>
          <w:gridAfter w:val="1"/>
          <w:wAfter w:w="6" w:type="dxa"/>
          <w:trHeight w:val="477" w:hRule="atLeast"/>
        </w:trPr>
        <w:tc>
          <w:tcPr>
            <w:tcW w:w="740" w:type="dxa"/>
            <w:shd w:val="clear" w:color="auto" w:fill="auto"/>
            <w:noWrap/>
            <w:vAlign w:val="center"/>
          </w:tcPr>
          <w:p w14:paraId="7098D765">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30</w:t>
            </w:r>
          </w:p>
        </w:tc>
        <w:tc>
          <w:tcPr>
            <w:tcW w:w="2614" w:type="dxa"/>
            <w:gridSpan w:val="2"/>
            <w:shd w:val="clear" w:color="auto" w:fill="FFFFFF"/>
            <w:noWrap/>
            <w:vAlign w:val="center"/>
          </w:tcPr>
          <w:p w14:paraId="053BBD2B">
            <w:pPr>
              <w:autoSpaceDE w:val="0"/>
              <w:autoSpaceDN w:val="0"/>
              <w:adjustRightInd w:val="0"/>
              <w:spacing w:line="360" w:lineRule="auto"/>
              <w:jc w:val="center"/>
              <w:rPr>
                <w:rFonts w:ascii="仿宋" w:hAnsi="仿宋" w:eastAsia="仿宋" w:cs="仿宋"/>
                <w:color w:val="auto"/>
                <w:sz w:val="24"/>
                <w:highlight w:val="none"/>
              </w:rPr>
            </w:pPr>
            <w:r>
              <w:rPr>
                <w:rFonts w:hint="eastAsia" w:ascii="仿宋" w:hAnsi="仿宋" w:eastAsia="仿宋" w:cs="仿宋"/>
                <w:snapToGrid w:val="0"/>
                <w:color w:val="auto"/>
                <w:kern w:val="0"/>
                <w:sz w:val="24"/>
                <w:highlight w:val="none"/>
                <w:lang w:val="zh-CN"/>
              </w:rPr>
              <w:t>样品规定</w:t>
            </w:r>
          </w:p>
        </w:tc>
        <w:tc>
          <w:tcPr>
            <w:tcW w:w="5694" w:type="dxa"/>
            <w:shd w:val="clear" w:color="auto" w:fill="FFFFFF"/>
            <w:noWrap/>
            <w:vAlign w:val="center"/>
          </w:tcPr>
          <w:p w14:paraId="686BA93E">
            <w:pPr>
              <w:autoSpaceDE w:val="0"/>
              <w:autoSpaceDN w:val="0"/>
              <w:adjustRightInd w:val="0"/>
              <w:spacing w:line="360" w:lineRule="auto"/>
              <w:rPr>
                <w:rFonts w:ascii="仿宋" w:hAnsi="仿宋" w:eastAsia="仿宋" w:cs="仿宋"/>
                <w:b/>
                <w:bCs/>
                <w:color w:val="auto"/>
                <w:sz w:val="24"/>
                <w:highlight w:val="none"/>
              </w:rPr>
            </w:pPr>
            <w:r>
              <w:rPr>
                <w:rFonts w:hint="eastAsia" w:ascii="仿宋" w:hAnsi="仿宋" w:eastAsia="仿宋" w:cs="仿宋"/>
                <w:snapToGrid w:val="0"/>
                <w:color w:val="auto"/>
                <w:kern w:val="0"/>
                <w:sz w:val="24"/>
                <w:highlight w:val="none"/>
                <w:lang w:val="zh-CN"/>
              </w:rPr>
              <w:t>提交及退还样品的相关规定：无</w:t>
            </w:r>
          </w:p>
        </w:tc>
      </w:tr>
      <w:tr w14:paraId="5F41536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CellMar>
            <w:top w:w="57" w:type="dxa"/>
            <w:left w:w="108" w:type="dxa"/>
            <w:bottom w:w="57" w:type="dxa"/>
            <w:right w:w="108" w:type="dxa"/>
          </w:tblCellMar>
        </w:tblPrEx>
        <w:trPr>
          <w:gridAfter w:val="1"/>
          <w:wAfter w:w="6" w:type="dxa"/>
          <w:trHeight w:val="477" w:hRule="atLeast"/>
        </w:trPr>
        <w:tc>
          <w:tcPr>
            <w:tcW w:w="740" w:type="dxa"/>
            <w:shd w:val="clear" w:color="auto" w:fill="FFFFFF"/>
            <w:noWrap/>
            <w:vAlign w:val="center"/>
          </w:tcPr>
          <w:p w14:paraId="6EF43F2B">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31</w:t>
            </w:r>
          </w:p>
        </w:tc>
        <w:tc>
          <w:tcPr>
            <w:tcW w:w="2614" w:type="dxa"/>
            <w:gridSpan w:val="2"/>
            <w:shd w:val="clear" w:color="auto" w:fill="FFFFFF"/>
            <w:noWrap/>
            <w:vAlign w:val="center"/>
          </w:tcPr>
          <w:p w14:paraId="4B5B7E50">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评标委员会的组建</w:t>
            </w:r>
          </w:p>
        </w:tc>
        <w:tc>
          <w:tcPr>
            <w:tcW w:w="5694" w:type="dxa"/>
            <w:shd w:val="clear" w:color="auto" w:fill="FFFFFF"/>
            <w:noWrap/>
            <w:vAlign w:val="center"/>
          </w:tcPr>
          <w:p w14:paraId="2E37892D">
            <w:pPr>
              <w:autoSpaceDE w:val="0"/>
              <w:autoSpaceDN w:val="0"/>
              <w:snapToGrid w:val="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评标委员会由采购人代表和有关技术、经济等方面的专家组成，成员人数应当为五人及以上单数。其中，技术、经济等方面的专家不得少于成员总数的2/3。</w:t>
            </w:r>
          </w:p>
        </w:tc>
      </w:tr>
      <w:tr w14:paraId="05AE735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CellMar>
            <w:top w:w="57" w:type="dxa"/>
            <w:left w:w="108" w:type="dxa"/>
            <w:bottom w:w="57" w:type="dxa"/>
            <w:right w:w="108" w:type="dxa"/>
          </w:tblCellMar>
        </w:tblPrEx>
        <w:trPr>
          <w:gridAfter w:val="1"/>
          <w:wAfter w:w="6" w:type="dxa"/>
          <w:trHeight w:val="477" w:hRule="atLeast"/>
        </w:trPr>
        <w:tc>
          <w:tcPr>
            <w:tcW w:w="740" w:type="dxa"/>
            <w:shd w:val="clear" w:color="auto" w:fill="FFFFFF"/>
            <w:noWrap/>
            <w:vAlign w:val="center"/>
          </w:tcPr>
          <w:p w14:paraId="18A284FA">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32</w:t>
            </w:r>
          </w:p>
        </w:tc>
        <w:tc>
          <w:tcPr>
            <w:tcW w:w="2614" w:type="dxa"/>
            <w:gridSpan w:val="2"/>
            <w:shd w:val="clear" w:color="auto" w:fill="FFFFFF"/>
            <w:noWrap/>
            <w:vAlign w:val="center"/>
          </w:tcPr>
          <w:p w14:paraId="7A7AF06F">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推荐中标候选人</w:t>
            </w:r>
          </w:p>
        </w:tc>
        <w:tc>
          <w:tcPr>
            <w:tcW w:w="5694" w:type="dxa"/>
            <w:shd w:val="clear" w:color="auto" w:fill="FFFFFF"/>
            <w:noWrap/>
            <w:vAlign w:val="center"/>
          </w:tcPr>
          <w:p w14:paraId="243FAAC5">
            <w:pPr>
              <w:snapToGrid w:val="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中标候选人数量：3家。</w:t>
            </w:r>
          </w:p>
          <w:p w14:paraId="161D7123">
            <w:pPr>
              <w:snapToGrid w:val="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多包投标的相关规定：无。</w:t>
            </w:r>
          </w:p>
        </w:tc>
      </w:tr>
      <w:tr w14:paraId="65E5158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CellMar>
            <w:top w:w="57" w:type="dxa"/>
            <w:left w:w="108" w:type="dxa"/>
            <w:bottom w:w="57" w:type="dxa"/>
            <w:right w:w="108" w:type="dxa"/>
          </w:tblCellMar>
        </w:tblPrEx>
        <w:trPr>
          <w:trHeight w:val="454" w:hRule="atLeast"/>
        </w:trPr>
        <w:tc>
          <w:tcPr>
            <w:tcW w:w="740" w:type="dxa"/>
            <w:shd w:val="clear" w:color="auto" w:fill="FFFFFF"/>
            <w:noWrap/>
            <w:vAlign w:val="center"/>
          </w:tcPr>
          <w:p w14:paraId="441CE3BD">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33</w:t>
            </w:r>
          </w:p>
        </w:tc>
        <w:tc>
          <w:tcPr>
            <w:tcW w:w="2614" w:type="dxa"/>
            <w:gridSpan w:val="2"/>
            <w:shd w:val="clear" w:color="auto" w:fill="FFFFFF"/>
            <w:noWrap/>
            <w:vAlign w:val="center"/>
          </w:tcPr>
          <w:p w14:paraId="2190FF3B">
            <w:pPr>
              <w:autoSpaceDE w:val="0"/>
              <w:autoSpaceDN w:val="0"/>
              <w:snapToGrid w:val="0"/>
              <w:spacing w:line="300" w:lineRule="auto"/>
              <w:jc w:val="center"/>
              <w:rPr>
                <w:rFonts w:ascii="仿宋" w:hAnsi="仿宋" w:eastAsia="仿宋" w:cs="仿宋"/>
                <w:snapToGrid w:val="0"/>
                <w:color w:val="auto"/>
                <w:kern w:val="0"/>
                <w:sz w:val="24"/>
                <w:highlight w:val="none"/>
                <w:lang w:val="zh-CN"/>
              </w:rPr>
            </w:pPr>
            <w:r>
              <w:rPr>
                <w:rFonts w:hint="eastAsia" w:ascii="仿宋" w:hAnsi="仿宋" w:eastAsia="仿宋" w:cs="仿宋"/>
                <w:color w:val="auto"/>
                <w:sz w:val="24"/>
                <w:highlight w:val="none"/>
              </w:rPr>
              <w:t>定标原则</w:t>
            </w:r>
          </w:p>
        </w:tc>
        <w:tc>
          <w:tcPr>
            <w:tcW w:w="5700" w:type="dxa"/>
            <w:gridSpan w:val="2"/>
            <w:shd w:val="clear" w:color="auto" w:fill="FFFFFF"/>
            <w:noWrap/>
            <w:vAlign w:val="center"/>
          </w:tcPr>
          <w:p w14:paraId="0FDBE7BE">
            <w:pPr>
              <w:tabs>
                <w:tab w:val="left" w:pos="1260"/>
              </w:tabs>
              <w:snapToGrid w:val="0"/>
              <w:spacing w:line="300" w:lineRule="auto"/>
              <w:rPr>
                <w:rFonts w:ascii="仿宋" w:hAnsi="仿宋" w:eastAsia="仿宋" w:cs="仿宋"/>
                <w:snapToGrid w:val="0"/>
                <w:color w:val="auto"/>
                <w:kern w:val="0"/>
                <w:sz w:val="24"/>
                <w:highlight w:val="none"/>
                <w:lang w:val="zh-CN"/>
              </w:rPr>
            </w:pPr>
            <w:r>
              <w:rPr>
                <w:rFonts w:hint="eastAsia" w:ascii="仿宋" w:hAnsi="仿宋" w:eastAsia="仿宋" w:cs="仿宋"/>
                <w:color w:val="auto"/>
                <w:sz w:val="24"/>
                <w:highlight w:val="none"/>
              </w:rPr>
              <w:t xml:space="preserve">采购人按评审报告中推荐的中标候选人排序确定中标供应商。 </w:t>
            </w:r>
          </w:p>
        </w:tc>
      </w:tr>
      <w:tr w14:paraId="313EA3D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CellMar>
            <w:top w:w="57" w:type="dxa"/>
            <w:left w:w="108" w:type="dxa"/>
            <w:bottom w:w="57" w:type="dxa"/>
            <w:right w:w="108" w:type="dxa"/>
          </w:tblCellMar>
        </w:tblPrEx>
        <w:trPr>
          <w:trHeight w:val="454" w:hRule="atLeast"/>
        </w:trPr>
        <w:tc>
          <w:tcPr>
            <w:tcW w:w="740" w:type="dxa"/>
            <w:shd w:val="clear" w:color="auto" w:fill="FFFFFF"/>
            <w:noWrap/>
            <w:vAlign w:val="center"/>
          </w:tcPr>
          <w:p w14:paraId="422E2660">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34</w:t>
            </w:r>
          </w:p>
        </w:tc>
        <w:tc>
          <w:tcPr>
            <w:tcW w:w="2614" w:type="dxa"/>
            <w:gridSpan w:val="2"/>
            <w:shd w:val="clear" w:color="auto" w:fill="FFFFFF"/>
            <w:noWrap/>
            <w:vAlign w:val="center"/>
          </w:tcPr>
          <w:p w14:paraId="3CB56B1C">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中标结果公告</w:t>
            </w:r>
          </w:p>
        </w:tc>
        <w:tc>
          <w:tcPr>
            <w:tcW w:w="5700" w:type="dxa"/>
            <w:gridSpan w:val="2"/>
            <w:shd w:val="clear" w:color="auto" w:fill="FFFFFF"/>
            <w:noWrap/>
            <w:vAlign w:val="center"/>
          </w:tcPr>
          <w:p w14:paraId="6814B046">
            <w:pPr>
              <w:tabs>
                <w:tab w:val="left" w:pos="1260"/>
              </w:tabs>
              <w:snapToGrid w:val="0"/>
              <w:spacing w:line="300" w:lineRule="auto"/>
              <w:jc w:val="left"/>
              <w:rPr>
                <w:rFonts w:ascii="仿宋" w:hAnsi="仿宋" w:eastAsia="仿宋" w:cs="仿宋"/>
                <w:color w:val="auto"/>
                <w:sz w:val="24"/>
                <w:highlight w:val="none"/>
                <w:u w:val="single"/>
              </w:rPr>
            </w:pPr>
            <w:r>
              <w:rPr>
                <w:rFonts w:hint="eastAsia" w:ascii="仿宋" w:hAnsi="仿宋" w:eastAsia="仿宋" w:cs="仿宋"/>
                <w:color w:val="auto"/>
                <w:sz w:val="24"/>
                <w:highlight w:val="none"/>
              </w:rPr>
              <w:t>公告媒介：</w:t>
            </w:r>
            <w:r>
              <w:rPr>
                <w:rFonts w:hint="eastAsia" w:ascii="仿宋" w:hAnsi="仿宋" w:eastAsia="仿宋" w:cs="仿宋"/>
                <w:color w:val="auto"/>
                <w:sz w:val="24"/>
                <w:highlight w:val="none"/>
                <w:u w:val="single"/>
              </w:rPr>
              <w:t>中国政府采购网</w:t>
            </w:r>
          </w:p>
        </w:tc>
      </w:tr>
      <w:tr w14:paraId="3D1CD70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CellMar>
            <w:top w:w="57" w:type="dxa"/>
            <w:left w:w="108" w:type="dxa"/>
            <w:bottom w:w="57" w:type="dxa"/>
            <w:right w:w="108" w:type="dxa"/>
          </w:tblCellMar>
        </w:tblPrEx>
        <w:trPr>
          <w:trHeight w:val="454" w:hRule="atLeast"/>
        </w:trPr>
        <w:tc>
          <w:tcPr>
            <w:tcW w:w="740" w:type="dxa"/>
            <w:shd w:val="clear" w:color="auto" w:fill="FFFFFF"/>
            <w:noWrap/>
            <w:vAlign w:val="center"/>
          </w:tcPr>
          <w:p w14:paraId="67164CE7">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35</w:t>
            </w:r>
          </w:p>
        </w:tc>
        <w:tc>
          <w:tcPr>
            <w:tcW w:w="2614" w:type="dxa"/>
            <w:gridSpan w:val="2"/>
            <w:shd w:val="clear" w:color="auto" w:fill="FFFFFF"/>
            <w:noWrap/>
            <w:vAlign w:val="center"/>
          </w:tcPr>
          <w:p w14:paraId="18352BCE">
            <w:pPr>
              <w:autoSpaceDE w:val="0"/>
              <w:autoSpaceDN w:val="0"/>
              <w:snapToGrid w:val="0"/>
              <w:spacing w:line="300" w:lineRule="auto"/>
              <w:jc w:val="center"/>
              <w:rPr>
                <w:rFonts w:ascii="仿宋" w:hAnsi="仿宋" w:eastAsia="仿宋" w:cs="仿宋"/>
                <w:snapToGrid w:val="0"/>
                <w:color w:val="auto"/>
                <w:kern w:val="0"/>
                <w:sz w:val="24"/>
                <w:highlight w:val="none"/>
                <w:lang w:val="zh-CN"/>
              </w:rPr>
            </w:pPr>
            <w:r>
              <w:rPr>
                <w:rFonts w:hint="eastAsia" w:ascii="仿宋" w:hAnsi="仿宋" w:eastAsia="仿宋" w:cs="仿宋"/>
                <w:color w:val="auto"/>
                <w:sz w:val="24"/>
                <w:highlight w:val="none"/>
              </w:rPr>
              <w:t>中标通知书领取</w:t>
            </w:r>
          </w:p>
        </w:tc>
        <w:tc>
          <w:tcPr>
            <w:tcW w:w="5700" w:type="dxa"/>
            <w:gridSpan w:val="2"/>
            <w:shd w:val="clear" w:color="auto" w:fill="FFFFFF"/>
            <w:noWrap/>
            <w:vAlign w:val="center"/>
          </w:tcPr>
          <w:p w14:paraId="2F69ECDE">
            <w:pPr>
              <w:tabs>
                <w:tab w:val="left" w:pos="1260"/>
              </w:tabs>
              <w:snapToGrid w:val="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中标结果公告发布后，中标供应商即可前往采购代理机构处领取中标通知书，并于30日内按照招标文件要求和投标文件承诺与采购人签订政府采购合同。</w:t>
            </w:r>
          </w:p>
        </w:tc>
      </w:tr>
      <w:tr w14:paraId="1DE1B0D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CellMar>
            <w:top w:w="57" w:type="dxa"/>
            <w:left w:w="108" w:type="dxa"/>
            <w:bottom w:w="57" w:type="dxa"/>
            <w:right w:w="108" w:type="dxa"/>
          </w:tblCellMar>
        </w:tblPrEx>
        <w:trPr>
          <w:trHeight w:val="454" w:hRule="atLeast"/>
        </w:trPr>
        <w:tc>
          <w:tcPr>
            <w:tcW w:w="740" w:type="dxa"/>
            <w:shd w:val="clear" w:color="auto" w:fill="FFFFFF"/>
            <w:noWrap/>
            <w:vAlign w:val="center"/>
          </w:tcPr>
          <w:p w14:paraId="4AAFF11D">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36</w:t>
            </w:r>
          </w:p>
        </w:tc>
        <w:tc>
          <w:tcPr>
            <w:tcW w:w="2614" w:type="dxa"/>
            <w:gridSpan w:val="2"/>
            <w:shd w:val="clear" w:color="auto" w:fill="FFFFFF"/>
            <w:noWrap/>
            <w:vAlign w:val="center"/>
          </w:tcPr>
          <w:p w14:paraId="4839FC34">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质疑期</w:t>
            </w:r>
          </w:p>
        </w:tc>
        <w:tc>
          <w:tcPr>
            <w:tcW w:w="5700" w:type="dxa"/>
            <w:gridSpan w:val="2"/>
            <w:shd w:val="clear" w:color="auto" w:fill="FFFFFF"/>
            <w:noWrap/>
            <w:vAlign w:val="center"/>
          </w:tcPr>
          <w:p w14:paraId="20D20041">
            <w:pPr>
              <w:tabs>
                <w:tab w:val="left" w:pos="1260"/>
              </w:tabs>
              <w:snapToGrid w:val="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供应商认为招标文件、招标过程和中标结果使自己的权益受到损害的，可以在知道或者应知其权益受到损害之日起7个工作日内，以书面形式向采购人或采购代理机构一次性提出质疑。</w:t>
            </w:r>
          </w:p>
        </w:tc>
      </w:tr>
      <w:tr w14:paraId="2775C64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CellMar>
            <w:top w:w="57" w:type="dxa"/>
            <w:left w:w="108" w:type="dxa"/>
            <w:bottom w:w="57" w:type="dxa"/>
            <w:right w:w="108" w:type="dxa"/>
          </w:tblCellMar>
        </w:tblPrEx>
        <w:trPr>
          <w:trHeight w:val="454" w:hRule="atLeast"/>
        </w:trPr>
        <w:tc>
          <w:tcPr>
            <w:tcW w:w="740" w:type="dxa"/>
            <w:shd w:val="clear" w:color="auto" w:fill="FFFFFF"/>
            <w:noWrap/>
            <w:vAlign w:val="center"/>
          </w:tcPr>
          <w:p w14:paraId="4739AA25">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37</w:t>
            </w:r>
          </w:p>
        </w:tc>
        <w:tc>
          <w:tcPr>
            <w:tcW w:w="2614" w:type="dxa"/>
            <w:gridSpan w:val="2"/>
            <w:shd w:val="clear" w:color="auto" w:fill="FFFFFF"/>
            <w:noWrap/>
            <w:vAlign w:val="center"/>
          </w:tcPr>
          <w:p w14:paraId="5FCA04DA">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质疑回复</w:t>
            </w:r>
          </w:p>
        </w:tc>
        <w:tc>
          <w:tcPr>
            <w:tcW w:w="5700" w:type="dxa"/>
            <w:gridSpan w:val="2"/>
            <w:shd w:val="clear" w:color="auto" w:fill="FFFFFF"/>
            <w:noWrap/>
            <w:vAlign w:val="center"/>
          </w:tcPr>
          <w:p w14:paraId="49897312">
            <w:pPr>
              <w:tabs>
                <w:tab w:val="left" w:pos="1260"/>
              </w:tabs>
              <w:snapToGrid w:val="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采购人或采购代理机构应当在收到供应商的书面质疑后7个工作日内作出答复，并以书面形式通知质疑供应商和其他有关供应商，但答复的内容不得涉及商业秘密。</w:t>
            </w:r>
          </w:p>
        </w:tc>
      </w:tr>
      <w:tr w14:paraId="0F1C013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CellMar>
            <w:top w:w="57" w:type="dxa"/>
            <w:left w:w="108" w:type="dxa"/>
            <w:bottom w:w="57" w:type="dxa"/>
            <w:right w:w="108" w:type="dxa"/>
          </w:tblCellMar>
        </w:tblPrEx>
        <w:trPr>
          <w:trHeight w:val="454" w:hRule="atLeast"/>
        </w:trPr>
        <w:tc>
          <w:tcPr>
            <w:tcW w:w="740" w:type="dxa"/>
            <w:shd w:val="clear" w:color="auto" w:fill="FFFFFF"/>
            <w:noWrap/>
            <w:vAlign w:val="center"/>
          </w:tcPr>
          <w:p w14:paraId="1E43F6AE">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38</w:t>
            </w:r>
          </w:p>
        </w:tc>
        <w:tc>
          <w:tcPr>
            <w:tcW w:w="2614" w:type="dxa"/>
            <w:gridSpan w:val="2"/>
            <w:shd w:val="clear" w:color="auto" w:fill="FFFFFF"/>
            <w:noWrap/>
            <w:vAlign w:val="center"/>
          </w:tcPr>
          <w:p w14:paraId="4925D57C">
            <w:pPr>
              <w:autoSpaceDE w:val="0"/>
              <w:autoSpaceDN w:val="0"/>
              <w:snapToGrid w:val="0"/>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招标代理服务费收取方式和标准</w:t>
            </w:r>
          </w:p>
        </w:tc>
        <w:tc>
          <w:tcPr>
            <w:tcW w:w="5700" w:type="dxa"/>
            <w:gridSpan w:val="2"/>
            <w:shd w:val="clear" w:color="auto" w:fill="FFFFFF"/>
            <w:noWrap/>
            <w:vAlign w:val="center"/>
          </w:tcPr>
          <w:p w14:paraId="0622A120">
            <w:pPr>
              <w:tabs>
                <w:tab w:val="left" w:pos="1260"/>
              </w:tabs>
              <w:snapToGrid w:val="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根据采购人和采购代理机构签署的委托代理协议书约定：</w:t>
            </w:r>
          </w:p>
          <w:p w14:paraId="046F112F">
            <w:pPr>
              <w:snapToGrid w:val="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1）招标代理服务费：</w:t>
            </w:r>
            <w:r>
              <w:rPr>
                <w:rFonts w:hint="eastAsia" w:ascii="仿宋" w:hAnsi="仿宋" w:eastAsia="仿宋" w:cs="仿宋"/>
                <w:color w:val="auto"/>
                <w:sz w:val="24"/>
                <w:highlight w:val="none"/>
              </w:rPr>
              <w:sym w:font="Wingdings 2" w:char="0052"/>
            </w:r>
            <w:r>
              <w:rPr>
                <w:rFonts w:hint="eastAsia" w:ascii="仿宋" w:hAnsi="仿宋" w:eastAsia="仿宋" w:cs="仿宋"/>
                <w:color w:val="auto"/>
                <w:sz w:val="24"/>
                <w:highlight w:val="none"/>
              </w:rPr>
              <w:t xml:space="preserve">由中标人支付  </w:t>
            </w:r>
            <w:r>
              <w:rPr>
                <w:rFonts w:hint="eastAsia" w:ascii="仿宋" w:hAnsi="仿宋" w:eastAsia="仿宋" w:cs="仿宋"/>
                <w:color w:val="auto"/>
                <w:sz w:val="24"/>
                <w:highlight w:val="none"/>
              </w:rPr>
              <w:sym w:font="Wingdings 2" w:char="00A3"/>
            </w:r>
            <w:r>
              <w:rPr>
                <w:rFonts w:hint="eastAsia" w:ascii="仿宋" w:hAnsi="仿宋" w:eastAsia="仿宋" w:cs="仿宋"/>
                <w:color w:val="auto"/>
                <w:sz w:val="24"/>
                <w:highlight w:val="none"/>
              </w:rPr>
              <w:t>由采购人支付。</w:t>
            </w:r>
          </w:p>
          <w:p w14:paraId="440417F2">
            <w:pPr>
              <w:tabs>
                <w:tab w:val="left" w:pos="1260"/>
              </w:tabs>
              <w:snapToGrid w:val="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2）招标代理服务费的计算方法、金额:按《国家计委关于印发&lt;招标代理服务费收费管理暂行办法&gt;的通知》(计价格【2002】1980号)和《国家发改委关于招标代理服务费收费的有关问题的通知》(发改办价格【2003】857号文)以及《国家发展改革委关于降低部分建设项目收费标准规范收费行为等有关问题的通知》(发改价格[2011]534号)的规定，以中标价为基数，按基准费率的75%计取。(如单次招标中标服务费不足5000元按照5000元收取)。</w:t>
            </w:r>
          </w:p>
          <w:p w14:paraId="0767EC12">
            <w:pPr>
              <w:tabs>
                <w:tab w:val="left" w:pos="1260"/>
              </w:tabs>
              <w:snapToGrid w:val="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3）支付时间：招标代理服务费由中标供应商在领取中标通知书的同时，向代理机构支付。</w:t>
            </w:r>
          </w:p>
          <w:p w14:paraId="37AB2057">
            <w:pPr>
              <w:spacing w:line="46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rPr>
              <w:t>4）支付方式：银行转账、现金支付。</w:t>
            </w:r>
            <w:r>
              <w:rPr>
                <w:rFonts w:hint="eastAsia" w:ascii="仿宋" w:hAnsi="仿宋" w:eastAsia="仿宋" w:cs="仿宋"/>
                <w:color w:val="auto"/>
                <w:sz w:val="24"/>
                <w:highlight w:val="none"/>
              </w:rPr>
              <w:br w:type="textWrapping"/>
            </w:r>
            <w:r>
              <w:rPr>
                <w:rFonts w:hint="eastAsia" w:ascii="仿宋" w:hAnsi="仿宋" w:eastAsia="仿宋" w:cs="仿宋"/>
                <w:color w:val="auto"/>
                <w:sz w:val="24"/>
                <w:highlight w:val="none"/>
                <w:lang w:val="zh-CN"/>
              </w:rPr>
              <w:t>名称：华尔兹国际工程咨询（湖北）有限公司硚口分公司</w:t>
            </w:r>
          </w:p>
          <w:p w14:paraId="322F8CBD">
            <w:pPr>
              <w:spacing w:line="46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纳税人识别号：91420104MA4F16KE1Q</w:t>
            </w:r>
          </w:p>
          <w:p w14:paraId="28E70740">
            <w:pPr>
              <w:spacing w:line="46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地址、电话：武汉市硚口区解放大道21号汉正街都市工业区13号楼1400号027-83802468</w:t>
            </w:r>
          </w:p>
          <w:p w14:paraId="38755826">
            <w:pPr>
              <w:spacing w:line="46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开户行及账号：建行武汉世贸支行42050186865200000448</w:t>
            </w:r>
          </w:p>
          <w:p w14:paraId="647798DD">
            <w:pPr>
              <w:tabs>
                <w:tab w:val="left" w:pos="1260"/>
              </w:tabs>
              <w:snapToGrid w:val="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lang w:val="zh-CN"/>
              </w:rPr>
              <w:t>（联行号105521001451）</w:t>
            </w:r>
          </w:p>
        </w:tc>
      </w:tr>
      <w:tr w14:paraId="200ED3A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CellMar>
            <w:top w:w="57" w:type="dxa"/>
            <w:left w:w="108" w:type="dxa"/>
            <w:bottom w:w="57" w:type="dxa"/>
            <w:right w:w="108" w:type="dxa"/>
          </w:tblCellMar>
        </w:tblPrEx>
        <w:trPr>
          <w:trHeight w:val="454" w:hRule="atLeast"/>
        </w:trPr>
        <w:tc>
          <w:tcPr>
            <w:tcW w:w="740" w:type="dxa"/>
            <w:shd w:val="clear" w:color="auto" w:fill="FFFFFF"/>
            <w:noWrap/>
            <w:vAlign w:val="center"/>
          </w:tcPr>
          <w:p w14:paraId="36723D17">
            <w:pPr>
              <w:autoSpaceDE w:val="0"/>
              <w:autoSpaceDN w:val="0"/>
              <w:snapToGrid w:val="0"/>
              <w:spacing w:line="300" w:lineRule="auto"/>
              <w:jc w:val="center"/>
              <w:rPr>
                <w:rFonts w:ascii="仿宋" w:hAnsi="仿宋" w:eastAsia="仿宋" w:cs="仿宋"/>
                <w:color w:val="auto"/>
                <w:sz w:val="24"/>
                <w:highlight w:val="none"/>
              </w:rPr>
            </w:pPr>
          </w:p>
        </w:tc>
        <w:tc>
          <w:tcPr>
            <w:tcW w:w="2614" w:type="dxa"/>
            <w:gridSpan w:val="2"/>
            <w:shd w:val="clear" w:color="auto" w:fill="FFFFFF"/>
            <w:noWrap/>
            <w:vAlign w:val="center"/>
          </w:tcPr>
          <w:p w14:paraId="4497E565">
            <w:pPr>
              <w:spacing w:line="46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优先采购创新节能环保产品</w:t>
            </w:r>
          </w:p>
        </w:tc>
        <w:tc>
          <w:tcPr>
            <w:tcW w:w="5700" w:type="dxa"/>
            <w:gridSpan w:val="2"/>
            <w:shd w:val="clear" w:color="auto" w:fill="FFFFFF"/>
            <w:noWrap/>
            <w:vAlign w:val="center"/>
          </w:tcPr>
          <w:p w14:paraId="3C979002">
            <w:pPr>
              <w:spacing w:line="46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所投产品纳入创新产品应用示范推荐目录内企业、所投产品获得节能产品或环境标志产品认证证书的企业报价给予</w:t>
            </w:r>
            <w:r>
              <w:rPr>
                <w:rFonts w:hint="eastAsia" w:ascii="仿宋" w:hAnsi="仿宋" w:eastAsia="仿宋" w:cs="仿宋"/>
                <w:color w:val="auto"/>
                <w:sz w:val="24"/>
                <w:highlight w:val="none"/>
                <w:u w:val="single"/>
              </w:rPr>
              <w:t>3%</w:t>
            </w:r>
            <w:r>
              <w:rPr>
                <w:rFonts w:hint="eastAsia" w:ascii="仿宋" w:hAnsi="仿宋" w:eastAsia="仿宋" w:cs="仿宋"/>
                <w:color w:val="auto"/>
                <w:sz w:val="24"/>
                <w:highlight w:val="none"/>
                <w:lang w:val="zh-CN"/>
              </w:rPr>
              <w:t>的价格扣除。</w:t>
            </w:r>
          </w:p>
        </w:tc>
      </w:tr>
    </w:tbl>
    <w:p w14:paraId="4F0AFB80">
      <w:pPr>
        <w:autoSpaceDE w:val="0"/>
        <w:autoSpaceDN w:val="0"/>
        <w:adjustRightInd w:val="0"/>
        <w:snapToGrid w:val="0"/>
        <w:spacing w:line="360" w:lineRule="auto"/>
        <w:ind w:firstLine="480" w:firstLineChars="200"/>
        <w:rPr>
          <w:rFonts w:ascii="仿宋" w:hAnsi="仿宋" w:eastAsia="仿宋" w:cs="仿宋"/>
          <w:color w:val="auto"/>
          <w:sz w:val="24"/>
          <w:highlight w:val="none"/>
        </w:rPr>
      </w:pPr>
    </w:p>
    <w:p w14:paraId="3F086E2A">
      <w:pPr>
        <w:autoSpaceDE w:val="0"/>
        <w:autoSpaceDN w:val="0"/>
        <w:adjustRightInd w:val="0"/>
        <w:snapToGrid w:val="0"/>
        <w:spacing w:line="360" w:lineRule="auto"/>
        <w:ind w:firstLine="480" w:firstLineChars="200"/>
        <w:rPr>
          <w:rFonts w:ascii="仿宋" w:hAnsi="仿宋" w:eastAsia="仿宋" w:cs="仿宋"/>
          <w:color w:val="auto"/>
          <w:sz w:val="24"/>
          <w:highlight w:val="none"/>
          <w:lang w:val="zh-CN"/>
        </w:rPr>
      </w:pPr>
    </w:p>
    <w:p w14:paraId="0E8F3E66">
      <w:pPr>
        <w:pStyle w:val="9"/>
        <w:rPr>
          <w:rFonts w:ascii="仿宋" w:hAnsi="仿宋" w:eastAsia="仿宋" w:cs="仿宋"/>
          <w:color w:val="auto"/>
          <w:sz w:val="24"/>
          <w:highlight w:val="none"/>
          <w:lang w:val="zh-CN"/>
        </w:rPr>
      </w:pPr>
    </w:p>
    <w:p w14:paraId="6E35ACFF">
      <w:pPr>
        <w:rPr>
          <w:rFonts w:ascii="仿宋" w:hAnsi="仿宋" w:eastAsia="仿宋" w:cs="仿宋"/>
          <w:color w:val="auto"/>
          <w:sz w:val="24"/>
          <w:highlight w:val="none"/>
          <w:lang w:val="zh-CN"/>
        </w:rPr>
      </w:pPr>
    </w:p>
    <w:p w14:paraId="743FDDCC">
      <w:pPr>
        <w:rPr>
          <w:rFonts w:ascii="仿宋" w:hAnsi="仿宋" w:eastAsia="仿宋" w:cs="仿宋"/>
          <w:color w:val="auto"/>
          <w:sz w:val="30"/>
          <w:highlight w:val="none"/>
        </w:rPr>
      </w:pPr>
      <w:bookmarkStart w:id="17" w:name="_Toc26311"/>
      <w:bookmarkStart w:id="18" w:name="_Toc1743"/>
      <w:bookmarkStart w:id="19" w:name="_Toc496088057"/>
      <w:r>
        <w:rPr>
          <w:rFonts w:hint="eastAsia" w:ascii="仿宋" w:hAnsi="仿宋" w:eastAsia="仿宋" w:cs="仿宋"/>
          <w:color w:val="auto"/>
          <w:sz w:val="30"/>
          <w:highlight w:val="none"/>
        </w:rPr>
        <w:br w:type="page"/>
      </w:r>
    </w:p>
    <w:bookmarkEnd w:id="17"/>
    <w:bookmarkEnd w:id="18"/>
    <w:bookmarkEnd w:id="19"/>
    <w:p w14:paraId="12BBA4FE">
      <w:pPr>
        <w:pStyle w:val="3"/>
        <w:spacing w:before="0" w:afterLines="50" w:line="360" w:lineRule="auto"/>
        <w:ind w:left="-109"/>
        <w:jc w:val="center"/>
        <w:rPr>
          <w:rFonts w:ascii="仿宋" w:hAnsi="仿宋" w:eastAsia="仿宋" w:cs="仿宋"/>
          <w:color w:val="auto"/>
          <w:sz w:val="30"/>
          <w:highlight w:val="none"/>
        </w:rPr>
      </w:pPr>
      <w:bookmarkStart w:id="20" w:name="_Toc31062"/>
      <w:bookmarkStart w:id="21" w:name="_Toc496088058"/>
      <w:bookmarkStart w:id="22" w:name="_Toc28732"/>
      <w:r>
        <w:rPr>
          <w:rFonts w:hint="eastAsia" w:ascii="仿宋" w:hAnsi="仿宋" w:eastAsia="仿宋" w:cs="仿宋"/>
          <w:color w:val="auto"/>
          <w:sz w:val="30"/>
          <w:highlight w:val="none"/>
        </w:rPr>
        <w:t>说  明</w:t>
      </w:r>
      <w:bookmarkEnd w:id="20"/>
      <w:bookmarkEnd w:id="21"/>
      <w:bookmarkEnd w:id="22"/>
    </w:p>
    <w:p w14:paraId="24D43A96">
      <w:pPr>
        <w:pStyle w:val="3"/>
        <w:numPr>
          <w:ilvl w:val="0"/>
          <w:numId w:val="3"/>
        </w:numPr>
        <w:snapToGrid w:val="0"/>
        <w:spacing w:before="0" w:after="0" w:line="360" w:lineRule="auto"/>
        <w:rPr>
          <w:rFonts w:ascii="仿宋" w:hAnsi="仿宋" w:eastAsia="仿宋" w:cs="仿宋"/>
          <w:color w:val="auto"/>
          <w:sz w:val="24"/>
          <w:highlight w:val="none"/>
        </w:rPr>
      </w:pPr>
      <w:bookmarkStart w:id="23" w:name="_Toc12518"/>
      <w:bookmarkStart w:id="24" w:name="_Toc15658"/>
      <w:bookmarkStart w:id="25" w:name="_Toc430813238"/>
      <w:bookmarkStart w:id="26" w:name="_Toc496088059"/>
      <w:bookmarkStart w:id="27" w:name="_Toc432367321"/>
      <w:bookmarkStart w:id="28" w:name="_Toc485113053"/>
      <w:r>
        <w:rPr>
          <w:rFonts w:hint="eastAsia" w:ascii="仿宋" w:hAnsi="仿宋" w:eastAsia="仿宋" w:cs="仿宋"/>
          <w:color w:val="auto"/>
          <w:sz w:val="24"/>
          <w:highlight w:val="none"/>
        </w:rPr>
        <w:t>总则</w:t>
      </w:r>
      <w:bookmarkEnd w:id="23"/>
      <w:bookmarkEnd w:id="24"/>
      <w:bookmarkEnd w:id="25"/>
      <w:bookmarkEnd w:id="26"/>
      <w:bookmarkEnd w:id="27"/>
      <w:bookmarkEnd w:id="28"/>
    </w:p>
    <w:p w14:paraId="0A4A3FF1">
      <w:pPr>
        <w:pStyle w:val="4"/>
        <w:snapToGrid w:val="0"/>
        <w:spacing w:before="0" w:after="0" w:line="360" w:lineRule="auto"/>
        <w:jc w:val="left"/>
        <w:rPr>
          <w:rFonts w:ascii="仿宋" w:hAnsi="仿宋" w:eastAsia="仿宋" w:cs="仿宋"/>
          <w:color w:val="auto"/>
          <w:sz w:val="24"/>
          <w:szCs w:val="24"/>
          <w:highlight w:val="none"/>
        </w:rPr>
      </w:pPr>
      <w:bookmarkStart w:id="29" w:name="_Toc247513953"/>
      <w:bookmarkStart w:id="30" w:name="_Toc430813239"/>
      <w:bookmarkStart w:id="31" w:name="_Toc300834950"/>
      <w:bookmarkStart w:id="32" w:name="_Toc21097"/>
      <w:bookmarkStart w:id="33" w:name="_Toc496088060"/>
      <w:bookmarkStart w:id="34" w:name="_Toc152045530"/>
      <w:bookmarkStart w:id="35" w:name="_Toc152042306"/>
      <w:bookmarkStart w:id="36" w:name="_Toc432367322"/>
      <w:bookmarkStart w:id="37" w:name="_Toc247527554"/>
      <w:bookmarkStart w:id="38" w:name="_Toc27193"/>
      <w:bookmarkStart w:id="39" w:name="_Toc144974498"/>
      <w:bookmarkStart w:id="40" w:name="_Toc485113054"/>
      <w:r>
        <w:rPr>
          <w:rFonts w:hint="eastAsia" w:ascii="仿宋" w:hAnsi="仿宋" w:eastAsia="仿宋" w:cs="仿宋"/>
          <w:color w:val="auto"/>
          <w:sz w:val="24"/>
          <w:szCs w:val="24"/>
          <w:highlight w:val="none"/>
        </w:rPr>
        <w:t>1.1 项目概况</w:t>
      </w:r>
      <w:bookmarkEnd w:id="29"/>
      <w:bookmarkEnd w:id="30"/>
      <w:bookmarkEnd w:id="31"/>
      <w:bookmarkEnd w:id="32"/>
      <w:bookmarkEnd w:id="33"/>
      <w:bookmarkEnd w:id="34"/>
      <w:bookmarkEnd w:id="35"/>
      <w:bookmarkEnd w:id="36"/>
      <w:bookmarkEnd w:id="37"/>
      <w:bookmarkEnd w:id="38"/>
      <w:bookmarkEnd w:id="39"/>
      <w:bookmarkEnd w:id="40"/>
    </w:p>
    <w:p w14:paraId="78261FA7">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1.1.1根据《中华人民共和国政府采购法》、《中华人民共和国政府采购法实施条例》、《政府采购货物和服务招标投标管理办法》、《中华人民共和国招标投标法》、《中华人民共和国招标投标法实施条例》等有关法律、法规和规章的规定，制定本招标文件。</w:t>
      </w:r>
    </w:p>
    <w:p w14:paraId="67B4F306">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1.1.2采购人：见供应商须知前附表。</w:t>
      </w:r>
    </w:p>
    <w:p w14:paraId="7EDF2E89">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1.1.3采购代理机构：见供应商须知前附表。</w:t>
      </w:r>
    </w:p>
    <w:p w14:paraId="3D1D2A2F">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1.1.4监督管理部门：见供应商须知前附表。</w:t>
      </w:r>
    </w:p>
    <w:p w14:paraId="7A1958C5">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1.1.5项目名称：见供应商须知前附表。</w:t>
      </w:r>
    </w:p>
    <w:p w14:paraId="1381A251">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1.1.6项目地点：见供应商须知前附表。</w:t>
      </w:r>
    </w:p>
    <w:p w14:paraId="629EE418">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1.1.7项目内容：见供应商须知前附表。</w:t>
      </w:r>
    </w:p>
    <w:p w14:paraId="6907C116">
      <w:pPr>
        <w:pStyle w:val="4"/>
        <w:snapToGrid w:val="0"/>
        <w:spacing w:before="0" w:after="0" w:line="360" w:lineRule="auto"/>
        <w:jc w:val="left"/>
        <w:rPr>
          <w:rFonts w:ascii="仿宋" w:hAnsi="仿宋" w:eastAsia="仿宋" w:cs="仿宋"/>
          <w:color w:val="auto"/>
          <w:sz w:val="24"/>
          <w:szCs w:val="24"/>
          <w:highlight w:val="none"/>
        </w:rPr>
      </w:pPr>
      <w:bookmarkStart w:id="41" w:name="_Toc496088061"/>
      <w:bookmarkStart w:id="42" w:name="_Toc430813240"/>
      <w:bookmarkStart w:id="43" w:name="_Toc247527555"/>
      <w:bookmarkStart w:id="44" w:name="_Toc300834951"/>
      <w:bookmarkStart w:id="45" w:name="_Toc247513954"/>
      <w:bookmarkStart w:id="46" w:name="_Toc485113055"/>
      <w:bookmarkStart w:id="47" w:name="_Toc152042307"/>
      <w:bookmarkStart w:id="48" w:name="_Toc432367323"/>
      <w:bookmarkStart w:id="49" w:name="_Toc152045531"/>
      <w:bookmarkStart w:id="50" w:name="_Toc144974499"/>
      <w:bookmarkStart w:id="51" w:name="_Toc13803"/>
      <w:bookmarkStart w:id="52" w:name="_Toc14020"/>
      <w:r>
        <w:rPr>
          <w:rFonts w:hint="eastAsia" w:ascii="仿宋" w:hAnsi="仿宋" w:eastAsia="仿宋" w:cs="仿宋"/>
          <w:color w:val="auto"/>
          <w:sz w:val="24"/>
          <w:szCs w:val="24"/>
          <w:highlight w:val="none"/>
        </w:rPr>
        <w:t>1.2 资金来源和落实情况</w:t>
      </w:r>
      <w:bookmarkEnd w:id="41"/>
      <w:bookmarkEnd w:id="42"/>
      <w:bookmarkEnd w:id="43"/>
      <w:bookmarkEnd w:id="44"/>
      <w:bookmarkEnd w:id="45"/>
      <w:bookmarkEnd w:id="46"/>
      <w:bookmarkEnd w:id="47"/>
      <w:bookmarkEnd w:id="48"/>
      <w:bookmarkEnd w:id="49"/>
      <w:bookmarkEnd w:id="50"/>
      <w:bookmarkEnd w:id="51"/>
      <w:bookmarkEnd w:id="52"/>
    </w:p>
    <w:p w14:paraId="103681C5">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1.2.1资金来源：见供应商须知前附表。</w:t>
      </w:r>
    </w:p>
    <w:p w14:paraId="0FEAE6D9">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1.2.2资金落实情况：见供应商须知前附表。</w:t>
      </w:r>
    </w:p>
    <w:p w14:paraId="16AE742B">
      <w:pPr>
        <w:pStyle w:val="4"/>
        <w:snapToGrid w:val="0"/>
        <w:spacing w:before="0" w:after="0" w:line="360" w:lineRule="auto"/>
        <w:jc w:val="left"/>
        <w:rPr>
          <w:rFonts w:ascii="仿宋" w:hAnsi="仿宋" w:eastAsia="仿宋" w:cs="仿宋"/>
          <w:color w:val="auto"/>
          <w:sz w:val="24"/>
          <w:szCs w:val="24"/>
          <w:highlight w:val="none"/>
        </w:rPr>
      </w:pPr>
      <w:bookmarkStart w:id="53" w:name="_Toc247527556"/>
      <w:bookmarkStart w:id="54" w:name="_Toc152045532"/>
      <w:bookmarkStart w:id="55" w:name="_Toc152042308"/>
      <w:bookmarkStart w:id="56" w:name="_Toc247513955"/>
      <w:bookmarkStart w:id="57" w:name="_Toc144974500"/>
      <w:bookmarkStart w:id="58" w:name="_Toc300834952"/>
      <w:bookmarkStart w:id="59" w:name="_Toc496088062"/>
      <w:bookmarkStart w:id="60" w:name="_Toc485113056"/>
      <w:bookmarkStart w:id="61" w:name="_Toc430813241"/>
      <w:bookmarkStart w:id="62" w:name="_Toc25800"/>
      <w:bookmarkStart w:id="63" w:name="_Toc432367324"/>
      <w:bookmarkStart w:id="64" w:name="_Toc5340"/>
      <w:r>
        <w:rPr>
          <w:rFonts w:hint="eastAsia" w:ascii="仿宋" w:hAnsi="仿宋" w:eastAsia="仿宋" w:cs="仿宋"/>
          <w:color w:val="auto"/>
          <w:sz w:val="24"/>
          <w:szCs w:val="24"/>
          <w:highlight w:val="none"/>
        </w:rPr>
        <w:t>1.3 采购范围、时间要求和</w:t>
      </w:r>
      <w:bookmarkEnd w:id="53"/>
      <w:bookmarkEnd w:id="54"/>
      <w:bookmarkEnd w:id="55"/>
      <w:bookmarkEnd w:id="56"/>
      <w:bookmarkEnd w:id="57"/>
      <w:r>
        <w:rPr>
          <w:rFonts w:hint="eastAsia" w:ascii="仿宋" w:hAnsi="仿宋" w:eastAsia="仿宋" w:cs="仿宋"/>
          <w:color w:val="auto"/>
          <w:sz w:val="24"/>
          <w:szCs w:val="24"/>
          <w:highlight w:val="none"/>
        </w:rPr>
        <w:t>质量</w:t>
      </w:r>
      <w:bookmarkEnd w:id="58"/>
      <w:r>
        <w:rPr>
          <w:rFonts w:hint="eastAsia" w:ascii="仿宋" w:hAnsi="仿宋" w:eastAsia="仿宋" w:cs="仿宋"/>
          <w:color w:val="auto"/>
          <w:sz w:val="24"/>
          <w:szCs w:val="24"/>
          <w:highlight w:val="none"/>
        </w:rPr>
        <w:t>要求</w:t>
      </w:r>
      <w:bookmarkEnd w:id="59"/>
      <w:bookmarkEnd w:id="60"/>
      <w:bookmarkEnd w:id="61"/>
      <w:bookmarkEnd w:id="62"/>
      <w:bookmarkEnd w:id="63"/>
      <w:bookmarkEnd w:id="64"/>
    </w:p>
    <w:p w14:paraId="04306856">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1.3.1采购范围：见供应商须知前附表。</w:t>
      </w:r>
    </w:p>
    <w:p w14:paraId="2A53C951">
      <w:pPr>
        <w:snapToGrid w:val="0"/>
        <w:spacing w:line="360" w:lineRule="auto"/>
        <w:ind w:firstLine="480" w:firstLineChars="200"/>
        <w:rPr>
          <w:rFonts w:ascii="仿宋" w:hAnsi="仿宋" w:eastAsia="仿宋" w:cs="仿宋"/>
          <w:color w:val="auto"/>
          <w:sz w:val="24"/>
          <w:highlight w:val="none"/>
        </w:rPr>
      </w:pPr>
      <w:bookmarkStart w:id="65" w:name="_Toc152042310"/>
      <w:bookmarkStart w:id="66" w:name="_Toc152045534"/>
      <w:bookmarkStart w:id="67" w:name="_Toc432367325"/>
      <w:bookmarkStart w:id="68" w:name="_Toc430813242"/>
      <w:bookmarkStart w:id="69" w:name="_Toc247527558"/>
      <w:bookmarkStart w:id="70" w:name="_Toc144974502"/>
      <w:bookmarkStart w:id="71" w:name="_Toc300834954"/>
      <w:bookmarkStart w:id="72" w:name="_Toc247513957"/>
      <w:bookmarkStart w:id="73" w:name="_Toc485113057"/>
      <w:r>
        <w:rPr>
          <w:rFonts w:hint="eastAsia" w:ascii="仿宋" w:hAnsi="仿宋" w:eastAsia="仿宋" w:cs="仿宋"/>
          <w:color w:val="auto"/>
          <w:sz w:val="24"/>
          <w:highlight w:val="none"/>
        </w:rPr>
        <w:t>1.3.2时间要求：合同通用条款前附表。</w:t>
      </w:r>
    </w:p>
    <w:p w14:paraId="716E93FC">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1.3.3质量要求：合同通用条款前附表。</w:t>
      </w:r>
    </w:p>
    <w:p w14:paraId="5363FDAC">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1.3.4付款方式：合同通用条款前附表。</w:t>
      </w:r>
    </w:p>
    <w:p w14:paraId="37463636">
      <w:pPr>
        <w:pStyle w:val="4"/>
        <w:snapToGrid w:val="0"/>
        <w:spacing w:before="0" w:after="0" w:line="360" w:lineRule="auto"/>
        <w:jc w:val="left"/>
        <w:rPr>
          <w:rFonts w:ascii="仿宋" w:hAnsi="仿宋" w:eastAsia="仿宋" w:cs="仿宋"/>
          <w:color w:val="auto"/>
          <w:sz w:val="24"/>
          <w:szCs w:val="24"/>
          <w:highlight w:val="none"/>
        </w:rPr>
      </w:pPr>
      <w:bookmarkStart w:id="74" w:name="_Toc12997"/>
      <w:bookmarkStart w:id="75" w:name="_Toc496088063"/>
      <w:bookmarkStart w:id="76" w:name="_Toc30597"/>
      <w:r>
        <w:rPr>
          <w:rFonts w:hint="eastAsia" w:ascii="仿宋" w:hAnsi="仿宋" w:eastAsia="仿宋" w:cs="仿宋"/>
          <w:color w:val="auto"/>
          <w:sz w:val="24"/>
          <w:szCs w:val="24"/>
          <w:highlight w:val="none"/>
        </w:rPr>
        <w:t>1.4 供应商资格要求</w:t>
      </w:r>
      <w:bookmarkEnd w:id="65"/>
      <w:bookmarkEnd w:id="66"/>
      <w:bookmarkEnd w:id="67"/>
      <w:bookmarkEnd w:id="68"/>
      <w:bookmarkEnd w:id="69"/>
      <w:bookmarkEnd w:id="70"/>
      <w:bookmarkEnd w:id="71"/>
      <w:bookmarkEnd w:id="72"/>
      <w:bookmarkEnd w:id="73"/>
      <w:bookmarkEnd w:id="74"/>
      <w:bookmarkEnd w:id="75"/>
      <w:bookmarkEnd w:id="76"/>
    </w:p>
    <w:p w14:paraId="736C200C">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1.4.1 供应商应具备承担本招标项目资质条件、能力和信誉。</w:t>
      </w:r>
    </w:p>
    <w:p w14:paraId="44075646">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（1）资质要求：见供应商须知前附表；</w:t>
      </w:r>
    </w:p>
    <w:p w14:paraId="64F22E14">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（2）其他要求：见供应商须知前附表。</w:t>
      </w:r>
    </w:p>
    <w:p w14:paraId="47FB43F6">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 xml:space="preserve">1.4.2 供应商须知前附表规定接受联合体投标的，除应符合本章第1.4.1项和供应商须知前附表的要求外，还应遵守以下规定： </w:t>
      </w:r>
    </w:p>
    <w:p w14:paraId="056FF3C9">
      <w:pPr>
        <w:snapToGrid w:val="0"/>
        <w:spacing w:line="360" w:lineRule="auto"/>
        <w:ind w:firstLine="360" w:firstLineChars="150"/>
        <w:rPr>
          <w:rFonts w:ascii="仿宋" w:hAnsi="仿宋" w:eastAsia="仿宋" w:cs="仿宋"/>
          <w:color w:val="auto"/>
          <w:sz w:val="24"/>
          <w:highlight w:val="none"/>
        </w:rPr>
      </w:pPr>
      <w:r>
        <w:rPr>
          <w:rFonts w:hint="eastAsia" w:ascii="仿宋" w:hAnsi="仿宋" w:eastAsia="仿宋" w:cs="仿宋"/>
          <w:color w:val="auto"/>
          <w:sz w:val="24"/>
          <w:highlight w:val="none"/>
        </w:rPr>
        <w:t>（1）联合体各方应按招标文件提供的格式签订联合体协议书，明确联合体牵头人和各方权利义务；</w:t>
      </w:r>
    </w:p>
    <w:p w14:paraId="2F2844A8">
      <w:pPr>
        <w:snapToGrid w:val="0"/>
        <w:spacing w:line="360" w:lineRule="auto"/>
        <w:ind w:firstLine="360" w:firstLineChars="150"/>
        <w:rPr>
          <w:rFonts w:ascii="仿宋" w:hAnsi="仿宋" w:eastAsia="仿宋" w:cs="仿宋"/>
          <w:color w:val="auto"/>
          <w:sz w:val="24"/>
          <w:highlight w:val="none"/>
        </w:rPr>
      </w:pPr>
      <w:r>
        <w:rPr>
          <w:rFonts w:hint="eastAsia" w:ascii="仿宋" w:hAnsi="仿宋" w:eastAsia="仿宋" w:cs="仿宋"/>
          <w:color w:val="auto"/>
          <w:sz w:val="24"/>
          <w:highlight w:val="none"/>
        </w:rPr>
        <w:t>（2）由同一专业的单位组成的联合体，按照资质等级较低的单位确定资质等级；</w:t>
      </w:r>
    </w:p>
    <w:p w14:paraId="419382E2">
      <w:pPr>
        <w:snapToGrid w:val="0"/>
        <w:spacing w:line="360" w:lineRule="auto"/>
        <w:ind w:firstLine="360" w:firstLineChars="150"/>
        <w:rPr>
          <w:rFonts w:ascii="仿宋" w:hAnsi="仿宋" w:eastAsia="仿宋" w:cs="仿宋"/>
          <w:color w:val="auto"/>
          <w:sz w:val="24"/>
          <w:highlight w:val="none"/>
        </w:rPr>
      </w:pPr>
      <w:r>
        <w:rPr>
          <w:rFonts w:hint="eastAsia" w:ascii="仿宋" w:hAnsi="仿宋" w:eastAsia="仿宋" w:cs="仿宋"/>
          <w:color w:val="auto"/>
          <w:sz w:val="24"/>
          <w:highlight w:val="none"/>
        </w:rPr>
        <w:t>（3）联合体各方不得再以自己名义单独或参加其他联合体在本招标项目中投标；</w:t>
      </w:r>
    </w:p>
    <w:p w14:paraId="722869F0">
      <w:pPr>
        <w:snapToGrid w:val="0"/>
        <w:spacing w:line="360" w:lineRule="auto"/>
        <w:ind w:firstLine="360" w:firstLineChars="150"/>
        <w:rPr>
          <w:rFonts w:ascii="仿宋" w:hAnsi="仿宋" w:eastAsia="仿宋" w:cs="仿宋"/>
          <w:color w:val="auto"/>
          <w:sz w:val="24"/>
          <w:highlight w:val="none"/>
        </w:rPr>
      </w:pPr>
      <w:r>
        <w:rPr>
          <w:rFonts w:hint="eastAsia" w:ascii="仿宋" w:hAnsi="仿宋" w:eastAsia="仿宋" w:cs="仿宋"/>
          <w:color w:val="auto"/>
          <w:sz w:val="24"/>
          <w:highlight w:val="none"/>
        </w:rPr>
        <w:t>（4）联投标保证金可以由联合体中的一方或者共同提交，以一方名义提交投标保证金的，对联合体各方均具有约束力。</w:t>
      </w:r>
    </w:p>
    <w:p w14:paraId="270335A5">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1.4.3 供应商不得存在下列情形： 详见供应商须知前附表。</w:t>
      </w:r>
    </w:p>
    <w:p w14:paraId="2EE7071B">
      <w:pPr>
        <w:pStyle w:val="4"/>
        <w:snapToGrid w:val="0"/>
        <w:spacing w:before="0" w:after="0" w:line="360" w:lineRule="auto"/>
        <w:jc w:val="left"/>
        <w:rPr>
          <w:rFonts w:ascii="仿宋" w:hAnsi="仿宋" w:eastAsia="仿宋" w:cs="仿宋"/>
          <w:color w:val="auto"/>
          <w:sz w:val="24"/>
          <w:szCs w:val="24"/>
          <w:highlight w:val="none"/>
        </w:rPr>
      </w:pPr>
      <w:bookmarkStart w:id="77" w:name="_Toc496088064"/>
      <w:bookmarkStart w:id="78" w:name="_Toc432367326"/>
      <w:bookmarkStart w:id="79" w:name="_Toc485113058"/>
      <w:bookmarkStart w:id="80" w:name="_Toc8640"/>
      <w:bookmarkStart w:id="81" w:name="_Toc25452"/>
      <w:r>
        <w:rPr>
          <w:rFonts w:hint="eastAsia" w:ascii="仿宋" w:hAnsi="仿宋" w:eastAsia="仿宋" w:cs="仿宋"/>
          <w:color w:val="auto"/>
          <w:sz w:val="24"/>
          <w:szCs w:val="24"/>
          <w:highlight w:val="none"/>
        </w:rPr>
        <w:t>1.5</w:t>
      </w:r>
      <w:bookmarkStart w:id="82" w:name="_Toc247527559"/>
      <w:bookmarkStart w:id="83" w:name="_Toc152045535"/>
      <w:bookmarkStart w:id="84" w:name="_Toc247513958"/>
      <w:bookmarkStart w:id="85" w:name="_Toc144974503"/>
      <w:bookmarkStart w:id="86" w:name="_Toc300834955"/>
      <w:bookmarkStart w:id="87" w:name="_Toc152042311"/>
      <w:bookmarkStart w:id="88" w:name="_Toc430813243"/>
      <w:r>
        <w:rPr>
          <w:rFonts w:hint="eastAsia" w:ascii="仿宋" w:hAnsi="仿宋" w:eastAsia="仿宋" w:cs="仿宋"/>
          <w:color w:val="auto"/>
          <w:sz w:val="24"/>
          <w:szCs w:val="24"/>
          <w:highlight w:val="none"/>
        </w:rPr>
        <w:t xml:space="preserve"> 费用承担</w:t>
      </w:r>
      <w:bookmarkEnd w:id="77"/>
      <w:bookmarkEnd w:id="78"/>
      <w:bookmarkEnd w:id="79"/>
      <w:bookmarkEnd w:id="80"/>
      <w:bookmarkEnd w:id="81"/>
    </w:p>
    <w:p w14:paraId="070C2ECF">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w:t>
      </w:r>
      <w:bookmarkEnd w:id="82"/>
      <w:bookmarkEnd w:id="83"/>
      <w:bookmarkEnd w:id="84"/>
      <w:bookmarkEnd w:id="85"/>
      <w:bookmarkEnd w:id="86"/>
      <w:bookmarkEnd w:id="87"/>
      <w:bookmarkEnd w:id="88"/>
      <w:r>
        <w:rPr>
          <w:rFonts w:hint="eastAsia" w:ascii="仿宋" w:hAnsi="仿宋" w:eastAsia="仿宋" w:cs="仿宋"/>
          <w:color w:val="auto"/>
          <w:sz w:val="24"/>
          <w:highlight w:val="none"/>
        </w:rPr>
        <w:t>5.1供应商应承担所有与准备和参加投标有关的费用。不论投标的结果如何，采购代理机构和采购人均无义务和责任承担这些费用。</w:t>
      </w:r>
    </w:p>
    <w:p w14:paraId="6DD97A12">
      <w:pPr>
        <w:pStyle w:val="4"/>
        <w:snapToGrid w:val="0"/>
        <w:spacing w:before="0" w:after="0" w:line="360" w:lineRule="auto"/>
        <w:jc w:val="left"/>
        <w:rPr>
          <w:rFonts w:ascii="仿宋" w:hAnsi="仿宋" w:eastAsia="仿宋" w:cs="仿宋"/>
          <w:color w:val="auto"/>
          <w:sz w:val="24"/>
          <w:szCs w:val="24"/>
          <w:highlight w:val="none"/>
        </w:rPr>
      </w:pPr>
      <w:bookmarkStart w:id="89" w:name="_Toc485113059"/>
      <w:bookmarkStart w:id="90" w:name="_Toc496088065"/>
      <w:bookmarkStart w:id="91" w:name="_Toc22917"/>
      <w:bookmarkStart w:id="92" w:name="_Toc432367327"/>
      <w:bookmarkStart w:id="93" w:name="_Toc31342"/>
      <w:r>
        <w:rPr>
          <w:rFonts w:hint="eastAsia" w:ascii="仿宋" w:hAnsi="仿宋" w:eastAsia="仿宋" w:cs="仿宋"/>
          <w:color w:val="auto"/>
          <w:sz w:val="24"/>
          <w:szCs w:val="24"/>
          <w:highlight w:val="none"/>
        </w:rPr>
        <w:t>1.6</w:t>
      </w:r>
      <w:bookmarkStart w:id="94" w:name="_Toc247513959"/>
      <w:bookmarkStart w:id="95" w:name="_Toc152042312"/>
      <w:bookmarkStart w:id="96" w:name="_Toc152045536"/>
      <w:bookmarkStart w:id="97" w:name="_Toc300834956"/>
      <w:bookmarkStart w:id="98" w:name="_Toc247527560"/>
      <w:bookmarkStart w:id="99" w:name="_Toc144974504"/>
      <w:bookmarkStart w:id="100" w:name="_Toc430813244"/>
      <w:r>
        <w:rPr>
          <w:rFonts w:hint="eastAsia" w:ascii="仿宋" w:hAnsi="仿宋" w:eastAsia="仿宋" w:cs="仿宋"/>
          <w:color w:val="auto"/>
          <w:sz w:val="24"/>
          <w:szCs w:val="24"/>
          <w:highlight w:val="none"/>
        </w:rPr>
        <w:t xml:space="preserve"> 保密</w:t>
      </w:r>
      <w:bookmarkEnd w:id="89"/>
      <w:bookmarkEnd w:id="90"/>
      <w:bookmarkEnd w:id="91"/>
      <w:bookmarkEnd w:id="92"/>
      <w:bookmarkEnd w:id="93"/>
    </w:p>
    <w:p w14:paraId="1C8BF8BC">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w:t>
      </w:r>
      <w:bookmarkEnd w:id="94"/>
      <w:bookmarkEnd w:id="95"/>
      <w:bookmarkEnd w:id="96"/>
      <w:bookmarkEnd w:id="97"/>
      <w:bookmarkEnd w:id="98"/>
      <w:bookmarkEnd w:id="99"/>
      <w:bookmarkEnd w:id="100"/>
      <w:r>
        <w:rPr>
          <w:rFonts w:hint="eastAsia" w:ascii="仿宋" w:hAnsi="仿宋" w:eastAsia="仿宋" w:cs="仿宋"/>
          <w:color w:val="auto"/>
          <w:sz w:val="24"/>
          <w:highlight w:val="none"/>
        </w:rPr>
        <w:t xml:space="preserve">6.1参与招标投标活动的各方应对招标文件和投标文件中的商业和技术等秘密保密，否则应承担相应的法律责任。 </w:t>
      </w:r>
    </w:p>
    <w:p w14:paraId="22FFCE7F">
      <w:pPr>
        <w:pStyle w:val="4"/>
        <w:snapToGrid w:val="0"/>
        <w:spacing w:before="0" w:after="0" w:line="360" w:lineRule="auto"/>
        <w:jc w:val="left"/>
        <w:rPr>
          <w:rFonts w:ascii="仿宋" w:hAnsi="仿宋" w:eastAsia="仿宋" w:cs="仿宋"/>
          <w:color w:val="auto"/>
          <w:sz w:val="24"/>
          <w:szCs w:val="24"/>
          <w:highlight w:val="none"/>
        </w:rPr>
      </w:pPr>
      <w:bookmarkStart w:id="101" w:name="_Toc11828"/>
      <w:bookmarkStart w:id="102" w:name="_Toc485113060"/>
      <w:bookmarkStart w:id="103" w:name="_Toc10619"/>
      <w:bookmarkStart w:id="104" w:name="_Toc496088066"/>
      <w:bookmarkStart w:id="105" w:name="_Toc432367328"/>
      <w:r>
        <w:rPr>
          <w:rFonts w:hint="eastAsia" w:ascii="仿宋" w:hAnsi="仿宋" w:eastAsia="仿宋" w:cs="仿宋"/>
          <w:color w:val="auto"/>
          <w:sz w:val="24"/>
          <w:szCs w:val="24"/>
          <w:highlight w:val="none"/>
        </w:rPr>
        <w:t>1.7</w:t>
      </w:r>
      <w:bookmarkStart w:id="106" w:name="_Toc144974505"/>
      <w:bookmarkStart w:id="107" w:name="_Toc430813245"/>
      <w:bookmarkStart w:id="108" w:name="_Toc247513960"/>
      <w:bookmarkStart w:id="109" w:name="_Toc152045537"/>
      <w:bookmarkStart w:id="110" w:name="_Toc152042313"/>
      <w:bookmarkStart w:id="111" w:name="_Toc300834957"/>
      <w:bookmarkStart w:id="112" w:name="_Toc247527561"/>
      <w:r>
        <w:rPr>
          <w:rFonts w:hint="eastAsia" w:ascii="仿宋" w:hAnsi="仿宋" w:eastAsia="仿宋" w:cs="仿宋"/>
          <w:color w:val="auto"/>
          <w:sz w:val="24"/>
          <w:szCs w:val="24"/>
          <w:highlight w:val="none"/>
        </w:rPr>
        <w:t xml:space="preserve"> 语言文字</w:t>
      </w:r>
      <w:bookmarkEnd w:id="101"/>
      <w:bookmarkEnd w:id="102"/>
      <w:bookmarkEnd w:id="103"/>
      <w:bookmarkEnd w:id="104"/>
      <w:bookmarkEnd w:id="105"/>
    </w:p>
    <w:bookmarkEnd w:id="106"/>
    <w:p w14:paraId="7F3BCEA6">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w:t>
      </w:r>
      <w:bookmarkEnd w:id="107"/>
      <w:bookmarkEnd w:id="108"/>
      <w:bookmarkEnd w:id="109"/>
      <w:bookmarkEnd w:id="110"/>
      <w:bookmarkEnd w:id="111"/>
      <w:bookmarkEnd w:id="112"/>
      <w:r>
        <w:rPr>
          <w:rFonts w:hint="eastAsia" w:ascii="仿宋" w:hAnsi="仿宋" w:eastAsia="仿宋" w:cs="仿宋"/>
          <w:color w:val="auto"/>
          <w:sz w:val="24"/>
          <w:highlight w:val="none"/>
        </w:rPr>
        <w:t>7.1招标投标文件使用的语言文字为中文。专用术语使用外文的，应附有中文注释。</w:t>
      </w:r>
    </w:p>
    <w:p w14:paraId="0FB94EE5">
      <w:pPr>
        <w:pStyle w:val="4"/>
        <w:snapToGrid w:val="0"/>
        <w:spacing w:before="0" w:after="0" w:line="360" w:lineRule="auto"/>
        <w:jc w:val="left"/>
        <w:rPr>
          <w:rFonts w:ascii="仿宋" w:hAnsi="仿宋" w:eastAsia="仿宋" w:cs="仿宋"/>
          <w:color w:val="auto"/>
          <w:sz w:val="24"/>
          <w:szCs w:val="24"/>
          <w:highlight w:val="none"/>
        </w:rPr>
      </w:pPr>
      <w:bookmarkStart w:id="113" w:name="_Toc904"/>
      <w:bookmarkStart w:id="114" w:name="_Toc19875"/>
      <w:bookmarkStart w:id="115" w:name="_Toc485113061"/>
      <w:bookmarkStart w:id="116" w:name="_Toc432367329"/>
      <w:bookmarkStart w:id="117" w:name="_Toc496088067"/>
      <w:r>
        <w:rPr>
          <w:rFonts w:hint="eastAsia" w:ascii="仿宋" w:hAnsi="仿宋" w:eastAsia="仿宋" w:cs="仿宋"/>
          <w:color w:val="auto"/>
          <w:sz w:val="24"/>
          <w:szCs w:val="24"/>
          <w:highlight w:val="none"/>
        </w:rPr>
        <w:t>1.8</w:t>
      </w:r>
      <w:bookmarkStart w:id="118" w:name="_Toc152045538"/>
      <w:bookmarkStart w:id="119" w:name="_Toc144974506"/>
      <w:bookmarkStart w:id="120" w:name="_Toc247527562"/>
      <w:bookmarkStart w:id="121" w:name="_Toc300834958"/>
      <w:bookmarkStart w:id="122" w:name="_Toc247513961"/>
      <w:bookmarkStart w:id="123" w:name="_Toc430813246"/>
      <w:bookmarkStart w:id="124" w:name="_Toc152042314"/>
      <w:r>
        <w:rPr>
          <w:rFonts w:hint="eastAsia" w:ascii="仿宋" w:hAnsi="仿宋" w:eastAsia="仿宋" w:cs="仿宋"/>
          <w:color w:val="auto"/>
          <w:sz w:val="24"/>
          <w:szCs w:val="24"/>
          <w:highlight w:val="none"/>
        </w:rPr>
        <w:t xml:space="preserve"> 计量单位</w:t>
      </w:r>
      <w:bookmarkEnd w:id="113"/>
      <w:bookmarkEnd w:id="114"/>
      <w:bookmarkEnd w:id="115"/>
      <w:bookmarkEnd w:id="116"/>
      <w:bookmarkEnd w:id="117"/>
    </w:p>
    <w:p w14:paraId="04484883">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w:t>
      </w:r>
      <w:bookmarkEnd w:id="118"/>
      <w:bookmarkEnd w:id="119"/>
      <w:bookmarkEnd w:id="120"/>
      <w:bookmarkEnd w:id="121"/>
      <w:bookmarkEnd w:id="122"/>
      <w:bookmarkEnd w:id="123"/>
      <w:bookmarkEnd w:id="124"/>
      <w:r>
        <w:rPr>
          <w:rFonts w:hint="eastAsia" w:ascii="仿宋" w:hAnsi="仿宋" w:eastAsia="仿宋" w:cs="仿宋"/>
          <w:color w:val="auto"/>
          <w:sz w:val="24"/>
          <w:highlight w:val="none"/>
        </w:rPr>
        <w:t>8.1所有计量均采用中华人民共和国法定计量单位。</w:t>
      </w:r>
    </w:p>
    <w:p w14:paraId="0B13B8BC">
      <w:pPr>
        <w:pStyle w:val="4"/>
        <w:snapToGrid w:val="0"/>
        <w:spacing w:before="0" w:after="0" w:line="360" w:lineRule="auto"/>
        <w:jc w:val="left"/>
        <w:rPr>
          <w:rFonts w:ascii="仿宋" w:hAnsi="仿宋" w:eastAsia="仿宋" w:cs="仿宋"/>
          <w:color w:val="auto"/>
          <w:sz w:val="24"/>
          <w:szCs w:val="24"/>
          <w:highlight w:val="none"/>
        </w:rPr>
      </w:pPr>
      <w:bookmarkStart w:id="125" w:name="_Toc485113062"/>
      <w:bookmarkStart w:id="126" w:name="_Toc432367330"/>
      <w:bookmarkStart w:id="127" w:name="_Toc8831"/>
      <w:bookmarkStart w:id="128" w:name="_Toc13700"/>
      <w:bookmarkStart w:id="129" w:name="_Toc496088068"/>
      <w:r>
        <w:rPr>
          <w:rFonts w:hint="eastAsia" w:ascii="仿宋" w:hAnsi="仿宋" w:eastAsia="仿宋" w:cs="仿宋"/>
          <w:color w:val="auto"/>
          <w:sz w:val="24"/>
          <w:szCs w:val="24"/>
          <w:highlight w:val="none"/>
        </w:rPr>
        <w:t>1.9</w:t>
      </w:r>
      <w:bookmarkStart w:id="130" w:name="_Toc247513962"/>
      <w:bookmarkStart w:id="131" w:name="_Toc430813247"/>
      <w:bookmarkStart w:id="132" w:name="_Toc247527563"/>
      <w:bookmarkStart w:id="133" w:name="_Toc152045539"/>
      <w:bookmarkStart w:id="134" w:name="_Toc144974507"/>
      <w:bookmarkStart w:id="135" w:name="_Toc300834959"/>
      <w:bookmarkStart w:id="136" w:name="_Toc152042315"/>
      <w:r>
        <w:rPr>
          <w:rFonts w:hint="eastAsia" w:ascii="仿宋" w:hAnsi="仿宋" w:eastAsia="仿宋" w:cs="仿宋"/>
          <w:color w:val="auto"/>
          <w:sz w:val="24"/>
          <w:szCs w:val="24"/>
          <w:highlight w:val="none"/>
        </w:rPr>
        <w:t xml:space="preserve"> 踏勘现场</w:t>
      </w:r>
      <w:bookmarkEnd w:id="125"/>
      <w:bookmarkEnd w:id="126"/>
      <w:bookmarkEnd w:id="127"/>
      <w:bookmarkEnd w:id="128"/>
      <w:bookmarkEnd w:id="129"/>
    </w:p>
    <w:p w14:paraId="2B85EA62">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w:t>
      </w:r>
      <w:bookmarkEnd w:id="130"/>
      <w:bookmarkEnd w:id="131"/>
      <w:bookmarkEnd w:id="132"/>
      <w:bookmarkEnd w:id="133"/>
      <w:bookmarkEnd w:id="134"/>
      <w:bookmarkEnd w:id="135"/>
      <w:bookmarkEnd w:id="136"/>
      <w:r>
        <w:rPr>
          <w:rFonts w:hint="eastAsia" w:ascii="仿宋" w:hAnsi="仿宋" w:eastAsia="仿宋" w:cs="仿宋"/>
          <w:color w:val="auto"/>
          <w:sz w:val="24"/>
          <w:highlight w:val="none"/>
        </w:rPr>
        <w:t xml:space="preserve">9.1 供应商须知前附表规定组织踏勘现场的，采购代理机构按供应商须知前附表规定的时间、地点组织供应商踏勘项目现场。 </w:t>
      </w:r>
    </w:p>
    <w:p w14:paraId="1DEB77B7">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1.9.2 供应商踏勘现场发生的费用自理。</w:t>
      </w:r>
    </w:p>
    <w:p w14:paraId="402A47B7">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1.9.3 除采购人和采购代理机构的原因外，供应商自行负责在踏勘现场中所发生的人员伤亡和财产损失。</w:t>
      </w:r>
    </w:p>
    <w:p w14:paraId="2C5C5EDA">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1.9.4 采购人在踏勘现场中介绍的项目场地和相关的周边环境情况，供应商在编制投标文件时参考，采购人和采购代理机构不对供应商据此作出的判断和决策负责。</w:t>
      </w:r>
    </w:p>
    <w:p w14:paraId="76B2EC7D">
      <w:pPr>
        <w:pStyle w:val="4"/>
        <w:snapToGrid w:val="0"/>
        <w:spacing w:before="0" w:after="0" w:line="360" w:lineRule="auto"/>
        <w:jc w:val="left"/>
        <w:rPr>
          <w:rFonts w:ascii="仿宋" w:hAnsi="仿宋" w:eastAsia="仿宋" w:cs="仿宋"/>
          <w:color w:val="auto"/>
          <w:sz w:val="24"/>
          <w:szCs w:val="24"/>
          <w:highlight w:val="none"/>
        </w:rPr>
      </w:pPr>
      <w:bookmarkStart w:id="137" w:name="_Toc485113063"/>
      <w:bookmarkStart w:id="138" w:name="_Toc496088069"/>
      <w:bookmarkStart w:id="139" w:name="_Toc432367331"/>
      <w:bookmarkStart w:id="140" w:name="_Toc17749"/>
      <w:bookmarkStart w:id="141" w:name="_Toc8224"/>
      <w:r>
        <w:rPr>
          <w:rFonts w:hint="eastAsia" w:ascii="仿宋" w:hAnsi="仿宋" w:eastAsia="仿宋" w:cs="仿宋"/>
          <w:color w:val="auto"/>
          <w:sz w:val="24"/>
          <w:szCs w:val="24"/>
          <w:highlight w:val="none"/>
        </w:rPr>
        <w:t>1.1</w:t>
      </w:r>
      <w:bookmarkStart w:id="142" w:name="_Toc152045540"/>
      <w:bookmarkStart w:id="143" w:name="_Toc430813248"/>
      <w:bookmarkStart w:id="144" w:name="_Toc144974508"/>
      <w:bookmarkStart w:id="145" w:name="_Toc247527564"/>
      <w:bookmarkStart w:id="146" w:name="_Toc247513963"/>
      <w:bookmarkStart w:id="147" w:name="_Toc152042316"/>
      <w:bookmarkStart w:id="148" w:name="_Toc300834960"/>
      <w:r>
        <w:rPr>
          <w:rFonts w:hint="eastAsia" w:ascii="仿宋" w:hAnsi="仿宋" w:eastAsia="仿宋" w:cs="仿宋"/>
          <w:color w:val="auto"/>
          <w:sz w:val="24"/>
          <w:szCs w:val="24"/>
          <w:highlight w:val="none"/>
        </w:rPr>
        <w:t>0 投标预备会</w:t>
      </w:r>
      <w:bookmarkEnd w:id="137"/>
      <w:bookmarkEnd w:id="138"/>
      <w:bookmarkEnd w:id="139"/>
      <w:bookmarkEnd w:id="140"/>
      <w:bookmarkEnd w:id="141"/>
    </w:p>
    <w:p w14:paraId="5F840714">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w:t>
      </w:r>
      <w:bookmarkEnd w:id="142"/>
      <w:bookmarkEnd w:id="143"/>
      <w:bookmarkEnd w:id="144"/>
      <w:bookmarkEnd w:id="145"/>
      <w:bookmarkEnd w:id="146"/>
      <w:bookmarkEnd w:id="147"/>
      <w:bookmarkEnd w:id="148"/>
      <w:r>
        <w:rPr>
          <w:rFonts w:hint="eastAsia" w:ascii="仿宋" w:hAnsi="仿宋" w:eastAsia="仿宋" w:cs="仿宋"/>
          <w:color w:val="auto"/>
          <w:sz w:val="24"/>
          <w:highlight w:val="none"/>
        </w:rPr>
        <w:t>10.1 供应商须知前附表规定召开投标预备会的，采购代理机构按供应商须知前附表规定的时间和地点召开投标预备会，澄清供应商提出的问题。</w:t>
      </w:r>
    </w:p>
    <w:p w14:paraId="5E2E02A6">
      <w:pPr>
        <w:pStyle w:val="4"/>
        <w:snapToGrid w:val="0"/>
        <w:spacing w:before="0" w:after="0" w:line="360" w:lineRule="auto"/>
        <w:jc w:val="left"/>
        <w:rPr>
          <w:rFonts w:ascii="仿宋" w:hAnsi="仿宋" w:eastAsia="仿宋" w:cs="仿宋"/>
          <w:color w:val="auto"/>
          <w:sz w:val="24"/>
          <w:szCs w:val="24"/>
          <w:highlight w:val="none"/>
        </w:rPr>
      </w:pPr>
      <w:bookmarkStart w:id="149" w:name="_Toc12806"/>
      <w:bookmarkStart w:id="150" w:name="_Toc432367332"/>
      <w:bookmarkStart w:id="151" w:name="_Toc12690"/>
      <w:bookmarkStart w:id="152" w:name="_Toc496088070"/>
      <w:bookmarkStart w:id="153" w:name="_Toc485113064"/>
      <w:r>
        <w:rPr>
          <w:rFonts w:hint="eastAsia" w:ascii="仿宋" w:hAnsi="仿宋" w:eastAsia="仿宋" w:cs="仿宋"/>
          <w:color w:val="auto"/>
          <w:sz w:val="24"/>
          <w:szCs w:val="24"/>
          <w:highlight w:val="none"/>
        </w:rPr>
        <w:t>1.1</w:t>
      </w:r>
      <w:bookmarkStart w:id="154" w:name="_Toc144974509"/>
      <w:bookmarkStart w:id="155" w:name="_Toc247513964"/>
      <w:bookmarkStart w:id="156" w:name="_Toc152042317"/>
      <w:bookmarkStart w:id="157" w:name="_Toc247527565"/>
      <w:bookmarkStart w:id="158" w:name="_Toc430813249"/>
      <w:bookmarkStart w:id="159" w:name="_Toc300834961"/>
      <w:bookmarkStart w:id="160" w:name="_Toc152045541"/>
      <w:r>
        <w:rPr>
          <w:rFonts w:hint="eastAsia" w:ascii="仿宋" w:hAnsi="仿宋" w:eastAsia="仿宋" w:cs="仿宋"/>
          <w:color w:val="auto"/>
          <w:sz w:val="24"/>
          <w:szCs w:val="24"/>
          <w:highlight w:val="none"/>
        </w:rPr>
        <w:t>1 中标后分包</w:t>
      </w:r>
      <w:bookmarkEnd w:id="149"/>
      <w:bookmarkEnd w:id="150"/>
      <w:bookmarkEnd w:id="151"/>
      <w:bookmarkEnd w:id="152"/>
      <w:bookmarkEnd w:id="153"/>
    </w:p>
    <w:p w14:paraId="3995BDD4">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w:t>
      </w:r>
      <w:bookmarkEnd w:id="154"/>
      <w:bookmarkEnd w:id="155"/>
      <w:bookmarkEnd w:id="156"/>
      <w:bookmarkEnd w:id="157"/>
      <w:bookmarkEnd w:id="158"/>
      <w:bookmarkEnd w:id="159"/>
      <w:bookmarkEnd w:id="160"/>
      <w:r>
        <w:rPr>
          <w:rFonts w:hint="eastAsia" w:ascii="仿宋" w:hAnsi="仿宋" w:eastAsia="仿宋" w:cs="仿宋"/>
          <w:color w:val="auto"/>
          <w:sz w:val="24"/>
          <w:highlight w:val="none"/>
        </w:rPr>
        <w:t>11.1 供应商须知前附表规定应当由分包人实施的非主体、非关键性工作，供应商应当按照第六章“投标文件格式”的规定提供分包人名称及其相应资料。</w:t>
      </w:r>
    </w:p>
    <w:p w14:paraId="283E6EE3">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1.11.2 供应商拟在中标后将中标项目的部分非主体、非关键性工作进行分包的，应符合供应商须知前附表规定的分包内容、分包金额和资质要求等限制性条件。</w:t>
      </w:r>
    </w:p>
    <w:p w14:paraId="1C6EE101">
      <w:pPr>
        <w:pStyle w:val="4"/>
        <w:snapToGrid w:val="0"/>
        <w:spacing w:before="0" w:after="0" w:line="360" w:lineRule="auto"/>
        <w:jc w:val="left"/>
        <w:rPr>
          <w:rFonts w:ascii="仿宋" w:hAnsi="仿宋" w:eastAsia="仿宋" w:cs="仿宋"/>
          <w:color w:val="auto"/>
          <w:sz w:val="24"/>
          <w:szCs w:val="24"/>
          <w:highlight w:val="none"/>
        </w:rPr>
      </w:pPr>
      <w:bookmarkStart w:id="161" w:name="_Toc485113065"/>
      <w:bookmarkStart w:id="162" w:name="_Toc8551"/>
      <w:bookmarkStart w:id="163" w:name="_Toc432367334"/>
      <w:bookmarkStart w:id="164" w:name="_Toc496088071"/>
      <w:bookmarkStart w:id="165" w:name="_Toc12092"/>
      <w:r>
        <w:rPr>
          <w:rFonts w:hint="eastAsia" w:ascii="仿宋" w:hAnsi="仿宋" w:eastAsia="仿宋" w:cs="仿宋"/>
          <w:color w:val="auto"/>
          <w:sz w:val="24"/>
          <w:szCs w:val="24"/>
          <w:highlight w:val="none"/>
        </w:rPr>
        <w:t>1.12 政府采购政策</w:t>
      </w:r>
      <w:bookmarkEnd w:id="161"/>
      <w:bookmarkEnd w:id="162"/>
      <w:bookmarkEnd w:id="163"/>
      <w:bookmarkEnd w:id="164"/>
      <w:bookmarkEnd w:id="165"/>
    </w:p>
    <w:p w14:paraId="31CD470B">
      <w:pPr>
        <w:snapToGrid w:val="0"/>
        <w:spacing w:line="360" w:lineRule="auto"/>
        <w:ind w:firstLine="410" w:firstLineChars="171"/>
        <w:rPr>
          <w:rFonts w:ascii="仿宋" w:hAnsi="仿宋" w:eastAsia="仿宋" w:cs="仿宋"/>
          <w:color w:val="auto"/>
          <w:sz w:val="24"/>
          <w:highlight w:val="none"/>
        </w:rPr>
      </w:pPr>
      <w:r>
        <w:rPr>
          <w:rFonts w:hint="eastAsia" w:ascii="仿宋" w:hAnsi="仿宋" w:eastAsia="仿宋" w:cs="仿宋"/>
          <w:color w:val="auto"/>
          <w:sz w:val="24"/>
          <w:highlight w:val="none"/>
        </w:rPr>
        <w:t>1.12.1 除非</w:t>
      </w:r>
      <w:r>
        <w:rPr>
          <w:rFonts w:hint="eastAsia" w:ascii="仿宋" w:hAnsi="仿宋" w:eastAsia="仿宋" w:cs="仿宋"/>
          <w:b/>
          <w:color w:val="auto"/>
          <w:sz w:val="24"/>
          <w:highlight w:val="none"/>
        </w:rPr>
        <w:t>本招标文件</w:t>
      </w:r>
      <w:r>
        <w:rPr>
          <w:rFonts w:hint="eastAsia" w:ascii="仿宋" w:hAnsi="仿宋" w:eastAsia="仿宋" w:cs="仿宋"/>
          <w:color w:val="auto"/>
          <w:sz w:val="24"/>
          <w:highlight w:val="none"/>
        </w:rPr>
        <w:t>中有特殊规定，本项目所采购的内容应当为中华人民共和国境内提供。</w:t>
      </w:r>
    </w:p>
    <w:p w14:paraId="40F8F27A">
      <w:pPr>
        <w:snapToGrid w:val="0"/>
        <w:spacing w:line="360" w:lineRule="auto"/>
        <w:ind w:firstLine="410" w:firstLineChars="171"/>
        <w:rPr>
          <w:rFonts w:ascii="仿宋" w:hAnsi="仿宋" w:eastAsia="仿宋" w:cs="仿宋"/>
          <w:color w:val="auto"/>
          <w:sz w:val="24"/>
          <w:highlight w:val="none"/>
        </w:rPr>
      </w:pPr>
      <w:r>
        <w:rPr>
          <w:rFonts w:hint="eastAsia" w:ascii="仿宋" w:hAnsi="仿宋" w:eastAsia="仿宋" w:cs="仿宋"/>
          <w:color w:val="auto"/>
          <w:sz w:val="24"/>
          <w:highlight w:val="none"/>
        </w:rPr>
        <w:t>1.12.2 为促进中小企业发展，本项目供应商如符合工信部联企业〔2011〕300号文中对中小企业划型标准的，可按照招标文件中相关规定，对产品的价格给予一定比例的扣除，用扣除后的价格参与评审。具体扣除比例详见“供应商须知前附表”。</w:t>
      </w:r>
    </w:p>
    <w:p w14:paraId="054A239A">
      <w:pPr>
        <w:snapToGrid w:val="0"/>
        <w:spacing w:line="360" w:lineRule="auto"/>
        <w:ind w:firstLine="410" w:firstLineChars="171"/>
        <w:jc w:val="left"/>
        <w:rPr>
          <w:rFonts w:ascii="仿宋" w:hAnsi="仿宋" w:eastAsia="仿宋" w:cs="仿宋"/>
          <w:color w:val="auto"/>
          <w:sz w:val="24"/>
          <w:highlight w:val="none"/>
        </w:rPr>
      </w:pPr>
      <w:r>
        <w:rPr>
          <w:rFonts w:hint="eastAsia" w:ascii="仿宋" w:hAnsi="仿宋" w:eastAsia="仿宋" w:cs="仿宋"/>
          <w:color w:val="auto"/>
          <w:sz w:val="24"/>
          <w:highlight w:val="none"/>
        </w:rPr>
        <w:t>1.12.3根据《国务院办公厅关于建立政府强制采购节能产品制度的通知》（国办发〔2007〕51号）规定，供应商所投产品如属于政府强制采购节能产品范围，则该产品必须在最新一期“节能产品政府采购清单”中，评审时不给予价格扣除。供应商所投产品如属于政府优先采购节能产品范围，可按照“供应商须知前附表”中相关规定，对该项产品的价格给予一定比例的扣除，用扣除后的价格参与评审。具体扣除比例详见“供应商须知前附表”。</w:t>
      </w:r>
    </w:p>
    <w:p w14:paraId="68FCB140">
      <w:pPr>
        <w:snapToGrid w:val="0"/>
        <w:spacing w:line="360" w:lineRule="auto"/>
        <w:ind w:firstLine="410" w:firstLineChars="171"/>
        <w:jc w:val="left"/>
        <w:rPr>
          <w:rFonts w:ascii="仿宋" w:hAnsi="仿宋" w:eastAsia="仿宋" w:cs="仿宋"/>
          <w:color w:val="auto"/>
          <w:sz w:val="24"/>
          <w:highlight w:val="none"/>
        </w:rPr>
      </w:pPr>
      <w:r>
        <w:rPr>
          <w:rFonts w:hint="eastAsia" w:ascii="仿宋" w:hAnsi="仿宋" w:eastAsia="仿宋" w:cs="仿宋"/>
          <w:color w:val="auto"/>
          <w:sz w:val="24"/>
          <w:highlight w:val="none"/>
        </w:rPr>
        <w:t>（1）“节能产品政府采购清单”以中华人民共和国财政部网站（http://www.mof.gov.cn）、中国政府采购网（http://www.ccgp.gov.cn）、国家发展改革委网站（http://hzs.ndrc.gov.cn）和中国质量认证中心网站（http://www.cqc.com.cn）公示为准。</w:t>
      </w:r>
    </w:p>
    <w:p w14:paraId="130814A3">
      <w:pPr>
        <w:snapToGrid w:val="0"/>
        <w:spacing w:line="360" w:lineRule="auto"/>
        <w:ind w:firstLine="360" w:firstLineChars="150"/>
        <w:jc w:val="left"/>
        <w:rPr>
          <w:rFonts w:ascii="仿宋" w:hAnsi="仿宋" w:eastAsia="仿宋" w:cs="仿宋"/>
          <w:color w:val="auto"/>
          <w:sz w:val="24"/>
          <w:highlight w:val="none"/>
        </w:rPr>
      </w:pPr>
      <w:r>
        <w:rPr>
          <w:rFonts w:hint="eastAsia" w:ascii="仿宋" w:hAnsi="仿宋" w:eastAsia="仿宋" w:cs="仿宋"/>
          <w:color w:val="auto"/>
          <w:sz w:val="24"/>
          <w:highlight w:val="none"/>
        </w:rPr>
        <w:t>（2）投标产品如属于政府优先采购节能产品范围的，须提供如下相关证明资料：</w:t>
      </w:r>
    </w:p>
    <w:p w14:paraId="1BEE51CE">
      <w:pPr>
        <w:autoSpaceDE w:val="0"/>
        <w:autoSpaceDN w:val="0"/>
        <w:adjustRightInd w:val="0"/>
        <w:snapToGrid w:val="0"/>
        <w:spacing w:line="360" w:lineRule="auto"/>
        <w:ind w:firstLine="480" w:firstLineChars="200"/>
        <w:jc w:val="left"/>
        <w:rPr>
          <w:rFonts w:ascii="仿宋" w:hAnsi="仿宋" w:eastAsia="仿宋" w:cs="仿宋"/>
          <w:color w:val="auto"/>
          <w:kern w:val="0"/>
          <w:sz w:val="24"/>
          <w:highlight w:val="none"/>
        </w:rPr>
      </w:pPr>
      <w:r>
        <w:rPr>
          <w:rFonts w:hint="eastAsia" w:ascii="仿宋" w:hAnsi="仿宋" w:eastAsia="仿宋" w:cs="仿宋"/>
          <w:color w:val="auto"/>
          <w:sz w:val="24"/>
          <w:highlight w:val="none"/>
        </w:rPr>
        <w:t>a投标产品</w:t>
      </w:r>
      <w:r>
        <w:rPr>
          <w:rFonts w:hint="eastAsia" w:ascii="仿宋" w:hAnsi="仿宋" w:eastAsia="仿宋" w:cs="仿宋"/>
          <w:color w:val="auto"/>
          <w:kern w:val="0"/>
          <w:sz w:val="24"/>
          <w:highlight w:val="none"/>
        </w:rPr>
        <w:t>所在当期节能清单页面截图（包含制造商、品牌、产品型号、节字标志认证证书号、认证证书有效截止日期），复印件加盖供应商公章；</w:t>
      </w:r>
    </w:p>
    <w:p w14:paraId="2085CC0F">
      <w:pPr>
        <w:autoSpaceDE w:val="0"/>
        <w:autoSpaceDN w:val="0"/>
        <w:adjustRightInd w:val="0"/>
        <w:snapToGrid w:val="0"/>
        <w:spacing w:line="360" w:lineRule="auto"/>
        <w:ind w:left="420" w:leftChars="200"/>
        <w:jc w:val="left"/>
        <w:rPr>
          <w:rFonts w:ascii="仿宋" w:hAnsi="仿宋" w:eastAsia="仿宋" w:cs="仿宋"/>
          <w:color w:val="auto"/>
          <w:kern w:val="0"/>
          <w:sz w:val="24"/>
          <w:highlight w:val="none"/>
        </w:rPr>
      </w:pPr>
      <w:r>
        <w:rPr>
          <w:rFonts w:hint="eastAsia" w:ascii="仿宋" w:hAnsi="仿宋" w:eastAsia="仿宋" w:cs="仿宋"/>
          <w:color w:val="auto"/>
          <w:sz w:val="24"/>
          <w:highlight w:val="none"/>
        </w:rPr>
        <w:t>b投标产品</w:t>
      </w:r>
      <w:r>
        <w:rPr>
          <w:rFonts w:hint="eastAsia" w:ascii="仿宋" w:hAnsi="仿宋" w:eastAsia="仿宋" w:cs="仿宋"/>
          <w:color w:val="auto"/>
          <w:kern w:val="0"/>
          <w:sz w:val="24"/>
          <w:highlight w:val="none"/>
        </w:rPr>
        <w:t>节能清单产品查询系统查询结果截图；</w:t>
      </w:r>
      <w:r>
        <w:rPr>
          <w:rFonts w:hint="eastAsia" w:ascii="仿宋" w:hAnsi="仿宋" w:eastAsia="仿宋" w:cs="仿宋"/>
          <w:color w:val="auto"/>
          <w:sz w:val="24"/>
          <w:highlight w:val="none"/>
        </w:rPr>
        <w:t>（http://www.ccgp.gov.cn/search/jnqdchaxun.htm）（</w:t>
      </w:r>
      <w:r>
        <w:rPr>
          <w:rFonts w:hint="eastAsia" w:ascii="仿宋" w:hAnsi="仿宋" w:eastAsia="仿宋" w:cs="仿宋"/>
          <w:color w:val="auto"/>
          <w:kern w:val="0"/>
          <w:sz w:val="24"/>
          <w:highlight w:val="none"/>
        </w:rPr>
        <w:t>复印件加盖供应商公章）</w:t>
      </w:r>
    </w:p>
    <w:p w14:paraId="642351FD">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c政府优先采购节能产品范围的投标产品的单独分项报价。</w:t>
      </w:r>
    </w:p>
    <w:p w14:paraId="4DA9D415">
      <w:pPr>
        <w:snapToGrid w:val="0"/>
        <w:spacing w:line="360" w:lineRule="auto"/>
        <w:ind w:firstLine="410" w:firstLineChars="171"/>
        <w:rPr>
          <w:rFonts w:ascii="仿宋" w:hAnsi="仿宋" w:eastAsia="仿宋" w:cs="仿宋"/>
          <w:color w:val="auto"/>
          <w:sz w:val="24"/>
          <w:highlight w:val="none"/>
        </w:rPr>
      </w:pPr>
      <w:r>
        <w:rPr>
          <w:rFonts w:hint="eastAsia" w:ascii="仿宋" w:hAnsi="仿宋" w:eastAsia="仿宋" w:cs="仿宋"/>
          <w:color w:val="auto"/>
          <w:sz w:val="24"/>
          <w:highlight w:val="none"/>
        </w:rPr>
        <w:t>1.12.4根据财政部、国家环保总局《关于环境标志产品政府采购实施的意见》（财库【2006】90号）文件规定。为积极推进环境友好型社会建设，发挥政府采购的环境保护政策功能，应当优先采购环境标志产品政府采购清单（以下简称“环保清单”）中的产品，对符合该文件规定的供应商享受如下政府政策评审优惠：</w:t>
      </w:r>
    </w:p>
    <w:p w14:paraId="4EC52DC4">
      <w:pPr>
        <w:snapToGrid w:val="0"/>
        <w:spacing w:line="360" w:lineRule="auto"/>
        <w:ind w:firstLine="410" w:firstLineChars="171"/>
        <w:rPr>
          <w:rFonts w:ascii="仿宋" w:hAnsi="仿宋" w:eastAsia="仿宋" w:cs="仿宋"/>
          <w:color w:val="auto"/>
          <w:sz w:val="24"/>
          <w:highlight w:val="none"/>
        </w:rPr>
      </w:pPr>
      <w:r>
        <w:rPr>
          <w:rFonts w:hint="eastAsia" w:ascii="仿宋" w:hAnsi="仿宋" w:eastAsia="仿宋" w:cs="仿宋"/>
          <w:color w:val="auto"/>
          <w:sz w:val="24"/>
          <w:highlight w:val="none"/>
        </w:rPr>
        <w:t>（1）投标产品列入最新一期环保清单的，对该项产品的价格给予一定比例的扣除，用扣除后的价格参与评审。具体扣除比例详见“供应商须知前附表”。</w:t>
      </w:r>
    </w:p>
    <w:p w14:paraId="276DB42A">
      <w:pPr>
        <w:snapToGrid w:val="0"/>
        <w:spacing w:line="360" w:lineRule="auto"/>
        <w:ind w:firstLine="410" w:firstLineChars="171"/>
        <w:rPr>
          <w:rFonts w:ascii="仿宋" w:hAnsi="仿宋" w:eastAsia="仿宋" w:cs="仿宋"/>
          <w:color w:val="auto"/>
          <w:sz w:val="24"/>
          <w:highlight w:val="none"/>
        </w:rPr>
      </w:pPr>
      <w:r>
        <w:rPr>
          <w:rFonts w:hint="eastAsia" w:ascii="仿宋" w:hAnsi="仿宋" w:eastAsia="仿宋" w:cs="仿宋"/>
          <w:color w:val="auto"/>
          <w:sz w:val="24"/>
          <w:highlight w:val="none"/>
        </w:rPr>
        <w:t>（2）如供应商所提供的工程项目中投标产品符合以上文件的政策的，须提供如下证明资料</w:t>
      </w:r>
    </w:p>
    <w:p w14:paraId="19C915A7">
      <w:pPr>
        <w:snapToGrid w:val="0"/>
        <w:spacing w:line="360" w:lineRule="auto"/>
        <w:ind w:firstLine="410" w:firstLineChars="171"/>
        <w:rPr>
          <w:rFonts w:ascii="仿宋" w:hAnsi="仿宋" w:eastAsia="仿宋" w:cs="仿宋"/>
          <w:color w:val="auto"/>
          <w:sz w:val="24"/>
          <w:highlight w:val="none"/>
        </w:rPr>
      </w:pPr>
      <w:r>
        <w:rPr>
          <w:rFonts w:hint="eastAsia" w:ascii="仿宋" w:hAnsi="仿宋" w:eastAsia="仿宋" w:cs="仿宋"/>
          <w:color w:val="auto"/>
          <w:sz w:val="24"/>
          <w:highlight w:val="none"/>
        </w:rPr>
        <w:t>a投标产品所在当期环保清单页面截图（包含企业名称、品牌、产品名称型号规格、中国环境标志认证证书编、认证证书有效截止日期）；（复印件加盖供应商公章）</w:t>
      </w:r>
    </w:p>
    <w:p w14:paraId="3F5DDBA9">
      <w:pPr>
        <w:snapToGrid w:val="0"/>
        <w:spacing w:line="360" w:lineRule="auto"/>
        <w:ind w:firstLine="410" w:firstLineChars="171"/>
        <w:rPr>
          <w:rFonts w:ascii="仿宋" w:hAnsi="仿宋" w:eastAsia="仿宋" w:cs="仿宋"/>
          <w:color w:val="auto"/>
          <w:sz w:val="24"/>
          <w:highlight w:val="none"/>
        </w:rPr>
      </w:pPr>
      <w:r>
        <w:rPr>
          <w:rFonts w:hint="eastAsia" w:ascii="仿宋" w:hAnsi="仿宋" w:eastAsia="仿宋" w:cs="仿宋"/>
          <w:color w:val="auto"/>
          <w:sz w:val="24"/>
          <w:highlight w:val="none"/>
        </w:rPr>
        <w:t>b投标产品环保清单查询系统查询结果截图；</w:t>
      </w:r>
    </w:p>
    <w:p w14:paraId="77EF4CEA">
      <w:pPr>
        <w:snapToGrid w:val="0"/>
        <w:spacing w:line="360" w:lineRule="auto"/>
        <w:ind w:firstLine="410" w:firstLineChars="171"/>
        <w:rPr>
          <w:rFonts w:ascii="仿宋" w:hAnsi="仿宋" w:eastAsia="仿宋" w:cs="仿宋"/>
          <w:color w:val="auto"/>
          <w:sz w:val="24"/>
          <w:highlight w:val="none"/>
        </w:rPr>
      </w:pPr>
      <w:r>
        <w:rPr>
          <w:rFonts w:hint="eastAsia" w:ascii="仿宋" w:hAnsi="仿宋" w:eastAsia="仿宋" w:cs="仿宋"/>
          <w:color w:val="auto"/>
          <w:sz w:val="24"/>
          <w:highlight w:val="none"/>
        </w:rPr>
        <w:t>（http://www.ccgp.gov.cn/search/hbqdchaxun.htm）（复印件加盖供应商公章）</w:t>
      </w:r>
    </w:p>
    <w:p w14:paraId="1B41DBC8">
      <w:pPr>
        <w:snapToGrid w:val="0"/>
        <w:spacing w:line="360" w:lineRule="auto"/>
        <w:ind w:firstLine="410" w:firstLineChars="171"/>
        <w:rPr>
          <w:rFonts w:ascii="仿宋" w:hAnsi="仿宋" w:eastAsia="仿宋" w:cs="仿宋"/>
          <w:color w:val="auto"/>
          <w:sz w:val="24"/>
          <w:highlight w:val="none"/>
        </w:rPr>
      </w:pPr>
      <w:r>
        <w:rPr>
          <w:rFonts w:hint="eastAsia" w:ascii="仿宋" w:hAnsi="仿宋" w:eastAsia="仿宋" w:cs="仿宋"/>
          <w:color w:val="auto"/>
          <w:sz w:val="24"/>
          <w:highlight w:val="none"/>
        </w:rPr>
        <w:t>c投标产品属于环保清单内产品须单独分项报价。</w:t>
      </w:r>
    </w:p>
    <w:p w14:paraId="07203738">
      <w:pPr>
        <w:snapToGrid w:val="0"/>
        <w:spacing w:line="360" w:lineRule="auto"/>
        <w:ind w:firstLine="410" w:firstLineChars="171"/>
        <w:rPr>
          <w:rFonts w:ascii="仿宋" w:hAnsi="仿宋" w:eastAsia="仿宋" w:cs="仿宋"/>
          <w:color w:val="auto"/>
          <w:sz w:val="24"/>
          <w:highlight w:val="none"/>
        </w:rPr>
      </w:pPr>
      <w:r>
        <w:rPr>
          <w:rFonts w:hint="eastAsia" w:ascii="仿宋" w:hAnsi="仿宋" w:eastAsia="仿宋" w:cs="仿宋"/>
          <w:color w:val="auto"/>
          <w:sz w:val="24"/>
          <w:highlight w:val="none"/>
        </w:rPr>
        <w:t>1.12.5上述政府采购政策优惠须经评标委员会评审后执行，未提供单独分项报价或证明资料不全的不给予价格扣除。</w:t>
      </w:r>
    </w:p>
    <w:p w14:paraId="3CA30C7F">
      <w:pPr>
        <w:pStyle w:val="3"/>
        <w:numPr>
          <w:ilvl w:val="0"/>
          <w:numId w:val="3"/>
        </w:numPr>
        <w:snapToGrid w:val="0"/>
        <w:spacing w:before="0" w:after="0" w:line="360" w:lineRule="auto"/>
        <w:rPr>
          <w:rFonts w:ascii="仿宋" w:hAnsi="仿宋" w:eastAsia="仿宋" w:cs="仿宋"/>
          <w:color w:val="auto"/>
          <w:sz w:val="24"/>
          <w:highlight w:val="none"/>
        </w:rPr>
      </w:pPr>
      <w:bookmarkStart w:id="166" w:name="_Toc23512"/>
      <w:bookmarkStart w:id="167" w:name="_Toc432367335"/>
      <w:bookmarkStart w:id="168" w:name="_Toc485113066"/>
      <w:bookmarkStart w:id="169" w:name="_Toc496088072"/>
      <w:bookmarkStart w:id="170" w:name="_Toc26284"/>
      <w:bookmarkStart w:id="171" w:name="_Toc430813251"/>
      <w:bookmarkStart w:id="172" w:name="_Toc247513966"/>
      <w:bookmarkStart w:id="173" w:name="_Toc152045542"/>
      <w:bookmarkStart w:id="174" w:name="_Toc144974510"/>
      <w:bookmarkStart w:id="175" w:name="_Toc300834963"/>
      <w:bookmarkStart w:id="176" w:name="_Toc247527567"/>
      <w:bookmarkStart w:id="177" w:name="_Toc152042318"/>
      <w:r>
        <w:rPr>
          <w:rFonts w:hint="eastAsia" w:ascii="仿宋" w:hAnsi="仿宋" w:eastAsia="仿宋" w:cs="仿宋"/>
          <w:color w:val="auto"/>
          <w:sz w:val="24"/>
          <w:highlight w:val="none"/>
        </w:rPr>
        <w:t>招标文件</w:t>
      </w:r>
      <w:bookmarkEnd w:id="166"/>
      <w:bookmarkEnd w:id="167"/>
      <w:bookmarkEnd w:id="168"/>
      <w:bookmarkEnd w:id="169"/>
      <w:bookmarkEnd w:id="170"/>
    </w:p>
    <w:p w14:paraId="49284382">
      <w:pPr>
        <w:pStyle w:val="4"/>
        <w:snapToGrid w:val="0"/>
        <w:spacing w:before="0" w:after="0" w:line="360" w:lineRule="auto"/>
        <w:jc w:val="left"/>
        <w:rPr>
          <w:rFonts w:ascii="仿宋" w:hAnsi="仿宋" w:eastAsia="仿宋" w:cs="仿宋"/>
          <w:color w:val="auto"/>
          <w:sz w:val="24"/>
          <w:szCs w:val="24"/>
          <w:highlight w:val="none"/>
        </w:rPr>
      </w:pPr>
      <w:bookmarkStart w:id="178" w:name="_Toc432367336"/>
      <w:bookmarkStart w:id="179" w:name="_Toc485113067"/>
      <w:bookmarkStart w:id="180" w:name="_Toc2131"/>
      <w:bookmarkStart w:id="181" w:name="_Toc27496"/>
      <w:bookmarkStart w:id="182" w:name="_Toc496088073"/>
      <w:r>
        <w:rPr>
          <w:rFonts w:hint="eastAsia" w:ascii="仿宋" w:hAnsi="仿宋" w:eastAsia="仿宋" w:cs="仿宋"/>
          <w:color w:val="auto"/>
          <w:sz w:val="24"/>
          <w:szCs w:val="24"/>
          <w:highlight w:val="none"/>
        </w:rPr>
        <w:t>2.</w:t>
      </w:r>
      <w:bookmarkEnd w:id="171"/>
      <w:bookmarkEnd w:id="172"/>
      <w:bookmarkEnd w:id="173"/>
      <w:bookmarkEnd w:id="174"/>
      <w:bookmarkEnd w:id="175"/>
      <w:bookmarkEnd w:id="176"/>
      <w:bookmarkEnd w:id="177"/>
      <w:r>
        <w:rPr>
          <w:rFonts w:hint="eastAsia" w:ascii="仿宋" w:hAnsi="仿宋" w:eastAsia="仿宋" w:cs="仿宋"/>
          <w:color w:val="auto"/>
          <w:sz w:val="24"/>
          <w:szCs w:val="24"/>
          <w:highlight w:val="none"/>
        </w:rPr>
        <w:t>1</w:t>
      </w:r>
      <w:bookmarkStart w:id="183" w:name="_Toc144974511"/>
      <w:bookmarkStart w:id="184" w:name="_Toc152042319"/>
      <w:bookmarkStart w:id="185" w:name="_Toc430813252"/>
      <w:bookmarkStart w:id="186" w:name="_Toc247513967"/>
      <w:bookmarkStart w:id="187" w:name="_Toc247527568"/>
      <w:bookmarkStart w:id="188" w:name="_Toc152045543"/>
      <w:bookmarkStart w:id="189" w:name="_Toc300834964"/>
      <w:r>
        <w:rPr>
          <w:rFonts w:hint="eastAsia" w:ascii="仿宋" w:hAnsi="仿宋" w:eastAsia="仿宋" w:cs="仿宋"/>
          <w:color w:val="auto"/>
          <w:sz w:val="24"/>
          <w:szCs w:val="24"/>
          <w:highlight w:val="none"/>
        </w:rPr>
        <w:t xml:space="preserve"> 招标文件的组成</w:t>
      </w:r>
      <w:bookmarkEnd w:id="178"/>
      <w:bookmarkEnd w:id="179"/>
      <w:bookmarkEnd w:id="180"/>
      <w:bookmarkEnd w:id="181"/>
      <w:bookmarkEnd w:id="182"/>
    </w:p>
    <w:p w14:paraId="206A5309">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w:t>
      </w:r>
      <w:bookmarkEnd w:id="183"/>
      <w:bookmarkEnd w:id="184"/>
      <w:bookmarkEnd w:id="185"/>
      <w:bookmarkEnd w:id="186"/>
      <w:bookmarkEnd w:id="187"/>
      <w:bookmarkEnd w:id="188"/>
      <w:bookmarkEnd w:id="189"/>
      <w:r>
        <w:rPr>
          <w:rFonts w:hint="eastAsia" w:ascii="仿宋" w:hAnsi="仿宋" w:eastAsia="仿宋" w:cs="仿宋"/>
          <w:color w:val="auto"/>
          <w:sz w:val="24"/>
          <w:highlight w:val="none"/>
        </w:rPr>
        <w:t>1.1本招标文件包括下列文件及根据本章第1.10款、第2.2款对招标文件所作的澄清、修改。</w:t>
      </w:r>
    </w:p>
    <w:p w14:paraId="1D926948">
      <w:pPr>
        <w:snapToGrid w:val="0"/>
        <w:spacing w:line="360" w:lineRule="auto"/>
        <w:ind w:firstLine="410" w:firstLineChars="171"/>
        <w:rPr>
          <w:rFonts w:ascii="仿宋" w:hAnsi="仿宋" w:eastAsia="仿宋" w:cs="仿宋"/>
          <w:color w:val="auto"/>
          <w:sz w:val="24"/>
          <w:highlight w:val="none"/>
        </w:rPr>
      </w:pPr>
      <w:r>
        <w:rPr>
          <w:rFonts w:hint="eastAsia" w:ascii="仿宋" w:hAnsi="仿宋" w:eastAsia="仿宋" w:cs="仿宋"/>
          <w:color w:val="auto"/>
          <w:sz w:val="24"/>
          <w:highlight w:val="none"/>
        </w:rPr>
        <w:t>第一章 招标公告</w:t>
      </w:r>
    </w:p>
    <w:p w14:paraId="172B0D5A">
      <w:pPr>
        <w:snapToGrid w:val="0"/>
        <w:spacing w:line="360" w:lineRule="auto"/>
        <w:ind w:firstLine="410" w:firstLineChars="171"/>
        <w:rPr>
          <w:rFonts w:ascii="仿宋" w:hAnsi="仿宋" w:eastAsia="仿宋" w:cs="仿宋"/>
          <w:color w:val="auto"/>
          <w:sz w:val="24"/>
          <w:highlight w:val="none"/>
        </w:rPr>
      </w:pPr>
      <w:r>
        <w:rPr>
          <w:rFonts w:hint="eastAsia" w:ascii="仿宋" w:hAnsi="仿宋" w:eastAsia="仿宋" w:cs="仿宋"/>
          <w:color w:val="auto"/>
          <w:sz w:val="24"/>
          <w:highlight w:val="none"/>
        </w:rPr>
        <w:t>第二章 供应商须知前附表</w:t>
      </w:r>
    </w:p>
    <w:p w14:paraId="073AB34C">
      <w:pPr>
        <w:snapToGrid w:val="0"/>
        <w:spacing w:line="360" w:lineRule="auto"/>
        <w:ind w:firstLine="410" w:firstLineChars="171"/>
        <w:rPr>
          <w:rFonts w:ascii="仿宋" w:hAnsi="仿宋" w:eastAsia="仿宋" w:cs="仿宋"/>
          <w:color w:val="auto"/>
          <w:sz w:val="24"/>
          <w:highlight w:val="none"/>
        </w:rPr>
      </w:pPr>
      <w:r>
        <w:rPr>
          <w:rFonts w:hint="eastAsia" w:ascii="仿宋" w:hAnsi="仿宋" w:eastAsia="仿宋" w:cs="仿宋"/>
          <w:color w:val="auto"/>
          <w:sz w:val="24"/>
          <w:highlight w:val="none"/>
        </w:rPr>
        <w:t>第三章 项目概况及技术要求</w:t>
      </w:r>
    </w:p>
    <w:p w14:paraId="59EFCFEB">
      <w:pPr>
        <w:snapToGrid w:val="0"/>
        <w:spacing w:line="360" w:lineRule="auto"/>
        <w:ind w:firstLine="410" w:firstLineChars="171"/>
        <w:rPr>
          <w:rFonts w:ascii="仿宋" w:hAnsi="仿宋" w:eastAsia="仿宋" w:cs="仿宋"/>
          <w:color w:val="auto"/>
          <w:sz w:val="24"/>
          <w:highlight w:val="none"/>
        </w:rPr>
      </w:pPr>
      <w:r>
        <w:rPr>
          <w:rFonts w:hint="eastAsia" w:ascii="仿宋" w:hAnsi="仿宋" w:eastAsia="仿宋" w:cs="仿宋"/>
          <w:color w:val="auto"/>
          <w:sz w:val="24"/>
          <w:highlight w:val="none"/>
        </w:rPr>
        <w:t>第四章 评标方法</w:t>
      </w:r>
    </w:p>
    <w:p w14:paraId="7B806F82">
      <w:pPr>
        <w:snapToGrid w:val="0"/>
        <w:spacing w:line="360" w:lineRule="auto"/>
        <w:ind w:firstLine="410" w:firstLineChars="171"/>
        <w:rPr>
          <w:rFonts w:ascii="仿宋" w:hAnsi="仿宋" w:eastAsia="仿宋" w:cs="仿宋"/>
          <w:color w:val="auto"/>
          <w:sz w:val="24"/>
          <w:highlight w:val="none"/>
        </w:rPr>
      </w:pPr>
      <w:r>
        <w:rPr>
          <w:rFonts w:hint="eastAsia" w:ascii="仿宋" w:hAnsi="仿宋" w:eastAsia="仿宋" w:cs="仿宋"/>
          <w:color w:val="auto"/>
          <w:sz w:val="24"/>
          <w:highlight w:val="none"/>
        </w:rPr>
        <w:t>第五章 合同（参考）</w:t>
      </w:r>
    </w:p>
    <w:p w14:paraId="7A4BFDC8">
      <w:pPr>
        <w:snapToGrid w:val="0"/>
        <w:spacing w:line="360" w:lineRule="auto"/>
        <w:ind w:firstLine="410" w:firstLineChars="171"/>
        <w:rPr>
          <w:rFonts w:ascii="仿宋" w:hAnsi="仿宋" w:eastAsia="仿宋" w:cs="仿宋"/>
          <w:color w:val="auto"/>
          <w:sz w:val="24"/>
          <w:highlight w:val="none"/>
        </w:rPr>
      </w:pPr>
      <w:r>
        <w:rPr>
          <w:rFonts w:hint="eastAsia" w:ascii="仿宋" w:hAnsi="仿宋" w:eastAsia="仿宋" w:cs="仿宋"/>
          <w:color w:val="auto"/>
          <w:sz w:val="24"/>
          <w:highlight w:val="none"/>
        </w:rPr>
        <w:t>第六章 投标文件格式</w:t>
      </w:r>
    </w:p>
    <w:p w14:paraId="0B3C4292">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2.1.2供应商获取招标文件后，应仔细检查招标文件的所有内容，如发现缺页或附件不全，应在获得招标文件1日内向采购代理机构提出，以便补齐。否则，由此引起的损失由供应商自己承担。</w:t>
      </w:r>
    </w:p>
    <w:p w14:paraId="5A46CB51">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2.1.3供应商或者其他利害关系人对招标文件有质疑的，应当在收到招标文件之日起7个工作日内以书面形式向采购人或采购代理机构提出质疑。采购人或采购代理机构应当在收到供应商的书面质疑后7个工作日内作出答复，并以书面形式通知质疑供应商和其他有关供应商，但答复的内容不得涉及商业秘密。本处所称“质疑”是指供应商或者其他利害关系人认为招标文件的内容违反法律、行政法规的强制性规定，违反公开、公平、公正和诚实信用原则，影响供应商投标而向采购代理机构提出的质疑。质疑与答复应采取书面形式。</w:t>
      </w:r>
    </w:p>
    <w:p w14:paraId="36B1518C">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2.1.4采购代理机构对质疑的答复构成对招标文件澄清或者修改的，采购代理机构应当按照第2.2款规定办理。</w:t>
      </w:r>
    </w:p>
    <w:p w14:paraId="13922229">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2.1.5供应商应认真审阅招标文件中所有的事项、格式、条款和要求等，若供应商的投标文件没有按招标文件要求提交全部资料，或投标文件没有对招标文件做出实质性响应，其风险由供应商自行承担。评标委员会将否决未对招标文件做出实质性响应的投标文件。</w:t>
      </w:r>
    </w:p>
    <w:p w14:paraId="0A9CB1F5">
      <w:pPr>
        <w:pStyle w:val="4"/>
        <w:snapToGrid w:val="0"/>
        <w:spacing w:before="0" w:after="0" w:line="360" w:lineRule="auto"/>
        <w:jc w:val="left"/>
        <w:rPr>
          <w:rFonts w:ascii="仿宋" w:hAnsi="仿宋" w:eastAsia="仿宋" w:cs="仿宋"/>
          <w:color w:val="auto"/>
          <w:sz w:val="24"/>
          <w:szCs w:val="24"/>
          <w:highlight w:val="none"/>
        </w:rPr>
      </w:pPr>
      <w:bookmarkStart w:id="190" w:name="_Toc432367337"/>
      <w:bookmarkStart w:id="191" w:name="_Toc3053"/>
      <w:bookmarkStart w:id="192" w:name="_Toc485113068"/>
      <w:bookmarkStart w:id="193" w:name="_Toc496088074"/>
      <w:bookmarkStart w:id="194" w:name="_Toc10754"/>
      <w:r>
        <w:rPr>
          <w:rFonts w:hint="eastAsia" w:ascii="仿宋" w:hAnsi="仿宋" w:eastAsia="仿宋" w:cs="仿宋"/>
          <w:color w:val="auto"/>
          <w:sz w:val="24"/>
          <w:szCs w:val="24"/>
          <w:highlight w:val="none"/>
        </w:rPr>
        <w:t>2.2</w:t>
      </w:r>
      <w:bookmarkStart w:id="195" w:name="_Toc430813253"/>
      <w:bookmarkStart w:id="196" w:name="_Toc144974512"/>
      <w:bookmarkStart w:id="197" w:name="_Toc152042320"/>
      <w:bookmarkStart w:id="198" w:name="_Toc152045544"/>
      <w:bookmarkStart w:id="199" w:name="_Toc300834965"/>
      <w:bookmarkStart w:id="200" w:name="_Toc247527569"/>
      <w:bookmarkStart w:id="201" w:name="_Toc247513968"/>
      <w:r>
        <w:rPr>
          <w:rFonts w:hint="eastAsia" w:ascii="仿宋" w:hAnsi="仿宋" w:eastAsia="仿宋" w:cs="仿宋"/>
          <w:color w:val="auto"/>
          <w:sz w:val="24"/>
          <w:szCs w:val="24"/>
          <w:highlight w:val="none"/>
        </w:rPr>
        <w:t xml:space="preserve"> 招标文件的澄清</w:t>
      </w:r>
      <w:bookmarkEnd w:id="190"/>
      <w:r>
        <w:rPr>
          <w:rFonts w:hint="eastAsia" w:ascii="仿宋" w:hAnsi="仿宋" w:eastAsia="仿宋" w:cs="仿宋"/>
          <w:color w:val="auto"/>
          <w:sz w:val="24"/>
          <w:szCs w:val="24"/>
          <w:highlight w:val="none"/>
        </w:rPr>
        <w:t>或者修改</w:t>
      </w:r>
      <w:bookmarkEnd w:id="191"/>
      <w:bookmarkEnd w:id="192"/>
      <w:bookmarkEnd w:id="193"/>
      <w:bookmarkEnd w:id="194"/>
    </w:p>
    <w:bookmarkEnd w:id="195"/>
    <w:bookmarkEnd w:id="196"/>
    <w:bookmarkEnd w:id="197"/>
    <w:bookmarkEnd w:id="198"/>
    <w:bookmarkEnd w:id="199"/>
    <w:bookmarkEnd w:id="200"/>
    <w:bookmarkEnd w:id="201"/>
    <w:p w14:paraId="3B5783A0">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2.2.1 采购人或者采购代理机构可以对已发出的招标文件进行必要的澄清或者修改。</w:t>
      </w:r>
    </w:p>
    <w:p w14:paraId="0C4C3438">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2.2.2 招标文件的澄清或者修改以书面形式发给所有领取招标文件的供应商，但不包括问题的来源。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p>
    <w:p w14:paraId="146CC234">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2.2.3 供应商在收到澄清或者修改通知后，应在供应商须知前附表规定的时间内以书面形式通知采购代理机构，确认已收到该澄清或者修改通知。</w:t>
      </w:r>
    </w:p>
    <w:p w14:paraId="52F55B11">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2.2.4上述书面形式通知包括纸质的文件、信件，也包括电报、电传、传真、电子数据交换和电子邮件等数据电文。</w:t>
      </w:r>
    </w:p>
    <w:p w14:paraId="6CD59840">
      <w:pPr>
        <w:pStyle w:val="3"/>
        <w:numPr>
          <w:ilvl w:val="0"/>
          <w:numId w:val="3"/>
        </w:numPr>
        <w:snapToGrid w:val="0"/>
        <w:spacing w:before="0" w:after="0" w:line="360" w:lineRule="auto"/>
        <w:rPr>
          <w:rFonts w:ascii="仿宋" w:hAnsi="仿宋" w:eastAsia="仿宋" w:cs="仿宋"/>
          <w:color w:val="auto"/>
          <w:sz w:val="24"/>
          <w:highlight w:val="none"/>
        </w:rPr>
      </w:pPr>
      <w:bookmarkStart w:id="202" w:name="_Toc485113069"/>
      <w:bookmarkStart w:id="203" w:name="_Toc496088075"/>
      <w:bookmarkStart w:id="204" w:name="_Toc17950"/>
      <w:bookmarkStart w:id="205" w:name="_Toc432367339"/>
      <w:bookmarkStart w:id="206" w:name="_Toc26756"/>
      <w:bookmarkStart w:id="207" w:name="_Toc144974514"/>
      <w:bookmarkStart w:id="208" w:name="_Toc247513970"/>
      <w:bookmarkStart w:id="209" w:name="_Toc430813255"/>
      <w:bookmarkStart w:id="210" w:name="_Toc300834967"/>
      <w:bookmarkStart w:id="211" w:name="_Toc152045546"/>
      <w:bookmarkStart w:id="212" w:name="_Toc152042322"/>
      <w:bookmarkStart w:id="213" w:name="_Toc247527571"/>
      <w:r>
        <w:rPr>
          <w:rFonts w:hint="eastAsia" w:ascii="仿宋" w:hAnsi="仿宋" w:eastAsia="仿宋" w:cs="仿宋"/>
          <w:color w:val="auto"/>
          <w:sz w:val="24"/>
          <w:highlight w:val="none"/>
        </w:rPr>
        <w:t>投标文件</w:t>
      </w:r>
      <w:bookmarkEnd w:id="202"/>
      <w:bookmarkEnd w:id="203"/>
      <w:bookmarkEnd w:id="204"/>
      <w:bookmarkEnd w:id="205"/>
      <w:bookmarkEnd w:id="206"/>
    </w:p>
    <w:p w14:paraId="5FDFA0FD">
      <w:pPr>
        <w:pStyle w:val="4"/>
        <w:snapToGrid w:val="0"/>
        <w:spacing w:before="0" w:after="0" w:line="360" w:lineRule="auto"/>
        <w:jc w:val="left"/>
        <w:rPr>
          <w:rFonts w:ascii="仿宋" w:hAnsi="仿宋" w:eastAsia="仿宋" w:cs="仿宋"/>
          <w:color w:val="auto"/>
          <w:sz w:val="24"/>
          <w:szCs w:val="24"/>
          <w:highlight w:val="none"/>
        </w:rPr>
      </w:pPr>
      <w:bookmarkStart w:id="214" w:name="_Toc485113070"/>
      <w:bookmarkStart w:id="215" w:name="_Toc432367340"/>
      <w:bookmarkStart w:id="216" w:name="_Toc496088076"/>
      <w:bookmarkStart w:id="217" w:name="_Toc14206"/>
      <w:bookmarkStart w:id="218" w:name="_Toc3195"/>
      <w:r>
        <w:rPr>
          <w:rFonts w:hint="eastAsia" w:ascii="仿宋" w:hAnsi="仿宋" w:eastAsia="仿宋" w:cs="仿宋"/>
          <w:color w:val="auto"/>
          <w:sz w:val="24"/>
          <w:szCs w:val="24"/>
          <w:highlight w:val="none"/>
        </w:rPr>
        <w:t>3.</w:t>
      </w:r>
      <w:bookmarkEnd w:id="207"/>
      <w:bookmarkEnd w:id="208"/>
      <w:bookmarkEnd w:id="209"/>
      <w:bookmarkEnd w:id="210"/>
      <w:bookmarkEnd w:id="211"/>
      <w:bookmarkEnd w:id="212"/>
      <w:bookmarkEnd w:id="213"/>
      <w:r>
        <w:rPr>
          <w:rFonts w:hint="eastAsia" w:ascii="仿宋" w:hAnsi="仿宋" w:eastAsia="仿宋" w:cs="仿宋"/>
          <w:color w:val="auto"/>
          <w:sz w:val="24"/>
          <w:szCs w:val="24"/>
          <w:highlight w:val="none"/>
        </w:rPr>
        <w:t>1</w:t>
      </w:r>
      <w:bookmarkStart w:id="219" w:name="_Toc430813256"/>
      <w:bookmarkStart w:id="220" w:name="_Toc152042323"/>
      <w:bookmarkStart w:id="221" w:name="_Toc247527572"/>
      <w:bookmarkStart w:id="222" w:name="_Toc300834968"/>
      <w:bookmarkStart w:id="223" w:name="_Toc247513971"/>
      <w:bookmarkStart w:id="224" w:name="_Toc152045547"/>
      <w:bookmarkStart w:id="225" w:name="_Toc144974515"/>
      <w:r>
        <w:rPr>
          <w:rFonts w:hint="eastAsia" w:ascii="仿宋" w:hAnsi="仿宋" w:eastAsia="仿宋" w:cs="仿宋"/>
          <w:color w:val="auto"/>
          <w:sz w:val="24"/>
          <w:szCs w:val="24"/>
          <w:highlight w:val="none"/>
        </w:rPr>
        <w:t xml:space="preserve"> 投标文件的组成</w:t>
      </w:r>
      <w:bookmarkEnd w:id="214"/>
      <w:bookmarkEnd w:id="215"/>
      <w:bookmarkEnd w:id="216"/>
      <w:bookmarkEnd w:id="217"/>
      <w:bookmarkEnd w:id="218"/>
    </w:p>
    <w:p w14:paraId="4D96D165">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w:t>
      </w:r>
      <w:bookmarkEnd w:id="219"/>
      <w:bookmarkEnd w:id="220"/>
      <w:bookmarkEnd w:id="221"/>
      <w:bookmarkEnd w:id="222"/>
      <w:bookmarkEnd w:id="223"/>
      <w:bookmarkEnd w:id="224"/>
      <w:bookmarkEnd w:id="225"/>
      <w:r>
        <w:rPr>
          <w:rFonts w:hint="eastAsia" w:ascii="仿宋" w:hAnsi="仿宋" w:eastAsia="仿宋" w:cs="仿宋"/>
          <w:color w:val="auto"/>
          <w:sz w:val="24"/>
          <w:highlight w:val="none"/>
        </w:rPr>
        <w:t>1.1 投标函及附件</w:t>
      </w:r>
    </w:p>
    <w:p w14:paraId="5D12AB3B">
      <w:pPr>
        <w:numPr>
          <w:ilvl w:val="0"/>
          <w:numId w:val="4"/>
        </w:numPr>
        <w:adjustRightInd w:val="0"/>
        <w:snapToGrid w:val="0"/>
        <w:spacing w:line="360" w:lineRule="auto"/>
        <w:ind w:left="600" w:hanging="174"/>
        <w:jc w:val="left"/>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投标函</w:t>
      </w:r>
    </w:p>
    <w:p w14:paraId="4FDAA183">
      <w:pPr>
        <w:numPr>
          <w:ilvl w:val="0"/>
          <w:numId w:val="4"/>
        </w:numPr>
        <w:adjustRightInd w:val="0"/>
        <w:snapToGrid w:val="0"/>
        <w:spacing w:line="360" w:lineRule="auto"/>
        <w:ind w:left="600" w:hanging="174"/>
        <w:jc w:val="left"/>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法定代表人身份证明或附有法定代表人身份证明的授权委托书</w:t>
      </w:r>
    </w:p>
    <w:p w14:paraId="230F550C">
      <w:pPr>
        <w:numPr>
          <w:ilvl w:val="0"/>
          <w:numId w:val="4"/>
        </w:numPr>
        <w:adjustRightInd w:val="0"/>
        <w:snapToGrid w:val="0"/>
        <w:spacing w:line="360" w:lineRule="auto"/>
        <w:ind w:left="600" w:hanging="174"/>
        <w:jc w:val="left"/>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联合体协议书（如适用）</w:t>
      </w:r>
    </w:p>
    <w:p w14:paraId="73196AF2">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3.1.2 报价文件</w:t>
      </w:r>
    </w:p>
    <w:p w14:paraId="2E588D69">
      <w:pPr>
        <w:numPr>
          <w:ilvl w:val="0"/>
          <w:numId w:val="5"/>
        </w:numPr>
        <w:adjustRightInd w:val="0"/>
        <w:snapToGrid w:val="0"/>
        <w:spacing w:line="360" w:lineRule="auto"/>
        <w:ind w:left="420" w:firstLine="6"/>
        <w:jc w:val="left"/>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投标报价一览表</w:t>
      </w:r>
    </w:p>
    <w:p w14:paraId="333939CB">
      <w:pPr>
        <w:numPr>
          <w:ilvl w:val="0"/>
          <w:numId w:val="5"/>
        </w:numPr>
        <w:adjustRightInd w:val="0"/>
        <w:snapToGrid w:val="0"/>
        <w:spacing w:line="360" w:lineRule="auto"/>
        <w:ind w:left="420" w:firstLine="6"/>
        <w:jc w:val="left"/>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投标分项报价表（如适用）</w:t>
      </w:r>
    </w:p>
    <w:p w14:paraId="160815A5">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3.1.3 商务文件</w:t>
      </w:r>
    </w:p>
    <w:p w14:paraId="585D3859">
      <w:pPr>
        <w:numPr>
          <w:ilvl w:val="0"/>
          <w:numId w:val="6"/>
        </w:numPr>
        <w:adjustRightInd w:val="0"/>
        <w:snapToGrid w:val="0"/>
        <w:spacing w:line="360" w:lineRule="auto"/>
        <w:ind w:left="480" w:hanging="54"/>
        <w:jc w:val="left"/>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资格证明文件</w:t>
      </w:r>
    </w:p>
    <w:p w14:paraId="41402F11">
      <w:pPr>
        <w:numPr>
          <w:ilvl w:val="0"/>
          <w:numId w:val="6"/>
        </w:numPr>
        <w:adjustRightInd w:val="0"/>
        <w:snapToGrid w:val="0"/>
        <w:spacing w:line="360" w:lineRule="auto"/>
        <w:ind w:left="480" w:hanging="54"/>
        <w:jc w:val="left"/>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业绩证明文件</w:t>
      </w:r>
    </w:p>
    <w:p w14:paraId="3CF0BC7E">
      <w:pPr>
        <w:numPr>
          <w:ilvl w:val="0"/>
          <w:numId w:val="6"/>
        </w:numPr>
        <w:adjustRightInd w:val="0"/>
        <w:snapToGrid w:val="0"/>
        <w:spacing w:line="360" w:lineRule="auto"/>
        <w:ind w:left="480" w:hanging="54"/>
        <w:jc w:val="left"/>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信誉、财务状况证明文件</w:t>
      </w:r>
    </w:p>
    <w:p w14:paraId="01F59DC0">
      <w:pPr>
        <w:numPr>
          <w:ilvl w:val="0"/>
          <w:numId w:val="6"/>
        </w:numPr>
        <w:adjustRightInd w:val="0"/>
        <w:snapToGrid w:val="0"/>
        <w:spacing w:line="360" w:lineRule="auto"/>
        <w:ind w:left="480" w:hanging="54"/>
        <w:jc w:val="left"/>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商务偏离表</w:t>
      </w:r>
    </w:p>
    <w:p w14:paraId="103DEF47">
      <w:pPr>
        <w:numPr>
          <w:ilvl w:val="0"/>
          <w:numId w:val="6"/>
        </w:numPr>
        <w:adjustRightInd w:val="0"/>
        <w:snapToGrid w:val="0"/>
        <w:spacing w:line="360" w:lineRule="auto"/>
        <w:ind w:left="480" w:hanging="54"/>
        <w:jc w:val="left"/>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其他材料</w:t>
      </w:r>
    </w:p>
    <w:p w14:paraId="729E6727">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3.1.4 技术文件</w:t>
      </w:r>
    </w:p>
    <w:p w14:paraId="64D794EB">
      <w:pPr>
        <w:pStyle w:val="4"/>
        <w:snapToGrid w:val="0"/>
        <w:spacing w:before="0" w:after="0" w:line="360" w:lineRule="auto"/>
        <w:jc w:val="left"/>
        <w:rPr>
          <w:rFonts w:ascii="仿宋" w:hAnsi="仿宋" w:eastAsia="仿宋" w:cs="仿宋"/>
          <w:color w:val="auto"/>
          <w:sz w:val="24"/>
          <w:szCs w:val="24"/>
          <w:highlight w:val="none"/>
        </w:rPr>
      </w:pPr>
      <w:bookmarkStart w:id="226" w:name="_Toc496088077"/>
      <w:bookmarkStart w:id="227" w:name="_Toc485113071"/>
      <w:bookmarkStart w:id="228" w:name="_Toc20168"/>
      <w:bookmarkStart w:id="229" w:name="_Toc432367341"/>
      <w:bookmarkStart w:id="230" w:name="_Toc32445"/>
      <w:r>
        <w:rPr>
          <w:rFonts w:hint="eastAsia" w:ascii="仿宋" w:hAnsi="仿宋" w:eastAsia="仿宋" w:cs="仿宋"/>
          <w:color w:val="auto"/>
          <w:sz w:val="24"/>
          <w:szCs w:val="24"/>
          <w:highlight w:val="none"/>
        </w:rPr>
        <w:t>3.2</w:t>
      </w:r>
      <w:bookmarkStart w:id="231" w:name="_Toc430813257"/>
      <w:bookmarkStart w:id="232" w:name="_Toc247527573"/>
      <w:bookmarkStart w:id="233" w:name="_Toc247513972"/>
      <w:bookmarkStart w:id="234" w:name="_Toc152045548"/>
      <w:bookmarkStart w:id="235" w:name="_Toc300834969"/>
      <w:bookmarkStart w:id="236" w:name="_Toc152042324"/>
      <w:bookmarkStart w:id="237" w:name="_Toc144974516"/>
      <w:r>
        <w:rPr>
          <w:rFonts w:hint="eastAsia" w:ascii="仿宋" w:hAnsi="仿宋" w:eastAsia="仿宋" w:cs="仿宋"/>
          <w:color w:val="auto"/>
          <w:sz w:val="24"/>
          <w:szCs w:val="24"/>
          <w:highlight w:val="none"/>
        </w:rPr>
        <w:t xml:space="preserve"> 投标报价</w:t>
      </w:r>
      <w:bookmarkEnd w:id="226"/>
      <w:bookmarkEnd w:id="227"/>
      <w:bookmarkEnd w:id="228"/>
      <w:bookmarkEnd w:id="229"/>
      <w:bookmarkEnd w:id="230"/>
    </w:p>
    <w:p w14:paraId="566C51BB">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w:t>
      </w:r>
      <w:bookmarkEnd w:id="231"/>
      <w:r>
        <w:rPr>
          <w:rFonts w:hint="eastAsia" w:ascii="仿宋" w:hAnsi="仿宋" w:eastAsia="仿宋" w:cs="仿宋"/>
          <w:color w:val="auto"/>
          <w:sz w:val="24"/>
          <w:highlight w:val="none"/>
        </w:rPr>
        <w:t>2.1投标报价应包括完成招标文件所确定的委托服务范围所需的全部费用。供应商对报价的准确性和完整性负责，任何漏报、错报等均是供应商的风险。</w:t>
      </w:r>
    </w:p>
    <w:p w14:paraId="0721DA56">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3.2.2本项目投标单价在合同执行过程中是固定不变的，供应商应充分考虑合同履行期间各类材料、配件和人工的市场风险和国家政策性调整风险系数，并计入投标报价。除合同约定的情况外，供应商不得以任何理由在合同执行期间要求予以价格调整。</w:t>
      </w:r>
    </w:p>
    <w:p w14:paraId="04B61C09">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3.2.3供应商应在报价表上注明拟提供服务的单价和总价。每项服务只允许有一个报价，以可调整的价格或可选择的价格提交的投标文件将不予接受。</w:t>
      </w:r>
    </w:p>
    <w:p w14:paraId="45F139CF">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3.2.4投标报价不得超过供应商须知前附表中规定的采购预算价格，否则评标委员会将否决其投标。</w:t>
      </w:r>
    </w:p>
    <w:p w14:paraId="6E45A876">
      <w:pPr>
        <w:pStyle w:val="4"/>
        <w:snapToGrid w:val="0"/>
        <w:spacing w:before="0" w:after="0" w:line="360" w:lineRule="auto"/>
        <w:jc w:val="left"/>
        <w:rPr>
          <w:rFonts w:ascii="仿宋" w:hAnsi="仿宋" w:eastAsia="仿宋" w:cs="仿宋"/>
          <w:color w:val="auto"/>
          <w:sz w:val="24"/>
          <w:szCs w:val="24"/>
          <w:highlight w:val="none"/>
        </w:rPr>
      </w:pPr>
      <w:bookmarkStart w:id="238" w:name="_Toc496088078"/>
      <w:bookmarkStart w:id="239" w:name="_Toc11050"/>
      <w:bookmarkStart w:id="240" w:name="_Toc20842"/>
      <w:bookmarkStart w:id="241" w:name="_Toc485113072"/>
      <w:bookmarkStart w:id="242" w:name="_Toc432367342"/>
      <w:r>
        <w:rPr>
          <w:rFonts w:hint="eastAsia" w:ascii="仿宋" w:hAnsi="仿宋" w:eastAsia="仿宋" w:cs="仿宋"/>
          <w:color w:val="auto"/>
          <w:sz w:val="24"/>
          <w:szCs w:val="24"/>
          <w:highlight w:val="none"/>
        </w:rPr>
        <w:t>3.3</w:t>
      </w:r>
      <w:bookmarkEnd w:id="232"/>
      <w:bookmarkEnd w:id="233"/>
      <w:bookmarkEnd w:id="234"/>
      <w:bookmarkEnd w:id="235"/>
      <w:bookmarkEnd w:id="236"/>
      <w:bookmarkEnd w:id="237"/>
      <w:bookmarkStart w:id="243" w:name="_Toc144974517"/>
      <w:bookmarkStart w:id="244" w:name="_Toc152045549"/>
      <w:bookmarkStart w:id="245" w:name="_Toc152042325"/>
      <w:bookmarkStart w:id="246" w:name="_Toc247527574"/>
      <w:bookmarkStart w:id="247" w:name="_Toc300834970"/>
      <w:bookmarkStart w:id="248" w:name="_Toc430813258"/>
      <w:bookmarkStart w:id="249" w:name="_Toc247513973"/>
      <w:r>
        <w:rPr>
          <w:rFonts w:hint="eastAsia" w:ascii="仿宋" w:hAnsi="仿宋" w:eastAsia="仿宋" w:cs="仿宋"/>
          <w:color w:val="auto"/>
          <w:sz w:val="24"/>
          <w:szCs w:val="24"/>
          <w:highlight w:val="none"/>
        </w:rPr>
        <w:t xml:space="preserve"> 投标有效期</w:t>
      </w:r>
      <w:bookmarkEnd w:id="238"/>
      <w:bookmarkEnd w:id="239"/>
      <w:bookmarkEnd w:id="240"/>
      <w:bookmarkEnd w:id="241"/>
      <w:bookmarkEnd w:id="242"/>
    </w:p>
    <w:p w14:paraId="2907FE2D">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w:t>
      </w:r>
      <w:bookmarkEnd w:id="243"/>
      <w:bookmarkEnd w:id="244"/>
      <w:bookmarkEnd w:id="245"/>
      <w:bookmarkEnd w:id="246"/>
      <w:bookmarkEnd w:id="247"/>
      <w:bookmarkEnd w:id="248"/>
      <w:bookmarkEnd w:id="249"/>
      <w:r>
        <w:rPr>
          <w:rFonts w:hint="eastAsia" w:ascii="仿宋" w:hAnsi="仿宋" w:eastAsia="仿宋" w:cs="仿宋"/>
          <w:color w:val="auto"/>
          <w:sz w:val="24"/>
          <w:highlight w:val="none"/>
        </w:rPr>
        <w:t>3.1 投标有效期见供应商须知前附表。</w:t>
      </w:r>
    </w:p>
    <w:p w14:paraId="61776BA6">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3.3.2 在投标有效期内，供应商撤销或修改其投标文件的，应承担法律和招标文件规定的责任。</w:t>
      </w:r>
    </w:p>
    <w:p w14:paraId="0CDF049F">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 xml:space="preserve">3.3.3需要延长投标有效期的，采购代理机构将以书面形式通知所有供应商延长投标有效期。供应商同意延长的，应相应延长其投标保证金的有效期，但不得要求或被允许修改或撤销其投标文件；供应商拒绝延长的，其投标失效，但供应商有权收回其投标保证金。 </w:t>
      </w:r>
    </w:p>
    <w:p w14:paraId="5BC7325F">
      <w:pPr>
        <w:pStyle w:val="4"/>
        <w:snapToGrid w:val="0"/>
        <w:spacing w:before="0" w:after="0" w:line="360" w:lineRule="auto"/>
        <w:jc w:val="left"/>
        <w:rPr>
          <w:rFonts w:ascii="仿宋" w:hAnsi="仿宋" w:eastAsia="仿宋" w:cs="仿宋"/>
          <w:color w:val="auto"/>
          <w:sz w:val="24"/>
          <w:szCs w:val="24"/>
          <w:highlight w:val="none"/>
        </w:rPr>
      </w:pPr>
      <w:bookmarkStart w:id="250" w:name="_Toc16854"/>
      <w:bookmarkStart w:id="251" w:name="_Toc496088080"/>
      <w:bookmarkStart w:id="252" w:name="_Toc432367344"/>
      <w:bookmarkStart w:id="253" w:name="_Toc20819"/>
      <w:bookmarkStart w:id="254" w:name="_Toc485113074"/>
      <w:r>
        <w:rPr>
          <w:rFonts w:hint="eastAsia" w:ascii="仿宋" w:hAnsi="仿宋" w:eastAsia="仿宋" w:cs="仿宋"/>
          <w:color w:val="auto"/>
          <w:sz w:val="24"/>
          <w:szCs w:val="24"/>
          <w:highlight w:val="none"/>
        </w:rPr>
        <w:t>3.</w:t>
      </w:r>
      <w:bookmarkStart w:id="255" w:name="_Toc247513977"/>
      <w:bookmarkStart w:id="256" w:name="_Toc430813260"/>
      <w:bookmarkStart w:id="257" w:name="_Toc152042329"/>
      <w:bookmarkStart w:id="258" w:name="_Toc300834974"/>
      <w:bookmarkStart w:id="259" w:name="_Toc144974521"/>
      <w:bookmarkStart w:id="260" w:name="_Toc152045553"/>
      <w:bookmarkStart w:id="261" w:name="_Toc247527578"/>
      <w:r>
        <w:rPr>
          <w:rFonts w:hint="eastAsia" w:ascii="仿宋" w:hAnsi="仿宋" w:eastAsia="仿宋" w:cs="仿宋"/>
          <w:color w:val="auto"/>
          <w:sz w:val="24"/>
          <w:szCs w:val="24"/>
          <w:highlight w:val="none"/>
        </w:rPr>
        <w:t>4 备选投标方案</w:t>
      </w:r>
      <w:bookmarkEnd w:id="250"/>
      <w:bookmarkEnd w:id="251"/>
      <w:bookmarkEnd w:id="252"/>
      <w:bookmarkEnd w:id="253"/>
      <w:bookmarkEnd w:id="254"/>
    </w:p>
    <w:p w14:paraId="05A940B2">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w:t>
      </w:r>
      <w:bookmarkEnd w:id="255"/>
      <w:bookmarkEnd w:id="256"/>
      <w:bookmarkEnd w:id="257"/>
      <w:bookmarkEnd w:id="258"/>
      <w:bookmarkEnd w:id="259"/>
      <w:bookmarkEnd w:id="260"/>
      <w:bookmarkEnd w:id="261"/>
      <w:r>
        <w:rPr>
          <w:rFonts w:hint="eastAsia" w:ascii="仿宋" w:hAnsi="仿宋" w:eastAsia="仿宋" w:cs="仿宋"/>
          <w:color w:val="auto"/>
          <w:sz w:val="24"/>
          <w:highlight w:val="none"/>
        </w:rPr>
        <w:t>4.1供应商可以按</w:t>
      </w:r>
      <w:r>
        <w:rPr>
          <w:rFonts w:hint="eastAsia" w:ascii="仿宋" w:hAnsi="仿宋" w:eastAsia="仿宋" w:cs="仿宋"/>
          <w:b/>
          <w:color w:val="auto"/>
          <w:sz w:val="24"/>
          <w:highlight w:val="none"/>
        </w:rPr>
        <w:t>供应商须知前附表</w:t>
      </w:r>
      <w:r>
        <w:rPr>
          <w:rFonts w:hint="eastAsia" w:ascii="仿宋" w:hAnsi="仿宋" w:eastAsia="仿宋" w:cs="仿宋"/>
          <w:color w:val="auto"/>
          <w:sz w:val="24"/>
          <w:highlight w:val="none"/>
        </w:rPr>
        <w:t>规定递交备选投标方案。允许供应商递交备选投标方案的，只有中标供应商所递交的备选投标方案方可予以考虑。评标委员会认为中标供应商的备选投标方案优于其按照招标文件要求编制的投标方案的，采购人可以接受该备选投标方案。</w:t>
      </w:r>
    </w:p>
    <w:p w14:paraId="39D12E9B">
      <w:pPr>
        <w:pStyle w:val="4"/>
        <w:snapToGrid w:val="0"/>
        <w:spacing w:before="0" w:after="0" w:line="360" w:lineRule="auto"/>
        <w:jc w:val="left"/>
        <w:rPr>
          <w:rFonts w:ascii="仿宋" w:hAnsi="仿宋" w:eastAsia="仿宋" w:cs="仿宋"/>
          <w:color w:val="auto"/>
          <w:sz w:val="24"/>
          <w:szCs w:val="24"/>
          <w:highlight w:val="none"/>
        </w:rPr>
      </w:pPr>
      <w:bookmarkStart w:id="262" w:name="_Toc496088081"/>
      <w:bookmarkStart w:id="263" w:name="_Toc22071"/>
      <w:bookmarkStart w:id="264" w:name="_Toc31050"/>
      <w:bookmarkStart w:id="265" w:name="_Toc485113075"/>
      <w:bookmarkStart w:id="266" w:name="_Toc432367345"/>
      <w:r>
        <w:rPr>
          <w:rFonts w:hint="eastAsia" w:ascii="仿宋" w:hAnsi="仿宋" w:eastAsia="仿宋" w:cs="仿宋"/>
          <w:color w:val="auto"/>
          <w:sz w:val="24"/>
          <w:szCs w:val="24"/>
          <w:highlight w:val="none"/>
        </w:rPr>
        <w:t>3.</w:t>
      </w:r>
      <w:bookmarkStart w:id="267" w:name="_Toc247527579"/>
      <w:bookmarkStart w:id="268" w:name="_Toc144974522"/>
      <w:bookmarkStart w:id="269" w:name="_Toc152045554"/>
      <w:bookmarkStart w:id="270" w:name="_Toc300834975"/>
      <w:bookmarkStart w:id="271" w:name="_Toc247513978"/>
      <w:bookmarkStart w:id="272" w:name="_Toc152042330"/>
      <w:bookmarkStart w:id="273" w:name="_Toc430813261"/>
      <w:r>
        <w:rPr>
          <w:rFonts w:hint="eastAsia" w:ascii="仿宋" w:hAnsi="仿宋" w:eastAsia="仿宋" w:cs="仿宋"/>
          <w:color w:val="auto"/>
          <w:sz w:val="24"/>
          <w:szCs w:val="24"/>
          <w:highlight w:val="none"/>
        </w:rPr>
        <w:t>5 投标文件的编制</w:t>
      </w:r>
      <w:bookmarkEnd w:id="262"/>
      <w:bookmarkEnd w:id="263"/>
      <w:bookmarkEnd w:id="264"/>
      <w:bookmarkEnd w:id="265"/>
      <w:bookmarkEnd w:id="266"/>
    </w:p>
    <w:p w14:paraId="7BF4CABC">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w:t>
      </w:r>
      <w:bookmarkEnd w:id="267"/>
      <w:bookmarkEnd w:id="268"/>
      <w:bookmarkEnd w:id="269"/>
      <w:bookmarkEnd w:id="270"/>
      <w:bookmarkEnd w:id="271"/>
      <w:bookmarkEnd w:id="272"/>
      <w:bookmarkEnd w:id="273"/>
      <w:r>
        <w:rPr>
          <w:rFonts w:hint="eastAsia" w:ascii="仿宋" w:hAnsi="仿宋" w:eastAsia="仿宋" w:cs="仿宋"/>
          <w:color w:val="auto"/>
          <w:sz w:val="24"/>
          <w:highlight w:val="none"/>
        </w:rPr>
        <w:t>5.1 投标文件应按第六章“投标文件格式”进行编写，如有必要，可以增加附页，作为投标文件的组成部分。</w:t>
      </w:r>
    </w:p>
    <w:p w14:paraId="588A6FDB">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3.5.2 投标文件应当对招标文件的实质性内容作出响应。</w:t>
      </w:r>
    </w:p>
    <w:p w14:paraId="7AFBB937">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3.5.3 投标文件应用不褪色的材料书写或打印，并由供应商授权代表签字、盖单位章。供应商代表是法定代表人的，投标文件应附法定代表人身份证明；供应商代表是授权代理人的，投标文件应附法定代表人签署的授权委托书和授权代理人身份证明。投标文件应尽量避免涂改、行间插字或删除。如果出现上述情况，改动之处应加盖单位章或由供应商授权代表签字确认。</w:t>
      </w:r>
    </w:p>
    <w:p w14:paraId="56E03C0E">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 xml:space="preserve">3.5.4 投标文件份数见供应商须知前附表。正本和副本的封面上应清楚地标记“正本”或“副本”的字样。 </w:t>
      </w:r>
      <w:r>
        <w:rPr>
          <w:rFonts w:hint="eastAsia" w:ascii="仿宋" w:hAnsi="仿宋" w:eastAsia="仿宋" w:cs="仿宋"/>
          <w:color w:val="auto"/>
          <w:sz w:val="24"/>
          <w:highlight w:val="none"/>
          <w:lang w:val="zh-CN"/>
        </w:rPr>
        <w:t>每套响应文件须清楚地标明“正本”、“副本”，响应文件的副本可采用正本的复印件，若副本与正本不符，以正本为准；如单独提供的法定代表人授权委托书（或</w:t>
      </w:r>
      <w:r>
        <w:rPr>
          <w:rFonts w:hint="eastAsia" w:ascii="仿宋" w:hAnsi="仿宋" w:eastAsia="仿宋" w:cs="仿宋"/>
          <w:color w:val="auto"/>
          <w:sz w:val="24"/>
          <w:highlight w:val="none"/>
        </w:rPr>
        <w:t>法定代表人身份证明书）</w:t>
      </w:r>
      <w:r>
        <w:rPr>
          <w:rFonts w:hint="eastAsia" w:ascii="仿宋" w:hAnsi="仿宋" w:eastAsia="仿宋" w:cs="仿宋"/>
          <w:color w:val="auto"/>
          <w:sz w:val="24"/>
          <w:highlight w:val="none"/>
          <w:lang w:val="zh-CN"/>
        </w:rPr>
        <w:t>、报价一览表、优惠声明（如有）与响应文件正本不符，以正本为准。电子文档与纸质文件不符，以纸质文件为准。</w:t>
      </w:r>
    </w:p>
    <w:p w14:paraId="07DCEF01">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3.5.5 投标文件的正本与副本应分别装订成册，并编制目录，具体装订要求见供应商须知前附表规定。</w:t>
      </w:r>
    </w:p>
    <w:p w14:paraId="17A2C598">
      <w:pPr>
        <w:pStyle w:val="3"/>
        <w:numPr>
          <w:ilvl w:val="0"/>
          <w:numId w:val="3"/>
        </w:numPr>
        <w:snapToGrid w:val="0"/>
        <w:spacing w:before="0" w:after="0" w:line="360" w:lineRule="auto"/>
        <w:rPr>
          <w:rFonts w:ascii="仿宋" w:hAnsi="仿宋" w:eastAsia="仿宋" w:cs="仿宋"/>
          <w:color w:val="auto"/>
          <w:sz w:val="24"/>
          <w:highlight w:val="none"/>
        </w:rPr>
      </w:pPr>
      <w:bookmarkStart w:id="274" w:name="_Toc485113076"/>
      <w:bookmarkStart w:id="275" w:name="_Toc13406"/>
      <w:bookmarkStart w:id="276" w:name="_Toc9143"/>
      <w:bookmarkStart w:id="277" w:name="_Toc496088082"/>
      <w:bookmarkStart w:id="278" w:name="_Toc432367346"/>
      <w:bookmarkStart w:id="279" w:name="_Toc144974523"/>
      <w:bookmarkStart w:id="280" w:name="_Toc300834976"/>
      <w:bookmarkStart w:id="281" w:name="_Toc430813262"/>
      <w:bookmarkStart w:id="282" w:name="_Toc247513979"/>
      <w:bookmarkStart w:id="283" w:name="_Toc152042331"/>
      <w:bookmarkStart w:id="284" w:name="_Toc152045555"/>
      <w:bookmarkStart w:id="285" w:name="_Toc247527580"/>
      <w:r>
        <w:rPr>
          <w:rFonts w:hint="eastAsia" w:ascii="仿宋" w:hAnsi="仿宋" w:eastAsia="仿宋" w:cs="仿宋"/>
          <w:color w:val="auto"/>
          <w:sz w:val="24"/>
          <w:highlight w:val="none"/>
        </w:rPr>
        <w:t>投标</w:t>
      </w:r>
      <w:bookmarkEnd w:id="274"/>
      <w:bookmarkEnd w:id="275"/>
      <w:bookmarkEnd w:id="276"/>
      <w:bookmarkEnd w:id="277"/>
      <w:bookmarkEnd w:id="278"/>
    </w:p>
    <w:p w14:paraId="50F23173">
      <w:pPr>
        <w:pStyle w:val="4"/>
        <w:snapToGrid w:val="0"/>
        <w:spacing w:before="0" w:after="0" w:line="360" w:lineRule="auto"/>
        <w:jc w:val="left"/>
        <w:rPr>
          <w:rFonts w:ascii="仿宋" w:hAnsi="仿宋" w:eastAsia="仿宋" w:cs="仿宋"/>
          <w:color w:val="auto"/>
          <w:sz w:val="24"/>
          <w:szCs w:val="24"/>
          <w:highlight w:val="none"/>
        </w:rPr>
      </w:pPr>
      <w:bookmarkStart w:id="286" w:name="_Toc1280"/>
      <w:bookmarkStart w:id="287" w:name="_Toc18252"/>
      <w:r>
        <w:rPr>
          <w:rFonts w:hint="eastAsia" w:ascii="仿宋" w:hAnsi="仿宋" w:eastAsia="仿宋" w:cs="仿宋"/>
          <w:color w:val="auto"/>
          <w:sz w:val="24"/>
          <w:szCs w:val="24"/>
          <w:highlight w:val="none"/>
        </w:rPr>
        <w:t>4.1</w:t>
      </w:r>
      <w:bookmarkStart w:id="288" w:name="_Toc247527581"/>
      <w:bookmarkStart w:id="289" w:name="_Toc152042332"/>
      <w:bookmarkStart w:id="290" w:name="_Toc144974524"/>
      <w:bookmarkStart w:id="291" w:name="_Toc152045556"/>
      <w:bookmarkStart w:id="292" w:name="_Toc430813263"/>
      <w:bookmarkStart w:id="293" w:name="_Toc300834977"/>
      <w:bookmarkStart w:id="294" w:name="_Toc247513980"/>
      <w:r>
        <w:rPr>
          <w:rFonts w:hint="eastAsia" w:ascii="仿宋" w:hAnsi="仿宋" w:eastAsia="仿宋" w:cs="仿宋"/>
          <w:color w:val="auto"/>
          <w:sz w:val="24"/>
          <w:szCs w:val="24"/>
          <w:highlight w:val="none"/>
        </w:rPr>
        <w:t xml:space="preserve"> 投标文件的密封和标记</w:t>
      </w:r>
      <w:bookmarkEnd w:id="286"/>
      <w:bookmarkEnd w:id="287"/>
    </w:p>
    <w:p w14:paraId="54905AFC">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w:t>
      </w:r>
      <w:bookmarkEnd w:id="288"/>
      <w:bookmarkEnd w:id="289"/>
      <w:bookmarkEnd w:id="290"/>
      <w:bookmarkEnd w:id="291"/>
      <w:bookmarkEnd w:id="292"/>
      <w:bookmarkEnd w:id="293"/>
      <w:bookmarkEnd w:id="294"/>
      <w:r>
        <w:rPr>
          <w:rFonts w:hint="eastAsia" w:ascii="仿宋" w:hAnsi="仿宋" w:eastAsia="仿宋" w:cs="仿宋"/>
          <w:color w:val="auto"/>
          <w:sz w:val="24"/>
          <w:highlight w:val="none"/>
        </w:rPr>
        <w:t>1.1供应商应将所有投标文件（包括纸质文件和电子文件）密封完好。</w:t>
      </w:r>
    </w:p>
    <w:p w14:paraId="0119A5BE">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4.1.2密封包装上应注明采购编号、项目名称、投标人名称及</w:t>
      </w:r>
      <w:r>
        <w:rPr>
          <w:rFonts w:hint="eastAsia" w:ascii="仿宋" w:hAnsi="仿宋" w:eastAsia="仿宋" w:cs="仿宋"/>
          <w:snapToGrid w:val="0"/>
          <w:color w:val="auto"/>
          <w:kern w:val="0"/>
          <w:sz w:val="24"/>
          <w:highlight w:val="none"/>
          <w:lang w:val="zh-CN"/>
        </w:rPr>
        <w:t>“</w:t>
      </w:r>
      <w:r>
        <w:rPr>
          <w:rFonts w:hint="eastAsia" w:ascii="仿宋" w:hAnsi="仿宋" w:eastAsia="仿宋" w:cs="仿宋"/>
          <w:snapToGrid w:val="0"/>
          <w:color w:val="auto"/>
          <w:kern w:val="0"/>
          <w:sz w:val="24"/>
          <w:highlight w:val="none"/>
          <w:u w:val="single"/>
          <w:lang w:val="zh-CN"/>
        </w:rPr>
        <w:t xml:space="preserve">  （开标时间）  </w:t>
      </w:r>
      <w:r>
        <w:rPr>
          <w:rFonts w:hint="eastAsia" w:ascii="仿宋" w:hAnsi="仿宋" w:eastAsia="仿宋" w:cs="仿宋"/>
          <w:snapToGrid w:val="0"/>
          <w:color w:val="auto"/>
          <w:kern w:val="0"/>
          <w:sz w:val="24"/>
          <w:highlight w:val="none"/>
          <w:lang w:val="zh-CN"/>
        </w:rPr>
        <w:t>不得启封”的字样并在封口处加盖投标人单位公章。</w:t>
      </w:r>
    </w:p>
    <w:p w14:paraId="0C3B7BB9">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4.1.3为方便开标唱标，供应商应将2份投标一览表单独密封提交，并在密封袋上标明“投标一览表”字样。</w:t>
      </w:r>
    </w:p>
    <w:p w14:paraId="56C1A4CF">
      <w:pPr>
        <w:tabs>
          <w:tab w:val="left" w:pos="525"/>
        </w:tabs>
        <w:autoSpaceDE w:val="0"/>
        <w:autoSpaceDN w:val="0"/>
        <w:adjustRightInd w:val="0"/>
        <w:spacing w:line="360" w:lineRule="auto"/>
        <w:ind w:firstLine="480" w:firstLineChars="200"/>
        <w:jc w:val="left"/>
        <w:rPr>
          <w:rFonts w:ascii="仿宋" w:hAnsi="仿宋" w:eastAsia="仿宋" w:cs="仿宋"/>
          <w:snapToGrid w:val="0"/>
          <w:color w:val="auto"/>
          <w:kern w:val="0"/>
          <w:sz w:val="24"/>
          <w:highlight w:val="none"/>
          <w:lang w:val="zh-CN"/>
        </w:rPr>
      </w:pPr>
      <w:r>
        <w:rPr>
          <w:rFonts w:hint="eastAsia" w:ascii="仿宋" w:hAnsi="仿宋" w:eastAsia="仿宋" w:cs="仿宋"/>
          <w:snapToGrid w:val="0"/>
          <w:color w:val="auto"/>
          <w:kern w:val="0"/>
          <w:sz w:val="24"/>
          <w:highlight w:val="none"/>
          <w:lang w:val="zh-CN"/>
        </w:rPr>
        <w:t>4.1.4未按要求密封和加写标记的投标文件，政府采购代理机构将拒收并对误投或提前启封概不负责。</w:t>
      </w:r>
    </w:p>
    <w:p w14:paraId="69D37E80">
      <w:pPr>
        <w:tabs>
          <w:tab w:val="left" w:pos="525"/>
        </w:tabs>
        <w:autoSpaceDE w:val="0"/>
        <w:autoSpaceDN w:val="0"/>
        <w:adjustRightInd w:val="0"/>
        <w:spacing w:line="360" w:lineRule="auto"/>
        <w:ind w:firstLine="480" w:firstLineChars="200"/>
        <w:jc w:val="left"/>
        <w:rPr>
          <w:rFonts w:ascii="仿宋" w:hAnsi="仿宋" w:eastAsia="仿宋" w:cs="仿宋"/>
          <w:snapToGrid w:val="0"/>
          <w:color w:val="auto"/>
          <w:kern w:val="0"/>
          <w:sz w:val="24"/>
          <w:highlight w:val="none"/>
          <w:lang w:val="zh-CN"/>
        </w:rPr>
      </w:pPr>
      <w:r>
        <w:rPr>
          <w:rFonts w:hint="eastAsia" w:ascii="仿宋" w:hAnsi="仿宋" w:eastAsia="仿宋" w:cs="仿宋"/>
          <w:snapToGrid w:val="0"/>
          <w:color w:val="auto"/>
          <w:kern w:val="0"/>
          <w:sz w:val="24"/>
          <w:highlight w:val="none"/>
          <w:lang w:val="zh-CN"/>
        </w:rPr>
        <w:t>4.1.5要求在投标时提交样品的，请在样品上标明投标单位名称。有关提交及退还样品的相关规定见投标人须知前附表。</w:t>
      </w:r>
    </w:p>
    <w:p w14:paraId="1C3F5369">
      <w:pPr>
        <w:pStyle w:val="4"/>
        <w:snapToGrid w:val="0"/>
        <w:spacing w:before="0" w:after="0" w:line="360" w:lineRule="auto"/>
        <w:jc w:val="left"/>
        <w:rPr>
          <w:rFonts w:ascii="仿宋" w:hAnsi="仿宋" w:eastAsia="仿宋" w:cs="仿宋"/>
          <w:color w:val="auto"/>
          <w:sz w:val="24"/>
          <w:szCs w:val="24"/>
          <w:highlight w:val="none"/>
        </w:rPr>
      </w:pPr>
      <w:bookmarkStart w:id="295" w:name="_Toc432367348"/>
      <w:bookmarkStart w:id="296" w:name="_Toc496088084"/>
      <w:bookmarkStart w:id="297" w:name="_Toc7406"/>
      <w:bookmarkStart w:id="298" w:name="_Toc485113078"/>
      <w:bookmarkStart w:id="299" w:name="_Toc4823"/>
      <w:r>
        <w:rPr>
          <w:rFonts w:hint="eastAsia" w:ascii="仿宋" w:hAnsi="仿宋" w:eastAsia="仿宋" w:cs="仿宋"/>
          <w:color w:val="auto"/>
          <w:sz w:val="24"/>
          <w:szCs w:val="24"/>
          <w:highlight w:val="none"/>
        </w:rPr>
        <w:t>4.2</w:t>
      </w:r>
      <w:bookmarkStart w:id="300" w:name="_Toc152045557"/>
      <w:bookmarkStart w:id="301" w:name="_Toc430813264"/>
      <w:bookmarkStart w:id="302" w:name="_Toc152042333"/>
      <w:bookmarkStart w:id="303" w:name="_Toc300834978"/>
      <w:bookmarkStart w:id="304" w:name="_Toc247513981"/>
      <w:bookmarkStart w:id="305" w:name="_Toc247527582"/>
      <w:bookmarkStart w:id="306" w:name="_Toc144974525"/>
      <w:r>
        <w:rPr>
          <w:rFonts w:hint="eastAsia" w:ascii="仿宋" w:hAnsi="仿宋" w:eastAsia="仿宋" w:cs="仿宋"/>
          <w:color w:val="auto"/>
          <w:sz w:val="24"/>
          <w:szCs w:val="24"/>
          <w:highlight w:val="none"/>
        </w:rPr>
        <w:t xml:space="preserve"> 投标文件的递交</w:t>
      </w:r>
      <w:bookmarkEnd w:id="295"/>
      <w:bookmarkEnd w:id="296"/>
      <w:bookmarkEnd w:id="297"/>
      <w:bookmarkEnd w:id="298"/>
      <w:bookmarkEnd w:id="299"/>
    </w:p>
    <w:p w14:paraId="1A0545BF">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w:t>
      </w:r>
      <w:bookmarkEnd w:id="300"/>
      <w:bookmarkEnd w:id="301"/>
      <w:bookmarkEnd w:id="302"/>
      <w:bookmarkEnd w:id="303"/>
      <w:bookmarkEnd w:id="304"/>
      <w:bookmarkEnd w:id="305"/>
      <w:bookmarkEnd w:id="306"/>
      <w:r>
        <w:rPr>
          <w:rFonts w:hint="eastAsia" w:ascii="仿宋" w:hAnsi="仿宋" w:eastAsia="仿宋" w:cs="仿宋"/>
          <w:color w:val="auto"/>
          <w:sz w:val="24"/>
          <w:highlight w:val="none"/>
        </w:rPr>
        <w:t>2.1 供应商应在供应商须知前附表规定的投标截止时间前递交投标文件。</w:t>
      </w:r>
    </w:p>
    <w:p w14:paraId="7793B057">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4.2.2 供应商递交投标文件的地点见供应商须知前附表。</w:t>
      </w:r>
    </w:p>
    <w:p w14:paraId="6ABDAB35">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4.2.3供应商所递交的投标文件不予退还。</w:t>
      </w:r>
    </w:p>
    <w:p w14:paraId="19AF2691">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4.2.4逾期送达指定地点的或者不按照本章第4.1.1项要求密封的投标文件，采购人和采购代理机构应当拒收。</w:t>
      </w:r>
    </w:p>
    <w:p w14:paraId="204FE0C5">
      <w:pPr>
        <w:pStyle w:val="4"/>
        <w:snapToGrid w:val="0"/>
        <w:spacing w:before="0" w:after="0" w:line="360" w:lineRule="auto"/>
        <w:jc w:val="left"/>
        <w:rPr>
          <w:rFonts w:ascii="仿宋" w:hAnsi="仿宋" w:eastAsia="仿宋" w:cs="仿宋"/>
          <w:color w:val="auto"/>
          <w:sz w:val="24"/>
          <w:szCs w:val="24"/>
          <w:highlight w:val="none"/>
        </w:rPr>
      </w:pPr>
      <w:bookmarkStart w:id="307" w:name="_Toc485113079"/>
      <w:bookmarkStart w:id="308" w:name="_Toc496088085"/>
      <w:bookmarkStart w:id="309" w:name="_Toc17071"/>
      <w:bookmarkStart w:id="310" w:name="_Toc432367349"/>
      <w:bookmarkStart w:id="311" w:name="_Toc12467"/>
      <w:r>
        <w:rPr>
          <w:rFonts w:hint="eastAsia" w:ascii="仿宋" w:hAnsi="仿宋" w:eastAsia="仿宋" w:cs="仿宋"/>
          <w:color w:val="auto"/>
          <w:sz w:val="24"/>
          <w:szCs w:val="24"/>
          <w:highlight w:val="none"/>
        </w:rPr>
        <w:t>4.3</w:t>
      </w:r>
      <w:bookmarkStart w:id="312" w:name="_Toc152042334"/>
      <w:bookmarkStart w:id="313" w:name="_Toc247513982"/>
      <w:bookmarkStart w:id="314" w:name="_Toc144974526"/>
      <w:bookmarkStart w:id="315" w:name="_Toc300834979"/>
      <w:bookmarkStart w:id="316" w:name="_Toc430813265"/>
      <w:bookmarkStart w:id="317" w:name="_Toc247527583"/>
      <w:bookmarkStart w:id="318" w:name="_Toc152045558"/>
      <w:r>
        <w:rPr>
          <w:rFonts w:hint="eastAsia" w:ascii="仿宋" w:hAnsi="仿宋" w:eastAsia="仿宋" w:cs="仿宋"/>
          <w:color w:val="auto"/>
          <w:sz w:val="24"/>
          <w:szCs w:val="24"/>
          <w:highlight w:val="none"/>
        </w:rPr>
        <w:t xml:space="preserve"> 投标文件的修改与撤回</w:t>
      </w:r>
      <w:bookmarkEnd w:id="307"/>
      <w:bookmarkEnd w:id="308"/>
      <w:bookmarkEnd w:id="309"/>
      <w:bookmarkEnd w:id="310"/>
      <w:bookmarkEnd w:id="311"/>
    </w:p>
    <w:p w14:paraId="4A605738">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w:t>
      </w:r>
      <w:bookmarkEnd w:id="312"/>
      <w:bookmarkEnd w:id="313"/>
      <w:bookmarkEnd w:id="314"/>
      <w:bookmarkEnd w:id="315"/>
      <w:bookmarkEnd w:id="316"/>
      <w:bookmarkEnd w:id="317"/>
      <w:bookmarkEnd w:id="318"/>
      <w:r>
        <w:rPr>
          <w:rFonts w:hint="eastAsia" w:ascii="仿宋" w:hAnsi="仿宋" w:eastAsia="仿宋" w:cs="仿宋"/>
          <w:color w:val="auto"/>
          <w:sz w:val="24"/>
          <w:highlight w:val="none"/>
        </w:rPr>
        <w:t>3.1 在投标截止时间前，供应商可以修改或撤回已递交的投标文件，但应以书面形式通知采购代理机构。</w:t>
      </w:r>
    </w:p>
    <w:p w14:paraId="146D9B20">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4.3.2 供应商修改或撤回已递交投标文件的书面通知应按照本章第3.6.3项的要求签字、盖章。</w:t>
      </w:r>
    </w:p>
    <w:p w14:paraId="60310EA9">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4.3.3修改的内容为投标文件的组成部分。修改的投标文件应按照本章第三条、第四条规定进行编制、密封、标记和递交，并标明“修改”字样。</w:t>
      </w:r>
    </w:p>
    <w:p w14:paraId="743A5F75">
      <w:pPr>
        <w:pStyle w:val="3"/>
        <w:numPr>
          <w:ilvl w:val="0"/>
          <w:numId w:val="3"/>
        </w:numPr>
        <w:snapToGrid w:val="0"/>
        <w:spacing w:before="0" w:after="0" w:line="360" w:lineRule="auto"/>
        <w:rPr>
          <w:rFonts w:ascii="仿宋" w:hAnsi="仿宋" w:eastAsia="仿宋" w:cs="仿宋"/>
          <w:color w:val="auto"/>
          <w:sz w:val="24"/>
          <w:highlight w:val="none"/>
        </w:rPr>
      </w:pPr>
      <w:bookmarkStart w:id="319" w:name="_Toc10368"/>
      <w:bookmarkStart w:id="320" w:name="_Toc9057"/>
      <w:bookmarkStart w:id="321" w:name="_Toc496088086"/>
      <w:bookmarkStart w:id="322" w:name="_Toc485113080"/>
      <w:bookmarkStart w:id="323" w:name="_Toc432367350"/>
      <w:bookmarkStart w:id="324" w:name="_Toc300834980"/>
      <w:bookmarkStart w:id="325" w:name="_Toc247513983"/>
      <w:bookmarkStart w:id="326" w:name="_Toc152045559"/>
      <w:bookmarkStart w:id="327" w:name="_Toc144974527"/>
      <w:bookmarkStart w:id="328" w:name="_Toc247527584"/>
      <w:bookmarkStart w:id="329" w:name="_Toc430813266"/>
      <w:bookmarkStart w:id="330" w:name="_Toc152042335"/>
      <w:bookmarkStart w:id="331" w:name="_Toc432367347"/>
      <w:bookmarkStart w:id="332" w:name="_Toc496088083"/>
      <w:bookmarkStart w:id="333" w:name="_Toc485113077"/>
      <w:r>
        <w:rPr>
          <w:rFonts w:hint="eastAsia" w:ascii="仿宋" w:hAnsi="仿宋" w:eastAsia="仿宋" w:cs="仿宋"/>
          <w:color w:val="auto"/>
          <w:sz w:val="24"/>
          <w:highlight w:val="none"/>
        </w:rPr>
        <w:t>开标</w:t>
      </w:r>
      <w:bookmarkEnd w:id="319"/>
      <w:bookmarkEnd w:id="320"/>
      <w:bookmarkEnd w:id="321"/>
      <w:bookmarkEnd w:id="322"/>
      <w:bookmarkEnd w:id="323"/>
    </w:p>
    <w:p w14:paraId="04A422E2">
      <w:pPr>
        <w:pStyle w:val="4"/>
        <w:snapToGrid w:val="0"/>
        <w:spacing w:before="0" w:after="0" w:line="360" w:lineRule="auto"/>
        <w:jc w:val="left"/>
        <w:rPr>
          <w:rFonts w:ascii="仿宋" w:hAnsi="仿宋" w:eastAsia="仿宋" w:cs="仿宋"/>
          <w:color w:val="auto"/>
          <w:sz w:val="24"/>
          <w:szCs w:val="24"/>
          <w:highlight w:val="none"/>
        </w:rPr>
      </w:pPr>
      <w:bookmarkStart w:id="334" w:name="_Toc27304"/>
      <w:bookmarkStart w:id="335" w:name="_Toc2597"/>
      <w:bookmarkStart w:id="336" w:name="_Toc432367351"/>
      <w:bookmarkStart w:id="337" w:name="_Toc485113081"/>
      <w:bookmarkStart w:id="338" w:name="_Toc496088087"/>
      <w:r>
        <w:rPr>
          <w:rFonts w:hint="eastAsia" w:ascii="仿宋" w:hAnsi="仿宋" w:eastAsia="仿宋" w:cs="仿宋"/>
          <w:color w:val="auto"/>
          <w:sz w:val="24"/>
          <w:szCs w:val="24"/>
          <w:highlight w:val="none"/>
        </w:rPr>
        <w:t>5.</w:t>
      </w:r>
      <w:bookmarkEnd w:id="324"/>
      <w:bookmarkEnd w:id="325"/>
      <w:bookmarkEnd w:id="326"/>
      <w:bookmarkEnd w:id="327"/>
      <w:bookmarkEnd w:id="328"/>
      <w:bookmarkEnd w:id="329"/>
      <w:bookmarkEnd w:id="330"/>
      <w:r>
        <w:rPr>
          <w:rFonts w:hint="eastAsia" w:ascii="仿宋" w:hAnsi="仿宋" w:eastAsia="仿宋" w:cs="仿宋"/>
          <w:color w:val="auto"/>
          <w:sz w:val="24"/>
          <w:szCs w:val="24"/>
          <w:highlight w:val="none"/>
        </w:rPr>
        <w:t>1</w:t>
      </w:r>
      <w:bookmarkStart w:id="339" w:name="_Toc144974528"/>
      <w:bookmarkStart w:id="340" w:name="_Toc247513984"/>
      <w:bookmarkStart w:id="341" w:name="_Toc430813267"/>
      <w:bookmarkStart w:id="342" w:name="_Toc152042336"/>
      <w:bookmarkStart w:id="343" w:name="_Toc247527585"/>
      <w:bookmarkStart w:id="344" w:name="_Toc300834981"/>
      <w:bookmarkStart w:id="345" w:name="_Toc152045560"/>
      <w:r>
        <w:rPr>
          <w:rFonts w:hint="eastAsia" w:ascii="仿宋" w:hAnsi="仿宋" w:eastAsia="仿宋" w:cs="仿宋"/>
          <w:color w:val="auto"/>
          <w:sz w:val="24"/>
          <w:szCs w:val="24"/>
          <w:highlight w:val="none"/>
        </w:rPr>
        <w:t xml:space="preserve"> 开标时间和地点</w:t>
      </w:r>
      <w:bookmarkEnd w:id="334"/>
      <w:bookmarkEnd w:id="335"/>
      <w:bookmarkEnd w:id="336"/>
      <w:bookmarkEnd w:id="337"/>
      <w:bookmarkEnd w:id="338"/>
    </w:p>
    <w:p w14:paraId="7791E569">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5.</w:t>
      </w:r>
      <w:bookmarkEnd w:id="339"/>
      <w:bookmarkEnd w:id="340"/>
      <w:bookmarkEnd w:id="341"/>
      <w:bookmarkEnd w:id="342"/>
      <w:bookmarkEnd w:id="343"/>
      <w:bookmarkEnd w:id="344"/>
      <w:bookmarkEnd w:id="345"/>
      <w:r>
        <w:rPr>
          <w:rFonts w:hint="eastAsia" w:ascii="仿宋" w:hAnsi="仿宋" w:eastAsia="仿宋" w:cs="仿宋"/>
          <w:color w:val="auto"/>
          <w:sz w:val="24"/>
          <w:highlight w:val="none"/>
        </w:rPr>
        <w:t>1.1开标会按供应商须知前附表规定的开标时间和地点准时举行，采购代理机构在此邀请所有供应商授权代表准时参加开标会。供应商授权代表如出席会议，应向采购代理机构提交供应商授权代表身份证明，出示本人身份证，以证明其出席。</w:t>
      </w:r>
    </w:p>
    <w:p w14:paraId="4A67C072">
      <w:pPr>
        <w:pStyle w:val="4"/>
        <w:snapToGrid w:val="0"/>
        <w:spacing w:before="0" w:after="0" w:line="360" w:lineRule="auto"/>
        <w:jc w:val="left"/>
        <w:rPr>
          <w:rFonts w:ascii="仿宋" w:hAnsi="仿宋" w:eastAsia="仿宋" w:cs="仿宋"/>
          <w:color w:val="auto"/>
          <w:sz w:val="24"/>
          <w:szCs w:val="24"/>
          <w:highlight w:val="none"/>
        </w:rPr>
      </w:pPr>
      <w:bookmarkStart w:id="346" w:name="_Toc496088088"/>
      <w:bookmarkStart w:id="347" w:name="_Toc23705"/>
      <w:bookmarkStart w:id="348" w:name="_Toc485113082"/>
      <w:bookmarkStart w:id="349" w:name="_Toc432367352"/>
      <w:bookmarkStart w:id="350" w:name="_Toc2529"/>
      <w:r>
        <w:rPr>
          <w:rFonts w:hint="eastAsia" w:ascii="仿宋" w:hAnsi="仿宋" w:eastAsia="仿宋" w:cs="仿宋"/>
          <w:color w:val="auto"/>
          <w:sz w:val="24"/>
          <w:szCs w:val="24"/>
          <w:highlight w:val="none"/>
        </w:rPr>
        <w:t>5.2</w:t>
      </w:r>
      <w:bookmarkStart w:id="351" w:name="_Toc247513985"/>
      <w:bookmarkStart w:id="352" w:name="_Toc430813268"/>
      <w:bookmarkStart w:id="353" w:name="_Toc152042337"/>
      <w:bookmarkStart w:id="354" w:name="_Toc144974529"/>
      <w:bookmarkStart w:id="355" w:name="_Toc300834982"/>
      <w:bookmarkStart w:id="356" w:name="_Toc247527586"/>
      <w:bookmarkStart w:id="357" w:name="_Toc152045561"/>
      <w:r>
        <w:rPr>
          <w:rFonts w:hint="eastAsia" w:ascii="仿宋" w:hAnsi="仿宋" w:eastAsia="仿宋" w:cs="仿宋"/>
          <w:color w:val="auto"/>
          <w:sz w:val="24"/>
          <w:szCs w:val="24"/>
          <w:highlight w:val="none"/>
        </w:rPr>
        <w:t xml:space="preserve"> 开标程序</w:t>
      </w:r>
      <w:bookmarkEnd w:id="346"/>
      <w:bookmarkEnd w:id="347"/>
      <w:bookmarkEnd w:id="348"/>
      <w:bookmarkEnd w:id="349"/>
      <w:bookmarkEnd w:id="350"/>
    </w:p>
    <w:p w14:paraId="3C8C220A">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5.2.1开标由采购人或者采购代理机构主持，邀请投标人参加。评标委员会成员不得参加开标活动。</w:t>
      </w:r>
    </w:p>
    <w:p w14:paraId="3C732C97">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5.</w:t>
      </w:r>
      <w:bookmarkEnd w:id="351"/>
      <w:bookmarkEnd w:id="352"/>
      <w:bookmarkEnd w:id="353"/>
      <w:bookmarkEnd w:id="354"/>
      <w:bookmarkEnd w:id="355"/>
      <w:bookmarkEnd w:id="356"/>
      <w:bookmarkEnd w:id="357"/>
      <w:r>
        <w:rPr>
          <w:rFonts w:hint="eastAsia" w:ascii="仿宋" w:hAnsi="仿宋" w:eastAsia="仿宋" w:cs="仿宋"/>
          <w:color w:val="auto"/>
          <w:sz w:val="24"/>
          <w:highlight w:val="none"/>
        </w:rPr>
        <w:t>2.2主持人按下列程序进行开标：</w:t>
      </w:r>
    </w:p>
    <w:p w14:paraId="2A4F91AE">
      <w:pPr>
        <w:snapToGrid w:val="0"/>
        <w:spacing w:line="360" w:lineRule="auto"/>
        <w:ind w:firstLine="410" w:firstLineChars="171"/>
        <w:rPr>
          <w:rFonts w:ascii="仿宋" w:hAnsi="仿宋" w:eastAsia="仿宋" w:cs="仿宋"/>
          <w:color w:val="auto"/>
          <w:sz w:val="24"/>
          <w:highlight w:val="none"/>
        </w:rPr>
      </w:pPr>
      <w:r>
        <w:rPr>
          <w:rFonts w:hint="eastAsia" w:ascii="仿宋" w:hAnsi="仿宋" w:eastAsia="仿宋" w:cs="仿宋"/>
          <w:color w:val="auto"/>
          <w:sz w:val="24"/>
          <w:highlight w:val="none"/>
        </w:rPr>
        <w:t>（1）宣布开标会纪律</w:t>
      </w:r>
    </w:p>
    <w:p w14:paraId="64EE6E77">
      <w:pPr>
        <w:snapToGrid w:val="0"/>
        <w:spacing w:line="360" w:lineRule="auto"/>
        <w:ind w:firstLine="410" w:firstLineChars="171"/>
        <w:rPr>
          <w:rFonts w:ascii="仿宋" w:hAnsi="仿宋" w:eastAsia="仿宋" w:cs="仿宋"/>
          <w:color w:val="auto"/>
          <w:sz w:val="24"/>
          <w:highlight w:val="none"/>
        </w:rPr>
      </w:pPr>
      <w:r>
        <w:rPr>
          <w:rFonts w:hint="eastAsia" w:ascii="仿宋" w:hAnsi="仿宋" w:eastAsia="仿宋" w:cs="仿宋"/>
          <w:color w:val="auto"/>
          <w:sz w:val="24"/>
          <w:highlight w:val="none"/>
        </w:rPr>
        <w:t>（2）介绍参加开标会的单位和人员</w:t>
      </w:r>
    </w:p>
    <w:p w14:paraId="292DE8CB">
      <w:pPr>
        <w:snapToGrid w:val="0"/>
        <w:spacing w:line="360" w:lineRule="auto"/>
        <w:ind w:firstLine="410" w:firstLineChars="171"/>
        <w:rPr>
          <w:rFonts w:ascii="仿宋" w:hAnsi="仿宋" w:eastAsia="仿宋" w:cs="仿宋"/>
          <w:color w:val="auto"/>
          <w:sz w:val="24"/>
          <w:highlight w:val="none"/>
        </w:rPr>
      </w:pPr>
      <w:r>
        <w:rPr>
          <w:rFonts w:hint="eastAsia" w:ascii="仿宋" w:hAnsi="仿宋" w:eastAsia="仿宋" w:cs="仿宋"/>
          <w:color w:val="auto"/>
          <w:sz w:val="24"/>
          <w:highlight w:val="none"/>
        </w:rPr>
        <w:t>（3）介绍本项目招标的主要过程</w:t>
      </w:r>
    </w:p>
    <w:p w14:paraId="05C112ED">
      <w:pPr>
        <w:snapToGrid w:val="0"/>
        <w:spacing w:line="360" w:lineRule="auto"/>
        <w:ind w:firstLine="410" w:firstLineChars="171"/>
        <w:rPr>
          <w:rFonts w:ascii="仿宋" w:hAnsi="仿宋" w:eastAsia="仿宋" w:cs="仿宋"/>
          <w:color w:val="auto"/>
          <w:sz w:val="24"/>
          <w:highlight w:val="none"/>
        </w:rPr>
      </w:pPr>
      <w:r>
        <w:rPr>
          <w:rFonts w:hint="eastAsia" w:ascii="仿宋" w:hAnsi="仿宋" w:eastAsia="仿宋" w:cs="仿宋"/>
          <w:color w:val="auto"/>
          <w:sz w:val="24"/>
          <w:highlight w:val="none"/>
        </w:rPr>
        <w:t>（4）检验投标文件密封情况</w:t>
      </w:r>
    </w:p>
    <w:p w14:paraId="0DC29181">
      <w:pPr>
        <w:snapToGrid w:val="0"/>
        <w:spacing w:line="360" w:lineRule="auto"/>
        <w:ind w:firstLine="410" w:firstLineChars="171"/>
        <w:rPr>
          <w:rFonts w:ascii="仿宋" w:hAnsi="仿宋" w:eastAsia="仿宋" w:cs="仿宋"/>
          <w:color w:val="auto"/>
          <w:sz w:val="24"/>
          <w:highlight w:val="none"/>
        </w:rPr>
      </w:pPr>
      <w:r>
        <w:rPr>
          <w:rFonts w:hint="eastAsia" w:ascii="仿宋" w:hAnsi="仿宋" w:eastAsia="仿宋" w:cs="仿宋"/>
          <w:color w:val="auto"/>
          <w:sz w:val="24"/>
          <w:highlight w:val="none"/>
        </w:rPr>
        <w:t>（5）启封投标文件、核验供应商授权代表身份</w:t>
      </w:r>
    </w:p>
    <w:p w14:paraId="25F0AA2C">
      <w:pPr>
        <w:snapToGrid w:val="0"/>
        <w:spacing w:line="360" w:lineRule="auto"/>
        <w:ind w:firstLine="410" w:firstLineChars="171"/>
        <w:rPr>
          <w:rFonts w:ascii="仿宋" w:hAnsi="仿宋" w:eastAsia="仿宋" w:cs="仿宋"/>
          <w:color w:val="auto"/>
          <w:sz w:val="24"/>
          <w:highlight w:val="none"/>
        </w:rPr>
      </w:pPr>
      <w:r>
        <w:rPr>
          <w:rFonts w:hint="eastAsia" w:ascii="仿宋" w:hAnsi="仿宋" w:eastAsia="仿宋" w:cs="仿宋"/>
          <w:color w:val="auto"/>
          <w:sz w:val="24"/>
          <w:highlight w:val="none"/>
        </w:rPr>
        <w:t>（6）唱标</w:t>
      </w:r>
    </w:p>
    <w:p w14:paraId="288B9987">
      <w:pPr>
        <w:snapToGrid w:val="0"/>
        <w:spacing w:line="360" w:lineRule="auto"/>
        <w:ind w:firstLine="410" w:firstLineChars="171"/>
        <w:rPr>
          <w:rFonts w:ascii="仿宋" w:hAnsi="仿宋" w:eastAsia="仿宋" w:cs="仿宋"/>
          <w:color w:val="auto"/>
          <w:sz w:val="24"/>
          <w:highlight w:val="none"/>
        </w:rPr>
      </w:pPr>
      <w:r>
        <w:rPr>
          <w:rFonts w:hint="eastAsia" w:ascii="仿宋" w:hAnsi="仿宋" w:eastAsia="仿宋" w:cs="仿宋"/>
          <w:color w:val="auto"/>
          <w:sz w:val="24"/>
          <w:highlight w:val="none"/>
        </w:rPr>
        <w:t>（7）宣布评标安排及其他事项</w:t>
      </w:r>
    </w:p>
    <w:p w14:paraId="1D1F10C8">
      <w:pPr>
        <w:snapToGrid w:val="0"/>
        <w:spacing w:line="360" w:lineRule="auto"/>
        <w:ind w:firstLine="410" w:firstLineChars="171"/>
        <w:rPr>
          <w:rFonts w:ascii="仿宋" w:hAnsi="仿宋" w:eastAsia="仿宋" w:cs="仿宋"/>
          <w:color w:val="auto"/>
          <w:sz w:val="24"/>
          <w:highlight w:val="none"/>
        </w:rPr>
      </w:pPr>
      <w:r>
        <w:rPr>
          <w:rFonts w:hint="eastAsia" w:ascii="仿宋" w:hAnsi="仿宋" w:eastAsia="仿宋" w:cs="仿宋"/>
          <w:color w:val="auto"/>
          <w:sz w:val="24"/>
          <w:highlight w:val="none"/>
        </w:rPr>
        <w:t>（8）开标会结束</w:t>
      </w:r>
    </w:p>
    <w:p w14:paraId="3B9C7886">
      <w:pPr>
        <w:pStyle w:val="4"/>
        <w:snapToGrid w:val="0"/>
        <w:spacing w:before="0" w:after="0" w:line="360" w:lineRule="auto"/>
        <w:jc w:val="left"/>
        <w:rPr>
          <w:rFonts w:ascii="仿宋" w:hAnsi="仿宋" w:eastAsia="仿宋" w:cs="仿宋"/>
          <w:color w:val="auto"/>
          <w:sz w:val="24"/>
          <w:szCs w:val="24"/>
          <w:highlight w:val="none"/>
        </w:rPr>
      </w:pPr>
      <w:bookmarkStart w:id="358" w:name="_Toc8118"/>
      <w:bookmarkStart w:id="359" w:name="_Toc432367353"/>
      <w:bookmarkStart w:id="360" w:name="_Toc496088089"/>
      <w:bookmarkStart w:id="361" w:name="_Toc16451"/>
      <w:bookmarkStart w:id="362" w:name="_Toc485113083"/>
      <w:r>
        <w:rPr>
          <w:rFonts w:hint="eastAsia" w:ascii="仿宋" w:hAnsi="仿宋" w:eastAsia="仿宋" w:cs="仿宋"/>
          <w:color w:val="auto"/>
          <w:sz w:val="24"/>
          <w:szCs w:val="24"/>
          <w:highlight w:val="none"/>
        </w:rPr>
        <w:t>5.3</w:t>
      </w:r>
      <w:bookmarkStart w:id="363" w:name="_Toc430813269"/>
      <w:bookmarkStart w:id="364" w:name="_Toc300834983"/>
      <w:r>
        <w:rPr>
          <w:rFonts w:hint="eastAsia" w:ascii="仿宋" w:hAnsi="仿宋" w:eastAsia="仿宋" w:cs="仿宋"/>
          <w:color w:val="auto"/>
          <w:sz w:val="24"/>
          <w:szCs w:val="24"/>
          <w:highlight w:val="none"/>
        </w:rPr>
        <w:t xml:space="preserve"> 开标异议</w:t>
      </w:r>
      <w:bookmarkEnd w:id="358"/>
      <w:bookmarkEnd w:id="359"/>
      <w:bookmarkEnd w:id="360"/>
      <w:bookmarkEnd w:id="361"/>
      <w:bookmarkEnd w:id="362"/>
    </w:p>
    <w:p w14:paraId="65BA41A8">
      <w:pPr>
        <w:snapToGrid w:val="0"/>
        <w:spacing w:line="360" w:lineRule="auto"/>
        <w:ind w:firstLine="410" w:firstLineChars="171"/>
        <w:rPr>
          <w:rFonts w:ascii="仿宋" w:hAnsi="仿宋" w:eastAsia="仿宋" w:cs="仿宋"/>
          <w:color w:val="auto"/>
          <w:sz w:val="24"/>
          <w:highlight w:val="none"/>
        </w:rPr>
      </w:pPr>
      <w:r>
        <w:rPr>
          <w:rFonts w:hint="eastAsia" w:ascii="仿宋" w:hAnsi="仿宋" w:eastAsia="仿宋" w:cs="仿宋"/>
          <w:color w:val="auto"/>
          <w:sz w:val="24"/>
          <w:highlight w:val="none"/>
        </w:rPr>
        <w:t>5.</w:t>
      </w:r>
      <w:bookmarkEnd w:id="363"/>
      <w:bookmarkEnd w:id="364"/>
      <w:r>
        <w:rPr>
          <w:rFonts w:hint="eastAsia" w:ascii="仿宋" w:hAnsi="仿宋" w:eastAsia="仿宋" w:cs="仿宋"/>
          <w:color w:val="auto"/>
          <w:sz w:val="24"/>
          <w:highlight w:val="none"/>
        </w:rPr>
        <w:t>3.1供应商对开标程序有异议的，供应商授权代表应当在开标现场提出，采购代理机构当场作出答复，并制作记录。</w:t>
      </w:r>
      <w:bookmarkEnd w:id="279"/>
      <w:bookmarkEnd w:id="280"/>
      <w:bookmarkEnd w:id="281"/>
      <w:bookmarkEnd w:id="282"/>
      <w:bookmarkEnd w:id="283"/>
      <w:bookmarkEnd w:id="284"/>
      <w:bookmarkEnd w:id="285"/>
      <w:bookmarkEnd w:id="331"/>
      <w:bookmarkEnd w:id="332"/>
      <w:bookmarkEnd w:id="333"/>
    </w:p>
    <w:p w14:paraId="0BBF52DA">
      <w:pPr>
        <w:pStyle w:val="3"/>
        <w:numPr>
          <w:ilvl w:val="0"/>
          <w:numId w:val="3"/>
        </w:numPr>
        <w:snapToGrid w:val="0"/>
        <w:spacing w:before="0" w:after="0" w:line="360" w:lineRule="auto"/>
        <w:rPr>
          <w:rFonts w:ascii="仿宋" w:hAnsi="仿宋" w:eastAsia="仿宋" w:cs="仿宋"/>
          <w:color w:val="auto"/>
          <w:sz w:val="24"/>
          <w:highlight w:val="none"/>
        </w:rPr>
      </w:pPr>
      <w:bookmarkStart w:id="365" w:name="_Toc31229"/>
      <w:bookmarkStart w:id="366" w:name="_Toc11859"/>
      <w:bookmarkStart w:id="367" w:name="_Toc432367354"/>
      <w:bookmarkStart w:id="368" w:name="_Toc496088090"/>
      <w:bookmarkStart w:id="369" w:name="_Toc485113084"/>
      <w:bookmarkStart w:id="370" w:name="_Toc247527587"/>
      <w:bookmarkStart w:id="371" w:name="_Toc152042338"/>
      <w:bookmarkStart w:id="372" w:name="_Toc152045562"/>
      <w:bookmarkStart w:id="373" w:name="_Toc247513986"/>
      <w:bookmarkStart w:id="374" w:name="_Toc144974530"/>
      <w:bookmarkStart w:id="375" w:name="_Toc300834984"/>
      <w:bookmarkStart w:id="376" w:name="_Toc430813270"/>
      <w:r>
        <w:rPr>
          <w:rFonts w:hint="eastAsia" w:ascii="仿宋" w:hAnsi="仿宋" w:eastAsia="仿宋" w:cs="仿宋"/>
          <w:color w:val="auto"/>
          <w:sz w:val="24"/>
          <w:highlight w:val="none"/>
        </w:rPr>
        <w:t>评标</w:t>
      </w:r>
      <w:bookmarkEnd w:id="365"/>
      <w:bookmarkEnd w:id="366"/>
      <w:bookmarkEnd w:id="367"/>
      <w:bookmarkEnd w:id="368"/>
      <w:bookmarkEnd w:id="369"/>
    </w:p>
    <w:p w14:paraId="13219398">
      <w:pPr>
        <w:pStyle w:val="4"/>
        <w:snapToGrid w:val="0"/>
        <w:spacing w:before="0" w:after="0" w:line="360" w:lineRule="auto"/>
        <w:jc w:val="left"/>
        <w:rPr>
          <w:rFonts w:ascii="仿宋" w:hAnsi="仿宋" w:eastAsia="仿宋" w:cs="仿宋"/>
          <w:color w:val="auto"/>
          <w:sz w:val="24"/>
          <w:szCs w:val="24"/>
          <w:highlight w:val="none"/>
        </w:rPr>
      </w:pPr>
      <w:bookmarkStart w:id="377" w:name="_Toc18130"/>
      <w:bookmarkStart w:id="378" w:name="_Toc26054"/>
      <w:bookmarkStart w:id="379" w:name="_Toc432367355"/>
      <w:bookmarkStart w:id="380" w:name="_Toc485113085"/>
      <w:bookmarkStart w:id="381" w:name="_Toc496088091"/>
      <w:r>
        <w:rPr>
          <w:rFonts w:hint="eastAsia" w:ascii="仿宋" w:hAnsi="仿宋" w:eastAsia="仿宋" w:cs="仿宋"/>
          <w:color w:val="auto"/>
          <w:sz w:val="24"/>
          <w:szCs w:val="24"/>
          <w:highlight w:val="none"/>
        </w:rPr>
        <w:t>6.</w:t>
      </w:r>
      <w:bookmarkEnd w:id="370"/>
      <w:bookmarkEnd w:id="371"/>
      <w:bookmarkEnd w:id="372"/>
      <w:bookmarkEnd w:id="373"/>
      <w:bookmarkEnd w:id="374"/>
      <w:bookmarkEnd w:id="375"/>
      <w:bookmarkEnd w:id="376"/>
      <w:r>
        <w:rPr>
          <w:rFonts w:hint="eastAsia" w:ascii="仿宋" w:hAnsi="仿宋" w:eastAsia="仿宋" w:cs="仿宋"/>
          <w:color w:val="auto"/>
          <w:sz w:val="24"/>
          <w:szCs w:val="24"/>
          <w:highlight w:val="none"/>
        </w:rPr>
        <w:t>1</w:t>
      </w:r>
      <w:bookmarkStart w:id="382" w:name="_Toc247527588"/>
      <w:bookmarkStart w:id="383" w:name="_Toc300834985"/>
      <w:bookmarkStart w:id="384" w:name="_Toc430813271"/>
      <w:bookmarkStart w:id="385" w:name="_Toc152045563"/>
      <w:bookmarkStart w:id="386" w:name="_Toc152042339"/>
      <w:bookmarkStart w:id="387" w:name="_Toc247513987"/>
      <w:bookmarkStart w:id="388" w:name="_Toc144974531"/>
      <w:r>
        <w:rPr>
          <w:rFonts w:hint="eastAsia" w:ascii="仿宋" w:hAnsi="仿宋" w:eastAsia="仿宋" w:cs="仿宋"/>
          <w:color w:val="auto"/>
          <w:sz w:val="24"/>
          <w:szCs w:val="24"/>
          <w:highlight w:val="none"/>
        </w:rPr>
        <w:t xml:space="preserve"> 评标委员会</w:t>
      </w:r>
      <w:bookmarkEnd w:id="377"/>
      <w:bookmarkEnd w:id="378"/>
      <w:bookmarkEnd w:id="379"/>
      <w:bookmarkEnd w:id="380"/>
      <w:bookmarkEnd w:id="381"/>
    </w:p>
    <w:p w14:paraId="6B13D533">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6.</w:t>
      </w:r>
      <w:bookmarkEnd w:id="382"/>
      <w:bookmarkEnd w:id="383"/>
      <w:bookmarkEnd w:id="384"/>
      <w:bookmarkEnd w:id="385"/>
      <w:bookmarkEnd w:id="386"/>
      <w:bookmarkEnd w:id="387"/>
      <w:bookmarkEnd w:id="388"/>
      <w:r>
        <w:rPr>
          <w:rFonts w:hint="eastAsia" w:ascii="仿宋" w:hAnsi="仿宋" w:eastAsia="仿宋" w:cs="仿宋"/>
          <w:color w:val="auto"/>
          <w:sz w:val="24"/>
          <w:highlight w:val="none"/>
        </w:rPr>
        <w:t>1.1 评标由采购人依法组建的评标委员会负责。评标委员会由采购人代表和有关技术、经济等方面的专家组成。评标委员会成员人数以及技术、经济等方面专家的确定方式见供应商须知前附表。</w:t>
      </w:r>
    </w:p>
    <w:p w14:paraId="609FA463">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6.1.2采购代理机构工作人员不得参加本项目的评标。</w:t>
      </w:r>
    </w:p>
    <w:p w14:paraId="1AACAE39">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6.1.3 评标委员会成员有下列情形之一的，应当回避：</w:t>
      </w:r>
    </w:p>
    <w:p w14:paraId="43D31F7F">
      <w:pPr>
        <w:snapToGri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（1）参加采购活动前3年内与供应商存在劳动关系；</w:t>
      </w:r>
    </w:p>
    <w:p w14:paraId="3D470702">
      <w:pPr>
        <w:snapToGri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（2）参加采购活动前3年内担任供应商的董事、监事；</w:t>
      </w:r>
    </w:p>
    <w:p w14:paraId="543A4C49">
      <w:pPr>
        <w:snapToGri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（3）参加采购活动前3年内是供应商的控股股东或者实际控制人；</w:t>
      </w:r>
    </w:p>
    <w:p w14:paraId="179D0693">
      <w:pPr>
        <w:snapToGri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（4）与供应商的法定代表人或者负责人有夫妻、直系血亲、三代以内旁系血亲或者近姻亲关系；</w:t>
      </w:r>
    </w:p>
    <w:p w14:paraId="7BAC6710">
      <w:pPr>
        <w:snapToGri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（5）与供应商有其他可能影响政府采购活动公平、公正进行的关系。</w:t>
      </w:r>
    </w:p>
    <w:p w14:paraId="4A168880">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6.1.4评标委员会负责具体评标事务，并独立履行下列职责：</w:t>
      </w:r>
    </w:p>
    <w:p w14:paraId="631F49AD">
      <w:pPr>
        <w:snapToGrid w:val="0"/>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　　（1）审查、评价投标文件是否符合招标文件的商务、技术等实质性要求；</w:t>
      </w:r>
    </w:p>
    <w:p w14:paraId="2FA64D79">
      <w:pPr>
        <w:snapToGrid w:val="0"/>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　　（2）要求投标人对投标文件有关事项作出澄清或者说明；</w:t>
      </w:r>
    </w:p>
    <w:p w14:paraId="1E5341FE">
      <w:pPr>
        <w:snapToGrid w:val="0"/>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　　（3）对投标文件进行比较和评价；</w:t>
      </w:r>
    </w:p>
    <w:p w14:paraId="0D55200B">
      <w:pPr>
        <w:snapToGrid w:val="0"/>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　　（4）确定中标候选人名单，以及根据采购人委托直接确定中标人；</w:t>
      </w:r>
    </w:p>
    <w:p w14:paraId="211406A1">
      <w:pPr>
        <w:snapToGrid w:val="0"/>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　　（5）向采购人、采购代理机构或者有关部门报告评标中发现的违法行为。</w:t>
      </w:r>
      <w:bookmarkStart w:id="389" w:name="_Toc432367356"/>
      <w:bookmarkStart w:id="390" w:name="_Toc485113086"/>
    </w:p>
    <w:p w14:paraId="13A99546">
      <w:pPr>
        <w:pStyle w:val="4"/>
        <w:snapToGrid w:val="0"/>
        <w:spacing w:before="0" w:after="0" w:line="360" w:lineRule="auto"/>
        <w:jc w:val="left"/>
        <w:rPr>
          <w:rFonts w:ascii="仿宋" w:hAnsi="仿宋" w:eastAsia="仿宋" w:cs="仿宋"/>
          <w:color w:val="auto"/>
          <w:sz w:val="24"/>
          <w:szCs w:val="24"/>
          <w:highlight w:val="none"/>
        </w:rPr>
      </w:pPr>
      <w:bookmarkStart w:id="391" w:name="_Toc496088092"/>
      <w:bookmarkStart w:id="392" w:name="_Toc710"/>
      <w:bookmarkStart w:id="393" w:name="_Toc19623"/>
      <w:r>
        <w:rPr>
          <w:rFonts w:hint="eastAsia" w:ascii="仿宋" w:hAnsi="仿宋" w:eastAsia="仿宋" w:cs="仿宋"/>
          <w:color w:val="auto"/>
          <w:sz w:val="24"/>
          <w:szCs w:val="24"/>
          <w:highlight w:val="none"/>
        </w:rPr>
        <w:t>6.2</w:t>
      </w:r>
      <w:bookmarkStart w:id="394" w:name="_Toc430813272"/>
      <w:bookmarkStart w:id="395" w:name="_Toc152045564"/>
      <w:bookmarkStart w:id="396" w:name="_Toc300834986"/>
      <w:bookmarkStart w:id="397" w:name="_Toc247527589"/>
      <w:bookmarkStart w:id="398" w:name="_Toc152042340"/>
      <w:bookmarkStart w:id="399" w:name="_Toc144974532"/>
      <w:bookmarkStart w:id="400" w:name="_Toc247513988"/>
      <w:r>
        <w:rPr>
          <w:rFonts w:hint="eastAsia" w:ascii="仿宋" w:hAnsi="仿宋" w:eastAsia="仿宋" w:cs="仿宋"/>
          <w:color w:val="auto"/>
          <w:sz w:val="24"/>
          <w:szCs w:val="24"/>
          <w:highlight w:val="none"/>
        </w:rPr>
        <w:t xml:space="preserve"> 评标原则</w:t>
      </w:r>
      <w:bookmarkEnd w:id="389"/>
      <w:bookmarkEnd w:id="390"/>
      <w:bookmarkEnd w:id="391"/>
      <w:bookmarkEnd w:id="392"/>
      <w:bookmarkEnd w:id="393"/>
    </w:p>
    <w:p w14:paraId="47E79FFA">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6.</w:t>
      </w:r>
      <w:bookmarkEnd w:id="394"/>
      <w:bookmarkEnd w:id="395"/>
      <w:bookmarkEnd w:id="396"/>
      <w:bookmarkEnd w:id="397"/>
      <w:bookmarkEnd w:id="398"/>
      <w:bookmarkEnd w:id="399"/>
      <w:bookmarkEnd w:id="400"/>
      <w:r>
        <w:rPr>
          <w:rFonts w:hint="eastAsia" w:ascii="仿宋" w:hAnsi="仿宋" w:eastAsia="仿宋" w:cs="仿宋"/>
          <w:color w:val="auto"/>
          <w:sz w:val="24"/>
          <w:highlight w:val="none"/>
        </w:rPr>
        <w:t>2.1评标活动遵循公平、公正、科学和择优的原则。</w:t>
      </w:r>
    </w:p>
    <w:p w14:paraId="4003807E">
      <w:pPr>
        <w:pStyle w:val="4"/>
        <w:snapToGrid w:val="0"/>
        <w:spacing w:before="0" w:after="0" w:line="360" w:lineRule="auto"/>
        <w:jc w:val="left"/>
        <w:rPr>
          <w:rFonts w:ascii="仿宋" w:hAnsi="仿宋" w:eastAsia="仿宋" w:cs="仿宋"/>
          <w:color w:val="auto"/>
          <w:sz w:val="24"/>
          <w:szCs w:val="24"/>
          <w:highlight w:val="none"/>
        </w:rPr>
      </w:pPr>
      <w:bookmarkStart w:id="401" w:name="_Toc485113087"/>
      <w:bookmarkStart w:id="402" w:name="_Toc14209"/>
      <w:bookmarkStart w:id="403" w:name="_Toc432367357"/>
      <w:bookmarkStart w:id="404" w:name="_Toc496088093"/>
      <w:bookmarkStart w:id="405" w:name="_Toc21958"/>
      <w:r>
        <w:rPr>
          <w:rFonts w:hint="eastAsia" w:ascii="仿宋" w:hAnsi="仿宋" w:eastAsia="仿宋" w:cs="仿宋"/>
          <w:color w:val="auto"/>
          <w:sz w:val="24"/>
          <w:szCs w:val="24"/>
          <w:highlight w:val="none"/>
        </w:rPr>
        <w:t>6.3</w:t>
      </w:r>
      <w:bookmarkStart w:id="406" w:name="_Toc247527590"/>
      <w:bookmarkStart w:id="407" w:name="_Toc300834987"/>
      <w:bookmarkStart w:id="408" w:name="_Toc430813273"/>
      <w:bookmarkStart w:id="409" w:name="_Toc144974533"/>
      <w:bookmarkStart w:id="410" w:name="_Toc247513989"/>
      <w:bookmarkStart w:id="411" w:name="_Toc152045565"/>
      <w:bookmarkStart w:id="412" w:name="_Toc152042341"/>
      <w:r>
        <w:rPr>
          <w:rFonts w:hint="eastAsia" w:ascii="仿宋" w:hAnsi="仿宋" w:eastAsia="仿宋" w:cs="仿宋"/>
          <w:color w:val="auto"/>
          <w:sz w:val="24"/>
          <w:szCs w:val="24"/>
          <w:highlight w:val="none"/>
        </w:rPr>
        <w:t xml:space="preserve"> 评标</w:t>
      </w:r>
      <w:bookmarkEnd w:id="401"/>
      <w:bookmarkEnd w:id="402"/>
      <w:bookmarkEnd w:id="403"/>
      <w:bookmarkEnd w:id="404"/>
      <w:bookmarkEnd w:id="405"/>
    </w:p>
    <w:p w14:paraId="3BBA4738">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6.</w:t>
      </w:r>
      <w:bookmarkEnd w:id="406"/>
      <w:bookmarkEnd w:id="407"/>
      <w:bookmarkEnd w:id="408"/>
      <w:bookmarkEnd w:id="409"/>
      <w:bookmarkEnd w:id="410"/>
      <w:bookmarkEnd w:id="411"/>
      <w:bookmarkEnd w:id="412"/>
      <w:r>
        <w:rPr>
          <w:rFonts w:hint="eastAsia" w:ascii="仿宋" w:hAnsi="仿宋" w:eastAsia="仿宋" w:cs="仿宋"/>
          <w:color w:val="auto"/>
          <w:sz w:val="24"/>
          <w:highlight w:val="none"/>
        </w:rPr>
        <w:t>3.1评标委员会按照第二章“供应商须知”附件“评标办法”规定的方法、评审因素、标准和程序对投标文件进行评审。“评标办法”没有规定的方法、评审因素和标准，不作为评标依据。</w:t>
      </w:r>
    </w:p>
    <w:p w14:paraId="46439B95">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6.3.2评标委员会按供应商须知前附表规定的数量在评标报告中向采购人推荐中标候选人。</w:t>
      </w:r>
    </w:p>
    <w:p w14:paraId="28DA4DDD">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6.3.3评标委员会成员对需要共同认定的事项存在争议的，应当按照少数服从多数的原则作出结论。持不同意见的评标委员会成员应当在评标报告上签署不同意见及理由，否则视为同意评标报告。</w:t>
      </w:r>
    </w:p>
    <w:p w14:paraId="4297178D">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6.3.4采购人或者采购代理机构负责组织评标工作，并履行下列职责：</w:t>
      </w:r>
    </w:p>
    <w:p w14:paraId="77E4245E">
      <w:pPr>
        <w:snapToGrid w:val="0"/>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　　（1）核对评审专家身份和采购人代表授权函，对评审专家在政府采购活动中的职责履行情况予以记录；</w:t>
      </w:r>
    </w:p>
    <w:p w14:paraId="1447F28D">
      <w:pPr>
        <w:snapToGrid w:val="0"/>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　　（2）宣布评标纪律；</w:t>
      </w:r>
    </w:p>
    <w:p w14:paraId="44A65244">
      <w:pPr>
        <w:snapToGrid w:val="0"/>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　　（3）公布投标人名单，告知评审专家应当回避的情形；</w:t>
      </w:r>
    </w:p>
    <w:p w14:paraId="7D73FC88">
      <w:pPr>
        <w:snapToGrid w:val="0"/>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　　（4）组织评标委员会推选评标组长，采购人代表不得担任组长；</w:t>
      </w:r>
    </w:p>
    <w:p w14:paraId="2D9E4101">
      <w:pPr>
        <w:snapToGrid w:val="0"/>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　　（5）在评标期间采取必要的通讯管理措施，保证评标活动不受外界干扰；</w:t>
      </w:r>
    </w:p>
    <w:p w14:paraId="3392E2F0">
      <w:pPr>
        <w:snapToGrid w:val="0"/>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　　（6）根据评标委员会的要求介绍政府采购相关政策法规、招标文件；</w:t>
      </w:r>
    </w:p>
    <w:p w14:paraId="444B58C8">
      <w:pPr>
        <w:snapToGrid w:val="0"/>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　　（7）维护评标秩序，监督评标委员会依照招标文件规定的评标程序、方法和标准进行独立评审，及时制止和纠正采购人代表、评审专家的倾向性言论或者违法违规行为；</w:t>
      </w:r>
    </w:p>
    <w:p w14:paraId="2A9580CF">
      <w:pPr>
        <w:snapToGrid w:val="0"/>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　　（8）核对评标结果，有本办法第六十四条规定情形的，要求评标委员会复核或者书面说明理由，评标委员会拒绝的，应予记录并向本级财政部门报告；</w:t>
      </w:r>
    </w:p>
    <w:p w14:paraId="59C1D17F">
      <w:pPr>
        <w:snapToGrid w:val="0"/>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　　（9）评审工作完成后，按照规定向评审专家支付劳务报酬和异地评审差旅费，不得向评审专家以外的其他人员支付评审劳务报酬；</w:t>
      </w:r>
    </w:p>
    <w:p w14:paraId="7BC39972">
      <w:pPr>
        <w:snapToGrid w:val="0"/>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　　（10）处理与评标有关的其他事项。</w:t>
      </w:r>
    </w:p>
    <w:p w14:paraId="429D39F2">
      <w:pPr>
        <w:pStyle w:val="3"/>
        <w:numPr>
          <w:ilvl w:val="0"/>
          <w:numId w:val="3"/>
        </w:numPr>
        <w:snapToGrid w:val="0"/>
        <w:spacing w:before="0" w:after="0" w:line="360" w:lineRule="auto"/>
        <w:rPr>
          <w:rFonts w:ascii="仿宋" w:hAnsi="仿宋" w:eastAsia="仿宋" w:cs="仿宋"/>
          <w:color w:val="auto"/>
          <w:sz w:val="24"/>
          <w:highlight w:val="none"/>
        </w:rPr>
      </w:pPr>
      <w:bookmarkStart w:id="413" w:name="_Toc496088094"/>
      <w:bookmarkStart w:id="414" w:name="_Toc12221"/>
      <w:bookmarkStart w:id="415" w:name="_Toc4311"/>
      <w:bookmarkStart w:id="416" w:name="_Toc432367358"/>
      <w:bookmarkStart w:id="417" w:name="_Toc485113088"/>
      <w:r>
        <w:rPr>
          <w:rFonts w:hint="eastAsia" w:ascii="仿宋" w:hAnsi="仿宋" w:eastAsia="仿宋" w:cs="仿宋"/>
          <w:color w:val="auto"/>
          <w:sz w:val="24"/>
          <w:highlight w:val="none"/>
        </w:rPr>
        <w:t>定</w:t>
      </w:r>
      <w:bookmarkStart w:id="418" w:name="_Toc430813274"/>
      <w:bookmarkStart w:id="419" w:name="_Toc300834990"/>
      <w:bookmarkStart w:id="420" w:name="_Toc144974534"/>
      <w:bookmarkStart w:id="421" w:name="_Toc247513990"/>
      <w:bookmarkStart w:id="422" w:name="_Toc152042342"/>
      <w:bookmarkStart w:id="423" w:name="_Toc247527591"/>
      <w:bookmarkStart w:id="424" w:name="_Toc300834988"/>
      <w:bookmarkStart w:id="425" w:name="_Toc152045566"/>
      <w:r>
        <w:rPr>
          <w:rFonts w:hint="eastAsia" w:ascii="仿宋" w:hAnsi="仿宋" w:eastAsia="仿宋" w:cs="仿宋"/>
          <w:color w:val="auto"/>
          <w:sz w:val="24"/>
          <w:highlight w:val="none"/>
        </w:rPr>
        <w:t>标</w:t>
      </w:r>
      <w:bookmarkEnd w:id="413"/>
      <w:bookmarkEnd w:id="414"/>
      <w:bookmarkEnd w:id="415"/>
      <w:bookmarkEnd w:id="416"/>
      <w:bookmarkEnd w:id="417"/>
    </w:p>
    <w:p w14:paraId="7FE264EF">
      <w:pPr>
        <w:pStyle w:val="4"/>
        <w:snapToGrid w:val="0"/>
        <w:spacing w:before="0" w:after="0" w:line="360" w:lineRule="auto"/>
        <w:jc w:val="left"/>
        <w:rPr>
          <w:rFonts w:ascii="仿宋" w:hAnsi="仿宋" w:eastAsia="仿宋" w:cs="仿宋"/>
          <w:color w:val="auto"/>
          <w:sz w:val="24"/>
          <w:szCs w:val="24"/>
          <w:highlight w:val="none"/>
        </w:rPr>
      </w:pPr>
      <w:bookmarkStart w:id="426" w:name="_Toc27974"/>
      <w:bookmarkStart w:id="427" w:name="_Toc485113089"/>
      <w:bookmarkStart w:id="428" w:name="_Toc432367359"/>
      <w:bookmarkStart w:id="429" w:name="_Toc496088095"/>
      <w:bookmarkStart w:id="430" w:name="_Toc21298"/>
      <w:r>
        <w:rPr>
          <w:rFonts w:hint="eastAsia" w:ascii="仿宋" w:hAnsi="仿宋" w:eastAsia="仿宋" w:cs="仿宋"/>
          <w:color w:val="auto"/>
          <w:sz w:val="24"/>
          <w:szCs w:val="24"/>
          <w:highlight w:val="none"/>
        </w:rPr>
        <w:t>7.</w:t>
      </w:r>
      <w:bookmarkStart w:id="431" w:name="_Toc247513991"/>
      <w:bookmarkStart w:id="432" w:name="_Toc152042343"/>
      <w:bookmarkStart w:id="433" w:name="_Toc152045567"/>
      <w:bookmarkStart w:id="434" w:name="_Toc247527592"/>
      <w:bookmarkStart w:id="435" w:name="_Toc300834989"/>
      <w:bookmarkStart w:id="436" w:name="_Toc144974535"/>
      <w:bookmarkStart w:id="437" w:name="_Toc430813276"/>
      <w:r>
        <w:rPr>
          <w:rFonts w:hint="eastAsia" w:ascii="仿宋" w:hAnsi="仿宋" w:eastAsia="仿宋" w:cs="仿宋"/>
          <w:color w:val="auto"/>
          <w:sz w:val="24"/>
          <w:szCs w:val="24"/>
          <w:highlight w:val="none"/>
        </w:rPr>
        <w:t>1 确定</w:t>
      </w:r>
      <w:bookmarkEnd w:id="431"/>
      <w:bookmarkEnd w:id="432"/>
      <w:bookmarkEnd w:id="433"/>
      <w:bookmarkEnd w:id="434"/>
      <w:bookmarkEnd w:id="435"/>
      <w:bookmarkEnd w:id="436"/>
      <w:r>
        <w:rPr>
          <w:rFonts w:hint="eastAsia" w:ascii="仿宋" w:hAnsi="仿宋" w:eastAsia="仿宋" w:cs="仿宋"/>
          <w:color w:val="auto"/>
          <w:sz w:val="24"/>
          <w:szCs w:val="24"/>
          <w:highlight w:val="none"/>
        </w:rPr>
        <w:t>中标供应商</w:t>
      </w:r>
      <w:bookmarkEnd w:id="426"/>
      <w:bookmarkEnd w:id="427"/>
      <w:bookmarkEnd w:id="428"/>
      <w:bookmarkEnd w:id="429"/>
      <w:bookmarkEnd w:id="430"/>
    </w:p>
    <w:p w14:paraId="460A3D16">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7.</w:t>
      </w:r>
      <w:bookmarkEnd w:id="437"/>
      <w:r>
        <w:rPr>
          <w:rFonts w:hint="eastAsia" w:ascii="仿宋" w:hAnsi="仿宋" w:eastAsia="仿宋" w:cs="仿宋"/>
          <w:color w:val="auto"/>
          <w:sz w:val="24"/>
          <w:highlight w:val="none"/>
        </w:rPr>
        <w:t>1.1采购人应当自收到评审报告之日起5个工作日内按照“供应商须知前附表”中规定的中标原则确定中标供应商。</w:t>
      </w:r>
    </w:p>
    <w:p w14:paraId="02F14721">
      <w:pPr>
        <w:pStyle w:val="4"/>
        <w:snapToGrid w:val="0"/>
        <w:spacing w:before="0" w:after="0" w:line="360" w:lineRule="auto"/>
        <w:jc w:val="left"/>
        <w:rPr>
          <w:rFonts w:ascii="仿宋" w:hAnsi="仿宋" w:eastAsia="仿宋" w:cs="仿宋"/>
          <w:color w:val="auto"/>
          <w:sz w:val="24"/>
          <w:szCs w:val="24"/>
          <w:highlight w:val="none"/>
        </w:rPr>
      </w:pPr>
      <w:bookmarkStart w:id="438" w:name="_Toc496088096"/>
      <w:bookmarkStart w:id="439" w:name="_Toc5640"/>
      <w:bookmarkStart w:id="440" w:name="_Toc432367360"/>
      <w:bookmarkStart w:id="441" w:name="_Toc485113090"/>
      <w:bookmarkStart w:id="442" w:name="_Toc15429"/>
      <w:r>
        <w:rPr>
          <w:rFonts w:hint="eastAsia" w:ascii="仿宋" w:hAnsi="仿宋" w:eastAsia="仿宋" w:cs="仿宋"/>
          <w:color w:val="auto"/>
          <w:sz w:val="24"/>
          <w:szCs w:val="24"/>
          <w:highlight w:val="none"/>
        </w:rPr>
        <w:t>7.</w:t>
      </w:r>
      <w:bookmarkEnd w:id="418"/>
      <w:bookmarkStart w:id="443" w:name="_Toc430813275"/>
      <w:r>
        <w:rPr>
          <w:rFonts w:hint="eastAsia" w:ascii="仿宋" w:hAnsi="仿宋" w:eastAsia="仿宋" w:cs="仿宋"/>
          <w:color w:val="auto"/>
          <w:sz w:val="24"/>
          <w:szCs w:val="24"/>
          <w:highlight w:val="none"/>
        </w:rPr>
        <w:t>2 中标结果公告</w:t>
      </w:r>
      <w:bookmarkEnd w:id="438"/>
      <w:bookmarkEnd w:id="439"/>
      <w:bookmarkEnd w:id="440"/>
      <w:bookmarkEnd w:id="441"/>
      <w:bookmarkEnd w:id="442"/>
    </w:p>
    <w:p w14:paraId="20527E1F">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7.</w:t>
      </w:r>
      <w:bookmarkEnd w:id="419"/>
      <w:bookmarkEnd w:id="443"/>
      <w:r>
        <w:rPr>
          <w:rFonts w:hint="eastAsia" w:ascii="仿宋" w:hAnsi="仿宋" w:eastAsia="仿宋" w:cs="仿宋"/>
          <w:color w:val="auto"/>
          <w:sz w:val="24"/>
          <w:highlight w:val="none"/>
        </w:rPr>
        <w:t>2.1采购代理机构应当自中标供应商确定之日起2个工作日内，发出中标通知书，并在“</w:t>
      </w:r>
      <w:r>
        <w:rPr>
          <w:rFonts w:hint="eastAsia" w:ascii="仿宋" w:hAnsi="仿宋" w:eastAsia="仿宋" w:cs="仿宋"/>
          <w:b/>
          <w:color w:val="auto"/>
          <w:sz w:val="24"/>
          <w:highlight w:val="none"/>
        </w:rPr>
        <w:t>供应商须知前附表”</w:t>
      </w:r>
      <w:r>
        <w:rPr>
          <w:rFonts w:hint="eastAsia" w:ascii="仿宋" w:hAnsi="仿宋" w:eastAsia="仿宋" w:cs="仿宋"/>
          <w:color w:val="auto"/>
          <w:sz w:val="24"/>
          <w:highlight w:val="none"/>
        </w:rPr>
        <w:t>中规定的媒体上公告中标结果，招标文件随中标结果同时公告。</w:t>
      </w:r>
    </w:p>
    <w:p w14:paraId="6DDB1AD3">
      <w:pPr>
        <w:pStyle w:val="4"/>
        <w:snapToGrid w:val="0"/>
        <w:spacing w:before="0" w:after="0" w:line="360" w:lineRule="auto"/>
        <w:jc w:val="left"/>
        <w:rPr>
          <w:rFonts w:ascii="仿宋" w:hAnsi="仿宋" w:eastAsia="仿宋" w:cs="仿宋"/>
          <w:color w:val="auto"/>
          <w:sz w:val="24"/>
          <w:szCs w:val="24"/>
          <w:highlight w:val="none"/>
        </w:rPr>
      </w:pPr>
      <w:bookmarkStart w:id="444" w:name="_Toc4309"/>
      <w:bookmarkStart w:id="445" w:name="_Toc496088097"/>
      <w:bookmarkStart w:id="446" w:name="_Toc432367361"/>
      <w:bookmarkStart w:id="447" w:name="_Toc15060"/>
      <w:bookmarkStart w:id="448" w:name="_Toc485113091"/>
      <w:r>
        <w:rPr>
          <w:rFonts w:hint="eastAsia" w:ascii="仿宋" w:hAnsi="仿宋" w:eastAsia="仿宋" w:cs="仿宋"/>
          <w:color w:val="auto"/>
          <w:sz w:val="24"/>
          <w:szCs w:val="24"/>
          <w:highlight w:val="none"/>
        </w:rPr>
        <w:t>7.3</w:t>
      </w:r>
      <w:bookmarkStart w:id="449" w:name="_Toc300834991"/>
      <w:bookmarkStart w:id="450" w:name="_Toc247513992"/>
      <w:bookmarkStart w:id="451" w:name="_Toc247527593"/>
      <w:bookmarkStart w:id="452" w:name="_Toc430813277"/>
      <w:r>
        <w:rPr>
          <w:rFonts w:hint="eastAsia" w:ascii="仿宋" w:hAnsi="仿宋" w:eastAsia="仿宋" w:cs="仿宋"/>
          <w:color w:val="auto"/>
          <w:sz w:val="24"/>
          <w:szCs w:val="24"/>
          <w:highlight w:val="none"/>
        </w:rPr>
        <w:t xml:space="preserve"> 中标通知</w:t>
      </w:r>
      <w:bookmarkEnd w:id="444"/>
      <w:bookmarkEnd w:id="445"/>
      <w:bookmarkEnd w:id="446"/>
      <w:bookmarkEnd w:id="447"/>
      <w:bookmarkEnd w:id="448"/>
    </w:p>
    <w:p w14:paraId="6214EF2D">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7.</w:t>
      </w:r>
      <w:bookmarkEnd w:id="449"/>
      <w:bookmarkEnd w:id="450"/>
      <w:bookmarkEnd w:id="451"/>
      <w:bookmarkEnd w:id="452"/>
      <w:r>
        <w:rPr>
          <w:rFonts w:hint="eastAsia" w:ascii="仿宋" w:hAnsi="仿宋" w:eastAsia="仿宋" w:cs="仿宋"/>
          <w:color w:val="auto"/>
          <w:sz w:val="24"/>
          <w:highlight w:val="none"/>
        </w:rPr>
        <w:t>3.1采购人和采购代理机构以书面形式向中标供应商发出中标通知书，同时将招标结果通知未中标的供应商。</w:t>
      </w:r>
    </w:p>
    <w:p w14:paraId="1C158093">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7.3.2 中标结果公告发布后，中标供应商即可前往采购代理机构处领取中标通知书，并于30日内按照招标文件要求和投标文件承诺与采购人签订政府采购合同。</w:t>
      </w:r>
    </w:p>
    <w:p w14:paraId="02F82D83">
      <w:pPr>
        <w:pStyle w:val="3"/>
        <w:numPr>
          <w:ilvl w:val="0"/>
          <w:numId w:val="3"/>
        </w:numPr>
        <w:snapToGrid w:val="0"/>
        <w:spacing w:before="0" w:after="0" w:line="360" w:lineRule="auto"/>
        <w:rPr>
          <w:rFonts w:ascii="仿宋" w:hAnsi="仿宋" w:eastAsia="仿宋" w:cs="仿宋"/>
          <w:color w:val="auto"/>
          <w:sz w:val="24"/>
          <w:highlight w:val="none"/>
        </w:rPr>
      </w:pPr>
      <w:bookmarkStart w:id="453" w:name="_Toc13747"/>
      <w:bookmarkStart w:id="454" w:name="_Toc485113092"/>
      <w:bookmarkStart w:id="455" w:name="_Toc496088098"/>
      <w:bookmarkStart w:id="456" w:name="_Toc29487"/>
      <w:r>
        <w:rPr>
          <w:rFonts w:hint="eastAsia" w:ascii="仿宋" w:hAnsi="仿宋" w:eastAsia="仿宋" w:cs="仿宋"/>
          <w:color w:val="auto"/>
          <w:sz w:val="24"/>
          <w:highlight w:val="none"/>
        </w:rPr>
        <w:t>质疑和投诉</w:t>
      </w:r>
      <w:bookmarkEnd w:id="453"/>
      <w:bookmarkEnd w:id="454"/>
      <w:bookmarkEnd w:id="455"/>
      <w:bookmarkEnd w:id="456"/>
    </w:p>
    <w:p w14:paraId="21019B1C">
      <w:pPr>
        <w:pStyle w:val="4"/>
        <w:snapToGrid w:val="0"/>
        <w:spacing w:before="0" w:after="0" w:line="360" w:lineRule="auto"/>
        <w:jc w:val="left"/>
        <w:rPr>
          <w:rFonts w:ascii="仿宋" w:hAnsi="仿宋" w:eastAsia="仿宋" w:cs="仿宋"/>
          <w:color w:val="auto"/>
          <w:sz w:val="24"/>
          <w:szCs w:val="24"/>
          <w:highlight w:val="none"/>
        </w:rPr>
      </w:pPr>
      <w:bookmarkStart w:id="457" w:name="_Toc496088099"/>
      <w:bookmarkStart w:id="458" w:name="_Toc10681"/>
      <w:bookmarkStart w:id="459" w:name="_Toc2555"/>
      <w:bookmarkStart w:id="460" w:name="_Toc485113093"/>
      <w:r>
        <w:rPr>
          <w:rFonts w:hint="eastAsia" w:ascii="仿宋" w:hAnsi="仿宋" w:eastAsia="仿宋" w:cs="仿宋"/>
          <w:color w:val="auto"/>
          <w:sz w:val="24"/>
          <w:szCs w:val="24"/>
          <w:highlight w:val="none"/>
        </w:rPr>
        <w:t>8.1质疑</w:t>
      </w:r>
      <w:bookmarkEnd w:id="457"/>
      <w:bookmarkEnd w:id="458"/>
      <w:bookmarkEnd w:id="459"/>
      <w:bookmarkEnd w:id="460"/>
    </w:p>
    <w:p w14:paraId="10CBC39C">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8.1.1供应商认为招标文件、招标过程和中标结果使自己的权益受到损害的，可以在知道或者应知其权益受到损害之日起7个工作日内，以书面形式向采购人或采购代理机构提出质疑。</w:t>
      </w:r>
    </w:p>
    <w:p w14:paraId="383A4819">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8.1.2质疑书应当包括下列主要内容：</w:t>
      </w:r>
    </w:p>
    <w:p w14:paraId="3DB6F499">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（1）质疑人的名称、地址、联系人及联系电话等；</w:t>
      </w:r>
    </w:p>
    <w:p w14:paraId="3F51E89A">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（2）被质疑人的名称、地址、联系人及联系电话等；</w:t>
      </w:r>
    </w:p>
    <w:p w14:paraId="615F7870">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（3）质疑项目名称及编号、质疑事项和明确的请求；</w:t>
      </w:r>
    </w:p>
    <w:p w14:paraId="36E04E0E">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（4）质疑事项的事实根据、法律依据及其他必要的证明材料；质疑人提供的证明材料属于其他供应商投标（响应）文件未公开内容的，应当提供书面材料证明其合法来源；</w:t>
      </w:r>
    </w:p>
    <w:p w14:paraId="7A853544">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（5）提出质疑的日期；</w:t>
      </w:r>
    </w:p>
    <w:p w14:paraId="060C9357">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（6）质疑人的署名及签章（质疑人为自然人的，应当由本人签字；质疑人为法人或者其他组织的，应当由法定代表人或者主要负责人签字盖章并加盖公章）；</w:t>
      </w:r>
    </w:p>
    <w:p w14:paraId="6AE6E136">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（7）法人授权委托书（质疑人或法人委托代理人办理质疑事务的，应当提供授权委托书，授权委托书应当载明委托代理的具体权限和事项）。</w:t>
      </w:r>
    </w:p>
    <w:p w14:paraId="22754BCE">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质疑书不符合上述要求的，采购人或代理机构应书面告知具体事项，质疑人应当按要求进行修改或补充，并在质疑有效期限内提交。</w:t>
      </w:r>
    </w:p>
    <w:p w14:paraId="6907B179">
      <w:pPr>
        <w:pStyle w:val="4"/>
        <w:snapToGrid w:val="0"/>
        <w:spacing w:before="0" w:after="0" w:line="360" w:lineRule="auto"/>
        <w:jc w:val="left"/>
        <w:rPr>
          <w:rFonts w:ascii="仿宋" w:hAnsi="仿宋" w:eastAsia="仿宋" w:cs="仿宋"/>
          <w:color w:val="auto"/>
          <w:sz w:val="24"/>
          <w:szCs w:val="24"/>
          <w:highlight w:val="none"/>
        </w:rPr>
      </w:pPr>
      <w:bookmarkStart w:id="461" w:name="_Toc32379"/>
      <w:bookmarkStart w:id="462" w:name="_Toc496088100"/>
      <w:bookmarkStart w:id="463" w:name="_Toc12846"/>
      <w:bookmarkStart w:id="464" w:name="_Toc485113094"/>
      <w:r>
        <w:rPr>
          <w:rFonts w:hint="eastAsia" w:ascii="仿宋" w:hAnsi="仿宋" w:eastAsia="仿宋" w:cs="仿宋"/>
          <w:color w:val="auto"/>
          <w:sz w:val="24"/>
          <w:szCs w:val="24"/>
          <w:highlight w:val="none"/>
        </w:rPr>
        <w:t>8.2质疑回复</w:t>
      </w:r>
      <w:bookmarkEnd w:id="461"/>
      <w:bookmarkEnd w:id="462"/>
      <w:bookmarkEnd w:id="463"/>
      <w:bookmarkEnd w:id="464"/>
    </w:p>
    <w:p w14:paraId="0130EE00">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8.2.1采购人或采购代理机构应当在收到供应商的书面质疑后7个工作日内作出答复，并以书面形式通知质疑供应商和其他有关供应商，但答复的内容不得涉及商业秘密。</w:t>
      </w:r>
    </w:p>
    <w:p w14:paraId="24AA2AFB">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8.2.2质疑答复应当包括下列内容：</w:t>
      </w:r>
    </w:p>
    <w:p w14:paraId="5EA2FC18">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（1）质疑人的名称、地址、联系人及联系电话；</w:t>
      </w:r>
    </w:p>
    <w:p w14:paraId="66E0F0C1">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（2）采购人或采购代理机构（委托项目一并列出）的名称、地址、联系人及联系电话；</w:t>
      </w:r>
    </w:p>
    <w:p w14:paraId="1A210D51">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（3）受理质疑的日期、质疑项目名称及编号、质疑事项；</w:t>
      </w:r>
    </w:p>
    <w:p w14:paraId="0BC3B601">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（4）质疑事项答复的具体情况及事实根据、法律依据；</w:t>
      </w:r>
    </w:p>
    <w:p w14:paraId="019413EF">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（5）告知质疑人依法投诉的权利和投诉方式；</w:t>
      </w:r>
    </w:p>
    <w:p w14:paraId="5F227433">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（6）质疑答复日期。</w:t>
      </w:r>
    </w:p>
    <w:p w14:paraId="00991A57">
      <w:pPr>
        <w:pStyle w:val="4"/>
        <w:snapToGrid w:val="0"/>
        <w:spacing w:before="0" w:after="0" w:line="360" w:lineRule="auto"/>
        <w:jc w:val="left"/>
        <w:rPr>
          <w:rFonts w:ascii="仿宋" w:hAnsi="仿宋" w:eastAsia="仿宋" w:cs="仿宋"/>
          <w:color w:val="auto"/>
          <w:sz w:val="24"/>
          <w:szCs w:val="24"/>
          <w:highlight w:val="none"/>
        </w:rPr>
      </w:pPr>
      <w:bookmarkStart w:id="465" w:name="_Toc9127"/>
      <w:bookmarkStart w:id="466" w:name="_Toc496088101"/>
      <w:bookmarkStart w:id="467" w:name="_Toc12095"/>
      <w:bookmarkStart w:id="468" w:name="_Toc485113095"/>
      <w:r>
        <w:rPr>
          <w:rFonts w:hint="eastAsia" w:ascii="仿宋" w:hAnsi="仿宋" w:eastAsia="仿宋" w:cs="仿宋"/>
          <w:color w:val="auto"/>
          <w:sz w:val="24"/>
          <w:szCs w:val="24"/>
          <w:highlight w:val="none"/>
        </w:rPr>
        <w:t>8.3投诉</w:t>
      </w:r>
      <w:bookmarkEnd w:id="465"/>
      <w:bookmarkEnd w:id="466"/>
      <w:bookmarkEnd w:id="467"/>
      <w:bookmarkEnd w:id="468"/>
    </w:p>
    <w:p w14:paraId="58CCBB8D">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8.3.1质疑供应商对采购人、采购代理机构的答复不满意或者采购人、采购代理机构未在规定的时间内作出答复的，可以在答复期满后15个工作日内向监督管理部门投诉。供应商投诉应当有明确的请求和必要的证明材料，且投诉的事项不得超出已质疑事项的范围。</w:t>
      </w:r>
    </w:p>
    <w:p w14:paraId="329D3D53">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8.3.2监督管理部门应当在收到投诉后30个工作日内，对投诉事项作出处理决定，并以书面形式通知投诉人和与投诉事项有关的当事人。处理投诉事项，需要检验、检测、鉴定、专家评审以及需要投诉人补正材料的，所需时间不计算在投诉处理期限内。</w:t>
      </w:r>
    </w:p>
    <w:p w14:paraId="57CD3E20">
      <w:pPr>
        <w:pStyle w:val="3"/>
        <w:numPr>
          <w:ilvl w:val="0"/>
          <w:numId w:val="3"/>
        </w:numPr>
        <w:snapToGrid w:val="0"/>
        <w:spacing w:before="0" w:after="0" w:line="360" w:lineRule="auto"/>
        <w:rPr>
          <w:rFonts w:ascii="仿宋" w:hAnsi="仿宋" w:eastAsia="仿宋" w:cs="仿宋"/>
          <w:color w:val="auto"/>
          <w:sz w:val="24"/>
          <w:highlight w:val="none"/>
        </w:rPr>
      </w:pPr>
      <w:bookmarkStart w:id="469" w:name="_Toc26620"/>
      <w:bookmarkStart w:id="470" w:name="_Toc25795"/>
      <w:bookmarkStart w:id="471" w:name="_Toc485113096"/>
      <w:bookmarkStart w:id="472" w:name="_Toc432367362"/>
      <w:bookmarkStart w:id="473" w:name="_Toc496088102"/>
      <w:bookmarkStart w:id="474" w:name="_Toc430813278"/>
      <w:r>
        <w:rPr>
          <w:rFonts w:hint="eastAsia" w:ascii="仿宋" w:hAnsi="仿宋" w:eastAsia="仿宋" w:cs="仿宋"/>
          <w:color w:val="auto"/>
          <w:sz w:val="24"/>
          <w:highlight w:val="none"/>
        </w:rPr>
        <w:t>合同授予</w:t>
      </w:r>
      <w:bookmarkEnd w:id="469"/>
      <w:bookmarkEnd w:id="470"/>
      <w:bookmarkEnd w:id="471"/>
      <w:bookmarkEnd w:id="472"/>
      <w:bookmarkEnd w:id="473"/>
    </w:p>
    <w:p w14:paraId="5C95C788">
      <w:pPr>
        <w:pStyle w:val="4"/>
        <w:snapToGrid w:val="0"/>
        <w:spacing w:before="0" w:after="0" w:line="360" w:lineRule="auto"/>
        <w:jc w:val="left"/>
        <w:rPr>
          <w:rFonts w:ascii="仿宋" w:hAnsi="仿宋" w:eastAsia="仿宋" w:cs="仿宋"/>
          <w:color w:val="auto"/>
          <w:sz w:val="24"/>
          <w:szCs w:val="24"/>
          <w:highlight w:val="none"/>
        </w:rPr>
      </w:pPr>
      <w:bookmarkStart w:id="475" w:name="_Toc21755"/>
      <w:bookmarkStart w:id="476" w:name="_Toc432367363"/>
      <w:bookmarkStart w:id="477" w:name="_Toc496088103"/>
      <w:bookmarkStart w:id="478" w:name="_Toc25822"/>
      <w:bookmarkStart w:id="479" w:name="_Toc485113097"/>
      <w:r>
        <w:rPr>
          <w:rFonts w:hint="eastAsia" w:ascii="仿宋" w:hAnsi="仿宋" w:eastAsia="仿宋" w:cs="仿宋"/>
          <w:color w:val="auto"/>
          <w:sz w:val="24"/>
          <w:szCs w:val="24"/>
          <w:highlight w:val="none"/>
        </w:rPr>
        <w:t>9.</w:t>
      </w:r>
      <w:bookmarkEnd w:id="420"/>
      <w:bookmarkEnd w:id="421"/>
      <w:bookmarkEnd w:id="422"/>
      <w:bookmarkEnd w:id="423"/>
      <w:bookmarkEnd w:id="424"/>
      <w:bookmarkEnd w:id="425"/>
      <w:bookmarkEnd w:id="474"/>
      <w:r>
        <w:rPr>
          <w:rFonts w:hint="eastAsia" w:ascii="仿宋" w:hAnsi="仿宋" w:eastAsia="仿宋" w:cs="仿宋"/>
          <w:color w:val="auto"/>
          <w:sz w:val="24"/>
          <w:szCs w:val="24"/>
          <w:highlight w:val="none"/>
        </w:rPr>
        <w:t>1</w:t>
      </w:r>
      <w:bookmarkStart w:id="480" w:name="_Toc430813279"/>
      <w:bookmarkStart w:id="481" w:name="_Toc144974538"/>
      <w:bookmarkStart w:id="482" w:name="_Toc152045570"/>
      <w:bookmarkStart w:id="483" w:name="_Toc247527595"/>
      <w:bookmarkStart w:id="484" w:name="_Toc247513994"/>
      <w:bookmarkStart w:id="485" w:name="_Toc152042346"/>
      <w:bookmarkStart w:id="486" w:name="_Toc300834993"/>
      <w:r>
        <w:rPr>
          <w:rFonts w:hint="eastAsia" w:ascii="仿宋" w:hAnsi="仿宋" w:eastAsia="仿宋" w:cs="仿宋"/>
          <w:color w:val="auto"/>
          <w:sz w:val="24"/>
          <w:szCs w:val="24"/>
          <w:highlight w:val="none"/>
        </w:rPr>
        <w:t>履约担保</w:t>
      </w:r>
      <w:bookmarkEnd w:id="475"/>
      <w:bookmarkEnd w:id="476"/>
      <w:bookmarkEnd w:id="477"/>
      <w:bookmarkEnd w:id="478"/>
      <w:bookmarkEnd w:id="479"/>
    </w:p>
    <w:p w14:paraId="557AB277">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9.</w:t>
      </w:r>
      <w:bookmarkEnd w:id="480"/>
      <w:r>
        <w:rPr>
          <w:rFonts w:hint="eastAsia" w:ascii="仿宋" w:hAnsi="仿宋" w:eastAsia="仿宋" w:cs="仿宋"/>
          <w:color w:val="auto"/>
          <w:sz w:val="24"/>
          <w:highlight w:val="none"/>
        </w:rPr>
        <w:t>1.1在签订合同前，中标供应商应按供应商须知前附表规定的金额、担保形式和采购人认可的履约担保格式向采购人提交履约担保。</w:t>
      </w:r>
    </w:p>
    <w:p w14:paraId="5267E589">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9.1.2中标供应商不能按本章第9.1.1项要求提交履约担保的，视为放弃中标，其投标保证金不予退还，给采购人造成的损失超过投标保证金数额的，中标供应商还应当对超过部分予以赔偿。</w:t>
      </w:r>
    </w:p>
    <w:p w14:paraId="76A3BD45">
      <w:pPr>
        <w:pStyle w:val="4"/>
        <w:snapToGrid w:val="0"/>
        <w:spacing w:before="0" w:after="0" w:line="360" w:lineRule="auto"/>
        <w:jc w:val="left"/>
        <w:rPr>
          <w:rFonts w:ascii="仿宋" w:hAnsi="仿宋" w:eastAsia="仿宋" w:cs="仿宋"/>
          <w:color w:val="auto"/>
          <w:sz w:val="24"/>
          <w:szCs w:val="24"/>
          <w:highlight w:val="none"/>
        </w:rPr>
      </w:pPr>
      <w:bookmarkStart w:id="487" w:name="_Toc8264"/>
      <w:bookmarkStart w:id="488" w:name="_Toc496088104"/>
      <w:bookmarkStart w:id="489" w:name="_Toc432367364"/>
      <w:bookmarkStart w:id="490" w:name="_Toc19765"/>
      <w:bookmarkStart w:id="491" w:name="_Toc485113098"/>
      <w:r>
        <w:rPr>
          <w:rFonts w:hint="eastAsia" w:ascii="仿宋" w:hAnsi="仿宋" w:eastAsia="仿宋" w:cs="仿宋"/>
          <w:color w:val="auto"/>
          <w:sz w:val="24"/>
          <w:szCs w:val="24"/>
          <w:highlight w:val="none"/>
        </w:rPr>
        <w:t>9.2</w:t>
      </w:r>
      <w:bookmarkStart w:id="492" w:name="_Toc430813280"/>
      <w:r>
        <w:rPr>
          <w:rFonts w:hint="eastAsia" w:ascii="仿宋" w:hAnsi="仿宋" w:eastAsia="仿宋" w:cs="仿宋"/>
          <w:color w:val="auto"/>
          <w:sz w:val="24"/>
          <w:szCs w:val="24"/>
          <w:highlight w:val="none"/>
        </w:rPr>
        <w:t xml:space="preserve"> 签订合同</w:t>
      </w:r>
      <w:bookmarkEnd w:id="487"/>
      <w:bookmarkEnd w:id="488"/>
      <w:bookmarkEnd w:id="489"/>
      <w:bookmarkEnd w:id="490"/>
      <w:bookmarkEnd w:id="491"/>
    </w:p>
    <w:p w14:paraId="7E11B9CF">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9.</w:t>
      </w:r>
      <w:bookmarkEnd w:id="481"/>
      <w:bookmarkEnd w:id="482"/>
      <w:bookmarkEnd w:id="483"/>
      <w:bookmarkEnd w:id="484"/>
      <w:bookmarkEnd w:id="485"/>
      <w:bookmarkEnd w:id="486"/>
      <w:bookmarkEnd w:id="492"/>
      <w:r>
        <w:rPr>
          <w:rFonts w:hint="eastAsia" w:ascii="仿宋" w:hAnsi="仿宋" w:eastAsia="仿宋" w:cs="仿宋"/>
          <w:color w:val="auto"/>
          <w:sz w:val="24"/>
          <w:highlight w:val="none"/>
        </w:rPr>
        <w:t xml:space="preserve">2.1 采购人和中标供应商应当自中标通知书发出之日起30天内，根据招标文件和中标供应商的投标文件订立书面合同。所签订的合同不得对招标文件和中标供应商投标文件作实质性修改。中标供应商无正当理由拒签合同的，采购人将取消其中标资格，其投标保证金不予退还；给采购人造成的损失超过投标保证金数额的，中标供应商还应当对超过部分予以赔偿。 </w:t>
      </w:r>
    </w:p>
    <w:p w14:paraId="4AC9039B">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9.2.2 采购人和中标供应商不得向对方提出任何不合理的要求，作为签订合同的条件，双方不得私下订立背离合同实质性内容的协议。</w:t>
      </w:r>
    </w:p>
    <w:p w14:paraId="4F3C15A5">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9.3.3 政府采购合同履行中，采购人需追加与合同标的相同的服务的，在不改变合同其他条款的前提下，可以与供应商协商签订补充合同，但所有补充合同的采购金额不得超过原合同采购金额的百分之十。</w:t>
      </w:r>
    </w:p>
    <w:p w14:paraId="4DA18A34">
      <w:pPr>
        <w:pStyle w:val="3"/>
        <w:numPr>
          <w:ilvl w:val="0"/>
          <w:numId w:val="3"/>
        </w:numPr>
        <w:snapToGrid w:val="0"/>
        <w:spacing w:before="0" w:after="0" w:line="360" w:lineRule="auto"/>
        <w:rPr>
          <w:rFonts w:ascii="仿宋" w:hAnsi="仿宋" w:eastAsia="仿宋" w:cs="仿宋"/>
          <w:color w:val="auto"/>
          <w:sz w:val="24"/>
          <w:highlight w:val="none"/>
        </w:rPr>
      </w:pPr>
      <w:bookmarkStart w:id="493" w:name="_Toc485113099"/>
      <w:bookmarkStart w:id="494" w:name="_Toc26828"/>
      <w:bookmarkStart w:id="495" w:name="_Toc496088105"/>
      <w:bookmarkStart w:id="496" w:name="_Toc432367365"/>
      <w:bookmarkStart w:id="497" w:name="_Toc22613"/>
      <w:r>
        <w:rPr>
          <w:rFonts w:hint="eastAsia" w:ascii="仿宋" w:hAnsi="仿宋" w:eastAsia="仿宋" w:cs="仿宋"/>
          <w:color w:val="auto"/>
          <w:sz w:val="24"/>
          <w:highlight w:val="none"/>
        </w:rPr>
        <w:t>招</w:t>
      </w:r>
      <w:bookmarkStart w:id="498" w:name="_Toc430813281"/>
      <w:bookmarkStart w:id="499" w:name="_Toc144974539"/>
      <w:bookmarkStart w:id="500" w:name="_Toc152045571"/>
      <w:bookmarkStart w:id="501" w:name="_Toc247513995"/>
      <w:bookmarkStart w:id="502" w:name="_Toc152042347"/>
      <w:bookmarkStart w:id="503" w:name="_Toc247527596"/>
      <w:bookmarkStart w:id="504" w:name="_Toc300834994"/>
      <w:r>
        <w:rPr>
          <w:rFonts w:hint="eastAsia" w:ascii="仿宋" w:hAnsi="仿宋" w:eastAsia="仿宋" w:cs="仿宋"/>
          <w:color w:val="auto"/>
          <w:sz w:val="24"/>
          <w:highlight w:val="none"/>
        </w:rPr>
        <w:t>标代理服务费</w:t>
      </w:r>
      <w:bookmarkEnd w:id="493"/>
      <w:bookmarkEnd w:id="494"/>
      <w:bookmarkEnd w:id="495"/>
      <w:bookmarkEnd w:id="496"/>
      <w:bookmarkEnd w:id="497"/>
    </w:p>
    <w:p w14:paraId="7D1389CA">
      <w:pPr>
        <w:pStyle w:val="4"/>
        <w:snapToGrid w:val="0"/>
        <w:spacing w:before="0" w:after="0" w:line="360" w:lineRule="auto"/>
        <w:jc w:val="left"/>
        <w:rPr>
          <w:rFonts w:ascii="仿宋" w:hAnsi="仿宋" w:eastAsia="仿宋" w:cs="仿宋"/>
          <w:color w:val="auto"/>
          <w:sz w:val="24"/>
          <w:szCs w:val="24"/>
          <w:highlight w:val="none"/>
        </w:rPr>
      </w:pPr>
      <w:bookmarkStart w:id="505" w:name="_Toc11307"/>
      <w:bookmarkStart w:id="506" w:name="_Toc12349"/>
      <w:bookmarkStart w:id="507" w:name="_Toc432367366"/>
      <w:bookmarkStart w:id="508" w:name="_Toc485113100"/>
      <w:bookmarkStart w:id="509" w:name="_Toc496088106"/>
      <w:r>
        <w:rPr>
          <w:rFonts w:hint="eastAsia" w:ascii="仿宋" w:hAnsi="仿宋" w:eastAsia="仿宋" w:cs="仿宋"/>
          <w:color w:val="auto"/>
          <w:sz w:val="24"/>
          <w:szCs w:val="24"/>
          <w:highlight w:val="none"/>
        </w:rPr>
        <w:t>10.</w:t>
      </w:r>
      <w:bookmarkEnd w:id="498"/>
      <w:r>
        <w:rPr>
          <w:rFonts w:hint="eastAsia" w:ascii="仿宋" w:hAnsi="仿宋" w:eastAsia="仿宋" w:cs="仿宋"/>
          <w:color w:val="auto"/>
          <w:sz w:val="24"/>
          <w:szCs w:val="24"/>
          <w:highlight w:val="none"/>
        </w:rPr>
        <w:t>1</w:t>
      </w:r>
      <w:bookmarkStart w:id="510" w:name="_Toc430813282"/>
      <w:r>
        <w:rPr>
          <w:rFonts w:hint="eastAsia" w:ascii="仿宋" w:hAnsi="仿宋" w:eastAsia="仿宋" w:cs="仿宋"/>
          <w:color w:val="auto"/>
          <w:sz w:val="24"/>
          <w:szCs w:val="24"/>
          <w:highlight w:val="none"/>
        </w:rPr>
        <w:t>收取方式和标准</w:t>
      </w:r>
      <w:bookmarkEnd w:id="505"/>
      <w:bookmarkEnd w:id="506"/>
      <w:bookmarkEnd w:id="507"/>
      <w:bookmarkEnd w:id="508"/>
      <w:bookmarkEnd w:id="509"/>
    </w:p>
    <w:p w14:paraId="2C1636DC">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10.</w:t>
      </w:r>
      <w:bookmarkEnd w:id="510"/>
      <w:r>
        <w:rPr>
          <w:rFonts w:hint="eastAsia" w:ascii="仿宋" w:hAnsi="仿宋" w:eastAsia="仿宋" w:cs="仿宋"/>
          <w:color w:val="auto"/>
          <w:sz w:val="24"/>
          <w:highlight w:val="none"/>
        </w:rPr>
        <w:t>1.1采购代理机构按供应商须知前附表规定的方式和标准收取招标代理服务费。</w:t>
      </w:r>
    </w:p>
    <w:p w14:paraId="62DD642C">
      <w:pPr>
        <w:pStyle w:val="4"/>
        <w:snapToGrid w:val="0"/>
        <w:spacing w:before="0" w:after="0" w:line="360" w:lineRule="auto"/>
        <w:jc w:val="left"/>
        <w:rPr>
          <w:rFonts w:ascii="仿宋" w:hAnsi="仿宋" w:eastAsia="仿宋" w:cs="仿宋"/>
          <w:color w:val="auto"/>
          <w:sz w:val="24"/>
          <w:szCs w:val="24"/>
          <w:highlight w:val="none"/>
        </w:rPr>
      </w:pPr>
      <w:bookmarkStart w:id="511" w:name="_Toc432367367"/>
      <w:bookmarkStart w:id="512" w:name="_Toc32413"/>
      <w:bookmarkStart w:id="513" w:name="_Toc485113101"/>
      <w:bookmarkStart w:id="514" w:name="_Toc496088107"/>
      <w:bookmarkStart w:id="515" w:name="_Toc9148"/>
      <w:r>
        <w:rPr>
          <w:rFonts w:hint="eastAsia" w:ascii="仿宋" w:hAnsi="仿宋" w:eastAsia="仿宋" w:cs="仿宋"/>
          <w:color w:val="auto"/>
          <w:sz w:val="24"/>
          <w:szCs w:val="24"/>
          <w:highlight w:val="none"/>
        </w:rPr>
        <w:t>10.2</w:t>
      </w:r>
      <w:bookmarkStart w:id="516" w:name="_Toc430813283"/>
      <w:r>
        <w:rPr>
          <w:rFonts w:hint="eastAsia" w:ascii="仿宋" w:hAnsi="仿宋" w:eastAsia="仿宋" w:cs="仿宋"/>
          <w:color w:val="auto"/>
          <w:sz w:val="24"/>
          <w:szCs w:val="24"/>
          <w:highlight w:val="none"/>
        </w:rPr>
        <w:t>收取时间</w:t>
      </w:r>
      <w:bookmarkEnd w:id="511"/>
      <w:bookmarkEnd w:id="512"/>
      <w:bookmarkEnd w:id="513"/>
      <w:bookmarkEnd w:id="514"/>
      <w:bookmarkEnd w:id="515"/>
    </w:p>
    <w:p w14:paraId="5B9AEC35">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10.</w:t>
      </w:r>
      <w:bookmarkEnd w:id="516"/>
      <w:r>
        <w:rPr>
          <w:rFonts w:hint="eastAsia" w:ascii="仿宋" w:hAnsi="仿宋" w:eastAsia="仿宋" w:cs="仿宋"/>
          <w:color w:val="auto"/>
          <w:sz w:val="24"/>
          <w:highlight w:val="none"/>
        </w:rPr>
        <w:t>2.1采购代理机构按供应商须知前附表规定的时限收取招标代理服务费。</w:t>
      </w:r>
    </w:p>
    <w:p w14:paraId="5231C61F">
      <w:pPr>
        <w:pStyle w:val="3"/>
        <w:numPr>
          <w:ilvl w:val="0"/>
          <w:numId w:val="3"/>
        </w:numPr>
        <w:snapToGrid w:val="0"/>
        <w:spacing w:before="0" w:after="0" w:line="360" w:lineRule="auto"/>
        <w:rPr>
          <w:rFonts w:ascii="仿宋" w:hAnsi="仿宋" w:eastAsia="仿宋" w:cs="仿宋"/>
          <w:color w:val="auto"/>
          <w:sz w:val="24"/>
          <w:highlight w:val="none"/>
        </w:rPr>
      </w:pPr>
      <w:bookmarkStart w:id="517" w:name="_Toc496088108"/>
      <w:bookmarkStart w:id="518" w:name="_Toc28334"/>
      <w:bookmarkStart w:id="519" w:name="_Toc432367368"/>
      <w:bookmarkStart w:id="520" w:name="_Toc2914"/>
      <w:bookmarkStart w:id="521" w:name="_Toc485113102"/>
      <w:bookmarkStart w:id="522" w:name="_Toc430813284"/>
      <w:r>
        <w:rPr>
          <w:rFonts w:hint="eastAsia" w:ascii="仿宋" w:hAnsi="仿宋" w:eastAsia="仿宋" w:cs="仿宋"/>
          <w:color w:val="auto"/>
          <w:sz w:val="24"/>
          <w:highlight w:val="none"/>
        </w:rPr>
        <w:t>无效投标和废标</w:t>
      </w:r>
      <w:bookmarkEnd w:id="517"/>
      <w:bookmarkEnd w:id="518"/>
      <w:bookmarkEnd w:id="519"/>
      <w:bookmarkEnd w:id="520"/>
      <w:bookmarkEnd w:id="521"/>
    </w:p>
    <w:p w14:paraId="5577C60D">
      <w:pPr>
        <w:pStyle w:val="4"/>
        <w:snapToGrid w:val="0"/>
        <w:spacing w:before="0" w:after="0" w:line="360" w:lineRule="auto"/>
        <w:jc w:val="left"/>
        <w:rPr>
          <w:rFonts w:ascii="仿宋" w:hAnsi="仿宋" w:eastAsia="仿宋" w:cs="仿宋"/>
          <w:color w:val="auto"/>
          <w:sz w:val="24"/>
          <w:szCs w:val="24"/>
          <w:highlight w:val="none"/>
        </w:rPr>
      </w:pPr>
      <w:bookmarkStart w:id="523" w:name="_Toc432367369"/>
      <w:bookmarkStart w:id="524" w:name="_Toc485113103"/>
      <w:bookmarkStart w:id="525" w:name="_Toc21717"/>
      <w:bookmarkStart w:id="526" w:name="_Toc20178"/>
      <w:bookmarkStart w:id="527" w:name="_Toc496088109"/>
      <w:r>
        <w:rPr>
          <w:rFonts w:hint="eastAsia" w:ascii="仿宋" w:hAnsi="仿宋" w:eastAsia="仿宋" w:cs="仿宋"/>
          <w:color w:val="auto"/>
          <w:sz w:val="24"/>
          <w:szCs w:val="24"/>
          <w:highlight w:val="none"/>
        </w:rPr>
        <w:t>1</w:t>
      </w:r>
      <w:bookmarkEnd w:id="522"/>
      <w:r>
        <w:rPr>
          <w:rFonts w:hint="eastAsia" w:ascii="仿宋" w:hAnsi="仿宋" w:eastAsia="仿宋" w:cs="仿宋"/>
          <w:color w:val="auto"/>
          <w:sz w:val="24"/>
          <w:szCs w:val="24"/>
          <w:highlight w:val="none"/>
        </w:rPr>
        <w:t>1.</w:t>
      </w:r>
      <w:bookmarkStart w:id="528" w:name="_Toc430813285"/>
      <w:r>
        <w:rPr>
          <w:rFonts w:hint="eastAsia" w:ascii="仿宋" w:hAnsi="仿宋" w:eastAsia="仿宋" w:cs="仿宋"/>
          <w:color w:val="auto"/>
          <w:sz w:val="24"/>
          <w:szCs w:val="24"/>
          <w:highlight w:val="none"/>
        </w:rPr>
        <w:t>1 无效</w:t>
      </w:r>
      <w:bookmarkEnd w:id="523"/>
      <w:r>
        <w:rPr>
          <w:rFonts w:hint="eastAsia" w:ascii="仿宋" w:hAnsi="仿宋" w:eastAsia="仿宋" w:cs="仿宋"/>
          <w:color w:val="auto"/>
          <w:sz w:val="24"/>
          <w:szCs w:val="24"/>
          <w:highlight w:val="none"/>
        </w:rPr>
        <w:t>投标</w:t>
      </w:r>
      <w:bookmarkEnd w:id="524"/>
      <w:bookmarkEnd w:id="525"/>
      <w:bookmarkEnd w:id="526"/>
      <w:bookmarkEnd w:id="527"/>
    </w:p>
    <w:p w14:paraId="5226775C">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w:t>
      </w:r>
      <w:bookmarkEnd w:id="528"/>
      <w:r>
        <w:rPr>
          <w:rFonts w:hint="eastAsia" w:ascii="仿宋" w:hAnsi="仿宋" w:eastAsia="仿宋" w:cs="仿宋"/>
          <w:color w:val="auto"/>
          <w:sz w:val="24"/>
          <w:highlight w:val="none"/>
        </w:rPr>
        <w:t>1.1.1投标文件属下列情况之一的，应当在资格性、符合性检查时按照无效投标处理：详见第四章“评标标准及方法”。</w:t>
      </w:r>
    </w:p>
    <w:p w14:paraId="092923C5">
      <w:pPr>
        <w:pStyle w:val="4"/>
        <w:snapToGrid w:val="0"/>
        <w:spacing w:before="0" w:after="0" w:line="360" w:lineRule="auto"/>
        <w:jc w:val="left"/>
        <w:rPr>
          <w:rFonts w:ascii="仿宋" w:hAnsi="仿宋" w:eastAsia="仿宋" w:cs="仿宋"/>
          <w:color w:val="auto"/>
          <w:sz w:val="24"/>
          <w:szCs w:val="24"/>
          <w:highlight w:val="none"/>
        </w:rPr>
      </w:pPr>
      <w:bookmarkStart w:id="529" w:name="_Toc31129"/>
      <w:bookmarkStart w:id="530" w:name="_Toc496088110"/>
      <w:bookmarkStart w:id="531" w:name="_Toc4854"/>
      <w:bookmarkStart w:id="532" w:name="_Toc432367370"/>
      <w:bookmarkStart w:id="533" w:name="_Toc485113104"/>
      <w:r>
        <w:rPr>
          <w:rFonts w:hint="eastAsia" w:ascii="仿宋" w:hAnsi="仿宋" w:eastAsia="仿宋" w:cs="仿宋"/>
          <w:color w:val="auto"/>
          <w:sz w:val="24"/>
          <w:szCs w:val="24"/>
          <w:highlight w:val="none"/>
        </w:rPr>
        <w:t>11.</w:t>
      </w:r>
      <w:bookmarkStart w:id="534" w:name="_Toc430813286"/>
      <w:r>
        <w:rPr>
          <w:rFonts w:hint="eastAsia" w:ascii="仿宋" w:hAnsi="仿宋" w:eastAsia="仿宋" w:cs="仿宋"/>
          <w:color w:val="auto"/>
          <w:sz w:val="24"/>
          <w:szCs w:val="24"/>
          <w:highlight w:val="none"/>
        </w:rPr>
        <w:t>2 废标</w:t>
      </w:r>
      <w:bookmarkEnd w:id="529"/>
      <w:bookmarkEnd w:id="530"/>
      <w:bookmarkEnd w:id="531"/>
      <w:bookmarkEnd w:id="532"/>
      <w:bookmarkEnd w:id="533"/>
    </w:p>
    <w:p w14:paraId="3A406B87">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w:t>
      </w:r>
      <w:bookmarkEnd w:id="534"/>
      <w:r>
        <w:rPr>
          <w:rFonts w:hint="eastAsia" w:ascii="仿宋" w:hAnsi="仿宋" w:eastAsia="仿宋" w:cs="仿宋"/>
          <w:color w:val="auto"/>
          <w:sz w:val="24"/>
          <w:highlight w:val="none"/>
        </w:rPr>
        <w:t xml:space="preserve">1.2.1有下列情形之一的，采购人将重新招标在招标采购中，出现下列情形之一的，应予废标： </w:t>
      </w:r>
    </w:p>
    <w:p w14:paraId="43F591F7">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（1）符合专业条件的供应商或者对招标文件作实质响应的供应商不足三家的；</w:t>
      </w:r>
    </w:p>
    <w:p w14:paraId="0F5FC757">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（2）出现影响采购公正的违法、违规行为的；</w:t>
      </w:r>
    </w:p>
    <w:p w14:paraId="1D4165F7">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（3）供应商的报价均超过了采购预算，采购人不能支付的；</w:t>
      </w:r>
    </w:p>
    <w:p w14:paraId="53FD28CF">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（4）因重大变故，采购任务取消的。</w:t>
      </w:r>
    </w:p>
    <w:p w14:paraId="2941861F">
      <w:pPr>
        <w:pStyle w:val="3"/>
        <w:numPr>
          <w:ilvl w:val="0"/>
          <w:numId w:val="3"/>
        </w:numPr>
        <w:snapToGrid w:val="0"/>
        <w:spacing w:before="0" w:after="0" w:line="360" w:lineRule="auto"/>
        <w:rPr>
          <w:rFonts w:ascii="仿宋" w:hAnsi="仿宋" w:eastAsia="仿宋" w:cs="仿宋"/>
          <w:color w:val="auto"/>
          <w:sz w:val="24"/>
          <w:highlight w:val="none"/>
        </w:rPr>
      </w:pPr>
      <w:bookmarkStart w:id="535" w:name="_Toc432367371"/>
      <w:bookmarkStart w:id="536" w:name="_Toc30755"/>
      <w:bookmarkStart w:id="537" w:name="_Toc16662"/>
      <w:bookmarkStart w:id="538" w:name="_Toc485113105"/>
      <w:bookmarkStart w:id="539" w:name="_Toc496088111"/>
      <w:bookmarkStart w:id="540" w:name="_Toc430813287"/>
      <w:r>
        <w:rPr>
          <w:rFonts w:hint="eastAsia" w:ascii="仿宋" w:hAnsi="仿宋" w:eastAsia="仿宋" w:cs="仿宋"/>
          <w:color w:val="auto"/>
          <w:sz w:val="24"/>
          <w:highlight w:val="none"/>
        </w:rPr>
        <w:t>纪律</w:t>
      </w:r>
      <w:bookmarkEnd w:id="499"/>
      <w:bookmarkEnd w:id="500"/>
      <w:bookmarkEnd w:id="501"/>
      <w:bookmarkEnd w:id="502"/>
      <w:bookmarkEnd w:id="503"/>
      <w:bookmarkStart w:id="541" w:name="_Toc152045574"/>
      <w:bookmarkStart w:id="542" w:name="_Toc152042350"/>
      <w:bookmarkStart w:id="543" w:name="_Toc247527599"/>
      <w:bookmarkStart w:id="544" w:name="_Toc247513998"/>
      <w:bookmarkStart w:id="545" w:name="_Toc144974542"/>
      <w:r>
        <w:rPr>
          <w:rFonts w:hint="eastAsia" w:ascii="仿宋" w:hAnsi="仿宋" w:eastAsia="仿宋" w:cs="仿宋"/>
          <w:color w:val="auto"/>
          <w:sz w:val="24"/>
          <w:highlight w:val="none"/>
        </w:rPr>
        <w:t>和监督</w:t>
      </w:r>
      <w:bookmarkEnd w:id="535"/>
      <w:bookmarkEnd w:id="536"/>
      <w:bookmarkEnd w:id="537"/>
      <w:bookmarkEnd w:id="538"/>
      <w:bookmarkEnd w:id="539"/>
    </w:p>
    <w:p w14:paraId="35C2E3C2">
      <w:pPr>
        <w:pStyle w:val="4"/>
        <w:snapToGrid w:val="0"/>
        <w:spacing w:before="0" w:after="0" w:line="360" w:lineRule="auto"/>
        <w:jc w:val="left"/>
        <w:rPr>
          <w:rFonts w:ascii="仿宋" w:hAnsi="仿宋" w:eastAsia="仿宋" w:cs="仿宋"/>
          <w:color w:val="auto"/>
          <w:sz w:val="24"/>
          <w:szCs w:val="24"/>
          <w:highlight w:val="none"/>
        </w:rPr>
      </w:pPr>
      <w:bookmarkStart w:id="546" w:name="_Toc23808"/>
      <w:bookmarkStart w:id="547" w:name="_Toc432367372"/>
      <w:bookmarkStart w:id="548" w:name="_Toc485113106"/>
      <w:bookmarkStart w:id="549" w:name="_Toc22264"/>
      <w:bookmarkStart w:id="550" w:name="_Toc496088112"/>
      <w:r>
        <w:rPr>
          <w:rFonts w:hint="eastAsia" w:ascii="仿宋" w:hAnsi="仿宋" w:eastAsia="仿宋" w:cs="仿宋"/>
          <w:color w:val="auto"/>
          <w:sz w:val="24"/>
          <w:szCs w:val="24"/>
          <w:highlight w:val="none"/>
        </w:rPr>
        <w:t>1</w:t>
      </w:r>
      <w:bookmarkEnd w:id="504"/>
      <w:bookmarkEnd w:id="540"/>
      <w:bookmarkEnd w:id="541"/>
      <w:bookmarkEnd w:id="542"/>
      <w:bookmarkEnd w:id="543"/>
      <w:bookmarkEnd w:id="544"/>
      <w:bookmarkEnd w:id="545"/>
      <w:r>
        <w:rPr>
          <w:rFonts w:hint="eastAsia" w:ascii="仿宋" w:hAnsi="仿宋" w:eastAsia="仿宋" w:cs="仿宋"/>
          <w:color w:val="auto"/>
          <w:sz w:val="24"/>
          <w:szCs w:val="24"/>
          <w:highlight w:val="none"/>
        </w:rPr>
        <w:t>2.</w:t>
      </w:r>
      <w:bookmarkStart w:id="551" w:name="_Toc247527600"/>
      <w:bookmarkStart w:id="552" w:name="_Toc430813288"/>
      <w:bookmarkStart w:id="553" w:name="_Toc144974543"/>
      <w:bookmarkStart w:id="554" w:name="_Toc247513999"/>
      <w:bookmarkStart w:id="555" w:name="_Toc300834995"/>
      <w:bookmarkStart w:id="556" w:name="_Toc152045575"/>
      <w:bookmarkStart w:id="557" w:name="_Toc152042351"/>
      <w:r>
        <w:rPr>
          <w:rFonts w:hint="eastAsia" w:ascii="仿宋" w:hAnsi="仿宋" w:eastAsia="仿宋" w:cs="仿宋"/>
          <w:color w:val="auto"/>
          <w:sz w:val="24"/>
          <w:szCs w:val="24"/>
          <w:highlight w:val="none"/>
        </w:rPr>
        <w:t>1 对采购人和采购代理机构的纪律要求</w:t>
      </w:r>
      <w:bookmarkEnd w:id="546"/>
      <w:bookmarkEnd w:id="547"/>
      <w:bookmarkEnd w:id="548"/>
      <w:bookmarkEnd w:id="549"/>
      <w:bookmarkEnd w:id="550"/>
    </w:p>
    <w:p w14:paraId="53CA3EC8">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w:t>
      </w:r>
      <w:bookmarkEnd w:id="551"/>
      <w:bookmarkEnd w:id="552"/>
      <w:bookmarkEnd w:id="553"/>
      <w:bookmarkEnd w:id="554"/>
      <w:bookmarkEnd w:id="555"/>
      <w:bookmarkEnd w:id="556"/>
      <w:bookmarkEnd w:id="557"/>
      <w:r>
        <w:rPr>
          <w:rFonts w:hint="eastAsia" w:ascii="仿宋" w:hAnsi="仿宋" w:eastAsia="仿宋" w:cs="仿宋"/>
          <w:color w:val="auto"/>
          <w:sz w:val="24"/>
          <w:highlight w:val="none"/>
        </w:rPr>
        <w:t>2.1.1 采购人和采购代理机构不得相互串通损害国家利益、社会公共利益和其他当事人的合法权益；不得以任何手段排斥其他供应商参与竞争。</w:t>
      </w:r>
    </w:p>
    <w:p w14:paraId="27B17161">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12.1.2采购人和采购代理机构不得向供应商索要或者接受其给予的赠品、回扣或者与采购无关的其他商品、服务。</w:t>
      </w:r>
    </w:p>
    <w:p w14:paraId="1B3EC66B">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12.1.3采购人和采购代理机构工作人员不得接受供应商组织的宴请、旅游、娱乐，不得收受礼品、现金、有价证券等，不得向供应商报销应当由个人承担的费用。</w:t>
      </w:r>
    </w:p>
    <w:p w14:paraId="0E6A5010">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12.1.4 采购人可以根据采购项目的特殊要求，规定供应商的特定条件，但不得以不合理的条件对供应商实行差别待遇或者歧视待遇。</w:t>
      </w:r>
    </w:p>
    <w:p w14:paraId="7DC944C9">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12.1.5 采购人和采购代理机构不得向他人透露已获取招标文件的潜在供应商的名称、数量以及可能影响公平竞争的有关招标投标的其他情况。</w:t>
      </w:r>
    </w:p>
    <w:p w14:paraId="4F499618">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12.1.6 采购人和采购代理机构不得向评标委员会的评审专家作倾向性、误导性的解释或者说明。</w:t>
      </w:r>
    </w:p>
    <w:p w14:paraId="23011372">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12.1.7 采购人或者采购代理机构不得通过对样品进行检测、对供应商进行考察等方式改变评审结果。</w:t>
      </w:r>
    </w:p>
    <w:p w14:paraId="217E64B4">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12.1.8在确定中标供应商前，采购人或者采购代理机构不得与供应商就投标价格、投标方案等实质性内容进行谈判。</w:t>
      </w:r>
    </w:p>
    <w:p w14:paraId="3279F223">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12.1.9 采购人和采购代理机构不得向中标供应商提出任何不合理的要求，作为签订合同的条件，不得与中标供应商私下订立背离合同实质性内容的协议。</w:t>
      </w:r>
    </w:p>
    <w:p w14:paraId="3C700922">
      <w:pPr>
        <w:pStyle w:val="4"/>
        <w:snapToGrid w:val="0"/>
        <w:spacing w:before="0" w:after="0" w:line="360" w:lineRule="auto"/>
        <w:jc w:val="left"/>
        <w:rPr>
          <w:rFonts w:ascii="仿宋" w:hAnsi="仿宋" w:eastAsia="仿宋" w:cs="仿宋"/>
          <w:color w:val="auto"/>
          <w:sz w:val="24"/>
          <w:szCs w:val="24"/>
          <w:highlight w:val="none"/>
        </w:rPr>
      </w:pPr>
      <w:bookmarkStart w:id="558" w:name="_Toc26422"/>
      <w:bookmarkStart w:id="559" w:name="_Toc13734"/>
      <w:bookmarkStart w:id="560" w:name="_Toc485113107"/>
      <w:bookmarkStart w:id="561" w:name="_Toc496088113"/>
      <w:bookmarkStart w:id="562" w:name="_Toc432367373"/>
      <w:r>
        <w:rPr>
          <w:rFonts w:hint="eastAsia" w:ascii="仿宋" w:hAnsi="仿宋" w:eastAsia="仿宋" w:cs="仿宋"/>
          <w:color w:val="auto"/>
          <w:sz w:val="24"/>
          <w:szCs w:val="24"/>
          <w:highlight w:val="none"/>
        </w:rPr>
        <w:t>12.</w:t>
      </w:r>
      <w:bookmarkStart w:id="563" w:name="_Toc247514000"/>
      <w:bookmarkStart w:id="564" w:name="_Toc152042352"/>
      <w:bookmarkStart w:id="565" w:name="_Toc247527601"/>
      <w:bookmarkStart w:id="566" w:name="_Toc300834996"/>
      <w:bookmarkStart w:id="567" w:name="_Toc430813289"/>
      <w:bookmarkStart w:id="568" w:name="_Toc152045576"/>
      <w:bookmarkStart w:id="569" w:name="_Toc144974544"/>
      <w:r>
        <w:rPr>
          <w:rFonts w:hint="eastAsia" w:ascii="仿宋" w:hAnsi="仿宋" w:eastAsia="仿宋" w:cs="仿宋"/>
          <w:color w:val="auto"/>
          <w:sz w:val="24"/>
          <w:szCs w:val="24"/>
          <w:highlight w:val="none"/>
        </w:rPr>
        <w:t>2 对供应商的纪律要求</w:t>
      </w:r>
      <w:bookmarkEnd w:id="558"/>
      <w:bookmarkEnd w:id="559"/>
      <w:bookmarkEnd w:id="560"/>
      <w:bookmarkEnd w:id="561"/>
      <w:bookmarkEnd w:id="562"/>
    </w:p>
    <w:p w14:paraId="60495130">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w:t>
      </w:r>
      <w:bookmarkEnd w:id="563"/>
      <w:bookmarkEnd w:id="564"/>
      <w:bookmarkEnd w:id="565"/>
      <w:bookmarkEnd w:id="566"/>
      <w:bookmarkEnd w:id="567"/>
      <w:bookmarkEnd w:id="568"/>
      <w:bookmarkEnd w:id="569"/>
      <w:r>
        <w:rPr>
          <w:rFonts w:hint="eastAsia" w:ascii="仿宋" w:hAnsi="仿宋" w:eastAsia="仿宋" w:cs="仿宋"/>
          <w:color w:val="auto"/>
          <w:sz w:val="24"/>
          <w:highlight w:val="none"/>
        </w:rPr>
        <w:t>2.2.1 供应商不得以向采购人、采购代理机构、评标委员会的组成人员行贿或者提供虚假材料以及采取其他不正当手段谋取中标。</w:t>
      </w:r>
    </w:p>
    <w:p w14:paraId="62636109">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12.2.2 供应商之间不得相互串通投标报价，不得妨碍其他供应商的公平竞争，不得损害政府采购活动各当事人的合法权益。</w:t>
      </w:r>
    </w:p>
    <w:p w14:paraId="55BC0D5F">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12.2.3 供应商不得非法干预、影响评标办法的确定，以及评标过程和结果。</w:t>
      </w:r>
    </w:p>
    <w:p w14:paraId="382E3DA7">
      <w:pPr>
        <w:pStyle w:val="4"/>
        <w:snapToGrid w:val="0"/>
        <w:spacing w:before="0" w:after="0" w:line="360" w:lineRule="auto"/>
        <w:jc w:val="left"/>
        <w:rPr>
          <w:rFonts w:ascii="仿宋" w:hAnsi="仿宋" w:eastAsia="仿宋" w:cs="仿宋"/>
          <w:color w:val="auto"/>
          <w:sz w:val="24"/>
          <w:szCs w:val="24"/>
          <w:highlight w:val="none"/>
        </w:rPr>
      </w:pPr>
      <w:bookmarkStart w:id="570" w:name="_Toc432367374"/>
      <w:bookmarkStart w:id="571" w:name="_Toc15356"/>
      <w:bookmarkStart w:id="572" w:name="_Toc2221"/>
      <w:bookmarkStart w:id="573" w:name="_Toc485113108"/>
      <w:bookmarkStart w:id="574" w:name="_Toc496088114"/>
      <w:r>
        <w:rPr>
          <w:rFonts w:hint="eastAsia" w:ascii="仿宋" w:hAnsi="仿宋" w:eastAsia="仿宋" w:cs="仿宋"/>
          <w:color w:val="auto"/>
          <w:sz w:val="24"/>
          <w:szCs w:val="24"/>
          <w:highlight w:val="none"/>
        </w:rPr>
        <w:t>12.</w:t>
      </w:r>
      <w:bookmarkStart w:id="575" w:name="_Toc300834997"/>
      <w:bookmarkStart w:id="576" w:name="_Toc144974545"/>
      <w:bookmarkStart w:id="577" w:name="_Toc430813290"/>
      <w:bookmarkStart w:id="578" w:name="_Toc152045577"/>
      <w:bookmarkStart w:id="579" w:name="_Toc247527602"/>
      <w:bookmarkStart w:id="580" w:name="_Toc152042353"/>
      <w:bookmarkStart w:id="581" w:name="_Toc247514001"/>
      <w:r>
        <w:rPr>
          <w:rFonts w:hint="eastAsia" w:ascii="仿宋" w:hAnsi="仿宋" w:eastAsia="仿宋" w:cs="仿宋"/>
          <w:color w:val="auto"/>
          <w:sz w:val="24"/>
          <w:szCs w:val="24"/>
          <w:highlight w:val="none"/>
        </w:rPr>
        <w:t>3 对评标委员会成员的纪律要求</w:t>
      </w:r>
      <w:bookmarkEnd w:id="570"/>
      <w:bookmarkEnd w:id="571"/>
      <w:bookmarkEnd w:id="572"/>
      <w:bookmarkEnd w:id="573"/>
      <w:bookmarkEnd w:id="574"/>
    </w:p>
    <w:p w14:paraId="424A1BE2">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w:t>
      </w:r>
      <w:bookmarkEnd w:id="575"/>
      <w:bookmarkEnd w:id="576"/>
      <w:bookmarkEnd w:id="577"/>
      <w:bookmarkEnd w:id="578"/>
      <w:bookmarkEnd w:id="579"/>
      <w:bookmarkEnd w:id="580"/>
      <w:bookmarkEnd w:id="581"/>
      <w:r>
        <w:rPr>
          <w:rFonts w:hint="eastAsia" w:ascii="仿宋" w:hAnsi="仿宋" w:eastAsia="仿宋" w:cs="仿宋"/>
          <w:color w:val="auto"/>
          <w:sz w:val="24"/>
          <w:highlight w:val="none"/>
        </w:rPr>
        <w:t>2.3.1 评标委员会成员与供应商有利害关系的，必须回避。</w:t>
      </w:r>
    </w:p>
    <w:p w14:paraId="1B445FB1">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12.3.2 评标委员会成员应当遵守评审工作纪律，不得泄露评审文件、评审情况和评审中获悉的商业秘密。在评审过程中发现供应商有行贿、提供虚假材料或者串通等违法行为的，应当及时向财政部门报告。政府采购评审专家在评审过程中受到非法干预的，应当及时向财政、监察等部门举报。</w:t>
      </w:r>
    </w:p>
    <w:p w14:paraId="4312DFF7">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12.3.3 评标委员会成员应当按照客观、公正、审慎的原则，根据招标文件规定的评审程序、评审方法和评审标准进行独立评审。招标文件内容违反国家有关强制性规定的，评标委员会应当停止评审并向采购人或者采购代理机构说明情况。招标文件中没有规定的评标标准不得作为评审的依据。评标委员会成员应当在评审报告上签字，对自己的评审意见承担法律责任。对评审报告有异议的，应当在评审报告上签署不同意见，并说明理由，否则视为同意评审报告。</w:t>
      </w:r>
    </w:p>
    <w:p w14:paraId="045150F4">
      <w:pPr>
        <w:pStyle w:val="3"/>
        <w:numPr>
          <w:ilvl w:val="0"/>
          <w:numId w:val="3"/>
        </w:numPr>
        <w:snapToGrid w:val="0"/>
        <w:spacing w:before="0" w:after="0" w:line="360" w:lineRule="auto"/>
        <w:rPr>
          <w:rFonts w:ascii="仿宋" w:hAnsi="仿宋" w:eastAsia="仿宋" w:cs="仿宋"/>
          <w:color w:val="auto"/>
          <w:sz w:val="24"/>
          <w:highlight w:val="none"/>
        </w:rPr>
      </w:pPr>
      <w:bookmarkStart w:id="582" w:name="_Toc24733"/>
      <w:bookmarkStart w:id="583" w:name="_Toc485113109"/>
      <w:bookmarkStart w:id="584" w:name="_Toc432367376"/>
      <w:bookmarkStart w:id="585" w:name="_Toc31640"/>
      <w:bookmarkStart w:id="586" w:name="_Toc496088115"/>
      <w:bookmarkStart w:id="587" w:name="_Toc430813293"/>
      <w:bookmarkStart w:id="588" w:name="_Toc247527605"/>
      <w:bookmarkStart w:id="589" w:name="_Toc144974547"/>
      <w:bookmarkStart w:id="590" w:name="_Toc152045580"/>
      <w:bookmarkStart w:id="591" w:name="_Toc247514004"/>
      <w:bookmarkStart w:id="592" w:name="_Toc152042357"/>
      <w:bookmarkStart w:id="593" w:name="_Toc300835000"/>
      <w:r>
        <w:rPr>
          <w:rFonts w:hint="eastAsia" w:ascii="仿宋" w:hAnsi="仿宋" w:eastAsia="仿宋" w:cs="仿宋"/>
          <w:color w:val="auto"/>
          <w:sz w:val="24"/>
          <w:highlight w:val="none"/>
        </w:rPr>
        <w:t>需要补充的其他内容</w:t>
      </w:r>
      <w:bookmarkEnd w:id="582"/>
      <w:bookmarkEnd w:id="583"/>
      <w:bookmarkEnd w:id="584"/>
      <w:bookmarkEnd w:id="585"/>
      <w:bookmarkEnd w:id="586"/>
    </w:p>
    <w:p w14:paraId="016B7B5F">
      <w:pPr>
        <w:snapToGrid w:val="0"/>
        <w:spacing w:line="360" w:lineRule="auto"/>
        <w:ind w:firstLine="480" w:firstLineChars="200"/>
        <w:rPr>
          <w:rFonts w:ascii="仿宋" w:hAnsi="仿宋" w:eastAsia="仿宋" w:cs="仿宋"/>
          <w:color w:val="auto"/>
          <w:sz w:val="24"/>
          <w:highlight w:val="none"/>
          <w:u w:val="single"/>
        </w:rPr>
      </w:pPr>
      <w:r>
        <w:rPr>
          <w:rFonts w:hint="eastAsia" w:ascii="仿宋" w:hAnsi="仿宋" w:eastAsia="仿宋" w:cs="仿宋"/>
          <w:color w:val="auto"/>
          <w:sz w:val="24"/>
          <w:highlight w:val="none"/>
        </w:rPr>
        <w:t>13.1 需要</w:t>
      </w:r>
      <w:bookmarkEnd w:id="587"/>
      <w:bookmarkEnd w:id="588"/>
      <w:bookmarkEnd w:id="589"/>
      <w:bookmarkEnd w:id="590"/>
      <w:bookmarkEnd w:id="591"/>
      <w:bookmarkEnd w:id="592"/>
      <w:bookmarkEnd w:id="593"/>
      <w:r>
        <w:rPr>
          <w:rFonts w:hint="eastAsia" w:ascii="仿宋" w:hAnsi="仿宋" w:eastAsia="仿宋" w:cs="仿宋"/>
          <w:color w:val="auto"/>
          <w:sz w:val="24"/>
          <w:highlight w:val="none"/>
        </w:rPr>
        <w:t>补充的其他内容：见供应商须知前附表。</w:t>
      </w:r>
    </w:p>
    <w:p w14:paraId="0F528FEC">
      <w:pPr>
        <w:pStyle w:val="2"/>
        <w:spacing w:beforeLines="100" w:afterLines="100" w:line="360" w:lineRule="auto"/>
        <w:jc w:val="center"/>
        <w:rPr>
          <w:rFonts w:ascii="仿宋" w:hAnsi="仿宋" w:eastAsia="仿宋" w:cs="仿宋"/>
          <w:color w:val="auto"/>
          <w:kern w:val="2"/>
          <w:sz w:val="36"/>
          <w:highlight w:val="none"/>
        </w:rPr>
        <w:sectPr>
          <w:headerReference r:id="rId7" w:type="default"/>
          <w:footerReference r:id="rId8" w:type="default"/>
          <w:pgSz w:w="11906" w:h="16838"/>
          <w:pgMar w:top="1440" w:right="1286" w:bottom="1440" w:left="1380" w:header="851" w:footer="992" w:gutter="0"/>
          <w:cols w:space="720" w:num="1"/>
          <w:docGrid w:type="lines" w:linePitch="312" w:charSpace="0"/>
        </w:sectPr>
      </w:pPr>
    </w:p>
    <w:bookmarkEnd w:id="0"/>
    <w:bookmarkEnd w:id="1"/>
    <w:bookmarkEnd w:id="2"/>
    <w:p w14:paraId="22F48F23">
      <w:pPr>
        <w:pStyle w:val="2"/>
        <w:spacing w:beforeLines="100" w:afterLines="100" w:line="360" w:lineRule="auto"/>
        <w:jc w:val="center"/>
        <w:rPr>
          <w:rFonts w:ascii="仿宋" w:hAnsi="仿宋" w:eastAsia="仿宋" w:cs="仿宋"/>
          <w:color w:val="auto"/>
          <w:kern w:val="2"/>
          <w:sz w:val="36"/>
          <w:highlight w:val="none"/>
        </w:rPr>
      </w:pPr>
      <w:bookmarkStart w:id="594" w:name="_Toc22444"/>
      <w:bookmarkStart w:id="595" w:name="_Toc28146"/>
      <w:bookmarkStart w:id="596" w:name="_Toc451447851"/>
      <w:r>
        <w:rPr>
          <w:rFonts w:hint="eastAsia" w:ascii="仿宋" w:hAnsi="仿宋" w:eastAsia="仿宋" w:cs="仿宋"/>
          <w:color w:val="auto"/>
          <w:kern w:val="2"/>
          <w:sz w:val="36"/>
          <w:highlight w:val="none"/>
        </w:rPr>
        <w:t>第三章、项目概况及技术要求</w:t>
      </w:r>
      <w:bookmarkEnd w:id="594"/>
      <w:bookmarkEnd w:id="595"/>
    </w:p>
    <w:p w14:paraId="28AF6806">
      <w:pPr>
        <w:pStyle w:val="3"/>
        <w:spacing w:beforeLines="100" w:afterLines="50" w:line="360" w:lineRule="auto"/>
        <w:rPr>
          <w:rFonts w:ascii="仿宋" w:hAnsi="仿宋" w:eastAsia="仿宋" w:cs="仿宋"/>
          <w:color w:val="auto"/>
          <w:sz w:val="24"/>
          <w:highlight w:val="none"/>
        </w:rPr>
      </w:pPr>
      <w:bookmarkStart w:id="597" w:name="_Toc11769"/>
      <w:bookmarkStart w:id="598" w:name="_Toc15506"/>
      <w:bookmarkStart w:id="599" w:name="_Toc27068"/>
      <w:bookmarkStart w:id="600" w:name="_Toc13480"/>
      <w:r>
        <w:rPr>
          <w:rFonts w:hint="eastAsia" w:ascii="仿宋" w:hAnsi="仿宋" w:eastAsia="仿宋" w:cs="仿宋"/>
          <w:color w:val="auto"/>
          <w:sz w:val="24"/>
          <w:highlight w:val="none"/>
        </w:rPr>
        <w:t>一、项目概况</w:t>
      </w:r>
      <w:bookmarkEnd w:id="597"/>
      <w:bookmarkEnd w:id="598"/>
      <w:bookmarkEnd w:id="599"/>
      <w:bookmarkEnd w:id="600"/>
    </w:p>
    <w:p w14:paraId="7C75DDD6">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1、项目名称：华中科技大学同济医学院附属梨园医院诊疗环境修缮改造项目-血液净化中心改造工程（施工设计一体化）</w:t>
      </w:r>
    </w:p>
    <w:p w14:paraId="56D10A17">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2、项目地点：武汉市东湖风景区沿湖大道39号梨园医院内</w:t>
      </w:r>
    </w:p>
    <w:p w14:paraId="753EE5C3">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3、项目改造范围：包含血液净化中心和配套辅助用房的深化设计、采购（主要包括配套设备、材料、系统等）与施工。</w:t>
      </w:r>
    </w:p>
    <w:p w14:paraId="6E7FF5DE">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4、计划工期：90日历天</w:t>
      </w:r>
    </w:p>
    <w:p w14:paraId="47580EAD">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5、质保期：2年，有防水要求的保修期5年，自竣工验收之日起算。</w:t>
      </w:r>
    </w:p>
    <w:p w14:paraId="79289177">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6、建设规模：涉及综合楼6层（血液净化中心）区域，面积约为1100平方米。</w:t>
      </w:r>
    </w:p>
    <w:p w14:paraId="23FCED9D">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7、付款方式：（1）合同签订后甲方向乙方支付合同价总额的30%预付工程款；</w:t>
      </w:r>
    </w:p>
    <w:p w14:paraId="46CAF5CA">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（2）工程完工验收合格后甲方向乙方支付工程款至合同价总额的80％；</w:t>
      </w:r>
    </w:p>
    <w:p w14:paraId="081D77CE">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乙方提供工程竣工结算书及相关资料，经甲方审核、结算审计确认后乙方向甲方支付审定工程款总金额1.5%作为工程质保金，甲方在收到质保金后向乙方支付至审定工程款总金额的100%。质保期满后15日内甲方向乙方无息退还工程质保金。</w:t>
      </w:r>
    </w:p>
    <w:p w14:paraId="4CEDB263">
      <w:pPr>
        <w:pStyle w:val="3"/>
        <w:spacing w:beforeLines="100" w:afterLines="50"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二、招标范围</w:t>
      </w:r>
    </w:p>
    <w:p w14:paraId="639D1633">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招标范围：包含血液净化中心和配套辅助用房的深化设计、采购（主要包括配套设备、材料、系统等）与施工，具体如下：</w:t>
      </w:r>
    </w:p>
    <w:p w14:paraId="36CA286C">
      <w:pPr>
        <w:spacing w:line="360" w:lineRule="auto"/>
        <w:ind w:firstLine="482" w:firstLineChars="200"/>
        <w:rPr>
          <w:rFonts w:ascii="仿宋" w:hAnsi="仿宋" w:eastAsia="仿宋" w:cs="仿宋"/>
          <w:bCs/>
          <w:color w:val="auto"/>
          <w:sz w:val="24"/>
          <w:highlight w:val="none"/>
        </w:rPr>
      </w:pPr>
      <w:r>
        <w:rPr>
          <w:rFonts w:hint="eastAsia" w:ascii="仿宋" w:hAnsi="仿宋" w:eastAsia="仿宋" w:cs="仿宋"/>
          <w:b/>
          <w:color w:val="auto"/>
          <w:sz w:val="24"/>
          <w:highlight w:val="none"/>
        </w:rPr>
        <w:t>1.设计部分：</w:t>
      </w:r>
      <w:r>
        <w:rPr>
          <w:rFonts w:hint="eastAsia" w:ascii="仿宋" w:hAnsi="仿宋" w:eastAsia="仿宋" w:cs="仿宋"/>
          <w:bCs/>
          <w:color w:val="auto"/>
          <w:sz w:val="24"/>
          <w:highlight w:val="none"/>
        </w:rPr>
        <w:t>血液净化中心和配套辅助用房的建筑装修装饰、空调系统、强弱电系统、医用气体系统、给排水系统、消防系统（火灾自动报警、应急照明系统、喷淋系统）的施工图设计；</w:t>
      </w:r>
    </w:p>
    <w:p w14:paraId="32446406">
      <w:pPr>
        <w:spacing w:line="360" w:lineRule="auto"/>
        <w:ind w:firstLine="482" w:firstLineChars="200"/>
        <w:rPr>
          <w:rFonts w:ascii="仿宋" w:hAnsi="仿宋" w:eastAsia="仿宋" w:cs="仿宋"/>
          <w:bCs/>
          <w:color w:val="auto"/>
          <w:sz w:val="24"/>
          <w:highlight w:val="none"/>
        </w:rPr>
      </w:pPr>
      <w:r>
        <w:rPr>
          <w:rFonts w:hint="eastAsia" w:ascii="仿宋" w:hAnsi="仿宋" w:eastAsia="仿宋" w:cs="仿宋"/>
          <w:b/>
          <w:color w:val="auto"/>
          <w:sz w:val="24"/>
          <w:highlight w:val="none"/>
        </w:rPr>
        <w:t>2.施工部分：</w:t>
      </w:r>
      <w:r>
        <w:rPr>
          <w:rFonts w:hint="eastAsia" w:ascii="仿宋" w:hAnsi="仿宋" w:eastAsia="仿宋" w:cs="仿宋"/>
          <w:bCs/>
          <w:color w:val="auto"/>
          <w:sz w:val="24"/>
          <w:highlight w:val="none"/>
        </w:rPr>
        <w:t>血液净化中心和配套辅助用房的建筑装修装饰、空调系统、强弱电系统、医用气体系统、给排水系统、消防系统（火灾自动报警、应急照明系统、喷淋系统）的施工及配套设备安装工程；外围结构、电梯、楼梯间、前室、各种管井、外窗、办公家具等工程不在范围内。</w:t>
      </w:r>
    </w:p>
    <w:p w14:paraId="6DAD7239">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本工程为诊疗环境修缮工程，主要包含血液净化中心、辅助功能用房、设备机房等建设。</w:t>
      </w:r>
    </w:p>
    <w:p w14:paraId="53B512D4">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血液净化中心：共设置床位54床（阴性大厅46床、阳性大厅8床）以及相应的处置室、护士站台等。</w:t>
      </w:r>
    </w:p>
    <w:p w14:paraId="48FCF03F">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辅助功能用房：主要设置有医护办公区、治疗室、男女更衣室、会议室、值班室以及卫生间等功能用房。</w:t>
      </w:r>
    </w:p>
    <w:p w14:paraId="4B1B7083">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设备机房：主要设置有纯水机房、集中供液机房、干湿库房等。</w:t>
      </w:r>
    </w:p>
    <w:p w14:paraId="6AC32622">
      <w:pPr>
        <w:spacing w:line="360"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3.装饰部分</w:t>
      </w:r>
    </w:p>
    <w:p w14:paraId="2EBAFA94">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建筑装饰应遵循不产尘、不积尘、耐腐蚀、防潮防霉、容易清洁和符合防火要求的总原则。</w:t>
      </w:r>
    </w:p>
    <w:p w14:paraId="36E74AC7">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招标范围线以内土建墙体砌筑、土建墙体找平、楼层地面地坪找平，墙、顶、地面的装饰工程、内门窗、窗帘盒、窗台板等配套设施均在本次招标范围内；</w:t>
      </w:r>
    </w:p>
    <w:p w14:paraId="52F3C79B">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招标范围线以内的可移动家具、病床、移动设备、窗帘、床帘等由招标方自行采购；</w:t>
      </w:r>
    </w:p>
    <w:p w14:paraId="301DB94D">
      <w:pPr>
        <w:spacing w:line="360"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4.强弱电部分</w:t>
      </w:r>
    </w:p>
    <w:p w14:paraId="128B2534">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改造区新增的配电箱及其进线电缆，和配电箱后所有的桥架、线管、电源线、照明、插座等全部由中标方采购；</w:t>
      </w:r>
    </w:p>
    <w:p w14:paraId="167F6CB5">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招标范围包括设计范围内的电话、网络系统、无线AP系统、门禁、监控等弱电系统的采购及安装，其中网络交换机及末端点位均由中标方负责。</w:t>
      </w:r>
    </w:p>
    <w:p w14:paraId="524C8460">
      <w:pPr>
        <w:spacing w:line="360" w:lineRule="auto"/>
        <w:ind w:firstLine="482" w:firstLineChars="200"/>
        <w:rPr>
          <w:rFonts w:ascii="仿宋" w:hAnsi="仿宋" w:eastAsia="仿宋" w:cs="仿宋"/>
          <w:bCs/>
          <w:color w:val="auto"/>
          <w:sz w:val="24"/>
          <w:highlight w:val="none"/>
        </w:rPr>
      </w:pPr>
      <w:r>
        <w:rPr>
          <w:rFonts w:hint="eastAsia" w:ascii="仿宋" w:hAnsi="仿宋" w:eastAsia="仿宋" w:cs="仿宋"/>
          <w:b/>
          <w:color w:val="auto"/>
          <w:sz w:val="24"/>
          <w:highlight w:val="none"/>
        </w:rPr>
        <w:t>5.消防电部分</w:t>
      </w:r>
    </w:p>
    <w:p w14:paraId="2C806ACE">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改造区内的感烟探测器、感温探测器、手动报警按钮、声光警报器、消防广播等末端设备及管线全部由中标方采购及安装；</w:t>
      </w:r>
    </w:p>
    <w:p w14:paraId="27CC9EA8">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改造区内的疏散指示灯、应急照明灯具及管线全部由中标方采购及安装。</w:t>
      </w:r>
    </w:p>
    <w:p w14:paraId="33EDE007">
      <w:pPr>
        <w:spacing w:line="360"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6.空调部分</w:t>
      </w:r>
    </w:p>
    <w:p w14:paraId="6942441E">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本项目空调冷热源由院区主机系统提供。</w:t>
      </w:r>
    </w:p>
    <w:p w14:paraId="4E3F058E">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透析室及办公区均采用风机盘管加新、排风系统的空调方式，风机盘管为卧式暗装，每个新风支管设风阀，新风机设初中效过滤器。局部房间采用独立排气扇进行换气。</w:t>
      </w:r>
    </w:p>
    <w:p w14:paraId="33315461">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含改造范围内的空调风系统、水系统，含风管、水管、阀门、保温等相关附件；设备：风机盘管、新风机及排风机等；</w:t>
      </w:r>
    </w:p>
    <w:p w14:paraId="63C3FFEA">
      <w:pPr>
        <w:spacing w:line="360"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7.给排水部分</w:t>
      </w:r>
    </w:p>
    <w:p w14:paraId="40227286">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本项目招标范围线内的台盆、淋浴器、大便器等洁具及连接冷、热水横支管均在本次招标范围内；原则上公共走道吊顶内大部分冷、热水横干管利旧，但局部管径偏小的管道更换为合适管径的冷、热水横干管。</w:t>
      </w:r>
    </w:p>
    <w:p w14:paraId="06932E07">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本项目招标范围线内的纯水管道及纯水回水管道（不含纯水机房内部管道）均在本次招标范围内；原则上纯水机房内部管道由相关厂家负责设计及施工。</w:t>
      </w:r>
    </w:p>
    <w:p w14:paraId="70BB1902">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本项目招标范围线内的洁具排水横管及透析设备排水横管均在本次招标范围内；排水立管利旧。</w:t>
      </w:r>
    </w:p>
    <w:p w14:paraId="6451D26C">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本项目招标范围线内的喷头及喷淋连接支管均在本次招标范围内；原则上喷淋主干管利旧，但部分破损主管需拆除换新。</w:t>
      </w:r>
    </w:p>
    <w:p w14:paraId="04477928">
      <w:pPr>
        <w:spacing w:line="360" w:lineRule="auto"/>
        <w:ind w:firstLine="480" w:firstLineChars="200"/>
        <w:rPr>
          <w:rFonts w:ascii="仿宋" w:hAnsi="仿宋" w:eastAsia="仿宋" w:cs="仿宋"/>
          <w:b/>
          <w:color w:val="auto"/>
          <w:sz w:val="24"/>
          <w:highlight w:val="none"/>
        </w:rPr>
      </w:pPr>
      <w:r>
        <w:rPr>
          <w:rFonts w:hint="eastAsia" w:ascii="仿宋" w:hAnsi="仿宋" w:eastAsia="仿宋" w:cs="仿宋"/>
          <w:bCs/>
          <w:color w:val="auto"/>
          <w:sz w:val="24"/>
          <w:highlight w:val="none"/>
        </w:rPr>
        <w:t>本项目招标范围线内的大部分消火栓及消防管道利旧，仅部分与装饰布局冲突的消火栓需移位安装，移位安装消火栓的消防连接支管均在本次招标范围内。</w:t>
      </w:r>
    </w:p>
    <w:p w14:paraId="31688A13">
      <w:pPr>
        <w:pStyle w:val="3"/>
        <w:spacing w:beforeLines="100" w:afterLines="50"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三、项目技术要求</w:t>
      </w:r>
    </w:p>
    <w:p w14:paraId="218AF07A">
      <w:pPr>
        <w:spacing w:line="360"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(一)装饰系统技术要求</w:t>
      </w:r>
    </w:p>
    <w:p w14:paraId="0FC2E516">
      <w:pPr>
        <w:spacing w:line="360"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1.墙面：</w:t>
      </w:r>
    </w:p>
    <w:p w14:paraId="1E06E003">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①　血液净化中心（阴性大厅、阳性大厅）的墙面采用轻钢龙骨+</w:t>
      </w:r>
      <w:r>
        <w:rPr>
          <w:rFonts w:hint="eastAsia" w:ascii="仿宋" w:hAnsi="仿宋" w:eastAsia="仿宋" w:cs="仿宋"/>
          <w:bCs/>
          <w:color w:val="auto"/>
          <w:sz w:val="24"/>
          <w:highlight w:val="none"/>
          <w:lang w:val="en-US" w:eastAsia="zh-CN"/>
        </w:rPr>
        <w:t>8</w:t>
      </w:r>
      <w:r>
        <w:rPr>
          <w:rFonts w:hint="eastAsia" w:ascii="仿宋" w:hAnsi="仿宋" w:eastAsia="仿宋" w:cs="仿宋"/>
          <w:bCs/>
          <w:color w:val="auto"/>
          <w:sz w:val="24"/>
          <w:highlight w:val="none"/>
        </w:rPr>
        <w:t>mm 厚硅酸钙板，面层选用抗菌、防潮、阻燃、防腐、防蛀、易清洁的</w:t>
      </w:r>
      <w:r>
        <w:rPr>
          <w:rFonts w:hint="eastAsia" w:ascii="仿宋" w:hAnsi="仿宋" w:eastAsia="仿宋" w:cs="仿宋"/>
          <w:bCs/>
          <w:color w:val="auto"/>
          <w:sz w:val="24"/>
          <w:highlight w:val="none"/>
          <w:lang w:val="en-US" w:eastAsia="zh-CN"/>
        </w:rPr>
        <w:t>6</w:t>
      </w:r>
      <w:r>
        <w:rPr>
          <w:rFonts w:hint="eastAsia" w:ascii="仿宋" w:hAnsi="仿宋" w:eastAsia="仿宋" w:cs="仿宋"/>
          <w:bCs/>
          <w:color w:val="auto"/>
          <w:sz w:val="24"/>
          <w:highlight w:val="none"/>
        </w:rPr>
        <w:t>mm厚</w:t>
      </w:r>
      <w:r>
        <w:rPr>
          <w:rFonts w:hint="eastAsia" w:ascii="仿宋" w:hAnsi="仿宋" w:eastAsia="仿宋" w:cs="仿宋"/>
          <w:bCs/>
          <w:color w:val="auto"/>
          <w:sz w:val="24"/>
          <w:highlight w:val="none"/>
          <w:lang w:eastAsia="zh-CN"/>
        </w:rPr>
        <w:t>无机涂料</w:t>
      </w:r>
      <w:r>
        <w:rPr>
          <w:rFonts w:hint="eastAsia" w:ascii="仿宋" w:hAnsi="仿宋" w:eastAsia="仿宋" w:cs="仿宋"/>
          <w:bCs/>
          <w:color w:val="auto"/>
          <w:sz w:val="24"/>
          <w:highlight w:val="none"/>
        </w:rPr>
        <w:t>医疗板。</w:t>
      </w:r>
    </w:p>
    <w:p w14:paraId="343B3186">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②　辅助功能用房等空间的墙面采用玻纤壁布面刷白色抗菌无机涂料</w:t>
      </w:r>
    </w:p>
    <w:p w14:paraId="1A802C40">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③　设备用房等空间的墙面采用防水+墙砖。</w:t>
      </w:r>
    </w:p>
    <w:p w14:paraId="0BA93022">
      <w:pPr>
        <w:spacing w:line="360"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2.地面：</w:t>
      </w:r>
    </w:p>
    <w:p w14:paraId="2EF4642B">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1）血液净化中心（阴性大厅、阳性大厅）及辅助功能用房等空间的地面材料均要求采用2.0mm厚 ，无方向同质透心PVC地板。</w:t>
      </w:r>
    </w:p>
    <w:p w14:paraId="3CAC6B47">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2）设备用房等空间的地面采用防水+防滑地砖。</w:t>
      </w:r>
    </w:p>
    <w:p w14:paraId="7CA68903">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  PVC地板要求</w:t>
      </w:r>
    </w:p>
    <w:p w14:paraId="08FE2A3F">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A、类型：厚度2.0mm花纹透底型、无方向性花纹、同质透心PVC卷材</w:t>
      </w:r>
    </w:p>
    <w:p w14:paraId="6D5D32A8">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B、耐磨等级：根据EN660-2：1999+A1：2003和EN649：2011要求测定:≥T级。</w:t>
      </w:r>
    </w:p>
    <w:p w14:paraId="04285280">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C、防火等级：符合GB8624-2012判定： </w:t>
      </w:r>
    </w:p>
    <w:p w14:paraId="3592A89F">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D、有害物质检测：应符合GB18586-2001要求测定，未检出氯乙烯单体、可溶性重金属（铅、镉），挥发物符合要求。</w:t>
      </w:r>
    </w:p>
    <w:p w14:paraId="219AC997">
      <w:pPr>
        <w:spacing w:line="360" w:lineRule="auto"/>
        <w:ind w:firstLine="480" w:firstLineChars="200"/>
        <w:rPr>
          <w:rFonts w:ascii="仿宋" w:hAnsi="仿宋" w:eastAsia="仿宋" w:cs="仿宋"/>
          <w:bCs/>
          <w:color w:val="auto"/>
          <w:sz w:val="24"/>
          <w:highlight w:val="none"/>
        </w:rPr>
      </w:pPr>
    </w:p>
    <w:p w14:paraId="42DAFEB8">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E、防滑性：应符合EN14014和EN13893要求，达到技术等级DS。</w:t>
      </w:r>
    </w:p>
    <w:p w14:paraId="63173FA1">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F、抗化学性能：应符合EN 423:2001要求，包含氨水、丙酮、浓硫酸18mol/L、浓硝酸16mol/L、浓盐酸12 mol/L、氯仿、漂白剂、润滑油、甲苯等检测项目检测0级。</w:t>
      </w:r>
    </w:p>
    <w:p w14:paraId="32D7F89A">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G、TVOC（挥发有机化合物）检测：符合AgBB挥发物有机化合物测试要求测定，结果≤5µg/m3 。</w:t>
      </w:r>
    </w:p>
    <w:p w14:paraId="324E162F">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H、同质透心PVC卷材地板VOCs、醛酮化合物检测：28天后排放量通过ISO16000-9：2006/COR1-2007、ISO16000-6：2011、ISO16000-3：2011测试，（苯、甲苯、乙苯、间/对二甲苯、邻二甲苯、苯乙烯、正十一烷、1，4-对二氧笨、TVOC、甲醛、乙醛）测试结果均为：ND，未检出。</w:t>
      </w:r>
    </w:p>
    <w:p w14:paraId="7FB28DAB">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I、甲醛测试：应符合GB18580-2001要求，未检出。</w:t>
      </w:r>
    </w:p>
    <w:p w14:paraId="550E127F">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J、相关邻苯二甲酸酯类增塑剂检测：应符合EN14372：2004要求，通过42项检测。</w:t>
      </w:r>
    </w:p>
    <w:p w14:paraId="6C5F1068">
      <w:pPr>
        <w:spacing w:line="360"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3.天花：</w:t>
      </w:r>
    </w:p>
    <w:p w14:paraId="2D5E440C">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①　血液净化中心（阴性大厅、阳性大厅）等空间的顶面材料均采用轻钢龙骨+6mm 厚硅酸钙板，面层选用抗菌、防潮、阻燃、防腐、防蛀、易清洁的6mm厚无机预涂医疗板，辅助功能用房等空间的顶面材料采用生态硅晶板。</w:t>
      </w:r>
    </w:p>
    <w:p w14:paraId="74D7B402">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②　设备用房等空间、卫生间的顶面均采用铝扣板。</w:t>
      </w:r>
    </w:p>
    <w:p w14:paraId="62D3494E">
      <w:pPr>
        <w:spacing w:line="360"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(二)配电系统工程技术要求</w:t>
      </w:r>
    </w:p>
    <w:p w14:paraId="676D4B8A">
      <w:pPr>
        <w:spacing w:line="360"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1.系统设计要求</w:t>
      </w:r>
    </w:p>
    <w:p w14:paraId="5979E9F3">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①　透析区照明、插座等需要双电源供电，不需要UPS。</w:t>
      </w:r>
    </w:p>
    <w:p w14:paraId="3BCA34A6">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②　纯水机房、集中配液间照明、插座等需要双电源供电。</w:t>
      </w:r>
    </w:p>
    <w:p w14:paraId="2247CA9A">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③　照明应采用LED灯，灯带必须布置在送风口之外。</w:t>
      </w:r>
    </w:p>
    <w:p w14:paraId="42DC2F69">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④　透析大厅设计平均照度应在300LX及以上，办公室、会议室、护士站、治疗室设计平均照度应在300LX及以上，其余辅房及走廊平均照度应在100LX及以上。</w:t>
      </w:r>
    </w:p>
    <w:p w14:paraId="1E159BCA">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⑤　透析大厅设置一台双电源供电的总配电箱，每适量床位设置一台分配电箱。</w:t>
      </w:r>
    </w:p>
    <w:p w14:paraId="168987C3">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⑥　均采用低烟无卤B级及以上级别电缆、低烟无卤C级及以上级别电线。</w:t>
      </w:r>
    </w:p>
    <w:p w14:paraId="7782FE68">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⑦　电缆、电线应采用金属管及金属桥架敷设。</w:t>
      </w:r>
    </w:p>
    <w:p w14:paraId="010C0A69">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⑧　电缆、电线、桥架、套管等材料选材及敷设要符合设计规范标准。</w:t>
      </w:r>
    </w:p>
    <w:p w14:paraId="7B4B0325">
      <w:pPr>
        <w:spacing w:line="360"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(三)弱电系统工程技术要求</w:t>
      </w:r>
    </w:p>
    <w:p w14:paraId="44833750">
      <w:pPr>
        <w:spacing w:line="360"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1.系统设计总体要求</w:t>
      </w:r>
    </w:p>
    <w:p w14:paraId="09235893">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①　改造区设置电话、网络系统、无线AP系统、监控系统、门禁系统。</w:t>
      </w:r>
    </w:p>
    <w:p w14:paraId="35CE8C52">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②　所有设备及管线的招标、敷设均应符合国家电气、消防施工等相关技术规范要求。要求所有弱电的主机设备布局合理，整齐，美观，大方。弱电系统设置机柜集中放置。</w:t>
      </w:r>
    </w:p>
    <w:p w14:paraId="2729B396">
      <w:pPr>
        <w:spacing w:line="360"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2.电话、网络系统</w:t>
      </w:r>
    </w:p>
    <w:p w14:paraId="72DA2D8B">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①　为满足信息化需要，护士站和功能房间按功能需求设置电话、网络插座，透析大厅每个床位设备带上按需求网口。</w:t>
      </w:r>
    </w:p>
    <w:p w14:paraId="61A85F5A">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②　所有电话、网络线路引至弱电井内、预留长度4米，接入大楼信息系统。</w:t>
      </w:r>
    </w:p>
    <w:p w14:paraId="70DF7DB3">
      <w:pPr>
        <w:spacing w:line="360"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3.监控系统</w:t>
      </w:r>
    </w:p>
    <w:p w14:paraId="0D3F66C2">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①　监控点设置：透析大厅及各人员出入口均根据需要设置监控摄像机，所有图像都传送到系统主机，可实现多地点、多画面实时监控。</w:t>
      </w:r>
    </w:p>
    <w:p w14:paraId="33B2B494">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②　监控设备：各区域监控主机包括操作键盘，彩色监视器，硬盘录像机(带硬盘)。 </w:t>
      </w:r>
    </w:p>
    <w:p w14:paraId="0E55290F">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③　系统功能：系统通过数码网络硬盘录像机进行集中控制和处理，视频图像通过监视器显示，系统可实现记录图像的回放、检索等，同时监控画面可任意切换，任意分割、任意组合排列。</w:t>
      </w:r>
    </w:p>
    <w:p w14:paraId="6630B0BA">
      <w:pPr>
        <w:spacing w:line="360"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4.门禁系统</w:t>
      </w:r>
    </w:p>
    <w:p w14:paraId="68DDD537">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①　根据科室需求设置门禁系统，系统可实现刷卡、密码输入或人脸等方式。</w:t>
      </w:r>
    </w:p>
    <w:p w14:paraId="4DCC5D12">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②　系统由门禁控制器、读卡器、IC卡、电子门锁组成及开门按钮。门禁控制器在弱电井集中安装，读卡器、电子门锁结合门的形式安装，读卡器安装高度为1.3米。</w:t>
      </w:r>
    </w:p>
    <w:p w14:paraId="0ABD244D">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③　通信及线路要求：门口机与室内机间采用TCP/IP协议，采用六类非屏蔽网线UTP.CAT6。 </w:t>
      </w:r>
    </w:p>
    <w:p w14:paraId="370733C7">
      <w:pPr>
        <w:spacing w:line="360"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5.无线AP系统</w:t>
      </w:r>
    </w:p>
    <w:p w14:paraId="1C228986">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①　设置无线AP系统，系统包括AC控制器、网络交换机及吸顶AP。</w:t>
      </w:r>
    </w:p>
    <w:p w14:paraId="1BE712B7">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②　根据科室需求，在需要的地方设置吸顶AP。</w:t>
      </w:r>
    </w:p>
    <w:p w14:paraId="67DE0585">
      <w:pPr>
        <w:spacing w:line="360"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(四)给排水系统工程技术要求</w:t>
      </w:r>
    </w:p>
    <w:p w14:paraId="0A7DBFEF">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①　内冷水、热水管道采用304薄壁不锈钢管，均采用双卡压连接（或与大楼设计保持一致）；排水管道采用UPVC静音排水塑料管外包橡胶保温降噪处理。</w:t>
      </w:r>
    </w:p>
    <w:p w14:paraId="38E1CD2D">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②　热水管道需采用橡塑保温棉保温处理。</w:t>
      </w:r>
    </w:p>
    <w:p w14:paraId="6CD333B4">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③　卫生洁具应采用不易积存污物且易于清扫；洗手盆、污洗池均应设置冷、热水；</w:t>
      </w:r>
    </w:p>
    <w:p w14:paraId="01FFBEF4">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④　洗手盆采用柜式洗手盆，配套台面、铝合金柜体及五金配件；卫生间可采用大理石台盆，空间狭小的房间可采用立柱盆。</w:t>
      </w:r>
    </w:p>
    <w:p w14:paraId="03694059">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⑤　公共卫生间、护士站、无菌要求场所内的洗手盆采用感应式水龙头（带220V电源）；小便器配自动感应冲洗阀、蹲便器采用脚踏式冲洗阀。</w:t>
      </w:r>
    </w:p>
    <w:p w14:paraId="27EB2E41">
      <w:pPr>
        <w:spacing w:line="360"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(五)空调系统工程技术要求</w:t>
      </w:r>
    </w:p>
    <w:p w14:paraId="1E580C1B">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①　空调冷热源由院区主机系统提供。</w:t>
      </w:r>
    </w:p>
    <w:p w14:paraId="40AA5FB7">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②　透析室及办公区均采用风机盘管加新、排风系统；新风机组设置于机房内，入口设置具有关断功能的电控密闭阀，每个新风支管均设风阀调节；局部房间设独立排气扇进行换气。</w:t>
      </w:r>
    </w:p>
    <w:p w14:paraId="250D9D56">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③　风机盘管为卧式暗装，风管上设置初阻力小于50Pa，微生物一次通过率不大于5%的净化装置；新风机组入口设初效过滤。</w:t>
      </w:r>
    </w:p>
    <w:p w14:paraId="5DF1AD92">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④　风管采用热镀锌钢板制作，壁厚按规范中低压选择，镀锌钢板风管不刷漆，其法兰与支吊架刷铁红酚醛防锈漆，灰色磁化漆各两道。 </w:t>
      </w:r>
    </w:p>
    <w:p w14:paraId="7F294879">
      <w:pPr>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空调冷凝水管选用UPVC材料，冷凝水管和阀门、附件、风管保温均采用橡塑材料保温，保温材料通过难燃B1级检验，烟气毒性达到准安全二级（ZA2)，湿阻因子≥ 20000，导热系数（w/m°C）在0°C时不大于0.032，40°C时不大于0.037。</w:t>
      </w:r>
    </w:p>
    <w:p w14:paraId="30000118">
      <w:pPr>
        <w:numPr>
          <w:ilvl w:val="0"/>
          <w:numId w:val="7"/>
        </w:numPr>
        <w:spacing w:line="360" w:lineRule="auto"/>
        <w:ind w:firstLine="482" w:firstLineChars="200"/>
        <w:rPr>
          <w:rFonts w:hint="eastAsia" w:ascii="仿宋" w:hAnsi="仿宋" w:eastAsia="仿宋" w:cs="仿宋"/>
          <w:b/>
          <w:bCs w:val="0"/>
          <w:color w:val="auto"/>
          <w:sz w:val="24"/>
          <w:highlight w:val="none"/>
          <w:lang w:eastAsia="zh-CN"/>
        </w:rPr>
      </w:pPr>
      <w:r>
        <w:rPr>
          <w:rFonts w:hint="eastAsia" w:ascii="仿宋" w:hAnsi="仿宋" w:eastAsia="仿宋" w:cs="仿宋"/>
          <w:b/>
          <w:bCs w:val="0"/>
          <w:color w:val="auto"/>
          <w:sz w:val="24"/>
          <w:highlight w:val="none"/>
          <w:lang w:eastAsia="zh-CN"/>
        </w:rPr>
        <w:t>水机房、集中供液间装修和管路（材质）铺设要求</w:t>
      </w:r>
    </w:p>
    <w:p w14:paraId="5E81F525">
      <w:pPr>
        <w:numPr>
          <w:ilvl w:val="0"/>
          <w:numId w:val="8"/>
        </w:numPr>
        <w:spacing w:line="360" w:lineRule="auto"/>
        <w:ind w:left="361" w:leftChars="0" w:firstLine="0" w:firstLineChars="0"/>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地面做防水处理，铺设瓷砖，进门处做挡水坎高30mm（设备进入房间后安装）。</w:t>
      </w:r>
    </w:p>
    <w:p w14:paraId="2483A3A3">
      <w:pPr>
        <w:numPr>
          <w:ilvl w:val="0"/>
          <w:numId w:val="8"/>
        </w:numPr>
        <w:spacing w:line="360" w:lineRule="auto"/>
        <w:ind w:left="361" w:leftChars="0" w:firstLine="0" w:firstLineChars="0"/>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墙壁做防水处理1.5米，满墙瓷砖，做排水沟如图（宽200mm，深150mm），排水沟铺设不锈钢篦子做井盖。</w:t>
      </w:r>
    </w:p>
    <w:p w14:paraId="104FB5BC">
      <w:pPr>
        <w:numPr>
          <w:ilvl w:val="0"/>
          <w:numId w:val="8"/>
        </w:numPr>
        <w:spacing w:line="360" w:lineRule="auto"/>
        <w:ind w:left="361" w:leftChars="0" w:firstLine="0" w:firstLineChars="0"/>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入户门做隔音处理，密封性要好，入户门净宽不低于1500mm，净高不低于2000mm</w:t>
      </w:r>
    </w:p>
    <w:p w14:paraId="7B9A0E39">
      <w:pPr>
        <w:numPr>
          <w:ilvl w:val="0"/>
          <w:numId w:val="8"/>
        </w:numPr>
        <w:spacing w:line="360" w:lineRule="auto"/>
        <w:ind w:left="361" w:leftChars="0" w:firstLine="0" w:firstLineChars="0"/>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顶棚天花板采用活动扣板，净高大于2700mm。</w:t>
      </w:r>
    </w:p>
    <w:p w14:paraId="0C282401">
      <w:pPr>
        <w:numPr>
          <w:ilvl w:val="0"/>
          <w:numId w:val="8"/>
        </w:numPr>
        <w:spacing w:line="360" w:lineRule="auto"/>
        <w:ind w:left="361" w:leftChars="0" w:firstLine="0" w:firstLineChars="0"/>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机房需要空调设备及具备通风条件。</w:t>
      </w:r>
    </w:p>
    <w:p w14:paraId="479E75B5">
      <w:pPr>
        <w:numPr>
          <w:ilvl w:val="0"/>
          <w:numId w:val="8"/>
        </w:numPr>
        <w:spacing w:line="360" w:lineRule="auto"/>
        <w:ind w:left="361" w:leftChars="0" w:firstLine="0" w:firstLineChars="0"/>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设备总重量为2610KG，如楼层承重不够需要加固，房间墙体都需要石砖墙，进门右侧墙需能承重350kg挂件。</w:t>
      </w:r>
    </w:p>
    <w:p w14:paraId="50544700">
      <w:pPr>
        <w:numPr>
          <w:ilvl w:val="0"/>
          <w:numId w:val="8"/>
        </w:numPr>
        <w:spacing w:line="360" w:lineRule="auto"/>
        <w:ind w:left="361" w:leftChars="0" w:firstLine="0" w:firstLineChars="0"/>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设备供水/供电/排水要求如上，供电要求双路供电，三相五线制，带零线和地线接线柱，空开上不要装漏保。</w:t>
      </w:r>
    </w:p>
    <w:p w14:paraId="3308CBAE">
      <w:pPr>
        <w:numPr>
          <w:ilvl w:val="0"/>
          <w:numId w:val="8"/>
        </w:numPr>
        <w:spacing w:line="360" w:lineRule="auto"/>
        <w:ind w:left="361" w:leftChars="0" w:firstLine="0" w:firstLineChars="0"/>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需要预留自来水水箱备用，采用双水源供水，用于紧急用水。</w:t>
      </w:r>
    </w:p>
    <w:p w14:paraId="1B0730D1">
      <w:pPr>
        <w:numPr>
          <w:ilvl w:val="0"/>
          <w:numId w:val="8"/>
        </w:numPr>
        <w:spacing w:line="360" w:lineRule="auto"/>
        <w:ind w:left="361" w:leftChars="0" w:firstLine="0" w:firstLineChars="0"/>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排水管必须采用耐高温管，能耐90度高温。</w:t>
      </w:r>
    </w:p>
    <w:p w14:paraId="3D2E3189">
      <w:pPr>
        <w:numPr>
          <w:ilvl w:val="0"/>
          <w:numId w:val="8"/>
        </w:numPr>
        <w:spacing w:line="360" w:lineRule="auto"/>
        <w:ind w:left="361" w:leftChars="0" w:firstLine="0" w:firstLineChars="0"/>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自来水进水口预留：阀门，压力表，单向阀，1寸半内丝（DN40），主管道为2寸半（DN65），标高距离+1500mm，离墙+60mm，自来水进水压力要求为：4—5bar，运行流量：5T/H，提供双路水源供水。</w:t>
      </w:r>
    </w:p>
    <w:p w14:paraId="44B38369">
      <w:pPr>
        <w:numPr>
          <w:ilvl w:val="0"/>
          <w:numId w:val="8"/>
        </w:numPr>
        <w:spacing w:line="360" w:lineRule="auto"/>
        <w:ind w:left="361" w:leftChars="0" w:firstLine="0" w:firstLineChars="0"/>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预留防水插座（圆孔），要求220V，10A，五孔，标高距离+1500mm，共5组。</w:t>
      </w:r>
    </w:p>
    <w:p w14:paraId="78FB42D1">
      <w:pPr>
        <w:numPr>
          <w:ilvl w:val="0"/>
          <w:numId w:val="8"/>
        </w:numPr>
        <w:spacing w:line="360" w:lineRule="auto"/>
        <w:ind w:left="361" w:leftChars="0" w:firstLine="0" w:firstLineChars="0"/>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需要安装预处理配电箱，功率380V,5KW，三相五线制，标高距离+1500mm，预留20A空开1组，需带零线和地线接线柱。</w:t>
      </w:r>
    </w:p>
    <w:p w14:paraId="6D6D04D5">
      <w:pPr>
        <w:numPr>
          <w:ilvl w:val="0"/>
          <w:numId w:val="8"/>
        </w:numPr>
        <w:spacing w:line="360" w:lineRule="auto"/>
        <w:ind w:left="361" w:leftChars="0" w:firstLine="0" w:firstLineChars="0"/>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需要安装主机配电箱，功率380V,15KW，三相五线制，标高距离+1500mm，预留32A空开1组，需带零线和地线接线柱。</w:t>
      </w:r>
    </w:p>
    <w:p w14:paraId="35D1448D">
      <w:pPr>
        <w:numPr>
          <w:ilvl w:val="0"/>
          <w:numId w:val="8"/>
        </w:numPr>
        <w:spacing w:line="360" w:lineRule="auto"/>
        <w:ind w:left="361" w:leftChars="0" w:firstLine="0" w:firstLineChars="0"/>
        <w:rPr>
          <w:rFonts w:hint="default"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需要安装热消毒配电箱，功率380V,27KW，三相五线制，标高距离+1500mm，预留80A空开1组。</w:t>
      </w:r>
    </w:p>
    <w:p w14:paraId="6C17F345">
      <w:pPr>
        <w:numPr>
          <w:ilvl w:val="0"/>
          <w:numId w:val="0"/>
        </w:numPr>
        <w:spacing w:line="360" w:lineRule="auto"/>
        <w:ind w:left="361" w:leftChars="0"/>
        <w:rPr>
          <w:rFonts w:hint="default"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  </w:t>
      </w:r>
    </w:p>
    <w:p w14:paraId="7F65E17D">
      <w:pPr>
        <w:numPr>
          <w:ilvl w:val="0"/>
          <w:numId w:val="8"/>
        </w:numPr>
        <w:spacing w:line="360" w:lineRule="auto"/>
        <w:ind w:left="361" w:leftChars="0" w:firstLine="0" w:firstLineChars="0"/>
        <w:rPr>
          <w:rFonts w:hint="default"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需要安装水机房排水沟内排水地漏，排水地漏口径D110，共需要4处，排水管需要能耐高温90度。</w:t>
      </w:r>
    </w:p>
    <w:p w14:paraId="240BC699">
      <w:pPr>
        <w:numPr>
          <w:ilvl w:val="0"/>
          <w:numId w:val="8"/>
        </w:numPr>
        <w:spacing w:line="360" w:lineRule="auto"/>
        <w:ind w:left="361" w:leftChars="0" w:firstLine="0" w:firstLineChars="0"/>
        <w:rPr>
          <w:rFonts w:hint="default" w:ascii="仿宋" w:hAnsi="仿宋" w:eastAsia="仿宋" w:cs="仿宋"/>
          <w:b w:val="0"/>
          <w:bCs/>
          <w:color w:val="auto"/>
          <w:sz w:val="24"/>
          <w:highlight w:val="none"/>
          <w:lang w:val="en-US" w:eastAsia="zh-CN"/>
        </w:rPr>
      </w:pPr>
      <w:r>
        <w:rPr>
          <w:rFonts w:hint="default" w:ascii="仿宋" w:hAnsi="仿宋" w:eastAsia="仿宋" w:cs="仿宋"/>
          <w:b w:val="0"/>
          <w:bCs/>
          <w:color w:val="auto"/>
          <w:sz w:val="24"/>
          <w:highlight w:val="none"/>
          <w:lang w:val="en-US" w:eastAsia="zh-CN"/>
        </w:rPr>
        <w:t>纯水管路采用PEX管路，用于具有热消毒功能的配置中。该管路材质需要符合93/42/EEC要求，需要根据DIN ISO 10993-1:2010-04 2010进行生物学评估。DIN ISO 10993-1:2010-04 2010要求对管路材质进行血液毒理性测试和细胞毒理性测试，以满足血液透析治疗安全要求。能根据DIN EN ISO10993-4:2017 2017进行的血液毒理学实验结果显示，能用于血液透析治疗的水的应用上满足要求，具有适配性，铺设之前需提供第三方检测机构检测报告，能证明安装的该批次管路符合以上要求，能满足血液透析治疗安全要求。</w:t>
      </w:r>
    </w:p>
    <w:p w14:paraId="67C9DB31">
      <w:pPr>
        <w:numPr>
          <w:ilvl w:val="0"/>
          <w:numId w:val="8"/>
        </w:numPr>
        <w:spacing w:line="360" w:lineRule="auto"/>
        <w:ind w:left="361" w:leftChars="0" w:firstLine="0" w:firstLineChars="0"/>
        <w:rPr>
          <w:rFonts w:hint="default" w:ascii="仿宋" w:hAnsi="仿宋" w:eastAsia="仿宋" w:cs="仿宋"/>
          <w:b w:val="0"/>
          <w:bCs/>
          <w:color w:val="auto"/>
          <w:sz w:val="24"/>
          <w:highlight w:val="none"/>
          <w:lang w:val="en-US" w:eastAsia="zh-CN"/>
        </w:rPr>
      </w:pPr>
      <w:r>
        <w:rPr>
          <w:rFonts w:hint="default" w:ascii="仿宋" w:hAnsi="仿宋" w:eastAsia="仿宋" w:cs="仿宋"/>
          <w:b w:val="0"/>
          <w:bCs/>
          <w:color w:val="auto"/>
          <w:sz w:val="24"/>
          <w:highlight w:val="none"/>
          <w:lang w:val="en-US" w:eastAsia="zh-CN"/>
        </w:rPr>
        <w:t>设备柜范围处没有柱子的区域，如有天花至设备柜处的管路铺设需要加支撑柱以满足铺管铺设固定要求。</w:t>
      </w:r>
    </w:p>
    <w:p w14:paraId="695328F0">
      <w:pPr>
        <w:numPr>
          <w:ilvl w:val="0"/>
          <w:numId w:val="8"/>
        </w:numPr>
        <w:spacing w:line="360" w:lineRule="auto"/>
        <w:ind w:left="361" w:leftChars="0" w:firstLine="0" w:firstLineChars="0"/>
        <w:rPr>
          <w:rFonts w:hint="default" w:ascii="仿宋" w:hAnsi="仿宋" w:eastAsia="仿宋" w:cs="仿宋"/>
          <w:b w:val="0"/>
          <w:bCs/>
          <w:color w:val="auto"/>
          <w:sz w:val="24"/>
          <w:highlight w:val="none"/>
          <w:lang w:val="en-US" w:eastAsia="zh-CN"/>
        </w:rPr>
      </w:pPr>
      <w:r>
        <w:rPr>
          <w:rFonts w:hint="default" w:ascii="仿宋" w:hAnsi="仿宋" w:eastAsia="仿宋" w:cs="仿宋"/>
          <w:b w:val="0"/>
          <w:bCs/>
          <w:color w:val="auto"/>
          <w:sz w:val="24"/>
          <w:highlight w:val="none"/>
          <w:lang w:val="en-US" w:eastAsia="zh-CN"/>
        </w:rPr>
        <w:t>所有从天花板到设备柜处的立管为明管，需对这部分明管进行装饰封包。</w:t>
      </w:r>
    </w:p>
    <w:p w14:paraId="48FC0FCE">
      <w:pPr>
        <w:numPr>
          <w:ilvl w:val="0"/>
          <w:numId w:val="8"/>
        </w:numPr>
        <w:spacing w:line="360" w:lineRule="auto"/>
        <w:ind w:left="361" w:leftChars="0" w:firstLine="0" w:firstLineChars="0"/>
        <w:rPr>
          <w:rFonts w:hint="default" w:ascii="仿宋" w:hAnsi="仿宋" w:eastAsia="仿宋" w:cs="仿宋"/>
          <w:b w:val="0"/>
          <w:bCs/>
          <w:color w:val="auto"/>
          <w:sz w:val="24"/>
          <w:highlight w:val="none"/>
          <w:lang w:val="en-US" w:eastAsia="zh-CN"/>
        </w:rPr>
      </w:pPr>
      <w:r>
        <w:rPr>
          <w:rFonts w:hint="default" w:ascii="仿宋" w:hAnsi="仿宋" w:eastAsia="仿宋" w:cs="仿宋"/>
          <w:b w:val="0"/>
          <w:bCs/>
          <w:color w:val="auto"/>
          <w:sz w:val="24"/>
          <w:highlight w:val="none"/>
          <w:lang w:val="en-US" w:eastAsia="zh-CN"/>
        </w:rPr>
        <w:t>背靠背的机器，其中间的设备柜要求连通，不要隔断。</w:t>
      </w:r>
    </w:p>
    <w:p w14:paraId="2D51322E">
      <w:pPr>
        <w:numPr>
          <w:ilvl w:val="0"/>
          <w:numId w:val="8"/>
        </w:numPr>
        <w:spacing w:line="360" w:lineRule="auto"/>
        <w:ind w:left="361" w:leftChars="0" w:firstLine="0" w:firstLineChars="0"/>
        <w:rPr>
          <w:rFonts w:hint="default" w:ascii="仿宋" w:hAnsi="仿宋" w:eastAsia="仿宋" w:cs="仿宋"/>
          <w:b w:val="0"/>
          <w:bCs/>
          <w:color w:val="auto"/>
          <w:sz w:val="24"/>
          <w:highlight w:val="none"/>
          <w:lang w:val="en-US" w:eastAsia="zh-CN"/>
        </w:rPr>
      </w:pPr>
      <w:r>
        <w:rPr>
          <w:rFonts w:hint="default" w:ascii="仿宋" w:hAnsi="仿宋" w:eastAsia="仿宋" w:cs="仿宋"/>
          <w:b w:val="0"/>
          <w:bCs/>
          <w:color w:val="auto"/>
          <w:sz w:val="24"/>
          <w:highlight w:val="none"/>
          <w:lang w:val="en-US" w:eastAsia="zh-CN"/>
        </w:rPr>
        <w:t>设备柜中间有柱子，柜子和柱子间必须预留15cm空间，方便好铺设纯水管路。</w:t>
      </w:r>
    </w:p>
    <w:p w14:paraId="2C8C9F4F">
      <w:pPr>
        <w:spacing w:line="360" w:lineRule="auto"/>
        <w:rPr>
          <w:rStyle w:val="36"/>
          <w:rFonts w:ascii="仿宋" w:hAnsi="仿宋" w:eastAsia="仿宋" w:cs="仿宋"/>
          <w:color w:val="auto"/>
          <w:sz w:val="24"/>
          <w:highlight w:val="none"/>
        </w:rPr>
      </w:pPr>
      <w:r>
        <w:rPr>
          <w:rFonts w:hint="eastAsia" w:ascii="仿宋" w:hAnsi="仿宋" w:eastAsia="仿宋" w:cs="仿宋"/>
          <w:b/>
          <w:color w:val="auto"/>
          <w:sz w:val="24"/>
          <w:highlight w:val="none"/>
        </w:rPr>
        <w:t>四、工程执行标准</w:t>
      </w:r>
    </w:p>
    <w:p w14:paraId="1865A4C3">
      <w:pPr>
        <w:spacing w:line="360" w:lineRule="auto"/>
        <w:ind w:firstLine="480" w:firstLineChars="200"/>
        <w:rPr>
          <w:rFonts w:ascii="仿宋" w:hAnsi="仿宋" w:eastAsia="仿宋" w:cs="仿宋"/>
          <w:bCs/>
          <w:color w:val="auto"/>
          <w:sz w:val="24"/>
          <w:highlight w:val="none"/>
        </w:rPr>
      </w:pPr>
      <w:bookmarkStart w:id="601" w:name="_Toc32639"/>
      <w:bookmarkStart w:id="602" w:name="_Toc17467"/>
      <w:bookmarkStart w:id="603" w:name="_Toc505611548"/>
      <w:r>
        <w:rPr>
          <w:rFonts w:hint="eastAsia" w:ascii="仿宋" w:hAnsi="仿宋" w:eastAsia="仿宋" w:cs="仿宋"/>
          <w:bCs/>
          <w:color w:val="auto"/>
          <w:sz w:val="24"/>
          <w:highlight w:val="none"/>
        </w:rPr>
        <w:t>1、总体原则是：功能布局合理，配套设施完善，功能与设施先进完备。</w:t>
      </w:r>
    </w:p>
    <w:p w14:paraId="5A598532">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2、项目范围内施工工艺、设备及材料的选择都应具有先进性，满足现代化医院的使用要求。设备及工艺的安排应达到低噪音、高洁净、新风量充足、保证环保的要求，具有先进性、高可靠性、实用性、经济性与合理性、有舒适宁静的室内环境。全部技术指标，包括设备、材料、包装、运输、安装、调试、维修等各项目技术参数，必须符合本招标文件及国家规范的相关要求。包括但不限于下列规范：</w:t>
      </w:r>
    </w:p>
    <w:p w14:paraId="7D857639">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2.1《综合医院建筑设计规范》GB51039-2014</w:t>
      </w:r>
    </w:p>
    <w:p w14:paraId="74DAA5D2">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2.2《建筑设计防火规范》GB50016-2014(2018版)</w:t>
      </w:r>
    </w:p>
    <w:p w14:paraId="6FE4DCB3">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2.3《建筑内部装修设计防火规范》GB50222-2017</w:t>
      </w:r>
    </w:p>
    <w:p w14:paraId="765C7792">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2.4《医院空气净化管理规范》WST 368-2012</w:t>
      </w:r>
    </w:p>
    <w:p w14:paraId="55348D8F">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2.5《民用建筑供热通风与空气调节设计规范》GB50736-2012</w:t>
      </w:r>
    </w:p>
    <w:p w14:paraId="6B18F26D">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2.6《通风与空调工程施工质量验收规范》GB50243-2016</w:t>
      </w:r>
    </w:p>
    <w:p w14:paraId="1DDB99EF">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2.7《民用建筑电气设计标准》GB51348-2019</w:t>
      </w:r>
    </w:p>
    <w:p w14:paraId="31CE2121">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2.8《建筑照明设计标准》GB/T50034-2024</w:t>
      </w:r>
    </w:p>
    <w:p w14:paraId="472FBD46">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2.9《电力工程电缆设计标准》GB50217-2018      </w:t>
      </w:r>
    </w:p>
    <w:p w14:paraId="5ECCA8A6">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2.10《</w:t>
      </w:r>
      <w:r>
        <w:rPr>
          <w:color w:val="auto"/>
          <w:highlight w:val="none"/>
        </w:rPr>
        <w:fldChar w:fldCharType="begin"/>
      </w:r>
      <w:r>
        <w:rPr>
          <w:color w:val="auto"/>
          <w:highlight w:val="none"/>
        </w:rPr>
        <w:instrText xml:space="preserve"> HYPERLINK "http://cx.spsp.gov.cn/index.aspx?Token=$Token$&amp;First=First" </w:instrText>
      </w:r>
      <w:r>
        <w:rPr>
          <w:color w:val="auto"/>
          <w:highlight w:val="none"/>
        </w:rPr>
        <w:fldChar w:fldCharType="separate"/>
      </w:r>
      <w:r>
        <w:rPr>
          <w:rFonts w:hint="eastAsia" w:ascii="仿宋" w:hAnsi="仿宋" w:eastAsia="仿宋" w:cs="仿宋"/>
          <w:bCs/>
          <w:color w:val="auto"/>
          <w:sz w:val="24"/>
          <w:highlight w:val="none"/>
        </w:rPr>
        <w:t>医用气体工程技术规范</w:t>
      </w:r>
      <w:r>
        <w:rPr>
          <w:rFonts w:hint="eastAsia" w:ascii="仿宋" w:hAnsi="仿宋" w:eastAsia="仿宋" w:cs="仿宋"/>
          <w:bCs/>
          <w:color w:val="auto"/>
          <w:sz w:val="24"/>
          <w:highlight w:val="none"/>
        </w:rPr>
        <w:fldChar w:fldCharType="end"/>
      </w:r>
      <w:r>
        <w:rPr>
          <w:rFonts w:hint="eastAsia" w:ascii="仿宋" w:hAnsi="仿宋" w:eastAsia="仿宋" w:cs="仿宋"/>
          <w:bCs/>
          <w:color w:val="auto"/>
          <w:sz w:val="24"/>
          <w:highlight w:val="none"/>
        </w:rPr>
        <w:t>》GB50751-2012</w:t>
      </w:r>
    </w:p>
    <w:p w14:paraId="3877D359">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其它与本工程相关的技术规范。</w:t>
      </w:r>
    </w:p>
    <w:p w14:paraId="7BDA5599">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如果国家有新的行业标准公布，则按新标准执行。</w:t>
      </w:r>
    </w:p>
    <w:p w14:paraId="1D2D48D8">
      <w:pPr>
        <w:spacing w:line="36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五、质量要求 </w:t>
      </w:r>
    </w:p>
    <w:p w14:paraId="4244E533">
      <w:pPr>
        <w:spacing w:line="360" w:lineRule="auto"/>
        <w:ind w:firstLine="480" w:firstLineChars="20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1.工程质量要求：必须符合现行国家有关工程施工质量验收规范和标准中的合格要求；  </w:t>
      </w:r>
    </w:p>
    <w:p w14:paraId="3B349DA7">
      <w:pPr>
        <w:spacing w:line="360" w:lineRule="auto"/>
        <w:ind w:firstLine="480" w:firstLineChars="20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2.工程所用材料，必须符合国家节能环保要求；</w:t>
      </w:r>
    </w:p>
    <w:p w14:paraId="7D6DB96D">
      <w:pPr>
        <w:spacing w:line="360" w:lineRule="auto"/>
        <w:ind w:firstLine="480" w:firstLineChars="20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3.安全生产管理目标要求：合格；</w:t>
      </w:r>
    </w:p>
    <w:p w14:paraId="147369D7">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kern w:val="0"/>
          <w:sz w:val="24"/>
          <w:highlight w:val="none"/>
        </w:rPr>
        <w:t>4.环境保护与文明施工管理目标要求：合格。</w:t>
      </w:r>
    </w:p>
    <w:p w14:paraId="59D357A0">
      <w:pPr>
        <w:spacing w:line="36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六、售后服务</w:t>
      </w:r>
    </w:p>
    <w:p w14:paraId="6BEEE884">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kern w:val="0"/>
          <w:sz w:val="24"/>
          <w:highlight w:val="none"/>
        </w:rPr>
        <w:t>本工程质保期2年，有防水要求的保修期5年，自竣工验收之日起算，质保期内施工单位维修人员在接到通知后至少24小时内到达现场,质保期内，由于产品质量问题引起的故障，施工单位免费维修。</w:t>
      </w:r>
    </w:p>
    <w:p w14:paraId="4376CE5F">
      <w:pPr>
        <w:spacing w:line="360" w:lineRule="auto"/>
        <w:rPr>
          <w:rFonts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七、</w:t>
      </w:r>
      <w:bookmarkEnd w:id="601"/>
      <w:bookmarkEnd w:id="602"/>
      <w:bookmarkEnd w:id="603"/>
      <w:r>
        <w:rPr>
          <w:rFonts w:hint="eastAsia" w:ascii="仿宋" w:hAnsi="仿宋" w:eastAsia="仿宋" w:cs="仿宋"/>
          <w:b/>
          <w:bCs/>
          <w:color w:val="auto"/>
          <w:kern w:val="0"/>
          <w:sz w:val="24"/>
          <w:highlight w:val="none"/>
        </w:rPr>
        <w:t>施工主要材料和其它要求</w:t>
      </w:r>
    </w:p>
    <w:p w14:paraId="79A4D37D">
      <w:pPr>
        <w:spacing w:line="360" w:lineRule="auto"/>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1.维修改造过程中对非改造区域的墙面、地面、门窗及设施设备需进行成品防护，如施工过程因防护措施不全或施工管理不善造成的损坏由施工单位赔偿并修复。</w:t>
      </w:r>
    </w:p>
    <w:p w14:paraId="2BC85A69">
      <w:pPr>
        <w:spacing w:line="360" w:lineRule="auto"/>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2.施工过程中施工单位需确保临近施工区域的医疗场所正常医疗秩序不受影响，应做好必要的防尘、降噪措施。</w:t>
      </w:r>
    </w:p>
    <w:p w14:paraId="49788B44">
      <w:pPr>
        <w:spacing w:line="360" w:lineRule="auto"/>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3.施工材料运输、堆放需严格遵守院方规定，保证不影响医院正常医疗秩序和环境卫生。</w:t>
      </w:r>
    </w:p>
    <w:p w14:paraId="014F3770">
      <w:pPr>
        <w:spacing w:line="360" w:lineRule="auto"/>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4.主要材料及设备要求：</w:t>
      </w:r>
    </w:p>
    <w:p w14:paraId="6C8CDBB9">
      <w:pPr>
        <w:pStyle w:val="38"/>
        <w:spacing w:line="410" w:lineRule="exact"/>
        <w:ind w:firstLine="0"/>
        <w:jc w:val="center"/>
        <w:rPr>
          <w:rFonts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主要材料和设备技术要求、参考品牌清单</w:t>
      </w:r>
    </w:p>
    <w:p w14:paraId="15566F26">
      <w:pPr>
        <w:pStyle w:val="38"/>
        <w:spacing w:line="410" w:lineRule="exact"/>
        <w:ind w:firstLine="0"/>
        <w:jc w:val="center"/>
        <w:rPr>
          <w:rFonts w:ascii="仿宋" w:hAnsi="仿宋" w:eastAsia="仿宋" w:cs="仿宋"/>
          <w:color w:val="auto"/>
          <w:sz w:val="24"/>
          <w:szCs w:val="24"/>
          <w:highlight w:val="none"/>
        </w:rPr>
      </w:pPr>
    </w:p>
    <w:tbl>
      <w:tblPr>
        <w:tblStyle w:val="22"/>
        <w:tblW w:w="4656" w:type="pct"/>
        <w:tblInd w:w="113" w:type="dxa"/>
        <w:tblLayout w:type="fixed"/>
        <w:tblCellMar>
          <w:top w:w="0" w:type="dxa"/>
          <w:left w:w="108" w:type="dxa"/>
          <w:bottom w:w="0" w:type="dxa"/>
          <w:right w:w="108" w:type="dxa"/>
        </w:tblCellMar>
      </w:tblPr>
      <w:tblGrid>
        <w:gridCol w:w="1414"/>
        <w:gridCol w:w="3236"/>
        <w:gridCol w:w="4526"/>
      </w:tblGrid>
      <w:tr w14:paraId="6802602B">
        <w:tblPrEx>
          <w:tblCellMar>
            <w:top w:w="0" w:type="dxa"/>
            <w:left w:w="108" w:type="dxa"/>
            <w:bottom w:w="0" w:type="dxa"/>
            <w:right w:w="108" w:type="dxa"/>
          </w:tblCellMar>
        </w:tblPrEx>
        <w:trPr>
          <w:trHeight w:val="880" w:hRule="atLeast"/>
        </w:trPr>
        <w:tc>
          <w:tcPr>
            <w:tcW w:w="770" w:type="pct"/>
            <w:tcBorders>
              <w:top w:val="single" w:color="auto" w:sz="4" w:space="0"/>
              <w:left w:val="single" w:color="auto" w:sz="4" w:space="0"/>
              <w:bottom w:val="single" w:color="auto" w:sz="4" w:space="0"/>
              <w:right w:val="single" w:color="auto" w:sz="4" w:space="0"/>
            </w:tcBorders>
            <w:noWrap/>
            <w:vAlign w:val="center"/>
          </w:tcPr>
          <w:p w14:paraId="0A845C70">
            <w:pPr>
              <w:pStyle w:val="39"/>
              <w:widowControl/>
              <w:jc w:val="center"/>
              <w:rPr>
                <w:rFonts w:ascii="仿宋" w:hAnsi="仿宋" w:eastAsia="仿宋" w:cs="仿宋"/>
                <w:color w:val="auto"/>
                <w:sz w:val="24"/>
                <w:szCs w:val="24"/>
                <w:highlight w:val="none"/>
              </w:rPr>
            </w:pPr>
            <w:bookmarkStart w:id="604" w:name="_Hlk119315678"/>
            <w:r>
              <w:rPr>
                <w:rFonts w:hint="eastAsia" w:ascii="仿宋" w:hAnsi="仿宋" w:eastAsia="仿宋" w:cs="仿宋"/>
                <w:color w:val="auto"/>
                <w:sz w:val="24"/>
                <w:szCs w:val="24"/>
                <w:highlight w:val="none"/>
              </w:rPr>
              <w:t>序号</w:t>
            </w:r>
          </w:p>
        </w:tc>
        <w:tc>
          <w:tcPr>
            <w:tcW w:w="1763" w:type="pct"/>
            <w:tcBorders>
              <w:top w:val="single" w:color="auto" w:sz="4" w:space="0"/>
              <w:left w:val="nil"/>
              <w:bottom w:val="single" w:color="auto" w:sz="4" w:space="0"/>
              <w:right w:val="single" w:color="auto" w:sz="4" w:space="0"/>
            </w:tcBorders>
            <w:noWrap/>
            <w:vAlign w:val="center"/>
          </w:tcPr>
          <w:p w14:paraId="2E9FA294">
            <w:pPr>
              <w:pStyle w:val="39"/>
              <w:widowControl/>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设备、材料名称</w:t>
            </w:r>
          </w:p>
        </w:tc>
        <w:tc>
          <w:tcPr>
            <w:tcW w:w="2466" w:type="pct"/>
            <w:tcBorders>
              <w:top w:val="single" w:color="auto" w:sz="4" w:space="0"/>
              <w:left w:val="nil"/>
              <w:bottom w:val="single" w:color="auto" w:sz="4" w:space="0"/>
              <w:right w:val="single" w:color="auto" w:sz="4" w:space="0"/>
            </w:tcBorders>
            <w:noWrap/>
            <w:vAlign w:val="center"/>
          </w:tcPr>
          <w:p w14:paraId="72DAD0B8">
            <w:pPr>
              <w:pStyle w:val="39"/>
              <w:widowControl/>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推荐品牌</w:t>
            </w:r>
          </w:p>
        </w:tc>
      </w:tr>
      <w:tr w14:paraId="48543AE2">
        <w:tblPrEx>
          <w:tblCellMar>
            <w:top w:w="0" w:type="dxa"/>
            <w:left w:w="108" w:type="dxa"/>
            <w:bottom w:w="0" w:type="dxa"/>
            <w:right w:w="108" w:type="dxa"/>
          </w:tblCellMar>
        </w:tblPrEx>
        <w:trPr>
          <w:trHeight w:val="645" w:hRule="atLeast"/>
        </w:trPr>
        <w:tc>
          <w:tcPr>
            <w:tcW w:w="770" w:type="pct"/>
            <w:tcBorders>
              <w:top w:val="single" w:color="auto" w:sz="4" w:space="0"/>
              <w:left w:val="single" w:color="auto" w:sz="4" w:space="0"/>
              <w:bottom w:val="single" w:color="auto" w:sz="4" w:space="0"/>
              <w:right w:val="single" w:color="auto" w:sz="4" w:space="0"/>
            </w:tcBorders>
            <w:noWrap/>
            <w:vAlign w:val="center"/>
          </w:tcPr>
          <w:p w14:paraId="479D84B5">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1763" w:type="pct"/>
            <w:tcBorders>
              <w:top w:val="single" w:color="auto" w:sz="4" w:space="0"/>
              <w:left w:val="single" w:color="auto" w:sz="4" w:space="0"/>
              <w:bottom w:val="single" w:color="auto" w:sz="4" w:space="0"/>
              <w:right w:val="single" w:color="auto" w:sz="4" w:space="0"/>
            </w:tcBorders>
            <w:noWrap/>
            <w:vAlign w:val="center"/>
          </w:tcPr>
          <w:p w14:paraId="264527B5">
            <w:pPr>
              <w:jc w:val="center"/>
              <w:rPr>
                <w:rFonts w:ascii="仿宋" w:hAnsi="仿宋" w:eastAsia="仿宋" w:cs="仿宋"/>
                <w:color w:val="auto"/>
                <w:sz w:val="24"/>
                <w:highlight w:val="none"/>
              </w:rPr>
            </w:pPr>
            <w:r>
              <w:rPr>
                <w:rFonts w:hint="eastAsia" w:ascii="仿宋" w:hAnsi="仿宋" w:eastAsia="仿宋" w:cs="仿宋"/>
                <w:color w:val="auto"/>
                <w:sz w:val="24"/>
                <w:highlight w:val="none"/>
              </w:rPr>
              <w:t>地胶</w:t>
            </w:r>
          </w:p>
        </w:tc>
        <w:tc>
          <w:tcPr>
            <w:tcW w:w="2466" w:type="pct"/>
            <w:tcBorders>
              <w:top w:val="single" w:color="auto" w:sz="4" w:space="0"/>
              <w:left w:val="single" w:color="auto" w:sz="4" w:space="0"/>
              <w:bottom w:val="single" w:color="auto" w:sz="4" w:space="0"/>
              <w:right w:val="single" w:color="auto" w:sz="4" w:space="0"/>
            </w:tcBorders>
            <w:noWrap/>
            <w:vAlign w:val="center"/>
          </w:tcPr>
          <w:p w14:paraId="326F88D7">
            <w:pPr>
              <w:jc w:val="center"/>
              <w:rPr>
                <w:rFonts w:ascii="仿宋" w:hAnsi="仿宋" w:eastAsia="仿宋" w:cs="仿宋"/>
                <w:color w:val="auto"/>
                <w:sz w:val="24"/>
                <w:highlight w:val="none"/>
              </w:rPr>
            </w:pPr>
            <w:r>
              <w:rPr>
                <w:rFonts w:hint="eastAsia" w:ascii="仿宋" w:hAnsi="仿宋" w:eastAsia="仿宋" w:cs="仿宋"/>
                <w:color w:val="auto"/>
                <w:sz w:val="24"/>
                <w:highlight w:val="none"/>
              </w:rPr>
              <w:t>洁福、福尔波、阿姆斯壮;2.0mm厚</w:t>
            </w:r>
          </w:p>
        </w:tc>
      </w:tr>
      <w:tr w14:paraId="26C80FDB">
        <w:tblPrEx>
          <w:tblCellMar>
            <w:top w:w="0" w:type="dxa"/>
            <w:left w:w="108" w:type="dxa"/>
            <w:bottom w:w="0" w:type="dxa"/>
            <w:right w:w="108" w:type="dxa"/>
          </w:tblCellMar>
        </w:tblPrEx>
        <w:trPr>
          <w:trHeight w:val="645" w:hRule="atLeast"/>
        </w:trPr>
        <w:tc>
          <w:tcPr>
            <w:tcW w:w="770" w:type="pct"/>
            <w:tcBorders>
              <w:top w:val="single" w:color="auto" w:sz="4" w:space="0"/>
              <w:left w:val="single" w:color="auto" w:sz="4" w:space="0"/>
              <w:bottom w:val="single" w:color="auto" w:sz="4" w:space="0"/>
              <w:right w:val="single" w:color="auto" w:sz="4" w:space="0"/>
            </w:tcBorders>
            <w:noWrap/>
            <w:vAlign w:val="center"/>
          </w:tcPr>
          <w:p w14:paraId="2A2AE53B">
            <w:pPr>
              <w:jc w:val="center"/>
              <w:rPr>
                <w:rFonts w:ascii="仿宋" w:hAnsi="仿宋" w:eastAsia="仿宋" w:cs="仿宋"/>
                <w:color w:val="auto"/>
                <w:sz w:val="24"/>
                <w:highlight w:val="none"/>
              </w:rPr>
            </w:pPr>
            <w:r>
              <w:rPr>
                <w:rFonts w:hint="eastAsia" w:ascii="仿宋" w:hAnsi="仿宋" w:eastAsia="仿宋" w:cs="仿宋"/>
                <w:color w:val="auto"/>
                <w:sz w:val="24"/>
                <w:highlight w:val="none"/>
              </w:rPr>
              <w:t>2</w:t>
            </w:r>
          </w:p>
        </w:tc>
        <w:tc>
          <w:tcPr>
            <w:tcW w:w="1763" w:type="pct"/>
            <w:tcBorders>
              <w:top w:val="single" w:color="auto" w:sz="4" w:space="0"/>
              <w:left w:val="single" w:color="auto" w:sz="4" w:space="0"/>
              <w:bottom w:val="single" w:color="auto" w:sz="4" w:space="0"/>
              <w:right w:val="single" w:color="auto" w:sz="4" w:space="0"/>
            </w:tcBorders>
            <w:noWrap/>
            <w:vAlign w:val="center"/>
          </w:tcPr>
          <w:p w14:paraId="503286A7">
            <w:pPr>
              <w:jc w:val="center"/>
              <w:rPr>
                <w:rFonts w:ascii="仿宋" w:hAnsi="仿宋" w:eastAsia="仿宋" w:cs="仿宋"/>
                <w:color w:val="auto"/>
                <w:sz w:val="24"/>
                <w:highlight w:val="none"/>
              </w:rPr>
            </w:pPr>
            <w:r>
              <w:rPr>
                <w:rFonts w:hint="eastAsia" w:ascii="仿宋" w:hAnsi="仿宋" w:eastAsia="仿宋" w:cs="仿宋"/>
                <w:color w:val="auto"/>
                <w:sz w:val="24"/>
                <w:highlight w:val="none"/>
              </w:rPr>
              <w:t>墙砖</w:t>
            </w:r>
          </w:p>
        </w:tc>
        <w:tc>
          <w:tcPr>
            <w:tcW w:w="2466" w:type="pct"/>
            <w:tcBorders>
              <w:top w:val="single" w:color="auto" w:sz="4" w:space="0"/>
              <w:left w:val="single" w:color="auto" w:sz="4" w:space="0"/>
              <w:bottom w:val="single" w:color="auto" w:sz="4" w:space="0"/>
              <w:right w:val="single" w:color="auto" w:sz="4" w:space="0"/>
            </w:tcBorders>
            <w:noWrap/>
            <w:vAlign w:val="center"/>
          </w:tcPr>
          <w:p w14:paraId="57E492D9">
            <w:pPr>
              <w:jc w:val="center"/>
              <w:rPr>
                <w:rFonts w:ascii="仿宋" w:hAnsi="仿宋" w:eastAsia="仿宋" w:cs="仿宋"/>
                <w:color w:val="auto"/>
                <w:sz w:val="24"/>
                <w:highlight w:val="none"/>
              </w:rPr>
            </w:pPr>
            <w:r>
              <w:rPr>
                <w:rFonts w:hint="eastAsia" w:ascii="仿宋" w:hAnsi="仿宋" w:eastAsia="仿宋" w:cs="仿宋"/>
                <w:color w:val="auto"/>
                <w:sz w:val="24"/>
                <w:highlight w:val="none"/>
              </w:rPr>
              <w:t>东鹏、鹰牌、新中源</w:t>
            </w:r>
          </w:p>
        </w:tc>
      </w:tr>
      <w:tr w14:paraId="4D9BD9DE">
        <w:tblPrEx>
          <w:tblCellMar>
            <w:top w:w="0" w:type="dxa"/>
            <w:left w:w="108" w:type="dxa"/>
            <w:bottom w:w="0" w:type="dxa"/>
            <w:right w:w="108" w:type="dxa"/>
          </w:tblCellMar>
        </w:tblPrEx>
        <w:trPr>
          <w:trHeight w:val="645" w:hRule="atLeast"/>
        </w:trPr>
        <w:tc>
          <w:tcPr>
            <w:tcW w:w="770" w:type="pct"/>
            <w:tcBorders>
              <w:top w:val="single" w:color="auto" w:sz="4" w:space="0"/>
              <w:left w:val="single" w:color="auto" w:sz="4" w:space="0"/>
              <w:bottom w:val="single" w:color="auto" w:sz="4" w:space="0"/>
              <w:right w:val="single" w:color="auto" w:sz="4" w:space="0"/>
            </w:tcBorders>
            <w:noWrap/>
            <w:vAlign w:val="center"/>
          </w:tcPr>
          <w:p w14:paraId="4C0E1E37">
            <w:pPr>
              <w:jc w:val="center"/>
              <w:rPr>
                <w:rFonts w:ascii="仿宋" w:hAnsi="仿宋" w:eastAsia="仿宋" w:cs="仿宋"/>
                <w:color w:val="auto"/>
                <w:sz w:val="24"/>
                <w:highlight w:val="none"/>
              </w:rPr>
            </w:pPr>
            <w:r>
              <w:rPr>
                <w:rFonts w:hint="eastAsia" w:ascii="仿宋" w:hAnsi="仿宋" w:eastAsia="仿宋" w:cs="仿宋"/>
                <w:color w:val="auto"/>
                <w:sz w:val="24"/>
                <w:highlight w:val="none"/>
              </w:rPr>
              <w:t>3</w:t>
            </w:r>
          </w:p>
        </w:tc>
        <w:tc>
          <w:tcPr>
            <w:tcW w:w="1763" w:type="pct"/>
            <w:tcBorders>
              <w:top w:val="single" w:color="auto" w:sz="4" w:space="0"/>
              <w:left w:val="nil"/>
              <w:bottom w:val="single" w:color="auto" w:sz="4" w:space="0"/>
              <w:right w:val="single" w:color="auto" w:sz="4" w:space="0"/>
            </w:tcBorders>
            <w:noWrap/>
            <w:vAlign w:val="center"/>
          </w:tcPr>
          <w:p w14:paraId="6DE6CC1B">
            <w:pPr>
              <w:jc w:val="center"/>
              <w:rPr>
                <w:rFonts w:ascii="仿宋" w:hAnsi="仿宋" w:eastAsia="仿宋" w:cs="仿宋"/>
                <w:color w:val="auto"/>
                <w:sz w:val="24"/>
                <w:highlight w:val="none"/>
              </w:rPr>
            </w:pPr>
            <w:r>
              <w:rPr>
                <w:rFonts w:hint="eastAsia" w:ascii="仿宋" w:hAnsi="仿宋" w:eastAsia="仿宋" w:cs="仿宋"/>
                <w:color w:val="auto"/>
                <w:sz w:val="24"/>
                <w:highlight w:val="none"/>
              </w:rPr>
              <w:t>乳胶漆</w:t>
            </w:r>
          </w:p>
        </w:tc>
        <w:tc>
          <w:tcPr>
            <w:tcW w:w="2466" w:type="pct"/>
            <w:tcBorders>
              <w:top w:val="single" w:color="auto" w:sz="4" w:space="0"/>
              <w:left w:val="nil"/>
              <w:bottom w:val="single" w:color="auto" w:sz="4" w:space="0"/>
              <w:right w:val="single" w:color="auto" w:sz="4" w:space="0"/>
            </w:tcBorders>
            <w:noWrap/>
            <w:vAlign w:val="center"/>
          </w:tcPr>
          <w:p w14:paraId="09AF94CA">
            <w:pPr>
              <w:jc w:val="center"/>
              <w:rPr>
                <w:rFonts w:ascii="仿宋" w:hAnsi="仿宋" w:eastAsia="仿宋" w:cs="仿宋"/>
                <w:color w:val="auto"/>
                <w:sz w:val="24"/>
                <w:highlight w:val="none"/>
              </w:rPr>
            </w:pPr>
            <w:r>
              <w:rPr>
                <w:rFonts w:hint="eastAsia" w:ascii="仿宋" w:hAnsi="仿宋" w:eastAsia="仿宋" w:cs="仿宋"/>
                <w:color w:val="auto"/>
                <w:sz w:val="24"/>
                <w:highlight w:val="none"/>
              </w:rPr>
              <w:t>立邦、多乐士、三棵树</w:t>
            </w:r>
          </w:p>
        </w:tc>
      </w:tr>
      <w:tr w14:paraId="08DEEF85">
        <w:tblPrEx>
          <w:tblCellMar>
            <w:top w:w="0" w:type="dxa"/>
            <w:left w:w="108" w:type="dxa"/>
            <w:bottom w:w="0" w:type="dxa"/>
            <w:right w:w="108" w:type="dxa"/>
          </w:tblCellMar>
        </w:tblPrEx>
        <w:trPr>
          <w:trHeight w:val="645" w:hRule="atLeast"/>
        </w:trPr>
        <w:tc>
          <w:tcPr>
            <w:tcW w:w="770" w:type="pct"/>
            <w:tcBorders>
              <w:top w:val="nil"/>
              <w:left w:val="single" w:color="auto" w:sz="4" w:space="0"/>
              <w:bottom w:val="single" w:color="auto" w:sz="4" w:space="0"/>
              <w:right w:val="single" w:color="auto" w:sz="4" w:space="0"/>
            </w:tcBorders>
            <w:noWrap/>
            <w:vAlign w:val="center"/>
          </w:tcPr>
          <w:p w14:paraId="426E400C">
            <w:pPr>
              <w:jc w:val="center"/>
              <w:rPr>
                <w:rFonts w:ascii="仿宋" w:hAnsi="仿宋" w:eastAsia="仿宋" w:cs="仿宋"/>
                <w:color w:val="auto"/>
                <w:sz w:val="24"/>
                <w:highlight w:val="none"/>
              </w:rPr>
            </w:pPr>
            <w:r>
              <w:rPr>
                <w:rFonts w:hint="eastAsia" w:ascii="仿宋" w:hAnsi="仿宋" w:eastAsia="仿宋" w:cs="仿宋"/>
                <w:color w:val="auto"/>
                <w:sz w:val="24"/>
                <w:highlight w:val="none"/>
              </w:rPr>
              <w:t>4</w:t>
            </w:r>
          </w:p>
        </w:tc>
        <w:tc>
          <w:tcPr>
            <w:tcW w:w="1763" w:type="pct"/>
            <w:tcBorders>
              <w:top w:val="nil"/>
              <w:left w:val="nil"/>
              <w:bottom w:val="single" w:color="auto" w:sz="4" w:space="0"/>
              <w:right w:val="single" w:color="auto" w:sz="4" w:space="0"/>
            </w:tcBorders>
            <w:noWrap/>
            <w:vAlign w:val="center"/>
          </w:tcPr>
          <w:p w14:paraId="48161640">
            <w:pPr>
              <w:jc w:val="center"/>
              <w:rPr>
                <w:rFonts w:ascii="仿宋" w:hAnsi="仿宋" w:eastAsia="仿宋" w:cs="仿宋"/>
                <w:color w:val="auto"/>
                <w:sz w:val="24"/>
                <w:highlight w:val="none"/>
              </w:rPr>
            </w:pPr>
            <w:r>
              <w:rPr>
                <w:rFonts w:hint="eastAsia" w:ascii="仿宋" w:hAnsi="仿宋" w:eastAsia="仿宋" w:cs="仿宋"/>
                <w:color w:val="auto"/>
                <w:sz w:val="24"/>
                <w:highlight w:val="none"/>
              </w:rPr>
              <w:t>医用钢质门</w:t>
            </w:r>
          </w:p>
        </w:tc>
        <w:tc>
          <w:tcPr>
            <w:tcW w:w="2466" w:type="pct"/>
            <w:tcBorders>
              <w:top w:val="nil"/>
              <w:left w:val="nil"/>
              <w:bottom w:val="single" w:color="auto" w:sz="4" w:space="0"/>
              <w:right w:val="single" w:color="auto" w:sz="4" w:space="0"/>
            </w:tcBorders>
            <w:noWrap/>
            <w:vAlign w:val="center"/>
          </w:tcPr>
          <w:p w14:paraId="7586B9EE">
            <w:pPr>
              <w:jc w:val="center"/>
              <w:rPr>
                <w:rFonts w:ascii="仿宋" w:hAnsi="仿宋" w:eastAsia="仿宋" w:cs="仿宋"/>
                <w:color w:val="auto"/>
                <w:sz w:val="24"/>
                <w:highlight w:val="none"/>
              </w:rPr>
            </w:pPr>
            <w:r>
              <w:rPr>
                <w:rFonts w:hint="eastAsia" w:ascii="仿宋" w:hAnsi="仿宋" w:eastAsia="仿宋" w:cs="仿宋"/>
                <w:color w:val="auto"/>
                <w:sz w:val="24"/>
                <w:highlight w:val="none"/>
              </w:rPr>
              <w:t>鹏驰、美心、格满林</w:t>
            </w:r>
          </w:p>
        </w:tc>
      </w:tr>
      <w:tr w14:paraId="423129FD">
        <w:tblPrEx>
          <w:tblCellMar>
            <w:top w:w="0" w:type="dxa"/>
            <w:left w:w="108" w:type="dxa"/>
            <w:bottom w:w="0" w:type="dxa"/>
            <w:right w:w="108" w:type="dxa"/>
          </w:tblCellMar>
        </w:tblPrEx>
        <w:trPr>
          <w:trHeight w:val="645" w:hRule="atLeast"/>
        </w:trPr>
        <w:tc>
          <w:tcPr>
            <w:tcW w:w="770" w:type="pct"/>
            <w:tcBorders>
              <w:top w:val="nil"/>
              <w:left w:val="single" w:color="auto" w:sz="4" w:space="0"/>
              <w:bottom w:val="single" w:color="auto" w:sz="4" w:space="0"/>
              <w:right w:val="single" w:color="auto" w:sz="4" w:space="0"/>
            </w:tcBorders>
            <w:noWrap/>
            <w:vAlign w:val="center"/>
          </w:tcPr>
          <w:p w14:paraId="03777E78">
            <w:pPr>
              <w:jc w:val="center"/>
              <w:rPr>
                <w:rFonts w:ascii="仿宋" w:hAnsi="仿宋" w:eastAsia="仿宋" w:cs="仿宋"/>
                <w:color w:val="auto"/>
                <w:sz w:val="24"/>
                <w:highlight w:val="none"/>
              </w:rPr>
            </w:pPr>
            <w:r>
              <w:rPr>
                <w:rFonts w:hint="eastAsia" w:ascii="仿宋" w:hAnsi="仿宋" w:eastAsia="仿宋" w:cs="仿宋"/>
                <w:color w:val="auto"/>
                <w:sz w:val="24"/>
                <w:highlight w:val="none"/>
              </w:rPr>
              <w:t>5</w:t>
            </w:r>
          </w:p>
        </w:tc>
        <w:tc>
          <w:tcPr>
            <w:tcW w:w="1763" w:type="pct"/>
            <w:tcBorders>
              <w:top w:val="nil"/>
              <w:left w:val="nil"/>
              <w:bottom w:val="single" w:color="auto" w:sz="4" w:space="0"/>
              <w:right w:val="single" w:color="auto" w:sz="4" w:space="0"/>
            </w:tcBorders>
            <w:noWrap/>
            <w:vAlign w:val="center"/>
          </w:tcPr>
          <w:p w14:paraId="7B74B29E">
            <w:pPr>
              <w:jc w:val="center"/>
              <w:rPr>
                <w:rFonts w:ascii="仿宋" w:hAnsi="仿宋" w:eastAsia="仿宋" w:cs="仿宋"/>
                <w:color w:val="auto"/>
                <w:sz w:val="24"/>
                <w:highlight w:val="none"/>
              </w:rPr>
            </w:pPr>
            <w:r>
              <w:rPr>
                <w:rFonts w:hint="eastAsia" w:ascii="仿宋" w:hAnsi="仿宋" w:eastAsia="仿宋" w:cs="仿宋"/>
                <w:color w:val="auto"/>
                <w:sz w:val="24"/>
                <w:highlight w:val="none"/>
              </w:rPr>
              <w:t>医疗板</w:t>
            </w:r>
          </w:p>
        </w:tc>
        <w:tc>
          <w:tcPr>
            <w:tcW w:w="2466" w:type="pct"/>
            <w:tcBorders>
              <w:top w:val="nil"/>
              <w:left w:val="nil"/>
              <w:bottom w:val="single" w:color="auto" w:sz="4" w:space="0"/>
              <w:right w:val="single" w:color="auto" w:sz="4" w:space="0"/>
            </w:tcBorders>
            <w:noWrap/>
            <w:vAlign w:val="center"/>
          </w:tcPr>
          <w:p w14:paraId="3DBAE190">
            <w:pPr>
              <w:jc w:val="center"/>
              <w:rPr>
                <w:rFonts w:ascii="仿宋" w:hAnsi="仿宋" w:eastAsia="仿宋" w:cs="仿宋"/>
                <w:color w:val="auto"/>
                <w:sz w:val="24"/>
                <w:highlight w:val="none"/>
              </w:rPr>
            </w:pPr>
            <w:r>
              <w:rPr>
                <w:rFonts w:hint="eastAsia" w:ascii="仿宋" w:hAnsi="仿宋" w:eastAsia="仿宋" w:cs="仿宋"/>
                <w:color w:val="auto"/>
                <w:sz w:val="24"/>
                <w:highlight w:val="none"/>
              </w:rPr>
              <w:t>福尔卡、威盛亚、帝龙</w:t>
            </w:r>
          </w:p>
        </w:tc>
      </w:tr>
      <w:tr w14:paraId="57D6EA60">
        <w:tblPrEx>
          <w:tblCellMar>
            <w:top w:w="0" w:type="dxa"/>
            <w:left w:w="108" w:type="dxa"/>
            <w:bottom w:w="0" w:type="dxa"/>
            <w:right w:w="108" w:type="dxa"/>
          </w:tblCellMar>
        </w:tblPrEx>
        <w:trPr>
          <w:trHeight w:val="645" w:hRule="atLeast"/>
        </w:trPr>
        <w:tc>
          <w:tcPr>
            <w:tcW w:w="770" w:type="pct"/>
            <w:tcBorders>
              <w:top w:val="single" w:color="auto" w:sz="4" w:space="0"/>
              <w:left w:val="single" w:color="auto" w:sz="4" w:space="0"/>
              <w:bottom w:val="single" w:color="auto" w:sz="4" w:space="0"/>
              <w:right w:val="single" w:color="auto" w:sz="4" w:space="0"/>
            </w:tcBorders>
            <w:noWrap/>
            <w:vAlign w:val="center"/>
          </w:tcPr>
          <w:p w14:paraId="7AF5ED0A">
            <w:pPr>
              <w:jc w:val="center"/>
              <w:rPr>
                <w:rFonts w:ascii="仿宋" w:hAnsi="仿宋" w:eastAsia="仿宋" w:cs="仿宋"/>
                <w:color w:val="auto"/>
                <w:sz w:val="24"/>
                <w:highlight w:val="none"/>
              </w:rPr>
            </w:pPr>
            <w:r>
              <w:rPr>
                <w:rFonts w:hint="eastAsia" w:ascii="仿宋" w:hAnsi="仿宋" w:eastAsia="仿宋" w:cs="仿宋"/>
                <w:color w:val="auto"/>
                <w:sz w:val="24"/>
                <w:highlight w:val="none"/>
              </w:rPr>
              <w:t>6</w:t>
            </w:r>
          </w:p>
        </w:tc>
        <w:tc>
          <w:tcPr>
            <w:tcW w:w="1763" w:type="pct"/>
            <w:tcBorders>
              <w:top w:val="single" w:color="auto" w:sz="4" w:space="0"/>
              <w:left w:val="single" w:color="auto" w:sz="4" w:space="0"/>
              <w:bottom w:val="single" w:color="auto" w:sz="4" w:space="0"/>
              <w:right w:val="single" w:color="auto" w:sz="4" w:space="0"/>
            </w:tcBorders>
            <w:noWrap/>
            <w:vAlign w:val="center"/>
          </w:tcPr>
          <w:p w14:paraId="698A45F2">
            <w:pPr>
              <w:jc w:val="center"/>
              <w:rPr>
                <w:rFonts w:ascii="仿宋" w:hAnsi="仿宋" w:eastAsia="仿宋" w:cs="仿宋"/>
                <w:color w:val="auto"/>
                <w:sz w:val="24"/>
                <w:highlight w:val="none"/>
              </w:rPr>
            </w:pPr>
            <w:r>
              <w:rPr>
                <w:rFonts w:hint="eastAsia" w:ascii="仿宋" w:hAnsi="仿宋" w:eastAsia="仿宋" w:cs="仿宋"/>
                <w:color w:val="auto"/>
                <w:sz w:val="24"/>
                <w:highlight w:val="none"/>
              </w:rPr>
              <w:t>硅晶板</w:t>
            </w:r>
          </w:p>
        </w:tc>
        <w:tc>
          <w:tcPr>
            <w:tcW w:w="2466" w:type="pct"/>
            <w:tcBorders>
              <w:top w:val="single" w:color="auto" w:sz="4" w:space="0"/>
              <w:left w:val="single" w:color="auto" w:sz="4" w:space="0"/>
              <w:bottom w:val="single" w:color="auto" w:sz="4" w:space="0"/>
              <w:right w:val="single" w:color="auto" w:sz="4" w:space="0"/>
            </w:tcBorders>
            <w:noWrap/>
            <w:vAlign w:val="center"/>
          </w:tcPr>
          <w:p w14:paraId="4D0DC873">
            <w:pPr>
              <w:jc w:val="center"/>
              <w:rPr>
                <w:rFonts w:ascii="仿宋" w:hAnsi="仿宋" w:eastAsia="仿宋" w:cs="仿宋"/>
                <w:color w:val="auto"/>
                <w:sz w:val="24"/>
                <w:highlight w:val="none"/>
              </w:rPr>
            </w:pPr>
            <w:r>
              <w:rPr>
                <w:rFonts w:hint="eastAsia" w:ascii="仿宋" w:hAnsi="仿宋" w:eastAsia="仿宋" w:cs="仿宋"/>
                <w:color w:val="auto"/>
                <w:sz w:val="24"/>
                <w:highlight w:val="none"/>
              </w:rPr>
              <w:t>环宇、腾胜、扬名</w:t>
            </w:r>
          </w:p>
        </w:tc>
      </w:tr>
      <w:tr w14:paraId="176762D1">
        <w:tblPrEx>
          <w:tblCellMar>
            <w:top w:w="0" w:type="dxa"/>
            <w:left w:w="108" w:type="dxa"/>
            <w:bottom w:w="0" w:type="dxa"/>
            <w:right w:w="108" w:type="dxa"/>
          </w:tblCellMar>
        </w:tblPrEx>
        <w:trPr>
          <w:trHeight w:val="645" w:hRule="atLeast"/>
        </w:trPr>
        <w:tc>
          <w:tcPr>
            <w:tcW w:w="1223" w:type="dxa"/>
            <w:tcBorders>
              <w:top w:val="single" w:color="auto" w:sz="4" w:space="0"/>
              <w:left w:val="single" w:color="auto" w:sz="4" w:space="0"/>
              <w:bottom w:val="single" w:color="auto" w:sz="4" w:space="0"/>
              <w:right w:val="single" w:color="auto" w:sz="4" w:space="0"/>
            </w:tcBorders>
            <w:noWrap/>
            <w:vAlign w:val="center"/>
          </w:tcPr>
          <w:p w14:paraId="334E7E56">
            <w:pPr>
              <w:jc w:val="center"/>
              <w:rPr>
                <w:rFonts w:ascii="仿宋" w:hAnsi="仿宋" w:eastAsia="仿宋" w:cs="仿宋"/>
                <w:color w:val="auto"/>
                <w:sz w:val="24"/>
                <w:highlight w:val="none"/>
              </w:rPr>
            </w:pPr>
            <w:r>
              <w:rPr>
                <w:rFonts w:hint="eastAsia" w:ascii="仿宋" w:hAnsi="仿宋" w:eastAsia="仿宋" w:cs="仿宋"/>
                <w:color w:val="auto"/>
                <w:sz w:val="24"/>
                <w:highlight w:val="none"/>
              </w:rPr>
              <w:t>7</w:t>
            </w:r>
          </w:p>
        </w:tc>
        <w:tc>
          <w:tcPr>
            <w:tcW w:w="1763" w:type="pct"/>
            <w:tcBorders>
              <w:top w:val="single" w:color="auto" w:sz="4" w:space="0"/>
              <w:left w:val="single" w:color="auto" w:sz="4" w:space="0"/>
              <w:bottom w:val="single" w:color="auto" w:sz="4" w:space="0"/>
              <w:right w:val="single" w:color="auto" w:sz="4" w:space="0"/>
            </w:tcBorders>
            <w:noWrap/>
            <w:vAlign w:val="center"/>
          </w:tcPr>
          <w:p w14:paraId="3C1C2F61">
            <w:pPr>
              <w:jc w:val="center"/>
              <w:rPr>
                <w:rFonts w:ascii="仿宋" w:hAnsi="仿宋" w:eastAsia="仿宋" w:cs="仿宋"/>
                <w:color w:val="auto"/>
                <w:sz w:val="24"/>
                <w:highlight w:val="none"/>
              </w:rPr>
            </w:pPr>
            <w:r>
              <w:rPr>
                <w:rFonts w:hint="eastAsia" w:ascii="仿宋" w:hAnsi="仿宋" w:eastAsia="仿宋" w:cs="仿宋"/>
                <w:color w:val="auto"/>
                <w:sz w:val="24"/>
                <w:highlight w:val="none"/>
              </w:rPr>
              <w:t>铝扣板</w:t>
            </w:r>
          </w:p>
        </w:tc>
        <w:tc>
          <w:tcPr>
            <w:tcW w:w="2466" w:type="pct"/>
            <w:tcBorders>
              <w:top w:val="single" w:color="auto" w:sz="4" w:space="0"/>
              <w:left w:val="single" w:color="auto" w:sz="4" w:space="0"/>
              <w:bottom w:val="single" w:color="auto" w:sz="4" w:space="0"/>
              <w:right w:val="single" w:color="auto" w:sz="4" w:space="0"/>
            </w:tcBorders>
            <w:noWrap/>
            <w:vAlign w:val="center"/>
          </w:tcPr>
          <w:p w14:paraId="5F7CAE3B">
            <w:pPr>
              <w:jc w:val="center"/>
              <w:rPr>
                <w:rFonts w:ascii="仿宋" w:hAnsi="仿宋" w:eastAsia="仿宋" w:cs="仿宋"/>
                <w:color w:val="auto"/>
                <w:sz w:val="24"/>
                <w:highlight w:val="none"/>
              </w:rPr>
            </w:pPr>
            <w:r>
              <w:rPr>
                <w:rFonts w:hint="eastAsia" w:ascii="仿宋" w:hAnsi="仿宋" w:eastAsia="仿宋" w:cs="仿宋"/>
                <w:color w:val="auto"/>
                <w:sz w:val="24"/>
                <w:highlight w:val="none"/>
              </w:rPr>
              <w:t>银飞、天利、奥普</w:t>
            </w:r>
          </w:p>
        </w:tc>
      </w:tr>
      <w:tr w14:paraId="207BEBB9">
        <w:tblPrEx>
          <w:tblCellMar>
            <w:top w:w="0" w:type="dxa"/>
            <w:left w:w="108" w:type="dxa"/>
            <w:bottom w:w="0" w:type="dxa"/>
            <w:right w:w="108" w:type="dxa"/>
          </w:tblCellMar>
        </w:tblPrEx>
        <w:trPr>
          <w:trHeight w:val="645" w:hRule="atLeast"/>
        </w:trPr>
        <w:tc>
          <w:tcPr>
            <w:tcW w:w="1223" w:type="dxa"/>
            <w:tcBorders>
              <w:top w:val="nil"/>
              <w:left w:val="single" w:color="auto" w:sz="4" w:space="0"/>
              <w:bottom w:val="single" w:color="auto" w:sz="4" w:space="0"/>
              <w:right w:val="single" w:color="auto" w:sz="4" w:space="0"/>
            </w:tcBorders>
            <w:noWrap/>
            <w:vAlign w:val="center"/>
          </w:tcPr>
          <w:p w14:paraId="10C1D3A1">
            <w:pPr>
              <w:jc w:val="center"/>
              <w:rPr>
                <w:rFonts w:ascii="仿宋" w:hAnsi="仿宋" w:eastAsia="仿宋" w:cs="仿宋"/>
                <w:color w:val="auto"/>
                <w:sz w:val="24"/>
                <w:highlight w:val="none"/>
              </w:rPr>
            </w:pPr>
            <w:r>
              <w:rPr>
                <w:rFonts w:hint="eastAsia" w:ascii="仿宋" w:hAnsi="仿宋" w:eastAsia="仿宋" w:cs="仿宋"/>
                <w:color w:val="auto"/>
                <w:sz w:val="24"/>
                <w:highlight w:val="none"/>
              </w:rPr>
              <w:t>8</w:t>
            </w:r>
          </w:p>
        </w:tc>
        <w:tc>
          <w:tcPr>
            <w:tcW w:w="1763" w:type="pct"/>
            <w:tcBorders>
              <w:top w:val="nil"/>
              <w:left w:val="nil"/>
              <w:bottom w:val="single" w:color="auto" w:sz="4" w:space="0"/>
              <w:right w:val="single" w:color="auto" w:sz="4" w:space="0"/>
            </w:tcBorders>
            <w:noWrap/>
            <w:vAlign w:val="center"/>
          </w:tcPr>
          <w:p w14:paraId="79F75DD2">
            <w:pPr>
              <w:jc w:val="center"/>
              <w:rPr>
                <w:rFonts w:ascii="仿宋" w:hAnsi="仿宋" w:eastAsia="仿宋" w:cs="仿宋"/>
                <w:color w:val="auto"/>
                <w:sz w:val="24"/>
                <w:highlight w:val="none"/>
              </w:rPr>
            </w:pPr>
            <w:r>
              <w:rPr>
                <w:rFonts w:hint="eastAsia" w:ascii="仿宋" w:hAnsi="仿宋" w:eastAsia="仿宋" w:cs="仿宋"/>
                <w:color w:val="auto"/>
                <w:sz w:val="24"/>
                <w:highlight w:val="none"/>
              </w:rPr>
              <w:t>轻钢龙骨</w:t>
            </w:r>
          </w:p>
        </w:tc>
        <w:tc>
          <w:tcPr>
            <w:tcW w:w="2466" w:type="pct"/>
            <w:tcBorders>
              <w:top w:val="nil"/>
              <w:left w:val="nil"/>
              <w:bottom w:val="single" w:color="auto" w:sz="4" w:space="0"/>
              <w:right w:val="single" w:color="auto" w:sz="4" w:space="0"/>
            </w:tcBorders>
            <w:noWrap/>
            <w:vAlign w:val="center"/>
          </w:tcPr>
          <w:p w14:paraId="7FB89C25">
            <w:pPr>
              <w:jc w:val="center"/>
              <w:rPr>
                <w:rFonts w:ascii="仿宋" w:hAnsi="仿宋" w:eastAsia="仿宋" w:cs="仿宋"/>
                <w:color w:val="auto"/>
                <w:sz w:val="24"/>
                <w:highlight w:val="none"/>
              </w:rPr>
            </w:pPr>
            <w:r>
              <w:rPr>
                <w:rFonts w:hint="eastAsia" w:ascii="仿宋" w:hAnsi="仿宋" w:eastAsia="仿宋" w:cs="仿宋"/>
                <w:color w:val="auto"/>
                <w:sz w:val="24"/>
                <w:highlight w:val="none"/>
              </w:rPr>
              <w:t>龙骨、泰山、八马</w:t>
            </w:r>
          </w:p>
        </w:tc>
      </w:tr>
      <w:tr w14:paraId="31CF90DA">
        <w:tblPrEx>
          <w:tblCellMar>
            <w:top w:w="0" w:type="dxa"/>
            <w:left w:w="108" w:type="dxa"/>
            <w:bottom w:w="0" w:type="dxa"/>
            <w:right w:w="108" w:type="dxa"/>
          </w:tblCellMar>
        </w:tblPrEx>
        <w:trPr>
          <w:trHeight w:val="645" w:hRule="atLeast"/>
        </w:trPr>
        <w:tc>
          <w:tcPr>
            <w:tcW w:w="1223" w:type="dxa"/>
            <w:tcBorders>
              <w:top w:val="nil"/>
              <w:left w:val="single" w:color="auto" w:sz="4" w:space="0"/>
              <w:bottom w:val="single" w:color="auto" w:sz="4" w:space="0"/>
              <w:right w:val="single" w:color="auto" w:sz="4" w:space="0"/>
            </w:tcBorders>
            <w:noWrap/>
            <w:vAlign w:val="center"/>
          </w:tcPr>
          <w:p w14:paraId="040C999C">
            <w:pPr>
              <w:jc w:val="center"/>
              <w:rPr>
                <w:rFonts w:ascii="仿宋" w:hAnsi="仿宋" w:eastAsia="仿宋" w:cs="仿宋"/>
                <w:color w:val="auto"/>
                <w:sz w:val="24"/>
                <w:highlight w:val="none"/>
              </w:rPr>
            </w:pPr>
            <w:r>
              <w:rPr>
                <w:rFonts w:hint="eastAsia" w:ascii="仿宋" w:hAnsi="仿宋" w:eastAsia="仿宋" w:cs="仿宋"/>
                <w:color w:val="auto"/>
                <w:sz w:val="24"/>
                <w:highlight w:val="none"/>
              </w:rPr>
              <w:t>9</w:t>
            </w:r>
          </w:p>
        </w:tc>
        <w:tc>
          <w:tcPr>
            <w:tcW w:w="1763" w:type="pct"/>
            <w:tcBorders>
              <w:top w:val="nil"/>
              <w:left w:val="nil"/>
              <w:bottom w:val="single" w:color="auto" w:sz="4" w:space="0"/>
              <w:right w:val="single" w:color="auto" w:sz="4" w:space="0"/>
            </w:tcBorders>
            <w:noWrap/>
            <w:vAlign w:val="center"/>
          </w:tcPr>
          <w:p w14:paraId="3906E922">
            <w:pPr>
              <w:jc w:val="center"/>
              <w:rPr>
                <w:rFonts w:ascii="仿宋" w:hAnsi="仿宋" w:eastAsia="仿宋" w:cs="仿宋"/>
                <w:color w:val="auto"/>
                <w:sz w:val="24"/>
                <w:highlight w:val="none"/>
              </w:rPr>
            </w:pPr>
            <w:r>
              <w:rPr>
                <w:rFonts w:hint="eastAsia" w:ascii="仿宋" w:hAnsi="仿宋" w:eastAsia="仿宋" w:cs="仿宋"/>
                <w:color w:val="auto"/>
                <w:sz w:val="24"/>
                <w:highlight w:val="none"/>
              </w:rPr>
              <w:t>石膏板</w:t>
            </w:r>
          </w:p>
        </w:tc>
        <w:tc>
          <w:tcPr>
            <w:tcW w:w="2466" w:type="pct"/>
            <w:tcBorders>
              <w:top w:val="nil"/>
              <w:left w:val="nil"/>
              <w:bottom w:val="single" w:color="auto" w:sz="4" w:space="0"/>
              <w:right w:val="single" w:color="auto" w:sz="4" w:space="0"/>
            </w:tcBorders>
            <w:noWrap/>
            <w:vAlign w:val="center"/>
          </w:tcPr>
          <w:p w14:paraId="541840DD">
            <w:pPr>
              <w:jc w:val="center"/>
              <w:rPr>
                <w:rFonts w:ascii="仿宋" w:hAnsi="仿宋" w:eastAsia="仿宋" w:cs="仿宋"/>
                <w:color w:val="auto"/>
                <w:sz w:val="24"/>
                <w:highlight w:val="none"/>
              </w:rPr>
            </w:pPr>
            <w:r>
              <w:rPr>
                <w:rFonts w:hint="eastAsia" w:ascii="仿宋" w:hAnsi="仿宋" w:eastAsia="仿宋" w:cs="仿宋"/>
                <w:color w:val="auto"/>
                <w:sz w:val="24"/>
                <w:highlight w:val="none"/>
              </w:rPr>
              <w:t>龙骨、泰山、八马</w:t>
            </w:r>
          </w:p>
        </w:tc>
      </w:tr>
      <w:tr w14:paraId="63093B70">
        <w:tblPrEx>
          <w:tblCellMar>
            <w:top w:w="0" w:type="dxa"/>
            <w:left w:w="108" w:type="dxa"/>
            <w:bottom w:w="0" w:type="dxa"/>
            <w:right w:w="108" w:type="dxa"/>
          </w:tblCellMar>
        </w:tblPrEx>
        <w:trPr>
          <w:trHeight w:val="645" w:hRule="atLeast"/>
        </w:trPr>
        <w:tc>
          <w:tcPr>
            <w:tcW w:w="1223" w:type="dxa"/>
            <w:tcBorders>
              <w:top w:val="nil"/>
              <w:left w:val="single" w:color="auto" w:sz="4" w:space="0"/>
              <w:bottom w:val="single" w:color="auto" w:sz="4" w:space="0"/>
              <w:right w:val="single" w:color="auto" w:sz="4" w:space="0"/>
            </w:tcBorders>
            <w:noWrap/>
            <w:vAlign w:val="center"/>
          </w:tcPr>
          <w:p w14:paraId="7F7769A4">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10</w:t>
            </w:r>
          </w:p>
        </w:tc>
        <w:tc>
          <w:tcPr>
            <w:tcW w:w="1763" w:type="pct"/>
            <w:tcBorders>
              <w:top w:val="nil"/>
              <w:left w:val="nil"/>
              <w:bottom w:val="single" w:color="auto" w:sz="4" w:space="0"/>
              <w:right w:val="single" w:color="auto" w:sz="4" w:space="0"/>
            </w:tcBorders>
            <w:noWrap/>
            <w:vAlign w:val="center"/>
          </w:tcPr>
          <w:p w14:paraId="5834154A">
            <w:pPr>
              <w:jc w:val="center"/>
              <w:rPr>
                <w:rFonts w:ascii="仿宋" w:hAnsi="仿宋" w:eastAsia="仿宋" w:cs="仿宋"/>
                <w:color w:val="auto"/>
                <w:sz w:val="24"/>
                <w:highlight w:val="none"/>
              </w:rPr>
            </w:pPr>
            <w:r>
              <w:rPr>
                <w:rFonts w:hint="eastAsia" w:ascii="仿宋" w:hAnsi="仿宋" w:eastAsia="仿宋" w:cs="仿宋"/>
                <w:color w:val="auto"/>
                <w:sz w:val="24"/>
                <w:highlight w:val="none"/>
              </w:rPr>
              <w:t>钢化夹胶玻璃</w:t>
            </w:r>
          </w:p>
        </w:tc>
        <w:tc>
          <w:tcPr>
            <w:tcW w:w="2466" w:type="pct"/>
            <w:tcBorders>
              <w:top w:val="nil"/>
              <w:left w:val="nil"/>
              <w:bottom w:val="single" w:color="auto" w:sz="4" w:space="0"/>
              <w:right w:val="single" w:color="auto" w:sz="4" w:space="0"/>
            </w:tcBorders>
            <w:noWrap/>
            <w:vAlign w:val="center"/>
          </w:tcPr>
          <w:p w14:paraId="536AEE34">
            <w:pPr>
              <w:jc w:val="center"/>
              <w:rPr>
                <w:rFonts w:ascii="仿宋" w:hAnsi="仿宋" w:eastAsia="仿宋" w:cs="仿宋"/>
                <w:color w:val="auto"/>
                <w:sz w:val="24"/>
                <w:highlight w:val="none"/>
              </w:rPr>
            </w:pPr>
            <w:r>
              <w:rPr>
                <w:rFonts w:hint="eastAsia" w:ascii="仿宋" w:hAnsi="仿宋" w:eastAsia="仿宋" w:cs="仿宋"/>
                <w:color w:val="auto"/>
                <w:sz w:val="24"/>
                <w:highlight w:val="none"/>
              </w:rPr>
              <w:t>南玻、长利、未来门窗</w:t>
            </w:r>
          </w:p>
        </w:tc>
      </w:tr>
      <w:tr w14:paraId="70F32C0C">
        <w:tblPrEx>
          <w:tblCellMar>
            <w:top w:w="0" w:type="dxa"/>
            <w:left w:w="108" w:type="dxa"/>
            <w:bottom w:w="0" w:type="dxa"/>
            <w:right w:w="108" w:type="dxa"/>
          </w:tblCellMar>
        </w:tblPrEx>
        <w:trPr>
          <w:trHeight w:val="645" w:hRule="atLeast"/>
        </w:trPr>
        <w:tc>
          <w:tcPr>
            <w:tcW w:w="1223" w:type="dxa"/>
            <w:tcBorders>
              <w:top w:val="nil"/>
              <w:left w:val="single" w:color="auto" w:sz="4" w:space="0"/>
              <w:bottom w:val="single" w:color="auto" w:sz="4" w:space="0"/>
              <w:right w:val="single" w:color="auto" w:sz="4" w:space="0"/>
            </w:tcBorders>
            <w:noWrap/>
            <w:vAlign w:val="center"/>
          </w:tcPr>
          <w:p w14:paraId="6A802E4F">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11</w:t>
            </w:r>
          </w:p>
        </w:tc>
        <w:tc>
          <w:tcPr>
            <w:tcW w:w="2799" w:type="dxa"/>
            <w:tcBorders>
              <w:top w:val="nil"/>
              <w:left w:val="nil"/>
              <w:bottom w:val="single" w:color="auto" w:sz="4" w:space="0"/>
              <w:right w:val="single" w:color="auto" w:sz="4" w:space="0"/>
            </w:tcBorders>
            <w:noWrap/>
            <w:vAlign w:val="center"/>
          </w:tcPr>
          <w:p w14:paraId="295A6CE0">
            <w:pPr>
              <w:widowControl/>
              <w:jc w:val="center"/>
              <w:rPr>
                <w:rFonts w:ascii="仿宋" w:hAnsi="仿宋" w:eastAsia="仿宋" w:cs="仿宋"/>
                <w:color w:val="auto"/>
                <w:sz w:val="24"/>
                <w:highlight w:val="none"/>
              </w:rPr>
            </w:pPr>
            <w:r>
              <w:rPr>
                <w:rFonts w:hint="eastAsia" w:ascii="仿宋" w:hAnsi="仿宋" w:eastAsia="仿宋" w:cs="仿宋"/>
                <w:color w:val="auto"/>
                <w:sz w:val="24"/>
                <w:highlight w:val="none"/>
              </w:rPr>
              <w:t>风机盘管</w:t>
            </w:r>
          </w:p>
        </w:tc>
        <w:tc>
          <w:tcPr>
            <w:tcW w:w="3915" w:type="dxa"/>
            <w:tcBorders>
              <w:top w:val="nil"/>
              <w:left w:val="nil"/>
              <w:bottom w:val="single" w:color="auto" w:sz="4" w:space="0"/>
              <w:right w:val="single" w:color="auto" w:sz="4" w:space="0"/>
            </w:tcBorders>
            <w:noWrap/>
            <w:vAlign w:val="center"/>
          </w:tcPr>
          <w:p w14:paraId="00D83959">
            <w:pPr>
              <w:widowControl/>
              <w:jc w:val="center"/>
              <w:rPr>
                <w:rFonts w:ascii="仿宋" w:hAnsi="仿宋" w:eastAsia="仿宋" w:cs="仿宋"/>
                <w:color w:val="auto"/>
                <w:sz w:val="24"/>
                <w:highlight w:val="none"/>
              </w:rPr>
            </w:pPr>
            <w:r>
              <w:rPr>
                <w:rFonts w:hint="eastAsia" w:ascii="仿宋" w:hAnsi="仿宋" w:eastAsia="仿宋" w:cs="仿宋"/>
                <w:color w:val="auto"/>
                <w:sz w:val="24"/>
                <w:highlight w:val="none"/>
              </w:rPr>
              <w:t>天加、</w:t>
            </w:r>
            <w:r>
              <w:rPr>
                <w:rFonts w:hint="eastAsia" w:ascii="仿宋" w:hAnsi="仿宋" w:eastAsia="仿宋" w:cs="仿宋"/>
                <w:color w:val="auto"/>
                <w:sz w:val="24"/>
                <w:highlight w:val="none"/>
                <w:lang w:val="en-US" w:eastAsia="zh-CN"/>
              </w:rPr>
              <w:t>约克</w:t>
            </w:r>
            <w:r>
              <w:rPr>
                <w:rFonts w:hint="eastAsia" w:ascii="仿宋" w:hAnsi="仿宋" w:eastAsia="仿宋" w:cs="仿宋"/>
                <w:color w:val="auto"/>
                <w:sz w:val="24"/>
                <w:highlight w:val="none"/>
              </w:rPr>
              <w:t>、麦克维尔</w:t>
            </w:r>
          </w:p>
        </w:tc>
      </w:tr>
      <w:tr w14:paraId="174E5D78">
        <w:tblPrEx>
          <w:tblCellMar>
            <w:top w:w="0" w:type="dxa"/>
            <w:left w:w="108" w:type="dxa"/>
            <w:bottom w:w="0" w:type="dxa"/>
            <w:right w:w="108" w:type="dxa"/>
          </w:tblCellMar>
        </w:tblPrEx>
        <w:trPr>
          <w:trHeight w:val="645" w:hRule="atLeast"/>
        </w:trPr>
        <w:tc>
          <w:tcPr>
            <w:tcW w:w="1223" w:type="dxa"/>
            <w:tcBorders>
              <w:top w:val="nil"/>
              <w:left w:val="single" w:color="auto" w:sz="4" w:space="0"/>
              <w:bottom w:val="single" w:color="auto" w:sz="4" w:space="0"/>
              <w:right w:val="single" w:color="auto" w:sz="4" w:space="0"/>
            </w:tcBorders>
            <w:noWrap/>
            <w:vAlign w:val="center"/>
          </w:tcPr>
          <w:p w14:paraId="2B68C51A">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12</w:t>
            </w:r>
          </w:p>
        </w:tc>
        <w:tc>
          <w:tcPr>
            <w:tcW w:w="1763" w:type="pct"/>
            <w:tcBorders>
              <w:top w:val="nil"/>
              <w:left w:val="nil"/>
              <w:bottom w:val="single" w:color="auto" w:sz="4" w:space="0"/>
              <w:right w:val="single" w:color="auto" w:sz="4" w:space="0"/>
            </w:tcBorders>
            <w:noWrap/>
            <w:vAlign w:val="center"/>
          </w:tcPr>
          <w:p w14:paraId="6A75C6F8">
            <w:pPr>
              <w:jc w:val="center"/>
              <w:rPr>
                <w:rFonts w:ascii="仿宋" w:hAnsi="仿宋" w:eastAsia="仿宋" w:cs="仿宋"/>
                <w:color w:val="auto"/>
                <w:sz w:val="24"/>
                <w:highlight w:val="none"/>
              </w:rPr>
            </w:pPr>
            <w:r>
              <w:rPr>
                <w:rFonts w:hint="eastAsia" w:ascii="仿宋" w:hAnsi="仿宋" w:eastAsia="仿宋" w:cs="仿宋"/>
                <w:color w:val="auto"/>
                <w:sz w:val="24"/>
                <w:highlight w:val="none"/>
              </w:rPr>
              <w:t>风口</w:t>
            </w:r>
          </w:p>
        </w:tc>
        <w:tc>
          <w:tcPr>
            <w:tcW w:w="2466" w:type="pct"/>
            <w:tcBorders>
              <w:top w:val="nil"/>
              <w:left w:val="nil"/>
              <w:bottom w:val="single" w:color="auto" w:sz="4" w:space="0"/>
              <w:right w:val="single" w:color="auto" w:sz="4" w:space="0"/>
            </w:tcBorders>
            <w:noWrap/>
            <w:vAlign w:val="center"/>
          </w:tcPr>
          <w:p w14:paraId="48DECB19">
            <w:pPr>
              <w:jc w:val="center"/>
              <w:rPr>
                <w:rFonts w:ascii="仿宋" w:hAnsi="仿宋" w:eastAsia="仿宋" w:cs="仿宋"/>
                <w:color w:val="auto"/>
                <w:sz w:val="24"/>
                <w:highlight w:val="none"/>
              </w:rPr>
            </w:pPr>
            <w:r>
              <w:rPr>
                <w:rFonts w:hint="eastAsia" w:ascii="仿宋" w:hAnsi="仿宋" w:eastAsia="仿宋" w:cs="仿宋"/>
                <w:color w:val="auto"/>
                <w:sz w:val="24"/>
                <w:highlight w:val="none"/>
              </w:rPr>
              <w:t>欧普、绿岛风、雷士</w:t>
            </w:r>
          </w:p>
        </w:tc>
      </w:tr>
      <w:tr w14:paraId="61A45911">
        <w:tblPrEx>
          <w:tblCellMar>
            <w:top w:w="0" w:type="dxa"/>
            <w:left w:w="108" w:type="dxa"/>
            <w:bottom w:w="0" w:type="dxa"/>
            <w:right w:w="108" w:type="dxa"/>
          </w:tblCellMar>
        </w:tblPrEx>
        <w:trPr>
          <w:trHeight w:val="645" w:hRule="atLeast"/>
        </w:trPr>
        <w:tc>
          <w:tcPr>
            <w:tcW w:w="1223" w:type="dxa"/>
            <w:tcBorders>
              <w:top w:val="nil"/>
              <w:left w:val="single" w:color="auto" w:sz="4" w:space="0"/>
              <w:bottom w:val="single" w:color="auto" w:sz="4" w:space="0"/>
              <w:right w:val="single" w:color="auto" w:sz="4" w:space="0"/>
            </w:tcBorders>
            <w:noWrap/>
            <w:vAlign w:val="center"/>
          </w:tcPr>
          <w:p w14:paraId="413A25BA">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13</w:t>
            </w:r>
          </w:p>
        </w:tc>
        <w:tc>
          <w:tcPr>
            <w:tcW w:w="1763" w:type="pct"/>
            <w:tcBorders>
              <w:top w:val="nil"/>
              <w:left w:val="nil"/>
              <w:bottom w:val="single" w:color="auto" w:sz="4" w:space="0"/>
              <w:right w:val="single" w:color="auto" w:sz="4" w:space="0"/>
            </w:tcBorders>
            <w:noWrap/>
            <w:vAlign w:val="center"/>
          </w:tcPr>
          <w:p w14:paraId="4C9F4DD5">
            <w:pPr>
              <w:jc w:val="center"/>
              <w:rPr>
                <w:rFonts w:ascii="仿宋" w:hAnsi="仿宋" w:eastAsia="仿宋" w:cs="仿宋"/>
                <w:color w:val="auto"/>
                <w:sz w:val="24"/>
                <w:highlight w:val="none"/>
              </w:rPr>
            </w:pPr>
            <w:r>
              <w:rPr>
                <w:rFonts w:hint="eastAsia" w:ascii="仿宋" w:hAnsi="仿宋" w:eastAsia="仿宋" w:cs="仿宋"/>
                <w:color w:val="auto"/>
                <w:sz w:val="24"/>
                <w:highlight w:val="none"/>
              </w:rPr>
              <w:t>PPR给水管</w:t>
            </w:r>
          </w:p>
        </w:tc>
        <w:tc>
          <w:tcPr>
            <w:tcW w:w="2466" w:type="pct"/>
            <w:tcBorders>
              <w:top w:val="nil"/>
              <w:left w:val="nil"/>
              <w:bottom w:val="single" w:color="auto" w:sz="4" w:space="0"/>
              <w:right w:val="single" w:color="auto" w:sz="4" w:space="0"/>
            </w:tcBorders>
            <w:noWrap/>
            <w:vAlign w:val="center"/>
          </w:tcPr>
          <w:p w14:paraId="3B3BB334">
            <w:pPr>
              <w:jc w:val="center"/>
              <w:rPr>
                <w:rFonts w:ascii="仿宋" w:hAnsi="仿宋" w:eastAsia="仿宋" w:cs="仿宋"/>
                <w:color w:val="auto"/>
                <w:sz w:val="24"/>
                <w:highlight w:val="none"/>
              </w:rPr>
            </w:pPr>
            <w:r>
              <w:rPr>
                <w:rFonts w:hint="eastAsia" w:ascii="仿宋" w:hAnsi="仿宋" w:eastAsia="仿宋" w:cs="仿宋"/>
                <w:color w:val="auto"/>
                <w:sz w:val="24"/>
                <w:highlight w:val="none"/>
              </w:rPr>
              <w:t>联塑、金牛、伟星管业</w:t>
            </w:r>
          </w:p>
        </w:tc>
      </w:tr>
      <w:tr w14:paraId="067B329F">
        <w:tblPrEx>
          <w:tblCellMar>
            <w:top w:w="0" w:type="dxa"/>
            <w:left w:w="108" w:type="dxa"/>
            <w:bottom w:w="0" w:type="dxa"/>
            <w:right w:w="108" w:type="dxa"/>
          </w:tblCellMar>
        </w:tblPrEx>
        <w:trPr>
          <w:trHeight w:val="735" w:hRule="atLeast"/>
        </w:trPr>
        <w:tc>
          <w:tcPr>
            <w:tcW w:w="1223" w:type="dxa"/>
            <w:tcBorders>
              <w:top w:val="single" w:color="auto" w:sz="4" w:space="0"/>
              <w:left w:val="single" w:color="auto" w:sz="4" w:space="0"/>
              <w:bottom w:val="single" w:color="auto" w:sz="4" w:space="0"/>
              <w:right w:val="single" w:color="auto" w:sz="4" w:space="0"/>
            </w:tcBorders>
            <w:noWrap/>
            <w:vAlign w:val="center"/>
          </w:tcPr>
          <w:p w14:paraId="3C1C323D">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14</w:t>
            </w:r>
          </w:p>
        </w:tc>
        <w:tc>
          <w:tcPr>
            <w:tcW w:w="1763" w:type="pct"/>
            <w:tcBorders>
              <w:top w:val="single" w:color="auto" w:sz="4" w:space="0"/>
              <w:left w:val="single" w:color="auto" w:sz="4" w:space="0"/>
              <w:bottom w:val="single" w:color="auto" w:sz="4" w:space="0"/>
              <w:right w:val="single" w:color="auto" w:sz="4" w:space="0"/>
            </w:tcBorders>
            <w:noWrap/>
            <w:vAlign w:val="center"/>
          </w:tcPr>
          <w:p w14:paraId="7EBA7F08">
            <w:pPr>
              <w:jc w:val="center"/>
              <w:rPr>
                <w:rFonts w:ascii="仿宋" w:hAnsi="仿宋" w:eastAsia="仿宋" w:cs="仿宋"/>
                <w:color w:val="auto"/>
                <w:sz w:val="24"/>
                <w:highlight w:val="none"/>
              </w:rPr>
            </w:pPr>
            <w:r>
              <w:rPr>
                <w:rFonts w:hint="eastAsia" w:ascii="仿宋" w:hAnsi="仿宋" w:eastAsia="仿宋" w:cs="仿宋"/>
                <w:color w:val="auto"/>
                <w:sz w:val="24"/>
                <w:highlight w:val="none"/>
              </w:rPr>
              <w:t>PVC排水管</w:t>
            </w:r>
          </w:p>
        </w:tc>
        <w:tc>
          <w:tcPr>
            <w:tcW w:w="2466" w:type="pct"/>
            <w:tcBorders>
              <w:top w:val="single" w:color="auto" w:sz="4" w:space="0"/>
              <w:left w:val="single" w:color="auto" w:sz="4" w:space="0"/>
              <w:bottom w:val="single" w:color="auto" w:sz="4" w:space="0"/>
              <w:right w:val="single" w:color="auto" w:sz="4" w:space="0"/>
            </w:tcBorders>
            <w:noWrap/>
            <w:vAlign w:val="center"/>
          </w:tcPr>
          <w:p w14:paraId="1702C6BD">
            <w:pPr>
              <w:jc w:val="center"/>
              <w:rPr>
                <w:rFonts w:ascii="仿宋" w:hAnsi="仿宋" w:eastAsia="仿宋" w:cs="仿宋"/>
                <w:color w:val="auto"/>
                <w:sz w:val="24"/>
                <w:highlight w:val="none"/>
              </w:rPr>
            </w:pPr>
            <w:r>
              <w:rPr>
                <w:rFonts w:hint="eastAsia" w:ascii="仿宋" w:hAnsi="仿宋" w:eastAsia="仿宋" w:cs="仿宋"/>
                <w:color w:val="auto"/>
                <w:sz w:val="24"/>
                <w:highlight w:val="none"/>
              </w:rPr>
              <w:t>联塑、金牛、伟星管业</w:t>
            </w:r>
          </w:p>
        </w:tc>
      </w:tr>
      <w:tr w14:paraId="66825B22">
        <w:tblPrEx>
          <w:tblCellMar>
            <w:top w:w="0" w:type="dxa"/>
            <w:left w:w="108" w:type="dxa"/>
            <w:bottom w:w="0" w:type="dxa"/>
            <w:right w:w="108" w:type="dxa"/>
          </w:tblCellMar>
        </w:tblPrEx>
        <w:trPr>
          <w:trHeight w:val="735" w:hRule="atLeast"/>
        </w:trPr>
        <w:tc>
          <w:tcPr>
            <w:tcW w:w="1223" w:type="dxa"/>
            <w:tcBorders>
              <w:top w:val="single" w:color="auto" w:sz="4" w:space="0"/>
              <w:left w:val="single" w:color="auto" w:sz="4" w:space="0"/>
              <w:bottom w:val="single" w:color="auto" w:sz="4" w:space="0"/>
              <w:right w:val="single" w:color="auto" w:sz="4" w:space="0"/>
            </w:tcBorders>
            <w:noWrap/>
            <w:vAlign w:val="center"/>
          </w:tcPr>
          <w:p w14:paraId="37558659">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15</w:t>
            </w:r>
          </w:p>
        </w:tc>
        <w:tc>
          <w:tcPr>
            <w:tcW w:w="1763" w:type="pct"/>
            <w:tcBorders>
              <w:top w:val="single" w:color="auto" w:sz="4" w:space="0"/>
              <w:left w:val="single" w:color="auto" w:sz="4" w:space="0"/>
              <w:bottom w:val="single" w:color="auto" w:sz="4" w:space="0"/>
              <w:right w:val="single" w:color="auto" w:sz="4" w:space="0"/>
            </w:tcBorders>
            <w:noWrap/>
            <w:vAlign w:val="center"/>
          </w:tcPr>
          <w:p w14:paraId="298C3401">
            <w:pPr>
              <w:jc w:val="center"/>
              <w:rPr>
                <w:rFonts w:ascii="仿宋" w:hAnsi="仿宋" w:eastAsia="仿宋" w:cs="仿宋"/>
                <w:color w:val="auto"/>
                <w:sz w:val="24"/>
                <w:highlight w:val="none"/>
              </w:rPr>
            </w:pPr>
            <w:r>
              <w:rPr>
                <w:rFonts w:hint="eastAsia" w:ascii="仿宋" w:hAnsi="仿宋" w:eastAsia="仿宋" w:cs="仿宋"/>
                <w:color w:val="auto"/>
                <w:sz w:val="24"/>
                <w:highlight w:val="none"/>
              </w:rPr>
              <w:t>洁  具</w:t>
            </w:r>
          </w:p>
        </w:tc>
        <w:tc>
          <w:tcPr>
            <w:tcW w:w="2466" w:type="pct"/>
            <w:tcBorders>
              <w:top w:val="single" w:color="auto" w:sz="4" w:space="0"/>
              <w:left w:val="single" w:color="auto" w:sz="4" w:space="0"/>
              <w:bottom w:val="single" w:color="auto" w:sz="4" w:space="0"/>
              <w:right w:val="single" w:color="auto" w:sz="4" w:space="0"/>
            </w:tcBorders>
            <w:noWrap/>
            <w:vAlign w:val="center"/>
          </w:tcPr>
          <w:p w14:paraId="5B94539C">
            <w:pPr>
              <w:jc w:val="center"/>
              <w:rPr>
                <w:rFonts w:ascii="仿宋" w:hAnsi="仿宋" w:eastAsia="仿宋" w:cs="仿宋"/>
                <w:color w:val="auto"/>
                <w:sz w:val="24"/>
                <w:highlight w:val="none"/>
              </w:rPr>
            </w:pPr>
            <w:r>
              <w:rPr>
                <w:rFonts w:hint="eastAsia" w:ascii="仿宋" w:hAnsi="仿宋" w:eastAsia="仿宋" w:cs="仿宋"/>
                <w:color w:val="auto"/>
                <w:sz w:val="24"/>
                <w:highlight w:val="none"/>
              </w:rPr>
              <w:t>法恩莎、九牧、箭牌</w:t>
            </w:r>
          </w:p>
        </w:tc>
      </w:tr>
      <w:tr w14:paraId="1BA6A90E">
        <w:tblPrEx>
          <w:tblCellMar>
            <w:top w:w="0" w:type="dxa"/>
            <w:left w:w="108" w:type="dxa"/>
            <w:bottom w:w="0" w:type="dxa"/>
            <w:right w:w="108" w:type="dxa"/>
          </w:tblCellMar>
        </w:tblPrEx>
        <w:trPr>
          <w:trHeight w:val="750" w:hRule="atLeast"/>
        </w:trPr>
        <w:tc>
          <w:tcPr>
            <w:tcW w:w="1223" w:type="dxa"/>
            <w:tcBorders>
              <w:top w:val="nil"/>
              <w:left w:val="single" w:color="auto" w:sz="4" w:space="0"/>
              <w:bottom w:val="single" w:color="auto" w:sz="4" w:space="0"/>
              <w:right w:val="single" w:color="auto" w:sz="4" w:space="0"/>
            </w:tcBorders>
            <w:noWrap/>
            <w:vAlign w:val="center"/>
          </w:tcPr>
          <w:p w14:paraId="771213DF">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16</w:t>
            </w:r>
          </w:p>
        </w:tc>
        <w:tc>
          <w:tcPr>
            <w:tcW w:w="1763" w:type="pct"/>
            <w:tcBorders>
              <w:top w:val="nil"/>
              <w:left w:val="nil"/>
              <w:bottom w:val="single" w:color="auto" w:sz="4" w:space="0"/>
              <w:right w:val="single" w:color="auto" w:sz="4" w:space="0"/>
            </w:tcBorders>
            <w:noWrap/>
          </w:tcPr>
          <w:p w14:paraId="5DBF1956">
            <w:pPr>
              <w:pStyle w:val="43"/>
              <w:spacing w:before="135" w:line="213" w:lineRule="auto"/>
              <w:jc w:val="center"/>
              <w:rPr>
                <w:color w:val="auto"/>
                <w:highlight w:val="none"/>
                <w:lang w:eastAsia="zh-CN"/>
              </w:rPr>
            </w:pPr>
            <w:r>
              <w:rPr>
                <w:rFonts w:hint="eastAsia"/>
                <w:color w:val="auto"/>
                <w:kern w:val="0"/>
                <w:highlight w:val="none"/>
                <w:lang w:eastAsia="zh-CN"/>
              </w:rPr>
              <w:t>配管</w:t>
            </w:r>
          </w:p>
        </w:tc>
        <w:tc>
          <w:tcPr>
            <w:tcW w:w="2466" w:type="pct"/>
            <w:tcBorders>
              <w:top w:val="nil"/>
              <w:left w:val="nil"/>
              <w:bottom w:val="single" w:color="auto" w:sz="4" w:space="0"/>
              <w:right w:val="single" w:color="auto" w:sz="4" w:space="0"/>
            </w:tcBorders>
            <w:noWrap/>
          </w:tcPr>
          <w:p w14:paraId="7FB8CE65">
            <w:pPr>
              <w:pStyle w:val="43"/>
              <w:spacing w:before="135" w:line="213" w:lineRule="auto"/>
              <w:jc w:val="center"/>
              <w:rPr>
                <w:color w:val="auto"/>
                <w:highlight w:val="none"/>
                <w:lang w:eastAsia="zh-CN"/>
              </w:rPr>
            </w:pPr>
            <w:r>
              <w:rPr>
                <w:rFonts w:hint="eastAsia"/>
                <w:color w:val="auto"/>
                <w:kern w:val="0"/>
                <w:highlight w:val="none"/>
                <w:lang w:eastAsia="zh-CN"/>
              </w:rPr>
              <w:t>联塑、金牛、康乐等</w:t>
            </w:r>
          </w:p>
        </w:tc>
      </w:tr>
      <w:tr w14:paraId="30969BBE">
        <w:tblPrEx>
          <w:tblCellMar>
            <w:top w:w="0" w:type="dxa"/>
            <w:left w:w="108" w:type="dxa"/>
            <w:bottom w:w="0" w:type="dxa"/>
            <w:right w:w="108" w:type="dxa"/>
          </w:tblCellMar>
        </w:tblPrEx>
        <w:trPr>
          <w:trHeight w:val="563" w:hRule="atLeast"/>
        </w:trPr>
        <w:tc>
          <w:tcPr>
            <w:tcW w:w="1223" w:type="dxa"/>
            <w:tcBorders>
              <w:top w:val="nil"/>
              <w:left w:val="single" w:color="auto" w:sz="4" w:space="0"/>
              <w:bottom w:val="single" w:color="auto" w:sz="4" w:space="0"/>
              <w:right w:val="single" w:color="auto" w:sz="4" w:space="0"/>
            </w:tcBorders>
            <w:noWrap/>
            <w:vAlign w:val="center"/>
          </w:tcPr>
          <w:p w14:paraId="77AE45E3">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17</w:t>
            </w:r>
          </w:p>
        </w:tc>
        <w:tc>
          <w:tcPr>
            <w:tcW w:w="1763" w:type="pct"/>
            <w:tcBorders>
              <w:top w:val="nil"/>
              <w:left w:val="nil"/>
              <w:bottom w:val="single" w:color="auto" w:sz="4" w:space="0"/>
              <w:right w:val="single" w:color="auto" w:sz="4" w:space="0"/>
            </w:tcBorders>
            <w:noWrap/>
            <w:vAlign w:val="center"/>
          </w:tcPr>
          <w:p w14:paraId="1BC0D3AF">
            <w:pPr>
              <w:jc w:val="center"/>
              <w:rPr>
                <w:rFonts w:ascii="仿宋" w:hAnsi="仿宋" w:eastAsia="仿宋" w:cs="仿宋"/>
                <w:color w:val="auto"/>
                <w:sz w:val="24"/>
                <w:highlight w:val="none"/>
              </w:rPr>
            </w:pPr>
            <w:r>
              <w:rPr>
                <w:rFonts w:hint="eastAsia" w:ascii="仿宋" w:hAnsi="仿宋" w:eastAsia="仿宋" w:cs="仿宋"/>
                <w:color w:val="auto"/>
                <w:sz w:val="24"/>
                <w:highlight w:val="none"/>
              </w:rPr>
              <w:t>电线、电缆</w:t>
            </w:r>
          </w:p>
        </w:tc>
        <w:tc>
          <w:tcPr>
            <w:tcW w:w="2466" w:type="pct"/>
            <w:tcBorders>
              <w:top w:val="nil"/>
              <w:left w:val="nil"/>
              <w:bottom w:val="single" w:color="auto" w:sz="4" w:space="0"/>
              <w:right w:val="single" w:color="auto" w:sz="4" w:space="0"/>
            </w:tcBorders>
            <w:noWrap/>
            <w:vAlign w:val="center"/>
          </w:tcPr>
          <w:p w14:paraId="705700CB">
            <w:pPr>
              <w:jc w:val="center"/>
              <w:rPr>
                <w:rFonts w:ascii="仿宋" w:hAnsi="仿宋" w:eastAsia="仿宋" w:cs="仿宋"/>
                <w:color w:val="auto"/>
                <w:sz w:val="24"/>
                <w:highlight w:val="none"/>
              </w:rPr>
            </w:pPr>
            <w:r>
              <w:rPr>
                <w:rFonts w:hint="eastAsia" w:ascii="仿宋" w:hAnsi="仿宋" w:eastAsia="仿宋" w:cs="仿宋"/>
                <w:color w:val="auto"/>
                <w:sz w:val="24"/>
                <w:highlight w:val="none"/>
              </w:rPr>
              <w:t>武汉二厂、正泰、航天电工</w:t>
            </w:r>
          </w:p>
        </w:tc>
      </w:tr>
      <w:tr w14:paraId="3833A020">
        <w:tblPrEx>
          <w:tblCellMar>
            <w:top w:w="0" w:type="dxa"/>
            <w:left w:w="108" w:type="dxa"/>
            <w:bottom w:w="0" w:type="dxa"/>
            <w:right w:w="108" w:type="dxa"/>
          </w:tblCellMar>
        </w:tblPrEx>
        <w:trPr>
          <w:trHeight w:val="542" w:hRule="atLeast"/>
        </w:trPr>
        <w:tc>
          <w:tcPr>
            <w:tcW w:w="1223" w:type="dxa"/>
            <w:tcBorders>
              <w:top w:val="single" w:color="auto" w:sz="4" w:space="0"/>
              <w:left w:val="single" w:color="auto" w:sz="4" w:space="0"/>
              <w:bottom w:val="single" w:color="auto" w:sz="4" w:space="0"/>
              <w:right w:val="single" w:color="auto" w:sz="4" w:space="0"/>
            </w:tcBorders>
            <w:noWrap/>
            <w:vAlign w:val="center"/>
          </w:tcPr>
          <w:p w14:paraId="1FE39112">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18</w:t>
            </w:r>
          </w:p>
        </w:tc>
        <w:tc>
          <w:tcPr>
            <w:tcW w:w="1763" w:type="pct"/>
            <w:tcBorders>
              <w:top w:val="single" w:color="auto" w:sz="4" w:space="0"/>
              <w:left w:val="single" w:color="auto" w:sz="4" w:space="0"/>
              <w:bottom w:val="single" w:color="auto" w:sz="4" w:space="0"/>
              <w:right w:val="single" w:color="auto" w:sz="4" w:space="0"/>
            </w:tcBorders>
            <w:noWrap/>
            <w:vAlign w:val="center"/>
          </w:tcPr>
          <w:p w14:paraId="41017884">
            <w:pPr>
              <w:jc w:val="center"/>
              <w:rPr>
                <w:rFonts w:ascii="仿宋" w:hAnsi="仿宋" w:eastAsia="仿宋" w:cs="仿宋"/>
                <w:color w:val="auto"/>
                <w:sz w:val="24"/>
                <w:highlight w:val="none"/>
              </w:rPr>
            </w:pPr>
            <w:r>
              <w:rPr>
                <w:rFonts w:hint="eastAsia" w:ascii="仿宋" w:hAnsi="仿宋" w:eastAsia="仿宋" w:cs="仿宋"/>
                <w:color w:val="auto"/>
                <w:sz w:val="24"/>
                <w:highlight w:val="none"/>
              </w:rPr>
              <w:t>配电箱元器件</w:t>
            </w:r>
          </w:p>
        </w:tc>
        <w:tc>
          <w:tcPr>
            <w:tcW w:w="2466" w:type="pct"/>
            <w:tcBorders>
              <w:top w:val="single" w:color="auto" w:sz="4" w:space="0"/>
              <w:left w:val="single" w:color="auto" w:sz="4" w:space="0"/>
              <w:bottom w:val="single" w:color="auto" w:sz="4" w:space="0"/>
              <w:right w:val="single" w:color="auto" w:sz="4" w:space="0"/>
            </w:tcBorders>
            <w:noWrap/>
            <w:vAlign w:val="center"/>
          </w:tcPr>
          <w:p w14:paraId="218B3498">
            <w:pPr>
              <w:jc w:val="center"/>
              <w:rPr>
                <w:rFonts w:ascii="仿宋" w:hAnsi="仿宋" w:eastAsia="仿宋" w:cs="仿宋"/>
                <w:color w:val="auto"/>
                <w:sz w:val="24"/>
                <w:highlight w:val="none"/>
              </w:rPr>
            </w:pPr>
            <w:r>
              <w:rPr>
                <w:rFonts w:hint="eastAsia" w:ascii="仿宋" w:hAnsi="仿宋" w:eastAsia="仿宋" w:cs="仿宋"/>
                <w:color w:val="auto"/>
                <w:sz w:val="24"/>
                <w:highlight w:val="none"/>
              </w:rPr>
              <w:t>西门子、施耐德、ABB</w:t>
            </w:r>
          </w:p>
        </w:tc>
      </w:tr>
      <w:tr w14:paraId="4B40C032">
        <w:tblPrEx>
          <w:tblCellMar>
            <w:top w:w="0" w:type="dxa"/>
            <w:left w:w="108" w:type="dxa"/>
            <w:bottom w:w="0" w:type="dxa"/>
            <w:right w:w="108" w:type="dxa"/>
          </w:tblCellMar>
        </w:tblPrEx>
        <w:trPr>
          <w:trHeight w:val="704" w:hRule="atLeast"/>
        </w:trPr>
        <w:tc>
          <w:tcPr>
            <w:tcW w:w="1223" w:type="dxa"/>
            <w:tcBorders>
              <w:top w:val="single" w:color="auto" w:sz="4" w:space="0"/>
              <w:left w:val="single" w:color="auto" w:sz="4" w:space="0"/>
              <w:bottom w:val="single" w:color="auto" w:sz="4" w:space="0"/>
              <w:right w:val="single" w:color="auto" w:sz="4" w:space="0"/>
            </w:tcBorders>
            <w:noWrap/>
            <w:vAlign w:val="center"/>
          </w:tcPr>
          <w:p w14:paraId="5761A0A0">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19</w:t>
            </w:r>
          </w:p>
        </w:tc>
        <w:tc>
          <w:tcPr>
            <w:tcW w:w="1763" w:type="pct"/>
            <w:tcBorders>
              <w:top w:val="single" w:color="auto" w:sz="4" w:space="0"/>
              <w:left w:val="single" w:color="auto" w:sz="4" w:space="0"/>
              <w:bottom w:val="single" w:color="auto" w:sz="4" w:space="0"/>
              <w:right w:val="single" w:color="auto" w:sz="4" w:space="0"/>
            </w:tcBorders>
            <w:noWrap/>
            <w:vAlign w:val="center"/>
          </w:tcPr>
          <w:p w14:paraId="67752C17">
            <w:pPr>
              <w:jc w:val="center"/>
              <w:rPr>
                <w:rFonts w:ascii="仿宋" w:hAnsi="仿宋" w:eastAsia="仿宋" w:cs="仿宋"/>
                <w:color w:val="auto"/>
                <w:sz w:val="24"/>
                <w:highlight w:val="none"/>
              </w:rPr>
            </w:pPr>
            <w:r>
              <w:rPr>
                <w:rFonts w:hint="eastAsia" w:ascii="仿宋" w:hAnsi="仿宋" w:eastAsia="仿宋" w:cs="仿宋"/>
                <w:color w:val="auto"/>
                <w:sz w:val="24"/>
                <w:highlight w:val="none"/>
              </w:rPr>
              <w:t>开关、插座</w:t>
            </w:r>
          </w:p>
        </w:tc>
        <w:tc>
          <w:tcPr>
            <w:tcW w:w="2466" w:type="pct"/>
            <w:tcBorders>
              <w:top w:val="single" w:color="auto" w:sz="4" w:space="0"/>
              <w:left w:val="single" w:color="auto" w:sz="4" w:space="0"/>
              <w:bottom w:val="single" w:color="auto" w:sz="4" w:space="0"/>
              <w:right w:val="single" w:color="auto" w:sz="4" w:space="0"/>
            </w:tcBorders>
            <w:noWrap/>
            <w:vAlign w:val="center"/>
          </w:tcPr>
          <w:p w14:paraId="34D82DD5">
            <w:pPr>
              <w:jc w:val="center"/>
              <w:rPr>
                <w:rFonts w:ascii="仿宋" w:hAnsi="仿宋" w:eastAsia="仿宋" w:cs="仿宋"/>
                <w:color w:val="auto"/>
                <w:sz w:val="24"/>
                <w:highlight w:val="none"/>
              </w:rPr>
            </w:pPr>
            <w:r>
              <w:rPr>
                <w:rFonts w:hint="eastAsia" w:ascii="仿宋" w:hAnsi="仿宋" w:eastAsia="仿宋" w:cs="仿宋"/>
                <w:color w:val="auto"/>
                <w:sz w:val="24"/>
                <w:highlight w:val="none"/>
              </w:rPr>
              <w:t>西门子、TCL、罗格朗</w:t>
            </w:r>
          </w:p>
        </w:tc>
      </w:tr>
      <w:tr w14:paraId="06058167">
        <w:tblPrEx>
          <w:tblCellMar>
            <w:top w:w="0" w:type="dxa"/>
            <w:left w:w="108" w:type="dxa"/>
            <w:bottom w:w="0" w:type="dxa"/>
            <w:right w:w="108" w:type="dxa"/>
          </w:tblCellMar>
        </w:tblPrEx>
        <w:trPr>
          <w:trHeight w:val="570" w:hRule="atLeast"/>
        </w:trPr>
        <w:tc>
          <w:tcPr>
            <w:tcW w:w="770" w:type="pct"/>
            <w:tcBorders>
              <w:top w:val="single" w:color="auto" w:sz="4" w:space="0"/>
              <w:left w:val="single" w:color="auto" w:sz="4" w:space="0"/>
              <w:bottom w:val="single" w:color="auto" w:sz="4" w:space="0"/>
              <w:right w:val="single" w:color="auto" w:sz="4" w:space="0"/>
            </w:tcBorders>
            <w:noWrap/>
            <w:vAlign w:val="center"/>
          </w:tcPr>
          <w:p w14:paraId="7F2FA8A8">
            <w:pPr>
              <w:jc w:val="center"/>
              <w:rPr>
                <w:rFonts w:ascii="仿宋" w:hAnsi="仿宋" w:eastAsia="仿宋" w:cs="仿宋"/>
                <w:color w:val="auto"/>
                <w:sz w:val="24"/>
                <w:highlight w:val="none"/>
              </w:rPr>
            </w:pPr>
            <w:r>
              <w:rPr>
                <w:rFonts w:hint="eastAsia" w:ascii="仿宋" w:hAnsi="仿宋" w:eastAsia="仿宋" w:cs="仿宋"/>
                <w:color w:val="auto"/>
                <w:sz w:val="24"/>
                <w:highlight w:val="none"/>
              </w:rPr>
              <w:t>20</w:t>
            </w:r>
          </w:p>
        </w:tc>
        <w:tc>
          <w:tcPr>
            <w:tcW w:w="1763" w:type="pct"/>
            <w:tcBorders>
              <w:top w:val="single" w:color="auto" w:sz="4" w:space="0"/>
              <w:left w:val="nil"/>
              <w:bottom w:val="single" w:color="auto" w:sz="4" w:space="0"/>
              <w:right w:val="single" w:color="auto" w:sz="4" w:space="0"/>
            </w:tcBorders>
            <w:noWrap/>
            <w:vAlign w:val="center"/>
          </w:tcPr>
          <w:p w14:paraId="10819E9A">
            <w:pPr>
              <w:jc w:val="center"/>
              <w:rPr>
                <w:rFonts w:ascii="仿宋" w:hAnsi="仿宋" w:eastAsia="仿宋" w:cs="仿宋"/>
                <w:color w:val="auto"/>
                <w:sz w:val="24"/>
                <w:highlight w:val="none"/>
              </w:rPr>
            </w:pPr>
            <w:r>
              <w:rPr>
                <w:rFonts w:hint="eastAsia" w:ascii="仿宋" w:hAnsi="仿宋" w:eastAsia="仿宋" w:cs="仿宋"/>
                <w:color w:val="auto"/>
                <w:sz w:val="24"/>
                <w:highlight w:val="none"/>
              </w:rPr>
              <w:t>灯具</w:t>
            </w:r>
          </w:p>
        </w:tc>
        <w:tc>
          <w:tcPr>
            <w:tcW w:w="2466" w:type="pct"/>
            <w:tcBorders>
              <w:top w:val="single" w:color="auto" w:sz="4" w:space="0"/>
              <w:left w:val="nil"/>
              <w:bottom w:val="single" w:color="auto" w:sz="4" w:space="0"/>
              <w:right w:val="single" w:color="auto" w:sz="4" w:space="0"/>
            </w:tcBorders>
            <w:noWrap/>
            <w:vAlign w:val="center"/>
          </w:tcPr>
          <w:p w14:paraId="0967B562">
            <w:pPr>
              <w:jc w:val="center"/>
              <w:rPr>
                <w:rFonts w:ascii="仿宋" w:hAnsi="仿宋" w:eastAsia="仿宋" w:cs="仿宋"/>
                <w:color w:val="auto"/>
                <w:sz w:val="24"/>
                <w:highlight w:val="none"/>
              </w:rPr>
            </w:pPr>
            <w:r>
              <w:rPr>
                <w:rFonts w:hint="eastAsia" w:ascii="仿宋" w:hAnsi="仿宋" w:eastAsia="仿宋" w:cs="仿宋"/>
                <w:color w:val="auto"/>
                <w:sz w:val="24"/>
                <w:highlight w:val="none"/>
              </w:rPr>
              <w:t>雷士、欧普、飞利浦</w:t>
            </w:r>
          </w:p>
        </w:tc>
      </w:tr>
      <w:bookmarkEnd w:id="604"/>
    </w:tbl>
    <w:p w14:paraId="023A68C5">
      <w:pPr>
        <w:spacing w:line="360" w:lineRule="auto"/>
        <w:ind w:firstLine="482" w:firstLineChars="200"/>
        <w:rPr>
          <w:rFonts w:ascii="仿宋" w:hAnsi="仿宋" w:eastAsia="仿宋" w:cs="仿宋"/>
          <w:b/>
          <w:bCs/>
          <w:color w:val="auto"/>
          <w:sz w:val="24"/>
          <w:highlight w:val="none"/>
        </w:rPr>
      </w:pPr>
      <w:r>
        <w:rPr>
          <w:rFonts w:hint="eastAsia" w:ascii="仿宋" w:hAnsi="仿宋" w:eastAsia="仿宋" w:cs="仿宋"/>
          <w:b/>
          <w:bCs/>
          <w:color w:val="auto"/>
          <w:sz w:val="24"/>
          <w:highlight w:val="none"/>
        </w:rPr>
        <w:t>本章所述材料和设备技术要求中如果出现了参考品牌或规格型号，其目的是为了</w:t>
      </w:r>
    </w:p>
    <w:p w14:paraId="4FDC9AF7">
      <w:pPr>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方便投标人直观和准确地把握相应材料和设备的技术标准，不具指定或唯一的意思表</w:t>
      </w:r>
    </w:p>
    <w:p w14:paraId="72559B3B">
      <w:pPr>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示，投标人当参考所列品牌的材料和设备，采购相当于或高于所列品牌技术标准的材</w:t>
      </w:r>
    </w:p>
    <w:p w14:paraId="68E8A19F">
      <w:pPr>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料和设备。投标人投标时应在投标文件明确其品牌及规格型号。未经采购人同意，不</w:t>
      </w:r>
    </w:p>
    <w:p w14:paraId="2C4D4937">
      <w:pPr>
        <w:spacing w:line="360" w:lineRule="auto"/>
        <w:rPr>
          <w:rFonts w:ascii="仿宋" w:hAnsi="仿宋" w:eastAsia="仿宋" w:cs="仿宋"/>
          <w:b/>
          <w:bCs/>
          <w:color w:val="auto"/>
          <w:sz w:val="24"/>
          <w:highlight w:val="none"/>
        </w:rPr>
        <w:sectPr>
          <w:headerReference r:id="rId9" w:type="default"/>
          <w:footerReference r:id="rId10" w:type="default"/>
          <w:pgSz w:w="11906" w:h="16838"/>
          <w:pgMar w:top="1304" w:right="1134" w:bottom="1304" w:left="1134" w:header="851" w:footer="992" w:gutter="0"/>
          <w:cols w:space="720" w:num="1"/>
          <w:docGrid w:linePitch="312" w:charSpace="0"/>
        </w:sectPr>
      </w:pPr>
      <w:r>
        <w:rPr>
          <w:rFonts w:hint="eastAsia" w:ascii="仿宋" w:hAnsi="仿宋" w:eastAsia="仿宋" w:cs="仿宋"/>
          <w:b/>
          <w:bCs/>
          <w:color w:val="auto"/>
          <w:sz w:val="24"/>
          <w:highlight w:val="none"/>
        </w:rPr>
        <w:t>得改变品牌及规格型号。</w:t>
      </w:r>
    </w:p>
    <w:bookmarkEnd w:id="596"/>
    <w:p w14:paraId="69C41190">
      <w:pPr>
        <w:pStyle w:val="2"/>
        <w:spacing w:beforeLines="50" w:afterLines="100" w:line="360" w:lineRule="auto"/>
        <w:jc w:val="center"/>
        <w:rPr>
          <w:rFonts w:ascii="仿宋" w:hAnsi="仿宋" w:eastAsia="仿宋" w:cs="仿宋"/>
          <w:color w:val="auto"/>
          <w:kern w:val="2"/>
          <w:sz w:val="36"/>
          <w:highlight w:val="none"/>
        </w:rPr>
      </w:pPr>
      <w:bookmarkStart w:id="605" w:name="_Toc267582611"/>
      <w:bookmarkStart w:id="606" w:name="_Toc29535"/>
      <w:bookmarkStart w:id="607" w:name="_Toc14602"/>
      <w:bookmarkStart w:id="608" w:name="_Toc148516600"/>
      <w:r>
        <w:rPr>
          <w:rFonts w:hint="eastAsia" w:ascii="仿宋" w:hAnsi="仿宋" w:eastAsia="仿宋" w:cs="仿宋"/>
          <w:color w:val="auto"/>
          <w:kern w:val="2"/>
          <w:sz w:val="36"/>
          <w:highlight w:val="none"/>
        </w:rPr>
        <w:t>第四章、评标标准及方法</w:t>
      </w:r>
      <w:bookmarkEnd w:id="605"/>
      <w:bookmarkEnd w:id="606"/>
      <w:bookmarkEnd w:id="607"/>
    </w:p>
    <w:p w14:paraId="611187B1">
      <w:pPr>
        <w:pStyle w:val="6"/>
        <w:spacing w:line="360" w:lineRule="auto"/>
        <w:ind w:firstLine="470" w:firstLineChars="196"/>
        <w:rPr>
          <w:rFonts w:ascii="仿宋" w:hAnsi="仿宋" w:eastAsia="仿宋" w:cs="仿宋"/>
          <w:bCs/>
          <w:color w:val="auto"/>
          <w:sz w:val="24"/>
          <w:highlight w:val="none"/>
        </w:rPr>
      </w:pPr>
      <w:r>
        <w:rPr>
          <w:rFonts w:hint="eastAsia" w:ascii="仿宋" w:hAnsi="仿宋" w:eastAsia="仿宋" w:cs="仿宋"/>
          <w:bCs/>
          <w:color w:val="auto"/>
          <w:sz w:val="24"/>
          <w:highlight w:val="none"/>
        </w:rPr>
        <w:t>根据《中华人民共和国政府采购法》等有关法律、法规和规章的规定，确定以下评标方法、步骤及标准。</w:t>
      </w:r>
    </w:p>
    <w:p w14:paraId="3C32D4EC">
      <w:pPr>
        <w:spacing w:line="360" w:lineRule="auto"/>
        <w:outlineLvl w:val="0"/>
        <w:rPr>
          <w:rFonts w:ascii="仿宋" w:hAnsi="仿宋" w:eastAsia="仿宋" w:cs="仿宋"/>
          <w:b/>
          <w:color w:val="auto"/>
          <w:sz w:val="24"/>
          <w:highlight w:val="none"/>
        </w:rPr>
      </w:pPr>
      <w:bookmarkStart w:id="609" w:name="_Toc6470"/>
      <w:bookmarkStart w:id="610" w:name="_Toc485113114"/>
      <w:r>
        <w:rPr>
          <w:rFonts w:hint="eastAsia" w:ascii="仿宋" w:hAnsi="仿宋" w:eastAsia="仿宋" w:cs="仿宋"/>
          <w:b/>
          <w:color w:val="auto"/>
          <w:sz w:val="24"/>
          <w:highlight w:val="none"/>
        </w:rPr>
        <w:t>一、评标方法</w:t>
      </w:r>
      <w:bookmarkEnd w:id="609"/>
      <w:bookmarkEnd w:id="610"/>
    </w:p>
    <w:p w14:paraId="6E108E14">
      <w:pPr>
        <w:pStyle w:val="6"/>
        <w:spacing w:line="360" w:lineRule="auto"/>
        <w:ind w:firstLine="470" w:firstLineChars="196"/>
        <w:rPr>
          <w:rFonts w:ascii="仿宋" w:hAnsi="仿宋" w:eastAsia="仿宋" w:cs="仿宋"/>
          <w:bCs/>
          <w:color w:val="auto"/>
          <w:sz w:val="24"/>
          <w:highlight w:val="none"/>
        </w:rPr>
      </w:pPr>
      <w:r>
        <w:rPr>
          <w:rFonts w:hint="eastAsia" w:ascii="仿宋" w:hAnsi="仿宋" w:eastAsia="仿宋" w:cs="仿宋"/>
          <w:bCs/>
          <w:color w:val="auto"/>
          <w:sz w:val="24"/>
          <w:highlight w:val="none"/>
        </w:rPr>
        <w:t>本次评标采用综合评分法（百分制），即 在最大限度地满足招标文件实质性要求前提下，按照招标文件规定的各项因素进行综合评审后，以得分高低依次排序。</w:t>
      </w:r>
    </w:p>
    <w:p w14:paraId="64785DCC">
      <w:pPr>
        <w:pStyle w:val="6"/>
        <w:spacing w:line="360" w:lineRule="auto"/>
        <w:ind w:firstLine="472" w:firstLineChars="196"/>
        <w:rPr>
          <w:rFonts w:ascii="仿宋" w:hAnsi="仿宋" w:eastAsia="仿宋" w:cs="仿宋"/>
          <w:b/>
          <w:color w:val="auto"/>
          <w:sz w:val="24"/>
          <w:highlight w:val="none"/>
        </w:rPr>
      </w:pPr>
      <w:r>
        <w:rPr>
          <w:rFonts w:hint="eastAsia" w:ascii="仿宋" w:hAnsi="仿宋" w:eastAsia="仿宋" w:cs="仿宋"/>
          <w:b/>
          <w:color w:val="auto"/>
          <w:sz w:val="24"/>
          <w:highlight w:val="none"/>
        </w:rPr>
        <w:t>二、评标步骤</w:t>
      </w:r>
    </w:p>
    <w:p w14:paraId="4665DF52">
      <w:pPr>
        <w:pStyle w:val="6"/>
        <w:spacing w:line="360" w:lineRule="auto"/>
        <w:ind w:firstLine="470" w:firstLineChars="196"/>
        <w:rPr>
          <w:rFonts w:ascii="仿宋" w:hAnsi="仿宋" w:eastAsia="仿宋" w:cs="仿宋"/>
          <w:bCs/>
          <w:color w:val="auto"/>
          <w:sz w:val="24"/>
          <w:highlight w:val="none"/>
        </w:rPr>
      </w:pPr>
      <w:r>
        <w:rPr>
          <w:rFonts w:hint="eastAsia" w:ascii="仿宋" w:hAnsi="仿宋" w:eastAsia="仿宋" w:cs="仿宋"/>
          <w:bCs/>
          <w:color w:val="auto"/>
          <w:sz w:val="24"/>
          <w:highlight w:val="none"/>
        </w:rPr>
        <w:t>评标委员会对投标文件的评审分为资格性和符合性检查、商务评议、技术评议和价格评议；</w:t>
      </w:r>
    </w:p>
    <w:p w14:paraId="54D606C9">
      <w:pPr>
        <w:pStyle w:val="6"/>
        <w:spacing w:line="360" w:lineRule="auto"/>
        <w:ind w:firstLine="472" w:firstLineChars="196"/>
        <w:outlineLvl w:val="0"/>
        <w:rPr>
          <w:rFonts w:ascii="仿宋" w:hAnsi="仿宋" w:eastAsia="仿宋" w:cs="仿宋"/>
          <w:b/>
          <w:bCs/>
          <w:color w:val="auto"/>
          <w:sz w:val="24"/>
          <w:highlight w:val="none"/>
        </w:rPr>
      </w:pPr>
      <w:bookmarkStart w:id="611" w:name="_Toc19565"/>
      <w:bookmarkStart w:id="612" w:name="_Toc485113115"/>
      <w:r>
        <w:rPr>
          <w:rFonts w:hint="eastAsia" w:ascii="仿宋" w:hAnsi="仿宋" w:eastAsia="仿宋" w:cs="仿宋"/>
          <w:b/>
          <w:bCs/>
          <w:color w:val="auto"/>
          <w:sz w:val="24"/>
          <w:highlight w:val="none"/>
        </w:rPr>
        <w:t>（一）投标文件初审</w:t>
      </w:r>
      <w:bookmarkEnd w:id="611"/>
      <w:bookmarkEnd w:id="612"/>
    </w:p>
    <w:p w14:paraId="3F3D81FD">
      <w:pPr>
        <w:pStyle w:val="6"/>
        <w:spacing w:line="360" w:lineRule="auto"/>
        <w:ind w:firstLine="470" w:firstLineChars="196"/>
        <w:rPr>
          <w:rFonts w:ascii="仿宋" w:hAnsi="仿宋" w:eastAsia="仿宋" w:cs="仿宋"/>
          <w:bCs/>
          <w:color w:val="auto"/>
          <w:sz w:val="24"/>
          <w:highlight w:val="none"/>
        </w:rPr>
      </w:pPr>
      <w:r>
        <w:rPr>
          <w:rFonts w:hint="eastAsia" w:ascii="仿宋" w:hAnsi="仿宋" w:eastAsia="仿宋" w:cs="仿宋"/>
          <w:bCs/>
          <w:color w:val="auto"/>
          <w:sz w:val="24"/>
          <w:highlight w:val="none"/>
        </w:rPr>
        <w:t>1、资格性检查</w:t>
      </w:r>
    </w:p>
    <w:p w14:paraId="3D4ABD5D">
      <w:pPr>
        <w:pStyle w:val="6"/>
        <w:spacing w:line="360" w:lineRule="auto"/>
        <w:ind w:firstLine="470" w:firstLineChars="196"/>
        <w:rPr>
          <w:rFonts w:ascii="仿宋" w:hAnsi="仿宋" w:eastAsia="仿宋" w:cs="仿宋"/>
          <w:bCs/>
          <w:color w:val="auto"/>
          <w:sz w:val="24"/>
          <w:highlight w:val="none"/>
        </w:rPr>
      </w:pPr>
      <w:r>
        <w:rPr>
          <w:rFonts w:hint="eastAsia" w:ascii="仿宋" w:hAnsi="仿宋" w:eastAsia="仿宋" w:cs="仿宋"/>
          <w:bCs/>
          <w:color w:val="auto"/>
          <w:sz w:val="24"/>
          <w:highlight w:val="none"/>
        </w:rPr>
        <w:t>招标人及招标代理机构依据法律法规和招标文件的规定，对投标人的资格证明进行审查，以确定投标供应商是否具备投标资格，具体评审因素详见《资格性检查表》。</w:t>
      </w:r>
    </w:p>
    <w:p w14:paraId="05CDD670">
      <w:pPr>
        <w:pStyle w:val="6"/>
        <w:spacing w:line="360" w:lineRule="auto"/>
        <w:ind w:firstLine="470" w:firstLineChars="196"/>
        <w:rPr>
          <w:rFonts w:ascii="仿宋" w:hAnsi="仿宋" w:eastAsia="仿宋" w:cs="仿宋"/>
          <w:bCs/>
          <w:color w:val="auto"/>
          <w:sz w:val="24"/>
          <w:highlight w:val="none"/>
        </w:rPr>
      </w:pPr>
      <w:r>
        <w:rPr>
          <w:rFonts w:hint="eastAsia" w:ascii="仿宋" w:hAnsi="仿宋" w:eastAsia="仿宋" w:cs="仿宋"/>
          <w:bCs/>
          <w:color w:val="auto"/>
          <w:sz w:val="24"/>
          <w:highlight w:val="none"/>
        </w:rPr>
        <w:t>2、符合性检查</w:t>
      </w:r>
    </w:p>
    <w:p w14:paraId="35087EB2">
      <w:pPr>
        <w:pStyle w:val="6"/>
        <w:spacing w:line="360" w:lineRule="auto"/>
        <w:ind w:firstLine="470" w:firstLineChars="196"/>
        <w:rPr>
          <w:rFonts w:ascii="仿宋" w:hAnsi="仿宋" w:eastAsia="仿宋" w:cs="仿宋"/>
          <w:bCs/>
          <w:color w:val="auto"/>
          <w:sz w:val="24"/>
          <w:highlight w:val="none"/>
        </w:rPr>
      </w:pPr>
      <w:r>
        <w:rPr>
          <w:rFonts w:hint="eastAsia" w:ascii="仿宋" w:hAnsi="仿宋" w:eastAsia="仿宋" w:cs="仿宋"/>
          <w:bCs/>
          <w:color w:val="auto"/>
          <w:sz w:val="24"/>
          <w:highlight w:val="none"/>
        </w:rPr>
        <w:t>评标委员会依据招标文件的规定，从投标文件的有效性、完整性和对招标文件的响应程度进行审查，以确定是否对招标文件的实质性要求作出响应，具体评审因素详见《符合性检查表》。</w:t>
      </w:r>
    </w:p>
    <w:p w14:paraId="642006DF">
      <w:pPr>
        <w:pStyle w:val="6"/>
        <w:spacing w:line="360" w:lineRule="auto"/>
        <w:ind w:firstLine="470" w:firstLineChars="196"/>
        <w:rPr>
          <w:rFonts w:ascii="仿宋" w:hAnsi="仿宋" w:eastAsia="仿宋" w:cs="仿宋"/>
          <w:bCs/>
          <w:color w:val="auto"/>
          <w:sz w:val="24"/>
          <w:highlight w:val="none"/>
        </w:rPr>
      </w:pPr>
      <w:r>
        <w:rPr>
          <w:rFonts w:hint="eastAsia" w:ascii="仿宋" w:hAnsi="仿宋" w:eastAsia="仿宋" w:cs="仿宋"/>
          <w:bCs/>
          <w:color w:val="auto"/>
          <w:sz w:val="24"/>
          <w:highlight w:val="none"/>
        </w:rPr>
        <w:t>3、投标人存在下列情况之一的，投标无效：</w:t>
      </w:r>
    </w:p>
    <w:p w14:paraId="2611C819">
      <w:pPr>
        <w:pStyle w:val="6"/>
        <w:numPr>
          <w:ilvl w:val="0"/>
          <w:numId w:val="9"/>
        </w:numPr>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投标文件未按招标文件要求签署、盖章的；</w:t>
      </w:r>
    </w:p>
    <w:p w14:paraId="201A4CEB">
      <w:pPr>
        <w:pStyle w:val="6"/>
        <w:numPr>
          <w:ilvl w:val="0"/>
          <w:numId w:val="9"/>
        </w:numPr>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不具备招标文件中规定的资格要求的；</w:t>
      </w:r>
    </w:p>
    <w:p w14:paraId="5AD99C94">
      <w:pPr>
        <w:pStyle w:val="6"/>
        <w:numPr>
          <w:ilvl w:val="0"/>
          <w:numId w:val="9"/>
        </w:numPr>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报价超过招标文件中规定的预算金额或者最高限价的；</w:t>
      </w:r>
    </w:p>
    <w:p w14:paraId="7275F0C2">
      <w:pPr>
        <w:pStyle w:val="6"/>
        <w:numPr>
          <w:ilvl w:val="0"/>
          <w:numId w:val="9"/>
        </w:numPr>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投标文件含有采购人不能接受的附加条件的;</w:t>
      </w:r>
    </w:p>
    <w:p w14:paraId="0ABF9C2F">
      <w:pPr>
        <w:pStyle w:val="6"/>
        <w:numPr>
          <w:ilvl w:val="0"/>
          <w:numId w:val="9"/>
        </w:numPr>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法律、法规和招标文件规定的其他无效情形。</w:t>
      </w:r>
    </w:p>
    <w:p w14:paraId="2804BD36">
      <w:pPr>
        <w:spacing w:line="360" w:lineRule="auto"/>
        <w:ind w:firstLine="424" w:firstLineChars="177"/>
        <w:rPr>
          <w:rFonts w:ascii="仿宋" w:hAnsi="仿宋" w:eastAsia="仿宋" w:cs="仿宋"/>
          <w:color w:val="auto"/>
          <w:sz w:val="24"/>
          <w:highlight w:val="none"/>
        </w:rPr>
      </w:pPr>
      <w:r>
        <w:rPr>
          <w:rFonts w:hint="eastAsia" w:ascii="仿宋" w:hAnsi="仿宋" w:eastAsia="仿宋" w:cs="仿宋"/>
          <w:color w:val="auto"/>
          <w:sz w:val="24"/>
          <w:highlight w:val="none"/>
        </w:rPr>
        <w:t>4、串通投标或弄虚作假或有其他违法行为的；其中</w:t>
      </w:r>
    </w:p>
    <w:p w14:paraId="1CDCE6E0">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1）有下列情形之一的，视为投标供应商相互串通投标：</w:t>
      </w:r>
    </w:p>
    <w:p w14:paraId="647B8A3B">
      <w:pPr>
        <w:spacing w:line="360" w:lineRule="auto"/>
        <w:ind w:firstLine="775" w:firstLineChars="323"/>
        <w:rPr>
          <w:rFonts w:ascii="仿宋" w:hAnsi="仿宋" w:eastAsia="仿宋" w:cs="仿宋"/>
          <w:color w:val="auto"/>
          <w:sz w:val="24"/>
          <w:highlight w:val="none"/>
        </w:rPr>
      </w:pPr>
      <w:r>
        <w:rPr>
          <w:rFonts w:hint="eastAsia" w:ascii="仿宋" w:hAnsi="仿宋" w:eastAsia="仿宋" w:cs="仿宋"/>
          <w:color w:val="auto"/>
          <w:sz w:val="24"/>
          <w:highlight w:val="none"/>
        </w:rPr>
        <w:t>①不同投标人的投标文件由同一单位或者个人编制；</w:t>
      </w:r>
    </w:p>
    <w:p w14:paraId="694D8C5A">
      <w:pPr>
        <w:spacing w:line="360" w:lineRule="auto"/>
        <w:ind w:firstLine="775" w:firstLineChars="323"/>
        <w:rPr>
          <w:rFonts w:ascii="仿宋" w:hAnsi="仿宋" w:eastAsia="仿宋" w:cs="仿宋"/>
          <w:color w:val="auto"/>
          <w:sz w:val="24"/>
          <w:highlight w:val="none"/>
        </w:rPr>
      </w:pPr>
      <w:r>
        <w:rPr>
          <w:rFonts w:hint="eastAsia" w:ascii="仿宋" w:hAnsi="仿宋" w:eastAsia="仿宋" w:cs="仿宋"/>
          <w:color w:val="auto"/>
          <w:sz w:val="24"/>
          <w:highlight w:val="none"/>
        </w:rPr>
        <w:t>②不同投标人委托同一单位或者个人办理投标事宜；</w:t>
      </w:r>
    </w:p>
    <w:p w14:paraId="06392F23">
      <w:pPr>
        <w:spacing w:line="360" w:lineRule="auto"/>
        <w:ind w:firstLine="775" w:firstLineChars="323"/>
        <w:rPr>
          <w:rFonts w:ascii="仿宋" w:hAnsi="仿宋" w:eastAsia="仿宋" w:cs="仿宋"/>
          <w:color w:val="auto"/>
          <w:sz w:val="24"/>
          <w:highlight w:val="none"/>
        </w:rPr>
      </w:pPr>
      <w:r>
        <w:rPr>
          <w:rFonts w:hint="eastAsia" w:ascii="仿宋" w:hAnsi="仿宋" w:eastAsia="仿宋" w:cs="仿宋"/>
          <w:color w:val="auto"/>
          <w:sz w:val="24"/>
          <w:highlight w:val="none"/>
        </w:rPr>
        <w:t>③不同投标人的投标文件载明的项目管理成员或者联系人员为同一人；</w:t>
      </w:r>
    </w:p>
    <w:p w14:paraId="70646DBC">
      <w:pPr>
        <w:spacing w:line="360" w:lineRule="auto"/>
        <w:ind w:firstLine="775" w:firstLineChars="323"/>
        <w:rPr>
          <w:rFonts w:ascii="仿宋" w:hAnsi="仿宋" w:eastAsia="仿宋" w:cs="仿宋"/>
          <w:color w:val="auto"/>
          <w:sz w:val="24"/>
          <w:highlight w:val="none"/>
        </w:rPr>
      </w:pPr>
      <w:r>
        <w:rPr>
          <w:rFonts w:hint="eastAsia" w:ascii="仿宋" w:hAnsi="仿宋" w:eastAsia="仿宋" w:cs="仿宋"/>
          <w:color w:val="auto"/>
          <w:sz w:val="24"/>
          <w:highlight w:val="none"/>
        </w:rPr>
        <w:t>④不同投标人的投标文件异常一致或者投标报价呈规律性差异；</w:t>
      </w:r>
    </w:p>
    <w:p w14:paraId="44DCE139">
      <w:pPr>
        <w:spacing w:line="360" w:lineRule="auto"/>
        <w:ind w:firstLine="775" w:firstLineChars="323"/>
        <w:rPr>
          <w:rFonts w:ascii="仿宋" w:hAnsi="仿宋" w:eastAsia="仿宋" w:cs="仿宋"/>
          <w:color w:val="auto"/>
          <w:sz w:val="24"/>
          <w:highlight w:val="none"/>
        </w:rPr>
      </w:pPr>
      <w:r>
        <w:rPr>
          <w:rFonts w:hint="eastAsia" w:ascii="仿宋" w:hAnsi="仿宋" w:eastAsia="仿宋" w:cs="仿宋"/>
          <w:color w:val="auto"/>
          <w:sz w:val="24"/>
          <w:highlight w:val="none"/>
        </w:rPr>
        <w:t>⑤不同投标人的投标文件相互混装；</w:t>
      </w:r>
    </w:p>
    <w:p w14:paraId="21931AC5">
      <w:pPr>
        <w:spacing w:line="360" w:lineRule="auto"/>
        <w:ind w:firstLine="775" w:firstLineChars="323"/>
        <w:rPr>
          <w:rFonts w:ascii="仿宋" w:hAnsi="仿宋" w:eastAsia="仿宋" w:cs="仿宋"/>
          <w:color w:val="auto"/>
          <w:sz w:val="24"/>
          <w:highlight w:val="none"/>
        </w:rPr>
      </w:pPr>
      <w:r>
        <w:rPr>
          <w:rFonts w:hint="eastAsia" w:ascii="仿宋" w:hAnsi="仿宋" w:eastAsia="仿宋" w:cs="仿宋"/>
          <w:color w:val="auto"/>
          <w:sz w:val="24"/>
          <w:highlight w:val="none"/>
        </w:rPr>
        <w:t>2）有下列情形之一的，属于弄虚作假行为：</w:t>
      </w:r>
    </w:p>
    <w:p w14:paraId="1B8348F2">
      <w:pPr>
        <w:spacing w:line="360" w:lineRule="auto"/>
        <w:ind w:firstLine="775" w:firstLineChars="323"/>
        <w:rPr>
          <w:rFonts w:ascii="仿宋" w:hAnsi="仿宋" w:eastAsia="仿宋" w:cs="仿宋"/>
          <w:color w:val="auto"/>
          <w:sz w:val="24"/>
          <w:highlight w:val="none"/>
        </w:rPr>
      </w:pPr>
      <w:r>
        <w:rPr>
          <w:rFonts w:hint="eastAsia" w:ascii="仿宋" w:hAnsi="仿宋" w:eastAsia="仿宋" w:cs="仿宋"/>
          <w:color w:val="auto"/>
          <w:sz w:val="24"/>
          <w:highlight w:val="none"/>
        </w:rPr>
        <w:t>①使用通过受让或者租借等方式获取的资格、资质证书投标的，即以他人名义投标的。</w:t>
      </w:r>
    </w:p>
    <w:p w14:paraId="14FFB3F7">
      <w:pPr>
        <w:spacing w:line="360" w:lineRule="auto"/>
        <w:ind w:firstLine="775" w:firstLineChars="323"/>
        <w:rPr>
          <w:rFonts w:ascii="仿宋" w:hAnsi="仿宋" w:eastAsia="仿宋" w:cs="仿宋"/>
          <w:color w:val="auto"/>
          <w:sz w:val="24"/>
          <w:highlight w:val="none"/>
        </w:rPr>
      </w:pPr>
      <w:r>
        <w:rPr>
          <w:rFonts w:hint="eastAsia" w:ascii="仿宋" w:hAnsi="仿宋" w:eastAsia="仿宋" w:cs="仿宋"/>
          <w:color w:val="auto"/>
          <w:sz w:val="24"/>
          <w:highlight w:val="none"/>
        </w:rPr>
        <w:t>②使用伪造、变造的许可证件；</w:t>
      </w:r>
    </w:p>
    <w:p w14:paraId="048DC3B1">
      <w:pPr>
        <w:spacing w:line="360" w:lineRule="auto"/>
        <w:ind w:firstLine="775" w:firstLineChars="323"/>
        <w:rPr>
          <w:rFonts w:ascii="仿宋" w:hAnsi="仿宋" w:eastAsia="仿宋" w:cs="仿宋"/>
          <w:color w:val="auto"/>
          <w:sz w:val="24"/>
          <w:highlight w:val="none"/>
        </w:rPr>
      </w:pPr>
      <w:r>
        <w:rPr>
          <w:rFonts w:hint="eastAsia" w:ascii="仿宋" w:hAnsi="仿宋" w:eastAsia="仿宋" w:cs="仿宋"/>
          <w:color w:val="auto"/>
          <w:sz w:val="24"/>
          <w:highlight w:val="none"/>
        </w:rPr>
        <w:t>③提供虚假的财务状况或者业绩；</w:t>
      </w:r>
    </w:p>
    <w:p w14:paraId="46792177">
      <w:pPr>
        <w:spacing w:line="360" w:lineRule="auto"/>
        <w:ind w:firstLine="775" w:firstLineChars="323"/>
        <w:rPr>
          <w:rFonts w:ascii="仿宋" w:hAnsi="仿宋" w:eastAsia="仿宋" w:cs="仿宋"/>
          <w:color w:val="auto"/>
          <w:sz w:val="24"/>
          <w:highlight w:val="none"/>
        </w:rPr>
      </w:pPr>
      <w:r>
        <w:rPr>
          <w:rFonts w:hint="eastAsia" w:ascii="仿宋" w:hAnsi="仿宋" w:eastAsia="仿宋" w:cs="仿宋"/>
          <w:color w:val="auto"/>
          <w:sz w:val="24"/>
          <w:highlight w:val="none"/>
        </w:rPr>
        <w:t>④提供虚假的项目负责人或者主要技术人员简历、劳动关系证明；</w:t>
      </w:r>
    </w:p>
    <w:p w14:paraId="7D4130D2">
      <w:pPr>
        <w:spacing w:line="360" w:lineRule="auto"/>
        <w:ind w:firstLine="775" w:firstLineChars="323"/>
        <w:rPr>
          <w:rFonts w:ascii="仿宋" w:hAnsi="仿宋" w:eastAsia="仿宋" w:cs="仿宋"/>
          <w:color w:val="auto"/>
          <w:sz w:val="24"/>
          <w:highlight w:val="none"/>
        </w:rPr>
      </w:pPr>
      <w:r>
        <w:rPr>
          <w:rFonts w:hint="eastAsia" w:ascii="仿宋" w:hAnsi="仿宋" w:eastAsia="仿宋" w:cs="仿宋"/>
          <w:color w:val="auto"/>
          <w:sz w:val="24"/>
          <w:highlight w:val="none"/>
        </w:rPr>
        <w:t>⑤提供虚假的信用状况；</w:t>
      </w:r>
    </w:p>
    <w:p w14:paraId="1ECF185F">
      <w:pPr>
        <w:spacing w:line="360" w:lineRule="auto"/>
        <w:ind w:firstLine="775" w:firstLineChars="323"/>
        <w:rPr>
          <w:rFonts w:ascii="仿宋" w:hAnsi="仿宋" w:eastAsia="仿宋" w:cs="仿宋"/>
          <w:color w:val="auto"/>
          <w:sz w:val="24"/>
          <w:highlight w:val="none"/>
        </w:rPr>
      </w:pPr>
      <w:r>
        <w:rPr>
          <w:rFonts w:hint="eastAsia" w:ascii="仿宋" w:hAnsi="仿宋" w:eastAsia="仿宋" w:cs="仿宋"/>
          <w:color w:val="auto"/>
          <w:sz w:val="24"/>
          <w:highlight w:val="none"/>
        </w:rPr>
        <w:t>⑥其他弄虚作假的行为。</w:t>
      </w:r>
    </w:p>
    <w:p w14:paraId="2CEF65E1">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3）不按评标委员会要求澄清、说明或补正的。</w:t>
      </w:r>
    </w:p>
    <w:p w14:paraId="69BDEA12">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5、 投标报价有算术错误的，评标委员会按以下原则对投标报价进行修正，修正的价格经投标供应商书面确认后具有约束力。投标供应商不接受修正价格的，或者修正后的投标报价超过最高投标限价的（如有），其投标无效。</w:t>
      </w:r>
    </w:p>
    <w:p w14:paraId="0C6F0042">
      <w:pPr>
        <w:numPr>
          <w:ilvl w:val="1"/>
          <w:numId w:val="10"/>
        </w:numPr>
        <w:spacing w:line="360" w:lineRule="auto"/>
        <w:ind w:left="993"/>
        <w:jc w:val="left"/>
        <w:rPr>
          <w:rFonts w:ascii="仿宋" w:hAnsi="仿宋" w:eastAsia="仿宋" w:cs="仿宋"/>
          <w:color w:val="auto"/>
          <w:sz w:val="24"/>
          <w:highlight w:val="none"/>
        </w:rPr>
      </w:pPr>
      <w:r>
        <w:rPr>
          <w:rFonts w:hint="eastAsia" w:ascii="仿宋" w:hAnsi="仿宋" w:eastAsia="仿宋" w:cs="仿宋"/>
          <w:color w:val="auto"/>
          <w:sz w:val="24"/>
          <w:highlight w:val="none"/>
        </w:rPr>
        <w:t>投标文件中开标一览表（报价表）内容与投标文件中相应内容不一致的，以开标一览表（报价表）为准；</w:t>
      </w:r>
    </w:p>
    <w:p w14:paraId="39D22F27">
      <w:pPr>
        <w:numPr>
          <w:ilvl w:val="1"/>
          <w:numId w:val="10"/>
        </w:numPr>
        <w:spacing w:line="360" w:lineRule="auto"/>
        <w:ind w:left="993"/>
        <w:jc w:val="left"/>
        <w:rPr>
          <w:rFonts w:ascii="仿宋" w:hAnsi="仿宋" w:eastAsia="仿宋" w:cs="仿宋"/>
          <w:color w:val="auto"/>
          <w:sz w:val="24"/>
          <w:highlight w:val="none"/>
        </w:rPr>
      </w:pPr>
      <w:r>
        <w:rPr>
          <w:rFonts w:hint="eastAsia" w:ascii="仿宋" w:hAnsi="仿宋" w:eastAsia="仿宋" w:cs="仿宋"/>
          <w:color w:val="auto"/>
          <w:sz w:val="24"/>
          <w:highlight w:val="none"/>
        </w:rPr>
        <w:t>大写金额和小写金额不一致的，以大写金额为准；</w:t>
      </w:r>
    </w:p>
    <w:p w14:paraId="33810E92">
      <w:pPr>
        <w:numPr>
          <w:ilvl w:val="1"/>
          <w:numId w:val="10"/>
        </w:numPr>
        <w:spacing w:line="360" w:lineRule="auto"/>
        <w:ind w:left="993"/>
        <w:jc w:val="left"/>
        <w:rPr>
          <w:rFonts w:ascii="仿宋" w:hAnsi="仿宋" w:eastAsia="仿宋" w:cs="仿宋"/>
          <w:color w:val="auto"/>
          <w:sz w:val="24"/>
          <w:highlight w:val="none"/>
        </w:rPr>
      </w:pPr>
      <w:r>
        <w:rPr>
          <w:rFonts w:hint="eastAsia" w:ascii="仿宋" w:hAnsi="仿宋" w:eastAsia="仿宋" w:cs="仿宋"/>
          <w:color w:val="auto"/>
          <w:sz w:val="24"/>
          <w:highlight w:val="none"/>
        </w:rPr>
        <w:t>单价金额小数点或者百分比有明显错位的，以开标一览表的总价为准，并修改单价；</w:t>
      </w:r>
    </w:p>
    <w:p w14:paraId="429C60DC">
      <w:pPr>
        <w:numPr>
          <w:ilvl w:val="1"/>
          <w:numId w:val="10"/>
        </w:numPr>
        <w:spacing w:line="360" w:lineRule="auto"/>
        <w:ind w:left="993"/>
        <w:jc w:val="left"/>
        <w:rPr>
          <w:rFonts w:ascii="仿宋" w:hAnsi="仿宋" w:eastAsia="仿宋" w:cs="仿宋"/>
          <w:color w:val="auto"/>
          <w:sz w:val="24"/>
          <w:highlight w:val="none"/>
        </w:rPr>
      </w:pPr>
      <w:r>
        <w:rPr>
          <w:rFonts w:hint="eastAsia" w:ascii="仿宋" w:hAnsi="仿宋" w:eastAsia="仿宋" w:cs="仿宋"/>
          <w:color w:val="auto"/>
          <w:sz w:val="24"/>
          <w:highlight w:val="none"/>
        </w:rPr>
        <w:t>总价金额与按单价汇总金额不一致的，以单价金额计算结果为准。</w:t>
      </w:r>
    </w:p>
    <w:p w14:paraId="7E95F757">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5.2 评标委员会对投标报价进行校核时，发现投标报价存在多处算术错误，使得投标报价校核无法进行的，其投标无效。</w:t>
      </w:r>
    </w:p>
    <w:p w14:paraId="56E27D65">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5.3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50F3F444">
      <w:pPr>
        <w:widowControl/>
        <w:ind w:firstLine="420"/>
        <w:rPr>
          <w:rFonts w:ascii="仿宋" w:hAnsi="仿宋" w:eastAsia="仿宋" w:cs="仿宋"/>
          <w:color w:val="auto"/>
          <w:sz w:val="24"/>
          <w:highlight w:val="none"/>
        </w:rPr>
      </w:pPr>
      <w:r>
        <w:rPr>
          <w:rFonts w:hint="eastAsia" w:ascii="仿宋" w:hAnsi="仿宋" w:eastAsia="仿宋" w:cs="仿宋"/>
          <w:color w:val="auto"/>
          <w:sz w:val="24"/>
          <w:highlight w:val="none"/>
        </w:rPr>
        <w:t>5.4初审后合格投标人不足3家的，不得评标。</w:t>
      </w:r>
    </w:p>
    <w:p w14:paraId="0BA1BD38">
      <w:pPr>
        <w:spacing w:line="46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   6、落实相关政府采购政策优惠评审因素</w:t>
      </w:r>
    </w:p>
    <w:p w14:paraId="22EA4B1A">
      <w:pPr>
        <w:spacing w:line="360" w:lineRule="auto"/>
        <w:ind w:firstLine="360" w:firstLineChars="150"/>
        <w:rPr>
          <w:rFonts w:ascii="仿宋" w:hAnsi="仿宋" w:eastAsia="仿宋" w:cs="仿宋"/>
          <w:color w:val="auto"/>
          <w:sz w:val="24"/>
          <w:highlight w:val="none"/>
        </w:rPr>
      </w:pPr>
      <w:r>
        <w:rPr>
          <w:rFonts w:hint="eastAsia" w:ascii="仿宋" w:hAnsi="仿宋" w:eastAsia="仿宋" w:cs="仿宋"/>
          <w:color w:val="auto"/>
          <w:sz w:val="24"/>
          <w:highlight w:val="none"/>
        </w:rPr>
        <w:t>6.1 中小企业评审优惠</w:t>
      </w:r>
    </w:p>
    <w:p w14:paraId="1B349E24">
      <w:pPr>
        <w:spacing w:line="460" w:lineRule="exact"/>
        <w:ind w:firstLine="480" w:firstLineChars="200"/>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为促进中小企业发展，依据《关于印发&lt;政府采购促进中小企业发展管理办法&gt;的通知》（财库〔2020〕46号）、《财政部 司法部关于政府采购支持监狱企业发展有关问题的通知》（财库〔2014〕68号）、《关于促进残疾人就业政府采购政策的通知》（财库〔2017〕141号）、《湖北省财政厅 湖北省公共资源交易监督管理局关于落实稳住经济一揽子政策进一步加大政府采购支持中小企业力度的通知》（鄂财采发〔2022〕5号）的规定，本项目投标人如符合上述文件规定的，需提供《中小企业声明函》、监狱企业证明文件、《残疾人福利性单位声明函》，评审时，评标委员会将依据“投标人须知前附表”规定的报价扣除比例，对投标人报价进行价格扣除，用扣除后的价格参与评审。当供应商为大中型企业的且本项目支持联合体投标响应的，大中型企业可以和其他小型、微型企业组成联合体共同参加非本次工程项目政府采购。联合协议中约定，小型、微型企业的协议合同金额占到联合体协议合同总金额30%以上的，可给予联合体1%的价格扣除。</w:t>
      </w:r>
    </w:p>
    <w:p w14:paraId="1EE41FE7">
      <w:pPr>
        <w:spacing w:line="460" w:lineRule="exact"/>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    6.2 节能环保评审优惠</w:t>
      </w:r>
    </w:p>
    <w:p w14:paraId="7D3B279D">
      <w:pPr>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按照财政部、国家发展改革委关于印发《节能产品政府采购实施意见》的通知（财库【2004】185号）/《关于环境标志产品政府采购实施的意见》（财库【2006】）90号）文件执行。（详见评审标准附件D） 如供应商响应产品符合以上文件的政策支持，须提供产品认证证书（合格有效时间内的）、清单公告媒体的网页打印件并作出明显标识。</w:t>
      </w:r>
    </w:p>
    <w:p w14:paraId="4CC63DC9">
      <w:pPr>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经评标委员会审核确认供应商响应产品在清单内，符合政策支持要求的，将给予1%的价格扣除，用扣除后的价格参与评审。</w:t>
      </w:r>
    </w:p>
    <w:p w14:paraId="30DA504D">
      <w:pPr>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6.3</w:t>
      </w:r>
      <w:bookmarkStart w:id="613" w:name="sendNo"/>
      <w:r>
        <w:rPr>
          <w:rFonts w:hint="eastAsia" w:ascii="仿宋" w:hAnsi="仿宋" w:eastAsia="仿宋" w:cs="仿宋"/>
          <w:color w:val="auto"/>
          <w:sz w:val="24"/>
          <w:highlight w:val="none"/>
        </w:rPr>
        <w:t>关于促进残疾人就业政府采购政策的通知，财库</w:t>
      </w:r>
      <w:r>
        <w:rPr>
          <w:rFonts w:hint="eastAsia" w:ascii="仿宋" w:hAnsi="仿宋" w:eastAsia="仿宋" w:cs="仿宋"/>
          <w:color w:val="auto"/>
          <w:sz w:val="22"/>
          <w:szCs w:val="22"/>
          <w:highlight w:val="none"/>
        </w:rPr>
        <w:t>〔</w:t>
      </w:r>
      <w:bookmarkEnd w:id="613"/>
      <w:r>
        <w:rPr>
          <w:rFonts w:hint="eastAsia" w:ascii="仿宋" w:hAnsi="仿宋" w:eastAsia="仿宋" w:cs="仿宋"/>
          <w:color w:val="auto"/>
          <w:sz w:val="22"/>
          <w:szCs w:val="22"/>
          <w:highlight w:val="none"/>
        </w:rPr>
        <w:t>2019〕141号</w:t>
      </w:r>
    </w:p>
    <w:p w14:paraId="1AD6EF52">
      <w:pPr>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按照财政部《关于促进残疾人就业政府采购政策的通知》财库〔2019〕141号文件执行，符合条件的残疾人福利性单位在参加政府采购活动时，应当提供规定的《残疾人福利性单位声明函》（见附件三），并对声明的真实性负责。任何单位或者个人在政府采购活动中均不得要求残疾人福利性单位提供其他证明声明函内容的材料。</w:t>
      </w:r>
    </w:p>
    <w:p w14:paraId="149D85F5">
      <w:pPr>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供应商提供的《残疾人福利性单位声明函》与事实不符的，依照《政府采购法》第七十七条第一款的规定追究法律责任。</w:t>
      </w:r>
    </w:p>
    <w:p w14:paraId="5E1B5BF5">
      <w:pPr>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39EB350F">
      <w:pPr>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6.4关于政府采购支持监狱企业发展有关问题的通知</w:t>
      </w:r>
      <w:bookmarkStart w:id="614" w:name="OLE_LINK6"/>
      <w:r>
        <w:rPr>
          <w:rFonts w:hint="eastAsia" w:ascii="仿宋" w:hAnsi="仿宋" w:eastAsia="仿宋" w:cs="仿宋"/>
          <w:color w:val="auto"/>
          <w:sz w:val="24"/>
          <w:highlight w:val="none"/>
        </w:rPr>
        <w:t>，财库[2014]68号</w:t>
      </w:r>
      <w:bookmarkEnd w:id="614"/>
      <w:r>
        <w:rPr>
          <w:rFonts w:hint="eastAsia" w:ascii="仿宋" w:hAnsi="仿宋" w:eastAsia="仿宋" w:cs="仿宋"/>
          <w:color w:val="auto"/>
          <w:sz w:val="24"/>
          <w:highlight w:val="none"/>
        </w:rPr>
        <w:t> </w:t>
      </w:r>
    </w:p>
    <w:p w14:paraId="3DC13536">
      <w:pPr>
        <w:spacing w:line="4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按照财政部《关于政府采购支持监狱企业发展有关问题的通知》财库[2014]68号文件执行，监狱企业参加政府采购活动时，应当提供由省级以上监狱管理局、戒毒管理局(含新疆生产建设兵团)出具的属于监狱企业的证明文件。在政府采购活动中，监狱企业视同小型、微型企业，享受预留份额、评审中价格扣除等政府采购促进中小企业发展的政府采购政策。向监狱企业采购的金额，计入面向中小企业采购的统计数据。</w:t>
      </w:r>
    </w:p>
    <w:p w14:paraId="7F64767A">
      <w:pPr>
        <w:pStyle w:val="6"/>
        <w:spacing w:line="360" w:lineRule="auto"/>
        <w:ind w:firstLine="472" w:firstLineChars="196"/>
        <w:outlineLvl w:val="0"/>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7、</w:t>
      </w:r>
      <w:bookmarkStart w:id="615" w:name="_Toc2067"/>
      <w:bookmarkStart w:id="616" w:name="_Toc485113116"/>
      <w:r>
        <w:rPr>
          <w:rFonts w:hint="eastAsia" w:ascii="仿宋" w:hAnsi="仿宋" w:eastAsia="仿宋" w:cs="仿宋"/>
          <w:b/>
          <w:bCs/>
          <w:color w:val="auto"/>
          <w:sz w:val="24"/>
          <w:highlight w:val="none"/>
          <w:lang w:val="en-US" w:eastAsia="zh-CN"/>
        </w:rPr>
        <w:t>异常低价审查</w:t>
      </w:r>
    </w:p>
    <w:p w14:paraId="272F9D12">
      <w:pPr>
        <w:pStyle w:val="6"/>
        <w:spacing w:line="360" w:lineRule="auto"/>
        <w:ind w:firstLine="472" w:firstLineChars="196"/>
        <w:outlineLvl w:val="0"/>
        <w:rPr>
          <w:rFonts w:hint="eastAsia" w:ascii="仿宋" w:hAnsi="仿宋" w:eastAsia="仿宋" w:cs="仿宋"/>
          <w:b w:val="0"/>
          <w:bCs w:val="0"/>
          <w:color w:val="auto"/>
          <w:sz w:val="24"/>
          <w:highlight w:val="none"/>
          <w:lang w:val="en-US" w:eastAsia="zh-CN"/>
        </w:rPr>
      </w:pPr>
      <w:r>
        <w:rPr>
          <w:rFonts w:hint="eastAsia" w:ascii="仿宋" w:hAnsi="仿宋" w:eastAsia="仿宋" w:cs="仿宋"/>
          <w:b/>
          <w:bCs/>
          <w:color w:val="auto"/>
          <w:sz w:val="24"/>
          <w:highlight w:val="none"/>
          <w:lang w:val="en-US" w:eastAsia="zh-CN"/>
        </w:rPr>
        <w:t>7.1审查情形:</w:t>
      </w:r>
      <w:r>
        <w:rPr>
          <w:rFonts w:hint="eastAsia" w:ascii="仿宋" w:hAnsi="仿宋" w:eastAsia="仿宋" w:cs="仿宋"/>
          <w:b w:val="0"/>
          <w:bCs w:val="0"/>
          <w:color w:val="auto"/>
          <w:sz w:val="24"/>
          <w:highlight w:val="none"/>
          <w:lang w:val="en-US" w:eastAsia="zh-CN"/>
        </w:rPr>
        <w:t>按照《关于推动解决政府采购异常低价问题的通知》(财库[2026]2号)规定，自2026年2月1日起，政府采购评审中出现异常低价情形，评审委员会应当启动异常低价投标审查程序。</w:t>
      </w:r>
    </w:p>
    <w:p w14:paraId="711CAA61">
      <w:pPr>
        <w:pStyle w:val="6"/>
        <w:spacing w:line="360" w:lineRule="auto"/>
        <w:ind w:firstLine="472" w:firstLineChars="196"/>
        <w:outlineLvl w:val="0"/>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（1）投标报价低于全部通过符合性审查供应商投标报价平均值50%的(注:此处由采购人根据项目实际情况填写，填写范围不得低于50%，最高不得超过65%);</w:t>
      </w:r>
    </w:p>
    <w:p w14:paraId="36D1D08B">
      <w:pPr>
        <w:pStyle w:val="6"/>
        <w:spacing w:line="360" w:lineRule="auto"/>
        <w:ind w:firstLine="472" w:firstLineChars="196"/>
        <w:outlineLvl w:val="0"/>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（2）投标报价低于通过符合性审查的次低报价供应商投标报价50%的(注:此处由采购人根据项目实际情况填写，填写范围不得低于50%，最高不得超过65%);</w:t>
      </w:r>
    </w:p>
    <w:p w14:paraId="35965437">
      <w:pPr>
        <w:pStyle w:val="6"/>
        <w:spacing w:line="360" w:lineRule="auto"/>
        <w:ind w:firstLine="472" w:firstLineChars="196"/>
        <w:outlineLvl w:val="0"/>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（3）投标报价低于采购项目最高限价45%的(注:此处由采购人根据项目实际情况填写，填写范围不得低于45%，最高不得超过65%);</w:t>
      </w:r>
    </w:p>
    <w:p w14:paraId="1E2E736A">
      <w:pPr>
        <w:pStyle w:val="6"/>
        <w:spacing w:line="360" w:lineRule="auto"/>
        <w:ind w:firstLine="470" w:firstLineChars="196"/>
        <w:outlineLvl w:val="0"/>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（4）评审委员会基于专业判断，认为供应商报价过低，有可能影响产品质量或者不能诚信履约的其他情形。相关法律法规对供应商报价有规定的，从其规定。</w:t>
      </w:r>
    </w:p>
    <w:p w14:paraId="2B5BE261">
      <w:pPr>
        <w:pStyle w:val="6"/>
        <w:spacing w:line="360" w:lineRule="auto"/>
        <w:ind w:firstLine="472" w:firstLineChars="196"/>
        <w:outlineLvl w:val="0"/>
        <w:rPr>
          <w:rFonts w:hint="eastAsia" w:ascii="仿宋" w:hAnsi="仿宋" w:eastAsia="仿宋" w:cs="仿宋"/>
          <w:b w:val="0"/>
          <w:bCs w:val="0"/>
          <w:color w:val="auto"/>
          <w:sz w:val="24"/>
          <w:highlight w:val="none"/>
          <w:lang w:val="en-US" w:eastAsia="zh-CN"/>
        </w:rPr>
      </w:pPr>
      <w:r>
        <w:rPr>
          <w:rFonts w:hint="eastAsia" w:ascii="仿宋" w:hAnsi="仿宋" w:eastAsia="仿宋" w:cs="仿宋"/>
          <w:b/>
          <w:bCs/>
          <w:color w:val="auto"/>
          <w:sz w:val="24"/>
          <w:highlight w:val="none"/>
          <w:lang w:val="en-US" w:eastAsia="zh-CN"/>
        </w:rPr>
        <w:t>7.2资料要求:</w:t>
      </w:r>
      <w:r>
        <w:rPr>
          <w:rFonts w:hint="eastAsia" w:ascii="仿宋" w:hAnsi="仿宋" w:eastAsia="仿宋" w:cs="仿宋"/>
          <w:b w:val="0"/>
          <w:bCs w:val="0"/>
          <w:color w:val="auto"/>
          <w:sz w:val="24"/>
          <w:highlight w:val="none"/>
          <w:lang w:val="en-US" w:eastAsia="zh-CN"/>
        </w:rPr>
        <w:t>评审委员会启动异常低价投标审查后，属于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1D7C5271">
      <w:pPr>
        <w:pStyle w:val="6"/>
        <w:spacing w:line="360" w:lineRule="auto"/>
        <w:ind w:firstLine="472" w:firstLineChars="196"/>
        <w:outlineLvl w:val="0"/>
        <w:rPr>
          <w:rFonts w:hint="eastAsia" w:ascii="仿宋" w:hAnsi="仿宋" w:eastAsia="仿宋" w:cs="仿宋"/>
          <w:b w:val="0"/>
          <w:bCs w:val="0"/>
          <w:color w:val="auto"/>
          <w:sz w:val="24"/>
          <w:highlight w:val="none"/>
          <w:lang w:val="en-US" w:eastAsia="zh-CN"/>
        </w:rPr>
      </w:pPr>
      <w:r>
        <w:rPr>
          <w:rFonts w:hint="eastAsia" w:ascii="仿宋" w:hAnsi="仿宋" w:eastAsia="仿宋" w:cs="仿宋"/>
          <w:b/>
          <w:bCs/>
          <w:color w:val="auto"/>
          <w:sz w:val="24"/>
          <w:highlight w:val="none"/>
          <w:lang w:val="en-US" w:eastAsia="zh-CN"/>
        </w:rPr>
        <w:t>7.3审查要求:</w:t>
      </w:r>
      <w:r>
        <w:rPr>
          <w:rFonts w:hint="eastAsia" w:ascii="仿宋" w:hAnsi="仿宋" w:eastAsia="仿宋" w:cs="仿宋"/>
          <w:b w:val="0"/>
          <w:bCs w:val="0"/>
          <w:color w:val="auto"/>
          <w:sz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0413DBF7">
      <w:pPr>
        <w:pStyle w:val="6"/>
        <w:spacing w:line="360" w:lineRule="auto"/>
        <w:ind w:firstLine="472" w:firstLineChars="196"/>
        <w:outlineLvl w:val="0"/>
        <w:rPr>
          <w:rFonts w:hint="eastAsia" w:ascii="仿宋" w:hAnsi="仿宋" w:eastAsia="仿宋" w:cs="仿宋"/>
          <w:b w:val="0"/>
          <w:bCs w:val="0"/>
          <w:color w:val="auto"/>
          <w:sz w:val="24"/>
          <w:highlight w:val="none"/>
          <w:lang w:val="en-US" w:eastAsia="zh-CN"/>
        </w:rPr>
      </w:pPr>
      <w:r>
        <w:rPr>
          <w:rFonts w:hint="eastAsia" w:ascii="仿宋" w:hAnsi="仿宋" w:eastAsia="仿宋" w:cs="仿宋"/>
          <w:b/>
          <w:bCs/>
          <w:color w:val="auto"/>
          <w:sz w:val="24"/>
          <w:highlight w:val="none"/>
          <w:lang w:val="en-US" w:eastAsia="zh-CN"/>
        </w:rPr>
        <w:t>7.4 评审组织:</w:t>
      </w:r>
      <w:r>
        <w:rPr>
          <w:rFonts w:hint="eastAsia" w:ascii="仿宋" w:hAnsi="仿宋" w:eastAsia="仿宋" w:cs="仿宋"/>
          <w:b w:val="0"/>
          <w:bCs w:val="0"/>
          <w:color w:val="auto"/>
          <w:sz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1CAA980">
      <w:pPr>
        <w:pStyle w:val="6"/>
        <w:spacing w:line="360" w:lineRule="auto"/>
        <w:ind w:firstLine="472" w:firstLineChars="196"/>
        <w:outlineLvl w:val="0"/>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7.5记录及归档:</w:t>
      </w:r>
      <w:r>
        <w:rPr>
          <w:rFonts w:hint="eastAsia" w:ascii="仿宋" w:hAnsi="仿宋" w:eastAsia="仿宋" w:cs="仿宋"/>
          <w:b w:val="0"/>
          <w:bCs w:val="0"/>
          <w:color w:val="auto"/>
          <w:sz w:val="24"/>
          <w:highlight w:val="none"/>
          <w:lang w:val="en-US" w:eastAsia="zh-CN"/>
        </w:rPr>
        <w:t>异常低价投标审查的启动原因、审查意见和审查结果应当在评审报告中记录，并随供应商提供的相关书面说明及证明材料，以及评审委员会有关互联网浏览、查询历史一并归档。</w:t>
      </w:r>
    </w:p>
    <w:p w14:paraId="238661F2">
      <w:pPr>
        <w:pStyle w:val="6"/>
        <w:spacing w:line="360" w:lineRule="auto"/>
        <w:ind w:firstLine="472" w:firstLineChars="196"/>
        <w:outlineLvl w:val="0"/>
        <w:rPr>
          <w:rFonts w:ascii="仿宋" w:hAnsi="仿宋" w:eastAsia="仿宋" w:cs="仿宋"/>
          <w:b/>
          <w:bCs/>
          <w:color w:val="auto"/>
          <w:sz w:val="24"/>
          <w:highlight w:val="none"/>
        </w:rPr>
      </w:pPr>
      <w:r>
        <w:rPr>
          <w:rFonts w:hint="eastAsia" w:ascii="仿宋" w:hAnsi="仿宋" w:eastAsia="仿宋" w:cs="仿宋"/>
          <w:b/>
          <w:bCs/>
          <w:color w:val="auto"/>
          <w:sz w:val="24"/>
          <w:highlight w:val="none"/>
        </w:rPr>
        <w:t>（二）澄清有关问题</w:t>
      </w:r>
      <w:bookmarkEnd w:id="615"/>
      <w:bookmarkEnd w:id="616"/>
    </w:p>
    <w:p w14:paraId="2A437A5E">
      <w:pPr>
        <w:pStyle w:val="6"/>
        <w:spacing w:line="360" w:lineRule="auto"/>
        <w:ind w:firstLine="470" w:firstLineChars="196"/>
        <w:rPr>
          <w:rFonts w:ascii="仿宋" w:hAnsi="仿宋" w:eastAsia="仿宋" w:cs="仿宋"/>
          <w:bCs/>
          <w:color w:val="auto"/>
          <w:sz w:val="24"/>
          <w:highlight w:val="none"/>
        </w:rPr>
      </w:pPr>
      <w:r>
        <w:rPr>
          <w:rFonts w:hint="eastAsia" w:ascii="仿宋" w:hAnsi="仿宋" w:eastAsia="仿宋" w:cs="仿宋"/>
          <w:bCs/>
          <w:color w:val="auto"/>
          <w:sz w:val="24"/>
          <w:highlight w:val="none"/>
        </w:rPr>
        <w:t>评标委员会对投标文件中含义不明确、同类问题表述不一致或者有明显文字和计算错误的内容，以书面形式（应当由评标委员会专家签字）要求投标供应商做出必要的澄清、说明或者纠正。投标供应商的澄清、说明或者补正应当采用书面形式，由其授权的代表签字，并不得超出投标文件的范围或者改变投标文件的实质性内容。</w:t>
      </w:r>
    </w:p>
    <w:p w14:paraId="0824DD0C">
      <w:pPr>
        <w:pStyle w:val="6"/>
        <w:spacing w:line="360" w:lineRule="auto"/>
        <w:ind w:firstLine="472" w:firstLineChars="196"/>
        <w:outlineLvl w:val="0"/>
        <w:rPr>
          <w:rFonts w:ascii="仿宋" w:hAnsi="仿宋" w:eastAsia="仿宋" w:cs="仿宋"/>
          <w:b/>
          <w:bCs/>
          <w:color w:val="auto"/>
          <w:sz w:val="24"/>
          <w:highlight w:val="none"/>
        </w:rPr>
      </w:pPr>
      <w:bookmarkStart w:id="617" w:name="_Toc485113117"/>
      <w:bookmarkStart w:id="618" w:name="_Toc9151"/>
      <w:r>
        <w:rPr>
          <w:rFonts w:hint="eastAsia" w:ascii="仿宋" w:hAnsi="仿宋" w:eastAsia="仿宋" w:cs="仿宋"/>
          <w:b/>
          <w:bCs/>
          <w:color w:val="auto"/>
          <w:sz w:val="24"/>
          <w:highlight w:val="none"/>
        </w:rPr>
        <w:t>（三）比较与评价</w:t>
      </w:r>
      <w:bookmarkEnd w:id="617"/>
      <w:bookmarkEnd w:id="618"/>
    </w:p>
    <w:p w14:paraId="378395FA">
      <w:pPr>
        <w:pStyle w:val="6"/>
        <w:spacing w:line="360" w:lineRule="auto"/>
        <w:ind w:firstLine="470" w:firstLineChars="196"/>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评标委员会按招标文件中规定的评标方法和标准，对资格性检查和符合性检查合格的投标文件进行商务和技术评估，综合比较与评价。具体评审因素详见《评分标准》</w:t>
      </w:r>
    </w:p>
    <w:p w14:paraId="7CA296E9">
      <w:pPr>
        <w:pStyle w:val="6"/>
        <w:spacing w:line="360" w:lineRule="auto"/>
        <w:ind w:firstLine="472" w:firstLineChars="196"/>
        <w:outlineLvl w:val="0"/>
        <w:rPr>
          <w:rFonts w:ascii="仿宋" w:hAnsi="仿宋" w:eastAsia="仿宋" w:cs="仿宋"/>
          <w:b/>
          <w:bCs/>
          <w:color w:val="auto"/>
          <w:sz w:val="24"/>
          <w:highlight w:val="none"/>
        </w:rPr>
      </w:pPr>
      <w:bookmarkStart w:id="619" w:name="_Toc485113118"/>
      <w:bookmarkStart w:id="620" w:name="_Toc15117"/>
      <w:r>
        <w:rPr>
          <w:rFonts w:hint="eastAsia" w:ascii="仿宋" w:hAnsi="仿宋" w:eastAsia="仿宋" w:cs="仿宋"/>
          <w:b/>
          <w:bCs/>
          <w:color w:val="auto"/>
          <w:sz w:val="24"/>
          <w:highlight w:val="none"/>
        </w:rPr>
        <w:t>（四）推荐中标候选人名单</w:t>
      </w:r>
      <w:bookmarkEnd w:id="619"/>
      <w:bookmarkEnd w:id="620"/>
    </w:p>
    <w:p w14:paraId="05322A2A">
      <w:pPr>
        <w:pStyle w:val="6"/>
        <w:spacing w:line="360" w:lineRule="auto"/>
        <w:ind w:firstLine="470" w:firstLineChars="196"/>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w:t>
      </w:r>
    </w:p>
    <w:p w14:paraId="7D937348">
      <w:pPr>
        <w:pStyle w:val="6"/>
        <w:spacing w:line="360" w:lineRule="auto"/>
        <w:ind w:firstLine="472" w:firstLineChars="196"/>
        <w:rPr>
          <w:rFonts w:ascii="仿宋" w:hAnsi="仿宋" w:eastAsia="仿宋" w:cs="仿宋"/>
          <w:b/>
          <w:bCs/>
          <w:color w:val="auto"/>
          <w:sz w:val="24"/>
          <w:highlight w:val="none"/>
        </w:rPr>
      </w:pPr>
      <w:r>
        <w:rPr>
          <w:rFonts w:hint="eastAsia" w:ascii="仿宋" w:hAnsi="仿宋" w:eastAsia="仿宋" w:cs="仿宋"/>
          <w:b/>
          <w:bCs/>
          <w:color w:val="auto"/>
          <w:sz w:val="24"/>
          <w:highlight w:val="none"/>
        </w:rPr>
        <w:t>(五)编写评标报告</w:t>
      </w:r>
    </w:p>
    <w:p w14:paraId="6304DB31">
      <w:pPr>
        <w:pStyle w:val="6"/>
        <w:spacing w:line="360" w:lineRule="auto"/>
        <w:ind w:firstLine="470" w:firstLineChars="196"/>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评标报告是评标委员会根据全体评标成员签字的原始评标记录和评标结果编写的报告。</w:t>
      </w:r>
    </w:p>
    <w:p w14:paraId="47F40B85">
      <w:pPr>
        <w:pStyle w:val="6"/>
        <w:spacing w:line="360" w:lineRule="auto"/>
        <w:ind w:firstLine="470" w:firstLineChars="196"/>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评标报告应当包括以下内容：</w:t>
      </w:r>
    </w:p>
    <w:p w14:paraId="262A4E93">
      <w:pPr>
        <w:pStyle w:val="6"/>
        <w:spacing w:line="360" w:lineRule="auto"/>
        <w:ind w:firstLine="470" w:firstLineChars="196"/>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　　（1）招标公告刊登的媒体名称、开标日期和地点；</w:t>
      </w:r>
    </w:p>
    <w:p w14:paraId="497F234F">
      <w:pPr>
        <w:pStyle w:val="6"/>
        <w:spacing w:line="360" w:lineRule="auto"/>
        <w:ind w:firstLine="470" w:firstLineChars="196"/>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　　（2）投标人名单和评标委员会成员名单；</w:t>
      </w:r>
    </w:p>
    <w:p w14:paraId="6D73F378">
      <w:pPr>
        <w:pStyle w:val="6"/>
        <w:spacing w:line="360" w:lineRule="auto"/>
        <w:ind w:firstLine="470" w:firstLineChars="196"/>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　　（3）评标方法和标准；</w:t>
      </w:r>
    </w:p>
    <w:p w14:paraId="04AD6924">
      <w:pPr>
        <w:pStyle w:val="6"/>
        <w:spacing w:line="360" w:lineRule="auto"/>
        <w:ind w:firstLine="470" w:firstLineChars="196"/>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　　（4）开标记录和评标情况及说明，包括无效投标人名单及原因；</w:t>
      </w:r>
    </w:p>
    <w:p w14:paraId="1E1E9934">
      <w:pPr>
        <w:pStyle w:val="6"/>
        <w:spacing w:line="360" w:lineRule="auto"/>
        <w:ind w:firstLine="470" w:firstLineChars="196"/>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　　（5）评标结果，确定的中标候选人名单或者经采购人委托直接确定的中标人；</w:t>
      </w:r>
    </w:p>
    <w:p w14:paraId="5634E518">
      <w:pPr>
        <w:pStyle w:val="6"/>
        <w:spacing w:line="360" w:lineRule="auto"/>
        <w:ind w:firstLine="470" w:firstLineChars="196"/>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　　（6）其他需要说明的情况，包括评标过程中投标人根据评标委员会要求进行的澄清、说明或者补正，评标委员会成员的更换等。</w:t>
      </w:r>
    </w:p>
    <w:p w14:paraId="48FCDAA0">
      <w:pPr>
        <w:spacing w:line="360" w:lineRule="auto"/>
        <w:outlineLvl w:val="1"/>
        <w:rPr>
          <w:rFonts w:ascii="仿宋" w:hAnsi="仿宋" w:eastAsia="仿宋" w:cs="仿宋"/>
          <w:b/>
          <w:color w:val="auto"/>
          <w:sz w:val="24"/>
          <w:highlight w:val="none"/>
        </w:rPr>
      </w:pPr>
      <w:bookmarkStart w:id="621" w:name="_Toc29603"/>
      <w:bookmarkStart w:id="622" w:name="_Toc485113119"/>
      <w:r>
        <w:rPr>
          <w:rFonts w:hint="eastAsia" w:ascii="仿宋" w:hAnsi="仿宋" w:eastAsia="仿宋" w:cs="仿宋"/>
          <w:b/>
          <w:color w:val="auto"/>
          <w:sz w:val="24"/>
          <w:highlight w:val="none"/>
        </w:rPr>
        <w:t>附表1：资格性检查表</w:t>
      </w:r>
      <w:bookmarkEnd w:id="621"/>
      <w:bookmarkEnd w:id="622"/>
    </w:p>
    <w:tbl>
      <w:tblPr>
        <w:tblStyle w:val="22"/>
        <w:tblW w:w="10018" w:type="dxa"/>
        <w:jc w:val="center"/>
        <w:tblLayout w:type="fixed"/>
        <w:tblCellMar>
          <w:top w:w="0" w:type="dxa"/>
          <w:left w:w="108" w:type="dxa"/>
          <w:bottom w:w="0" w:type="dxa"/>
          <w:right w:w="108" w:type="dxa"/>
        </w:tblCellMar>
      </w:tblPr>
      <w:tblGrid>
        <w:gridCol w:w="707"/>
        <w:gridCol w:w="8434"/>
        <w:gridCol w:w="877"/>
      </w:tblGrid>
      <w:tr w14:paraId="7A943E0B">
        <w:tblPrEx>
          <w:tblCellMar>
            <w:top w:w="0" w:type="dxa"/>
            <w:left w:w="108" w:type="dxa"/>
            <w:bottom w:w="0" w:type="dxa"/>
            <w:right w:w="108" w:type="dxa"/>
          </w:tblCellMar>
        </w:tblPrEx>
        <w:trPr>
          <w:trHeight w:val="1384" w:hRule="atLeast"/>
          <w:jc w:val="center"/>
        </w:trPr>
        <w:tc>
          <w:tcPr>
            <w:tcW w:w="707" w:type="dxa"/>
            <w:tcBorders>
              <w:top w:val="single" w:color="auto" w:sz="4" w:space="0"/>
              <w:left w:val="single" w:color="auto" w:sz="4" w:space="0"/>
              <w:bottom w:val="single" w:color="auto" w:sz="4" w:space="0"/>
              <w:right w:val="single" w:color="auto" w:sz="4" w:space="0"/>
            </w:tcBorders>
            <w:noWrap/>
            <w:vAlign w:val="center"/>
          </w:tcPr>
          <w:p w14:paraId="40A6D7C6">
            <w:pPr>
              <w:widowControl/>
              <w:adjustRightInd w:val="0"/>
              <w:snapToGrid w:val="0"/>
              <w:spacing w:line="360" w:lineRule="auto"/>
              <w:jc w:val="center"/>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序号</w:t>
            </w:r>
          </w:p>
        </w:tc>
        <w:tc>
          <w:tcPr>
            <w:tcW w:w="8434" w:type="dxa"/>
            <w:tcBorders>
              <w:top w:val="single" w:color="auto" w:sz="4" w:space="0"/>
              <w:left w:val="single" w:color="auto" w:sz="4" w:space="0"/>
              <w:bottom w:val="single" w:color="auto" w:sz="4" w:space="0"/>
              <w:right w:val="single" w:color="auto" w:sz="4" w:space="0"/>
            </w:tcBorders>
            <w:noWrap/>
            <w:vAlign w:val="center"/>
          </w:tcPr>
          <w:p w14:paraId="7D08FED0">
            <w:pPr>
              <w:adjustRightInd w:val="0"/>
              <w:snapToGrid w:val="0"/>
              <w:spacing w:line="360" w:lineRule="auto"/>
              <w:jc w:val="center"/>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审核内容</w:t>
            </w:r>
          </w:p>
        </w:tc>
        <w:tc>
          <w:tcPr>
            <w:tcW w:w="877" w:type="dxa"/>
            <w:tcBorders>
              <w:top w:val="single" w:color="auto" w:sz="4" w:space="0"/>
              <w:left w:val="nil"/>
              <w:bottom w:val="single" w:color="auto" w:sz="4" w:space="0"/>
              <w:right w:val="single" w:color="auto" w:sz="4" w:space="0"/>
            </w:tcBorders>
            <w:noWrap/>
            <w:vAlign w:val="center"/>
          </w:tcPr>
          <w:p w14:paraId="328A3E7F">
            <w:pPr>
              <w:widowControl/>
              <w:adjustRightInd w:val="0"/>
              <w:snapToGrid w:val="0"/>
              <w:spacing w:line="360" w:lineRule="auto"/>
              <w:jc w:val="center"/>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投标单位名称</w:t>
            </w:r>
          </w:p>
        </w:tc>
      </w:tr>
      <w:tr w14:paraId="6773A7EF">
        <w:tblPrEx>
          <w:tblCellMar>
            <w:top w:w="0" w:type="dxa"/>
            <w:left w:w="108" w:type="dxa"/>
            <w:bottom w:w="0" w:type="dxa"/>
            <w:right w:w="108" w:type="dxa"/>
          </w:tblCellMar>
        </w:tblPrEx>
        <w:trPr>
          <w:trHeight w:val="2719" w:hRule="atLeast"/>
          <w:jc w:val="center"/>
        </w:trPr>
        <w:tc>
          <w:tcPr>
            <w:tcW w:w="707" w:type="dxa"/>
            <w:tcBorders>
              <w:top w:val="nil"/>
              <w:left w:val="single" w:color="auto" w:sz="4" w:space="0"/>
              <w:bottom w:val="single" w:color="auto" w:sz="4" w:space="0"/>
              <w:right w:val="single" w:color="auto" w:sz="4" w:space="0"/>
            </w:tcBorders>
            <w:noWrap/>
            <w:vAlign w:val="center"/>
          </w:tcPr>
          <w:p w14:paraId="3E76CF8C">
            <w:pPr>
              <w:widowControl/>
              <w:numPr>
                <w:ilvl w:val="0"/>
                <w:numId w:val="11"/>
              </w:numPr>
              <w:adjustRightInd w:val="0"/>
              <w:snapToGrid w:val="0"/>
              <w:spacing w:line="360" w:lineRule="auto"/>
              <w:rPr>
                <w:rFonts w:ascii="仿宋" w:hAnsi="仿宋" w:eastAsia="仿宋" w:cs="仿宋"/>
                <w:color w:val="auto"/>
                <w:kern w:val="0"/>
                <w:sz w:val="24"/>
                <w:highlight w:val="none"/>
              </w:rPr>
            </w:pPr>
          </w:p>
        </w:tc>
        <w:tc>
          <w:tcPr>
            <w:tcW w:w="8434" w:type="dxa"/>
            <w:tcBorders>
              <w:top w:val="nil"/>
              <w:left w:val="nil"/>
              <w:bottom w:val="single" w:color="auto" w:sz="4" w:space="0"/>
              <w:right w:val="single" w:color="auto" w:sz="4" w:space="0"/>
            </w:tcBorders>
            <w:noWrap/>
            <w:vAlign w:val="center"/>
          </w:tcPr>
          <w:p w14:paraId="26BFE830">
            <w:pPr>
              <w:autoSpaceDE w:val="0"/>
              <w:autoSpaceDN w:val="0"/>
              <w:spacing w:line="360" w:lineRule="exact"/>
              <w:rPr>
                <w:rFonts w:ascii="仿宋" w:hAnsi="仿宋" w:eastAsia="仿宋" w:cs="仿宋"/>
                <w:color w:val="auto"/>
                <w:sz w:val="24"/>
                <w:highlight w:val="none"/>
              </w:rPr>
            </w:pPr>
            <w:r>
              <w:rPr>
                <w:rFonts w:hint="eastAsia" w:ascii="仿宋" w:hAnsi="仿宋" w:eastAsia="仿宋" w:cs="仿宋"/>
                <w:color w:val="auto"/>
                <w:sz w:val="24"/>
                <w:highlight w:val="none"/>
              </w:rPr>
              <w:t>满足《中华人民共和国政府采购法》第二十二条规定，即：</w:t>
            </w:r>
          </w:p>
          <w:p w14:paraId="740EFD1F">
            <w:pPr>
              <w:autoSpaceDE w:val="0"/>
              <w:autoSpaceDN w:val="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（1）具有独立承担民事责任的能力，提供法人或其它组织的营业执照等证明文件，自然人的提供身份证明；</w:t>
            </w:r>
          </w:p>
          <w:p w14:paraId="0B71417B">
            <w:pPr>
              <w:autoSpaceDE w:val="0"/>
              <w:autoSpaceDN w:val="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（2）具有良好的商业信誉和健全的财务会计制度，提供2023年度或2024年度的财务审计报告（或银行资信证明或财政部门认可的专业担保机构出具的投标担保函）；或提供书面声明。</w:t>
            </w:r>
          </w:p>
          <w:p w14:paraId="74283098">
            <w:pPr>
              <w:autoSpaceDE w:val="0"/>
              <w:autoSpaceDN w:val="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（3）具有履行合同所必需的设备和专业技术能力，提供相关证明材料或书面声明；</w:t>
            </w:r>
          </w:p>
          <w:p w14:paraId="7F775A2F">
            <w:pPr>
              <w:autoSpaceDE w:val="0"/>
              <w:autoSpaceDN w:val="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4）有依法缴纳税收和社会保障资金的良好记录，提供近三个月的纳税证明材料（零申报的提供报税网站打印的零申报记录）及近三个月社保缴纳证明材料，依法免税或不需要缴纳社保的，提供相应证明文件；或提供书面声明。</w:t>
            </w:r>
          </w:p>
          <w:p w14:paraId="2D463A83">
            <w:pPr>
              <w:autoSpaceDE w:val="0"/>
              <w:autoSpaceDN w:val="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（5）参加政府采购活动前三年内，在经营活动中没有重大违法记录，提供书面声明；</w:t>
            </w:r>
          </w:p>
          <w:p w14:paraId="2DA24F27">
            <w:pPr>
              <w:autoSpaceDE w:val="0"/>
              <w:autoSpaceDN w:val="0"/>
              <w:spacing w:line="360" w:lineRule="exact"/>
              <w:rPr>
                <w:rFonts w:ascii="仿宋" w:hAnsi="仿宋" w:eastAsia="仿宋" w:cs="仿宋"/>
                <w:color w:val="auto"/>
                <w:kern w:val="0"/>
                <w:sz w:val="24"/>
                <w:highlight w:val="none"/>
              </w:rPr>
            </w:pPr>
            <w:r>
              <w:rPr>
                <w:rFonts w:hint="eastAsia" w:ascii="仿宋" w:hAnsi="仿宋" w:eastAsia="仿宋" w:cs="仿宋"/>
                <w:color w:val="auto"/>
                <w:sz w:val="24"/>
                <w:highlight w:val="none"/>
              </w:rPr>
              <w:t>（6）法律、行政法规规定的其他条件。（提供书面声明）</w:t>
            </w:r>
          </w:p>
        </w:tc>
        <w:tc>
          <w:tcPr>
            <w:tcW w:w="877" w:type="dxa"/>
            <w:tcBorders>
              <w:top w:val="nil"/>
              <w:left w:val="nil"/>
              <w:bottom w:val="single" w:color="auto" w:sz="4" w:space="0"/>
              <w:right w:val="single" w:color="auto" w:sz="4" w:space="0"/>
            </w:tcBorders>
            <w:noWrap/>
            <w:vAlign w:val="center"/>
          </w:tcPr>
          <w:p w14:paraId="270E7BEC">
            <w:pPr>
              <w:widowControl/>
              <w:adjustRightInd w:val="0"/>
              <w:snapToGrid w:val="0"/>
              <w:spacing w:line="360" w:lineRule="auto"/>
              <w:rPr>
                <w:rFonts w:ascii="仿宋" w:hAnsi="仿宋" w:eastAsia="仿宋" w:cs="仿宋"/>
                <w:color w:val="auto"/>
                <w:kern w:val="0"/>
                <w:sz w:val="24"/>
                <w:highlight w:val="none"/>
              </w:rPr>
            </w:pPr>
          </w:p>
        </w:tc>
      </w:tr>
      <w:tr w14:paraId="170BFA59">
        <w:tblPrEx>
          <w:tblCellMar>
            <w:top w:w="0" w:type="dxa"/>
            <w:left w:w="108" w:type="dxa"/>
            <w:bottom w:w="0" w:type="dxa"/>
            <w:right w:w="108" w:type="dxa"/>
          </w:tblCellMar>
        </w:tblPrEx>
        <w:trPr>
          <w:trHeight w:val="717" w:hRule="atLeast"/>
          <w:jc w:val="center"/>
        </w:trPr>
        <w:tc>
          <w:tcPr>
            <w:tcW w:w="707" w:type="dxa"/>
            <w:tcBorders>
              <w:top w:val="nil"/>
              <w:left w:val="single" w:color="auto" w:sz="4" w:space="0"/>
              <w:bottom w:val="single" w:color="auto" w:sz="4" w:space="0"/>
              <w:right w:val="single" w:color="auto" w:sz="4" w:space="0"/>
            </w:tcBorders>
            <w:noWrap/>
            <w:vAlign w:val="center"/>
          </w:tcPr>
          <w:p w14:paraId="1A381362">
            <w:pPr>
              <w:widowControl/>
              <w:numPr>
                <w:ilvl w:val="0"/>
                <w:numId w:val="11"/>
              </w:numPr>
              <w:adjustRightInd w:val="0"/>
              <w:snapToGrid w:val="0"/>
              <w:spacing w:line="360" w:lineRule="auto"/>
              <w:rPr>
                <w:rFonts w:ascii="仿宋" w:hAnsi="仿宋" w:eastAsia="仿宋" w:cs="仿宋"/>
                <w:color w:val="auto"/>
                <w:kern w:val="0"/>
                <w:sz w:val="24"/>
                <w:highlight w:val="none"/>
              </w:rPr>
            </w:pPr>
          </w:p>
        </w:tc>
        <w:tc>
          <w:tcPr>
            <w:tcW w:w="8434" w:type="dxa"/>
            <w:tcBorders>
              <w:top w:val="nil"/>
              <w:left w:val="nil"/>
              <w:bottom w:val="single" w:color="auto" w:sz="4" w:space="0"/>
              <w:right w:val="single" w:color="auto" w:sz="4" w:space="0"/>
            </w:tcBorders>
            <w:noWrap/>
            <w:vAlign w:val="center"/>
          </w:tcPr>
          <w:p w14:paraId="30E7E488">
            <w:pPr>
              <w:autoSpaceDE w:val="0"/>
              <w:autoSpaceDN w:val="0"/>
              <w:spacing w:line="360" w:lineRule="exact"/>
              <w:rPr>
                <w:rFonts w:ascii="仿宋" w:hAnsi="仿宋" w:eastAsia="仿宋" w:cs="仿宋"/>
                <w:color w:val="auto"/>
                <w:kern w:val="0"/>
                <w:sz w:val="24"/>
                <w:highlight w:val="none"/>
              </w:rPr>
            </w:pPr>
            <w:r>
              <w:rPr>
                <w:rFonts w:hint="eastAsia" w:ascii="仿宋" w:hAnsi="仿宋" w:eastAsia="仿宋" w:cs="仿宋"/>
                <w:color w:val="auto"/>
                <w:sz w:val="24"/>
                <w:highlight w:val="none"/>
              </w:rPr>
              <w:t>单位负责人为同一人或者存在直接控股、管理关系的不同供应商，不得参加同一合同项下的政府采购活动。（提供书面声明）</w:t>
            </w:r>
          </w:p>
        </w:tc>
        <w:tc>
          <w:tcPr>
            <w:tcW w:w="877" w:type="dxa"/>
            <w:tcBorders>
              <w:top w:val="nil"/>
              <w:left w:val="nil"/>
              <w:bottom w:val="single" w:color="auto" w:sz="4" w:space="0"/>
              <w:right w:val="single" w:color="auto" w:sz="4" w:space="0"/>
            </w:tcBorders>
            <w:noWrap/>
            <w:vAlign w:val="center"/>
          </w:tcPr>
          <w:p w14:paraId="28CA9EAE">
            <w:pPr>
              <w:widowControl/>
              <w:adjustRightInd w:val="0"/>
              <w:snapToGrid w:val="0"/>
              <w:spacing w:line="360" w:lineRule="auto"/>
              <w:rPr>
                <w:rFonts w:ascii="仿宋" w:hAnsi="仿宋" w:eastAsia="仿宋" w:cs="仿宋"/>
                <w:color w:val="auto"/>
                <w:kern w:val="0"/>
                <w:sz w:val="24"/>
                <w:highlight w:val="none"/>
              </w:rPr>
            </w:pPr>
          </w:p>
        </w:tc>
      </w:tr>
      <w:tr w14:paraId="3BF6056C">
        <w:tblPrEx>
          <w:tblCellMar>
            <w:top w:w="0" w:type="dxa"/>
            <w:left w:w="108" w:type="dxa"/>
            <w:bottom w:w="0" w:type="dxa"/>
            <w:right w:w="108" w:type="dxa"/>
          </w:tblCellMar>
        </w:tblPrEx>
        <w:trPr>
          <w:trHeight w:val="707" w:hRule="atLeast"/>
          <w:jc w:val="center"/>
        </w:trPr>
        <w:tc>
          <w:tcPr>
            <w:tcW w:w="707" w:type="dxa"/>
            <w:tcBorders>
              <w:top w:val="nil"/>
              <w:left w:val="single" w:color="auto" w:sz="4" w:space="0"/>
              <w:bottom w:val="single" w:color="auto" w:sz="4" w:space="0"/>
              <w:right w:val="single" w:color="auto" w:sz="4" w:space="0"/>
            </w:tcBorders>
            <w:noWrap/>
            <w:vAlign w:val="center"/>
          </w:tcPr>
          <w:p w14:paraId="36FC7E6A">
            <w:pPr>
              <w:widowControl/>
              <w:numPr>
                <w:ilvl w:val="0"/>
                <w:numId w:val="11"/>
              </w:numPr>
              <w:adjustRightInd w:val="0"/>
              <w:snapToGrid w:val="0"/>
              <w:spacing w:line="360" w:lineRule="auto"/>
              <w:rPr>
                <w:rFonts w:ascii="仿宋" w:hAnsi="仿宋" w:eastAsia="仿宋" w:cs="仿宋"/>
                <w:color w:val="auto"/>
                <w:kern w:val="0"/>
                <w:sz w:val="24"/>
                <w:highlight w:val="none"/>
              </w:rPr>
            </w:pPr>
          </w:p>
        </w:tc>
        <w:tc>
          <w:tcPr>
            <w:tcW w:w="8434" w:type="dxa"/>
            <w:tcBorders>
              <w:top w:val="nil"/>
              <w:left w:val="nil"/>
              <w:bottom w:val="single" w:color="auto" w:sz="4" w:space="0"/>
              <w:right w:val="single" w:color="auto" w:sz="4" w:space="0"/>
            </w:tcBorders>
            <w:noWrap/>
            <w:vAlign w:val="center"/>
          </w:tcPr>
          <w:p w14:paraId="56351DF0">
            <w:pPr>
              <w:autoSpaceDE w:val="0"/>
              <w:autoSpaceDN w:val="0"/>
              <w:spacing w:line="360" w:lineRule="exact"/>
              <w:rPr>
                <w:rFonts w:ascii="仿宋" w:hAnsi="仿宋" w:eastAsia="仿宋" w:cs="仿宋"/>
                <w:color w:val="auto"/>
                <w:kern w:val="0"/>
                <w:sz w:val="24"/>
                <w:highlight w:val="none"/>
              </w:rPr>
            </w:pPr>
            <w:r>
              <w:rPr>
                <w:rFonts w:hint="eastAsia" w:ascii="仿宋" w:hAnsi="仿宋" w:eastAsia="仿宋" w:cs="仿宋"/>
                <w:color w:val="auto"/>
                <w:sz w:val="24"/>
                <w:highlight w:val="none"/>
              </w:rPr>
              <w:t>为采购项目提供整体设计、规范编制或者项目管理、监理、检测等服务的供应商，不得再参加该采购项目的其他采购活动。（提供书面声明）</w:t>
            </w:r>
          </w:p>
        </w:tc>
        <w:tc>
          <w:tcPr>
            <w:tcW w:w="877" w:type="dxa"/>
            <w:tcBorders>
              <w:top w:val="nil"/>
              <w:left w:val="nil"/>
              <w:bottom w:val="single" w:color="auto" w:sz="4" w:space="0"/>
              <w:right w:val="single" w:color="auto" w:sz="4" w:space="0"/>
            </w:tcBorders>
            <w:noWrap/>
            <w:vAlign w:val="center"/>
          </w:tcPr>
          <w:p w14:paraId="566B119A">
            <w:pPr>
              <w:widowControl/>
              <w:adjustRightInd w:val="0"/>
              <w:snapToGrid w:val="0"/>
              <w:spacing w:line="360" w:lineRule="auto"/>
              <w:rPr>
                <w:rFonts w:ascii="仿宋" w:hAnsi="仿宋" w:eastAsia="仿宋" w:cs="仿宋"/>
                <w:color w:val="auto"/>
                <w:kern w:val="0"/>
                <w:sz w:val="24"/>
                <w:highlight w:val="none"/>
              </w:rPr>
            </w:pPr>
          </w:p>
        </w:tc>
      </w:tr>
      <w:tr w14:paraId="369D6F07">
        <w:tblPrEx>
          <w:tblCellMar>
            <w:top w:w="0" w:type="dxa"/>
            <w:left w:w="108" w:type="dxa"/>
            <w:bottom w:w="0" w:type="dxa"/>
            <w:right w:w="108" w:type="dxa"/>
          </w:tblCellMar>
        </w:tblPrEx>
        <w:trPr>
          <w:trHeight w:val="1424" w:hRule="atLeast"/>
          <w:jc w:val="center"/>
        </w:trPr>
        <w:tc>
          <w:tcPr>
            <w:tcW w:w="707" w:type="dxa"/>
            <w:tcBorders>
              <w:top w:val="single" w:color="auto" w:sz="4" w:space="0"/>
              <w:left w:val="single" w:color="auto" w:sz="4" w:space="0"/>
              <w:bottom w:val="single" w:color="auto" w:sz="4" w:space="0"/>
              <w:right w:val="single" w:color="auto" w:sz="4" w:space="0"/>
            </w:tcBorders>
            <w:noWrap/>
            <w:vAlign w:val="center"/>
          </w:tcPr>
          <w:p w14:paraId="5534A21F">
            <w:pPr>
              <w:widowControl/>
              <w:numPr>
                <w:ilvl w:val="0"/>
                <w:numId w:val="11"/>
              </w:numPr>
              <w:adjustRightInd w:val="0"/>
              <w:snapToGrid w:val="0"/>
              <w:spacing w:line="360" w:lineRule="auto"/>
              <w:rPr>
                <w:rFonts w:ascii="仿宋" w:hAnsi="仿宋" w:eastAsia="仿宋" w:cs="仿宋"/>
                <w:color w:val="auto"/>
                <w:kern w:val="0"/>
                <w:sz w:val="24"/>
                <w:highlight w:val="none"/>
              </w:rPr>
            </w:pPr>
          </w:p>
        </w:tc>
        <w:tc>
          <w:tcPr>
            <w:tcW w:w="8434" w:type="dxa"/>
            <w:tcBorders>
              <w:top w:val="single" w:color="auto" w:sz="4" w:space="0"/>
              <w:left w:val="nil"/>
              <w:bottom w:val="single" w:color="auto" w:sz="4" w:space="0"/>
              <w:right w:val="single" w:color="auto" w:sz="4" w:space="0"/>
            </w:tcBorders>
            <w:noWrap/>
            <w:vAlign w:val="center"/>
          </w:tcPr>
          <w:p w14:paraId="0F44002F">
            <w:pPr>
              <w:autoSpaceDE w:val="0"/>
              <w:autoSpaceDN w:val="0"/>
              <w:spacing w:line="360" w:lineRule="exac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供应商未被列入“信用中国”网站(www.creditchina.gov.cn)失信被执行人、重大税收违法案件当事人、政府采购严重违法失信行为记录名单和“中国政府采购网”（www.ccgp.gov.cn）政府采购严重违法失信行为记录名单。</w:t>
            </w:r>
            <w:r>
              <w:rPr>
                <w:rFonts w:hint="eastAsia" w:ascii="仿宋" w:hAnsi="仿宋" w:eastAsia="仿宋" w:cs="仿宋"/>
                <w:color w:val="auto"/>
                <w:sz w:val="24"/>
                <w:highlight w:val="none"/>
              </w:rPr>
              <w:t>（提供书面声明）</w:t>
            </w:r>
            <w:r>
              <w:rPr>
                <w:rFonts w:hint="eastAsia" w:ascii="仿宋" w:hAnsi="仿宋" w:eastAsia="仿宋" w:cs="仿宋"/>
                <w:color w:val="auto"/>
                <w:kern w:val="0"/>
                <w:sz w:val="24"/>
                <w:highlight w:val="none"/>
              </w:rPr>
              <w:t>（以评审当日现场查询结果为准）</w:t>
            </w:r>
          </w:p>
        </w:tc>
        <w:tc>
          <w:tcPr>
            <w:tcW w:w="877" w:type="dxa"/>
            <w:tcBorders>
              <w:top w:val="single" w:color="auto" w:sz="4" w:space="0"/>
              <w:left w:val="nil"/>
              <w:bottom w:val="single" w:color="auto" w:sz="4" w:space="0"/>
              <w:right w:val="single" w:color="auto" w:sz="4" w:space="0"/>
            </w:tcBorders>
            <w:noWrap/>
            <w:vAlign w:val="center"/>
          </w:tcPr>
          <w:p w14:paraId="3A160314">
            <w:pPr>
              <w:widowControl/>
              <w:adjustRightInd w:val="0"/>
              <w:snapToGrid w:val="0"/>
              <w:spacing w:line="360" w:lineRule="auto"/>
              <w:rPr>
                <w:rFonts w:ascii="仿宋" w:hAnsi="仿宋" w:eastAsia="仿宋" w:cs="仿宋"/>
                <w:color w:val="auto"/>
                <w:kern w:val="0"/>
                <w:sz w:val="24"/>
                <w:highlight w:val="none"/>
              </w:rPr>
            </w:pPr>
          </w:p>
        </w:tc>
      </w:tr>
      <w:tr w14:paraId="053F48F9">
        <w:tblPrEx>
          <w:tblCellMar>
            <w:top w:w="0" w:type="dxa"/>
            <w:left w:w="108" w:type="dxa"/>
            <w:bottom w:w="0" w:type="dxa"/>
            <w:right w:w="108" w:type="dxa"/>
          </w:tblCellMar>
        </w:tblPrEx>
        <w:trPr>
          <w:trHeight w:val="468" w:hRule="atLeast"/>
          <w:jc w:val="center"/>
        </w:trPr>
        <w:tc>
          <w:tcPr>
            <w:tcW w:w="707" w:type="dxa"/>
            <w:tcBorders>
              <w:top w:val="single" w:color="auto" w:sz="4" w:space="0"/>
              <w:left w:val="single" w:color="auto" w:sz="4" w:space="0"/>
              <w:bottom w:val="single" w:color="auto" w:sz="4" w:space="0"/>
              <w:right w:val="single" w:color="auto" w:sz="4" w:space="0"/>
            </w:tcBorders>
            <w:noWrap/>
            <w:vAlign w:val="center"/>
          </w:tcPr>
          <w:p w14:paraId="6A926E6F">
            <w:pPr>
              <w:widowControl/>
              <w:numPr>
                <w:ilvl w:val="0"/>
                <w:numId w:val="11"/>
              </w:numPr>
              <w:adjustRightInd w:val="0"/>
              <w:snapToGrid w:val="0"/>
              <w:spacing w:line="360" w:lineRule="auto"/>
              <w:rPr>
                <w:rFonts w:ascii="仿宋" w:hAnsi="仿宋" w:eastAsia="仿宋" w:cs="仿宋"/>
                <w:color w:val="auto"/>
                <w:kern w:val="0"/>
                <w:sz w:val="24"/>
                <w:highlight w:val="none"/>
              </w:rPr>
            </w:pPr>
          </w:p>
        </w:tc>
        <w:tc>
          <w:tcPr>
            <w:tcW w:w="8434" w:type="dxa"/>
            <w:tcBorders>
              <w:top w:val="single" w:color="auto" w:sz="4" w:space="0"/>
              <w:left w:val="nil"/>
              <w:bottom w:val="single" w:color="auto" w:sz="4" w:space="0"/>
              <w:right w:val="single" w:color="auto" w:sz="4" w:space="0"/>
            </w:tcBorders>
            <w:noWrap/>
            <w:vAlign w:val="center"/>
          </w:tcPr>
          <w:p w14:paraId="7A6FB871">
            <w:pPr>
              <w:autoSpaceDE w:val="0"/>
              <w:autoSpaceDN w:val="0"/>
              <w:spacing w:line="360" w:lineRule="exac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落实政府采购政策需满足的资格要求：</w:t>
            </w:r>
            <w:r>
              <w:rPr>
                <w:rFonts w:hint="eastAsia" w:ascii="仿宋" w:hAnsi="仿宋" w:eastAsia="仿宋" w:cs="仿宋"/>
                <w:color w:val="auto"/>
                <w:kern w:val="0"/>
                <w:sz w:val="24"/>
                <w:highlight w:val="none"/>
                <w:lang w:val="en-US" w:eastAsia="zh-CN"/>
              </w:rPr>
              <w:t>/。</w:t>
            </w:r>
          </w:p>
        </w:tc>
        <w:tc>
          <w:tcPr>
            <w:tcW w:w="877" w:type="dxa"/>
            <w:tcBorders>
              <w:top w:val="single" w:color="auto" w:sz="4" w:space="0"/>
              <w:left w:val="nil"/>
              <w:bottom w:val="single" w:color="auto" w:sz="4" w:space="0"/>
              <w:right w:val="single" w:color="auto" w:sz="4" w:space="0"/>
            </w:tcBorders>
            <w:noWrap/>
            <w:vAlign w:val="center"/>
          </w:tcPr>
          <w:p w14:paraId="41C01D2E">
            <w:pPr>
              <w:widowControl/>
              <w:adjustRightInd w:val="0"/>
              <w:snapToGrid w:val="0"/>
              <w:spacing w:line="360" w:lineRule="auto"/>
              <w:rPr>
                <w:rFonts w:ascii="仿宋" w:hAnsi="仿宋" w:eastAsia="仿宋" w:cs="仿宋"/>
                <w:color w:val="auto"/>
                <w:kern w:val="0"/>
                <w:sz w:val="24"/>
                <w:highlight w:val="none"/>
              </w:rPr>
            </w:pPr>
          </w:p>
        </w:tc>
      </w:tr>
      <w:tr w14:paraId="67095BB7">
        <w:tblPrEx>
          <w:tblCellMar>
            <w:top w:w="0" w:type="dxa"/>
            <w:left w:w="108" w:type="dxa"/>
            <w:bottom w:w="0" w:type="dxa"/>
            <w:right w:w="108" w:type="dxa"/>
          </w:tblCellMar>
        </w:tblPrEx>
        <w:trPr>
          <w:trHeight w:val="609" w:hRule="atLeast"/>
          <w:jc w:val="center"/>
        </w:trPr>
        <w:tc>
          <w:tcPr>
            <w:tcW w:w="707" w:type="dxa"/>
            <w:tcBorders>
              <w:top w:val="single" w:color="auto" w:sz="4" w:space="0"/>
              <w:left w:val="single" w:color="auto" w:sz="4" w:space="0"/>
              <w:bottom w:val="single" w:color="auto" w:sz="4" w:space="0"/>
              <w:right w:val="single" w:color="auto" w:sz="4" w:space="0"/>
            </w:tcBorders>
            <w:noWrap/>
            <w:vAlign w:val="center"/>
          </w:tcPr>
          <w:p w14:paraId="03B881BF">
            <w:pPr>
              <w:widowControl/>
              <w:numPr>
                <w:ilvl w:val="0"/>
                <w:numId w:val="11"/>
              </w:numPr>
              <w:adjustRightInd w:val="0"/>
              <w:snapToGrid w:val="0"/>
              <w:spacing w:line="360" w:lineRule="auto"/>
              <w:rPr>
                <w:rFonts w:ascii="仿宋" w:hAnsi="仿宋" w:eastAsia="仿宋" w:cs="仿宋"/>
                <w:color w:val="auto"/>
                <w:kern w:val="0"/>
                <w:sz w:val="24"/>
                <w:highlight w:val="none"/>
              </w:rPr>
            </w:pPr>
          </w:p>
        </w:tc>
        <w:tc>
          <w:tcPr>
            <w:tcW w:w="8434" w:type="dxa"/>
            <w:tcBorders>
              <w:top w:val="single" w:color="auto" w:sz="4" w:space="0"/>
              <w:left w:val="nil"/>
              <w:bottom w:val="single" w:color="auto" w:sz="4" w:space="0"/>
              <w:right w:val="single" w:color="auto" w:sz="4" w:space="0"/>
            </w:tcBorders>
            <w:noWrap/>
            <w:vAlign w:val="center"/>
          </w:tcPr>
          <w:p w14:paraId="503D7FB6">
            <w:pPr>
              <w:autoSpaceDE w:val="0"/>
              <w:autoSpaceDN w:val="0"/>
              <w:spacing w:line="360" w:lineRule="auto"/>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本项目的特定资格要求：（1）投标人需具备中华人民共和国相关行政主管部门颁发的以下资质：</w:t>
            </w:r>
          </w:p>
          <w:p w14:paraId="5D23D0AB">
            <w:pPr>
              <w:autoSpaceDE w:val="0"/>
              <w:autoSpaceDN w:val="0"/>
              <w:spacing w:line="360" w:lineRule="auto"/>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①具备建设行政主管部门颁发的工程设计综合资质甲级或建筑行业乙级及以上或建筑行业（建筑工程）乙级及以上或建筑装饰工程设计专项乙级及以上设计资质；</w:t>
            </w:r>
          </w:p>
          <w:p w14:paraId="17A7ED1D">
            <w:pPr>
              <w:autoSpaceDE w:val="0"/>
              <w:autoSpaceDN w:val="0"/>
              <w:spacing w:line="360" w:lineRule="auto"/>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②建筑工程施工总承包叁级及以上企业资质或建筑装修装饰工程专业承包二级及以上资质，并具有有效的安全生产许可证。</w:t>
            </w:r>
          </w:p>
          <w:p w14:paraId="562B2042">
            <w:pPr>
              <w:numPr>
                <w:ilvl w:val="0"/>
                <w:numId w:val="0"/>
              </w:numPr>
              <w:spacing w:line="360" w:lineRule="auto"/>
              <w:rPr>
                <w:rFonts w:ascii="仿宋" w:hAnsi="仿宋" w:eastAsia="仿宋" w:cs="仿宋"/>
                <w:color w:val="auto"/>
                <w:kern w:val="0"/>
                <w:sz w:val="24"/>
                <w:highlight w:val="none"/>
              </w:rPr>
            </w:pPr>
            <w:r>
              <w:rPr>
                <w:rFonts w:ascii="仿宋" w:hAnsi="仿宋" w:eastAsia="仿宋" w:cs="仿宋"/>
                <w:color w:val="auto"/>
                <w:kern w:val="0"/>
                <w:sz w:val="24"/>
                <w:szCs w:val="24"/>
                <w:highlight w:val="none"/>
                <w:lang w:val="en-US" w:eastAsia="zh-CN" w:bidi="ar-SA"/>
              </w:rPr>
              <w:t>（2）</w:t>
            </w:r>
            <w:r>
              <w:rPr>
                <w:rFonts w:hint="eastAsia" w:ascii="仿宋" w:hAnsi="仿宋" w:eastAsia="仿宋" w:cs="仿宋"/>
                <w:color w:val="auto"/>
                <w:kern w:val="0"/>
                <w:sz w:val="24"/>
                <w:highlight w:val="none"/>
              </w:rPr>
              <w:t>人员要求：①项目经理（或项目负责人）要求：具有建筑或机电工程专业贰级及以上注册建造师及执业资格和有效的安全生产考核合格证书（B证）且不得同时在两个或者两个以上工程项目担任项目经理（或项目负责人）。</w:t>
            </w:r>
          </w:p>
          <w:p w14:paraId="4627525D">
            <w:pPr>
              <w:spacing w:line="360" w:lineRule="auto"/>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②设计负责人要求：具备工程类中级及以上职称。</w:t>
            </w:r>
          </w:p>
          <w:p w14:paraId="43F0DFBF">
            <w:pPr>
              <w:spacing w:line="360" w:lineRule="auto"/>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③拟派施工员、资料员、质检员、安全员、材料员具有相应岗位资格证。</w:t>
            </w:r>
          </w:p>
          <w:p w14:paraId="1955F5A0">
            <w:pPr>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④本项目拟投入人员不得相互兼职。并在人员、设备、资金等方面具有相应的设计、施工能力。</w:t>
            </w:r>
          </w:p>
          <w:p w14:paraId="161AFF9E">
            <w:pPr>
              <w:spacing w:line="360" w:lineRule="auto"/>
              <w:rPr>
                <w:rFonts w:ascii="仿宋" w:hAnsi="仿宋" w:eastAsia="仿宋" w:cs="仿宋"/>
                <w:color w:val="auto"/>
                <w:highlight w:val="none"/>
              </w:rPr>
            </w:pPr>
            <w:r>
              <w:rPr>
                <w:rFonts w:hint="eastAsia" w:ascii="仿宋" w:hAnsi="仿宋" w:eastAsia="仿宋" w:cs="仿宋"/>
                <w:color w:val="auto"/>
                <w:kern w:val="0"/>
                <w:sz w:val="24"/>
                <w:highlight w:val="none"/>
                <w:lang w:eastAsia="zh-CN"/>
              </w:rPr>
              <w:t>（</w:t>
            </w:r>
            <w:r>
              <w:rPr>
                <w:rFonts w:hint="eastAsia" w:ascii="仿宋" w:hAnsi="仿宋" w:eastAsia="仿宋" w:cs="仿宋"/>
                <w:color w:val="auto"/>
                <w:kern w:val="0"/>
                <w:sz w:val="24"/>
                <w:highlight w:val="none"/>
                <w:lang w:val="en-US" w:eastAsia="zh-CN"/>
              </w:rPr>
              <w:t>3</w:t>
            </w:r>
            <w:r>
              <w:rPr>
                <w:rFonts w:hint="eastAsia" w:ascii="仿宋" w:hAnsi="仿宋" w:eastAsia="仿宋" w:cs="仿宋"/>
                <w:color w:val="auto"/>
                <w:kern w:val="0"/>
                <w:sz w:val="24"/>
                <w:highlight w:val="none"/>
                <w:lang w:eastAsia="zh-CN"/>
              </w:rPr>
              <w:t>）以联合体投标的，联合体组成成员不得超过2家，应提供联合体协议书。报名登记后联合体成员不可更改（</w:t>
            </w:r>
            <w:r>
              <w:rPr>
                <w:rFonts w:hint="eastAsia" w:ascii="仿宋" w:hAnsi="仿宋" w:eastAsia="仿宋" w:cs="仿宋"/>
                <w:color w:val="auto"/>
                <w:kern w:val="0"/>
                <w:sz w:val="24"/>
                <w:highlight w:val="none"/>
                <w:lang w:val="en-US" w:eastAsia="zh-CN"/>
              </w:rPr>
              <w:t>联合体</w:t>
            </w:r>
            <w:r>
              <w:rPr>
                <w:rFonts w:hint="eastAsia" w:ascii="仿宋" w:hAnsi="仿宋" w:eastAsia="仿宋" w:cs="仿宋"/>
                <w:color w:val="auto"/>
                <w:kern w:val="0"/>
                <w:sz w:val="24"/>
                <w:highlight w:val="none"/>
                <w:lang w:eastAsia="zh-CN"/>
              </w:rPr>
              <w:t>牵头人由施工方派出。项目经理由施工方派出）。</w:t>
            </w:r>
          </w:p>
        </w:tc>
        <w:tc>
          <w:tcPr>
            <w:tcW w:w="877" w:type="dxa"/>
            <w:tcBorders>
              <w:top w:val="single" w:color="auto" w:sz="4" w:space="0"/>
              <w:left w:val="nil"/>
              <w:bottom w:val="single" w:color="auto" w:sz="4" w:space="0"/>
              <w:right w:val="single" w:color="auto" w:sz="4" w:space="0"/>
            </w:tcBorders>
            <w:noWrap/>
            <w:vAlign w:val="center"/>
          </w:tcPr>
          <w:p w14:paraId="17EB88A4">
            <w:pPr>
              <w:widowControl/>
              <w:adjustRightInd w:val="0"/>
              <w:snapToGrid w:val="0"/>
              <w:spacing w:line="360" w:lineRule="auto"/>
              <w:rPr>
                <w:rFonts w:ascii="仿宋" w:hAnsi="仿宋" w:eastAsia="仿宋" w:cs="仿宋"/>
                <w:color w:val="auto"/>
                <w:kern w:val="0"/>
                <w:sz w:val="24"/>
                <w:highlight w:val="none"/>
              </w:rPr>
            </w:pPr>
          </w:p>
        </w:tc>
      </w:tr>
      <w:tr w14:paraId="50DFB54E">
        <w:tblPrEx>
          <w:tblCellMar>
            <w:top w:w="0" w:type="dxa"/>
            <w:left w:w="108" w:type="dxa"/>
            <w:bottom w:w="0" w:type="dxa"/>
            <w:right w:w="108" w:type="dxa"/>
          </w:tblCellMar>
        </w:tblPrEx>
        <w:trPr>
          <w:trHeight w:val="477" w:hRule="atLeast"/>
          <w:jc w:val="center"/>
        </w:trPr>
        <w:tc>
          <w:tcPr>
            <w:tcW w:w="9141" w:type="dxa"/>
            <w:gridSpan w:val="2"/>
            <w:tcBorders>
              <w:top w:val="single" w:color="auto" w:sz="4" w:space="0"/>
              <w:left w:val="single" w:color="auto" w:sz="4" w:space="0"/>
              <w:bottom w:val="single" w:color="auto" w:sz="4" w:space="0"/>
              <w:right w:val="single" w:color="auto" w:sz="4" w:space="0"/>
            </w:tcBorders>
            <w:noWrap/>
            <w:vAlign w:val="center"/>
          </w:tcPr>
          <w:p w14:paraId="6B248EBD">
            <w:pPr>
              <w:widowControl/>
              <w:adjustRightInd w:val="0"/>
              <w:snapToGrid w:val="0"/>
              <w:spacing w:line="360" w:lineRule="auto"/>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审核结论</w:t>
            </w:r>
          </w:p>
        </w:tc>
        <w:tc>
          <w:tcPr>
            <w:tcW w:w="877" w:type="dxa"/>
            <w:tcBorders>
              <w:top w:val="single" w:color="auto" w:sz="4" w:space="0"/>
              <w:left w:val="nil"/>
              <w:bottom w:val="single" w:color="auto" w:sz="4" w:space="0"/>
              <w:right w:val="single" w:color="auto" w:sz="4" w:space="0"/>
            </w:tcBorders>
            <w:noWrap/>
            <w:vAlign w:val="center"/>
          </w:tcPr>
          <w:p w14:paraId="0AD65068">
            <w:pPr>
              <w:widowControl/>
              <w:adjustRightInd w:val="0"/>
              <w:snapToGrid w:val="0"/>
              <w:spacing w:line="360" w:lineRule="auto"/>
              <w:rPr>
                <w:rFonts w:ascii="仿宋" w:hAnsi="仿宋" w:eastAsia="仿宋" w:cs="仿宋"/>
                <w:color w:val="auto"/>
                <w:kern w:val="0"/>
                <w:sz w:val="24"/>
                <w:highlight w:val="none"/>
              </w:rPr>
            </w:pPr>
          </w:p>
        </w:tc>
      </w:tr>
    </w:tbl>
    <w:p w14:paraId="173A0F64">
      <w:pPr>
        <w:rPr>
          <w:rFonts w:ascii="仿宋" w:hAnsi="仿宋" w:eastAsia="仿宋" w:cs="仿宋"/>
          <w:b/>
          <w:color w:val="auto"/>
          <w:sz w:val="24"/>
          <w:highlight w:val="none"/>
        </w:rPr>
      </w:pPr>
    </w:p>
    <w:p w14:paraId="7F6DBAD6">
      <w:pPr>
        <w:spacing w:line="360" w:lineRule="auto"/>
        <w:outlineLvl w:val="1"/>
        <w:rPr>
          <w:rFonts w:ascii="仿宋" w:hAnsi="仿宋" w:eastAsia="仿宋" w:cs="仿宋"/>
          <w:b/>
          <w:color w:val="auto"/>
          <w:sz w:val="24"/>
          <w:highlight w:val="none"/>
        </w:rPr>
      </w:pPr>
      <w:r>
        <w:rPr>
          <w:rFonts w:hint="eastAsia" w:ascii="仿宋" w:hAnsi="仿宋" w:eastAsia="仿宋" w:cs="仿宋"/>
          <w:b/>
          <w:color w:val="auto"/>
          <w:sz w:val="24"/>
          <w:highlight w:val="none"/>
        </w:rPr>
        <w:t>附表2：符合性检查表</w:t>
      </w:r>
    </w:p>
    <w:tbl>
      <w:tblPr>
        <w:tblStyle w:val="22"/>
        <w:tblW w:w="9639" w:type="dxa"/>
        <w:jc w:val="center"/>
        <w:tblLayout w:type="fixed"/>
        <w:tblCellMar>
          <w:top w:w="0" w:type="dxa"/>
          <w:left w:w="108" w:type="dxa"/>
          <w:bottom w:w="0" w:type="dxa"/>
          <w:right w:w="108" w:type="dxa"/>
        </w:tblCellMar>
      </w:tblPr>
      <w:tblGrid>
        <w:gridCol w:w="938"/>
        <w:gridCol w:w="7600"/>
        <w:gridCol w:w="1101"/>
      </w:tblGrid>
      <w:tr w14:paraId="53CBC9C4">
        <w:tblPrEx>
          <w:tblCellMar>
            <w:top w:w="0" w:type="dxa"/>
            <w:left w:w="108" w:type="dxa"/>
            <w:bottom w:w="0" w:type="dxa"/>
            <w:right w:w="108" w:type="dxa"/>
          </w:tblCellMar>
        </w:tblPrEx>
        <w:trPr>
          <w:trHeight w:val="522" w:hRule="atLeast"/>
          <w:jc w:val="center"/>
        </w:trPr>
        <w:tc>
          <w:tcPr>
            <w:tcW w:w="938" w:type="dxa"/>
            <w:tcBorders>
              <w:top w:val="single" w:color="auto" w:sz="4" w:space="0"/>
              <w:left w:val="single" w:color="auto" w:sz="4" w:space="0"/>
              <w:bottom w:val="single" w:color="auto" w:sz="4" w:space="0"/>
              <w:right w:val="single" w:color="auto" w:sz="4" w:space="0"/>
            </w:tcBorders>
            <w:noWrap/>
            <w:vAlign w:val="center"/>
          </w:tcPr>
          <w:p w14:paraId="4FFFAEB6">
            <w:pPr>
              <w:widowControl/>
              <w:adjustRightInd w:val="0"/>
              <w:snapToGrid w:val="0"/>
              <w:jc w:val="center"/>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序号</w:t>
            </w:r>
          </w:p>
        </w:tc>
        <w:tc>
          <w:tcPr>
            <w:tcW w:w="7600" w:type="dxa"/>
            <w:tcBorders>
              <w:top w:val="single" w:color="auto" w:sz="4" w:space="0"/>
              <w:left w:val="single" w:color="auto" w:sz="4" w:space="0"/>
              <w:bottom w:val="single" w:color="auto" w:sz="4" w:space="0"/>
              <w:right w:val="single" w:color="auto" w:sz="4" w:space="0"/>
            </w:tcBorders>
            <w:noWrap/>
            <w:vAlign w:val="center"/>
          </w:tcPr>
          <w:p w14:paraId="0F5840D3">
            <w:pPr>
              <w:adjustRightInd w:val="0"/>
              <w:snapToGrid w:val="0"/>
              <w:jc w:val="center"/>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审核内容</w:t>
            </w:r>
          </w:p>
        </w:tc>
        <w:tc>
          <w:tcPr>
            <w:tcW w:w="1101" w:type="dxa"/>
            <w:tcBorders>
              <w:top w:val="single" w:color="auto" w:sz="4" w:space="0"/>
              <w:left w:val="nil"/>
              <w:bottom w:val="single" w:color="auto" w:sz="4" w:space="0"/>
              <w:right w:val="single" w:color="auto" w:sz="4" w:space="0"/>
            </w:tcBorders>
            <w:noWrap/>
            <w:vAlign w:val="center"/>
          </w:tcPr>
          <w:p w14:paraId="58321807">
            <w:pPr>
              <w:widowControl/>
              <w:adjustRightInd w:val="0"/>
              <w:snapToGrid w:val="0"/>
              <w:jc w:val="center"/>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投标单位名称</w:t>
            </w:r>
          </w:p>
        </w:tc>
      </w:tr>
      <w:tr w14:paraId="31432BF8">
        <w:tblPrEx>
          <w:tblCellMar>
            <w:top w:w="0" w:type="dxa"/>
            <w:left w:w="108" w:type="dxa"/>
            <w:bottom w:w="0" w:type="dxa"/>
            <w:right w:w="108" w:type="dxa"/>
          </w:tblCellMar>
        </w:tblPrEx>
        <w:trPr>
          <w:trHeight w:val="577" w:hRule="atLeast"/>
          <w:jc w:val="center"/>
        </w:trPr>
        <w:tc>
          <w:tcPr>
            <w:tcW w:w="938" w:type="dxa"/>
            <w:tcBorders>
              <w:top w:val="nil"/>
              <w:left w:val="single" w:color="auto" w:sz="4" w:space="0"/>
              <w:bottom w:val="single" w:color="auto" w:sz="4" w:space="0"/>
              <w:right w:val="single" w:color="auto" w:sz="4" w:space="0"/>
            </w:tcBorders>
            <w:noWrap/>
            <w:vAlign w:val="center"/>
          </w:tcPr>
          <w:p w14:paraId="377F07F3">
            <w:pPr>
              <w:widowControl/>
              <w:numPr>
                <w:ilvl w:val="0"/>
                <w:numId w:val="12"/>
              </w:numPr>
              <w:adjustRightInd w:val="0"/>
              <w:snapToGrid w:val="0"/>
              <w:jc w:val="center"/>
              <w:rPr>
                <w:rFonts w:ascii="仿宋" w:hAnsi="仿宋" w:eastAsia="仿宋" w:cs="仿宋"/>
                <w:color w:val="auto"/>
                <w:kern w:val="0"/>
                <w:sz w:val="24"/>
                <w:highlight w:val="none"/>
              </w:rPr>
            </w:pPr>
          </w:p>
        </w:tc>
        <w:tc>
          <w:tcPr>
            <w:tcW w:w="7600" w:type="dxa"/>
            <w:tcBorders>
              <w:top w:val="nil"/>
              <w:left w:val="nil"/>
              <w:bottom w:val="single" w:color="auto" w:sz="4" w:space="0"/>
              <w:right w:val="single" w:color="auto" w:sz="4" w:space="0"/>
            </w:tcBorders>
            <w:noWrap/>
            <w:vAlign w:val="center"/>
          </w:tcPr>
          <w:p w14:paraId="4688CD81">
            <w:pPr>
              <w:widowControl/>
              <w:adjustRightInd w:val="0"/>
              <w:snapToGrid w:val="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投标文件未按照招标文件规定要求密封、签署、盖章的。</w:t>
            </w:r>
          </w:p>
        </w:tc>
        <w:tc>
          <w:tcPr>
            <w:tcW w:w="1101" w:type="dxa"/>
            <w:tcBorders>
              <w:top w:val="nil"/>
              <w:left w:val="nil"/>
              <w:bottom w:val="single" w:color="auto" w:sz="4" w:space="0"/>
              <w:right w:val="single" w:color="auto" w:sz="4" w:space="0"/>
            </w:tcBorders>
            <w:noWrap/>
            <w:vAlign w:val="center"/>
          </w:tcPr>
          <w:p w14:paraId="21C5A661">
            <w:pPr>
              <w:widowControl/>
              <w:adjustRightInd w:val="0"/>
              <w:snapToGrid w:val="0"/>
              <w:rPr>
                <w:rFonts w:ascii="仿宋" w:hAnsi="仿宋" w:eastAsia="仿宋" w:cs="仿宋"/>
                <w:color w:val="auto"/>
                <w:kern w:val="0"/>
                <w:sz w:val="24"/>
                <w:highlight w:val="none"/>
              </w:rPr>
            </w:pPr>
          </w:p>
        </w:tc>
      </w:tr>
      <w:tr w14:paraId="015D2030">
        <w:tblPrEx>
          <w:tblCellMar>
            <w:top w:w="0" w:type="dxa"/>
            <w:left w:w="108" w:type="dxa"/>
            <w:bottom w:w="0" w:type="dxa"/>
            <w:right w:w="108" w:type="dxa"/>
          </w:tblCellMar>
        </w:tblPrEx>
        <w:trPr>
          <w:trHeight w:val="577" w:hRule="atLeast"/>
          <w:jc w:val="center"/>
        </w:trPr>
        <w:tc>
          <w:tcPr>
            <w:tcW w:w="938" w:type="dxa"/>
            <w:tcBorders>
              <w:top w:val="single" w:color="auto" w:sz="4" w:space="0"/>
              <w:left w:val="single" w:color="auto" w:sz="4" w:space="0"/>
              <w:bottom w:val="single" w:color="auto" w:sz="4" w:space="0"/>
              <w:right w:val="single" w:color="auto" w:sz="4" w:space="0"/>
            </w:tcBorders>
            <w:noWrap/>
            <w:vAlign w:val="center"/>
          </w:tcPr>
          <w:p w14:paraId="6244E229">
            <w:pPr>
              <w:widowControl/>
              <w:numPr>
                <w:ilvl w:val="0"/>
                <w:numId w:val="12"/>
              </w:numPr>
              <w:adjustRightInd w:val="0"/>
              <w:snapToGrid w:val="0"/>
              <w:jc w:val="center"/>
              <w:rPr>
                <w:rFonts w:ascii="仿宋" w:hAnsi="仿宋" w:eastAsia="仿宋" w:cs="仿宋"/>
                <w:color w:val="auto"/>
                <w:kern w:val="0"/>
                <w:sz w:val="24"/>
                <w:highlight w:val="none"/>
              </w:rPr>
            </w:pPr>
          </w:p>
        </w:tc>
        <w:tc>
          <w:tcPr>
            <w:tcW w:w="7600" w:type="dxa"/>
            <w:tcBorders>
              <w:top w:val="single" w:color="auto" w:sz="4" w:space="0"/>
              <w:left w:val="nil"/>
              <w:bottom w:val="single" w:color="auto" w:sz="4" w:space="0"/>
              <w:right w:val="single" w:color="auto" w:sz="4" w:space="0"/>
            </w:tcBorders>
            <w:noWrap/>
            <w:vAlign w:val="center"/>
          </w:tcPr>
          <w:p w14:paraId="35CAF4EE">
            <w:pPr>
              <w:widowControl/>
              <w:adjustRightInd w:val="0"/>
              <w:snapToGrid w:val="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投标人未按招标文件要求进行报价。</w:t>
            </w:r>
          </w:p>
        </w:tc>
        <w:tc>
          <w:tcPr>
            <w:tcW w:w="1101" w:type="dxa"/>
            <w:tcBorders>
              <w:top w:val="single" w:color="auto" w:sz="4" w:space="0"/>
              <w:left w:val="nil"/>
              <w:bottom w:val="single" w:color="auto" w:sz="4" w:space="0"/>
              <w:right w:val="single" w:color="auto" w:sz="4" w:space="0"/>
            </w:tcBorders>
            <w:noWrap/>
            <w:vAlign w:val="center"/>
          </w:tcPr>
          <w:p w14:paraId="648166B2">
            <w:pPr>
              <w:widowControl/>
              <w:adjustRightInd w:val="0"/>
              <w:snapToGrid w:val="0"/>
              <w:rPr>
                <w:rFonts w:ascii="仿宋" w:hAnsi="仿宋" w:eastAsia="仿宋" w:cs="仿宋"/>
                <w:color w:val="auto"/>
                <w:kern w:val="0"/>
                <w:sz w:val="24"/>
                <w:highlight w:val="none"/>
              </w:rPr>
            </w:pPr>
          </w:p>
        </w:tc>
      </w:tr>
      <w:tr w14:paraId="30D585E5">
        <w:tblPrEx>
          <w:tblCellMar>
            <w:top w:w="0" w:type="dxa"/>
            <w:left w:w="108" w:type="dxa"/>
            <w:bottom w:w="0" w:type="dxa"/>
            <w:right w:w="108" w:type="dxa"/>
          </w:tblCellMar>
        </w:tblPrEx>
        <w:trPr>
          <w:trHeight w:val="577" w:hRule="atLeast"/>
          <w:jc w:val="center"/>
        </w:trPr>
        <w:tc>
          <w:tcPr>
            <w:tcW w:w="938" w:type="dxa"/>
            <w:tcBorders>
              <w:top w:val="single" w:color="auto" w:sz="4" w:space="0"/>
              <w:left w:val="single" w:color="auto" w:sz="4" w:space="0"/>
              <w:bottom w:val="single" w:color="auto" w:sz="4" w:space="0"/>
              <w:right w:val="single" w:color="auto" w:sz="4" w:space="0"/>
            </w:tcBorders>
            <w:noWrap/>
            <w:vAlign w:val="center"/>
          </w:tcPr>
          <w:p w14:paraId="3A4A0F2D">
            <w:pPr>
              <w:widowControl/>
              <w:numPr>
                <w:ilvl w:val="0"/>
                <w:numId w:val="12"/>
              </w:numPr>
              <w:adjustRightInd w:val="0"/>
              <w:snapToGrid w:val="0"/>
              <w:jc w:val="center"/>
              <w:rPr>
                <w:rFonts w:ascii="仿宋" w:hAnsi="仿宋" w:eastAsia="仿宋" w:cs="仿宋"/>
                <w:color w:val="auto"/>
                <w:kern w:val="0"/>
                <w:sz w:val="24"/>
                <w:highlight w:val="none"/>
              </w:rPr>
            </w:pPr>
          </w:p>
        </w:tc>
        <w:tc>
          <w:tcPr>
            <w:tcW w:w="7600" w:type="dxa"/>
            <w:tcBorders>
              <w:top w:val="single" w:color="auto" w:sz="4" w:space="0"/>
              <w:left w:val="nil"/>
              <w:bottom w:val="single" w:color="auto" w:sz="4" w:space="0"/>
              <w:right w:val="single" w:color="auto" w:sz="4" w:space="0"/>
            </w:tcBorders>
            <w:noWrap/>
            <w:vAlign w:val="center"/>
          </w:tcPr>
          <w:p w14:paraId="6997A11E">
            <w:pPr>
              <w:widowControl/>
              <w:adjustRightInd w:val="0"/>
              <w:snapToGrid w:val="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投标有效期不足的。</w:t>
            </w:r>
          </w:p>
        </w:tc>
        <w:tc>
          <w:tcPr>
            <w:tcW w:w="1101" w:type="dxa"/>
            <w:tcBorders>
              <w:top w:val="nil"/>
              <w:left w:val="nil"/>
              <w:bottom w:val="single" w:color="auto" w:sz="4" w:space="0"/>
              <w:right w:val="single" w:color="auto" w:sz="4" w:space="0"/>
            </w:tcBorders>
            <w:noWrap/>
            <w:vAlign w:val="center"/>
          </w:tcPr>
          <w:p w14:paraId="4AF651BC">
            <w:pPr>
              <w:widowControl/>
              <w:adjustRightInd w:val="0"/>
              <w:snapToGrid w:val="0"/>
              <w:rPr>
                <w:rFonts w:ascii="仿宋" w:hAnsi="仿宋" w:eastAsia="仿宋" w:cs="仿宋"/>
                <w:color w:val="auto"/>
                <w:kern w:val="0"/>
                <w:sz w:val="24"/>
                <w:highlight w:val="none"/>
              </w:rPr>
            </w:pPr>
          </w:p>
        </w:tc>
      </w:tr>
      <w:tr w14:paraId="66F26746">
        <w:tblPrEx>
          <w:tblCellMar>
            <w:top w:w="0" w:type="dxa"/>
            <w:left w:w="108" w:type="dxa"/>
            <w:bottom w:w="0" w:type="dxa"/>
            <w:right w:w="108" w:type="dxa"/>
          </w:tblCellMar>
        </w:tblPrEx>
        <w:trPr>
          <w:trHeight w:val="577" w:hRule="atLeast"/>
          <w:jc w:val="center"/>
        </w:trPr>
        <w:tc>
          <w:tcPr>
            <w:tcW w:w="938" w:type="dxa"/>
            <w:tcBorders>
              <w:top w:val="single" w:color="auto" w:sz="4" w:space="0"/>
              <w:left w:val="single" w:color="auto" w:sz="4" w:space="0"/>
              <w:bottom w:val="single" w:color="auto" w:sz="4" w:space="0"/>
              <w:right w:val="single" w:color="auto" w:sz="4" w:space="0"/>
            </w:tcBorders>
            <w:noWrap/>
            <w:vAlign w:val="center"/>
          </w:tcPr>
          <w:p w14:paraId="624B715A">
            <w:pPr>
              <w:widowControl/>
              <w:numPr>
                <w:ilvl w:val="0"/>
                <w:numId w:val="12"/>
              </w:numPr>
              <w:adjustRightInd w:val="0"/>
              <w:snapToGrid w:val="0"/>
              <w:jc w:val="center"/>
              <w:rPr>
                <w:rFonts w:ascii="仿宋" w:hAnsi="仿宋" w:eastAsia="仿宋" w:cs="仿宋"/>
                <w:color w:val="auto"/>
                <w:kern w:val="0"/>
                <w:sz w:val="24"/>
                <w:highlight w:val="none"/>
              </w:rPr>
            </w:pPr>
          </w:p>
        </w:tc>
        <w:tc>
          <w:tcPr>
            <w:tcW w:w="7600" w:type="dxa"/>
            <w:tcBorders>
              <w:top w:val="single" w:color="auto" w:sz="4" w:space="0"/>
              <w:left w:val="single" w:color="auto" w:sz="4" w:space="0"/>
              <w:bottom w:val="single" w:color="auto" w:sz="4" w:space="0"/>
              <w:right w:val="single" w:color="auto" w:sz="4" w:space="0"/>
            </w:tcBorders>
            <w:noWrap/>
            <w:vAlign w:val="center"/>
          </w:tcPr>
          <w:p w14:paraId="23890252">
            <w:pPr>
              <w:widowControl/>
              <w:adjustRightInd w:val="0"/>
              <w:snapToGrid w:val="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投标文件中附有采购人不能接受条件的。</w:t>
            </w:r>
          </w:p>
        </w:tc>
        <w:tc>
          <w:tcPr>
            <w:tcW w:w="1101" w:type="dxa"/>
            <w:tcBorders>
              <w:top w:val="single" w:color="auto" w:sz="4" w:space="0"/>
              <w:left w:val="single" w:color="auto" w:sz="4" w:space="0"/>
              <w:bottom w:val="single" w:color="auto" w:sz="4" w:space="0"/>
              <w:right w:val="single" w:color="auto" w:sz="4" w:space="0"/>
            </w:tcBorders>
            <w:noWrap/>
            <w:vAlign w:val="center"/>
          </w:tcPr>
          <w:p w14:paraId="0E255E1B">
            <w:pPr>
              <w:widowControl/>
              <w:adjustRightInd w:val="0"/>
              <w:snapToGrid w:val="0"/>
              <w:rPr>
                <w:rFonts w:ascii="仿宋" w:hAnsi="仿宋" w:eastAsia="仿宋" w:cs="仿宋"/>
                <w:color w:val="auto"/>
                <w:kern w:val="0"/>
                <w:sz w:val="24"/>
                <w:highlight w:val="none"/>
              </w:rPr>
            </w:pPr>
          </w:p>
        </w:tc>
      </w:tr>
      <w:tr w14:paraId="3350A91D">
        <w:tblPrEx>
          <w:tblCellMar>
            <w:top w:w="0" w:type="dxa"/>
            <w:left w:w="108" w:type="dxa"/>
            <w:bottom w:w="0" w:type="dxa"/>
            <w:right w:w="108" w:type="dxa"/>
          </w:tblCellMar>
        </w:tblPrEx>
        <w:trPr>
          <w:trHeight w:val="787" w:hRule="atLeast"/>
          <w:jc w:val="center"/>
        </w:trPr>
        <w:tc>
          <w:tcPr>
            <w:tcW w:w="938" w:type="dxa"/>
            <w:tcBorders>
              <w:top w:val="single" w:color="auto" w:sz="4" w:space="0"/>
              <w:left w:val="single" w:color="auto" w:sz="4" w:space="0"/>
              <w:bottom w:val="single" w:color="auto" w:sz="4" w:space="0"/>
              <w:right w:val="single" w:color="auto" w:sz="4" w:space="0"/>
            </w:tcBorders>
            <w:noWrap/>
            <w:vAlign w:val="center"/>
          </w:tcPr>
          <w:p w14:paraId="36856C05">
            <w:pPr>
              <w:widowControl/>
              <w:numPr>
                <w:ilvl w:val="0"/>
                <w:numId w:val="12"/>
              </w:numPr>
              <w:adjustRightInd w:val="0"/>
              <w:snapToGrid w:val="0"/>
              <w:jc w:val="center"/>
              <w:rPr>
                <w:rFonts w:ascii="仿宋" w:hAnsi="仿宋" w:eastAsia="仿宋" w:cs="仿宋"/>
                <w:color w:val="auto"/>
                <w:kern w:val="0"/>
                <w:sz w:val="24"/>
                <w:highlight w:val="none"/>
              </w:rPr>
            </w:pPr>
          </w:p>
        </w:tc>
        <w:tc>
          <w:tcPr>
            <w:tcW w:w="7600" w:type="dxa"/>
            <w:tcBorders>
              <w:top w:val="single" w:color="auto" w:sz="4" w:space="0"/>
              <w:left w:val="single" w:color="auto" w:sz="4" w:space="0"/>
              <w:bottom w:val="single" w:color="auto" w:sz="4" w:space="0"/>
              <w:right w:val="single" w:color="auto" w:sz="4" w:space="0"/>
            </w:tcBorders>
            <w:noWrap/>
            <w:vAlign w:val="center"/>
          </w:tcPr>
          <w:p w14:paraId="70194DD5">
            <w:pPr>
              <w:widowControl/>
              <w:adjustRightInd w:val="0"/>
              <w:snapToGrid w:val="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投标文件中的内容出现重大偏离的、明显不符合招标文件的技术规格、技术标准的；或不符合招标文件规定的其他实质性要求的。</w:t>
            </w:r>
          </w:p>
        </w:tc>
        <w:tc>
          <w:tcPr>
            <w:tcW w:w="1101" w:type="dxa"/>
            <w:tcBorders>
              <w:top w:val="single" w:color="auto" w:sz="4" w:space="0"/>
              <w:left w:val="single" w:color="auto" w:sz="4" w:space="0"/>
              <w:bottom w:val="single" w:color="auto" w:sz="4" w:space="0"/>
              <w:right w:val="single" w:color="auto" w:sz="4" w:space="0"/>
            </w:tcBorders>
            <w:noWrap/>
            <w:vAlign w:val="center"/>
          </w:tcPr>
          <w:p w14:paraId="0B928F99">
            <w:pPr>
              <w:widowControl/>
              <w:adjustRightInd w:val="0"/>
              <w:snapToGrid w:val="0"/>
              <w:rPr>
                <w:rFonts w:ascii="仿宋" w:hAnsi="仿宋" w:eastAsia="仿宋" w:cs="仿宋"/>
                <w:color w:val="auto"/>
                <w:kern w:val="0"/>
                <w:sz w:val="24"/>
                <w:highlight w:val="none"/>
              </w:rPr>
            </w:pPr>
          </w:p>
        </w:tc>
      </w:tr>
      <w:tr w14:paraId="1B28C70D">
        <w:tblPrEx>
          <w:tblCellMar>
            <w:top w:w="0" w:type="dxa"/>
            <w:left w:w="108" w:type="dxa"/>
            <w:bottom w:w="0" w:type="dxa"/>
            <w:right w:w="108" w:type="dxa"/>
          </w:tblCellMar>
        </w:tblPrEx>
        <w:trPr>
          <w:trHeight w:val="577" w:hRule="atLeast"/>
          <w:jc w:val="center"/>
        </w:trPr>
        <w:tc>
          <w:tcPr>
            <w:tcW w:w="938" w:type="dxa"/>
            <w:tcBorders>
              <w:top w:val="single" w:color="auto" w:sz="4" w:space="0"/>
              <w:left w:val="single" w:color="auto" w:sz="4" w:space="0"/>
              <w:bottom w:val="single" w:color="auto" w:sz="4" w:space="0"/>
              <w:right w:val="single" w:color="auto" w:sz="4" w:space="0"/>
            </w:tcBorders>
            <w:noWrap/>
            <w:vAlign w:val="center"/>
          </w:tcPr>
          <w:p w14:paraId="6C102CB2">
            <w:pPr>
              <w:widowControl/>
              <w:numPr>
                <w:ilvl w:val="0"/>
                <w:numId w:val="12"/>
              </w:numPr>
              <w:adjustRightInd w:val="0"/>
              <w:snapToGrid w:val="0"/>
              <w:jc w:val="center"/>
              <w:rPr>
                <w:rFonts w:ascii="仿宋" w:hAnsi="仿宋" w:eastAsia="仿宋" w:cs="仿宋"/>
                <w:color w:val="auto"/>
                <w:kern w:val="0"/>
                <w:sz w:val="24"/>
                <w:highlight w:val="none"/>
              </w:rPr>
            </w:pPr>
          </w:p>
        </w:tc>
        <w:tc>
          <w:tcPr>
            <w:tcW w:w="7600" w:type="dxa"/>
            <w:tcBorders>
              <w:top w:val="single" w:color="auto" w:sz="4" w:space="0"/>
              <w:left w:val="single" w:color="auto" w:sz="4" w:space="0"/>
              <w:bottom w:val="single" w:color="auto" w:sz="4" w:space="0"/>
              <w:right w:val="single" w:color="auto" w:sz="4" w:space="0"/>
            </w:tcBorders>
            <w:noWrap/>
            <w:vAlign w:val="center"/>
          </w:tcPr>
          <w:p w14:paraId="1311C268">
            <w:pPr>
              <w:widowControl/>
              <w:adjustRightInd w:val="0"/>
              <w:snapToGrid w:val="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投标人在投标过程中使用不真实材料的。</w:t>
            </w:r>
          </w:p>
        </w:tc>
        <w:tc>
          <w:tcPr>
            <w:tcW w:w="1101" w:type="dxa"/>
            <w:tcBorders>
              <w:top w:val="single" w:color="auto" w:sz="4" w:space="0"/>
              <w:left w:val="single" w:color="auto" w:sz="4" w:space="0"/>
              <w:bottom w:val="single" w:color="auto" w:sz="4" w:space="0"/>
              <w:right w:val="single" w:color="auto" w:sz="4" w:space="0"/>
            </w:tcBorders>
            <w:noWrap/>
            <w:vAlign w:val="center"/>
          </w:tcPr>
          <w:p w14:paraId="198A1794">
            <w:pPr>
              <w:widowControl/>
              <w:adjustRightInd w:val="0"/>
              <w:snapToGrid w:val="0"/>
              <w:rPr>
                <w:rFonts w:ascii="仿宋" w:hAnsi="仿宋" w:eastAsia="仿宋" w:cs="仿宋"/>
                <w:color w:val="auto"/>
                <w:kern w:val="0"/>
                <w:sz w:val="24"/>
                <w:highlight w:val="none"/>
              </w:rPr>
            </w:pPr>
          </w:p>
        </w:tc>
      </w:tr>
      <w:tr w14:paraId="68EA9C68">
        <w:tblPrEx>
          <w:tblCellMar>
            <w:top w:w="0" w:type="dxa"/>
            <w:left w:w="108" w:type="dxa"/>
            <w:bottom w:w="0" w:type="dxa"/>
            <w:right w:w="108" w:type="dxa"/>
          </w:tblCellMar>
        </w:tblPrEx>
        <w:trPr>
          <w:trHeight w:val="577" w:hRule="atLeast"/>
          <w:jc w:val="center"/>
        </w:trPr>
        <w:tc>
          <w:tcPr>
            <w:tcW w:w="938" w:type="dxa"/>
            <w:tcBorders>
              <w:top w:val="single" w:color="auto" w:sz="4" w:space="0"/>
              <w:left w:val="single" w:color="auto" w:sz="4" w:space="0"/>
              <w:bottom w:val="single" w:color="auto" w:sz="4" w:space="0"/>
              <w:right w:val="single" w:color="auto" w:sz="4" w:space="0"/>
            </w:tcBorders>
            <w:noWrap/>
            <w:vAlign w:val="center"/>
          </w:tcPr>
          <w:p w14:paraId="2AE5D66D">
            <w:pPr>
              <w:widowControl/>
              <w:numPr>
                <w:ilvl w:val="0"/>
                <w:numId w:val="12"/>
              </w:numPr>
              <w:adjustRightInd w:val="0"/>
              <w:snapToGrid w:val="0"/>
              <w:jc w:val="center"/>
              <w:rPr>
                <w:rFonts w:ascii="仿宋" w:hAnsi="仿宋" w:eastAsia="仿宋" w:cs="仿宋"/>
                <w:color w:val="auto"/>
                <w:kern w:val="0"/>
                <w:sz w:val="24"/>
                <w:highlight w:val="none"/>
              </w:rPr>
            </w:pPr>
          </w:p>
        </w:tc>
        <w:tc>
          <w:tcPr>
            <w:tcW w:w="7600" w:type="dxa"/>
            <w:tcBorders>
              <w:top w:val="single" w:color="auto" w:sz="4" w:space="0"/>
              <w:left w:val="single" w:color="auto" w:sz="4" w:space="0"/>
              <w:bottom w:val="single" w:color="auto" w:sz="4" w:space="0"/>
              <w:right w:val="single" w:color="auto" w:sz="4" w:space="0"/>
            </w:tcBorders>
            <w:noWrap/>
            <w:vAlign w:val="center"/>
          </w:tcPr>
          <w:p w14:paraId="28F1B7F7">
            <w:pPr>
              <w:widowControl/>
              <w:adjustRightInd w:val="0"/>
              <w:snapToGrid w:val="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投标人承诺提供的服务实质性不满足招标文件要求的。</w:t>
            </w:r>
          </w:p>
        </w:tc>
        <w:tc>
          <w:tcPr>
            <w:tcW w:w="1101" w:type="dxa"/>
            <w:tcBorders>
              <w:top w:val="single" w:color="auto" w:sz="4" w:space="0"/>
              <w:left w:val="single" w:color="auto" w:sz="4" w:space="0"/>
              <w:bottom w:val="single" w:color="auto" w:sz="4" w:space="0"/>
              <w:right w:val="single" w:color="auto" w:sz="4" w:space="0"/>
            </w:tcBorders>
            <w:noWrap/>
            <w:vAlign w:val="center"/>
          </w:tcPr>
          <w:p w14:paraId="08008011">
            <w:pPr>
              <w:widowControl/>
              <w:adjustRightInd w:val="0"/>
              <w:snapToGrid w:val="0"/>
              <w:rPr>
                <w:rFonts w:ascii="仿宋" w:hAnsi="仿宋" w:eastAsia="仿宋" w:cs="仿宋"/>
                <w:color w:val="auto"/>
                <w:kern w:val="0"/>
                <w:sz w:val="24"/>
                <w:highlight w:val="none"/>
              </w:rPr>
            </w:pPr>
          </w:p>
        </w:tc>
      </w:tr>
      <w:tr w14:paraId="53FDEDFC">
        <w:tblPrEx>
          <w:tblCellMar>
            <w:top w:w="0" w:type="dxa"/>
            <w:left w:w="108" w:type="dxa"/>
            <w:bottom w:w="0" w:type="dxa"/>
            <w:right w:w="108" w:type="dxa"/>
          </w:tblCellMar>
        </w:tblPrEx>
        <w:trPr>
          <w:trHeight w:val="577" w:hRule="atLeast"/>
          <w:jc w:val="center"/>
        </w:trPr>
        <w:tc>
          <w:tcPr>
            <w:tcW w:w="938" w:type="dxa"/>
            <w:tcBorders>
              <w:top w:val="single" w:color="auto" w:sz="4" w:space="0"/>
              <w:left w:val="single" w:color="auto" w:sz="4" w:space="0"/>
              <w:bottom w:val="single" w:color="auto" w:sz="4" w:space="0"/>
              <w:right w:val="single" w:color="auto" w:sz="4" w:space="0"/>
            </w:tcBorders>
            <w:noWrap/>
            <w:vAlign w:val="center"/>
          </w:tcPr>
          <w:p w14:paraId="5770EB77">
            <w:pPr>
              <w:widowControl/>
              <w:numPr>
                <w:ilvl w:val="0"/>
                <w:numId w:val="12"/>
              </w:numPr>
              <w:adjustRightInd w:val="0"/>
              <w:snapToGrid w:val="0"/>
              <w:jc w:val="center"/>
              <w:rPr>
                <w:rFonts w:ascii="仿宋" w:hAnsi="仿宋" w:eastAsia="仿宋" w:cs="仿宋"/>
                <w:color w:val="auto"/>
                <w:kern w:val="0"/>
                <w:sz w:val="24"/>
                <w:highlight w:val="none"/>
              </w:rPr>
            </w:pPr>
          </w:p>
        </w:tc>
        <w:tc>
          <w:tcPr>
            <w:tcW w:w="7600" w:type="dxa"/>
            <w:tcBorders>
              <w:top w:val="single" w:color="auto" w:sz="4" w:space="0"/>
              <w:left w:val="single" w:color="auto" w:sz="4" w:space="0"/>
              <w:bottom w:val="single" w:color="auto" w:sz="4" w:space="0"/>
              <w:right w:val="single" w:color="auto" w:sz="4" w:space="0"/>
            </w:tcBorders>
            <w:noWrap/>
            <w:vAlign w:val="center"/>
          </w:tcPr>
          <w:p w14:paraId="7C49CB7A">
            <w:pPr>
              <w:widowControl/>
              <w:adjustRightInd w:val="0"/>
              <w:snapToGrid w:val="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符合招标文件中规定无效投标的其它条款。</w:t>
            </w:r>
          </w:p>
        </w:tc>
        <w:tc>
          <w:tcPr>
            <w:tcW w:w="1101" w:type="dxa"/>
            <w:tcBorders>
              <w:top w:val="single" w:color="auto" w:sz="4" w:space="0"/>
              <w:left w:val="single" w:color="auto" w:sz="4" w:space="0"/>
              <w:bottom w:val="single" w:color="auto" w:sz="4" w:space="0"/>
              <w:right w:val="single" w:color="auto" w:sz="4" w:space="0"/>
            </w:tcBorders>
            <w:noWrap/>
            <w:vAlign w:val="center"/>
          </w:tcPr>
          <w:p w14:paraId="5E42E50C">
            <w:pPr>
              <w:widowControl/>
              <w:adjustRightInd w:val="0"/>
              <w:snapToGrid w:val="0"/>
              <w:rPr>
                <w:rFonts w:ascii="仿宋" w:hAnsi="仿宋" w:eastAsia="仿宋" w:cs="仿宋"/>
                <w:color w:val="auto"/>
                <w:kern w:val="0"/>
                <w:sz w:val="24"/>
                <w:highlight w:val="none"/>
              </w:rPr>
            </w:pPr>
          </w:p>
        </w:tc>
      </w:tr>
      <w:tr w14:paraId="1BB80908">
        <w:tblPrEx>
          <w:tblCellMar>
            <w:top w:w="0" w:type="dxa"/>
            <w:left w:w="108" w:type="dxa"/>
            <w:bottom w:w="0" w:type="dxa"/>
            <w:right w:w="108" w:type="dxa"/>
          </w:tblCellMar>
        </w:tblPrEx>
        <w:trPr>
          <w:trHeight w:val="577" w:hRule="atLeast"/>
          <w:jc w:val="center"/>
        </w:trPr>
        <w:tc>
          <w:tcPr>
            <w:tcW w:w="8538" w:type="dxa"/>
            <w:gridSpan w:val="2"/>
            <w:tcBorders>
              <w:top w:val="single" w:color="auto" w:sz="4" w:space="0"/>
              <w:left w:val="single" w:color="auto" w:sz="4" w:space="0"/>
              <w:bottom w:val="single" w:color="auto" w:sz="4" w:space="0"/>
              <w:right w:val="single" w:color="auto" w:sz="4" w:space="0"/>
            </w:tcBorders>
            <w:noWrap/>
            <w:vAlign w:val="center"/>
          </w:tcPr>
          <w:p w14:paraId="6CC22FFA">
            <w:pPr>
              <w:widowControl/>
              <w:adjustRightInd w:val="0"/>
              <w:snapToGrid w:val="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审核结论</w:t>
            </w:r>
          </w:p>
        </w:tc>
        <w:tc>
          <w:tcPr>
            <w:tcW w:w="1101" w:type="dxa"/>
            <w:tcBorders>
              <w:top w:val="single" w:color="auto" w:sz="4" w:space="0"/>
              <w:left w:val="single" w:color="auto" w:sz="4" w:space="0"/>
              <w:bottom w:val="single" w:color="auto" w:sz="4" w:space="0"/>
              <w:right w:val="single" w:color="auto" w:sz="4" w:space="0"/>
            </w:tcBorders>
            <w:noWrap/>
            <w:vAlign w:val="center"/>
          </w:tcPr>
          <w:p w14:paraId="2BDD829D">
            <w:pPr>
              <w:widowControl/>
              <w:adjustRightInd w:val="0"/>
              <w:snapToGrid w:val="0"/>
              <w:rPr>
                <w:rFonts w:ascii="仿宋" w:hAnsi="仿宋" w:eastAsia="仿宋" w:cs="仿宋"/>
                <w:color w:val="auto"/>
                <w:kern w:val="0"/>
                <w:sz w:val="24"/>
                <w:highlight w:val="none"/>
              </w:rPr>
            </w:pPr>
          </w:p>
        </w:tc>
      </w:tr>
    </w:tbl>
    <w:p w14:paraId="34BD5ADD">
      <w:pPr>
        <w:widowControl/>
        <w:adjustRightInd w:val="0"/>
        <w:snapToGrid w:val="0"/>
        <w:spacing w:line="360" w:lineRule="auto"/>
        <w:rPr>
          <w:rFonts w:ascii="仿宋" w:hAnsi="仿宋" w:eastAsia="仿宋" w:cs="仿宋"/>
          <w:b/>
          <w:color w:val="auto"/>
          <w:sz w:val="24"/>
          <w:highlight w:val="none"/>
        </w:rPr>
      </w:pPr>
    </w:p>
    <w:p w14:paraId="34BEE8C6">
      <w:pPr>
        <w:widowControl/>
        <w:adjustRightInd w:val="0"/>
        <w:snapToGrid w:val="0"/>
        <w:spacing w:line="360" w:lineRule="auto"/>
        <w:rPr>
          <w:rFonts w:ascii="仿宋" w:hAnsi="仿宋" w:eastAsia="仿宋" w:cs="仿宋"/>
          <w:b/>
          <w:color w:val="auto"/>
          <w:sz w:val="24"/>
          <w:highlight w:val="none"/>
        </w:rPr>
      </w:pPr>
    </w:p>
    <w:p w14:paraId="660AA063">
      <w:pPr>
        <w:widowControl/>
        <w:adjustRightInd w:val="0"/>
        <w:snapToGrid w:val="0"/>
        <w:spacing w:line="360" w:lineRule="auto"/>
        <w:rPr>
          <w:rFonts w:ascii="仿宋" w:hAnsi="仿宋" w:eastAsia="仿宋" w:cs="仿宋"/>
          <w:b/>
          <w:color w:val="auto"/>
          <w:sz w:val="24"/>
          <w:highlight w:val="none"/>
        </w:rPr>
      </w:pPr>
    </w:p>
    <w:p w14:paraId="4AC30CA7">
      <w:pPr>
        <w:rPr>
          <w:rFonts w:hint="eastAsia" w:ascii="仿宋" w:hAnsi="仿宋" w:eastAsia="仿宋" w:cs="仿宋"/>
          <w:b/>
          <w:color w:val="auto"/>
          <w:sz w:val="24"/>
          <w:highlight w:val="none"/>
        </w:rPr>
      </w:pPr>
      <w:r>
        <w:rPr>
          <w:rFonts w:hint="eastAsia" w:ascii="仿宋" w:hAnsi="仿宋" w:eastAsia="仿宋" w:cs="仿宋"/>
          <w:b/>
          <w:color w:val="auto"/>
          <w:sz w:val="24"/>
          <w:highlight w:val="none"/>
        </w:rPr>
        <w:br w:type="page"/>
      </w:r>
    </w:p>
    <w:p w14:paraId="2A8555D0">
      <w:pPr>
        <w:widowControl/>
        <w:adjustRightInd w:val="0"/>
        <w:snapToGrid w:val="0"/>
        <w:spacing w:line="36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附表3：详细评分表</w:t>
      </w:r>
    </w:p>
    <w:tbl>
      <w:tblPr>
        <w:tblStyle w:val="22"/>
        <w:tblW w:w="9780" w:type="dxa"/>
        <w:tblInd w:w="-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17"/>
        <w:gridCol w:w="1441"/>
        <w:gridCol w:w="762"/>
        <w:gridCol w:w="5960"/>
      </w:tblGrid>
      <w:tr w14:paraId="2633A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1617" w:type="dxa"/>
            <w:tcBorders>
              <w:top w:val="single" w:color="auto" w:sz="4" w:space="0"/>
              <w:left w:val="single" w:color="auto" w:sz="4" w:space="0"/>
              <w:right w:val="single" w:color="auto" w:sz="4" w:space="0"/>
            </w:tcBorders>
            <w:shd w:val="clear" w:color="auto" w:fill="auto"/>
            <w:noWrap/>
            <w:vAlign w:val="center"/>
          </w:tcPr>
          <w:p w14:paraId="5CADA067">
            <w:pPr>
              <w:rPr>
                <w:rFonts w:hint="eastAsia" w:ascii="仿宋" w:hAnsi="仿宋" w:eastAsia="仿宋" w:cs="仿宋"/>
                <w:color w:val="auto"/>
                <w:sz w:val="24"/>
                <w:highlight w:val="none"/>
              </w:rPr>
            </w:pPr>
            <w:r>
              <w:rPr>
                <w:rFonts w:hint="eastAsia" w:ascii="仿宋" w:hAnsi="仿宋" w:eastAsia="仿宋" w:cs="仿宋"/>
                <w:color w:val="auto"/>
                <w:sz w:val="24"/>
                <w:highlight w:val="none"/>
              </w:rPr>
              <w:t>评标项目</w:t>
            </w:r>
          </w:p>
        </w:tc>
        <w:tc>
          <w:tcPr>
            <w:tcW w:w="14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6862AE1">
            <w:pPr>
              <w:adjustRightInd w:val="0"/>
              <w:snapToGrid w:val="0"/>
              <w:spacing w:line="288" w:lineRule="auto"/>
              <w:ind w:left="-105" w:leftChars="-50" w:right="-105" w:rightChars="-50"/>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评标分项</w:t>
            </w:r>
          </w:p>
        </w:tc>
        <w:tc>
          <w:tcPr>
            <w:tcW w:w="76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FB6696C">
            <w:pPr>
              <w:adjustRightInd w:val="0"/>
              <w:snapToGrid w:val="0"/>
              <w:spacing w:line="288" w:lineRule="auto"/>
              <w:ind w:left="-105" w:leftChars="-50" w:right="-105" w:rightChars="-5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highlight w:val="none"/>
              </w:rPr>
              <w:t>分值</w:t>
            </w:r>
          </w:p>
        </w:tc>
        <w:tc>
          <w:tcPr>
            <w:tcW w:w="59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312CBED">
            <w:pPr>
              <w:adjustRightInd w:val="0"/>
              <w:snapToGrid w:val="0"/>
              <w:spacing w:line="288" w:lineRule="auto"/>
              <w:ind w:left="-105" w:leftChars="-50" w:right="-105" w:rightChars="-50"/>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评分细则</w:t>
            </w:r>
          </w:p>
        </w:tc>
      </w:tr>
      <w:tr w14:paraId="20DB9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3" w:hRule="atLeast"/>
        </w:trPr>
        <w:tc>
          <w:tcPr>
            <w:tcW w:w="1617" w:type="dxa"/>
            <w:tcBorders>
              <w:top w:val="single" w:color="auto" w:sz="4" w:space="0"/>
              <w:left w:val="single" w:color="auto" w:sz="4" w:space="0"/>
              <w:right w:val="single" w:color="auto" w:sz="4" w:space="0"/>
            </w:tcBorders>
            <w:shd w:val="clear" w:color="auto" w:fill="auto"/>
            <w:noWrap/>
            <w:vAlign w:val="center"/>
          </w:tcPr>
          <w:p w14:paraId="2871E205">
            <w:pPr>
              <w:adjustRightInd w:val="0"/>
              <w:snapToGrid w:val="0"/>
              <w:spacing w:line="288" w:lineRule="auto"/>
              <w:ind w:left="-105" w:leftChars="-50" w:right="-105" w:rightChars="-5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报价部分（30分）</w:t>
            </w:r>
          </w:p>
        </w:tc>
        <w:tc>
          <w:tcPr>
            <w:tcW w:w="14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A5B1DE4">
            <w:pPr>
              <w:pStyle w:val="6"/>
              <w:spacing w:line="360" w:lineRule="auto"/>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价格得分</w:t>
            </w:r>
          </w:p>
        </w:tc>
        <w:tc>
          <w:tcPr>
            <w:tcW w:w="76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62C6AE0">
            <w:pPr>
              <w:pStyle w:val="6"/>
              <w:spacing w:line="360" w:lineRule="auto"/>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30</w:t>
            </w:r>
          </w:p>
        </w:tc>
        <w:tc>
          <w:tcPr>
            <w:tcW w:w="59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BFB106B">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1、基准价=各有效投标中去掉一个最高报价和一个最低报价以后的各投标人的投标报价的算术平均值。最高报价和最低报价仍为有效报价；（有效投标个数大于</w:t>
            </w: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lang w:val="zh-CN"/>
              </w:rPr>
              <w:t>个）</w:t>
            </w:r>
          </w:p>
          <w:p w14:paraId="1D67EB0E">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2、开标后，如果有效投标个数少于</w:t>
            </w: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lang w:val="zh-CN"/>
              </w:rPr>
              <w:t>个（含）则：</w:t>
            </w:r>
          </w:p>
          <w:p w14:paraId="44AF8342">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基准价=所有有效投标的投标报价的算术平均值；</w:t>
            </w:r>
          </w:p>
          <w:p w14:paraId="30882780">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各有效投标报价得分，以基准价为标准进行比较：</w:t>
            </w:r>
          </w:p>
          <w:p w14:paraId="39DAE8CA">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每高于基准价</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zh-CN"/>
              </w:rPr>
              <w:t>.0%的扣</w:t>
            </w:r>
            <w:r>
              <w:rPr>
                <w:rFonts w:hint="eastAsia" w:ascii="仿宋" w:hAnsi="仿宋" w:eastAsia="仿宋" w:cs="仿宋"/>
                <w:color w:val="auto"/>
                <w:sz w:val="24"/>
                <w:szCs w:val="24"/>
                <w:highlight w:val="none"/>
              </w:rPr>
              <w:t>0.3</w:t>
            </w:r>
            <w:r>
              <w:rPr>
                <w:rFonts w:hint="eastAsia" w:ascii="仿宋" w:hAnsi="仿宋" w:eastAsia="仿宋" w:cs="仿宋"/>
                <w:color w:val="auto"/>
                <w:sz w:val="24"/>
                <w:szCs w:val="24"/>
                <w:highlight w:val="none"/>
                <w:lang w:val="zh-CN"/>
              </w:rPr>
              <w:t>分，以此类推，</w:t>
            </w:r>
            <w:r>
              <w:rPr>
                <w:rFonts w:hint="eastAsia" w:ascii="仿宋" w:hAnsi="仿宋" w:eastAsia="仿宋" w:cs="仿宋"/>
                <w:color w:val="auto"/>
                <w:sz w:val="24"/>
                <w:szCs w:val="24"/>
                <w:highlight w:val="none"/>
              </w:rPr>
              <w:t>扣至0分为止</w:t>
            </w:r>
            <w:r>
              <w:rPr>
                <w:rFonts w:hint="eastAsia" w:ascii="仿宋" w:hAnsi="仿宋" w:eastAsia="仿宋" w:cs="仿宋"/>
                <w:color w:val="auto"/>
                <w:sz w:val="24"/>
                <w:szCs w:val="24"/>
                <w:highlight w:val="none"/>
                <w:lang w:val="zh-CN"/>
              </w:rPr>
              <w:t>。</w:t>
            </w:r>
          </w:p>
          <w:p w14:paraId="08892BF6">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计算公式为：价格得分=30-[（投标报价-基准价）/基准价]×100×</w:t>
            </w:r>
            <w:r>
              <w:rPr>
                <w:rFonts w:hint="eastAsia" w:ascii="仿宋" w:hAnsi="仿宋" w:eastAsia="仿宋" w:cs="仿宋"/>
                <w:color w:val="auto"/>
                <w:sz w:val="24"/>
                <w:szCs w:val="24"/>
                <w:highlight w:val="none"/>
              </w:rPr>
              <w:t>0.3</w:t>
            </w:r>
            <w:r>
              <w:rPr>
                <w:rFonts w:hint="eastAsia" w:ascii="仿宋" w:hAnsi="仿宋" w:eastAsia="仿宋" w:cs="仿宋"/>
                <w:color w:val="auto"/>
                <w:sz w:val="24"/>
                <w:szCs w:val="24"/>
                <w:highlight w:val="none"/>
                <w:lang w:val="zh-CN"/>
              </w:rPr>
              <w:t>；</w:t>
            </w:r>
          </w:p>
          <w:p w14:paraId="0698F45B">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每低于基准价</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zh-CN"/>
              </w:rPr>
              <w:t>.0%的扣0.</w: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zh-CN"/>
              </w:rPr>
              <w:t>分，以此类推，</w:t>
            </w:r>
            <w:r>
              <w:rPr>
                <w:rFonts w:hint="eastAsia" w:ascii="仿宋" w:hAnsi="仿宋" w:eastAsia="仿宋" w:cs="仿宋"/>
                <w:color w:val="auto"/>
                <w:sz w:val="24"/>
                <w:szCs w:val="24"/>
                <w:highlight w:val="none"/>
              </w:rPr>
              <w:t>扣至0分为止</w:t>
            </w:r>
            <w:r>
              <w:rPr>
                <w:rFonts w:hint="eastAsia" w:ascii="仿宋" w:hAnsi="仿宋" w:eastAsia="仿宋" w:cs="仿宋"/>
                <w:color w:val="auto"/>
                <w:sz w:val="24"/>
                <w:szCs w:val="24"/>
                <w:highlight w:val="none"/>
                <w:lang w:val="zh-CN"/>
              </w:rPr>
              <w:t>。</w:t>
            </w:r>
          </w:p>
          <w:p w14:paraId="3B9A0E02">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计算公式为：价格标得分=30-[（基准价-投标报价）/基准价]×100×0.</w: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zh-CN"/>
              </w:rPr>
              <w:t>。</w:t>
            </w:r>
          </w:p>
          <w:p w14:paraId="4A15EB2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3）投标报价等于基准价的，得30分。</w:t>
            </w:r>
          </w:p>
        </w:tc>
      </w:tr>
      <w:tr w14:paraId="202C3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1617" w:type="dxa"/>
            <w:vMerge w:val="restart"/>
            <w:tcBorders>
              <w:top w:val="single" w:color="auto" w:sz="4" w:space="0"/>
              <w:left w:val="single" w:color="auto" w:sz="4" w:space="0"/>
              <w:right w:val="single" w:color="auto" w:sz="4" w:space="0"/>
            </w:tcBorders>
            <w:shd w:val="clear" w:color="auto" w:fill="auto"/>
            <w:noWrap/>
            <w:vAlign w:val="center"/>
          </w:tcPr>
          <w:p w14:paraId="59269B4B">
            <w:pPr>
              <w:adjustRightInd w:val="0"/>
              <w:snapToGrid w:val="0"/>
              <w:spacing w:line="288" w:lineRule="auto"/>
              <w:ind w:left="-105" w:leftChars="-50" w:right="-105" w:rightChars="-50"/>
              <w:jc w:val="center"/>
              <w:rPr>
                <w:rFonts w:ascii="仿宋" w:hAnsi="仿宋" w:eastAsia="仿宋" w:cs="仿宋"/>
                <w:color w:val="auto"/>
                <w:sz w:val="24"/>
                <w:highlight w:val="none"/>
              </w:rPr>
            </w:pPr>
            <w:r>
              <w:rPr>
                <w:rFonts w:hint="eastAsia" w:ascii="仿宋" w:hAnsi="仿宋" w:eastAsia="仿宋" w:cs="仿宋"/>
                <w:color w:val="auto"/>
                <w:sz w:val="24"/>
                <w:highlight w:val="none"/>
              </w:rPr>
              <w:t>商务部分（20分）</w:t>
            </w:r>
          </w:p>
        </w:tc>
        <w:tc>
          <w:tcPr>
            <w:tcW w:w="14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6301F9">
            <w:pPr>
              <w:pStyle w:val="6"/>
              <w:spacing w:line="36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类似业绩</w:t>
            </w:r>
          </w:p>
        </w:tc>
        <w:tc>
          <w:tcPr>
            <w:tcW w:w="76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A95105C">
            <w:pPr>
              <w:pStyle w:val="6"/>
              <w:spacing w:line="360" w:lineRule="auto"/>
              <w:ind w:firstLine="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w:t>
            </w:r>
          </w:p>
        </w:tc>
        <w:tc>
          <w:tcPr>
            <w:tcW w:w="5960" w:type="dxa"/>
            <w:tcBorders>
              <w:top w:val="single" w:color="auto" w:sz="4" w:space="0"/>
              <w:left w:val="single" w:color="auto" w:sz="4" w:space="0"/>
              <w:bottom w:val="single" w:color="auto" w:sz="4" w:space="0"/>
              <w:right w:val="single" w:color="auto" w:sz="4" w:space="0"/>
            </w:tcBorders>
            <w:shd w:val="clear" w:color="auto" w:fill="auto"/>
            <w:noWrap/>
          </w:tcPr>
          <w:p w14:paraId="13EFC0A4">
            <w:pPr>
              <w:pStyle w:val="31"/>
              <w:spacing w:line="480" w:lineRule="exact"/>
              <w:contextualSpacing/>
              <w:rPr>
                <w:rFonts w:hint="eastAsia" w:ascii="仿宋" w:hAnsi="仿宋" w:eastAsia="仿宋" w:cs="仿宋"/>
                <w:color w:val="auto"/>
                <w:sz w:val="24"/>
                <w:szCs w:val="24"/>
                <w:highlight w:val="none"/>
              </w:rPr>
            </w:pPr>
            <w:r>
              <w:rPr>
                <w:rFonts w:hint="eastAsia" w:ascii="仿宋" w:hAnsi="仿宋" w:eastAsia="仿宋" w:cs="仿宋"/>
                <w:strike w:val="0"/>
                <w:dstrike w:val="0"/>
                <w:color w:val="auto"/>
                <w:sz w:val="24"/>
                <w:szCs w:val="24"/>
                <w:highlight w:val="none"/>
                <w:lang w:val="en-US" w:eastAsia="zh-CN"/>
              </w:rPr>
              <w:t>2023年1月以来（</w:t>
            </w:r>
            <w:r>
              <w:rPr>
                <w:rFonts w:hint="eastAsia" w:ascii="仿宋" w:hAnsi="仿宋" w:eastAsia="仿宋" w:cs="仿宋"/>
                <w:color w:val="auto"/>
                <w:sz w:val="24"/>
                <w:szCs w:val="24"/>
                <w:highlight w:val="none"/>
              </w:rPr>
              <w:t>设计业绩以合同签订时间为准，施工业绩以合同签订时间为准）具有类似设计业绩，每有一项得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分，最高得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分；类似</w:t>
            </w:r>
            <w:r>
              <w:rPr>
                <w:rFonts w:hint="eastAsia" w:ascii="仿宋" w:hAnsi="仿宋" w:eastAsia="仿宋" w:cs="仿宋"/>
                <w:strike w:val="0"/>
                <w:dstrike w:val="0"/>
                <w:color w:val="auto"/>
                <w:sz w:val="24"/>
                <w:szCs w:val="24"/>
                <w:highlight w:val="none"/>
                <w:lang w:eastAsia="zh-CN"/>
              </w:rPr>
              <w:t>施工</w:t>
            </w:r>
            <w:r>
              <w:rPr>
                <w:rFonts w:hint="eastAsia" w:ascii="仿宋" w:hAnsi="仿宋" w:eastAsia="仿宋" w:cs="仿宋"/>
                <w:color w:val="auto"/>
                <w:sz w:val="24"/>
                <w:szCs w:val="24"/>
                <w:highlight w:val="none"/>
              </w:rPr>
              <w:t>业绩，每有一项得</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分，最高得</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分；</w:t>
            </w:r>
          </w:p>
          <w:p w14:paraId="72FF5A7A">
            <w:pPr>
              <w:pStyle w:val="31"/>
              <w:spacing w:line="480" w:lineRule="exact"/>
              <w:contextualSpacing/>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本项最高得</w:t>
            </w:r>
            <w:r>
              <w:rPr>
                <w:rFonts w:hint="eastAsia" w:ascii="仿宋" w:hAnsi="仿宋" w:eastAsia="仿宋" w:cs="仿宋"/>
                <w:color w:val="auto"/>
                <w:sz w:val="24"/>
                <w:szCs w:val="24"/>
                <w:highlight w:val="none"/>
                <w:lang w:val="en-US" w:eastAsia="zh-CN"/>
              </w:rPr>
              <w:t>13</w:t>
            </w:r>
            <w:r>
              <w:rPr>
                <w:rFonts w:hint="eastAsia" w:ascii="仿宋" w:hAnsi="仿宋" w:eastAsia="仿宋" w:cs="仿宋"/>
                <w:color w:val="auto"/>
                <w:sz w:val="24"/>
                <w:szCs w:val="24"/>
                <w:highlight w:val="none"/>
              </w:rPr>
              <w:t>分。</w:t>
            </w:r>
          </w:p>
          <w:p w14:paraId="7064BB48">
            <w:pPr>
              <w:pStyle w:val="31"/>
              <w:spacing w:line="480" w:lineRule="exact"/>
              <w:contextualSpacing/>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备注：类似</w:t>
            </w:r>
            <w:r>
              <w:rPr>
                <w:rFonts w:hint="eastAsia" w:ascii="仿宋" w:hAnsi="仿宋" w:eastAsia="仿宋" w:cs="仿宋"/>
                <w:color w:val="auto"/>
                <w:sz w:val="24"/>
                <w:szCs w:val="24"/>
                <w:highlight w:val="none"/>
                <w:lang w:eastAsia="zh-CN"/>
              </w:rPr>
              <w:t>施工</w:t>
            </w:r>
            <w:r>
              <w:rPr>
                <w:rFonts w:hint="eastAsia" w:ascii="仿宋" w:hAnsi="仿宋" w:eastAsia="仿宋" w:cs="仿宋"/>
                <w:color w:val="auto"/>
                <w:sz w:val="24"/>
                <w:szCs w:val="24"/>
                <w:highlight w:val="none"/>
              </w:rPr>
              <w:t>业绩是指：总建筑面积1100平方米及以上或单项合同金额</w:t>
            </w:r>
            <w:r>
              <w:rPr>
                <w:rFonts w:hint="eastAsia" w:ascii="仿宋" w:hAnsi="仿宋" w:eastAsia="仿宋" w:cs="仿宋"/>
                <w:color w:val="auto"/>
                <w:sz w:val="24"/>
                <w:szCs w:val="24"/>
                <w:highlight w:val="none"/>
                <w:lang w:val="en-US" w:eastAsia="zh-CN"/>
              </w:rPr>
              <w:t>380</w:t>
            </w:r>
            <w:r>
              <w:rPr>
                <w:rFonts w:hint="eastAsia" w:ascii="仿宋" w:hAnsi="仿宋" w:eastAsia="仿宋" w:cs="仿宋"/>
                <w:color w:val="auto"/>
                <w:sz w:val="24"/>
                <w:szCs w:val="24"/>
                <w:highlight w:val="none"/>
              </w:rPr>
              <w:t>万元及以上的公共建筑设计施工一体化工程或工程总承包（EPC）施工业绩，设计施工一体化</w:t>
            </w:r>
            <w:r>
              <w:rPr>
                <w:rFonts w:hint="eastAsia" w:ascii="仿宋" w:hAnsi="仿宋" w:eastAsia="仿宋" w:cs="仿宋"/>
                <w:color w:val="auto"/>
                <w:sz w:val="24"/>
                <w:szCs w:val="24"/>
                <w:highlight w:val="none"/>
                <w:lang w:eastAsia="zh-CN"/>
              </w:rPr>
              <w:t>工程</w:t>
            </w:r>
            <w:r>
              <w:rPr>
                <w:rFonts w:hint="eastAsia" w:ascii="仿宋" w:hAnsi="仿宋" w:eastAsia="仿宋" w:cs="仿宋"/>
                <w:color w:val="auto"/>
                <w:sz w:val="24"/>
                <w:szCs w:val="24"/>
                <w:highlight w:val="none"/>
              </w:rPr>
              <w:t>或工程总承包（EPC）</w:t>
            </w:r>
            <w:r>
              <w:rPr>
                <w:rFonts w:hint="eastAsia" w:ascii="仿宋" w:hAnsi="仿宋" w:eastAsia="仿宋" w:cs="仿宋"/>
                <w:color w:val="auto"/>
                <w:sz w:val="24"/>
                <w:szCs w:val="24"/>
                <w:highlight w:val="none"/>
                <w:lang w:val="en-US" w:eastAsia="zh-CN"/>
              </w:rPr>
              <w:t>业</w:t>
            </w:r>
            <w:r>
              <w:rPr>
                <w:rFonts w:hint="eastAsia" w:ascii="仿宋" w:hAnsi="仿宋" w:eastAsia="仿宋" w:cs="仿宋"/>
                <w:color w:val="auto"/>
                <w:sz w:val="24"/>
                <w:szCs w:val="24"/>
                <w:highlight w:val="none"/>
              </w:rPr>
              <w:t>绩须提供合同证明文件。</w:t>
            </w:r>
            <w:r>
              <w:rPr>
                <w:rFonts w:hint="eastAsia" w:ascii="仿宋" w:hAnsi="仿宋" w:eastAsia="仿宋" w:cs="仿宋"/>
                <w:color w:val="auto"/>
                <w:sz w:val="24"/>
                <w:szCs w:val="24"/>
                <w:highlight w:val="none"/>
                <w:lang w:val="en-US" w:eastAsia="zh-CN"/>
              </w:rPr>
              <w:t>如投标人提供的业绩为联合体中标业绩，应提供其作为联合体成员所承担范围的相关证明材料。</w:t>
            </w:r>
          </w:p>
          <w:p w14:paraId="70D525B8">
            <w:pPr>
              <w:pStyle w:val="31"/>
              <w:spacing w:line="480" w:lineRule="exact"/>
              <w:contextualSpacing/>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类似设计项目是指：总建筑面积1100平方米及以上或</w:t>
            </w:r>
            <w:r>
              <w:rPr>
                <w:rFonts w:hint="eastAsia" w:ascii="仿宋" w:hAnsi="仿宋" w:eastAsia="仿宋" w:cs="仿宋"/>
                <w:color w:val="auto"/>
                <w:sz w:val="24"/>
                <w:szCs w:val="24"/>
                <w:highlight w:val="none"/>
                <w:lang w:val="en-US" w:eastAsia="zh-CN"/>
              </w:rPr>
              <w:t>造价金额380万元及以上的公共建筑工程设计业绩</w:t>
            </w:r>
            <w:r>
              <w:rPr>
                <w:rFonts w:hint="eastAsia" w:ascii="仿宋" w:hAnsi="仿宋" w:eastAsia="仿宋" w:cs="仿宋"/>
                <w:color w:val="auto"/>
                <w:sz w:val="24"/>
                <w:szCs w:val="24"/>
                <w:highlight w:val="none"/>
              </w:rPr>
              <w:t>，设计项目业绩须提供合同。</w:t>
            </w:r>
          </w:p>
        </w:tc>
      </w:tr>
      <w:tr w14:paraId="3801D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17" w:type="dxa"/>
            <w:vMerge w:val="continue"/>
            <w:tcBorders>
              <w:left w:val="single" w:color="auto" w:sz="4" w:space="0"/>
              <w:right w:val="single" w:color="auto" w:sz="4" w:space="0"/>
            </w:tcBorders>
            <w:noWrap/>
            <w:vAlign w:val="center"/>
          </w:tcPr>
          <w:p w14:paraId="3253439D">
            <w:pPr>
              <w:adjustRightInd w:val="0"/>
              <w:snapToGrid w:val="0"/>
              <w:spacing w:line="288" w:lineRule="auto"/>
              <w:ind w:left="-105" w:leftChars="-50" w:right="-105" w:rightChars="-50"/>
              <w:jc w:val="center"/>
              <w:rPr>
                <w:rFonts w:ascii="仿宋" w:hAnsi="仿宋" w:eastAsia="仿宋" w:cs="仿宋"/>
                <w:color w:val="auto"/>
                <w:sz w:val="24"/>
                <w:highlight w:val="none"/>
              </w:rPr>
            </w:pPr>
          </w:p>
        </w:tc>
        <w:tc>
          <w:tcPr>
            <w:tcW w:w="14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2433AB">
            <w:pPr>
              <w:pStyle w:val="6"/>
              <w:spacing w:line="360" w:lineRule="auto"/>
              <w:ind w:firstLine="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用户反馈</w:t>
            </w:r>
          </w:p>
        </w:tc>
        <w:tc>
          <w:tcPr>
            <w:tcW w:w="76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AA4292">
            <w:pPr>
              <w:pStyle w:val="6"/>
              <w:spacing w:line="360" w:lineRule="auto"/>
              <w:ind w:firstLine="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59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B264E8B">
            <w:pPr>
              <w:pStyle w:val="31"/>
              <w:spacing w:line="480" w:lineRule="exact"/>
              <w:contextualSpacing/>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(若为联合体，联合体</w:t>
            </w:r>
            <w:r>
              <w:rPr>
                <w:rFonts w:hint="eastAsia" w:ascii="仿宋" w:hAnsi="仿宋" w:eastAsia="仿宋" w:cs="仿宋"/>
                <w:color w:val="auto"/>
                <w:sz w:val="24"/>
                <w:szCs w:val="24"/>
                <w:highlight w:val="none"/>
                <w:lang w:val="en-US" w:eastAsia="zh-CN"/>
              </w:rPr>
              <w:t>施工单位</w:t>
            </w:r>
            <w:r>
              <w:rPr>
                <w:rFonts w:hint="eastAsia" w:ascii="仿宋" w:hAnsi="仿宋" w:eastAsia="仿宋" w:cs="仿宋"/>
                <w:color w:val="auto"/>
                <w:sz w:val="24"/>
                <w:szCs w:val="24"/>
                <w:highlight w:val="none"/>
              </w:rPr>
              <w:t>) 提供自2023年</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月以来的项目获得甲方评价意见进行评分，评价为满意或良好的，每提供一个得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分，最多的</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分。(以有采购人书面评价意见复印件为准盖</w:t>
            </w:r>
            <w:r>
              <w:rPr>
                <w:rFonts w:hint="eastAsia" w:ascii="仿宋" w:hAnsi="仿宋" w:eastAsia="仿宋" w:cs="仿宋"/>
                <w:color w:val="auto"/>
                <w:sz w:val="24"/>
                <w:szCs w:val="24"/>
                <w:highlight w:val="none"/>
                <w:lang w:val="en-US" w:eastAsia="zh-CN"/>
              </w:rPr>
              <w:t>公</w:t>
            </w:r>
            <w:r>
              <w:rPr>
                <w:rFonts w:hint="eastAsia" w:ascii="仿宋" w:hAnsi="仿宋" w:eastAsia="仿宋" w:cs="仿宋"/>
                <w:color w:val="auto"/>
                <w:sz w:val="24"/>
                <w:szCs w:val="24"/>
                <w:highlight w:val="none"/>
              </w:rPr>
              <w:t>章，须同时提供满意度证明相应工程中标通知书</w:t>
            </w:r>
            <w:r>
              <w:rPr>
                <w:rFonts w:hint="eastAsia" w:ascii="仿宋" w:hAnsi="仿宋" w:eastAsia="仿宋" w:cs="仿宋"/>
                <w:color w:val="auto"/>
                <w:sz w:val="24"/>
                <w:szCs w:val="24"/>
                <w:highlight w:val="none"/>
                <w:lang w:val="en-US" w:eastAsia="zh-CN"/>
              </w:rPr>
              <w:t>或</w:t>
            </w:r>
            <w:r>
              <w:rPr>
                <w:rFonts w:hint="eastAsia" w:ascii="仿宋" w:hAnsi="仿宋" w:eastAsia="仿宋" w:cs="仿宋"/>
                <w:color w:val="auto"/>
                <w:sz w:val="24"/>
                <w:szCs w:val="24"/>
                <w:highlight w:val="none"/>
              </w:rPr>
              <w:t>合同协议书</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竣工报告</w:t>
            </w:r>
            <w:r>
              <w:rPr>
                <w:rFonts w:hint="eastAsia" w:ascii="仿宋" w:hAnsi="仿宋" w:eastAsia="仿宋" w:cs="仿宋"/>
                <w:color w:val="auto"/>
                <w:sz w:val="24"/>
                <w:szCs w:val="24"/>
                <w:highlight w:val="none"/>
              </w:rPr>
              <w:t>。提供证明资料不全或者证明材料模糊、不清晰、无法辨认的不得分。合同</w:t>
            </w:r>
            <w:r>
              <w:rPr>
                <w:rFonts w:hint="eastAsia" w:ascii="仿宋" w:hAnsi="仿宋" w:eastAsia="仿宋" w:cs="仿宋"/>
                <w:color w:val="auto"/>
                <w:sz w:val="24"/>
                <w:szCs w:val="24"/>
                <w:highlight w:val="none"/>
                <w:lang w:val="en-US" w:eastAsia="zh-CN"/>
              </w:rPr>
              <w:t>以</w:t>
            </w:r>
            <w:r>
              <w:rPr>
                <w:rFonts w:hint="eastAsia" w:ascii="仿宋" w:hAnsi="仿宋" w:eastAsia="仿宋" w:cs="仿宋"/>
                <w:color w:val="auto"/>
                <w:sz w:val="24"/>
                <w:szCs w:val="24"/>
                <w:highlight w:val="none"/>
              </w:rPr>
              <w:t>签订时间为准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同一采购单位不重复计分。</w:t>
            </w:r>
          </w:p>
        </w:tc>
      </w:tr>
      <w:tr w14:paraId="2937F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6" w:hRule="atLeast"/>
        </w:trPr>
        <w:tc>
          <w:tcPr>
            <w:tcW w:w="1617" w:type="dxa"/>
            <w:tcBorders>
              <w:left w:val="single" w:color="auto" w:sz="4" w:space="0"/>
              <w:right w:val="single" w:color="auto" w:sz="4" w:space="0"/>
            </w:tcBorders>
            <w:noWrap/>
            <w:vAlign w:val="center"/>
          </w:tcPr>
          <w:p w14:paraId="70D1592E">
            <w:pPr>
              <w:adjustRightInd w:val="0"/>
              <w:snapToGrid w:val="0"/>
              <w:spacing w:line="288" w:lineRule="auto"/>
              <w:ind w:left="-105" w:leftChars="-50" w:right="-105" w:rightChars="-50"/>
              <w:jc w:val="center"/>
              <w:rPr>
                <w:rFonts w:ascii="仿宋" w:hAnsi="仿宋" w:eastAsia="仿宋" w:cs="仿宋"/>
                <w:color w:val="auto"/>
                <w:sz w:val="24"/>
                <w:highlight w:val="none"/>
              </w:rPr>
            </w:pPr>
          </w:p>
        </w:tc>
        <w:tc>
          <w:tcPr>
            <w:tcW w:w="14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2D3D50">
            <w:pPr>
              <w:pStyle w:val="6"/>
              <w:spacing w:line="360" w:lineRule="auto"/>
              <w:ind w:firstLine="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项目经理</w:t>
            </w:r>
          </w:p>
        </w:tc>
        <w:tc>
          <w:tcPr>
            <w:tcW w:w="76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31C8CE0">
            <w:pPr>
              <w:pStyle w:val="6"/>
              <w:spacing w:line="360" w:lineRule="auto"/>
              <w:ind w:firstLine="0"/>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59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E121F75">
            <w:pPr>
              <w:pStyle w:val="31"/>
              <w:spacing w:line="480" w:lineRule="exact"/>
              <w:contextualSpacing/>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项目经理2023年1月以来完成过类似工程设计施工一体化或工程总承包（EPC）业绩，每有一项得1.5分，最高得3分。</w:t>
            </w:r>
          </w:p>
          <w:p w14:paraId="1C8C12BA">
            <w:pPr>
              <w:pStyle w:val="31"/>
              <w:spacing w:line="480" w:lineRule="exact"/>
              <w:contextualSpacing/>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备注：类似工程设计施工一体化或工程总承包（EPC）业绩是指：总建筑面积1100平方米及以上或单项合同金额380万元及以上的公共建筑设计施工一体化工程或工程总承包（EPC）项目须提供合同证明文件。(以合同签订时间为准)</w:t>
            </w:r>
          </w:p>
        </w:tc>
      </w:tr>
      <w:tr w14:paraId="0E4EC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1617" w:type="dxa"/>
            <w:vMerge w:val="restart"/>
            <w:tcBorders>
              <w:top w:val="single" w:color="auto" w:sz="4" w:space="0"/>
              <w:left w:val="single" w:color="auto" w:sz="4" w:space="0"/>
              <w:right w:val="single" w:color="auto" w:sz="4" w:space="0"/>
            </w:tcBorders>
            <w:noWrap/>
            <w:vAlign w:val="center"/>
          </w:tcPr>
          <w:p w14:paraId="4DF7515C">
            <w:pPr>
              <w:adjustRightInd w:val="0"/>
              <w:snapToGrid w:val="0"/>
              <w:spacing w:line="288" w:lineRule="auto"/>
              <w:ind w:left="-105" w:leftChars="-50" w:right="-105" w:rightChars="-50"/>
              <w:jc w:val="center"/>
              <w:rPr>
                <w:rFonts w:ascii="仿宋" w:hAnsi="仿宋" w:eastAsia="仿宋" w:cs="仿宋"/>
                <w:color w:val="auto"/>
                <w:sz w:val="24"/>
                <w:highlight w:val="none"/>
              </w:rPr>
            </w:pPr>
            <w:r>
              <w:rPr>
                <w:rFonts w:hint="eastAsia" w:ascii="仿宋" w:hAnsi="仿宋" w:eastAsia="仿宋" w:cs="仿宋"/>
                <w:color w:val="auto"/>
                <w:sz w:val="24"/>
                <w:highlight w:val="none"/>
              </w:rPr>
              <w:t>技术部分（50分）</w:t>
            </w:r>
          </w:p>
        </w:tc>
        <w:tc>
          <w:tcPr>
            <w:tcW w:w="1441" w:type="dxa"/>
            <w:tcBorders>
              <w:top w:val="single" w:color="auto" w:sz="4" w:space="0"/>
              <w:left w:val="single" w:color="auto" w:sz="4" w:space="0"/>
              <w:bottom w:val="single" w:color="auto" w:sz="4" w:space="0"/>
              <w:right w:val="single" w:color="auto" w:sz="4" w:space="0"/>
            </w:tcBorders>
            <w:noWrap/>
            <w:vAlign w:val="center"/>
          </w:tcPr>
          <w:p w14:paraId="38E4541B">
            <w:pPr>
              <w:pStyle w:val="6"/>
              <w:spacing w:line="36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设计实施技术方案</w:t>
            </w:r>
          </w:p>
        </w:tc>
        <w:tc>
          <w:tcPr>
            <w:tcW w:w="762" w:type="dxa"/>
            <w:tcBorders>
              <w:top w:val="single" w:color="auto" w:sz="4" w:space="0"/>
              <w:left w:val="single" w:color="auto" w:sz="4" w:space="0"/>
              <w:bottom w:val="single" w:color="auto" w:sz="4" w:space="0"/>
              <w:right w:val="single" w:color="auto" w:sz="4" w:space="0"/>
            </w:tcBorders>
            <w:noWrap/>
            <w:vAlign w:val="center"/>
          </w:tcPr>
          <w:p w14:paraId="3E54817A">
            <w:pPr>
              <w:pStyle w:val="6"/>
              <w:spacing w:line="360" w:lineRule="auto"/>
              <w:ind w:firstLine="0"/>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5960" w:type="dxa"/>
            <w:tcBorders>
              <w:top w:val="single" w:color="auto" w:sz="4" w:space="0"/>
              <w:left w:val="single" w:color="auto" w:sz="4" w:space="0"/>
              <w:bottom w:val="single" w:color="auto" w:sz="4" w:space="0"/>
              <w:right w:val="single" w:color="auto" w:sz="4" w:space="0"/>
            </w:tcBorders>
            <w:noWrap/>
          </w:tcPr>
          <w:p w14:paraId="355D2D88">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根据</w:t>
            </w:r>
            <w:r>
              <w:rPr>
                <w:rFonts w:hint="eastAsia" w:ascii="仿宋" w:hAnsi="仿宋" w:eastAsia="仿宋" w:cs="仿宋"/>
                <w:color w:val="auto"/>
                <w:sz w:val="24"/>
                <w:highlight w:val="none"/>
                <w:lang w:val="en-US" w:eastAsia="zh-CN"/>
              </w:rPr>
              <w:t>平面图</w:t>
            </w:r>
            <w:r>
              <w:rPr>
                <w:rFonts w:hint="eastAsia" w:ascii="仿宋" w:hAnsi="仿宋" w:eastAsia="仿宋" w:cs="仿宋"/>
                <w:color w:val="auto"/>
                <w:sz w:val="24"/>
                <w:highlight w:val="none"/>
              </w:rPr>
              <w:t>、项目特点、招标范围及发包人要求编制设计实施技术方案，方案包括但不限于：</w:t>
            </w:r>
          </w:p>
          <w:p w14:paraId="5BD202BD">
            <w:pPr>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（1）对本项目进行重难点分析，针对该项目全面性、可实施性、可持续性的分析</w:t>
            </w:r>
            <w:r>
              <w:rPr>
                <w:rFonts w:hint="eastAsia" w:ascii="仿宋" w:hAnsi="仿宋" w:eastAsia="仿宋" w:cs="仿宋"/>
                <w:color w:val="auto"/>
                <w:sz w:val="24"/>
                <w:highlight w:val="none"/>
                <w:lang w:eastAsia="zh-CN"/>
              </w:rPr>
              <w:t>，方案内容完整、可行性高的得</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lang w:eastAsia="zh-CN"/>
              </w:rPr>
              <w:t>分；</w:t>
            </w:r>
          </w:p>
          <w:p w14:paraId="13585A5D">
            <w:pPr>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方案完整有欠缺、科学合理、基本可行得</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lang w:eastAsia="zh-CN"/>
              </w:rPr>
              <w:t>分；</w:t>
            </w:r>
          </w:p>
          <w:p w14:paraId="44747D71">
            <w:pPr>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方案空泛，合理性差、基本可行得</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lang w:eastAsia="zh-CN"/>
              </w:rPr>
              <w:t>分；</w:t>
            </w:r>
          </w:p>
          <w:p w14:paraId="3516FAEB">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未提供不得分。</w:t>
            </w:r>
          </w:p>
          <w:p w14:paraId="109480FF">
            <w:pPr>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）根据投标人提供各专业的设计技术文件的完整性、合理性、针对性、设计深度进行评审</w:t>
            </w:r>
            <w:r>
              <w:rPr>
                <w:rFonts w:hint="eastAsia" w:ascii="仿宋" w:hAnsi="仿宋" w:eastAsia="仿宋" w:cs="仿宋"/>
                <w:color w:val="auto"/>
                <w:sz w:val="24"/>
                <w:highlight w:val="none"/>
                <w:lang w:eastAsia="zh-CN"/>
              </w:rPr>
              <w:t>，方案内容完整、可行性高的得</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lang w:eastAsia="zh-CN"/>
              </w:rPr>
              <w:t>分；</w:t>
            </w:r>
          </w:p>
          <w:p w14:paraId="3013016D">
            <w:pPr>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方案完整有欠缺、科学合理、基本可行得</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lang w:eastAsia="zh-CN"/>
              </w:rPr>
              <w:t>分；</w:t>
            </w:r>
          </w:p>
          <w:p w14:paraId="0C124084">
            <w:pPr>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方案空泛，合理性差、基本可行得</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lang w:eastAsia="zh-CN"/>
              </w:rPr>
              <w:t>分；</w:t>
            </w:r>
          </w:p>
          <w:p w14:paraId="587074F0">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未提供不得分。</w:t>
            </w:r>
          </w:p>
        </w:tc>
      </w:tr>
      <w:tr w14:paraId="4E36E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1617" w:type="dxa"/>
            <w:vMerge w:val="continue"/>
            <w:tcBorders>
              <w:left w:val="single" w:color="auto" w:sz="4" w:space="0"/>
              <w:right w:val="single" w:color="auto" w:sz="4" w:space="0"/>
            </w:tcBorders>
            <w:noWrap/>
            <w:vAlign w:val="center"/>
          </w:tcPr>
          <w:p w14:paraId="5952968C">
            <w:pPr>
              <w:adjustRightInd w:val="0"/>
              <w:snapToGrid w:val="0"/>
              <w:spacing w:line="288" w:lineRule="auto"/>
              <w:ind w:left="-105" w:leftChars="-50" w:right="-105" w:rightChars="-50"/>
              <w:jc w:val="center"/>
              <w:rPr>
                <w:rFonts w:ascii="仿宋" w:hAnsi="仿宋" w:eastAsia="仿宋" w:cs="仿宋"/>
                <w:color w:val="auto"/>
                <w:sz w:val="24"/>
                <w:highlight w:val="none"/>
              </w:rPr>
            </w:pPr>
          </w:p>
        </w:tc>
        <w:tc>
          <w:tcPr>
            <w:tcW w:w="1441" w:type="dxa"/>
            <w:tcBorders>
              <w:top w:val="single" w:color="auto" w:sz="4" w:space="0"/>
              <w:left w:val="single" w:color="auto" w:sz="4" w:space="0"/>
              <w:bottom w:val="single" w:color="auto" w:sz="4" w:space="0"/>
              <w:right w:val="single" w:color="auto" w:sz="4" w:space="0"/>
            </w:tcBorders>
            <w:noWrap/>
            <w:vAlign w:val="center"/>
          </w:tcPr>
          <w:p w14:paraId="3D2427EF">
            <w:pPr>
              <w:pStyle w:val="6"/>
              <w:spacing w:line="360" w:lineRule="auto"/>
              <w:ind w:firstLine="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设计进度及质量保障措施</w:t>
            </w:r>
          </w:p>
        </w:tc>
        <w:tc>
          <w:tcPr>
            <w:tcW w:w="762" w:type="dxa"/>
            <w:tcBorders>
              <w:top w:val="single" w:color="auto" w:sz="4" w:space="0"/>
              <w:left w:val="single" w:color="auto" w:sz="4" w:space="0"/>
              <w:bottom w:val="single" w:color="auto" w:sz="4" w:space="0"/>
              <w:right w:val="single" w:color="auto" w:sz="4" w:space="0"/>
            </w:tcBorders>
            <w:noWrap/>
            <w:vAlign w:val="center"/>
          </w:tcPr>
          <w:p w14:paraId="4BC3EE93">
            <w:pPr>
              <w:pStyle w:val="6"/>
              <w:spacing w:line="360" w:lineRule="auto"/>
              <w:ind w:firstLine="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5960" w:type="dxa"/>
            <w:tcBorders>
              <w:top w:val="single" w:color="auto" w:sz="4" w:space="0"/>
              <w:left w:val="single" w:color="auto" w:sz="4" w:space="0"/>
              <w:bottom w:val="single" w:color="auto" w:sz="4" w:space="0"/>
              <w:right w:val="single" w:color="auto" w:sz="4" w:space="0"/>
            </w:tcBorders>
            <w:noWrap/>
          </w:tcPr>
          <w:p w14:paraId="4E96922A">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根据招标文件要求的设计周期及质量要求合理编制设计进度计划、人员配备分工和质量保障措施</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eastAsia="zh-CN"/>
              </w:rPr>
              <w:br w:type="textWrapping"/>
            </w:r>
            <w:r>
              <w:rPr>
                <w:rFonts w:hint="eastAsia" w:ascii="仿宋" w:hAnsi="仿宋" w:eastAsia="仿宋" w:cs="仿宋"/>
                <w:color w:val="auto"/>
                <w:sz w:val="24"/>
                <w:highlight w:val="none"/>
              </w:rPr>
              <w:t>设计周期安排合理，有详细的进度和质量保障措施，措施具体、科学完备，针对性强，人员分工合理得</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分；进度及质量保障措施基本满足完备，人员分工基本合理得2分；</w:t>
            </w:r>
          </w:p>
          <w:p w14:paraId="0662A928">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进度及质量保障措施流于形式，无具体可操作性得0分；未提供得0分。</w:t>
            </w:r>
          </w:p>
        </w:tc>
      </w:tr>
      <w:tr w14:paraId="1F1B3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trPr>
        <w:tc>
          <w:tcPr>
            <w:tcW w:w="1617" w:type="dxa"/>
            <w:vMerge w:val="continue"/>
            <w:tcBorders>
              <w:left w:val="single" w:color="auto" w:sz="4" w:space="0"/>
              <w:right w:val="single" w:color="auto" w:sz="4" w:space="0"/>
            </w:tcBorders>
            <w:noWrap/>
            <w:vAlign w:val="center"/>
          </w:tcPr>
          <w:p w14:paraId="20FCBC99">
            <w:pPr>
              <w:adjustRightInd w:val="0"/>
              <w:snapToGrid w:val="0"/>
              <w:spacing w:line="288" w:lineRule="auto"/>
              <w:ind w:left="-105" w:leftChars="-50" w:right="-105" w:rightChars="-50"/>
              <w:jc w:val="center"/>
              <w:rPr>
                <w:rFonts w:ascii="仿宋" w:hAnsi="仿宋" w:eastAsia="仿宋" w:cs="仿宋"/>
                <w:color w:val="auto"/>
                <w:sz w:val="24"/>
                <w:highlight w:val="none"/>
              </w:rPr>
            </w:pPr>
          </w:p>
        </w:tc>
        <w:tc>
          <w:tcPr>
            <w:tcW w:w="1441" w:type="dxa"/>
            <w:tcBorders>
              <w:top w:val="single" w:color="auto" w:sz="4" w:space="0"/>
              <w:left w:val="single" w:color="auto" w:sz="4" w:space="0"/>
              <w:bottom w:val="single" w:color="auto" w:sz="4" w:space="0"/>
              <w:right w:val="single" w:color="auto" w:sz="4" w:space="0"/>
            </w:tcBorders>
            <w:noWrap/>
            <w:vAlign w:val="center"/>
          </w:tcPr>
          <w:p w14:paraId="396E033E">
            <w:pPr>
              <w:pStyle w:val="6"/>
              <w:spacing w:line="36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工程总承包管控服务方案</w:t>
            </w:r>
          </w:p>
        </w:tc>
        <w:tc>
          <w:tcPr>
            <w:tcW w:w="762" w:type="dxa"/>
            <w:tcBorders>
              <w:top w:val="single" w:color="auto" w:sz="4" w:space="0"/>
              <w:left w:val="single" w:color="auto" w:sz="4" w:space="0"/>
              <w:bottom w:val="single" w:color="auto" w:sz="4" w:space="0"/>
              <w:right w:val="single" w:color="auto" w:sz="4" w:space="0"/>
            </w:tcBorders>
            <w:noWrap/>
            <w:vAlign w:val="center"/>
          </w:tcPr>
          <w:p w14:paraId="0B9301C4">
            <w:pPr>
              <w:pStyle w:val="6"/>
              <w:spacing w:line="360" w:lineRule="auto"/>
              <w:ind w:firstLine="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5</w:t>
            </w:r>
          </w:p>
        </w:tc>
        <w:tc>
          <w:tcPr>
            <w:tcW w:w="5960" w:type="dxa"/>
            <w:tcBorders>
              <w:top w:val="single" w:color="auto" w:sz="4" w:space="0"/>
              <w:left w:val="single" w:color="auto" w:sz="4" w:space="0"/>
              <w:bottom w:val="single" w:color="auto" w:sz="4" w:space="0"/>
              <w:right w:val="single" w:color="auto" w:sz="4" w:space="0"/>
            </w:tcBorders>
            <w:noWrap/>
          </w:tcPr>
          <w:p w14:paraId="192336CE">
            <w:pPr>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根据本项目工程总承包特点编制工程总承包管控方案，根据组织架构、管理体系、管理流程、管理措施及对各专业分包单位的协调管理措施、设计协调等各专业管控服务方案、专业化建议等内容打分</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eastAsia="zh-CN"/>
              </w:rPr>
              <w:br w:type="textWrapping"/>
            </w:r>
            <w:r>
              <w:rPr>
                <w:rFonts w:hint="eastAsia" w:ascii="仿宋" w:hAnsi="仿宋" w:eastAsia="仿宋" w:cs="仿宋"/>
                <w:color w:val="auto"/>
                <w:sz w:val="24"/>
                <w:highlight w:val="none"/>
                <w:lang w:eastAsia="zh-CN"/>
              </w:rPr>
              <w:t>方案内容完整、可行性高的得</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lang w:eastAsia="zh-CN"/>
              </w:rPr>
              <w:t>分；</w:t>
            </w:r>
          </w:p>
          <w:p w14:paraId="4C0661AA">
            <w:pPr>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方案完整有欠缺、科学合理、基本可行得</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lang w:eastAsia="zh-CN"/>
              </w:rPr>
              <w:t>分；</w:t>
            </w:r>
          </w:p>
          <w:p w14:paraId="60A89C80">
            <w:pPr>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方案空泛，合理性差、基本可行得</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lang w:eastAsia="zh-CN"/>
              </w:rPr>
              <w:t>分；</w:t>
            </w:r>
          </w:p>
          <w:p w14:paraId="1B6E64BF">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未提供不得分。</w:t>
            </w:r>
          </w:p>
        </w:tc>
      </w:tr>
      <w:tr w14:paraId="1CA4D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trPr>
        <w:tc>
          <w:tcPr>
            <w:tcW w:w="1617" w:type="dxa"/>
            <w:vMerge w:val="continue"/>
            <w:tcBorders>
              <w:left w:val="single" w:color="auto" w:sz="4" w:space="0"/>
              <w:right w:val="single" w:color="auto" w:sz="4" w:space="0"/>
            </w:tcBorders>
            <w:noWrap/>
            <w:vAlign w:val="center"/>
          </w:tcPr>
          <w:p w14:paraId="23D25C39">
            <w:pPr>
              <w:adjustRightInd w:val="0"/>
              <w:snapToGrid w:val="0"/>
              <w:spacing w:line="288" w:lineRule="auto"/>
              <w:ind w:left="-105" w:leftChars="-50" w:right="-105" w:rightChars="-50"/>
              <w:jc w:val="center"/>
              <w:rPr>
                <w:rFonts w:ascii="仿宋" w:hAnsi="仿宋" w:eastAsia="仿宋" w:cs="仿宋"/>
                <w:color w:val="auto"/>
                <w:sz w:val="24"/>
                <w:highlight w:val="none"/>
              </w:rPr>
            </w:pPr>
            <w:bookmarkStart w:id="702" w:name="_GoBack" w:colFirst="3" w:colLast="3"/>
          </w:p>
        </w:tc>
        <w:tc>
          <w:tcPr>
            <w:tcW w:w="1441" w:type="dxa"/>
            <w:tcBorders>
              <w:top w:val="single" w:color="auto" w:sz="4" w:space="0"/>
              <w:left w:val="single" w:color="auto" w:sz="4" w:space="0"/>
              <w:bottom w:val="single" w:color="auto" w:sz="4" w:space="0"/>
              <w:right w:val="single" w:color="auto" w:sz="4" w:space="0"/>
            </w:tcBorders>
            <w:noWrap/>
            <w:vAlign w:val="center"/>
          </w:tcPr>
          <w:p w14:paraId="2C82612D">
            <w:pPr>
              <w:pStyle w:val="6"/>
              <w:spacing w:line="36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投资控制措施</w:t>
            </w:r>
          </w:p>
        </w:tc>
        <w:tc>
          <w:tcPr>
            <w:tcW w:w="762" w:type="dxa"/>
            <w:tcBorders>
              <w:top w:val="single" w:color="auto" w:sz="4" w:space="0"/>
              <w:left w:val="single" w:color="auto" w:sz="4" w:space="0"/>
              <w:bottom w:val="single" w:color="auto" w:sz="4" w:space="0"/>
              <w:right w:val="single" w:color="auto" w:sz="4" w:space="0"/>
            </w:tcBorders>
            <w:noWrap/>
            <w:vAlign w:val="center"/>
          </w:tcPr>
          <w:p w14:paraId="3C9211BE">
            <w:pPr>
              <w:pStyle w:val="6"/>
              <w:spacing w:line="360" w:lineRule="auto"/>
              <w:ind w:firstLine="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4</w:t>
            </w:r>
          </w:p>
        </w:tc>
        <w:tc>
          <w:tcPr>
            <w:tcW w:w="5960" w:type="dxa"/>
            <w:tcBorders>
              <w:top w:val="single" w:color="auto" w:sz="4" w:space="0"/>
              <w:left w:val="single" w:color="auto" w:sz="4" w:space="0"/>
              <w:bottom w:val="single" w:color="auto" w:sz="4" w:space="0"/>
              <w:right w:val="single" w:color="auto" w:sz="4" w:space="0"/>
            </w:tcBorders>
            <w:noWrap/>
          </w:tcPr>
          <w:p w14:paraId="32F54D6F">
            <w:pPr>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针对本项目初步设计投资概算及控制进行投资管控、限额设计；项目预算分析准确，投资控制目标明确；控制方法和措施正确、完善</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工作流程清晰</w:t>
            </w:r>
            <w:r>
              <w:rPr>
                <w:rFonts w:hint="eastAsia" w:ascii="仿宋" w:hAnsi="仿宋" w:eastAsia="仿宋" w:cs="仿宋"/>
                <w:color w:val="auto"/>
                <w:sz w:val="24"/>
                <w:highlight w:val="none"/>
                <w:lang w:eastAsia="zh-CN"/>
              </w:rPr>
              <w:t>得</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lang w:eastAsia="zh-CN"/>
              </w:rPr>
              <w:t>分；</w:t>
            </w:r>
          </w:p>
          <w:p w14:paraId="7166444F">
            <w:pPr>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项目预算分析准确</w:t>
            </w:r>
            <w:r>
              <w:rPr>
                <w:rFonts w:hint="eastAsia" w:ascii="仿宋" w:hAnsi="仿宋" w:eastAsia="仿宋" w:cs="仿宋"/>
                <w:color w:val="auto"/>
                <w:sz w:val="24"/>
                <w:highlight w:val="none"/>
                <w:lang w:val="en-US" w:eastAsia="zh-CN"/>
              </w:rPr>
              <w:t>性</w:t>
            </w:r>
            <w:r>
              <w:rPr>
                <w:rFonts w:hint="eastAsia" w:ascii="仿宋" w:hAnsi="仿宋" w:eastAsia="仿宋" w:cs="仿宋"/>
                <w:color w:val="auto"/>
                <w:sz w:val="24"/>
                <w:highlight w:val="none"/>
              </w:rPr>
              <w:t>，投资控制目标</w:t>
            </w:r>
            <w:r>
              <w:rPr>
                <w:rFonts w:hint="eastAsia" w:ascii="仿宋" w:hAnsi="仿宋" w:eastAsia="仿宋" w:cs="仿宋"/>
                <w:color w:val="auto"/>
                <w:sz w:val="24"/>
                <w:highlight w:val="none"/>
                <w:lang w:val="en-US" w:eastAsia="zh-CN"/>
              </w:rPr>
              <w:t>合理性欠缺</w:t>
            </w:r>
            <w:r>
              <w:rPr>
                <w:rFonts w:hint="eastAsia" w:ascii="仿宋" w:hAnsi="仿宋" w:eastAsia="仿宋" w:cs="仿宋"/>
                <w:color w:val="auto"/>
                <w:sz w:val="24"/>
                <w:highlight w:val="none"/>
              </w:rPr>
              <w:t>；控制方法和措施</w:t>
            </w:r>
            <w:r>
              <w:rPr>
                <w:rFonts w:hint="eastAsia" w:ascii="仿宋" w:hAnsi="仿宋" w:eastAsia="仿宋" w:cs="仿宋"/>
                <w:color w:val="auto"/>
                <w:sz w:val="24"/>
                <w:highlight w:val="none"/>
                <w:lang w:val="en-US" w:eastAsia="zh-CN"/>
              </w:rPr>
              <w:t>有缺陷</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但不影响项目实施得2</w:t>
            </w:r>
            <w:r>
              <w:rPr>
                <w:rFonts w:hint="eastAsia" w:ascii="仿宋" w:hAnsi="仿宋" w:eastAsia="仿宋" w:cs="仿宋"/>
                <w:color w:val="auto"/>
                <w:sz w:val="24"/>
                <w:highlight w:val="none"/>
                <w:lang w:eastAsia="zh-CN"/>
              </w:rPr>
              <w:t>分；</w:t>
            </w:r>
          </w:p>
          <w:p w14:paraId="257B02BC">
            <w:pPr>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项目预算分析</w:t>
            </w:r>
            <w:r>
              <w:rPr>
                <w:rFonts w:hint="eastAsia" w:ascii="仿宋" w:hAnsi="仿宋" w:eastAsia="仿宋" w:cs="仿宋"/>
                <w:color w:val="auto"/>
                <w:sz w:val="24"/>
                <w:highlight w:val="none"/>
                <w:lang w:val="en-US" w:eastAsia="zh-CN"/>
              </w:rPr>
              <w:t>不</w:t>
            </w:r>
            <w:r>
              <w:rPr>
                <w:rFonts w:hint="eastAsia" w:ascii="仿宋" w:hAnsi="仿宋" w:eastAsia="仿宋" w:cs="仿宋"/>
                <w:color w:val="auto"/>
                <w:sz w:val="24"/>
                <w:highlight w:val="none"/>
              </w:rPr>
              <w:t>准确，投资控制目标</w:t>
            </w:r>
            <w:r>
              <w:rPr>
                <w:rFonts w:hint="eastAsia" w:ascii="仿宋" w:hAnsi="仿宋" w:eastAsia="仿宋" w:cs="仿宋"/>
                <w:color w:val="auto"/>
                <w:sz w:val="24"/>
                <w:highlight w:val="none"/>
                <w:lang w:val="en-US" w:eastAsia="zh-CN"/>
              </w:rPr>
              <w:t>不合理</w:t>
            </w:r>
            <w:r>
              <w:rPr>
                <w:rFonts w:hint="eastAsia" w:ascii="仿宋" w:hAnsi="仿宋" w:eastAsia="仿宋" w:cs="仿宋"/>
                <w:color w:val="auto"/>
                <w:sz w:val="24"/>
                <w:highlight w:val="none"/>
              </w:rPr>
              <w:t>；控制方法和措施</w:t>
            </w:r>
            <w:r>
              <w:rPr>
                <w:rFonts w:hint="eastAsia" w:ascii="仿宋" w:hAnsi="仿宋" w:eastAsia="仿宋" w:cs="仿宋"/>
                <w:color w:val="auto"/>
                <w:sz w:val="24"/>
                <w:highlight w:val="none"/>
                <w:lang w:val="en-US" w:eastAsia="zh-CN"/>
              </w:rPr>
              <w:t>有缺陷</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影响项目实施</w:t>
            </w:r>
            <w:r>
              <w:rPr>
                <w:rFonts w:hint="eastAsia" w:ascii="仿宋" w:hAnsi="仿宋" w:eastAsia="仿宋" w:cs="仿宋"/>
                <w:color w:val="auto"/>
                <w:sz w:val="24"/>
                <w:highlight w:val="none"/>
                <w:lang w:eastAsia="zh-CN"/>
              </w:rPr>
              <w:t>得</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lang w:eastAsia="zh-CN"/>
              </w:rPr>
              <w:t>分；</w:t>
            </w:r>
          </w:p>
          <w:p w14:paraId="3A8E26AE">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未提供不得分。</w:t>
            </w:r>
          </w:p>
        </w:tc>
      </w:tr>
      <w:bookmarkEnd w:id="702"/>
      <w:tr w14:paraId="1E7A5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trPr>
        <w:tc>
          <w:tcPr>
            <w:tcW w:w="1617" w:type="dxa"/>
            <w:vMerge w:val="continue"/>
            <w:tcBorders>
              <w:left w:val="single" w:color="auto" w:sz="4" w:space="0"/>
              <w:right w:val="single" w:color="auto" w:sz="4" w:space="0"/>
            </w:tcBorders>
            <w:noWrap/>
            <w:vAlign w:val="center"/>
          </w:tcPr>
          <w:p w14:paraId="19F6ACC8">
            <w:pPr>
              <w:adjustRightInd w:val="0"/>
              <w:snapToGrid w:val="0"/>
              <w:spacing w:line="288" w:lineRule="auto"/>
              <w:ind w:left="-105" w:leftChars="-50" w:right="-105" w:rightChars="-50"/>
              <w:jc w:val="center"/>
              <w:rPr>
                <w:rFonts w:ascii="仿宋" w:hAnsi="仿宋" w:eastAsia="仿宋" w:cs="仿宋"/>
                <w:color w:val="auto"/>
                <w:sz w:val="24"/>
                <w:highlight w:val="none"/>
              </w:rPr>
            </w:pPr>
          </w:p>
        </w:tc>
        <w:tc>
          <w:tcPr>
            <w:tcW w:w="1441" w:type="dxa"/>
            <w:tcBorders>
              <w:top w:val="single" w:color="auto" w:sz="4" w:space="0"/>
              <w:left w:val="single" w:color="auto" w:sz="4" w:space="0"/>
              <w:bottom w:val="single" w:color="auto" w:sz="4" w:space="0"/>
              <w:right w:val="single" w:color="auto" w:sz="4" w:space="0"/>
            </w:tcBorders>
            <w:noWrap/>
            <w:vAlign w:val="center"/>
          </w:tcPr>
          <w:p w14:paraId="66FCCAB8">
            <w:pPr>
              <w:pStyle w:val="6"/>
              <w:spacing w:line="36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应急预案</w:t>
            </w:r>
          </w:p>
        </w:tc>
        <w:tc>
          <w:tcPr>
            <w:tcW w:w="762" w:type="dxa"/>
            <w:tcBorders>
              <w:top w:val="single" w:color="auto" w:sz="4" w:space="0"/>
              <w:left w:val="single" w:color="auto" w:sz="4" w:space="0"/>
              <w:bottom w:val="single" w:color="auto" w:sz="4" w:space="0"/>
              <w:right w:val="single" w:color="auto" w:sz="4" w:space="0"/>
            </w:tcBorders>
            <w:noWrap/>
            <w:vAlign w:val="center"/>
          </w:tcPr>
          <w:p w14:paraId="10907067">
            <w:pPr>
              <w:pStyle w:val="6"/>
              <w:spacing w:line="360" w:lineRule="auto"/>
              <w:ind w:firstLine="0"/>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5960" w:type="dxa"/>
            <w:tcBorders>
              <w:top w:val="single" w:color="auto" w:sz="4" w:space="0"/>
              <w:left w:val="single" w:color="auto" w:sz="4" w:space="0"/>
              <w:bottom w:val="single" w:color="auto" w:sz="4" w:space="0"/>
              <w:right w:val="single" w:color="auto" w:sz="4" w:space="0"/>
            </w:tcBorders>
            <w:noWrap/>
          </w:tcPr>
          <w:p w14:paraId="343B186A">
            <w:pPr>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针对本项目应急处置方案，方案须考虑突发事件、工期调整等可能出现的各项情况：内容考虑周全、方法可行，应对措施得当可操作</w:t>
            </w:r>
            <w:r>
              <w:rPr>
                <w:rFonts w:hint="eastAsia" w:ascii="仿宋" w:hAnsi="仿宋" w:eastAsia="仿宋" w:cs="仿宋"/>
                <w:color w:val="auto"/>
                <w:sz w:val="24"/>
                <w:highlight w:val="none"/>
                <w:lang w:eastAsia="zh-CN"/>
              </w:rPr>
              <w:t>得</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lang w:eastAsia="zh-CN"/>
              </w:rPr>
              <w:t>分；</w:t>
            </w:r>
          </w:p>
          <w:p w14:paraId="6110BB61">
            <w:pPr>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方案完整有欠缺、科学合理、基本可行得</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lang w:eastAsia="zh-CN"/>
              </w:rPr>
              <w:t>分；</w:t>
            </w:r>
          </w:p>
          <w:p w14:paraId="2F0CDA9F">
            <w:pPr>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方案空泛，合理性差、基本可行得</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lang w:eastAsia="zh-CN"/>
              </w:rPr>
              <w:t>分；</w:t>
            </w:r>
          </w:p>
          <w:p w14:paraId="727F4569">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未提供不得分。</w:t>
            </w:r>
          </w:p>
        </w:tc>
      </w:tr>
      <w:tr w14:paraId="50F69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6" w:hRule="atLeast"/>
        </w:trPr>
        <w:tc>
          <w:tcPr>
            <w:tcW w:w="1617" w:type="dxa"/>
            <w:vMerge w:val="continue"/>
            <w:tcBorders>
              <w:left w:val="single" w:color="auto" w:sz="4" w:space="0"/>
              <w:right w:val="single" w:color="auto" w:sz="4" w:space="0"/>
            </w:tcBorders>
            <w:noWrap/>
            <w:vAlign w:val="center"/>
          </w:tcPr>
          <w:p w14:paraId="618643F1">
            <w:pPr>
              <w:adjustRightInd w:val="0"/>
              <w:snapToGrid w:val="0"/>
              <w:spacing w:line="288" w:lineRule="auto"/>
              <w:ind w:left="-105" w:leftChars="-50" w:right="-105" w:rightChars="-50"/>
              <w:jc w:val="center"/>
              <w:rPr>
                <w:rFonts w:ascii="仿宋" w:hAnsi="仿宋" w:eastAsia="仿宋" w:cs="仿宋"/>
                <w:color w:val="auto"/>
                <w:sz w:val="24"/>
                <w:highlight w:val="none"/>
              </w:rPr>
            </w:pPr>
          </w:p>
        </w:tc>
        <w:tc>
          <w:tcPr>
            <w:tcW w:w="1441" w:type="dxa"/>
            <w:tcBorders>
              <w:top w:val="single" w:color="auto" w:sz="4" w:space="0"/>
              <w:left w:val="single" w:color="auto" w:sz="4" w:space="0"/>
              <w:bottom w:val="single" w:color="auto" w:sz="4" w:space="0"/>
              <w:right w:val="single" w:color="auto" w:sz="4" w:space="0"/>
            </w:tcBorders>
            <w:noWrap/>
            <w:vAlign w:val="center"/>
          </w:tcPr>
          <w:p w14:paraId="2B5B315A">
            <w:pPr>
              <w:pStyle w:val="6"/>
              <w:spacing w:line="36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施工方案</w:t>
            </w:r>
          </w:p>
        </w:tc>
        <w:tc>
          <w:tcPr>
            <w:tcW w:w="762" w:type="dxa"/>
            <w:tcBorders>
              <w:top w:val="single" w:color="auto" w:sz="4" w:space="0"/>
              <w:left w:val="single" w:color="auto" w:sz="4" w:space="0"/>
              <w:bottom w:val="single" w:color="auto" w:sz="4" w:space="0"/>
              <w:right w:val="single" w:color="auto" w:sz="4" w:space="0"/>
            </w:tcBorders>
            <w:noWrap/>
            <w:vAlign w:val="center"/>
          </w:tcPr>
          <w:p w14:paraId="064DD25D">
            <w:pPr>
              <w:pStyle w:val="6"/>
              <w:spacing w:line="360" w:lineRule="auto"/>
              <w:ind w:firstLine="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5</w:t>
            </w:r>
          </w:p>
        </w:tc>
        <w:tc>
          <w:tcPr>
            <w:tcW w:w="5960" w:type="dxa"/>
            <w:tcBorders>
              <w:top w:val="single" w:color="auto" w:sz="4" w:space="0"/>
              <w:left w:val="single" w:color="auto" w:sz="4" w:space="0"/>
              <w:bottom w:val="single" w:color="auto" w:sz="4" w:space="0"/>
              <w:right w:val="single" w:color="auto" w:sz="4" w:space="0"/>
            </w:tcBorders>
            <w:noWrap/>
          </w:tcPr>
          <w:p w14:paraId="1720E590">
            <w:pPr>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主要工程的施工方案详尽，施工实施要点清晰，符合项目特征和要求，有关键工序的关键技术的专项施工方案、综合机电安装工程、装饰装修、消防等专业工程专项施工方案</w:t>
            </w:r>
            <w:r>
              <w:rPr>
                <w:rFonts w:hint="eastAsia" w:ascii="仿宋" w:hAnsi="仿宋" w:eastAsia="仿宋" w:cs="仿宋"/>
                <w:color w:val="auto"/>
                <w:sz w:val="24"/>
                <w:highlight w:val="none"/>
                <w:lang w:eastAsia="zh-CN"/>
              </w:rPr>
              <w:t>得</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lang w:eastAsia="zh-CN"/>
              </w:rPr>
              <w:t>分；</w:t>
            </w:r>
          </w:p>
          <w:p w14:paraId="5A51CAB7">
            <w:pPr>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方案完整有欠缺、科学合理、基本可行得</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lang w:eastAsia="zh-CN"/>
              </w:rPr>
              <w:t>分；</w:t>
            </w:r>
          </w:p>
          <w:p w14:paraId="69BC60F2">
            <w:pPr>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方案空泛，合理性差、基本可行得</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lang w:eastAsia="zh-CN"/>
              </w:rPr>
              <w:t>分；</w:t>
            </w:r>
          </w:p>
          <w:p w14:paraId="2D3D29E5">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未提供不得分。</w:t>
            </w:r>
          </w:p>
        </w:tc>
      </w:tr>
      <w:tr w14:paraId="38A11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3" w:hRule="atLeast"/>
        </w:trPr>
        <w:tc>
          <w:tcPr>
            <w:tcW w:w="1617" w:type="dxa"/>
            <w:vMerge w:val="continue"/>
            <w:tcBorders>
              <w:left w:val="single" w:color="auto" w:sz="4" w:space="0"/>
              <w:right w:val="single" w:color="auto" w:sz="4" w:space="0"/>
            </w:tcBorders>
            <w:noWrap/>
            <w:vAlign w:val="center"/>
          </w:tcPr>
          <w:p w14:paraId="084D22EA">
            <w:pPr>
              <w:adjustRightInd w:val="0"/>
              <w:snapToGrid w:val="0"/>
              <w:spacing w:line="288" w:lineRule="auto"/>
              <w:ind w:left="-105" w:leftChars="-50" w:right="-105" w:rightChars="-50"/>
              <w:jc w:val="center"/>
              <w:rPr>
                <w:rFonts w:ascii="仿宋" w:hAnsi="仿宋" w:eastAsia="仿宋" w:cs="仿宋"/>
                <w:color w:val="auto"/>
                <w:sz w:val="24"/>
                <w:highlight w:val="none"/>
              </w:rPr>
            </w:pPr>
          </w:p>
        </w:tc>
        <w:tc>
          <w:tcPr>
            <w:tcW w:w="1441" w:type="dxa"/>
            <w:tcBorders>
              <w:top w:val="single" w:color="auto" w:sz="4" w:space="0"/>
              <w:left w:val="single" w:color="auto" w:sz="4" w:space="0"/>
              <w:bottom w:val="single" w:color="auto" w:sz="4" w:space="0"/>
              <w:right w:val="single" w:color="auto" w:sz="4" w:space="0"/>
            </w:tcBorders>
            <w:noWrap/>
            <w:vAlign w:val="center"/>
          </w:tcPr>
          <w:p w14:paraId="7BCB97FD">
            <w:pPr>
              <w:pStyle w:val="6"/>
              <w:spacing w:line="36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质量安全质量管控措施</w:t>
            </w:r>
          </w:p>
        </w:tc>
        <w:tc>
          <w:tcPr>
            <w:tcW w:w="762" w:type="dxa"/>
            <w:tcBorders>
              <w:top w:val="single" w:color="auto" w:sz="4" w:space="0"/>
              <w:left w:val="single" w:color="auto" w:sz="4" w:space="0"/>
              <w:bottom w:val="single" w:color="auto" w:sz="4" w:space="0"/>
              <w:right w:val="single" w:color="auto" w:sz="4" w:space="0"/>
            </w:tcBorders>
            <w:noWrap/>
            <w:vAlign w:val="center"/>
          </w:tcPr>
          <w:p w14:paraId="66F19AE8">
            <w:pPr>
              <w:pStyle w:val="6"/>
              <w:spacing w:line="360" w:lineRule="auto"/>
              <w:ind w:firstLine="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6</w:t>
            </w:r>
          </w:p>
        </w:tc>
        <w:tc>
          <w:tcPr>
            <w:tcW w:w="5960" w:type="dxa"/>
            <w:tcBorders>
              <w:top w:val="single" w:color="auto" w:sz="4" w:space="0"/>
              <w:left w:val="single" w:color="auto" w:sz="4" w:space="0"/>
              <w:bottom w:val="single" w:color="auto" w:sz="4" w:space="0"/>
              <w:right w:val="single" w:color="auto" w:sz="4" w:space="0"/>
            </w:tcBorders>
            <w:noWrap/>
          </w:tcPr>
          <w:p w14:paraId="7C98A997">
            <w:pPr>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针对施工重点、难点以及质量通病分析、严格的质量安全管控制度、组织机构；针对关键技术、重难点有针对性的工程质量控制措施、施工安全控制措施；建立健全的图纸审查、技术交底、材料检验、工程质量检查和验收、技术档案等技术管理制度，针对性强，具有可行性</w:t>
            </w:r>
            <w:r>
              <w:rPr>
                <w:rFonts w:hint="eastAsia" w:ascii="仿宋" w:hAnsi="仿宋" w:eastAsia="仿宋" w:cs="仿宋"/>
                <w:color w:val="auto"/>
                <w:sz w:val="24"/>
                <w:highlight w:val="none"/>
                <w:lang w:eastAsia="zh-CN"/>
              </w:rPr>
              <w:t>得</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lang w:eastAsia="zh-CN"/>
              </w:rPr>
              <w:t>分；</w:t>
            </w:r>
          </w:p>
          <w:p w14:paraId="51C00430">
            <w:pPr>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方案完整有欠缺、科学合理、基本可行得</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lang w:eastAsia="zh-CN"/>
              </w:rPr>
              <w:t>分；</w:t>
            </w:r>
          </w:p>
          <w:p w14:paraId="47EF032F">
            <w:pPr>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方案空泛，合理性差、基本可行得</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lang w:eastAsia="zh-CN"/>
              </w:rPr>
              <w:t>分；</w:t>
            </w:r>
          </w:p>
          <w:p w14:paraId="19F0D944">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未提供不得分。</w:t>
            </w:r>
          </w:p>
        </w:tc>
      </w:tr>
      <w:tr w14:paraId="14537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1617" w:type="dxa"/>
            <w:vMerge w:val="continue"/>
            <w:tcBorders>
              <w:left w:val="single" w:color="auto" w:sz="4" w:space="0"/>
              <w:right w:val="single" w:color="auto" w:sz="4" w:space="0"/>
            </w:tcBorders>
            <w:noWrap/>
            <w:vAlign w:val="center"/>
          </w:tcPr>
          <w:p w14:paraId="55297E8C">
            <w:pPr>
              <w:adjustRightInd w:val="0"/>
              <w:snapToGrid w:val="0"/>
              <w:spacing w:line="288" w:lineRule="auto"/>
              <w:ind w:left="-105" w:leftChars="-50" w:right="-105" w:rightChars="-50"/>
              <w:jc w:val="center"/>
              <w:rPr>
                <w:rFonts w:ascii="仿宋" w:hAnsi="仿宋" w:eastAsia="仿宋" w:cs="仿宋"/>
                <w:color w:val="auto"/>
                <w:sz w:val="24"/>
                <w:highlight w:val="none"/>
              </w:rPr>
            </w:pPr>
          </w:p>
        </w:tc>
        <w:tc>
          <w:tcPr>
            <w:tcW w:w="1441" w:type="dxa"/>
            <w:tcBorders>
              <w:top w:val="single" w:color="auto" w:sz="4" w:space="0"/>
              <w:left w:val="single" w:color="auto" w:sz="4" w:space="0"/>
              <w:bottom w:val="single" w:color="auto" w:sz="4" w:space="0"/>
              <w:right w:val="single" w:color="auto" w:sz="4" w:space="0"/>
            </w:tcBorders>
            <w:noWrap/>
            <w:vAlign w:val="center"/>
          </w:tcPr>
          <w:p w14:paraId="1AF0A339">
            <w:pPr>
              <w:pStyle w:val="6"/>
              <w:spacing w:line="36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进度安排</w:t>
            </w:r>
          </w:p>
        </w:tc>
        <w:tc>
          <w:tcPr>
            <w:tcW w:w="762" w:type="dxa"/>
            <w:tcBorders>
              <w:top w:val="single" w:color="auto" w:sz="4" w:space="0"/>
              <w:left w:val="single" w:color="auto" w:sz="4" w:space="0"/>
              <w:bottom w:val="single" w:color="auto" w:sz="4" w:space="0"/>
              <w:right w:val="single" w:color="auto" w:sz="4" w:space="0"/>
            </w:tcBorders>
            <w:noWrap/>
            <w:vAlign w:val="center"/>
          </w:tcPr>
          <w:p w14:paraId="2E9C3ECE">
            <w:pPr>
              <w:pStyle w:val="6"/>
              <w:spacing w:line="360" w:lineRule="auto"/>
              <w:ind w:firstLine="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6</w:t>
            </w:r>
          </w:p>
        </w:tc>
        <w:tc>
          <w:tcPr>
            <w:tcW w:w="5960" w:type="dxa"/>
            <w:tcBorders>
              <w:top w:val="single" w:color="auto" w:sz="4" w:space="0"/>
              <w:left w:val="single" w:color="auto" w:sz="4" w:space="0"/>
              <w:bottom w:val="single" w:color="auto" w:sz="4" w:space="0"/>
              <w:right w:val="single" w:color="auto" w:sz="4" w:space="0"/>
            </w:tcBorders>
            <w:noWrap/>
          </w:tcPr>
          <w:p w14:paraId="057B8780">
            <w:pPr>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有关键路线的分析、施工进度计划及工期保证措施，有具体的施工进度计划标注各专业工程进度的横道图线；工程中所有使用的机械、设备、人员计划落实明确；进度控制合理，施工进度节点计划安排合理，能满足总工期的要求，关键线路明确，工期保证措施具体、合理、可行</w:t>
            </w:r>
            <w:r>
              <w:rPr>
                <w:rFonts w:hint="eastAsia" w:ascii="仿宋" w:hAnsi="仿宋" w:eastAsia="仿宋" w:cs="仿宋"/>
                <w:color w:val="auto"/>
                <w:sz w:val="24"/>
                <w:highlight w:val="none"/>
                <w:lang w:eastAsia="zh-CN"/>
              </w:rPr>
              <w:t>得</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lang w:eastAsia="zh-CN"/>
              </w:rPr>
              <w:t>分；</w:t>
            </w:r>
          </w:p>
          <w:p w14:paraId="3BD1EB20">
            <w:pPr>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内容</w:t>
            </w:r>
            <w:r>
              <w:rPr>
                <w:rFonts w:hint="eastAsia" w:ascii="仿宋" w:hAnsi="仿宋" w:eastAsia="仿宋" w:cs="仿宋"/>
                <w:color w:val="auto"/>
                <w:sz w:val="24"/>
                <w:highlight w:val="none"/>
                <w:lang w:eastAsia="zh-CN"/>
              </w:rPr>
              <w:t>完整有欠缺、科学合理、基本可行得</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lang w:eastAsia="zh-CN"/>
              </w:rPr>
              <w:t>分；</w:t>
            </w:r>
          </w:p>
          <w:p w14:paraId="312F2A2A">
            <w:pPr>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内容</w:t>
            </w:r>
            <w:r>
              <w:rPr>
                <w:rFonts w:hint="eastAsia" w:ascii="仿宋" w:hAnsi="仿宋" w:eastAsia="仿宋" w:cs="仿宋"/>
                <w:color w:val="auto"/>
                <w:sz w:val="24"/>
                <w:highlight w:val="none"/>
                <w:lang w:eastAsia="zh-CN"/>
              </w:rPr>
              <w:t>空泛，合理性差、基本可行得</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lang w:eastAsia="zh-CN"/>
              </w:rPr>
              <w:t>分；</w:t>
            </w:r>
          </w:p>
          <w:p w14:paraId="1CF83B55">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未提供不得分。</w:t>
            </w:r>
          </w:p>
        </w:tc>
      </w:tr>
      <w:tr w14:paraId="02D04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3" w:hRule="atLeast"/>
        </w:trPr>
        <w:tc>
          <w:tcPr>
            <w:tcW w:w="1617" w:type="dxa"/>
            <w:vMerge w:val="continue"/>
            <w:tcBorders>
              <w:left w:val="single" w:color="auto" w:sz="4" w:space="0"/>
              <w:right w:val="single" w:color="auto" w:sz="4" w:space="0"/>
            </w:tcBorders>
            <w:noWrap/>
            <w:vAlign w:val="center"/>
          </w:tcPr>
          <w:p w14:paraId="774EAC04">
            <w:pPr>
              <w:adjustRightInd w:val="0"/>
              <w:snapToGrid w:val="0"/>
              <w:spacing w:line="288" w:lineRule="auto"/>
              <w:ind w:left="-105" w:leftChars="-50" w:right="-105" w:rightChars="-50"/>
              <w:jc w:val="center"/>
              <w:rPr>
                <w:rFonts w:ascii="仿宋" w:hAnsi="仿宋" w:eastAsia="仿宋" w:cs="仿宋"/>
                <w:color w:val="auto"/>
                <w:sz w:val="24"/>
                <w:highlight w:val="none"/>
              </w:rPr>
            </w:pPr>
          </w:p>
        </w:tc>
        <w:tc>
          <w:tcPr>
            <w:tcW w:w="1441" w:type="dxa"/>
            <w:tcBorders>
              <w:top w:val="single" w:color="auto" w:sz="4" w:space="0"/>
              <w:left w:val="single" w:color="auto" w:sz="4" w:space="0"/>
              <w:bottom w:val="single" w:color="auto" w:sz="4" w:space="0"/>
              <w:right w:val="single" w:color="auto" w:sz="4" w:space="0"/>
            </w:tcBorders>
            <w:noWrap/>
            <w:vAlign w:val="center"/>
          </w:tcPr>
          <w:p w14:paraId="49F30DFF">
            <w:pPr>
              <w:pStyle w:val="6"/>
              <w:spacing w:line="36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保障措施</w:t>
            </w:r>
          </w:p>
        </w:tc>
        <w:tc>
          <w:tcPr>
            <w:tcW w:w="762" w:type="dxa"/>
            <w:tcBorders>
              <w:top w:val="single" w:color="auto" w:sz="4" w:space="0"/>
              <w:left w:val="single" w:color="auto" w:sz="4" w:space="0"/>
              <w:bottom w:val="single" w:color="auto" w:sz="4" w:space="0"/>
              <w:right w:val="single" w:color="auto" w:sz="4" w:space="0"/>
            </w:tcBorders>
            <w:noWrap/>
            <w:vAlign w:val="center"/>
          </w:tcPr>
          <w:p w14:paraId="159A4BD3">
            <w:pPr>
              <w:pStyle w:val="6"/>
              <w:spacing w:line="360" w:lineRule="auto"/>
              <w:ind w:firstLine="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6</w:t>
            </w:r>
          </w:p>
        </w:tc>
        <w:tc>
          <w:tcPr>
            <w:tcW w:w="5960" w:type="dxa"/>
            <w:tcBorders>
              <w:top w:val="single" w:color="auto" w:sz="4" w:space="0"/>
              <w:left w:val="single" w:color="auto" w:sz="4" w:space="0"/>
              <w:bottom w:val="single" w:color="auto" w:sz="4" w:space="0"/>
              <w:right w:val="single" w:color="auto" w:sz="4" w:space="0"/>
            </w:tcBorders>
            <w:noWrap/>
          </w:tcPr>
          <w:p w14:paraId="57187BE1">
            <w:pPr>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用于本项目的施工技术措施的完整性、针对性；技术使用的</w:t>
            </w:r>
            <w:r>
              <w:rPr>
                <w:rFonts w:hint="eastAsia" w:ascii="仿宋" w:hAnsi="仿宋" w:eastAsia="仿宋" w:cs="仿宋"/>
                <w:color w:val="auto"/>
                <w:sz w:val="24"/>
                <w:highlight w:val="none"/>
                <w:lang w:eastAsia="zh-CN"/>
              </w:rPr>
              <w:t>先进性</w:t>
            </w:r>
            <w:r>
              <w:rPr>
                <w:rFonts w:hint="eastAsia" w:ascii="仿宋" w:hAnsi="仿宋" w:eastAsia="仿宋" w:cs="仿宋"/>
                <w:color w:val="auto"/>
                <w:sz w:val="24"/>
                <w:highlight w:val="none"/>
              </w:rPr>
              <w:t>；针对本项目现场的安全文明施工措施、扬尘治理措施、环境保护措施、污染防治措施；内外部关系等各方沟通协调等各项措施合理有效</w:t>
            </w:r>
            <w:r>
              <w:rPr>
                <w:rFonts w:hint="eastAsia" w:ascii="仿宋" w:hAnsi="仿宋" w:eastAsia="仿宋" w:cs="仿宋"/>
                <w:color w:val="auto"/>
                <w:sz w:val="24"/>
                <w:highlight w:val="none"/>
                <w:lang w:eastAsia="zh-CN"/>
              </w:rPr>
              <w:t>得</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lang w:eastAsia="zh-CN"/>
              </w:rPr>
              <w:t>分；</w:t>
            </w:r>
          </w:p>
          <w:p w14:paraId="55A83914">
            <w:pPr>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内容</w:t>
            </w:r>
            <w:r>
              <w:rPr>
                <w:rFonts w:hint="eastAsia" w:ascii="仿宋" w:hAnsi="仿宋" w:eastAsia="仿宋" w:cs="仿宋"/>
                <w:color w:val="auto"/>
                <w:sz w:val="24"/>
                <w:highlight w:val="none"/>
                <w:lang w:eastAsia="zh-CN"/>
              </w:rPr>
              <w:t>完整有欠缺、科学合理、基本可行得</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lang w:eastAsia="zh-CN"/>
              </w:rPr>
              <w:t>分；</w:t>
            </w:r>
          </w:p>
          <w:p w14:paraId="0F87367F">
            <w:pPr>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内容</w:t>
            </w:r>
            <w:r>
              <w:rPr>
                <w:rFonts w:hint="eastAsia" w:ascii="仿宋" w:hAnsi="仿宋" w:eastAsia="仿宋" w:cs="仿宋"/>
                <w:color w:val="auto"/>
                <w:sz w:val="24"/>
                <w:highlight w:val="none"/>
                <w:lang w:eastAsia="zh-CN"/>
              </w:rPr>
              <w:t>空泛，合理性差、基本可行得</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lang w:eastAsia="zh-CN"/>
              </w:rPr>
              <w:t>分；</w:t>
            </w:r>
          </w:p>
          <w:p w14:paraId="1A83ABC3">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未提供不得分。</w:t>
            </w:r>
          </w:p>
        </w:tc>
      </w:tr>
      <w:tr w14:paraId="3EFED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trPr>
        <w:tc>
          <w:tcPr>
            <w:tcW w:w="9780" w:type="dxa"/>
            <w:gridSpan w:val="4"/>
            <w:tcBorders>
              <w:left w:val="single" w:color="auto" w:sz="4" w:space="0"/>
              <w:right w:val="single" w:color="auto" w:sz="4" w:space="0"/>
            </w:tcBorders>
            <w:noWrap/>
            <w:vAlign w:val="center"/>
          </w:tcPr>
          <w:p w14:paraId="73559B63">
            <w:pPr>
              <w:spacing w:line="360" w:lineRule="auto"/>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上述服务方案中，完全满足指：</w:t>
            </w:r>
          </w:p>
          <w:p w14:paraId="20112E15">
            <w:pPr>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（1）提供的响应方案基于实际采购需求，提出了具有可行性的现状情况预判及解决方案；</w:t>
            </w:r>
          </w:p>
          <w:p w14:paraId="03B7934A">
            <w:pPr>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（2）准确把握并针对项目重难点，分析各类情况可能发生的不可预见性，并尽可能列明多种详细预案；</w:t>
            </w:r>
          </w:p>
          <w:p w14:paraId="030C50E2">
            <w:pPr>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（3）对于资料、数据等响应方案的支撑材料提供细致、具体，且具有论证支撑性及可追溯性。</w:t>
            </w:r>
          </w:p>
          <w:p w14:paraId="7AA3B45B">
            <w:pPr>
              <w:spacing w:line="360" w:lineRule="auto"/>
              <w:jc w:val="left"/>
              <w:rPr>
                <w:rFonts w:ascii="仿宋" w:hAnsi="仿宋" w:eastAsia="仿宋" w:cs="仿宋"/>
                <w:color w:val="auto"/>
                <w:sz w:val="24"/>
                <w:highlight w:val="none"/>
              </w:rPr>
            </w:pPr>
            <w:r>
              <w:rPr>
                <w:rFonts w:hint="eastAsia" w:ascii="仿宋" w:hAnsi="仿宋" w:eastAsia="仿宋" w:cs="仿宋"/>
                <w:b/>
                <w:bCs/>
                <w:color w:val="auto"/>
                <w:sz w:val="24"/>
                <w:highlight w:val="none"/>
              </w:rPr>
              <w:t>缺陷缺漏但不影响项目实施指</w:t>
            </w:r>
            <w:r>
              <w:rPr>
                <w:rFonts w:hint="eastAsia" w:ascii="仿宋" w:hAnsi="仿宋" w:eastAsia="仿宋" w:cs="仿宋"/>
                <w:color w:val="auto"/>
                <w:sz w:val="24"/>
                <w:highlight w:val="none"/>
              </w:rPr>
              <w:t>：</w:t>
            </w:r>
          </w:p>
          <w:p w14:paraId="07B6D48C">
            <w:pPr>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（1）只对方案作出标题式的简单论证，并未展开分析或列明可行的具体解决方案；</w:t>
            </w:r>
          </w:p>
          <w:p w14:paraId="3E69BE10">
            <w:pPr>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（2）对方案响应进行泛化描述或偏离项目采购需求，缺少针对性；</w:t>
            </w:r>
          </w:p>
          <w:p w14:paraId="62652C44">
            <w:pPr>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（3）提供资料、数据等响应方案的支撑材料较简单，不具备论证支撑性与可追溯性。</w:t>
            </w:r>
          </w:p>
          <w:p w14:paraId="300ADD04">
            <w:pPr>
              <w:spacing w:line="360" w:lineRule="auto"/>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不完整或缺漏可能影响项目实施指：</w:t>
            </w:r>
          </w:p>
          <w:p w14:paraId="544BA8A4">
            <w:pPr>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（1）未对方案作出论证和展开分析，未列明可行的具体解决方案；</w:t>
            </w:r>
          </w:p>
          <w:p w14:paraId="4A240D6D">
            <w:pPr>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（2）未进行方案响应，或方案响应完全偏离采购需求；</w:t>
            </w:r>
          </w:p>
          <w:p w14:paraId="443474B8">
            <w:pPr>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（3）未提供资料、数据等响应方案的支撑材料。</w:t>
            </w:r>
          </w:p>
        </w:tc>
      </w:tr>
    </w:tbl>
    <w:p w14:paraId="161C31DE">
      <w:pPr>
        <w:pStyle w:val="9"/>
        <w:rPr>
          <w:rFonts w:ascii="仿宋" w:hAnsi="仿宋" w:eastAsia="仿宋" w:cs="仿宋"/>
          <w:color w:val="auto"/>
          <w:highlight w:val="none"/>
        </w:rPr>
      </w:pPr>
    </w:p>
    <w:p w14:paraId="30D7D7DD">
      <w:pPr>
        <w:tabs>
          <w:tab w:val="left" w:pos="420"/>
          <w:tab w:val="left" w:pos="630"/>
        </w:tabs>
        <w:spacing w:line="360" w:lineRule="auto"/>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说明：</w:t>
      </w:r>
    </w:p>
    <w:p w14:paraId="16F4EDE9">
      <w:pPr>
        <w:tabs>
          <w:tab w:val="left" w:pos="420"/>
          <w:tab w:val="left" w:pos="630"/>
        </w:tabs>
        <w:spacing w:line="360" w:lineRule="auto"/>
        <w:ind w:left="360" w:hanging="360"/>
        <w:rPr>
          <w:rFonts w:ascii="仿宋" w:hAnsi="仿宋" w:eastAsia="仿宋" w:cs="仿宋"/>
          <w:color w:val="auto"/>
          <w:kern w:val="0"/>
          <w:sz w:val="24"/>
          <w:highlight w:val="none"/>
        </w:rPr>
      </w:pPr>
      <w:r>
        <w:rPr>
          <w:rFonts w:ascii="仿宋" w:hAnsi="仿宋" w:eastAsia="仿宋" w:cs="仿宋"/>
          <w:color w:val="auto"/>
          <w:kern w:val="0"/>
          <w:sz w:val="24"/>
          <w:highlight w:val="none"/>
        </w:rPr>
        <w:t>1、</w:t>
      </w:r>
      <w:r>
        <w:rPr>
          <w:rFonts w:hint="eastAsia" w:ascii="仿宋" w:hAnsi="仿宋" w:eastAsia="仿宋" w:cs="仿宋"/>
          <w:color w:val="auto"/>
          <w:kern w:val="0"/>
          <w:sz w:val="24"/>
          <w:highlight w:val="none"/>
        </w:rPr>
        <w:t>评标委员会分别对每一投标文件依据附表二、三进行检查。</w:t>
      </w:r>
    </w:p>
    <w:p w14:paraId="3DB34BCF">
      <w:pPr>
        <w:tabs>
          <w:tab w:val="left" w:pos="420"/>
          <w:tab w:val="left" w:pos="630"/>
        </w:tabs>
        <w:spacing w:line="360" w:lineRule="auto"/>
        <w:ind w:left="360" w:hanging="360"/>
        <w:rPr>
          <w:rFonts w:ascii="仿宋" w:hAnsi="仿宋" w:eastAsia="仿宋" w:cs="仿宋"/>
          <w:color w:val="auto"/>
          <w:kern w:val="0"/>
          <w:sz w:val="24"/>
          <w:highlight w:val="none"/>
        </w:rPr>
      </w:pPr>
      <w:r>
        <w:rPr>
          <w:rFonts w:ascii="仿宋" w:hAnsi="仿宋" w:eastAsia="仿宋" w:cs="仿宋"/>
          <w:color w:val="auto"/>
          <w:kern w:val="0"/>
          <w:sz w:val="24"/>
          <w:highlight w:val="none"/>
        </w:rPr>
        <w:t>2、</w:t>
      </w:r>
      <w:r>
        <w:rPr>
          <w:rFonts w:hint="eastAsia" w:ascii="仿宋" w:hAnsi="仿宋" w:eastAsia="仿宋" w:cs="仿宋"/>
          <w:color w:val="auto"/>
          <w:kern w:val="0"/>
          <w:sz w:val="24"/>
          <w:highlight w:val="none"/>
        </w:rPr>
        <w:t>评标委员会决定投标的响应性只根据投标文件本身的真实无误的内容，而不依据外部的证据，但投标文件有不真实不正确的内容时除外。</w:t>
      </w:r>
    </w:p>
    <w:p w14:paraId="3BE323AB">
      <w:pPr>
        <w:tabs>
          <w:tab w:val="left" w:pos="420"/>
          <w:tab w:val="left" w:pos="630"/>
        </w:tabs>
        <w:spacing w:line="360" w:lineRule="auto"/>
        <w:ind w:left="360" w:hanging="360"/>
        <w:rPr>
          <w:rFonts w:ascii="仿宋" w:hAnsi="仿宋" w:eastAsia="仿宋" w:cs="仿宋"/>
          <w:color w:val="auto"/>
          <w:kern w:val="0"/>
          <w:sz w:val="24"/>
          <w:highlight w:val="none"/>
        </w:rPr>
      </w:pPr>
      <w:r>
        <w:rPr>
          <w:rFonts w:ascii="仿宋" w:hAnsi="仿宋" w:eastAsia="仿宋" w:cs="仿宋"/>
          <w:color w:val="auto"/>
          <w:kern w:val="0"/>
          <w:sz w:val="24"/>
          <w:highlight w:val="none"/>
        </w:rPr>
        <w:t>3、</w:t>
      </w:r>
      <w:r>
        <w:rPr>
          <w:rFonts w:hint="eastAsia" w:ascii="仿宋" w:hAnsi="仿宋" w:eastAsia="仿宋" w:cs="仿宋"/>
          <w:color w:val="auto"/>
          <w:sz w:val="24"/>
          <w:highlight w:val="none"/>
        </w:rPr>
        <w:t>每个评委须认真审查各投标人的投标文件以及需打分的每个项目，且按要求打分。评委评分表采用记名方式。</w:t>
      </w:r>
    </w:p>
    <w:p w14:paraId="6246B225">
      <w:pPr>
        <w:tabs>
          <w:tab w:val="left" w:pos="420"/>
          <w:tab w:val="left" w:pos="630"/>
        </w:tabs>
        <w:spacing w:line="360" w:lineRule="auto"/>
        <w:ind w:left="360" w:hanging="360"/>
        <w:rPr>
          <w:rFonts w:ascii="仿宋" w:hAnsi="仿宋" w:eastAsia="仿宋" w:cs="仿宋"/>
          <w:color w:val="auto"/>
          <w:sz w:val="24"/>
          <w:highlight w:val="none"/>
        </w:rPr>
      </w:pPr>
      <w:r>
        <w:rPr>
          <w:rFonts w:hint="eastAsia" w:ascii="仿宋" w:hAnsi="仿宋" w:eastAsia="仿宋" w:cs="仿宋"/>
          <w:color w:val="auto"/>
          <w:sz w:val="24"/>
          <w:highlight w:val="none"/>
        </w:rPr>
        <w:t>4</w:t>
      </w:r>
      <w:r>
        <w:rPr>
          <w:rFonts w:ascii="仿宋" w:hAnsi="仿宋" w:eastAsia="仿宋" w:cs="仿宋"/>
          <w:color w:val="auto"/>
          <w:sz w:val="24"/>
          <w:highlight w:val="none"/>
        </w:rPr>
        <w:t>、</w:t>
      </w:r>
      <w:r>
        <w:rPr>
          <w:rFonts w:hint="eastAsia" w:ascii="仿宋" w:hAnsi="仿宋" w:eastAsia="仿宋" w:cs="仿宋"/>
          <w:color w:val="auto"/>
          <w:sz w:val="24"/>
          <w:highlight w:val="none"/>
        </w:rPr>
        <w:t>由评标委员会负责打分统计工作，汇总各评审专家对各投标人的打分，取平均值为最终得分，评标委员会组长负责审核。</w:t>
      </w:r>
    </w:p>
    <w:p w14:paraId="0246014E">
      <w:pPr>
        <w:tabs>
          <w:tab w:val="left" w:pos="420"/>
          <w:tab w:val="left" w:pos="630"/>
        </w:tabs>
        <w:spacing w:line="360" w:lineRule="auto"/>
        <w:ind w:left="360" w:hanging="360"/>
        <w:rPr>
          <w:rFonts w:ascii="仿宋" w:hAnsi="仿宋" w:eastAsia="仿宋" w:cs="仿宋"/>
          <w:color w:val="auto"/>
          <w:sz w:val="24"/>
          <w:highlight w:val="none"/>
        </w:rPr>
      </w:pPr>
      <w:r>
        <w:rPr>
          <w:rFonts w:hint="eastAsia" w:ascii="仿宋" w:hAnsi="仿宋" w:eastAsia="仿宋" w:cs="仿宋"/>
          <w:color w:val="auto"/>
          <w:sz w:val="24"/>
          <w:highlight w:val="none"/>
        </w:rPr>
        <w:t>5</w:t>
      </w:r>
      <w:r>
        <w:rPr>
          <w:rFonts w:ascii="仿宋" w:hAnsi="仿宋" w:eastAsia="仿宋" w:cs="仿宋"/>
          <w:color w:val="auto"/>
          <w:sz w:val="24"/>
          <w:highlight w:val="none"/>
        </w:rPr>
        <w:t>、</w:t>
      </w:r>
      <w:r>
        <w:rPr>
          <w:rFonts w:hint="eastAsia" w:ascii="仿宋" w:hAnsi="仿宋" w:eastAsia="仿宋" w:cs="仿宋"/>
          <w:color w:val="auto"/>
          <w:sz w:val="24"/>
          <w:highlight w:val="none"/>
        </w:rPr>
        <w:t>各项统计、评分结果均按四舍五入的方法精确到小数点后2位。</w:t>
      </w:r>
    </w:p>
    <w:p w14:paraId="5C242559">
      <w:pPr>
        <w:pStyle w:val="6"/>
        <w:spacing w:line="360" w:lineRule="auto"/>
        <w:ind w:firstLine="472" w:firstLineChars="196"/>
        <w:rPr>
          <w:rFonts w:ascii="仿宋" w:hAnsi="仿宋" w:eastAsia="仿宋" w:cs="仿宋"/>
          <w:b/>
          <w:bCs/>
          <w:color w:val="auto"/>
          <w:sz w:val="24"/>
          <w:highlight w:val="none"/>
        </w:rPr>
      </w:pPr>
      <w:r>
        <w:rPr>
          <w:rFonts w:hint="eastAsia" w:ascii="仿宋" w:hAnsi="仿宋" w:eastAsia="仿宋" w:cs="仿宋"/>
          <w:b/>
          <w:bCs/>
          <w:color w:val="auto"/>
          <w:sz w:val="24"/>
          <w:highlight w:val="none"/>
        </w:rPr>
        <w:t>(六)</w:t>
      </w:r>
      <w:bookmarkStart w:id="623" w:name="_Toc10530"/>
      <w:bookmarkStart w:id="624" w:name="_Toc403382490"/>
      <w:r>
        <w:rPr>
          <w:rFonts w:hint="eastAsia" w:ascii="仿宋" w:hAnsi="仿宋" w:eastAsia="仿宋" w:cs="仿宋"/>
          <w:b/>
          <w:bCs/>
          <w:color w:val="auto"/>
          <w:sz w:val="24"/>
          <w:highlight w:val="none"/>
        </w:rPr>
        <w:t>特殊情况的处置程序</w:t>
      </w:r>
      <w:bookmarkEnd w:id="623"/>
      <w:bookmarkEnd w:id="624"/>
    </w:p>
    <w:p w14:paraId="35C9EA2C">
      <w:pPr>
        <w:adjustRightInd w:val="0"/>
        <w:snapToGrid w:val="0"/>
        <w:spacing w:line="360" w:lineRule="auto"/>
        <w:ind w:firstLine="482" w:firstLineChars="200"/>
        <w:rPr>
          <w:rFonts w:ascii="仿宋" w:hAnsi="仿宋" w:eastAsia="仿宋" w:cs="仿宋"/>
          <w:b/>
          <w:color w:val="auto"/>
          <w:sz w:val="24"/>
          <w:highlight w:val="none"/>
        </w:rPr>
      </w:pPr>
      <w:bookmarkStart w:id="625" w:name="_Toc403382491"/>
      <w:r>
        <w:rPr>
          <w:rFonts w:hint="eastAsia" w:ascii="仿宋" w:hAnsi="仿宋" w:eastAsia="仿宋" w:cs="仿宋"/>
          <w:b/>
          <w:color w:val="auto"/>
          <w:sz w:val="24"/>
          <w:highlight w:val="none"/>
        </w:rPr>
        <w:t xml:space="preserve">6.1  </w:t>
      </w:r>
      <w:bookmarkEnd w:id="625"/>
      <w:bookmarkStart w:id="626" w:name="_Toc403382492"/>
      <w:r>
        <w:rPr>
          <w:rFonts w:hint="eastAsia" w:ascii="仿宋" w:hAnsi="仿宋" w:eastAsia="仿宋" w:cs="仿宋"/>
          <w:b/>
          <w:color w:val="auto"/>
          <w:sz w:val="24"/>
          <w:highlight w:val="none"/>
        </w:rPr>
        <w:t>关于评标活动暂停</w:t>
      </w:r>
      <w:bookmarkEnd w:id="626"/>
    </w:p>
    <w:p w14:paraId="7C5813B6">
      <w:pPr>
        <w:adjustRightInd w:val="0"/>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6.1.1评标委员会应当执行连续评标的原则，按评标办法中规定的程序、内容、方法、标准完成全部评标工作。只有发生不可抗力导致评标工作无法继续时，评标活动方可暂停。</w:t>
      </w:r>
    </w:p>
    <w:p w14:paraId="79D33F7D">
      <w:pPr>
        <w:adjustRightInd w:val="0"/>
        <w:snapToGrid w:val="0"/>
        <w:spacing w:beforeLines="20"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6.1.2发生评标暂停情况时，评标委员会应当封存全部投标文件和评标记录，待不可抗力的影响结束且具备继续评标的条件时，由原评标委员会继续评标。依法重新组建评标委员会进行评标。原评标委员会所作出的评标意见无效。</w:t>
      </w:r>
    </w:p>
    <w:p w14:paraId="38B5233B">
      <w:pPr>
        <w:pStyle w:val="6"/>
        <w:spacing w:line="360" w:lineRule="auto"/>
        <w:ind w:firstLine="472" w:firstLineChars="196"/>
        <w:rPr>
          <w:rFonts w:ascii="仿宋" w:hAnsi="仿宋" w:eastAsia="仿宋" w:cs="仿宋"/>
          <w:b/>
          <w:bCs/>
          <w:color w:val="auto"/>
          <w:sz w:val="24"/>
          <w:highlight w:val="none"/>
        </w:rPr>
      </w:pPr>
      <w:bookmarkStart w:id="627" w:name="_Toc19899"/>
      <w:bookmarkStart w:id="628" w:name="_Toc403382493"/>
      <w:r>
        <w:rPr>
          <w:rFonts w:hint="eastAsia" w:ascii="仿宋" w:hAnsi="仿宋" w:eastAsia="仿宋" w:cs="仿宋"/>
          <w:b/>
          <w:bCs/>
          <w:color w:val="auto"/>
          <w:sz w:val="24"/>
          <w:highlight w:val="none"/>
        </w:rPr>
        <w:t>6.2 关于评标中途更换评标委员会成员</w:t>
      </w:r>
      <w:bookmarkEnd w:id="627"/>
      <w:bookmarkEnd w:id="628"/>
    </w:p>
    <w:p w14:paraId="502A4B94">
      <w:pPr>
        <w:adjustRightInd w:val="0"/>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6.2.1  除非发生下列情况之一，评标委员会成员不得在评标中途更换：</w:t>
      </w:r>
    </w:p>
    <w:p w14:paraId="3D5A29F4">
      <w:pPr>
        <w:adjustRightInd w:val="0"/>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 因不可抗拒的客观原因，不能到场或需在评标中途退出评标活动。</w:t>
      </w:r>
    </w:p>
    <w:p w14:paraId="08656B6A">
      <w:pPr>
        <w:adjustRightInd w:val="0"/>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 根据法律法规规定，某个或某几个评标委员会成员需要回避。</w:t>
      </w:r>
    </w:p>
    <w:p w14:paraId="7F8E916B">
      <w:pPr>
        <w:adjustRightInd w:val="0"/>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6.2.2退出评标的评标委员会成员，其已完成的评标行为无效。由招标人根据本招标文件规定的评标委员会成员生产方式另行确定替代者进行评标。</w:t>
      </w:r>
    </w:p>
    <w:p w14:paraId="2D52BE24">
      <w:pPr>
        <w:adjustRightInd w:val="0"/>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6.3采购人或者采购代理机构应当将变更、重新组建评标委员会的情况予以记录，并随采购文件一并存档。</w:t>
      </w:r>
    </w:p>
    <w:p w14:paraId="2C86047D">
      <w:pPr>
        <w:pStyle w:val="6"/>
        <w:spacing w:line="360" w:lineRule="auto"/>
        <w:ind w:firstLine="472" w:firstLineChars="196"/>
        <w:rPr>
          <w:rFonts w:ascii="仿宋" w:hAnsi="仿宋" w:eastAsia="仿宋" w:cs="仿宋"/>
          <w:b/>
          <w:bCs/>
          <w:color w:val="auto"/>
          <w:sz w:val="24"/>
          <w:highlight w:val="none"/>
        </w:rPr>
      </w:pPr>
      <w:bookmarkStart w:id="629" w:name="_Toc21719"/>
      <w:bookmarkStart w:id="630" w:name="_Toc403382494"/>
      <w:r>
        <w:rPr>
          <w:rFonts w:hint="eastAsia" w:ascii="仿宋" w:hAnsi="仿宋" w:eastAsia="仿宋" w:cs="仿宋"/>
          <w:b/>
          <w:bCs/>
          <w:color w:val="auto"/>
          <w:sz w:val="24"/>
          <w:highlight w:val="none"/>
        </w:rPr>
        <w:t>6.3评标争议处理</w:t>
      </w:r>
      <w:bookmarkEnd w:id="629"/>
      <w:bookmarkEnd w:id="630"/>
    </w:p>
    <w:p w14:paraId="40871F68">
      <w:pPr>
        <w:spacing w:line="360" w:lineRule="auto"/>
        <w:ind w:firstLine="424" w:firstLineChars="177"/>
        <w:jc w:val="left"/>
        <w:rPr>
          <w:rFonts w:ascii="仿宋" w:hAnsi="仿宋" w:eastAsia="仿宋" w:cs="仿宋"/>
          <w:color w:val="auto"/>
          <w:sz w:val="24"/>
          <w:highlight w:val="none"/>
        </w:rPr>
      </w:pPr>
      <w:r>
        <w:rPr>
          <w:rFonts w:hint="eastAsia" w:ascii="仿宋" w:hAnsi="仿宋" w:eastAsia="仿宋" w:cs="仿宋"/>
          <w:color w:val="auto"/>
          <w:sz w:val="24"/>
          <w:highlight w:val="none"/>
        </w:rPr>
        <w:t>6.3.1 评标委员会全体成员应独立评审，对所提出的评审意见承担个人责任。</w:t>
      </w:r>
    </w:p>
    <w:p w14:paraId="32FD5B54">
      <w:pPr>
        <w:spacing w:line="360" w:lineRule="auto"/>
        <w:ind w:firstLine="424" w:firstLineChars="177"/>
        <w:jc w:val="left"/>
        <w:rPr>
          <w:rFonts w:ascii="仿宋" w:hAnsi="仿宋" w:eastAsia="仿宋" w:cs="仿宋"/>
          <w:color w:val="auto"/>
          <w:sz w:val="24"/>
          <w:highlight w:val="none"/>
        </w:rPr>
      </w:pPr>
      <w:r>
        <w:rPr>
          <w:rFonts w:hint="eastAsia" w:ascii="仿宋" w:hAnsi="仿宋" w:eastAsia="仿宋" w:cs="仿宋"/>
          <w:color w:val="auto"/>
          <w:sz w:val="24"/>
          <w:highlight w:val="none"/>
        </w:rPr>
        <w:t>6.3.2在任何评标环节中，需评标委员会就某项定性的评审结论做出表决的，由评标委员会全体成员按照少数服从多数的原则，以记名投票方式表决。表决不得违背法律、法规、规章和招标文件的规定。</w:t>
      </w:r>
    </w:p>
    <w:p w14:paraId="74957355">
      <w:pPr>
        <w:spacing w:line="360" w:lineRule="auto"/>
        <w:ind w:firstLine="424" w:firstLineChars="177"/>
        <w:rPr>
          <w:rFonts w:ascii="仿宋" w:hAnsi="仿宋" w:eastAsia="仿宋" w:cs="仿宋"/>
          <w:bCs/>
          <w:color w:val="auto"/>
          <w:szCs w:val="21"/>
          <w:highlight w:val="none"/>
        </w:rPr>
      </w:pPr>
      <w:r>
        <w:rPr>
          <w:rFonts w:hint="eastAsia" w:ascii="仿宋" w:hAnsi="仿宋" w:eastAsia="仿宋" w:cs="仿宋"/>
          <w:color w:val="auto"/>
          <w:sz w:val="24"/>
          <w:highlight w:val="none"/>
        </w:rPr>
        <w:t>6.3.3 评标委员会成员对书面决议或评审结论持有异议的，可以书面阐述其不同意见和理由。拒绝在书面决议或评标报告上签名，且不陈述其不同意见和理由的，视为同意书面决议或评标结论，评标委员会应当对此在评标报告中做出书面说明。</w:t>
      </w:r>
    </w:p>
    <w:p w14:paraId="49452AB9">
      <w:pPr>
        <w:rPr>
          <w:rFonts w:ascii="仿宋" w:hAnsi="仿宋" w:eastAsia="仿宋" w:cs="仿宋"/>
          <w:color w:val="auto"/>
          <w:sz w:val="36"/>
          <w:highlight w:val="none"/>
        </w:rPr>
      </w:pPr>
      <w:bookmarkStart w:id="631" w:name="_Toc500710682"/>
      <w:bookmarkStart w:id="632" w:name="_Toc508809023"/>
      <w:r>
        <w:rPr>
          <w:rFonts w:hint="eastAsia" w:ascii="仿宋" w:hAnsi="仿宋" w:eastAsia="仿宋" w:cs="仿宋"/>
          <w:color w:val="auto"/>
          <w:sz w:val="36"/>
          <w:highlight w:val="none"/>
        </w:rPr>
        <w:br w:type="page"/>
      </w:r>
    </w:p>
    <w:p w14:paraId="7ACD0E2C">
      <w:pPr>
        <w:pStyle w:val="2"/>
        <w:spacing w:line="360" w:lineRule="auto"/>
        <w:jc w:val="center"/>
        <w:rPr>
          <w:rFonts w:ascii="仿宋" w:hAnsi="仿宋" w:eastAsia="仿宋" w:cs="仿宋"/>
          <w:color w:val="auto"/>
          <w:kern w:val="2"/>
          <w:sz w:val="36"/>
          <w:highlight w:val="none"/>
        </w:rPr>
      </w:pPr>
      <w:bookmarkStart w:id="633" w:name="_Toc6150"/>
      <w:bookmarkStart w:id="634" w:name="_Toc22038"/>
      <w:r>
        <w:rPr>
          <w:rFonts w:hint="eastAsia" w:ascii="仿宋" w:hAnsi="仿宋" w:eastAsia="仿宋" w:cs="仿宋"/>
          <w:color w:val="auto"/>
          <w:kern w:val="2"/>
          <w:sz w:val="36"/>
          <w:highlight w:val="none"/>
        </w:rPr>
        <w:t>第五章、合同(参考)</w:t>
      </w:r>
      <w:bookmarkEnd w:id="631"/>
      <w:bookmarkEnd w:id="632"/>
      <w:bookmarkEnd w:id="633"/>
      <w:bookmarkEnd w:id="634"/>
    </w:p>
    <w:p w14:paraId="62CBC401">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合同条款</w:t>
      </w:r>
    </w:p>
    <w:p w14:paraId="5D61D692">
      <w:pPr>
        <w:numPr>
          <w:ilvl w:val="0"/>
          <w:numId w:val="13"/>
        </w:numPr>
        <w:tabs>
          <w:tab w:val="left" w:pos="907"/>
        </w:tabs>
        <w:spacing w:line="360" w:lineRule="auto"/>
        <w:ind w:left="907" w:hanging="907"/>
        <w:rPr>
          <w:rFonts w:ascii="仿宋" w:hAnsi="仿宋" w:eastAsia="仿宋" w:cs="仿宋"/>
          <w:b/>
          <w:color w:val="auto"/>
          <w:sz w:val="24"/>
          <w:highlight w:val="none"/>
        </w:rPr>
      </w:pPr>
      <w:r>
        <w:rPr>
          <w:rFonts w:hint="eastAsia" w:ascii="仿宋" w:hAnsi="仿宋" w:eastAsia="仿宋" w:cs="仿宋"/>
          <w:b/>
          <w:color w:val="auto"/>
          <w:sz w:val="24"/>
          <w:highlight w:val="none"/>
        </w:rPr>
        <w:t>定义</w:t>
      </w:r>
    </w:p>
    <w:p w14:paraId="1661832B">
      <w:pPr>
        <w:numPr>
          <w:ilvl w:val="1"/>
          <w:numId w:val="13"/>
        </w:numPr>
        <w:tabs>
          <w:tab w:val="left" w:pos="907"/>
        </w:tabs>
        <w:spacing w:line="360" w:lineRule="auto"/>
        <w:ind w:left="907" w:hanging="907"/>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本合同下列术语应解释为： </w:t>
      </w:r>
    </w:p>
    <w:p w14:paraId="481193BE">
      <w:pPr>
        <w:numPr>
          <w:ilvl w:val="2"/>
          <w:numId w:val="13"/>
        </w:numPr>
        <w:tabs>
          <w:tab w:val="left" w:pos="907"/>
        </w:tabs>
        <w:spacing w:line="360" w:lineRule="auto"/>
        <w:ind w:left="907" w:hanging="907"/>
        <w:rPr>
          <w:rFonts w:ascii="仿宋" w:hAnsi="仿宋" w:eastAsia="仿宋" w:cs="仿宋"/>
          <w:color w:val="auto"/>
          <w:sz w:val="24"/>
          <w:highlight w:val="none"/>
        </w:rPr>
      </w:pPr>
      <w:r>
        <w:rPr>
          <w:rFonts w:hint="eastAsia" w:ascii="仿宋" w:hAnsi="仿宋" w:eastAsia="仿宋" w:cs="仿宋"/>
          <w:color w:val="auto"/>
          <w:sz w:val="24"/>
          <w:highlight w:val="none"/>
        </w:rPr>
        <w:t>“需方”系指在</w:t>
      </w:r>
      <w:r>
        <w:rPr>
          <w:rFonts w:hint="eastAsia" w:ascii="仿宋" w:hAnsi="仿宋" w:eastAsia="仿宋" w:cs="仿宋"/>
          <w:b/>
          <w:color w:val="auto"/>
          <w:sz w:val="24"/>
          <w:highlight w:val="none"/>
        </w:rPr>
        <w:t>合同资料表</w:t>
      </w:r>
      <w:r>
        <w:rPr>
          <w:rFonts w:hint="eastAsia" w:ascii="仿宋" w:hAnsi="仿宋" w:eastAsia="仿宋" w:cs="仿宋"/>
          <w:color w:val="auto"/>
          <w:sz w:val="24"/>
          <w:highlight w:val="none"/>
        </w:rPr>
        <w:t>中指明的通过招标采购，接受合同服务的采购单位。</w:t>
      </w:r>
    </w:p>
    <w:p w14:paraId="4DBB8178">
      <w:pPr>
        <w:numPr>
          <w:ilvl w:val="2"/>
          <w:numId w:val="13"/>
        </w:numPr>
        <w:tabs>
          <w:tab w:val="left" w:pos="907"/>
        </w:tabs>
        <w:spacing w:line="360" w:lineRule="auto"/>
        <w:ind w:left="907" w:hanging="907"/>
        <w:rPr>
          <w:rFonts w:ascii="仿宋" w:hAnsi="仿宋" w:eastAsia="仿宋" w:cs="仿宋"/>
          <w:color w:val="auto"/>
          <w:sz w:val="24"/>
          <w:highlight w:val="none"/>
        </w:rPr>
      </w:pPr>
      <w:r>
        <w:rPr>
          <w:rFonts w:hint="eastAsia" w:ascii="仿宋" w:hAnsi="仿宋" w:eastAsia="仿宋" w:cs="仿宋"/>
          <w:color w:val="auto"/>
          <w:sz w:val="24"/>
          <w:highlight w:val="none"/>
        </w:rPr>
        <w:t>“服务提供方”系指在</w:t>
      </w:r>
      <w:r>
        <w:rPr>
          <w:rFonts w:hint="eastAsia" w:ascii="仿宋" w:hAnsi="仿宋" w:eastAsia="仿宋" w:cs="仿宋"/>
          <w:b/>
          <w:color w:val="auto"/>
          <w:sz w:val="24"/>
          <w:highlight w:val="none"/>
        </w:rPr>
        <w:t>合同资料表</w:t>
      </w:r>
      <w:r>
        <w:rPr>
          <w:rFonts w:hint="eastAsia" w:ascii="仿宋" w:hAnsi="仿宋" w:eastAsia="仿宋" w:cs="仿宋"/>
          <w:color w:val="auto"/>
          <w:sz w:val="24"/>
          <w:highlight w:val="none"/>
        </w:rPr>
        <w:t>中指明的提供本合同项下服务的中标人。</w:t>
      </w:r>
    </w:p>
    <w:p w14:paraId="340DC5C5">
      <w:pPr>
        <w:numPr>
          <w:ilvl w:val="2"/>
          <w:numId w:val="13"/>
        </w:numPr>
        <w:tabs>
          <w:tab w:val="left" w:pos="907"/>
        </w:tabs>
        <w:spacing w:line="360" w:lineRule="auto"/>
        <w:ind w:left="907" w:hanging="907"/>
        <w:rPr>
          <w:rFonts w:ascii="仿宋" w:hAnsi="仿宋" w:eastAsia="仿宋" w:cs="仿宋"/>
          <w:color w:val="auto"/>
          <w:sz w:val="24"/>
          <w:highlight w:val="none"/>
        </w:rPr>
      </w:pPr>
      <w:r>
        <w:rPr>
          <w:rFonts w:hint="eastAsia" w:ascii="仿宋" w:hAnsi="仿宋" w:eastAsia="仿宋" w:cs="仿宋"/>
          <w:color w:val="auto"/>
          <w:sz w:val="24"/>
          <w:highlight w:val="none"/>
        </w:rPr>
        <w:t>“项目现场”系指本合同项下服务现场，其名称在</w:t>
      </w:r>
      <w:r>
        <w:rPr>
          <w:rFonts w:hint="eastAsia" w:ascii="仿宋" w:hAnsi="仿宋" w:eastAsia="仿宋" w:cs="仿宋"/>
          <w:b/>
          <w:color w:val="auto"/>
          <w:sz w:val="24"/>
          <w:highlight w:val="none"/>
        </w:rPr>
        <w:t>合同资料表</w:t>
      </w:r>
      <w:r>
        <w:rPr>
          <w:rFonts w:hint="eastAsia" w:ascii="仿宋" w:hAnsi="仿宋" w:eastAsia="仿宋" w:cs="仿宋"/>
          <w:color w:val="auto"/>
          <w:sz w:val="24"/>
          <w:highlight w:val="none"/>
        </w:rPr>
        <w:t>中指明。</w:t>
      </w:r>
    </w:p>
    <w:p w14:paraId="1E026E65">
      <w:pPr>
        <w:numPr>
          <w:ilvl w:val="2"/>
          <w:numId w:val="13"/>
        </w:numPr>
        <w:tabs>
          <w:tab w:val="left" w:pos="907"/>
        </w:tabs>
        <w:spacing w:line="360" w:lineRule="auto"/>
        <w:ind w:left="907" w:hanging="907"/>
        <w:rPr>
          <w:rFonts w:ascii="仿宋" w:hAnsi="仿宋" w:eastAsia="仿宋" w:cs="仿宋"/>
          <w:color w:val="auto"/>
          <w:sz w:val="24"/>
          <w:highlight w:val="none"/>
        </w:rPr>
      </w:pPr>
      <w:r>
        <w:rPr>
          <w:rFonts w:hint="eastAsia" w:ascii="仿宋" w:hAnsi="仿宋" w:eastAsia="仿宋" w:cs="仿宋"/>
          <w:color w:val="auto"/>
          <w:sz w:val="24"/>
          <w:highlight w:val="none"/>
        </w:rPr>
        <w:t>“日”指日历日。</w:t>
      </w:r>
    </w:p>
    <w:p w14:paraId="03BB0CF0">
      <w:pPr>
        <w:numPr>
          <w:ilvl w:val="0"/>
          <w:numId w:val="13"/>
        </w:numPr>
        <w:tabs>
          <w:tab w:val="left" w:pos="907"/>
        </w:tabs>
        <w:spacing w:line="360" w:lineRule="auto"/>
        <w:ind w:left="907" w:hanging="907"/>
        <w:rPr>
          <w:rFonts w:ascii="仿宋" w:hAnsi="仿宋" w:eastAsia="仿宋" w:cs="仿宋"/>
          <w:b/>
          <w:color w:val="auto"/>
          <w:sz w:val="24"/>
          <w:highlight w:val="none"/>
        </w:rPr>
      </w:pPr>
      <w:r>
        <w:rPr>
          <w:rFonts w:hint="eastAsia" w:ascii="仿宋" w:hAnsi="仿宋" w:eastAsia="仿宋" w:cs="仿宋"/>
          <w:b/>
          <w:color w:val="auto"/>
          <w:sz w:val="24"/>
          <w:highlight w:val="none"/>
        </w:rPr>
        <w:t>知识产权</w:t>
      </w:r>
    </w:p>
    <w:p w14:paraId="22062754">
      <w:pPr>
        <w:numPr>
          <w:ilvl w:val="1"/>
          <w:numId w:val="13"/>
        </w:numPr>
        <w:tabs>
          <w:tab w:val="left" w:pos="907"/>
        </w:tabs>
        <w:spacing w:line="360" w:lineRule="auto"/>
        <w:ind w:left="907" w:hanging="907"/>
        <w:rPr>
          <w:rFonts w:ascii="仿宋" w:hAnsi="仿宋" w:eastAsia="仿宋" w:cs="仿宋"/>
          <w:color w:val="auto"/>
          <w:sz w:val="24"/>
          <w:highlight w:val="none"/>
        </w:rPr>
      </w:pPr>
      <w:r>
        <w:rPr>
          <w:rFonts w:hint="eastAsia" w:ascii="仿宋" w:hAnsi="仿宋" w:eastAsia="仿宋" w:cs="仿宋"/>
          <w:color w:val="auto"/>
          <w:sz w:val="24"/>
          <w:highlight w:val="none"/>
        </w:rPr>
        <w:t>服务提供方应保证，需方在中华人民共和国使用该设计成果的任何一部分时，免受第三方提出的侵犯其专利权、商标权、著作权和工业设计权等的起诉。如果任何第三方提出侵权指控，服务提供方须与第三方交涉并承担由此发生的一切责任、费用和经济赔偿。</w:t>
      </w:r>
    </w:p>
    <w:p w14:paraId="4E2888C1">
      <w:pPr>
        <w:numPr>
          <w:ilvl w:val="1"/>
          <w:numId w:val="13"/>
        </w:numPr>
        <w:tabs>
          <w:tab w:val="left" w:pos="907"/>
        </w:tabs>
        <w:spacing w:line="360" w:lineRule="auto"/>
        <w:ind w:left="907" w:hanging="907"/>
        <w:rPr>
          <w:rFonts w:ascii="仿宋" w:hAnsi="仿宋" w:eastAsia="仿宋" w:cs="仿宋"/>
          <w:color w:val="auto"/>
          <w:sz w:val="24"/>
          <w:highlight w:val="none"/>
        </w:rPr>
      </w:pPr>
      <w:r>
        <w:rPr>
          <w:rFonts w:hint="eastAsia" w:ascii="仿宋" w:hAnsi="仿宋" w:eastAsia="仿宋" w:cs="仿宋"/>
          <w:color w:val="auto"/>
          <w:sz w:val="24"/>
          <w:highlight w:val="none"/>
        </w:rPr>
        <w:t>服务提供方对作品拥有充分、完全、排他的著作权，且从未授权任何第三方进行任何形式发表、使用或用于开发。</w:t>
      </w:r>
    </w:p>
    <w:p w14:paraId="74F950E7">
      <w:pPr>
        <w:numPr>
          <w:ilvl w:val="0"/>
          <w:numId w:val="13"/>
        </w:numPr>
        <w:tabs>
          <w:tab w:val="left" w:pos="907"/>
        </w:tabs>
        <w:spacing w:line="360" w:lineRule="auto"/>
        <w:ind w:left="907" w:hanging="907"/>
        <w:rPr>
          <w:rFonts w:ascii="仿宋" w:hAnsi="仿宋" w:eastAsia="仿宋" w:cs="仿宋"/>
          <w:b/>
          <w:color w:val="auto"/>
          <w:sz w:val="24"/>
          <w:highlight w:val="none"/>
        </w:rPr>
      </w:pPr>
      <w:r>
        <w:rPr>
          <w:rFonts w:hint="eastAsia" w:ascii="仿宋" w:hAnsi="仿宋" w:eastAsia="仿宋" w:cs="仿宋"/>
          <w:b/>
          <w:color w:val="auto"/>
          <w:sz w:val="24"/>
          <w:highlight w:val="none"/>
        </w:rPr>
        <w:t>人员配备</w:t>
      </w:r>
    </w:p>
    <w:p w14:paraId="431234CD">
      <w:pPr>
        <w:numPr>
          <w:ilvl w:val="1"/>
          <w:numId w:val="13"/>
        </w:numPr>
        <w:tabs>
          <w:tab w:val="left" w:pos="907"/>
        </w:tabs>
        <w:spacing w:line="360" w:lineRule="auto"/>
        <w:ind w:left="907" w:hanging="907"/>
        <w:rPr>
          <w:rFonts w:ascii="仿宋" w:hAnsi="仿宋" w:eastAsia="仿宋" w:cs="仿宋"/>
          <w:color w:val="auto"/>
          <w:sz w:val="24"/>
          <w:highlight w:val="none"/>
        </w:rPr>
      </w:pPr>
      <w:r>
        <w:rPr>
          <w:rFonts w:hint="eastAsia" w:ascii="仿宋" w:hAnsi="仿宋" w:eastAsia="仿宋" w:cs="仿宋"/>
          <w:color w:val="auto"/>
          <w:sz w:val="24"/>
          <w:highlight w:val="none"/>
        </w:rPr>
        <w:t>除非需方书面同意，服务提供方不得单方变更投标文件中所列人员。</w:t>
      </w:r>
    </w:p>
    <w:p w14:paraId="24713710">
      <w:pPr>
        <w:numPr>
          <w:ilvl w:val="1"/>
          <w:numId w:val="13"/>
        </w:numPr>
        <w:tabs>
          <w:tab w:val="left" w:pos="907"/>
        </w:tabs>
        <w:spacing w:line="360" w:lineRule="auto"/>
        <w:ind w:left="907" w:hanging="907"/>
        <w:rPr>
          <w:rFonts w:ascii="仿宋" w:hAnsi="仿宋" w:eastAsia="仿宋" w:cs="仿宋"/>
          <w:color w:val="auto"/>
          <w:sz w:val="24"/>
          <w:highlight w:val="none"/>
        </w:rPr>
      </w:pPr>
      <w:r>
        <w:rPr>
          <w:rFonts w:hint="eastAsia" w:ascii="仿宋" w:hAnsi="仿宋" w:eastAsia="仿宋" w:cs="仿宋"/>
          <w:color w:val="auto"/>
          <w:sz w:val="24"/>
          <w:highlight w:val="none"/>
        </w:rPr>
        <w:t>服务提供方所配备项目人员经两次及以上有效投诉，需方可要求服务提供方更换该服务人员。</w:t>
      </w:r>
    </w:p>
    <w:p w14:paraId="48713DB8">
      <w:pPr>
        <w:numPr>
          <w:ilvl w:val="0"/>
          <w:numId w:val="13"/>
        </w:numPr>
        <w:tabs>
          <w:tab w:val="left" w:pos="907"/>
        </w:tabs>
        <w:spacing w:line="360" w:lineRule="auto"/>
        <w:ind w:left="907" w:hanging="907"/>
        <w:rPr>
          <w:rFonts w:ascii="仿宋" w:hAnsi="仿宋" w:eastAsia="仿宋" w:cs="仿宋"/>
          <w:b/>
          <w:color w:val="auto"/>
          <w:sz w:val="24"/>
          <w:highlight w:val="none"/>
        </w:rPr>
      </w:pPr>
      <w:r>
        <w:rPr>
          <w:rFonts w:hint="eastAsia" w:ascii="仿宋" w:hAnsi="仿宋" w:eastAsia="仿宋" w:cs="仿宋"/>
          <w:b/>
          <w:color w:val="auto"/>
          <w:sz w:val="24"/>
          <w:highlight w:val="none"/>
        </w:rPr>
        <w:t>付款方式：</w:t>
      </w:r>
      <w:r>
        <w:rPr>
          <w:rFonts w:hint="eastAsia" w:ascii="仿宋" w:hAnsi="仿宋" w:eastAsia="仿宋" w:cs="仿宋"/>
          <w:color w:val="auto"/>
          <w:sz w:val="24"/>
          <w:highlight w:val="none"/>
        </w:rPr>
        <w:t>详见合同通用条款前附表</w:t>
      </w:r>
    </w:p>
    <w:p w14:paraId="472703CF">
      <w:pPr>
        <w:pStyle w:val="9"/>
        <w:rPr>
          <w:rFonts w:ascii="仿宋" w:hAnsi="仿宋" w:eastAsia="仿宋" w:cs="仿宋"/>
          <w:color w:val="auto"/>
          <w:sz w:val="24"/>
          <w:highlight w:val="none"/>
        </w:rPr>
      </w:pPr>
    </w:p>
    <w:p w14:paraId="75D08714">
      <w:pPr>
        <w:numPr>
          <w:ilvl w:val="0"/>
          <w:numId w:val="13"/>
        </w:numPr>
        <w:tabs>
          <w:tab w:val="left" w:pos="907"/>
        </w:tabs>
        <w:spacing w:line="360" w:lineRule="auto"/>
        <w:ind w:left="907" w:hanging="907"/>
        <w:rPr>
          <w:rFonts w:ascii="仿宋" w:hAnsi="仿宋" w:eastAsia="仿宋" w:cs="仿宋"/>
          <w:b/>
          <w:color w:val="auto"/>
          <w:sz w:val="24"/>
          <w:highlight w:val="none"/>
        </w:rPr>
      </w:pPr>
      <w:r>
        <w:rPr>
          <w:rFonts w:hint="eastAsia" w:ascii="仿宋" w:hAnsi="仿宋" w:eastAsia="仿宋" w:cs="仿宋"/>
          <w:b/>
          <w:color w:val="auto"/>
          <w:sz w:val="24"/>
          <w:highlight w:val="none"/>
        </w:rPr>
        <w:t>违约赔偿</w:t>
      </w:r>
    </w:p>
    <w:p w14:paraId="0FB80A97">
      <w:pPr>
        <w:numPr>
          <w:ilvl w:val="1"/>
          <w:numId w:val="13"/>
        </w:numPr>
        <w:tabs>
          <w:tab w:val="left" w:pos="907"/>
        </w:tabs>
        <w:spacing w:line="360" w:lineRule="auto"/>
        <w:ind w:left="907" w:hanging="907"/>
        <w:rPr>
          <w:rFonts w:ascii="仿宋" w:hAnsi="仿宋" w:eastAsia="仿宋" w:cs="仿宋"/>
          <w:color w:val="auto"/>
          <w:sz w:val="24"/>
          <w:highlight w:val="none"/>
        </w:rPr>
      </w:pPr>
      <w:r>
        <w:rPr>
          <w:rFonts w:hint="eastAsia" w:ascii="仿宋" w:hAnsi="仿宋" w:eastAsia="仿宋" w:cs="仿宋"/>
          <w:color w:val="auto"/>
          <w:sz w:val="24"/>
          <w:highlight w:val="none"/>
        </w:rPr>
        <w:t>如果服务提供方没有按照合同规定的时间提供服务，需方可要求服务提供方支付违约金。违约金按每周未提供服务价的  %计收。但违约金的最高限额为未提供服务合同价的  %。一周按7天计算，不足7天按一周计算。如果达到最高限额，需方有权解除合同。</w:t>
      </w:r>
    </w:p>
    <w:p w14:paraId="6BCE5829">
      <w:pPr>
        <w:numPr>
          <w:ilvl w:val="0"/>
          <w:numId w:val="13"/>
        </w:numPr>
        <w:tabs>
          <w:tab w:val="left" w:pos="907"/>
        </w:tabs>
        <w:spacing w:line="360" w:lineRule="auto"/>
        <w:ind w:left="907" w:hanging="907"/>
        <w:rPr>
          <w:rFonts w:ascii="仿宋" w:hAnsi="仿宋" w:eastAsia="仿宋" w:cs="仿宋"/>
          <w:b/>
          <w:color w:val="auto"/>
          <w:sz w:val="24"/>
          <w:highlight w:val="none"/>
        </w:rPr>
      </w:pPr>
      <w:r>
        <w:rPr>
          <w:rFonts w:hint="eastAsia" w:ascii="仿宋" w:hAnsi="仿宋" w:eastAsia="仿宋" w:cs="仿宋"/>
          <w:b/>
          <w:color w:val="auto"/>
          <w:sz w:val="24"/>
          <w:highlight w:val="none"/>
        </w:rPr>
        <w:t>不可抗力</w:t>
      </w:r>
    </w:p>
    <w:p w14:paraId="3F6B7D75">
      <w:pPr>
        <w:numPr>
          <w:ilvl w:val="1"/>
          <w:numId w:val="13"/>
        </w:numPr>
        <w:tabs>
          <w:tab w:val="left" w:pos="907"/>
        </w:tabs>
        <w:spacing w:line="360" w:lineRule="auto"/>
        <w:ind w:left="907" w:hanging="907"/>
        <w:rPr>
          <w:rFonts w:ascii="仿宋" w:hAnsi="仿宋" w:eastAsia="仿宋" w:cs="仿宋"/>
          <w:color w:val="auto"/>
          <w:sz w:val="24"/>
          <w:highlight w:val="none"/>
        </w:rPr>
      </w:pPr>
      <w:r>
        <w:rPr>
          <w:rFonts w:hint="eastAsia" w:ascii="仿宋" w:hAnsi="仿宋" w:eastAsia="仿宋" w:cs="仿宋"/>
          <w:color w:val="auto"/>
          <w:sz w:val="24"/>
          <w:highlight w:val="none"/>
        </w:rPr>
        <w:t>如果双方中任何一方遭遇法律规定的不可抗力，致使合同履行受阻时，履行合同的期限应予延长，延长的期限应相当于不可抗力所影响的时间。</w:t>
      </w:r>
    </w:p>
    <w:p w14:paraId="1676186E">
      <w:pPr>
        <w:numPr>
          <w:ilvl w:val="1"/>
          <w:numId w:val="13"/>
        </w:numPr>
        <w:tabs>
          <w:tab w:val="left" w:pos="907"/>
        </w:tabs>
        <w:spacing w:line="360" w:lineRule="auto"/>
        <w:ind w:left="907" w:hanging="907"/>
        <w:rPr>
          <w:rFonts w:ascii="仿宋" w:hAnsi="仿宋" w:eastAsia="仿宋" w:cs="仿宋"/>
          <w:color w:val="auto"/>
          <w:sz w:val="24"/>
          <w:highlight w:val="none"/>
        </w:rPr>
      </w:pPr>
      <w:r>
        <w:rPr>
          <w:rFonts w:hint="eastAsia" w:ascii="仿宋" w:hAnsi="仿宋" w:eastAsia="仿宋" w:cs="仿宋"/>
          <w:color w:val="auto"/>
          <w:sz w:val="24"/>
          <w:highlight w:val="none"/>
        </w:rPr>
        <w:t>受事故影响的一方应在不可抗力的事故发生后尽快书面通知另一方，并在事故发生后</w:t>
      </w:r>
      <w:r>
        <w:rPr>
          <w:rFonts w:hint="eastAsia" w:ascii="仿宋" w:hAnsi="仿宋" w:eastAsia="仿宋" w:cs="仿宋"/>
          <w:color w:val="auto"/>
          <w:sz w:val="24"/>
          <w:highlight w:val="none"/>
          <w:u w:val="single"/>
        </w:rPr>
        <w:t>7</w:t>
      </w:r>
      <w:r>
        <w:rPr>
          <w:rFonts w:hint="eastAsia" w:ascii="仿宋" w:hAnsi="仿宋" w:eastAsia="仿宋" w:cs="仿宋"/>
          <w:color w:val="auto"/>
          <w:sz w:val="24"/>
          <w:highlight w:val="none"/>
        </w:rPr>
        <w:t>天内，将有关部门出具的证明文件送达另一方。</w:t>
      </w:r>
    </w:p>
    <w:p w14:paraId="6D540817">
      <w:pPr>
        <w:numPr>
          <w:ilvl w:val="1"/>
          <w:numId w:val="13"/>
        </w:numPr>
        <w:tabs>
          <w:tab w:val="left" w:pos="907"/>
        </w:tabs>
        <w:spacing w:line="360" w:lineRule="auto"/>
        <w:ind w:left="907" w:hanging="907"/>
        <w:rPr>
          <w:rFonts w:ascii="仿宋" w:hAnsi="仿宋" w:eastAsia="仿宋" w:cs="仿宋"/>
          <w:color w:val="auto"/>
          <w:sz w:val="24"/>
          <w:highlight w:val="none"/>
        </w:rPr>
      </w:pPr>
      <w:r>
        <w:rPr>
          <w:rFonts w:hint="eastAsia" w:ascii="仿宋" w:hAnsi="仿宋" w:eastAsia="仿宋" w:cs="仿宋"/>
          <w:color w:val="auto"/>
          <w:sz w:val="24"/>
          <w:highlight w:val="none"/>
        </w:rPr>
        <w:t>不可抗力使合同的某些内容有变更必要的，双方应通过协商在</w:t>
      </w:r>
      <w:r>
        <w:rPr>
          <w:rFonts w:hint="eastAsia" w:ascii="仿宋" w:hAnsi="仿宋" w:eastAsia="仿宋" w:cs="仿宋"/>
          <w:color w:val="auto"/>
          <w:sz w:val="24"/>
          <w:highlight w:val="none"/>
          <w:u w:val="single"/>
        </w:rPr>
        <w:t>10</w:t>
      </w:r>
      <w:r>
        <w:rPr>
          <w:rFonts w:hint="eastAsia" w:ascii="仿宋" w:hAnsi="仿宋" w:eastAsia="仿宋" w:cs="仿宋"/>
          <w:color w:val="auto"/>
          <w:sz w:val="24"/>
          <w:highlight w:val="none"/>
        </w:rPr>
        <w:t>日内达成进一步履行合同的协议，因不可抗力致使合同不能履行的，合同终止。</w:t>
      </w:r>
    </w:p>
    <w:p w14:paraId="6FC131D0">
      <w:pPr>
        <w:numPr>
          <w:ilvl w:val="0"/>
          <w:numId w:val="13"/>
        </w:numPr>
        <w:tabs>
          <w:tab w:val="left" w:pos="907"/>
        </w:tabs>
        <w:spacing w:line="360" w:lineRule="auto"/>
        <w:ind w:left="907" w:hanging="907"/>
        <w:rPr>
          <w:rFonts w:ascii="仿宋" w:hAnsi="仿宋" w:eastAsia="仿宋" w:cs="仿宋"/>
          <w:b/>
          <w:color w:val="auto"/>
          <w:sz w:val="24"/>
          <w:highlight w:val="none"/>
        </w:rPr>
      </w:pPr>
      <w:r>
        <w:rPr>
          <w:rFonts w:hint="eastAsia" w:ascii="仿宋" w:hAnsi="仿宋" w:eastAsia="仿宋" w:cs="仿宋"/>
          <w:b/>
          <w:color w:val="auto"/>
          <w:sz w:val="24"/>
          <w:highlight w:val="none"/>
        </w:rPr>
        <w:t>税费</w:t>
      </w:r>
    </w:p>
    <w:p w14:paraId="5DBD1BD8">
      <w:pPr>
        <w:numPr>
          <w:ilvl w:val="1"/>
          <w:numId w:val="13"/>
        </w:numPr>
        <w:tabs>
          <w:tab w:val="left" w:pos="907"/>
        </w:tabs>
        <w:spacing w:line="360" w:lineRule="auto"/>
        <w:ind w:left="907" w:hanging="907"/>
        <w:rPr>
          <w:rFonts w:ascii="仿宋" w:hAnsi="仿宋" w:eastAsia="仿宋" w:cs="仿宋"/>
          <w:color w:val="auto"/>
          <w:sz w:val="24"/>
          <w:highlight w:val="none"/>
        </w:rPr>
      </w:pPr>
      <w:r>
        <w:rPr>
          <w:rFonts w:hint="eastAsia" w:ascii="仿宋" w:hAnsi="仿宋" w:eastAsia="仿宋" w:cs="仿宋"/>
          <w:color w:val="auto"/>
          <w:sz w:val="24"/>
          <w:highlight w:val="none"/>
        </w:rPr>
        <w:t>与本合同有关的一切税费均适用中华人民共和国法律的相关规定。</w:t>
      </w:r>
    </w:p>
    <w:p w14:paraId="431BA453">
      <w:pPr>
        <w:numPr>
          <w:ilvl w:val="0"/>
          <w:numId w:val="13"/>
        </w:numPr>
        <w:tabs>
          <w:tab w:val="left" w:pos="907"/>
        </w:tabs>
        <w:spacing w:line="360" w:lineRule="auto"/>
        <w:ind w:left="907" w:hanging="907"/>
        <w:rPr>
          <w:rFonts w:ascii="仿宋" w:hAnsi="仿宋" w:eastAsia="仿宋" w:cs="仿宋"/>
          <w:b/>
          <w:color w:val="auto"/>
          <w:sz w:val="24"/>
          <w:highlight w:val="none"/>
        </w:rPr>
      </w:pPr>
      <w:r>
        <w:rPr>
          <w:rFonts w:hint="eastAsia" w:ascii="仿宋" w:hAnsi="仿宋" w:eastAsia="仿宋" w:cs="仿宋"/>
          <w:b/>
          <w:color w:val="auto"/>
          <w:sz w:val="24"/>
          <w:highlight w:val="none"/>
        </w:rPr>
        <w:t>合同争议的解决</w:t>
      </w:r>
    </w:p>
    <w:p w14:paraId="17B04E73">
      <w:pPr>
        <w:numPr>
          <w:ilvl w:val="1"/>
          <w:numId w:val="13"/>
        </w:numPr>
        <w:tabs>
          <w:tab w:val="left" w:pos="907"/>
        </w:tabs>
        <w:spacing w:line="360" w:lineRule="auto"/>
        <w:ind w:left="907" w:hanging="907"/>
        <w:rPr>
          <w:rFonts w:ascii="仿宋" w:hAnsi="仿宋" w:eastAsia="仿宋" w:cs="仿宋"/>
          <w:color w:val="auto"/>
          <w:sz w:val="24"/>
          <w:highlight w:val="none"/>
        </w:rPr>
      </w:pPr>
      <w:r>
        <w:rPr>
          <w:rFonts w:hint="eastAsia" w:ascii="仿宋" w:hAnsi="仿宋" w:eastAsia="仿宋" w:cs="仿宋"/>
          <w:color w:val="auto"/>
          <w:sz w:val="24"/>
          <w:highlight w:val="none"/>
        </w:rPr>
        <w:t>因合同履行中发生的争议，可通过合同当事人双方友好协商解决。如自协商开始之日起15日内得不以解决，当事人可向有管辖权的人民法院提起诉讼。</w:t>
      </w:r>
    </w:p>
    <w:p w14:paraId="414760B0">
      <w:pPr>
        <w:numPr>
          <w:ilvl w:val="0"/>
          <w:numId w:val="13"/>
        </w:numPr>
        <w:tabs>
          <w:tab w:val="left" w:pos="907"/>
        </w:tabs>
        <w:spacing w:line="360" w:lineRule="auto"/>
        <w:ind w:left="907" w:hanging="907"/>
        <w:rPr>
          <w:rFonts w:ascii="仿宋" w:hAnsi="仿宋" w:eastAsia="仿宋" w:cs="仿宋"/>
          <w:b/>
          <w:color w:val="auto"/>
          <w:sz w:val="24"/>
          <w:highlight w:val="none"/>
        </w:rPr>
      </w:pPr>
      <w:r>
        <w:rPr>
          <w:rFonts w:hint="eastAsia" w:ascii="仿宋" w:hAnsi="仿宋" w:eastAsia="仿宋" w:cs="仿宋"/>
          <w:b/>
          <w:color w:val="auto"/>
          <w:sz w:val="24"/>
          <w:highlight w:val="none"/>
        </w:rPr>
        <w:t>违约解除合同</w:t>
      </w:r>
    </w:p>
    <w:p w14:paraId="0B7437E2">
      <w:pPr>
        <w:numPr>
          <w:ilvl w:val="1"/>
          <w:numId w:val="13"/>
        </w:numPr>
        <w:tabs>
          <w:tab w:val="left" w:pos="907"/>
        </w:tabs>
        <w:spacing w:line="360" w:lineRule="auto"/>
        <w:ind w:left="907" w:hanging="907"/>
        <w:rPr>
          <w:rFonts w:ascii="仿宋" w:hAnsi="仿宋" w:eastAsia="仿宋" w:cs="仿宋"/>
          <w:color w:val="auto"/>
          <w:sz w:val="24"/>
          <w:highlight w:val="none"/>
        </w:rPr>
      </w:pPr>
      <w:bookmarkStart w:id="635" w:name="_Ref374810134"/>
      <w:r>
        <w:rPr>
          <w:rFonts w:hint="eastAsia" w:ascii="仿宋" w:hAnsi="仿宋" w:eastAsia="仿宋" w:cs="仿宋"/>
          <w:color w:val="auto"/>
          <w:sz w:val="24"/>
          <w:highlight w:val="none"/>
        </w:rPr>
        <w:t>在服务提供方违约的情况下，需方经同级政府采购监督管理机关/采购主管部门审批后，可向服务提供方发出书面通知，部分或全部解除合同。同时保留向服务提供方追诉的权利。</w:t>
      </w:r>
      <w:bookmarkEnd w:id="635"/>
    </w:p>
    <w:p w14:paraId="4CD9E806">
      <w:pPr>
        <w:numPr>
          <w:ilvl w:val="2"/>
          <w:numId w:val="13"/>
        </w:numPr>
        <w:tabs>
          <w:tab w:val="left" w:pos="907"/>
        </w:tabs>
        <w:spacing w:line="360" w:lineRule="auto"/>
        <w:ind w:left="907" w:hanging="907"/>
        <w:rPr>
          <w:rFonts w:ascii="仿宋" w:hAnsi="仿宋" w:eastAsia="仿宋" w:cs="仿宋"/>
          <w:color w:val="auto"/>
          <w:sz w:val="24"/>
          <w:highlight w:val="none"/>
        </w:rPr>
      </w:pPr>
      <w:r>
        <w:rPr>
          <w:rFonts w:hint="eastAsia" w:ascii="仿宋" w:hAnsi="仿宋" w:eastAsia="仿宋" w:cs="仿宋"/>
          <w:color w:val="auto"/>
          <w:sz w:val="24"/>
          <w:highlight w:val="none"/>
        </w:rPr>
        <w:t>服务提供方未能在合同的限期或需方同意延长的限期内，提供全部或部分服务；</w:t>
      </w:r>
    </w:p>
    <w:p w14:paraId="2D18C2C7">
      <w:pPr>
        <w:numPr>
          <w:ilvl w:val="2"/>
          <w:numId w:val="13"/>
        </w:numPr>
        <w:tabs>
          <w:tab w:val="left" w:pos="907"/>
        </w:tabs>
        <w:spacing w:line="360" w:lineRule="auto"/>
        <w:ind w:left="907" w:hanging="907"/>
        <w:rPr>
          <w:rFonts w:ascii="仿宋" w:hAnsi="仿宋" w:eastAsia="仿宋" w:cs="仿宋"/>
          <w:color w:val="auto"/>
          <w:sz w:val="24"/>
          <w:highlight w:val="none"/>
        </w:rPr>
      </w:pPr>
      <w:r>
        <w:rPr>
          <w:rFonts w:hint="eastAsia" w:ascii="仿宋" w:hAnsi="仿宋" w:eastAsia="仿宋" w:cs="仿宋"/>
          <w:color w:val="auto"/>
          <w:sz w:val="24"/>
          <w:highlight w:val="none"/>
        </w:rPr>
        <w:t>服务提供方未能履行合同规定的其它主要义务的，致使需方的合同目的不能实现；</w:t>
      </w:r>
    </w:p>
    <w:p w14:paraId="55594EC9">
      <w:pPr>
        <w:numPr>
          <w:ilvl w:val="2"/>
          <w:numId w:val="13"/>
        </w:numPr>
        <w:tabs>
          <w:tab w:val="left" w:pos="907"/>
        </w:tabs>
        <w:spacing w:line="360" w:lineRule="auto"/>
        <w:ind w:left="907" w:hanging="907"/>
        <w:rPr>
          <w:rFonts w:ascii="仿宋" w:hAnsi="仿宋" w:eastAsia="仿宋" w:cs="仿宋"/>
          <w:color w:val="auto"/>
          <w:sz w:val="24"/>
          <w:highlight w:val="none"/>
        </w:rPr>
      </w:pPr>
      <w:r>
        <w:rPr>
          <w:rFonts w:hint="eastAsia" w:ascii="仿宋" w:hAnsi="仿宋" w:eastAsia="仿宋" w:cs="仿宋"/>
          <w:color w:val="auto"/>
          <w:sz w:val="24"/>
          <w:highlight w:val="none"/>
        </w:rPr>
        <w:t>需方认为服务提供方在本合同履行过程中有腐败和欺诈行为的。</w:t>
      </w:r>
    </w:p>
    <w:p w14:paraId="5CB1FF3C">
      <w:pPr>
        <w:numPr>
          <w:ilvl w:val="3"/>
          <w:numId w:val="13"/>
        </w:numPr>
        <w:tabs>
          <w:tab w:val="left" w:pos="907"/>
        </w:tabs>
        <w:spacing w:line="360" w:lineRule="auto"/>
        <w:ind w:left="907" w:hanging="907"/>
        <w:rPr>
          <w:rFonts w:ascii="仿宋" w:hAnsi="仿宋" w:eastAsia="仿宋" w:cs="仿宋"/>
          <w:color w:val="auto"/>
          <w:sz w:val="24"/>
          <w:highlight w:val="none"/>
        </w:rPr>
      </w:pPr>
      <w:r>
        <w:rPr>
          <w:rFonts w:hint="eastAsia" w:ascii="仿宋" w:hAnsi="仿宋" w:eastAsia="仿宋" w:cs="仿宋"/>
          <w:color w:val="auto"/>
          <w:sz w:val="24"/>
          <w:highlight w:val="none"/>
        </w:rPr>
        <w:t>腐败行为和欺诈行为定义如下：</w:t>
      </w:r>
    </w:p>
    <w:p w14:paraId="77600810">
      <w:pPr>
        <w:numPr>
          <w:ilvl w:val="4"/>
          <w:numId w:val="13"/>
        </w:numPr>
        <w:tabs>
          <w:tab w:val="left" w:pos="992"/>
        </w:tabs>
        <w:spacing w:line="360" w:lineRule="auto"/>
        <w:ind w:left="992" w:hanging="992"/>
        <w:rPr>
          <w:rFonts w:ascii="仿宋" w:hAnsi="仿宋" w:eastAsia="仿宋" w:cs="仿宋"/>
          <w:color w:val="auto"/>
          <w:sz w:val="24"/>
          <w:highlight w:val="none"/>
        </w:rPr>
      </w:pPr>
      <w:r>
        <w:rPr>
          <w:rFonts w:hint="eastAsia" w:ascii="仿宋" w:hAnsi="仿宋" w:eastAsia="仿宋" w:cs="仿宋"/>
          <w:color w:val="auto"/>
          <w:sz w:val="24"/>
          <w:highlight w:val="none"/>
        </w:rPr>
        <w:t>“腐败行为”是指提供、给予、接受或索取任何有价值的物品来影响需方在合同签定、履行过程中的行为。</w:t>
      </w:r>
    </w:p>
    <w:p w14:paraId="5477C300">
      <w:pPr>
        <w:numPr>
          <w:ilvl w:val="4"/>
          <w:numId w:val="13"/>
        </w:numPr>
        <w:tabs>
          <w:tab w:val="left" w:pos="992"/>
        </w:tabs>
        <w:spacing w:line="360" w:lineRule="auto"/>
        <w:ind w:left="992" w:hanging="992"/>
        <w:rPr>
          <w:rFonts w:ascii="仿宋" w:hAnsi="仿宋" w:eastAsia="仿宋" w:cs="仿宋"/>
          <w:color w:val="auto"/>
          <w:sz w:val="24"/>
          <w:highlight w:val="none"/>
        </w:rPr>
      </w:pPr>
      <w:r>
        <w:rPr>
          <w:rFonts w:hint="eastAsia" w:ascii="仿宋" w:hAnsi="仿宋" w:eastAsia="仿宋" w:cs="仿宋"/>
          <w:color w:val="auto"/>
          <w:sz w:val="24"/>
          <w:highlight w:val="none"/>
        </w:rPr>
        <w:t>“欺诈行为”是指为了影响合同签定、履行过程以谎报事实的方法，损害需方利益的行为。</w:t>
      </w:r>
    </w:p>
    <w:p w14:paraId="35DBDE7F">
      <w:pPr>
        <w:numPr>
          <w:ilvl w:val="1"/>
          <w:numId w:val="13"/>
        </w:numPr>
        <w:tabs>
          <w:tab w:val="left" w:pos="907"/>
        </w:tabs>
        <w:spacing w:line="360" w:lineRule="auto"/>
        <w:ind w:left="907" w:hanging="907"/>
        <w:rPr>
          <w:rFonts w:ascii="仿宋" w:hAnsi="仿宋" w:eastAsia="仿宋" w:cs="仿宋"/>
          <w:color w:val="auto"/>
          <w:sz w:val="24"/>
          <w:highlight w:val="none"/>
        </w:rPr>
      </w:pPr>
      <w:r>
        <w:rPr>
          <w:rFonts w:hint="eastAsia" w:ascii="仿宋" w:hAnsi="仿宋" w:eastAsia="仿宋" w:cs="仿宋"/>
          <w:color w:val="auto"/>
          <w:sz w:val="24"/>
          <w:highlight w:val="none"/>
        </w:rPr>
        <w:t>在需方根据上述第</w:t>
      </w:r>
      <w:r>
        <w:rPr>
          <w:color w:val="auto"/>
          <w:highlight w:val="none"/>
        </w:rPr>
        <w:fldChar w:fldCharType="begin"/>
      </w:r>
      <w:r>
        <w:rPr>
          <w:color w:val="auto"/>
          <w:highlight w:val="none"/>
        </w:rPr>
        <w:instrText xml:space="preserve"> REF _Ref374810134 \r \h  \* MERGEFORMAT </w:instrText>
      </w:r>
      <w:r>
        <w:rPr>
          <w:color w:val="auto"/>
          <w:highlight w:val="none"/>
        </w:rPr>
        <w:fldChar w:fldCharType="separate"/>
      </w:r>
      <w:r>
        <w:rPr>
          <w:rFonts w:hint="eastAsia" w:ascii="仿宋" w:hAnsi="仿宋" w:eastAsia="仿宋" w:cs="仿宋"/>
          <w:color w:val="auto"/>
          <w:sz w:val="24"/>
          <w:highlight w:val="none"/>
        </w:rPr>
        <w:t>9.1</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条的规定，全部或部分解除合同之后，应当遵循诚实信用原则，以政府采购主管部门同意的方式，购买与未交付的服务，服务提供方应承担需方购买类似的服务而产生的额外支出。部分解除合同的，服务提供方应继续履行合同中未解除的部门。</w:t>
      </w:r>
    </w:p>
    <w:p w14:paraId="050C1784">
      <w:pPr>
        <w:numPr>
          <w:ilvl w:val="0"/>
          <w:numId w:val="13"/>
        </w:numPr>
        <w:tabs>
          <w:tab w:val="left" w:pos="907"/>
        </w:tabs>
        <w:spacing w:line="360" w:lineRule="auto"/>
        <w:ind w:left="907" w:hanging="907"/>
        <w:rPr>
          <w:rFonts w:ascii="仿宋" w:hAnsi="仿宋" w:eastAsia="仿宋" w:cs="仿宋"/>
          <w:b/>
          <w:color w:val="auto"/>
          <w:sz w:val="24"/>
          <w:highlight w:val="none"/>
        </w:rPr>
      </w:pPr>
      <w:r>
        <w:rPr>
          <w:rFonts w:hint="eastAsia" w:ascii="仿宋" w:hAnsi="仿宋" w:eastAsia="仿宋" w:cs="仿宋"/>
          <w:b/>
          <w:color w:val="auto"/>
          <w:sz w:val="24"/>
          <w:highlight w:val="none"/>
        </w:rPr>
        <w:t>破产终止合同</w:t>
      </w:r>
    </w:p>
    <w:p w14:paraId="04863053">
      <w:pPr>
        <w:numPr>
          <w:ilvl w:val="1"/>
          <w:numId w:val="13"/>
        </w:numPr>
        <w:tabs>
          <w:tab w:val="left" w:pos="907"/>
        </w:tabs>
        <w:spacing w:line="360" w:lineRule="auto"/>
        <w:ind w:left="907" w:hanging="907"/>
        <w:rPr>
          <w:rFonts w:ascii="仿宋" w:hAnsi="仿宋" w:eastAsia="仿宋" w:cs="仿宋"/>
          <w:color w:val="auto"/>
          <w:sz w:val="24"/>
          <w:highlight w:val="none"/>
        </w:rPr>
      </w:pPr>
      <w:r>
        <w:rPr>
          <w:rFonts w:hint="eastAsia" w:ascii="仿宋" w:hAnsi="仿宋" w:eastAsia="仿宋" w:cs="仿宋"/>
          <w:color w:val="auto"/>
          <w:sz w:val="24"/>
          <w:highlight w:val="none"/>
        </w:rPr>
        <w:t>如果服务提供方破产或无清偿能力时，需方报同级政府采购主管部门审批后，可以任何时候以书面通知服务提供方，提出终止合同而不给服务提供方补偿。该合同的终止将不损害或不影响需方已经采取或将要采取的任何行动或补救措施的权利。</w:t>
      </w:r>
    </w:p>
    <w:p w14:paraId="1F599BBD">
      <w:pPr>
        <w:spacing w:line="360" w:lineRule="auto"/>
        <w:rPr>
          <w:rFonts w:ascii="仿宋" w:hAnsi="仿宋" w:eastAsia="仿宋" w:cs="仿宋"/>
          <w:color w:val="auto"/>
          <w:sz w:val="24"/>
          <w:highlight w:val="none"/>
        </w:rPr>
      </w:pPr>
    </w:p>
    <w:p w14:paraId="6BD33E0A">
      <w:pPr>
        <w:numPr>
          <w:ilvl w:val="0"/>
          <w:numId w:val="13"/>
        </w:numPr>
        <w:tabs>
          <w:tab w:val="left" w:pos="907"/>
        </w:tabs>
        <w:spacing w:line="360" w:lineRule="auto"/>
        <w:ind w:left="907" w:hanging="907"/>
        <w:rPr>
          <w:rFonts w:ascii="仿宋" w:hAnsi="仿宋" w:eastAsia="仿宋" w:cs="仿宋"/>
          <w:b/>
          <w:color w:val="auto"/>
          <w:sz w:val="24"/>
          <w:highlight w:val="none"/>
        </w:rPr>
      </w:pPr>
      <w:r>
        <w:rPr>
          <w:rFonts w:hint="eastAsia" w:ascii="仿宋" w:hAnsi="仿宋" w:eastAsia="仿宋" w:cs="仿宋"/>
          <w:b/>
          <w:color w:val="auto"/>
          <w:sz w:val="24"/>
          <w:highlight w:val="none"/>
        </w:rPr>
        <w:t>转让和分包</w:t>
      </w:r>
    </w:p>
    <w:p w14:paraId="26F9575C">
      <w:pPr>
        <w:numPr>
          <w:ilvl w:val="1"/>
          <w:numId w:val="13"/>
        </w:numPr>
        <w:tabs>
          <w:tab w:val="left" w:pos="907"/>
        </w:tabs>
        <w:spacing w:line="360" w:lineRule="auto"/>
        <w:ind w:left="907" w:hanging="907"/>
        <w:rPr>
          <w:rFonts w:ascii="仿宋" w:hAnsi="仿宋" w:eastAsia="仿宋" w:cs="仿宋"/>
          <w:color w:val="auto"/>
          <w:sz w:val="24"/>
          <w:highlight w:val="none"/>
        </w:rPr>
      </w:pPr>
      <w:r>
        <w:rPr>
          <w:rFonts w:hint="eastAsia" w:ascii="仿宋" w:hAnsi="仿宋" w:eastAsia="仿宋" w:cs="仿宋"/>
          <w:color w:val="auto"/>
          <w:sz w:val="24"/>
          <w:highlight w:val="none"/>
        </w:rPr>
        <w:t>本招标项目下采购合同不能转让。</w:t>
      </w:r>
    </w:p>
    <w:p w14:paraId="51591D13">
      <w:pPr>
        <w:numPr>
          <w:ilvl w:val="0"/>
          <w:numId w:val="13"/>
        </w:numPr>
        <w:tabs>
          <w:tab w:val="left" w:pos="907"/>
        </w:tabs>
        <w:spacing w:line="360" w:lineRule="auto"/>
        <w:ind w:left="907" w:hanging="907"/>
        <w:rPr>
          <w:rFonts w:ascii="仿宋" w:hAnsi="仿宋" w:eastAsia="仿宋" w:cs="仿宋"/>
          <w:b/>
          <w:color w:val="auto"/>
          <w:sz w:val="24"/>
          <w:highlight w:val="none"/>
        </w:rPr>
      </w:pPr>
      <w:r>
        <w:rPr>
          <w:rFonts w:hint="eastAsia" w:ascii="仿宋" w:hAnsi="仿宋" w:eastAsia="仿宋" w:cs="仿宋"/>
          <w:b/>
          <w:color w:val="auto"/>
          <w:sz w:val="24"/>
          <w:highlight w:val="none"/>
        </w:rPr>
        <w:t>合同修改</w:t>
      </w:r>
    </w:p>
    <w:p w14:paraId="6F078553">
      <w:pPr>
        <w:numPr>
          <w:ilvl w:val="1"/>
          <w:numId w:val="13"/>
        </w:numPr>
        <w:tabs>
          <w:tab w:val="left" w:pos="907"/>
        </w:tabs>
        <w:spacing w:line="360" w:lineRule="auto"/>
        <w:ind w:left="907" w:hanging="907"/>
        <w:rPr>
          <w:rFonts w:ascii="仿宋" w:hAnsi="仿宋" w:eastAsia="仿宋" w:cs="仿宋"/>
          <w:color w:val="auto"/>
          <w:sz w:val="24"/>
          <w:highlight w:val="none"/>
        </w:rPr>
      </w:pPr>
      <w:r>
        <w:rPr>
          <w:rFonts w:hint="eastAsia" w:ascii="仿宋" w:hAnsi="仿宋" w:eastAsia="仿宋" w:cs="仿宋"/>
          <w:color w:val="auto"/>
          <w:sz w:val="24"/>
          <w:highlight w:val="none"/>
        </w:rPr>
        <w:t>需方和服务提供方都不得擅自变更本合同，但合同继续履行将损害国家和社会公共利益的除外。如必须对合同条款进行变更时，当事人双方须共同签署书面文件，做为合同的补充，并报同级政府采购主管部门备案。</w:t>
      </w:r>
    </w:p>
    <w:p w14:paraId="2F2300F2">
      <w:pPr>
        <w:numPr>
          <w:ilvl w:val="0"/>
          <w:numId w:val="13"/>
        </w:numPr>
        <w:tabs>
          <w:tab w:val="left" w:pos="907"/>
        </w:tabs>
        <w:spacing w:line="360" w:lineRule="auto"/>
        <w:ind w:left="907" w:hanging="907"/>
        <w:rPr>
          <w:rFonts w:ascii="仿宋" w:hAnsi="仿宋" w:eastAsia="仿宋" w:cs="仿宋"/>
          <w:b/>
          <w:color w:val="auto"/>
          <w:sz w:val="24"/>
          <w:highlight w:val="none"/>
        </w:rPr>
      </w:pPr>
      <w:r>
        <w:rPr>
          <w:rFonts w:hint="eastAsia" w:ascii="仿宋" w:hAnsi="仿宋" w:eastAsia="仿宋" w:cs="仿宋"/>
          <w:b/>
          <w:color w:val="auto"/>
          <w:sz w:val="24"/>
          <w:highlight w:val="none"/>
        </w:rPr>
        <w:t>通知</w:t>
      </w:r>
    </w:p>
    <w:p w14:paraId="5912AE15">
      <w:pPr>
        <w:numPr>
          <w:ilvl w:val="1"/>
          <w:numId w:val="13"/>
        </w:numPr>
        <w:tabs>
          <w:tab w:val="left" w:pos="907"/>
        </w:tabs>
        <w:spacing w:line="360" w:lineRule="auto"/>
        <w:ind w:left="907" w:hanging="907"/>
        <w:rPr>
          <w:rFonts w:ascii="仿宋" w:hAnsi="仿宋" w:eastAsia="仿宋" w:cs="仿宋"/>
          <w:color w:val="auto"/>
          <w:sz w:val="24"/>
          <w:highlight w:val="none"/>
        </w:rPr>
      </w:pPr>
      <w:r>
        <w:rPr>
          <w:rFonts w:hint="eastAsia" w:ascii="仿宋" w:hAnsi="仿宋" w:eastAsia="仿宋" w:cs="仿宋"/>
          <w:color w:val="auto"/>
          <w:sz w:val="24"/>
          <w:highlight w:val="none"/>
        </w:rPr>
        <w:t>本合同任何一方给另一方的通知，都应以书面形式发送，而另一方也应以书面形式确认并发送到对方明确的地址。</w:t>
      </w:r>
    </w:p>
    <w:p w14:paraId="427FCDB2">
      <w:pPr>
        <w:numPr>
          <w:ilvl w:val="0"/>
          <w:numId w:val="13"/>
        </w:numPr>
        <w:tabs>
          <w:tab w:val="left" w:pos="907"/>
        </w:tabs>
        <w:spacing w:line="360" w:lineRule="auto"/>
        <w:ind w:left="907" w:hanging="907"/>
        <w:rPr>
          <w:rFonts w:ascii="仿宋" w:hAnsi="仿宋" w:eastAsia="仿宋" w:cs="仿宋"/>
          <w:b/>
          <w:color w:val="auto"/>
          <w:sz w:val="24"/>
          <w:highlight w:val="none"/>
        </w:rPr>
      </w:pPr>
      <w:r>
        <w:rPr>
          <w:rFonts w:hint="eastAsia" w:ascii="仿宋" w:hAnsi="仿宋" w:eastAsia="仿宋" w:cs="仿宋"/>
          <w:b/>
          <w:color w:val="auto"/>
          <w:sz w:val="24"/>
          <w:highlight w:val="none"/>
        </w:rPr>
        <w:t>计量单位</w:t>
      </w:r>
    </w:p>
    <w:p w14:paraId="1BF62ABD">
      <w:pPr>
        <w:numPr>
          <w:ilvl w:val="1"/>
          <w:numId w:val="13"/>
        </w:numPr>
        <w:tabs>
          <w:tab w:val="left" w:pos="907"/>
        </w:tabs>
        <w:spacing w:line="360" w:lineRule="auto"/>
        <w:ind w:left="907" w:hanging="907"/>
        <w:rPr>
          <w:rFonts w:ascii="仿宋" w:hAnsi="仿宋" w:eastAsia="仿宋" w:cs="仿宋"/>
          <w:color w:val="auto"/>
          <w:sz w:val="24"/>
          <w:highlight w:val="none"/>
        </w:rPr>
      </w:pPr>
      <w:r>
        <w:rPr>
          <w:rFonts w:hint="eastAsia" w:ascii="仿宋" w:hAnsi="仿宋" w:eastAsia="仿宋" w:cs="仿宋"/>
          <w:color w:val="auto"/>
          <w:sz w:val="24"/>
          <w:highlight w:val="none"/>
        </w:rPr>
        <w:t>附技术规范中另有规定外，计量单位均使用国家法定计量单位。</w:t>
      </w:r>
    </w:p>
    <w:p w14:paraId="097C3E19">
      <w:pPr>
        <w:numPr>
          <w:ilvl w:val="0"/>
          <w:numId w:val="13"/>
        </w:numPr>
        <w:tabs>
          <w:tab w:val="left" w:pos="907"/>
        </w:tabs>
        <w:spacing w:line="360" w:lineRule="auto"/>
        <w:ind w:left="907" w:hanging="907"/>
        <w:rPr>
          <w:rFonts w:ascii="仿宋" w:hAnsi="仿宋" w:eastAsia="仿宋" w:cs="仿宋"/>
          <w:b/>
          <w:color w:val="auto"/>
          <w:sz w:val="24"/>
          <w:highlight w:val="none"/>
        </w:rPr>
      </w:pPr>
      <w:r>
        <w:rPr>
          <w:rFonts w:hint="eastAsia" w:ascii="仿宋" w:hAnsi="仿宋" w:eastAsia="仿宋" w:cs="仿宋"/>
          <w:b/>
          <w:color w:val="auto"/>
          <w:sz w:val="24"/>
          <w:highlight w:val="none"/>
        </w:rPr>
        <w:t>适用法律</w:t>
      </w:r>
    </w:p>
    <w:p w14:paraId="35A5C634">
      <w:pPr>
        <w:numPr>
          <w:ilvl w:val="1"/>
          <w:numId w:val="13"/>
        </w:numPr>
        <w:tabs>
          <w:tab w:val="left" w:pos="907"/>
        </w:tabs>
        <w:spacing w:line="360" w:lineRule="auto"/>
        <w:ind w:left="907" w:hanging="907"/>
        <w:rPr>
          <w:rFonts w:ascii="仿宋" w:hAnsi="仿宋" w:eastAsia="仿宋" w:cs="仿宋"/>
          <w:color w:val="auto"/>
          <w:sz w:val="24"/>
          <w:highlight w:val="none"/>
        </w:rPr>
      </w:pPr>
      <w:r>
        <w:rPr>
          <w:rFonts w:hint="eastAsia" w:ascii="仿宋" w:hAnsi="仿宋" w:eastAsia="仿宋" w:cs="仿宋"/>
          <w:color w:val="auto"/>
          <w:sz w:val="24"/>
          <w:highlight w:val="none"/>
        </w:rPr>
        <w:t>本合同应按照中华人民共和国的法律进行解释。</w:t>
      </w:r>
    </w:p>
    <w:p w14:paraId="1A68B40A">
      <w:pPr>
        <w:numPr>
          <w:ilvl w:val="0"/>
          <w:numId w:val="13"/>
        </w:numPr>
        <w:tabs>
          <w:tab w:val="left" w:pos="907"/>
        </w:tabs>
        <w:spacing w:line="360" w:lineRule="auto"/>
        <w:ind w:left="907" w:hanging="907"/>
        <w:rPr>
          <w:rFonts w:ascii="仿宋" w:hAnsi="仿宋" w:eastAsia="仿宋" w:cs="仿宋"/>
          <w:b/>
          <w:color w:val="auto"/>
          <w:sz w:val="24"/>
          <w:highlight w:val="none"/>
        </w:rPr>
      </w:pPr>
      <w:r>
        <w:rPr>
          <w:rFonts w:hint="eastAsia" w:ascii="仿宋" w:hAnsi="仿宋" w:eastAsia="仿宋" w:cs="仿宋"/>
          <w:b/>
          <w:color w:val="auto"/>
          <w:sz w:val="24"/>
          <w:highlight w:val="none"/>
        </w:rPr>
        <w:t>合同生效及其他</w:t>
      </w:r>
    </w:p>
    <w:p w14:paraId="20C2ACBA">
      <w:pPr>
        <w:numPr>
          <w:ilvl w:val="1"/>
          <w:numId w:val="13"/>
        </w:numPr>
        <w:tabs>
          <w:tab w:val="left" w:pos="907"/>
        </w:tabs>
        <w:spacing w:line="360" w:lineRule="auto"/>
        <w:ind w:left="907" w:hanging="907"/>
        <w:rPr>
          <w:rFonts w:ascii="仿宋" w:hAnsi="仿宋" w:eastAsia="仿宋" w:cs="仿宋"/>
          <w:color w:val="auto"/>
          <w:sz w:val="24"/>
          <w:highlight w:val="none"/>
        </w:rPr>
      </w:pPr>
      <w:r>
        <w:rPr>
          <w:rFonts w:hint="eastAsia" w:ascii="仿宋" w:hAnsi="仿宋" w:eastAsia="仿宋" w:cs="仿宋"/>
          <w:color w:val="auto"/>
          <w:sz w:val="24"/>
          <w:highlight w:val="none"/>
        </w:rPr>
        <w:t>采购合同的内容确定应以招标文件和投标文件为基础，不得违背其实质性内容。自合同签订之日起五个工作日内，服务提供方应当将合同副本送招标机构存档备案。合同将在双方签字盖章后开始生效。</w:t>
      </w:r>
    </w:p>
    <w:p w14:paraId="2C69006D">
      <w:pPr>
        <w:numPr>
          <w:ilvl w:val="1"/>
          <w:numId w:val="13"/>
        </w:numPr>
        <w:tabs>
          <w:tab w:val="left" w:pos="907"/>
        </w:tabs>
        <w:spacing w:line="360" w:lineRule="auto"/>
        <w:ind w:left="907" w:hanging="907"/>
        <w:rPr>
          <w:rFonts w:ascii="仿宋" w:hAnsi="仿宋" w:eastAsia="仿宋" w:cs="仿宋"/>
          <w:color w:val="auto"/>
          <w:sz w:val="24"/>
          <w:highlight w:val="none"/>
        </w:rPr>
      </w:pPr>
      <w:r>
        <w:rPr>
          <w:rFonts w:hint="eastAsia" w:ascii="仿宋" w:hAnsi="仿宋" w:eastAsia="仿宋" w:cs="仿宋"/>
          <w:color w:val="auto"/>
          <w:sz w:val="24"/>
          <w:highlight w:val="none"/>
        </w:rPr>
        <w:t>本合同一式</w:t>
      </w:r>
      <w:r>
        <w:rPr>
          <w:rFonts w:hint="eastAsia" w:ascii="仿宋" w:hAnsi="仿宋" w:eastAsia="仿宋" w:cs="仿宋"/>
          <w:color w:val="auto"/>
          <w:sz w:val="24"/>
          <w:highlight w:val="none"/>
          <w:u w:val="single"/>
        </w:rPr>
        <w:t>　　</w:t>
      </w:r>
      <w:r>
        <w:rPr>
          <w:rFonts w:hint="eastAsia" w:ascii="仿宋" w:hAnsi="仿宋" w:eastAsia="仿宋" w:cs="仿宋"/>
          <w:color w:val="auto"/>
          <w:sz w:val="24"/>
          <w:highlight w:val="none"/>
        </w:rPr>
        <w:t>份，具同等法律效力，</w:t>
      </w:r>
      <w:r>
        <w:rPr>
          <w:rFonts w:hint="eastAsia" w:ascii="仿宋" w:hAnsi="仿宋" w:eastAsia="仿宋" w:cs="仿宋"/>
          <w:color w:val="auto"/>
          <w:sz w:val="24"/>
          <w:highlight w:val="none"/>
          <w:u w:val="single"/>
        </w:rPr>
        <w:t>　　</w:t>
      </w:r>
      <w:r>
        <w:rPr>
          <w:rFonts w:hint="eastAsia" w:ascii="仿宋" w:hAnsi="仿宋" w:eastAsia="仿宋" w:cs="仿宋"/>
          <w:color w:val="auto"/>
          <w:sz w:val="24"/>
          <w:highlight w:val="none"/>
        </w:rPr>
        <w:t>和</w:t>
      </w:r>
      <w:r>
        <w:rPr>
          <w:rFonts w:hint="eastAsia" w:ascii="仿宋" w:hAnsi="仿宋" w:eastAsia="仿宋" w:cs="仿宋"/>
          <w:color w:val="auto"/>
          <w:sz w:val="24"/>
          <w:highlight w:val="none"/>
          <w:u w:val="single"/>
        </w:rPr>
        <w:t>　　</w:t>
      </w:r>
      <w:r>
        <w:rPr>
          <w:rFonts w:hint="eastAsia" w:ascii="仿宋" w:hAnsi="仿宋" w:eastAsia="仿宋" w:cs="仿宋"/>
          <w:color w:val="auto"/>
          <w:sz w:val="24"/>
          <w:highlight w:val="none"/>
        </w:rPr>
        <w:t>各执</w:t>
      </w:r>
      <w:r>
        <w:rPr>
          <w:rFonts w:hint="eastAsia" w:ascii="仿宋" w:hAnsi="仿宋" w:eastAsia="仿宋" w:cs="仿宋"/>
          <w:color w:val="auto"/>
          <w:sz w:val="24"/>
          <w:highlight w:val="none"/>
          <w:u w:val="single"/>
        </w:rPr>
        <w:t>　　</w:t>
      </w:r>
      <w:r>
        <w:rPr>
          <w:rFonts w:hint="eastAsia" w:ascii="仿宋" w:hAnsi="仿宋" w:eastAsia="仿宋" w:cs="仿宋"/>
          <w:color w:val="auto"/>
          <w:sz w:val="24"/>
          <w:highlight w:val="none"/>
        </w:rPr>
        <w:t>份。</w:t>
      </w:r>
    </w:p>
    <w:p w14:paraId="7A122D4F">
      <w:pPr>
        <w:jc w:val="center"/>
        <w:rPr>
          <w:rFonts w:ascii="仿宋" w:hAnsi="仿宋" w:eastAsia="仿宋" w:cs="仿宋"/>
          <w:b/>
          <w:color w:val="auto"/>
          <w:szCs w:val="21"/>
          <w:highlight w:val="none"/>
        </w:rPr>
      </w:pPr>
    </w:p>
    <w:p w14:paraId="3455BD14">
      <w:pPr>
        <w:jc w:val="center"/>
        <w:rPr>
          <w:rFonts w:ascii="仿宋" w:hAnsi="仿宋" w:eastAsia="仿宋" w:cs="仿宋"/>
          <w:b/>
          <w:color w:val="auto"/>
          <w:szCs w:val="21"/>
          <w:highlight w:val="none"/>
        </w:rPr>
      </w:pPr>
    </w:p>
    <w:p w14:paraId="25BE57B7">
      <w:pPr>
        <w:jc w:val="center"/>
        <w:rPr>
          <w:rFonts w:ascii="仿宋" w:hAnsi="仿宋" w:eastAsia="仿宋" w:cs="仿宋"/>
          <w:b/>
          <w:color w:val="auto"/>
          <w:szCs w:val="21"/>
          <w:highlight w:val="none"/>
        </w:rPr>
      </w:pPr>
    </w:p>
    <w:p w14:paraId="3EC2CFC9">
      <w:pPr>
        <w:rPr>
          <w:rFonts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br w:type="page"/>
      </w:r>
    </w:p>
    <w:p w14:paraId="1C669CC1">
      <w:pPr>
        <w:jc w:val="center"/>
        <w:rPr>
          <w:rFonts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合同主要条款</w:t>
      </w:r>
    </w:p>
    <w:p w14:paraId="37B13232">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（参考格式，具体以签订合同时合同格式为准）</w:t>
      </w:r>
    </w:p>
    <w:p w14:paraId="4C2EE362">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发包人 (全称) ： </w:t>
      </w:r>
    </w:p>
    <w:p w14:paraId="51AE7924">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 </w:t>
      </w:r>
    </w:p>
    <w:p w14:paraId="60A913DB">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承包人(全称) ： </w:t>
      </w:r>
    </w:p>
    <w:p w14:paraId="7E016CB2">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 </w:t>
      </w:r>
    </w:p>
    <w:p w14:paraId="12246C10">
      <w:pPr>
        <w:spacing w:line="360" w:lineRule="auto"/>
        <w:ind w:firstLine="240" w:firstLineChars="100"/>
        <w:rPr>
          <w:rFonts w:ascii="仿宋" w:hAnsi="仿宋" w:eastAsia="仿宋" w:cs="仿宋"/>
          <w:color w:val="auto"/>
          <w:sz w:val="24"/>
          <w:highlight w:val="none"/>
        </w:rPr>
      </w:pPr>
      <w:r>
        <w:rPr>
          <w:rFonts w:hint="eastAsia" w:ascii="仿宋" w:hAnsi="仿宋" w:eastAsia="仿宋" w:cs="仿宋"/>
          <w:color w:val="auto"/>
          <w:sz w:val="24"/>
          <w:highlight w:val="none"/>
        </w:rPr>
        <w:t xml:space="preserve">发包人为建设(以下简称“本工程”)，已接受承包人提出的承担本工程的施工、竣工、交付响应。根据国家有关法律、行政法规，遵循平等、自愿、公平和诚实信用的原则，双方共同达成并订立如下协议。 </w:t>
      </w:r>
    </w:p>
    <w:p w14:paraId="6CEEA7A5">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一、工程概况 </w:t>
      </w:r>
    </w:p>
    <w:p w14:paraId="145BC9B8">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工程名称： (项目名称) </w:t>
      </w:r>
    </w:p>
    <w:p w14:paraId="19BCB475">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工程地点： </w:t>
      </w:r>
    </w:p>
    <w:p w14:paraId="222BC8CA">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工程内容： </w:t>
      </w:r>
    </w:p>
    <w:p w14:paraId="03FA31A9">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二、工程承包范围 </w:t>
      </w:r>
    </w:p>
    <w:p w14:paraId="77FBB134">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承包范围：详细承包范围见技术标准和要求。 </w:t>
      </w:r>
    </w:p>
    <w:p w14:paraId="76983B73">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三、合同工期 </w:t>
      </w:r>
    </w:p>
    <w:p w14:paraId="42B432FE">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计划开工日期：年月日 </w:t>
      </w:r>
    </w:p>
    <w:p w14:paraId="6CE3033C">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计划竣工日期：年月日 </w:t>
      </w:r>
    </w:p>
    <w:p w14:paraId="40AF7BCF">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工期总日历天数：    天，自监理人发出的开工通知中载明的开工日期起算。 </w:t>
      </w:r>
    </w:p>
    <w:p w14:paraId="3D38F305">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四、质量标准 </w:t>
      </w:r>
    </w:p>
    <w:p w14:paraId="44C4FCE7">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工程质量标准： </w:t>
      </w:r>
    </w:p>
    <w:p w14:paraId="618AA46E">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五、合同形式 </w:t>
      </w:r>
    </w:p>
    <w:p w14:paraId="0CCA3563">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本合同采用合同形式。 </w:t>
      </w:r>
    </w:p>
    <w:p w14:paraId="327F43DF">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六、签约合同价 </w:t>
      </w:r>
    </w:p>
    <w:p w14:paraId="6D122C46">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金额(大写) ：元(人民币) </w:t>
      </w:r>
    </w:p>
    <w:p w14:paraId="248BBED3">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(小写)￥ ：元 </w:t>
      </w:r>
    </w:p>
    <w:p w14:paraId="14C8BB29">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其中：安全文明施工费：元 </w:t>
      </w:r>
    </w:p>
    <w:p w14:paraId="36091420">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暂列金额：元 (其中计日工金额 元) </w:t>
      </w:r>
    </w:p>
    <w:p w14:paraId="53A7AD8C">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材料和工程设备暂估价：元 </w:t>
      </w:r>
    </w:p>
    <w:p w14:paraId="15AB4BBA">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专业工程暂估价：元 </w:t>
      </w:r>
    </w:p>
    <w:p w14:paraId="0F34D857">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七、承包人项目经理： </w:t>
      </w:r>
    </w:p>
    <w:p w14:paraId="57B6BA21">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姓名：</w:t>
      </w:r>
    </w:p>
    <w:p w14:paraId="617FB739">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职称：</w:t>
      </w:r>
    </w:p>
    <w:p w14:paraId="303EA56D">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身份证号：</w:t>
      </w:r>
    </w:p>
    <w:p w14:paraId="11D1FB52">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建造师执业资格证书号： </w:t>
      </w:r>
    </w:p>
    <w:p w14:paraId="62302CB6">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建造师注册证书： </w:t>
      </w:r>
    </w:p>
    <w:p w14:paraId="3037FECF">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建造师执业印章： </w:t>
      </w:r>
    </w:p>
    <w:p w14:paraId="43B4A439">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安全生产考核合格证书： </w:t>
      </w:r>
    </w:p>
    <w:p w14:paraId="7CB53E01">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八、合同文件的组成：下列文件共同构成合同文件： </w:t>
      </w:r>
    </w:p>
    <w:p w14:paraId="0CA509D6">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1、本协议书； </w:t>
      </w:r>
    </w:p>
    <w:p w14:paraId="0ED547BC">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2、成交通知书； </w:t>
      </w:r>
    </w:p>
    <w:p w14:paraId="25E84864">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3、响应函及响应函附录； </w:t>
      </w:r>
    </w:p>
    <w:p w14:paraId="27F256FF">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4、专用合同条款； </w:t>
      </w:r>
    </w:p>
    <w:p w14:paraId="04C727B8">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5、通用合同条款； </w:t>
      </w:r>
    </w:p>
    <w:p w14:paraId="7E85266D">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6、技术标准和要求； </w:t>
      </w:r>
    </w:p>
    <w:p w14:paraId="70B5FE8A">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7、图纸； </w:t>
      </w:r>
    </w:p>
    <w:p w14:paraId="65A1C6C2">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8、其他合同文件。 </w:t>
      </w:r>
    </w:p>
    <w:p w14:paraId="79E5D5AE">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上述文件互相补充和解释，如有不明确或不一致之处，以合同约定次序在先者为准。 </w:t>
      </w:r>
    </w:p>
    <w:p w14:paraId="44C5454B">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九、本协议书中有关词语定义与合同条款中的定义相同。 </w:t>
      </w:r>
    </w:p>
    <w:p w14:paraId="7AC6577F">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十、承包人承诺按照合同约定进行施工、竣工、交付并在缺陷责任期内对工程缺陷承担维修责任。 </w:t>
      </w:r>
    </w:p>
    <w:p w14:paraId="0BAE75C3">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十一、发包人承诺按照合同约定的条件、期限和方式向承包人支付合同价款。 </w:t>
      </w:r>
    </w:p>
    <w:p w14:paraId="550F6693">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十二、本协议书连同其他合同文件一式肆份，合同双方各执贰份。 </w:t>
      </w:r>
    </w:p>
    <w:p w14:paraId="4320A165">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十三、合同未尽事宜，双方另行签订补充协议，但不得背离本协议第八条所约定的合同文件的实质性内容。补充协议是合同文件的组成部分。 </w:t>
      </w:r>
    </w:p>
    <w:p w14:paraId="2A7653C1">
      <w:pPr>
        <w:tabs>
          <w:tab w:val="left" w:pos="5040"/>
        </w:tabs>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发包人： (盖单位章) </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 xml:space="preserve">承包人： (盖单位章) </w:t>
      </w:r>
    </w:p>
    <w:p w14:paraId="6DB1AB84">
      <w:pPr>
        <w:tabs>
          <w:tab w:val="left" w:pos="5040"/>
        </w:tabs>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法定代表人或代理人(签字) ： </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 xml:space="preserve">法定代表人或代理人(签字)：  </w:t>
      </w:r>
    </w:p>
    <w:p w14:paraId="2C1A76DC">
      <w:pPr>
        <w:tabs>
          <w:tab w:val="left" w:pos="5040"/>
        </w:tabs>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年 月 日 </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 xml:space="preserve">年 月 日 </w:t>
      </w:r>
    </w:p>
    <w:p w14:paraId="4E203EBE">
      <w:pPr>
        <w:tabs>
          <w:tab w:val="left" w:pos="5040"/>
        </w:tabs>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签约地点：</w:t>
      </w:r>
    </w:p>
    <w:p w14:paraId="59F109B5">
      <w:pPr>
        <w:spacing w:line="360" w:lineRule="auto"/>
        <w:rPr>
          <w:rFonts w:ascii="仿宋" w:hAnsi="仿宋" w:eastAsia="仿宋" w:cs="仿宋"/>
          <w:color w:val="auto"/>
          <w:szCs w:val="21"/>
          <w:highlight w:val="none"/>
        </w:rPr>
      </w:pPr>
    </w:p>
    <w:bookmarkEnd w:id="608"/>
    <w:p w14:paraId="781F8D9C">
      <w:pPr>
        <w:pStyle w:val="2"/>
        <w:spacing w:beforeLines="50" w:afterLines="100"/>
        <w:jc w:val="center"/>
        <w:rPr>
          <w:rFonts w:ascii="仿宋" w:hAnsi="仿宋" w:eastAsia="仿宋" w:cs="仿宋"/>
          <w:color w:val="auto"/>
          <w:sz w:val="36"/>
          <w:szCs w:val="36"/>
          <w:highlight w:val="none"/>
        </w:rPr>
      </w:pPr>
      <w:bookmarkStart w:id="636" w:name="_Toc444509169"/>
      <w:bookmarkStart w:id="637" w:name="_Toc146507047"/>
      <w:bookmarkStart w:id="638" w:name="_Toc387240417"/>
      <w:bookmarkStart w:id="639" w:name="_Toc28875"/>
      <w:bookmarkStart w:id="640" w:name="_Toc13069"/>
      <w:bookmarkStart w:id="641" w:name="_Toc2676"/>
      <w:bookmarkStart w:id="642" w:name="_Toc18696"/>
      <w:r>
        <w:rPr>
          <w:rFonts w:hint="eastAsia" w:ascii="仿宋" w:hAnsi="仿宋" w:eastAsia="仿宋" w:cs="仿宋"/>
          <w:color w:val="auto"/>
          <w:sz w:val="36"/>
          <w:szCs w:val="36"/>
          <w:highlight w:val="none"/>
        </w:rPr>
        <w:t>第六章、投标文件格式</w:t>
      </w:r>
      <w:bookmarkEnd w:id="636"/>
      <w:bookmarkEnd w:id="637"/>
      <w:bookmarkEnd w:id="638"/>
      <w:bookmarkEnd w:id="639"/>
      <w:bookmarkEnd w:id="640"/>
    </w:p>
    <w:p w14:paraId="74A0A68E">
      <w:pPr>
        <w:spacing w:line="480" w:lineRule="auto"/>
        <w:ind w:firstLine="480" w:firstLineChars="200"/>
        <w:jc w:val="left"/>
        <w:textAlignment w:val="baseline"/>
        <w:rPr>
          <w:rFonts w:ascii="仿宋" w:hAnsi="仿宋" w:eastAsia="仿宋" w:cs="仿宋"/>
          <w:color w:val="auto"/>
          <w:sz w:val="24"/>
          <w:highlight w:val="none"/>
        </w:rPr>
      </w:pPr>
    </w:p>
    <w:p w14:paraId="54791752">
      <w:pPr>
        <w:spacing w:line="480" w:lineRule="auto"/>
        <w:ind w:firstLine="480" w:firstLineChars="200"/>
        <w:jc w:val="left"/>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投标文件认真填写和打印，投标文件一律A4规格纸张打印、装订（不能活页装订）。投标文件副本可以是正本的复印件，其正、副本都应装订成册（并在封面上正确标明“正本”、“副本”字样）。投标文件应提供三份，其中正本一份，副本二份及电子版投标文件（正本盖章后的PDF版，U盘提交）。</w:t>
      </w:r>
    </w:p>
    <w:p w14:paraId="72E40F58">
      <w:pPr>
        <w:spacing w:line="480" w:lineRule="auto"/>
        <w:ind w:firstLine="480" w:firstLineChars="200"/>
        <w:jc w:val="left"/>
        <w:textAlignment w:val="baseline"/>
        <w:rPr>
          <w:rFonts w:ascii="仿宋" w:hAnsi="仿宋" w:eastAsia="仿宋" w:cs="仿宋"/>
          <w:color w:val="auto"/>
          <w:sz w:val="24"/>
          <w:highlight w:val="none"/>
        </w:rPr>
      </w:pPr>
    </w:p>
    <w:p w14:paraId="2869AF88">
      <w:pPr>
        <w:spacing w:line="480" w:lineRule="auto"/>
        <w:jc w:val="left"/>
        <w:textAlignment w:val="baseline"/>
        <w:rPr>
          <w:rFonts w:ascii="仿宋" w:hAnsi="仿宋" w:eastAsia="仿宋" w:cs="仿宋"/>
          <w:color w:val="auto"/>
          <w:sz w:val="24"/>
          <w:highlight w:val="none"/>
        </w:rPr>
      </w:pPr>
    </w:p>
    <w:p w14:paraId="22192134">
      <w:pPr>
        <w:spacing w:line="480" w:lineRule="auto"/>
        <w:ind w:firstLine="480" w:firstLineChars="200"/>
        <w:jc w:val="left"/>
        <w:textAlignment w:val="baseline"/>
        <w:rPr>
          <w:rFonts w:ascii="仿宋" w:hAnsi="仿宋" w:eastAsia="仿宋" w:cs="仿宋"/>
          <w:color w:val="auto"/>
          <w:sz w:val="24"/>
          <w:highlight w:val="none"/>
        </w:rPr>
      </w:pPr>
    </w:p>
    <w:p w14:paraId="6E719F0A">
      <w:pPr>
        <w:pStyle w:val="3"/>
        <w:spacing w:before="0" w:afterLines="50"/>
        <w:jc w:val="center"/>
        <w:rPr>
          <w:rFonts w:ascii="仿宋" w:hAnsi="仿宋" w:eastAsia="仿宋" w:cs="仿宋"/>
          <w:color w:val="auto"/>
          <w:highlight w:val="none"/>
        </w:rPr>
      </w:pPr>
      <w:bookmarkStart w:id="643" w:name="_Toc444509170"/>
      <w:bookmarkStart w:id="644" w:name="_Toc387240418"/>
      <w:bookmarkStart w:id="645" w:name="_Toc154218180"/>
      <w:bookmarkStart w:id="646" w:name="_Toc21609"/>
      <w:bookmarkStart w:id="647" w:name="_Toc15233"/>
      <w:r>
        <w:rPr>
          <w:rFonts w:hint="eastAsia" w:ascii="仿宋" w:hAnsi="仿宋" w:eastAsia="仿宋" w:cs="仿宋"/>
          <w:color w:val="auto"/>
          <w:highlight w:val="none"/>
        </w:rPr>
        <w:t>封面及目录</w:t>
      </w:r>
      <w:bookmarkEnd w:id="643"/>
      <w:bookmarkEnd w:id="644"/>
      <w:bookmarkEnd w:id="645"/>
      <w:bookmarkEnd w:id="646"/>
      <w:bookmarkEnd w:id="647"/>
    </w:p>
    <w:p w14:paraId="57049F4B">
      <w:pPr>
        <w:spacing w:line="480" w:lineRule="auto"/>
        <w:ind w:firstLine="480" w:firstLineChars="200"/>
        <w:jc w:val="left"/>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封面上应注明项目编号、项目名称、采购人及投标人名称等，应有文件目录和页码编号。</w:t>
      </w:r>
    </w:p>
    <w:p w14:paraId="1DCAE6A3">
      <w:pPr>
        <w:spacing w:line="480" w:lineRule="auto"/>
        <w:ind w:firstLine="480" w:firstLineChars="200"/>
        <w:jc w:val="left"/>
        <w:textAlignment w:val="baseline"/>
        <w:rPr>
          <w:rFonts w:ascii="仿宋" w:hAnsi="仿宋" w:eastAsia="仿宋" w:cs="仿宋"/>
          <w:color w:val="auto"/>
          <w:sz w:val="24"/>
          <w:highlight w:val="none"/>
        </w:rPr>
      </w:pPr>
    </w:p>
    <w:p w14:paraId="1C1B12FE">
      <w:pPr>
        <w:spacing w:line="480" w:lineRule="auto"/>
        <w:ind w:firstLine="480" w:firstLineChars="200"/>
        <w:jc w:val="lef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项目编号：</w:t>
      </w:r>
    </w:p>
    <w:p w14:paraId="37181E19">
      <w:pPr>
        <w:spacing w:line="480" w:lineRule="auto"/>
        <w:ind w:firstLine="480" w:firstLineChars="200"/>
        <w:jc w:val="lef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项目名称：</w:t>
      </w:r>
    </w:p>
    <w:p w14:paraId="71D63FAD">
      <w:pPr>
        <w:spacing w:line="480" w:lineRule="auto"/>
        <w:ind w:firstLine="480" w:firstLineChars="200"/>
        <w:jc w:val="lef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投标人名称</w:t>
      </w:r>
      <w:r>
        <w:rPr>
          <w:rFonts w:hint="eastAsia" w:ascii="仿宋" w:hAnsi="仿宋" w:eastAsia="仿宋" w:cs="仿宋"/>
          <w:color w:val="auto"/>
          <w:sz w:val="24"/>
          <w:szCs w:val="20"/>
          <w:highlight w:val="none"/>
          <w:lang w:eastAsia="zh-CN"/>
        </w:rPr>
        <w:t>（</w:t>
      </w:r>
      <w:r>
        <w:rPr>
          <w:rFonts w:hint="eastAsia" w:ascii="仿宋" w:hAnsi="仿宋" w:eastAsia="仿宋" w:cs="仿宋"/>
          <w:color w:val="auto"/>
          <w:sz w:val="24"/>
          <w:szCs w:val="20"/>
          <w:highlight w:val="none"/>
          <w:lang w:val="en-US" w:eastAsia="zh-CN"/>
        </w:rPr>
        <w:t>或联合体双方名称</w:t>
      </w:r>
      <w:r>
        <w:rPr>
          <w:rFonts w:hint="eastAsia" w:ascii="仿宋" w:hAnsi="仿宋" w:eastAsia="仿宋" w:cs="仿宋"/>
          <w:color w:val="auto"/>
          <w:sz w:val="24"/>
          <w:szCs w:val="20"/>
          <w:highlight w:val="none"/>
          <w:lang w:eastAsia="zh-CN"/>
        </w:rPr>
        <w:t>）</w:t>
      </w:r>
      <w:r>
        <w:rPr>
          <w:rFonts w:hint="eastAsia" w:ascii="仿宋" w:hAnsi="仿宋" w:eastAsia="仿宋" w:cs="仿宋"/>
          <w:color w:val="auto"/>
          <w:sz w:val="24"/>
          <w:szCs w:val="20"/>
          <w:highlight w:val="none"/>
        </w:rPr>
        <w:t>：</w:t>
      </w:r>
    </w:p>
    <w:p w14:paraId="628898E9">
      <w:pPr>
        <w:spacing w:line="480" w:lineRule="auto"/>
        <w:ind w:firstLine="480" w:firstLineChars="200"/>
        <w:jc w:val="left"/>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封口处注明“于年月日时才能启封”。</w:t>
      </w:r>
    </w:p>
    <w:p w14:paraId="3393F9D5">
      <w:pPr>
        <w:pStyle w:val="9"/>
        <w:rPr>
          <w:rFonts w:ascii="仿宋" w:hAnsi="仿宋" w:eastAsia="仿宋" w:cs="仿宋"/>
          <w:color w:val="auto"/>
          <w:sz w:val="24"/>
          <w:highlight w:val="none"/>
        </w:rPr>
        <w:sectPr>
          <w:headerReference r:id="rId11" w:type="default"/>
          <w:footerReference r:id="rId12" w:type="default"/>
          <w:pgSz w:w="11906" w:h="16838"/>
          <w:pgMar w:top="1304" w:right="1134" w:bottom="1304" w:left="1134" w:header="851" w:footer="992" w:gutter="0"/>
          <w:cols w:space="720" w:num="1"/>
          <w:docGrid w:linePitch="312" w:charSpace="0"/>
        </w:sectPr>
      </w:pPr>
    </w:p>
    <w:p w14:paraId="64D00A37">
      <w:pPr>
        <w:spacing w:beforeLines="50" w:afterLines="50"/>
        <w:jc w:val="center"/>
        <w:rPr>
          <w:rFonts w:ascii="仿宋" w:hAnsi="仿宋" w:eastAsia="仿宋" w:cs="仿宋"/>
          <w:b/>
          <w:bCs/>
          <w:color w:val="auto"/>
          <w:sz w:val="28"/>
          <w:szCs w:val="28"/>
          <w:highlight w:val="none"/>
        </w:rPr>
      </w:pPr>
      <w:bookmarkStart w:id="648" w:name="_Toc182294076"/>
      <w:bookmarkStart w:id="649" w:name="_Toc154978911"/>
      <w:bookmarkStart w:id="650" w:name="_Toc14336"/>
      <w:bookmarkStart w:id="651" w:name="_Toc444509171"/>
      <w:bookmarkStart w:id="652" w:name="_Toc387240419"/>
      <w:bookmarkStart w:id="653" w:name="_Toc8380"/>
      <w:r>
        <w:rPr>
          <w:rFonts w:hint="eastAsia" w:ascii="仿宋" w:hAnsi="仿宋" w:eastAsia="仿宋" w:cs="仿宋"/>
          <w:b/>
          <w:bCs/>
          <w:color w:val="auto"/>
          <w:sz w:val="28"/>
          <w:szCs w:val="28"/>
          <w:highlight w:val="none"/>
        </w:rPr>
        <w:t>资格性检查对照表</w:t>
      </w:r>
    </w:p>
    <w:p w14:paraId="230BBB63">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项目编号：</w:t>
      </w:r>
    </w:p>
    <w:p w14:paraId="72289479">
      <w:pPr>
        <w:spacing w:line="440" w:lineRule="exact"/>
        <w:rPr>
          <w:rFonts w:ascii="仿宋" w:hAnsi="仿宋" w:eastAsia="仿宋" w:cs="仿宋"/>
          <w:color w:val="auto"/>
          <w:sz w:val="24"/>
          <w:highlight w:val="none"/>
          <w:u w:val="single"/>
        </w:rPr>
      </w:pPr>
      <w:r>
        <w:rPr>
          <w:rFonts w:hint="eastAsia" w:ascii="仿宋" w:hAnsi="仿宋" w:eastAsia="仿宋" w:cs="仿宋"/>
          <w:color w:val="auto"/>
          <w:sz w:val="24"/>
          <w:highlight w:val="none"/>
        </w:rPr>
        <w:t>项目名称：</w:t>
      </w:r>
    </w:p>
    <w:tbl>
      <w:tblPr>
        <w:tblStyle w:val="22"/>
        <w:tblW w:w="0" w:type="auto"/>
        <w:tblInd w:w="108"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
      <w:tblGrid>
        <w:gridCol w:w="683"/>
        <w:gridCol w:w="2426"/>
        <w:gridCol w:w="2426"/>
        <w:gridCol w:w="1978"/>
        <w:gridCol w:w="1701"/>
      </w:tblGrid>
      <w:tr w14:paraId="0CCF48A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cantSplit/>
          <w:trHeight w:val="450" w:hRule="atLeast"/>
        </w:trPr>
        <w:tc>
          <w:tcPr>
            <w:tcW w:w="683"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2C023CCE">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序号</w:t>
            </w:r>
          </w:p>
        </w:tc>
        <w:tc>
          <w:tcPr>
            <w:tcW w:w="2426"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7E4861DE">
            <w:pPr>
              <w:spacing w:before="100" w:beforeAutospacing="1" w:after="100" w:afterAutospacing="1"/>
              <w:contextualSpacing/>
              <w:jc w:val="center"/>
              <w:rPr>
                <w:rFonts w:ascii="仿宋" w:hAnsi="仿宋" w:eastAsia="仿宋" w:cs="仿宋"/>
                <w:color w:val="auto"/>
                <w:highlight w:val="none"/>
              </w:rPr>
            </w:pPr>
            <w:r>
              <w:rPr>
                <w:rFonts w:hint="eastAsia" w:ascii="仿宋" w:hAnsi="仿宋" w:eastAsia="仿宋" w:cs="仿宋"/>
                <w:color w:val="auto"/>
                <w:sz w:val="24"/>
                <w:highlight w:val="none"/>
              </w:rPr>
              <w:t>招标文件资格性检查条款</w:t>
            </w:r>
          </w:p>
        </w:tc>
        <w:tc>
          <w:tcPr>
            <w:tcW w:w="2426"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32D2A6AB">
            <w:pPr>
              <w:spacing w:before="100" w:beforeAutospacing="1" w:after="100" w:afterAutospacing="1"/>
              <w:contextualSpacing/>
              <w:jc w:val="center"/>
              <w:rPr>
                <w:rFonts w:ascii="仿宋" w:hAnsi="仿宋" w:eastAsia="仿宋" w:cs="仿宋"/>
                <w:color w:val="auto"/>
                <w:sz w:val="24"/>
                <w:highlight w:val="none"/>
              </w:rPr>
            </w:pPr>
            <w:r>
              <w:rPr>
                <w:rFonts w:hint="eastAsia" w:ascii="仿宋" w:hAnsi="仿宋" w:eastAsia="仿宋" w:cs="仿宋"/>
                <w:color w:val="auto"/>
                <w:sz w:val="24"/>
                <w:highlight w:val="none"/>
              </w:rPr>
              <w:t>投标文件</w:t>
            </w:r>
          </w:p>
          <w:p w14:paraId="6E279C77">
            <w:pPr>
              <w:spacing w:before="100" w:beforeAutospacing="1" w:after="100" w:afterAutospacing="1"/>
              <w:contextualSpacing/>
              <w:jc w:val="center"/>
              <w:rPr>
                <w:rFonts w:ascii="仿宋" w:hAnsi="仿宋" w:eastAsia="仿宋" w:cs="仿宋"/>
                <w:color w:val="auto"/>
                <w:sz w:val="24"/>
                <w:highlight w:val="none"/>
              </w:rPr>
            </w:pPr>
            <w:r>
              <w:rPr>
                <w:rFonts w:hint="eastAsia" w:ascii="仿宋" w:hAnsi="仿宋" w:eastAsia="仿宋" w:cs="仿宋"/>
                <w:color w:val="auto"/>
                <w:sz w:val="24"/>
                <w:highlight w:val="none"/>
              </w:rPr>
              <w:t>响应部分</w:t>
            </w:r>
          </w:p>
        </w:tc>
        <w:tc>
          <w:tcPr>
            <w:tcW w:w="1978"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17E8BB63">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偏离说明</w:t>
            </w:r>
          </w:p>
        </w:tc>
        <w:tc>
          <w:tcPr>
            <w:tcW w:w="1701"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0273CB45">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投标文件中对应的页码</w:t>
            </w:r>
          </w:p>
        </w:tc>
      </w:tr>
      <w:tr w14:paraId="1CBD23F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cantSplit/>
          <w:trHeight w:val="752" w:hRule="atLeast"/>
        </w:trPr>
        <w:tc>
          <w:tcPr>
            <w:tcW w:w="683"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1FB3252D">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1</w:t>
            </w:r>
          </w:p>
        </w:tc>
        <w:tc>
          <w:tcPr>
            <w:tcW w:w="2426"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11395EFA">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426"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25B0288A">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78"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4EF09C34">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701"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65EA0C68">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6B5396E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cantSplit/>
          <w:trHeight w:val="752" w:hRule="atLeast"/>
        </w:trPr>
        <w:tc>
          <w:tcPr>
            <w:tcW w:w="683"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4FB179FB">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2</w:t>
            </w:r>
          </w:p>
        </w:tc>
        <w:tc>
          <w:tcPr>
            <w:tcW w:w="2426"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3898B589">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426"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753C2815">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78"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6915ADF2">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701"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3943DDB8">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4A4A6F0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cantSplit/>
          <w:trHeight w:val="752" w:hRule="atLeast"/>
        </w:trPr>
        <w:tc>
          <w:tcPr>
            <w:tcW w:w="683"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04316FEB">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3</w:t>
            </w:r>
          </w:p>
        </w:tc>
        <w:tc>
          <w:tcPr>
            <w:tcW w:w="2426"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1174F0BF">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426"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247DDE52">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78"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4DE74EDD">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701"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19B19AF2">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7942639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cantSplit/>
          <w:trHeight w:val="752" w:hRule="atLeast"/>
        </w:trPr>
        <w:tc>
          <w:tcPr>
            <w:tcW w:w="683"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5B156E03">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4</w:t>
            </w:r>
          </w:p>
        </w:tc>
        <w:tc>
          <w:tcPr>
            <w:tcW w:w="2426"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4366896A">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426"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33839FE0">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78"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276C4A58">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701"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6F6C39DD">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2156AAB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cantSplit/>
          <w:trHeight w:val="752" w:hRule="atLeast"/>
        </w:trPr>
        <w:tc>
          <w:tcPr>
            <w:tcW w:w="683"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7F1BA077">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5</w:t>
            </w:r>
          </w:p>
        </w:tc>
        <w:tc>
          <w:tcPr>
            <w:tcW w:w="2426"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4B3D7C39">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426"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03AED391">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78"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238D18F6">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701"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7D309DB1">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4F5B308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cantSplit/>
          <w:trHeight w:val="752" w:hRule="atLeast"/>
        </w:trPr>
        <w:tc>
          <w:tcPr>
            <w:tcW w:w="683"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1410AAEC">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6</w:t>
            </w:r>
          </w:p>
        </w:tc>
        <w:tc>
          <w:tcPr>
            <w:tcW w:w="2426"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29E687F0">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426"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2A3B7B42">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78"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4CE91AFE">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701"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77D55F6E">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2D44AF5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cantSplit/>
          <w:trHeight w:val="752" w:hRule="atLeast"/>
        </w:trPr>
        <w:tc>
          <w:tcPr>
            <w:tcW w:w="683"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5C61A7AE">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7</w:t>
            </w:r>
          </w:p>
        </w:tc>
        <w:tc>
          <w:tcPr>
            <w:tcW w:w="2426"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4A9846E7">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426"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2CFBB043">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78"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196904B1">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701"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5F83035D">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2A9B572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cantSplit/>
          <w:trHeight w:val="752" w:hRule="atLeast"/>
        </w:trPr>
        <w:tc>
          <w:tcPr>
            <w:tcW w:w="683"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70BCC702">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8</w:t>
            </w:r>
          </w:p>
        </w:tc>
        <w:tc>
          <w:tcPr>
            <w:tcW w:w="2426"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27A031AA">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426"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6DDFDF88">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78"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095CBB94">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701"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22D069EB">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4077FA8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cantSplit/>
          <w:trHeight w:val="752" w:hRule="atLeast"/>
        </w:trPr>
        <w:tc>
          <w:tcPr>
            <w:tcW w:w="683"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4D3A352A">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w:t>
            </w:r>
          </w:p>
        </w:tc>
        <w:tc>
          <w:tcPr>
            <w:tcW w:w="2426"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01546CA3">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426"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4DEAB886">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78"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1C02101D">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701"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4C4588DA">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bl>
    <w:p w14:paraId="242081DE">
      <w:pPr>
        <w:shd w:val="clear" w:color="auto" w:fill="FFFFFF"/>
        <w:spacing w:line="360" w:lineRule="atLeast"/>
        <w:ind w:left="482" w:hanging="482"/>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注：</w:t>
      </w:r>
    </w:p>
    <w:p w14:paraId="757EB71B">
      <w:pPr>
        <w:shd w:val="clear" w:color="auto" w:fill="FFFFFF"/>
        <w:spacing w:line="360" w:lineRule="atLeast"/>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1.投标人应对照招标文件“</w:t>
      </w:r>
      <w:r>
        <w:rPr>
          <w:rFonts w:hint="eastAsia" w:ascii="仿宋" w:hAnsi="仿宋" w:eastAsia="仿宋" w:cs="仿宋"/>
          <w:b/>
          <w:bCs/>
          <w:color w:val="auto"/>
          <w:sz w:val="24"/>
          <w:highlight w:val="none"/>
          <w:shd w:val="clear" w:color="auto" w:fill="FFFFFF"/>
        </w:rPr>
        <w:t>资格性检查表</w:t>
      </w:r>
      <w:r>
        <w:rPr>
          <w:rFonts w:hint="eastAsia" w:ascii="仿宋" w:hAnsi="仿宋" w:eastAsia="仿宋" w:cs="仿宋"/>
          <w:color w:val="auto"/>
          <w:sz w:val="24"/>
          <w:highlight w:val="none"/>
          <w:shd w:val="clear" w:color="auto" w:fill="FFFFFF"/>
        </w:rPr>
        <w:t>”的条款逐项说明是否满足要求，如有偏离,投标人必须详细说明。</w:t>
      </w:r>
    </w:p>
    <w:p w14:paraId="33012307">
      <w:pPr>
        <w:shd w:val="clear" w:color="auto" w:fill="FFFFFF"/>
        <w:spacing w:line="360" w:lineRule="atLeast"/>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2.</w:t>
      </w:r>
      <w:r>
        <w:rPr>
          <w:rFonts w:hint="eastAsia" w:ascii="仿宋" w:hAnsi="仿宋" w:eastAsia="仿宋" w:cs="仿宋"/>
          <w:b/>
          <w:color w:val="auto"/>
          <w:sz w:val="24"/>
          <w:highlight w:val="none"/>
          <w:shd w:val="clear" w:color="auto" w:fill="FFFFFF"/>
        </w:rPr>
        <w:t>投标人须提供投标内容响应</w:t>
      </w:r>
      <w:r>
        <w:rPr>
          <w:rFonts w:hint="eastAsia" w:ascii="仿宋" w:hAnsi="仿宋" w:eastAsia="仿宋" w:cs="仿宋"/>
          <w:b/>
          <w:color w:val="auto"/>
          <w:sz w:val="24"/>
          <w:highlight w:val="none"/>
        </w:rPr>
        <w:t>资料在投标文件中的具体页码。</w:t>
      </w:r>
    </w:p>
    <w:p w14:paraId="381F9707">
      <w:pPr>
        <w:shd w:val="clear" w:color="auto" w:fill="FFFFFF"/>
        <w:spacing w:before="100" w:beforeAutospacing="1" w:after="100" w:afterAutospacing="1" w:line="360" w:lineRule="atLeast"/>
        <w:ind w:left="480" w:hanging="480"/>
        <w:jc w:val="right"/>
        <w:rPr>
          <w:rFonts w:ascii="仿宋" w:hAnsi="仿宋" w:eastAsia="仿宋" w:cs="仿宋"/>
          <w:color w:val="auto"/>
          <w:sz w:val="24"/>
          <w:highlight w:val="none"/>
        </w:rPr>
      </w:pPr>
    </w:p>
    <w:p w14:paraId="12C44F7C">
      <w:pPr>
        <w:spacing w:line="480" w:lineRule="auto"/>
        <w:ind w:firstLine="480" w:firstLineChars="200"/>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投标人（公章）：</w:t>
      </w:r>
    </w:p>
    <w:p w14:paraId="276EECED">
      <w:pPr>
        <w:spacing w:line="480" w:lineRule="auto"/>
        <w:ind w:firstLine="480" w:firstLineChars="200"/>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法定代表人或授权代表（签字）：</w:t>
      </w:r>
    </w:p>
    <w:p w14:paraId="36DEAA53">
      <w:pPr>
        <w:spacing w:line="360" w:lineRule="auto"/>
        <w:ind w:firstLine="480" w:firstLineChars="200"/>
        <w:rPr>
          <w:rFonts w:ascii="仿宋" w:hAnsi="仿宋" w:eastAsia="仿宋" w:cs="仿宋"/>
          <w:color w:val="auto"/>
          <w:sz w:val="24"/>
          <w:highlight w:val="none"/>
        </w:rPr>
        <w:sectPr>
          <w:headerReference r:id="rId13" w:type="default"/>
          <w:footerReference r:id="rId14" w:type="default"/>
          <w:endnotePr>
            <w:numFmt w:val="decimal"/>
          </w:endnotePr>
          <w:pgSz w:w="11906" w:h="16838"/>
          <w:pgMar w:top="1304" w:right="1134" w:bottom="1304" w:left="1134" w:header="851" w:footer="992" w:gutter="0"/>
          <w:cols w:space="720" w:num="1"/>
          <w:docGrid w:linePitch="312" w:charSpace="0"/>
        </w:sectPr>
      </w:pPr>
      <w:r>
        <w:rPr>
          <w:rFonts w:hint="eastAsia" w:ascii="仿宋" w:hAnsi="仿宋" w:eastAsia="仿宋" w:cs="仿宋"/>
          <w:color w:val="auto"/>
          <w:sz w:val="24"/>
          <w:highlight w:val="none"/>
        </w:rPr>
        <w:t xml:space="preserve">日 </w:t>
      </w:r>
    </w:p>
    <w:p w14:paraId="7DC94655">
      <w:pPr>
        <w:spacing w:beforeLines="50" w:afterLines="50"/>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评分标准对照表</w:t>
      </w:r>
    </w:p>
    <w:p w14:paraId="280502E5">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项目编号：</w:t>
      </w:r>
    </w:p>
    <w:p w14:paraId="688B1EA2">
      <w:pPr>
        <w:spacing w:line="440" w:lineRule="exact"/>
        <w:rPr>
          <w:rFonts w:ascii="仿宋" w:hAnsi="仿宋" w:eastAsia="仿宋" w:cs="仿宋"/>
          <w:color w:val="auto"/>
          <w:sz w:val="24"/>
          <w:highlight w:val="none"/>
          <w:u w:val="single"/>
        </w:rPr>
      </w:pPr>
      <w:r>
        <w:rPr>
          <w:rFonts w:hint="eastAsia" w:ascii="仿宋" w:hAnsi="仿宋" w:eastAsia="仿宋" w:cs="仿宋"/>
          <w:color w:val="auto"/>
          <w:sz w:val="24"/>
          <w:highlight w:val="none"/>
        </w:rPr>
        <w:t>项目名称：</w:t>
      </w:r>
    </w:p>
    <w:tbl>
      <w:tblPr>
        <w:tblStyle w:val="22"/>
        <w:tblW w:w="0" w:type="auto"/>
        <w:tblInd w:w="108"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
      <w:tblGrid>
        <w:gridCol w:w="683"/>
        <w:gridCol w:w="2426"/>
        <w:gridCol w:w="2426"/>
        <w:gridCol w:w="1978"/>
        <w:gridCol w:w="1701"/>
      </w:tblGrid>
      <w:tr w14:paraId="6AA399D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cantSplit/>
          <w:trHeight w:val="450" w:hRule="atLeast"/>
        </w:trPr>
        <w:tc>
          <w:tcPr>
            <w:tcW w:w="683"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7F6FE171">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序号</w:t>
            </w:r>
          </w:p>
        </w:tc>
        <w:tc>
          <w:tcPr>
            <w:tcW w:w="2426"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3F27941C">
            <w:pPr>
              <w:spacing w:before="100" w:beforeAutospacing="1" w:after="100" w:afterAutospacing="1"/>
              <w:contextualSpacing/>
              <w:jc w:val="center"/>
              <w:rPr>
                <w:rFonts w:ascii="仿宋" w:hAnsi="仿宋" w:eastAsia="仿宋" w:cs="仿宋"/>
                <w:color w:val="auto"/>
                <w:highlight w:val="none"/>
              </w:rPr>
            </w:pPr>
            <w:r>
              <w:rPr>
                <w:rFonts w:hint="eastAsia" w:ascii="仿宋" w:hAnsi="仿宋" w:eastAsia="仿宋" w:cs="仿宋"/>
                <w:color w:val="auto"/>
                <w:sz w:val="24"/>
                <w:highlight w:val="none"/>
              </w:rPr>
              <w:t>招标文件评分条款</w:t>
            </w:r>
          </w:p>
        </w:tc>
        <w:tc>
          <w:tcPr>
            <w:tcW w:w="2426"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19556409">
            <w:pPr>
              <w:spacing w:before="100" w:beforeAutospacing="1" w:after="100" w:afterAutospacing="1"/>
              <w:contextualSpacing/>
              <w:jc w:val="center"/>
              <w:rPr>
                <w:rFonts w:ascii="仿宋" w:hAnsi="仿宋" w:eastAsia="仿宋" w:cs="仿宋"/>
                <w:color w:val="auto"/>
                <w:sz w:val="24"/>
                <w:highlight w:val="none"/>
              </w:rPr>
            </w:pPr>
            <w:r>
              <w:rPr>
                <w:rFonts w:hint="eastAsia" w:ascii="仿宋" w:hAnsi="仿宋" w:eastAsia="仿宋" w:cs="仿宋"/>
                <w:color w:val="auto"/>
                <w:sz w:val="24"/>
                <w:highlight w:val="none"/>
              </w:rPr>
              <w:t>投标文件</w:t>
            </w:r>
          </w:p>
          <w:p w14:paraId="272E22D0">
            <w:pPr>
              <w:spacing w:before="100" w:beforeAutospacing="1" w:after="100" w:afterAutospacing="1"/>
              <w:contextualSpacing/>
              <w:jc w:val="center"/>
              <w:rPr>
                <w:rFonts w:ascii="仿宋" w:hAnsi="仿宋" w:eastAsia="仿宋" w:cs="仿宋"/>
                <w:color w:val="auto"/>
                <w:sz w:val="24"/>
                <w:highlight w:val="none"/>
              </w:rPr>
            </w:pPr>
            <w:r>
              <w:rPr>
                <w:rFonts w:hint="eastAsia" w:ascii="仿宋" w:hAnsi="仿宋" w:eastAsia="仿宋" w:cs="仿宋"/>
                <w:color w:val="auto"/>
                <w:sz w:val="24"/>
                <w:highlight w:val="none"/>
              </w:rPr>
              <w:t>响应部分</w:t>
            </w:r>
          </w:p>
        </w:tc>
        <w:tc>
          <w:tcPr>
            <w:tcW w:w="1978"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14DE007E">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偏离说明</w:t>
            </w:r>
          </w:p>
        </w:tc>
        <w:tc>
          <w:tcPr>
            <w:tcW w:w="1701"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2CE918BF">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投标文件中对应的页码</w:t>
            </w:r>
          </w:p>
        </w:tc>
      </w:tr>
      <w:tr w14:paraId="2E8D25F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cantSplit/>
          <w:trHeight w:val="752" w:hRule="atLeast"/>
        </w:trPr>
        <w:tc>
          <w:tcPr>
            <w:tcW w:w="683"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5CA290DC">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1</w:t>
            </w:r>
          </w:p>
        </w:tc>
        <w:tc>
          <w:tcPr>
            <w:tcW w:w="2426"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0BE24C92">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426"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5A525501">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78"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009C33A6">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701"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632B15CF">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4BDD144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cantSplit/>
          <w:trHeight w:val="752" w:hRule="atLeast"/>
        </w:trPr>
        <w:tc>
          <w:tcPr>
            <w:tcW w:w="683"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5E21F2E0">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2</w:t>
            </w:r>
          </w:p>
        </w:tc>
        <w:tc>
          <w:tcPr>
            <w:tcW w:w="2426"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64443D5C">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426"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26C6FF59">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78"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6CE4E4BF">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701"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553C5AB6">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5F6F666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cantSplit/>
          <w:trHeight w:val="752" w:hRule="atLeast"/>
        </w:trPr>
        <w:tc>
          <w:tcPr>
            <w:tcW w:w="683"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75C64BDF">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3</w:t>
            </w:r>
          </w:p>
        </w:tc>
        <w:tc>
          <w:tcPr>
            <w:tcW w:w="2426"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29678A7F">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426"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03EDFA99">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78"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513F8272">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701"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7F527C8F">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437FFD0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cantSplit/>
          <w:trHeight w:val="752" w:hRule="atLeast"/>
        </w:trPr>
        <w:tc>
          <w:tcPr>
            <w:tcW w:w="683"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7C43283C">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4</w:t>
            </w:r>
          </w:p>
        </w:tc>
        <w:tc>
          <w:tcPr>
            <w:tcW w:w="2426"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44B701FE">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426"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10FD449D">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78"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013E8C42">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701"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0BBFA5F3">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66747A7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cantSplit/>
          <w:trHeight w:val="752" w:hRule="atLeast"/>
        </w:trPr>
        <w:tc>
          <w:tcPr>
            <w:tcW w:w="683"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2A898EC7">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5</w:t>
            </w:r>
          </w:p>
        </w:tc>
        <w:tc>
          <w:tcPr>
            <w:tcW w:w="2426"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0369C04C">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426"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52E5AB7F">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78"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4200ECB6">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701"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61C08C14">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696E4D8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cantSplit/>
          <w:trHeight w:val="752" w:hRule="atLeast"/>
        </w:trPr>
        <w:tc>
          <w:tcPr>
            <w:tcW w:w="683"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1113CFEF">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6</w:t>
            </w:r>
          </w:p>
        </w:tc>
        <w:tc>
          <w:tcPr>
            <w:tcW w:w="2426"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6470CA3A">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426"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5ABC3442">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78"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10D20C1C">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701"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76E417AE">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0C7E476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cantSplit/>
          <w:trHeight w:val="752" w:hRule="atLeast"/>
        </w:trPr>
        <w:tc>
          <w:tcPr>
            <w:tcW w:w="683"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02D448B1">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7</w:t>
            </w:r>
          </w:p>
        </w:tc>
        <w:tc>
          <w:tcPr>
            <w:tcW w:w="2426"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063A971E">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426"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79C35279">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78"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43843F05">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701"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095D6606">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03F1AED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cantSplit/>
          <w:trHeight w:val="752" w:hRule="atLeast"/>
        </w:trPr>
        <w:tc>
          <w:tcPr>
            <w:tcW w:w="683"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1CFDFC2E">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8</w:t>
            </w:r>
          </w:p>
        </w:tc>
        <w:tc>
          <w:tcPr>
            <w:tcW w:w="2426"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229D1E6B">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426"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0FB37D6E">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78"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539688CF">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701"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07D8F803">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1CE1003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cantSplit/>
          <w:trHeight w:val="752" w:hRule="atLeast"/>
        </w:trPr>
        <w:tc>
          <w:tcPr>
            <w:tcW w:w="683"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238C57BE">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w:t>
            </w:r>
          </w:p>
        </w:tc>
        <w:tc>
          <w:tcPr>
            <w:tcW w:w="2426"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2FF78EFF">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426"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580331B1">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78"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47EFE8B3">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701"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531544C5">
            <w:pPr>
              <w:spacing w:before="100" w:beforeAutospacing="1" w:after="100" w:afterAutospacing="1"/>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bl>
    <w:p w14:paraId="0C105711">
      <w:pPr>
        <w:shd w:val="clear" w:color="auto" w:fill="FFFFFF"/>
        <w:spacing w:line="360" w:lineRule="atLeast"/>
        <w:ind w:left="482" w:hanging="482"/>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注：</w:t>
      </w:r>
    </w:p>
    <w:p w14:paraId="4E687D9D">
      <w:pPr>
        <w:shd w:val="clear" w:color="auto" w:fill="FFFFFF"/>
        <w:spacing w:line="360" w:lineRule="atLeast"/>
        <w:rPr>
          <w:rFonts w:ascii="仿宋" w:hAnsi="仿宋" w:eastAsia="仿宋" w:cs="仿宋"/>
          <w:color w:val="auto"/>
          <w:sz w:val="24"/>
          <w:highlight w:val="none"/>
        </w:rPr>
      </w:pPr>
      <w:r>
        <w:rPr>
          <w:rFonts w:hint="eastAsia" w:ascii="仿宋" w:hAnsi="仿宋" w:eastAsia="仿宋" w:cs="仿宋"/>
          <w:color w:val="auto"/>
          <w:sz w:val="24"/>
          <w:highlight w:val="none"/>
          <w:shd w:val="clear" w:color="auto" w:fill="FFFFFF"/>
        </w:rPr>
        <w:t>1.投标人应对照招标文件“</w:t>
      </w:r>
      <w:r>
        <w:rPr>
          <w:rFonts w:hint="eastAsia" w:ascii="仿宋" w:hAnsi="仿宋" w:eastAsia="仿宋" w:cs="仿宋"/>
          <w:b/>
          <w:bCs/>
          <w:color w:val="auto"/>
          <w:sz w:val="24"/>
          <w:highlight w:val="none"/>
          <w:shd w:val="clear" w:color="auto" w:fill="FFFFFF"/>
        </w:rPr>
        <w:t>详细评分表</w:t>
      </w:r>
      <w:r>
        <w:rPr>
          <w:rFonts w:hint="eastAsia" w:ascii="仿宋" w:hAnsi="仿宋" w:eastAsia="仿宋" w:cs="仿宋"/>
          <w:color w:val="auto"/>
          <w:sz w:val="24"/>
          <w:highlight w:val="none"/>
          <w:shd w:val="clear" w:color="auto" w:fill="FFFFFF"/>
        </w:rPr>
        <w:t>”的条款逐项说明是否满足要求，如有偏离,投标人必须详细说明。</w:t>
      </w:r>
    </w:p>
    <w:p w14:paraId="77FB7394">
      <w:pPr>
        <w:shd w:val="clear" w:color="auto" w:fill="FFFFFF"/>
        <w:spacing w:line="360" w:lineRule="atLeast"/>
        <w:rPr>
          <w:rFonts w:ascii="仿宋" w:hAnsi="仿宋" w:eastAsia="仿宋" w:cs="仿宋"/>
          <w:color w:val="auto"/>
          <w:sz w:val="24"/>
          <w:highlight w:val="none"/>
        </w:rPr>
      </w:pPr>
      <w:r>
        <w:rPr>
          <w:rFonts w:hint="eastAsia" w:ascii="仿宋" w:hAnsi="仿宋" w:eastAsia="仿宋" w:cs="仿宋"/>
          <w:b/>
          <w:color w:val="auto"/>
          <w:sz w:val="24"/>
          <w:highlight w:val="none"/>
          <w:shd w:val="clear" w:color="auto" w:fill="FFFFFF"/>
        </w:rPr>
        <w:t>2.投标人须提供投标内容响应</w:t>
      </w:r>
      <w:r>
        <w:rPr>
          <w:rFonts w:hint="eastAsia" w:ascii="仿宋" w:hAnsi="仿宋" w:eastAsia="仿宋" w:cs="仿宋"/>
          <w:b/>
          <w:color w:val="auto"/>
          <w:sz w:val="24"/>
          <w:highlight w:val="none"/>
        </w:rPr>
        <w:t>资料在投标文件中的具体页码。</w:t>
      </w:r>
    </w:p>
    <w:p w14:paraId="722DE8DA">
      <w:pPr>
        <w:shd w:val="clear" w:color="auto" w:fill="FFFFFF"/>
        <w:spacing w:before="100" w:beforeAutospacing="1" w:after="100" w:afterAutospacing="1" w:line="360" w:lineRule="atLeast"/>
        <w:ind w:left="480" w:hanging="480"/>
        <w:jc w:val="right"/>
        <w:rPr>
          <w:rFonts w:ascii="仿宋" w:hAnsi="仿宋" w:eastAsia="仿宋" w:cs="仿宋"/>
          <w:color w:val="auto"/>
          <w:sz w:val="24"/>
          <w:highlight w:val="none"/>
        </w:rPr>
      </w:pPr>
    </w:p>
    <w:p w14:paraId="06D06631">
      <w:pPr>
        <w:spacing w:line="480" w:lineRule="auto"/>
        <w:ind w:firstLine="480" w:firstLineChars="200"/>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投标人（公章）：</w:t>
      </w:r>
    </w:p>
    <w:p w14:paraId="49FEF7D6">
      <w:pPr>
        <w:spacing w:line="480" w:lineRule="auto"/>
        <w:ind w:firstLine="480" w:firstLineChars="200"/>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法定代表人或授权代表（签字）：</w:t>
      </w:r>
    </w:p>
    <w:p w14:paraId="1CECB177">
      <w:pPr>
        <w:spacing w:line="360" w:lineRule="auto"/>
        <w:ind w:firstLine="480" w:firstLineChars="200"/>
        <w:rPr>
          <w:rFonts w:ascii="宋体" w:hAnsi="宋体"/>
          <w:color w:val="auto"/>
          <w:sz w:val="24"/>
          <w:highlight w:val="none"/>
        </w:rPr>
      </w:pPr>
      <w:r>
        <w:rPr>
          <w:rFonts w:hint="eastAsia" w:ascii="仿宋" w:hAnsi="仿宋" w:eastAsia="仿宋" w:cs="仿宋"/>
          <w:color w:val="auto"/>
          <w:sz w:val="24"/>
          <w:highlight w:val="none"/>
        </w:rPr>
        <w:t>日  期：</w:t>
      </w:r>
      <w:r>
        <w:rPr>
          <w:rFonts w:hint="eastAsia" w:ascii="宋体" w:hAnsi="宋体"/>
          <w:color w:val="auto"/>
          <w:sz w:val="24"/>
          <w:highlight w:val="none"/>
        </w:rPr>
        <w:br w:type="page"/>
      </w:r>
    </w:p>
    <w:p w14:paraId="493A60D4">
      <w:pPr>
        <w:pStyle w:val="2"/>
        <w:spacing w:beforeLines="50" w:afterLines="100"/>
        <w:jc w:val="center"/>
        <w:rPr>
          <w:rFonts w:ascii="仿宋" w:hAnsi="仿宋" w:eastAsia="仿宋" w:cs="仿宋"/>
          <w:color w:val="auto"/>
          <w:kern w:val="2"/>
          <w:sz w:val="32"/>
          <w:szCs w:val="32"/>
          <w:highlight w:val="none"/>
        </w:rPr>
      </w:pPr>
      <w:r>
        <w:rPr>
          <w:rFonts w:hint="eastAsia" w:ascii="仿宋" w:hAnsi="仿宋" w:eastAsia="仿宋" w:cs="仿宋"/>
          <w:color w:val="auto"/>
          <w:kern w:val="2"/>
          <w:sz w:val="32"/>
          <w:szCs w:val="32"/>
          <w:highlight w:val="none"/>
        </w:rPr>
        <w:t>一、投标函</w:t>
      </w:r>
      <w:bookmarkEnd w:id="648"/>
      <w:bookmarkEnd w:id="649"/>
      <w:bookmarkEnd w:id="650"/>
      <w:bookmarkEnd w:id="651"/>
      <w:bookmarkEnd w:id="652"/>
      <w:bookmarkEnd w:id="653"/>
    </w:p>
    <w:p w14:paraId="02872F72">
      <w:pPr>
        <w:spacing w:line="480" w:lineRule="auto"/>
        <w:jc w:val="left"/>
        <w:textAlignment w:val="baseline"/>
        <w:rPr>
          <w:rFonts w:ascii="仿宋" w:hAnsi="仿宋" w:eastAsia="仿宋" w:cs="仿宋"/>
          <w:color w:val="auto"/>
          <w:sz w:val="24"/>
          <w:highlight w:val="none"/>
          <w:u w:val="single"/>
        </w:rPr>
      </w:pPr>
      <w:r>
        <w:rPr>
          <w:rFonts w:hint="eastAsia" w:ascii="仿宋" w:hAnsi="仿宋" w:eastAsia="仿宋" w:cs="仿宋"/>
          <w:color w:val="auto"/>
          <w:sz w:val="24"/>
          <w:highlight w:val="none"/>
        </w:rPr>
        <w:t>致：</w:t>
      </w:r>
      <w:r>
        <w:rPr>
          <w:rFonts w:hint="eastAsia" w:ascii="仿宋" w:hAnsi="仿宋" w:eastAsia="仿宋" w:cs="仿宋"/>
          <w:color w:val="auto"/>
          <w:sz w:val="24"/>
          <w:highlight w:val="none"/>
          <w:u w:val="single"/>
        </w:rPr>
        <w:t>（招标代理机构名称）</w:t>
      </w:r>
    </w:p>
    <w:p w14:paraId="76864654">
      <w:pPr>
        <w:spacing w:line="480" w:lineRule="auto"/>
        <w:ind w:firstLine="480" w:firstLineChars="200"/>
        <w:jc w:val="left"/>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根据贵方为</w:t>
      </w:r>
      <w:r>
        <w:rPr>
          <w:rFonts w:hint="eastAsia" w:ascii="仿宋" w:hAnsi="仿宋" w:eastAsia="仿宋" w:cs="仿宋"/>
          <w:color w:val="auto"/>
          <w:sz w:val="24"/>
          <w:highlight w:val="none"/>
          <w:u w:val="single"/>
        </w:rPr>
        <w:t xml:space="preserve">  （项目名称、编号）   </w:t>
      </w:r>
      <w:r>
        <w:rPr>
          <w:rFonts w:hint="eastAsia" w:ascii="仿宋" w:hAnsi="仿宋" w:eastAsia="仿宋" w:cs="仿宋"/>
          <w:color w:val="auto"/>
          <w:sz w:val="24"/>
          <w:highlight w:val="none"/>
        </w:rPr>
        <w:t>项目采购的投标邀请，签字代表</w:t>
      </w:r>
      <w:r>
        <w:rPr>
          <w:rFonts w:hint="eastAsia" w:ascii="仿宋" w:hAnsi="仿宋" w:eastAsia="仿宋" w:cs="仿宋"/>
          <w:color w:val="auto"/>
          <w:sz w:val="24"/>
          <w:highlight w:val="none"/>
          <w:u w:val="single"/>
        </w:rPr>
        <w:t xml:space="preserve">（被授权委托人全名、职务）  </w:t>
      </w:r>
      <w:r>
        <w:rPr>
          <w:rFonts w:hint="eastAsia" w:ascii="仿宋" w:hAnsi="仿宋" w:eastAsia="仿宋" w:cs="仿宋"/>
          <w:color w:val="auto"/>
          <w:sz w:val="24"/>
          <w:highlight w:val="none"/>
        </w:rPr>
        <w:t>经正式授权并代表投标人</w:t>
      </w:r>
      <w:r>
        <w:rPr>
          <w:rFonts w:hint="eastAsia" w:ascii="仿宋" w:hAnsi="仿宋" w:eastAsia="仿宋" w:cs="仿宋"/>
          <w:color w:val="auto"/>
          <w:sz w:val="24"/>
          <w:highlight w:val="none"/>
          <w:u w:val="single"/>
        </w:rPr>
        <w:t xml:space="preserve">   （投标人名称、地址）   </w:t>
      </w:r>
      <w:r>
        <w:rPr>
          <w:rFonts w:hint="eastAsia" w:ascii="仿宋" w:hAnsi="仿宋" w:eastAsia="仿宋" w:cs="仿宋"/>
          <w:color w:val="auto"/>
          <w:sz w:val="24"/>
          <w:highlight w:val="none"/>
        </w:rPr>
        <w:t>提交下述文件正本份和副本一式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份。</w:t>
      </w:r>
    </w:p>
    <w:p w14:paraId="02BCEE49">
      <w:pPr>
        <w:spacing w:line="480" w:lineRule="auto"/>
        <w:ind w:firstLine="480" w:firstLineChars="200"/>
        <w:jc w:val="left"/>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据此函，签字代表宣布声明如下：</w:t>
      </w:r>
    </w:p>
    <w:p w14:paraId="7AE9F109">
      <w:pPr>
        <w:spacing w:line="480" w:lineRule="auto"/>
        <w:ind w:firstLine="480" w:firstLineChars="200"/>
        <w:jc w:val="left"/>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1、所附投标报价表中规定的应提供和交付的投标总价为人民币</w:t>
      </w:r>
      <w:r>
        <w:rPr>
          <w:rFonts w:hint="eastAsia" w:ascii="仿宋" w:hAnsi="仿宋" w:eastAsia="仿宋" w:cs="仿宋"/>
          <w:color w:val="auto"/>
          <w:sz w:val="24"/>
          <w:highlight w:val="none"/>
          <w:u w:val="single"/>
        </w:rPr>
        <w:t>　　　 　</w:t>
      </w:r>
      <w:r>
        <w:rPr>
          <w:rFonts w:hint="eastAsia" w:ascii="仿宋" w:hAnsi="仿宋" w:eastAsia="仿宋" w:cs="仿宋"/>
          <w:color w:val="auto"/>
          <w:sz w:val="24"/>
          <w:highlight w:val="none"/>
        </w:rPr>
        <w:t>万元。</w:t>
      </w:r>
    </w:p>
    <w:p w14:paraId="2125C510">
      <w:pPr>
        <w:spacing w:line="480" w:lineRule="auto"/>
        <w:ind w:firstLine="480" w:firstLineChars="200"/>
        <w:jc w:val="left"/>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2、投标人将按招标文件的规定履行合同责任和义务。</w:t>
      </w:r>
    </w:p>
    <w:p w14:paraId="39CBA87E">
      <w:pPr>
        <w:spacing w:line="480" w:lineRule="auto"/>
        <w:ind w:firstLine="480" w:firstLineChars="200"/>
        <w:jc w:val="left"/>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3、投标人已详细阅读全部招标文件，包括修改文件（如需要修改）以及全部参考资料和有关附件。我们完全理解并同意放弃对这方面有不明及误解的权利。</w:t>
      </w:r>
    </w:p>
    <w:p w14:paraId="5EE0898E">
      <w:pPr>
        <w:spacing w:line="480" w:lineRule="auto"/>
        <w:ind w:firstLine="480" w:firstLineChars="200"/>
        <w:jc w:val="left"/>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4、本投标有效期为自开标日起九十（90）天。</w:t>
      </w:r>
    </w:p>
    <w:p w14:paraId="00C49CE4">
      <w:pPr>
        <w:spacing w:line="480" w:lineRule="auto"/>
        <w:ind w:firstLine="480" w:firstLineChars="200"/>
        <w:jc w:val="left"/>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5、投标人同意提供按照贵方可能要求的与其投标有关的一切数据或资料，完全理解不一定要接受最低价格的投标或受到的任何投标。</w:t>
      </w:r>
    </w:p>
    <w:p w14:paraId="7742C068">
      <w:pPr>
        <w:spacing w:line="480" w:lineRule="auto"/>
        <w:ind w:firstLine="480" w:firstLineChars="200"/>
        <w:jc w:val="left"/>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7、与本投标有关的一切正式往来通讯请按下列信息和方式联系：</w:t>
      </w:r>
    </w:p>
    <w:p w14:paraId="70672E23">
      <w:pPr>
        <w:spacing w:line="480" w:lineRule="auto"/>
        <w:ind w:firstLine="480" w:firstLineChars="200"/>
        <w:jc w:val="left"/>
        <w:textAlignment w:val="baseline"/>
        <w:rPr>
          <w:rFonts w:ascii="仿宋" w:hAnsi="仿宋" w:eastAsia="仿宋" w:cs="仿宋"/>
          <w:color w:val="auto"/>
          <w:sz w:val="24"/>
          <w:highlight w:val="none"/>
          <w:u w:val="single"/>
        </w:rPr>
      </w:pPr>
      <w:r>
        <w:rPr>
          <w:rFonts w:hint="eastAsia" w:ascii="仿宋" w:hAnsi="仿宋" w:eastAsia="仿宋" w:cs="仿宋"/>
          <w:color w:val="auto"/>
          <w:sz w:val="24"/>
          <w:highlight w:val="none"/>
        </w:rPr>
        <w:t>地     址：</w:t>
      </w:r>
    </w:p>
    <w:p w14:paraId="3DFCF60B">
      <w:pPr>
        <w:spacing w:line="480" w:lineRule="auto"/>
        <w:ind w:firstLine="480" w:firstLineChars="200"/>
        <w:jc w:val="left"/>
        <w:textAlignment w:val="baseline"/>
        <w:rPr>
          <w:rFonts w:ascii="仿宋" w:hAnsi="仿宋" w:eastAsia="仿宋" w:cs="仿宋"/>
          <w:color w:val="auto"/>
          <w:sz w:val="24"/>
          <w:highlight w:val="none"/>
          <w:u w:val="single"/>
        </w:rPr>
      </w:pPr>
      <w:r>
        <w:rPr>
          <w:rFonts w:hint="eastAsia" w:ascii="仿宋" w:hAnsi="仿宋" w:eastAsia="仿宋" w:cs="仿宋"/>
          <w:color w:val="auto"/>
          <w:sz w:val="24"/>
          <w:highlight w:val="none"/>
        </w:rPr>
        <w:t>邮     编：</w:t>
      </w:r>
    </w:p>
    <w:p w14:paraId="3622F820">
      <w:pPr>
        <w:spacing w:line="480" w:lineRule="auto"/>
        <w:ind w:firstLine="480" w:firstLineChars="200"/>
        <w:jc w:val="left"/>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电     话：</w:t>
      </w:r>
    </w:p>
    <w:p w14:paraId="6C8B3E53">
      <w:pPr>
        <w:spacing w:line="480" w:lineRule="auto"/>
        <w:ind w:firstLine="480" w:firstLineChars="200"/>
        <w:jc w:val="left"/>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传     真：</w:t>
      </w:r>
    </w:p>
    <w:p w14:paraId="52366B59">
      <w:pPr>
        <w:spacing w:line="480" w:lineRule="auto"/>
        <w:ind w:firstLine="480" w:firstLineChars="200"/>
        <w:jc w:val="left"/>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投标人代表姓名、职务：</w:t>
      </w:r>
    </w:p>
    <w:p w14:paraId="4D3A6ED3">
      <w:pPr>
        <w:spacing w:line="480" w:lineRule="auto"/>
        <w:ind w:firstLine="480" w:firstLineChars="200"/>
        <w:jc w:val="left"/>
        <w:textAlignment w:val="baseline"/>
        <w:rPr>
          <w:rFonts w:ascii="仿宋" w:hAnsi="仿宋" w:eastAsia="仿宋" w:cs="仿宋"/>
          <w:color w:val="auto"/>
          <w:sz w:val="24"/>
          <w:highlight w:val="none"/>
          <w:u w:val="single"/>
        </w:rPr>
      </w:pPr>
      <w:r>
        <w:rPr>
          <w:rFonts w:hint="eastAsia" w:ascii="仿宋" w:hAnsi="仿宋" w:eastAsia="仿宋" w:cs="仿宋"/>
          <w:color w:val="auto"/>
          <w:sz w:val="24"/>
          <w:highlight w:val="none"/>
        </w:rPr>
        <w:t>投标人名称（公章）：</w:t>
      </w:r>
    </w:p>
    <w:p w14:paraId="1A5B00D9">
      <w:pPr>
        <w:spacing w:line="480" w:lineRule="auto"/>
        <w:ind w:firstLine="480" w:firstLineChars="200"/>
        <w:jc w:val="left"/>
        <w:textAlignment w:val="baseline"/>
        <w:rPr>
          <w:rFonts w:ascii="仿宋" w:hAnsi="仿宋" w:eastAsia="仿宋" w:cs="仿宋"/>
          <w:color w:val="auto"/>
          <w:sz w:val="24"/>
          <w:highlight w:val="none"/>
        </w:rPr>
        <w:sectPr>
          <w:headerReference r:id="rId15" w:type="default"/>
          <w:footerReference r:id="rId16" w:type="default"/>
          <w:pgSz w:w="11906" w:h="16838"/>
          <w:pgMar w:top="1304" w:right="1134" w:bottom="1304" w:left="1134" w:header="851" w:footer="992" w:gutter="0"/>
          <w:cols w:space="720" w:num="1"/>
          <w:docGrid w:linePitch="312" w:charSpace="0"/>
        </w:sectPr>
      </w:pPr>
      <w:r>
        <w:rPr>
          <w:rFonts w:hint="eastAsia" w:ascii="仿宋" w:hAnsi="仿宋" w:eastAsia="仿宋" w:cs="仿宋"/>
          <w:color w:val="auto"/>
          <w:sz w:val="24"/>
          <w:highlight w:val="none"/>
        </w:rPr>
        <w:t>法定代表人或授权代表（签字）：               日期：</w:t>
      </w:r>
    </w:p>
    <w:p w14:paraId="3335189B">
      <w:pPr>
        <w:pStyle w:val="3"/>
        <w:spacing w:before="0" w:afterLines="50"/>
        <w:jc w:val="center"/>
        <w:rPr>
          <w:rFonts w:ascii="仿宋" w:hAnsi="仿宋" w:eastAsia="仿宋" w:cs="仿宋"/>
          <w:color w:val="auto"/>
          <w:highlight w:val="none"/>
        </w:rPr>
      </w:pPr>
      <w:bookmarkStart w:id="654" w:name="_Toc9447"/>
      <w:bookmarkStart w:id="655" w:name="_Toc387240420"/>
      <w:bookmarkStart w:id="656" w:name="_Toc5028"/>
      <w:bookmarkStart w:id="657" w:name="_Toc167096266"/>
      <w:bookmarkStart w:id="658" w:name="_Toc444509172"/>
      <w:bookmarkStart w:id="659" w:name="_Toc154978912"/>
      <w:bookmarkStart w:id="660" w:name="_Toc170707139"/>
      <w:r>
        <w:rPr>
          <w:rFonts w:hint="eastAsia" w:ascii="仿宋" w:hAnsi="仿宋" w:eastAsia="仿宋" w:cs="仿宋"/>
          <w:color w:val="auto"/>
          <w:highlight w:val="none"/>
        </w:rPr>
        <w:t>二、投标一览表</w:t>
      </w:r>
      <w:bookmarkEnd w:id="654"/>
      <w:bookmarkEnd w:id="655"/>
      <w:bookmarkEnd w:id="656"/>
      <w:bookmarkEnd w:id="657"/>
      <w:bookmarkEnd w:id="658"/>
    </w:p>
    <w:p w14:paraId="629DF4FC">
      <w:pPr>
        <w:spacing w:line="48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投标人名称：                                                                        </w:t>
      </w:r>
    </w:p>
    <w:tbl>
      <w:tblPr>
        <w:tblStyle w:val="22"/>
        <w:tblW w:w="9105" w:type="dxa"/>
        <w:tblInd w:w="93" w:type="dxa"/>
        <w:tblLayout w:type="autofit"/>
        <w:tblCellMar>
          <w:top w:w="0" w:type="dxa"/>
          <w:left w:w="108" w:type="dxa"/>
          <w:bottom w:w="0" w:type="dxa"/>
          <w:right w:w="108" w:type="dxa"/>
        </w:tblCellMar>
      </w:tblPr>
      <w:tblGrid>
        <w:gridCol w:w="805"/>
        <w:gridCol w:w="1723"/>
        <w:gridCol w:w="1744"/>
        <w:gridCol w:w="1146"/>
        <w:gridCol w:w="3687"/>
      </w:tblGrid>
      <w:tr w14:paraId="340F1B32">
        <w:tblPrEx>
          <w:tblCellMar>
            <w:top w:w="0" w:type="dxa"/>
            <w:left w:w="108" w:type="dxa"/>
            <w:bottom w:w="0" w:type="dxa"/>
            <w:right w:w="108" w:type="dxa"/>
          </w:tblCellMar>
        </w:tblPrEx>
        <w:trPr>
          <w:trHeight w:val="560" w:hRule="atLeast"/>
        </w:trPr>
        <w:tc>
          <w:tcPr>
            <w:tcW w:w="8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BDDFC">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rPr>
              <w:t>序号</w:t>
            </w:r>
          </w:p>
        </w:tc>
        <w:tc>
          <w:tcPr>
            <w:tcW w:w="346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0FDF02">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rPr>
              <w:t>项目内容</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30B1E">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rPr>
              <w:t>单位</w:t>
            </w:r>
          </w:p>
        </w:tc>
        <w:tc>
          <w:tcPr>
            <w:tcW w:w="3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A85A0">
            <w:pPr>
              <w:jc w:val="right"/>
              <w:rPr>
                <w:rFonts w:ascii="仿宋" w:hAnsi="仿宋" w:eastAsia="仿宋" w:cs="仿宋"/>
                <w:color w:val="auto"/>
                <w:sz w:val="22"/>
                <w:szCs w:val="22"/>
                <w:highlight w:val="none"/>
              </w:rPr>
            </w:pPr>
          </w:p>
        </w:tc>
      </w:tr>
      <w:tr w14:paraId="520C88FF">
        <w:tblPrEx>
          <w:tblCellMar>
            <w:top w:w="0" w:type="dxa"/>
            <w:left w:w="108" w:type="dxa"/>
            <w:bottom w:w="0" w:type="dxa"/>
            <w:right w:w="108" w:type="dxa"/>
          </w:tblCellMar>
        </w:tblPrEx>
        <w:trPr>
          <w:trHeight w:val="647" w:hRule="atLeast"/>
        </w:trPr>
        <w:tc>
          <w:tcPr>
            <w:tcW w:w="8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56110">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rPr>
              <w:t>1</w:t>
            </w:r>
          </w:p>
        </w:tc>
        <w:tc>
          <w:tcPr>
            <w:tcW w:w="346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056D04">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rPr>
              <w:t>投标总报价</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67685">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rPr>
              <w:t>万元</w:t>
            </w:r>
          </w:p>
        </w:tc>
        <w:tc>
          <w:tcPr>
            <w:tcW w:w="3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8A745">
            <w:pPr>
              <w:jc w:val="right"/>
              <w:rPr>
                <w:rFonts w:ascii="仿宋" w:hAnsi="仿宋" w:eastAsia="仿宋" w:cs="仿宋"/>
                <w:color w:val="auto"/>
                <w:sz w:val="22"/>
                <w:szCs w:val="22"/>
                <w:highlight w:val="none"/>
              </w:rPr>
            </w:pPr>
          </w:p>
        </w:tc>
      </w:tr>
      <w:tr w14:paraId="763CCF4A">
        <w:tblPrEx>
          <w:tblCellMar>
            <w:top w:w="0" w:type="dxa"/>
            <w:left w:w="108" w:type="dxa"/>
            <w:bottom w:w="0" w:type="dxa"/>
            <w:right w:w="108" w:type="dxa"/>
          </w:tblCellMar>
        </w:tblPrEx>
        <w:trPr>
          <w:trHeight w:val="540" w:hRule="atLeast"/>
        </w:trPr>
        <w:tc>
          <w:tcPr>
            <w:tcW w:w="8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CB09A">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rPr>
              <w:t>2</w:t>
            </w:r>
          </w:p>
        </w:tc>
        <w:tc>
          <w:tcPr>
            <w:tcW w:w="346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49FD48">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rPr>
              <w:t>工期</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8B854">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rPr>
              <w:t>日历天</w:t>
            </w:r>
          </w:p>
        </w:tc>
        <w:tc>
          <w:tcPr>
            <w:tcW w:w="3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6D66E">
            <w:pPr>
              <w:jc w:val="right"/>
              <w:rPr>
                <w:rFonts w:ascii="仿宋" w:hAnsi="仿宋" w:eastAsia="仿宋" w:cs="仿宋"/>
                <w:color w:val="auto"/>
                <w:sz w:val="22"/>
                <w:szCs w:val="22"/>
                <w:highlight w:val="none"/>
              </w:rPr>
            </w:pPr>
          </w:p>
        </w:tc>
      </w:tr>
      <w:tr w14:paraId="7D58E8F7">
        <w:tblPrEx>
          <w:tblCellMar>
            <w:top w:w="0" w:type="dxa"/>
            <w:left w:w="108" w:type="dxa"/>
            <w:bottom w:w="0" w:type="dxa"/>
            <w:right w:w="108" w:type="dxa"/>
          </w:tblCellMar>
        </w:tblPrEx>
        <w:trPr>
          <w:trHeight w:val="520" w:hRule="atLeast"/>
        </w:trPr>
        <w:tc>
          <w:tcPr>
            <w:tcW w:w="8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5969D">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rPr>
              <w:t>3</w:t>
            </w:r>
          </w:p>
        </w:tc>
        <w:tc>
          <w:tcPr>
            <w:tcW w:w="346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DCA1E6">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rPr>
              <w:t>误期违约赔偿金额</w:t>
            </w:r>
          </w:p>
        </w:tc>
        <w:tc>
          <w:tcPr>
            <w:tcW w:w="11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D772A">
            <w:pPr>
              <w:jc w:val="center"/>
              <w:rPr>
                <w:rFonts w:ascii="仿宋" w:hAnsi="仿宋" w:eastAsia="仿宋" w:cs="仿宋"/>
                <w:color w:val="auto"/>
                <w:sz w:val="22"/>
                <w:szCs w:val="22"/>
                <w:highlight w:val="none"/>
              </w:rPr>
            </w:pPr>
          </w:p>
        </w:tc>
        <w:tc>
          <w:tcPr>
            <w:tcW w:w="3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12702">
            <w:pPr>
              <w:jc w:val="right"/>
              <w:rPr>
                <w:rFonts w:ascii="仿宋" w:hAnsi="仿宋" w:eastAsia="仿宋" w:cs="仿宋"/>
                <w:color w:val="auto"/>
                <w:sz w:val="22"/>
                <w:szCs w:val="22"/>
                <w:highlight w:val="none"/>
              </w:rPr>
            </w:pPr>
          </w:p>
        </w:tc>
      </w:tr>
      <w:tr w14:paraId="0D6055BE">
        <w:tblPrEx>
          <w:tblCellMar>
            <w:top w:w="0" w:type="dxa"/>
            <w:left w:w="108" w:type="dxa"/>
            <w:bottom w:w="0" w:type="dxa"/>
            <w:right w:w="108" w:type="dxa"/>
          </w:tblCellMar>
        </w:tblPrEx>
        <w:trPr>
          <w:trHeight w:val="540" w:hRule="atLeast"/>
        </w:trPr>
        <w:tc>
          <w:tcPr>
            <w:tcW w:w="8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65F33">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rPr>
              <w:t>4</w:t>
            </w:r>
          </w:p>
        </w:tc>
        <w:tc>
          <w:tcPr>
            <w:tcW w:w="346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1C2E96">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rPr>
              <w:t>误期违约金赔偿限额</w:t>
            </w:r>
          </w:p>
        </w:tc>
        <w:tc>
          <w:tcPr>
            <w:tcW w:w="11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0FE2F">
            <w:pPr>
              <w:jc w:val="center"/>
              <w:rPr>
                <w:rFonts w:ascii="仿宋" w:hAnsi="仿宋" w:eastAsia="仿宋" w:cs="仿宋"/>
                <w:color w:val="auto"/>
                <w:sz w:val="22"/>
                <w:szCs w:val="22"/>
                <w:highlight w:val="none"/>
              </w:rPr>
            </w:pPr>
          </w:p>
        </w:tc>
        <w:tc>
          <w:tcPr>
            <w:tcW w:w="3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5BD6D">
            <w:pPr>
              <w:jc w:val="right"/>
              <w:rPr>
                <w:rFonts w:ascii="仿宋" w:hAnsi="仿宋" w:eastAsia="仿宋" w:cs="仿宋"/>
                <w:color w:val="auto"/>
                <w:sz w:val="22"/>
                <w:szCs w:val="22"/>
                <w:highlight w:val="none"/>
              </w:rPr>
            </w:pPr>
          </w:p>
        </w:tc>
      </w:tr>
      <w:tr w14:paraId="65631064">
        <w:tblPrEx>
          <w:tblCellMar>
            <w:top w:w="0" w:type="dxa"/>
            <w:left w:w="108" w:type="dxa"/>
            <w:bottom w:w="0" w:type="dxa"/>
            <w:right w:w="108" w:type="dxa"/>
          </w:tblCellMar>
        </w:tblPrEx>
        <w:trPr>
          <w:trHeight w:val="540" w:hRule="atLeast"/>
        </w:trPr>
        <w:tc>
          <w:tcPr>
            <w:tcW w:w="8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B86AD">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rPr>
              <w:t>5</w:t>
            </w:r>
          </w:p>
        </w:tc>
        <w:tc>
          <w:tcPr>
            <w:tcW w:w="346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D36DF1">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rPr>
              <w:t>工程质量等级目标</w:t>
            </w:r>
          </w:p>
        </w:tc>
        <w:tc>
          <w:tcPr>
            <w:tcW w:w="11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43F1E">
            <w:pPr>
              <w:jc w:val="center"/>
              <w:rPr>
                <w:rFonts w:ascii="仿宋" w:hAnsi="仿宋" w:eastAsia="仿宋" w:cs="仿宋"/>
                <w:color w:val="auto"/>
                <w:sz w:val="22"/>
                <w:szCs w:val="22"/>
                <w:highlight w:val="none"/>
              </w:rPr>
            </w:pPr>
          </w:p>
        </w:tc>
        <w:tc>
          <w:tcPr>
            <w:tcW w:w="3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F2F2F">
            <w:pPr>
              <w:jc w:val="right"/>
              <w:rPr>
                <w:rFonts w:ascii="仿宋" w:hAnsi="仿宋" w:eastAsia="仿宋" w:cs="仿宋"/>
                <w:color w:val="auto"/>
                <w:sz w:val="22"/>
                <w:szCs w:val="22"/>
                <w:highlight w:val="none"/>
              </w:rPr>
            </w:pPr>
          </w:p>
        </w:tc>
      </w:tr>
      <w:tr w14:paraId="74530BF2">
        <w:tblPrEx>
          <w:tblCellMar>
            <w:top w:w="0" w:type="dxa"/>
            <w:left w:w="108" w:type="dxa"/>
            <w:bottom w:w="0" w:type="dxa"/>
            <w:right w:w="108" w:type="dxa"/>
          </w:tblCellMar>
        </w:tblPrEx>
        <w:trPr>
          <w:trHeight w:val="540" w:hRule="atLeast"/>
        </w:trPr>
        <w:tc>
          <w:tcPr>
            <w:tcW w:w="8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A2A1B">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rPr>
              <w:t>6</w:t>
            </w:r>
          </w:p>
        </w:tc>
        <w:tc>
          <w:tcPr>
            <w:tcW w:w="346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2DD9BC">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rPr>
              <w:t>对质量目标的承诺</w:t>
            </w:r>
          </w:p>
        </w:tc>
        <w:tc>
          <w:tcPr>
            <w:tcW w:w="11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76DF6">
            <w:pPr>
              <w:jc w:val="center"/>
              <w:rPr>
                <w:rFonts w:ascii="仿宋" w:hAnsi="仿宋" w:eastAsia="仿宋" w:cs="仿宋"/>
                <w:color w:val="auto"/>
                <w:sz w:val="22"/>
                <w:szCs w:val="22"/>
                <w:highlight w:val="none"/>
              </w:rPr>
            </w:pPr>
          </w:p>
        </w:tc>
        <w:tc>
          <w:tcPr>
            <w:tcW w:w="3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468DB">
            <w:pPr>
              <w:jc w:val="right"/>
              <w:rPr>
                <w:rFonts w:ascii="仿宋" w:hAnsi="仿宋" w:eastAsia="仿宋" w:cs="仿宋"/>
                <w:color w:val="auto"/>
                <w:sz w:val="22"/>
                <w:szCs w:val="22"/>
                <w:highlight w:val="none"/>
              </w:rPr>
            </w:pPr>
          </w:p>
        </w:tc>
      </w:tr>
      <w:tr w14:paraId="27A70B9D">
        <w:tblPrEx>
          <w:tblCellMar>
            <w:top w:w="0" w:type="dxa"/>
            <w:left w:w="108" w:type="dxa"/>
            <w:bottom w:w="0" w:type="dxa"/>
            <w:right w:w="108" w:type="dxa"/>
          </w:tblCellMar>
        </w:tblPrEx>
        <w:trPr>
          <w:trHeight w:val="540" w:hRule="atLeast"/>
        </w:trPr>
        <w:tc>
          <w:tcPr>
            <w:tcW w:w="8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DEB35">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rPr>
              <w:t>7</w:t>
            </w:r>
          </w:p>
        </w:tc>
        <w:tc>
          <w:tcPr>
            <w:tcW w:w="346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B5EB14">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rPr>
              <w:t>文明施工管理目标</w:t>
            </w:r>
          </w:p>
        </w:tc>
        <w:tc>
          <w:tcPr>
            <w:tcW w:w="11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F8E09">
            <w:pPr>
              <w:jc w:val="center"/>
              <w:rPr>
                <w:rFonts w:ascii="仿宋" w:hAnsi="仿宋" w:eastAsia="仿宋" w:cs="仿宋"/>
                <w:color w:val="auto"/>
                <w:sz w:val="22"/>
                <w:szCs w:val="22"/>
                <w:highlight w:val="none"/>
              </w:rPr>
            </w:pPr>
          </w:p>
        </w:tc>
        <w:tc>
          <w:tcPr>
            <w:tcW w:w="3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65BA2">
            <w:pPr>
              <w:jc w:val="right"/>
              <w:rPr>
                <w:rFonts w:ascii="仿宋" w:hAnsi="仿宋" w:eastAsia="仿宋" w:cs="仿宋"/>
                <w:color w:val="auto"/>
                <w:sz w:val="22"/>
                <w:szCs w:val="22"/>
                <w:highlight w:val="none"/>
              </w:rPr>
            </w:pPr>
          </w:p>
        </w:tc>
      </w:tr>
      <w:tr w14:paraId="060E7E21">
        <w:tblPrEx>
          <w:tblCellMar>
            <w:top w:w="0" w:type="dxa"/>
            <w:left w:w="108" w:type="dxa"/>
            <w:bottom w:w="0" w:type="dxa"/>
            <w:right w:w="108" w:type="dxa"/>
          </w:tblCellMar>
        </w:tblPrEx>
        <w:trPr>
          <w:trHeight w:val="540" w:hRule="atLeast"/>
        </w:trPr>
        <w:tc>
          <w:tcPr>
            <w:tcW w:w="8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D8F5A">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rPr>
              <w:t>8</w:t>
            </w:r>
          </w:p>
        </w:tc>
        <w:tc>
          <w:tcPr>
            <w:tcW w:w="346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11B41C">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rPr>
              <w:t>对文明施工目标的承诺</w:t>
            </w:r>
          </w:p>
        </w:tc>
        <w:tc>
          <w:tcPr>
            <w:tcW w:w="11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6FFF4">
            <w:pPr>
              <w:jc w:val="center"/>
              <w:rPr>
                <w:rFonts w:ascii="仿宋" w:hAnsi="仿宋" w:eastAsia="仿宋" w:cs="仿宋"/>
                <w:color w:val="auto"/>
                <w:sz w:val="22"/>
                <w:szCs w:val="22"/>
                <w:highlight w:val="none"/>
              </w:rPr>
            </w:pPr>
          </w:p>
        </w:tc>
        <w:tc>
          <w:tcPr>
            <w:tcW w:w="3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867F8">
            <w:pPr>
              <w:jc w:val="right"/>
              <w:rPr>
                <w:rFonts w:ascii="仿宋" w:hAnsi="仿宋" w:eastAsia="仿宋" w:cs="仿宋"/>
                <w:color w:val="auto"/>
                <w:sz w:val="22"/>
                <w:szCs w:val="22"/>
                <w:highlight w:val="none"/>
              </w:rPr>
            </w:pPr>
          </w:p>
        </w:tc>
      </w:tr>
      <w:tr w14:paraId="3C8014D8">
        <w:tblPrEx>
          <w:tblCellMar>
            <w:top w:w="0" w:type="dxa"/>
            <w:left w:w="108" w:type="dxa"/>
            <w:bottom w:w="0" w:type="dxa"/>
            <w:right w:w="108" w:type="dxa"/>
          </w:tblCellMar>
        </w:tblPrEx>
        <w:trPr>
          <w:trHeight w:val="540" w:hRule="atLeast"/>
        </w:trPr>
        <w:tc>
          <w:tcPr>
            <w:tcW w:w="8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C035C">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rPr>
              <w:t>9</w:t>
            </w:r>
          </w:p>
        </w:tc>
        <w:tc>
          <w:tcPr>
            <w:tcW w:w="346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3400FE">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rPr>
              <w:t>安全生产管理目标</w:t>
            </w:r>
          </w:p>
        </w:tc>
        <w:tc>
          <w:tcPr>
            <w:tcW w:w="11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4AC99">
            <w:pPr>
              <w:jc w:val="center"/>
              <w:rPr>
                <w:rFonts w:ascii="仿宋" w:hAnsi="仿宋" w:eastAsia="仿宋" w:cs="仿宋"/>
                <w:color w:val="auto"/>
                <w:sz w:val="22"/>
                <w:szCs w:val="22"/>
                <w:highlight w:val="none"/>
              </w:rPr>
            </w:pPr>
          </w:p>
        </w:tc>
        <w:tc>
          <w:tcPr>
            <w:tcW w:w="3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75EB6">
            <w:pPr>
              <w:jc w:val="right"/>
              <w:rPr>
                <w:rFonts w:ascii="仿宋" w:hAnsi="仿宋" w:eastAsia="仿宋" w:cs="仿宋"/>
                <w:color w:val="auto"/>
                <w:sz w:val="22"/>
                <w:szCs w:val="22"/>
                <w:highlight w:val="none"/>
              </w:rPr>
            </w:pPr>
          </w:p>
        </w:tc>
      </w:tr>
      <w:tr w14:paraId="7B7D9552">
        <w:tblPrEx>
          <w:tblCellMar>
            <w:top w:w="0" w:type="dxa"/>
            <w:left w:w="108" w:type="dxa"/>
            <w:bottom w:w="0" w:type="dxa"/>
            <w:right w:w="108" w:type="dxa"/>
          </w:tblCellMar>
        </w:tblPrEx>
        <w:trPr>
          <w:trHeight w:val="540" w:hRule="atLeast"/>
        </w:trPr>
        <w:tc>
          <w:tcPr>
            <w:tcW w:w="8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38525">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rPr>
              <w:t>10</w:t>
            </w:r>
          </w:p>
        </w:tc>
        <w:tc>
          <w:tcPr>
            <w:tcW w:w="346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39D0A1">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rPr>
              <w:t>对安全生产目标的承诺</w:t>
            </w:r>
          </w:p>
        </w:tc>
        <w:tc>
          <w:tcPr>
            <w:tcW w:w="11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C316C">
            <w:pPr>
              <w:jc w:val="center"/>
              <w:rPr>
                <w:rFonts w:ascii="仿宋" w:hAnsi="仿宋" w:eastAsia="仿宋" w:cs="仿宋"/>
                <w:color w:val="auto"/>
                <w:sz w:val="22"/>
                <w:szCs w:val="22"/>
                <w:highlight w:val="none"/>
              </w:rPr>
            </w:pPr>
          </w:p>
        </w:tc>
        <w:tc>
          <w:tcPr>
            <w:tcW w:w="3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3B5F2">
            <w:pPr>
              <w:jc w:val="right"/>
              <w:rPr>
                <w:rFonts w:ascii="仿宋" w:hAnsi="仿宋" w:eastAsia="仿宋" w:cs="仿宋"/>
                <w:color w:val="auto"/>
                <w:sz w:val="22"/>
                <w:szCs w:val="22"/>
                <w:highlight w:val="none"/>
              </w:rPr>
            </w:pPr>
          </w:p>
        </w:tc>
      </w:tr>
      <w:tr w14:paraId="2CC83366">
        <w:tblPrEx>
          <w:tblCellMar>
            <w:top w:w="0" w:type="dxa"/>
            <w:left w:w="108" w:type="dxa"/>
            <w:bottom w:w="0" w:type="dxa"/>
            <w:right w:w="108" w:type="dxa"/>
          </w:tblCellMar>
        </w:tblPrEx>
        <w:trPr>
          <w:trHeight w:val="680" w:hRule="atLeast"/>
        </w:trPr>
        <w:tc>
          <w:tcPr>
            <w:tcW w:w="8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8549FF">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rPr>
              <w:t>11</w:t>
            </w:r>
          </w:p>
        </w:tc>
        <w:tc>
          <w:tcPr>
            <w:tcW w:w="172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1ADB60">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rPr>
              <w:t>项目经理</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23FA0">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rPr>
              <w:t>姓名、执业资格（建造师等级及专业）、注册证号</w:t>
            </w:r>
          </w:p>
        </w:tc>
        <w:tc>
          <w:tcPr>
            <w:tcW w:w="11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CB787">
            <w:pPr>
              <w:jc w:val="center"/>
              <w:rPr>
                <w:rFonts w:ascii="仿宋" w:hAnsi="仿宋" w:eastAsia="仿宋" w:cs="仿宋"/>
                <w:color w:val="auto"/>
                <w:sz w:val="22"/>
                <w:szCs w:val="22"/>
                <w:highlight w:val="none"/>
              </w:rPr>
            </w:pPr>
          </w:p>
        </w:tc>
        <w:tc>
          <w:tcPr>
            <w:tcW w:w="3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987A4">
            <w:pPr>
              <w:jc w:val="right"/>
              <w:rPr>
                <w:rFonts w:ascii="仿宋" w:hAnsi="仿宋" w:eastAsia="仿宋" w:cs="仿宋"/>
                <w:color w:val="auto"/>
                <w:sz w:val="22"/>
                <w:szCs w:val="22"/>
                <w:highlight w:val="none"/>
              </w:rPr>
            </w:pPr>
          </w:p>
        </w:tc>
      </w:tr>
      <w:tr w14:paraId="335CF8CB">
        <w:tblPrEx>
          <w:tblCellMar>
            <w:top w:w="0" w:type="dxa"/>
            <w:left w:w="108" w:type="dxa"/>
            <w:bottom w:w="0" w:type="dxa"/>
            <w:right w:w="108" w:type="dxa"/>
          </w:tblCellMar>
        </w:tblPrEx>
        <w:trPr>
          <w:trHeight w:val="540" w:hRule="atLeast"/>
        </w:trPr>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5DA0C7">
            <w:pPr>
              <w:jc w:val="center"/>
              <w:rPr>
                <w:rFonts w:ascii="仿宋" w:hAnsi="仿宋" w:eastAsia="仿宋" w:cs="仿宋"/>
                <w:color w:val="auto"/>
                <w:sz w:val="22"/>
                <w:szCs w:val="22"/>
                <w:highlight w:val="none"/>
              </w:rPr>
            </w:pPr>
          </w:p>
        </w:tc>
        <w:tc>
          <w:tcPr>
            <w:tcW w:w="17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87C914">
            <w:pPr>
              <w:jc w:val="center"/>
              <w:rPr>
                <w:rFonts w:ascii="仿宋" w:hAnsi="仿宋" w:eastAsia="仿宋" w:cs="仿宋"/>
                <w:color w:val="auto"/>
                <w:sz w:val="22"/>
                <w:szCs w:val="22"/>
                <w:highlight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7B060">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rPr>
              <w:t>承诺</w:t>
            </w:r>
          </w:p>
        </w:tc>
        <w:tc>
          <w:tcPr>
            <w:tcW w:w="11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3C4E2">
            <w:pPr>
              <w:jc w:val="center"/>
              <w:rPr>
                <w:rFonts w:ascii="仿宋" w:hAnsi="仿宋" w:eastAsia="仿宋" w:cs="仿宋"/>
                <w:color w:val="auto"/>
                <w:sz w:val="22"/>
                <w:szCs w:val="22"/>
                <w:highlight w:val="none"/>
              </w:rPr>
            </w:pPr>
          </w:p>
        </w:tc>
        <w:tc>
          <w:tcPr>
            <w:tcW w:w="3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50F5C">
            <w:pPr>
              <w:jc w:val="right"/>
              <w:rPr>
                <w:rFonts w:ascii="仿宋" w:hAnsi="仿宋" w:eastAsia="仿宋" w:cs="仿宋"/>
                <w:color w:val="auto"/>
                <w:sz w:val="22"/>
                <w:szCs w:val="22"/>
                <w:highlight w:val="none"/>
              </w:rPr>
            </w:pPr>
          </w:p>
        </w:tc>
      </w:tr>
    </w:tbl>
    <w:p w14:paraId="5A44E2FB">
      <w:pPr>
        <w:spacing w:beforeLines="100" w:line="360" w:lineRule="auto"/>
        <w:ind w:left="420"/>
        <w:rPr>
          <w:rFonts w:ascii="仿宋" w:hAnsi="仿宋" w:eastAsia="仿宋" w:cs="仿宋"/>
          <w:color w:val="auto"/>
          <w:sz w:val="24"/>
          <w:highlight w:val="none"/>
        </w:rPr>
      </w:pPr>
      <w:r>
        <w:rPr>
          <w:rFonts w:hint="eastAsia" w:ascii="仿宋" w:hAnsi="仿宋" w:eastAsia="仿宋" w:cs="仿宋"/>
          <w:color w:val="auto"/>
          <w:sz w:val="24"/>
          <w:highlight w:val="none"/>
        </w:rPr>
        <w:t>注意：此表应单独用信封密封一份递交，以便唱标所用。</w:t>
      </w:r>
    </w:p>
    <w:p w14:paraId="40D660D1">
      <w:pPr>
        <w:spacing w:line="480" w:lineRule="auto"/>
        <w:textAlignment w:val="baseline"/>
        <w:rPr>
          <w:rFonts w:ascii="仿宋" w:hAnsi="仿宋" w:eastAsia="仿宋" w:cs="仿宋"/>
          <w:color w:val="auto"/>
          <w:sz w:val="24"/>
          <w:highlight w:val="none"/>
        </w:rPr>
      </w:pPr>
    </w:p>
    <w:p w14:paraId="7C61EBB0">
      <w:pPr>
        <w:spacing w:line="480" w:lineRule="auto"/>
        <w:ind w:firstLine="480" w:firstLineChars="200"/>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投标人（公章）：</w:t>
      </w:r>
    </w:p>
    <w:p w14:paraId="1118E848">
      <w:pPr>
        <w:spacing w:line="480" w:lineRule="auto"/>
        <w:ind w:firstLine="480" w:firstLineChars="200"/>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法定代表人或授权代表（签字）：</w:t>
      </w:r>
    </w:p>
    <w:p w14:paraId="35B005EE">
      <w:pPr>
        <w:spacing w:line="360" w:lineRule="auto"/>
        <w:ind w:firstLine="480" w:firstLineChars="200"/>
        <w:rPr>
          <w:rFonts w:ascii="仿宋" w:hAnsi="仿宋" w:eastAsia="仿宋" w:cs="仿宋"/>
          <w:color w:val="auto"/>
          <w:sz w:val="24"/>
          <w:highlight w:val="none"/>
        </w:rPr>
        <w:sectPr>
          <w:headerReference r:id="rId17" w:type="default"/>
          <w:footerReference r:id="rId18" w:type="default"/>
          <w:endnotePr>
            <w:numFmt w:val="decimal"/>
          </w:endnotePr>
          <w:pgSz w:w="11906" w:h="16838"/>
          <w:pgMar w:top="1304" w:right="1134" w:bottom="1304" w:left="1134" w:header="851" w:footer="992" w:gutter="0"/>
          <w:cols w:space="720" w:num="1"/>
          <w:docGrid w:linePitch="312" w:charSpace="0"/>
        </w:sectPr>
      </w:pPr>
      <w:r>
        <w:rPr>
          <w:rFonts w:hint="eastAsia" w:ascii="仿宋" w:hAnsi="仿宋" w:eastAsia="仿宋" w:cs="仿宋"/>
          <w:color w:val="auto"/>
          <w:sz w:val="24"/>
          <w:highlight w:val="none"/>
        </w:rPr>
        <w:t>日  期：</w:t>
      </w:r>
    </w:p>
    <w:p w14:paraId="633B7BF1">
      <w:pPr>
        <w:pStyle w:val="3"/>
        <w:spacing w:before="0" w:afterLines="50"/>
        <w:jc w:val="center"/>
        <w:rPr>
          <w:rFonts w:ascii="仿宋" w:hAnsi="仿宋" w:eastAsia="仿宋" w:cs="仿宋"/>
          <w:color w:val="auto"/>
          <w:highlight w:val="none"/>
        </w:rPr>
      </w:pPr>
      <w:bookmarkStart w:id="661" w:name="_Toc15120"/>
      <w:bookmarkStart w:id="662" w:name="_Toc387240421"/>
      <w:bookmarkStart w:id="663" w:name="_Toc444509173"/>
      <w:bookmarkStart w:id="664" w:name="_Toc2846"/>
      <w:r>
        <w:rPr>
          <w:rFonts w:hint="eastAsia" w:ascii="仿宋" w:hAnsi="仿宋" w:eastAsia="仿宋" w:cs="仿宋"/>
          <w:color w:val="auto"/>
          <w:highlight w:val="none"/>
        </w:rPr>
        <w:t>三、分项报价表</w:t>
      </w:r>
      <w:bookmarkEnd w:id="659"/>
      <w:bookmarkEnd w:id="660"/>
      <w:bookmarkEnd w:id="661"/>
      <w:bookmarkEnd w:id="662"/>
      <w:bookmarkEnd w:id="663"/>
      <w:bookmarkEnd w:id="664"/>
    </w:p>
    <w:p w14:paraId="1ADAA2FB">
      <w:pPr>
        <w:spacing w:line="360" w:lineRule="auto"/>
        <w:rPr>
          <w:rFonts w:ascii="仿宋" w:hAnsi="仿宋" w:eastAsia="仿宋" w:cs="仿宋"/>
          <w:color w:val="auto"/>
          <w:sz w:val="24"/>
          <w:highlight w:val="none"/>
        </w:rPr>
      </w:pPr>
    </w:p>
    <w:p w14:paraId="7122092F">
      <w:pPr>
        <w:spacing w:line="480"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格式自拟。</w:t>
      </w:r>
    </w:p>
    <w:p w14:paraId="33B47046">
      <w:pPr>
        <w:pStyle w:val="9"/>
        <w:rPr>
          <w:rFonts w:ascii="仿宋" w:hAnsi="仿宋" w:eastAsia="仿宋" w:cs="仿宋"/>
          <w:color w:val="auto"/>
          <w:sz w:val="24"/>
          <w:highlight w:val="none"/>
        </w:rPr>
      </w:pPr>
    </w:p>
    <w:p w14:paraId="1576DF03">
      <w:pPr>
        <w:spacing w:line="480" w:lineRule="auto"/>
        <w:ind w:firstLine="480" w:firstLineChars="200"/>
        <w:jc w:val="left"/>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投标人（公章）：</w:t>
      </w:r>
    </w:p>
    <w:p w14:paraId="00C661CC">
      <w:pPr>
        <w:spacing w:line="480" w:lineRule="auto"/>
        <w:ind w:firstLine="480" w:firstLineChars="200"/>
        <w:jc w:val="left"/>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法定代表人（签字或印章）：</w:t>
      </w:r>
    </w:p>
    <w:p w14:paraId="2A023518">
      <w:pPr>
        <w:spacing w:line="480" w:lineRule="auto"/>
        <w:ind w:firstLine="480" w:firstLineChars="200"/>
        <w:jc w:val="left"/>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法定代表人或授权代表（签字）：</w:t>
      </w:r>
    </w:p>
    <w:p w14:paraId="2E55174D">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日　　　期：　　　年　　　月　　　　日</w:t>
      </w:r>
    </w:p>
    <w:p w14:paraId="0DC4F18F">
      <w:pPr>
        <w:spacing w:line="360" w:lineRule="auto"/>
        <w:ind w:firstLine="480" w:firstLineChars="200"/>
        <w:rPr>
          <w:rFonts w:ascii="仿宋" w:hAnsi="仿宋" w:eastAsia="仿宋" w:cs="仿宋"/>
          <w:color w:val="auto"/>
          <w:sz w:val="24"/>
          <w:highlight w:val="none"/>
        </w:rPr>
      </w:pPr>
    </w:p>
    <w:p w14:paraId="4D4652A7">
      <w:pPr>
        <w:spacing w:line="360" w:lineRule="auto"/>
        <w:ind w:firstLine="480" w:firstLineChars="200"/>
        <w:rPr>
          <w:rFonts w:ascii="仿宋" w:hAnsi="仿宋" w:eastAsia="仿宋" w:cs="仿宋"/>
          <w:color w:val="auto"/>
          <w:sz w:val="24"/>
          <w:highlight w:val="none"/>
        </w:rPr>
      </w:pPr>
    </w:p>
    <w:p w14:paraId="5907D8DD">
      <w:pPr>
        <w:spacing w:line="360" w:lineRule="auto"/>
        <w:ind w:firstLine="480" w:firstLineChars="200"/>
        <w:rPr>
          <w:rFonts w:ascii="仿宋" w:hAnsi="仿宋" w:eastAsia="仿宋" w:cs="仿宋"/>
          <w:color w:val="auto"/>
          <w:sz w:val="24"/>
          <w:highlight w:val="none"/>
        </w:rPr>
      </w:pPr>
    </w:p>
    <w:p w14:paraId="781B04F9">
      <w:pPr>
        <w:spacing w:line="360" w:lineRule="auto"/>
        <w:ind w:firstLine="480" w:firstLineChars="200"/>
        <w:rPr>
          <w:rFonts w:ascii="仿宋" w:hAnsi="仿宋" w:eastAsia="仿宋" w:cs="仿宋"/>
          <w:color w:val="auto"/>
          <w:sz w:val="24"/>
          <w:highlight w:val="none"/>
        </w:rPr>
      </w:pPr>
    </w:p>
    <w:p w14:paraId="75DD2A7B">
      <w:pPr>
        <w:spacing w:line="360" w:lineRule="auto"/>
        <w:ind w:firstLine="480" w:firstLineChars="200"/>
        <w:rPr>
          <w:rFonts w:ascii="仿宋" w:hAnsi="仿宋" w:eastAsia="仿宋" w:cs="仿宋"/>
          <w:color w:val="auto"/>
          <w:sz w:val="24"/>
          <w:highlight w:val="none"/>
        </w:rPr>
      </w:pPr>
    </w:p>
    <w:p w14:paraId="6AF248E9">
      <w:pPr>
        <w:spacing w:line="360" w:lineRule="auto"/>
        <w:ind w:firstLine="480" w:firstLineChars="200"/>
        <w:rPr>
          <w:rFonts w:ascii="仿宋" w:hAnsi="仿宋" w:eastAsia="仿宋" w:cs="仿宋"/>
          <w:color w:val="auto"/>
          <w:sz w:val="24"/>
          <w:highlight w:val="none"/>
        </w:rPr>
      </w:pPr>
    </w:p>
    <w:p w14:paraId="43BA2631">
      <w:pPr>
        <w:spacing w:line="360" w:lineRule="auto"/>
        <w:ind w:firstLine="480" w:firstLineChars="200"/>
        <w:rPr>
          <w:rFonts w:ascii="仿宋" w:hAnsi="仿宋" w:eastAsia="仿宋" w:cs="仿宋"/>
          <w:color w:val="auto"/>
          <w:sz w:val="24"/>
          <w:highlight w:val="none"/>
        </w:rPr>
      </w:pPr>
    </w:p>
    <w:p w14:paraId="24300917">
      <w:pPr>
        <w:spacing w:line="360" w:lineRule="auto"/>
        <w:ind w:firstLine="480" w:firstLineChars="200"/>
        <w:rPr>
          <w:rFonts w:ascii="仿宋" w:hAnsi="仿宋" w:eastAsia="仿宋" w:cs="仿宋"/>
          <w:color w:val="auto"/>
          <w:sz w:val="24"/>
          <w:highlight w:val="none"/>
        </w:rPr>
      </w:pPr>
    </w:p>
    <w:p w14:paraId="23318AE8">
      <w:pPr>
        <w:spacing w:line="360" w:lineRule="auto"/>
        <w:ind w:firstLine="480" w:firstLineChars="200"/>
        <w:rPr>
          <w:rFonts w:ascii="仿宋" w:hAnsi="仿宋" w:eastAsia="仿宋" w:cs="仿宋"/>
          <w:color w:val="auto"/>
          <w:sz w:val="24"/>
          <w:highlight w:val="none"/>
        </w:rPr>
      </w:pPr>
    </w:p>
    <w:p w14:paraId="1DEAB9EF">
      <w:pPr>
        <w:spacing w:line="360" w:lineRule="auto"/>
        <w:ind w:firstLine="480" w:firstLineChars="200"/>
        <w:rPr>
          <w:rFonts w:ascii="仿宋" w:hAnsi="仿宋" w:eastAsia="仿宋" w:cs="仿宋"/>
          <w:color w:val="auto"/>
          <w:sz w:val="24"/>
          <w:highlight w:val="none"/>
        </w:rPr>
      </w:pPr>
    </w:p>
    <w:p w14:paraId="74DDB288">
      <w:pPr>
        <w:spacing w:line="360" w:lineRule="auto"/>
        <w:rPr>
          <w:rFonts w:ascii="仿宋" w:hAnsi="仿宋" w:eastAsia="仿宋" w:cs="仿宋"/>
          <w:color w:val="auto"/>
          <w:sz w:val="24"/>
          <w:highlight w:val="none"/>
        </w:rPr>
      </w:pPr>
    </w:p>
    <w:p w14:paraId="08C05546">
      <w:pPr>
        <w:rPr>
          <w:rFonts w:ascii="仿宋" w:hAnsi="仿宋" w:eastAsia="仿宋" w:cs="仿宋"/>
          <w:b/>
          <w:color w:val="auto"/>
          <w:sz w:val="28"/>
          <w:szCs w:val="28"/>
          <w:highlight w:val="none"/>
        </w:rPr>
      </w:pPr>
      <w:bookmarkStart w:id="665" w:name="_Toc444509174"/>
      <w:bookmarkStart w:id="666" w:name="_Toc387240422"/>
      <w:bookmarkStart w:id="667" w:name="_Toc141777201"/>
      <w:r>
        <w:rPr>
          <w:rFonts w:hint="eastAsia" w:ascii="仿宋" w:hAnsi="仿宋" w:eastAsia="仿宋" w:cs="仿宋"/>
          <w:b/>
          <w:color w:val="auto"/>
          <w:sz w:val="28"/>
          <w:szCs w:val="28"/>
          <w:highlight w:val="none"/>
        </w:rPr>
        <w:br w:type="page"/>
      </w:r>
    </w:p>
    <w:p w14:paraId="4B51F94B">
      <w:pPr>
        <w:pStyle w:val="9"/>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四、</w:t>
      </w:r>
      <w:bookmarkEnd w:id="665"/>
      <w:bookmarkEnd w:id="666"/>
      <w:bookmarkEnd w:id="667"/>
      <w:r>
        <w:rPr>
          <w:rFonts w:hint="eastAsia" w:ascii="仿宋" w:hAnsi="仿宋" w:eastAsia="仿宋" w:cs="仿宋"/>
          <w:b/>
          <w:color w:val="auto"/>
          <w:sz w:val="28"/>
          <w:szCs w:val="28"/>
          <w:highlight w:val="none"/>
        </w:rPr>
        <w:t>法定代表人身份证明</w:t>
      </w:r>
    </w:p>
    <w:p w14:paraId="1C51D889">
      <w:pPr>
        <w:spacing w:line="360" w:lineRule="auto"/>
        <w:rPr>
          <w:rFonts w:ascii="仿宋" w:hAnsi="仿宋" w:eastAsia="仿宋" w:cs="仿宋"/>
          <w:color w:val="auto"/>
          <w:sz w:val="24"/>
          <w:highlight w:val="none"/>
        </w:rPr>
      </w:pPr>
    </w:p>
    <w:p w14:paraId="76353710">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投标人名称：</w:t>
      </w:r>
    </w:p>
    <w:p w14:paraId="3F3A33AF">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单位性质： </w:t>
      </w:r>
    </w:p>
    <w:p w14:paraId="187D010D">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地址：</w:t>
      </w:r>
    </w:p>
    <w:p w14:paraId="391633C6">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成立时间：年月日</w:t>
      </w:r>
    </w:p>
    <w:p w14:paraId="5F09A043">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经营期限：</w:t>
      </w:r>
    </w:p>
    <w:p w14:paraId="775C28ED">
      <w:pPr>
        <w:spacing w:line="360" w:lineRule="auto"/>
        <w:ind w:firstLine="435"/>
        <w:rPr>
          <w:rFonts w:ascii="仿宋" w:hAnsi="仿宋" w:eastAsia="仿宋" w:cs="仿宋"/>
          <w:color w:val="auto"/>
          <w:sz w:val="24"/>
          <w:highlight w:val="none"/>
          <w:u w:val="single"/>
        </w:rPr>
      </w:pPr>
      <w:r>
        <w:rPr>
          <w:rFonts w:hint="eastAsia" w:ascii="仿宋" w:hAnsi="仿宋" w:eastAsia="仿宋" w:cs="仿宋"/>
          <w:color w:val="auto"/>
          <w:sz w:val="24"/>
          <w:highlight w:val="none"/>
        </w:rPr>
        <w:t>姓名：性别：年龄：职务：</w:t>
      </w:r>
    </w:p>
    <w:p w14:paraId="1A192C0C">
      <w:pPr>
        <w:spacing w:line="360" w:lineRule="auto"/>
        <w:ind w:firstLine="435"/>
        <w:rPr>
          <w:rFonts w:ascii="仿宋" w:hAnsi="仿宋" w:eastAsia="仿宋" w:cs="仿宋"/>
          <w:color w:val="auto"/>
          <w:sz w:val="24"/>
          <w:highlight w:val="none"/>
        </w:rPr>
      </w:pPr>
      <w:r>
        <w:rPr>
          <w:rFonts w:hint="eastAsia" w:ascii="仿宋" w:hAnsi="仿宋" w:eastAsia="仿宋" w:cs="仿宋"/>
          <w:color w:val="auto"/>
          <w:sz w:val="24"/>
          <w:highlight w:val="none"/>
        </w:rPr>
        <w:t>系（投标人名称）的法定代表人。</w:t>
      </w:r>
    </w:p>
    <w:p w14:paraId="667591DB">
      <w:pPr>
        <w:spacing w:line="360" w:lineRule="auto"/>
        <w:ind w:firstLine="435"/>
        <w:rPr>
          <w:rFonts w:ascii="仿宋" w:hAnsi="仿宋" w:eastAsia="仿宋" w:cs="仿宋"/>
          <w:color w:val="auto"/>
          <w:sz w:val="24"/>
          <w:highlight w:val="none"/>
        </w:rPr>
      </w:pPr>
    </w:p>
    <w:p w14:paraId="3ADF28E6">
      <w:pPr>
        <w:spacing w:line="360" w:lineRule="auto"/>
        <w:ind w:firstLine="976" w:firstLineChars="407"/>
        <w:rPr>
          <w:rFonts w:ascii="仿宋" w:hAnsi="仿宋" w:eastAsia="仿宋" w:cs="仿宋"/>
          <w:color w:val="auto"/>
          <w:sz w:val="24"/>
          <w:highlight w:val="none"/>
        </w:rPr>
      </w:pPr>
      <w:r>
        <w:rPr>
          <w:rFonts w:hint="eastAsia" w:ascii="仿宋" w:hAnsi="仿宋" w:eastAsia="仿宋" w:cs="仿宋"/>
          <w:color w:val="auto"/>
          <w:sz w:val="24"/>
          <w:highlight w:val="none"/>
        </w:rPr>
        <w:t>特此证明。</w:t>
      </w:r>
    </w:p>
    <w:p w14:paraId="31E14AA7">
      <w:pPr>
        <w:spacing w:line="360" w:lineRule="auto"/>
        <w:ind w:firstLine="435"/>
        <w:rPr>
          <w:rFonts w:ascii="仿宋" w:hAnsi="仿宋" w:eastAsia="仿宋" w:cs="仿宋"/>
          <w:color w:val="auto"/>
          <w:sz w:val="24"/>
          <w:highlight w:val="none"/>
        </w:rPr>
      </w:pPr>
    </w:p>
    <w:p w14:paraId="643C98DC">
      <w:pPr>
        <w:spacing w:line="360" w:lineRule="auto"/>
        <w:jc w:val="right"/>
        <w:rPr>
          <w:rFonts w:ascii="仿宋" w:hAnsi="仿宋" w:eastAsia="仿宋" w:cs="仿宋"/>
          <w:color w:val="auto"/>
          <w:sz w:val="24"/>
          <w:highlight w:val="none"/>
        </w:rPr>
      </w:pPr>
      <w:r>
        <w:rPr>
          <w:rFonts w:hint="eastAsia" w:ascii="仿宋" w:hAnsi="仿宋" w:eastAsia="仿宋" w:cs="仿宋"/>
          <w:color w:val="auto"/>
          <w:sz w:val="24"/>
          <w:highlight w:val="none"/>
        </w:rPr>
        <w:t>投标人：____________（盖单位章）</w:t>
      </w:r>
    </w:p>
    <w:p w14:paraId="6F6A6F08">
      <w:pPr>
        <w:spacing w:line="360" w:lineRule="auto"/>
        <w:jc w:val="right"/>
        <w:rPr>
          <w:rFonts w:ascii="仿宋" w:hAnsi="仿宋" w:eastAsia="仿宋" w:cs="仿宋"/>
          <w:color w:val="auto"/>
          <w:sz w:val="24"/>
          <w:highlight w:val="none"/>
        </w:rPr>
      </w:pPr>
    </w:p>
    <w:p w14:paraId="7530FE5B">
      <w:pPr>
        <w:spacing w:line="360" w:lineRule="auto"/>
        <w:ind w:firstLine="435"/>
        <w:jc w:val="right"/>
        <w:rPr>
          <w:rFonts w:ascii="仿宋" w:hAnsi="仿宋" w:eastAsia="仿宋" w:cs="仿宋"/>
          <w:color w:val="auto"/>
          <w:sz w:val="24"/>
          <w:highlight w:val="none"/>
        </w:rPr>
      </w:pPr>
      <w:r>
        <w:rPr>
          <w:rFonts w:hint="eastAsia" w:ascii="仿宋" w:hAnsi="仿宋" w:eastAsia="仿宋" w:cs="仿宋"/>
          <w:color w:val="auto"/>
          <w:sz w:val="24"/>
          <w:highlight w:val="none"/>
        </w:rPr>
        <w:t>______年______月______日</w:t>
      </w:r>
    </w:p>
    <w:p w14:paraId="62E104F3">
      <w:pPr>
        <w:spacing w:line="440" w:lineRule="exact"/>
        <w:rPr>
          <w:rFonts w:ascii="仿宋" w:hAnsi="仿宋" w:eastAsia="仿宋" w:cs="仿宋"/>
          <w:color w:val="auto"/>
          <w:sz w:val="24"/>
          <w:highlight w:val="none"/>
        </w:rPr>
      </w:pPr>
    </w:p>
    <w:p w14:paraId="6F62571B">
      <w:pPr>
        <w:spacing w:line="440" w:lineRule="exact"/>
        <w:jc w:val="left"/>
        <w:rPr>
          <w:rFonts w:ascii="仿宋" w:hAnsi="仿宋" w:eastAsia="仿宋" w:cs="仿宋"/>
          <w:b/>
          <w:color w:val="auto"/>
          <w:sz w:val="24"/>
          <w:highlight w:val="none"/>
        </w:rPr>
      </w:pPr>
      <w:r>
        <w:rPr>
          <w:rFonts w:ascii="仿宋" w:hAnsi="仿宋" w:eastAsia="仿宋" w:cs="仿宋"/>
          <w:b/>
          <w:color w:val="auto"/>
          <w:sz w:val="24"/>
          <w:highlight w:val="none"/>
        </w:rPr>
        <mc:AlternateContent>
          <mc:Choice Requires="wps">
            <w:drawing>
              <wp:anchor distT="0" distB="0" distL="114300" distR="114300" simplePos="0" relativeHeight="251660288" behindDoc="0" locked="0" layoutInCell="1" allowOverlap="1">
                <wp:simplePos x="0" y="0"/>
                <wp:positionH relativeFrom="column">
                  <wp:posOffset>381000</wp:posOffset>
                </wp:positionH>
                <wp:positionV relativeFrom="paragraph">
                  <wp:posOffset>99695</wp:posOffset>
                </wp:positionV>
                <wp:extent cx="5430520" cy="2269490"/>
                <wp:effectExtent l="4445" t="5080" r="13335" b="11430"/>
                <wp:wrapNone/>
                <wp:docPr id="10" name="文本框 10"/>
                <wp:cNvGraphicFramePr/>
                <a:graphic xmlns:a="http://schemas.openxmlformats.org/drawingml/2006/main">
                  <a:graphicData uri="http://schemas.microsoft.com/office/word/2010/wordprocessingShape">
                    <wps:wsp>
                      <wps:cNvSpPr txBox="1"/>
                      <wps:spPr>
                        <a:xfrm>
                          <a:off x="0" y="0"/>
                          <a:ext cx="5430520" cy="226949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22C2F5ED">
                            <w:pPr>
                              <w:rPr>
                                <w:b/>
                              </w:rPr>
                            </w:pPr>
                            <w:r>
                              <w:rPr>
                                <w:rFonts w:hint="eastAsia"/>
                                <w:b/>
                              </w:rPr>
                              <w:t>粘贴法定代表人身份证复印件（正反双面）</w:t>
                            </w:r>
                          </w:p>
                        </w:txbxContent>
                      </wps:txbx>
                      <wps:bodyPr upright="1"/>
                    </wps:wsp>
                  </a:graphicData>
                </a:graphic>
              </wp:anchor>
            </w:drawing>
          </mc:Choice>
          <mc:Fallback>
            <w:pict>
              <v:shape id="_x0000_s1026" o:spid="_x0000_s1026" o:spt="202" type="#_x0000_t202" style="position:absolute;left:0pt;margin-left:30pt;margin-top:7.85pt;height:178.7pt;width:427.6pt;z-index:251660288;mso-width-relative:page;mso-height-relative:page;" fillcolor="#FFFFFF" filled="t" stroked="t" coordsize="21600,21600" o:gfxdata="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fP+K3ZAAAACQEAAA8AAAAA&#10;AAAAAQAgAAAAIgAAAGRycy9kb3ducmV2LnhtbFBLAQIUABQAAAAIAIdO4kCS5rz4EwIAAEcEAAAO&#10;AAAAAAAAAAEAIAAAACgBAABkcnMvZTJvRG9jLnhtbFBLBQYAAAAABgAGAFkBAACtBQAAAAA=&#10;">
                <v:fill on="t" focussize="0,0"/>
                <v:stroke color="#000000" joinstyle="miter"/>
                <v:imagedata o:title=""/>
                <o:lock v:ext="edit" aspectratio="f"/>
                <v:textbox>
                  <w:txbxContent>
                    <w:p w14:paraId="22C2F5ED">
                      <w:pPr>
                        <w:rPr>
                          <w:b/>
                        </w:rPr>
                      </w:pPr>
                      <w:r>
                        <w:rPr>
                          <w:rFonts w:hint="eastAsia"/>
                          <w:b/>
                        </w:rPr>
                        <w:t>粘贴法定代表人身份证复印件（正反双面）</w:t>
                      </w:r>
                    </w:p>
                  </w:txbxContent>
                </v:textbox>
              </v:shape>
            </w:pict>
          </mc:Fallback>
        </mc:AlternateContent>
      </w:r>
      <w:r>
        <w:rPr>
          <w:rFonts w:hint="eastAsia" w:ascii="仿宋" w:hAnsi="仿宋" w:eastAsia="仿宋" w:cs="仿宋"/>
          <w:b/>
          <w:color w:val="auto"/>
          <w:sz w:val="24"/>
          <w:highlight w:val="none"/>
        </w:rPr>
        <w:br w:type="page"/>
      </w:r>
    </w:p>
    <w:p w14:paraId="037C0288">
      <w:pPr>
        <w:spacing w:line="440" w:lineRule="exact"/>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法定代表授权委托书</w:t>
      </w:r>
    </w:p>
    <w:p w14:paraId="0D539628">
      <w:pPr>
        <w:spacing w:line="440" w:lineRule="exact"/>
        <w:rPr>
          <w:rFonts w:ascii="仿宋" w:hAnsi="仿宋" w:eastAsia="仿宋" w:cs="仿宋"/>
          <w:color w:val="auto"/>
          <w:sz w:val="28"/>
          <w:szCs w:val="28"/>
          <w:highlight w:val="none"/>
          <w:u w:val="single"/>
        </w:rPr>
      </w:pPr>
    </w:p>
    <w:p w14:paraId="7E40D419">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u w:val="single"/>
        </w:rPr>
        <w:t>（采购代理机构）</w:t>
      </w:r>
      <w:r>
        <w:rPr>
          <w:rFonts w:hint="eastAsia" w:ascii="仿宋" w:hAnsi="仿宋" w:eastAsia="仿宋" w:cs="仿宋"/>
          <w:color w:val="auto"/>
          <w:sz w:val="24"/>
          <w:highlight w:val="none"/>
        </w:rPr>
        <w:t>：</w:t>
      </w:r>
    </w:p>
    <w:p w14:paraId="665D22BD">
      <w:pPr>
        <w:spacing w:line="440" w:lineRule="exact"/>
        <w:ind w:firstLine="410" w:firstLineChars="171"/>
        <w:rPr>
          <w:rFonts w:ascii="仿宋" w:hAnsi="仿宋" w:eastAsia="仿宋" w:cs="仿宋"/>
          <w:color w:val="auto"/>
          <w:sz w:val="24"/>
          <w:highlight w:val="none"/>
        </w:rPr>
      </w:pPr>
      <w:r>
        <w:rPr>
          <w:rFonts w:hint="eastAsia" w:ascii="仿宋" w:hAnsi="仿宋" w:eastAsia="仿宋" w:cs="仿宋"/>
          <w:color w:val="auto"/>
          <w:sz w:val="24"/>
          <w:highlight w:val="none"/>
        </w:rPr>
        <w:t xml:space="preserve">兹授权同志为我公司参加贵单位组织的 </w:t>
      </w:r>
      <w:r>
        <w:rPr>
          <w:rFonts w:hint="eastAsia" w:ascii="仿宋" w:hAnsi="仿宋" w:eastAsia="仿宋" w:cs="仿宋"/>
          <w:color w:val="auto"/>
          <w:sz w:val="24"/>
          <w:highlight w:val="none"/>
          <w:u w:val="single"/>
        </w:rPr>
        <w:t>（项目名称）</w:t>
      </w:r>
      <w:r>
        <w:rPr>
          <w:rFonts w:hint="eastAsia" w:ascii="仿宋" w:hAnsi="仿宋" w:eastAsia="仿宋" w:cs="仿宋"/>
          <w:color w:val="auto"/>
          <w:sz w:val="24"/>
          <w:highlight w:val="none"/>
        </w:rPr>
        <w:t>采购活动的投标代表人，全权代表我公司处理该项目采购活动中心的一切事宜。</w:t>
      </w:r>
    </w:p>
    <w:p w14:paraId="7B5D8BB7">
      <w:pPr>
        <w:spacing w:line="440" w:lineRule="exact"/>
        <w:ind w:firstLine="410" w:firstLineChars="171"/>
        <w:rPr>
          <w:rFonts w:ascii="仿宋" w:hAnsi="仿宋" w:eastAsia="仿宋" w:cs="仿宋"/>
          <w:color w:val="auto"/>
          <w:sz w:val="24"/>
          <w:highlight w:val="none"/>
        </w:rPr>
      </w:pPr>
      <w:r>
        <w:rPr>
          <w:rFonts w:hint="eastAsia" w:ascii="仿宋" w:hAnsi="仿宋" w:eastAsia="仿宋" w:cs="仿宋"/>
          <w:color w:val="auto"/>
          <w:sz w:val="24"/>
          <w:highlight w:val="none"/>
        </w:rPr>
        <w:t>代理期限从年月日起至年月日止。</w:t>
      </w:r>
    </w:p>
    <w:p w14:paraId="5722E2AE">
      <w:pPr>
        <w:spacing w:line="440" w:lineRule="exact"/>
        <w:ind w:firstLine="410" w:firstLineChars="171"/>
        <w:rPr>
          <w:rFonts w:ascii="仿宋" w:hAnsi="仿宋" w:eastAsia="仿宋" w:cs="仿宋"/>
          <w:color w:val="auto"/>
          <w:sz w:val="24"/>
          <w:highlight w:val="none"/>
        </w:rPr>
      </w:pPr>
    </w:p>
    <w:p w14:paraId="3C22A64D">
      <w:pPr>
        <w:spacing w:line="440" w:lineRule="exact"/>
        <w:ind w:firstLine="410" w:firstLineChars="171"/>
        <w:rPr>
          <w:rFonts w:ascii="仿宋" w:hAnsi="仿宋" w:eastAsia="仿宋" w:cs="仿宋"/>
          <w:color w:val="auto"/>
          <w:sz w:val="24"/>
          <w:highlight w:val="none"/>
        </w:rPr>
      </w:pPr>
    </w:p>
    <w:p w14:paraId="6AA74A2A">
      <w:pPr>
        <w:spacing w:line="440" w:lineRule="exact"/>
        <w:ind w:firstLine="410" w:firstLineChars="171"/>
        <w:rPr>
          <w:rFonts w:ascii="仿宋" w:hAnsi="仿宋" w:eastAsia="仿宋" w:cs="仿宋"/>
          <w:color w:val="auto"/>
          <w:sz w:val="24"/>
          <w:highlight w:val="none"/>
        </w:rPr>
      </w:pPr>
      <w:r>
        <w:rPr>
          <w:rFonts w:hint="eastAsia" w:ascii="仿宋" w:hAnsi="仿宋" w:eastAsia="仿宋" w:cs="仿宋"/>
          <w:color w:val="auto"/>
          <w:sz w:val="24"/>
          <w:highlight w:val="none"/>
        </w:rPr>
        <w:t>授权单位（盖章）：</w:t>
      </w:r>
    </w:p>
    <w:p w14:paraId="152C26DE">
      <w:pPr>
        <w:spacing w:line="440" w:lineRule="exact"/>
        <w:ind w:firstLine="410" w:firstLineChars="171"/>
        <w:rPr>
          <w:rFonts w:ascii="仿宋" w:hAnsi="仿宋" w:eastAsia="仿宋" w:cs="仿宋"/>
          <w:color w:val="auto"/>
          <w:sz w:val="24"/>
          <w:highlight w:val="none"/>
        </w:rPr>
      </w:pPr>
      <w:r>
        <w:rPr>
          <w:rFonts w:hint="eastAsia" w:ascii="仿宋" w:hAnsi="仿宋" w:eastAsia="仿宋" w:cs="仿宋"/>
          <w:color w:val="auto"/>
          <w:sz w:val="24"/>
          <w:highlight w:val="none"/>
        </w:rPr>
        <w:t>法定代表人（签字或印章）：</w:t>
      </w:r>
    </w:p>
    <w:p w14:paraId="7B662590">
      <w:pPr>
        <w:spacing w:line="440" w:lineRule="exact"/>
        <w:ind w:firstLine="410" w:firstLineChars="171"/>
        <w:rPr>
          <w:rFonts w:ascii="仿宋" w:hAnsi="仿宋" w:eastAsia="仿宋" w:cs="仿宋"/>
          <w:color w:val="auto"/>
          <w:sz w:val="24"/>
          <w:highlight w:val="none"/>
        </w:rPr>
      </w:pPr>
      <w:r>
        <w:rPr>
          <w:rFonts w:hint="eastAsia" w:ascii="仿宋" w:hAnsi="仿宋" w:eastAsia="仿宋" w:cs="仿宋"/>
          <w:color w:val="auto"/>
          <w:sz w:val="24"/>
          <w:highlight w:val="none"/>
        </w:rPr>
        <w:t>签发日期：年月日</w:t>
      </w:r>
    </w:p>
    <w:p w14:paraId="46D34ED7">
      <w:pPr>
        <w:spacing w:line="440" w:lineRule="exact"/>
        <w:ind w:firstLine="410" w:firstLineChars="171"/>
        <w:rPr>
          <w:rFonts w:ascii="仿宋" w:hAnsi="仿宋" w:eastAsia="仿宋" w:cs="仿宋"/>
          <w:color w:val="auto"/>
          <w:sz w:val="24"/>
          <w:highlight w:val="none"/>
        </w:rPr>
      </w:pPr>
    </w:p>
    <w:p w14:paraId="4E7DDD57">
      <w:pPr>
        <w:spacing w:line="440" w:lineRule="exact"/>
        <w:ind w:firstLine="410" w:firstLineChars="171"/>
        <w:rPr>
          <w:rFonts w:ascii="仿宋" w:hAnsi="仿宋" w:eastAsia="仿宋" w:cs="仿宋"/>
          <w:color w:val="auto"/>
          <w:sz w:val="24"/>
          <w:highlight w:val="none"/>
        </w:rPr>
      </w:pPr>
    </w:p>
    <w:p w14:paraId="41296C23">
      <w:pPr>
        <w:spacing w:line="440" w:lineRule="exact"/>
        <w:ind w:firstLine="410" w:firstLineChars="171"/>
        <w:rPr>
          <w:rFonts w:ascii="仿宋" w:hAnsi="仿宋" w:eastAsia="仿宋" w:cs="仿宋"/>
          <w:color w:val="auto"/>
          <w:sz w:val="24"/>
          <w:highlight w:val="none"/>
        </w:rPr>
      </w:pPr>
      <w:r>
        <w:rPr>
          <w:rFonts w:hint="eastAsia" w:ascii="仿宋" w:hAnsi="仿宋" w:eastAsia="仿宋" w:cs="仿宋"/>
          <w:color w:val="auto"/>
          <w:sz w:val="24"/>
          <w:highlight w:val="none"/>
        </w:rPr>
        <w:t>附：</w:t>
      </w:r>
    </w:p>
    <w:p w14:paraId="2D3ED83C">
      <w:pPr>
        <w:spacing w:line="440" w:lineRule="exact"/>
        <w:ind w:firstLine="410" w:firstLineChars="171"/>
        <w:rPr>
          <w:rFonts w:ascii="仿宋" w:hAnsi="仿宋" w:eastAsia="仿宋" w:cs="仿宋"/>
          <w:color w:val="auto"/>
          <w:sz w:val="24"/>
          <w:highlight w:val="none"/>
        </w:rPr>
      </w:pPr>
      <w:r>
        <w:rPr>
          <w:rFonts w:hint="eastAsia" w:ascii="仿宋" w:hAnsi="仿宋" w:eastAsia="仿宋" w:cs="仿宋"/>
          <w:color w:val="auto"/>
          <w:sz w:val="24"/>
          <w:highlight w:val="none"/>
        </w:rPr>
        <w:t>姓名：性别：</w:t>
      </w:r>
    </w:p>
    <w:p w14:paraId="4638FA74">
      <w:pPr>
        <w:spacing w:line="440" w:lineRule="exact"/>
        <w:ind w:firstLine="410" w:firstLineChars="171"/>
        <w:rPr>
          <w:rFonts w:ascii="仿宋" w:hAnsi="仿宋" w:eastAsia="仿宋" w:cs="仿宋"/>
          <w:color w:val="auto"/>
          <w:sz w:val="24"/>
          <w:highlight w:val="none"/>
        </w:rPr>
      </w:pPr>
      <w:r>
        <w:rPr>
          <w:rFonts w:hint="eastAsia" w:ascii="仿宋" w:hAnsi="仿宋" w:eastAsia="仿宋" w:cs="仿宋"/>
          <w:color w:val="auto"/>
          <w:sz w:val="24"/>
          <w:highlight w:val="none"/>
        </w:rPr>
        <w:t>职务：</w:t>
      </w:r>
    </w:p>
    <w:p w14:paraId="5B93CB60">
      <w:pPr>
        <w:spacing w:line="440" w:lineRule="exact"/>
        <w:ind w:firstLine="410" w:firstLineChars="171"/>
        <w:rPr>
          <w:rFonts w:ascii="仿宋" w:hAnsi="仿宋" w:eastAsia="仿宋" w:cs="仿宋"/>
          <w:color w:val="auto"/>
          <w:sz w:val="24"/>
          <w:highlight w:val="none"/>
          <w:u w:val="single"/>
        </w:rPr>
      </w:pPr>
      <w:r>
        <w:rPr>
          <w:rFonts w:hint="eastAsia" w:ascii="仿宋" w:hAnsi="仿宋" w:eastAsia="仿宋" w:cs="仿宋"/>
          <w:color w:val="auto"/>
          <w:sz w:val="24"/>
          <w:highlight w:val="none"/>
        </w:rPr>
        <w:t>身份证号码：</w:t>
      </w:r>
    </w:p>
    <w:p w14:paraId="1A18DE78">
      <w:pPr>
        <w:spacing w:line="440" w:lineRule="exact"/>
        <w:ind w:right="420"/>
        <w:rPr>
          <w:rFonts w:ascii="仿宋" w:hAnsi="仿宋" w:eastAsia="仿宋" w:cs="仿宋"/>
          <w:color w:val="auto"/>
          <w:sz w:val="28"/>
          <w:szCs w:val="28"/>
          <w:highlight w:val="none"/>
        </w:rPr>
      </w:pPr>
    </w:p>
    <w:p w14:paraId="49B70B00">
      <w:pPr>
        <w:spacing w:line="440" w:lineRule="exact"/>
        <w:rPr>
          <w:rFonts w:ascii="仿宋" w:hAnsi="仿宋" w:eastAsia="仿宋" w:cs="仿宋"/>
          <w:b/>
          <w:color w:val="auto"/>
          <w:sz w:val="24"/>
          <w:highlight w:val="none"/>
        </w:rPr>
      </w:pPr>
      <w:r>
        <w:rPr>
          <w:rFonts w:ascii="仿宋" w:hAnsi="仿宋" w:eastAsia="仿宋" w:cs="仿宋"/>
          <w:color w:val="auto"/>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-15240</wp:posOffset>
                </wp:positionH>
                <wp:positionV relativeFrom="paragraph">
                  <wp:posOffset>340360</wp:posOffset>
                </wp:positionV>
                <wp:extent cx="5305425" cy="2292350"/>
                <wp:effectExtent l="4445" t="4445" r="5080" b="8255"/>
                <wp:wrapNone/>
                <wp:docPr id="3" name="文本框 3"/>
                <wp:cNvGraphicFramePr/>
                <a:graphic xmlns:a="http://schemas.openxmlformats.org/drawingml/2006/main">
                  <a:graphicData uri="http://schemas.microsoft.com/office/word/2010/wordprocessingShape">
                    <wps:wsp>
                      <wps:cNvSpPr txBox="1"/>
                      <wps:spPr>
                        <a:xfrm>
                          <a:off x="0" y="0"/>
                          <a:ext cx="5305425" cy="229235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6B3AA679">
                            <w:pPr>
                              <w:rPr>
                                <w:b/>
                              </w:rPr>
                            </w:pPr>
                          </w:p>
                          <w:p w14:paraId="7EAAFDF0">
                            <w:pPr>
                              <w:rPr>
                                <w:b/>
                              </w:rPr>
                            </w:pPr>
                            <w:r>
                              <w:rPr>
                                <w:rFonts w:hint="eastAsia"/>
                                <w:b/>
                              </w:rPr>
                              <w:t>粘贴</w:t>
                            </w:r>
                            <w:r>
                              <w:rPr>
                                <w:rFonts w:hint="eastAsia"/>
                                <w:b/>
                                <w:sz w:val="32"/>
                                <w:szCs w:val="40"/>
                              </w:rPr>
                              <w:t>法定代表人及被委托人身份证复印件</w:t>
                            </w:r>
                            <w:r>
                              <w:rPr>
                                <w:rFonts w:hint="eastAsia"/>
                                <w:b/>
                              </w:rPr>
                              <w:t>（正反双面）</w:t>
                            </w:r>
                          </w:p>
                        </w:txbxContent>
                      </wps:txbx>
                      <wps:bodyPr upright="1"/>
                    </wps:wsp>
                  </a:graphicData>
                </a:graphic>
              </wp:anchor>
            </w:drawing>
          </mc:Choice>
          <mc:Fallback>
            <w:pict>
              <v:shape id="_x0000_s1026" o:spid="_x0000_s1026" o:spt="202" type="#_x0000_t202" style="position:absolute;left:0pt;margin-left:-1.2pt;margin-top:26.8pt;height:180.5pt;width:417.75pt;z-index:251659264;mso-width-relative:page;mso-height-relative:page;" fillcolor="#FFFFFF" filled="t" stroked="t" coordsize="21600,21600" o:gfxdata="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GdgVvHZAAAACQEAAA8AAAAA&#10;AAAAAQAgAAAAIgAAAGRycy9kb3ducmV2LnhtbFBLAQIUABQAAAAIAIdO4kB1qEi3EwIAAEUEAAAO&#10;AAAAAAAAAAEAIAAAACgBAABkcnMvZTJvRG9jLnhtbFBLBQYAAAAABgAGAFkBAACtBQAAAAA=&#10;">
                <v:fill on="t" focussize="0,0"/>
                <v:stroke color="#000000" joinstyle="miter"/>
                <v:imagedata o:title=""/>
                <o:lock v:ext="edit" aspectratio="f"/>
                <v:textbox>
                  <w:txbxContent>
                    <w:p w14:paraId="6B3AA679">
                      <w:pPr>
                        <w:rPr>
                          <w:b/>
                        </w:rPr>
                      </w:pPr>
                    </w:p>
                    <w:p w14:paraId="7EAAFDF0">
                      <w:pPr>
                        <w:rPr>
                          <w:b/>
                        </w:rPr>
                      </w:pPr>
                      <w:r>
                        <w:rPr>
                          <w:rFonts w:hint="eastAsia"/>
                          <w:b/>
                        </w:rPr>
                        <w:t>粘贴</w:t>
                      </w:r>
                      <w:r>
                        <w:rPr>
                          <w:rFonts w:hint="eastAsia"/>
                          <w:b/>
                          <w:sz w:val="32"/>
                          <w:szCs w:val="40"/>
                        </w:rPr>
                        <w:t>法定代表人及被委托人身份证复印件</w:t>
                      </w:r>
                      <w:r>
                        <w:rPr>
                          <w:rFonts w:hint="eastAsia"/>
                          <w:b/>
                        </w:rPr>
                        <w:t>（正反双面）</w:t>
                      </w:r>
                    </w:p>
                  </w:txbxContent>
                </v:textbox>
              </v:shape>
            </w:pict>
          </mc:Fallback>
        </mc:AlternateContent>
      </w:r>
      <w:r>
        <w:rPr>
          <w:rFonts w:hint="eastAsia" w:ascii="仿宋" w:hAnsi="仿宋" w:eastAsia="仿宋" w:cs="仿宋"/>
          <w:b/>
          <w:color w:val="auto"/>
          <w:sz w:val="24"/>
          <w:highlight w:val="none"/>
        </w:rPr>
        <w:br w:type="page"/>
      </w:r>
    </w:p>
    <w:p w14:paraId="1D6A303E">
      <w:pPr>
        <w:spacing w:line="360" w:lineRule="auto"/>
        <w:rPr>
          <w:rFonts w:ascii="仿宋" w:hAnsi="仿宋" w:eastAsia="仿宋" w:cs="仿宋"/>
          <w:color w:val="auto"/>
          <w:sz w:val="24"/>
          <w:highlight w:val="none"/>
        </w:rPr>
      </w:pPr>
    </w:p>
    <w:p w14:paraId="198D72BE">
      <w:pPr>
        <w:pStyle w:val="3"/>
        <w:spacing w:before="0" w:afterLines="50"/>
        <w:jc w:val="center"/>
        <w:rPr>
          <w:rFonts w:ascii="仿宋" w:hAnsi="仿宋" w:eastAsia="仿宋" w:cs="仿宋"/>
          <w:color w:val="auto"/>
          <w:highlight w:val="none"/>
        </w:rPr>
      </w:pPr>
      <w:bookmarkStart w:id="668" w:name="_Toc19601"/>
      <w:bookmarkStart w:id="669" w:name="_Toc13799"/>
      <w:bookmarkStart w:id="670" w:name="_Toc387240423"/>
      <w:bookmarkStart w:id="671" w:name="_Toc444509175"/>
      <w:r>
        <w:rPr>
          <w:rFonts w:hint="eastAsia" w:ascii="仿宋" w:hAnsi="仿宋" w:eastAsia="仿宋" w:cs="仿宋"/>
          <w:color w:val="auto"/>
          <w:highlight w:val="none"/>
        </w:rPr>
        <w:t>五、资格证明文件</w:t>
      </w:r>
      <w:bookmarkEnd w:id="668"/>
      <w:bookmarkEnd w:id="669"/>
      <w:bookmarkEnd w:id="670"/>
      <w:bookmarkEnd w:id="671"/>
    </w:p>
    <w:p w14:paraId="7A6CD3B2">
      <w:pPr>
        <w:spacing w:line="360" w:lineRule="auto"/>
        <w:ind w:firstLine="480" w:firstLineChars="200"/>
        <w:jc w:val="left"/>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1、投标人资格证明文件；</w:t>
      </w:r>
    </w:p>
    <w:p w14:paraId="3C5AB7E8">
      <w:pPr>
        <w:spacing w:line="360" w:lineRule="auto"/>
        <w:ind w:firstLine="480" w:firstLineChars="200"/>
        <w:jc w:val="left"/>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2、投标人认为其他需要提供的文件。</w:t>
      </w:r>
    </w:p>
    <w:p w14:paraId="1750C777">
      <w:pPr>
        <w:spacing w:line="360" w:lineRule="auto"/>
        <w:ind w:firstLine="480" w:firstLineChars="200"/>
        <w:jc w:val="left"/>
        <w:textAlignment w:val="baseline"/>
        <w:rPr>
          <w:rFonts w:ascii="仿宋" w:hAnsi="仿宋" w:eastAsia="仿宋" w:cs="仿宋"/>
          <w:color w:val="auto"/>
          <w:sz w:val="24"/>
          <w:highlight w:val="none"/>
        </w:rPr>
      </w:pPr>
    </w:p>
    <w:p w14:paraId="09F01978">
      <w:pPr>
        <w:spacing w:line="360" w:lineRule="auto"/>
        <w:ind w:firstLine="480" w:firstLineChars="200"/>
        <w:jc w:val="left"/>
        <w:textAlignment w:val="baseline"/>
        <w:rPr>
          <w:rFonts w:ascii="仿宋" w:hAnsi="仿宋" w:eastAsia="仿宋" w:cs="仿宋"/>
          <w:color w:val="auto"/>
          <w:sz w:val="24"/>
          <w:highlight w:val="none"/>
        </w:rPr>
      </w:pPr>
    </w:p>
    <w:p w14:paraId="5A5CAAFC">
      <w:pPr>
        <w:spacing w:line="360" w:lineRule="auto"/>
        <w:ind w:firstLine="480" w:firstLineChars="200"/>
        <w:jc w:val="left"/>
        <w:textAlignment w:val="baseline"/>
        <w:rPr>
          <w:rFonts w:ascii="仿宋" w:hAnsi="仿宋" w:eastAsia="仿宋" w:cs="仿宋"/>
          <w:color w:val="auto"/>
          <w:sz w:val="24"/>
          <w:highlight w:val="none"/>
        </w:rPr>
      </w:pPr>
    </w:p>
    <w:p w14:paraId="514BC807">
      <w:pPr>
        <w:spacing w:line="360" w:lineRule="auto"/>
        <w:ind w:firstLine="480" w:firstLineChars="200"/>
        <w:jc w:val="left"/>
        <w:textAlignment w:val="baseline"/>
        <w:rPr>
          <w:rFonts w:ascii="仿宋" w:hAnsi="仿宋" w:eastAsia="仿宋" w:cs="仿宋"/>
          <w:color w:val="auto"/>
          <w:sz w:val="24"/>
          <w:highlight w:val="none"/>
        </w:rPr>
      </w:pPr>
    </w:p>
    <w:p w14:paraId="24628798">
      <w:pPr>
        <w:spacing w:line="360" w:lineRule="auto"/>
        <w:ind w:firstLine="480" w:firstLineChars="200"/>
        <w:jc w:val="left"/>
        <w:textAlignment w:val="baseline"/>
        <w:rPr>
          <w:rFonts w:ascii="仿宋" w:hAnsi="仿宋" w:eastAsia="仿宋" w:cs="仿宋"/>
          <w:color w:val="auto"/>
          <w:sz w:val="24"/>
          <w:highlight w:val="none"/>
        </w:rPr>
      </w:pPr>
    </w:p>
    <w:p w14:paraId="63C100C2">
      <w:pPr>
        <w:spacing w:line="360" w:lineRule="auto"/>
        <w:ind w:firstLine="480" w:firstLineChars="200"/>
        <w:jc w:val="left"/>
        <w:textAlignment w:val="baseline"/>
        <w:rPr>
          <w:rFonts w:ascii="仿宋" w:hAnsi="仿宋" w:eastAsia="仿宋" w:cs="仿宋"/>
          <w:color w:val="auto"/>
          <w:sz w:val="24"/>
          <w:highlight w:val="none"/>
        </w:rPr>
      </w:pPr>
    </w:p>
    <w:p w14:paraId="67935A31">
      <w:pPr>
        <w:spacing w:line="360" w:lineRule="auto"/>
        <w:ind w:firstLine="480" w:firstLineChars="200"/>
        <w:jc w:val="left"/>
        <w:textAlignment w:val="baseline"/>
        <w:rPr>
          <w:rFonts w:ascii="仿宋" w:hAnsi="仿宋" w:eastAsia="仿宋" w:cs="仿宋"/>
          <w:color w:val="auto"/>
          <w:sz w:val="24"/>
          <w:highlight w:val="none"/>
        </w:rPr>
      </w:pPr>
    </w:p>
    <w:p w14:paraId="233D160F">
      <w:pPr>
        <w:spacing w:line="360" w:lineRule="auto"/>
        <w:ind w:firstLine="480" w:firstLineChars="200"/>
        <w:jc w:val="left"/>
        <w:textAlignment w:val="baseline"/>
        <w:rPr>
          <w:rFonts w:ascii="仿宋" w:hAnsi="仿宋" w:eastAsia="仿宋" w:cs="仿宋"/>
          <w:color w:val="auto"/>
          <w:sz w:val="24"/>
          <w:highlight w:val="none"/>
        </w:rPr>
      </w:pPr>
    </w:p>
    <w:p w14:paraId="133684EA">
      <w:pPr>
        <w:spacing w:line="360" w:lineRule="auto"/>
        <w:ind w:firstLine="480" w:firstLineChars="200"/>
        <w:jc w:val="left"/>
        <w:textAlignment w:val="baseline"/>
        <w:rPr>
          <w:rFonts w:ascii="仿宋" w:hAnsi="仿宋" w:eastAsia="仿宋" w:cs="仿宋"/>
          <w:color w:val="auto"/>
          <w:sz w:val="24"/>
          <w:highlight w:val="none"/>
        </w:rPr>
      </w:pPr>
    </w:p>
    <w:p w14:paraId="229AFD2B">
      <w:pPr>
        <w:spacing w:line="360" w:lineRule="auto"/>
        <w:ind w:firstLine="480" w:firstLineChars="200"/>
        <w:jc w:val="left"/>
        <w:textAlignment w:val="baseline"/>
        <w:rPr>
          <w:rFonts w:ascii="仿宋" w:hAnsi="仿宋" w:eastAsia="仿宋" w:cs="仿宋"/>
          <w:color w:val="auto"/>
          <w:sz w:val="24"/>
          <w:highlight w:val="none"/>
        </w:rPr>
      </w:pPr>
    </w:p>
    <w:p w14:paraId="496A0B9F">
      <w:pPr>
        <w:spacing w:line="360" w:lineRule="auto"/>
        <w:ind w:firstLine="480" w:firstLineChars="200"/>
        <w:jc w:val="left"/>
        <w:textAlignment w:val="baseline"/>
        <w:rPr>
          <w:rFonts w:ascii="仿宋" w:hAnsi="仿宋" w:eastAsia="仿宋" w:cs="仿宋"/>
          <w:color w:val="auto"/>
          <w:sz w:val="24"/>
          <w:highlight w:val="none"/>
        </w:rPr>
      </w:pPr>
    </w:p>
    <w:p w14:paraId="2F3BA6FF">
      <w:pPr>
        <w:spacing w:line="360" w:lineRule="auto"/>
        <w:ind w:firstLine="480" w:firstLineChars="200"/>
        <w:jc w:val="left"/>
        <w:textAlignment w:val="baseline"/>
        <w:rPr>
          <w:rFonts w:ascii="仿宋" w:hAnsi="仿宋" w:eastAsia="仿宋" w:cs="仿宋"/>
          <w:color w:val="auto"/>
          <w:sz w:val="24"/>
          <w:highlight w:val="none"/>
        </w:rPr>
      </w:pPr>
    </w:p>
    <w:p w14:paraId="5774FC66">
      <w:pPr>
        <w:spacing w:line="360" w:lineRule="auto"/>
        <w:ind w:firstLine="480" w:firstLineChars="200"/>
        <w:jc w:val="left"/>
        <w:textAlignment w:val="baseline"/>
        <w:rPr>
          <w:rFonts w:ascii="仿宋" w:hAnsi="仿宋" w:eastAsia="仿宋" w:cs="仿宋"/>
          <w:color w:val="auto"/>
          <w:sz w:val="24"/>
          <w:highlight w:val="none"/>
        </w:rPr>
      </w:pPr>
    </w:p>
    <w:p w14:paraId="53854F4A">
      <w:pPr>
        <w:spacing w:line="360" w:lineRule="auto"/>
        <w:ind w:firstLine="480" w:firstLineChars="200"/>
        <w:jc w:val="left"/>
        <w:textAlignment w:val="baseline"/>
        <w:rPr>
          <w:rFonts w:ascii="仿宋" w:hAnsi="仿宋" w:eastAsia="仿宋" w:cs="仿宋"/>
          <w:color w:val="auto"/>
          <w:sz w:val="24"/>
          <w:highlight w:val="none"/>
        </w:rPr>
      </w:pPr>
    </w:p>
    <w:p w14:paraId="14909E7C">
      <w:pPr>
        <w:spacing w:line="360" w:lineRule="auto"/>
        <w:ind w:firstLine="480" w:firstLineChars="200"/>
        <w:jc w:val="left"/>
        <w:textAlignment w:val="baseline"/>
        <w:rPr>
          <w:rFonts w:ascii="仿宋" w:hAnsi="仿宋" w:eastAsia="仿宋" w:cs="仿宋"/>
          <w:color w:val="auto"/>
          <w:sz w:val="24"/>
          <w:highlight w:val="none"/>
        </w:rPr>
      </w:pPr>
    </w:p>
    <w:p w14:paraId="66FA1926">
      <w:pPr>
        <w:spacing w:line="360" w:lineRule="auto"/>
        <w:ind w:firstLine="480" w:firstLineChars="200"/>
        <w:jc w:val="left"/>
        <w:textAlignment w:val="baseline"/>
        <w:rPr>
          <w:rFonts w:ascii="仿宋" w:hAnsi="仿宋" w:eastAsia="仿宋" w:cs="仿宋"/>
          <w:color w:val="auto"/>
          <w:sz w:val="24"/>
          <w:highlight w:val="none"/>
        </w:rPr>
      </w:pPr>
    </w:p>
    <w:p w14:paraId="3F6809AC">
      <w:pPr>
        <w:spacing w:line="360" w:lineRule="auto"/>
        <w:ind w:firstLine="480" w:firstLineChars="200"/>
        <w:jc w:val="left"/>
        <w:textAlignment w:val="baseline"/>
        <w:rPr>
          <w:rFonts w:ascii="仿宋" w:hAnsi="仿宋" w:eastAsia="仿宋" w:cs="仿宋"/>
          <w:color w:val="auto"/>
          <w:sz w:val="24"/>
          <w:highlight w:val="none"/>
        </w:rPr>
      </w:pPr>
    </w:p>
    <w:p w14:paraId="2D73292B">
      <w:pPr>
        <w:spacing w:line="360" w:lineRule="auto"/>
        <w:ind w:firstLine="480" w:firstLineChars="200"/>
        <w:jc w:val="left"/>
        <w:textAlignment w:val="baseline"/>
        <w:rPr>
          <w:rFonts w:ascii="仿宋" w:hAnsi="仿宋" w:eastAsia="仿宋" w:cs="仿宋"/>
          <w:color w:val="auto"/>
          <w:sz w:val="24"/>
          <w:highlight w:val="none"/>
        </w:rPr>
      </w:pPr>
    </w:p>
    <w:p w14:paraId="710F1832">
      <w:pPr>
        <w:spacing w:line="360" w:lineRule="auto"/>
        <w:ind w:firstLine="480" w:firstLineChars="200"/>
        <w:jc w:val="left"/>
        <w:textAlignment w:val="baseline"/>
        <w:rPr>
          <w:rFonts w:ascii="仿宋" w:hAnsi="仿宋" w:eastAsia="仿宋" w:cs="仿宋"/>
          <w:color w:val="auto"/>
          <w:sz w:val="24"/>
          <w:highlight w:val="none"/>
        </w:rPr>
      </w:pPr>
    </w:p>
    <w:p w14:paraId="057A55C5">
      <w:pPr>
        <w:spacing w:line="360" w:lineRule="auto"/>
        <w:ind w:firstLine="480" w:firstLineChars="200"/>
        <w:jc w:val="left"/>
        <w:textAlignment w:val="baseline"/>
        <w:rPr>
          <w:rFonts w:ascii="仿宋" w:hAnsi="仿宋" w:eastAsia="仿宋" w:cs="仿宋"/>
          <w:color w:val="auto"/>
          <w:sz w:val="24"/>
          <w:highlight w:val="none"/>
        </w:rPr>
      </w:pPr>
    </w:p>
    <w:p w14:paraId="0BEA7082">
      <w:pPr>
        <w:spacing w:line="360" w:lineRule="auto"/>
        <w:ind w:firstLine="480" w:firstLineChars="200"/>
        <w:jc w:val="left"/>
        <w:textAlignment w:val="baseline"/>
        <w:rPr>
          <w:rFonts w:ascii="仿宋" w:hAnsi="仿宋" w:eastAsia="仿宋" w:cs="仿宋"/>
          <w:color w:val="auto"/>
          <w:sz w:val="24"/>
          <w:highlight w:val="none"/>
        </w:rPr>
      </w:pPr>
    </w:p>
    <w:p w14:paraId="77F839E1">
      <w:pPr>
        <w:spacing w:line="360" w:lineRule="auto"/>
        <w:ind w:firstLine="480" w:firstLineChars="200"/>
        <w:jc w:val="left"/>
        <w:textAlignment w:val="baseline"/>
        <w:rPr>
          <w:rFonts w:ascii="仿宋" w:hAnsi="仿宋" w:eastAsia="仿宋" w:cs="仿宋"/>
          <w:color w:val="auto"/>
          <w:sz w:val="24"/>
          <w:highlight w:val="none"/>
        </w:rPr>
      </w:pPr>
    </w:p>
    <w:p w14:paraId="4C7E103F">
      <w:pPr>
        <w:rPr>
          <w:rFonts w:ascii="仿宋" w:hAnsi="仿宋" w:eastAsia="仿宋" w:cs="仿宋"/>
          <w:color w:val="auto"/>
          <w:highlight w:val="none"/>
        </w:rPr>
      </w:pPr>
      <w:bookmarkStart w:id="672" w:name="_Toc12465"/>
      <w:bookmarkStart w:id="673" w:name="_Toc10293"/>
      <w:bookmarkStart w:id="674" w:name="_Toc387240425"/>
      <w:bookmarkStart w:id="675" w:name="_Toc444509176"/>
      <w:r>
        <w:rPr>
          <w:rFonts w:hint="eastAsia" w:ascii="仿宋" w:hAnsi="仿宋" w:eastAsia="仿宋" w:cs="仿宋"/>
          <w:color w:val="auto"/>
          <w:highlight w:val="none"/>
        </w:rPr>
        <w:br w:type="page"/>
      </w:r>
    </w:p>
    <w:p w14:paraId="3FF6EFCE">
      <w:pPr>
        <w:pStyle w:val="3"/>
        <w:spacing w:beforeLines="50" w:afterLines="50"/>
        <w:jc w:val="center"/>
        <w:rPr>
          <w:rFonts w:ascii="仿宋" w:hAnsi="仿宋" w:eastAsia="仿宋" w:cs="仿宋"/>
          <w:color w:val="auto"/>
          <w:highlight w:val="none"/>
        </w:rPr>
      </w:pPr>
      <w:r>
        <w:rPr>
          <w:rFonts w:hint="eastAsia" w:ascii="仿宋" w:hAnsi="仿宋" w:eastAsia="仿宋" w:cs="仿宋"/>
          <w:color w:val="auto"/>
          <w:highlight w:val="none"/>
        </w:rPr>
        <w:t>六、投标人专职技术人员配置情况</w:t>
      </w:r>
      <w:bookmarkEnd w:id="672"/>
      <w:bookmarkEnd w:id="673"/>
      <w:bookmarkEnd w:id="674"/>
      <w:bookmarkEnd w:id="675"/>
    </w:p>
    <w:p w14:paraId="60D06C4D">
      <w:pPr>
        <w:ind w:left="-718" w:leftChars="-342" w:firstLine="700" w:firstLineChars="25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  </w:t>
      </w:r>
    </w:p>
    <w:tbl>
      <w:tblPr>
        <w:tblStyle w:val="22"/>
        <w:tblW w:w="95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0"/>
        <w:gridCol w:w="1440"/>
        <w:gridCol w:w="1620"/>
        <w:gridCol w:w="1516"/>
        <w:gridCol w:w="1786"/>
        <w:gridCol w:w="1786"/>
      </w:tblGrid>
      <w:tr w14:paraId="2A6C6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jc w:val="center"/>
        </w:trPr>
        <w:tc>
          <w:tcPr>
            <w:tcW w:w="1440" w:type="dxa"/>
            <w:noWrap/>
            <w:vAlign w:val="center"/>
          </w:tcPr>
          <w:p w14:paraId="161F4318">
            <w:pPr>
              <w:jc w:val="center"/>
              <w:rPr>
                <w:rFonts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1440" w:type="dxa"/>
            <w:noWrap/>
            <w:vAlign w:val="center"/>
          </w:tcPr>
          <w:p w14:paraId="43DF22CA">
            <w:pPr>
              <w:jc w:val="center"/>
              <w:rPr>
                <w:rFonts w:ascii="仿宋" w:hAnsi="仿宋" w:eastAsia="仿宋" w:cs="仿宋"/>
                <w:color w:val="auto"/>
                <w:sz w:val="24"/>
                <w:highlight w:val="none"/>
              </w:rPr>
            </w:pPr>
            <w:r>
              <w:rPr>
                <w:rFonts w:hint="eastAsia" w:ascii="仿宋" w:hAnsi="仿宋" w:eastAsia="仿宋" w:cs="仿宋"/>
                <w:color w:val="auto"/>
                <w:sz w:val="24"/>
                <w:highlight w:val="none"/>
              </w:rPr>
              <w:t>姓 名</w:t>
            </w:r>
          </w:p>
        </w:tc>
        <w:tc>
          <w:tcPr>
            <w:tcW w:w="1620" w:type="dxa"/>
            <w:noWrap/>
            <w:vAlign w:val="center"/>
          </w:tcPr>
          <w:p w14:paraId="7F364C9D">
            <w:pPr>
              <w:jc w:val="center"/>
              <w:rPr>
                <w:rFonts w:ascii="仿宋" w:hAnsi="仿宋" w:eastAsia="仿宋" w:cs="仿宋"/>
                <w:color w:val="auto"/>
                <w:sz w:val="24"/>
                <w:highlight w:val="none"/>
              </w:rPr>
            </w:pPr>
            <w:r>
              <w:rPr>
                <w:rFonts w:hint="eastAsia" w:ascii="仿宋" w:hAnsi="仿宋" w:eastAsia="仿宋" w:cs="仿宋"/>
                <w:color w:val="auto"/>
                <w:sz w:val="24"/>
                <w:highlight w:val="none"/>
              </w:rPr>
              <w:t>年龄</w:t>
            </w:r>
          </w:p>
        </w:tc>
        <w:tc>
          <w:tcPr>
            <w:tcW w:w="1516" w:type="dxa"/>
            <w:noWrap/>
            <w:vAlign w:val="center"/>
          </w:tcPr>
          <w:p w14:paraId="57B77454">
            <w:pPr>
              <w:jc w:val="center"/>
              <w:rPr>
                <w:rFonts w:ascii="仿宋" w:hAnsi="仿宋" w:eastAsia="仿宋" w:cs="仿宋"/>
                <w:color w:val="auto"/>
                <w:sz w:val="24"/>
                <w:highlight w:val="none"/>
              </w:rPr>
            </w:pPr>
            <w:r>
              <w:rPr>
                <w:rFonts w:hint="eastAsia" w:ascii="仿宋" w:hAnsi="仿宋" w:eastAsia="仿宋" w:cs="仿宋"/>
                <w:color w:val="auto"/>
                <w:sz w:val="24"/>
                <w:highlight w:val="none"/>
              </w:rPr>
              <w:t>岗位</w:t>
            </w:r>
          </w:p>
        </w:tc>
        <w:tc>
          <w:tcPr>
            <w:tcW w:w="1786" w:type="dxa"/>
            <w:noWrap/>
            <w:vAlign w:val="center"/>
          </w:tcPr>
          <w:p w14:paraId="008F7D8E">
            <w:pPr>
              <w:jc w:val="center"/>
              <w:rPr>
                <w:rFonts w:ascii="仿宋" w:hAnsi="仿宋" w:eastAsia="仿宋" w:cs="仿宋"/>
                <w:color w:val="auto"/>
                <w:sz w:val="24"/>
                <w:highlight w:val="none"/>
              </w:rPr>
            </w:pPr>
            <w:r>
              <w:rPr>
                <w:rFonts w:hint="eastAsia" w:ascii="仿宋" w:hAnsi="仿宋" w:eastAsia="仿宋" w:cs="仿宋"/>
                <w:color w:val="auto"/>
                <w:sz w:val="24"/>
                <w:highlight w:val="none"/>
              </w:rPr>
              <w:t>职 称</w:t>
            </w:r>
          </w:p>
        </w:tc>
        <w:tc>
          <w:tcPr>
            <w:tcW w:w="1786" w:type="dxa"/>
            <w:noWrap/>
            <w:vAlign w:val="center"/>
          </w:tcPr>
          <w:p w14:paraId="28E9DAE6">
            <w:pPr>
              <w:jc w:val="center"/>
              <w:rPr>
                <w:rFonts w:ascii="仿宋" w:hAnsi="仿宋" w:eastAsia="仿宋" w:cs="仿宋"/>
                <w:color w:val="auto"/>
                <w:sz w:val="24"/>
                <w:highlight w:val="none"/>
              </w:rPr>
            </w:pPr>
            <w:r>
              <w:rPr>
                <w:rFonts w:hint="eastAsia" w:ascii="仿宋" w:hAnsi="仿宋" w:eastAsia="仿宋" w:cs="仿宋"/>
                <w:color w:val="auto"/>
                <w:sz w:val="24"/>
                <w:highlight w:val="none"/>
              </w:rPr>
              <w:t>执业资格</w:t>
            </w:r>
          </w:p>
        </w:tc>
      </w:tr>
      <w:tr w14:paraId="3AED1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440" w:type="dxa"/>
            <w:noWrap/>
            <w:vAlign w:val="center"/>
          </w:tcPr>
          <w:p w14:paraId="10146487">
            <w:pPr>
              <w:jc w:val="center"/>
              <w:rPr>
                <w:rFonts w:ascii="仿宋" w:hAnsi="仿宋" w:eastAsia="仿宋" w:cs="仿宋"/>
                <w:color w:val="auto"/>
                <w:sz w:val="24"/>
                <w:highlight w:val="none"/>
              </w:rPr>
            </w:pPr>
          </w:p>
        </w:tc>
        <w:tc>
          <w:tcPr>
            <w:tcW w:w="1440" w:type="dxa"/>
            <w:noWrap/>
            <w:vAlign w:val="center"/>
          </w:tcPr>
          <w:p w14:paraId="5F115BE1">
            <w:pPr>
              <w:jc w:val="center"/>
              <w:rPr>
                <w:rFonts w:ascii="仿宋" w:hAnsi="仿宋" w:eastAsia="仿宋" w:cs="仿宋"/>
                <w:color w:val="auto"/>
                <w:sz w:val="24"/>
                <w:highlight w:val="none"/>
              </w:rPr>
            </w:pPr>
          </w:p>
        </w:tc>
        <w:tc>
          <w:tcPr>
            <w:tcW w:w="1620" w:type="dxa"/>
            <w:noWrap/>
            <w:vAlign w:val="center"/>
          </w:tcPr>
          <w:p w14:paraId="505A6222">
            <w:pPr>
              <w:jc w:val="center"/>
              <w:rPr>
                <w:rFonts w:ascii="仿宋" w:hAnsi="仿宋" w:eastAsia="仿宋" w:cs="仿宋"/>
                <w:color w:val="auto"/>
                <w:sz w:val="24"/>
                <w:highlight w:val="none"/>
              </w:rPr>
            </w:pPr>
          </w:p>
        </w:tc>
        <w:tc>
          <w:tcPr>
            <w:tcW w:w="1516" w:type="dxa"/>
            <w:noWrap/>
            <w:vAlign w:val="center"/>
          </w:tcPr>
          <w:p w14:paraId="62658DD0">
            <w:pPr>
              <w:jc w:val="center"/>
              <w:rPr>
                <w:rFonts w:ascii="仿宋" w:hAnsi="仿宋" w:eastAsia="仿宋" w:cs="仿宋"/>
                <w:color w:val="auto"/>
                <w:sz w:val="24"/>
                <w:highlight w:val="none"/>
              </w:rPr>
            </w:pPr>
          </w:p>
        </w:tc>
        <w:tc>
          <w:tcPr>
            <w:tcW w:w="1786" w:type="dxa"/>
            <w:noWrap/>
            <w:vAlign w:val="center"/>
          </w:tcPr>
          <w:p w14:paraId="6D01A48C">
            <w:pPr>
              <w:jc w:val="center"/>
              <w:rPr>
                <w:rFonts w:ascii="仿宋" w:hAnsi="仿宋" w:eastAsia="仿宋" w:cs="仿宋"/>
                <w:color w:val="auto"/>
                <w:sz w:val="24"/>
                <w:highlight w:val="none"/>
              </w:rPr>
            </w:pPr>
          </w:p>
        </w:tc>
        <w:tc>
          <w:tcPr>
            <w:tcW w:w="1786" w:type="dxa"/>
            <w:noWrap/>
            <w:vAlign w:val="center"/>
          </w:tcPr>
          <w:p w14:paraId="16BFF863">
            <w:pPr>
              <w:jc w:val="center"/>
              <w:rPr>
                <w:rFonts w:ascii="仿宋" w:hAnsi="仿宋" w:eastAsia="仿宋" w:cs="仿宋"/>
                <w:color w:val="auto"/>
                <w:sz w:val="24"/>
                <w:highlight w:val="none"/>
              </w:rPr>
            </w:pPr>
          </w:p>
        </w:tc>
      </w:tr>
      <w:tr w14:paraId="3327A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440" w:type="dxa"/>
            <w:noWrap/>
            <w:vAlign w:val="center"/>
          </w:tcPr>
          <w:p w14:paraId="1AA04291">
            <w:pPr>
              <w:jc w:val="center"/>
              <w:rPr>
                <w:rFonts w:ascii="仿宋" w:hAnsi="仿宋" w:eastAsia="仿宋" w:cs="仿宋"/>
                <w:color w:val="auto"/>
                <w:sz w:val="24"/>
                <w:highlight w:val="none"/>
              </w:rPr>
            </w:pPr>
          </w:p>
        </w:tc>
        <w:tc>
          <w:tcPr>
            <w:tcW w:w="1440" w:type="dxa"/>
            <w:noWrap/>
            <w:vAlign w:val="center"/>
          </w:tcPr>
          <w:p w14:paraId="65F00007">
            <w:pPr>
              <w:jc w:val="center"/>
              <w:rPr>
                <w:rFonts w:ascii="仿宋" w:hAnsi="仿宋" w:eastAsia="仿宋" w:cs="仿宋"/>
                <w:color w:val="auto"/>
                <w:sz w:val="24"/>
                <w:highlight w:val="none"/>
              </w:rPr>
            </w:pPr>
          </w:p>
        </w:tc>
        <w:tc>
          <w:tcPr>
            <w:tcW w:w="1620" w:type="dxa"/>
            <w:noWrap/>
            <w:vAlign w:val="center"/>
          </w:tcPr>
          <w:p w14:paraId="27FB7EF0">
            <w:pPr>
              <w:jc w:val="center"/>
              <w:rPr>
                <w:rFonts w:ascii="仿宋" w:hAnsi="仿宋" w:eastAsia="仿宋" w:cs="仿宋"/>
                <w:color w:val="auto"/>
                <w:sz w:val="24"/>
                <w:highlight w:val="none"/>
              </w:rPr>
            </w:pPr>
          </w:p>
        </w:tc>
        <w:tc>
          <w:tcPr>
            <w:tcW w:w="1516" w:type="dxa"/>
            <w:noWrap/>
            <w:vAlign w:val="center"/>
          </w:tcPr>
          <w:p w14:paraId="75F31B4F">
            <w:pPr>
              <w:jc w:val="center"/>
              <w:rPr>
                <w:rFonts w:ascii="仿宋" w:hAnsi="仿宋" w:eastAsia="仿宋" w:cs="仿宋"/>
                <w:color w:val="auto"/>
                <w:sz w:val="24"/>
                <w:highlight w:val="none"/>
              </w:rPr>
            </w:pPr>
          </w:p>
        </w:tc>
        <w:tc>
          <w:tcPr>
            <w:tcW w:w="1786" w:type="dxa"/>
            <w:noWrap/>
            <w:vAlign w:val="center"/>
          </w:tcPr>
          <w:p w14:paraId="14B05D0A">
            <w:pPr>
              <w:jc w:val="center"/>
              <w:rPr>
                <w:rFonts w:ascii="仿宋" w:hAnsi="仿宋" w:eastAsia="仿宋" w:cs="仿宋"/>
                <w:color w:val="auto"/>
                <w:sz w:val="24"/>
                <w:highlight w:val="none"/>
              </w:rPr>
            </w:pPr>
          </w:p>
        </w:tc>
        <w:tc>
          <w:tcPr>
            <w:tcW w:w="1786" w:type="dxa"/>
            <w:noWrap/>
            <w:vAlign w:val="center"/>
          </w:tcPr>
          <w:p w14:paraId="5D1F9284">
            <w:pPr>
              <w:jc w:val="center"/>
              <w:rPr>
                <w:rFonts w:ascii="仿宋" w:hAnsi="仿宋" w:eastAsia="仿宋" w:cs="仿宋"/>
                <w:color w:val="auto"/>
                <w:sz w:val="24"/>
                <w:highlight w:val="none"/>
              </w:rPr>
            </w:pPr>
          </w:p>
        </w:tc>
      </w:tr>
      <w:tr w14:paraId="167E6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440" w:type="dxa"/>
            <w:noWrap/>
            <w:vAlign w:val="center"/>
          </w:tcPr>
          <w:p w14:paraId="21A056ED">
            <w:pPr>
              <w:jc w:val="center"/>
              <w:rPr>
                <w:rFonts w:ascii="仿宋" w:hAnsi="仿宋" w:eastAsia="仿宋" w:cs="仿宋"/>
                <w:color w:val="auto"/>
                <w:sz w:val="24"/>
                <w:highlight w:val="none"/>
              </w:rPr>
            </w:pPr>
          </w:p>
        </w:tc>
        <w:tc>
          <w:tcPr>
            <w:tcW w:w="1440" w:type="dxa"/>
            <w:noWrap/>
            <w:vAlign w:val="center"/>
          </w:tcPr>
          <w:p w14:paraId="2C66B9A3">
            <w:pPr>
              <w:jc w:val="center"/>
              <w:rPr>
                <w:rFonts w:ascii="仿宋" w:hAnsi="仿宋" w:eastAsia="仿宋" w:cs="仿宋"/>
                <w:color w:val="auto"/>
                <w:sz w:val="24"/>
                <w:highlight w:val="none"/>
              </w:rPr>
            </w:pPr>
          </w:p>
        </w:tc>
        <w:tc>
          <w:tcPr>
            <w:tcW w:w="1620" w:type="dxa"/>
            <w:noWrap/>
            <w:vAlign w:val="center"/>
          </w:tcPr>
          <w:p w14:paraId="565206F3">
            <w:pPr>
              <w:jc w:val="center"/>
              <w:rPr>
                <w:rFonts w:ascii="仿宋" w:hAnsi="仿宋" w:eastAsia="仿宋" w:cs="仿宋"/>
                <w:color w:val="auto"/>
                <w:sz w:val="24"/>
                <w:highlight w:val="none"/>
              </w:rPr>
            </w:pPr>
          </w:p>
        </w:tc>
        <w:tc>
          <w:tcPr>
            <w:tcW w:w="1516" w:type="dxa"/>
            <w:noWrap/>
            <w:vAlign w:val="center"/>
          </w:tcPr>
          <w:p w14:paraId="07EDDF9B">
            <w:pPr>
              <w:jc w:val="center"/>
              <w:rPr>
                <w:rFonts w:ascii="仿宋" w:hAnsi="仿宋" w:eastAsia="仿宋" w:cs="仿宋"/>
                <w:color w:val="auto"/>
                <w:sz w:val="24"/>
                <w:highlight w:val="none"/>
              </w:rPr>
            </w:pPr>
          </w:p>
        </w:tc>
        <w:tc>
          <w:tcPr>
            <w:tcW w:w="1786" w:type="dxa"/>
            <w:noWrap/>
            <w:vAlign w:val="center"/>
          </w:tcPr>
          <w:p w14:paraId="285AEDDD">
            <w:pPr>
              <w:jc w:val="center"/>
              <w:rPr>
                <w:rFonts w:ascii="仿宋" w:hAnsi="仿宋" w:eastAsia="仿宋" w:cs="仿宋"/>
                <w:color w:val="auto"/>
                <w:sz w:val="24"/>
                <w:highlight w:val="none"/>
              </w:rPr>
            </w:pPr>
          </w:p>
        </w:tc>
        <w:tc>
          <w:tcPr>
            <w:tcW w:w="1786" w:type="dxa"/>
            <w:noWrap/>
            <w:vAlign w:val="center"/>
          </w:tcPr>
          <w:p w14:paraId="3177485E">
            <w:pPr>
              <w:jc w:val="center"/>
              <w:rPr>
                <w:rFonts w:ascii="仿宋" w:hAnsi="仿宋" w:eastAsia="仿宋" w:cs="仿宋"/>
                <w:color w:val="auto"/>
                <w:sz w:val="24"/>
                <w:highlight w:val="none"/>
              </w:rPr>
            </w:pPr>
          </w:p>
        </w:tc>
      </w:tr>
      <w:tr w14:paraId="6C0E1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440" w:type="dxa"/>
            <w:noWrap/>
            <w:vAlign w:val="center"/>
          </w:tcPr>
          <w:p w14:paraId="63E927C0">
            <w:pPr>
              <w:jc w:val="center"/>
              <w:rPr>
                <w:rFonts w:ascii="仿宋" w:hAnsi="仿宋" w:eastAsia="仿宋" w:cs="仿宋"/>
                <w:color w:val="auto"/>
                <w:sz w:val="24"/>
                <w:highlight w:val="none"/>
              </w:rPr>
            </w:pPr>
          </w:p>
        </w:tc>
        <w:tc>
          <w:tcPr>
            <w:tcW w:w="1440" w:type="dxa"/>
            <w:noWrap/>
            <w:vAlign w:val="center"/>
          </w:tcPr>
          <w:p w14:paraId="69BA9A21">
            <w:pPr>
              <w:jc w:val="center"/>
              <w:rPr>
                <w:rFonts w:ascii="仿宋" w:hAnsi="仿宋" w:eastAsia="仿宋" w:cs="仿宋"/>
                <w:color w:val="auto"/>
                <w:sz w:val="24"/>
                <w:highlight w:val="none"/>
              </w:rPr>
            </w:pPr>
          </w:p>
        </w:tc>
        <w:tc>
          <w:tcPr>
            <w:tcW w:w="1620" w:type="dxa"/>
            <w:noWrap/>
            <w:vAlign w:val="center"/>
          </w:tcPr>
          <w:p w14:paraId="697F93BF">
            <w:pPr>
              <w:jc w:val="center"/>
              <w:rPr>
                <w:rFonts w:ascii="仿宋" w:hAnsi="仿宋" w:eastAsia="仿宋" w:cs="仿宋"/>
                <w:color w:val="auto"/>
                <w:sz w:val="24"/>
                <w:highlight w:val="none"/>
              </w:rPr>
            </w:pPr>
          </w:p>
        </w:tc>
        <w:tc>
          <w:tcPr>
            <w:tcW w:w="1516" w:type="dxa"/>
            <w:noWrap/>
            <w:vAlign w:val="center"/>
          </w:tcPr>
          <w:p w14:paraId="502EBABB">
            <w:pPr>
              <w:jc w:val="center"/>
              <w:rPr>
                <w:rFonts w:ascii="仿宋" w:hAnsi="仿宋" w:eastAsia="仿宋" w:cs="仿宋"/>
                <w:color w:val="auto"/>
                <w:sz w:val="24"/>
                <w:highlight w:val="none"/>
              </w:rPr>
            </w:pPr>
          </w:p>
        </w:tc>
        <w:tc>
          <w:tcPr>
            <w:tcW w:w="1786" w:type="dxa"/>
            <w:noWrap/>
            <w:vAlign w:val="center"/>
          </w:tcPr>
          <w:p w14:paraId="346B5609">
            <w:pPr>
              <w:jc w:val="center"/>
              <w:rPr>
                <w:rFonts w:ascii="仿宋" w:hAnsi="仿宋" w:eastAsia="仿宋" w:cs="仿宋"/>
                <w:color w:val="auto"/>
                <w:sz w:val="24"/>
                <w:highlight w:val="none"/>
              </w:rPr>
            </w:pPr>
          </w:p>
        </w:tc>
        <w:tc>
          <w:tcPr>
            <w:tcW w:w="1786" w:type="dxa"/>
            <w:noWrap/>
            <w:vAlign w:val="center"/>
          </w:tcPr>
          <w:p w14:paraId="5AB16510">
            <w:pPr>
              <w:jc w:val="center"/>
              <w:rPr>
                <w:rFonts w:ascii="仿宋" w:hAnsi="仿宋" w:eastAsia="仿宋" w:cs="仿宋"/>
                <w:color w:val="auto"/>
                <w:sz w:val="24"/>
                <w:highlight w:val="none"/>
              </w:rPr>
            </w:pPr>
          </w:p>
        </w:tc>
      </w:tr>
      <w:tr w14:paraId="13DB0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440" w:type="dxa"/>
            <w:noWrap/>
            <w:vAlign w:val="center"/>
          </w:tcPr>
          <w:p w14:paraId="7BBA8C7B">
            <w:pPr>
              <w:jc w:val="center"/>
              <w:rPr>
                <w:rFonts w:ascii="仿宋" w:hAnsi="仿宋" w:eastAsia="仿宋" w:cs="仿宋"/>
                <w:color w:val="auto"/>
                <w:sz w:val="24"/>
                <w:highlight w:val="none"/>
              </w:rPr>
            </w:pPr>
          </w:p>
        </w:tc>
        <w:tc>
          <w:tcPr>
            <w:tcW w:w="1440" w:type="dxa"/>
            <w:noWrap/>
            <w:vAlign w:val="center"/>
          </w:tcPr>
          <w:p w14:paraId="64373B0E">
            <w:pPr>
              <w:jc w:val="center"/>
              <w:rPr>
                <w:rFonts w:ascii="仿宋" w:hAnsi="仿宋" w:eastAsia="仿宋" w:cs="仿宋"/>
                <w:color w:val="auto"/>
                <w:sz w:val="24"/>
                <w:highlight w:val="none"/>
              </w:rPr>
            </w:pPr>
          </w:p>
        </w:tc>
        <w:tc>
          <w:tcPr>
            <w:tcW w:w="1620" w:type="dxa"/>
            <w:noWrap/>
            <w:vAlign w:val="center"/>
          </w:tcPr>
          <w:p w14:paraId="70DE3549">
            <w:pPr>
              <w:jc w:val="center"/>
              <w:rPr>
                <w:rFonts w:ascii="仿宋" w:hAnsi="仿宋" w:eastAsia="仿宋" w:cs="仿宋"/>
                <w:color w:val="auto"/>
                <w:sz w:val="24"/>
                <w:highlight w:val="none"/>
              </w:rPr>
            </w:pPr>
          </w:p>
        </w:tc>
        <w:tc>
          <w:tcPr>
            <w:tcW w:w="1516" w:type="dxa"/>
            <w:noWrap/>
            <w:vAlign w:val="center"/>
          </w:tcPr>
          <w:p w14:paraId="75833C91">
            <w:pPr>
              <w:jc w:val="center"/>
              <w:rPr>
                <w:rFonts w:ascii="仿宋" w:hAnsi="仿宋" w:eastAsia="仿宋" w:cs="仿宋"/>
                <w:color w:val="auto"/>
                <w:sz w:val="24"/>
                <w:highlight w:val="none"/>
              </w:rPr>
            </w:pPr>
          </w:p>
        </w:tc>
        <w:tc>
          <w:tcPr>
            <w:tcW w:w="1786" w:type="dxa"/>
            <w:noWrap/>
            <w:vAlign w:val="center"/>
          </w:tcPr>
          <w:p w14:paraId="51A04A73">
            <w:pPr>
              <w:jc w:val="center"/>
              <w:rPr>
                <w:rFonts w:ascii="仿宋" w:hAnsi="仿宋" w:eastAsia="仿宋" w:cs="仿宋"/>
                <w:color w:val="auto"/>
                <w:sz w:val="24"/>
                <w:highlight w:val="none"/>
              </w:rPr>
            </w:pPr>
          </w:p>
        </w:tc>
        <w:tc>
          <w:tcPr>
            <w:tcW w:w="1786" w:type="dxa"/>
            <w:noWrap/>
            <w:vAlign w:val="center"/>
          </w:tcPr>
          <w:p w14:paraId="1A000F0E">
            <w:pPr>
              <w:jc w:val="center"/>
              <w:rPr>
                <w:rFonts w:ascii="仿宋" w:hAnsi="仿宋" w:eastAsia="仿宋" w:cs="仿宋"/>
                <w:color w:val="auto"/>
                <w:sz w:val="24"/>
                <w:highlight w:val="none"/>
              </w:rPr>
            </w:pPr>
          </w:p>
        </w:tc>
      </w:tr>
      <w:tr w14:paraId="1460F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440" w:type="dxa"/>
            <w:noWrap/>
            <w:vAlign w:val="center"/>
          </w:tcPr>
          <w:p w14:paraId="6BBF864C">
            <w:pPr>
              <w:jc w:val="center"/>
              <w:rPr>
                <w:rFonts w:ascii="仿宋" w:hAnsi="仿宋" w:eastAsia="仿宋" w:cs="仿宋"/>
                <w:color w:val="auto"/>
                <w:sz w:val="24"/>
                <w:highlight w:val="none"/>
              </w:rPr>
            </w:pPr>
          </w:p>
        </w:tc>
        <w:tc>
          <w:tcPr>
            <w:tcW w:w="1440" w:type="dxa"/>
            <w:noWrap/>
            <w:vAlign w:val="center"/>
          </w:tcPr>
          <w:p w14:paraId="4DD5B963">
            <w:pPr>
              <w:jc w:val="center"/>
              <w:rPr>
                <w:rFonts w:ascii="仿宋" w:hAnsi="仿宋" w:eastAsia="仿宋" w:cs="仿宋"/>
                <w:color w:val="auto"/>
                <w:sz w:val="24"/>
                <w:highlight w:val="none"/>
              </w:rPr>
            </w:pPr>
          </w:p>
        </w:tc>
        <w:tc>
          <w:tcPr>
            <w:tcW w:w="1620" w:type="dxa"/>
            <w:noWrap/>
            <w:vAlign w:val="center"/>
          </w:tcPr>
          <w:p w14:paraId="7A10CFB8">
            <w:pPr>
              <w:jc w:val="center"/>
              <w:rPr>
                <w:rFonts w:ascii="仿宋" w:hAnsi="仿宋" w:eastAsia="仿宋" w:cs="仿宋"/>
                <w:color w:val="auto"/>
                <w:sz w:val="24"/>
                <w:highlight w:val="none"/>
              </w:rPr>
            </w:pPr>
          </w:p>
        </w:tc>
        <w:tc>
          <w:tcPr>
            <w:tcW w:w="1516" w:type="dxa"/>
            <w:noWrap/>
            <w:vAlign w:val="center"/>
          </w:tcPr>
          <w:p w14:paraId="05E908CC">
            <w:pPr>
              <w:jc w:val="center"/>
              <w:rPr>
                <w:rFonts w:ascii="仿宋" w:hAnsi="仿宋" w:eastAsia="仿宋" w:cs="仿宋"/>
                <w:color w:val="auto"/>
                <w:sz w:val="24"/>
                <w:highlight w:val="none"/>
              </w:rPr>
            </w:pPr>
          </w:p>
        </w:tc>
        <w:tc>
          <w:tcPr>
            <w:tcW w:w="1786" w:type="dxa"/>
            <w:noWrap/>
            <w:vAlign w:val="center"/>
          </w:tcPr>
          <w:p w14:paraId="3D357BF6">
            <w:pPr>
              <w:jc w:val="center"/>
              <w:rPr>
                <w:rFonts w:ascii="仿宋" w:hAnsi="仿宋" w:eastAsia="仿宋" w:cs="仿宋"/>
                <w:color w:val="auto"/>
                <w:sz w:val="24"/>
                <w:highlight w:val="none"/>
              </w:rPr>
            </w:pPr>
          </w:p>
        </w:tc>
        <w:tc>
          <w:tcPr>
            <w:tcW w:w="1786" w:type="dxa"/>
            <w:noWrap/>
            <w:vAlign w:val="center"/>
          </w:tcPr>
          <w:p w14:paraId="5E5E5CA8">
            <w:pPr>
              <w:jc w:val="center"/>
              <w:rPr>
                <w:rFonts w:ascii="仿宋" w:hAnsi="仿宋" w:eastAsia="仿宋" w:cs="仿宋"/>
                <w:color w:val="auto"/>
                <w:sz w:val="24"/>
                <w:highlight w:val="none"/>
              </w:rPr>
            </w:pPr>
          </w:p>
        </w:tc>
      </w:tr>
      <w:tr w14:paraId="5E604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440" w:type="dxa"/>
            <w:noWrap/>
            <w:vAlign w:val="center"/>
          </w:tcPr>
          <w:p w14:paraId="0A2BA55F">
            <w:pPr>
              <w:jc w:val="center"/>
              <w:rPr>
                <w:rFonts w:ascii="仿宋" w:hAnsi="仿宋" w:eastAsia="仿宋" w:cs="仿宋"/>
                <w:color w:val="auto"/>
                <w:sz w:val="24"/>
                <w:highlight w:val="none"/>
              </w:rPr>
            </w:pPr>
          </w:p>
        </w:tc>
        <w:tc>
          <w:tcPr>
            <w:tcW w:w="1440" w:type="dxa"/>
            <w:noWrap/>
            <w:vAlign w:val="center"/>
          </w:tcPr>
          <w:p w14:paraId="52EB1D8D">
            <w:pPr>
              <w:jc w:val="center"/>
              <w:rPr>
                <w:rFonts w:ascii="仿宋" w:hAnsi="仿宋" w:eastAsia="仿宋" w:cs="仿宋"/>
                <w:color w:val="auto"/>
                <w:sz w:val="24"/>
                <w:highlight w:val="none"/>
              </w:rPr>
            </w:pPr>
          </w:p>
        </w:tc>
        <w:tc>
          <w:tcPr>
            <w:tcW w:w="1620" w:type="dxa"/>
            <w:noWrap/>
            <w:vAlign w:val="center"/>
          </w:tcPr>
          <w:p w14:paraId="297CE1FA">
            <w:pPr>
              <w:jc w:val="center"/>
              <w:rPr>
                <w:rFonts w:ascii="仿宋" w:hAnsi="仿宋" w:eastAsia="仿宋" w:cs="仿宋"/>
                <w:color w:val="auto"/>
                <w:sz w:val="24"/>
                <w:highlight w:val="none"/>
              </w:rPr>
            </w:pPr>
          </w:p>
        </w:tc>
        <w:tc>
          <w:tcPr>
            <w:tcW w:w="1516" w:type="dxa"/>
            <w:noWrap/>
            <w:vAlign w:val="center"/>
          </w:tcPr>
          <w:p w14:paraId="245C6137">
            <w:pPr>
              <w:jc w:val="center"/>
              <w:rPr>
                <w:rFonts w:ascii="仿宋" w:hAnsi="仿宋" w:eastAsia="仿宋" w:cs="仿宋"/>
                <w:color w:val="auto"/>
                <w:sz w:val="24"/>
                <w:highlight w:val="none"/>
              </w:rPr>
            </w:pPr>
          </w:p>
        </w:tc>
        <w:tc>
          <w:tcPr>
            <w:tcW w:w="1786" w:type="dxa"/>
            <w:noWrap/>
            <w:vAlign w:val="center"/>
          </w:tcPr>
          <w:p w14:paraId="5D178EB0">
            <w:pPr>
              <w:jc w:val="center"/>
              <w:rPr>
                <w:rFonts w:ascii="仿宋" w:hAnsi="仿宋" w:eastAsia="仿宋" w:cs="仿宋"/>
                <w:color w:val="auto"/>
                <w:sz w:val="24"/>
                <w:highlight w:val="none"/>
              </w:rPr>
            </w:pPr>
          </w:p>
        </w:tc>
        <w:tc>
          <w:tcPr>
            <w:tcW w:w="1786" w:type="dxa"/>
            <w:noWrap/>
            <w:vAlign w:val="center"/>
          </w:tcPr>
          <w:p w14:paraId="491AC296">
            <w:pPr>
              <w:jc w:val="center"/>
              <w:rPr>
                <w:rFonts w:ascii="仿宋" w:hAnsi="仿宋" w:eastAsia="仿宋" w:cs="仿宋"/>
                <w:color w:val="auto"/>
                <w:sz w:val="24"/>
                <w:highlight w:val="none"/>
              </w:rPr>
            </w:pPr>
          </w:p>
        </w:tc>
      </w:tr>
      <w:tr w14:paraId="49D71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440" w:type="dxa"/>
            <w:noWrap/>
            <w:vAlign w:val="center"/>
          </w:tcPr>
          <w:p w14:paraId="53BC04EC">
            <w:pPr>
              <w:jc w:val="center"/>
              <w:rPr>
                <w:rFonts w:ascii="仿宋" w:hAnsi="仿宋" w:eastAsia="仿宋" w:cs="仿宋"/>
                <w:color w:val="auto"/>
                <w:sz w:val="24"/>
                <w:highlight w:val="none"/>
              </w:rPr>
            </w:pPr>
          </w:p>
        </w:tc>
        <w:tc>
          <w:tcPr>
            <w:tcW w:w="1440" w:type="dxa"/>
            <w:noWrap/>
            <w:vAlign w:val="center"/>
          </w:tcPr>
          <w:p w14:paraId="0EE5D4C2">
            <w:pPr>
              <w:jc w:val="center"/>
              <w:rPr>
                <w:rFonts w:ascii="仿宋" w:hAnsi="仿宋" w:eastAsia="仿宋" w:cs="仿宋"/>
                <w:color w:val="auto"/>
                <w:sz w:val="24"/>
                <w:highlight w:val="none"/>
              </w:rPr>
            </w:pPr>
          </w:p>
        </w:tc>
        <w:tc>
          <w:tcPr>
            <w:tcW w:w="1620" w:type="dxa"/>
            <w:noWrap/>
            <w:vAlign w:val="center"/>
          </w:tcPr>
          <w:p w14:paraId="4373CA62">
            <w:pPr>
              <w:jc w:val="center"/>
              <w:rPr>
                <w:rFonts w:ascii="仿宋" w:hAnsi="仿宋" w:eastAsia="仿宋" w:cs="仿宋"/>
                <w:color w:val="auto"/>
                <w:sz w:val="24"/>
                <w:highlight w:val="none"/>
              </w:rPr>
            </w:pPr>
          </w:p>
        </w:tc>
        <w:tc>
          <w:tcPr>
            <w:tcW w:w="1516" w:type="dxa"/>
            <w:noWrap/>
            <w:vAlign w:val="center"/>
          </w:tcPr>
          <w:p w14:paraId="2819AC18">
            <w:pPr>
              <w:jc w:val="center"/>
              <w:rPr>
                <w:rFonts w:ascii="仿宋" w:hAnsi="仿宋" w:eastAsia="仿宋" w:cs="仿宋"/>
                <w:color w:val="auto"/>
                <w:sz w:val="24"/>
                <w:highlight w:val="none"/>
              </w:rPr>
            </w:pPr>
          </w:p>
        </w:tc>
        <w:tc>
          <w:tcPr>
            <w:tcW w:w="1786" w:type="dxa"/>
            <w:noWrap/>
            <w:vAlign w:val="center"/>
          </w:tcPr>
          <w:p w14:paraId="7F2AF9E3">
            <w:pPr>
              <w:jc w:val="center"/>
              <w:rPr>
                <w:rFonts w:ascii="仿宋" w:hAnsi="仿宋" w:eastAsia="仿宋" w:cs="仿宋"/>
                <w:color w:val="auto"/>
                <w:sz w:val="24"/>
                <w:highlight w:val="none"/>
              </w:rPr>
            </w:pPr>
          </w:p>
        </w:tc>
        <w:tc>
          <w:tcPr>
            <w:tcW w:w="1786" w:type="dxa"/>
            <w:noWrap/>
            <w:vAlign w:val="center"/>
          </w:tcPr>
          <w:p w14:paraId="7B1AEEB5">
            <w:pPr>
              <w:jc w:val="center"/>
              <w:rPr>
                <w:rFonts w:ascii="仿宋" w:hAnsi="仿宋" w:eastAsia="仿宋" w:cs="仿宋"/>
                <w:color w:val="auto"/>
                <w:sz w:val="24"/>
                <w:highlight w:val="none"/>
              </w:rPr>
            </w:pPr>
          </w:p>
        </w:tc>
      </w:tr>
      <w:tr w14:paraId="31BF6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440" w:type="dxa"/>
            <w:noWrap/>
            <w:vAlign w:val="center"/>
          </w:tcPr>
          <w:p w14:paraId="7B7A73FB">
            <w:pPr>
              <w:jc w:val="center"/>
              <w:rPr>
                <w:rFonts w:ascii="仿宋" w:hAnsi="仿宋" w:eastAsia="仿宋" w:cs="仿宋"/>
                <w:color w:val="auto"/>
                <w:sz w:val="24"/>
                <w:highlight w:val="none"/>
              </w:rPr>
            </w:pPr>
          </w:p>
        </w:tc>
        <w:tc>
          <w:tcPr>
            <w:tcW w:w="1440" w:type="dxa"/>
            <w:noWrap/>
            <w:vAlign w:val="center"/>
          </w:tcPr>
          <w:p w14:paraId="5452F376">
            <w:pPr>
              <w:jc w:val="center"/>
              <w:rPr>
                <w:rFonts w:ascii="仿宋" w:hAnsi="仿宋" w:eastAsia="仿宋" w:cs="仿宋"/>
                <w:color w:val="auto"/>
                <w:sz w:val="24"/>
                <w:highlight w:val="none"/>
              </w:rPr>
            </w:pPr>
          </w:p>
        </w:tc>
        <w:tc>
          <w:tcPr>
            <w:tcW w:w="1620" w:type="dxa"/>
            <w:noWrap/>
            <w:vAlign w:val="center"/>
          </w:tcPr>
          <w:p w14:paraId="60075D6C">
            <w:pPr>
              <w:jc w:val="center"/>
              <w:rPr>
                <w:rFonts w:ascii="仿宋" w:hAnsi="仿宋" w:eastAsia="仿宋" w:cs="仿宋"/>
                <w:color w:val="auto"/>
                <w:sz w:val="24"/>
                <w:highlight w:val="none"/>
              </w:rPr>
            </w:pPr>
          </w:p>
        </w:tc>
        <w:tc>
          <w:tcPr>
            <w:tcW w:w="1516" w:type="dxa"/>
            <w:noWrap/>
            <w:vAlign w:val="center"/>
          </w:tcPr>
          <w:p w14:paraId="1687BD42">
            <w:pPr>
              <w:jc w:val="center"/>
              <w:rPr>
                <w:rFonts w:ascii="仿宋" w:hAnsi="仿宋" w:eastAsia="仿宋" w:cs="仿宋"/>
                <w:color w:val="auto"/>
                <w:sz w:val="24"/>
                <w:highlight w:val="none"/>
              </w:rPr>
            </w:pPr>
          </w:p>
        </w:tc>
        <w:tc>
          <w:tcPr>
            <w:tcW w:w="1786" w:type="dxa"/>
            <w:noWrap/>
            <w:vAlign w:val="center"/>
          </w:tcPr>
          <w:p w14:paraId="4C6314F0">
            <w:pPr>
              <w:jc w:val="center"/>
              <w:rPr>
                <w:rFonts w:ascii="仿宋" w:hAnsi="仿宋" w:eastAsia="仿宋" w:cs="仿宋"/>
                <w:color w:val="auto"/>
                <w:sz w:val="24"/>
                <w:highlight w:val="none"/>
              </w:rPr>
            </w:pPr>
          </w:p>
        </w:tc>
        <w:tc>
          <w:tcPr>
            <w:tcW w:w="1786" w:type="dxa"/>
            <w:noWrap/>
            <w:vAlign w:val="center"/>
          </w:tcPr>
          <w:p w14:paraId="59FF7515">
            <w:pPr>
              <w:jc w:val="center"/>
              <w:rPr>
                <w:rFonts w:ascii="仿宋" w:hAnsi="仿宋" w:eastAsia="仿宋" w:cs="仿宋"/>
                <w:color w:val="auto"/>
                <w:sz w:val="24"/>
                <w:highlight w:val="none"/>
              </w:rPr>
            </w:pPr>
          </w:p>
        </w:tc>
      </w:tr>
      <w:tr w14:paraId="69913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440" w:type="dxa"/>
            <w:noWrap/>
            <w:vAlign w:val="center"/>
          </w:tcPr>
          <w:p w14:paraId="796D9FB4">
            <w:pPr>
              <w:jc w:val="center"/>
              <w:rPr>
                <w:rFonts w:ascii="仿宋" w:hAnsi="仿宋" w:eastAsia="仿宋" w:cs="仿宋"/>
                <w:color w:val="auto"/>
                <w:sz w:val="24"/>
                <w:highlight w:val="none"/>
              </w:rPr>
            </w:pPr>
          </w:p>
        </w:tc>
        <w:tc>
          <w:tcPr>
            <w:tcW w:w="1440" w:type="dxa"/>
            <w:noWrap/>
            <w:vAlign w:val="center"/>
          </w:tcPr>
          <w:p w14:paraId="5CEC87E0">
            <w:pPr>
              <w:jc w:val="center"/>
              <w:rPr>
                <w:rFonts w:ascii="仿宋" w:hAnsi="仿宋" w:eastAsia="仿宋" w:cs="仿宋"/>
                <w:color w:val="auto"/>
                <w:sz w:val="24"/>
                <w:highlight w:val="none"/>
              </w:rPr>
            </w:pPr>
          </w:p>
        </w:tc>
        <w:tc>
          <w:tcPr>
            <w:tcW w:w="1620" w:type="dxa"/>
            <w:noWrap/>
            <w:vAlign w:val="center"/>
          </w:tcPr>
          <w:p w14:paraId="43004D9B">
            <w:pPr>
              <w:jc w:val="center"/>
              <w:rPr>
                <w:rFonts w:ascii="仿宋" w:hAnsi="仿宋" w:eastAsia="仿宋" w:cs="仿宋"/>
                <w:color w:val="auto"/>
                <w:sz w:val="24"/>
                <w:highlight w:val="none"/>
              </w:rPr>
            </w:pPr>
          </w:p>
        </w:tc>
        <w:tc>
          <w:tcPr>
            <w:tcW w:w="1516" w:type="dxa"/>
            <w:noWrap/>
            <w:vAlign w:val="center"/>
          </w:tcPr>
          <w:p w14:paraId="6D8CEC18">
            <w:pPr>
              <w:jc w:val="center"/>
              <w:rPr>
                <w:rFonts w:ascii="仿宋" w:hAnsi="仿宋" w:eastAsia="仿宋" w:cs="仿宋"/>
                <w:color w:val="auto"/>
                <w:sz w:val="24"/>
                <w:highlight w:val="none"/>
              </w:rPr>
            </w:pPr>
          </w:p>
        </w:tc>
        <w:tc>
          <w:tcPr>
            <w:tcW w:w="1786" w:type="dxa"/>
            <w:noWrap/>
            <w:vAlign w:val="center"/>
          </w:tcPr>
          <w:p w14:paraId="089A8119">
            <w:pPr>
              <w:jc w:val="center"/>
              <w:rPr>
                <w:rFonts w:ascii="仿宋" w:hAnsi="仿宋" w:eastAsia="仿宋" w:cs="仿宋"/>
                <w:color w:val="auto"/>
                <w:sz w:val="24"/>
                <w:highlight w:val="none"/>
              </w:rPr>
            </w:pPr>
          </w:p>
        </w:tc>
        <w:tc>
          <w:tcPr>
            <w:tcW w:w="1786" w:type="dxa"/>
            <w:noWrap/>
            <w:vAlign w:val="center"/>
          </w:tcPr>
          <w:p w14:paraId="51C1FED5">
            <w:pPr>
              <w:jc w:val="center"/>
              <w:rPr>
                <w:rFonts w:ascii="仿宋" w:hAnsi="仿宋" w:eastAsia="仿宋" w:cs="仿宋"/>
                <w:color w:val="auto"/>
                <w:sz w:val="24"/>
                <w:highlight w:val="none"/>
              </w:rPr>
            </w:pPr>
          </w:p>
        </w:tc>
      </w:tr>
      <w:tr w14:paraId="7BAC5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440" w:type="dxa"/>
            <w:noWrap/>
            <w:vAlign w:val="center"/>
          </w:tcPr>
          <w:p w14:paraId="625083C2">
            <w:pPr>
              <w:jc w:val="center"/>
              <w:rPr>
                <w:rFonts w:ascii="仿宋" w:hAnsi="仿宋" w:eastAsia="仿宋" w:cs="仿宋"/>
                <w:color w:val="auto"/>
                <w:sz w:val="24"/>
                <w:highlight w:val="none"/>
              </w:rPr>
            </w:pPr>
          </w:p>
        </w:tc>
        <w:tc>
          <w:tcPr>
            <w:tcW w:w="1440" w:type="dxa"/>
            <w:noWrap/>
            <w:vAlign w:val="center"/>
          </w:tcPr>
          <w:p w14:paraId="0D5FD987">
            <w:pPr>
              <w:jc w:val="center"/>
              <w:rPr>
                <w:rFonts w:ascii="仿宋" w:hAnsi="仿宋" w:eastAsia="仿宋" w:cs="仿宋"/>
                <w:color w:val="auto"/>
                <w:sz w:val="24"/>
                <w:highlight w:val="none"/>
              </w:rPr>
            </w:pPr>
          </w:p>
        </w:tc>
        <w:tc>
          <w:tcPr>
            <w:tcW w:w="1620" w:type="dxa"/>
            <w:noWrap/>
            <w:vAlign w:val="center"/>
          </w:tcPr>
          <w:p w14:paraId="02A91CE0">
            <w:pPr>
              <w:jc w:val="center"/>
              <w:rPr>
                <w:rFonts w:ascii="仿宋" w:hAnsi="仿宋" w:eastAsia="仿宋" w:cs="仿宋"/>
                <w:color w:val="auto"/>
                <w:sz w:val="24"/>
                <w:highlight w:val="none"/>
              </w:rPr>
            </w:pPr>
          </w:p>
        </w:tc>
        <w:tc>
          <w:tcPr>
            <w:tcW w:w="1516" w:type="dxa"/>
            <w:noWrap/>
            <w:vAlign w:val="center"/>
          </w:tcPr>
          <w:p w14:paraId="7AB0EA40">
            <w:pPr>
              <w:jc w:val="center"/>
              <w:rPr>
                <w:rFonts w:ascii="仿宋" w:hAnsi="仿宋" w:eastAsia="仿宋" w:cs="仿宋"/>
                <w:color w:val="auto"/>
                <w:sz w:val="24"/>
                <w:highlight w:val="none"/>
              </w:rPr>
            </w:pPr>
          </w:p>
        </w:tc>
        <w:tc>
          <w:tcPr>
            <w:tcW w:w="1786" w:type="dxa"/>
            <w:noWrap/>
            <w:vAlign w:val="center"/>
          </w:tcPr>
          <w:p w14:paraId="58E6160F">
            <w:pPr>
              <w:jc w:val="center"/>
              <w:rPr>
                <w:rFonts w:ascii="仿宋" w:hAnsi="仿宋" w:eastAsia="仿宋" w:cs="仿宋"/>
                <w:color w:val="auto"/>
                <w:sz w:val="24"/>
                <w:highlight w:val="none"/>
              </w:rPr>
            </w:pPr>
          </w:p>
        </w:tc>
        <w:tc>
          <w:tcPr>
            <w:tcW w:w="1786" w:type="dxa"/>
            <w:noWrap/>
            <w:vAlign w:val="center"/>
          </w:tcPr>
          <w:p w14:paraId="18B3ABCB">
            <w:pPr>
              <w:jc w:val="center"/>
              <w:rPr>
                <w:rFonts w:ascii="仿宋" w:hAnsi="仿宋" w:eastAsia="仿宋" w:cs="仿宋"/>
                <w:color w:val="auto"/>
                <w:sz w:val="24"/>
                <w:highlight w:val="none"/>
              </w:rPr>
            </w:pPr>
          </w:p>
        </w:tc>
      </w:tr>
      <w:tr w14:paraId="3E76C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440" w:type="dxa"/>
            <w:noWrap/>
            <w:vAlign w:val="center"/>
          </w:tcPr>
          <w:p w14:paraId="2E8ECA6B">
            <w:pPr>
              <w:jc w:val="center"/>
              <w:rPr>
                <w:rFonts w:ascii="仿宋" w:hAnsi="仿宋" w:eastAsia="仿宋" w:cs="仿宋"/>
                <w:color w:val="auto"/>
                <w:sz w:val="24"/>
                <w:highlight w:val="none"/>
              </w:rPr>
            </w:pPr>
          </w:p>
        </w:tc>
        <w:tc>
          <w:tcPr>
            <w:tcW w:w="1440" w:type="dxa"/>
            <w:noWrap/>
            <w:vAlign w:val="center"/>
          </w:tcPr>
          <w:p w14:paraId="31121386">
            <w:pPr>
              <w:jc w:val="center"/>
              <w:rPr>
                <w:rFonts w:ascii="仿宋" w:hAnsi="仿宋" w:eastAsia="仿宋" w:cs="仿宋"/>
                <w:color w:val="auto"/>
                <w:sz w:val="24"/>
                <w:highlight w:val="none"/>
              </w:rPr>
            </w:pPr>
          </w:p>
        </w:tc>
        <w:tc>
          <w:tcPr>
            <w:tcW w:w="1620" w:type="dxa"/>
            <w:noWrap/>
            <w:vAlign w:val="center"/>
          </w:tcPr>
          <w:p w14:paraId="5C9A0C04">
            <w:pPr>
              <w:jc w:val="center"/>
              <w:rPr>
                <w:rFonts w:ascii="仿宋" w:hAnsi="仿宋" w:eastAsia="仿宋" w:cs="仿宋"/>
                <w:color w:val="auto"/>
                <w:sz w:val="24"/>
                <w:highlight w:val="none"/>
              </w:rPr>
            </w:pPr>
          </w:p>
        </w:tc>
        <w:tc>
          <w:tcPr>
            <w:tcW w:w="1516" w:type="dxa"/>
            <w:noWrap/>
            <w:vAlign w:val="center"/>
          </w:tcPr>
          <w:p w14:paraId="7A57C9EF">
            <w:pPr>
              <w:jc w:val="center"/>
              <w:rPr>
                <w:rFonts w:ascii="仿宋" w:hAnsi="仿宋" w:eastAsia="仿宋" w:cs="仿宋"/>
                <w:color w:val="auto"/>
                <w:sz w:val="24"/>
                <w:highlight w:val="none"/>
              </w:rPr>
            </w:pPr>
          </w:p>
        </w:tc>
        <w:tc>
          <w:tcPr>
            <w:tcW w:w="1786" w:type="dxa"/>
            <w:noWrap/>
            <w:vAlign w:val="center"/>
          </w:tcPr>
          <w:p w14:paraId="2888D093">
            <w:pPr>
              <w:jc w:val="center"/>
              <w:rPr>
                <w:rFonts w:ascii="仿宋" w:hAnsi="仿宋" w:eastAsia="仿宋" w:cs="仿宋"/>
                <w:color w:val="auto"/>
                <w:sz w:val="24"/>
                <w:highlight w:val="none"/>
              </w:rPr>
            </w:pPr>
          </w:p>
        </w:tc>
        <w:tc>
          <w:tcPr>
            <w:tcW w:w="1786" w:type="dxa"/>
            <w:noWrap/>
            <w:vAlign w:val="center"/>
          </w:tcPr>
          <w:p w14:paraId="0727E13A">
            <w:pPr>
              <w:jc w:val="center"/>
              <w:rPr>
                <w:rFonts w:ascii="仿宋" w:hAnsi="仿宋" w:eastAsia="仿宋" w:cs="仿宋"/>
                <w:color w:val="auto"/>
                <w:sz w:val="24"/>
                <w:highlight w:val="none"/>
              </w:rPr>
            </w:pPr>
          </w:p>
        </w:tc>
      </w:tr>
      <w:tr w14:paraId="41618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440" w:type="dxa"/>
            <w:noWrap/>
            <w:vAlign w:val="center"/>
          </w:tcPr>
          <w:p w14:paraId="0CD41327">
            <w:pPr>
              <w:jc w:val="center"/>
              <w:rPr>
                <w:rFonts w:ascii="仿宋" w:hAnsi="仿宋" w:eastAsia="仿宋" w:cs="仿宋"/>
                <w:color w:val="auto"/>
                <w:sz w:val="24"/>
                <w:highlight w:val="none"/>
              </w:rPr>
            </w:pPr>
          </w:p>
        </w:tc>
        <w:tc>
          <w:tcPr>
            <w:tcW w:w="1440" w:type="dxa"/>
            <w:noWrap/>
            <w:vAlign w:val="center"/>
          </w:tcPr>
          <w:p w14:paraId="3F8F5F14">
            <w:pPr>
              <w:jc w:val="center"/>
              <w:rPr>
                <w:rFonts w:ascii="仿宋" w:hAnsi="仿宋" w:eastAsia="仿宋" w:cs="仿宋"/>
                <w:color w:val="auto"/>
                <w:sz w:val="24"/>
                <w:highlight w:val="none"/>
              </w:rPr>
            </w:pPr>
          </w:p>
        </w:tc>
        <w:tc>
          <w:tcPr>
            <w:tcW w:w="1620" w:type="dxa"/>
            <w:noWrap/>
            <w:vAlign w:val="center"/>
          </w:tcPr>
          <w:p w14:paraId="228A3FE9">
            <w:pPr>
              <w:jc w:val="center"/>
              <w:rPr>
                <w:rFonts w:ascii="仿宋" w:hAnsi="仿宋" w:eastAsia="仿宋" w:cs="仿宋"/>
                <w:color w:val="auto"/>
                <w:sz w:val="24"/>
                <w:highlight w:val="none"/>
              </w:rPr>
            </w:pPr>
          </w:p>
        </w:tc>
        <w:tc>
          <w:tcPr>
            <w:tcW w:w="1516" w:type="dxa"/>
            <w:noWrap/>
            <w:vAlign w:val="center"/>
          </w:tcPr>
          <w:p w14:paraId="4B41AEA4">
            <w:pPr>
              <w:jc w:val="center"/>
              <w:rPr>
                <w:rFonts w:ascii="仿宋" w:hAnsi="仿宋" w:eastAsia="仿宋" w:cs="仿宋"/>
                <w:color w:val="auto"/>
                <w:sz w:val="24"/>
                <w:highlight w:val="none"/>
              </w:rPr>
            </w:pPr>
          </w:p>
        </w:tc>
        <w:tc>
          <w:tcPr>
            <w:tcW w:w="1786" w:type="dxa"/>
            <w:noWrap/>
            <w:vAlign w:val="center"/>
          </w:tcPr>
          <w:p w14:paraId="545F690A">
            <w:pPr>
              <w:jc w:val="center"/>
              <w:rPr>
                <w:rFonts w:ascii="仿宋" w:hAnsi="仿宋" w:eastAsia="仿宋" w:cs="仿宋"/>
                <w:color w:val="auto"/>
                <w:sz w:val="24"/>
                <w:highlight w:val="none"/>
              </w:rPr>
            </w:pPr>
          </w:p>
        </w:tc>
        <w:tc>
          <w:tcPr>
            <w:tcW w:w="1786" w:type="dxa"/>
            <w:noWrap/>
            <w:vAlign w:val="center"/>
          </w:tcPr>
          <w:p w14:paraId="3338BB0E">
            <w:pPr>
              <w:jc w:val="center"/>
              <w:rPr>
                <w:rFonts w:ascii="仿宋" w:hAnsi="仿宋" w:eastAsia="仿宋" w:cs="仿宋"/>
                <w:color w:val="auto"/>
                <w:sz w:val="24"/>
                <w:highlight w:val="none"/>
              </w:rPr>
            </w:pPr>
          </w:p>
        </w:tc>
      </w:tr>
      <w:tr w14:paraId="3C34A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440" w:type="dxa"/>
            <w:noWrap/>
            <w:vAlign w:val="center"/>
          </w:tcPr>
          <w:p w14:paraId="65B6E4EC">
            <w:pPr>
              <w:jc w:val="center"/>
              <w:rPr>
                <w:rFonts w:ascii="仿宋" w:hAnsi="仿宋" w:eastAsia="仿宋" w:cs="仿宋"/>
                <w:color w:val="auto"/>
                <w:sz w:val="24"/>
                <w:highlight w:val="none"/>
              </w:rPr>
            </w:pPr>
          </w:p>
        </w:tc>
        <w:tc>
          <w:tcPr>
            <w:tcW w:w="1440" w:type="dxa"/>
            <w:noWrap/>
            <w:vAlign w:val="center"/>
          </w:tcPr>
          <w:p w14:paraId="7C6190A5">
            <w:pPr>
              <w:jc w:val="center"/>
              <w:rPr>
                <w:rFonts w:ascii="仿宋" w:hAnsi="仿宋" w:eastAsia="仿宋" w:cs="仿宋"/>
                <w:color w:val="auto"/>
                <w:sz w:val="24"/>
                <w:highlight w:val="none"/>
              </w:rPr>
            </w:pPr>
          </w:p>
        </w:tc>
        <w:tc>
          <w:tcPr>
            <w:tcW w:w="1620" w:type="dxa"/>
            <w:noWrap/>
            <w:vAlign w:val="center"/>
          </w:tcPr>
          <w:p w14:paraId="2EBB8DBA">
            <w:pPr>
              <w:jc w:val="center"/>
              <w:rPr>
                <w:rFonts w:ascii="仿宋" w:hAnsi="仿宋" w:eastAsia="仿宋" w:cs="仿宋"/>
                <w:color w:val="auto"/>
                <w:sz w:val="24"/>
                <w:highlight w:val="none"/>
              </w:rPr>
            </w:pPr>
          </w:p>
        </w:tc>
        <w:tc>
          <w:tcPr>
            <w:tcW w:w="1516" w:type="dxa"/>
            <w:noWrap/>
            <w:vAlign w:val="center"/>
          </w:tcPr>
          <w:p w14:paraId="57BA5489">
            <w:pPr>
              <w:jc w:val="center"/>
              <w:rPr>
                <w:rFonts w:ascii="仿宋" w:hAnsi="仿宋" w:eastAsia="仿宋" w:cs="仿宋"/>
                <w:color w:val="auto"/>
                <w:sz w:val="24"/>
                <w:highlight w:val="none"/>
              </w:rPr>
            </w:pPr>
          </w:p>
        </w:tc>
        <w:tc>
          <w:tcPr>
            <w:tcW w:w="1786" w:type="dxa"/>
            <w:noWrap/>
            <w:vAlign w:val="center"/>
          </w:tcPr>
          <w:p w14:paraId="06B414BE">
            <w:pPr>
              <w:jc w:val="center"/>
              <w:rPr>
                <w:rFonts w:ascii="仿宋" w:hAnsi="仿宋" w:eastAsia="仿宋" w:cs="仿宋"/>
                <w:color w:val="auto"/>
                <w:sz w:val="24"/>
                <w:highlight w:val="none"/>
              </w:rPr>
            </w:pPr>
          </w:p>
        </w:tc>
        <w:tc>
          <w:tcPr>
            <w:tcW w:w="1786" w:type="dxa"/>
            <w:noWrap/>
            <w:vAlign w:val="center"/>
          </w:tcPr>
          <w:p w14:paraId="1AA46975">
            <w:pPr>
              <w:jc w:val="center"/>
              <w:rPr>
                <w:rFonts w:ascii="仿宋" w:hAnsi="仿宋" w:eastAsia="仿宋" w:cs="仿宋"/>
                <w:color w:val="auto"/>
                <w:sz w:val="24"/>
                <w:highlight w:val="none"/>
              </w:rPr>
            </w:pPr>
          </w:p>
        </w:tc>
      </w:tr>
      <w:tr w14:paraId="49D60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440" w:type="dxa"/>
            <w:noWrap/>
            <w:vAlign w:val="center"/>
          </w:tcPr>
          <w:p w14:paraId="0CB60C61">
            <w:pPr>
              <w:jc w:val="center"/>
              <w:rPr>
                <w:rFonts w:ascii="仿宋" w:hAnsi="仿宋" w:eastAsia="仿宋" w:cs="仿宋"/>
                <w:color w:val="auto"/>
                <w:sz w:val="24"/>
                <w:highlight w:val="none"/>
              </w:rPr>
            </w:pPr>
          </w:p>
        </w:tc>
        <w:tc>
          <w:tcPr>
            <w:tcW w:w="1440" w:type="dxa"/>
            <w:noWrap/>
            <w:vAlign w:val="center"/>
          </w:tcPr>
          <w:p w14:paraId="00E36BF9">
            <w:pPr>
              <w:jc w:val="center"/>
              <w:rPr>
                <w:rFonts w:ascii="仿宋" w:hAnsi="仿宋" w:eastAsia="仿宋" w:cs="仿宋"/>
                <w:color w:val="auto"/>
                <w:sz w:val="24"/>
                <w:highlight w:val="none"/>
              </w:rPr>
            </w:pPr>
          </w:p>
        </w:tc>
        <w:tc>
          <w:tcPr>
            <w:tcW w:w="1620" w:type="dxa"/>
            <w:noWrap/>
            <w:vAlign w:val="center"/>
          </w:tcPr>
          <w:p w14:paraId="591B8D42">
            <w:pPr>
              <w:jc w:val="center"/>
              <w:rPr>
                <w:rFonts w:ascii="仿宋" w:hAnsi="仿宋" w:eastAsia="仿宋" w:cs="仿宋"/>
                <w:color w:val="auto"/>
                <w:sz w:val="24"/>
                <w:highlight w:val="none"/>
              </w:rPr>
            </w:pPr>
          </w:p>
        </w:tc>
        <w:tc>
          <w:tcPr>
            <w:tcW w:w="1516" w:type="dxa"/>
            <w:noWrap/>
            <w:vAlign w:val="center"/>
          </w:tcPr>
          <w:p w14:paraId="57BF5851">
            <w:pPr>
              <w:jc w:val="center"/>
              <w:rPr>
                <w:rFonts w:ascii="仿宋" w:hAnsi="仿宋" w:eastAsia="仿宋" w:cs="仿宋"/>
                <w:color w:val="auto"/>
                <w:sz w:val="24"/>
                <w:highlight w:val="none"/>
              </w:rPr>
            </w:pPr>
          </w:p>
        </w:tc>
        <w:tc>
          <w:tcPr>
            <w:tcW w:w="1786" w:type="dxa"/>
            <w:noWrap/>
            <w:vAlign w:val="center"/>
          </w:tcPr>
          <w:p w14:paraId="5BB6549A">
            <w:pPr>
              <w:jc w:val="center"/>
              <w:rPr>
                <w:rFonts w:ascii="仿宋" w:hAnsi="仿宋" w:eastAsia="仿宋" w:cs="仿宋"/>
                <w:color w:val="auto"/>
                <w:sz w:val="24"/>
                <w:highlight w:val="none"/>
              </w:rPr>
            </w:pPr>
          </w:p>
        </w:tc>
        <w:tc>
          <w:tcPr>
            <w:tcW w:w="1786" w:type="dxa"/>
            <w:noWrap/>
            <w:vAlign w:val="center"/>
          </w:tcPr>
          <w:p w14:paraId="7B321159">
            <w:pPr>
              <w:jc w:val="center"/>
              <w:rPr>
                <w:rFonts w:ascii="仿宋" w:hAnsi="仿宋" w:eastAsia="仿宋" w:cs="仿宋"/>
                <w:color w:val="auto"/>
                <w:sz w:val="24"/>
                <w:highlight w:val="none"/>
              </w:rPr>
            </w:pPr>
          </w:p>
        </w:tc>
      </w:tr>
    </w:tbl>
    <w:p w14:paraId="042B3C66">
      <w:pPr>
        <w:spacing w:line="432" w:lineRule="auto"/>
        <w:rPr>
          <w:rFonts w:ascii="仿宋" w:hAnsi="仿宋" w:eastAsia="仿宋" w:cs="仿宋"/>
          <w:color w:val="auto"/>
          <w:sz w:val="24"/>
          <w:highlight w:val="none"/>
        </w:rPr>
      </w:pPr>
      <w:r>
        <w:rPr>
          <w:rFonts w:hint="eastAsia" w:ascii="仿宋" w:hAnsi="仿宋" w:eastAsia="仿宋" w:cs="仿宋"/>
          <w:color w:val="auto"/>
          <w:sz w:val="24"/>
          <w:highlight w:val="none"/>
        </w:rPr>
        <w:t>投标人（盖章）：</w:t>
      </w:r>
    </w:p>
    <w:p w14:paraId="2CE806EC">
      <w:pPr>
        <w:spacing w:line="432"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法定代表人或授权代表（签字）：</w:t>
      </w:r>
    </w:p>
    <w:p w14:paraId="7B2512AF">
      <w:pPr>
        <w:spacing w:line="432"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日期：</w:t>
      </w:r>
    </w:p>
    <w:p w14:paraId="6AE8983C">
      <w:pPr>
        <w:pStyle w:val="3"/>
        <w:spacing w:before="0" w:afterLines="50"/>
        <w:jc w:val="center"/>
        <w:rPr>
          <w:rFonts w:ascii="仿宋" w:hAnsi="仿宋" w:eastAsia="仿宋" w:cs="仿宋"/>
          <w:color w:val="auto"/>
          <w:highlight w:val="none"/>
        </w:rPr>
      </w:pPr>
      <w:bookmarkStart w:id="676" w:name="_Toc387240426"/>
      <w:bookmarkStart w:id="677" w:name="_Toc444509177"/>
      <w:bookmarkStart w:id="678" w:name="_Toc11907"/>
      <w:bookmarkStart w:id="679" w:name="_Toc21651"/>
      <w:r>
        <w:rPr>
          <w:rFonts w:hint="eastAsia" w:ascii="仿宋" w:hAnsi="仿宋" w:eastAsia="仿宋" w:cs="仿宋"/>
          <w:color w:val="auto"/>
          <w:highlight w:val="none"/>
        </w:rPr>
        <w:t>七、</w:t>
      </w:r>
      <w:bookmarkEnd w:id="676"/>
      <w:bookmarkEnd w:id="677"/>
      <w:bookmarkStart w:id="680" w:name="_Toc387240427"/>
      <w:bookmarkStart w:id="681" w:name="_Toc444509178"/>
      <w:r>
        <w:rPr>
          <w:rFonts w:hint="eastAsia" w:ascii="仿宋" w:hAnsi="仿宋" w:eastAsia="仿宋" w:cs="仿宋"/>
          <w:color w:val="auto"/>
          <w:highlight w:val="none"/>
        </w:rPr>
        <w:t>类似项目业绩表及证明材料</w:t>
      </w:r>
      <w:bookmarkEnd w:id="678"/>
      <w:bookmarkEnd w:id="679"/>
      <w:bookmarkEnd w:id="680"/>
      <w:bookmarkEnd w:id="681"/>
    </w:p>
    <w:p w14:paraId="532522D4">
      <w:pPr>
        <w:spacing w:line="360" w:lineRule="auto"/>
        <w:rPr>
          <w:rFonts w:ascii="仿宋" w:hAnsi="仿宋" w:eastAsia="仿宋" w:cs="仿宋"/>
          <w:color w:val="auto"/>
          <w:sz w:val="24"/>
          <w:highlight w:val="none"/>
        </w:rPr>
      </w:pPr>
    </w:p>
    <w:p w14:paraId="69C34901">
      <w:pPr>
        <w:spacing w:beforeLines="50" w:afterLines="50" w:line="36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投标人（盖章）：</w:t>
      </w:r>
      <w:r>
        <w:rPr>
          <w:rFonts w:hint="eastAsia" w:ascii="仿宋" w:hAnsi="仿宋" w:eastAsia="仿宋" w:cs="仿宋"/>
          <w:color w:val="auto"/>
          <w:sz w:val="24"/>
          <w:highlight w:val="none"/>
          <w:u w:val="single"/>
        </w:rPr>
        <w:t>　　　　　　　　　　　　　</w:t>
      </w:r>
      <w:r>
        <w:rPr>
          <w:rFonts w:hint="eastAsia" w:ascii="仿宋" w:hAnsi="仿宋" w:eastAsia="仿宋" w:cs="仿宋"/>
          <w:color w:val="auto"/>
          <w:sz w:val="24"/>
          <w:highlight w:val="none"/>
        </w:rPr>
        <w:t>　　　　　填表日期：</w:t>
      </w:r>
      <w:r>
        <w:rPr>
          <w:rFonts w:hint="eastAsia" w:ascii="仿宋" w:hAnsi="仿宋" w:eastAsia="仿宋" w:cs="仿宋"/>
          <w:color w:val="auto"/>
          <w:sz w:val="24"/>
          <w:highlight w:val="none"/>
          <w:u w:val="single"/>
        </w:rPr>
        <w:t>　　　　　　</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48"/>
        <w:gridCol w:w="1748"/>
        <w:gridCol w:w="1748"/>
        <w:gridCol w:w="1748"/>
        <w:gridCol w:w="1748"/>
      </w:tblGrid>
      <w:tr w14:paraId="63A58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8" w:type="dxa"/>
            <w:noWrap/>
            <w:vAlign w:val="center"/>
          </w:tcPr>
          <w:p w14:paraId="76A80207">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1748" w:type="dxa"/>
            <w:noWrap/>
            <w:vAlign w:val="center"/>
          </w:tcPr>
          <w:p w14:paraId="0811905E">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项目名称</w:t>
            </w:r>
          </w:p>
        </w:tc>
        <w:tc>
          <w:tcPr>
            <w:tcW w:w="1748" w:type="dxa"/>
            <w:noWrap/>
            <w:vAlign w:val="center"/>
          </w:tcPr>
          <w:p w14:paraId="6886B0E8">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项目合同金额</w:t>
            </w:r>
          </w:p>
        </w:tc>
        <w:tc>
          <w:tcPr>
            <w:tcW w:w="1748" w:type="dxa"/>
            <w:noWrap/>
            <w:vAlign w:val="center"/>
          </w:tcPr>
          <w:p w14:paraId="1430FF84">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业主名称</w:t>
            </w:r>
          </w:p>
        </w:tc>
        <w:tc>
          <w:tcPr>
            <w:tcW w:w="1748" w:type="dxa"/>
            <w:noWrap/>
            <w:vAlign w:val="center"/>
          </w:tcPr>
          <w:p w14:paraId="1CEFF285">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完成时间</w:t>
            </w:r>
          </w:p>
        </w:tc>
      </w:tr>
      <w:tr w14:paraId="38D4C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8" w:type="dxa"/>
            <w:noWrap/>
            <w:vAlign w:val="center"/>
          </w:tcPr>
          <w:p w14:paraId="4CAFB6E5">
            <w:pPr>
              <w:spacing w:line="360" w:lineRule="auto"/>
              <w:jc w:val="center"/>
              <w:rPr>
                <w:rFonts w:ascii="仿宋" w:hAnsi="仿宋" w:eastAsia="仿宋" w:cs="仿宋"/>
                <w:color w:val="auto"/>
                <w:sz w:val="24"/>
                <w:highlight w:val="none"/>
              </w:rPr>
            </w:pPr>
          </w:p>
        </w:tc>
        <w:tc>
          <w:tcPr>
            <w:tcW w:w="1748" w:type="dxa"/>
            <w:noWrap/>
            <w:vAlign w:val="center"/>
          </w:tcPr>
          <w:p w14:paraId="1E79A459">
            <w:pPr>
              <w:spacing w:line="360" w:lineRule="auto"/>
              <w:jc w:val="center"/>
              <w:rPr>
                <w:rFonts w:ascii="仿宋" w:hAnsi="仿宋" w:eastAsia="仿宋" w:cs="仿宋"/>
                <w:color w:val="auto"/>
                <w:sz w:val="24"/>
                <w:highlight w:val="none"/>
              </w:rPr>
            </w:pPr>
          </w:p>
        </w:tc>
        <w:tc>
          <w:tcPr>
            <w:tcW w:w="1748" w:type="dxa"/>
            <w:noWrap/>
            <w:vAlign w:val="center"/>
          </w:tcPr>
          <w:p w14:paraId="0EFB9AC3">
            <w:pPr>
              <w:spacing w:line="360" w:lineRule="auto"/>
              <w:jc w:val="center"/>
              <w:rPr>
                <w:rFonts w:ascii="仿宋" w:hAnsi="仿宋" w:eastAsia="仿宋" w:cs="仿宋"/>
                <w:color w:val="auto"/>
                <w:sz w:val="24"/>
                <w:highlight w:val="none"/>
              </w:rPr>
            </w:pPr>
          </w:p>
        </w:tc>
        <w:tc>
          <w:tcPr>
            <w:tcW w:w="1748" w:type="dxa"/>
            <w:noWrap/>
            <w:vAlign w:val="center"/>
          </w:tcPr>
          <w:p w14:paraId="08B94B91">
            <w:pPr>
              <w:spacing w:line="360" w:lineRule="auto"/>
              <w:jc w:val="center"/>
              <w:rPr>
                <w:rFonts w:ascii="仿宋" w:hAnsi="仿宋" w:eastAsia="仿宋" w:cs="仿宋"/>
                <w:color w:val="auto"/>
                <w:sz w:val="24"/>
                <w:highlight w:val="none"/>
              </w:rPr>
            </w:pPr>
          </w:p>
        </w:tc>
        <w:tc>
          <w:tcPr>
            <w:tcW w:w="1748" w:type="dxa"/>
            <w:noWrap/>
            <w:vAlign w:val="center"/>
          </w:tcPr>
          <w:p w14:paraId="140E0287">
            <w:pPr>
              <w:spacing w:line="360" w:lineRule="auto"/>
              <w:jc w:val="center"/>
              <w:rPr>
                <w:rFonts w:ascii="仿宋" w:hAnsi="仿宋" w:eastAsia="仿宋" w:cs="仿宋"/>
                <w:color w:val="auto"/>
                <w:sz w:val="24"/>
                <w:highlight w:val="none"/>
              </w:rPr>
            </w:pPr>
          </w:p>
        </w:tc>
      </w:tr>
      <w:tr w14:paraId="6471F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8" w:type="dxa"/>
            <w:noWrap/>
            <w:vAlign w:val="center"/>
          </w:tcPr>
          <w:p w14:paraId="7D032007">
            <w:pPr>
              <w:spacing w:line="360" w:lineRule="auto"/>
              <w:jc w:val="center"/>
              <w:rPr>
                <w:rFonts w:ascii="仿宋" w:hAnsi="仿宋" w:eastAsia="仿宋" w:cs="仿宋"/>
                <w:color w:val="auto"/>
                <w:sz w:val="24"/>
                <w:highlight w:val="none"/>
              </w:rPr>
            </w:pPr>
          </w:p>
        </w:tc>
        <w:tc>
          <w:tcPr>
            <w:tcW w:w="1748" w:type="dxa"/>
            <w:noWrap/>
            <w:vAlign w:val="center"/>
          </w:tcPr>
          <w:p w14:paraId="6FCEB09F">
            <w:pPr>
              <w:spacing w:line="360" w:lineRule="auto"/>
              <w:jc w:val="center"/>
              <w:rPr>
                <w:rFonts w:ascii="仿宋" w:hAnsi="仿宋" w:eastAsia="仿宋" w:cs="仿宋"/>
                <w:color w:val="auto"/>
                <w:sz w:val="24"/>
                <w:highlight w:val="none"/>
              </w:rPr>
            </w:pPr>
          </w:p>
        </w:tc>
        <w:tc>
          <w:tcPr>
            <w:tcW w:w="1748" w:type="dxa"/>
            <w:noWrap/>
            <w:vAlign w:val="center"/>
          </w:tcPr>
          <w:p w14:paraId="2B8558DF">
            <w:pPr>
              <w:spacing w:line="360" w:lineRule="auto"/>
              <w:jc w:val="center"/>
              <w:rPr>
                <w:rFonts w:ascii="仿宋" w:hAnsi="仿宋" w:eastAsia="仿宋" w:cs="仿宋"/>
                <w:color w:val="auto"/>
                <w:sz w:val="24"/>
                <w:highlight w:val="none"/>
              </w:rPr>
            </w:pPr>
          </w:p>
        </w:tc>
        <w:tc>
          <w:tcPr>
            <w:tcW w:w="1748" w:type="dxa"/>
            <w:noWrap/>
            <w:vAlign w:val="center"/>
          </w:tcPr>
          <w:p w14:paraId="1902AAD0">
            <w:pPr>
              <w:spacing w:line="360" w:lineRule="auto"/>
              <w:jc w:val="center"/>
              <w:rPr>
                <w:rFonts w:ascii="仿宋" w:hAnsi="仿宋" w:eastAsia="仿宋" w:cs="仿宋"/>
                <w:color w:val="auto"/>
                <w:sz w:val="24"/>
                <w:highlight w:val="none"/>
              </w:rPr>
            </w:pPr>
          </w:p>
        </w:tc>
        <w:tc>
          <w:tcPr>
            <w:tcW w:w="1748" w:type="dxa"/>
            <w:noWrap/>
            <w:vAlign w:val="center"/>
          </w:tcPr>
          <w:p w14:paraId="1147E96A">
            <w:pPr>
              <w:spacing w:line="360" w:lineRule="auto"/>
              <w:jc w:val="center"/>
              <w:rPr>
                <w:rFonts w:ascii="仿宋" w:hAnsi="仿宋" w:eastAsia="仿宋" w:cs="仿宋"/>
                <w:color w:val="auto"/>
                <w:sz w:val="24"/>
                <w:highlight w:val="none"/>
              </w:rPr>
            </w:pPr>
          </w:p>
        </w:tc>
      </w:tr>
      <w:tr w14:paraId="6A28A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8" w:type="dxa"/>
            <w:noWrap/>
            <w:vAlign w:val="center"/>
          </w:tcPr>
          <w:p w14:paraId="172A4D43">
            <w:pPr>
              <w:spacing w:line="360" w:lineRule="auto"/>
              <w:jc w:val="center"/>
              <w:rPr>
                <w:rFonts w:ascii="仿宋" w:hAnsi="仿宋" w:eastAsia="仿宋" w:cs="仿宋"/>
                <w:color w:val="auto"/>
                <w:sz w:val="24"/>
                <w:highlight w:val="none"/>
              </w:rPr>
            </w:pPr>
          </w:p>
        </w:tc>
        <w:tc>
          <w:tcPr>
            <w:tcW w:w="1748" w:type="dxa"/>
            <w:noWrap/>
            <w:vAlign w:val="center"/>
          </w:tcPr>
          <w:p w14:paraId="2E06E90D">
            <w:pPr>
              <w:spacing w:line="360" w:lineRule="auto"/>
              <w:jc w:val="center"/>
              <w:rPr>
                <w:rFonts w:ascii="仿宋" w:hAnsi="仿宋" w:eastAsia="仿宋" w:cs="仿宋"/>
                <w:color w:val="auto"/>
                <w:sz w:val="24"/>
                <w:highlight w:val="none"/>
              </w:rPr>
            </w:pPr>
          </w:p>
        </w:tc>
        <w:tc>
          <w:tcPr>
            <w:tcW w:w="1748" w:type="dxa"/>
            <w:noWrap/>
            <w:vAlign w:val="center"/>
          </w:tcPr>
          <w:p w14:paraId="40191918">
            <w:pPr>
              <w:spacing w:line="360" w:lineRule="auto"/>
              <w:jc w:val="center"/>
              <w:rPr>
                <w:rFonts w:ascii="仿宋" w:hAnsi="仿宋" w:eastAsia="仿宋" w:cs="仿宋"/>
                <w:color w:val="auto"/>
                <w:sz w:val="24"/>
                <w:highlight w:val="none"/>
              </w:rPr>
            </w:pPr>
          </w:p>
        </w:tc>
        <w:tc>
          <w:tcPr>
            <w:tcW w:w="1748" w:type="dxa"/>
            <w:noWrap/>
            <w:vAlign w:val="center"/>
          </w:tcPr>
          <w:p w14:paraId="2CF0463D">
            <w:pPr>
              <w:spacing w:line="360" w:lineRule="auto"/>
              <w:jc w:val="center"/>
              <w:rPr>
                <w:rFonts w:ascii="仿宋" w:hAnsi="仿宋" w:eastAsia="仿宋" w:cs="仿宋"/>
                <w:color w:val="auto"/>
                <w:sz w:val="24"/>
                <w:highlight w:val="none"/>
              </w:rPr>
            </w:pPr>
          </w:p>
        </w:tc>
        <w:tc>
          <w:tcPr>
            <w:tcW w:w="1748" w:type="dxa"/>
            <w:noWrap/>
            <w:vAlign w:val="center"/>
          </w:tcPr>
          <w:p w14:paraId="1F1C9E88">
            <w:pPr>
              <w:spacing w:line="360" w:lineRule="auto"/>
              <w:jc w:val="center"/>
              <w:rPr>
                <w:rFonts w:ascii="仿宋" w:hAnsi="仿宋" w:eastAsia="仿宋" w:cs="仿宋"/>
                <w:color w:val="auto"/>
                <w:sz w:val="24"/>
                <w:highlight w:val="none"/>
              </w:rPr>
            </w:pPr>
          </w:p>
        </w:tc>
      </w:tr>
      <w:tr w14:paraId="3CFD5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8" w:type="dxa"/>
            <w:noWrap/>
            <w:vAlign w:val="center"/>
          </w:tcPr>
          <w:p w14:paraId="1738FACB">
            <w:pPr>
              <w:spacing w:line="360" w:lineRule="auto"/>
              <w:jc w:val="center"/>
              <w:rPr>
                <w:rFonts w:ascii="仿宋" w:hAnsi="仿宋" w:eastAsia="仿宋" w:cs="仿宋"/>
                <w:color w:val="auto"/>
                <w:sz w:val="24"/>
                <w:highlight w:val="none"/>
              </w:rPr>
            </w:pPr>
          </w:p>
        </w:tc>
        <w:tc>
          <w:tcPr>
            <w:tcW w:w="1748" w:type="dxa"/>
            <w:noWrap/>
            <w:vAlign w:val="center"/>
          </w:tcPr>
          <w:p w14:paraId="244A474A">
            <w:pPr>
              <w:spacing w:line="360" w:lineRule="auto"/>
              <w:jc w:val="center"/>
              <w:rPr>
                <w:rFonts w:ascii="仿宋" w:hAnsi="仿宋" w:eastAsia="仿宋" w:cs="仿宋"/>
                <w:color w:val="auto"/>
                <w:sz w:val="24"/>
                <w:highlight w:val="none"/>
              </w:rPr>
            </w:pPr>
          </w:p>
        </w:tc>
        <w:tc>
          <w:tcPr>
            <w:tcW w:w="1748" w:type="dxa"/>
            <w:noWrap/>
            <w:vAlign w:val="center"/>
          </w:tcPr>
          <w:p w14:paraId="1A070D4E">
            <w:pPr>
              <w:spacing w:line="360" w:lineRule="auto"/>
              <w:jc w:val="center"/>
              <w:rPr>
                <w:rFonts w:ascii="仿宋" w:hAnsi="仿宋" w:eastAsia="仿宋" w:cs="仿宋"/>
                <w:color w:val="auto"/>
                <w:sz w:val="24"/>
                <w:highlight w:val="none"/>
              </w:rPr>
            </w:pPr>
          </w:p>
        </w:tc>
        <w:tc>
          <w:tcPr>
            <w:tcW w:w="1748" w:type="dxa"/>
            <w:noWrap/>
            <w:vAlign w:val="center"/>
          </w:tcPr>
          <w:p w14:paraId="5675F598">
            <w:pPr>
              <w:spacing w:line="360" w:lineRule="auto"/>
              <w:jc w:val="center"/>
              <w:rPr>
                <w:rFonts w:ascii="仿宋" w:hAnsi="仿宋" w:eastAsia="仿宋" w:cs="仿宋"/>
                <w:color w:val="auto"/>
                <w:sz w:val="24"/>
                <w:highlight w:val="none"/>
              </w:rPr>
            </w:pPr>
          </w:p>
        </w:tc>
        <w:tc>
          <w:tcPr>
            <w:tcW w:w="1748" w:type="dxa"/>
            <w:noWrap/>
            <w:vAlign w:val="center"/>
          </w:tcPr>
          <w:p w14:paraId="7570F100">
            <w:pPr>
              <w:spacing w:line="360" w:lineRule="auto"/>
              <w:jc w:val="center"/>
              <w:rPr>
                <w:rFonts w:ascii="仿宋" w:hAnsi="仿宋" w:eastAsia="仿宋" w:cs="仿宋"/>
                <w:color w:val="auto"/>
                <w:sz w:val="24"/>
                <w:highlight w:val="none"/>
              </w:rPr>
            </w:pPr>
          </w:p>
        </w:tc>
      </w:tr>
      <w:tr w14:paraId="1325C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8" w:type="dxa"/>
            <w:noWrap/>
            <w:vAlign w:val="center"/>
          </w:tcPr>
          <w:p w14:paraId="7A5B4CFA">
            <w:pPr>
              <w:spacing w:line="360" w:lineRule="auto"/>
              <w:jc w:val="center"/>
              <w:rPr>
                <w:rFonts w:ascii="仿宋" w:hAnsi="仿宋" w:eastAsia="仿宋" w:cs="仿宋"/>
                <w:color w:val="auto"/>
                <w:sz w:val="24"/>
                <w:highlight w:val="none"/>
              </w:rPr>
            </w:pPr>
          </w:p>
        </w:tc>
        <w:tc>
          <w:tcPr>
            <w:tcW w:w="1748" w:type="dxa"/>
            <w:noWrap/>
            <w:vAlign w:val="center"/>
          </w:tcPr>
          <w:p w14:paraId="14A43C2A">
            <w:pPr>
              <w:spacing w:line="360" w:lineRule="auto"/>
              <w:jc w:val="center"/>
              <w:rPr>
                <w:rFonts w:ascii="仿宋" w:hAnsi="仿宋" w:eastAsia="仿宋" w:cs="仿宋"/>
                <w:color w:val="auto"/>
                <w:sz w:val="24"/>
                <w:highlight w:val="none"/>
              </w:rPr>
            </w:pPr>
          </w:p>
        </w:tc>
        <w:tc>
          <w:tcPr>
            <w:tcW w:w="1748" w:type="dxa"/>
            <w:noWrap/>
            <w:vAlign w:val="center"/>
          </w:tcPr>
          <w:p w14:paraId="1F9EB756">
            <w:pPr>
              <w:spacing w:line="360" w:lineRule="auto"/>
              <w:jc w:val="center"/>
              <w:rPr>
                <w:rFonts w:ascii="仿宋" w:hAnsi="仿宋" w:eastAsia="仿宋" w:cs="仿宋"/>
                <w:color w:val="auto"/>
                <w:sz w:val="24"/>
                <w:highlight w:val="none"/>
              </w:rPr>
            </w:pPr>
          </w:p>
        </w:tc>
        <w:tc>
          <w:tcPr>
            <w:tcW w:w="1748" w:type="dxa"/>
            <w:noWrap/>
            <w:vAlign w:val="center"/>
          </w:tcPr>
          <w:p w14:paraId="749B155D">
            <w:pPr>
              <w:spacing w:line="360" w:lineRule="auto"/>
              <w:jc w:val="center"/>
              <w:rPr>
                <w:rFonts w:ascii="仿宋" w:hAnsi="仿宋" w:eastAsia="仿宋" w:cs="仿宋"/>
                <w:color w:val="auto"/>
                <w:sz w:val="24"/>
                <w:highlight w:val="none"/>
              </w:rPr>
            </w:pPr>
          </w:p>
        </w:tc>
        <w:tc>
          <w:tcPr>
            <w:tcW w:w="1748" w:type="dxa"/>
            <w:noWrap/>
            <w:vAlign w:val="center"/>
          </w:tcPr>
          <w:p w14:paraId="3158A25D">
            <w:pPr>
              <w:spacing w:line="360" w:lineRule="auto"/>
              <w:jc w:val="center"/>
              <w:rPr>
                <w:rFonts w:ascii="仿宋" w:hAnsi="仿宋" w:eastAsia="仿宋" w:cs="仿宋"/>
                <w:color w:val="auto"/>
                <w:sz w:val="24"/>
                <w:highlight w:val="none"/>
              </w:rPr>
            </w:pPr>
          </w:p>
        </w:tc>
      </w:tr>
      <w:tr w14:paraId="50946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8" w:type="dxa"/>
            <w:noWrap/>
            <w:vAlign w:val="center"/>
          </w:tcPr>
          <w:p w14:paraId="36C717FA">
            <w:pPr>
              <w:spacing w:line="360" w:lineRule="auto"/>
              <w:jc w:val="center"/>
              <w:rPr>
                <w:rFonts w:ascii="仿宋" w:hAnsi="仿宋" w:eastAsia="仿宋" w:cs="仿宋"/>
                <w:color w:val="auto"/>
                <w:sz w:val="24"/>
                <w:highlight w:val="none"/>
              </w:rPr>
            </w:pPr>
          </w:p>
        </w:tc>
        <w:tc>
          <w:tcPr>
            <w:tcW w:w="1748" w:type="dxa"/>
            <w:noWrap/>
            <w:vAlign w:val="center"/>
          </w:tcPr>
          <w:p w14:paraId="526AC147">
            <w:pPr>
              <w:spacing w:line="360" w:lineRule="auto"/>
              <w:jc w:val="center"/>
              <w:rPr>
                <w:rFonts w:ascii="仿宋" w:hAnsi="仿宋" w:eastAsia="仿宋" w:cs="仿宋"/>
                <w:color w:val="auto"/>
                <w:sz w:val="24"/>
                <w:highlight w:val="none"/>
              </w:rPr>
            </w:pPr>
          </w:p>
        </w:tc>
        <w:tc>
          <w:tcPr>
            <w:tcW w:w="1748" w:type="dxa"/>
            <w:noWrap/>
            <w:vAlign w:val="center"/>
          </w:tcPr>
          <w:p w14:paraId="5F96B996">
            <w:pPr>
              <w:spacing w:line="360" w:lineRule="auto"/>
              <w:jc w:val="center"/>
              <w:rPr>
                <w:rFonts w:ascii="仿宋" w:hAnsi="仿宋" w:eastAsia="仿宋" w:cs="仿宋"/>
                <w:color w:val="auto"/>
                <w:sz w:val="24"/>
                <w:highlight w:val="none"/>
              </w:rPr>
            </w:pPr>
          </w:p>
        </w:tc>
        <w:tc>
          <w:tcPr>
            <w:tcW w:w="1748" w:type="dxa"/>
            <w:noWrap/>
            <w:vAlign w:val="center"/>
          </w:tcPr>
          <w:p w14:paraId="3BEA7141">
            <w:pPr>
              <w:spacing w:line="360" w:lineRule="auto"/>
              <w:jc w:val="center"/>
              <w:rPr>
                <w:rFonts w:ascii="仿宋" w:hAnsi="仿宋" w:eastAsia="仿宋" w:cs="仿宋"/>
                <w:color w:val="auto"/>
                <w:sz w:val="24"/>
                <w:highlight w:val="none"/>
              </w:rPr>
            </w:pPr>
          </w:p>
        </w:tc>
        <w:tc>
          <w:tcPr>
            <w:tcW w:w="1748" w:type="dxa"/>
            <w:noWrap/>
            <w:vAlign w:val="center"/>
          </w:tcPr>
          <w:p w14:paraId="46B823C2">
            <w:pPr>
              <w:spacing w:line="360" w:lineRule="auto"/>
              <w:jc w:val="center"/>
              <w:rPr>
                <w:rFonts w:ascii="仿宋" w:hAnsi="仿宋" w:eastAsia="仿宋" w:cs="仿宋"/>
                <w:color w:val="auto"/>
                <w:sz w:val="24"/>
                <w:highlight w:val="none"/>
              </w:rPr>
            </w:pPr>
          </w:p>
        </w:tc>
      </w:tr>
      <w:tr w14:paraId="43AD2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8" w:type="dxa"/>
            <w:noWrap/>
            <w:vAlign w:val="center"/>
          </w:tcPr>
          <w:p w14:paraId="3E1EF362">
            <w:pPr>
              <w:spacing w:line="360" w:lineRule="auto"/>
              <w:jc w:val="center"/>
              <w:rPr>
                <w:rFonts w:ascii="仿宋" w:hAnsi="仿宋" w:eastAsia="仿宋" w:cs="仿宋"/>
                <w:color w:val="auto"/>
                <w:sz w:val="24"/>
                <w:highlight w:val="none"/>
              </w:rPr>
            </w:pPr>
          </w:p>
        </w:tc>
        <w:tc>
          <w:tcPr>
            <w:tcW w:w="1748" w:type="dxa"/>
            <w:noWrap/>
            <w:vAlign w:val="center"/>
          </w:tcPr>
          <w:p w14:paraId="1E31D89C">
            <w:pPr>
              <w:spacing w:line="360" w:lineRule="auto"/>
              <w:jc w:val="center"/>
              <w:rPr>
                <w:rFonts w:ascii="仿宋" w:hAnsi="仿宋" w:eastAsia="仿宋" w:cs="仿宋"/>
                <w:color w:val="auto"/>
                <w:sz w:val="24"/>
                <w:highlight w:val="none"/>
              </w:rPr>
            </w:pPr>
          </w:p>
        </w:tc>
        <w:tc>
          <w:tcPr>
            <w:tcW w:w="1748" w:type="dxa"/>
            <w:noWrap/>
            <w:vAlign w:val="center"/>
          </w:tcPr>
          <w:p w14:paraId="2D60D61E">
            <w:pPr>
              <w:spacing w:line="360" w:lineRule="auto"/>
              <w:jc w:val="center"/>
              <w:rPr>
                <w:rFonts w:ascii="仿宋" w:hAnsi="仿宋" w:eastAsia="仿宋" w:cs="仿宋"/>
                <w:color w:val="auto"/>
                <w:sz w:val="24"/>
                <w:highlight w:val="none"/>
              </w:rPr>
            </w:pPr>
          </w:p>
        </w:tc>
        <w:tc>
          <w:tcPr>
            <w:tcW w:w="1748" w:type="dxa"/>
            <w:noWrap/>
            <w:vAlign w:val="center"/>
          </w:tcPr>
          <w:p w14:paraId="6A733E8E">
            <w:pPr>
              <w:spacing w:line="360" w:lineRule="auto"/>
              <w:jc w:val="center"/>
              <w:rPr>
                <w:rFonts w:ascii="仿宋" w:hAnsi="仿宋" w:eastAsia="仿宋" w:cs="仿宋"/>
                <w:color w:val="auto"/>
                <w:sz w:val="24"/>
                <w:highlight w:val="none"/>
              </w:rPr>
            </w:pPr>
          </w:p>
        </w:tc>
        <w:tc>
          <w:tcPr>
            <w:tcW w:w="1748" w:type="dxa"/>
            <w:noWrap/>
            <w:vAlign w:val="center"/>
          </w:tcPr>
          <w:p w14:paraId="63B6A313">
            <w:pPr>
              <w:spacing w:line="360" w:lineRule="auto"/>
              <w:jc w:val="center"/>
              <w:rPr>
                <w:rFonts w:ascii="仿宋" w:hAnsi="仿宋" w:eastAsia="仿宋" w:cs="仿宋"/>
                <w:color w:val="auto"/>
                <w:sz w:val="24"/>
                <w:highlight w:val="none"/>
              </w:rPr>
            </w:pPr>
          </w:p>
        </w:tc>
      </w:tr>
      <w:tr w14:paraId="65F9E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8" w:type="dxa"/>
            <w:noWrap/>
            <w:vAlign w:val="center"/>
          </w:tcPr>
          <w:p w14:paraId="376C47E6">
            <w:pPr>
              <w:spacing w:line="360" w:lineRule="auto"/>
              <w:jc w:val="center"/>
              <w:rPr>
                <w:rFonts w:ascii="仿宋" w:hAnsi="仿宋" w:eastAsia="仿宋" w:cs="仿宋"/>
                <w:color w:val="auto"/>
                <w:sz w:val="24"/>
                <w:highlight w:val="none"/>
              </w:rPr>
            </w:pPr>
          </w:p>
        </w:tc>
        <w:tc>
          <w:tcPr>
            <w:tcW w:w="1748" w:type="dxa"/>
            <w:noWrap/>
            <w:vAlign w:val="center"/>
          </w:tcPr>
          <w:p w14:paraId="6E5BC097">
            <w:pPr>
              <w:spacing w:line="360" w:lineRule="auto"/>
              <w:jc w:val="center"/>
              <w:rPr>
                <w:rFonts w:ascii="仿宋" w:hAnsi="仿宋" w:eastAsia="仿宋" w:cs="仿宋"/>
                <w:color w:val="auto"/>
                <w:sz w:val="24"/>
                <w:highlight w:val="none"/>
              </w:rPr>
            </w:pPr>
          </w:p>
        </w:tc>
        <w:tc>
          <w:tcPr>
            <w:tcW w:w="1748" w:type="dxa"/>
            <w:noWrap/>
            <w:vAlign w:val="center"/>
          </w:tcPr>
          <w:p w14:paraId="07E50B88">
            <w:pPr>
              <w:spacing w:line="360" w:lineRule="auto"/>
              <w:jc w:val="center"/>
              <w:rPr>
                <w:rFonts w:ascii="仿宋" w:hAnsi="仿宋" w:eastAsia="仿宋" w:cs="仿宋"/>
                <w:color w:val="auto"/>
                <w:sz w:val="24"/>
                <w:highlight w:val="none"/>
              </w:rPr>
            </w:pPr>
          </w:p>
        </w:tc>
        <w:tc>
          <w:tcPr>
            <w:tcW w:w="1748" w:type="dxa"/>
            <w:noWrap/>
            <w:vAlign w:val="center"/>
          </w:tcPr>
          <w:p w14:paraId="76397AB7">
            <w:pPr>
              <w:spacing w:line="360" w:lineRule="auto"/>
              <w:jc w:val="center"/>
              <w:rPr>
                <w:rFonts w:ascii="仿宋" w:hAnsi="仿宋" w:eastAsia="仿宋" w:cs="仿宋"/>
                <w:color w:val="auto"/>
                <w:sz w:val="24"/>
                <w:highlight w:val="none"/>
              </w:rPr>
            </w:pPr>
          </w:p>
        </w:tc>
        <w:tc>
          <w:tcPr>
            <w:tcW w:w="1748" w:type="dxa"/>
            <w:noWrap/>
            <w:vAlign w:val="center"/>
          </w:tcPr>
          <w:p w14:paraId="622D767E">
            <w:pPr>
              <w:spacing w:line="360" w:lineRule="auto"/>
              <w:jc w:val="center"/>
              <w:rPr>
                <w:rFonts w:ascii="仿宋" w:hAnsi="仿宋" w:eastAsia="仿宋" w:cs="仿宋"/>
                <w:color w:val="auto"/>
                <w:sz w:val="24"/>
                <w:highlight w:val="none"/>
              </w:rPr>
            </w:pPr>
          </w:p>
        </w:tc>
      </w:tr>
      <w:tr w14:paraId="74227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8" w:type="dxa"/>
            <w:noWrap/>
            <w:vAlign w:val="center"/>
          </w:tcPr>
          <w:p w14:paraId="1577589E">
            <w:pPr>
              <w:spacing w:line="360" w:lineRule="auto"/>
              <w:jc w:val="center"/>
              <w:rPr>
                <w:rFonts w:ascii="仿宋" w:hAnsi="仿宋" w:eastAsia="仿宋" w:cs="仿宋"/>
                <w:color w:val="auto"/>
                <w:sz w:val="24"/>
                <w:highlight w:val="none"/>
              </w:rPr>
            </w:pPr>
          </w:p>
        </w:tc>
        <w:tc>
          <w:tcPr>
            <w:tcW w:w="1748" w:type="dxa"/>
            <w:noWrap/>
            <w:vAlign w:val="center"/>
          </w:tcPr>
          <w:p w14:paraId="2ADB2090">
            <w:pPr>
              <w:spacing w:line="360" w:lineRule="auto"/>
              <w:jc w:val="center"/>
              <w:rPr>
                <w:rFonts w:ascii="仿宋" w:hAnsi="仿宋" w:eastAsia="仿宋" w:cs="仿宋"/>
                <w:color w:val="auto"/>
                <w:sz w:val="24"/>
                <w:highlight w:val="none"/>
              </w:rPr>
            </w:pPr>
          </w:p>
        </w:tc>
        <w:tc>
          <w:tcPr>
            <w:tcW w:w="1748" w:type="dxa"/>
            <w:noWrap/>
            <w:vAlign w:val="center"/>
          </w:tcPr>
          <w:p w14:paraId="474B5EDE">
            <w:pPr>
              <w:spacing w:line="360" w:lineRule="auto"/>
              <w:jc w:val="center"/>
              <w:rPr>
                <w:rFonts w:ascii="仿宋" w:hAnsi="仿宋" w:eastAsia="仿宋" w:cs="仿宋"/>
                <w:color w:val="auto"/>
                <w:sz w:val="24"/>
                <w:highlight w:val="none"/>
              </w:rPr>
            </w:pPr>
          </w:p>
        </w:tc>
        <w:tc>
          <w:tcPr>
            <w:tcW w:w="1748" w:type="dxa"/>
            <w:noWrap/>
            <w:vAlign w:val="center"/>
          </w:tcPr>
          <w:p w14:paraId="6A6265EE">
            <w:pPr>
              <w:spacing w:line="360" w:lineRule="auto"/>
              <w:jc w:val="center"/>
              <w:rPr>
                <w:rFonts w:ascii="仿宋" w:hAnsi="仿宋" w:eastAsia="仿宋" w:cs="仿宋"/>
                <w:color w:val="auto"/>
                <w:sz w:val="24"/>
                <w:highlight w:val="none"/>
              </w:rPr>
            </w:pPr>
          </w:p>
        </w:tc>
        <w:tc>
          <w:tcPr>
            <w:tcW w:w="1748" w:type="dxa"/>
            <w:noWrap/>
            <w:vAlign w:val="center"/>
          </w:tcPr>
          <w:p w14:paraId="1690DDA6">
            <w:pPr>
              <w:spacing w:line="360" w:lineRule="auto"/>
              <w:jc w:val="center"/>
              <w:rPr>
                <w:rFonts w:ascii="仿宋" w:hAnsi="仿宋" w:eastAsia="仿宋" w:cs="仿宋"/>
                <w:color w:val="auto"/>
                <w:sz w:val="24"/>
                <w:highlight w:val="none"/>
              </w:rPr>
            </w:pPr>
          </w:p>
        </w:tc>
      </w:tr>
      <w:tr w14:paraId="0774E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8" w:type="dxa"/>
            <w:noWrap/>
            <w:vAlign w:val="center"/>
          </w:tcPr>
          <w:p w14:paraId="78432E78">
            <w:pPr>
              <w:spacing w:line="360" w:lineRule="auto"/>
              <w:jc w:val="center"/>
              <w:rPr>
                <w:rFonts w:ascii="仿宋" w:hAnsi="仿宋" w:eastAsia="仿宋" w:cs="仿宋"/>
                <w:color w:val="auto"/>
                <w:sz w:val="24"/>
                <w:highlight w:val="none"/>
              </w:rPr>
            </w:pPr>
          </w:p>
        </w:tc>
        <w:tc>
          <w:tcPr>
            <w:tcW w:w="1748" w:type="dxa"/>
            <w:noWrap/>
            <w:vAlign w:val="center"/>
          </w:tcPr>
          <w:p w14:paraId="402AAA4B">
            <w:pPr>
              <w:spacing w:line="360" w:lineRule="auto"/>
              <w:jc w:val="center"/>
              <w:rPr>
                <w:rFonts w:ascii="仿宋" w:hAnsi="仿宋" w:eastAsia="仿宋" w:cs="仿宋"/>
                <w:color w:val="auto"/>
                <w:sz w:val="24"/>
                <w:highlight w:val="none"/>
              </w:rPr>
            </w:pPr>
          </w:p>
        </w:tc>
        <w:tc>
          <w:tcPr>
            <w:tcW w:w="1748" w:type="dxa"/>
            <w:noWrap/>
            <w:vAlign w:val="center"/>
          </w:tcPr>
          <w:p w14:paraId="12A3A952">
            <w:pPr>
              <w:spacing w:line="360" w:lineRule="auto"/>
              <w:jc w:val="center"/>
              <w:rPr>
                <w:rFonts w:ascii="仿宋" w:hAnsi="仿宋" w:eastAsia="仿宋" w:cs="仿宋"/>
                <w:color w:val="auto"/>
                <w:sz w:val="24"/>
                <w:highlight w:val="none"/>
              </w:rPr>
            </w:pPr>
          </w:p>
        </w:tc>
        <w:tc>
          <w:tcPr>
            <w:tcW w:w="1748" w:type="dxa"/>
            <w:noWrap/>
            <w:vAlign w:val="center"/>
          </w:tcPr>
          <w:p w14:paraId="584E1ADE">
            <w:pPr>
              <w:spacing w:line="360" w:lineRule="auto"/>
              <w:jc w:val="center"/>
              <w:rPr>
                <w:rFonts w:ascii="仿宋" w:hAnsi="仿宋" w:eastAsia="仿宋" w:cs="仿宋"/>
                <w:color w:val="auto"/>
                <w:sz w:val="24"/>
                <w:highlight w:val="none"/>
              </w:rPr>
            </w:pPr>
          </w:p>
        </w:tc>
        <w:tc>
          <w:tcPr>
            <w:tcW w:w="1748" w:type="dxa"/>
            <w:noWrap/>
            <w:vAlign w:val="center"/>
          </w:tcPr>
          <w:p w14:paraId="33CD522C">
            <w:pPr>
              <w:spacing w:line="360" w:lineRule="auto"/>
              <w:jc w:val="center"/>
              <w:rPr>
                <w:rFonts w:ascii="仿宋" w:hAnsi="仿宋" w:eastAsia="仿宋" w:cs="仿宋"/>
                <w:color w:val="auto"/>
                <w:sz w:val="24"/>
                <w:highlight w:val="none"/>
              </w:rPr>
            </w:pPr>
          </w:p>
        </w:tc>
      </w:tr>
      <w:tr w14:paraId="53F0B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8" w:type="dxa"/>
            <w:noWrap/>
            <w:vAlign w:val="center"/>
          </w:tcPr>
          <w:p w14:paraId="5C6D05EA">
            <w:pPr>
              <w:spacing w:line="360" w:lineRule="auto"/>
              <w:jc w:val="center"/>
              <w:rPr>
                <w:rFonts w:ascii="仿宋" w:hAnsi="仿宋" w:eastAsia="仿宋" w:cs="仿宋"/>
                <w:color w:val="auto"/>
                <w:sz w:val="24"/>
                <w:highlight w:val="none"/>
              </w:rPr>
            </w:pPr>
          </w:p>
        </w:tc>
        <w:tc>
          <w:tcPr>
            <w:tcW w:w="1748" w:type="dxa"/>
            <w:noWrap/>
            <w:vAlign w:val="center"/>
          </w:tcPr>
          <w:p w14:paraId="155260BB">
            <w:pPr>
              <w:spacing w:line="360" w:lineRule="auto"/>
              <w:jc w:val="center"/>
              <w:rPr>
                <w:rFonts w:ascii="仿宋" w:hAnsi="仿宋" w:eastAsia="仿宋" w:cs="仿宋"/>
                <w:color w:val="auto"/>
                <w:sz w:val="24"/>
                <w:highlight w:val="none"/>
              </w:rPr>
            </w:pPr>
          </w:p>
        </w:tc>
        <w:tc>
          <w:tcPr>
            <w:tcW w:w="1748" w:type="dxa"/>
            <w:noWrap/>
            <w:vAlign w:val="center"/>
          </w:tcPr>
          <w:p w14:paraId="05035F7A">
            <w:pPr>
              <w:spacing w:line="360" w:lineRule="auto"/>
              <w:jc w:val="center"/>
              <w:rPr>
                <w:rFonts w:ascii="仿宋" w:hAnsi="仿宋" w:eastAsia="仿宋" w:cs="仿宋"/>
                <w:color w:val="auto"/>
                <w:sz w:val="24"/>
                <w:highlight w:val="none"/>
              </w:rPr>
            </w:pPr>
          </w:p>
        </w:tc>
        <w:tc>
          <w:tcPr>
            <w:tcW w:w="1748" w:type="dxa"/>
            <w:noWrap/>
            <w:vAlign w:val="center"/>
          </w:tcPr>
          <w:p w14:paraId="5F875C7A">
            <w:pPr>
              <w:spacing w:line="360" w:lineRule="auto"/>
              <w:jc w:val="center"/>
              <w:rPr>
                <w:rFonts w:ascii="仿宋" w:hAnsi="仿宋" w:eastAsia="仿宋" w:cs="仿宋"/>
                <w:color w:val="auto"/>
                <w:sz w:val="24"/>
                <w:highlight w:val="none"/>
              </w:rPr>
            </w:pPr>
          </w:p>
        </w:tc>
        <w:tc>
          <w:tcPr>
            <w:tcW w:w="1748" w:type="dxa"/>
            <w:noWrap/>
            <w:vAlign w:val="center"/>
          </w:tcPr>
          <w:p w14:paraId="59360E41">
            <w:pPr>
              <w:spacing w:line="360" w:lineRule="auto"/>
              <w:jc w:val="center"/>
              <w:rPr>
                <w:rFonts w:ascii="仿宋" w:hAnsi="仿宋" w:eastAsia="仿宋" w:cs="仿宋"/>
                <w:color w:val="auto"/>
                <w:sz w:val="24"/>
                <w:highlight w:val="none"/>
              </w:rPr>
            </w:pPr>
          </w:p>
        </w:tc>
      </w:tr>
      <w:tr w14:paraId="55A84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8" w:type="dxa"/>
            <w:noWrap/>
            <w:vAlign w:val="center"/>
          </w:tcPr>
          <w:p w14:paraId="7DA3C9CE">
            <w:pPr>
              <w:spacing w:line="360" w:lineRule="auto"/>
              <w:jc w:val="center"/>
              <w:rPr>
                <w:rFonts w:ascii="仿宋" w:hAnsi="仿宋" w:eastAsia="仿宋" w:cs="仿宋"/>
                <w:color w:val="auto"/>
                <w:sz w:val="24"/>
                <w:highlight w:val="none"/>
              </w:rPr>
            </w:pPr>
          </w:p>
        </w:tc>
        <w:tc>
          <w:tcPr>
            <w:tcW w:w="1748" w:type="dxa"/>
            <w:noWrap/>
            <w:vAlign w:val="center"/>
          </w:tcPr>
          <w:p w14:paraId="2392017D">
            <w:pPr>
              <w:spacing w:line="360" w:lineRule="auto"/>
              <w:jc w:val="center"/>
              <w:rPr>
                <w:rFonts w:ascii="仿宋" w:hAnsi="仿宋" w:eastAsia="仿宋" w:cs="仿宋"/>
                <w:color w:val="auto"/>
                <w:sz w:val="24"/>
                <w:highlight w:val="none"/>
              </w:rPr>
            </w:pPr>
          </w:p>
        </w:tc>
        <w:tc>
          <w:tcPr>
            <w:tcW w:w="1748" w:type="dxa"/>
            <w:noWrap/>
            <w:vAlign w:val="center"/>
          </w:tcPr>
          <w:p w14:paraId="4A1A4B83">
            <w:pPr>
              <w:spacing w:line="360" w:lineRule="auto"/>
              <w:jc w:val="center"/>
              <w:rPr>
                <w:rFonts w:ascii="仿宋" w:hAnsi="仿宋" w:eastAsia="仿宋" w:cs="仿宋"/>
                <w:color w:val="auto"/>
                <w:sz w:val="24"/>
                <w:highlight w:val="none"/>
              </w:rPr>
            </w:pPr>
          </w:p>
        </w:tc>
        <w:tc>
          <w:tcPr>
            <w:tcW w:w="1748" w:type="dxa"/>
            <w:noWrap/>
            <w:vAlign w:val="center"/>
          </w:tcPr>
          <w:p w14:paraId="06F870A3">
            <w:pPr>
              <w:spacing w:line="360" w:lineRule="auto"/>
              <w:jc w:val="center"/>
              <w:rPr>
                <w:rFonts w:ascii="仿宋" w:hAnsi="仿宋" w:eastAsia="仿宋" w:cs="仿宋"/>
                <w:color w:val="auto"/>
                <w:sz w:val="24"/>
                <w:highlight w:val="none"/>
              </w:rPr>
            </w:pPr>
          </w:p>
        </w:tc>
        <w:tc>
          <w:tcPr>
            <w:tcW w:w="1748" w:type="dxa"/>
            <w:noWrap/>
            <w:vAlign w:val="center"/>
          </w:tcPr>
          <w:p w14:paraId="4F23EB10">
            <w:pPr>
              <w:spacing w:line="360" w:lineRule="auto"/>
              <w:jc w:val="center"/>
              <w:rPr>
                <w:rFonts w:ascii="仿宋" w:hAnsi="仿宋" w:eastAsia="仿宋" w:cs="仿宋"/>
                <w:color w:val="auto"/>
                <w:sz w:val="24"/>
                <w:highlight w:val="none"/>
              </w:rPr>
            </w:pPr>
          </w:p>
        </w:tc>
      </w:tr>
      <w:tr w14:paraId="46E29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8" w:type="dxa"/>
            <w:noWrap/>
            <w:vAlign w:val="center"/>
          </w:tcPr>
          <w:p w14:paraId="3FEC104F">
            <w:pPr>
              <w:spacing w:line="360" w:lineRule="auto"/>
              <w:jc w:val="center"/>
              <w:rPr>
                <w:rFonts w:ascii="仿宋" w:hAnsi="仿宋" w:eastAsia="仿宋" w:cs="仿宋"/>
                <w:color w:val="auto"/>
                <w:sz w:val="24"/>
                <w:highlight w:val="none"/>
              </w:rPr>
            </w:pPr>
          </w:p>
        </w:tc>
        <w:tc>
          <w:tcPr>
            <w:tcW w:w="1748" w:type="dxa"/>
            <w:noWrap/>
            <w:vAlign w:val="center"/>
          </w:tcPr>
          <w:p w14:paraId="269292B3">
            <w:pPr>
              <w:spacing w:line="360" w:lineRule="auto"/>
              <w:jc w:val="center"/>
              <w:rPr>
                <w:rFonts w:ascii="仿宋" w:hAnsi="仿宋" w:eastAsia="仿宋" w:cs="仿宋"/>
                <w:color w:val="auto"/>
                <w:sz w:val="24"/>
                <w:highlight w:val="none"/>
              </w:rPr>
            </w:pPr>
          </w:p>
        </w:tc>
        <w:tc>
          <w:tcPr>
            <w:tcW w:w="1748" w:type="dxa"/>
            <w:noWrap/>
            <w:vAlign w:val="center"/>
          </w:tcPr>
          <w:p w14:paraId="4F86E8EB">
            <w:pPr>
              <w:spacing w:line="360" w:lineRule="auto"/>
              <w:jc w:val="center"/>
              <w:rPr>
                <w:rFonts w:ascii="仿宋" w:hAnsi="仿宋" w:eastAsia="仿宋" w:cs="仿宋"/>
                <w:color w:val="auto"/>
                <w:sz w:val="24"/>
                <w:highlight w:val="none"/>
              </w:rPr>
            </w:pPr>
          </w:p>
        </w:tc>
        <w:tc>
          <w:tcPr>
            <w:tcW w:w="1748" w:type="dxa"/>
            <w:noWrap/>
            <w:vAlign w:val="center"/>
          </w:tcPr>
          <w:p w14:paraId="25FD7DAB">
            <w:pPr>
              <w:spacing w:line="360" w:lineRule="auto"/>
              <w:jc w:val="center"/>
              <w:rPr>
                <w:rFonts w:ascii="仿宋" w:hAnsi="仿宋" w:eastAsia="仿宋" w:cs="仿宋"/>
                <w:color w:val="auto"/>
                <w:sz w:val="24"/>
                <w:highlight w:val="none"/>
              </w:rPr>
            </w:pPr>
          </w:p>
        </w:tc>
        <w:tc>
          <w:tcPr>
            <w:tcW w:w="1748" w:type="dxa"/>
            <w:noWrap/>
            <w:vAlign w:val="center"/>
          </w:tcPr>
          <w:p w14:paraId="5C96C15F">
            <w:pPr>
              <w:spacing w:line="360" w:lineRule="auto"/>
              <w:jc w:val="center"/>
              <w:rPr>
                <w:rFonts w:ascii="仿宋" w:hAnsi="仿宋" w:eastAsia="仿宋" w:cs="仿宋"/>
                <w:color w:val="auto"/>
                <w:sz w:val="24"/>
                <w:highlight w:val="none"/>
              </w:rPr>
            </w:pPr>
          </w:p>
        </w:tc>
      </w:tr>
      <w:tr w14:paraId="1DBB6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8" w:type="dxa"/>
            <w:noWrap/>
            <w:vAlign w:val="center"/>
          </w:tcPr>
          <w:p w14:paraId="59E78288">
            <w:pPr>
              <w:spacing w:line="360" w:lineRule="auto"/>
              <w:jc w:val="center"/>
              <w:rPr>
                <w:rFonts w:ascii="仿宋" w:hAnsi="仿宋" w:eastAsia="仿宋" w:cs="仿宋"/>
                <w:color w:val="auto"/>
                <w:sz w:val="24"/>
                <w:highlight w:val="none"/>
              </w:rPr>
            </w:pPr>
          </w:p>
        </w:tc>
        <w:tc>
          <w:tcPr>
            <w:tcW w:w="1748" w:type="dxa"/>
            <w:noWrap/>
            <w:vAlign w:val="center"/>
          </w:tcPr>
          <w:p w14:paraId="483346CD">
            <w:pPr>
              <w:spacing w:line="360" w:lineRule="auto"/>
              <w:jc w:val="center"/>
              <w:rPr>
                <w:rFonts w:ascii="仿宋" w:hAnsi="仿宋" w:eastAsia="仿宋" w:cs="仿宋"/>
                <w:color w:val="auto"/>
                <w:sz w:val="24"/>
                <w:highlight w:val="none"/>
              </w:rPr>
            </w:pPr>
          </w:p>
        </w:tc>
        <w:tc>
          <w:tcPr>
            <w:tcW w:w="1748" w:type="dxa"/>
            <w:noWrap/>
            <w:vAlign w:val="center"/>
          </w:tcPr>
          <w:p w14:paraId="63CC711F">
            <w:pPr>
              <w:spacing w:line="360" w:lineRule="auto"/>
              <w:jc w:val="center"/>
              <w:rPr>
                <w:rFonts w:ascii="仿宋" w:hAnsi="仿宋" w:eastAsia="仿宋" w:cs="仿宋"/>
                <w:color w:val="auto"/>
                <w:sz w:val="24"/>
                <w:highlight w:val="none"/>
              </w:rPr>
            </w:pPr>
          </w:p>
        </w:tc>
        <w:tc>
          <w:tcPr>
            <w:tcW w:w="1748" w:type="dxa"/>
            <w:noWrap/>
            <w:vAlign w:val="center"/>
          </w:tcPr>
          <w:p w14:paraId="3C577BBA">
            <w:pPr>
              <w:spacing w:line="360" w:lineRule="auto"/>
              <w:jc w:val="center"/>
              <w:rPr>
                <w:rFonts w:ascii="仿宋" w:hAnsi="仿宋" w:eastAsia="仿宋" w:cs="仿宋"/>
                <w:color w:val="auto"/>
                <w:sz w:val="24"/>
                <w:highlight w:val="none"/>
              </w:rPr>
            </w:pPr>
          </w:p>
        </w:tc>
        <w:tc>
          <w:tcPr>
            <w:tcW w:w="1748" w:type="dxa"/>
            <w:noWrap/>
            <w:vAlign w:val="center"/>
          </w:tcPr>
          <w:p w14:paraId="58AA5E73">
            <w:pPr>
              <w:spacing w:line="360" w:lineRule="auto"/>
              <w:jc w:val="center"/>
              <w:rPr>
                <w:rFonts w:ascii="仿宋" w:hAnsi="仿宋" w:eastAsia="仿宋" w:cs="仿宋"/>
                <w:color w:val="auto"/>
                <w:sz w:val="24"/>
                <w:highlight w:val="none"/>
              </w:rPr>
            </w:pPr>
          </w:p>
        </w:tc>
      </w:tr>
      <w:tr w14:paraId="03F4C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8" w:type="dxa"/>
            <w:noWrap/>
            <w:vAlign w:val="center"/>
          </w:tcPr>
          <w:p w14:paraId="451CDE69">
            <w:pPr>
              <w:spacing w:line="360" w:lineRule="auto"/>
              <w:jc w:val="center"/>
              <w:rPr>
                <w:rFonts w:ascii="仿宋" w:hAnsi="仿宋" w:eastAsia="仿宋" w:cs="仿宋"/>
                <w:color w:val="auto"/>
                <w:sz w:val="24"/>
                <w:highlight w:val="none"/>
              </w:rPr>
            </w:pPr>
          </w:p>
        </w:tc>
        <w:tc>
          <w:tcPr>
            <w:tcW w:w="1748" w:type="dxa"/>
            <w:noWrap/>
            <w:vAlign w:val="center"/>
          </w:tcPr>
          <w:p w14:paraId="779D0D37">
            <w:pPr>
              <w:spacing w:line="360" w:lineRule="auto"/>
              <w:jc w:val="center"/>
              <w:rPr>
                <w:rFonts w:ascii="仿宋" w:hAnsi="仿宋" w:eastAsia="仿宋" w:cs="仿宋"/>
                <w:color w:val="auto"/>
                <w:sz w:val="24"/>
                <w:highlight w:val="none"/>
              </w:rPr>
            </w:pPr>
          </w:p>
        </w:tc>
        <w:tc>
          <w:tcPr>
            <w:tcW w:w="1748" w:type="dxa"/>
            <w:noWrap/>
            <w:vAlign w:val="center"/>
          </w:tcPr>
          <w:p w14:paraId="4E6A726E">
            <w:pPr>
              <w:spacing w:line="360" w:lineRule="auto"/>
              <w:jc w:val="center"/>
              <w:rPr>
                <w:rFonts w:ascii="仿宋" w:hAnsi="仿宋" w:eastAsia="仿宋" w:cs="仿宋"/>
                <w:color w:val="auto"/>
                <w:sz w:val="24"/>
                <w:highlight w:val="none"/>
              </w:rPr>
            </w:pPr>
          </w:p>
        </w:tc>
        <w:tc>
          <w:tcPr>
            <w:tcW w:w="1748" w:type="dxa"/>
            <w:noWrap/>
            <w:vAlign w:val="center"/>
          </w:tcPr>
          <w:p w14:paraId="4993BC6E">
            <w:pPr>
              <w:spacing w:line="360" w:lineRule="auto"/>
              <w:jc w:val="center"/>
              <w:rPr>
                <w:rFonts w:ascii="仿宋" w:hAnsi="仿宋" w:eastAsia="仿宋" w:cs="仿宋"/>
                <w:color w:val="auto"/>
                <w:sz w:val="24"/>
                <w:highlight w:val="none"/>
              </w:rPr>
            </w:pPr>
          </w:p>
        </w:tc>
        <w:tc>
          <w:tcPr>
            <w:tcW w:w="1748" w:type="dxa"/>
            <w:noWrap/>
            <w:vAlign w:val="center"/>
          </w:tcPr>
          <w:p w14:paraId="0E24CB61">
            <w:pPr>
              <w:spacing w:line="360" w:lineRule="auto"/>
              <w:jc w:val="center"/>
              <w:rPr>
                <w:rFonts w:ascii="仿宋" w:hAnsi="仿宋" w:eastAsia="仿宋" w:cs="仿宋"/>
                <w:color w:val="auto"/>
                <w:sz w:val="24"/>
                <w:highlight w:val="none"/>
              </w:rPr>
            </w:pPr>
          </w:p>
        </w:tc>
      </w:tr>
      <w:tr w14:paraId="2B927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8" w:type="dxa"/>
            <w:noWrap/>
            <w:vAlign w:val="center"/>
          </w:tcPr>
          <w:p w14:paraId="6FC2F2D1">
            <w:pPr>
              <w:spacing w:line="360" w:lineRule="auto"/>
              <w:jc w:val="center"/>
              <w:rPr>
                <w:rFonts w:ascii="仿宋" w:hAnsi="仿宋" w:eastAsia="仿宋" w:cs="仿宋"/>
                <w:color w:val="auto"/>
                <w:sz w:val="24"/>
                <w:highlight w:val="none"/>
              </w:rPr>
            </w:pPr>
          </w:p>
        </w:tc>
        <w:tc>
          <w:tcPr>
            <w:tcW w:w="1748" w:type="dxa"/>
            <w:noWrap/>
            <w:vAlign w:val="center"/>
          </w:tcPr>
          <w:p w14:paraId="564CF4F2">
            <w:pPr>
              <w:spacing w:line="360" w:lineRule="auto"/>
              <w:jc w:val="center"/>
              <w:rPr>
                <w:rFonts w:ascii="仿宋" w:hAnsi="仿宋" w:eastAsia="仿宋" w:cs="仿宋"/>
                <w:color w:val="auto"/>
                <w:sz w:val="24"/>
                <w:highlight w:val="none"/>
              </w:rPr>
            </w:pPr>
          </w:p>
        </w:tc>
        <w:tc>
          <w:tcPr>
            <w:tcW w:w="1748" w:type="dxa"/>
            <w:noWrap/>
            <w:vAlign w:val="center"/>
          </w:tcPr>
          <w:p w14:paraId="18244E3C">
            <w:pPr>
              <w:spacing w:line="360" w:lineRule="auto"/>
              <w:jc w:val="center"/>
              <w:rPr>
                <w:rFonts w:ascii="仿宋" w:hAnsi="仿宋" w:eastAsia="仿宋" w:cs="仿宋"/>
                <w:color w:val="auto"/>
                <w:sz w:val="24"/>
                <w:highlight w:val="none"/>
              </w:rPr>
            </w:pPr>
          </w:p>
        </w:tc>
        <w:tc>
          <w:tcPr>
            <w:tcW w:w="1748" w:type="dxa"/>
            <w:noWrap/>
            <w:vAlign w:val="center"/>
          </w:tcPr>
          <w:p w14:paraId="4FCAA18F">
            <w:pPr>
              <w:spacing w:line="360" w:lineRule="auto"/>
              <w:jc w:val="center"/>
              <w:rPr>
                <w:rFonts w:ascii="仿宋" w:hAnsi="仿宋" w:eastAsia="仿宋" w:cs="仿宋"/>
                <w:color w:val="auto"/>
                <w:sz w:val="24"/>
                <w:highlight w:val="none"/>
              </w:rPr>
            </w:pPr>
          </w:p>
        </w:tc>
        <w:tc>
          <w:tcPr>
            <w:tcW w:w="1748" w:type="dxa"/>
            <w:noWrap/>
            <w:vAlign w:val="center"/>
          </w:tcPr>
          <w:p w14:paraId="7DFC9451">
            <w:pPr>
              <w:spacing w:line="360" w:lineRule="auto"/>
              <w:jc w:val="center"/>
              <w:rPr>
                <w:rFonts w:ascii="仿宋" w:hAnsi="仿宋" w:eastAsia="仿宋" w:cs="仿宋"/>
                <w:color w:val="auto"/>
                <w:sz w:val="24"/>
                <w:highlight w:val="none"/>
              </w:rPr>
            </w:pPr>
          </w:p>
        </w:tc>
      </w:tr>
      <w:tr w14:paraId="777B8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8" w:type="dxa"/>
            <w:noWrap/>
            <w:vAlign w:val="center"/>
          </w:tcPr>
          <w:p w14:paraId="7D4006E3">
            <w:pPr>
              <w:spacing w:line="360" w:lineRule="auto"/>
              <w:jc w:val="center"/>
              <w:rPr>
                <w:rFonts w:ascii="仿宋" w:hAnsi="仿宋" w:eastAsia="仿宋" w:cs="仿宋"/>
                <w:color w:val="auto"/>
                <w:sz w:val="24"/>
                <w:highlight w:val="none"/>
              </w:rPr>
            </w:pPr>
          </w:p>
        </w:tc>
        <w:tc>
          <w:tcPr>
            <w:tcW w:w="1748" w:type="dxa"/>
            <w:noWrap/>
            <w:vAlign w:val="center"/>
          </w:tcPr>
          <w:p w14:paraId="3BCAFD2B">
            <w:pPr>
              <w:spacing w:line="360" w:lineRule="auto"/>
              <w:jc w:val="center"/>
              <w:rPr>
                <w:rFonts w:ascii="仿宋" w:hAnsi="仿宋" w:eastAsia="仿宋" w:cs="仿宋"/>
                <w:color w:val="auto"/>
                <w:sz w:val="24"/>
                <w:highlight w:val="none"/>
              </w:rPr>
            </w:pPr>
          </w:p>
        </w:tc>
        <w:tc>
          <w:tcPr>
            <w:tcW w:w="1748" w:type="dxa"/>
            <w:noWrap/>
            <w:vAlign w:val="center"/>
          </w:tcPr>
          <w:p w14:paraId="5FADF80D">
            <w:pPr>
              <w:spacing w:line="360" w:lineRule="auto"/>
              <w:jc w:val="center"/>
              <w:rPr>
                <w:rFonts w:ascii="仿宋" w:hAnsi="仿宋" w:eastAsia="仿宋" w:cs="仿宋"/>
                <w:color w:val="auto"/>
                <w:sz w:val="24"/>
                <w:highlight w:val="none"/>
              </w:rPr>
            </w:pPr>
          </w:p>
        </w:tc>
        <w:tc>
          <w:tcPr>
            <w:tcW w:w="1748" w:type="dxa"/>
            <w:noWrap/>
            <w:vAlign w:val="center"/>
          </w:tcPr>
          <w:p w14:paraId="45775E3A">
            <w:pPr>
              <w:spacing w:line="360" w:lineRule="auto"/>
              <w:jc w:val="center"/>
              <w:rPr>
                <w:rFonts w:ascii="仿宋" w:hAnsi="仿宋" w:eastAsia="仿宋" w:cs="仿宋"/>
                <w:color w:val="auto"/>
                <w:sz w:val="24"/>
                <w:highlight w:val="none"/>
              </w:rPr>
            </w:pPr>
          </w:p>
        </w:tc>
        <w:tc>
          <w:tcPr>
            <w:tcW w:w="1748" w:type="dxa"/>
            <w:noWrap/>
            <w:vAlign w:val="center"/>
          </w:tcPr>
          <w:p w14:paraId="13E2A35E">
            <w:pPr>
              <w:spacing w:line="360" w:lineRule="auto"/>
              <w:jc w:val="center"/>
              <w:rPr>
                <w:rFonts w:ascii="仿宋" w:hAnsi="仿宋" w:eastAsia="仿宋" w:cs="仿宋"/>
                <w:color w:val="auto"/>
                <w:sz w:val="24"/>
                <w:highlight w:val="none"/>
              </w:rPr>
            </w:pPr>
          </w:p>
        </w:tc>
      </w:tr>
      <w:tr w14:paraId="1F177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8" w:type="dxa"/>
            <w:noWrap/>
            <w:vAlign w:val="center"/>
          </w:tcPr>
          <w:p w14:paraId="1E9C15F5">
            <w:pPr>
              <w:spacing w:line="360" w:lineRule="auto"/>
              <w:jc w:val="center"/>
              <w:rPr>
                <w:rFonts w:ascii="仿宋" w:hAnsi="仿宋" w:eastAsia="仿宋" w:cs="仿宋"/>
                <w:color w:val="auto"/>
                <w:sz w:val="24"/>
                <w:highlight w:val="none"/>
              </w:rPr>
            </w:pPr>
          </w:p>
        </w:tc>
        <w:tc>
          <w:tcPr>
            <w:tcW w:w="1748" w:type="dxa"/>
            <w:noWrap/>
            <w:vAlign w:val="center"/>
          </w:tcPr>
          <w:p w14:paraId="5EB4E95F">
            <w:pPr>
              <w:spacing w:line="360" w:lineRule="auto"/>
              <w:jc w:val="center"/>
              <w:rPr>
                <w:rFonts w:ascii="仿宋" w:hAnsi="仿宋" w:eastAsia="仿宋" w:cs="仿宋"/>
                <w:color w:val="auto"/>
                <w:sz w:val="24"/>
                <w:highlight w:val="none"/>
              </w:rPr>
            </w:pPr>
          </w:p>
        </w:tc>
        <w:tc>
          <w:tcPr>
            <w:tcW w:w="1748" w:type="dxa"/>
            <w:noWrap/>
            <w:vAlign w:val="center"/>
          </w:tcPr>
          <w:p w14:paraId="7B011B30">
            <w:pPr>
              <w:spacing w:line="360" w:lineRule="auto"/>
              <w:jc w:val="center"/>
              <w:rPr>
                <w:rFonts w:ascii="仿宋" w:hAnsi="仿宋" w:eastAsia="仿宋" w:cs="仿宋"/>
                <w:color w:val="auto"/>
                <w:sz w:val="24"/>
                <w:highlight w:val="none"/>
              </w:rPr>
            </w:pPr>
          </w:p>
        </w:tc>
        <w:tc>
          <w:tcPr>
            <w:tcW w:w="1748" w:type="dxa"/>
            <w:noWrap/>
            <w:vAlign w:val="center"/>
          </w:tcPr>
          <w:p w14:paraId="615D3DE8">
            <w:pPr>
              <w:spacing w:line="360" w:lineRule="auto"/>
              <w:jc w:val="center"/>
              <w:rPr>
                <w:rFonts w:ascii="仿宋" w:hAnsi="仿宋" w:eastAsia="仿宋" w:cs="仿宋"/>
                <w:color w:val="auto"/>
                <w:sz w:val="24"/>
                <w:highlight w:val="none"/>
              </w:rPr>
            </w:pPr>
          </w:p>
        </w:tc>
        <w:tc>
          <w:tcPr>
            <w:tcW w:w="1748" w:type="dxa"/>
            <w:noWrap/>
            <w:vAlign w:val="center"/>
          </w:tcPr>
          <w:p w14:paraId="34CFCD41">
            <w:pPr>
              <w:spacing w:line="360" w:lineRule="auto"/>
              <w:jc w:val="center"/>
              <w:rPr>
                <w:rFonts w:ascii="仿宋" w:hAnsi="仿宋" w:eastAsia="仿宋" w:cs="仿宋"/>
                <w:color w:val="auto"/>
                <w:sz w:val="24"/>
                <w:highlight w:val="none"/>
              </w:rPr>
            </w:pPr>
          </w:p>
        </w:tc>
      </w:tr>
      <w:tr w14:paraId="10AEC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8" w:type="dxa"/>
            <w:noWrap/>
            <w:vAlign w:val="center"/>
          </w:tcPr>
          <w:p w14:paraId="667849E4">
            <w:pPr>
              <w:spacing w:line="360" w:lineRule="auto"/>
              <w:jc w:val="center"/>
              <w:rPr>
                <w:rFonts w:ascii="仿宋" w:hAnsi="仿宋" w:eastAsia="仿宋" w:cs="仿宋"/>
                <w:color w:val="auto"/>
                <w:sz w:val="24"/>
                <w:highlight w:val="none"/>
              </w:rPr>
            </w:pPr>
          </w:p>
        </w:tc>
        <w:tc>
          <w:tcPr>
            <w:tcW w:w="1748" w:type="dxa"/>
            <w:noWrap/>
            <w:vAlign w:val="center"/>
          </w:tcPr>
          <w:p w14:paraId="13F6AA91">
            <w:pPr>
              <w:spacing w:line="360" w:lineRule="auto"/>
              <w:jc w:val="center"/>
              <w:rPr>
                <w:rFonts w:ascii="仿宋" w:hAnsi="仿宋" w:eastAsia="仿宋" w:cs="仿宋"/>
                <w:color w:val="auto"/>
                <w:sz w:val="24"/>
                <w:highlight w:val="none"/>
              </w:rPr>
            </w:pPr>
          </w:p>
        </w:tc>
        <w:tc>
          <w:tcPr>
            <w:tcW w:w="1748" w:type="dxa"/>
            <w:noWrap/>
            <w:vAlign w:val="center"/>
          </w:tcPr>
          <w:p w14:paraId="0309529E">
            <w:pPr>
              <w:spacing w:line="360" w:lineRule="auto"/>
              <w:jc w:val="center"/>
              <w:rPr>
                <w:rFonts w:ascii="仿宋" w:hAnsi="仿宋" w:eastAsia="仿宋" w:cs="仿宋"/>
                <w:color w:val="auto"/>
                <w:sz w:val="24"/>
                <w:highlight w:val="none"/>
              </w:rPr>
            </w:pPr>
          </w:p>
        </w:tc>
        <w:tc>
          <w:tcPr>
            <w:tcW w:w="1748" w:type="dxa"/>
            <w:noWrap/>
            <w:vAlign w:val="center"/>
          </w:tcPr>
          <w:p w14:paraId="13AD1BB5">
            <w:pPr>
              <w:spacing w:line="360" w:lineRule="auto"/>
              <w:jc w:val="center"/>
              <w:rPr>
                <w:rFonts w:ascii="仿宋" w:hAnsi="仿宋" w:eastAsia="仿宋" w:cs="仿宋"/>
                <w:color w:val="auto"/>
                <w:sz w:val="24"/>
                <w:highlight w:val="none"/>
              </w:rPr>
            </w:pPr>
          </w:p>
        </w:tc>
        <w:tc>
          <w:tcPr>
            <w:tcW w:w="1748" w:type="dxa"/>
            <w:noWrap/>
            <w:vAlign w:val="center"/>
          </w:tcPr>
          <w:p w14:paraId="4375F0DD">
            <w:pPr>
              <w:spacing w:line="360" w:lineRule="auto"/>
              <w:jc w:val="center"/>
              <w:rPr>
                <w:rFonts w:ascii="仿宋" w:hAnsi="仿宋" w:eastAsia="仿宋" w:cs="仿宋"/>
                <w:color w:val="auto"/>
                <w:sz w:val="24"/>
                <w:highlight w:val="none"/>
              </w:rPr>
            </w:pPr>
          </w:p>
        </w:tc>
      </w:tr>
    </w:tbl>
    <w:p w14:paraId="6FF78449">
      <w:pPr>
        <w:spacing w:beforeLines="50" w:afterLines="50"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注：1.本表填写内容为本项目类似的项目业绩，并附上相关的证明材料。</w:t>
      </w:r>
    </w:p>
    <w:p w14:paraId="06E547F4">
      <w:pPr>
        <w:spacing w:line="432" w:lineRule="auto"/>
        <w:rPr>
          <w:rFonts w:ascii="仿宋" w:hAnsi="仿宋" w:eastAsia="仿宋" w:cs="仿宋"/>
          <w:color w:val="auto"/>
          <w:sz w:val="24"/>
          <w:highlight w:val="none"/>
        </w:rPr>
      </w:pPr>
      <w:r>
        <w:rPr>
          <w:rFonts w:hint="eastAsia" w:ascii="仿宋" w:hAnsi="仿宋" w:eastAsia="仿宋" w:cs="仿宋"/>
          <w:color w:val="auto"/>
          <w:sz w:val="24"/>
          <w:highlight w:val="none"/>
        </w:rPr>
        <w:t>投标人（盖章）：</w:t>
      </w:r>
    </w:p>
    <w:p w14:paraId="565E47EF">
      <w:pPr>
        <w:spacing w:line="432"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法定代表人或授权代表（签字）：</w:t>
      </w:r>
    </w:p>
    <w:p w14:paraId="27E3094D">
      <w:pPr>
        <w:spacing w:line="432" w:lineRule="auto"/>
        <w:rPr>
          <w:rFonts w:ascii="仿宋" w:hAnsi="仿宋" w:eastAsia="仿宋" w:cs="仿宋"/>
          <w:color w:val="auto"/>
          <w:sz w:val="24"/>
          <w:highlight w:val="none"/>
        </w:rPr>
      </w:pPr>
      <w:r>
        <w:rPr>
          <w:rFonts w:hint="eastAsia" w:ascii="仿宋" w:hAnsi="仿宋" w:eastAsia="仿宋" w:cs="仿宋"/>
          <w:color w:val="auto"/>
          <w:sz w:val="24"/>
          <w:highlight w:val="none"/>
        </w:rPr>
        <w:t>日期：</w:t>
      </w:r>
    </w:p>
    <w:p w14:paraId="40218043">
      <w:pPr>
        <w:pStyle w:val="3"/>
        <w:spacing w:beforeLines="50" w:afterLines="50"/>
        <w:jc w:val="center"/>
        <w:rPr>
          <w:rFonts w:ascii="仿宋" w:hAnsi="仿宋" w:eastAsia="仿宋" w:cs="仿宋"/>
          <w:color w:val="auto"/>
          <w:highlight w:val="none"/>
        </w:rPr>
      </w:pPr>
      <w:bookmarkStart w:id="682" w:name="_Toc387240428"/>
      <w:bookmarkStart w:id="683" w:name="_Toc23328"/>
      <w:bookmarkStart w:id="684" w:name="_Toc444509179"/>
      <w:bookmarkStart w:id="685" w:name="_Toc13014"/>
      <w:r>
        <w:rPr>
          <w:rFonts w:hint="eastAsia" w:ascii="仿宋" w:hAnsi="仿宋" w:eastAsia="仿宋" w:cs="仿宋"/>
          <w:color w:val="auto"/>
          <w:highlight w:val="none"/>
        </w:rPr>
        <w:t>八、技术评分项资料</w:t>
      </w:r>
      <w:bookmarkEnd w:id="682"/>
      <w:bookmarkEnd w:id="683"/>
      <w:bookmarkEnd w:id="684"/>
      <w:bookmarkEnd w:id="685"/>
    </w:p>
    <w:p w14:paraId="489AA5DA">
      <w:pPr>
        <w:spacing w:line="432" w:lineRule="auto"/>
        <w:rPr>
          <w:rFonts w:ascii="仿宋" w:hAnsi="仿宋" w:eastAsia="仿宋" w:cs="仿宋"/>
          <w:color w:val="auto"/>
          <w:sz w:val="28"/>
          <w:szCs w:val="28"/>
          <w:highlight w:val="none"/>
        </w:rPr>
      </w:pPr>
    </w:p>
    <w:p w14:paraId="7545D8AA">
      <w:pPr>
        <w:spacing w:line="432" w:lineRule="auto"/>
        <w:rPr>
          <w:rFonts w:ascii="仿宋" w:hAnsi="仿宋" w:eastAsia="仿宋" w:cs="仿宋"/>
          <w:color w:val="auto"/>
          <w:sz w:val="28"/>
          <w:szCs w:val="28"/>
          <w:highlight w:val="none"/>
        </w:rPr>
      </w:pPr>
    </w:p>
    <w:p w14:paraId="42487CCF">
      <w:pPr>
        <w:spacing w:line="432" w:lineRule="auto"/>
        <w:rPr>
          <w:rFonts w:ascii="仿宋" w:hAnsi="仿宋" w:eastAsia="仿宋" w:cs="仿宋"/>
          <w:color w:val="auto"/>
          <w:sz w:val="28"/>
          <w:szCs w:val="28"/>
          <w:highlight w:val="none"/>
        </w:rPr>
      </w:pPr>
    </w:p>
    <w:p w14:paraId="4C265404">
      <w:pPr>
        <w:spacing w:line="432" w:lineRule="auto"/>
        <w:rPr>
          <w:rFonts w:ascii="仿宋" w:hAnsi="仿宋" w:eastAsia="仿宋" w:cs="仿宋"/>
          <w:color w:val="auto"/>
          <w:sz w:val="28"/>
          <w:szCs w:val="28"/>
          <w:highlight w:val="none"/>
        </w:rPr>
      </w:pPr>
    </w:p>
    <w:p w14:paraId="25B6BEC1">
      <w:pPr>
        <w:spacing w:line="432" w:lineRule="auto"/>
        <w:rPr>
          <w:rFonts w:ascii="仿宋" w:hAnsi="仿宋" w:eastAsia="仿宋" w:cs="仿宋"/>
          <w:color w:val="auto"/>
          <w:sz w:val="28"/>
          <w:szCs w:val="28"/>
          <w:highlight w:val="none"/>
        </w:rPr>
      </w:pPr>
    </w:p>
    <w:p w14:paraId="2619F817">
      <w:pPr>
        <w:spacing w:line="432" w:lineRule="auto"/>
        <w:rPr>
          <w:rFonts w:ascii="仿宋" w:hAnsi="仿宋" w:eastAsia="仿宋" w:cs="仿宋"/>
          <w:color w:val="auto"/>
          <w:sz w:val="28"/>
          <w:szCs w:val="28"/>
          <w:highlight w:val="none"/>
        </w:rPr>
      </w:pPr>
    </w:p>
    <w:p w14:paraId="726DF958">
      <w:pPr>
        <w:spacing w:line="432" w:lineRule="auto"/>
        <w:rPr>
          <w:rFonts w:ascii="仿宋" w:hAnsi="仿宋" w:eastAsia="仿宋" w:cs="仿宋"/>
          <w:color w:val="auto"/>
          <w:sz w:val="24"/>
          <w:highlight w:val="none"/>
        </w:rPr>
      </w:pPr>
      <w:r>
        <w:rPr>
          <w:rFonts w:hint="eastAsia" w:ascii="仿宋" w:hAnsi="仿宋" w:eastAsia="仿宋" w:cs="仿宋"/>
          <w:color w:val="auto"/>
          <w:sz w:val="24"/>
          <w:highlight w:val="none"/>
        </w:rPr>
        <w:t>投标人（盖章）：</w:t>
      </w:r>
    </w:p>
    <w:p w14:paraId="61E876BF">
      <w:pPr>
        <w:spacing w:line="432"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法定代表人或授权代表（签字）：</w:t>
      </w:r>
    </w:p>
    <w:p w14:paraId="203003BA">
      <w:pPr>
        <w:spacing w:line="432"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日期：</w:t>
      </w:r>
    </w:p>
    <w:p w14:paraId="0293000E">
      <w:pPr>
        <w:spacing w:line="360" w:lineRule="auto"/>
        <w:ind w:firstLine="560" w:firstLineChars="200"/>
        <w:jc w:val="left"/>
        <w:textAlignment w:val="baseline"/>
        <w:rPr>
          <w:rFonts w:ascii="仿宋" w:hAnsi="仿宋" w:eastAsia="仿宋" w:cs="仿宋"/>
          <w:color w:val="auto"/>
          <w:sz w:val="28"/>
          <w:szCs w:val="28"/>
          <w:highlight w:val="none"/>
        </w:rPr>
      </w:pPr>
    </w:p>
    <w:p w14:paraId="0182915A">
      <w:pPr>
        <w:spacing w:line="360" w:lineRule="auto"/>
        <w:ind w:firstLine="480" w:firstLineChars="200"/>
        <w:jc w:val="left"/>
        <w:textAlignment w:val="baseline"/>
        <w:rPr>
          <w:rFonts w:ascii="仿宋" w:hAnsi="仿宋" w:eastAsia="仿宋" w:cs="仿宋"/>
          <w:color w:val="auto"/>
          <w:sz w:val="24"/>
          <w:highlight w:val="none"/>
        </w:rPr>
      </w:pPr>
    </w:p>
    <w:p w14:paraId="660AD364">
      <w:pPr>
        <w:spacing w:line="360" w:lineRule="auto"/>
        <w:ind w:firstLine="480" w:firstLineChars="200"/>
        <w:jc w:val="left"/>
        <w:textAlignment w:val="baseline"/>
        <w:rPr>
          <w:rFonts w:ascii="仿宋" w:hAnsi="仿宋" w:eastAsia="仿宋" w:cs="仿宋"/>
          <w:color w:val="auto"/>
          <w:sz w:val="24"/>
          <w:highlight w:val="none"/>
        </w:rPr>
      </w:pPr>
    </w:p>
    <w:p w14:paraId="29032221">
      <w:pPr>
        <w:spacing w:line="360" w:lineRule="auto"/>
        <w:ind w:firstLine="480" w:firstLineChars="200"/>
        <w:jc w:val="left"/>
        <w:textAlignment w:val="baseline"/>
        <w:rPr>
          <w:rFonts w:ascii="仿宋" w:hAnsi="仿宋" w:eastAsia="仿宋" w:cs="仿宋"/>
          <w:color w:val="auto"/>
          <w:sz w:val="24"/>
          <w:highlight w:val="none"/>
        </w:rPr>
      </w:pPr>
    </w:p>
    <w:p w14:paraId="3354D249">
      <w:pPr>
        <w:spacing w:line="360" w:lineRule="auto"/>
        <w:ind w:firstLine="480" w:firstLineChars="200"/>
        <w:jc w:val="left"/>
        <w:textAlignment w:val="baseline"/>
        <w:rPr>
          <w:rFonts w:ascii="仿宋" w:hAnsi="仿宋" w:eastAsia="仿宋" w:cs="仿宋"/>
          <w:color w:val="auto"/>
          <w:sz w:val="24"/>
          <w:highlight w:val="none"/>
        </w:rPr>
      </w:pPr>
    </w:p>
    <w:p w14:paraId="38C8C7AA">
      <w:pPr>
        <w:rPr>
          <w:rFonts w:ascii="仿宋" w:hAnsi="仿宋" w:eastAsia="仿宋" w:cs="仿宋"/>
          <w:color w:val="auto"/>
          <w:highlight w:val="none"/>
        </w:rPr>
      </w:pPr>
      <w:bookmarkStart w:id="686" w:name="_Toc387240432"/>
      <w:bookmarkStart w:id="687" w:name="_Toc444509183"/>
      <w:r>
        <w:rPr>
          <w:rFonts w:hint="eastAsia" w:ascii="仿宋" w:hAnsi="仿宋" w:eastAsia="仿宋" w:cs="仿宋"/>
          <w:color w:val="auto"/>
          <w:highlight w:val="none"/>
        </w:rPr>
        <w:br w:type="page"/>
      </w:r>
    </w:p>
    <w:p w14:paraId="613AC7E3">
      <w:pPr>
        <w:pStyle w:val="3"/>
        <w:spacing w:beforeLines="50" w:afterLines="50"/>
        <w:jc w:val="center"/>
        <w:rPr>
          <w:rFonts w:ascii="仿宋" w:hAnsi="仿宋" w:eastAsia="仿宋" w:cs="仿宋"/>
          <w:color w:val="auto"/>
          <w:highlight w:val="none"/>
        </w:rPr>
      </w:pPr>
      <w:bookmarkStart w:id="688" w:name="_Toc9231"/>
      <w:bookmarkStart w:id="689" w:name="_Toc30553"/>
      <w:r>
        <w:rPr>
          <w:rFonts w:hint="eastAsia" w:ascii="仿宋" w:hAnsi="仿宋" w:eastAsia="仿宋" w:cs="仿宋"/>
          <w:color w:val="auto"/>
          <w:highlight w:val="none"/>
        </w:rPr>
        <w:t>九、其它承诺</w:t>
      </w:r>
      <w:bookmarkEnd w:id="686"/>
      <w:bookmarkEnd w:id="687"/>
      <w:bookmarkEnd w:id="688"/>
      <w:bookmarkEnd w:id="689"/>
    </w:p>
    <w:p w14:paraId="42F32AB8">
      <w:pPr>
        <w:numPr>
          <w:ilvl w:val="0"/>
          <w:numId w:val="14"/>
        </w:numPr>
        <w:adjustRightInd w:val="0"/>
        <w:snapToGrid w:val="0"/>
        <w:spacing w:line="432" w:lineRule="auto"/>
        <w:rPr>
          <w:rFonts w:ascii="仿宋" w:hAnsi="仿宋" w:eastAsia="仿宋" w:cs="仿宋"/>
          <w:color w:val="auto"/>
          <w:sz w:val="24"/>
          <w:highlight w:val="none"/>
        </w:rPr>
      </w:pPr>
      <w:r>
        <w:rPr>
          <w:rFonts w:hint="eastAsia" w:ascii="仿宋" w:hAnsi="仿宋" w:eastAsia="仿宋" w:cs="仿宋"/>
          <w:color w:val="auto"/>
          <w:sz w:val="24"/>
          <w:highlight w:val="none"/>
        </w:rPr>
        <w:t>招标文件要求投标人须提交的其它资料；</w:t>
      </w:r>
    </w:p>
    <w:p w14:paraId="78C11312">
      <w:pPr>
        <w:numPr>
          <w:ilvl w:val="0"/>
          <w:numId w:val="14"/>
        </w:numPr>
        <w:adjustRightInd w:val="0"/>
        <w:snapToGrid w:val="0"/>
        <w:spacing w:line="432" w:lineRule="auto"/>
        <w:rPr>
          <w:rFonts w:ascii="仿宋" w:hAnsi="仿宋" w:eastAsia="仿宋" w:cs="仿宋"/>
          <w:color w:val="auto"/>
          <w:sz w:val="24"/>
          <w:highlight w:val="none"/>
        </w:rPr>
      </w:pPr>
      <w:r>
        <w:rPr>
          <w:rFonts w:hint="eastAsia" w:ascii="仿宋" w:hAnsi="仿宋" w:eastAsia="仿宋" w:cs="仿宋"/>
          <w:color w:val="auto"/>
          <w:sz w:val="24"/>
          <w:highlight w:val="none"/>
        </w:rPr>
        <w:t>投标人认为需加以说明的其它技术内容。</w:t>
      </w:r>
    </w:p>
    <w:p w14:paraId="18B581A3">
      <w:pPr>
        <w:spacing w:line="432" w:lineRule="auto"/>
        <w:rPr>
          <w:rFonts w:ascii="仿宋" w:hAnsi="仿宋" w:eastAsia="仿宋" w:cs="仿宋"/>
          <w:color w:val="auto"/>
          <w:sz w:val="24"/>
          <w:highlight w:val="none"/>
        </w:rPr>
      </w:pPr>
    </w:p>
    <w:p w14:paraId="7F78E59C">
      <w:pPr>
        <w:spacing w:line="432" w:lineRule="auto"/>
        <w:rPr>
          <w:rFonts w:ascii="仿宋" w:hAnsi="仿宋" w:eastAsia="仿宋" w:cs="仿宋"/>
          <w:color w:val="auto"/>
          <w:sz w:val="24"/>
          <w:highlight w:val="none"/>
        </w:rPr>
      </w:pPr>
      <w:r>
        <w:rPr>
          <w:rFonts w:hint="eastAsia" w:ascii="仿宋" w:hAnsi="仿宋" w:eastAsia="仿宋" w:cs="仿宋"/>
          <w:color w:val="auto"/>
          <w:sz w:val="24"/>
          <w:highlight w:val="none"/>
        </w:rPr>
        <w:t>投标人（盖章）：</w:t>
      </w:r>
    </w:p>
    <w:p w14:paraId="495BC85D">
      <w:pPr>
        <w:spacing w:line="432"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法定代表人或授权代表（签字）：</w:t>
      </w:r>
    </w:p>
    <w:p w14:paraId="2CC1BA7F">
      <w:pPr>
        <w:spacing w:line="432"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日期：</w:t>
      </w:r>
    </w:p>
    <w:p w14:paraId="21C4A73E">
      <w:pPr>
        <w:spacing w:line="432" w:lineRule="auto"/>
        <w:rPr>
          <w:rFonts w:ascii="仿宋" w:hAnsi="仿宋" w:eastAsia="仿宋" w:cs="仿宋"/>
          <w:color w:val="auto"/>
          <w:sz w:val="24"/>
          <w:highlight w:val="none"/>
          <w:u w:val="single"/>
        </w:rPr>
      </w:pPr>
    </w:p>
    <w:p w14:paraId="4128A18C">
      <w:pPr>
        <w:spacing w:line="432" w:lineRule="auto"/>
        <w:rPr>
          <w:rFonts w:ascii="仿宋" w:hAnsi="仿宋" w:eastAsia="仿宋" w:cs="仿宋"/>
          <w:color w:val="auto"/>
          <w:sz w:val="24"/>
          <w:highlight w:val="none"/>
          <w:u w:val="single"/>
        </w:rPr>
      </w:pPr>
    </w:p>
    <w:p w14:paraId="601D2595">
      <w:pPr>
        <w:spacing w:line="432" w:lineRule="auto"/>
        <w:rPr>
          <w:rFonts w:ascii="仿宋" w:hAnsi="仿宋" w:eastAsia="仿宋" w:cs="仿宋"/>
          <w:color w:val="auto"/>
          <w:sz w:val="24"/>
          <w:highlight w:val="none"/>
          <w:u w:val="single"/>
        </w:rPr>
      </w:pPr>
    </w:p>
    <w:p w14:paraId="0C6CB262">
      <w:pPr>
        <w:spacing w:line="432" w:lineRule="auto"/>
        <w:rPr>
          <w:rFonts w:ascii="仿宋" w:hAnsi="仿宋" w:eastAsia="仿宋" w:cs="仿宋"/>
          <w:color w:val="auto"/>
          <w:sz w:val="24"/>
          <w:highlight w:val="none"/>
          <w:u w:val="single"/>
        </w:rPr>
      </w:pPr>
    </w:p>
    <w:p w14:paraId="1C0EE613">
      <w:pPr>
        <w:spacing w:line="432" w:lineRule="auto"/>
        <w:rPr>
          <w:rFonts w:ascii="仿宋" w:hAnsi="仿宋" w:eastAsia="仿宋" w:cs="仿宋"/>
          <w:color w:val="auto"/>
          <w:sz w:val="24"/>
          <w:highlight w:val="none"/>
          <w:u w:val="single"/>
        </w:rPr>
      </w:pPr>
    </w:p>
    <w:p w14:paraId="15CD8C33">
      <w:pPr>
        <w:spacing w:line="432" w:lineRule="auto"/>
        <w:rPr>
          <w:rFonts w:ascii="仿宋" w:hAnsi="仿宋" w:eastAsia="仿宋" w:cs="仿宋"/>
          <w:color w:val="auto"/>
          <w:sz w:val="24"/>
          <w:highlight w:val="none"/>
          <w:u w:val="single"/>
        </w:rPr>
      </w:pPr>
    </w:p>
    <w:p w14:paraId="60BB52A7">
      <w:pPr>
        <w:spacing w:line="432" w:lineRule="auto"/>
        <w:rPr>
          <w:rFonts w:ascii="仿宋" w:hAnsi="仿宋" w:eastAsia="仿宋" w:cs="仿宋"/>
          <w:color w:val="auto"/>
          <w:sz w:val="24"/>
          <w:highlight w:val="none"/>
          <w:u w:val="single"/>
        </w:rPr>
      </w:pPr>
    </w:p>
    <w:p w14:paraId="752AEB7D">
      <w:pPr>
        <w:spacing w:line="432" w:lineRule="auto"/>
        <w:rPr>
          <w:rFonts w:ascii="仿宋" w:hAnsi="仿宋" w:eastAsia="仿宋" w:cs="仿宋"/>
          <w:color w:val="auto"/>
          <w:sz w:val="24"/>
          <w:highlight w:val="none"/>
          <w:u w:val="single"/>
        </w:rPr>
      </w:pPr>
    </w:p>
    <w:p w14:paraId="59E08823">
      <w:pPr>
        <w:spacing w:line="432" w:lineRule="auto"/>
        <w:rPr>
          <w:rFonts w:ascii="仿宋" w:hAnsi="仿宋" w:eastAsia="仿宋" w:cs="仿宋"/>
          <w:color w:val="auto"/>
          <w:sz w:val="24"/>
          <w:highlight w:val="none"/>
          <w:u w:val="single"/>
        </w:rPr>
      </w:pPr>
    </w:p>
    <w:p w14:paraId="7345FA59">
      <w:pPr>
        <w:spacing w:line="432" w:lineRule="auto"/>
        <w:rPr>
          <w:rFonts w:ascii="仿宋" w:hAnsi="仿宋" w:eastAsia="仿宋" w:cs="仿宋"/>
          <w:color w:val="auto"/>
          <w:sz w:val="24"/>
          <w:highlight w:val="none"/>
          <w:u w:val="single"/>
        </w:rPr>
      </w:pPr>
    </w:p>
    <w:p w14:paraId="73B85791">
      <w:pPr>
        <w:spacing w:line="432" w:lineRule="auto"/>
        <w:rPr>
          <w:rFonts w:ascii="仿宋" w:hAnsi="仿宋" w:eastAsia="仿宋" w:cs="仿宋"/>
          <w:color w:val="auto"/>
          <w:sz w:val="24"/>
          <w:highlight w:val="none"/>
          <w:u w:val="single"/>
        </w:rPr>
      </w:pPr>
    </w:p>
    <w:p w14:paraId="4FB6D6CC">
      <w:pPr>
        <w:spacing w:line="432" w:lineRule="auto"/>
        <w:rPr>
          <w:rFonts w:ascii="仿宋" w:hAnsi="仿宋" w:eastAsia="仿宋" w:cs="仿宋"/>
          <w:color w:val="auto"/>
          <w:sz w:val="24"/>
          <w:highlight w:val="none"/>
          <w:u w:val="single"/>
        </w:rPr>
      </w:pPr>
    </w:p>
    <w:p w14:paraId="737E414C">
      <w:pPr>
        <w:spacing w:line="432" w:lineRule="auto"/>
        <w:rPr>
          <w:rFonts w:ascii="仿宋" w:hAnsi="仿宋" w:eastAsia="仿宋" w:cs="仿宋"/>
          <w:color w:val="auto"/>
          <w:sz w:val="24"/>
          <w:highlight w:val="none"/>
          <w:u w:val="single"/>
        </w:rPr>
      </w:pPr>
    </w:p>
    <w:p w14:paraId="374E5F9F">
      <w:pPr>
        <w:spacing w:line="432" w:lineRule="auto"/>
        <w:rPr>
          <w:rFonts w:ascii="仿宋" w:hAnsi="仿宋" w:eastAsia="仿宋" w:cs="仿宋"/>
          <w:color w:val="auto"/>
          <w:sz w:val="24"/>
          <w:highlight w:val="none"/>
          <w:u w:val="single"/>
        </w:rPr>
      </w:pPr>
    </w:p>
    <w:p w14:paraId="051CE375">
      <w:pPr>
        <w:spacing w:line="432" w:lineRule="auto"/>
        <w:rPr>
          <w:rFonts w:ascii="仿宋" w:hAnsi="仿宋" w:eastAsia="仿宋" w:cs="仿宋"/>
          <w:color w:val="auto"/>
          <w:sz w:val="24"/>
          <w:highlight w:val="none"/>
          <w:u w:val="single"/>
        </w:rPr>
      </w:pPr>
    </w:p>
    <w:p w14:paraId="3E21C8B2">
      <w:pPr>
        <w:spacing w:line="432" w:lineRule="auto"/>
        <w:rPr>
          <w:rFonts w:ascii="仿宋" w:hAnsi="仿宋" w:eastAsia="仿宋" w:cs="仿宋"/>
          <w:color w:val="auto"/>
          <w:sz w:val="24"/>
          <w:highlight w:val="none"/>
          <w:u w:val="single"/>
        </w:rPr>
      </w:pPr>
    </w:p>
    <w:p w14:paraId="374A321F">
      <w:pPr>
        <w:pStyle w:val="9"/>
        <w:rPr>
          <w:rFonts w:ascii="仿宋" w:hAnsi="仿宋" w:eastAsia="仿宋" w:cs="仿宋"/>
          <w:color w:val="auto"/>
          <w:sz w:val="24"/>
          <w:highlight w:val="none"/>
          <w:u w:val="single"/>
        </w:rPr>
      </w:pPr>
    </w:p>
    <w:bookmarkEnd w:id="641"/>
    <w:bookmarkEnd w:id="642"/>
    <w:p w14:paraId="7548FC34">
      <w:pPr>
        <w:widowControl/>
        <w:pBdr>
          <w:bottom w:val="single" w:color="DEDFE1" w:sz="6" w:space="5"/>
        </w:pBdr>
        <w:shd w:val="clear" w:color="auto" w:fill="FFFFFF"/>
        <w:spacing w:before="450" w:after="150" w:line="360" w:lineRule="auto"/>
        <w:outlineLvl w:val="1"/>
        <w:rPr>
          <w:rFonts w:ascii="仿宋" w:hAnsi="仿宋" w:eastAsia="仿宋" w:cs="仿宋"/>
          <w:b/>
          <w:color w:val="auto"/>
          <w:sz w:val="24"/>
          <w:highlight w:val="none"/>
        </w:rPr>
      </w:pPr>
      <w:bookmarkStart w:id="690" w:name="_Toc23020"/>
      <w:r>
        <w:rPr>
          <w:rFonts w:hint="eastAsia" w:ascii="仿宋" w:hAnsi="仿宋" w:eastAsia="仿宋" w:cs="仿宋"/>
          <w:b/>
          <w:color w:val="auto"/>
          <w:sz w:val="24"/>
          <w:highlight w:val="none"/>
        </w:rPr>
        <w:t>附件一：</w:t>
      </w:r>
      <w:bookmarkEnd w:id="690"/>
    </w:p>
    <w:p w14:paraId="7A4E5B84">
      <w:pPr>
        <w:widowControl/>
        <w:pBdr>
          <w:bottom w:val="single" w:color="DEDFE1" w:sz="6" w:space="5"/>
        </w:pBdr>
        <w:shd w:val="clear" w:color="auto" w:fill="FFFFFF"/>
        <w:spacing w:before="450" w:after="150" w:line="360" w:lineRule="auto"/>
        <w:outlineLvl w:val="1"/>
        <w:rPr>
          <w:rFonts w:ascii="仿宋" w:hAnsi="仿宋" w:eastAsia="仿宋" w:cs="仿宋"/>
          <w:b/>
          <w:bCs/>
          <w:color w:val="auto"/>
          <w:kern w:val="0"/>
          <w:sz w:val="24"/>
          <w:highlight w:val="none"/>
        </w:rPr>
      </w:pPr>
      <w:bookmarkStart w:id="691" w:name="_Toc21251"/>
      <w:r>
        <w:rPr>
          <w:rFonts w:hint="eastAsia" w:ascii="仿宋" w:hAnsi="仿宋" w:eastAsia="仿宋" w:cs="仿宋"/>
          <w:b/>
          <w:color w:val="auto"/>
          <w:sz w:val="24"/>
          <w:highlight w:val="none"/>
        </w:rPr>
        <w:t>评审标准附件C：</w:t>
      </w:r>
      <w:r>
        <w:rPr>
          <w:rFonts w:hint="eastAsia" w:ascii="仿宋" w:hAnsi="仿宋" w:eastAsia="仿宋" w:cs="仿宋"/>
          <w:b/>
          <w:bCs/>
          <w:color w:val="auto"/>
          <w:kern w:val="0"/>
          <w:sz w:val="24"/>
          <w:highlight w:val="none"/>
        </w:rPr>
        <w:t>中小企业声明函</w:t>
      </w:r>
      <w:bookmarkEnd w:id="691"/>
    </w:p>
    <w:p w14:paraId="0E90714E">
      <w:pPr>
        <w:widowControl/>
        <w:spacing w:before="100" w:beforeAutospacing="1" w:after="100" w:afterAutospacing="1" w:line="500" w:lineRule="exact"/>
        <w:ind w:firstLine="482"/>
        <w:jc w:val="center"/>
        <w:rPr>
          <w:rFonts w:ascii="仿宋" w:hAnsi="仿宋" w:eastAsia="仿宋" w:cs="仿宋"/>
          <w:b/>
          <w:bCs/>
          <w:color w:val="auto"/>
          <w:sz w:val="24"/>
          <w:szCs w:val="32"/>
          <w:highlight w:val="none"/>
          <w:lang w:bidi="zh-CN"/>
        </w:rPr>
      </w:pPr>
      <w:bookmarkStart w:id="692" w:name="_Toc7073"/>
      <w:r>
        <w:rPr>
          <w:rFonts w:hint="eastAsia" w:ascii="仿宋" w:hAnsi="仿宋" w:eastAsia="仿宋" w:cs="仿宋"/>
          <w:b/>
          <w:bCs/>
          <w:color w:val="auto"/>
          <w:sz w:val="24"/>
          <w:szCs w:val="32"/>
          <w:highlight w:val="none"/>
          <w:lang w:bidi="zh-CN"/>
        </w:rPr>
        <w:t>中小企业声明函（工程）</w:t>
      </w:r>
      <w:bookmarkEnd w:id="692"/>
    </w:p>
    <w:p w14:paraId="22908B01">
      <w:pPr>
        <w:widowControl/>
        <w:spacing w:line="500" w:lineRule="exact"/>
        <w:ind w:firstLine="482"/>
        <w:rPr>
          <w:rFonts w:ascii="仿宋" w:hAnsi="仿宋" w:eastAsia="仿宋" w:cs="仿宋"/>
          <w:bCs/>
          <w:color w:val="auto"/>
          <w:sz w:val="24"/>
          <w:szCs w:val="32"/>
          <w:highlight w:val="none"/>
          <w:lang w:bidi="zh-CN"/>
        </w:rPr>
      </w:pPr>
      <w:r>
        <w:rPr>
          <w:rFonts w:hint="eastAsia" w:ascii="仿宋" w:hAnsi="仿宋" w:eastAsia="仿宋" w:cs="仿宋"/>
          <w:bCs/>
          <w:color w:val="auto"/>
          <w:sz w:val="24"/>
          <w:szCs w:val="32"/>
          <w:highlight w:val="none"/>
          <w:lang w:bidi="zh-CN"/>
        </w:rPr>
        <w:t>本公司（联合体）郑重声明，根据《政府采购促进中小企业发展管理办法》（财库﹝2020﹞46 号）的规定，本公司（联合体）参加</w:t>
      </w:r>
      <w:r>
        <w:rPr>
          <w:rFonts w:hint="eastAsia" w:ascii="仿宋" w:hAnsi="仿宋" w:eastAsia="仿宋" w:cs="仿宋"/>
          <w:bCs/>
          <w:i/>
          <w:color w:val="auto"/>
          <w:sz w:val="24"/>
          <w:szCs w:val="32"/>
          <w:highlight w:val="none"/>
          <w:u w:val="single"/>
          <w:lang w:bidi="zh-CN"/>
        </w:rPr>
        <w:t>（单位名称）</w:t>
      </w:r>
      <w:r>
        <w:rPr>
          <w:rFonts w:hint="eastAsia" w:ascii="仿宋" w:hAnsi="仿宋" w:eastAsia="仿宋" w:cs="仿宋"/>
          <w:bCs/>
          <w:color w:val="auto"/>
          <w:sz w:val="24"/>
          <w:szCs w:val="32"/>
          <w:highlight w:val="none"/>
          <w:lang w:bidi="zh-CN"/>
        </w:rPr>
        <w:t>的</w:t>
      </w:r>
      <w:r>
        <w:rPr>
          <w:rFonts w:hint="eastAsia" w:ascii="仿宋" w:hAnsi="仿宋" w:eastAsia="仿宋" w:cs="仿宋"/>
          <w:bCs/>
          <w:i/>
          <w:color w:val="auto"/>
          <w:sz w:val="24"/>
          <w:szCs w:val="32"/>
          <w:highlight w:val="none"/>
          <w:u w:val="single"/>
          <w:lang w:bidi="zh-CN"/>
        </w:rPr>
        <w:t>（项目名称）</w:t>
      </w:r>
      <w:r>
        <w:rPr>
          <w:rFonts w:hint="eastAsia" w:ascii="仿宋" w:hAnsi="仿宋" w:eastAsia="仿宋" w:cs="仿宋"/>
          <w:bCs/>
          <w:color w:val="auto"/>
          <w:sz w:val="24"/>
          <w:szCs w:val="32"/>
          <w:highlight w:val="none"/>
          <w:lang w:bidi="zh-CN"/>
        </w:rPr>
        <w:t>采购活动，工程的施工单位全部为符合政策要求的中小企业（或者：服务全部由符合政策要求的中小企业承接）。相关企业（含联合体中的中小企业、签订分包意向协议的中小企业）的具体情况如下：</w:t>
      </w:r>
    </w:p>
    <w:p w14:paraId="62440EB2">
      <w:pPr>
        <w:widowControl/>
        <w:spacing w:line="500" w:lineRule="exact"/>
        <w:ind w:firstLine="482"/>
        <w:rPr>
          <w:rFonts w:ascii="仿宋" w:hAnsi="仿宋" w:eastAsia="仿宋" w:cs="仿宋"/>
          <w:bCs/>
          <w:color w:val="auto"/>
          <w:sz w:val="24"/>
          <w:szCs w:val="32"/>
          <w:highlight w:val="none"/>
          <w:lang w:bidi="zh-CN"/>
        </w:rPr>
      </w:pPr>
      <w:r>
        <w:rPr>
          <w:rFonts w:hint="eastAsia" w:ascii="仿宋" w:hAnsi="仿宋" w:eastAsia="仿宋" w:cs="仿宋"/>
          <w:bCs/>
          <w:color w:val="auto"/>
          <w:sz w:val="24"/>
          <w:szCs w:val="32"/>
          <w:highlight w:val="none"/>
          <w:lang w:bidi="zh-CN"/>
        </w:rPr>
        <w:t>1.</w:t>
      </w:r>
      <w:r>
        <w:rPr>
          <w:rFonts w:hint="eastAsia" w:ascii="仿宋" w:hAnsi="仿宋" w:eastAsia="仿宋" w:cs="仿宋"/>
          <w:bCs/>
          <w:i/>
          <w:color w:val="auto"/>
          <w:sz w:val="24"/>
          <w:szCs w:val="32"/>
          <w:highlight w:val="none"/>
          <w:u w:val="single"/>
          <w:lang w:bidi="zh-CN"/>
        </w:rPr>
        <w:t xml:space="preserve">（标的名称） </w:t>
      </w:r>
      <w:r>
        <w:rPr>
          <w:rFonts w:hint="eastAsia" w:ascii="仿宋" w:hAnsi="仿宋" w:eastAsia="仿宋" w:cs="仿宋"/>
          <w:bCs/>
          <w:color w:val="auto"/>
          <w:sz w:val="24"/>
          <w:szCs w:val="32"/>
          <w:highlight w:val="none"/>
          <w:lang w:bidi="zh-CN"/>
        </w:rPr>
        <w:t>，属于</w:t>
      </w:r>
      <w:r>
        <w:rPr>
          <w:rFonts w:hint="eastAsia" w:ascii="仿宋" w:hAnsi="仿宋" w:eastAsia="仿宋" w:cs="仿宋"/>
          <w:bCs/>
          <w:i/>
          <w:color w:val="auto"/>
          <w:sz w:val="24"/>
          <w:szCs w:val="32"/>
          <w:highlight w:val="none"/>
          <w:lang w:bidi="zh-CN"/>
        </w:rPr>
        <w:t>（</w:t>
      </w:r>
      <w:r>
        <w:rPr>
          <w:rFonts w:hint="eastAsia" w:ascii="仿宋" w:hAnsi="仿宋" w:eastAsia="仿宋" w:cs="仿宋"/>
          <w:bCs/>
          <w:i/>
          <w:color w:val="auto"/>
          <w:sz w:val="24"/>
          <w:szCs w:val="32"/>
          <w:highlight w:val="none"/>
          <w:u w:val="single"/>
          <w:lang w:bidi="zh-CN"/>
        </w:rPr>
        <w:t>采购文件中明确的所属行业）</w:t>
      </w:r>
      <w:r>
        <w:rPr>
          <w:rFonts w:hint="eastAsia" w:ascii="仿宋" w:hAnsi="仿宋" w:eastAsia="仿宋" w:cs="仿宋"/>
          <w:bCs/>
          <w:color w:val="auto"/>
          <w:sz w:val="24"/>
          <w:szCs w:val="32"/>
          <w:highlight w:val="none"/>
          <w:lang w:bidi="zh-CN"/>
        </w:rPr>
        <w:t>；承建（承接）企业为</w:t>
      </w:r>
      <w:r>
        <w:rPr>
          <w:rFonts w:hint="eastAsia" w:ascii="仿宋" w:hAnsi="仿宋" w:eastAsia="仿宋" w:cs="仿宋"/>
          <w:bCs/>
          <w:i/>
          <w:color w:val="auto"/>
          <w:sz w:val="24"/>
          <w:szCs w:val="32"/>
          <w:highlight w:val="none"/>
          <w:u w:val="single"/>
          <w:lang w:bidi="zh-CN"/>
        </w:rPr>
        <w:t>（企业名称）</w:t>
      </w:r>
      <w:r>
        <w:rPr>
          <w:rFonts w:hint="eastAsia" w:ascii="仿宋" w:hAnsi="仿宋" w:eastAsia="仿宋" w:cs="仿宋"/>
          <w:bCs/>
          <w:color w:val="auto"/>
          <w:sz w:val="24"/>
          <w:szCs w:val="32"/>
          <w:highlight w:val="none"/>
          <w:lang w:bidi="zh-CN"/>
        </w:rPr>
        <w:t>，从业人员</w:t>
      </w:r>
      <w:r>
        <w:rPr>
          <w:rFonts w:hint="eastAsia" w:ascii="仿宋" w:hAnsi="仿宋" w:eastAsia="仿宋" w:cs="仿宋"/>
          <w:bCs/>
          <w:color w:val="auto"/>
          <w:sz w:val="24"/>
          <w:szCs w:val="32"/>
          <w:highlight w:val="none"/>
          <w:u w:val="single"/>
          <w:lang w:bidi="zh-CN"/>
        </w:rPr>
        <w:tab/>
      </w:r>
      <w:r>
        <w:rPr>
          <w:rFonts w:hint="eastAsia" w:ascii="仿宋" w:hAnsi="仿宋" w:eastAsia="仿宋" w:cs="仿宋"/>
          <w:bCs/>
          <w:color w:val="auto"/>
          <w:sz w:val="24"/>
          <w:szCs w:val="32"/>
          <w:highlight w:val="none"/>
          <w:lang w:bidi="zh-CN"/>
        </w:rPr>
        <w:t>人，营业收入为万元，资产总额为</w:t>
      </w:r>
      <w:r>
        <w:rPr>
          <w:rFonts w:hint="eastAsia" w:ascii="仿宋" w:hAnsi="仿宋" w:eastAsia="仿宋" w:cs="仿宋"/>
          <w:bCs/>
          <w:color w:val="auto"/>
          <w:sz w:val="24"/>
          <w:szCs w:val="32"/>
          <w:highlight w:val="none"/>
          <w:u w:val="single"/>
          <w:lang w:bidi="zh-CN"/>
        </w:rPr>
        <w:tab/>
      </w:r>
      <w:r>
        <w:rPr>
          <w:rFonts w:hint="eastAsia" w:ascii="仿宋" w:hAnsi="仿宋" w:eastAsia="仿宋" w:cs="仿宋"/>
          <w:bCs/>
          <w:color w:val="auto"/>
          <w:sz w:val="24"/>
          <w:szCs w:val="32"/>
          <w:highlight w:val="none"/>
          <w:lang w:bidi="zh-CN"/>
        </w:rPr>
        <w:t>万元，属于</w:t>
      </w:r>
      <w:r>
        <w:rPr>
          <w:rFonts w:hint="eastAsia" w:ascii="仿宋" w:hAnsi="仿宋" w:eastAsia="仿宋" w:cs="仿宋"/>
          <w:bCs/>
          <w:i/>
          <w:color w:val="auto"/>
          <w:sz w:val="24"/>
          <w:szCs w:val="32"/>
          <w:highlight w:val="none"/>
          <w:u w:val="single"/>
          <w:lang w:bidi="zh-CN"/>
        </w:rPr>
        <w:t>（中型企业、小型企业、微型企业）</w:t>
      </w:r>
      <w:r>
        <w:rPr>
          <w:rFonts w:hint="eastAsia" w:ascii="仿宋" w:hAnsi="仿宋" w:eastAsia="仿宋" w:cs="仿宋"/>
          <w:bCs/>
          <w:color w:val="auto"/>
          <w:sz w:val="24"/>
          <w:szCs w:val="32"/>
          <w:highlight w:val="none"/>
          <w:lang w:bidi="zh-CN"/>
        </w:rPr>
        <w:t>；</w:t>
      </w:r>
    </w:p>
    <w:p w14:paraId="63EE2B17">
      <w:pPr>
        <w:widowControl/>
        <w:spacing w:line="500" w:lineRule="exact"/>
        <w:ind w:firstLine="482"/>
        <w:rPr>
          <w:rFonts w:ascii="仿宋" w:hAnsi="仿宋" w:eastAsia="仿宋" w:cs="仿宋"/>
          <w:bCs/>
          <w:color w:val="auto"/>
          <w:sz w:val="24"/>
          <w:szCs w:val="32"/>
          <w:highlight w:val="none"/>
          <w:lang w:bidi="zh-CN"/>
        </w:rPr>
      </w:pPr>
      <w:r>
        <w:rPr>
          <w:rFonts w:hint="eastAsia" w:ascii="仿宋" w:hAnsi="仿宋" w:eastAsia="仿宋" w:cs="仿宋"/>
          <w:bCs/>
          <w:color w:val="auto"/>
          <w:sz w:val="24"/>
          <w:szCs w:val="32"/>
          <w:highlight w:val="none"/>
          <w:lang w:bidi="zh-CN"/>
        </w:rPr>
        <w:t>2.</w:t>
      </w:r>
      <w:r>
        <w:rPr>
          <w:rFonts w:hint="eastAsia" w:ascii="仿宋" w:hAnsi="仿宋" w:eastAsia="仿宋" w:cs="仿宋"/>
          <w:bCs/>
          <w:i/>
          <w:color w:val="auto"/>
          <w:sz w:val="24"/>
          <w:szCs w:val="32"/>
          <w:highlight w:val="none"/>
          <w:u w:val="single"/>
          <w:lang w:bidi="zh-CN"/>
        </w:rPr>
        <w:t xml:space="preserve">（标的名称） </w:t>
      </w:r>
      <w:r>
        <w:rPr>
          <w:rFonts w:hint="eastAsia" w:ascii="仿宋" w:hAnsi="仿宋" w:eastAsia="仿宋" w:cs="仿宋"/>
          <w:bCs/>
          <w:color w:val="auto"/>
          <w:sz w:val="24"/>
          <w:szCs w:val="32"/>
          <w:highlight w:val="none"/>
          <w:lang w:bidi="zh-CN"/>
        </w:rPr>
        <w:t>，属于</w:t>
      </w:r>
      <w:r>
        <w:rPr>
          <w:rFonts w:hint="eastAsia" w:ascii="仿宋" w:hAnsi="仿宋" w:eastAsia="仿宋" w:cs="仿宋"/>
          <w:bCs/>
          <w:i/>
          <w:color w:val="auto"/>
          <w:sz w:val="24"/>
          <w:szCs w:val="32"/>
          <w:highlight w:val="none"/>
          <w:lang w:bidi="zh-CN"/>
        </w:rPr>
        <w:t>（</w:t>
      </w:r>
      <w:r>
        <w:rPr>
          <w:rFonts w:hint="eastAsia" w:ascii="仿宋" w:hAnsi="仿宋" w:eastAsia="仿宋" w:cs="仿宋"/>
          <w:bCs/>
          <w:i/>
          <w:color w:val="auto"/>
          <w:sz w:val="24"/>
          <w:szCs w:val="32"/>
          <w:highlight w:val="none"/>
          <w:u w:val="single"/>
          <w:lang w:bidi="zh-CN"/>
        </w:rPr>
        <w:t>采购文件中明确的所属行业）</w:t>
      </w:r>
      <w:r>
        <w:rPr>
          <w:rFonts w:hint="eastAsia" w:ascii="仿宋" w:hAnsi="仿宋" w:eastAsia="仿宋" w:cs="仿宋"/>
          <w:bCs/>
          <w:color w:val="auto"/>
          <w:sz w:val="24"/>
          <w:szCs w:val="32"/>
          <w:highlight w:val="none"/>
          <w:lang w:bidi="zh-CN"/>
        </w:rPr>
        <w:t>；承建（承接）企业为</w:t>
      </w:r>
      <w:r>
        <w:rPr>
          <w:rFonts w:hint="eastAsia" w:ascii="仿宋" w:hAnsi="仿宋" w:eastAsia="仿宋" w:cs="仿宋"/>
          <w:bCs/>
          <w:i/>
          <w:color w:val="auto"/>
          <w:sz w:val="24"/>
          <w:szCs w:val="32"/>
          <w:highlight w:val="none"/>
          <w:u w:val="single"/>
          <w:lang w:bidi="zh-CN"/>
        </w:rPr>
        <w:t>（企业名称）</w:t>
      </w:r>
      <w:r>
        <w:rPr>
          <w:rFonts w:hint="eastAsia" w:ascii="仿宋" w:hAnsi="仿宋" w:eastAsia="仿宋" w:cs="仿宋"/>
          <w:bCs/>
          <w:color w:val="auto"/>
          <w:sz w:val="24"/>
          <w:szCs w:val="32"/>
          <w:highlight w:val="none"/>
          <w:lang w:bidi="zh-CN"/>
        </w:rPr>
        <w:t>，从业人员</w:t>
      </w:r>
      <w:r>
        <w:rPr>
          <w:rFonts w:hint="eastAsia" w:ascii="仿宋" w:hAnsi="仿宋" w:eastAsia="仿宋" w:cs="仿宋"/>
          <w:bCs/>
          <w:color w:val="auto"/>
          <w:sz w:val="24"/>
          <w:szCs w:val="32"/>
          <w:highlight w:val="none"/>
          <w:u w:val="single"/>
          <w:lang w:bidi="zh-CN"/>
        </w:rPr>
        <w:tab/>
      </w:r>
      <w:r>
        <w:rPr>
          <w:rFonts w:hint="eastAsia" w:ascii="仿宋" w:hAnsi="仿宋" w:eastAsia="仿宋" w:cs="仿宋"/>
          <w:bCs/>
          <w:color w:val="auto"/>
          <w:sz w:val="24"/>
          <w:szCs w:val="32"/>
          <w:highlight w:val="none"/>
          <w:lang w:bidi="zh-CN"/>
        </w:rPr>
        <w:t>人，营业收入为</w:t>
      </w:r>
      <w:r>
        <w:rPr>
          <w:rFonts w:hint="eastAsia" w:ascii="仿宋" w:hAnsi="仿宋" w:eastAsia="仿宋" w:cs="仿宋"/>
          <w:bCs/>
          <w:color w:val="auto"/>
          <w:sz w:val="24"/>
          <w:szCs w:val="32"/>
          <w:highlight w:val="none"/>
          <w:u w:val="single"/>
          <w:lang w:bidi="zh-CN"/>
        </w:rPr>
        <w:tab/>
      </w:r>
      <w:r>
        <w:rPr>
          <w:rFonts w:hint="eastAsia" w:ascii="仿宋" w:hAnsi="仿宋" w:eastAsia="仿宋" w:cs="仿宋"/>
          <w:bCs/>
          <w:color w:val="auto"/>
          <w:sz w:val="24"/>
          <w:szCs w:val="32"/>
          <w:highlight w:val="none"/>
          <w:lang w:bidi="zh-CN"/>
        </w:rPr>
        <w:t>万元，资产总额为</w:t>
      </w:r>
      <w:r>
        <w:rPr>
          <w:rFonts w:hint="eastAsia" w:ascii="仿宋" w:hAnsi="仿宋" w:eastAsia="仿宋" w:cs="仿宋"/>
          <w:bCs/>
          <w:color w:val="auto"/>
          <w:sz w:val="24"/>
          <w:szCs w:val="32"/>
          <w:highlight w:val="none"/>
          <w:u w:val="single"/>
          <w:lang w:bidi="zh-CN"/>
        </w:rPr>
        <w:tab/>
      </w:r>
      <w:r>
        <w:rPr>
          <w:rFonts w:hint="eastAsia" w:ascii="仿宋" w:hAnsi="仿宋" w:eastAsia="仿宋" w:cs="仿宋"/>
          <w:bCs/>
          <w:color w:val="auto"/>
          <w:sz w:val="24"/>
          <w:szCs w:val="32"/>
          <w:highlight w:val="none"/>
          <w:lang w:bidi="zh-CN"/>
        </w:rPr>
        <w:t>万元，属于</w:t>
      </w:r>
      <w:r>
        <w:rPr>
          <w:rFonts w:hint="eastAsia" w:ascii="仿宋" w:hAnsi="仿宋" w:eastAsia="仿宋" w:cs="仿宋"/>
          <w:bCs/>
          <w:i/>
          <w:color w:val="auto"/>
          <w:sz w:val="24"/>
          <w:szCs w:val="32"/>
          <w:highlight w:val="none"/>
          <w:u w:val="single"/>
          <w:lang w:bidi="zh-CN"/>
        </w:rPr>
        <w:t>（中型企业、小型企业、微型企业）</w:t>
      </w:r>
      <w:r>
        <w:rPr>
          <w:rFonts w:hint="eastAsia" w:ascii="仿宋" w:hAnsi="仿宋" w:eastAsia="仿宋" w:cs="仿宋"/>
          <w:bCs/>
          <w:color w:val="auto"/>
          <w:sz w:val="24"/>
          <w:szCs w:val="32"/>
          <w:highlight w:val="none"/>
          <w:lang w:bidi="zh-CN"/>
        </w:rPr>
        <w:t>；</w:t>
      </w:r>
    </w:p>
    <w:p w14:paraId="41F6466A">
      <w:pPr>
        <w:widowControl/>
        <w:spacing w:line="500" w:lineRule="exact"/>
        <w:ind w:firstLine="482"/>
        <w:rPr>
          <w:rFonts w:ascii="仿宋" w:hAnsi="仿宋" w:eastAsia="仿宋" w:cs="仿宋"/>
          <w:bCs/>
          <w:color w:val="auto"/>
          <w:sz w:val="24"/>
          <w:szCs w:val="32"/>
          <w:highlight w:val="none"/>
          <w:lang w:bidi="zh-CN"/>
        </w:rPr>
      </w:pPr>
      <w:r>
        <w:rPr>
          <w:rFonts w:hint="eastAsia" w:ascii="仿宋" w:hAnsi="仿宋" w:eastAsia="仿宋" w:cs="仿宋"/>
          <w:bCs/>
          <w:color w:val="auto"/>
          <w:sz w:val="24"/>
          <w:szCs w:val="32"/>
          <w:highlight w:val="none"/>
          <w:lang w:bidi="zh-CN"/>
        </w:rPr>
        <w:t>……</w:t>
      </w:r>
    </w:p>
    <w:p w14:paraId="7E6CDAB6">
      <w:pPr>
        <w:widowControl/>
        <w:spacing w:line="500" w:lineRule="exact"/>
        <w:ind w:firstLine="482"/>
        <w:rPr>
          <w:rFonts w:ascii="仿宋" w:hAnsi="仿宋" w:eastAsia="仿宋" w:cs="仿宋"/>
          <w:b/>
          <w:bCs/>
          <w:color w:val="auto"/>
          <w:sz w:val="24"/>
          <w:szCs w:val="32"/>
          <w:highlight w:val="none"/>
          <w:lang w:bidi="zh-CN"/>
        </w:rPr>
      </w:pPr>
      <w:r>
        <w:rPr>
          <w:rFonts w:hint="eastAsia" w:ascii="仿宋" w:hAnsi="仿宋" w:eastAsia="仿宋" w:cs="仿宋"/>
          <w:b/>
          <w:bCs/>
          <w:color w:val="auto"/>
          <w:sz w:val="24"/>
          <w:szCs w:val="32"/>
          <w:highlight w:val="none"/>
          <w:lang w:bidi="zh-CN"/>
        </w:rPr>
        <w:t>以上企业，不属于大企业的分支机构，不存在控股股东为大企业的情形，也不存在与大企业的负责人为同一人的情形。</w:t>
      </w:r>
    </w:p>
    <w:p w14:paraId="17DB3084">
      <w:pPr>
        <w:widowControl/>
        <w:spacing w:line="500" w:lineRule="exact"/>
        <w:ind w:firstLine="482"/>
        <w:rPr>
          <w:rFonts w:ascii="仿宋" w:hAnsi="仿宋" w:eastAsia="仿宋" w:cs="仿宋"/>
          <w:bCs/>
          <w:color w:val="auto"/>
          <w:sz w:val="24"/>
          <w:szCs w:val="32"/>
          <w:highlight w:val="none"/>
          <w:lang w:bidi="zh-CN"/>
        </w:rPr>
      </w:pPr>
      <w:r>
        <w:rPr>
          <w:rFonts w:hint="eastAsia" w:ascii="仿宋" w:hAnsi="仿宋" w:eastAsia="仿宋" w:cs="仿宋"/>
          <w:b/>
          <w:bCs/>
          <w:color w:val="auto"/>
          <w:sz w:val="24"/>
          <w:szCs w:val="32"/>
          <w:highlight w:val="none"/>
          <w:lang w:bidi="zh-CN"/>
        </w:rPr>
        <w:t>本企业对上述声明内容的真实性负责。如有虚假，将依法承担相应责任。</w:t>
      </w:r>
    </w:p>
    <w:p w14:paraId="3B8A38A8">
      <w:pPr>
        <w:widowControl/>
        <w:spacing w:line="500" w:lineRule="exact"/>
        <w:ind w:firstLine="482"/>
        <w:rPr>
          <w:rFonts w:ascii="仿宋" w:hAnsi="仿宋" w:eastAsia="仿宋" w:cs="仿宋"/>
          <w:bCs/>
          <w:color w:val="auto"/>
          <w:sz w:val="24"/>
          <w:szCs w:val="32"/>
          <w:highlight w:val="none"/>
          <w:lang w:bidi="zh-CN"/>
        </w:rPr>
      </w:pPr>
      <w:r>
        <w:rPr>
          <w:rFonts w:hint="eastAsia" w:ascii="仿宋" w:hAnsi="仿宋" w:eastAsia="仿宋" w:cs="仿宋"/>
          <w:bCs/>
          <w:color w:val="auto"/>
          <w:sz w:val="24"/>
          <w:szCs w:val="32"/>
          <w:highlight w:val="none"/>
          <w:lang w:bidi="zh-CN"/>
        </w:rPr>
        <w:t>企业名称（盖章）：</w:t>
      </w:r>
    </w:p>
    <w:p w14:paraId="0605BA96">
      <w:pPr>
        <w:widowControl/>
        <w:spacing w:line="500" w:lineRule="exact"/>
        <w:ind w:firstLine="482"/>
        <w:rPr>
          <w:rFonts w:ascii="仿宋" w:hAnsi="仿宋" w:eastAsia="仿宋" w:cs="仿宋"/>
          <w:color w:val="auto"/>
          <w:kern w:val="0"/>
          <w:sz w:val="24"/>
          <w:highlight w:val="none"/>
        </w:rPr>
      </w:pPr>
      <w:r>
        <w:rPr>
          <w:rFonts w:hint="eastAsia" w:ascii="仿宋" w:hAnsi="仿宋" w:eastAsia="仿宋" w:cs="仿宋"/>
          <w:bCs/>
          <w:color w:val="auto"/>
          <w:sz w:val="24"/>
          <w:szCs w:val="32"/>
          <w:highlight w:val="none"/>
          <w:lang w:bidi="zh-CN"/>
        </w:rPr>
        <w:t>日期：</w:t>
      </w:r>
    </w:p>
    <w:p w14:paraId="79942CC7">
      <w:pPr>
        <w:widowControl/>
        <w:spacing w:line="500" w:lineRule="exact"/>
        <w:ind w:firstLine="482"/>
        <w:rPr>
          <w:rFonts w:ascii="仿宋" w:hAnsi="仿宋" w:eastAsia="仿宋" w:cs="仿宋"/>
          <w:b/>
          <w:color w:val="auto"/>
          <w:kern w:val="0"/>
          <w:sz w:val="24"/>
          <w:highlight w:val="none"/>
        </w:rPr>
      </w:pPr>
      <w:r>
        <w:rPr>
          <w:rFonts w:hint="eastAsia" w:ascii="仿宋" w:hAnsi="仿宋" w:eastAsia="仿宋" w:cs="仿宋"/>
          <w:b/>
          <w:color w:val="auto"/>
          <w:kern w:val="0"/>
          <w:sz w:val="24"/>
          <w:highlight w:val="none"/>
        </w:rPr>
        <w:t>注：1、从业人员、营业收入、资产总额填报上一年度数据，无上一年度数据的新成立企业可不填报。</w:t>
      </w:r>
    </w:p>
    <w:p w14:paraId="4ABFD7C8">
      <w:pPr>
        <w:widowControl/>
        <w:shd w:val="clear" w:color="auto" w:fill="FFFFFF"/>
        <w:spacing w:line="360" w:lineRule="auto"/>
        <w:ind w:firstLine="5940"/>
        <w:rPr>
          <w:rFonts w:ascii="仿宋" w:hAnsi="仿宋" w:eastAsia="仿宋" w:cs="仿宋"/>
          <w:color w:val="auto"/>
          <w:sz w:val="24"/>
          <w:highlight w:val="none"/>
        </w:rPr>
      </w:pPr>
      <w:r>
        <w:rPr>
          <w:rFonts w:hint="eastAsia" w:ascii="仿宋" w:hAnsi="仿宋" w:eastAsia="仿宋" w:cs="仿宋"/>
          <w:b/>
          <w:color w:val="auto"/>
          <w:kern w:val="0"/>
          <w:sz w:val="24"/>
          <w:highlight w:val="none"/>
        </w:rPr>
        <w:t>供应商根据工信部联企业〔2011〕300号规定的划型标准及中华人民共和国工业和信息化部官网上的“中小企业规模类型自测小程序”，自行核对如实填写，如有虚假，将依法承担相应责任。</w:t>
      </w:r>
      <w:r>
        <w:rPr>
          <w:rFonts w:hint="eastAsia" w:ascii="仿宋" w:hAnsi="仿宋" w:eastAsia="仿宋" w:cs="仿宋"/>
          <w:b/>
          <w:color w:val="auto"/>
          <w:kern w:val="0"/>
          <w:sz w:val="24"/>
          <w:highlight w:val="none"/>
        </w:rPr>
        <w:br w:type="page"/>
      </w:r>
      <w:r>
        <w:rPr>
          <w:rFonts w:hint="eastAsia" w:ascii="仿宋" w:hAnsi="仿宋" w:eastAsia="仿宋" w:cs="仿宋"/>
          <w:color w:val="auto"/>
          <w:kern w:val="0"/>
          <w:sz w:val="24"/>
          <w:highlight w:val="none"/>
        </w:rPr>
        <w:t>　　</w:t>
      </w:r>
    </w:p>
    <w:p w14:paraId="5C22864D">
      <w:pPr>
        <w:pStyle w:val="19"/>
        <w:spacing w:line="360" w:lineRule="auto"/>
        <w:jc w:val="both"/>
        <w:outlineLvl w:val="1"/>
        <w:rPr>
          <w:rFonts w:ascii="仿宋" w:hAnsi="仿宋" w:eastAsia="仿宋" w:cs="仿宋"/>
          <w:b/>
          <w:color w:val="auto"/>
          <w:highlight w:val="none"/>
        </w:rPr>
      </w:pPr>
      <w:bookmarkStart w:id="693" w:name="_Toc29093"/>
      <w:r>
        <w:rPr>
          <w:rFonts w:hint="eastAsia" w:ascii="仿宋" w:hAnsi="仿宋" w:eastAsia="仿宋" w:cs="仿宋"/>
          <w:b/>
          <w:color w:val="auto"/>
          <w:highlight w:val="none"/>
        </w:rPr>
        <w:t>附件二：</w:t>
      </w:r>
      <w:bookmarkEnd w:id="693"/>
    </w:p>
    <w:p w14:paraId="6FD1C715">
      <w:pPr>
        <w:pStyle w:val="19"/>
        <w:spacing w:line="360" w:lineRule="auto"/>
        <w:jc w:val="center"/>
        <w:rPr>
          <w:rFonts w:ascii="仿宋" w:hAnsi="仿宋" w:eastAsia="仿宋" w:cs="仿宋"/>
          <w:b/>
          <w:color w:val="auto"/>
          <w:highlight w:val="none"/>
        </w:rPr>
      </w:pPr>
      <w:r>
        <w:rPr>
          <w:rFonts w:hint="eastAsia" w:ascii="仿宋" w:hAnsi="仿宋" w:eastAsia="仿宋" w:cs="仿宋"/>
          <w:b/>
          <w:color w:val="auto"/>
          <w:highlight w:val="none"/>
        </w:rPr>
        <w:t>中小企业划型标准规定</w:t>
      </w:r>
    </w:p>
    <w:p w14:paraId="778001CD">
      <w:pPr>
        <w:pStyle w:val="19"/>
        <w:widowControl/>
        <w:numPr>
          <w:ilvl w:val="0"/>
          <w:numId w:val="15"/>
        </w:numPr>
        <w:spacing w:before="100" w:beforeAutospacing="1" w:after="100" w:afterAutospacing="1"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根据《中华人民共和国中小企业促进法》和《国务院关于进一步促进中小企业发展的若干意见》(国发〔2009〕36号)，制定本规定。</w:t>
      </w:r>
      <w:r>
        <w:rPr>
          <w:rFonts w:hint="eastAsia" w:ascii="仿宋" w:hAnsi="仿宋" w:eastAsia="仿宋" w:cs="仿宋"/>
          <w:color w:val="auto"/>
          <w:highlight w:val="none"/>
        </w:rPr>
        <w:br w:type="textWrapping"/>
      </w:r>
      <w:r>
        <w:rPr>
          <w:rFonts w:hint="eastAsia" w:ascii="仿宋" w:hAnsi="仿宋" w:eastAsia="仿宋" w:cs="仿宋"/>
          <w:color w:val="auto"/>
          <w:highlight w:val="none"/>
        </w:rPr>
        <w:t>　　二、中小企业划分为中型、小型、微型三种类型，具体标准根据企业从业人员、营业收入、资产总额等指标，结合行业特点制定。</w:t>
      </w:r>
      <w:r>
        <w:rPr>
          <w:rFonts w:hint="eastAsia" w:ascii="仿宋" w:hAnsi="仿宋" w:eastAsia="仿宋" w:cs="仿宋"/>
          <w:color w:val="auto"/>
          <w:highlight w:val="none"/>
        </w:rPr>
        <w:br w:type="textWrapping"/>
      </w:r>
      <w:r>
        <w:rPr>
          <w:rFonts w:hint="eastAsia" w:ascii="仿宋" w:hAnsi="仿宋" w:eastAsia="仿宋" w:cs="仿宋"/>
          <w:color w:val="auto"/>
          <w:highlight w:val="none"/>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仿宋" w:hAnsi="仿宋" w:eastAsia="仿宋" w:cs="仿宋"/>
          <w:color w:val="auto"/>
          <w:highlight w:val="none"/>
        </w:rPr>
        <w:br w:type="textWrapping"/>
      </w:r>
      <w:r>
        <w:rPr>
          <w:rFonts w:hint="eastAsia" w:ascii="仿宋" w:hAnsi="仿宋" w:eastAsia="仿宋" w:cs="仿宋"/>
          <w:color w:val="auto"/>
          <w:highlight w:val="none"/>
        </w:rPr>
        <w:t>　　四、各行业划型标准为：</w:t>
      </w:r>
      <w:r>
        <w:rPr>
          <w:rFonts w:hint="eastAsia" w:ascii="仿宋" w:hAnsi="仿宋" w:eastAsia="仿宋" w:cs="仿宋"/>
          <w:color w:val="auto"/>
          <w:highlight w:val="none"/>
        </w:rPr>
        <w:br w:type="textWrapping"/>
      </w:r>
      <w:r>
        <w:rPr>
          <w:rFonts w:hint="eastAsia" w:ascii="仿宋" w:hAnsi="仿宋" w:eastAsia="仿宋" w:cs="仿宋"/>
          <w:color w:val="auto"/>
          <w:highlight w:val="none"/>
        </w:rPr>
        <w:t>　　（一）农、林、牧、渔业。营业收入20000万元以下的为中小微型企业。其中，营业收入500万元及以上的为中型企业，营业收入50万元及以上的为小型企业，营业收入50万元以下的为微型企业。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仿宋"/>
          <w:color w:val="auto"/>
          <w:highlight w:val="none"/>
        </w:rPr>
        <w:br w:type="textWrapping"/>
      </w:r>
      <w:r>
        <w:rPr>
          <w:rFonts w:hint="eastAsia" w:ascii="仿宋" w:hAnsi="仿宋" w:eastAsia="仿宋" w:cs="仿宋"/>
          <w:color w:val="auto"/>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color w:val="auto"/>
          <w:highlight w:val="none"/>
        </w:rPr>
        <w:br w:type="textWrapping"/>
      </w:r>
      <w:r>
        <w:rPr>
          <w:rFonts w:hint="eastAsia" w:ascii="仿宋" w:hAnsi="仿宋" w:eastAsia="仿宋" w:cs="仿宋"/>
          <w:color w:val="auto"/>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color w:val="auto"/>
          <w:highlight w:val="none"/>
        </w:rPr>
        <w:br w:type="textWrapping"/>
      </w:r>
      <w:r>
        <w:rPr>
          <w:rFonts w:hint="eastAsia" w:ascii="仿宋" w:hAnsi="仿宋" w:eastAsia="仿宋" w:cs="仿宋"/>
          <w:color w:val="auto"/>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仿宋"/>
          <w:color w:val="auto"/>
          <w:highlight w:val="none"/>
        </w:rPr>
        <w:br w:type="textWrapping"/>
      </w:r>
      <w:r>
        <w:rPr>
          <w:rFonts w:hint="eastAsia" w:ascii="仿宋" w:hAnsi="仿宋" w:eastAsia="仿宋" w:cs="仿宋"/>
          <w:color w:val="auto"/>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auto"/>
          <w:highlight w:val="none"/>
        </w:rPr>
        <w:br w:type="textWrapping"/>
      </w:r>
      <w:r>
        <w:rPr>
          <w:rFonts w:hint="eastAsia" w:ascii="仿宋" w:hAnsi="仿宋" w:eastAsia="仿宋" w:cs="仿宋"/>
          <w:color w:val="auto"/>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仿宋"/>
          <w:color w:val="auto"/>
          <w:highlight w:val="none"/>
        </w:rPr>
        <w:br w:type="textWrapping"/>
      </w:r>
      <w:r>
        <w:rPr>
          <w:rFonts w:hint="eastAsia" w:ascii="仿宋" w:hAnsi="仿宋" w:eastAsia="仿宋" w:cs="仿宋"/>
          <w:color w:val="auto"/>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auto"/>
          <w:highlight w:val="none"/>
        </w:rPr>
        <w:br w:type="textWrapping"/>
      </w:r>
      <w:r>
        <w:rPr>
          <w:rFonts w:hint="eastAsia" w:ascii="仿宋" w:hAnsi="仿宋" w:eastAsia="仿宋" w:cs="仿宋"/>
          <w:color w:val="auto"/>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auto"/>
          <w:highlight w:val="none"/>
        </w:rPr>
        <w:br w:type="textWrapping"/>
      </w:r>
      <w:r>
        <w:rPr>
          <w:rFonts w:hint="eastAsia" w:ascii="仿宋" w:hAnsi="仿宋" w:eastAsia="仿宋" w:cs="仿宋"/>
          <w:color w:val="auto"/>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auto"/>
          <w:highlight w:val="none"/>
        </w:rPr>
        <w:br w:type="textWrapping"/>
      </w:r>
      <w:r>
        <w:rPr>
          <w:rFonts w:hint="eastAsia" w:ascii="仿宋" w:hAnsi="仿宋" w:eastAsia="仿宋" w:cs="仿宋"/>
          <w:color w:val="auto"/>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auto"/>
          <w:highlight w:val="none"/>
        </w:rPr>
        <w:br w:type="textWrapping"/>
      </w:r>
      <w:r>
        <w:rPr>
          <w:rFonts w:hint="eastAsia" w:ascii="仿宋" w:hAnsi="仿宋" w:eastAsia="仿宋" w:cs="仿宋"/>
          <w:color w:val="auto"/>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auto"/>
          <w:highlight w:val="none"/>
        </w:rPr>
        <w:br w:type="textWrapping"/>
      </w:r>
      <w:r>
        <w:rPr>
          <w:rFonts w:hint="eastAsia" w:ascii="仿宋" w:hAnsi="仿宋" w:eastAsia="仿宋" w:cs="仿宋"/>
          <w:color w:val="auto"/>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仿宋"/>
          <w:color w:val="auto"/>
          <w:highlight w:val="none"/>
        </w:rPr>
        <w:br w:type="textWrapping"/>
      </w:r>
      <w:r>
        <w:rPr>
          <w:rFonts w:hint="eastAsia" w:ascii="仿宋" w:hAnsi="仿宋" w:eastAsia="仿宋" w:cs="仿宋"/>
          <w:color w:val="auto"/>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仿宋"/>
          <w:color w:val="auto"/>
          <w:highlight w:val="none"/>
        </w:rPr>
        <w:br w:type="textWrapping"/>
      </w:r>
      <w:r>
        <w:rPr>
          <w:rFonts w:hint="eastAsia" w:ascii="仿宋" w:hAnsi="仿宋" w:eastAsia="仿宋" w:cs="仿宋"/>
          <w:color w:val="auto"/>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仿宋"/>
          <w:color w:val="auto"/>
          <w:highlight w:val="none"/>
        </w:rPr>
        <w:br w:type="textWrapping"/>
      </w:r>
      <w:r>
        <w:rPr>
          <w:rFonts w:hint="eastAsia" w:ascii="仿宋" w:hAnsi="仿宋" w:eastAsia="仿宋" w:cs="仿宋"/>
          <w:color w:val="auto"/>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color w:val="auto"/>
          <w:highlight w:val="none"/>
        </w:rPr>
        <w:br w:type="textWrapping"/>
      </w:r>
      <w:r>
        <w:rPr>
          <w:rFonts w:hint="eastAsia" w:ascii="仿宋" w:hAnsi="仿宋" w:eastAsia="仿宋" w:cs="仿宋"/>
          <w:color w:val="auto"/>
          <w:highlight w:val="none"/>
        </w:rPr>
        <w:t>　　（十六）其他未列明行业。从业人员300人以下的为中小微型企业。其中，从业人员100人及以上的为中型企业；从业人员10人及以上的为小型企业；从业人员10人以下的为微型企业。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仿宋"/>
          <w:color w:val="auto"/>
          <w:highlight w:val="none"/>
        </w:rPr>
        <w:br w:type="textWrapping"/>
      </w:r>
      <w:r>
        <w:rPr>
          <w:rFonts w:hint="eastAsia" w:ascii="仿宋" w:hAnsi="仿宋" w:eastAsia="仿宋" w:cs="仿宋"/>
          <w:color w:val="auto"/>
          <w:highlight w:val="none"/>
        </w:rPr>
        <w:t>　　五、企业类型的划分以统计部门的统计数据为依据。</w:t>
      </w:r>
      <w:r>
        <w:rPr>
          <w:rFonts w:hint="eastAsia" w:ascii="仿宋" w:hAnsi="仿宋" w:eastAsia="仿宋" w:cs="仿宋"/>
          <w:color w:val="auto"/>
          <w:highlight w:val="none"/>
        </w:rPr>
        <w:br w:type="textWrapping"/>
      </w:r>
      <w:r>
        <w:rPr>
          <w:rFonts w:hint="eastAsia" w:ascii="仿宋" w:hAnsi="仿宋" w:eastAsia="仿宋" w:cs="仿宋"/>
          <w:color w:val="auto"/>
          <w:highlight w:val="none"/>
        </w:rPr>
        <w:t>　　六、本规定适用于在中华人民共和国境内依法设立的各类所有制和各种组织形式的企业。个体工商户和本规定以外的行业，参照本规定进行划型。</w:t>
      </w:r>
      <w:r>
        <w:rPr>
          <w:rFonts w:hint="eastAsia" w:ascii="仿宋" w:hAnsi="仿宋" w:eastAsia="仿宋" w:cs="仿宋"/>
          <w:color w:val="auto"/>
          <w:highlight w:val="none"/>
        </w:rPr>
        <w:br w:type="textWrapping"/>
      </w:r>
      <w:r>
        <w:rPr>
          <w:rFonts w:hint="eastAsia" w:ascii="仿宋" w:hAnsi="仿宋" w:eastAsia="仿宋" w:cs="仿宋"/>
          <w:color w:val="auto"/>
          <w:highlight w:val="none"/>
        </w:rPr>
        <w:t>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仿宋" w:hAnsi="仿宋" w:eastAsia="仿宋" w:cs="仿宋"/>
          <w:color w:val="auto"/>
          <w:highlight w:val="none"/>
        </w:rPr>
        <w:br w:type="textWrapping"/>
      </w:r>
      <w:r>
        <w:rPr>
          <w:rFonts w:hint="eastAsia" w:ascii="仿宋" w:hAnsi="仿宋" w:eastAsia="仿宋" w:cs="仿宋"/>
          <w:color w:val="auto"/>
          <w:highlight w:val="none"/>
        </w:rPr>
        <w:t>　　八、本规定由工业和信息化部、国家统计局会同有关部门根据《国民经济行业分类》修订情况和企业发展变化情况适时修订。</w:t>
      </w:r>
      <w:r>
        <w:rPr>
          <w:rFonts w:hint="eastAsia" w:ascii="仿宋" w:hAnsi="仿宋" w:eastAsia="仿宋" w:cs="仿宋"/>
          <w:color w:val="auto"/>
          <w:highlight w:val="none"/>
        </w:rPr>
        <w:br w:type="textWrapping"/>
      </w:r>
      <w:r>
        <w:rPr>
          <w:rFonts w:hint="eastAsia" w:ascii="仿宋" w:hAnsi="仿宋" w:eastAsia="仿宋" w:cs="仿宋"/>
          <w:color w:val="auto"/>
          <w:highlight w:val="none"/>
        </w:rPr>
        <w:t>　　九、本规定由工业和信息化部、国家统计局会同有关部门负责解释。</w:t>
      </w:r>
      <w:r>
        <w:rPr>
          <w:rFonts w:hint="eastAsia" w:ascii="仿宋" w:hAnsi="仿宋" w:eastAsia="仿宋" w:cs="仿宋"/>
          <w:color w:val="auto"/>
          <w:highlight w:val="none"/>
        </w:rPr>
        <w:br w:type="textWrapping"/>
      </w:r>
      <w:r>
        <w:rPr>
          <w:rFonts w:hint="eastAsia" w:ascii="仿宋" w:hAnsi="仿宋" w:eastAsia="仿宋" w:cs="仿宋"/>
          <w:color w:val="auto"/>
          <w:highlight w:val="none"/>
        </w:rPr>
        <w:t>　　十、本规定自发布之日起执行，原国家经贸委、原国家计委、财政部和国家统计局2003年颁布的《中小企业标准暂行规定》同时废止。</w:t>
      </w:r>
    </w:p>
    <w:p w14:paraId="5F44B834">
      <w:pPr>
        <w:rPr>
          <w:rFonts w:ascii="仿宋" w:hAnsi="仿宋" w:eastAsia="仿宋" w:cs="仿宋"/>
          <w:color w:val="auto"/>
          <w:highlight w:val="none"/>
        </w:rPr>
      </w:pPr>
      <w:bookmarkStart w:id="694" w:name="_Toc6922"/>
      <w:bookmarkStart w:id="695" w:name="_Toc22437"/>
      <w:bookmarkStart w:id="696" w:name="_Toc8225"/>
    </w:p>
    <w:p w14:paraId="3608CBC8">
      <w:pPr>
        <w:spacing w:line="360" w:lineRule="auto"/>
        <w:ind w:firstLine="482" w:firstLineChars="200"/>
        <w:outlineLvl w:val="1"/>
        <w:rPr>
          <w:rFonts w:ascii="仿宋" w:hAnsi="仿宋" w:eastAsia="仿宋" w:cs="仿宋"/>
          <w:b/>
          <w:bCs/>
          <w:color w:val="auto"/>
          <w:sz w:val="24"/>
          <w:highlight w:val="none"/>
        </w:rPr>
      </w:pPr>
      <w:bookmarkStart w:id="697" w:name="_Toc10810"/>
      <w:r>
        <w:rPr>
          <w:rFonts w:hint="eastAsia" w:ascii="仿宋" w:hAnsi="仿宋" w:eastAsia="仿宋" w:cs="仿宋"/>
          <w:b/>
          <w:bCs/>
          <w:color w:val="auto"/>
          <w:sz w:val="24"/>
          <w:highlight w:val="none"/>
        </w:rPr>
        <w:t>评审标准附件D 财政部环保总局关于环境标志产品政府采购实施的意见</w:t>
      </w:r>
      <w:bookmarkEnd w:id="694"/>
      <w:bookmarkEnd w:id="695"/>
      <w:bookmarkEnd w:id="696"/>
      <w:bookmarkEnd w:id="697"/>
    </w:p>
    <w:p w14:paraId="04E3EA29">
      <w:pPr>
        <w:spacing w:line="360" w:lineRule="auto"/>
        <w:ind w:firstLine="420" w:firstLineChars="175"/>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为贯彻落实《国务院关于加快发展循环经济的若干意见》（国发〔2005〕22号），积极推进环境友好型社会建设，发挥政府采购的环境保护政策功能，根据《中华人民共和国政府采购法》和《中华人民共和国环境保护法》，现就推行环境标志产品政府采购提出如下意见。 </w:t>
      </w:r>
      <w:r>
        <w:rPr>
          <w:rFonts w:hint="eastAsia" w:ascii="仿宋" w:hAnsi="仿宋" w:eastAsia="仿宋" w:cs="仿宋"/>
          <w:color w:val="auto"/>
          <w:sz w:val="24"/>
          <w:highlight w:val="none"/>
        </w:rPr>
        <w:br w:type="textWrapping"/>
      </w:r>
      <w:r>
        <w:rPr>
          <w:rFonts w:hint="eastAsia" w:ascii="仿宋" w:hAnsi="仿宋" w:eastAsia="仿宋" w:cs="仿宋"/>
          <w:color w:val="auto"/>
          <w:sz w:val="24"/>
          <w:highlight w:val="none"/>
        </w:rPr>
        <w:t xml:space="preserve">　  一、采购环境标志产品对于树立政府环保形象，提高全社会的环保意识，推动企业环保技术进步，保护环境和人体健康，节约能源，促进资源循环利用，实现经济社会可持续发展，具有十分重要的意义。各地区、各部门要高度重视，加强组织管理和监督，确保环境标志产品政府采购工作落到实处。 </w:t>
      </w:r>
    </w:p>
    <w:p w14:paraId="19BC362C">
      <w:pPr>
        <w:spacing w:line="360" w:lineRule="auto"/>
        <w:ind w:firstLine="420" w:firstLineChars="175"/>
        <w:rPr>
          <w:rFonts w:ascii="仿宋" w:hAnsi="仿宋" w:eastAsia="仿宋" w:cs="仿宋"/>
          <w:color w:val="auto"/>
          <w:sz w:val="24"/>
          <w:highlight w:val="none"/>
        </w:rPr>
      </w:pPr>
      <w:r>
        <w:rPr>
          <w:rFonts w:hint="eastAsia" w:ascii="仿宋" w:hAnsi="仿宋" w:eastAsia="仿宋" w:cs="仿宋"/>
          <w:color w:val="auto"/>
          <w:sz w:val="24"/>
          <w:highlight w:val="none"/>
        </w:rPr>
        <w:t xml:space="preserve"> 二、各级国家机关、事业单位和团体组织（以下统称采购人）用财政性资金进行采购的，要优先采购环境标志产品，不得采购危害环境及人体健康的产品。 </w:t>
      </w:r>
      <w:r>
        <w:rPr>
          <w:rFonts w:hint="eastAsia" w:ascii="仿宋" w:hAnsi="仿宋" w:eastAsia="仿宋" w:cs="仿宋"/>
          <w:color w:val="auto"/>
          <w:sz w:val="24"/>
          <w:highlight w:val="none"/>
        </w:rPr>
        <w:br w:type="textWrapping"/>
      </w:r>
      <w:r>
        <w:rPr>
          <w:rFonts w:hint="eastAsia" w:ascii="仿宋" w:hAnsi="仿宋" w:eastAsia="仿宋" w:cs="仿宋"/>
          <w:color w:val="auto"/>
          <w:sz w:val="24"/>
          <w:highlight w:val="none"/>
        </w:rPr>
        <w:t xml:space="preserve">　  三、财政部、环保总局综合考虑政府采购改革进展和环境标志产品技术及市场成熟等情况，从国家认可的环境标志产品认证机构认证的环境标志产品中，以“环境标志产品政府采购清单”（以下简称清单）的形式，按类别确定优先采购的范围。 </w:t>
      </w:r>
      <w:r>
        <w:rPr>
          <w:rFonts w:hint="eastAsia" w:ascii="仿宋" w:hAnsi="仿宋" w:eastAsia="仿宋" w:cs="仿宋"/>
          <w:color w:val="auto"/>
          <w:sz w:val="24"/>
          <w:highlight w:val="none"/>
        </w:rPr>
        <w:br w:type="textWrapping"/>
      </w:r>
      <w:r>
        <w:rPr>
          <w:rFonts w:hint="eastAsia" w:ascii="仿宋" w:hAnsi="仿宋" w:eastAsia="仿宋" w:cs="仿宋"/>
          <w:color w:val="auto"/>
          <w:sz w:val="24"/>
          <w:highlight w:val="none"/>
        </w:rPr>
        <w:t xml:space="preserve">　 财政部、环保总局将适时调整清单，并以文件形式公布。 </w:t>
      </w:r>
    </w:p>
    <w:p w14:paraId="019C3D4E">
      <w:pPr>
        <w:spacing w:line="360" w:lineRule="auto"/>
        <w:ind w:firstLine="420" w:firstLineChars="175"/>
        <w:rPr>
          <w:rFonts w:ascii="仿宋" w:hAnsi="仿宋" w:eastAsia="仿宋" w:cs="仿宋"/>
          <w:color w:val="auto"/>
          <w:sz w:val="24"/>
          <w:highlight w:val="none"/>
        </w:rPr>
      </w:pPr>
      <w:r>
        <w:rPr>
          <w:rFonts w:hint="eastAsia" w:ascii="仿宋" w:hAnsi="仿宋" w:eastAsia="仿宋" w:cs="仿宋"/>
          <w:color w:val="auto"/>
          <w:sz w:val="24"/>
          <w:highlight w:val="none"/>
        </w:rPr>
        <w:t xml:space="preserve"> 四、中国政府采购网（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Style w:val="26"/>
          <w:rFonts w:hint="eastAsia" w:ascii="仿宋" w:hAnsi="仿宋" w:eastAsia="仿宋" w:cs="仿宋"/>
          <w:color w:val="auto"/>
          <w:highlight w:val="none"/>
        </w:rPr>
        <w:t>http://www.ccgp.gov.cn/</w:t>
      </w:r>
      <w:r>
        <w:rPr>
          <w:rStyle w:val="26"/>
          <w:rFonts w:hint="eastAsia" w:ascii="仿宋" w:hAnsi="仿宋" w:eastAsia="仿宋" w:cs="仿宋"/>
          <w:color w:val="auto"/>
          <w:highlight w:val="none"/>
        </w:rPr>
        <w:fldChar w:fldCharType="end"/>
      </w:r>
      <w:r>
        <w:rPr>
          <w:rFonts w:hint="eastAsia" w:ascii="仿宋" w:hAnsi="仿宋" w:eastAsia="仿宋" w:cs="仿宋"/>
          <w:color w:val="auto"/>
          <w:sz w:val="24"/>
          <w:highlight w:val="none"/>
        </w:rPr>
        <w:t>）、国家环境保护总局网（</w:t>
      </w:r>
      <w:r>
        <w:rPr>
          <w:color w:val="auto"/>
          <w:highlight w:val="none"/>
        </w:rPr>
        <w:fldChar w:fldCharType="begin"/>
      </w:r>
      <w:r>
        <w:rPr>
          <w:color w:val="auto"/>
          <w:highlight w:val="none"/>
        </w:rPr>
        <w:instrText xml:space="preserve"> HYPERLINK "http://www.sepa.gov.cn/" </w:instrText>
      </w:r>
      <w:r>
        <w:rPr>
          <w:color w:val="auto"/>
          <w:highlight w:val="none"/>
        </w:rPr>
        <w:fldChar w:fldCharType="separate"/>
      </w:r>
      <w:r>
        <w:rPr>
          <w:rStyle w:val="26"/>
          <w:rFonts w:hint="eastAsia" w:ascii="仿宋" w:hAnsi="仿宋" w:eastAsia="仿宋" w:cs="仿宋"/>
          <w:color w:val="auto"/>
          <w:highlight w:val="none"/>
        </w:rPr>
        <w:t>http://www.sepa.gov.cn/</w:t>
      </w:r>
      <w:r>
        <w:rPr>
          <w:rStyle w:val="26"/>
          <w:rFonts w:hint="eastAsia" w:ascii="仿宋" w:hAnsi="仿宋" w:eastAsia="仿宋" w:cs="仿宋"/>
          <w:color w:val="auto"/>
          <w:highlight w:val="none"/>
        </w:rPr>
        <w:fldChar w:fldCharType="end"/>
      </w:r>
      <w:r>
        <w:rPr>
          <w:rFonts w:hint="eastAsia" w:ascii="仿宋" w:hAnsi="仿宋" w:eastAsia="仿宋" w:cs="仿宋"/>
          <w:color w:val="auto"/>
          <w:sz w:val="24"/>
          <w:highlight w:val="none"/>
        </w:rPr>
        <w:t>）、中国绿色采购网（</w:t>
      </w:r>
      <w:r>
        <w:rPr>
          <w:color w:val="auto"/>
          <w:highlight w:val="none"/>
        </w:rPr>
        <w:fldChar w:fldCharType="begin"/>
      </w:r>
      <w:r>
        <w:rPr>
          <w:color w:val="auto"/>
          <w:highlight w:val="none"/>
        </w:rPr>
        <w:instrText xml:space="preserve"> HYPERLINK "http://www.cgpn.cn/" </w:instrText>
      </w:r>
      <w:r>
        <w:rPr>
          <w:color w:val="auto"/>
          <w:highlight w:val="none"/>
        </w:rPr>
        <w:fldChar w:fldCharType="separate"/>
      </w:r>
      <w:r>
        <w:rPr>
          <w:rStyle w:val="26"/>
          <w:rFonts w:hint="eastAsia" w:ascii="仿宋" w:hAnsi="仿宋" w:eastAsia="仿宋" w:cs="仿宋"/>
          <w:color w:val="auto"/>
          <w:highlight w:val="none"/>
        </w:rPr>
        <w:t>http://www.cgpn.cn/</w:t>
      </w:r>
      <w:r>
        <w:rPr>
          <w:rStyle w:val="26"/>
          <w:rFonts w:hint="eastAsia" w:ascii="仿宋" w:hAnsi="仿宋" w:eastAsia="仿宋" w:cs="仿宋"/>
          <w:color w:val="auto"/>
          <w:highlight w:val="none"/>
        </w:rPr>
        <w:fldChar w:fldCharType="end"/>
      </w:r>
      <w:r>
        <w:rPr>
          <w:rFonts w:hint="eastAsia" w:ascii="仿宋" w:hAnsi="仿宋" w:eastAsia="仿宋" w:cs="仿宋"/>
          <w:color w:val="auto"/>
          <w:sz w:val="24"/>
          <w:highlight w:val="none"/>
        </w:rPr>
        <w:t xml:space="preserve">）为清单的公告媒体。为确保上述信息的准确性，未经财政部、环保总局允许，不得转载。 </w:t>
      </w:r>
      <w:r>
        <w:rPr>
          <w:rFonts w:hint="eastAsia" w:ascii="仿宋" w:hAnsi="仿宋" w:eastAsia="仿宋" w:cs="仿宋"/>
          <w:color w:val="auto"/>
          <w:sz w:val="24"/>
          <w:highlight w:val="none"/>
        </w:rPr>
        <w:br w:type="textWrapping"/>
      </w:r>
      <w:r>
        <w:rPr>
          <w:rFonts w:hint="eastAsia" w:ascii="仿宋" w:hAnsi="仿宋" w:eastAsia="仿宋" w:cs="仿宋"/>
          <w:color w:val="auto"/>
          <w:sz w:val="24"/>
          <w:highlight w:val="none"/>
        </w:rPr>
        <w:t>　  五、清单中的产品有效时间以中国环境标志产品认证证书有效截止日期为准，超过认证证书有效截止日期的自动失效。</w:t>
      </w:r>
    </w:p>
    <w:p w14:paraId="5FDF2BC5">
      <w:pPr>
        <w:spacing w:line="360" w:lineRule="auto"/>
        <w:ind w:firstLine="420" w:firstLineChars="175"/>
        <w:rPr>
          <w:rFonts w:ascii="仿宋" w:hAnsi="仿宋" w:eastAsia="仿宋" w:cs="仿宋"/>
          <w:color w:val="auto"/>
          <w:sz w:val="24"/>
          <w:highlight w:val="none"/>
        </w:rPr>
      </w:pPr>
      <w:r>
        <w:rPr>
          <w:rFonts w:hint="eastAsia" w:ascii="仿宋" w:hAnsi="仿宋" w:eastAsia="仿宋" w:cs="仿宋"/>
          <w:color w:val="auto"/>
          <w:sz w:val="24"/>
          <w:highlight w:val="none"/>
        </w:rPr>
        <w:t xml:space="preserve"> 六、采购人采购的产品属于清单中品目的，在性能、技术、服务等指标同等条件下，应当优先采购清单中的产品。 </w:t>
      </w:r>
    </w:p>
    <w:p w14:paraId="08C3529F">
      <w:pPr>
        <w:spacing w:line="360" w:lineRule="auto"/>
        <w:ind w:firstLine="420" w:firstLineChars="175"/>
        <w:rPr>
          <w:rFonts w:ascii="仿宋" w:hAnsi="仿宋" w:eastAsia="仿宋" w:cs="仿宋"/>
          <w:color w:val="auto"/>
          <w:sz w:val="24"/>
          <w:highlight w:val="none"/>
        </w:rPr>
      </w:pPr>
      <w:r>
        <w:rPr>
          <w:rFonts w:hint="eastAsia" w:ascii="仿宋" w:hAnsi="仿宋" w:eastAsia="仿宋" w:cs="仿宋"/>
          <w:color w:val="auto"/>
          <w:sz w:val="24"/>
          <w:highlight w:val="none"/>
        </w:rPr>
        <w:t xml:space="preserve"> 七、在政府采购活动中，采购人或其委托的采购代理机构应当在政府采购招标文件（含谈判文件、询价文件）中载明对产品（含建材）的环保要求、合格供应商和产品的条件，以及优先采购的评审标准。 </w:t>
      </w:r>
    </w:p>
    <w:p w14:paraId="4288A5C4">
      <w:pPr>
        <w:spacing w:line="360" w:lineRule="auto"/>
        <w:ind w:firstLine="420" w:firstLineChars="175"/>
        <w:rPr>
          <w:rFonts w:ascii="仿宋" w:hAnsi="仿宋" w:eastAsia="仿宋" w:cs="仿宋"/>
          <w:color w:val="auto"/>
          <w:sz w:val="24"/>
          <w:highlight w:val="none"/>
        </w:rPr>
      </w:pPr>
      <w:r>
        <w:rPr>
          <w:rFonts w:hint="eastAsia" w:ascii="仿宋" w:hAnsi="仿宋" w:eastAsia="仿宋" w:cs="仿宋"/>
          <w:color w:val="auto"/>
          <w:sz w:val="24"/>
          <w:highlight w:val="none"/>
        </w:rPr>
        <w:t xml:space="preserve"> 八、采购人或其委托的采购代理机构未按上述要求采购的，有关部门要按照相关法律、法规和规章予以处理，财政部门视情况可以拒付采购资金。</w:t>
      </w:r>
    </w:p>
    <w:p w14:paraId="5F36B75C">
      <w:pPr>
        <w:spacing w:line="360" w:lineRule="auto"/>
        <w:ind w:firstLine="420" w:firstLineChars="175"/>
        <w:rPr>
          <w:rFonts w:ascii="仿宋" w:hAnsi="仿宋" w:eastAsia="仿宋" w:cs="仿宋"/>
          <w:b/>
          <w:color w:val="auto"/>
          <w:spacing w:val="6"/>
          <w:sz w:val="24"/>
          <w:highlight w:val="none"/>
        </w:rPr>
      </w:pPr>
      <w:r>
        <w:rPr>
          <w:rFonts w:hint="eastAsia" w:ascii="仿宋" w:hAnsi="仿宋" w:eastAsia="仿宋" w:cs="仿宋"/>
          <w:color w:val="auto"/>
          <w:sz w:val="24"/>
          <w:highlight w:val="none"/>
        </w:rPr>
        <w:t xml:space="preserve"> 九、本意见采取积极稳妥、分步实施的办法，逐步扩大到全国范围。2007年1月1日起在中央和省级（含计划单列市）预算单位实行，2008年1月1日起全面实行。</w:t>
      </w:r>
    </w:p>
    <w:p w14:paraId="3BA66668">
      <w:pPr>
        <w:spacing w:line="588" w:lineRule="exact"/>
        <w:outlineLvl w:val="1"/>
        <w:rPr>
          <w:rFonts w:ascii="仿宋" w:hAnsi="仿宋" w:eastAsia="仿宋" w:cs="仿宋"/>
          <w:b/>
          <w:color w:val="auto"/>
          <w:spacing w:val="6"/>
          <w:sz w:val="24"/>
          <w:highlight w:val="none"/>
        </w:rPr>
      </w:pPr>
      <w:bookmarkStart w:id="698" w:name="_Toc27769"/>
      <w:r>
        <w:rPr>
          <w:rFonts w:hint="eastAsia" w:ascii="仿宋" w:hAnsi="仿宋" w:eastAsia="仿宋" w:cs="仿宋"/>
          <w:b/>
          <w:color w:val="auto"/>
          <w:spacing w:val="6"/>
          <w:sz w:val="24"/>
          <w:highlight w:val="none"/>
        </w:rPr>
        <w:t>附件三</w:t>
      </w:r>
      <w:bookmarkStart w:id="699" w:name="OLE_LINK14"/>
      <w:bookmarkStart w:id="700" w:name="OLE_LINK13"/>
      <w:r>
        <w:rPr>
          <w:rFonts w:hint="eastAsia" w:ascii="仿宋" w:hAnsi="仿宋" w:eastAsia="仿宋" w:cs="仿宋"/>
          <w:b/>
          <w:color w:val="auto"/>
          <w:spacing w:val="6"/>
          <w:sz w:val="24"/>
          <w:highlight w:val="none"/>
        </w:rPr>
        <w:t>残疾人福利性单位声明函</w:t>
      </w:r>
      <w:bookmarkEnd w:id="698"/>
    </w:p>
    <w:bookmarkEnd w:id="699"/>
    <w:bookmarkEnd w:id="700"/>
    <w:p w14:paraId="6BBA4114">
      <w:pPr>
        <w:spacing w:line="588" w:lineRule="exact"/>
        <w:rPr>
          <w:rFonts w:ascii="仿宋" w:hAnsi="仿宋" w:eastAsia="仿宋" w:cs="仿宋"/>
          <w:b/>
          <w:color w:val="auto"/>
          <w:spacing w:val="6"/>
          <w:sz w:val="24"/>
          <w:highlight w:val="none"/>
        </w:rPr>
      </w:pPr>
    </w:p>
    <w:p w14:paraId="0DFEC82A">
      <w:pPr>
        <w:spacing w:line="588" w:lineRule="exact"/>
        <w:ind w:firstLine="504" w:firstLineChars="200"/>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本单位郑重声明，根据《财政部 民政部 中国残疾人联合会关于促进残疾人就业政府采购政策的通知》（财库</w:t>
      </w:r>
      <w:r>
        <w:rPr>
          <w:rFonts w:hint="eastAsia" w:ascii="仿宋" w:hAnsi="仿宋" w:eastAsia="仿宋" w:cs="仿宋"/>
          <w:color w:val="auto"/>
          <w:sz w:val="24"/>
          <w:highlight w:val="none"/>
        </w:rPr>
        <w:t>〔2019〕 141</w:t>
      </w:r>
      <w:r>
        <w:rPr>
          <w:rFonts w:hint="eastAsia" w:ascii="仿宋" w:hAnsi="仿宋" w:eastAsia="仿宋" w:cs="仿宋"/>
          <w:color w:val="auto"/>
          <w:spacing w:val="6"/>
          <w:sz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EA6D441">
      <w:pPr>
        <w:spacing w:line="588" w:lineRule="exact"/>
        <w:ind w:firstLine="504" w:firstLineChars="200"/>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本单位对上述声明的真实性负责。如有虚假，将依法承担相应责任。</w:t>
      </w:r>
    </w:p>
    <w:p w14:paraId="5E60D52D">
      <w:pPr>
        <w:spacing w:line="588" w:lineRule="exact"/>
        <w:ind w:firstLine="504" w:firstLineChars="200"/>
        <w:rPr>
          <w:rFonts w:ascii="仿宋" w:hAnsi="仿宋" w:eastAsia="仿宋" w:cs="仿宋"/>
          <w:color w:val="auto"/>
          <w:spacing w:val="6"/>
          <w:sz w:val="24"/>
          <w:highlight w:val="none"/>
        </w:rPr>
      </w:pPr>
    </w:p>
    <w:p w14:paraId="0D624C6A">
      <w:pPr>
        <w:spacing w:line="588" w:lineRule="exact"/>
        <w:ind w:firstLine="504" w:firstLineChars="200"/>
        <w:rPr>
          <w:rFonts w:ascii="仿宋" w:hAnsi="仿宋" w:eastAsia="仿宋" w:cs="仿宋"/>
          <w:color w:val="auto"/>
          <w:spacing w:val="6"/>
          <w:sz w:val="24"/>
          <w:highlight w:val="none"/>
        </w:rPr>
      </w:pPr>
    </w:p>
    <w:p w14:paraId="41611043">
      <w:pPr>
        <w:tabs>
          <w:tab w:val="left" w:pos="4860"/>
        </w:tabs>
        <w:spacing w:line="588" w:lineRule="exact"/>
        <w:ind w:right="1560" w:firstLine="504" w:firstLineChars="200"/>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单位名称（盖章）：</w:t>
      </w:r>
    </w:p>
    <w:p w14:paraId="285FB521">
      <w:pPr>
        <w:tabs>
          <w:tab w:val="left" w:pos="4860"/>
        </w:tabs>
        <w:spacing w:line="588" w:lineRule="exact"/>
        <w:ind w:right="1560" w:firstLine="504" w:firstLineChars="200"/>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日  期：</w:t>
      </w:r>
    </w:p>
    <w:p w14:paraId="3A643AA4">
      <w:pPr>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br w:type="page"/>
      </w:r>
    </w:p>
    <w:p w14:paraId="22316DFB">
      <w:pPr>
        <w:spacing w:line="588" w:lineRule="exact"/>
        <w:outlineLvl w:val="1"/>
        <w:rPr>
          <w:rFonts w:ascii="仿宋" w:hAnsi="仿宋" w:eastAsia="仿宋" w:cs="仿宋"/>
          <w:b/>
          <w:color w:val="auto"/>
          <w:spacing w:val="6"/>
          <w:sz w:val="24"/>
          <w:highlight w:val="none"/>
        </w:rPr>
      </w:pPr>
      <w:bookmarkStart w:id="701" w:name="_Toc9588"/>
      <w:r>
        <w:rPr>
          <w:rFonts w:hint="eastAsia" w:ascii="仿宋" w:hAnsi="仿宋" w:eastAsia="仿宋" w:cs="仿宋"/>
          <w:b/>
          <w:color w:val="auto"/>
          <w:spacing w:val="6"/>
          <w:sz w:val="24"/>
          <w:highlight w:val="none"/>
        </w:rPr>
        <w:t>附件四：联合体协议书(仅适用于联合体投标)</w:t>
      </w:r>
      <w:bookmarkEnd w:id="701"/>
    </w:p>
    <w:p w14:paraId="65A4C634">
      <w:pPr>
        <w:spacing w:line="588" w:lineRule="exact"/>
        <w:jc w:val="center"/>
        <w:rPr>
          <w:rFonts w:ascii="仿宋" w:hAnsi="仿宋" w:eastAsia="仿宋" w:cs="仿宋"/>
          <w:b/>
          <w:color w:val="auto"/>
          <w:spacing w:val="6"/>
          <w:sz w:val="24"/>
          <w:highlight w:val="none"/>
        </w:rPr>
      </w:pPr>
      <w:r>
        <w:rPr>
          <w:rFonts w:hint="eastAsia" w:ascii="仿宋" w:hAnsi="仿宋" w:eastAsia="仿宋" w:cs="仿宋"/>
          <w:b/>
          <w:color w:val="auto"/>
          <w:spacing w:val="6"/>
          <w:sz w:val="24"/>
          <w:highlight w:val="none"/>
        </w:rPr>
        <w:t>联合体协议书</w:t>
      </w:r>
    </w:p>
    <w:p w14:paraId="012EF679">
      <w:pPr>
        <w:autoSpaceDE w:val="0"/>
        <w:autoSpaceDN w:val="0"/>
        <w:spacing w:before="820" w:line="260" w:lineRule="atLeast"/>
        <w:ind w:left="340"/>
        <w:rPr>
          <w:rFonts w:ascii="仿宋" w:hAnsi="仿宋" w:eastAsia="仿宋" w:cs="仿宋"/>
          <w:color w:val="auto"/>
          <w:sz w:val="24"/>
          <w:highlight w:val="none"/>
        </w:rPr>
      </w:pPr>
      <w:r>
        <w:rPr>
          <w:rFonts w:hint="eastAsia" w:ascii="仿宋" w:hAnsi="仿宋" w:eastAsia="仿宋" w:cs="仿宋"/>
          <w:color w:val="auto"/>
          <w:sz w:val="24"/>
          <w:highlight w:val="none"/>
        </w:rPr>
        <w:t>甲方：</w:t>
      </w:r>
      <w:r>
        <w:rPr>
          <w:rFonts w:hint="eastAsia" w:ascii="仿宋" w:hAnsi="仿宋" w:eastAsia="仿宋" w:cs="仿宋"/>
          <w:color w:val="auto"/>
          <w:sz w:val="24"/>
          <w:highlight w:val="none"/>
          <w:u w:val="single"/>
        </w:rPr>
        <w:t>(甲公司全称)</w:t>
      </w:r>
    </w:p>
    <w:p w14:paraId="3A5D8114">
      <w:pPr>
        <w:autoSpaceDE w:val="0"/>
        <w:autoSpaceDN w:val="0"/>
        <w:spacing w:before="260" w:line="260" w:lineRule="atLeast"/>
        <w:ind w:left="340"/>
        <w:rPr>
          <w:rFonts w:ascii="仿宋" w:hAnsi="仿宋" w:eastAsia="仿宋" w:cs="仿宋"/>
          <w:color w:val="auto"/>
          <w:sz w:val="24"/>
          <w:highlight w:val="none"/>
        </w:rPr>
      </w:pPr>
      <w:r>
        <w:rPr>
          <w:rFonts w:hint="eastAsia" w:ascii="仿宋" w:hAnsi="仿宋" w:eastAsia="仿宋" w:cs="仿宋"/>
          <w:color w:val="auto"/>
          <w:sz w:val="24"/>
          <w:highlight w:val="none"/>
          <w:u w:val="single"/>
        </w:rPr>
        <w:t>乙方：(乙公司全称)</w:t>
      </w:r>
    </w:p>
    <w:p w14:paraId="126B1833">
      <w:pPr>
        <w:autoSpaceDE w:val="0"/>
        <w:autoSpaceDN w:val="0"/>
        <w:spacing w:before="140" w:line="540" w:lineRule="atLeast"/>
        <w:ind w:left="460" w:right="320"/>
        <w:rPr>
          <w:rFonts w:ascii="仿宋" w:hAnsi="仿宋" w:eastAsia="仿宋" w:cs="仿宋"/>
          <w:color w:val="auto"/>
          <w:sz w:val="24"/>
          <w:highlight w:val="none"/>
        </w:rPr>
      </w:pPr>
      <w:r>
        <w:rPr>
          <w:rFonts w:hint="eastAsia" w:ascii="仿宋" w:hAnsi="仿宋" w:eastAsia="仿宋" w:cs="仿宋"/>
          <w:color w:val="auto"/>
          <w:sz w:val="24"/>
          <w:highlight w:val="none"/>
          <w:u w:val="single"/>
        </w:rPr>
        <w:t>(甲公司全称)</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(乙公司全称)</w:t>
      </w:r>
      <w:r>
        <w:rPr>
          <w:rFonts w:hint="eastAsia" w:ascii="仿宋" w:hAnsi="仿宋" w:eastAsia="仿宋" w:cs="仿宋"/>
          <w:color w:val="auto"/>
          <w:sz w:val="24"/>
          <w:highlight w:val="none"/>
        </w:rPr>
        <w:t>自愿组成联合体，以一个投标人的身份共同参加</w:t>
      </w:r>
      <w:r>
        <w:rPr>
          <w:rFonts w:hint="eastAsia" w:ascii="仿宋" w:hAnsi="仿宋" w:eastAsia="仿宋" w:cs="仿宋"/>
          <w:color w:val="auto"/>
          <w:sz w:val="24"/>
          <w:highlight w:val="none"/>
          <w:u w:val="single"/>
        </w:rPr>
        <w:t>(采购项目名称)(采购项目编号)</w:t>
      </w:r>
      <w:r>
        <w:rPr>
          <w:rFonts w:hint="eastAsia" w:ascii="仿宋" w:hAnsi="仿宋" w:eastAsia="仿宋" w:cs="仿宋"/>
          <w:color w:val="auto"/>
          <w:sz w:val="24"/>
          <w:highlight w:val="none"/>
        </w:rPr>
        <w:t>的响应活动。经各方充分协商一致，就项目的响应和合同实施阶段的有关事务协商一致订立协议如下：</w:t>
      </w:r>
    </w:p>
    <w:p w14:paraId="673D7011">
      <w:pPr>
        <w:autoSpaceDE w:val="0"/>
        <w:autoSpaceDN w:val="0"/>
        <w:spacing w:before="160" w:line="260" w:lineRule="atLeast"/>
        <w:ind w:left="920"/>
        <w:rPr>
          <w:rFonts w:ascii="仿宋" w:hAnsi="仿宋" w:eastAsia="仿宋" w:cs="仿宋"/>
          <w:color w:val="auto"/>
          <w:sz w:val="24"/>
          <w:highlight w:val="none"/>
        </w:rPr>
      </w:pPr>
      <w:r>
        <w:rPr>
          <w:rFonts w:hint="eastAsia" w:ascii="仿宋" w:hAnsi="仿宋" w:eastAsia="仿宋" w:cs="仿宋"/>
          <w:color w:val="auto"/>
          <w:sz w:val="24"/>
          <w:highlight w:val="none"/>
        </w:rPr>
        <w:t>一、 联合体各方关系</w:t>
      </w:r>
    </w:p>
    <w:p w14:paraId="49B188FC">
      <w:pPr>
        <w:autoSpaceDE w:val="0"/>
        <w:autoSpaceDN w:val="0"/>
        <w:spacing w:before="140" w:line="540" w:lineRule="atLeast"/>
        <w:ind w:left="420" w:right="500"/>
        <w:rPr>
          <w:rFonts w:ascii="仿宋" w:hAnsi="仿宋" w:eastAsia="仿宋" w:cs="仿宋"/>
          <w:color w:val="auto"/>
          <w:sz w:val="24"/>
          <w:highlight w:val="none"/>
        </w:rPr>
      </w:pPr>
      <w:r>
        <w:rPr>
          <w:rFonts w:hint="eastAsia" w:ascii="仿宋" w:hAnsi="仿宋" w:eastAsia="仿宋" w:cs="仿宋"/>
          <w:color w:val="auto"/>
          <w:sz w:val="24"/>
          <w:highlight w:val="none"/>
          <w:u w:val="single"/>
        </w:rPr>
        <w:t>(甲公司全称)</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u w:val="single"/>
        </w:rPr>
        <w:t>(乙公司全称)</w:t>
      </w:r>
      <w:r>
        <w:rPr>
          <w:rFonts w:hint="eastAsia" w:ascii="仿宋" w:hAnsi="仿宋" w:eastAsia="仿宋" w:cs="仿宋"/>
          <w:color w:val="auto"/>
          <w:sz w:val="24"/>
          <w:highlight w:val="none"/>
        </w:rPr>
        <w:t>共同组成一个联合体，以一个投标人的身份共同参加本项目的响应。</w:t>
      </w:r>
      <w:r>
        <w:rPr>
          <w:rFonts w:hint="eastAsia" w:ascii="仿宋" w:hAnsi="仿宋" w:eastAsia="仿宋" w:cs="仿宋"/>
          <w:color w:val="auto"/>
          <w:sz w:val="24"/>
          <w:highlight w:val="none"/>
          <w:u w:val="single"/>
        </w:rPr>
        <w:t>(甲公司全称)</w:t>
      </w:r>
      <w:r>
        <w:rPr>
          <w:rFonts w:hint="eastAsia" w:ascii="仿宋" w:hAnsi="仿宋" w:eastAsia="仿宋" w:cs="仿宋"/>
          <w:color w:val="auto"/>
          <w:sz w:val="24"/>
          <w:highlight w:val="none"/>
        </w:rPr>
        <w:t>为联合体主办方、</w:t>
      </w:r>
      <w:r>
        <w:rPr>
          <w:rFonts w:hint="eastAsia" w:ascii="仿宋" w:hAnsi="仿宋" w:eastAsia="仿宋" w:cs="仿宋"/>
          <w:color w:val="auto"/>
          <w:sz w:val="24"/>
          <w:highlight w:val="none"/>
          <w:u w:val="single"/>
        </w:rPr>
        <w:t>(乙公司全称)</w:t>
      </w:r>
      <w:r>
        <w:rPr>
          <w:rFonts w:hint="eastAsia" w:ascii="仿宋" w:hAnsi="仿宋" w:eastAsia="仿宋" w:cs="仿宋"/>
          <w:color w:val="auto"/>
          <w:sz w:val="24"/>
          <w:highlight w:val="none"/>
        </w:rPr>
        <w:t>作为联合体成员，若中标，联合体各方共同与</w:t>
      </w:r>
      <w:r>
        <w:rPr>
          <w:rFonts w:hint="eastAsia" w:ascii="仿宋" w:hAnsi="仿宋" w:eastAsia="仿宋" w:cs="仿宋"/>
          <w:color w:val="auto"/>
          <w:sz w:val="24"/>
          <w:highlight w:val="none"/>
          <w:u w:val="single"/>
        </w:rPr>
        <w:t>(采购人)</w:t>
      </w:r>
      <w:r>
        <w:rPr>
          <w:rFonts w:hint="eastAsia" w:ascii="仿宋" w:hAnsi="仿宋" w:eastAsia="仿宋" w:cs="仿宋"/>
          <w:color w:val="auto"/>
          <w:sz w:val="24"/>
          <w:highlight w:val="none"/>
        </w:rPr>
        <w:t>签订政府采购合同。</w:t>
      </w:r>
    </w:p>
    <w:p w14:paraId="0028EFE4">
      <w:pPr>
        <w:autoSpaceDE w:val="0"/>
        <w:autoSpaceDN w:val="0"/>
        <w:spacing w:before="160" w:line="260" w:lineRule="atLeast"/>
        <w:ind w:left="920"/>
        <w:rPr>
          <w:rFonts w:ascii="仿宋" w:hAnsi="仿宋" w:eastAsia="仿宋" w:cs="仿宋"/>
          <w:color w:val="auto"/>
          <w:sz w:val="24"/>
          <w:highlight w:val="none"/>
        </w:rPr>
      </w:pPr>
      <w:r>
        <w:rPr>
          <w:rFonts w:hint="eastAsia" w:ascii="仿宋" w:hAnsi="仿宋" w:eastAsia="仿宋" w:cs="仿宋"/>
          <w:color w:val="auto"/>
          <w:sz w:val="24"/>
          <w:highlight w:val="none"/>
        </w:rPr>
        <w:t>二、联合体内部有关事项约定如下：</w:t>
      </w:r>
    </w:p>
    <w:p w14:paraId="4C88C652">
      <w:pPr>
        <w:autoSpaceDE w:val="0"/>
        <w:autoSpaceDN w:val="0"/>
        <w:spacing w:before="140" w:line="540" w:lineRule="atLeast"/>
        <w:ind w:left="420" w:right="580"/>
        <w:rPr>
          <w:rFonts w:ascii="仿宋" w:hAnsi="仿宋" w:eastAsia="仿宋" w:cs="仿宋"/>
          <w:color w:val="auto"/>
          <w:sz w:val="24"/>
          <w:highlight w:val="none"/>
        </w:rPr>
      </w:pPr>
      <w:r>
        <w:rPr>
          <w:rFonts w:hint="eastAsia" w:ascii="仿宋" w:hAnsi="仿宋" w:eastAsia="仿宋" w:cs="仿宋"/>
          <w:color w:val="auto"/>
          <w:sz w:val="24"/>
          <w:highlight w:val="none"/>
        </w:rPr>
        <w:t xml:space="preserve">   1.甲方作为联合体的主办方，代表联合体各方负责投标和合同实施阶段的主办、协调工作。</w:t>
      </w:r>
    </w:p>
    <w:p w14:paraId="0CBA1301">
      <w:pPr>
        <w:autoSpaceDE w:val="0"/>
        <w:autoSpaceDN w:val="0"/>
        <w:spacing w:line="540" w:lineRule="atLeast"/>
        <w:ind w:left="440" w:right="480"/>
        <w:rPr>
          <w:rFonts w:ascii="仿宋" w:hAnsi="仿宋" w:eastAsia="仿宋" w:cs="仿宋"/>
          <w:color w:val="auto"/>
          <w:sz w:val="24"/>
          <w:highlight w:val="none"/>
        </w:rPr>
      </w:pPr>
      <w:r>
        <w:rPr>
          <w:rFonts w:hint="eastAsia" w:ascii="仿宋" w:hAnsi="仿宋" w:eastAsia="仿宋" w:cs="仿宋"/>
          <w:color w:val="auto"/>
          <w:sz w:val="24"/>
          <w:highlight w:val="none"/>
        </w:rPr>
        <w:t xml:space="preserve">   2.联合体将严格按照文件的各项要求，递交投标文件，切实执行一切合同文件，共同承担合同规定的一切义务和责任，同时按照内部职责的划分，承担自身所负的责任和风险，在法律上在承担连带责任。</w:t>
      </w:r>
    </w:p>
    <w:p w14:paraId="1D3BD758">
      <w:pPr>
        <w:autoSpaceDE w:val="0"/>
        <w:autoSpaceDN w:val="0"/>
        <w:spacing w:before="20" w:line="540" w:lineRule="atLeast"/>
        <w:ind w:left="400" w:right="440"/>
        <w:rPr>
          <w:rFonts w:ascii="仿宋" w:hAnsi="仿宋" w:eastAsia="仿宋" w:cs="仿宋"/>
          <w:color w:val="auto"/>
          <w:sz w:val="24"/>
          <w:highlight w:val="none"/>
        </w:rPr>
      </w:pPr>
      <w:r>
        <w:rPr>
          <w:rFonts w:hint="eastAsia" w:ascii="仿宋" w:hAnsi="仿宋" w:eastAsia="仿宋" w:cs="仿宋"/>
          <w:color w:val="auto"/>
          <w:sz w:val="24"/>
          <w:highlight w:val="none"/>
        </w:rPr>
        <w:t xml:space="preserve">   3.如果本联合体中标， </w:t>
      </w:r>
      <w:r>
        <w:rPr>
          <w:rFonts w:hint="eastAsia" w:ascii="仿宋" w:hAnsi="仿宋" w:eastAsia="仿宋" w:cs="仿宋"/>
          <w:color w:val="auto"/>
          <w:sz w:val="24"/>
          <w:highlight w:val="none"/>
          <w:u w:val="single"/>
        </w:rPr>
        <w:t>(甲公司全称)负责本项目      部分， (乙公司全称)负责本项目        部分。</w:t>
      </w:r>
    </w:p>
    <w:p w14:paraId="0333A394">
      <w:pPr>
        <w:autoSpaceDE w:val="0"/>
        <w:autoSpaceDN w:val="0"/>
        <w:spacing w:line="540" w:lineRule="atLeast"/>
        <w:ind w:left="440" w:right="360"/>
        <w:rPr>
          <w:rFonts w:ascii="仿宋" w:hAnsi="仿宋" w:eastAsia="仿宋" w:cs="仿宋"/>
          <w:color w:val="auto"/>
          <w:sz w:val="24"/>
          <w:highlight w:val="none"/>
        </w:rPr>
      </w:pPr>
      <w:r>
        <w:rPr>
          <w:rFonts w:hint="eastAsia" w:ascii="仿宋" w:hAnsi="仿宋" w:eastAsia="仿宋" w:cs="仿宋"/>
          <w:color w:val="auto"/>
          <w:sz w:val="24"/>
          <w:highlight w:val="none"/>
        </w:rPr>
        <w:t xml:space="preserve">   4.如中标，联合体各方共同与</w:t>
      </w:r>
      <w:r>
        <w:rPr>
          <w:rFonts w:hint="eastAsia" w:ascii="仿宋" w:hAnsi="仿宋" w:eastAsia="仿宋" w:cs="仿宋"/>
          <w:color w:val="auto"/>
          <w:sz w:val="24"/>
          <w:highlight w:val="none"/>
          <w:u w:val="single"/>
        </w:rPr>
        <w:t>(采购人)</w:t>
      </w:r>
      <w:r>
        <w:rPr>
          <w:rFonts w:hint="eastAsia" w:ascii="仿宋" w:hAnsi="仿宋" w:eastAsia="仿宋" w:cs="仿宋"/>
          <w:color w:val="auto"/>
          <w:sz w:val="24"/>
          <w:highlight w:val="none"/>
        </w:rPr>
        <w:t>签订合同书，并就中标项目向采购人负责有连带的和各自的法律责任；</w:t>
      </w:r>
    </w:p>
    <w:p w14:paraId="04C1AA3F">
      <w:pPr>
        <w:autoSpaceDE w:val="0"/>
        <w:autoSpaceDN w:val="0"/>
        <w:spacing w:before="20" w:line="560" w:lineRule="atLeast"/>
        <w:ind w:left="420" w:right="400"/>
        <w:rPr>
          <w:rFonts w:ascii="仿宋" w:hAnsi="仿宋" w:eastAsia="仿宋" w:cs="仿宋"/>
          <w:color w:val="auto"/>
          <w:sz w:val="24"/>
          <w:highlight w:val="none"/>
        </w:rPr>
      </w:pPr>
      <w:r>
        <w:rPr>
          <w:rFonts w:hint="eastAsia" w:ascii="仿宋" w:hAnsi="仿宋" w:eastAsia="仿宋" w:cs="仿宋"/>
          <w:color w:val="auto"/>
          <w:sz w:val="24"/>
          <w:highlight w:val="none"/>
        </w:rPr>
        <w:t xml:space="preserve">   5.联合体成员</w:t>
      </w:r>
      <w:r>
        <w:rPr>
          <w:rFonts w:hint="eastAsia" w:ascii="仿宋" w:hAnsi="仿宋" w:eastAsia="仿宋" w:cs="仿宋"/>
          <w:color w:val="auto"/>
          <w:sz w:val="24"/>
          <w:highlight w:val="none"/>
          <w:u w:val="single"/>
        </w:rPr>
        <w:t xml:space="preserve"> (公司全称) </w:t>
      </w:r>
      <w:r>
        <w:rPr>
          <w:rFonts w:hint="eastAsia" w:ascii="仿宋" w:hAnsi="仿宋" w:eastAsia="仿宋" w:cs="仿宋"/>
          <w:color w:val="auto"/>
          <w:sz w:val="24"/>
          <w:highlight w:val="none"/>
        </w:rPr>
        <w:t>为</w:t>
      </w:r>
      <w:r>
        <w:rPr>
          <w:rFonts w:hint="eastAsia" w:ascii="仿宋" w:hAnsi="仿宋" w:eastAsia="仿宋" w:cs="仿宋"/>
          <w:color w:val="auto"/>
          <w:sz w:val="24"/>
          <w:highlight w:val="none"/>
          <w:u w:val="single"/>
        </w:rPr>
        <w:t>(请填写：小型、微型)</w:t>
      </w:r>
      <w:r>
        <w:rPr>
          <w:rFonts w:hint="eastAsia" w:ascii="仿宋" w:hAnsi="仿宋" w:eastAsia="仿宋" w:cs="仿宋"/>
          <w:color w:val="auto"/>
          <w:sz w:val="24"/>
          <w:highlight w:val="none"/>
        </w:rPr>
        <w:t>企业，将承担合同总金额</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%的工作内容(联合体成员中有小型、微型企业时适用)。</w:t>
      </w:r>
    </w:p>
    <w:p w14:paraId="6FEBFF00">
      <w:pPr>
        <w:autoSpaceDE w:val="0"/>
        <w:autoSpaceDN w:val="0"/>
        <w:spacing w:before="440" w:line="260" w:lineRule="atLeast"/>
        <w:ind w:left="340"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三、投标活动以及联合体在中标后项目实施过程中的有关费用按各自承担的工作量分摊。</w:t>
      </w:r>
    </w:p>
    <w:p w14:paraId="2A847A20">
      <w:pPr>
        <w:autoSpaceDE w:val="0"/>
        <w:autoSpaceDN w:val="0"/>
        <w:spacing w:before="140" w:line="560" w:lineRule="atLeast"/>
        <w:ind w:left="600" w:right="320"/>
        <w:rPr>
          <w:rFonts w:ascii="仿宋" w:hAnsi="仿宋" w:eastAsia="仿宋" w:cs="仿宋"/>
          <w:color w:val="auto"/>
          <w:sz w:val="24"/>
          <w:highlight w:val="none"/>
        </w:rPr>
      </w:pPr>
      <w:r>
        <w:rPr>
          <w:rFonts w:hint="eastAsia" w:ascii="仿宋" w:hAnsi="仿宋" w:eastAsia="仿宋" w:cs="仿宋"/>
          <w:color w:val="auto"/>
          <w:sz w:val="24"/>
          <w:highlight w:val="none"/>
        </w:rPr>
        <w:t xml:space="preserve">   四、联合体各方不得再以自己名义参与本项目响应，联合体各方不能作为其它联合体或单独响应单位的项目组成员参加本项目响应。因发生上述问题导致联合体响应成为无效报价，联合体的其他成员可追究其违约责任和经济损失。</w:t>
      </w:r>
    </w:p>
    <w:p w14:paraId="64CDA92F">
      <w:pPr>
        <w:autoSpaceDE w:val="0"/>
        <w:autoSpaceDN w:val="0"/>
        <w:spacing w:before="20" w:line="560" w:lineRule="atLeast"/>
        <w:ind w:left="600" w:right="500"/>
        <w:rPr>
          <w:rFonts w:ascii="仿宋" w:hAnsi="仿宋" w:eastAsia="仿宋" w:cs="仿宋"/>
          <w:color w:val="auto"/>
          <w:sz w:val="24"/>
          <w:highlight w:val="none"/>
        </w:rPr>
      </w:pPr>
      <w:r>
        <w:rPr>
          <w:rFonts w:hint="eastAsia" w:ascii="仿宋" w:hAnsi="仿宋" w:eastAsia="仿宋" w:cs="仿宋"/>
          <w:color w:val="auto"/>
          <w:sz w:val="24"/>
          <w:highlight w:val="none"/>
        </w:rPr>
        <w:t xml:space="preserve">   五、联合体如因违约过失责任而导致采购人经济损失或被索赔时，本联合体任何一方均同意无条件优先清偿采购人的一切债务和经济赔偿。</w:t>
      </w:r>
    </w:p>
    <w:p w14:paraId="422B1919">
      <w:pPr>
        <w:autoSpaceDE w:val="0"/>
        <w:autoSpaceDN w:val="0"/>
        <w:spacing w:before="20" w:line="560" w:lineRule="atLeast"/>
        <w:ind w:left="580" w:right="620"/>
        <w:rPr>
          <w:rFonts w:ascii="仿宋" w:hAnsi="仿宋" w:eastAsia="仿宋" w:cs="仿宋"/>
          <w:color w:val="auto"/>
          <w:sz w:val="24"/>
          <w:highlight w:val="none"/>
        </w:rPr>
      </w:pPr>
      <w:r>
        <w:rPr>
          <w:rFonts w:hint="eastAsia" w:ascii="仿宋" w:hAnsi="仿宋" w:eastAsia="仿宋" w:cs="仿宋"/>
          <w:color w:val="auto"/>
          <w:sz w:val="24"/>
          <w:highlight w:val="none"/>
        </w:rPr>
        <w:t xml:space="preserve">   六、联合体中标后，本联合体协议是合同的附件，对联合体各成员单位有合同约束力。</w:t>
      </w:r>
    </w:p>
    <w:p w14:paraId="53B3CD97">
      <w:pPr>
        <w:autoSpaceDE w:val="0"/>
        <w:autoSpaceDN w:val="0"/>
        <w:spacing w:before="20" w:line="560" w:lineRule="atLeast"/>
        <w:ind w:left="580" w:right="740"/>
        <w:rPr>
          <w:rFonts w:ascii="仿宋" w:hAnsi="仿宋" w:eastAsia="仿宋" w:cs="仿宋"/>
          <w:color w:val="auto"/>
          <w:sz w:val="24"/>
          <w:highlight w:val="none"/>
        </w:rPr>
      </w:pPr>
      <w:r>
        <w:rPr>
          <w:rFonts w:hint="eastAsia" w:ascii="仿宋" w:hAnsi="仿宋" w:eastAsia="仿宋" w:cs="仿宋"/>
          <w:color w:val="auto"/>
          <w:sz w:val="24"/>
          <w:highlight w:val="none"/>
        </w:rPr>
        <w:t xml:space="preserve">   七、本协议在自签署之日起生效，联合体未中标或者中标时合同履行完毕后自动失效。</w:t>
      </w:r>
    </w:p>
    <w:p w14:paraId="5EB79545">
      <w:pPr>
        <w:autoSpaceDE w:val="0"/>
        <w:autoSpaceDN w:val="0"/>
        <w:spacing w:before="20" w:line="560" w:lineRule="atLeast"/>
        <w:ind w:left="580" w:right="640"/>
        <w:rPr>
          <w:rFonts w:ascii="仿宋" w:hAnsi="仿宋" w:eastAsia="仿宋" w:cs="仿宋"/>
          <w:color w:val="auto"/>
          <w:sz w:val="24"/>
          <w:highlight w:val="none"/>
        </w:rPr>
      </w:pPr>
      <w:r>
        <w:rPr>
          <w:rFonts w:hint="eastAsia" w:ascii="仿宋" w:hAnsi="仿宋" w:eastAsia="仿宋" w:cs="仿宋"/>
          <w:color w:val="auto"/>
          <w:sz w:val="24"/>
          <w:highlight w:val="none"/>
        </w:rPr>
        <w:t xml:space="preserve">   八、本协议书正本一式</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份，随投标文件装订</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份，送采购人</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份，联合体成员各一份：副本一式</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份，联合体成员各执</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份。</w:t>
      </w:r>
    </w:p>
    <w:p w14:paraId="054F4B3F">
      <w:pPr>
        <w:tabs>
          <w:tab w:val="left" w:pos="6090"/>
        </w:tabs>
        <w:autoSpaceDE w:val="0"/>
        <w:autoSpaceDN w:val="0"/>
        <w:spacing w:before="580" w:line="240" w:lineRule="atLeast"/>
        <w:ind w:left="640"/>
        <w:rPr>
          <w:rFonts w:ascii="仿宋" w:hAnsi="仿宋" w:eastAsia="仿宋" w:cs="仿宋"/>
          <w:color w:val="auto"/>
          <w:sz w:val="24"/>
          <w:highlight w:val="none"/>
        </w:rPr>
      </w:pPr>
      <w:r>
        <w:rPr>
          <w:rFonts w:hint="eastAsia" w:ascii="仿宋" w:hAnsi="仿宋" w:eastAsia="仿宋" w:cs="仿宋"/>
          <w:color w:val="auto"/>
          <w:sz w:val="24"/>
          <w:highlight w:val="none"/>
        </w:rPr>
        <w:t xml:space="preserve">甲公司全称： (盖章)   </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 xml:space="preserve">乙公司全称：(盖章)     </w:t>
      </w:r>
    </w:p>
    <w:p w14:paraId="141495D6">
      <w:pPr>
        <w:tabs>
          <w:tab w:val="left" w:pos="6510"/>
        </w:tabs>
        <w:autoSpaceDE w:val="0"/>
        <w:autoSpaceDN w:val="0"/>
        <w:spacing w:before="240" w:line="240" w:lineRule="atLeast"/>
        <w:ind w:left="640"/>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 (签字或盖章)                   </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法定代表人(签字或盖章)</w:t>
      </w:r>
    </w:p>
    <w:p w14:paraId="3FD995A3">
      <w:pPr>
        <w:tabs>
          <w:tab w:val="left" w:pos="6930"/>
        </w:tabs>
        <w:autoSpaceDE w:val="0"/>
        <w:autoSpaceDN w:val="0"/>
        <w:spacing w:before="260" w:line="240" w:lineRule="atLeast"/>
        <w:ind w:firstLine="720" w:firstLineChars="300"/>
        <w:rPr>
          <w:rFonts w:ascii="仿宋" w:hAnsi="仿宋" w:eastAsia="仿宋" w:cs="仿宋"/>
          <w:color w:val="auto"/>
          <w:sz w:val="24"/>
          <w:highlight w:val="none"/>
        </w:rPr>
      </w:pPr>
      <w:r>
        <w:rPr>
          <w:rFonts w:hint="eastAsia" w:ascii="仿宋" w:hAnsi="仿宋" w:eastAsia="仿宋" w:cs="仿宋"/>
          <w:color w:val="auto"/>
          <w:sz w:val="24"/>
          <w:highlight w:val="none"/>
        </w:rPr>
        <w:t xml:space="preserve">年 月  日                        </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年 月 日</w:t>
      </w:r>
    </w:p>
    <w:p w14:paraId="349574A4">
      <w:pPr>
        <w:autoSpaceDE w:val="0"/>
        <w:autoSpaceDN w:val="0"/>
        <w:spacing w:before="700" w:line="260" w:lineRule="atLeast"/>
        <w:ind w:left="640"/>
        <w:rPr>
          <w:rFonts w:ascii="仿宋" w:hAnsi="仿宋" w:eastAsia="仿宋" w:cs="仿宋"/>
          <w:color w:val="auto"/>
          <w:sz w:val="24"/>
          <w:highlight w:val="none"/>
        </w:rPr>
      </w:pPr>
      <w:r>
        <w:rPr>
          <w:rFonts w:hint="eastAsia" w:ascii="仿宋" w:hAnsi="仿宋" w:eastAsia="仿宋" w:cs="仿宋"/>
          <w:color w:val="auto"/>
          <w:sz w:val="24"/>
          <w:highlight w:val="none"/>
        </w:rPr>
        <w:t>特别说明：</w:t>
      </w:r>
    </w:p>
    <w:p w14:paraId="1F4BC622">
      <w:pPr>
        <w:autoSpaceDE w:val="0"/>
        <w:autoSpaceDN w:val="0"/>
        <w:spacing w:before="260" w:line="260" w:lineRule="atLeast"/>
        <w:ind w:left="1060"/>
        <w:rPr>
          <w:rFonts w:ascii="仿宋" w:hAnsi="仿宋" w:eastAsia="仿宋" w:cs="仿宋"/>
          <w:color w:val="auto"/>
          <w:sz w:val="24"/>
          <w:highlight w:val="none"/>
        </w:rPr>
      </w:pPr>
      <w:r>
        <w:rPr>
          <w:rFonts w:hint="eastAsia" w:ascii="仿宋" w:hAnsi="仿宋" w:eastAsia="仿宋" w:cs="仿宋"/>
          <w:color w:val="auto"/>
          <w:sz w:val="24"/>
          <w:highlight w:val="none"/>
        </w:rPr>
        <w:t>1.联合投标时需签本协议，联合体各方成员应在本协议上共同盖章确认。</w:t>
      </w:r>
    </w:p>
    <w:p w14:paraId="00358923">
      <w:pPr>
        <w:autoSpaceDE w:val="0"/>
        <w:autoSpaceDN w:val="0"/>
        <w:spacing w:before="140" w:line="540" w:lineRule="atLeast"/>
        <w:ind w:left="1060" w:right="140"/>
        <w:rPr>
          <w:rFonts w:ascii="仿宋" w:hAnsi="仿宋" w:eastAsia="仿宋" w:cs="仿宋"/>
          <w:color w:val="auto"/>
          <w:sz w:val="24"/>
          <w:highlight w:val="none"/>
        </w:rPr>
      </w:pPr>
      <w:r>
        <w:rPr>
          <w:rFonts w:hint="eastAsia" w:ascii="仿宋" w:hAnsi="仿宋" w:eastAsia="仿宋" w:cs="仿宋"/>
          <w:color w:val="auto"/>
          <w:sz w:val="24"/>
          <w:highlight w:val="none"/>
        </w:rPr>
        <w:t>2.本协议内容为参考格式，投标人组成联合体投标时可以细化，但不得低于本参考格式要求。</w:t>
      </w:r>
    </w:p>
    <w:p w14:paraId="0043DB95">
      <w:pPr>
        <w:pStyle w:val="9"/>
        <w:rPr>
          <w:rFonts w:ascii="仿宋" w:hAnsi="仿宋" w:eastAsia="仿宋" w:cs="仿宋"/>
          <w:color w:val="auto"/>
          <w:highlight w:val="none"/>
        </w:rPr>
      </w:pPr>
    </w:p>
    <w:p w14:paraId="48A3AA69">
      <w:pPr>
        <w:rPr>
          <w:rFonts w:ascii="仿宋" w:hAnsi="仿宋" w:eastAsia="仿宋" w:cs="仿宋"/>
          <w:color w:val="auto"/>
          <w:highlight w:val="none"/>
        </w:rPr>
      </w:pPr>
    </w:p>
    <w:sectPr>
      <w:pgSz w:w="11906" w:h="16838"/>
      <w:pgMar w:top="1440" w:right="1287" w:bottom="1440" w:left="137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
    <w:altName w:val="宋体"/>
    <w:panose1 w:val="00000000000000000000"/>
    <w:charset w:val="86"/>
    <w:family w:val="auto"/>
    <w:pitch w:val="default"/>
    <w:sig w:usb0="00000000" w:usb1="00000000" w:usb2="00000010" w:usb3="00000000" w:csb0="00040000" w:csb1="00000000"/>
  </w:font>
  <w:font w:name="长城仿宋">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 w:name="MS PGothic">
    <w:panose1 w:val="020B0600070205080204"/>
    <w:charset w:val="80"/>
    <w:family w:val="auto"/>
    <w:pitch w:val="default"/>
    <w:sig w:usb0="E00002FF" w:usb1="6AC7FDFB" w:usb2="08000012" w:usb3="00000000" w:csb0="4002009F" w:csb1="DFD7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E1F8E9">
    <w:pPr>
      <w:wordWrap w:val="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158036">
    <w:pPr>
      <w:wordWrap w:val="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4041BF">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F90D623">
                          <w:pPr>
                            <w:pStyle w:val="14"/>
                          </w:pPr>
                          <w:r>
                            <w:t xml:space="preserve">— </w:t>
                          </w:r>
                          <w:r>
                            <w:fldChar w:fldCharType="begin"/>
                          </w:r>
                          <w:r>
                            <w:instrText xml:space="preserve"> PAGE  \* MERGEFORMAT </w:instrText>
                          </w:r>
                          <w:r>
                            <w:fldChar w:fldCharType="separate"/>
                          </w:r>
                          <w:r>
                            <w:t>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jHpww4AgAAb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mMenDDgCAABvBAAADgAAAAAAAAABACAAAAAfAQAAZHJzL2Uyb0RvYy54&#10;bWxQSwUGAAAAAAYABgBZAQAAyQUAAAAA&#10;">
              <v:fill on="f" focussize="0,0"/>
              <v:stroke on="f" weight="0.5pt"/>
              <v:imagedata o:title=""/>
              <o:lock v:ext="edit" aspectratio="f"/>
              <v:textbox inset="0mm,0mm,0mm,0mm" style="mso-fit-shape-to-text:t;">
                <w:txbxContent>
                  <w:p w14:paraId="0F90D623">
                    <w:pPr>
                      <w:pStyle w:val="14"/>
                    </w:pPr>
                    <w:r>
                      <w:t xml:space="preserve">— </w:t>
                    </w:r>
                    <w:r>
                      <w:fldChar w:fldCharType="begin"/>
                    </w:r>
                    <w:r>
                      <w:instrText xml:space="preserve"> PAGE  \* MERGEFORMAT </w:instrText>
                    </w:r>
                    <w:r>
                      <w:fldChar w:fldCharType="separate"/>
                    </w:r>
                    <w:r>
                      <w:t>2</w:t>
                    </w:r>
                    <w:r>
                      <w:fldChar w:fldCharType="end"/>
                    </w:r>
                    <w: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4BF726">
    <w:pPr>
      <w:pStyle w:val="14"/>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2FC1C8A">
                          <w:pPr>
                            <w:pStyle w:val="14"/>
                          </w:pPr>
                          <w:r>
                            <w:t xml:space="preserve">— </w:t>
                          </w:r>
                          <w:r>
                            <w:fldChar w:fldCharType="begin"/>
                          </w:r>
                          <w:r>
                            <w:instrText xml:space="preserve"> PAGE  \* MERGEFORMAT </w:instrText>
                          </w:r>
                          <w:r>
                            <w:fldChar w:fldCharType="separate"/>
                          </w:r>
                          <w:r>
                            <w:t>8</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niKxQ4AgAAbw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OeIrFDgCAABvBAAADgAAAAAAAAABACAAAAAfAQAAZHJzL2Uyb0RvYy54&#10;bWxQSwUGAAAAAAYABgBZAQAAyQUAAAAA&#10;">
              <v:fill on="f" focussize="0,0"/>
              <v:stroke on="f" weight="0.5pt"/>
              <v:imagedata o:title=""/>
              <o:lock v:ext="edit" aspectratio="f"/>
              <v:textbox inset="0mm,0mm,0mm,0mm" style="mso-fit-shape-to-text:t;">
                <w:txbxContent>
                  <w:p w14:paraId="62FC1C8A">
                    <w:pPr>
                      <w:pStyle w:val="14"/>
                    </w:pPr>
                    <w:r>
                      <w:t xml:space="preserve">— </w:t>
                    </w:r>
                    <w:r>
                      <w:fldChar w:fldCharType="begin"/>
                    </w:r>
                    <w:r>
                      <w:instrText xml:space="preserve"> PAGE  \* MERGEFORMAT </w:instrText>
                    </w:r>
                    <w:r>
                      <w:fldChar w:fldCharType="separate"/>
                    </w:r>
                    <w:r>
                      <w:t>8</w:t>
                    </w:r>
                    <w:r>
                      <w:fldChar w:fldCharType="end"/>
                    </w:r>
                    <w:r>
                      <w:t xml:space="preserve"> —</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C72A69D">
                          <w:pPr>
                            <w:pStyle w:val="14"/>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0uhMYs0BAACnAwAADgAAAAAAAAABACAAAAAeAQAAZHJzL2Uy&#10;b0RvYy54bWxQSwUGAAAAAAYABgBZAQAAXQUAAAAA&#10;">
              <v:fill on="f" focussize="0,0"/>
              <v:stroke on="f"/>
              <v:imagedata o:title=""/>
              <o:lock v:ext="edit" aspectratio="f"/>
              <v:textbox inset="0mm,0mm,0mm,0mm" style="mso-fit-shape-to-text:t;">
                <w:txbxContent>
                  <w:p w14:paraId="0C72A69D">
                    <w:pPr>
                      <w:pStyle w:val="14"/>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58F02C">
    <w:pPr>
      <w:pStyle w:val="14"/>
      <w:jc w:val="right"/>
      <w:rPr>
        <w:sz w:val="21"/>
      </w:rPr>
    </w:pPr>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4D8FF54">
                          <w:pPr>
                            <w:pStyle w:val="14"/>
                          </w:pPr>
                          <w:r>
                            <w:t xml:space="preserve">— </w:t>
                          </w:r>
                          <w:r>
                            <w:fldChar w:fldCharType="begin"/>
                          </w:r>
                          <w:r>
                            <w:instrText xml:space="preserve"> PAGE  \* MERGEFORMAT </w:instrText>
                          </w:r>
                          <w:r>
                            <w:fldChar w:fldCharType="separate"/>
                          </w:r>
                          <w:r>
                            <w:t>24</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qMvz03AgAAbw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ajL89NwIAAG8EAAAOAAAAAAAAAAEAIAAAAB8BAABkcnMvZTJvRG9jLnht&#10;bFBLBQYAAAAABgAGAFkBAADIBQAAAAA=&#10;">
              <v:fill on="f" focussize="0,0"/>
              <v:stroke on="f" weight="0.5pt"/>
              <v:imagedata o:title=""/>
              <o:lock v:ext="edit" aspectratio="f"/>
              <v:textbox inset="0mm,0mm,0mm,0mm" style="mso-fit-shape-to-text:t;">
                <w:txbxContent>
                  <w:p w14:paraId="14D8FF54">
                    <w:pPr>
                      <w:pStyle w:val="14"/>
                    </w:pPr>
                    <w:r>
                      <w:t xml:space="preserve">— </w:t>
                    </w:r>
                    <w:r>
                      <w:fldChar w:fldCharType="begin"/>
                    </w:r>
                    <w:r>
                      <w:instrText xml:space="preserve"> PAGE  \* MERGEFORMAT </w:instrText>
                    </w:r>
                    <w:r>
                      <w:fldChar w:fldCharType="separate"/>
                    </w:r>
                    <w:r>
                      <w:t>24</w:t>
                    </w:r>
                    <w:r>
                      <w:fldChar w:fldCharType="end"/>
                    </w:r>
                    <w:r>
                      <w:t xml:space="preserve"> —</w:t>
                    </w:r>
                  </w:p>
                </w:txbxContent>
              </v:textbox>
            </v:shape>
          </w:pict>
        </mc:Fallback>
      </mc:AlternateContent>
    </w: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6699C2F">
                          <w:pPr>
                            <w:pStyle w:val="14"/>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NPPqHM0BAACnAwAADgAAAAAAAAABACAAAAAeAQAAZHJzL2Uy&#10;b0RvYy54bWxQSwUGAAAAAAYABgBZAQAAXQUAAAAA&#10;">
              <v:fill on="f" focussize="0,0"/>
              <v:stroke on="f"/>
              <v:imagedata o:title=""/>
              <o:lock v:ext="edit" aspectratio="f"/>
              <v:textbox inset="0mm,0mm,0mm,0mm" style="mso-fit-shape-to-text:t;">
                <w:txbxContent>
                  <w:p w14:paraId="26699C2F">
                    <w:pPr>
                      <w:pStyle w:val="14"/>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4E5997">
    <w:pPr>
      <w:pStyle w:val="14"/>
      <w:jc w:val="right"/>
      <w:rPr>
        <w:sz w:val="21"/>
      </w:rPr>
    </w:pPr>
    <w:r>
      <w:rPr>
        <w:sz w:val="21"/>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EF42D16">
                          <w:pPr>
                            <w:pStyle w:val="14"/>
                          </w:pPr>
                          <w:r>
                            <w:t xml:space="preserve">— </w:t>
                          </w:r>
                          <w:r>
                            <w:fldChar w:fldCharType="begin"/>
                          </w:r>
                          <w:r>
                            <w:instrText xml:space="preserve"> PAGE  \* MERGEFORMAT </w:instrText>
                          </w:r>
                          <w:r>
                            <w:fldChar w:fldCharType="separate"/>
                          </w:r>
                          <w:r>
                            <w:t>34</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R89qo3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jtbVh6p7&#10;gCm0LGz1zvKYJkrl7eoYIG1SPArUqYJOxQPmMPWs35k46H+eU9Tj/8T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UfPaqNwIAAG8EAAAOAAAAAAAAAAEAIAAAAB8BAABkcnMvZTJvRG9jLnht&#10;bFBLBQYAAAAABgAGAFkBAADIBQAAAAA=&#10;">
              <v:fill on="f" focussize="0,0"/>
              <v:stroke on="f" weight="0.5pt"/>
              <v:imagedata o:title=""/>
              <o:lock v:ext="edit" aspectratio="f"/>
              <v:textbox inset="0mm,0mm,0mm,0mm" style="mso-fit-shape-to-text:t;">
                <w:txbxContent>
                  <w:p w14:paraId="6EF42D16">
                    <w:pPr>
                      <w:pStyle w:val="14"/>
                    </w:pPr>
                    <w:r>
                      <w:t xml:space="preserve">— </w:t>
                    </w:r>
                    <w:r>
                      <w:fldChar w:fldCharType="begin"/>
                    </w:r>
                    <w:r>
                      <w:instrText xml:space="preserve"> PAGE  \* MERGEFORMAT </w:instrText>
                    </w:r>
                    <w:r>
                      <w:fldChar w:fldCharType="separate"/>
                    </w:r>
                    <w:r>
                      <w:t>34</w:t>
                    </w:r>
                    <w:r>
                      <w:fldChar w:fldCharType="end"/>
                    </w:r>
                    <w:r>
                      <w:t xml:space="preserve"> —</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332829">
    <w:pPr>
      <w:pStyle w:val="14"/>
      <w:wordWrap w:val="0"/>
      <w:jc w:val="right"/>
      <w:rPr>
        <w:sz w:val="21"/>
      </w:rPr>
    </w:pPr>
    <w:r>
      <w:rPr>
        <w:sz w:val="21"/>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D31EA36">
                          <w:pPr>
                            <w:pStyle w:val="14"/>
                          </w:pPr>
                          <w:r>
                            <w:t xml:space="preserve">— </w:t>
                          </w:r>
                          <w:r>
                            <w:fldChar w:fldCharType="begin"/>
                          </w:r>
                          <w:r>
                            <w:instrText xml:space="preserve"> PAGE  \* MERGEFORMAT </w:instrText>
                          </w:r>
                          <w:r>
                            <w:fldChar w:fldCharType="separate"/>
                          </w:r>
                          <w:r>
                            <w:t>51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zQzU3AgAAcQ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zqGCvSNPQwkVJXerRCu297&#10;nntTnEHTmW5SvOWbGqVsmQ8PzGE0UD4eT7jHUkqDlKa3KKmM+/Kv8xiPjsFLSYNRy6nGy6JEvtfo&#10;JADDYLjB2A+GPqo7g9lFc1BLMnHBBTmYpTPqM17UKuaAi2mOTDkNg3kXunHHi+RitUpBR+vqQ9Vd&#10;wBxaFrZ6Z3lME6XydnUMkDYpHgXqVEGn4gaTmHrWv5o46n/uU9Tjn2L5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7c0M1NwIAAHEEAAAOAAAAAAAAAAEAIAAAAB8BAABkcnMvZTJvRG9jLnht&#10;bFBLBQYAAAAABgAGAFkBAADIBQAAAAA=&#10;">
              <v:fill on="f" focussize="0,0"/>
              <v:stroke on="f" weight="0.5pt"/>
              <v:imagedata o:title=""/>
              <o:lock v:ext="edit" aspectratio="f"/>
              <v:textbox inset="0mm,0mm,0mm,0mm" style="mso-fit-shape-to-text:t;">
                <w:txbxContent>
                  <w:p w14:paraId="4D31EA36">
                    <w:pPr>
                      <w:pStyle w:val="14"/>
                    </w:pPr>
                    <w:r>
                      <w:t xml:space="preserve">— </w:t>
                    </w:r>
                    <w:r>
                      <w:fldChar w:fldCharType="begin"/>
                    </w:r>
                    <w:r>
                      <w:instrText xml:space="preserve"> PAGE  \* MERGEFORMAT </w:instrText>
                    </w:r>
                    <w:r>
                      <w:fldChar w:fldCharType="separate"/>
                    </w:r>
                    <w:r>
                      <w:t>51</w:t>
                    </w:r>
                    <w:r>
                      <w:fldChar w:fldCharType="end"/>
                    </w:r>
                    <w:r>
                      <w:t xml:space="preserve"> —</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DF027A">
    <w:pPr>
      <w:pStyle w:val="14"/>
      <w:wordWrap w:val="0"/>
      <w:jc w:val="right"/>
      <w:rPr>
        <w:sz w:val="21"/>
      </w:rPr>
    </w:pPr>
    <w:r>
      <w:rPr>
        <w:sz w:val="21"/>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597357B">
                          <w:pPr>
                            <w:pStyle w:val="14"/>
                          </w:pPr>
                          <w:r>
                            <w:t xml:space="preserve">— </w:t>
                          </w:r>
                          <w:r>
                            <w:fldChar w:fldCharType="begin"/>
                          </w:r>
                          <w:r>
                            <w:instrText xml:space="preserve"> PAGE  \* MERGEFORMAT </w:instrText>
                          </w:r>
                          <w:r>
                            <w:fldChar w:fldCharType="separate"/>
                          </w:r>
                          <w:r>
                            <w:t>52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ilnPo4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GKWc+jgCAABxBAAADgAAAAAAAAABACAAAAAfAQAAZHJzL2Uyb0RvYy54&#10;bWxQSwUGAAAAAAYABgBZAQAAyQUAAAAA&#10;">
              <v:fill on="f" focussize="0,0"/>
              <v:stroke on="f" weight="0.5pt"/>
              <v:imagedata o:title=""/>
              <o:lock v:ext="edit" aspectratio="f"/>
              <v:textbox inset="0mm,0mm,0mm,0mm" style="mso-fit-shape-to-text:t;">
                <w:txbxContent>
                  <w:p w14:paraId="5597357B">
                    <w:pPr>
                      <w:pStyle w:val="14"/>
                    </w:pPr>
                    <w:r>
                      <w:t xml:space="preserve">— </w:t>
                    </w:r>
                    <w:r>
                      <w:fldChar w:fldCharType="begin"/>
                    </w:r>
                    <w:r>
                      <w:instrText xml:space="preserve"> PAGE  \* MERGEFORMAT </w:instrText>
                    </w:r>
                    <w:r>
                      <w:fldChar w:fldCharType="separate"/>
                    </w:r>
                    <w:r>
                      <w:t>52</w:t>
                    </w:r>
                    <w:r>
                      <w:fldChar w:fldCharType="end"/>
                    </w:r>
                    <w:r>
                      <w:t xml:space="preserve"> —</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23343B">
    <w:pPr>
      <w:pStyle w:val="14"/>
      <w:wordWrap w:val="0"/>
      <w:jc w:val="right"/>
      <w:rPr>
        <w:sz w:val="21"/>
      </w:rPr>
    </w:pPr>
    <w:r>
      <w:rPr>
        <w:sz w:val="21"/>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E0C1666">
                          <w:pPr>
                            <w:pStyle w:val="14"/>
                          </w:pPr>
                          <w:r>
                            <w:t xml:space="preserve">— </w:t>
                          </w:r>
                          <w:r>
                            <w:fldChar w:fldCharType="begin"/>
                          </w:r>
                          <w:r>
                            <w:instrText xml:space="preserve"> PAGE  \* MERGEFORMAT </w:instrText>
                          </w:r>
                          <w:r>
                            <w:fldChar w:fldCharType="separate"/>
                          </w:r>
                          <w:r>
                            <w:t>60</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kX1r85AgAAc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6/ejtODiwfgUsdYkaahh4mUutKjFdpd&#10;2/PcmeIEms50k+It39QoZct8uGcOo4HysTzhDp9SGqQ0vUVJZdzXf93HeHQMXkoajFpONTaLEvlB&#10;o5MADIPhBmM3GPqgbg1md4KltDyZeOCCHMzSGfUFG7WKOeBimiNTTsNg3oZu3LGRXKxWKehgXb2v&#10;ugeYQ8vCVj9YHtNEqbxdHQKkTYpHgTpV0Kl4wCSmnvVbE0f9z3OKevqnWD4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DkX1r85AgAAcQQAAA4AAAAAAAAAAQAgAAAAHwEAAGRycy9lMm9Eb2Mu&#10;eG1sUEsFBgAAAAAGAAYAWQEAAMoFAAAAAA==&#10;">
              <v:fill on="f" focussize="0,0"/>
              <v:stroke on="f" weight="0.5pt"/>
              <v:imagedata o:title=""/>
              <o:lock v:ext="edit" aspectratio="f"/>
              <v:textbox inset="0mm,0mm,0mm,0mm" style="mso-fit-shape-to-text:t;">
                <w:txbxContent>
                  <w:p w14:paraId="4E0C1666">
                    <w:pPr>
                      <w:pStyle w:val="14"/>
                    </w:pPr>
                    <w:r>
                      <w:t xml:space="preserve">— </w:t>
                    </w:r>
                    <w:r>
                      <w:fldChar w:fldCharType="begin"/>
                    </w:r>
                    <w:r>
                      <w:instrText xml:space="preserve"> PAGE  \* MERGEFORMAT </w:instrText>
                    </w:r>
                    <w:r>
                      <w:fldChar w:fldCharType="separate"/>
                    </w:r>
                    <w:r>
                      <w:t>60</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5427D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ACAFC"/>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8040CE">
    <w:pPr>
      <w:rPr>
        <w:i/>
        <w:iC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FDC890"/>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D6BD7"/>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B04D1E"/>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2BEA3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5B93F6E"/>
    <w:multiLevelType w:val="singleLevel"/>
    <w:tmpl w:val="C5B93F6E"/>
    <w:lvl w:ilvl="0" w:tentative="0">
      <w:start w:val="6"/>
      <w:numFmt w:val="chineseCounting"/>
      <w:suff w:val="nothing"/>
      <w:lvlText w:val="（%1）"/>
      <w:lvlJc w:val="left"/>
      <w:rPr>
        <w:rFonts w:hint="eastAsia"/>
      </w:rPr>
    </w:lvl>
  </w:abstractNum>
  <w:abstractNum w:abstractNumId="1">
    <w:nsid w:val="FCBA8A53"/>
    <w:multiLevelType w:val="singleLevel"/>
    <w:tmpl w:val="FCBA8A53"/>
    <w:lvl w:ilvl="0" w:tentative="0">
      <w:start w:val="1"/>
      <w:numFmt w:val="decimalEnclosedCircleChinese"/>
      <w:suff w:val="space"/>
      <w:lvlText w:val="%1"/>
      <w:lvlJc w:val="left"/>
      <w:pPr>
        <w:ind w:left="361" w:leftChars="0" w:firstLine="0" w:firstLineChars="0"/>
      </w:pPr>
      <w:rPr>
        <w:rFonts w:hint="eastAsia"/>
      </w:rPr>
    </w:lvl>
  </w:abstractNum>
  <w:abstractNum w:abstractNumId="2">
    <w:nsid w:val="00000013"/>
    <w:multiLevelType w:val="multilevel"/>
    <w:tmpl w:val="00000013"/>
    <w:lvl w:ilvl="0" w:tentative="0">
      <w:start w:val="1"/>
      <w:numFmt w:val="decimal"/>
      <w:lvlText w:val="%1"/>
      <w:lvlJc w:val="left"/>
      <w:pPr>
        <w:tabs>
          <w:tab w:val="left" w:pos="600"/>
        </w:tabs>
        <w:ind w:left="600" w:hanging="600"/>
      </w:pPr>
      <w:rPr>
        <w:rFonts w:hint="eastAsia" w:ascii="宋体" w:hAnsi="宋体"/>
      </w:rPr>
    </w:lvl>
    <w:lvl w:ilvl="1" w:tentative="0">
      <w:start w:val="1"/>
      <w:numFmt w:val="decimal"/>
      <w:lvlText w:val="%1.%2"/>
      <w:lvlJc w:val="left"/>
      <w:pPr>
        <w:tabs>
          <w:tab w:val="left" w:pos="600"/>
        </w:tabs>
        <w:ind w:left="600" w:hanging="600"/>
      </w:pPr>
      <w:rPr>
        <w:rFonts w:hint="eastAsia" w:ascii="宋体" w:hAnsi="宋体"/>
      </w:rPr>
    </w:lvl>
    <w:lvl w:ilvl="2" w:tentative="0">
      <w:start w:val="1"/>
      <w:numFmt w:val="decimal"/>
      <w:lvlText w:val="%1.%2.%3"/>
      <w:lvlJc w:val="left"/>
      <w:pPr>
        <w:tabs>
          <w:tab w:val="left" w:pos="720"/>
        </w:tabs>
        <w:ind w:left="720" w:hanging="720"/>
      </w:pPr>
      <w:rPr>
        <w:rFonts w:hint="eastAsia" w:ascii="宋体" w:hAnsi="宋体"/>
      </w:rPr>
    </w:lvl>
    <w:lvl w:ilvl="3" w:tentative="0">
      <w:start w:val="1"/>
      <w:numFmt w:val="decimal"/>
      <w:lvlText w:val="%1.%2.%3.%4"/>
      <w:lvlJc w:val="left"/>
      <w:pPr>
        <w:tabs>
          <w:tab w:val="left" w:pos="720"/>
        </w:tabs>
        <w:ind w:left="720" w:hanging="720"/>
      </w:pPr>
      <w:rPr>
        <w:rFonts w:hint="eastAsia" w:ascii="宋体" w:hAnsi="宋体"/>
      </w:rPr>
    </w:lvl>
    <w:lvl w:ilvl="4" w:tentative="0">
      <w:start w:val="1"/>
      <w:numFmt w:val="decimal"/>
      <w:lvlText w:val="%1.%2.%3.%4.%5"/>
      <w:lvlJc w:val="left"/>
      <w:pPr>
        <w:tabs>
          <w:tab w:val="left" w:pos="1080"/>
        </w:tabs>
        <w:ind w:left="1080" w:hanging="1080"/>
      </w:pPr>
      <w:rPr>
        <w:rFonts w:hint="eastAsia" w:ascii="宋体" w:hAnsi="宋体"/>
      </w:rPr>
    </w:lvl>
    <w:lvl w:ilvl="5" w:tentative="0">
      <w:start w:val="1"/>
      <w:numFmt w:val="decimal"/>
      <w:lvlText w:val="%1.%2.%3.%4.%5.%6"/>
      <w:lvlJc w:val="left"/>
      <w:pPr>
        <w:tabs>
          <w:tab w:val="left" w:pos="1080"/>
        </w:tabs>
        <w:ind w:left="1080" w:hanging="1080"/>
      </w:pPr>
      <w:rPr>
        <w:rFonts w:hint="eastAsia" w:ascii="宋体" w:hAnsi="宋体"/>
      </w:rPr>
    </w:lvl>
    <w:lvl w:ilvl="6" w:tentative="0">
      <w:start w:val="1"/>
      <w:numFmt w:val="decimal"/>
      <w:lvlText w:val="%1.%2.%3.%4.%5.%6.%7"/>
      <w:lvlJc w:val="left"/>
      <w:pPr>
        <w:tabs>
          <w:tab w:val="left" w:pos="1440"/>
        </w:tabs>
        <w:ind w:left="1440" w:hanging="1440"/>
      </w:pPr>
      <w:rPr>
        <w:rFonts w:hint="eastAsia" w:ascii="宋体" w:hAnsi="宋体"/>
      </w:rPr>
    </w:lvl>
    <w:lvl w:ilvl="7" w:tentative="0">
      <w:start w:val="1"/>
      <w:numFmt w:val="decimal"/>
      <w:lvlText w:val="%1.%2.%3.%4.%5.%6.%7.%8"/>
      <w:lvlJc w:val="left"/>
      <w:pPr>
        <w:tabs>
          <w:tab w:val="left" w:pos="1440"/>
        </w:tabs>
        <w:ind w:left="1440" w:hanging="1440"/>
      </w:pPr>
      <w:rPr>
        <w:rFonts w:hint="eastAsia" w:ascii="宋体" w:hAnsi="宋体"/>
      </w:rPr>
    </w:lvl>
    <w:lvl w:ilvl="8" w:tentative="0">
      <w:start w:val="1"/>
      <w:numFmt w:val="decimal"/>
      <w:lvlText w:val="%1.%2.%3.%4.%5.%6.%7.%8.%9"/>
      <w:lvlJc w:val="left"/>
      <w:pPr>
        <w:tabs>
          <w:tab w:val="left" w:pos="1800"/>
        </w:tabs>
        <w:ind w:left="1800" w:hanging="1800"/>
      </w:pPr>
      <w:rPr>
        <w:rFonts w:hint="eastAsia" w:ascii="宋体" w:hAnsi="宋体"/>
      </w:rPr>
    </w:lvl>
  </w:abstractNum>
  <w:abstractNum w:abstractNumId="3">
    <w:nsid w:val="00000018"/>
    <w:multiLevelType w:val="multilevel"/>
    <w:tmpl w:val="00000018"/>
    <w:lvl w:ilvl="0" w:tentative="0">
      <w:start w:val="2"/>
      <w:numFmt w:val="japaneseCounting"/>
      <w:lvlText w:val="第%1章"/>
      <w:lvlJc w:val="left"/>
      <w:pPr>
        <w:tabs>
          <w:tab w:val="left" w:pos="1455"/>
        </w:tabs>
        <w:ind w:left="1455" w:hanging="1455"/>
      </w:pPr>
      <w:rPr>
        <w:rFonts w:hint="eastAsia"/>
      </w:rPr>
    </w:lvl>
    <w:lvl w:ilvl="1" w:tentative="0">
      <w:start w:val="18"/>
      <w:numFmt w:val="decimal"/>
      <w:lvlText w:val="%2."/>
      <w:lvlJc w:val="left"/>
      <w:pPr>
        <w:tabs>
          <w:tab w:val="left" w:pos="960"/>
        </w:tabs>
        <w:ind w:left="960" w:hanging="540"/>
      </w:pPr>
      <w:rPr>
        <w:rFonts w:hint="eastAsia"/>
      </w:rPr>
    </w:lvl>
    <w:lvl w:ilvl="2" w:tentative="0">
      <w:start w:val="1"/>
      <w:numFmt w:val="decimal"/>
      <w:lvlText w:val="%3、"/>
      <w:lvlJc w:val="left"/>
      <w:pPr>
        <w:tabs>
          <w:tab w:val="left" w:pos="1070"/>
        </w:tabs>
        <w:ind w:left="1070" w:hanging="360"/>
      </w:pPr>
      <w:rPr>
        <w:rFonts w:hint="default"/>
      </w:rPr>
    </w:lvl>
    <w:lvl w:ilvl="3" w:tentative="0">
      <w:start w:val="1"/>
      <w:numFmt w:val="decimal"/>
      <w:lvlText w:val="%4）"/>
      <w:lvlJc w:val="left"/>
      <w:pPr>
        <w:tabs>
          <w:tab w:val="left" w:pos="1620"/>
        </w:tabs>
        <w:ind w:left="1620" w:hanging="360"/>
      </w:pPr>
      <w:rPr>
        <w:rFonts w:hint="eastAsia"/>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1D625EE3"/>
    <w:multiLevelType w:val="multilevel"/>
    <w:tmpl w:val="1D625EE3"/>
    <w:lvl w:ilvl="0" w:tentative="0">
      <w:start w:val="1"/>
      <w:numFmt w:val="decimal"/>
      <w:lvlText w:val="%1)"/>
      <w:lvlJc w:val="left"/>
      <w:pPr>
        <w:ind w:left="1020" w:hanging="420"/>
      </w:pPr>
    </w:lvl>
    <w:lvl w:ilvl="1" w:tentative="0">
      <w:start w:val="1"/>
      <w:numFmt w:val="decimal"/>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5">
    <w:nsid w:val="1FA35E4D"/>
    <w:multiLevelType w:val="singleLevel"/>
    <w:tmpl w:val="1FA35E4D"/>
    <w:lvl w:ilvl="0" w:tentative="0">
      <w:start w:val="1"/>
      <w:numFmt w:val="decimal"/>
      <w:suff w:val="nothing"/>
      <w:lvlText w:val="（%1）"/>
      <w:lvlJc w:val="left"/>
    </w:lvl>
  </w:abstractNum>
  <w:abstractNum w:abstractNumId="6">
    <w:nsid w:val="249A657A"/>
    <w:multiLevelType w:val="singleLevel"/>
    <w:tmpl w:val="249A657A"/>
    <w:lvl w:ilvl="0" w:tentative="0">
      <w:start w:val="1"/>
      <w:numFmt w:val="decimal"/>
      <w:suff w:val="nothing"/>
      <w:lvlText w:val="（%1）"/>
      <w:lvlJc w:val="left"/>
    </w:lvl>
  </w:abstractNum>
  <w:abstractNum w:abstractNumId="7">
    <w:nsid w:val="2C242474"/>
    <w:multiLevelType w:val="multilevel"/>
    <w:tmpl w:val="2C242474"/>
    <w:lvl w:ilvl="0" w:tentative="0">
      <w:start w:val="1"/>
      <w:numFmt w:val="none"/>
      <w:lvlText w:val="一、"/>
      <w:lvlJc w:val="left"/>
      <w:pPr>
        <w:ind w:left="975" w:hanging="510"/>
      </w:pPr>
      <w:rPr>
        <w:rFonts w:hint="default" w:ascii="Calibri" w:hAnsi="Calibri"/>
        <w:b/>
      </w:rPr>
    </w:lvl>
    <w:lvl w:ilvl="1" w:tentative="0">
      <w:start w:val="1"/>
      <w:numFmt w:val="lowerLetter"/>
      <w:lvlText w:val="%2)"/>
      <w:lvlJc w:val="left"/>
      <w:pPr>
        <w:ind w:left="1305" w:hanging="420"/>
      </w:pPr>
    </w:lvl>
    <w:lvl w:ilvl="2" w:tentative="0">
      <w:start w:val="1"/>
      <w:numFmt w:val="lowerRoman"/>
      <w:lvlText w:val="%3."/>
      <w:lvlJc w:val="right"/>
      <w:pPr>
        <w:ind w:left="1725" w:hanging="420"/>
      </w:pPr>
    </w:lvl>
    <w:lvl w:ilvl="3" w:tentative="0">
      <w:start w:val="1"/>
      <w:numFmt w:val="decimal"/>
      <w:lvlText w:val="%4."/>
      <w:lvlJc w:val="left"/>
      <w:pPr>
        <w:ind w:left="2145" w:hanging="420"/>
      </w:pPr>
    </w:lvl>
    <w:lvl w:ilvl="4" w:tentative="0">
      <w:start w:val="1"/>
      <w:numFmt w:val="lowerLetter"/>
      <w:lvlText w:val="%5)"/>
      <w:lvlJc w:val="left"/>
      <w:pPr>
        <w:ind w:left="2565" w:hanging="420"/>
      </w:pPr>
    </w:lvl>
    <w:lvl w:ilvl="5" w:tentative="0">
      <w:start w:val="1"/>
      <w:numFmt w:val="lowerRoman"/>
      <w:lvlText w:val="%6."/>
      <w:lvlJc w:val="right"/>
      <w:pPr>
        <w:ind w:left="2985" w:hanging="420"/>
      </w:pPr>
    </w:lvl>
    <w:lvl w:ilvl="6" w:tentative="0">
      <w:start w:val="1"/>
      <w:numFmt w:val="decimal"/>
      <w:lvlText w:val="%7."/>
      <w:lvlJc w:val="left"/>
      <w:pPr>
        <w:ind w:left="3405" w:hanging="420"/>
      </w:pPr>
    </w:lvl>
    <w:lvl w:ilvl="7" w:tentative="0">
      <w:start w:val="1"/>
      <w:numFmt w:val="lowerLetter"/>
      <w:lvlText w:val="%8)"/>
      <w:lvlJc w:val="left"/>
      <w:pPr>
        <w:ind w:left="3825" w:hanging="420"/>
      </w:pPr>
    </w:lvl>
    <w:lvl w:ilvl="8" w:tentative="0">
      <w:start w:val="1"/>
      <w:numFmt w:val="lowerRoman"/>
      <w:lvlText w:val="%9."/>
      <w:lvlJc w:val="right"/>
      <w:pPr>
        <w:ind w:left="4245" w:hanging="420"/>
      </w:pPr>
    </w:lvl>
  </w:abstractNum>
  <w:abstractNum w:abstractNumId="8">
    <w:nsid w:val="2EC920C5"/>
    <w:multiLevelType w:val="multilevel"/>
    <w:tmpl w:val="2EC920C5"/>
    <w:lvl w:ilvl="0" w:tentative="0">
      <w:start w:val="1"/>
      <w:numFmt w:val="decimal"/>
      <w:lvlText w:val="%1."/>
      <w:lvlJc w:val="left"/>
      <w:pPr>
        <w:tabs>
          <w:tab w:val="left" w:pos="1440"/>
        </w:tabs>
        <w:ind w:left="1440" w:hanging="420"/>
      </w:pPr>
    </w:lvl>
    <w:lvl w:ilvl="1" w:tentative="0">
      <w:start w:val="1"/>
      <w:numFmt w:val="lowerLetter"/>
      <w:lvlText w:val="%2)"/>
      <w:lvlJc w:val="left"/>
      <w:pPr>
        <w:tabs>
          <w:tab w:val="left" w:pos="1860"/>
        </w:tabs>
        <w:ind w:left="1860" w:hanging="420"/>
      </w:pPr>
    </w:lvl>
    <w:lvl w:ilvl="2" w:tentative="0">
      <w:start w:val="1"/>
      <w:numFmt w:val="lowerRoman"/>
      <w:lvlText w:val="%3."/>
      <w:lvlJc w:val="right"/>
      <w:pPr>
        <w:tabs>
          <w:tab w:val="left" w:pos="2280"/>
        </w:tabs>
        <w:ind w:left="2280" w:hanging="420"/>
      </w:pPr>
    </w:lvl>
    <w:lvl w:ilvl="3" w:tentative="0">
      <w:start w:val="1"/>
      <w:numFmt w:val="decimal"/>
      <w:lvlText w:val="%4."/>
      <w:lvlJc w:val="left"/>
      <w:pPr>
        <w:tabs>
          <w:tab w:val="left" w:pos="2700"/>
        </w:tabs>
        <w:ind w:left="2700" w:hanging="420"/>
      </w:pPr>
    </w:lvl>
    <w:lvl w:ilvl="4" w:tentative="0">
      <w:start w:val="1"/>
      <w:numFmt w:val="lowerLetter"/>
      <w:lvlText w:val="%5)"/>
      <w:lvlJc w:val="left"/>
      <w:pPr>
        <w:tabs>
          <w:tab w:val="left" w:pos="3120"/>
        </w:tabs>
        <w:ind w:left="3120" w:hanging="420"/>
      </w:pPr>
    </w:lvl>
    <w:lvl w:ilvl="5" w:tentative="0">
      <w:start w:val="1"/>
      <w:numFmt w:val="lowerRoman"/>
      <w:lvlText w:val="%6."/>
      <w:lvlJc w:val="right"/>
      <w:pPr>
        <w:tabs>
          <w:tab w:val="left" w:pos="3540"/>
        </w:tabs>
        <w:ind w:left="3540" w:hanging="420"/>
      </w:pPr>
    </w:lvl>
    <w:lvl w:ilvl="6" w:tentative="0">
      <w:start w:val="1"/>
      <w:numFmt w:val="decimal"/>
      <w:lvlText w:val="%7."/>
      <w:lvlJc w:val="left"/>
      <w:pPr>
        <w:tabs>
          <w:tab w:val="left" w:pos="3960"/>
        </w:tabs>
        <w:ind w:left="3960" w:hanging="420"/>
      </w:pPr>
    </w:lvl>
    <w:lvl w:ilvl="7" w:tentative="0">
      <w:start w:val="1"/>
      <w:numFmt w:val="lowerLetter"/>
      <w:lvlText w:val="%8)"/>
      <w:lvlJc w:val="left"/>
      <w:pPr>
        <w:tabs>
          <w:tab w:val="left" w:pos="4380"/>
        </w:tabs>
        <w:ind w:left="4380" w:hanging="420"/>
      </w:pPr>
    </w:lvl>
    <w:lvl w:ilvl="8" w:tentative="0">
      <w:start w:val="1"/>
      <w:numFmt w:val="lowerRoman"/>
      <w:lvlText w:val="%9."/>
      <w:lvlJc w:val="right"/>
      <w:pPr>
        <w:tabs>
          <w:tab w:val="left" w:pos="4800"/>
        </w:tabs>
        <w:ind w:left="4800" w:hanging="420"/>
      </w:pPr>
    </w:lvl>
  </w:abstractNum>
  <w:abstractNum w:abstractNumId="9">
    <w:nsid w:val="44610DB8"/>
    <w:multiLevelType w:val="singleLevel"/>
    <w:tmpl w:val="44610DB8"/>
    <w:lvl w:ilvl="0" w:tentative="0">
      <w:start w:val="1"/>
      <w:numFmt w:val="decimal"/>
      <w:suff w:val="nothing"/>
      <w:lvlText w:val="（%1）"/>
      <w:lvlJc w:val="left"/>
    </w:lvl>
  </w:abstractNum>
  <w:abstractNum w:abstractNumId="10">
    <w:nsid w:val="4FE36F1A"/>
    <w:multiLevelType w:val="multilevel"/>
    <w:tmpl w:val="4FE36F1A"/>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563800FC"/>
    <w:multiLevelType w:val="singleLevel"/>
    <w:tmpl w:val="563800FC"/>
    <w:lvl w:ilvl="0" w:tentative="0">
      <w:start w:val="1"/>
      <w:numFmt w:val="chineseCounting"/>
      <w:suff w:val="nothing"/>
      <w:lvlText w:val="%1、"/>
      <w:lvlJc w:val="left"/>
    </w:lvl>
  </w:abstractNum>
  <w:abstractNum w:abstractNumId="12">
    <w:nsid w:val="6E44749E"/>
    <w:multiLevelType w:val="multilevel"/>
    <w:tmpl w:val="6E44749E"/>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7BDE4E01"/>
    <w:multiLevelType w:val="multilevel"/>
    <w:tmpl w:val="7BDE4E01"/>
    <w:lvl w:ilvl="0" w:tentative="0">
      <w:start w:val="1"/>
      <w:numFmt w:val="decimal"/>
      <w:lvlText w:val="（%1）"/>
      <w:lvlJc w:val="left"/>
      <w:pPr>
        <w:ind w:left="1190" w:hanging="720"/>
      </w:pPr>
      <w:rPr>
        <w:rFonts w:hint="default"/>
      </w:rPr>
    </w:lvl>
    <w:lvl w:ilvl="1" w:tentative="0">
      <w:start w:val="1"/>
      <w:numFmt w:val="lowerLetter"/>
      <w:lvlText w:val="%2)"/>
      <w:lvlJc w:val="left"/>
      <w:pPr>
        <w:ind w:left="1310" w:hanging="420"/>
      </w:pPr>
    </w:lvl>
    <w:lvl w:ilvl="2" w:tentative="0">
      <w:start w:val="1"/>
      <w:numFmt w:val="lowerRoman"/>
      <w:lvlText w:val="%3."/>
      <w:lvlJc w:val="right"/>
      <w:pPr>
        <w:ind w:left="1730" w:hanging="420"/>
      </w:pPr>
    </w:lvl>
    <w:lvl w:ilvl="3" w:tentative="0">
      <w:start w:val="1"/>
      <w:numFmt w:val="decimal"/>
      <w:lvlText w:val="%4."/>
      <w:lvlJc w:val="left"/>
      <w:pPr>
        <w:ind w:left="2150" w:hanging="420"/>
      </w:pPr>
    </w:lvl>
    <w:lvl w:ilvl="4" w:tentative="0">
      <w:start w:val="1"/>
      <w:numFmt w:val="lowerLetter"/>
      <w:lvlText w:val="%5)"/>
      <w:lvlJc w:val="left"/>
      <w:pPr>
        <w:ind w:left="2570" w:hanging="420"/>
      </w:pPr>
    </w:lvl>
    <w:lvl w:ilvl="5" w:tentative="0">
      <w:start w:val="1"/>
      <w:numFmt w:val="lowerRoman"/>
      <w:lvlText w:val="%6."/>
      <w:lvlJc w:val="right"/>
      <w:pPr>
        <w:ind w:left="2990" w:hanging="420"/>
      </w:pPr>
    </w:lvl>
    <w:lvl w:ilvl="6" w:tentative="0">
      <w:start w:val="1"/>
      <w:numFmt w:val="decimal"/>
      <w:lvlText w:val="%7."/>
      <w:lvlJc w:val="left"/>
      <w:pPr>
        <w:ind w:left="3410" w:hanging="420"/>
      </w:pPr>
    </w:lvl>
    <w:lvl w:ilvl="7" w:tentative="0">
      <w:start w:val="1"/>
      <w:numFmt w:val="lowerLetter"/>
      <w:lvlText w:val="%8)"/>
      <w:lvlJc w:val="left"/>
      <w:pPr>
        <w:ind w:left="3830" w:hanging="420"/>
      </w:pPr>
    </w:lvl>
    <w:lvl w:ilvl="8" w:tentative="0">
      <w:start w:val="1"/>
      <w:numFmt w:val="lowerRoman"/>
      <w:lvlText w:val="%9."/>
      <w:lvlJc w:val="right"/>
      <w:pPr>
        <w:ind w:left="4250" w:hanging="420"/>
      </w:pPr>
    </w:lvl>
  </w:abstractNum>
  <w:abstractNum w:abstractNumId="14">
    <w:nsid w:val="7D1B59F0"/>
    <w:multiLevelType w:val="multilevel"/>
    <w:tmpl w:val="7D1B59F0"/>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7"/>
  </w:num>
  <w:num w:numId="3">
    <w:abstractNumId w:val="14"/>
  </w:num>
  <w:num w:numId="4">
    <w:abstractNumId w:val="5"/>
  </w:num>
  <w:num w:numId="5">
    <w:abstractNumId w:val="9"/>
  </w:num>
  <w:num w:numId="6">
    <w:abstractNumId w:val="6"/>
  </w:num>
  <w:num w:numId="7">
    <w:abstractNumId w:val="0"/>
  </w:num>
  <w:num w:numId="8">
    <w:abstractNumId w:val="1"/>
  </w:num>
  <w:num w:numId="9">
    <w:abstractNumId w:val="13"/>
  </w:num>
  <w:num w:numId="10">
    <w:abstractNumId w:val="4"/>
  </w:num>
  <w:num w:numId="11">
    <w:abstractNumId w:val="10"/>
  </w:num>
  <w:num w:numId="12">
    <w:abstractNumId w:val="12"/>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endnotePr>
    <w:numFmt w:val="decimal"/>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yZjBjODUxMzlkODYyMzQ0NTJjZDAzMjQzYTcyNTIifQ=="/>
  </w:docVars>
  <w:rsids>
    <w:rsidRoot w:val="2F4421DA"/>
    <w:rsid w:val="000F2CE0"/>
    <w:rsid w:val="00102EDE"/>
    <w:rsid w:val="00153531"/>
    <w:rsid w:val="001F2E0C"/>
    <w:rsid w:val="00225176"/>
    <w:rsid w:val="002A666D"/>
    <w:rsid w:val="003B36A4"/>
    <w:rsid w:val="004869F3"/>
    <w:rsid w:val="005063A7"/>
    <w:rsid w:val="00576EA8"/>
    <w:rsid w:val="005B0F8C"/>
    <w:rsid w:val="005E1ECA"/>
    <w:rsid w:val="00617911"/>
    <w:rsid w:val="00635F90"/>
    <w:rsid w:val="006B55C9"/>
    <w:rsid w:val="006B732C"/>
    <w:rsid w:val="0088155D"/>
    <w:rsid w:val="009D0B8F"/>
    <w:rsid w:val="00B11DF2"/>
    <w:rsid w:val="00B12533"/>
    <w:rsid w:val="00B65B0E"/>
    <w:rsid w:val="00C01ADF"/>
    <w:rsid w:val="00C31373"/>
    <w:rsid w:val="00C320E8"/>
    <w:rsid w:val="00D34C30"/>
    <w:rsid w:val="00D71F0F"/>
    <w:rsid w:val="00DE5047"/>
    <w:rsid w:val="00E0523F"/>
    <w:rsid w:val="00E93601"/>
    <w:rsid w:val="00F662C3"/>
    <w:rsid w:val="00F914AF"/>
    <w:rsid w:val="00FE7F97"/>
    <w:rsid w:val="017B150C"/>
    <w:rsid w:val="01C07EFC"/>
    <w:rsid w:val="03E219EE"/>
    <w:rsid w:val="048D2BC6"/>
    <w:rsid w:val="04EF2C0D"/>
    <w:rsid w:val="053D16B2"/>
    <w:rsid w:val="05471C6A"/>
    <w:rsid w:val="05597A8E"/>
    <w:rsid w:val="05834B0B"/>
    <w:rsid w:val="06313A66"/>
    <w:rsid w:val="06565D7C"/>
    <w:rsid w:val="065C61CD"/>
    <w:rsid w:val="06F537E7"/>
    <w:rsid w:val="073C5B5C"/>
    <w:rsid w:val="07990616"/>
    <w:rsid w:val="09660BFC"/>
    <w:rsid w:val="09F4422A"/>
    <w:rsid w:val="0A15656A"/>
    <w:rsid w:val="0AF838A6"/>
    <w:rsid w:val="0C997796"/>
    <w:rsid w:val="0E5709C3"/>
    <w:rsid w:val="0ECFC02A"/>
    <w:rsid w:val="0FD0059D"/>
    <w:rsid w:val="10434123"/>
    <w:rsid w:val="11175B68"/>
    <w:rsid w:val="12064AFA"/>
    <w:rsid w:val="12096A83"/>
    <w:rsid w:val="12723F3D"/>
    <w:rsid w:val="13627882"/>
    <w:rsid w:val="13D11138"/>
    <w:rsid w:val="140F014B"/>
    <w:rsid w:val="150F30E5"/>
    <w:rsid w:val="151F38D8"/>
    <w:rsid w:val="16743A18"/>
    <w:rsid w:val="18977817"/>
    <w:rsid w:val="189A2440"/>
    <w:rsid w:val="19915518"/>
    <w:rsid w:val="1AC661BD"/>
    <w:rsid w:val="1B8371BB"/>
    <w:rsid w:val="1C4E38DD"/>
    <w:rsid w:val="1CA50824"/>
    <w:rsid w:val="1CF82F3D"/>
    <w:rsid w:val="1D1C1676"/>
    <w:rsid w:val="1D71632A"/>
    <w:rsid w:val="1EA9481E"/>
    <w:rsid w:val="1EDA542E"/>
    <w:rsid w:val="20CB55B4"/>
    <w:rsid w:val="20D02EA3"/>
    <w:rsid w:val="21035862"/>
    <w:rsid w:val="21F11538"/>
    <w:rsid w:val="22B932EE"/>
    <w:rsid w:val="22D3423C"/>
    <w:rsid w:val="244A4D1A"/>
    <w:rsid w:val="278F0C20"/>
    <w:rsid w:val="27DD0A8C"/>
    <w:rsid w:val="2913266F"/>
    <w:rsid w:val="29850465"/>
    <w:rsid w:val="2B2C517A"/>
    <w:rsid w:val="2B797C93"/>
    <w:rsid w:val="2C163734"/>
    <w:rsid w:val="2C492AB0"/>
    <w:rsid w:val="2E431692"/>
    <w:rsid w:val="2F4421DA"/>
    <w:rsid w:val="2FC516F9"/>
    <w:rsid w:val="30494CB3"/>
    <w:rsid w:val="306B74B1"/>
    <w:rsid w:val="30A752A2"/>
    <w:rsid w:val="30F9117F"/>
    <w:rsid w:val="316F5DC0"/>
    <w:rsid w:val="31DF0A93"/>
    <w:rsid w:val="33AC4CA4"/>
    <w:rsid w:val="34053D41"/>
    <w:rsid w:val="34064452"/>
    <w:rsid w:val="3437288C"/>
    <w:rsid w:val="345B3175"/>
    <w:rsid w:val="34FD10DD"/>
    <w:rsid w:val="36250054"/>
    <w:rsid w:val="362D1478"/>
    <w:rsid w:val="366A28E2"/>
    <w:rsid w:val="36853413"/>
    <w:rsid w:val="36AC53C0"/>
    <w:rsid w:val="36C22E36"/>
    <w:rsid w:val="375460D6"/>
    <w:rsid w:val="377A4B60"/>
    <w:rsid w:val="37C42383"/>
    <w:rsid w:val="381362A4"/>
    <w:rsid w:val="389C3801"/>
    <w:rsid w:val="39856C06"/>
    <w:rsid w:val="39DA0497"/>
    <w:rsid w:val="3A145757"/>
    <w:rsid w:val="3A7E52C6"/>
    <w:rsid w:val="3AC84A15"/>
    <w:rsid w:val="3B681DF6"/>
    <w:rsid w:val="3BBE1190"/>
    <w:rsid w:val="3BEF2CBA"/>
    <w:rsid w:val="3C4B7B9E"/>
    <w:rsid w:val="3D397CA4"/>
    <w:rsid w:val="3DD730CC"/>
    <w:rsid w:val="3EF30D6F"/>
    <w:rsid w:val="402666E4"/>
    <w:rsid w:val="406D5BC1"/>
    <w:rsid w:val="408A17E1"/>
    <w:rsid w:val="41D611C7"/>
    <w:rsid w:val="442D1CF6"/>
    <w:rsid w:val="451F6881"/>
    <w:rsid w:val="467F21AA"/>
    <w:rsid w:val="46C21DDC"/>
    <w:rsid w:val="47AE366C"/>
    <w:rsid w:val="48272AF9"/>
    <w:rsid w:val="485D476D"/>
    <w:rsid w:val="485F1ABD"/>
    <w:rsid w:val="48D238D4"/>
    <w:rsid w:val="492C2D83"/>
    <w:rsid w:val="49B85EE7"/>
    <w:rsid w:val="4A4F27DB"/>
    <w:rsid w:val="4ABA65C4"/>
    <w:rsid w:val="4B574BF9"/>
    <w:rsid w:val="4BED22AB"/>
    <w:rsid w:val="4D4D1254"/>
    <w:rsid w:val="4F552641"/>
    <w:rsid w:val="50CE26B6"/>
    <w:rsid w:val="51221842"/>
    <w:rsid w:val="51C95326"/>
    <w:rsid w:val="51DD400E"/>
    <w:rsid w:val="52B31B33"/>
    <w:rsid w:val="52D7511B"/>
    <w:rsid w:val="53A05E55"/>
    <w:rsid w:val="53D143F6"/>
    <w:rsid w:val="53EC5BF6"/>
    <w:rsid w:val="540D3993"/>
    <w:rsid w:val="5428397D"/>
    <w:rsid w:val="546F2864"/>
    <w:rsid w:val="55003A92"/>
    <w:rsid w:val="56F27181"/>
    <w:rsid w:val="58906B7C"/>
    <w:rsid w:val="58C73AD4"/>
    <w:rsid w:val="59572AAB"/>
    <w:rsid w:val="59635254"/>
    <w:rsid w:val="59F767AB"/>
    <w:rsid w:val="5A355549"/>
    <w:rsid w:val="5B370E4D"/>
    <w:rsid w:val="5B6836FC"/>
    <w:rsid w:val="5C3C3829"/>
    <w:rsid w:val="5C6354E1"/>
    <w:rsid w:val="5C9577EB"/>
    <w:rsid w:val="5D1237BA"/>
    <w:rsid w:val="5EF74068"/>
    <w:rsid w:val="5F126F11"/>
    <w:rsid w:val="5F2D4A41"/>
    <w:rsid w:val="5FCC24AC"/>
    <w:rsid w:val="602705EF"/>
    <w:rsid w:val="607B7918"/>
    <w:rsid w:val="61477910"/>
    <w:rsid w:val="61BA5885"/>
    <w:rsid w:val="61FC694D"/>
    <w:rsid w:val="62732FE2"/>
    <w:rsid w:val="628E54D4"/>
    <w:rsid w:val="6298148F"/>
    <w:rsid w:val="62AF207C"/>
    <w:rsid w:val="63E9317C"/>
    <w:rsid w:val="652F2636"/>
    <w:rsid w:val="658A6A94"/>
    <w:rsid w:val="65BD2964"/>
    <w:rsid w:val="66C23E44"/>
    <w:rsid w:val="6744501E"/>
    <w:rsid w:val="682B1D3A"/>
    <w:rsid w:val="69A9235F"/>
    <w:rsid w:val="69DB1DDD"/>
    <w:rsid w:val="6A2B34B1"/>
    <w:rsid w:val="6A484E25"/>
    <w:rsid w:val="6A550CE4"/>
    <w:rsid w:val="6A740CE4"/>
    <w:rsid w:val="6A922719"/>
    <w:rsid w:val="6B12416D"/>
    <w:rsid w:val="6B256F14"/>
    <w:rsid w:val="6BFE47E1"/>
    <w:rsid w:val="6C1B3E73"/>
    <w:rsid w:val="6C637462"/>
    <w:rsid w:val="6C70033D"/>
    <w:rsid w:val="6C9631EF"/>
    <w:rsid w:val="6D170BB5"/>
    <w:rsid w:val="6D971298"/>
    <w:rsid w:val="6D9E223B"/>
    <w:rsid w:val="6F2701E9"/>
    <w:rsid w:val="6F6618A9"/>
    <w:rsid w:val="6FFE1AE2"/>
    <w:rsid w:val="702C650B"/>
    <w:rsid w:val="74403BBE"/>
    <w:rsid w:val="74E861BC"/>
    <w:rsid w:val="750C20C3"/>
    <w:rsid w:val="75A4312B"/>
    <w:rsid w:val="75EF5277"/>
    <w:rsid w:val="766C3C49"/>
    <w:rsid w:val="770869B6"/>
    <w:rsid w:val="782347DB"/>
    <w:rsid w:val="7B6976AC"/>
    <w:rsid w:val="7BB442A0"/>
    <w:rsid w:val="7C352D2F"/>
    <w:rsid w:val="7CD535A7"/>
    <w:rsid w:val="7D394DC5"/>
    <w:rsid w:val="7F262562"/>
    <w:rsid w:val="7F482D79"/>
    <w:rsid w:val="7F984C72"/>
    <w:rsid w:val="7F9A22F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nhideWhenUsed="0"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qFormat/>
    <w:uiPriority w:val="9"/>
    <w:pPr>
      <w:keepNext/>
      <w:keepLines/>
      <w:spacing w:before="260" w:after="260" w:line="413" w:lineRule="auto"/>
      <w:outlineLvl w:val="1"/>
    </w:pPr>
    <w:rPr>
      <w:rFonts w:ascii="Arial" w:hAnsi="Arial" w:eastAsia="黑体"/>
      <w:b/>
      <w:sz w:val="32"/>
    </w:rPr>
  </w:style>
  <w:style w:type="paragraph" w:styleId="4">
    <w:name w:val="heading 3"/>
    <w:basedOn w:val="1"/>
    <w:next w:val="1"/>
    <w:qFormat/>
    <w:uiPriority w:val="0"/>
    <w:pPr>
      <w:keepNext/>
      <w:keepLines/>
      <w:spacing w:before="260" w:after="260" w:line="416" w:lineRule="auto"/>
      <w:outlineLvl w:val="2"/>
    </w:pPr>
    <w:rPr>
      <w:rFonts w:ascii="Times New Roman" w:hAnsi="Times New Roman"/>
      <w:b/>
      <w:bCs/>
      <w:sz w:val="32"/>
      <w:szCs w:val="32"/>
    </w:rPr>
  </w:style>
  <w:style w:type="paragraph" w:styleId="5">
    <w:name w:val="heading 5"/>
    <w:basedOn w:val="1"/>
    <w:next w:val="1"/>
    <w:qFormat/>
    <w:uiPriority w:val="9"/>
    <w:pPr>
      <w:keepNext/>
      <w:keepLines/>
      <w:spacing w:before="280" w:after="290" w:line="376" w:lineRule="auto"/>
      <w:outlineLvl w:val="4"/>
    </w:pPr>
    <w:rPr>
      <w:rFonts w:ascii="Times New Roman" w:hAnsi="Times New Roman"/>
      <w:b/>
      <w:bCs/>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rPr>
      <w:szCs w:val="20"/>
    </w:rPr>
  </w:style>
  <w:style w:type="paragraph" w:styleId="7">
    <w:name w:val="annotation text"/>
    <w:basedOn w:val="1"/>
    <w:link w:val="34"/>
    <w:qFormat/>
    <w:uiPriority w:val="0"/>
    <w:pPr>
      <w:jc w:val="left"/>
    </w:pPr>
  </w:style>
  <w:style w:type="paragraph" w:styleId="8">
    <w:name w:val="Body Text 3"/>
    <w:basedOn w:val="1"/>
    <w:unhideWhenUsed/>
    <w:qFormat/>
    <w:uiPriority w:val="0"/>
    <w:pPr>
      <w:spacing w:after="120"/>
    </w:pPr>
    <w:rPr>
      <w:rFonts w:ascii="Times New Roman" w:hAnsi="Times New Roman"/>
      <w:sz w:val="16"/>
      <w:szCs w:val="16"/>
    </w:rPr>
  </w:style>
  <w:style w:type="paragraph" w:styleId="9">
    <w:name w:val="Body Text"/>
    <w:basedOn w:val="1"/>
    <w:link w:val="36"/>
    <w:qFormat/>
    <w:uiPriority w:val="0"/>
    <w:pPr>
      <w:spacing w:after="120"/>
    </w:pPr>
  </w:style>
  <w:style w:type="paragraph" w:styleId="10">
    <w:name w:val="Body Text Indent"/>
    <w:basedOn w:val="1"/>
    <w:qFormat/>
    <w:uiPriority w:val="0"/>
    <w:pPr>
      <w:ind w:firstLine="560" w:firstLineChars="200"/>
    </w:pPr>
    <w:rPr>
      <w:bCs/>
      <w:sz w:val="28"/>
      <w:szCs w:val="20"/>
    </w:rPr>
  </w:style>
  <w:style w:type="paragraph" w:styleId="11">
    <w:name w:val="Block Text"/>
    <w:basedOn w:val="1"/>
    <w:unhideWhenUsed/>
    <w:qFormat/>
    <w:uiPriority w:val="99"/>
    <w:pPr>
      <w:spacing w:after="120"/>
      <w:ind w:left="1440" w:leftChars="700" w:right="700" w:rightChars="700"/>
    </w:pPr>
  </w:style>
  <w:style w:type="paragraph" w:styleId="12">
    <w:name w:val="toc 3"/>
    <w:basedOn w:val="1"/>
    <w:next w:val="1"/>
    <w:qFormat/>
    <w:uiPriority w:val="39"/>
    <w:pPr>
      <w:ind w:left="840" w:leftChars="400"/>
    </w:pPr>
  </w:style>
  <w:style w:type="paragraph" w:styleId="13">
    <w:name w:val="Balloon Text"/>
    <w:basedOn w:val="1"/>
    <w:link w:val="32"/>
    <w:qFormat/>
    <w:uiPriority w:val="0"/>
    <w:rPr>
      <w:sz w:val="18"/>
      <w:szCs w:val="18"/>
    </w:rPr>
  </w:style>
  <w:style w:type="paragraph" w:styleId="14">
    <w:name w:val="footer"/>
    <w:basedOn w:val="1"/>
    <w:qFormat/>
    <w:uiPriority w:val="99"/>
    <w:pPr>
      <w:pBdr>
        <w:top w:val="single" w:color="auto" w:sz="2" w:space="1"/>
      </w:pBdr>
      <w:tabs>
        <w:tab w:val="center" w:pos="4153"/>
        <w:tab w:val="right" w:pos="8306"/>
      </w:tabs>
      <w:snapToGrid w:val="0"/>
      <w:jc w:val="left"/>
    </w:pPr>
    <w:rPr>
      <w:sz w:val="18"/>
    </w:rPr>
  </w:style>
  <w:style w:type="paragraph" w:styleId="15">
    <w:name w:val="header"/>
    <w:basedOn w:val="1"/>
    <w:next w:val="11"/>
    <w:qFormat/>
    <w:uiPriority w:val="0"/>
    <w:pPr>
      <w:pBdr>
        <w:bottom w:val="single" w:color="auto" w:sz="2" w:space="1"/>
      </w:pBdr>
      <w:tabs>
        <w:tab w:val="center" w:pos="4153"/>
        <w:tab w:val="right" w:pos="8306"/>
      </w:tabs>
      <w:snapToGrid w:val="0"/>
    </w:pPr>
    <w:rPr>
      <w:sz w:val="18"/>
    </w:rPr>
  </w:style>
  <w:style w:type="paragraph" w:styleId="16">
    <w:name w:val="toc 1"/>
    <w:basedOn w:val="1"/>
    <w:next w:val="1"/>
    <w:qFormat/>
    <w:uiPriority w:val="39"/>
  </w:style>
  <w:style w:type="paragraph" w:styleId="17">
    <w:name w:val="toc 2"/>
    <w:basedOn w:val="1"/>
    <w:next w:val="1"/>
    <w:qFormat/>
    <w:uiPriority w:val="39"/>
    <w:pPr>
      <w:ind w:left="420" w:leftChars="200"/>
    </w:pPr>
  </w:style>
  <w:style w:type="paragraph" w:styleId="18">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rPr>
  </w:style>
  <w:style w:type="paragraph" w:styleId="19">
    <w:name w:val="Normal (Web)"/>
    <w:basedOn w:val="1"/>
    <w:qFormat/>
    <w:uiPriority w:val="0"/>
    <w:pPr>
      <w:jc w:val="left"/>
    </w:pPr>
    <w:rPr>
      <w:kern w:val="0"/>
      <w:sz w:val="24"/>
    </w:rPr>
  </w:style>
  <w:style w:type="paragraph" w:styleId="20">
    <w:name w:val="Title"/>
    <w:basedOn w:val="1"/>
    <w:qFormat/>
    <w:uiPriority w:val="1"/>
    <w:pPr>
      <w:spacing w:before="382"/>
      <w:ind w:left="175"/>
      <w:jc w:val="center"/>
    </w:pPr>
    <w:rPr>
      <w:rFonts w:ascii="宋体" w:hAnsi="宋体" w:cs="宋体"/>
      <w:sz w:val="84"/>
      <w:szCs w:val="84"/>
    </w:rPr>
  </w:style>
  <w:style w:type="paragraph" w:styleId="21">
    <w:name w:val="annotation subject"/>
    <w:basedOn w:val="7"/>
    <w:next w:val="7"/>
    <w:link w:val="35"/>
    <w:qFormat/>
    <w:uiPriority w:val="0"/>
    <w:rPr>
      <w:b/>
      <w:bCs/>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basedOn w:val="24"/>
    <w:qFormat/>
    <w:uiPriority w:val="0"/>
  </w:style>
  <w:style w:type="character" w:styleId="26">
    <w:name w:val="Hyperlink"/>
    <w:basedOn w:val="24"/>
    <w:qFormat/>
    <w:uiPriority w:val="99"/>
    <w:rPr>
      <w:color w:val="444444"/>
      <w:u w:val="none"/>
    </w:rPr>
  </w:style>
  <w:style w:type="character" w:styleId="27">
    <w:name w:val="annotation reference"/>
    <w:basedOn w:val="24"/>
    <w:qFormat/>
    <w:uiPriority w:val="0"/>
    <w:rPr>
      <w:sz w:val="21"/>
      <w:szCs w:val="21"/>
    </w:rPr>
  </w:style>
  <w:style w:type="paragraph" w:customStyle="1" w:styleId="28">
    <w:name w:val="Default"/>
    <w:qFormat/>
    <w:uiPriority w:val="0"/>
    <w:pPr>
      <w:widowControl w:val="0"/>
      <w:autoSpaceDE w:val="0"/>
      <w:autoSpaceDN w:val="0"/>
      <w:adjustRightInd w:val="0"/>
    </w:pPr>
    <w:rPr>
      <w:rFonts w:ascii=".." w:hAnsi="Times New Roman" w:eastAsia=".." w:cs="Times New Roman"/>
      <w:color w:val="000000"/>
      <w:sz w:val="24"/>
      <w:szCs w:val="24"/>
      <w:lang w:val="en-US" w:eastAsia="zh-CN" w:bidi="ar-SA"/>
    </w:rPr>
  </w:style>
  <w:style w:type="paragraph" w:styleId="29">
    <w:name w:val="List Paragraph"/>
    <w:basedOn w:val="1"/>
    <w:qFormat/>
    <w:uiPriority w:val="34"/>
    <w:pPr>
      <w:ind w:firstLine="420" w:firstLineChars="200"/>
    </w:pPr>
    <w:rPr>
      <w:rFonts w:ascii="Times New Roman" w:hAnsi="Times New Roman"/>
    </w:rPr>
  </w:style>
  <w:style w:type="paragraph" w:customStyle="1" w:styleId="30">
    <w:name w:val="文档正文"/>
    <w:basedOn w:val="1"/>
    <w:qFormat/>
    <w:uiPriority w:val="0"/>
    <w:pPr>
      <w:autoSpaceDE w:val="0"/>
      <w:autoSpaceDN w:val="0"/>
      <w:adjustRightInd w:val="0"/>
      <w:spacing w:line="480" w:lineRule="atLeast"/>
      <w:ind w:firstLine="567"/>
      <w:textAlignment w:val="baseline"/>
    </w:pPr>
    <w:rPr>
      <w:rFonts w:ascii="长城仿宋" w:hAnsi="Times New Roman" w:eastAsia="仿宋_GB2312"/>
      <w:kern w:val="0"/>
      <w:sz w:val="28"/>
      <w:szCs w:val="20"/>
    </w:rPr>
  </w:style>
  <w:style w:type="paragraph" w:customStyle="1" w:styleId="31">
    <w:name w:val="kerning2lochf13hichaf2db"/>
    <w:qFormat/>
    <w:uiPriority w:val="0"/>
    <w:pPr>
      <w:widowControl w:val="0"/>
      <w:autoSpaceDE w:val="0"/>
      <w:autoSpaceDN w:val="0"/>
      <w:adjustRightInd w:val="0"/>
      <w:jc w:val="both"/>
    </w:pPr>
    <w:rPr>
      <w:rFonts w:ascii="Times New Roman" w:hAnsi="Times New Roman" w:eastAsia="宋体" w:cs="Times New Roman"/>
      <w:sz w:val="21"/>
      <w:szCs w:val="21"/>
      <w:lang w:val="en-US" w:eastAsia="zh-CN" w:bidi="ar-SA"/>
    </w:rPr>
  </w:style>
  <w:style w:type="character" w:customStyle="1" w:styleId="32">
    <w:name w:val="批注框文本 Char"/>
    <w:basedOn w:val="24"/>
    <w:link w:val="13"/>
    <w:qFormat/>
    <w:uiPriority w:val="0"/>
    <w:rPr>
      <w:rFonts w:ascii="Calibri" w:hAnsi="Calibri"/>
      <w:kern w:val="2"/>
      <w:sz w:val="18"/>
      <w:szCs w:val="18"/>
    </w:rPr>
  </w:style>
  <w:style w:type="paragraph" w:customStyle="1" w:styleId="33">
    <w:name w:val="Table Paragraph"/>
    <w:basedOn w:val="1"/>
    <w:qFormat/>
    <w:uiPriority w:val="1"/>
  </w:style>
  <w:style w:type="character" w:customStyle="1" w:styleId="34">
    <w:name w:val="批注文字 Char"/>
    <w:basedOn w:val="24"/>
    <w:link w:val="7"/>
    <w:qFormat/>
    <w:uiPriority w:val="0"/>
    <w:rPr>
      <w:rFonts w:ascii="Calibri" w:hAnsi="Calibri"/>
      <w:kern w:val="2"/>
      <w:sz w:val="21"/>
      <w:szCs w:val="24"/>
    </w:rPr>
  </w:style>
  <w:style w:type="character" w:customStyle="1" w:styleId="35">
    <w:name w:val="批注主题 Char"/>
    <w:basedOn w:val="34"/>
    <w:link w:val="21"/>
    <w:qFormat/>
    <w:uiPriority w:val="0"/>
  </w:style>
  <w:style w:type="character" w:customStyle="1" w:styleId="36">
    <w:name w:val="正文文本 Char"/>
    <w:link w:val="9"/>
    <w:qFormat/>
    <w:uiPriority w:val="0"/>
  </w:style>
  <w:style w:type="paragraph" w:customStyle="1" w:styleId="37">
    <w:name w:val="正文缩进2"/>
    <w:basedOn w:val="1"/>
    <w:qFormat/>
    <w:uiPriority w:val="0"/>
    <w:pPr>
      <w:wordWrap w:val="0"/>
      <w:ind w:firstLine="480"/>
    </w:pPr>
    <w:rPr>
      <w:iCs/>
      <w:shd w:val="clear" w:color="auto" w:fill="FFFFFF" w:themeFill="background1"/>
      <w:lang w:val="zh-CN"/>
    </w:rPr>
  </w:style>
  <w:style w:type="paragraph" w:customStyle="1" w:styleId="38">
    <w:name w:val="Body text|1"/>
    <w:basedOn w:val="1"/>
    <w:qFormat/>
    <w:uiPriority w:val="0"/>
    <w:pPr>
      <w:ind w:firstLine="140"/>
    </w:pPr>
    <w:rPr>
      <w:rFonts w:ascii="宋体" w:hAnsi="宋体" w:cs="宋体"/>
      <w:sz w:val="22"/>
      <w:szCs w:val="22"/>
      <w:lang w:val="zh-TW" w:eastAsia="zh-TW" w:bidi="zh-TW"/>
    </w:rPr>
  </w:style>
  <w:style w:type="paragraph" w:customStyle="1" w:styleId="39">
    <w:name w:val="正文_3"/>
    <w:next w:val="40"/>
    <w:qFormat/>
    <w:uiPriority w:val="0"/>
    <w:pPr>
      <w:widowControl w:val="0"/>
      <w:jc w:val="both"/>
    </w:pPr>
    <w:rPr>
      <w:rFonts w:ascii="Calibri" w:hAnsi="Calibri" w:eastAsia="宋体" w:cs="Times New Roman"/>
      <w:kern w:val="2"/>
      <w:sz w:val="21"/>
      <w:szCs w:val="22"/>
      <w:lang w:val="en-US" w:eastAsia="zh-CN" w:bidi="ar-SA"/>
    </w:rPr>
  </w:style>
  <w:style w:type="paragraph" w:customStyle="1" w:styleId="40">
    <w:name w:val="标题 5_1"/>
    <w:basedOn w:val="39"/>
    <w:next w:val="39"/>
    <w:qFormat/>
    <w:uiPriority w:val="9"/>
    <w:pPr>
      <w:keepNext/>
      <w:keepLines/>
      <w:spacing w:before="280" w:after="290" w:line="376" w:lineRule="auto"/>
      <w:outlineLvl w:val="4"/>
    </w:pPr>
    <w:rPr>
      <w:rFonts w:ascii="Times New Roman" w:hAnsi="Times New Roman"/>
      <w:b/>
      <w:bCs/>
      <w:sz w:val="28"/>
      <w:szCs w:val="28"/>
    </w:rPr>
  </w:style>
  <w:style w:type="paragraph" w:customStyle="1" w:styleId="41">
    <w:name w:val="正文_2"/>
    <w:qFormat/>
    <w:uiPriority w:val="0"/>
    <w:pPr>
      <w:widowControl w:val="0"/>
      <w:jc w:val="both"/>
    </w:pPr>
    <w:rPr>
      <w:rFonts w:ascii="Times New Roman" w:hAnsi="Times New Roman" w:eastAsia="宋体" w:cs="Times New Roman"/>
      <w:lang w:val="en-US" w:eastAsia="zh-CN" w:bidi="ar-SA"/>
    </w:rPr>
  </w:style>
  <w:style w:type="paragraph" w:styleId="42">
    <w:name w:val="No Spacing"/>
    <w:qFormat/>
    <w:uiPriority w:val="1"/>
    <w:pPr>
      <w:widowControl w:val="0"/>
    </w:pPr>
    <w:rPr>
      <w:rFonts w:ascii="宋体" w:hAnsi="宋体" w:eastAsia="宋体" w:cstheme="minorBidi"/>
      <w:kern w:val="2"/>
      <w:sz w:val="24"/>
      <w:szCs w:val="22"/>
      <w:lang w:val="en-US" w:eastAsia="zh-CN" w:bidi="ar-SA"/>
    </w:rPr>
  </w:style>
  <w:style w:type="paragraph" w:customStyle="1" w:styleId="43">
    <w:name w:val="Table Text"/>
    <w:basedOn w:val="1"/>
    <w:semiHidden/>
    <w:qFormat/>
    <w:uiPriority w:val="0"/>
    <w:rPr>
      <w:rFonts w:ascii="仿宋" w:hAnsi="仿宋" w:eastAsia="仿宋" w:cs="仿宋"/>
      <w:sz w:val="24"/>
      <w:lang w:eastAsia="en-US"/>
    </w:rPr>
  </w:style>
  <w:style w:type="table" w:customStyle="1" w:styleId="44">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1.jpeg"/><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75</Pages>
  <Words>5160</Words>
  <Characters>5649</Characters>
  <Lines>87</Lines>
  <Paragraphs>96</Paragraphs>
  <TotalTime>262</TotalTime>
  <ScaleCrop>false</ScaleCrop>
  <LinksUpToDate>false</LinksUpToDate>
  <CharactersWithSpaces>5868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2023-07-20T11:40:00Z</dcterms:created>
  <dc:creator>WPS_165413116</dc:creator>
  <cp:lastModifiedBy>DL</cp:lastModifiedBy>
  <cp:lastPrinted>2025-06-20T01:13:00Z</cp:lastPrinted>
  <dcterms:modified xsi:type="dcterms:W3CDTF">2026-08-10T06:36:16Z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DBD3B716ED5F4BD8B755B3753EDC5A3A_13</vt:lpwstr>
  </property>
  <property fmtid="{D5CDD505-2E9C-101B-9397-08002B2CF9AE}" pid="4" name="KSOTemplateDocerSaveRecord">
    <vt:lpwstr>eyJoZGlkIjoiYWZmMjU3ZGU5ZTYzM2U3ZTU2YzRkNDA3YzkyZjJiNDkiLCJ1c2VySWQiOiIxMzc0Nzg1Nzk4In0=</vt:lpwstr>
  </property>
</Properties>
</file>