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33E5C">
      <w:pPr>
        <w:adjustRightInd w:val="0"/>
        <w:snapToGrid w:val="0"/>
        <w:jc w:val="center"/>
        <w:rPr>
          <w:rFonts w:ascii="宋体" w:hAnsi="宋体"/>
          <w:bCs/>
          <w:color w:val="auto"/>
          <w:szCs w:val="32"/>
          <w:highlight w:val="none"/>
        </w:rPr>
      </w:pPr>
      <w:r>
        <w:rPr>
          <w:rFonts w:hint="eastAsia"/>
          <w:b/>
          <w:color w:val="auto"/>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14:paraId="24483C65">
      <w:pPr>
        <w:ind w:right="-281"/>
        <w:jc w:val="right"/>
        <w:rPr>
          <w:rFonts w:ascii="Bookman Old Style" w:hAnsi="Bookman Old Style"/>
          <w:b/>
          <w:color w:val="auto"/>
          <w:sz w:val="28"/>
          <w:highlight w:val="none"/>
        </w:rPr>
      </w:pPr>
    </w:p>
    <w:p w14:paraId="7E70BA79">
      <w:pPr>
        <w:spacing w:after="240" w:afterLines="100" w:line="500" w:lineRule="exact"/>
        <w:jc w:val="center"/>
        <w:rPr>
          <w:b/>
          <w:color w:val="auto"/>
          <w:sz w:val="44"/>
          <w:szCs w:val="44"/>
          <w:highlight w:val="none"/>
        </w:rPr>
      </w:pPr>
    </w:p>
    <w:p w14:paraId="6A724638">
      <w:pPr>
        <w:spacing w:after="240" w:afterLines="100" w:line="500" w:lineRule="exact"/>
        <w:jc w:val="center"/>
        <w:rPr>
          <w:b/>
          <w:color w:val="auto"/>
          <w:sz w:val="52"/>
          <w:szCs w:val="52"/>
          <w:highlight w:val="none"/>
        </w:rPr>
      </w:pPr>
    </w:p>
    <w:p w14:paraId="1DDD491F">
      <w:pPr>
        <w:spacing w:after="120" w:afterLines="50"/>
        <w:jc w:val="center"/>
        <w:rPr>
          <w:b/>
          <w:color w:val="auto"/>
          <w:sz w:val="52"/>
          <w:szCs w:val="52"/>
          <w:highlight w:val="none"/>
        </w:rPr>
      </w:pPr>
      <w:r>
        <w:rPr>
          <w:rFonts w:hint="eastAsia"/>
          <w:b/>
          <w:color w:val="auto"/>
          <w:sz w:val="52"/>
          <w:szCs w:val="52"/>
          <w:highlight w:val="none"/>
        </w:rPr>
        <w:t>中国科学院分子植物科学卓越创新中心</w:t>
      </w:r>
    </w:p>
    <w:p w14:paraId="465CD89E">
      <w:pPr>
        <w:spacing w:after="120" w:afterLines="50"/>
        <w:jc w:val="center"/>
        <w:rPr>
          <w:b/>
          <w:color w:val="auto"/>
          <w:sz w:val="52"/>
          <w:szCs w:val="52"/>
          <w:highlight w:val="none"/>
        </w:rPr>
      </w:pPr>
      <w:r>
        <w:rPr>
          <w:rFonts w:hint="eastAsia"/>
          <w:b/>
          <w:color w:val="auto"/>
          <w:sz w:val="52"/>
          <w:szCs w:val="52"/>
          <w:highlight w:val="none"/>
        </w:rPr>
        <w:t>自动传送式近红外高光谱种子品质分析仪采购项目</w:t>
      </w:r>
    </w:p>
    <w:p w14:paraId="24BFA361">
      <w:pPr>
        <w:spacing w:line="360" w:lineRule="auto"/>
        <w:jc w:val="center"/>
        <w:rPr>
          <w:b/>
          <w:color w:val="auto"/>
          <w:sz w:val="44"/>
          <w:highlight w:val="none"/>
        </w:rPr>
      </w:pPr>
    </w:p>
    <w:p w14:paraId="3EBC0E5E">
      <w:pPr>
        <w:spacing w:line="360" w:lineRule="auto"/>
        <w:rPr>
          <w:b/>
          <w:color w:val="auto"/>
          <w:sz w:val="44"/>
          <w:highlight w:val="none"/>
        </w:rPr>
      </w:pPr>
    </w:p>
    <w:p w14:paraId="0FEDC428">
      <w:pPr>
        <w:spacing w:line="360" w:lineRule="auto"/>
        <w:jc w:val="center"/>
        <w:rPr>
          <w:rFonts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14:paraId="58817C2B">
      <w:pPr>
        <w:spacing w:line="360" w:lineRule="auto"/>
        <w:jc w:val="center"/>
        <w:rPr>
          <w:rFonts w:ascii="宋体" w:hAnsi="宋体"/>
          <w:b/>
          <w:color w:val="auto"/>
          <w:sz w:val="32"/>
          <w:szCs w:val="32"/>
          <w:highlight w:val="none"/>
        </w:rPr>
      </w:pPr>
    </w:p>
    <w:p w14:paraId="2817D160">
      <w:pPr>
        <w:spacing w:line="360" w:lineRule="auto"/>
        <w:jc w:val="center"/>
        <w:rPr>
          <w:rFonts w:ascii="宋体" w:hAnsi="宋体"/>
          <w:b/>
          <w:color w:val="auto"/>
          <w:sz w:val="30"/>
          <w:szCs w:val="30"/>
          <w:highlight w:val="none"/>
        </w:rPr>
      </w:pPr>
    </w:p>
    <w:p w14:paraId="4955F118">
      <w:pPr>
        <w:spacing w:line="360" w:lineRule="auto"/>
        <w:ind w:firstLine="2168" w:firstLineChars="600"/>
        <w:rPr>
          <w:b/>
          <w:color w:val="auto"/>
          <w:sz w:val="32"/>
          <w:highlight w:val="none"/>
          <w:u w:val="single"/>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rPr>
        <w:t xml:space="preserve"> OITC-G260302357 </w:t>
      </w:r>
    </w:p>
    <w:p w14:paraId="2030C169">
      <w:pPr>
        <w:spacing w:line="360" w:lineRule="auto"/>
        <w:jc w:val="center"/>
        <w:rPr>
          <w:b/>
          <w:color w:val="auto"/>
          <w:sz w:val="32"/>
          <w:highlight w:val="none"/>
        </w:rPr>
      </w:pPr>
    </w:p>
    <w:p w14:paraId="0E501DD9">
      <w:pPr>
        <w:spacing w:line="360" w:lineRule="auto"/>
        <w:jc w:val="center"/>
        <w:rPr>
          <w:b/>
          <w:color w:val="auto"/>
          <w:sz w:val="32"/>
          <w:highlight w:val="none"/>
        </w:rPr>
      </w:pPr>
    </w:p>
    <w:p w14:paraId="25C20A1E">
      <w:pPr>
        <w:adjustRightInd w:val="0"/>
        <w:snapToGrid w:val="0"/>
        <w:spacing w:before="120"/>
        <w:jc w:val="center"/>
        <w:rPr>
          <w:rFonts w:ascii="宋体" w:hAnsi="宋体"/>
          <w:b/>
          <w:bCs/>
          <w:snapToGrid w:val="0"/>
          <w:color w:val="auto"/>
          <w:spacing w:val="20"/>
          <w:sz w:val="36"/>
          <w:szCs w:val="36"/>
          <w:highlight w:val="none"/>
          <w:u w:val="single"/>
        </w:rPr>
      </w:pPr>
      <w:r>
        <w:rPr>
          <w:rFonts w:hint="eastAsia" w:ascii="宋体" w:hAnsi="宋体"/>
          <w:b/>
          <w:bCs/>
          <w:snapToGrid w:val="0"/>
          <w:color w:val="auto"/>
          <w:spacing w:val="20"/>
          <w:sz w:val="36"/>
          <w:szCs w:val="36"/>
          <w:highlight w:val="none"/>
        </w:rPr>
        <w:t>采购人：</w:t>
      </w:r>
      <w:r>
        <w:rPr>
          <w:rFonts w:hint="eastAsia" w:ascii="宋体" w:hAnsi="宋体"/>
          <w:b/>
          <w:bCs/>
          <w:snapToGrid w:val="0"/>
          <w:color w:val="auto"/>
          <w:spacing w:val="20"/>
          <w:sz w:val="36"/>
          <w:szCs w:val="36"/>
          <w:highlight w:val="none"/>
          <w:u w:val="single"/>
        </w:rPr>
        <w:t>中国科学院分子植物科学卓越创新中心</w:t>
      </w:r>
    </w:p>
    <w:p w14:paraId="405BCB77">
      <w:pPr>
        <w:adjustRightInd w:val="0"/>
        <w:snapToGrid w:val="0"/>
        <w:spacing w:before="120"/>
        <w:jc w:val="center"/>
        <w:rPr>
          <w:rFonts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采购代理机构：东方国际招标有限责任公司</w:t>
      </w:r>
    </w:p>
    <w:p w14:paraId="3C91F5CD">
      <w:pPr>
        <w:adjustRightInd w:val="0"/>
        <w:snapToGrid w:val="0"/>
        <w:jc w:val="center"/>
        <w:rPr>
          <w:rFonts w:ascii="宋体" w:hAnsi="宋体"/>
          <w:b/>
          <w:snapToGrid w:val="0"/>
          <w:color w:val="auto"/>
          <w:sz w:val="36"/>
          <w:szCs w:val="36"/>
          <w:highlight w:val="none"/>
        </w:rPr>
      </w:pPr>
    </w:p>
    <w:p w14:paraId="498BDA93">
      <w:pPr>
        <w:adjustRightInd w:val="0"/>
        <w:snapToGrid w:val="0"/>
        <w:jc w:val="center"/>
        <w:rPr>
          <w:rFonts w:ascii="宋体" w:hAnsi="宋体"/>
          <w:b/>
          <w:color w:val="auto"/>
          <w:sz w:val="32"/>
          <w:szCs w:val="32"/>
          <w:highlight w:val="none"/>
        </w:rPr>
      </w:pPr>
      <w:r>
        <w:rPr>
          <w:rFonts w:hint="eastAsia" w:ascii="宋体" w:hAnsi="宋体"/>
          <w:b/>
          <w:snapToGrid w:val="0"/>
          <w:color w:val="auto"/>
          <w:sz w:val="36"/>
          <w:szCs w:val="36"/>
          <w:highlight w:val="none"/>
        </w:rPr>
        <w:t>2026年8月</w:t>
      </w:r>
    </w:p>
    <w:p w14:paraId="3C6979CC">
      <w:pPr>
        <w:adjustRightInd w:val="0"/>
        <w:snapToGrid w:val="0"/>
        <w:spacing w:after="156" w:afterLines="50" w:line="360" w:lineRule="auto"/>
        <w:jc w:val="center"/>
        <w:outlineLvl w:val="0"/>
        <w:rPr>
          <w:rFonts w:ascii="黑体" w:eastAsia="黑体"/>
          <w:b/>
          <w:color w:val="auto"/>
          <w:kern w:val="44"/>
          <w:sz w:val="48"/>
          <w:szCs w:val="20"/>
          <w:highlight w:val="none"/>
        </w:rPr>
      </w:pPr>
      <w:r>
        <w:rPr>
          <w:color w:val="auto"/>
          <w:highlight w:val="none"/>
        </w:rPr>
        <w:br w:type="page"/>
      </w:r>
      <w:bookmarkStart w:id="3" w:name="_GoBack"/>
      <w:bookmarkEnd w:id="3"/>
      <w:bookmarkStart w:id="0" w:name="_Toc129880039"/>
      <w:bookmarkStart w:id="1" w:name="_Toc512937852"/>
      <w:r>
        <w:rPr>
          <w:rFonts w:hint="eastAsia" w:ascii="宋体" w:hAnsi="宋体"/>
          <w:b/>
          <w:color w:val="auto"/>
          <w:sz w:val="30"/>
          <w:szCs w:val="30"/>
          <w:highlight w:val="none"/>
        </w:rPr>
        <w:t>第八部分 采购需求</w:t>
      </w:r>
      <w:bookmarkEnd w:id="0"/>
    </w:p>
    <w:bookmarkEnd w:id="1"/>
    <w:p w14:paraId="7F3F2E48">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货物需求一览表</w:t>
      </w:r>
    </w:p>
    <w:p w14:paraId="5968DE2E">
      <w:pPr>
        <w:adjustRightInd w:val="0"/>
        <w:snapToGrid w:val="0"/>
        <w:jc w:val="center"/>
        <w:rPr>
          <w:rFonts w:ascii="宋体" w:hAnsi="宋体"/>
          <w:b/>
          <w:color w:val="auto"/>
          <w:sz w:val="30"/>
          <w:szCs w:val="30"/>
          <w:highlight w:val="none"/>
        </w:rPr>
      </w:pPr>
    </w:p>
    <w:tbl>
      <w:tblPr>
        <w:tblStyle w:val="38"/>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348"/>
        <w:gridCol w:w="3789"/>
        <w:gridCol w:w="1978"/>
        <w:gridCol w:w="1978"/>
      </w:tblGrid>
      <w:tr w14:paraId="1863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348" w:type="dxa"/>
            <w:vAlign w:val="center"/>
          </w:tcPr>
          <w:p w14:paraId="4F02BC8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3789" w:type="dxa"/>
            <w:vAlign w:val="center"/>
          </w:tcPr>
          <w:p w14:paraId="18D1446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978" w:type="dxa"/>
            <w:vAlign w:val="center"/>
          </w:tcPr>
          <w:p w14:paraId="61451FF5">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978" w:type="dxa"/>
            <w:vAlign w:val="center"/>
          </w:tcPr>
          <w:p w14:paraId="5C26B129">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02F4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348" w:type="dxa"/>
            <w:vAlign w:val="center"/>
          </w:tcPr>
          <w:p w14:paraId="277009B5">
            <w:pPr>
              <w:jc w:val="center"/>
              <w:rPr>
                <w:rFonts w:ascii="宋体"/>
                <w:color w:val="auto"/>
                <w:sz w:val="24"/>
                <w:highlight w:val="none"/>
              </w:rPr>
            </w:pPr>
            <w:r>
              <w:rPr>
                <w:rFonts w:hint="eastAsia" w:ascii="宋体"/>
                <w:color w:val="auto"/>
                <w:sz w:val="24"/>
                <w:highlight w:val="none"/>
              </w:rPr>
              <w:t>1</w:t>
            </w:r>
          </w:p>
        </w:tc>
        <w:tc>
          <w:tcPr>
            <w:tcW w:w="3789" w:type="dxa"/>
            <w:vAlign w:val="center"/>
          </w:tcPr>
          <w:p w14:paraId="4C50E639">
            <w:pPr>
              <w:jc w:val="center"/>
              <w:rPr>
                <w:rFonts w:ascii="Bookman Old Style" w:hAnsi="Bookman Old Style"/>
                <w:color w:val="auto"/>
                <w:sz w:val="24"/>
                <w:highlight w:val="none"/>
              </w:rPr>
            </w:pPr>
            <w:r>
              <w:rPr>
                <w:rFonts w:hint="eastAsia" w:ascii="Bookman Old Style" w:hAnsi="Bookman Old Style"/>
                <w:color w:val="auto"/>
                <w:sz w:val="24"/>
                <w:highlight w:val="none"/>
              </w:rPr>
              <w:t>自动传送式近红外高光谱种子品质分析仪</w:t>
            </w:r>
          </w:p>
        </w:tc>
        <w:tc>
          <w:tcPr>
            <w:tcW w:w="1978" w:type="dxa"/>
            <w:vAlign w:val="center"/>
          </w:tcPr>
          <w:p w14:paraId="4B38A771">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1978" w:type="dxa"/>
            <w:vAlign w:val="center"/>
          </w:tcPr>
          <w:p w14:paraId="3302C947">
            <w:pPr>
              <w:jc w:val="center"/>
              <w:rPr>
                <w:rFonts w:ascii="宋体" w:hAnsi="Bookman Old Style"/>
                <w:color w:val="auto"/>
                <w:sz w:val="24"/>
                <w:highlight w:val="none"/>
              </w:rPr>
            </w:pPr>
            <w:r>
              <w:rPr>
                <w:rFonts w:hint="eastAsia" w:ascii="宋体" w:hAnsi="Bookman Old Style"/>
                <w:color w:val="auto"/>
                <w:sz w:val="24"/>
                <w:highlight w:val="none"/>
              </w:rPr>
              <w:t>否</w:t>
            </w:r>
          </w:p>
        </w:tc>
      </w:tr>
    </w:tbl>
    <w:p w14:paraId="32985C5B">
      <w:pPr>
        <w:adjustRightInd w:val="0"/>
        <w:snapToGrid w:val="0"/>
        <w:jc w:val="center"/>
        <w:rPr>
          <w:rFonts w:ascii="宋体" w:hAnsi="宋体"/>
          <w:b/>
          <w:color w:val="auto"/>
          <w:sz w:val="30"/>
          <w:szCs w:val="30"/>
          <w:highlight w:val="none"/>
        </w:rPr>
      </w:pPr>
    </w:p>
    <w:p w14:paraId="681A5BFE">
      <w:pPr>
        <w:adjustRightInd w:val="0"/>
        <w:snapToGrid w:val="0"/>
        <w:jc w:val="center"/>
        <w:rPr>
          <w:rFonts w:ascii="宋体" w:hAnsi="宋体"/>
          <w:b/>
          <w:color w:val="auto"/>
          <w:sz w:val="30"/>
          <w:szCs w:val="30"/>
          <w:highlight w:val="none"/>
        </w:rPr>
      </w:pPr>
    </w:p>
    <w:p w14:paraId="3A8A43D3">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0057F437">
      <w:pPr>
        <w:adjustRightInd w:val="0"/>
        <w:snapToGrid w:val="0"/>
        <w:rPr>
          <w:rFonts w:ascii="宋体" w:hAnsi="宋体"/>
          <w:color w:val="auto"/>
          <w:szCs w:val="21"/>
          <w:highlight w:val="none"/>
        </w:rPr>
      </w:pPr>
    </w:p>
    <w:p w14:paraId="6613E7DF">
      <w:pPr>
        <w:adjustRightInd w:val="0"/>
        <w:snapToGrid w:val="0"/>
        <w:rPr>
          <w:rFonts w:ascii="宋体" w:hAnsi="宋体"/>
          <w:color w:val="auto"/>
          <w:szCs w:val="21"/>
          <w:highlight w:val="none"/>
        </w:rPr>
      </w:pPr>
    </w:p>
    <w:p w14:paraId="2AA9ADB7">
      <w:pPr>
        <w:adjustRightInd w:val="0"/>
        <w:snapToGrid w:val="0"/>
        <w:rPr>
          <w:rFonts w:ascii="宋体" w:hAnsi="宋体"/>
          <w:color w:val="auto"/>
          <w:szCs w:val="21"/>
          <w:highlight w:val="none"/>
        </w:rPr>
      </w:pPr>
    </w:p>
    <w:p w14:paraId="774A0964">
      <w:pPr>
        <w:adjustRightInd w:val="0"/>
        <w:snapToGrid w:val="0"/>
        <w:spacing w:line="360" w:lineRule="auto"/>
        <w:rPr>
          <w:rFonts w:ascii="宋体" w:hAnsi="宋体"/>
          <w:b/>
          <w:color w:val="auto"/>
          <w:sz w:val="28"/>
          <w:szCs w:val="28"/>
          <w:highlight w:val="none"/>
        </w:rPr>
      </w:pPr>
      <w:r>
        <w:rPr>
          <w:rFonts w:ascii="宋体" w:hAnsi="宋体"/>
          <w:b/>
          <w:color w:val="auto"/>
          <w:sz w:val="30"/>
          <w:szCs w:val="30"/>
          <w:highlight w:val="none"/>
        </w:rPr>
        <w:br w:type="page"/>
      </w:r>
      <w:r>
        <w:rPr>
          <w:rFonts w:hint="eastAsia" w:ascii="宋体" w:hAnsi="宋体"/>
          <w:b/>
          <w:color w:val="auto"/>
          <w:sz w:val="28"/>
          <w:szCs w:val="28"/>
          <w:highlight w:val="none"/>
        </w:rPr>
        <w:t>一、总则</w:t>
      </w:r>
    </w:p>
    <w:p w14:paraId="7F48F626">
      <w:pPr>
        <w:adjustRightInd w:val="0"/>
        <w:snapToGrid w:val="0"/>
        <w:spacing w:line="360" w:lineRule="auto"/>
        <w:rPr>
          <w:rFonts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、投标要求</w:t>
      </w:r>
    </w:p>
    <w:p w14:paraId="7631D7C0">
      <w:pPr>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0FF7F94A">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w:t>
      </w:r>
    </w:p>
    <w:p w14:paraId="0717CEE1">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2、评标标准</w:t>
      </w:r>
    </w:p>
    <w:p w14:paraId="31DA1DE8">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28321861">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3、工作条件</w:t>
      </w:r>
    </w:p>
    <w:p w14:paraId="495E2778">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606ABCD">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6C7F162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620D72FB">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1327EC34">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0692685B">
      <w:pPr>
        <w:rPr>
          <w:rFonts w:eastAsia="黑体"/>
          <w:b/>
          <w:bCs/>
          <w:color w:val="auto"/>
          <w:kern w:val="44"/>
          <w:sz w:val="24"/>
          <w:highlight w:val="none"/>
        </w:rPr>
      </w:pPr>
    </w:p>
    <w:p w14:paraId="21C9EBB8">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4、验收标准</w:t>
      </w:r>
    </w:p>
    <w:p w14:paraId="72F88279">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28D85655">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2DFE097C">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215ED324">
      <w:pPr>
        <w:pStyle w:val="20"/>
        <w:spacing w:line="360" w:lineRule="auto"/>
        <w:ind w:left="410" w:hanging="410" w:hangingChars="170"/>
        <w:rPr>
          <w:rFonts w:hAnsi="宋体"/>
          <w:b/>
          <w:color w:val="auto"/>
          <w:sz w:val="24"/>
          <w:szCs w:val="24"/>
          <w:highlight w:val="none"/>
        </w:rPr>
      </w:pPr>
    </w:p>
    <w:p w14:paraId="02757E76">
      <w:pPr>
        <w:adjustRightInd w:val="0"/>
        <w:snapToGrid w:val="0"/>
        <w:spacing w:line="360" w:lineRule="auto"/>
        <w:rPr>
          <w:rFonts w:hAnsi="宋体"/>
          <w:b/>
          <w:color w:val="auto"/>
          <w:sz w:val="24"/>
          <w:highlight w:val="none"/>
        </w:rPr>
      </w:pPr>
      <w:r>
        <w:rPr>
          <w:rFonts w:hint="eastAsia"/>
          <w:b/>
          <w:bCs/>
          <w:color w:val="auto"/>
          <w:sz w:val="24"/>
          <w:highlight w:val="none"/>
        </w:rPr>
        <w:t>5、本采购需求书中标注“★”号技术条款的为实质性要求，不满足其投标将视为无效投标被拒绝。</w:t>
      </w:r>
    </w:p>
    <w:p w14:paraId="742EEBED">
      <w:pPr>
        <w:adjustRightInd w:val="0"/>
        <w:snapToGrid w:val="0"/>
        <w:spacing w:line="360" w:lineRule="auto"/>
        <w:rPr>
          <w:rFonts w:ascii="宋体" w:hAnsi="宋体"/>
          <w:b/>
          <w:color w:val="auto"/>
          <w:sz w:val="24"/>
          <w:highlight w:val="none"/>
        </w:rPr>
      </w:pPr>
    </w:p>
    <w:p w14:paraId="713D8A43">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6、如在具体技术规格中有本总则不一致之处，以具体技术规格中的要求为准。</w:t>
      </w:r>
    </w:p>
    <w:p w14:paraId="4B92B2DB">
      <w:pPr>
        <w:adjustRightInd w:val="0"/>
        <w:snapToGrid w:val="0"/>
        <w:spacing w:line="360" w:lineRule="auto"/>
        <w:rPr>
          <w:rFonts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二、具体技术规格</w:t>
      </w:r>
    </w:p>
    <w:p w14:paraId="4FD5A087">
      <w:pPr>
        <w:jc w:val="center"/>
        <w:rPr>
          <w:b/>
          <w:color w:val="auto"/>
          <w:sz w:val="24"/>
          <w:highlight w:val="none"/>
        </w:rPr>
      </w:pPr>
      <w:r>
        <w:rPr>
          <w:rFonts w:hint="eastAsia"/>
          <w:b/>
          <w:color w:val="auto"/>
          <w:sz w:val="24"/>
          <w:highlight w:val="none"/>
        </w:rPr>
        <w:t>自动传送式近红外高光谱种子品质分析仪</w:t>
      </w:r>
    </w:p>
    <w:p w14:paraId="5DF809E3">
      <w:pPr>
        <w:rPr>
          <w:b/>
          <w:color w:val="auto"/>
          <w:sz w:val="24"/>
          <w:highlight w:val="none"/>
        </w:rPr>
      </w:pPr>
    </w:p>
    <w:p w14:paraId="4BBA0A8F">
      <w:pPr>
        <w:rPr>
          <w:b/>
          <w:color w:val="auto"/>
          <w:sz w:val="24"/>
          <w:highlight w:val="none"/>
        </w:rPr>
      </w:pPr>
    </w:p>
    <w:p w14:paraId="6B083A4D">
      <w:pPr>
        <w:rPr>
          <w:b/>
          <w:color w:val="auto"/>
          <w:sz w:val="24"/>
          <w:highlight w:val="none"/>
        </w:rPr>
      </w:pPr>
      <w:r>
        <w:rPr>
          <w:rFonts w:hint="eastAsia"/>
          <w:b/>
          <w:color w:val="auto"/>
          <w:sz w:val="24"/>
          <w:highlight w:val="none"/>
        </w:rPr>
        <w:t>（一）</w:t>
      </w:r>
      <w:r>
        <w:rPr>
          <w:b/>
          <w:color w:val="auto"/>
          <w:sz w:val="24"/>
          <w:highlight w:val="none"/>
        </w:rPr>
        <w:t>技术要求：</w:t>
      </w:r>
    </w:p>
    <w:p w14:paraId="35B18074">
      <w:pPr>
        <w:spacing w:line="360" w:lineRule="auto"/>
        <w:rPr>
          <w:b/>
          <w:color w:val="auto"/>
          <w:sz w:val="24"/>
          <w:highlight w:val="none"/>
        </w:rPr>
      </w:pPr>
      <w:r>
        <w:rPr>
          <w:b/>
          <w:color w:val="auto"/>
          <w:sz w:val="24"/>
          <w:highlight w:val="none"/>
        </w:rPr>
        <w:t>1. 工作条件：</w:t>
      </w:r>
    </w:p>
    <w:p w14:paraId="7599ABF1">
      <w:pPr>
        <w:spacing w:line="360" w:lineRule="auto"/>
        <w:jc w:val="left"/>
        <w:rPr>
          <w:color w:val="auto"/>
          <w:sz w:val="24"/>
          <w:highlight w:val="none"/>
        </w:rPr>
      </w:pPr>
      <w:r>
        <w:rPr>
          <w:color w:val="auto"/>
          <w:sz w:val="24"/>
          <w:highlight w:val="none"/>
        </w:rPr>
        <w:t>1.1 电源：</w:t>
      </w:r>
      <w:r>
        <w:rPr>
          <w:color w:val="auto"/>
          <w:sz w:val="24"/>
          <w:highlight w:val="none"/>
        </w:rPr>
        <w:t>220V（±10％）/50Hz</w:t>
      </w:r>
    </w:p>
    <w:p w14:paraId="23663989">
      <w:pPr>
        <w:spacing w:line="360" w:lineRule="auto"/>
        <w:jc w:val="left"/>
        <w:rPr>
          <w:color w:val="auto"/>
          <w:sz w:val="24"/>
          <w:highlight w:val="none"/>
        </w:rPr>
      </w:pPr>
      <w:r>
        <w:rPr>
          <w:color w:val="auto"/>
          <w:sz w:val="24"/>
          <w:highlight w:val="none"/>
        </w:rPr>
        <w:t>1.2 温度：-10℃～＋40℃</w:t>
      </w:r>
    </w:p>
    <w:p w14:paraId="23B9EF59">
      <w:pPr>
        <w:spacing w:line="360" w:lineRule="auto"/>
        <w:jc w:val="left"/>
        <w:rPr>
          <w:color w:val="auto"/>
          <w:sz w:val="24"/>
          <w:highlight w:val="none"/>
        </w:rPr>
      </w:pPr>
      <w:r>
        <w:rPr>
          <w:color w:val="auto"/>
          <w:sz w:val="24"/>
          <w:highlight w:val="none"/>
        </w:rPr>
        <w:t>1.3 湿度：相对湿度小于90％（无结露）</w:t>
      </w:r>
    </w:p>
    <w:p w14:paraId="2F1FF41D">
      <w:pPr>
        <w:pStyle w:val="73"/>
        <w:rPr>
          <w:rFonts w:ascii="Times New Roman" w:hAnsi="Times New Roman" w:cs="Times New Roman"/>
          <w:color w:val="auto"/>
          <w:highlight w:val="none"/>
        </w:rPr>
      </w:pPr>
    </w:p>
    <w:p w14:paraId="77E4BAA6">
      <w:pPr>
        <w:spacing w:line="360" w:lineRule="auto"/>
        <w:rPr>
          <w:b/>
          <w:color w:val="auto"/>
          <w:sz w:val="24"/>
          <w:highlight w:val="none"/>
        </w:rPr>
      </w:pPr>
      <w:r>
        <w:rPr>
          <w:b/>
          <w:color w:val="auto"/>
          <w:sz w:val="24"/>
          <w:highlight w:val="none"/>
        </w:rPr>
        <w:t>2. 设备用途：</w:t>
      </w:r>
    </w:p>
    <w:p w14:paraId="1CD96266">
      <w:pPr>
        <w:spacing w:line="360" w:lineRule="auto"/>
        <w:ind w:firstLine="480" w:firstLineChars="200"/>
        <w:rPr>
          <w:color w:val="auto"/>
          <w:sz w:val="24"/>
          <w:highlight w:val="none"/>
        </w:rPr>
      </w:pPr>
      <w:r>
        <w:rPr>
          <w:color w:val="auto"/>
          <w:sz w:val="24"/>
          <w:highlight w:val="none"/>
        </w:rPr>
        <w:t>自动传送式近红外高光谱种子品质分析仪是一种集成了自动传送系统、近红外高光谱成像技术和人工智能分析算法的高端农业检测装备，能够实现对种子群体的高通量、无损、精细化品质检测与分选。该设备不仅支持单粒种子的连续自动检测，还可同步获取成分含量与空间分布信息，是现代种业质量控制和精准育种研究中的关键工具。自动传送式近红外高光谱种子品质分析仪可以对种子品质进行非破坏性、快速、高通量的综合评估，其具有无损分析、高通量、自动化、信息丰富等特征，具备对种子有机物成分定量和可视化检测、病害和健康检测、品质与活力评估等功能。</w:t>
      </w:r>
    </w:p>
    <w:p w14:paraId="5AA0B2B4">
      <w:pPr>
        <w:pStyle w:val="73"/>
        <w:rPr>
          <w:rFonts w:ascii="Times New Roman" w:hAnsi="Times New Roman" w:cs="Times New Roman"/>
          <w:color w:val="auto"/>
          <w:highlight w:val="none"/>
        </w:rPr>
      </w:pPr>
    </w:p>
    <w:p w14:paraId="61F48073">
      <w:pPr>
        <w:spacing w:line="360" w:lineRule="auto"/>
        <w:rPr>
          <w:b/>
          <w:color w:val="auto"/>
          <w:sz w:val="24"/>
          <w:highlight w:val="none"/>
        </w:rPr>
      </w:pPr>
      <w:r>
        <w:rPr>
          <w:b/>
          <w:color w:val="auto"/>
          <w:sz w:val="24"/>
          <w:highlight w:val="none"/>
        </w:rPr>
        <w:t>3. 技术规格：</w:t>
      </w:r>
    </w:p>
    <w:p w14:paraId="787F58F6">
      <w:pPr>
        <w:spacing w:line="360" w:lineRule="auto"/>
        <w:rPr>
          <w:b/>
          <w:bCs/>
          <w:color w:val="auto"/>
          <w:sz w:val="24"/>
          <w:highlight w:val="none"/>
        </w:rPr>
      </w:pPr>
      <w:r>
        <w:rPr>
          <w:b/>
          <w:bCs/>
          <w:color w:val="auto"/>
          <w:sz w:val="24"/>
          <w:highlight w:val="none"/>
        </w:rPr>
        <w:t>3.1 近红外高光谱成像模块</w:t>
      </w:r>
    </w:p>
    <w:p w14:paraId="5B1F7A64">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3.1.1</w:t>
      </w:r>
      <w:r>
        <w:rPr>
          <w:rFonts w:eastAsiaTheme="minorEastAsia"/>
          <w:color w:val="auto"/>
          <w:sz w:val="24"/>
          <w:highlight w:val="none"/>
        </w:rPr>
        <w:t xml:space="preserve"> </w:t>
      </w:r>
      <w:r>
        <w:rPr>
          <w:rFonts w:eastAsiaTheme="minorEastAsia"/>
          <w:color w:val="auto"/>
          <w:sz w:val="24"/>
          <w:highlight w:val="none"/>
        </w:rPr>
        <w:t>成像方式：既可内置推扫扫描，又可外置推扫扫描；</w:t>
      </w:r>
    </w:p>
    <w:p w14:paraId="61A73B0C">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3.1.2 光谱范围：900-1700nm；</w:t>
      </w:r>
    </w:p>
    <w:p w14:paraId="67912AB3">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3.1.3 光谱分辨率(FWHM)：≤5nm；</w:t>
      </w:r>
    </w:p>
    <w:p w14:paraId="47201215">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4 最小光谱采样间隔：≤1.6nm；</w:t>
      </w:r>
    </w:p>
    <w:p w14:paraId="34628F8A">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3.1.5 光谱波段（软件可调）：≥512；</w:t>
      </w:r>
    </w:p>
    <w:p w14:paraId="442967CA">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3.1.6 空间通道数（软件可调）：≥640；</w:t>
      </w:r>
    </w:p>
    <w:p w14:paraId="037F953E">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7 像素位深：≥14 bits；</w:t>
      </w:r>
    </w:p>
    <w:p w14:paraId="508D0B5E">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8 探测元件：InGaAs；</w:t>
      </w:r>
    </w:p>
    <w:p w14:paraId="4DF9F68E">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3.1.9 探测器像元数：≥640*512；</w:t>
      </w:r>
    </w:p>
    <w:p w14:paraId="09748486">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3.1.10 最大DN值上限：≥16000；</w:t>
      </w:r>
    </w:p>
    <w:p w14:paraId="560CC179">
      <w:pPr>
        <w:spacing w:line="360" w:lineRule="auto"/>
        <w:rPr>
          <w:rFonts w:eastAsiaTheme="minorEastAsia"/>
          <w:color w:val="auto"/>
          <w:sz w:val="24"/>
          <w:highlight w:val="none"/>
        </w:rPr>
      </w:pPr>
      <w:r>
        <w:rPr>
          <w:rFonts w:eastAsiaTheme="minorEastAsia"/>
          <w:b/>
          <w:bCs/>
          <w:color w:val="auto"/>
          <w:sz w:val="24"/>
          <w:highlight w:val="none"/>
        </w:rPr>
        <w:t>#</w:t>
      </w:r>
      <w:r>
        <w:rPr>
          <w:rFonts w:eastAsiaTheme="minorEastAsia"/>
          <w:color w:val="auto"/>
          <w:sz w:val="24"/>
          <w:highlight w:val="none"/>
        </w:rPr>
        <w:t>3.1.</w:t>
      </w:r>
      <w:r>
        <w:rPr>
          <w:rFonts w:eastAsiaTheme="minorEastAsia"/>
          <w:color w:val="auto"/>
          <w:sz w:val="24"/>
          <w:highlight w:val="none"/>
        </w:rPr>
        <w:t>11 波段响应指标：950nm～1700nm波段，白板DN值响应＞10%；975nm～1660nm波段，白板DN值响应＞25%；1000nm～1650nm波段：白板DN值响应＞40%</w:t>
      </w:r>
      <w:r>
        <w:rPr>
          <w:rFonts w:hint="eastAsia" w:eastAsiaTheme="minorEastAsia"/>
          <w:color w:val="auto"/>
          <w:sz w:val="24"/>
          <w:highlight w:val="none"/>
        </w:rPr>
        <w:t>（</w:t>
      </w:r>
      <w:r>
        <w:rPr>
          <w:rFonts w:hint="eastAsia"/>
          <w:color w:val="auto"/>
          <w:sz w:val="24"/>
          <w:highlight w:val="none"/>
        </w:rPr>
        <w:t>需提供实际拍摄测试照片及数据结果展示，证明材料需体现对应功能及处理效果，否则视为未提供）</w:t>
      </w:r>
      <w:r>
        <w:rPr>
          <w:rFonts w:eastAsiaTheme="minorEastAsia"/>
          <w:color w:val="auto"/>
          <w:sz w:val="24"/>
          <w:highlight w:val="none"/>
        </w:rPr>
        <w:t>；</w:t>
      </w:r>
    </w:p>
    <w:p w14:paraId="42673305">
      <w:pPr>
        <w:spacing w:line="360" w:lineRule="auto"/>
        <w:rPr>
          <w:rFonts w:eastAsiaTheme="minorEastAsia"/>
          <w:color w:val="auto"/>
          <w:sz w:val="24"/>
          <w:highlight w:val="none"/>
        </w:rPr>
      </w:pPr>
      <w:r>
        <w:rPr>
          <w:rFonts w:eastAsiaTheme="minorEastAsia"/>
          <w:color w:val="auto"/>
          <w:sz w:val="24"/>
          <w:highlight w:val="none"/>
        </w:rPr>
        <w:t>3.1.12</w:t>
      </w:r>
      <w:r>
        <w:rPr>
          <w:rFonts w:eastAsiaTheme="minorEastAsia"/>
          <w:color w:val="auto"/>
          <w:sz w:val="24"/>
          <w:highlight w:val="none"/>
        </w:rPr>
        <w:t xml:space="preserve">接口：USB3.0/Type-C； </w:t>
      </w:r>
    </w:p>
    <w:p w14:paraId="0C1D2E85">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13 通光效率：＞50%；</w:t>
      </w:r>
    </w:p>
    <w:p w14:paraId="568E66C7">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14 杂散光＜0.5%；</w:t>
      </w:r>
    </w:p>
    <w:p w14:paraId="3009BE8E">
      <w:pPr>
        <w:spacing w:line="360" w:lineRule="auto"/>
        <w:rPr>
          <w:rFonts w:eastAsiaTheme="minorEastAsia"/>
          <w:color w:val="auto"/>
          <w:sz w:val="24"/>
          <w:highlight w:val="none"/>
        </w:rPr>
      </w:pPr>
      <w:r>
        <w:rPr>
          <w:rFonts w:eastAsiaTheme="minorEastAsia"/>
          <w:color w:val="auto"/>
          <w:sz w:val="24"/>
          <w:highlight w:val="none"/>
        </w:rPr>
        <w:t>3.1.</w:t>
      </w:r>
      <w:r>
        <w:rPr>
          <w:rFonts w:eastAsiaTheme="minorEastAsia"/>
          <w:color w:val="auto"/>
          <w:sz w:val="24"/>
          <w:highlight w:val="none"/>
        </w:rPr>
        <w:t>15 数值孔径：≥F/2.0；</w:t>
      </w:r>
    </w:p>
    <w:p w14:paraId="00E01466">
      <w:pPr>
        <w:spacing w:line="360" w:lineRule="auto"/>
        <w:rPr>
          <w:rFonts w:eastAsiaTheme="minorEastAsia"/>
          <w:color w:val="auto"/>
          <w:sz w:val="24"/>
          <w:highlight w:val="none"/>
        </w:rPr>
      </w:pPr>
      <w:r>
        <w:rPr>
          <w:rFonts w:eastAsiaTheme="minorEastAsia"/>
          <w:color w:val="auto"/>
          <w:sz w:val="24"/>
          <w:highlight w:val="none"/>
        </w:rPr>
        <w:t>3.1.16 内置电控机械</w:t>
      </w:r>
      <w:r>
        <w:rPr>
          <w:rFonts w:hint="eastAsia" w:eastAsiaTheme="minorEastAsia"/>
          <w:color w:val="auto"/>
          <w:sz w:val="24"/>
          <w:highlight w:val="none"/>
        </w:rPr>
        <w:t>装置</w:t>
      </w:r>
      <w:r>
        <w:rPr>
          <w:rFonts w:eastAsiaTheme="minorEastAsia"/>
          <w:color w:val="auto"/>
          <w:sz w:val="24"/>
          <w:highlight w:val="none"/>
        </w:rPr>
        <w:t>，无需扣上镜头盖自动完成暗背景采集；</w:t>
      </w:r>
      <w:r>
        <w:rPr>
          <w:rFonts w:hint="eastAsia"/>
          <w:color w:val="auto"/>
          <w:sz w:val="24"/>
          <w:highlight w:val="none"/>
        </w:rPr>
        <w:t>（需提供证明材料：软件功能截图）</w:t>
      </w:r>
    </w:p>
    <w:p w14:paraId="2F7B331F">
      <w:pPr>
        <w:spacing w:line="360" w:lineRule="auto"/>
        <w:rPr>
          <w:rFonts w:eastAsiaTheme="minorEastAsia"/>
          <w:color w:val="auto"/>
          <w:sz w:val="24"/>
          <w:highlight w:val="none"/>
        </w:rPr>
      </w:pPr>
      <w:r>
        <w:rPr>
          <w:rFonts w:eastAsiaTheme="minorEastAsia"/>
          <w:color w:val="auto"/>
          <w:sz w:val="24"/>
          <w:highlight w:val="none"/>
        </w:rPr>
        <w:t>3.1.17</w:t>
      </w:r>
      <w:r>
        <w:rPr>
          <w:rFonts w:eastAsiaTheme="minorEastAsia"/>
          <w:color w:val="auto"/>
          <w:sz w:val="24"/>
          <w:highlight w:val="none"/>
        </w:rPr>
        <w:t>成像镜头：标准C接口，50mm焦距，全波段消色差处理；</w:t>
      </w:r>
    </w:p>
    <w:p w14:paraId="2464EA3B">
      <w:pPr>
        <w:spacing w:line="360" w:lineRule="auto"/>
        <w:rPr>
          <w:rFonts w:eastAsiaTheme="minorEastAsia"/>
          <w:color w:val="auto"/>
          <w:sz w:val="24"/>
          <w:highlight w:val="none"/>
        </w:rPr>
      </w:pPr>
      <w:r>
        <w:rPr>
          <w:rFonts w:eastAsiaTheme="minorEastAsia"/>
          <w:b/>
          <w:bCs/>
          <w:color w:val="auto"/>
          <w:sz w:val="24"/>
          <w:highlight w:val="none"/>
        </w:rPr>
        <w:t>#</w:t>
      </w:r>
      <w:r>
        <w:rPr>
          <w:rFonts w:eastAsiaTheme="minorEastAsia"/>
          <w:color w:val="auto"/>
          <w:sz w:val="24"/>
          <w:highlight w:val="none"/>
        </w:rPr>
        <w:t>3.1.18 具备自动电控调焦功能，获取清晰图像，</w:t>
      </w:r>
      <w:r>
        <w:rPr>
          <w:rFonts w:eastAsiaTheme="minorEastAsia"/>
          <w:color w:val="auto"/>
          <w:sz w:val="24"/>
          <w:highlight w:val="none"/>
        </w:rPr>
        <w:t>可通过软件控制来驱动机械结构运转实现物距调整，</w:t>
      </w:r>
      <w:r>
        <w:rPr>
          <w:rFonts w:eastAsiaTheme="minorEastAsia"/>
          <w:color w:val="auto"/>
          <w:sz w:val="24"/>
          <w:highlight w:val="none"/>
        </w:rPr>
        <w:t>无需手触碰镜头调节图像采集清晰度，自适应多物种种子，包括玉米、大豆、水稻、小麦等；</w:t>
      </w:r>
      <w:r>
        <w:rPr>
          <w:rFonts w:hint="eastAsia"/>
          <w:color w:val="auto"/>
          <w:sz w:val="24"/>
          <w:highlight w:val="none"/>
        </w:rPr>
        <w:t>（需提供验证材料：软件功能截图）</w:t>
      </w:r>
    </w:p>
    <w:p w14:paraId="4E7AA0BA">
      <w:pPr>
        <w:spacing w:line="360" w:lineRule="auto"/>
        <w:rPr>
          <w:rFonts w:eastAsiaTheme="minorEastAsia"/>
          <w:color w:val="auto"/>
          <w:sz w:val="24"/>
          <w:highlight w:val="none"/>
        </w:rPr>
      </w:pPr>
      <w:r>
        <w:rPr>
          <w:rFonts w:eastAsiaTheme="minorEastAsia"/>
          <w:b/>
          <w:bCs/>
          <w:color w:val="auto"/>
          <w:sz w:val="24"/>
          <w:highlight w:val="none"/>
        </w:rPr>
        <w:t>#</w:t>
      </w:r>
      <w:r>
        <w:rPr>
          <w:rFonts w:eastAsiaTheme="minorEastAsia"/>
          <w:color w:val="auto"/>
          <w:sz w:val="24"/>
          <w:highlight w:val="none"/>
        </w:rPr>
        <w:t>3.1.19 标准高反射比校正白板，光谱范围：900-1700nm；反射比：≥0.98（(@1000nm波长）、≥0.97(@1700nm波长)； （需提供证明材料：制造商公开发布的印刷资料或第三方检测机构出具的检测报告）</w:t>
      </w:r>
    </w:p>
    <w:p w14:paraId="5174E61C">
      <w:pPr>
        <w:spacing w:line="360" w:lineRule="auto"/>
        <w:rPr>
          <w:rFonts w:eastAsiaTheme="minorEastAsia"/>
          <w:color w:val="auto"/>
          <w:sz w:val="24"/>
          <w:highlight w:val="none"/>
        </w:rPr>
      </w:pPr>
      <w:r>
        <w:rPr>
          <w:rFonts w:eastAsiaTheme="minorEastAsia"/>
          <w:color w:val="auto"/>
          <w:sz w:val="24"/>
          <w:highlight w:val="none"/>
        </w:rPr>
        <w:t>3.1.20 帧频：≥50fps</w:t>
      </w:r>
    </w:p>
    <w:p w14:paraId="0CAC9CF0">
      <w:pPr>
        <w:spacing w:line="360" w:lineRule="auto"/>
        <w:rPr>
          <w:rFonts w:eastAsiaTheme="minorEastAsia"/>
          <w:color w:val="auto"/>
          <w:sz w:val="24"/>
          <w:highlight w:val="none"/>
        </w:rPr>
      </w:pPr>
      <w:bookmarkStart w:id="2" w:name="OLE_LINK6"/>
      <w:r>
        <w:rPr>
          <w:rFonts w:eastAsiaTheme="minorEastAsia"/>
          <w:b/>
          <w:bCs/>
          <w:color w:val="auto"/>
          <w:sz w:val="24"/>
          <w:highlight w:val="none"/>
        </w:rPr>
        <w:t>#</w:t>
      </w:r>
      <w:bookmarkEnd w:id="2"/>
      <w:r>
        <w:rPr>
          <w:rFonts w:eastAsiaTheme="minorEastAsia"/>
          <w:color w:val="auto"/>
          <w:sz w:val="24"/>
          <w:highlight w:val="none"/>
        </w:rPr>
        <w:t>3.1.21 可实时进行反射率校准；</w:t>
      </w:r>
      <w:r>
        <w:rPr>
          <w:rFonts w:hint="eastAsia"/>
          <w:color w:val="auto"/>
          <w:sz w:val="24"/>
          <w:highlight w:val="none"/>
        </w:rPr>
        <w:t>（需提供证明材料：软件功能截图）</w:t>
      </w:r>
    </w:p>
    <w:p w14:paraId="550D51B8">
      <w:pPr>
        <w:spacing w:line="360" w:lineRule="auto"/>
        <w:rPr>
          <w:rFonts w:eastAsiaTheme="minorEastAsia"/>
          <w:color w:val="auto"/>
          <w:sz w:val="24"/>
          <w:highlight w:val="none"/>
        </w:rPr>
      </w:pPr>
      <w:r>
        <w:rPr>
          <w:rFonts w:eastAsiaTheme="minorEastAsia"/>
          <w:b/>
          <w:bCs/>
          <w:color w:val="auto"/>
          <w:sz w:val="24"/>
          <w:highlight w:val="none"/>
        </w:rPr>
        <w:t>#</w:t>
      </w:r>
      <w:r>
        <w:rPr>
          <w:rFonts w:eastAsiaTheme="minorEastAsia"/>
          <w:color w:val="auto"/>
          <w:sz w:val="24"/>
          <w:highlight w:val="none"/>
        </w:rPr>
        <w:t>3.1.22 实时镜头/均匀性校准；</w:t>
      </w:r>
      <w:r>
        <w:rPr>
          <w:rFonts w:hint="eastAsia"/>
          <w:color w:val="auto"/>
          <w:sz w:val="24"/>
          <w:highlight w:val="none"/>
        </w:rPr>
        <w:t>（需提供证明材料：软件功能截图）</w:t>
      </w:r>
    </w:p>
    <w:p w14:paraId="525D0BF0">
      <w:pPr>
        <w:spacing w:line="360" w:lineRule="auto"/>
        <w:rPr>
          <w:b/>
          <w:bCs/>
          <w:color w:val="auto"/>
          <w:sz w:val="24"/>
          <w:highlight w:val="none"/>
        </w:rPr>
      </w:pPr>
      <w:r>
        <w:rPr>
          <w:b/>
          <w:bCs/>
          <w:color w:val="auto"/>
          <w:sz w:val="24"/>
          <w:highlight w:val="none"/>
        </w:rPr>
        <w:t>3.2 光源模块</w:t>
      </w:r>
    </w:p>
    <w:p w14:paraId="0A801168">
      <w:pPr>
        <w:spacing w:line="360" w:lineRule="auto"/>
        <w:rPr>
          <w:rFonts w:eastAsiaTheme="minorEastAsia"/>
          <w:color w:val="auto"/>
          <w:sz w:val="24"/>
          <w:highlight w:val="none"/>
        </w:rPr>
      </w:pPr>
      <w:r>
        <w:rPr>
          <w:rFonts w:eastAsiaTheme="minorEastAsia"/>
          <w:b/>
          <w:bCs/>
          <w:color w:val="auto"/>
          <w:sz w:val="24"/>
          <w:highlight w:val="none"/>
        </w:rPr>
        <w:t>#</w:t>
      </w:r>
      <w:r>
        <w:rPr>
          <w:color w:val="auto"/>
          <w:sz w:val="24"/>
          <w:highlight w:val="none"/>
        </w:rPr>
        <w:t xml:space="preserve">3.2.1 </w:t>
      </w:r>
      <w:r>
        <w:rPr>
          <w:rFonts w:eastAsiaTheme="minorEastAsia"/>
          <w:color w:val="auto"/>
          <w:sz w:val="24"/>
          <w:highlight w:val="none"/>
        </w:rPr>
        <w:t>光源系统：卤素灯，光谱范围：覆盖900 -1700nm; 配备积分球均光系统，双开口设计，入口直径≥90mm; 出口直径≥90mm,球体光源直径≥300mm，内壁覆盖高反射涂层；光照均匀性≥95%</w:t>
      </w:r>
      <w:r>
        <w:rPr>
          <w:rFonts w:hint="eastAsia"/>
          <w:color w:val="auto"/>
          <w:sz w:val="24"/>
          <w:highlight w:val="none"/>
        </w:rPr>
        <w:t>（需提供证明材料：光源系统实物图）</w:t>
      </w:r>
      <w:r>
        <w:rPr>
          <w:rFonts w:eastAsiaTheme="minorEastAsia"/>
          <w:color w:val="auto"/>
          <w:sz w:val="24"/>
          <w:highlight w:val="none"/>
        </w:rPr>
        <w:t>;</w:t>
      </w:r>
    </w:p>
    <w:p w14:paraId="2048664B">
      <w:pPr>
        <w:spacing w:line="360" w:lineRule="auto"/>
        <w:rPr>
          <w:b/>
          <w:bCs/>
          <w:color w:val="auto"/>
          <w:sz w:val="24"/>
          <w:highlight w:val="none"/>
        </w:rPr>
      </w:pPr>
      <w:r>
        <w:rPr>
          <w:b/>
          <w:bCs/>
          <w:color w:val="auto"/>
          <w:sz w:val="24"/>
          <w:highlight w:val="none"/>
        </w:rPr>
        <w:t>3.3 种子传送及缓存模块</w:t>
      </w:r>
    </w:p>
    <w:p w14:paraId="0F512F10">
      <w:pPr>
        <w:spacing w:line="360" w:lineRule="auto"/>
        <w:rPr>
          <w:rFonts w:eastAsiaTheme="minorEastAsia"/>
          <w:color w:val="auto"/>
          <w:sz w:val="24"/>
          <w:highlight w:val="none"/>
        </w:rPr>
      </w:pPr>
      <w:r>
        <w:rPr>
          <w:rFonts w:eastAsiaTheme="minorEastAsia"/>
          <w:color w:val="auto"/>
          <w:sz w:val="24"/>
          <w:highlight w:val="none"/>
        </w:rPr>
        <w:t>3.3.1. 动力单元：全自动传送带;</w:t>
      </w:r>
    </w:p>
    <w:p w14:paraId="38872CBD">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3.3.2. 传送带尺寸：宽度≥25mm，厚度≥1.5mm，双根;</w:t>
      </w:r>
    </w:p>
    <w:p w14:paraId="34CC23C8">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3.3.3. 传送精度：≤0.1mm；</w:t>
      </w:r>
      <w:r>
        <w:rPr>
          <w:rFonts w:eastAsiaTheme="minorEastAsia"/>
          <w:color w:val="auto"/>
          <w:sz w:val="24"/>
          <w:highlight w:val="none"/>
        </w:rPr>
        <w:t>传送带速度：≥7mm/s;</w:t>
      </w:r>
    </w:p>
    <w:p w14:paraId="0DB7DEF4">
      <w:pPr>
        <w:spacing w:line="360" w:lineRule="auto"/>
        <w:rPr>
          <w:rFonts w:eastAsiaTheme="minorEastAsia"/>
          <w:color w:val="auto"/>
          <w:sz w:val="24"/>
          <w:highlight w:val="none"/>
        </w:rPr>
      </w:pPr>
      <w:r>
        <w:rPr>
          <w:rFonts w:ascii="Wingdings" w:hAnsi="Wingdings"/>
          <w:color w:val="auto"/>
          <w:sz w:val="24"/>
          <w:highlight w:val="none"/>
        </w:rPr>
        <w:t></w:t>
      </w:r>
      <w:r>
        <w:rPr>
          <w:rFonts w:eastAsiaTheme="minorEastAsia"/>
          <w:color w:val="auto"/>
          <w:sz w:val="24"/>
          <w:highlight w:val="none"/>
        </w:rPr>
        <w:t>3.3.4. 种子缓存系统: 系统配备种子缓存系统，每个缓存篮可装载5个种子托盘，系统可自动将种子托盘装载到传送带上，传送进成像室进行成像，再运输至另一侧缓存篮中，实现对种子托盘的自动加载和回收，标配5个种子托盘，托盘尺寸250mm*250mm;</w:t>
      </w:r>
    </w:p>
    <w:p w14:paraId="61F0FC66">
      <w:pPr>
        <w:spacing w:line="360" w:lineRule="auto"/>
        <w:rPr>
          <w:rFonts w:eastAsiaTheme="minorEastAsia"/>
          <w:color w:val="auto"/>
          <w:sz w:val="24"/>
          <w:highlight w:val="none"/>
        </w:rPr>
      </w:pPr>
      <w:r>
        <w:rPr>
          <w:rFonts w:eastAsiaTheme="minorEastAsia"/>
          <w:b/>
          <w:bCs/>
          <w:color w:val="auto"/>
          <w:sz w:val="24"/>
          <w:highlight w:val="none"/>
        </w:rPr>
        <w:t>#</w:t>
      </w:r>
      <w:r>
        <w:rPr>
          <w:rFonts w:eastAsiaTheme="minorEastAsia"/>
          <w:color w:val="auto"/>
          <w:sz w:val="24"/>
          <w:highlight w:val="none"/>
        </w:rPr>
        <w:t>3.3.5. 具备称重功能，可获取种子重量，称重误差≤10mg;</w:t>
      </w:r>
    </w:p>
    <w:p w14:paraId="750FB303">
      <w:pPr>
        <w:spacing w:line="360" w:lineRule="auto"/>
        <w:rPr>
          <w:rFonts w:eastAsiaTheme="minorEastAsia"/>
          <w:color w:val="auto"/>
          <w:sz w:val="24"/>
          <w:highlight w:val="none"/>
        </w:rPr>
      </w:pPr>
      <w:r>
        <w:rPr>
          <w:rFonts w:eastAsiaTheme="minorEastAsia"/>
          <w:color w:val="auto"/>
          <w:sz w:val="24"/>
          <w:highlight w:val="none"/>
        </w:rPr>
        <w:t>3.3.6. 配备低温种子储藏室，温度范围：0~10℃，湿度≤65%;</w:t>
      </w:r>
    </w:p>
    <w:p w14:paraId="5E2AE1C3">
      <w:pPr>
        <w:spacing w:line="360" w:lineRule="auto"/>
        <w:rPr>
          <w:b/>
          <w:bCs/>
          <w:color w:val="auto"/>
          <w:sz w:val="24"/>
          <w:highlight w:val="none"/>
        </w:rPr>
      </w:pPr>
      <w:r>
        <w:rPr>
          <w:b/>
          <w:bCs/>
          <w:color w:val="auto"/>
          <w:sz w:val="24"/>
          <w:highlight w:val="none"/>
        </w:rPr>
        <w:t>3.4 软件模块</w:t>
      </w:r>
    </w:p>
    <w:p w14:paraId="091480DA">
      <w:pPr>
        <w:spacing w:line="360" w:lineRule="auto"/>
        <w:rPr>
          <w:color w:val="auto"/>
          <w:sz w:val="24"/>
          <w:highlight w:val="none"/>
        </w:rPr>
      </w:pPr>
      <w:r>
        <w:rPr>
          <w:b/>
          <w:bCs/>
          <w:color w:val="auto"/>
          <w:sz w:val="24"/>
          <w:highlight w:val="none"/>
        </w:rPr>
        <w:t>#</w:t>
      </w:r>
      <w:r>
        <w:rPr>
          <w:color w:val="auto"/>
          <w:sz w:val="24"/>
          <w:highlight w:val="none"/>
        </w:rPr>
        <w:t>3.4.1 软件功能：内置辐射定标与暗电流校正功能，及常规降噪算法；</w:t>
      </w:r>
      <w:r>
        <w:rPr>
          <w:rFonts w:hint="eastAsia"/>
          <w:color w:val="auto"/>
          <w:sz w:val="24"/>
          <w:highlight w:val="none"/>
        </w:rPr>
        <w:t>（需提供证明材料：软件功能截图）</w:t>
      </w:r>
    </w:p>
    <w:p w14:paraId="729FD42E">
      <w:pPr>
        <w:spacing w:line="360" w:lineRule="auto"/>
        <w:rPr>
          <w:color w:val="auto"/>
          <w:sz w:val="24"/>
          <w:highlight w:val="none"/>
        </w:rPr>
      </w:pPr>
      <w:r>
        <w:rPr>
          <w:b/>
          <w:bCs/>
          <w:color w:val="auto"/>
          <w:sz w:val="24"/>
          <w:highlight w:val="none"/>
        </w:rPr>
        <w:t>#</w:t>
      </w:r>
      <w:r>
        <w:rPr>
          <w:color w:val="auto"/>
          <w:sz w:val="24"/>
          <w:highlight w:val="none"/>
        </w:rPr>
        <w:t>3.4.2 推扫作业全过程支持实时图像预览功能;</w:t>
      </w:r>
    </w:p>
    <w:p w14:paraId="789BD042">
      <w:pPr>
        <w:spacing w:line="360" w:lineRule="auto"/>
        <w:rPr>
          <w:color w:val="auto"/>
          <w:sz w:val="24"/>
          <w:highlight w:val="none"/>
        </w:rPr>
      </w:pPr>
      <w:r>
        <w:rPr>
          <w:color w:val="auto"/>
          <w:sz w:val="24"/>
          <w:highlight w:val="none"/>
        </w:rPr>
        <w:t>3.4.3 支持可选择导出内容、格式与路径，支持Excel、CSV等批量导出数据，图像结果自动归档至数据库，导出文件命名规则可自定义，支持按试验、作物、时间等多维度分组导出;</w:t>
      </w:r>
    </w:p>
    <w:p w14:paraId="535DE4CA">
      <w:pPr>
        <w:pStyle w:val="73"/>
        <w:spacing w:line="360" w:lineRule="auto"/>
        <w:rPr>
          <w:rFonts w:ascii="Times New Roman" w:hAnsi="Times New Roman" w:cs="Times New Roman" w:eastAsiaTheme="minorEastAsia"/>
          <w:color w:val="auto"/>
          <w:sz w:val="24"/>
          <w:highlight w:val="none"/>
        </w:rPr>
      </w:pPr>
      <w:r>
        <w:rPr>
          <w:rFonts w:ascii="Times New Roman" w:hAnsi="Times New Roman" w:eastAsia="宋体" w:cs="Times New Roman"/>
          <w:color w:val="auto"/>
          <w:sz w:val="24"/>
          <w:szCs w:val="24"/>
          <w:highlight w:val="none"/>
        </w:rPr>
        <w:t>3.4.4</w:t>
      </w:r>
      <w:r>
        <w:rPr>
          <w:rFonts w:ascii="Times New Roman" w:hAnsi="Times New Roman" w:cs="Times New Roman"/>
          <w:color w:val="auto"/>
          <w:highlight w:val="none"/>
        </w:rPr>
        <w:t xml:space="preserve"> </w:t>
      </w:r>
      <w:r>
        <w:rPr>
          <w:rFonts w:ascii="Times New Roman" w:hAnsi="Times New Roman" w:cs="Times New Roman" w:eastAsiaTheme="minorEastAsia"/>
          <w:color w:val="auto"/>
          <w:sz w:val="24"/>
          <w:highlight w:val="none"/>
        </w:rPr>
        <w:t>塔式计算工作站：处理器：≥ 4核心1.8GHz ，内存总容量：≥16G；硬盘总容量：≥2TB；屏幕尺寸：≥27英寸。</w:t>
      </w:r>
    </w:p>
    <w:p w14:paraId="3457A4D3">
      <w:pPr>
        <w:rPr>
          <w:color w:val="auto"/>
          <w:highlight w:val="none"/>
        </w:rPr>
      </w:pPr>
    </w:p>
    <w:p w14:paraId="541EF41F">
      <w:pPr>
        <w:spacing w:line="360" w:lineRule="auto"/>
        <w:rPr>
          <w:b/>
          <w:color w:val="auto"/>
          <w:sz w:val="24"/>
          <w:highlight w:val="none"/>
        </w:rPr>
      </w:pPr>
      <w:r>
        <w:rPr>
          <w:b/>
          <w:color w:val="auto"/>
          <w:sz w:val="24"/>
          <w:highlight w:val="none"/>
        </w:rPr>
        <w:t>4.  产品配置要求：</w:t>
      </w:r>
    </w:p>
    <w:p w14:paraId="428821D4">
      <w:pPr>
        <w:numPr>
          <w:ilvl w:val="1"/>
          <w:numId w:val="0"/>
        </w:numPr>
        <w:spacing w:line="360" w:lineRule="auto"/>
        <w:ind w:left="360" w:hanging="360"/>
        <w:rPr>
          <w:color w:val="auto"/>
          <w:sz w:val="24"/>
          <w:highlight w:val="none"/>
        </w:rPr>
      </w:pPr>
      <w:r>
        <w:rPr>
          <w:color w:val="auto"/>
          <w:sz w:val="24"/>
          <w:highlight w:val="none"/>
        </w:rPr>
        <w:t>4.1 近红外高光谱成像模块1套</w:t>
      </w:r>
    </w:p>
    <w:p w14:paraId="7B869050">
      <w:pPr>
        <w:numPr>
          <w:ilvl w:val="1"/>
          <w:numId w:val="0"/>
        </w:numPr>
        <w:spacing w:line="360" w:lineRule="auto"/>
        <w:ind w:left="360" w:hanging="360"/>
        <w:rPr>
          <w:color w:val="auto"/>
          <w:sz w:val="24"/>
          <w:highlight w:val="none"/>
        </w:rPr>
      </w:pPr>
      <w:r>
        <w:rPr>
          <w:color w:val="auto"/>
          <w:sz w:val="24"/>
          <w:highlight w:val="none"/>
        </w:rPr>
        <w:t>4.2 光源模块1套</w:t>
      </w:r>
    </w:p>
    <w:p w14:paraId="745B4625">
      <w:pPr>
        <w:numPr>
          <w:ilvl w:val="1"/>
          <w:numId w:val="0"/>
        </w:numPr>
        <w:spacing w:line="360" w:lineRule="auto"/>
        <w:ind w:left="360" w:hanging="360"/>
        <w:rPr>
          <w:color w:val="auto"/>
          <w:sz w:val="24"/>
          <w:highlight w:val="none"/>
        </w:rPr>
      </w:pPr>
      <w:r>
        <w:rPr>
          <w:color w:val="auto"/>
          <w:sz w:val="24"/>
          <w:highlight w:val="none"/>
        </w:rPr>
        <w:t>4.3 种子传送及缓存模块1套</w:t>
      </w:r>
    </w:p>
    <w:p w14:paraId="1E193A70">
      <w:pPr>
        <w:numPr>
          <w:ilvl w:val="1"/>
          <w:numId w:val="0"/>
        </w:numPr>
        <w:spacing w:line="360" w:lineRule="auto"/>
        <w:rPr>
          <w:color w:val="auto"/>
          <w:sz w:val="24"/>
          <w:highlight w:val="none"/>
        </w:rPr>
      </w:pPr>
      <w:r>
        <w:rPr>
          <w:color w:val="auto"/>
          <w:sz w:val="24"/>
          <w:highlight w:val="none"/>
        </w:rPr>
        <w:t>4.4 软件模块1套</w:t>
      </w:r>
    </w:p>
    <w:p w14:paraId="48E3A996">
      <w:pPr>
        <w:pStyle w:val="73"/>
        <w:rPr>
          <w:rFonts w:ascii="Times New Roman" w:hAnsi="Times New Roman" w:cs="Times New Roman"/>
          <w:color w:val="auto"/>
          <w:highlight w:val="none"/>
        </w:rPr>
      </w:pPr>
    </w:p>
    <w:p w14:paraId="60EDC398">
      <w:pPr>
        <w:tabs>
          <w:tab w:val="left" w:pos="540"/>
        </w:tabs>
        <w:spacing w:line="360" w:lineRule="auto"/>
        <w:rPr>
          <w:b/>
          <w:color w:val="auto"/>
          <w:sz w:val="24"/>
          <w:highlight w:val="none"/>
        </w:rPr>
      </w:pPr>
      <w:r>
        <w:rPr>
          <w:b/>
          <w:color w:val="auto"/>
          <w:sz w:val="24"/>
          <w:highlight w:val="none"/>
        </w:rPr>
        <w:t>5. 技术文件：</w:t>
      </w:r>
    </w:p>
    <w:p w14:paraId="1C7591D6">
      <w:pPr>
        <w:spacing w:line="360" w:lineRule="auto"/>
        <w:rPr>
          <w:color w:val="auto"/>
          <w:sz w:val="24"/>
          <w:szCs w:val="32"/>
          <w:highlight w:val="none"/>
        </w:rPr>
      </w:pPr>
      <w:r>
        <w:rPr>
          <w:color w:val="auto"/>
          <w:sz w:val="24"/>
          <w:szCs w:val="32"/>
          <w:highlight w:val="none"/>
        </w:rPr>
        <w:t>5.1 投标人提供的货物须是功能完备的全新产品，其技术规格应符合招标文件的要求。</w:t>
      </w:r>
    </w:p>
    <w:p w14:paraId="65687CA2">
      <w:pPr>
        <w:spacing w:line="360" w:lineRule="auto"/>
        <w:rPr>
          <w:color w:val="auto"/>
          <w:sz w:val="24"/>
          <w:szCs w:val="32"/>
          <w:highlight w:val="none"/>
        </w:rPr>
      </w:pPr>
      <w:r>
        <w:rPr>
          <w:color w:val="auto"/>
          <w:sz w:val="24"/>
          <w:szCs w:val="32"/>
          <w:highlight w:val="none"/>
        </w:rPr>
        <w:t>5.2 为便于用户进行接收仪器的准备工作，卖方应在合同生效后</w:t>
      </w:r>
      <w:r>
        <w:rPr>
          <w:color w:val="auto"/>
          <w:sz w:val="24"/>
          <w:szCs w:val="32"/>
          <w:highlight w:val="none"/>
        </w:rPr>
        <w:t>60天</w:t>
      </w:r>
      <w:r>
        <w:rPr>
          <w:color w:val="auto"/>
          <w:sz w:val="24"/>
          <w:szCs w:val="32"/>
          <w:highlight w:val="none"/>
        </w:rPr>
        <w:t>内向用户提供一套完整的使用说明书、操作手册、维修及安装说明等文件。另一套完整上述资料应在交货时随货包装提供给用户。</w:t>
      </w:r>
    </w:p>
    <w:p w14:paraId="74822E09">
      <w:pPr>
        <w:spacing w:line="360" w:lineRule="auto"/>
        <w:rPr>
          <w:color w:val="auto"/>
          <w:sz w:val="24"/>
          <w:szCs w:val="32"/>
          <w:highlight w:val="none"/>
        </w:rPr>
      </w:pPr>
    </w:p>
    <w:p w14:paraId="412D11A5">
      <w:pPr>
        <w:spacing w:line="360" w:lineRule="auto"/>
        <w:rPr>
          <w:b/>
          <w:color w:val="auto"/>
          <w:sz w:val="24"/>
          <w:highlight w:val="none"/>
        </w:rPr>
      </w:pPr>
      <w:r>
        <w:rPr>
          <w:b/>
          <w:color w:val="auto"/>
          <w:sz w:val="24"/>
          <w:highlight w:val="none"/>
        </w:rPr>
        <w:t>6. 选购附件、备件及消耗品（请参考总则第2.2条）</w:t>
      </w:r>
    </w:p>
    <w:p w14:paraId="790AC2E0">
      <w:pPr>
        <w:spacing w:line="360" w:lineRule="auto"/>
        <w:rPr>
          <w:color w:val="auto"/>
          <w:sz w:val="24"/>
          <w:szCs w:val="32"/>
          <w:highlight w:val="none"/>
        </w:rPr>
      </w:pPr>
      <w:r>
        <w:rPr>
          <w:color w:val="auto"/>
          <w:sz w:val="24"/>
          <w:highlight w:val="none"/>
        </w:rPr>
        <w:t xml:space="preserve">6.1 </w:t>
      </w:r>
      <w:r>
        <w:rPr>
          <w:rFonts w:hint="eastAsia"/>
          <w:color w:val="auto"/>
          <w:sz w:val="24"/>
          <w:highlight w:val="none"/>
        </w:rPr>
        <w:t>塔式</w:t>
      </w:r>
      <w:r>
        <w:rPr>
          <w:color w:val="auto"/>
          <w:sz w:val="24"/>
          <w:highlight w:val="none"/>
        </w:rPr>
        <w:t>计算工作站1套</w:t>
      </w:r>
      <w:r>
        <w:rPr>
          <w:rFonts w:hint="eastAsia"/>
          <w:color w:val="auto"/>
          <w:sz w:val="24"/>
          <w:highlight w:val="none"/>
        </w:rPr>
        <w:t>（包含主机、显示器和操作系统）</w:t>
      </w:r>
    </w:p>
    <w:p w14:paraId="2CE306B5">
      <w:pPr>
        <w:spacing w:line="360" w:lineRule="auto"/>
        <w:rPr>
          <w:color w:val="auto"/>
          <w:sz w:val="24"/>
          <w:highlight w:val="none"/>
        </w:rPr>
      </w:pPr>
      <w:r>
        <w:rPr>
          <w:color w:val="auto"/>
          <w:sz w:val="24"/>
          <w:highlight w:val="none"/>
        </w:rPr>
        <w:t>6.2 种子托盘5套</w:t>
      </w:r>
    </w:p>
    <w:p w14:paraId="675D54EA">
      <w:pPr>
        <w:spacing w:line="360" w:lineRule="auto"/>
        <w:rPr>
          <w:color w:val="auto"/>
          <w:sz w:val="24"/>
          <w:highlight w:val="none"/>
        </w:rPr>
      </w:pPr>
    </w:p>
    <w:p w14:paraId="1C8526FF">
      <w:pPr>
        <w:spacing w:line="360" w:lineRule="auto"/>
        <w:rPr>
          <w:b/>
          <w:color w:val="auto"/>
          <w:sz w:val="24"/>
          <w:highlight w:val="none"/>
        </w:rPr>
      </w:pPr>
      <w:r>
        <w:rPr>
          <w:b/>
          <w:color w:val="auto"/>
          <w:sz w:val="24"/>
          <w:highlight w:val="none"/>
        </w:rPr>
        <w:t>（二）质保及售后服务：</w:t>
      </w:r>
    </w:p>
    <w:p w14:paraId="3B35C4ED">
      <w:pPr>
        <w:spacing w:line="360" w:lineRule="auto"/>
        <w:rPr>
          <w:color w:val="auto"/>
          <w:sz w:val="24"/>
          <w:highlight w:val="none"/>
        </w:rPr>
      </w:pPr>
      <w:r>
        <w:rPr>
          <w:color w:val="auto"/>
          <w:sz w:val="24"/>
          <w:highlight w:val="none"/>
        </w:rPr>
        <w:t>1. 设备安装调试：卖方负责对设备进行指导安装和调试，并负责对买方进行免费操作培训。</w:t>
      </w:r>
    </w:p>
    <w:p w14:paraId="18D08C18">
      <w:pPr>
        <w:spacing w:line="360" w:lineRule="auto"/>
        <w:rPr>
          <w:color w:val="auto"/>
          <w:highlight w:val="none"/>
        </w:rPr>
      </w:pPr>
      <w:r>
        <w:rPr>
          <w:color w:val="auto"/>
          <w:sz w:val="24"/>
          <w:highlight w:val="none"/>
        </w:rPr>
        <w:t>2. 质保期和售后服务：质保期</w:t>
      </w:r>
      <w:r>
        <w:rPr>
          <w:rFonts w:hint="eastAsia"/>
          <w:color w:val="auto"/>
          <w:sz w:val="24"/>
          <w:highlight w:val="none"/>
        </w:rPr>
        <w:t>为最终验收合格后</w:t>
      </w:r>
      <w:r>
        <w:rPr>
          <w:color w:val="auto"/>
          <w:sz w:val="24"/>
          <w:highlight w:val="none"/>
        </w:rPr>
        <w:t>1年，以该产品的说明书规定的技术参数或技术协议为质量标准；质保期过后，若设备发生故障，卖方工程师在收到用户的维修服务要求后8小时内做出回应，如有需要24小时内到达用户现场进行维修。</w:t>
      </w:r>
    </w:p>
    <w:p w14:paraId="139B3FF3">
      <w:pPr>
        <w:spacing w:line="360" w:lineRule="auto"/>
        <w:rPr>
          <w:color w:val="auto"/>
          <w:sz w:val="24"/>
          <w:highlight w:val="none"/>
        </w:rPr>
      </w:pPr>
      <w:r>
        <w:rPr>
          <w:color w:val="auto"/>
          <w:sz w:val="24"/>
          <w:highlight w:val="none"/>
        </w:rPr>
        <w:t>3. 包装与运输</w:t>
      </w:r>
    </w:p>
    <w:p w14:paraId="45F10ED7">
      <w:pPr>
        <w:spacing w:line="360" w:lineRule="auto"/>
        <w:ind w:firstLine="480" w:firstLineChars="200"/>
        <w:rPr>
          <w:color w:val="auto"/>
          <w:sz w:val="24"/>
          <w:highlight w:val="none"/>
        </w:rPr>
      </w:pPr>
      <w:r>
        <w:rPr>
          <w:color w:val="auto"/>
          <w:sz w:val="24"/>
          <w:highlight w:val="none"/>
        </w:rPr>
        <w:t>3.1 设备采用整体运输。</w:t>
      </w:r>
    </w:p>
    <w:p w14:paraId="4BD32579">
      <w:pPr>
        <w:spacing w:line="360" w:lineRule="auto"/>
        <w:ind w:firstLine="480" w:firstLineChars="200"/>
        <w:rPr>
          <w:color w:val="auto"/>
          <w:sz w:val="24"/>
          <w:highlight w:val="none"/>
        </w:rPr>
      </w:pPr>
      <w:r>
        <w:rPr>
          <w:color w:val="auto"/>
          <w:sz w:val="24"/>
          <w:highlight w:val="none"/>
        </w:rPr>
        <w:t>3.2 运输方式：由卖方负责运输，运输费用由卖方承担。</w:t>
      </w:r>
    </w:p>
    <w:p w14:paraId="7E5164DA">
      <w:pPr>
        <w:spacing w:line="360" w:lineRule="auto"/>
        <w:rPr>
          <w:color w:val="auto"/>
          <w:sz w:val="24"/>
          <w:highlight w:val="none"/>
        </w:rPr>
      </w:pPr>
      <w:r>
        <w:rPr>
          <w:color w:val="auto"/>
          <w:sz w:val="24"/>
          <w:highlight w:val="none"/>
        </w:rPr>
        <w:t>4. 技术服务</w:t>
      </w:r>
    </w:p>
    <w:p w14:paraId="1396ED7E">
      <w:pPr>
        <w:spacing w:line="360" w:lineRule="auto"/>
        <w:ind w:firstLine="480" w:firstLineChars="200"/>
        <w:rPr>
          <w:color w:val="auto"/>
          <w:sz w:val="24"/>
          <w:highlight w:val="none"/>
        </w:rPr>
      </w:pPr>
      <w:r>
        <w:rPr>
          <w:color w:val="auto"/>
          <w:sz w:val="24"/>
          <w:highlight w:val="none"/>
        </w:rPr>
        <w:t>4.1 仪器到达用户所在地后，在接到用户通知后1周内执行安装调试。</w:t>
      </w:r>
    </w:p>
    <w:p w14:paraId="2021BCA3">
      <w:pPr>
        <w:spacing w:line="360" w:lineRule="auto"/>
        <w:ind w:firstLine="480" w:firstLineChars="200"/>
        <w:rPr>
          <w:color w:val="auto"/>
          <w:sz w:val="24"/>
          <w:highlight w:val="none"/>
        </w:rPr>
      </w:pPr>
      <w:r>
        <w:rPr>
          <w:color w:val="auto"/>
          <w:sz w:val="24"/>
          <w:highlight w:val="none"/>
        </w:rPr>
        <w:t>4.2 仪器的安装调试应于2周内完成。</w:t>
      </w:r>
    </w:p>
    <w:p w14:paraId="494E8617">
      <w:pPr>
        <w:spacing w:line="360" w:lineRule="auto"/>
        <w:ind w:firstLine="480" w:firstLineChars="200"/>
        <w:rPr>
          <w:color w:val="auto"/>
          <w:sz w:val="24"/>
          <w:highlight w:val="none"/>
        </w:rPr>
      </w:pPr>
      <w:r>
        <w:rPr>
          <w:color w:val="auto"/>
          <w:sz w:val="24"/>
          <w:highlight w:val="none"/>
        </w:rPr>
        <w:t>4.3 技术培训：在用户现场对用户为期不少于2天的培训。培训内容包括：设备的技术原理、操作、数据处理、基本维护等。</w:t>
      </w:r>
    </w:p>
    <w:p w14:paraId="647B0821">
      <w:pPr>
        <w:spacing w:line="360" w:lineRule="auto"/>
        <w:ind w:firstLine="480" w:firstLineChars="200"/>
        <w:rPr>
          <w:color w:val="auto"/>
          <w:sz w:val="24"/>
          <w:highlight w:val="none"/>
        </w:rPr>
      </w:pPr>
      <w:r>
        <w:rPr>
          <w:color w:val="auto"/>
          <w:sz w:val="24"/>
          <w:highlight w:val="none"/>
        </w:rPr>
        <w:t>4.4 维修响应时间：供方应在24小时内对用户的服务要求做出响应，接到用户维修通知后2个工作日内必须到客户现场。</w:t>
      </w:r>
    </w:p>
    <w:p w14:paraId="5EF3C9C8">
      <w:pPr>
        <w:pStyle w:val="73"/>
        <w:rPr>
          <w:rFonts w:ascii="Times New Roman" w:hAnsi="Times New Roman" w:cs="Times New Roman"/>
          <w:color w:val="auto"/>
          <w:highlight w:val="none"/>
        </w:rPr>
      </w:pPr>
    </w:p>
    <w:p w14:paraId="4990D7CB">
      <w:pPr>
        <w:spacing w:line="360" w:lineRule="auto"/>
        <w:rPr>
          <w:b/>
          <w:color w:val="auto"/>
          <w:sz w:val="24"/>
          <w:highlight w:val="none"/>
        </w:rPr>
      </w:pPr>
      <w:r>
        <w:rPr>
          <w:b/>
          <w:color w:val="auto"/>
          <w:sz w:val="24"/>
          <w:highlight w:val="none"/>
        </w:rPr>
        <w:t>（三） 订货数量：</w:t>
      </w:r>
    </w:p>
    <w:p w14:paraId="54B3744A">
      <w:pPr>
        <w:spacing w:line="360" w:lineRule="auto"/>
        <w:ind w:firstLine="240" w:firstLineChars="100"/>
        <w:rPr>
          <w:color w:val="auto"/>
          <w:sz w:val="24"/>
          <w:highlight w:val="none"/>
        </w:rPr>
      </w:pPr>
      <w:r>
        <w:rPr>
          <w:color w:val="auto"/>
          <w:sz w:val="24"/>
          <w:highlight w:val="none"/>
        </w:rPr>
        <w:t xml:space="preserve"> 自动传送式近红外高光谱种子品质分析仪1套</w:t>
      </w:r>
    </w:p>
    <w:p w14:paraId="03812A28">
      <w:pPr>
        <w:spacing w:line="360" w:lineRule="auto"/>
        <w:rPr>
          <w:color w:val="auto"/>
          <w:sz w:val="24"/>
          <w:highlight w:val="none"/>
        </w:rPr>
      </w:pPr>
    </w:p>
    <w:p w14:paraId="0D3AE9E5">
      <w:pPr>
        <w:spacing w:line="360" w:lineRule="auto"/>
        <w:rPr>
          <w:b/>
          <w:color w:val="auto"/>
          <w:sz w:val="24"/>
          <w:highlight w:val="none"/>
        </w:rPr>
      </w:pPr>
      <w:r>
        <w:rPr>
          <w:b/>
          <w:color w:val="auto"/>
          <w:sz w:val="24"/>
          <w:highlight w:val="none"/>
        </w:rPr>
        <w:t>（四）交货日期和交货地点（项目现场）：</w:t>
      </w:r>
    </w:p>
    <w:p w14:paraId="282BB3DC">
      <w:pPr>
        <w:spacing w:line="360" w:lineRule="auto"/>
        <w:rPr>
          <w:color w:val="auto"/>
          <w:sz w:val="24"/>
          <w:highlight w:val="none"/>
        </w:rPr>
      </w:pPr>
      <w:r>
        <w:rPr>
          <w:color w:val="auto"/>
          <w:sz w:val="24"/>
          <w:highlight w:val="none"/>
        </w:rPr>
        <w:t xml:space="preserve">   1. 交货期：</w:t>
      </w:r>
      <w:r>
        <w:rPr>
          <w:color w:val="auto"/>
          <w:sz w:val="24"/>
          <w:highlight w:val="none"/>
        </w:rPr>
        <w:t xml:space="preserve">签订合同后3个月内。 </w:t>
      </w:r>
    </w:p>
    <w:p w14:paraId="2F9FC535">
      <w:pPr>
        <w:spacing w:line="360" w:lineRule="auto"/>
        <w:rPr>
          <w:color w:val="auto"/>
          <w:highlight w:val="none"/>
        </w:rPr>
      </w:pPr>
      <w:r>
        <w:rPr>
          <w:color w:val="auto"/>
          <w:sz w:val="24"/>
          <w:highlight w:val="none"/>
        </w:rPr>
        <w:t xml:space="preserve">   2. 交货地点：用户指定地点。</w:t>
      </w:r>
    </w:p>
    <w:p w14:paraId="1F5D4445">
      <w:pPr>
        <w:spacing w:line="360" w:lineRule="auto"/>
        <w:rPr>
          <w:b/>
          <w:bCs/>
          <w:color w:val="auto"/>
          <w:sz w:val="24"/>
          <w:highlight w:val="none"/>
        </w:rPr>
      </w:pPr>
    </w:p>
    <w:p w14:paraId="5810BF84">
      <w:pPr>
        <w:spacing w:line="360" w:lineRule="auto"/>
        <w:rPr>
          <w:color w:val="auto"/>
          <w:highlight w:val="none"/>
        </w:rPr>
      </w:pPr>
      <w:r>
        <w:rPr>
          <w:b/>
          <w:bCs/>
          <w:color w:val="auto"/>
          <w:sz w:val="24"/>
          <w:highlight w:val="none"/>
        </w:rPr>
        <w:t>（五）付款方式：</w:t>
      </w:r>
      <w:r>
        <w:rPr>
          <w:color w:val="auto"/>
          <w:sz w:val="24"/>
          <w:highlight w:val="none"/>
        </w:rPr>
        <w:t xml:space="preserve">                                         </w:t>
      </w:r>
    </w:p>
    <w:p w14:paraId="15900A7D">
      <w:pPr>
        <w:spacing w:line="360" w:lineRule="auto"/>
        <w:ind w:firstLine="240" w:firstLineChars="100"/>
        <w:rPr>
          <w:color w:val="auto"/>
          <w:sz w:val="24"/>
          <w:highlight w:val="none"/>
        </w:rPr>
      </w:pPr>
      <w:r>
        <w:rPr>
          <w:color w:val="auto"/>
          <w:sz w:val="24"/>
          <w:highlight w:val="none"/>
        </w:rPr>
        <w:t>合同签订后，</w:t>
      </w:r>
      <w:r>
        <w:rPr>
          <w:color w:val="auto"/>
          <w:sz w:val="24"/>
          <w:highlight w:val="none"/>
        </w:rPr>
        <w:t>甲方</w:t>
      </w:r>
      <w:r>
        <w:rPr>
          <w:rFonts w:hint="eastAsia"/>
          <w:color w:val="auto"/>
          <w:sz w:val="24"/>
          <w:highlight w:val="none"/>
        </w:rPr>
        <w:t>预付合同金额的60%，设备到货安装调试完成，待</w:t>
      </w:r>
      <w:r>
        <w:rPr>
          <w:color w:val="auto"/>
          <w:sz w:val="24"/>
          <w:highlight w:val="none"/>
        </w:rPr>
        <w:t>甲方技术验收完成后支付剩余</w:t>
      </w:r>
      <w:r>
        <w:rPr>
          <w:rFonts w:hint="eastAsia"/>
          <w:color w:val="auto"/>
          <w:sz w:val="24"/>
          <w:highlight w:val="none"/>
        </w:rPr>
        <w:t>4</w:t>
      </w:r>
      <w:r>
        <w:rPr>
          <w:color w:val="auto"/>
          <w:sz w:val="24"/>
          <w:highlight w:val="none"/>
        </w:rPr>
        <w:t>0%尾款。</w:t>
      </w:r>
    </w:p>
    <w:p w14:paraId="51EF2797">
      <w:pPr>
        <w:spacing w:line="360" w:lineRule="auto"/>
        <w:rPr>
          <w:color w:val="auto"/>
          <w:sz w:val="24"/>
          <w:highlight w:val="none"/>
        </w:rPr>
      </w:pPr>
    </w:p>
    <w:p w14:paraId="5ECE9EF3">
      <w:pPr>
        <w:spacing w:line="360" w:lineRule="auto"/>
        <w:rPr>
          <w:b/>
          <w:color w:val="auto"/>
          <w:sz w:val="24"/>
          <w:highlight w:val="none"/>
        </w:rPr>
      </w:pPr>
      <w:r>
        <w:rPr>
          <w:b/>
          <w:color w:val="auto"/>
          <w:sz w:val="24"/>
          <w:highlight w:val="none"/>
        </w:rPr>
        <w:t>（六）执行的相关标准</w:t>
      </w:r>
    </w:p>
    <w:p w14:paraId="37B4BAFA">
      <w:pPr>
        <w:spacing w:line="360" w:lineRule="auto"/>
        <w:rPr>
          <w:b/>
          <w:color w:val="auto"/>
          <w:sz w:val="30"/>
          <w:szCs w:val="30"/>
          <w:highlight w:val="none"/>
        </w:rPr>
      </w:pPr>
      <w:r>
        <w:rPr>
          <w:color w:val="auto"/>
          <w:kern w:val="0"/>
          <w:sz w:val="24"/>
          <w:highlight w:val="none"/>
        </w:rPr>
        <w:t xml:space="preserve">   产品应满足相关国家标准及行业标准。</w:t>
      </w:r>
    </w:p>
    <w:p w14:paraId="198F5C63">
      <w:pPr>
        <w:widowControl/>
        <w:spacing w:line="360" w:lineRule="atLeast"/>
        <w:rPr>
          <w:rFonts w:ascii="宋体" w:hAnsi="宋体"/>
          <w:b/>
          <w:color w:val="auto"/>
          <w:sz w:val="30"/>
          <w:szCs w:val="30"/>
          <w:highlight w:val="none"/>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5"/>
      <w:jc w:val="center"/>
    </w:pPr>
    <w:r>
      <w:fldChar w:fldCharType="begin"/>
    </w:r>
    <w:r>
      <w:instrText xml:space="preserve">PAGE   \* MERGEFORMAT</w:instrText>
    </w:r>
    <w:r>
      <w:fldChar w:fldCharType="separate"/>
    </w:r>
    <w:r>
      <w:rPr>
        <w:lang w:val="zh-CN"/>
      </w:rPr>
      <w:t>80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5"/>
      <w:jc w:val="center"/>
    </w:pPr>
    <w:r>
      <w:fldChar w:fldCharType="begin"/>
    </w:r>
    <w:r>
      <w:instrText xml:space="preserve">PAGE   \* MERGEFORMAT</w:instrText>
    </w:r>
    <w:r>
      <w:fldChar w:fldCharType="separate"/>
    </w:r>
    <w:r>
      <w:rPr>
        <w:lang w:val="zh-CN"/>
      </w:rP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17CDA"/>
    <w:rsid w:val="00027C8D"/>
    <w:rsid w:val="00032C75"/>
    <w:rsid w:val="00040005"/>
    <w:rsid w:val="000543E7"/>
    <w:rsid w:val="0006010D"/>
    <w:rsid w:val="000668DC"/>
    <w:rsid w:val="00081ADD"/>
    <w:rsid w:val="000969BB"/>
    <w:rsid w:val="000973D2"/>
    <w:rsid w:val="000A75C1"/>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D256D"/>
    <w:rsid w:val="004E042A"/>
    <w:rsid w:val="004E4504"/>
    <w:rsid w:val="004F0FDE"/>
    <w:rsid w:val="004F191B"/>
    <w:rsid w:val="004F3E07"/>
    <w:rsid w:val="005023D6"/>
    <w:rsid w:val="00504FD3"/>
    <w:rsid w:val="00512882"/>
    <w:rsid w:val="005143FF"/>
    <w:rsid w:val="00516FEB"/>
    <w:rsid w:val="005244F5"/>
    <w:rsid w:val="00524665"/>
    <w:rsid w:val="005349A5"/>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032CD"/>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2B37"/>
    <w:rsid w:val="00A25682"/>
    <w:rsid w:val="00A2638C"/>
    <w:rsid w:val="00A27417"/>
    <w:rsid w:val="00A27AFD"/>
    <w:rsid w:val="00A354A8"/>
    <w:rsid w:val="00A4031E"/>
    <w:rsid w:val="00A44A2B"/>
    <w:rsid w:val="00A46F60"/>
    <w:rsid w:val="00A53234"/>
    <w:rsid w:val="00A56F9C"/>
    <w:rsid w:val="00A57F47"/>
    <w:rsid w:val="00A8225A"/>
    <w:rsid w:val="00AA029F"/>
    <w:rsid w:val="00AA7A0D"/>
    <w:rsid w:val="00AB113B"/>
    <w:rsid w:val="00AD2FD2"/>
    <w:rsid w:val="00AD41E6"/>
    <w:rsid w:val="00AD4ECF"/>
    <w:rsid w:val="00AD70C8"/>
    <w:rsid w:val="00AE094D"/>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0BC"/>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4609"/>
    <w:rsid w:val="00C2514A"/>
    <w:rsid w:val="00C27A10"/>
    <w:rsid w:val="00C34485"/>
    <w:rsid w:val="00C40AB3"/>
    <w:rsid w:val="00C43805"/>
    <w:rsid w:val="00C43E24"/>
    <w:rsid w:val="00C45235"/>
    <w:rsid w:val="00C53809"/>
    <w:rsid w:val="00C54174"/>
    <w:rsid w:val="00C60EF2"/>
    <w:rsid w:val="00C615B2"/>
    <w:rsid w:val="00C702F0"/>
    <w:rsid w:val="00C74553"/>
    <w:rsid w:val="00C8112C"/>
    <w:rsid w:val="00C84C38"/>
    <w:rsid w:val="00C87EF4"/>
    <w:rsid w:val="00C93AC5"/>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50DB2"/>
    <w:rsid w:val="00D60794"/>
    <w:rsid w:val="00D6263A"/>
    <w:rsid w:val="00D6312E"/>
    <w:rsid w:val="00D661C2"/>
    <w:rsid w:val="00D75701"/>
    <w:rsid w:val="00D778D7"/>
    <w:rsid w:val="00D80BB4"/>
    <w:rsid w:val="00D83934"/>
    <w:rsid w:val="00D861C3"/>
    <w:rsid w:val="00D862C1"/>
    <w:rsid w:val="00D91A0C"/>
    <w:rsid w:val="00D9239C"/>
    <w:rsid w:val="00D95955"/>
    <w:rsid w:val="00D979AB"/>
    <w:rsid w:val="00DA590C"/>
    <w:rsid w:val="00DA703D"/>
    <w:rsid w:val="00DB54CF"/>
    <w:rsid w:val="00DB5D20"/>
    <w:rsid w:val="00DB7629"/>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3EB5"/>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380"/>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E6D99"/>
    <w:rsid w:val="00FF5179"/>
    <w:rsid w:val="00FF728E"/>
    <w:rsid w:val="020B291A"/>
    <w:rsid w:val="02564456"/>
    <w:rsid w:val="051B3A05"/>
    <w:rsid w:val="053E2C54"/>
    <w:rsid w:val="06CA7275"/>
    <w:rsid w:val="06DE3CB5"/>
    <w:rsid w:val="06F02823"/>
    <w:rsid w:val="0762073E"/>
    <w:rsid w:val="08B927DF"/>
    <w:rsid w:val="09120680"/>
    <w:rsid w:val="09A45050"/>
    <w:rsid w:val="09FA1199"/>
    <w:rsid w:val="0A5B05D9"/>
    <w:rsid w:val="0ADF594B"/>
    <w:rsid w:val="0AE0030A"/>
    <w:rsid w:val="0BA90827"/>
    <w:rsid w:val="0C721436"/>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C686EB5"/>
    <w:rsid w:val="1C746B04"/>
    <w:rsid w:val="1C8F2A04"/>
    <w:rsid w:val="1D8B6157"/>
    <w:rsid w:val="20365C75"/>
    <w:rsid w:val="20863AF3"/>
    <w:rsid w:val="20FD3BD3"/>
    <w:rsid w:val="218B2C39"/>
    <w:rsid w:val="22597BF6"/>
    <w:rsid w:val="227819CB"/>
    <w:rsid w:val="23030E7F"/>
    <w:rsid w:val="23256975"/>
    <w:rsid w:val="23423424"/>
    <w:rsid w:val="23EA6B2E"/>
    <w:rsid w:val="240C4724"/>
    <w:rsid w:val="243F7370"/>
    <w:rsid w:val="24E93CA3"/>
    <w:rsid w:val="26053E04"/>
    <w:rsid w:val="26DD3CEE"/>
    <w:rsid w:val="27F05BD9"/>
    <w:rsid w:val="285745BD"/>
    <w:rsid w:val="2A8E004C"/>
    <w:rsid w:val="2B6A1BE2"/>
    <w:rsid w:val="2C083F8D"/>
    <w:rsid w:val="2CB90995"/>
    <w:rsid w:val="2D5179CF"/>
    <w:rsid w:val="2ED5581D"/>
    <w:rsid w:val="2F25260C"/>
    <w:rsid w:val="308A097E"/>
    <w:rsid w:val="319039E6"/>
    <w:rsid w:val="32085AE3"/>
    <w:rsid w:val="327F0D3B"/>
    <w:rsid w:val="331A4758"/>
    <w:rsid w:val="3369385E"/>
    <w:rsid w:val="33CA23C6"/>
    <w:rsid w:val="351101A8"/>
    <w:rsid w:val="35632F31"/>
    <w:rsid w:val="35C0542C"/>
    <w:rsid w:val="372B2789"/>
    <w:rsid w:val="37CE32A7"/>
    <w:rsid w:val="384F06F9"/>
    <w:rsid w:val="395026E3"/>
    <w:rsid w:val="39A43A9C"/>
    <w:rsid w:val="3AC54CA3"/>
    <w:rsid w:val="3AE72E6B"/>
    <w:rsid w:val="3AFF33E8"/>
    <w:rsid w:val="3C2D3B80"/>
    <w:rsid w:val="3D476359"/>
    <w:rsid w:val="3D9A658C"/>
    <w:rsid w:val="3DE10046"/>
    <w:rsid w:val="3DEE1D80"/>
    <w:rsid w:val="3DF338D5"/>
    <w:rsid w:val="3EA378DA"/>
    <w:rsid w:val="3EF73899"/>
    <w:rsid w:val="3F651E10"/>
    <w:rsid w:val="3F6F78D3"/>
    <w:rsid w:val="41EA201E"/>
    <w:rsid w:val="426C16E4"/>
    <w:rsid w:val="43D85920"/>
    <w:rsid w:val="442F62DC"/>
    <w:rsid w:val="443B5FD6"/>
    <w:rsid w:val="459220B9"/>
    <w:rsid w:val="46DB7A17"/>
    <w:rsid w:val="48333FF5"/>
    <w:rsid w:val="485E6BC5"/>
    <w:rsid w:val="48E62910"/>
    <w:rsid w:val="49FA5FEB"/>
    <w:rsid w:val="4A3E0C6F"/>
    <w:rsid w:val="4B914BF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28185A"/>
    <w:rsid w:val="56770AFB"/>
    <w:rsid w:val="573C6F55"/>
    <w:rsid w:val="57D63A28"/>
    <w:rsid w:val="57F95C42"/>
    <w:rsid w:val="580C70CB"/>
    <w:rsid w:val="581B6CF3"/>
    <w:rsid w:val="58527420"/>
    <w:rsid w:val="585F0652"/>
    <w:rsid w:val="591A5625"/>
    <w:rsid w:val="5980136F"/>
    <w:rsid w:val="59DD58A1"/>
    <w:rsid w:val="5AE900E2"/>
    <w:rsid w:val="5C7F1F93"/>
    <w:rsid w:val="5D89084C"/>
    <w:rsid w:val="5E72647F"/>
    <w:rsid w:val="5E834DD9"/>
    <w:rsid w:val="5F236DE7"/>
    <w:rsid w:val="5FEE7E35"/>
    <w:rsid w:val="608E3660"/>
    <w:rsid w:val="614C50B2"/>
    <w:rsid w:val="61705473"/>
    <w:rsid w:val="617B7B59"/>
    <w:rsid w:val="620B4DE2"/>
    <w:rsid w:val="621505DC"/>
    <w:rsid w:val="625D22A8"/>
    <w:rsid w:val="62914838"/>
    <w:rsid w:val="63025693"/>
    <w:rsid w:val="64187FBF"/>
    <w:rsid w:val="648D7D30"/>
    <w:rsid w:val="657340D8"/>
    <w:rsid w:val="65C0401D"/>
    <w:rsid w:val="662648F8"/>
    <w:rsid w:val="665F1537"/>
    <w:rsid w:val="67D85B6C"/>
    <w:rsid w:val="68ED6A71"/>
    <w:rsid w:val="69317B0A"/>
    <w:rsid w:val="69F67FAD"/>
    <w:rsid w:val="6A9734A6"/>
    <w:rsid w:val="6BFA67BA"/>
    <w:rsid w:val="6C67192F"/>
    <w:rsid w:val="6CE60189"/>
    <w:rsid w:val="6E04301E"/>
    <w:rsid w:val="6F135C55"/>
    <w:rsid w:val="6F215C44"/>
    <w:rsid w:val="6F5A2F04"/>
    <w:rsid w:val="6FDA0E9E"/>
    <w:rsid w:val="6FFD3FBC"/>
    <w:rsid w:val="732820F7"/>
    <w:rsid w:val="734D446A"/>
    <w:rsid w:val="740972B4"/>
    <w:rsid w:val="746B0D64"/>
    <w:rsid w:val="74C80B12"/>
    <w:rsid w:val="759B0467"/>
    <w:rsid w:val="774A1FD3"/>
    <w:rsid w:val="77FE4FE3"/>
    <w:rsid w:val="78C830A0"/>
    <w:rsid w:val="78D36201"/>
    <w:rsid w:val="792F1A3C"/>
    <w:rsid w:val="793270FF"/>
    <w:rsid w:val="79B5177D"/>
    <w:rsid w:val="79CD520C"/>
    <w:rsid w:val="7A463EB9"/>
    <w:rsid w:val="7A8377B3"/>
    <w:rsid w:val="7AB91175"/>
    <w:rsid w:val="7CD608CD"/>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_Style 29"/>
    <w:next w:val="1"/>
    <w:qFormat/>
    <w:uiPriority w:val="0"/>
    <w:pPr>
      <w:widowControl w:val="0"/>
      <w:tabs>
        <w:tab w:val="right" w:leader="dot" w:pos="9061"/>
      </w:tabs>
      <w:jc w:val="both"/>
    </w:pPr>
    <w:rPr>
      <w:rFonts w:ascii="仿宋_GB2312" w:hAnsi="宋体" w:eastAsia="仿宋_GB2312" w:cs="仿宋_GB2312"/>
      <w:color w:val="000000"/>
      <w:kern w:val="2"/>
      <w:sz w:val="21"/>
      <w:szCs w:val="21"/>
      <w:lang w:val="en-US" w:eastAsia="zh-CN" w:bidi="ar-SA"/>
    </w:rPr>
  </w:style>
  <w:style w:type="paragraph" w:customStyle="1" w:styleId="74">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40041</Words>
  <Characters>43080</Characters>
  <Lines>345</Lines>
  <Paragraphs>97</Paragraphs>
  <TotalTime>107</TotalTime>
  <ScaleCrop>false</ScaleCrop>
  <LinksUpToDate>false</LinksUpToDate>
  <CharactersWithSpaces>45561</CharactersWithSpaces>
  <Application>WPS Office_12.1.0.26946_F1E327BC-269C-435d-A152-05C5408002CA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2009-04-21T09:03:00Z</cp:lastPrinted>
  <dcterms:modified xsi:type="dcterms:W3CDTF">2026-08-20T08:48:12Z</dcterms:modified>
  <dc:title>北 京 市 政 府 采 购</dc:title>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2052-12.1.0.26946</vt:lpwstr>
  </property>
  <property fmtid="{D5CDD505-2E9C-101B-9397-08002B2CF9AE}" pid="3" name="ICV">
    <vt:lpwstr>CACFCA8D165F488BA98EA507FD3316F3_13</vt:lpwstr>
  </property>
  <property fmtid="{D5CDD505-2E9C-101B-9397-08002B2CF9AE}" pid="4" name="KSOTemplateDocerSaveRecord">
    <vt:lpwstr>eyJoZGlkIjoiMTMxNDlmMGYwMGExYmU0YTc1ODk5MDYyYTUxYTA2MDAiLCJ1c2VySWQiOiI3MTgzNDAyNjIifQ==</vt:lpwstr>
  </property>
</Properties>
</file>