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5C9D81">
      <w:pPr>
        <w:jc w:val="left"/>
        <w:rPr>
          <w:rFonts w:hint="eastAsia"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</w:rPr>
        <w:t>附件1</w:t>
      </w:r>
    </w:p>
    <w:p w14:paraId="5540D464">
      <w:pPr>
        <w:jc w:val="left"/>
        <w:rPr>
          <w:rFonts w:hint="eastAsia" w:ascii="仿宋" w:hAnsi="仿宋" w:eastAsia="仿宋" w:cs="仿宋"/>
          <w:b/>
          <w:color w:val="auto"/>
          <w:sz w:val="24"/>
          <w:highlight w:val="none"/>
        </w:rPr>
      </w:pPr>
    </w:p>
    <w:p w14:paraId="772BE9BF">
      <w:pPr>
        <w:jc w:val="left"/>
        <w:rPr>
          <w:rFonts w:hint="eastAsia" w:ascii="仿宋" w:hAnsi="仿宋" w:eastAsia="仿宋" w:cs="仿宋"/>
          <w:b/>
          <w:color w:val="auto"/>
          <w:sz w:val="24"/>
          <w:highlight w:val="none"/>
          <w:lang w:val="en-US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包组编号：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  <w:lang w:val="en-US" w:eastAsia="zh-CN"/>
        </w:rPr>
        <w:t>005</w:t>
      </w:r>
    </w:p>
    <w:tbl>
      <w:tblPr>
        <w:tblStyle w:val="4"/>
        <w:tblW w:w="511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697"/>
        <w:gridCol w:w="2177"/>
        <w:gridCol w:w="7834"/>
        <w:gridCol w:w="1146"/>
        <w:gridCol w:w="1437"/>
        <w:gridCol w:w="673"/>
      </w:tblGrid>
      <w:tr w14:paraId="4561F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86" w:type="pct"/>
            <w:noWrap w:val="0"/>
            <w:vAlign w:val="center"/>
          </w:tcPr>
          <w:p w14:paraId="60B934B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包号</w:t>
            </w:r>
          </w:p>
        </w:tc>
        <w:tc>
          <w:tcPr>
            <w:tcW w:w="240" w:type="pct"/>
            <w:noWrap w:val="0"/>
            <w:vAlign w:val="center"/>
          </w:tcPr>
          <w:p w14:paraId="34C4537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750" w:type="pct"/>
            <w:noWrap w:val="0"/>
            <w:vAlign w:val="center"/>
          </w:tcPr>
          <w:p w14:paraId="1ADC5F9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产品</w:t>
            </w:r>
          </w:p>
        </w:tc>
        <w:tc>
          <w:tcPr>
            <w:tcW w:w="2699" w:type="pct"/>
            <w:noWrap w:val="0"/>
            <w:vAlign w:val="center"/>
          </w:tcPr>
          <w:p w14:paraId="3AEB473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货品主要技术参数</w:t>
            </w:r>
          </w:p>
        </w:tc>
        <w:tc>
          <w:tcPr>
            <w:tcW w:w="395" w:type="pct"/>
            <w:noWrap w:val="0"/>
            <w:vAlign w:val="center"/>
          </w:tcPr>
          <w:p w14:paraId="1853DE9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495" w:type="pct"/>
            <w:noWrap w:val="0"/>
            <w:vAlign w:val="center"/>
          </w:tcPr>
          <w:p w14:paraId="7610289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单价最高限价（万元）</w:t>
            </w:r>
          </w:p>
        </w:tc>
        <w:tc>
          <w:tcPr>
            <w:tcW w:w="232" w:type="pct"/>
            <w:noWrap w:val="0"/>
            <w:vAlign w:val="center"/>
          </w:tcPr>
          <w:p w14:paraId="1CF0273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备注</w:t>
            </w:r>
          </w:p>
        </w:tc>
      </w:tr>
      <w:tr w14:paraId="5B9E1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86" w:type="pct"/>
            <w:vMerge w:val="restart"/>
            <w:noWrap w:val="0"/>
            <w:vAlign w:val="center"/>
          </w:tcPr>
          <w:p w14:paraId="181BFC9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005</w:t>
            </w:r>
          </w:p>
        </w:tc>
        <w:tc>
          <w:tcPr>
            <w:tcW w:w="240" w:type="pct"/>
            <w:noWrap w:val="0"/>
            <w:vAlign w:val="center"/>
          </w:tcPr>
          <w:p w14:paraId="77FB9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77" w:type="dxa"/>
            <w:noWrap w:val="0"/>
            <w:vAlign w:val="center"/>
          </w:tcPr>
          <w:p w14:paraId="429F58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卫星电话</w:t>
            </w:r>
          </w:p>
        </w:tc>
        <w:tc>
          <w:tcPr>
            <w:tcW w:w="7834" w:type="dxa"/>
            <w:noWrap w:val="0"/>
            <w:vAlign w:val="center"/>
          </w:tcPr>
          <w:p w14:paraId="6359A8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1、须提供投标产品核心基带和射频芯片技术声明函；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2、提供投标产品1年卫星通信服务费。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3、配备车载全向天线及安装附件。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4、配备手持全向天线及安装附件。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5、卫星电话终端天线可拆卸，并支持外接车载吸顶天线及支持手持全向天线；车载吸顶天线及支持手持全向天线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6、配置防护手提箱；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7、配备卫星电话有线耳机。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8、支持天通卫星移动网络话音、自动寻星 、短信功能，支持地面全网通通信功能；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9、防护能力：≥IP68 防护等级；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10、防护能力：支持≥1.5m硬面跌落；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11、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（车辆或器材）在交付前须完成国家消防救援局系统赋码工作，确保一物一码。（投标文件中提供加盖投标人公章的承诺）</w:t>
            </w:r>
          </w:p>
        </w:tc>
        <w:tc>
          <w:tcPr>
            <w:tcW w:w="1146" w:type="dxa"/>
            <w:noWrap w:val="0"/>
            <w:vAlign w:val="center"/>
          </w:tcPr>
          <w:p w14:paraId="2B869B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437" w:type="dxa"/>
            <w:noWrap w:val="0"/>
            <w:vAlign w:val="center"/>
          </w:tcPr>
          <w:p w14:paraId="0CD29D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0.600 </w:t>
            </w:r>
          </w:p>
        </w:tc>
        <w:tc>
          <w:tcPr>
            <w:tcW w:w="232" w:type="pct"/>
            <w:noWrap w:val="0"/>
            <w:vAlign w:val="center"/>
          </w:tcPr>
          <w:p w14:paraId="1E785D5E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5A94D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86" w:type="pct"/>
            <w:vMerge w:val="continue"/>
            <w:noWrap w:val="0"/>
            <w:vAlign w:val="center"/>
          </w:tcPr>
          <w:p w14:paraId="215F127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625ED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77" w:type="dxa"/>
            <w:noWrap w:val="0"/>
            <w:vAlign w:val="center"/>
          </w:tcPr>
          <w:p w14:paraId="15DD6A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手持电台</w:t>
            </w:r>
          </w:p>
        </w:tc>
        <w:tc>
          <w:tcPr>
            <w:tcW w:w="7834" w:type="dxa"/>
            <w:noWrap w:val="0"/>
            <w:vAlign w:val="center"/>
          </w:tcPr>
          <w:p w14:paraId="21A916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1、支持接入采购方现有TETRA数字集群系统，能从TETRA制式升级为PDT标准制式（投标文件中提供承诺函）。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2、按照1：30的比例配备连排充电器。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3、按照1：1的比例配备备用电池。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4、按照1:1的比例配备耳机。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5、提3年维保，维修和提供配件支持保障。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6、手持台支持单呼，组呼，倒地告警，终端将自动告警并上报用户位置。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7、工作频段：350MHz-400MHz；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8、接收灵敏度：静态≤-112dBm、动态≤-103dBm；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9、防水/防尘能力：≥IP68；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10、供应商办理手持台写频入网工作，接入采购单位现有TETRA数字集群系统≤10天完成。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（车辆或器材）在交付前须完成国家消防救援局系统赋码工作，确保一物一码。（投标文件中提供加盖投标人公章的承诺）</w:t>
            </w:r>
          </w:p>
        </w:tc>
        <w:tc>
          <w:tcPr>
            <w:tcW w:w="1146" w:type="dxa"/>
            <w:noWrap w:val="0"/>
            <w:vAlign w:val="center"/>
          </w:tcPr>
          <w:p w14:paraId="09360C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437" w:type="dxa"/>
            <w:noWrap w:val="0"/>
            <w:vAlign w:val="center"/>
          </w:tcPr>
          <w:p w14:paraId="518A5D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0.490 </w:t>
            </w:r>
          </w:p>
        </w:tc>
        <w:tc>
          <w:tcPr>
            <w:tcW w:w="232" w:type="pct"/>
            <w:noWrap w:val="0"/>
            <w:vAlign w:val="center"/>
          </w:tcPr>
          <w:p w14:paraId="78190759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53B5F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86" w:type="pct"/>
            <w:vMerge w:val="continue"/>
            <w:noWrap w:val="0"/>
            <w:vAlign w:val="center"/>
          </w:tcPr>
          <w:p w14:paraId="59823DC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3B4B9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77" w:type="dxa"/>
            <w:noWrap w:val="0"/>
            <w:vAlign w:val="center"/>
          </w:tcPr>
          <w:p w14:paraId="4CBDCA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静音发电机</w:t>
            </w:r>
          </w:p>
        </w:tc>
        <w:tc>
          <w:tcPr>
            <w:tcW w:w="7834" w:type="dxa"/>
            <w:noWrap w:val="0"/>
            <w:vAlign w:val="center"/>
          </w:tcPr>
          <w:p w14:paraId="6D77E3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1、提供所投产品第三方检验机构出具的检验报告，出具报告的检验检测机构应取得市场监督管理部门的资质认定。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根据采购单位要求，安装符合《消防装备物资物联网标识管理》规定的二维码和RFID标签，在交付前须完成部局系统赋码工作，确保一物一码。（投标文件中提供加盖投标人公章的承诺）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二、一般指标性参数（●）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1、启动方式手动、电动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2、油箱容积≥13.3L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3、噪音≤50db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4、频率≥50HZ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 w:bidi="ar"/>
              </w:rPr>
              <w:t>5、电压230V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6、额定功率2.8KVA；最大功率3KVA</w:t>
            </w:r>
            <w:r>
              <w:rPr>
                <w:rStyle w:val="6"/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7、额定直流电压12V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8、移动方式万向轮</w:t>
            </w:r>
          </w:p>
        </w:tc>
        <w:tc>
          <w:tcPr>
            <w:tcW w:w="1146" w:type="dxa"/>
            <w:noWrap w:val="0"/>
            <w:vAlign w:val="center"/>
          </w:tcPr>
          <w:p w14:paraId="2A3809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37" w:type="dxa"/>
            <w:noWrap w:val="0"/>
            <w:vAlign w:val="center"/>
          </w:tcPr>
          <w:p w14:paraId="3BE5E6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0.44</w:t>
            </w:r>
          </w:p>
        </w:tc>
        <w:tc>
          <w:tcPr>
            <w:tcW w:w="232" w:type="pct"/>
            <w:noWrap w:val="0"/>
            <w:vAlign w:val="center"/>
          </w:tcPr>
          <w:p w14:paraId="4CF93A1A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58063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6" w:type="pct"/>
            <w:vMerge w:val="continue"/>
            <w:noWrap w:val="0"/>
            <w:vAlign w:val="center"/>
          </w:tcPr>
          <w:p w14:paraId="3FA90CB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00681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77" w:type="dxa"/>
            <w:noWrap w:val="0"/>
            <w:vAlign w:val="center"/>
          </w:tcPr>
          <w:p w14:paraId="1E23F0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大功率发电机</w:t>
            </w:r>
          </w:p>
        </w:tc>
        <w:tc>
          <w:tcPr>
            <w:tcW w:w="7834" w:type="dxa"/>
            <w:noWrap w:val="0"/>
            <w:vAlign w:val="center"/>
          </w:tcPr>
          <w:p w14:paraId="27900F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1、提供所投产品第三方检验机构出具的检验报告，出具报告的检验检测机构应取得市场监督管理部门的资质认定。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根据采购单位要求，安装符合《消防装备物资物联网标识管理》规定的二维码和RFID标签，在交付前须完成部局系统赋码工作，确保一物一码。（投标文件中提供加盖投标人公章的承诺）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3、四冲程空冷汽油发电机，手启动/电启动（双启动方式、发电指示灯、漏电保护装置、接地线、电压表、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二、一般指标性参数（●）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1、功率≥8.5kW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2、电压220-380V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3、3孔插座≥3不同型号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4、接线柱≥3个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5、噪音≤74dB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6、连续工作时间≥7H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7、频率50HZ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8、防护等级：≥IP23M</w:t>
            </w:r>
          </w:p>
        </w:tc>
        <w:tc>
          <w:tcPr>
            <w:tcW w:w="1146" w:type="dxa"/>
            <w:noWrap w:val="0"/>
            <w:vAlign w:val="center"/>
          </w:tcPr>
          <w:p w14:paraId="7AF9D9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437" w:type="dxa"/>
            <w:noWrap w:val="0"/>
            <w:vAlign w:val="center"/>
          </w:tcPr>
          <w:p w14:paraId="2F652D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0.9</w:t>
            </w:r>
          </w:p>
        </w:tc>
        <w:tc>
          <w:tcPr>
            <w:tcW w:w="232" w:type="pct"/>
            <w:noWrap w:val="0"/>
            <w:vAlign w:val="center"/>
          </w:tcPr>
          <w:p w14:paraId="32572C57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16761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86" w:type="pct"/>
            <w:vMerge w:val="continue"/>
            <w:noWrap w:val="0"/>
            <w:vAlign w:val="center"/>
          </w:tcPr>
          <w:p w14:paraId="3E46604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7F53D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77" w:type="dxa"/>
            <w:noWrap w:val="0"/>
            <w:vAlign w:val="center"/>
          </w:tcPr>
          <w:p w14:paraId="33A36E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通用安全绳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（轻型）</w:t>
            </w:r>
          </w:p>
        </w:tc>
        <w:tc>
          <w:tcPr>
            <w:tcW w:w="7834" w:type="dxa"/>
            <w:noWrap w:val="0"/>
            <w:vAlign w:val="center"/>
          </w:tcPr>
          <w:p w14:paraId="4FEED4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1、提供所投产品第三方检验机构出具的检验报告，出具报告的检验检测机构应取得市场监督管理部门的资质认定。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根据采购单位要求，安装符合《消防装备物资物联网标识管理》规定的二维码和RFID标签，在交付前须完成部局系统赋码工作，确保一物一码。（投标文件中提供加盖投标人公章的承诺）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3、尼龙和聚酯纤维，结构保证柔软性，且随著时间的推移能保持同样的性能，长度为:200米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4、安全绳的最小破断强度：应不小于 22kN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5、安全绳的延伸率：当承重达到最小破断强度的10%时，安全绳的延伸率应不小于 1%且不大于10%；</w:t>
            </w:r>
          </w:p>
        </w:tc>
        <w:tc>
          <w:tcPr>
            <w:tcW w:w="1146" w:type="dxa"/>
            <w:noWrap w:val="0"/>
            <w:vAlign w:val="center"/>
          </w:tcPr>
          <w:p w14:paraId="24C495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437" w:type="dxa"/>
            <w:noWrap w:val="0"/>
            <w:vAlign w:val="center"/>
          </w:tcPr>
          <w:p w14:paraId="1422D0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0.4</w:t>
            </w:r>
          </w:p>
        </w:tc>
        <w:tc>
          <w:tcPr>
            <w:tcW w:w="232" w:type="pct"/>
            <w:noWrap w:val="0"/>
            <w:vAlign w:val="center"/>
          </w:tcPr>
          <w:p w14:paraId="373A3645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752BC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86" w:type="pct"/>
            <w:vMerge w:val="continue"/>
            <w:noWrap w:val="0"/>
            <w:vAlign w:val="center"/>
          </w:tcPr>
          <w:p w14:paraId="6C2260D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2BB47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77" w:type="dxa"/>
            <w:noWrap w:val="0"/>
            <w:vAlign w:val="center"/>
          </w:tcPr>
          <w:p w14:paraId="5ED7FF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防电服</w:t>
            </w:r>
          </w:p>
        </w:tc>
        <w:tc>
          <w:tcPr>
            <w:tcW w:w="7834" w:type="dxa"/>
            <w:noWrap w:val="0"/>
            <w:vAlign w:val="center"/>
          </w:tcPr>
          <w:p w14:paraId="5E4666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1、技术性能符合国家《带电作业用屏蔽服装》GB/T 6568-2024或DL/T 1125-2009的规定，且提供第三方检测机构出具的检测报告。出具报告的检验检测机构应取得市场监督管理部门的资质认定。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2、高电压场所作业时全身防护，应能耐受7000V的高压。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电绝缘服包括三层材料，外层采用防化耐电尼龙涂覆PVC材料制成，中层采用防静电绝缘材料，内层使用棉丝涂覆织物材料。其他辅料包括尼龙织带、防静电扣和防静电插口等。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根据采购单位要求，安装符合《消防装备物资物联网标识管理》规定的二维码和RFID标签，在交付前须完成部局系统赋码工作，确保一物一码。（投标文件中提供加盖投标人公章的承诺）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 w:bidi="ar"/>
              </w:rPr>
              <w:t>4、整体耐电压性能：在电压7000V、频率50Hz、时间3min试验下无闪络、击穿和发热现象。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5、外层面料的阻燃性能：损毁长度不应大于20mm，续燃时间不应大于10s，阴燃时间不应大于10s，且不应有熔融、滴落现象。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6、为分体式，由上衣(含头套)、背带裤、手套、靴子等组成。</w:t>
            </w:r>
          </w:p>
        </w:tc>
        <w:tc>
          <w:tcPr>
            <w:tcW w:w="1146" w:type="dxa"/>
            <w:noWrap w:val="0"/>
            <w:vAlign w:val="center"/>
          </w:tcPr>
          <w:p w14:paraId="2D4EF4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437" w:type="dxa"/>
            <w:noWrap w:val="0"/>
            <w:vAlign w:val="center"/>
          </w:tcPr>
          <w:p w14:paraId="3DE973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0.18</w:t>
            </w:r>
          </w:p>
        </w:tc>
        <w:tc>
          <w:tcPr>
            <w:tcW w:w="232" w:type="pct"/>
            <w:noWrap w:val="0"/>
            <w:vAlign w:val="center"/>
          </w:tcPr>
          <w:p w14:paraId="4BF3F8E0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7F17C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86" w:type="pct"/>
            <w:vMerge w:val="continue"/>
            <w:noWrap w:val="0"/>
            <w:vAlign w:val="center"/>
          </w:tcPr>
          <w:p w14:paraId="46CEFC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782C05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77" w:type="dxa"/>
            <w:noWrap w:val="0"/>
            <w:vAlign w:val="center"/>
          </w:tcPr>
          <w:p w14:paraId="6E2ADF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消防梯15米</w:t>
            </w:r>
          </w:p>
        </w:tc>
        <w:tc>
          <w:tcPr>
            <w:tcW w:w="7834" w:type="dxa"/>
            <w:noWrap w:val="0"/>
            <w:vAlign w:val="center"/>
          </w:tcPr>
          <w:p w14:paraId="3A21DD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1、符合XF137-2007《消防梯》标准要求；消防梯所用铝合金材料符合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GB/T6892-2023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的规定；提供所投产品第三方检验机构出具的检验报告，出具报告的检验检测机构应取得市场监督管理部门的资质认定。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整梯由上、中、下三节组成，下节梯安装有支撑杆，用于增加稳定性，下节梯和中节梯的侧板上装有滑槽，中节梯和上节梯的侧板下端装有导板，可有效保证中节梯沿下节梯滑动、上节梯沿中节梯滑动，上节梯上端装有轮子，可方便拉梯的展开和缩合，拉梯的升降装置由滑轮、拉绳和撑脚组成，在展开和缩合过程中，保证限位安全可靠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根据采购单位要求，安装符合《消防装备物资物联网标识管理》规定的二维码和RFID标签，器材在交付前须完成部局系统赋码工作，确保一物一码。（投标文件中提供加盖投标人公章的承诺）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4、整梯质量≤80kg。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二、一般指标性参数（●）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1、工作长度：15±0.3m。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2、合并高度：6±0.2m。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3、梯宽：350±4mm。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4、梯蹬间距：340±2mm。</w:t>
            </w:r>
          </w:p>
        </w:tc>
        <w:tc>
          <w:tcPr>
            <w:tcW w:w="1146" w:type="dxa"/>
            <w:noWrap w:val="0"/>
            <w:vAlign w:val="center"/>
          </w:tcPr>
          <w:p w14:paraId="0CEAF9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437" w:type="dxa"/>
            <w:noWrap w:val="0"/>
            <w:vAlign w:val="center"/>
          </w:tcPr>
          <w:p w14:paraId="1DD3C2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0.8</w:t>
            </w:r>
          </w:p>
        </w:tc>
        <w:tc>
          <w:tcPr>
            <w:tcW w:w="232" w:type="pct"/>
            <w:noWrap w:val="0"/>
            <w:vAlign w:val="center"/>
          </w:tcPr>
          <w:p w14:paraId="5EC18650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39948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86" w:type="pct"/>
            <w:vMerge w:val="continue"/>
            <w:noWrap w:val="0"/>
            <w:vAlign w:val="center"/>
          </w:tcPr>
          <w:p w14:paraId="6229878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4D5E2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77" w:type="dxa"/>
            <w:noWrap w:val="0"/>
            <w:vAlign w:val="center"/>
          </w:tcPr>
          <w:p w14:paraId="3BA020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航空运输箱</w:t>
            </w:r>
          </w:p>
        </w:tc>
        <w:tc>
          <w:tcPr>
            <w:tcW w:w="7834" w:type="dxa"/>
            <w:noWrap w:val="0"/>
            <w:vAlign w:val="center"/>
          </w:tcPr>
          <w:p w14:paraId="59BBAADB">
            <w:pPr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1、提供所投产品第三方检验机构出具的检验报告，出具报告的检验检测机构应取得市场监督管理部门的资质认定。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根据采购单位要求，安装符合《消防装备物资物联网标识管理》规定的二维码和RFID标签，在交付前须完成部局系统赋码工作，确保一物一码。（投标文件中提供加盖投标人公章的承诺）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二、一般指标性参数（●）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1、材质：优质HDPE材料，滚塑工艺一体成型，边缘无毛刺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2、适用于陆运，海运，可在高低温及雨雪天气和潮湿环境长期使用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3、温度范围：-40-+70℃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4、产品承重：≥100kg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5、外形尺寸：1200±100mm*800±50mm*600mm±50mm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6、重量：≤30kg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7、每个箱子配备不少于3个可拆装挡板（符合箱体内尺寸），用于箱内固定，防止物品震荡等。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8、航空箱应有可相互咬合的凹凸模块，叠放时缝隙≤3mm；满载时叠放数量：≥5</w:t>
            </w:r>
          </w:p>
        </w:tc>
        <w:tc>
          <w:tcPr>
            <w:tcW w:w="1146" w:type="dxa"/>
            <w:noWrap w:val="0"/>
            <w:vAlign w:val="center"/>
          </w:tcPr>
          <w:p w14:paraId="1107F0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437" w:type="dxa"/>
            <w:noWrap w:val="0"/>
            <w:vAlign w:val="center"/>
          </w:tcPr>
          <w:p w14:paraId="46DFA8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0.2</w:t>
            </w:r>
          </w:p>
        </w:tc>
        <w:tc>
          <w:tcPr>
            <w:tcW w:w="232" w:type="pct"/>
            <w:noWrap w:val="0"/>
            <w:vAlign w:val="center"/>
          </w:tcPr>
          <w:p w14:paraId="7364545D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23120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86" w:type="pct"/>
            <w:vMerge w:val="continue"/>
            <w:noWrap w:val="0"/>
            <w:vAlign w:val="center"/>
          </w:tcPr>
          <w:p w14:paraId="484FF49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43B9B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177" w:type="dxa"/>
            <w:noWrap w:val="0"/>
            <w:vAlign w:val="center"/>
          </w:tcPr>
          <w:p w14:paraId="6CA3F4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帐篷40</w:t>
            </w:r>
          </w:p>
        </w:tc>
        <w:tc>
          <w:tcPr>
            <w:tcW w:w="7834" w:type="dxa"/>
            <w:noWrap w:val="0"/>
            <w:vAlign w:val="center"/>
          </w:tcPr>
          <w:p w14:paraId="49F5D2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</w:p>
          <w:p w14:paraId="3010F3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1、提供所投产品第三方检验机构出具的检验报告，出具报告的检验检测机构应取得市场监督管理部门的资质认定。</w:t>
            </w:r>
          </w:p>
          <w:p w14:paraId="0B2E17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根据采购单位要求，安装符合《消防装备物资物联网标识管理》规定的二维码和RFID标签，在交付前须完成部局系统赋码工作，确保一物一码。（投标文件中提供加盖投标人公章的承诺）</w:t>
            </w:r>
          </w:p>
          <w:p w14:paraId="541CEB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二、一般指标性参数（●）</w:t>
            </w:r>
          </w:p>
          <w:p w14:paraId="61D7BA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1、总体尺寸：8mx5mx3.1m（±30mm）,外肩高2.1m（±30mm）,投影面积≥40.0㎡</w:t>
            </w:r>
          </w:p>
          <w:p w14:paraId="575D89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2、内部尺寸：7.5mx4.5mx2.8m（±30mm），内部垂直肩高1.9m（±30mm），内部面积≥33.75㎡</w:t>
            </w:r>
          </w:p>
          <w:p w14:paraId="7E68E4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3、前后门尺寸：（宽）1.2mx（高）1.9m，（2扇） </w:t>
            </w:r>
          </w:p>
          <w:p w14:paraId="4C6E76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4、窗户尺寸：（宽）0.75mx（高）0.6m（8扇）</w:t>
            </w:r>
          </w:p>
          <w:p w14:paraId="0E65AB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5、气柱安装门≥1组（共≥2个充排气阀，≥1个安全阀）；</w:t>
            </w:r>
          </w:p>
          <w:p w14:paraId="1BBB7A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6、帐篷配空调口≥1个，直径≥480mm</w:t>
            </w:r>
          </w:p>
          <w:p w14:paraId="261EED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7、材质：</w:t>
            </w:r>
          </w:p>
          <w:p w14:paraId="141A4E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气柱：灰色≥0.7mm或优于PVC双面涂层夹网布（气密材料）</w:t>
            </w:r>
          </w:p>
          <w:p w14:paraId="3505B0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外披：≥840d红蓝拼色pvc或优于涂层牛津布≥250g</w:t>
            </w:r>
          </w:p>
          <w:p w14:paraId="16975F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内衬：≥210d白色或优于牛津布绗缝太空棉≥260g</w:t>
            </w:r>
          </w:p>
          <w:p w14:paraId="60A423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地布：灰色≥0.45mm或优于PVC双面涂层夹网布</w:t>
            </w:r>
          </w:p>
          <w:p w14:paraId="39A24D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8、高温：≥71℃级；低温：≥-50℃；风载：≥10级（26m/s）；雪载：≥25kg/㎡（25cm/㎡）；淋雨：≥350mm/24小时；使用倾斜角度：≥15°；气压保持：≥10天不倒伏；</w:t>
            </w:r>
          </w:p>
          <w:p w14:paraId="632C5F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9、阻燃：≥B1级</w:t>
            </w:r>
          </w:p>
          <w:p w14:paraId="785D4B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10、包装：≥0.45mm军绿pvc双面涂层夹网布，带提手（高频热合+缝制）</w:t>
            </w:r>
          </w:p>
          <w:p w14:paraId="034F7F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11、工具配置：电动充、排一体气泵1台、手锤1把，风绳地钉、修补包各一套、1*3充气桌+8充气凳。</w:t>
            </w:r>
          </w:p>
        </w:tc>
        <w:tc>
          <w:tcPr>
            <w:tcW w:w="1146" w:type="dxa"/>
            <w:noWrap w:val="0"/>
            <w:vAlign w:val="center"/>
          </w:tcPr>
          <w:p w14:paraId="367D04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7" w:type="dxa"/>
            <w:noWrap w:val="0"/>
            <w:vAlign w:val="center"/>
          </w:tcPr>
          <w:p w14:paraId="069513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1.33</w:t>
            </w:r>
          </w:p>
        </w:tc>
        <w:tc>
          <w:tcPr>
            <w:tcW w:w="232" w:type="pct"/>
            <w:noWrap w:val="0"/>
            <w:vAlign w:val="center"/>
          </w:tcPr>
          <w:p w14:paraId="118AAC75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6E3DF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86" w:type="pct"/>
            <w:vMerge w:val="continue"/>
            <w:noWrap w:val="0"/>
            <w:vAlign w:val="center"/>
          </w:tcPr>
          <w:p w14:paraId="0E650DC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20011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177" w:type="dxa"/>
            <w:noWrap w:val="0"/>
            <w:vAlign w:val="center"/>
          </w:tcPr>
          <w:p w14:paraId="57AE7F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排用炊事单元</w:t>
            </w:r>
          </w:p>
        </w:tc>
        <w:tc>
          <w:tcPr>
            <w:tcW w:w="7834" w:type="dxa"/>
            <w:noWrap w:val="0"/>
            <w:vAlign w:val="center"/>
          </w:tcPr>
          <w:p w14:paraId="3524EC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1、提供所投产品第三方检验机构出具的检验报告，出具报告的检验检测机构应取得市场监督管理部门的资质认定。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2、排用炊事单元满足一小时可加工40人份满足GJB826B-2010《军人食物定量》标准的主、副食。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根据采购单位要求，安装符合《消防装备物资物联网标识管理》规定的二维码和RFID标签，在交付前须完成部局系统赋码工作，确保一物一码。（投标文件中提供加盖投标人公章的承诺）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二、一般指标性参数（●）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1、单元箱外形尺寸（长×宽×高）：800mm±10mm×650mm±10mm×420mm±10mm；总质量：≤100kg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2、分为两个单元箱：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元箱1-内包括（30L铝行军锅1套、30L铁行军锅1套、34CM不锈钢菜盆6个、野战燃油炉灶（油罐1个、燃烧器2个、备件包1个、输油胶管2根、打气筒1个/手电动充气机1台）切菜板1块、菜刀及护套1把、帆布手套2付、调料袋1个、焖饭器1套、切菜（和面）布1块、饭勺3把、锅罩袋1个、锅铲1把、饭勺1把、应急灯1盏、蒸盘1个）。单元箱2-内包括：（行军锅背架1付、给养携行包背架1付、野战燃油炉背架1付、7.5kg软体油桶1只、20L送饭（背水）袋3条、折叠式支架2个）。</w:t>
            </w:r>
          </w:p>
        </w:tc>
        <w:tc>
          <w:tcPr>
            <w:tcW w:w="1146" w:type="dxa"/>
            <w:noWrap w:val="0"/>
            <w:vAlign w:val="center"/>
          </w:tcPr>
          <w:p w14:paraId="43053E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37" w:type="dxa"/>
            <w:noWrap w:val="0"/>
            <w:vAlign w:val="center"/>
          </w:tcPr>
          <w:p w14:paraId="15F992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32" w:type="pct"/>
            <w:noWrap w:val="0"/>
            <w:vAlign w:val="center"/>
          </w:tcPr>
          <w:p w14:paraId="2DF0EF22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73DFE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86" w:type="pct"/>
            <w:vMerge w:val="continue"/>
            <w:noWrap w:val="0"/>
            <w:vAlign w:val="center"/>
          </w:tcPr>
          <w:p w14:paraId="500E863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353860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177" w:type="dxa"/>
            <w:noWrap w:val="0"/>
            <w:vAlign w:val="center"/>
          </w:tcPr>
          <w:p w14:paraId="710DBC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便携式电动小推车</w:t>
            </w:r>
          </w:p>
        </w:tc>
        <w:tc>
          <w:tcPr>
            <w:tcW w:w="7834" w:type="dxa"/>
            <w:noWrap w:val="0"/>
            <w:vAlign w:val="center"/>
          </w:tcPr>
          <w:p w14:paraId="5B452D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1、用于消防救援人员在水域救援任务中运输器材时使用。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根据采购单位要求，安装符合《消防装备物资物联网标识管理》规定的二维码和RFID标签，器材在交付前须完成部局系统赋码工作，确保一物一码。（投标文件中提供加盖投标人公章的承诺）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二、一般指标性参数（●）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整车主要架构部件采用一类、二类、三类金属构件焊接而成，焊接点应不脱焊、不漏焊、焊接牢固，车体承载面采用高强度 ABS 塑料板吸塑成型，与运输箱体贴合；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1、电机≥800W 无刷电机，电池≥48V20AH 锂电池。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2、货斗尺寸≥130CM长*80CM宽。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3、挡板高度≥20CM，挡板可折叠、可拆卸。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4、地面到货斗高度≥60CM。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5、手把长度≥110CM，手把宽度≥80CM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6、大轮胎尺寸：400-12，小轮尺寸：直径≥10CM。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7、鼓式刹车，带前进倒退档位，速度三速可调。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8、带电量显示，带电门锁钥匙。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9、后轮车身高度可调 离地高度 50-60CM,表面喷塑处理。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10、整车承重≥200kg，整车自重≦75kg。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三、其他商务需求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1、供货时，须提供使用说明书、产品品牌、生产厂家详细地址、联络方式及代理商的详细地址和售后服务联络方式。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2、在显著位置有永久性的标志，其内容为：产品型号、用途、商标（或者生产厂名）、批号以及生产日期等。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3、不排除邀请未中标人参与验收。</w:t>
            </w:r>
          </w:p>
        </w:tc>
        <w:tc>
          <w:tcPr>
            <w:tcW w:w="1146" w:type="dxa"/>
            <w:noWrap w:val="0"/>
            <w:vAlign w:val="center"/>
          </w:tcPr>
          <w:p w14:paraId="0798A9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437" w:type="dxa"/>
            <w:noWrap w:val="0"/>
            <w:vAlign w:val="center"/>
          </w:tcPr>
          <w:p w14:paraId="2E0E2E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0.8</w:t>
            </w:r>
          </w:p>
        </w:tc>
        <w:tc>
          <w:tcPr>
            <w:tcW w:w="232" w:type="pct"/>
            <w:noWrap w:val="0"/>
            <w:vAlign w:val="center"/>
          </w:tcPr>
          <w:p w14:paraId="3ED205FD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08F34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86" w:type="pct"/>
            <w:vMerge w:val="continue"/>
            <w:noWrap w:val="0"/>
            <w:vAlign w:val="center"/>
          </w:tcPr>
          <w:p w14:paraId="7B18C99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40" w:type="pct"/>
            <w:noWrap w:val="0"/>
            <w:vAlign w:val="center"/>
          </w:tcPr>
          <w:p w14:paraId="652ED0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177" w:type="dxa"/>
            <w:noWrap w:val="0"/>
            <w:vAlign w:val="center"/>
          </w:tcPr>
          <w:p w14:paraId="372C12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净水设备</w:t>
            </w:r>
          </w:p>
        </w:tc>
        <w:tc>
          <w:tcPr>
            <w:tcW w:w="7834" w:type="dxa"/>
            <w:noWrap w:val="0"/>
            <w:vAlign w:val="center"/>
          </w:tcPr>
          <w:p w14:paraId="22A964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一、实质性要求（★）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1、用于消防救援人员执行水域救援任务时净化户外水时使用。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根据采购单位要求，安装符合《消防装备物资物联网标识管理》规定的二维码和RFID标签，器材在交付前须完成部局系统赋码工作，确保一物一码。（投标文件中提供加盖投标人公章的承诺）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3、提供所投产品第三方检验机构出具的检验报告，出具报告的检验检测机构应取得市场监督管理部门的资质认定。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二、一般指标性参数（●）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1、净水≥40L/h。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2、纯水≥10L/h。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3、产水水质达到国家饮用水标准。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4、内置电池供电，满电续航≥3h。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三、其他商务需求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1、供货时，须提供使用说明书、产品品牌、生产厂家详细地址、联络方式及代理商的详细地址和售后服务联络方式。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2、在显著位置有永久性的标志，其内容为：产品型号、用途、商标（或者生产厂名）、批号以及生产日期等。</w:t>
            </w:r>
          </w:p>
        </w:tc>
        <w:tc>
          <w:tcPr>
            <w:tcW w:w="1146" w:type="dxa"/>
            <w:noWrap w:val="0"/>
            <w:vAlign w:val="center"/>
          </w:tcPr>
          <w:p w14:paraId="2F5133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37" w:type="dxa"/>
            <w:noWrap w:val="0"/>
            <w:vAlign w:val="center"/>
          </w:tcPr>
          <w:p w14:paraId="47BEC2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0.3</w:t>
            </w:r>
          </w:p>
        </w:tc>
        <w:tc>
          <w:tcPr>
            <w:tcW w:w="232" w:type="pct"/>
            <w:noWrap w:val="0"/>
            <w:vAlign w:val="center"/>
          </w:tcPr>
          <w:p w14:paraId="718021D5">
            <w:pPr>
              <w:pStyle w:val="3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 w14:paraId="26C28F71">
      <w:p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0797A92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98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customStyle="1" w:styleId="6">
    <w:name w:val="font51"/>
    <w:basedOn w:val="5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2025-02-24T05:53:42Z</dcterms:created>
  <dc:creator>Administrator</dc:creator>
  <cp:lastModifiedBy>Outsider   ོ</cp:lastModifiedBy>
  <dcterms:modified xsi:type="dcterms:W3CDTF">2025-02-24T05:54:20Z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eyJoZGlkIjoiZGZjOGU4ZmFlMzVlODViYzk0NTg3Y2RmOGM3ZmQzNjUiLCJ1c2VySWQiOiI1NzcyMjc4MTcifQ==</vt:lpwstr>
  </property>
  <property fmtid="{D5CDD505-2E9C-101B-9397-08002B2CF9AE}" pid="4" name="ICV">
    <vt:lpwstr>94936CB506B14817817471273B58594A_12</vt:lpwstr>
  </property>
</Properties>
</file>