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917513F">
      <w:pPr>
        <w:numPr>
          <w:ilvl w:val="0"/>
          <w:numId w:val="0"/>
        </w:numPr>
        <w:rPr>
          <w:rFonts w:hint="eastAsia" w:ascii="宋体" w:hAnsi="宋体" w:eastAsia="宋体" w:cs="宋体"/>
          <w:b/>
          <w:bCs/>
          <w:color w:val="auto"/>
          <w:sz w:val="21"/>
          <w:szCs w:val="21"/>
        </w:rPr>
      </w:pPr>
      <w:r>
        <w:rPr>
          <w:rFonts w:hint="eastAsia"/>
          <w:b/>
          <w:bCs/>
          <w:sz w:val="32"/>
          <w:szCs w:val="32"/>
          <w:lang w:val="en-US" w:eastAsia="zh-CN"/>
        </w:rPr>
        <w:t>样品要求：</w:t>
      </w:r>
    </w:p>
    <w:p w14:paraId="564E53BF">
      <w:pPr>
        <w:keepNext w:val="0"/>
        <w:keepLines w:val="0"/>
        <w:pageBreakBefore w:val="0"/>
        <w:kinsoku/>
        <w:overflowPunct/>
        <w:topLinePunct w:val="0"/>
        <w:bidi w:val="0"/>
        <w:adjustRightInd/>
        <w:snapToGrid w:val="0"/>
        <w:spacing w:line="300" w:lineRule="exact"/>
        <w:textAlignment w:val="auto"/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sz w:val="21"/>
          <w:szCs w:val="21"/>
        </w:rPr>
        <w:t>★</w:t>
      </w:r>
      <w:r>
        <w:rPr>
          <w:rFonts w:hint="eastAsia" w:cs="宋体"/>
          <w:b w:val="0"/>
          <w:bCs/>
          <w:color w:val="auto"/>
          <w:sz w:val="21"/>
          <w:szCs w:val="21"/>
          <w:lang w:val="en-US" w:eastAsia="zh-CN"/>
        </w:rPr>
        <w:t>1、密集架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立柱</w:t>
      </w: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t>：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立柱采用九面折弯成型、形成三个未完全封闭的口形状增加强度，截面为 ≥55*45mm ，≥ 55mm为正面垂直冲压成凹凸型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>的两条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/>
        </w:rPr>
        <w:t>加强筋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，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并同时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冲压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回型花纹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，</w:t>
      </w: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t>≥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45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mm为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侧面垂直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冲压成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>两条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/>
        </w:rPr>
        <w:t>加强筋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，增加立柱的柔韧度、坚固性及承重能力，立柱均匀冲孔，使层数和间距可按需要调整；立柱插入底梁中</w:t>
      </w: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t>。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lang w:eastAsia="zh-CN"/>
        </w:rPr>
        <w:t>投标时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需根据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采购文件技术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参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数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要求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提供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“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立柱：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</w:rPr>
        <w:t>长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lang w:eastAsia="zh-CN"/>
        </w:rPr>
        <w:t>≥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</w:rPr>
        <w:t>300mm×宽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lang w:eastAsia="zh-CN"/>
        </w:rPr>
        <w:t>≥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lang w:val="en-US" w:eastAsia="zh-CN"/>
        </w:rPr>
        <w:t>5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</w:rPr>
        <w:t>5mm×厚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lang w:eastAsia="zh-CN"/>
        </w:rPr>
        <w:t>≥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lang w:val="en-US" w:eastAsia="zh-CN"/>
        </w:rPr>
        <w:t>45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</w:rPr>
        <w:t>mm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，样品小样一件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”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。</w:t>
      </w:r>
    </w:p>
    <w:p w14:paraId="6A7BFF21">
      <w:pPr>
        <w:snapToGrid w:val="0"/>
        <w:spacing w:line="360" w:lineRule="auto"/>
        <w:jc w:val="both"/>
        <w:rPr>
          <w:rFonts w:hint="eastAsia" w:ascii="宋体" w:hAnsi="宋体" w:eastAsia="宋体" w:cs="宋体"/>
          <w:color w:val="auto"/>
          <w:kern w:val="0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/>
        </w:rPr>
        <w:t xml:space="preserve">                              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 xml:space="preserve"> 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/>
        </w:rPr>
        <w:t xml:space="preserve">                    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drawing>
          <wp:inline distT="0" distB="0" distL="114300" distR="114300">
            <wp:extent cx="1868170" cy="1362710"/>
            <wp:effectExtent l="0" t="0" r="17780" b="8890"/>
            <wp:docPr id="1" name="图片 1" descr="472f4ec45aa32bb5d68116141e327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72f4ec45aa32bb5d68116141e327bd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868170" cy="136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eastAsia="zh-CN"/>
        </w:rPr>
        <w:drawing>
          <wp:inline distT="0" distB="0" distL="114300" distR="114300">
            <wp:extent cx="2145665" cy="2065655"/>
            <wp:effectExtent l="0" t="0" r="6985" b="10795"/>
            <wp:docPr id="2" name="图片 2" descr="69b3c725a317f5af2c9da0d69c70e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69b3c725a317f5af2c9da0d69c70ea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145665" cy="206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3E6D36">
      <w:pPr>
        <w:snapToGrid w:val="0"/>
        <w:spacing w:line="360" w:lineRule="auto"/>
        <w:jc w:val="both"/>
        <w:rPr>
          <w:rFonts w:hint="eastAsia" w:ascii="宋体" w:hAnsi="宋体" w:eastAsia="宋体" w:cs="宋体"/>
          <w:color w:val="auto"/>
          <w:sz w:val="21"/>
          <w:szCs w:val="21"/>
        </w:rPr>
      </w:pP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>中列立柱示意图（一）           中列立柱示意图（二）</w:t>
      </w:r>
    </w:p>
    <w:p w14:paraId="002CE99F">
      <w:pPr>
        <w:snapToGrid w:val="0"/>
        <w:spacing w:line="360" w:lineRule="auto"/>
        <w:jc w:val="center"/>
        <w:rPr>
          <w:rFonts w:hint="eastAsia" w:ascii="宋体" w:hAnsi="宋体" w:eastAsia="宋体" w:cs="宋体"/>
          <w:color w:val="auto"/>
          <w:sz w:val="21"/>
          <w:szCs w:val="21"/>
        </w:rPr>
      </w:pPr>
    </w:p>
    <w:p w14:paraId="306CF225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after="0" w:afterLines="0" w:line="300" w:lineRule="exact"/>
        <w:jc w:val="both"/>
        <w:textAlignment w:val="auto"/>
        <w:rPr>
          <w:rFonts w:hint="eastAsia" w:ascii="宋体" w:hAnsi="宋体" w:eastAsia="宋体" w:cs="宋体"/>
          <w:color w:val="auto"/>
          <w:kern w:val="0"/>
          <w:sz w:val="21"/>
          <w:szCs w:val="21"/>
        </w:rPr>
      </w:pPr>
      <w:r>
        <w:rPr>
          <w:rFonts w:hint="eastAsia" w:ascii="宋体" w:hAnsi="宋体" w:eastAsia="宋体" w:cs="宋体"/>
          <w:color w:val="auto"/>
          <w:sz w:val="21"/>
          <w:szCs w:val="21"/>
        </w:rPr>
        <w:t>★</w:t>
      </w:r>
      <w:r>
        <w:rPr>
          <w:rFonts w:hint="eastAsia" w:ascii="宋体" w:hAnsi="宋体" w:cs="宋体"/>
          <w:b w:val="0"/>
          <w:bCs/>
          <w:color w:val="auto"/>
          <w:sz w:val="21"/>
          <w:szCs w:val="21"/>
          <w:lang w:val="en-US" w:eastAsia="zh-CN"/>
        </w:rPr>
        <w:t>2.</w:t>
      </w:r>
      <w:r>
        <w:rPr>
          <w:rFonts w:hint="eastAsia" w:cs="宋体"/>
          <w:b w:val="0"/>
          <w:bCs/>
          <w:color w:val="auto"/>
          <w:sz w:val="21"/>
          <w:szCs w:val="21"/>
          <w:lang w:val="en-US" w:eastAsia="zh-CN"/>
        </w:rPr>
        <w:t>密集架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highlight w:val="none"/>
          <w:lang w:val="en-US" w:eastAsia="zh-CN"/>
        </w:rPr>
        <w:t>底盘矩管式承重大梁：矩管式承重大梁</w:t>
      </w:r>
      <w:r>
        <w:rPr>
          <w:rFonts w:hint="eastAsia" w:ascii="宋体" w:hAnsi="宋体" w:eastAsia="宋体" w:cs="宋体"/>
          <w:color w:val="auto"/>
          <w:sz w:val="21"/>
          <w:szCs w:val="21"/>
        </w:rPr>
        <w:t xml:space="preserve">截面为 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25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*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35</w:t>
      </w:r>
      <w:r>
        <w:rPr>
          <w:rFonts w:hint="eastAsia" w:ascii="宋体" w:hAnsi="宋体" w:eastAsia="宋体" w:cs="宋体"/>
          <w:color w:val="auto"/>
          <w:sz w:val="21"/>
          <w:szCs w:val="21"/>
        </w:rPr>
        <w:t xml:space="preserve">mm </w:t>
      </w: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t>（±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5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mm</w:t>
      </w: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t>），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25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mm为正面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，35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mm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为侧面，并在35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mm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的左右面各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冲压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一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>条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</w:rPr>
        <w:t>三角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lang w:val="en-US" w:eastAsia="zh-CN"/>
        </w:rPr>
        <w:t>形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</w:rPr>
        <w:t>加强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>筋</w:t>
      </w: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t>，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</w:rPr>
        <w:t>加强筋的宽度</w:t>
      </w: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t>≥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</w:rPr>
        <w:t>20mm、加强筋的深度</w:t>
      </w: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t>≥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</w:rPr>
        <w:t>10mm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，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lang w:eastAsia="zh-CN"/>
        </w:rPr>
        <w:t>投标时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需根据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采购文件技术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参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数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要求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提供“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highlight w:val="none"/>
          <w:lang w:val="en-US" w:eastAsia="zh-CN"/>
        </w:rPr>
        <w:t>底盘矩管式承重大梁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尺寸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：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长</w:t>
      </w: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t>≥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300mm×宽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lang w:eastAsia="zh-CN"/>
        </w:rPr>
        <w:t>≥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3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5mm×厚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lang w:eastAsia="zh-CN"/>
        </w:rPr>
        <w:t>≥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25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mm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，样品小样一件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 xml:space="preserve"> 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eastAsia="zh-CN"/>
        </w:rPr>
        <w:t>”。</w:t>
      </w:r>
    </w:p>
    <w:p w14:paraId="479D32CC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after="0" w:afterLines="0" w:line="300" w:lineRule="exact"/>
        <w:ind w:left="0" w:firstLine="420" w:firstLineChars="200"/>
        <w:jc w:val="both"/>
        <w:textAlignment w:val="auto"/>
        <w:rPr>
          <w:rFonts w:hint="eastAsia" w:ascii="宋体" w:hAnsi="宋体" w:eastAsia="宋体" w:cs="宋体"/>
          <w:color w:val="auto"/>
          <w:kern w:val="0"/>
          <w:sz w:val="21"/>
          <w:szCs w:val="21"/>
        </w:rPr>
      </w:pPr>
    </w:p>
    <w:p w14:paraId="5C1E5A7C">
      <w:pPr>
        <w:snapToGrid w:val="0"/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drawing>
          <wp:inline distT="0" distB="0" distL="114300" distR="114300">
            <wp:extent cx="960755" cy="1146810"/>
            <wp:effectExtent l="0" t="0" r="10795" b="15240"/>
            <wp:docPr id="3" name="图片 3" descr="466aa03d9256d9e0cca95cdfa57a7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466aa03d9256d9e0cca95cdfa57a79d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60755" cy="114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 xml:space="preserve">               </w:t>
      </w: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drawing>
          <wp:inline distT="0" distB="0" distL="114300" distR="114300">
            <wp:extent cx="1569720" cy="960120"/>
            <wp:effectExtent l="0" t="0" r="0" b="11430"/>
            <wp:docPr id="9" name="图片 4" descr="b4712a1bb0c5f079c03bb0f6a597c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 descr="b4712a1bb0c5f079c03bb0f6a597cfb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56972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BCA48">
      <w:pPr>
        <w:pStyle w:val="6"/>
        <w:widowControl w:val="0"/>
        <w:numPr>
          <w:ilvl w:val="0"/>
          <w:numId w:val="0"/>
        </w:numPr>
        <w:snapToGrid w:val="0"/>
        <w:spacing w:line="360" w:lineRule="auto"/>
        <w:jc w:val="both"/>
        <w:rPr>
          <w:rFonts w:hint="eastAsia" w:ascii="宋体" w:hAnsi="宋体" w:eastAsia="宋体" w:cs="宋体"/>
          <w:color w:val="auto"/>
          <w:sz w:val="21"/>
          <w:szCs w:val="21"/>
        </w:rPr>
      </w:pP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highlight w:val="none"/>
          <w:lang w:val="en-US" w:eastAsia="zh-CN"/>
        </w:rPr>
        <w:t>底盘矩管式承重大梁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 xml:space="preserve">示意图（一）     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highlight w:val="none"/>
          <w:lang w:val="en-US" w:eastAsia="zh-CN"/>
        </w:rPr>
        <w:t>底盘矩管式承重大梁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>示意图（二）</w:t>
      </w:r>
    </w:p>
    <w:p w14:paraId="2C6500E3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after="0" w:line="300" w:lineRule="exact"/>
        <w:jc w:val="both"/>
        <w:textAlignment w:val="auto"/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</w:pPr>
      <w:r>
        <w:rPr>
          <w:rFonts w:hint="eastAsia" w:ascii="宋体" w:hAnsi="宋体" w:eastAsia="宋体" w:cs="宋体"/>
          <w:color w:val="auto"/>
          <w:sz w:val="21"/>
          <w:szCs w:val="21"/>
        </w:rPr>
        <w:t>★</w:t>
      </w:r>
      <w:r>
        <w:rPr>
          <w:rFonts w:hint="eastAsia" w:ascii="宋体" w:hAnsi="宋体" w:cs="宋体"/>
          <w:color w:val="auto"/>
          <w:kern w:val="2"/>
          <w:sz w:val="21"/>
          <w:szCs w:val="21"/>
          <w:lang w:val="en-US" w:eastAsia="zh-CN" w:bidi="ar-SA"/>
        </w:rPr>
        <w:t>3、</w:t>
      </w:r>
      <w:r>
        <w:rPr>
          <w:rFonts w:hint="eastAsia" w:cs="宋体"/>
          <w:b w:val="0"/>
          <w:bCs/>
          <w:color w:val="auto"/>
          <w:sz w:val="21"/>
          <w:szCs w:val="21"/>
          <w:lang w:val="en-US" w:eastAsia="zh-CN"/>
        </w:rPr>
        <w:t>密集架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门板</w:t>
      </w: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t>：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门板拉手位置必须用模具一次性冲压成凹型，铝合金拉手长120mm</w:t>
      </w: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t>（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±3mm</w:t>
      </w: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，手拉位置</w:t>
      </w: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t>≤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95mm，拉手镶嵌另加螺丝固定，保证开拉一万次不脱落。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lang w:eastAsia="zh-CN"/>
        </w:rPr>
        <w:t>投标时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需根据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采购文件技术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参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数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要求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提供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“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包含门锁和拉手，尺寸</w:t>
      </w:r>
      <w:r>
        <w:rPr>
          <w:rFonts w:hint="eastAsia" w:ascii="宋体" w:hAnsi="宋体" w:cs="宋体"/>
          <w:color w:val="auto"/>
          <w:sz w:val="21"/>
          <w:szCs w:val="21"/>
          <w:lang w:eastAsia="zh-CN"/>
        </w:rPr>
        <w:t>长</w:t>
      </w: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t>≥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4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00mm×</w:t>
      </w:r>
      <w:r>
        <w:rPr>
          <w:rFonts w:hint="eastAsia" w:ascii="宋体" w:hAnsi="宋体" w:cs="宋体"/>
          <w:color w:val="auto"/>
          <w:sz w:val="21"/>
          <w:szCs w:val="21"/>
          <w:lang w:eastAsia="zh-CN"/>
        </w:rPr>
        <w:t>宽</w:t>
      </w: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t>≥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4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00mm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，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样品小样一件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”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。</w:t>
      </w:r>
    </w:p>
    <w:p w14:paraId="7B9B52DC">
      <w:pPr>
        <w:pStyle w:val="6"/>
        <w:widowControl w:val="0"/>
        <w:numPr>
          <w:ilvl w:val="0"/>
          <w:numId w:val="0"/>
        </w:numPr>
        <w:snapToGrid w:val="0"/>
        <w:spacing w:line="360" w:lineRule="auto"/>
        <w:jc w:val="both"/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  <w:drawing>
          <wp:inline distT="0" distB="0" distL="114300" distR="114300">
            <wp:extent cx="1031875" cy="1280795"/>
            <wp:effectExtent l="0" t="0" r="15875" b="14605"/>
            <wp:docPr id="10" name="图片 5" descr="3d2e82aad6f46b16eeb85b45f6b3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 descr="3d2e82aad6f46b16eeb85b45f6b328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31875" cy="1280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 xml:space="preserve">           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drawing>
          <wp:inline distT="0" distB="0" distL="114300" distR="114300">
            <wp:extent cx="917575" cy="1297940"/>
            <wp:effectExtent l="0" t="0" r="15875" b="16510"/>
            <wp:docPr id="7" name="图片 6" descr="0dc73afb184d9fc9c914a2e20967e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0dc73afb184d9fc9c914a2e20967e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7575" cy="129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9174DF">
      <w:pPr>
        <w:pStyle w:val="6"/>
        <w:widowControl w:val="0"/>
        <w:numPr>
          <w:ilvl w:val="0"/>
          <w:numId w:val="0"/>
        </w:numPr>
        <w:snapToGrid w:val="0"/>
        <w:spacing w:line="360" w:lineRule="auto"/>
        <w:jc w:val="both"/>
        <w:rPr>
          <w:rFonts w:hint="eastAsia" w:ascii="宋体" w:hAnsi="宋体" w:eastAsia="宋体" w:cs="宋体"/>
          <w:color w:val="auto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</w:rPr>
        <w:t>门板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 xml:space="preserve">示意图（一）               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门板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>示意图（二）</w:t>
      </w:r>
    </w:p>
    <w:p w14:paraId="1A87DE02">
      <w:pPr>
        <w:pStyle w:val="6"/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line="300" w:lineRule="exact"/>
        <w:jc w:val="both"/>
        <w:textAlignment w:val="auto"/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</w:rPr>
        <w:t>★</w:t>
      </w:r>
      <w:r>
        <w:rPr>
          <w:rFonts w:hint="eastAsia" w:ascii="宋体" w:hAnsi="宋体" w:cs="宋体"/>
          <w:color w:val="auto"/>
          <w:kern w:val="2"/>
          <w:sz w:val="21"/>
          <w:szCs w:val="21"/>
          <w:lang w:val="en-US" w:eastAsia="zh-CN" w:bidi="ar-SA"/>
        </w:rPr>
        <w:t>4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.</w:t>
      </w:r>
      <w:r>
        <w:rPr>
          <w:rFonts w:hint="eastAsia" w:cs="宋体"/>
          <w:b w:val="0"/>
          <w:bCs/>
          <w:color w:val="auto"/>
          <w:sz w:val="21"/>
          <w:szCs w:val="21"/>
          <w:lang w:val="en-US" w:eastAsia="zh-CN"/>
        </w:rPr>
        <w:t>密集架</w: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铝合金圆盘摇手柄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lang w:eastAsia="zh-CN"/>
        </w:rPr>
        <w:t>：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>全铝合金材质圆盘式静音摇手柄、手柄外包工程塑料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、</w: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圆盘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外径28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2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±5mm摇手柄带爪勾，摇手可以折叠、摇臂能在圆盘内自由调节摇臂长度达到省力效果，摇臂伸长后最达达370±5mm，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lang w:eastAsia="zh-CN"/>
        </w:rPr>
        <w:t>投标时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需根据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采购文件技术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参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数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要求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提供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“</w: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铝合金圆盘摇手柄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lang w:val="en-US" w:eastAsia="zh-CN"/>
        </w:rPr>
        <w:t>，</w:t>
      </w:r>
      <w:r>
        <w:rPr>
          <w:rFonts w:hint="eastAsia" w:ascii="宋体" w:hAnsi="宋体" w:eastAsia="宋体" w:cs="宋体"/>
          <w:bCs/>
          <w:color w:val="auto"/>
          <w:sz w:val="21"/>
          <w:szCs w:val="21"/>
          <w:lang w:eastAsia="zh-CN"/>
        </w:rPr>
        <w:t>尺寸：</w: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圆盘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外径28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2</w:t>
      </w:r>
      <w:r>
        <w:rPr>
          <w:rFonts w:hint="eastAsia" w:ascii="宋体" w:hAnsi="宋体" w:eastAsia="宋体" w:cs="宋体"/>
          <w:color w:val="auto"/>
          <w:sz w:val="21"/>
          <w:szCs w:val="21"/>
        </w:rPr>
        <w:t>±5mm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样品小样一件”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。</w:t>
      </w:r>
    </w:p>
    <w:p w14:paraId="3E417428">
      <w:pPr>
        <w:pStyle w:val="6"/>
        <w:widowControl w:val="0"/>
        <w:numPr>
          <w:ilvl w:val="0"/>
          <w:numId w:val="0"/>
        </w:numPr>
        <w:snapToGrid w:val="0"/>
        <w:spacing w:line="360" w:lineRule="auto"/>
        <w:jc w:val="both"/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/>
        </w:rPr>
        <w:drawing>
          <wp:inline distT="0" distB="0" distL="114300" distR="114300">
            <wp:extent cx="2231390" cy="1577975"/>
            <wp:effectExtent l="0" t="0" r="16510" b="3175"/>
            <wp:docPr id="16" name="图片 7" descr="629c2469ec0476ea6dd14cfba4527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 descr="629c2469ec0476ea6dd14cfba4527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31390" cy="157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eastAsia="zh-CN"/>
        </w:rPr>
        <w:drawing>
          <wp:inline distT="0" distB="0" distL="114300" distR="114300">
            <wp:extent cx="1578610" cy="1181100"/>
            <wp:effectExtent l="0" t="0" r="2540" b="0"/>
            <wp:docPr id="6" name="图片 8" descr="ffe5cbdc1757c27366158bdd90a0ef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8" descr="ffe5cbdc1757c27366158bdd90a0ef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57861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B2C59E">
      <w:pPr>
        <w:pStyle w:val="6"/>
        <w:numPr>
          <w:ilvl w:val="0"/>
          <w:numId w:val="0"/>
        </w:numPr>
        <w:snapToGrid w:val="0"/>
        <w:spacing w:line="240" w:lineRule="auto"/>
        <w:jc w:val="both"/>
        <w:rPr>
          <w:rFonts w:hint="eastAsia" w:ascii="宋体" w:hAnsi="宋体" w:eastAsia="宋体" w:cs="宋体"/>
          <w:color w:val="auto"/>
          <w:kern w:val="0"/>
          <w:sz w:val="21"/>
          <w:szCs w:val="21"/>
        </w:rPr>
      </w:pP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铝合金圆盘摇手柄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 xml:space="preserve">示意图（一）     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  <w:lang w:val="en-US" w:eastAsia="zh-CN"/>
        </w:rPr>
        <w:t xml:space="preserve"> </w:t>
      </w:r>
      <w:r>
        <w:rPr>
          <w:rFonts w:hint="eastAsia" w:ascii="宋体" w:hAnsi="宋体" w:eastAsia="宋体" w:cs="宋体"/>
          <w:bCs/>
          <w:color w:val="auto"/>
          <w:sz w:val="21"/>
          <w:szCs w:val="21"/>
        </w:rPr>
        <w:t>铝合金圆盘摇手柄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>示意图（二）</w:t>
      </w:r>
    </w:p>
    <w:p w14:paraId="056E019F">
      <w:pPr>
        <w:spacing w:line="400" w:lineRule="exact"/>
        <w:ind w:right="0"/>
        <w:rPr>
          <w:rFonts w:hint="eastAsia" w:ascii="Times New Roman" w:hAnsi="Times New Roman" w:cs="Times New Roman"/>
          <w:sz w:val="24"/>
        </w:rPr>
      </w:pPr>
    </w:p>
    <w:p w14:paraId="69276218">
      <w:pPr>
        <w:keepNext w:val="0"/>
        <w:keepLines w:val="0"/>
        <w:pageBreakBefore w:val="0"/>
        <w:kinsoku/>
        <w:overflowPunct/>
        <w:topLinePunct w:val="0"/>
        <w:bidi w:val="0"/>
        <w:adjustRightInd/>
        <w:snapToGrid w:val="0"/>
        <w:spacing w:line="300" w:lineRule="exact"/>
        <w:textAlignment w:val="auto"/>
        <w:rPr>
          <w:rFonts w:hint="eastAsia" w:cs="宋体"/>
          <w:b w:val="0"/>
          <w:bCs/>
          <w:color w:val="auto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</w:rPr>
        <w:t>★</w:t>
      </w:r>
      <w:r>
        <w:rPr>
          <w:rFonts w:hint="eastAsia" w:cs="宋体"/>
          <w:color w:val="auto"/>
          <w:kern w:val="2"/>
          <w:sz w:val="21"/>
          <w:szCs w:val="21"/>
          <w:lang w:val="en-US" w:eastAsia="zh-CN" w:bidi="ar-SA"/>
        </w:rPr>
        <w:t>5</w:t>
      </w:r>
      <w:r>
        <w:rPr>
          <w:rFonts w:hint="eastAsia" w:ascii="宋体" w:hAnsi="宋体" w:eastAsia="宋体" w:cs="宋体"/>
          <w:color w:val="auto"/>
          <w:kern w:val="2"/>
          <w:sz w:val="21"/>
          <w:szCs w:val="21"/>
          <w:lang w:val="en-US" w:eastAsia="zh-CN" w:bidi="ar-SA"/>
        </w:rPr>
        <w:t>.</w:t>
      </w:r>
      <w:r>
        <w:rPr>
          <w:rFonts w:hint="eastAsia" w:cs="宋体"/>
          <w:color w:val="auto"/>
          <w:kern w:val="2"/>
          <w:sz w:val="21"/>
          <w:szCs w:val="21"/>
          <w:lang w:val="en-US" w:eastAsia="zh-CN" w:bidi="ar-SA"/>
        </w:rPr>
        <w:t>六门更衣</w:t>
      </w:r>
      <w:r>
        <w:rPr>
          <w:rFonts w:hint="eastAsia" w:ascii="宋体" w:hAnsi="宋体" w:cs="宋体"/>
          <w:color w:val="auto"/>
          <w:sz w:val="24"/>
          <w:lang w:bidi="ar"/>
        </w:rPr>
        <w:t>柜</w:t>
      </w:r>
      <w:r>
        <w:rPr>
          <w:rFonts w:hint="eastAsia" w:cs="宋体"/>
          <w:color w:val="auto"/>
          <w:sz w:val="24"/>
          <w:lang w:eastAsia="zh-CN" w:bidi="ar"/>
        </w:rPr>
        <w:t>柜</w:t>
      </w:r>
      <w:r>
        <w:rPr>
          <w:rFonts w:hint="eastAsia" w:ascii="宋体" w:hAnsi="宋体" w:cs="宋体"/>
          <w:color w:val="auto"/>
          <w:sz w:val="24"/>
          <w:lang w:bidi="ar"/>
        </w:rPr>
        <w:t>门</w:t>
      </w:r>
      <w:r>
        <w:rPr>
          <w:rFonts w:hint="eastAsia" w:cs="宋体"/>
          <w:color w:val="auto"/>
          <w:sz w:val="24"/>
          <w:lang w:eastAsia="zh-CN" w:bidi="ar"/>
        </w:rPr>
        <w:t>：</w:t>
      </w:r>
      <w:r>
        <w:rPr>
          <w:rFonts w:hint="eastAsia" w:ascii="宋体" w:hAnsi="宋体" w:cs="宋体"/>
          <w:color w:val="auto"/>
          <w:sz w:val="24"/>
          <w:lang w:bidi="ar"/>
        </w:rPr>
        <w:t>拉手采用帆船外形，材质选用优质ABS，结合专业表面抛光处理工艺而成，掰动扣手可以翻动，并在失去外力约束后具有自动回位功能，操作人性化，经久耐用、美观大方，拉手机构的尺寸为：130*65mm（±2.0mm）</w:t>
      </w:r>
      <w:r>
        <w:rPr>
          <w:rFonts w:hint="eastAsia" w:ascii="宋体" w:hAnsi="宋体" w:cs="宋体"/>
          <w:color w:val="auto"/>
          <w:sz w:val="24"/>
          <w:lang w:eastAsia="zh-CN" w:bidi="ar"/>
        </w:rPr>
        <w:t>，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lang w:eastAsia="zh-CN"/>
        </w:rPr>
        <w:t>投标时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需根据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采购文件技术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参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数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要求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提供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“</w:t>
      </w:r>
      <w:r>
        <w:rPr>
          <w:rFonts w:hint="eastAsia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柜门（</w:t>
      </w:r>
      <w:r>
        <w:rPr>
          <w:rFonts w:hint="eastAsia" w:ascii="宋体" w:hAnsi="宋体" w:cs="宋体"/>
          <w:color w:val="auto"/>
          <w:sz w:val="24"/>
          <w:lang w:bidi="ar"/>
        </w:rPr>
        <w:t>包含门锁和拉手</w:t>
      </w:r>
      <w:r>
        <w:rPr>
          <w:rFonts w:hint="eastAsia" w:ascii="宋体" w:hAnsi="宋体" w:cs="宋体"/>
          <w:color w:val="auto"/>
          <w:sz w:val="24"/>
          <w:lang w:val="en-US" w:eastAsia="zh-CN" w:bidi="ar"/>
        </w:rPr>
        <w:t>)</w:t>
      </w:r>
      <w:r>
        <w:rPr>
          <w:rFonts w:hint="eastAsia" w:cs="宋体"/>
          <w:color w:val="auto"/>
          <w:sz w:val="24"/>
          <w:lang w:val="en-US" w:eastAsia="zh-CN" w:bidi="ar"/>
        </w:rPr>
        <w:t>，尺寸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</w:rPr>
        <w:t>长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lang w:eastAsia="zh-CN"/>
        </w:rPr>
        <w:t>≥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</w:rPr>
        <w:t>300mm×宽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lang w:eastAsia="zh-CN"/>
        </w:rPr>
        <w:t>≥</w:t>
      </w:r>
      <w:r>
        <w:rPr>
          <w:rFonts w:hint="eastAsia" w:cs="宋体"/>
          <w:b w:val="0"/>
          <w:bCs/>
          <w:color w:val="auto"/>
          <w:sz w:val="21"/>
          <w:szCs w:val="21"/>
          <w:lang w:val="en-US" w:eastAsia="zh-CN"/>
        </w:rPr>
        <w:t>300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</w:rPr>
        <w:t>mm</w:t>
      </w:r>
      <w:r>
        <w:rPr>
          <w:rFonts w:hint="eastAsia" w:cs="宋体"/>
          <w:b w:val="0"/>
          <w:bCs/>
          <w:color w:val="auto"/>
          <w:sz w:val="21"/>
          <w:szCs w:val="21"/>
          <w:lang w:eastAsia="zh-CN"/>
        </w:rPr>
        <w:t>，样品一件”</w:t>
      </w:r>
    </w:p>
    <w:p w14:paraId="7BA30CD1">
      <w:pPr>
        <w:keepNext w:val="0"/>
        <w:keepLines w:val="0"/>
        <w:pageBreakBefore w:val="0"/>
        <w:kinsoku/>
        <w:overflowPunct/>
        <w:topLinePunct w:val="0"/>
        <w:bidi w:val="0"/>
        <w:adjustRightInd/>
        <w:snapToGrid w:val="0"/>
        <w:spacing w:line="300" w:lineRule="exact"/>
        <w:textAlignment w:val="auto"/>
        <w:rPr>
          <w:rFonts w:hint="eastAsia" w:cs="宋体"/>
          <w:b w:val="0"/>
          <w:bCs/>
          <w:color w:val="auto"/>
          <w:sz w:val="21"/>
          <w:szCs w:val="21"/>
          <w:lang w:eastAsia="zh-CN"/>
        </w:rPr>
      </w:pPr>
    </w:p>
    <w:p w14:paraId="16F7A933">
      <w:pPr>
        <w:keepNext w:val="0"/>
        <w:keepLines w:val="0"/>
        <w:pageBreakBefore w:val="0"/>
        <w:kinsoku/>
        <w:overflowPunct/>
        <w:topLinePunct w:val="0"/>
        <w:bidi w:val="0"/>
        <w:adjustRightInd/>
        <w:snapToGrid w:val="0"/>
        <w:spacing w:line="300" w:lineRule="exact"/>
        <w:textAlignment w:val="auto"/>
        <w:rPr>
          <w:rFonts w:hint="eastAsia" w:cs="宋体"/>
          <w:b w:val="0"/>
          <w:bCs/>
          <w:color w:val="auto"/>
          <w:sz w:val="21"/>
          <w:szCs w:val="21"/>
          <w:lang w:eastAsia="zh-CN"/>
        </w:rPr>
      </w:pPr>
      <w:r>
        <w:drawing>
          <wp:inline distT="0" distB="0" distL="114300" distR="114300">
            <wp:extent cx="1514475" cy="1828800"/>
            <wp:effectExtent l="0" t="0" r="9525" b="0"/>
            <wp:docPr id="1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3F869">
      <w:pPr>
        <w:keepNext w:val="0"/>
        <w:keepLines w:val="0"/>
        <w:pageBreakBefore w:val="0"/>
        <w:kinsoku/>
        <w:overflowPunct/>
        <w:topLinePunct w:val="0"/>
        <w:bidi w:val="0"/>
        <w:adjustRightInd/>
        <w:snapToGrid w:val="0"/>
        <w:spacing w:line="240" w:lineRule="auto"/>
        <w:jc w:val="left"/>
        <w:textAlignment w:val="auto"/>
        <w:rPr>
          <w:rFonts w:hint="eastAsia" w:eastAsia="宋体" w:cs="宋体"/>
          <w:b w:val="0"/>
          <w:bCs/>
          <w:color w:val="auto"/>
          <w:sz w:val="21"/>
          <w:szCs w:val="21"/>
          <w:lang w:eastAsia="zh-CN"/>
        </w:rPr>
      </w:pPr>
      <w:r>
        <w:drawing>
          <wp:inline distT="0" distB="0" distL="114300" distR="114300">
            <wp:extent cx="1514475" cy="1828800"/>
            <wp:effectExtent l="0" t="0" r="9525" b="0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 w:cs="宋体"/>
          <w:b w:val="0"/>
          <w:bCs/>
          <w:color w:val="auto"/>
          <w:sz w:val="21"/>
          <w:szCs w:val="21"/>
          <w:lang w:eastAsia="zh-CN"/>
        </w:rPr>
        <w:drawing>
          <wp:inline distT="0" distB="0" distL="114300" distR="114300">
            <wp:extent cx="1049020" cy="1868170"/>
            <wp:effectExtent l="0" t="0" r="17780" b="17780"/>
            <wp:docPr id="17" name="图片 11" descr="22a14f8049315f050741b15742767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1" descr="22a14f8049315f050741b157427679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049020" cy="186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309CA">
      <w:pPr>
        <w:keepNext w:val="0"/>
        <w:keepLines w:val="0"/>
        <w:pageBreakBefore w:val="0"/>
        <w:kinsoku/>
        <w:overflowPunct/>
        <w:topLinePunct w:val="0"/>
        <w:bidi w:val="0"/>
        <w:adjustRightInd/>
        <w:snapToGrid w:val="0"/>
        <w:spacing w:line="300" w:lineRule="exact"/>
        <w:ind w:firstLine="420" w:firstLineChars="200"/>
        <w:jc w:val="both"/>
        <w:textAlignment w:val="auto"/>
        <w:rPr>
          <w:rFonts w:hint="eastAsia" w:cs="宋体"/>
          <w:color w:val="auto"/>
          <w:kern w:val="0"/>
          <w:sz w:val="21"/>
          <w:szCs w:val="21"/>
          <w:lang w:val="en-US" w:eastAsia="zh-CN"/>
        </w:rPr>
      </w:pPr>
      <w:r>
        <w:rPr>
          <w:rFonts w:hint="eastAsia" w:cs="宋体"/>
          <w:bCs/>
          <w:color w:val="auto"/>
          <w:sz w:val="21"/>
          <w:szCs w:val="21"/>
          <w:lang w:eastAsia="zh-CN"/>
        </w:rPr>
        <w:t>柜门示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>意图（一）</w:t>
      </w:r>
      <w:r>
        <w:rPr>
          <w:rFonts w:hint="eastAsia" w:cs="宋体"/>
          <w:color w:val="auto"/>
          <w:kern w:val="0"/>
          <w:sz w:val="21"/>
          <w:szCs w:val="21"/>
          <w:lang w:val="en-US" w:eastAsia="zh-CN"/>
        </w:rPr>
        <w:t xml:space="preserve">    </w:t>
      </w:r>
      <w:r>
        <w:rPr>
          <w:rFonts w:hint="eastAsia" w:cs="宋体"/>
          <w:bCs/>
          <w:color w:val="auto"/>
          <w:sz w:val="21"/>
          <w:szCs w:val="21"/>
          <w:lang w:eastAsia="zh-CN"/>
        </w:rPr>
        <w:t>柜门示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>意图（</w:t>
      </w:r>
      <w:r>
        <w:rPr>
          <w:rFonts w:hint="eastAsia" w:cs="宋体"/>
          <w:color w:val="auto"/>
          <w:kern w:val="0"/>
          <w:sz w:val="21"/>
          <w:szCs w:val="21"/>
          <w:lang w:eastAsia="zh-CN"/>
        </w:rPr>
        <w:t>二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>）</w:t>
      </w:r>
      <w:r>
        <w:rPr>
          <w:rFonts w:hint="eastAsia" w:cs="宋体"/>
          <w:color w:val="auto"/>
          <w:kern w:val="0"/>
          <w:sz w:val="21"/>
          <w:szCs w:val="21"/>
          <w:lang w:val="en-US" w:eastAsia="zh-CN"/>
        </w:rPr>
        <w:t xml:space="preserve">  </w:t>
      </w:r>
    </w:p>
    <w:p w14:paraId="72E9E596">
      <w:pPr>
        <w:keepNext w:val="0"/>
        <w:keepLines w:val="0"/>
        <w:pageBreakBefore w:val="0"/>
        <w:kinsoku/>
        <w:overflowPunct/>
        <w:topLinePunct w:val="0"/>
        <w:bidi w:val="0"/>
        <w:adjustRightInd/>
        <w:snapToGrid w:val="0"/>
        <w:spacing w:line="300" w:lineRule="exact"/>
        <w:ind w:firstLine="420" w:firstLineChars="200"/>
        <w:jc w:val="both"/>
        <w:textAlignment w:val="auto"/>
        <w:rPr>
          <w:rFonts w:hint="default" w:cs="宋体"/>
          <w:color w:val="auto"/>
          <w:kern w:val="0"/>
          <w:sz w:val="21"/>
          <w:szCs w:val="21"/>
          <w:lang w:val="en-US" w:eastAsia="zh-CN"/>
        </w:rPr>
      </w:pPr>
    </w:p>
    <w:p w14:paraId="5BFA7440">
      <w:pPr>
        <w:keepNext w:val="0"/>
        <w:keepLines w:val="0"/>
        <w:pageBreakBefore w:val="0"/>
        <w:kinsoku/>
        <w:overflowPunct/>
        <w:topLinePunct w:val="0"/>
        <w:bidi w:val="0"/>
        <w:adjustRightInd/>
        <w:snapToGrid w:val="0"/>
        <w:spacing w:line="300" w:lineRule="exact"/>
        <w:textAlignment w:val="auto"/>
        <w:rPr>
          <w:rFonts w:hint="eastAsia" w:cs="宋体"/>
          <w:b w:val="0"/>
          <w:bCs/>
          <w:color w:val="auto"/>
          <w:sz w:val="21"/>
          <w:szCs w:val="21"/>
          <w:lang w:eastAsia="zh-CN"/>
        </w:rPr>
      </w:pPr>
      <w:r>
        <w:rPr>
          <w:rFonts w:hint="eastAsia" w:ascii="宋体" w:hAnsi="宋体" w:eastAsia="宋体" w:cs="宋体"/>
          <w:color w:val="auto"/>
          <w:sz w:val="21"/>
          <w:szCs w:val="21"/>
        </w:rPr>
        <w:t>★</w:t>
      </w:r>
      <w:r>
        <w:rPr>
          <w:rFonts w:hint="eastAsia" w:ascii="宋体" w:hAnsi="宋体" w:eastAsia="宋体" w:cs="宋体"/>
          <w:color w:val="auto"/>
          <w:sz w:val="21"/>
          <w:szCs w:val="21"/>
          <w:lang w:val="en-US" w:eastAsia="zh-CN"/>
        </w:rPr>
        <w:t>6</w:t>
      </w:r>
      <w:r>
        <w:rPr>
          <w:rFonts w:hint="default" w:ascii="宋体" w:hAnsi="宋体" w:eastAsia="宋体" w:cs="宋体"/>
          <w:kern w:val="2"/>
          <w:sz w:val="21"/>
          <w:szCs w:val="21"/>
          <w:lang w:val="en-US" w:eastAsia="zh-CN" w:bidi="ar-SA"/>
        </w:rPr>
        <w:t>、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移动培训椅：（1）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椅背：PA+玻璃纤维材质</w:t>
      </w:r>
      <w:r>
        <w:rPr>
          <w:rFonts w:hint="eastAsia" w:ascii="宋体" w:hAnsi="宋体" w:cs="宋体"/>
          <w:sz w:val="21"/>
          <w:szCs w:val="21"/>
          <w:lang w:val="en-US" w:eastAsia="zh-CN"/>
        </w:rPr>
        <w:t>。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（2）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扶手：前后滑动扶手</w:t>
      </w:r>
      <w:r>
        <w:rPr>
          <w:rFonts w:hint="eastAsia" w:ascii="宋体" w:hAnsi="宋体" w:cs="宋体"/>
          <w:sz w:val="21"/>
          <w:szCs w:val="21"/>
          <w:lang w:val="en-US" w:eastAsia="zh-CN"/>
        </w:rPr>
        <w:t>。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（3）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写字板：采用优质PP+玻璃纤维加厚板面，旋转收放自如。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（4）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椅座：座垫采用定型海绵，圆弧式造型，配PP防尘底壳</w:t>
      </w:r>
      <w:r>
        <w:rPr>
          <w:rFonts w:hint="eastAsia" w:ascii="宋体" w:hAnsi="宋体" w:cs="宋体"/>
          <w:sz w:val="21"/>
          <w:szCs w:val="21"/>
          <w:lang w:val="en-US" w:eastAsia="zh-CN"/>
        </w:rPr>
        <w:t>。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（5）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椅脚：32</w:t>
      </w:r>
      <w:r>
        <w:rPr>
          <w:rFonts w:hint="eastAsia" w:ascii="宋体" w:hAnsi="宋体" w:cs="宋体"/>
          <w:color w:val="auto"/>
          <w:sz w:val="24"/>
          <w:lang w:bidi="ar"/>
        </w:rPr>
        <w:t>mm</w:t>
      </w:r>
      <w:r>
        <w:rPr>
          <w:rFonts w:hint="eastAsia" w:ascii="宋体" w:hAnsi="宋体" w:cs="宋体"/>
          <w:color w:val="auto"/>
          <w:sz w:val="24"/>
          <w:lang w:eastAsia="zh-CN" w:bidi="ar"/>
        </w:rPr>
        <w:t>（</w:t>
      </w:r>
      <w:r>
        <w:rPr>
          <w:rFonts w:hint="eastAsia" w:ascii="宋体" w:hAnsi="宋体" w:cs="宋体"/>
          <w:sz w:val="21"/>
          <w:szCs w:val="21"/>
          <w:lang w:val="en-US" w:eastAsia="zh-CN"/>
        </w:rPr>
        <w:t>±5</w:t>
      </w:r>
      <w:r>
        <w:rPr>
          <w:rFonts w:hint="eastAsia" w:ascii="宋体" w:hAnsi="宋体" w:cs="宋体"/>
          <w:color w:val="auto"/>
          <w:sz w:val="24"/>
          <w:lang w:bidi="ar"/>
        </w:rPr>
        <w:t>mm</w:t>
      </w:r>
      <w:r>
        <w:rPr>
          <w:rFonts w:hint="eastAsia" w:ascii="宋体" w:hAnsi="宋体" w:cs="宋体"/>
          <w:color w:val="auto"/>
          <w:sz w:val="24"/>
          <w:lang w:val="en-US" w:eastAsia="zh-CN" w:bidi="ar"/>
        </w:rPr>
        <w:t>)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*20</w:t>
      </w:r>
      <w:r>
        <w:rPr>
          <w:rFonts w:hint="eastAsia" w:ascii="宋体" w:hAnsi="宋体" w:cs="宋体"/>
          <w:color w:val="auto"/>
          <w:sz w:val="24"/>
          <w:lang w:bidi="ar"/>
        </w:rPr>
        <w:t>mm</w:t>
      </w:r>
      <w:r>
        <w:rPr>
          <w:rFonts w:hint="eastAsia" w:ascii="宋体" w:hAnsi="宋体" w:cs="宋体"/>
          <w:color w:val="auto"/>
          <w:sz w:val="24"/>
          <w:lang w:val="en-US" w:eastAsia="zh-CN" w:bidi="ar"/>
        </w:rPr>
        <w:t>(</w:t>
      </w:r>
      <w:r>
        <w:rPr>
          <w:rFonts w:hint="eastAsia" w:ascii="宋体" w:hAnsi="宋体" w:cs="宋体"/>
          <w:sz w:val="21"/>
          <w:szCs w:val="21"/>
          <w:lang w:val="en-US" w:eastAsia="zh-CN"/>
        </w:rPr>
        <w:t>±5</w:t>
      </w:r>
      <w:r>
        <w:rPr>
          <w:rFonts w:hint="eastAsia" w:ascii="宋体" w:hAnsi="宋体" w:cs="宋体"/>
          <w:color w:val="auto"/>
          <w:sz w:val="24"/>
          <w:lang w:bidi="ar"/>
        </w:rPr>
        <w:t>mm</w:t>
      </w:r>
      <w:r>
        <w:rPr>
          <w:rFonts w:hint="eastAsia" w:ascii="宋体" w:hAnsi="宋体" w:cs="宋体"/>
          <w:color w:val="auto"/>
          <w:sz w:val="24"/>
          <w:lang w:eastAsia="zh-CN" w:bidi="ar"/>
        </w:rPr>
        <w:t>）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优质碳素钢经多工位表面处理后</w:t>
      </w:r>
      <w:r>
        <w:rPr>
          <w:rFonts w:hint="eastAsia" w:ascii="宋体" w:hAnsi="宋体" w:cs="宋体"/>
          <w:sz w:val="21"/>
          <w:szCs w:val="21"/>
          <w:lang w:val="en-US" w:eastAsia="zh-CN"/>
        </w:rPr>
        <w:t>静电粉末喷塑。</w:t>
      </w:r>
      <w:r>
        <w:rPr>
          <w:rFonts w:hint="eastAsia" w:ascii="宋体" w:hAnsi="宋体" w:eastAsia="宋体" w:cs="宋体"/>
          <w:b w:val="0"/>
          <w:bCs/>
          <w:color w:val="auto"/>
          <w:sz w:val="21"/>
          <w:szCs w:val="21"/>
          <w:lang w:eastAsia="zh-CN"/>
        </w:rPr>
        <w:t>投标时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需根据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采购文件技术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参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数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要求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，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</w:rPr>
        <w:t>提供</w:t>
      </w:r>
      <w:r>
        <w:rPr>
          <w:rFonts w:hint="eastAsia" w:ascii="宋体" w:hAnsi="宋体" w:eastAsia="宋体" w:cs="宋体"/>
          <w:kern w:val="2"/>
          <w:sz w:val="21"/>
          <w:szCs w:val="21"/>
          <w:lang w:val="en-US" w:eastAsia="zh-CN" w:bidi="ar-SA"/>
        </w:rPr>
        <w:t>移动培训椅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eastAsia="zh-CN"/>
        </w:rPr>
        <w:t>“规格：扶手边缘至写字板边缘</w:t>
      </w:r>
      <w:r>
        <w:rPr>
          <w:rFonts w:hint="eastAsia" w:ascii="宋体" w:hAnsi="宋体" w:eastAsia="宋体" w:cs="宋体"/>
          <w:b w:val="0"/>
          <w:bCs/>
          <w:strike w:val="0"/>
          <w:dstrike w:val="0"/>
          <w:color w:val="auto"/>
          <w:sz w:val="21"/>
          <w:szCs w:val="21"/>
          <w:highlight w:val="none"/>
          <w:lang w:val="en-US" w:eastAsia="zh-CN"/>
        </w:rPr>
        <w:t>660</w:t>
      </w:r>
      <w:r>
        <w:rPr>
          <w:rFonts w:hint="eastAsia" w:ascii="宋体" w:hAnsi="宋体" w:cs="宋体"/>
          <w:color w:val="auto"/>
          <w:sz w:val="24"/>
          <w:lang w:bidi="ar"/>
        </w:rPr>
        <w:t>mm（±</w:t>
      </w:r>
      <w:r>
        <w:rPr>
          <w:rFonts w:hint="eastAsia" w:ascii="宋体" w:hAnsi="宋体" w:cs="宋体"/>
          <w:color w:val="auto"/>
          <w:sz w:val="24"/>
          <w:lang w:val="en-US" w:eastAsia="zh-CN" w:bidi="ar"/>
        </w:rPr>
        <w:t>10</w:t>
      </w:r>
      <w:r>
        <w:rPr>
          <w:rFonts w:hint="eastAsia" w:ascii="宋体" w:hAnsi="宋体" w:cs="宋体"/>
          <w:color w:val="auto"/>
          <w:sz w:val="24"/>
          <w:lang w:bidi="ar"/>
        </w:rPr>
        <w:t>mm）</w:t>
      </w:r>
      <w:r>
        <w:rPr>
          <w:rFonts w:hint="eastAsia" w:cs="宋体"/>
          <w:b w:val="0"/>
          <w:bCs/>
          <w:color w:val="auto"/>
          <w:sz w:val="21"/>
          <w:szCs w:val="21"/>
          <w:lang w:eastAsia="zh-CN"/>
        </w:rPr>
        <w:t>，靠背边缘至写字板边缘</w:t>
      </w:r>
      <w:r>
        <w:rPr>
          <w:rFonts w:hint="eastAsia" w:cs="宋体"/>
          <w:b w:val="0"/>
          <w:bCs/>
          <w:color w:val="auto"/>
          <w:sz w:val="21"/>
          <w:szCs w:val="21"/>
          <w:lang w:val="en-US" w:eastAsia="zh-CN"/>
        </w:rPr>
        <w:t>690</w:t>
      </w:r>
      <w:r>
        <w:rPr>
          <w:rFonts w:hint="eastAsia" w:ascii="宋体" w:hAnsi="宋体" w:cs="宋体"/>
          <w:color w:val="auto"/>
          <w:sz w:val="24"/>
          <w:lang w:bidi="ar"/>
        </w:rPr>
        <w:t>mm（±</w:t>
      </w:r>
      <w:r>
        <w:rPr>
          <w:rFonts w:hint="eastAsia" w:ascii="宋体" w:hAnsi="宋体" w:cs="宋体"/>
          <w:color w:val="auto"/>
          <w:sz w:val="24"/>
          <w:lang w:val="en-US" w:eastAsia="zh-CN" w:bidi="ar"/>
        </w:rPr>
        <w:t>10</w:t>
      </w:r>
      <w:r>
        <w:rPr>
          <w:rFonts w:hint="eastAsia" w:ascii="宋体" w:hAnsi="宋体" w:cs="宋体"/>
          <w:color w:val="auto"/>
          <w:sz w:val="24"/>
          <w:lang w:bidi="ar"/>
        </w:rPr>
        <w:t>mm）</w:t>
      </w:r>
      <w:r>
        <w:rPr>
          <w:rFonts w:hint="eastAsia" w:cs="宋体"/>
          <w:b w:val="0"/>
          <w:bCs/>
          <w:color w:val="auto"/>
          <w:sz w:val="21"/>
          <w:szCs w:val="21"/>
          <w:lang w:val="en-US" w:eastAsia="zh-CN"/>
        </w:rPr>
        <w:t>，坐高457</w:t>
      </w:r>
      <w:r>
        <w:rPr>
          <w:rFonts w:hint="eastAsia" w:ascii="宋体" w:hAnsi="宋体" w:cs="宋体"/>
          <w:color w:val="auto"/>
          <w:sz w:val="24"/>
          <w:lang w:bidi="ar"/>
        </w:rPr>
        <w:t>mm（±</w:t>
      </w:r>
      <w:r>
        <w:rPr>
          <w:rFonts w:hint="eastAsia" w:ascii="宋体" w:hAnsi="宋体" w:cs="宋体"/>
          <w:color w:val="auto"/>
          <w:sz w:val="24"/>
          <w:lang w:val="en-US" w:eastAsia="zh-CN" w:bidi="ar"/>
        </w:rPr>
        <w:t>10</w:t>
      </w:r>
      <w:r>
        <w:rPr>
          <w:rFonts w:hint="eastAsia" w:ascii="宋体" w:hAnsi="宋体" w:cs="宋体"/>
          <w:color w:val="auto"/>
          <w:sz w:val="24"/>
          <w:lang w:bidi="ar"/>
        </w:rPr>
        <w:t>mm）</w:t>
      </w:r>
      <w:r>
        <w:rPr>
          <w:rFonts w:hint="eastAsia" w:cs="宋体"/>
          <w:b w:val="0"/>
          <w:bCs/>
          <w:color w:val="auto"/>
          <w:sz w:val="21"/>
          <w:szCs w:val="21"/>
          <w:lang w:val="en-US" w:eastAsia="zh-CN"/>
        </w:rPr>
        <w:t>，总高858</w:t>
      </w:r>
      <w:r>
        <w:rPr>
          <w:rFonts w:hint="eastAsia" w:ascii="宋体" w:hAnsi="宋体" w:cs="宋体"/>
          <w:color w:val="auto"/>
          <w:sz w:val="24"/>
          <w:lang w:bidi="ar"/>
        </w:rPr>
        <w:t>mm（±</w:t>
      </w:r>
      <w:r>
        <w:rPr>
          <w:rFonts w:hint="eastAsia" w:ascii="宋体" w:hAnsi="宋体" w:cs="宋体"/>
          <w:color w:val="auto"/>
          <w:sz w:val="24"/>
          <w:lang w:val="en-US" w:eastAsia="zh-CN" w:bidi="ar"/>
        </w:rPr>
        <w:t>10</w:t>
      </w:r>
      <w:r>
        <w:rPr>
          <w:rFonts w:hint="eastAsia" w:ascii="宋体" w:hAnsi="宋体" w:cs="宋体"/>
          <w:color w:val="auto"/>
          <w:sz w:val="24"/>
          <w:lang w:bidi="ar"/>
        </w:rPr>
        <w:t>mm）</w:t>
      </w:r>
      <w:r>
        <w:rPr>
          <w:rFonts w:hint="eastAsia" w:cs="宋体"/>
          <w:b w:val="0"/>
          <w:bCs/>
          <w:color w:val="auto"/>
          <w:sz w:val="21"/>
          <w:szCs w:val="21"/>
          <w:lang w:eastAsia="zh-CN"/>
        </w:rPr>
        <w:t>成品样品一件”</w:t>
      </w:r>
    </w:p>
    <w:p w14:paraId="11C420F2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0" w:lineRule="atLeast"/>
        <w:ind w:left="0" w:leftChars="0" w:right="0" w:rightChars="0" w:firstLine="0" w:firstLineChars="0"/>
        <w:jc w:val="left"/>
        <w:textAlignment w:val="auto"/>
        <w:rPr>
          <w:rFonts w:hint="eastAsia" w:ascii="宋体" w:hAnsi="宋体" w:eastAsia="宋体" w:cs="宋体"/>
          <w:sz w:val="18"/>
          <w:szCs w:val="18"/>
          <w:lang w:val="en-US" w:eastAsia="zh-CN"/>
        </w:rPr>
      </w:pPr>
    </w:p>
    <w:p w14:paraId="2123AEDD">
      <w:pPr>
        <w:pStyle w:val="2"/>
      </w:pPr>
      <w:r>
        <w:drawing>
          <wp:inline distT="0" distB="0" distL="114300" distR="114300">
            <wp:extent cx="4337685" cy="2501900"/>
            <wp:effectExtent l="0" t="0" r="5715" b="12700"/>
            <wp:docPr id="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37685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7F0FE0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0" w:lineRule="atLeast"/>
        <w:ind w:leftChars="0" w:right="0" w:rightChars="0" w:firstLine="1680" w:firstLineChars="700"/>
        <w:jc w:val="left"/>
        <w:textAlignment w:val="auto"/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</w:pP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规格示意</w:t>
      </w:r>
      <w:r>
        <w:rPr>
          <w:rFonts w:hint="eastAsia" w:ascii="宋体" w:hAnsi="宋体" w:eastAsia="宋体" w:cs="宋体"/>
          <w:color w:val="auto"/>
          <w:kern w:val="0"/>
          <w:sz w:val="21"/>
          <w:szCs w:val="21"/>
        </w:rPr>
        <w:t>图</w:t>
      </w:r>
      <w:r>
        <w:rPr>
          <w:rFonts w:hint="eastAsia" w:ascii="宋体" w:hAnsi="宋体" w:cs="宋体"/>
          <w:kern w:val="2"/>
          <w:sz w:val="24"/>
          <w:szCs w:val="24"/>
          <w:lang w:val="en-US" w:eastAsia="zh-CN" w:bidi="ar-SA"/>
        </w:rPr>
        <w:t>：</w:t>
      </w:r>
    </w:p>
    <w:p w14:paraId="4DE30F89">
      <w:r>
        <w:drawing>
          <wp:inline distT="0" distB="0" distL="114300" distR="114300">
            <wp:extent cx="2129790" cy="1599565"/>
            <wp:effectExtent l="0" t="0" r="3810" b="635"/>
            <wp:docPr id="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129790" cy="159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167130" cy="1480820"/>
            <wp:effectExtent l="0" t="0" r="13970" b="5080"/>
            <wp:docPr id="1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67130" cy="148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62C48B">
      <w:pPr>
        <w:ind w:firstLine="1890" w:firstLineChars="900"/>
        <w:jc w:val="both"/>
        <w:rPr>
          <w:rFonts w:hint="eastAsia"/>
          <w:lang w:val="en-US" w:eastAsia="zh-CN"/>
        </w:rPr>
      </w:pP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椅背示意图</w:t>
      </w:r>
    </w:p>
    <w:p w14:paraId="141027C6">
      <w:pPr>
        <w:pStyle w:val="2"/>
      </w:pPr>
      <w:r>
        <w:drawing>
          <wp:inline distT="0" distB="0" distL="114300" distR="114300">
            <wp:extent cx="2448560" cy="814705"/>
            <wp:effectExtent l="0" t="0" r="8890" b="4445"/>
            <wp:docPr id="1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48560" cy="81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E9FCC3">
      <w:bookmarkStart w:id="0" w:name="_GoBack"/>
      <w:bookmarkEnd w:id="0"/>
    </w:p>
    <w:p w14:paraId="27607B87">
      <w:pPr>
        <w:ind w:firstLine="960" w:firstLineChars="400"/>
        <w:rPr>
          <w:rFonts w:hint="default"/>
          <w:lang w:val="en-US"/>
        </w:rPr>
      </w:pPr>
      <w:r>
        <w:rPr>
          <w:rFonts w:hint="eastAsia"/>
          <w:lang w:val="en-US" w:eastAsia="zh-CN"/>
        </w:rPr>
        <w:t>坐垫圆弧</w:t>
      </w:r>
      <w:r>
        <w:rPr>
          <w:rFonts w:hint="eastAsia" w:ascii="宋体" w:hAnsi="宋体" w:eastAsia="宋体" w:cs="宋体"/>
          <w:sz w:val="21"/>
          <w:szCs w:val="21"/>
          <w:lang w:val="en-US" w:eastAsia="zh-CN"/>
        </w:rPr>
        <w:t>示意图</w:t>
      </w:r>
    </w:p>
    <w:p w14:paraId="292AAF70">
      <w:pPr>
        <w:rPr>
          <w:rFonts w:hint="default"/>
          <w:lang w:val="en-US"/>
        </w:rPr>
      </w:pPr>
    </w:p>
    <w:p w14:paraId="0646AA83">
      <w:pPr>
        <w:pStyle w:val="2"/>
      </w:pPr>
      <w:r>
        <w:drawing>
          <wp:inline distT="0" distB="0" distL="114300" distR="114300">
            <wp:extent cx="1572895" cy="1379220"/>
            <wp:effectExtent l="0" t="0" r="8255" b="11430"/>
            <wp:docPr id="1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72895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349375" cy="1848485"/>
            <wp:effectExtent l="0" t="0" r="3175" b="18415"/>
            <wp:docPr id="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349375" cy="184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E80167">
      <w:pPr>
        <w:pStyle w:val="2"/>
      </w:pPr>
      <w:r>
        <w:rPr>
          <w:rFonts w:hint="eastAsia"/>
          <w:lang w:val="en-US" w:eastAsia="zh-CN"/>
        </w:rPr>
        <w:t>写字板示意图         扶手示意图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6EA0F3A"/>
    <w:rsid w:val="181F06C4"/>
    <w:rsid w:val="3A323E2F"/>
    <w:rsid w:val="5EAC39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qFormat="1"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1624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240" w:lineRule="auto"/>
    </w:pPr>
    <w:rPr>
      <w:rFonts w:ascii="宋体" w:hAnsi="宋体" w:eastAsia="宋体" w:cs="Times New Roman"/>
      <w:sz w:val="24"/>
      <w:szCs w:val="22"/>
      <w:lang w:val="en-US" w:eastAsia="en-US" w:bidi="en-US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3"/>
    <w:qFormat/>
    <w:uiPriority w:val="1624"/>
    <w:pPr>
      <w:spacing w:before="0" w:after="120"/>
    </w:pPr>
    <w:rPr>
      <w:rFonts w:ascii="Times New Roman" w:hAnsi="Times New Roman" w:eastAsia="宋体" w:cs="Times New Roman"/>
    </w:rPr>
  </w:style>
  <w:style w:type="paragraph" w:styleId="3">
    <w:name w:val="toc 5"/>
    <w:basedOn w:val="1"/>
    <w:next w:val="1"/>
    <w:qFormat/>
    <w:uiPriority w:val="0"/>
    <w:pPr>
      <w:ind w:left="1680" w:leftChars="800"/>
    </w:pPr>
  </w:style>
  <w:style w:type="paragraph" w:styleId="6">
    <w:name w:val="List Paragraph"/>
    <w:basedOn w:val="1"/>
    <w:qFormat/>
    <w:uiPriority w:val="34"/>
    <w:pPr>
      <w:widowControl w:val="0"/>
      <w:ind w:firstLine="420" w:firstLineChars="200"/>
      <w:jc w:val="both"/>
    </w:pPr>
    <w:rPr>
      <w:rFonts w:ascii="Calibri" w:hAnsi="Calibri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jpeg"/><Relationship Id="rId14" Type="http://schemas.openxmlformats.org/officeDocument/2006/relationships/image" Target="media/image9.pn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2026-04-27T03:59:34Z</dcterms:created>
  <dc:creator>Administrator</dc:creator>
  <cp:lastModifiedBy>Administrator</cp:lastModifiedBy>
  <dcterms:modified xsi:type="dcterms:W3CDTF">2026-04-27T03:59:41Z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KSOTemplateDocerSaveRecord">
    <vt:lpwstr>eyJoZGlkIjoiZDIzNmQxOWY3YzczZjg3MDkzNWFmMjU3ODYxMDAwYTEiLCJ1c2VySWQiOiI3NTA0NjE3NzUifQ==</vt:lpwstr>
  </property>
  <property fmtid="{D5CDD505-2E9C-101B-9397-08002B2CF9AE}" pid="4" name="ICV">
    <vt:lpwstr>15F1F46E5C20451899DA42FA394E8464_12</vt:lpwstr>
  </property>
</Properties>
</file>