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版本号：N510001202600111520260616001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机房设备(二次)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N5100012026001115</w:t>
      </w:r>
    </w:p>
    <w:p>
      <w:pPr>
        <w:pStyle w:val="null3"/>
        <w:jc w:val="left"/>
        <w:outlineLvl w:val="2"/>
      </w:pPr>
      <w:r>
        <w:rPr>
          <w:rFonts w:ascii="仿宋_GB2312" w:hAnsi="仿宋_GB2312" w:cs="仿宋_GB2312" w:eastAsia="仿宋_GB2312"/>
          <w:sz w:val="28"/>
          <w:b/>
        </w:rPr>
        <w:t>四川省文物考古研究院（三星堆研究院、四川石窟寺保护研究院）</w:t>
      </w:r>
    </w:p>
    <w:p>
      <w:pPr>
        <w:pStyle w:val="null3"/>
        <w:jc w:val="center"/>
        <w:outlineLvl w:val="2"/>
      </w:pPr>
      <w:r>
        <w:rPr>
          <w:rFonts w:ascii="仿宋_GB2312" w:hAnsi="仿宋_GB2312" w:cs="仿宋_GB2312" w:eastAsia="仿宋_GB2312"/>
          <w:sz w:val="28"/>
          <w:b/>
        </w:rPr>
        <w:t>四川国勤招标代理有限公司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四川国勤招标代理有限公司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四川省文物考古研究院（三星堆研究院、四川石窟寺保护研究院）</w:t>
      </w:r>
      <w:r>
        <w:rPr>
          <w:rFonts w:ascii="仿宋_GB2312" w:hAnsi="仿宋_GB2312" w:cs="仿宋_GB2312" w:eastAsia="仿宋_GB2312"/>
        </w:rPr>
        <w:t xml:space="preserve"> 委托，拟对 </w:t>
      </w:r>
      <w:r>
        <w:rPr>
          <w:rFonts w:ascii="仿宋_GB2312" w:hAnsi="仿宋_GB2312" w:cs="仿宋_GB2312" w:eastAsia="仿宋_GB2312"/>
        </w:rPr>
        <w:t>机房设备(二次)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N5100012026001115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机房设备(二次)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四川省文物考古研究院拟采购一批机房设备，预算金额105万元。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四川省文物考古研究院（三星堆研究院、四川石窟寺保护研究院）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成都市青羊区蜀都大道十二桥路30号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邓文瀚</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028-68107130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四川国勤招标代理有限公司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四川省成都市成华区杉板桥199号7栋605-606号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610051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028-83550037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根据成本加合理利润原则，本项目按阶梯收取代理服务费，100万以内按照中标金额1.5%收取，100-500万之间部分按照中标金额1.1%收取。由中标供应商在领取中标通知书前向招标代理机构交纳招标代理服务费。在服务过程中，甲方不对供应商支付服务费承担任何担保责任。</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四川省文物考古研究院（三星堆研究院、四川石窟寺保护研究院）</w:t>
      </w:r>
      <w:r>
        <w:rPr>
          <w:rFonts w:ascii="仿宋_GB2312" w:hAnsi="仿宋_GB2312" w:cs="仿宋_GB2312" w:eastAsia="仿宋_GB2312"/>
        </w:rPr>
        <w:t xml:space="preserve"> 和 </w:t>
      </w:r>
      <w:r>
        <w:rPr>
          <w:rFonts w:ascii="仿宋_GB2312" w:hAnsi="仿宋_GB2312" w:cs="仿宋_GB2312" w:eastAsia="仿宋_GB2312"/>
        </w:rPr>
        <w:t>四川国勤招标代理有限公司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四川省文物考古研究院（三星堆研究院、四川石窟寺保护研究院）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四川国勤招标代理有限公司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招标文件、投标文件技术条款约定内容。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招标文件、投标文件商务条款约定内容。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（1）货物抵达现场 3 日内投标人应派专业人员到达现场，依据设备装箱清单、检验合格证书、产品使用说明书等有关资料，由招标人和监督方的组织下共同检验。如有数量短缺、规格质量不符、资料不全等，由中标人无偿更换、补齐。并承担由此产生的费用。招标人有权在交货时验证产品的技术性能，如涉及虚假，并按相关规定给予处罚。设备的验收，须经采购方签字确认；在设备运转测试时，投标人应无条件完成调试服务，最终按照采购方的设计方案所包含的所有设备安装完毕，整体系统运行验收合格 后，作为产品的最终质量验收。（2）所有货物在投标人通知安装调试完毕后 3 个工作日内向采购方提出验收申请。采购方在收到验收申请后，组织相关人员在 5 个工作日内进行项目验收。投标人应当配合采购方准备验收所需的材料（包括但不限于：招标文件、投标文件、合同及有可能提交的检测报告等）。（3）采购方组织的验收相关人员中，有权邀请相关行业专家、未中标公司人员等。（4） 验收时如发现所交付的货物有不符合招投标文件约定及本合同规定之情形者，采购方应做出详尽的现场记录，或由双方签署备忘录，此现场记录或备忘录可用作补充、缺失和更换损坏部件的有效证据，由此产生的时间延误与有关费用由投标人承担，验收期限相应顺延；验收时如发现所交付的货物有不符合招投标文件约定及本合同规定之情形者，采购方应做出详尽的现场记录，或由双方签署备忘录， 此现场记录或备忘录可用作补充、缺失和更换损坏部件的有效证据，由此产生的时间延误与有关费用由投标人承担，验收期限相应顺延。（5）如质量验收合格，双方签署质量验收报告。（6）货物安装完成后 30 日内，采购方无故不进行验收工作并已使用货物的，视同已安装调试完成并验收合格。（7）投标人应将所提供货物的装箱清单、配件、随机工具、用户使用手册、原厂保修卡等资料交付给甲方；投标人不能完整交付货物及本款规定的单证和工具的，必须负责补齐，否则视为未按合同约定交货。（8）其他未尽事宜按照《财政部关于进一步加强政府采购需求和履约验收 管理的指导意见》（财库（2016）205号）及《政府采购需求管理办法》（财库【2021】22号）等相关规定及招标文件服务要求、投标文件响应情况和国家、行业标准进行验收。（9）如货物经乙方 3 次维修仍不能达到合同约定的质量标准，采购方有权退货，并视作投标方不能交付货物而须支付违约赔偿金给采购方，采购方还可依法追究中标方的违约责任。</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四川省文物考古研究院（三星堆研究院、四川石窟寺保护研究院）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四川国勤招标代理有限公司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四川国勤招标代理有限公司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联系人：邓文瀚</w:t>
      </w:r>
    </w:p>
    <w:p>
      <w:pPr>
        <w:pStyle w:val="null3"/>
        <w:jc w:val="left"/>
      </w:pPr>
      <w:r>
        <w:rPr>
          <w:rFonts w:ascii="仿宋_GB2312" w:hAnsi="仿宋_GB2312" w:cs="仿宋_GB2312" w:eastAsia="仿宋_GB2312"/>
        </w:rPr>
        <w:t>联系电话：028-68107130</w:t>
      </w:r>
    </w:p>
    <w:p>
      <w:pPr>
        <w:pStyle w:val="null3"/>
        <w:jc w:val="left"/>
      </w:pPr>
      <w:r>
        <w:rPr>
          <w:rFonts w:ascii="仿宋_GB2312" w:hAnsi="仿宋_GB2312" w:cs="仿宋_GB2312" w:eastAsia="仿宋_GB2312"/>
        </w:rPr>
        <w:t>地址：成都市青羊区蜀都大道十二桥路30号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联系人：王春</w:t>
      </w:r>
    </w:p>
    <w:p>
      <w:pPr>
        <w:pStyle w:val="null3"/>
        <w:jc w:val="left"/>
      </w:pPr>
      <w:r>
        <w:rPr>
          <w:rFonts w:ascii="仿宋_GB2312" w:hAnsi="仿宋_GB2312" w:cs="仿宋_GB2312" w:eastAsia="仿宋_GB2312"/>
        </w:rPr>
        <w:t>联系电话：028-83550037</w:t>
      </w:r>
    </w:p>
    <w:p>
      <w:pPr>
        <w:pStyle w:val="null3"/>
        <w:jc w:val="left"/>
      </w:pPr>
      <w:r>
        <w:rPr>
          <w:rFonts w:ascii="仿宋_GB2312" w:hAnsi="仿宋_GB2312" w:cs="仿宋_GB2312" w:eastAsia="仿宋_GB2312"/>
        </w:rPr>
        <w:t>地址：四川省成都市成华区杉板桥199号7栋605-606号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1,050,000.00</w:t>
      </w:r>
    </w:p>
    <w:p>
      <w:pPr>
        <w:pStyle w:val="null3"/>
        <w:jc w:val="left"/>
      </w:pPr>
      <w:r>
        <w:rPr>
          <w:rFonts w:ascii="仿宋_GB2312" w:hAnsi="仿宋_GB2312" w:cs="仿宋_GB2312" w:eastAsia="仿宋_GB2312"/>
        </w:rPr>
        <w:t>采购包最高限价（元）: 1,050,000.00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A02010299 其他网络设备</w:t>
            </w:r>
          </w:p>
        </w:tc>
        <w:tc>
          <w:tcPr>
            <w:tcW w:type="dxa" w:w="821"/>
          </w:tcPr>
          <w:p>
            <w:pPr>
              <w:pStyle w:val="null3"/>
              <w:jc w:val="left"/>
            </w:pPr>
            <w:r>
              <w:rPr>
                <w:rFonts w:ascii="仿宋_GB2312" w:hAnsi="仿宋_GB2312" w:cs="仿宋_GB2312" w:eastAsia="仿宋_GB2312"/>
              </w:rPr>
              <w:t>机房设备</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1,050,000.00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机房设备</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1,050,000.00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A02010299 其他网络设备</w:t>
            </w:r>
          </w:p>
        </w:tc>
        <w:tc>
          <w:tcPr>
            <w:tcW w:type="dxa" w:w="2492"/>
          </w:tcPr>
          <w:p>
            <w:pPr>
              <w:pStyle w:val="null3"/>
              <w:jc w:val="left"/>
            </w:pPr>
            <w:r>
              <w:rPr>
                <w:rFonts w:ascii="仿宋_GB2312" w:hAnsi="仿宋_GB2312" w:cs="仿宋_GB2312" w:eastAsia="仿宋_GB2312"/>
              </w:rPr>
              <w:t>机房设备</w:t>
            </w:r>
          </w:p>
        </w:tc>
        <w:tc>
          <w:tcPr>
            <w:tcW w:type="dxa" w:w="2492"/>
          </w:tcPr>
          <w:p>
            <w:pPr>
              <w:pStyle w:val="null3"/>
              <w:jc w:val="left"/>
            </w:pPr>
            <w:r>
              <w:rPr>
                <w:rFonts w:ascii="仿宋_GB2312" w:hAnsi="仿宋_GB2312" w:cs="仿宋_GB2312" w:eastAsia="仿宋_GB2312"/>
              </w:rPr>
              <w:t>容灾备份设备</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A02010299 其他网络设备</w:t>
            </w:r>
          </w:p>
        </w:tc>
        <w:tc>
          <w:tcPr>
            <w:tcW w:type="dxa" w:w="2492"/>
          </w:tcPr>
          <w:p>
            <w:pPr>
              <w:pStyle w:val="null3"/>
              <w:jc w:val="left"/>
            </w:pPr>
            <w:r>
              <w:rPr>
                <w:rFonts w:ascii="仿宋_GB2312" w:hAnsi="仿宋_GB2312" w:cs="仿宋_GB2312" w:eastAsia="仿宋_GB2312"/>
              </w:rPr>
              <w:t>机房设备</w:t>
            </w:r>
          </w:p>
        </w:tc>
        <w:tc>
          <w:tcPr>
            <w:tcW w:type="dxa" w:w="2492"/>
          </w:tcPr>
          <w:p>
            <w:pPr>
              <w:pStyle w:val="null3"/>
              <w:jc w:val="left"/>
            </w:pPr>
            <w:r>
              <w:rPr>
                <w:rFonts w:ascii="仿宋_GB2312" w:hAnsi="仿宋_GB2312" w:cs="仿宋_GB2312" w:eastAsia="仿宋_GB2312"/>
              </w:rPr>
              <w:t>专用制冷空调设备1、专用制冷空调设备2、专用制冷空调设备3、专用制冷空调设备4、</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A02010299 其他网络设备</w:t>
            </w:r>
          </w:p>
        </w:tc>
        <w:tc>
          <w:tcPr>
            <w:tcW w:type="dxa" w:w="2492"/>
          </w:tcPr>
          <w:p>
            <w:pPr>
              <w:pStyle w:val="null3"/>
              <w:jc w:val="left"/>
            </w:pPr>
            <w:r>
              <w:rPr>
                <w:rFonts w:ascii="仿宋_GB2312" w:hAnsi="仿宋_GB2312" w:cs="仿宋_GB2312" w:eastAsia="仿宋_GB2312"/>
              </w:rPr>
              <w:t>机房设备</w:t>
            </w:r>
          </w:p>
        </w:tc>
        <w:tc>
          <w:tcPr>
            <w:tcW w:type="dxa" w:w="2492"/>
          </w:tcPr>
          <w:p>
            <w:pPr>
              <w:pStyle w:val="null3"/>
              <w:jc w:val="left"/>
            </w:pPr>
            <w:r>
              <w:rPr>
                <w:rFonts w:ascii="仿宋_GB2312" w:hAnsi="仿宋_GB2312" w:cs="仿宋_GB2312" w:eastAsia="仿宋_GB2312"/>
              </w:rPr>
              <w:t>一体化综合柜、一体化扩展柜、专用制冷空调设备1、专用制冷空调设备2、专用制冷空调设备3、操作台、专用制冷空调设备4、</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标的名称：机房设备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38"/>
              <w:gridCol w:w="438"/>
              <w:gridCol w:w="1559"/>
              <w:gridCol w:w="747"/>
              <w:gridCol w:w="662"/>
              <w:gridCol w:w="608"/>
              <w:gridCol w:w="811"/>
              <w:gridCol w:w="1014"/>
              <w:gridCol w:w="673"/>
            </w:tblGrid>
            <w:tr>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包号</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标的名称</w:t>
                  </w:r>
                </w:p>
              </w:tc>
              <w:tc>
                <w:tcPr>
                  <w:tcW w:type="dxa" w:w="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计量单位</w:t>
                  </w:r>
                </w:p>
              </w:tc>
              <w:tc>
                <w:tcPr>
                  <w:tcW w:type="dxa" w:w="6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强制节能</w:t>
                  </w:r>
                </w:p>
              </w:tc>
              <w:tc>
                <w:tcPr>
                  <w:tcW w:type="dxa" w:w="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优先采购节能</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优先采购环境标志</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属于核心产品</w:t>
                  </w:r>
                </w:p>
              </w:tc>
            </w:tr>
            <w:tr>
              <w:tc>
                <w:tcPr>
                  <w:tcW w:type="dxa" w:w="43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一体化综合柜</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38"/>
                  <w:vMerge/>
                  <w:tcBorders>
                    <w:top w:val="none" w:color="000000" w:sz="4"/>
                    <w:left w:val="singl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一体化扩展柜</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38"/>
                  <w:vMerge/>
                  <w:tcBorders>
                    <w:top w:val="none" w:color="000000" w:sz="4"/>
                    <w:left w:val="singl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交流</w:t>
                  </w:r>
                  <w:r>
                    <w:rPr>
                      <w:rFonts w:ascii="仿宋_GB2312" w:hAnsi="仿宋_GB2312" w:cs="仿宋_GB2312" w:eastAsia="仿宋_GB2312"/>
                      <w:sz w:val="21"/>
                      <w:color w:val="000000"/>
                    </w:rPr>
                    <w:t>PDU</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38"/>
                  <w:vMerge/>
                  <w:tcBorders>
                    <w:top w:val="none" w:color="000000" w:sz="4"/>
                    <w:left w:val="singl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专用制冷空调设备</w:t>
                  </w:r>
                  <w:r>
                    <w:rPr>
                      <w:rFonts w:ascii="仿宋_GB2312" w:hAnsi="仿宋_GB2312" w:cs="仿宋_GB2312" w:eastAsia="仿宋_GB2312"/>
                      <w:sz w:val="21"/>
                      <w:color w:val="000000"/>
                    </w:rPr>
                    <w:t>1</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38"/>
                  <w:vMerge/>
                  <w:tcBorders>
                    <w:top w:val="none" w:color="000000" w:sz="4"/>
                    <w:left w:val="singl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专用制冷空调设备</w:t>
                  </w:r>
                  <w:r>
                    <w:rPr>
                      <w:rFonts w:ascii="仿宋_GB2312" w:hAnsi="仿宋_GB2312" w:cs="仿宋_GB2312" w:eastAsia="仿宋_GB2312"/>
                      <w:sz w:val="21"/>
                      <w:color w:val="000000"/>
                    </w:rPr>
                    <w:t>2</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38"/>
                  <w:vMerge/>
                  <w:tcBorders>
                    <w:top w:val="none" w:color="000000" w:sz="4"/>
                    <w:left w:val="singl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机柜内置模块化电源</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38"/>
                  <w:vMerge/>
                  <w:tcBorders>
                    <w:top w:val="none" w:color="000000" w:sz="4"/>
                    <w:left w:val="singl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动环检测系统</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38"/>
                  <w:vMerge/>
                  <w:tcBorders>
                    <w:top w:val="none" w:color="000000" w:sz="4"/>
                    <w:left w:val="singl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专用制冷空调设备</w:t>
                  </w:r>
                  <w:r>
                    <w:rPr>
                      <w:rFonts w:ascii="仿宋_GB2312" w:hAnsi="仿宋_GB2312" w:cs="仿宋_GB2312" w:eastAsia="仿宋_GB2312"/>
                      <w:sz w:val="21"/>
                      <w:color w:val="000000"/>
                    </w:rPr>
                    <w:t>3</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38"/>
                  <w:vMerge/>
                  <w:tcBorders>
                    <w:top w:val="none" w:color="000000" w:sz="4"/>
                    <w:left w:val="singl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操作台</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38"/>
                  <w:vMerge/>
                  <w:tcBorders>
                    <w:top w:val="none" w:color="000000" w:sz="4"/>
                    <w:left w:val="singl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机房接地系统</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3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市电配电箱</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3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电缆</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3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吊顶式新风机及其配件</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3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排烟机</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3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专用制冷空调设备</w:t>
                  </w:r>
                  <w:r>
                    <w:rPr>
                      <w:rFonts w:ascii="仿宋_GB2312" w:hAnsi="仿宋_GB2312" w:cs="仿宋_GB2312" w:eastAsia="仿宋_GB2312"/>
                      <w:sz w:val="21"/>
                      <w:color w:val="000000"/>
                    </w:rPr>
                    <w:t>4</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3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防火墙</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3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容灾备份设备</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w:t>
                  </w:r>
                </w:p>
              </w:tc>
            </w:tr>
            <w:tr>
              <w:tc>
                <w:tcPr>
                  <w:tcW w:type="dxa" w:w="43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超融合一体化平台</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机房设备 技术、参数要求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1"/>
              <w:gridCol w:w="1170"/>
              <w:gridCol w:w="5434"/>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标的名称</w:t>
                  </w:r>
                </w:p>
              </w:tc>
              <w:tc>
                <w:tcPr>
                  <w:tcW w:type="dxa" w:w="5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技术参数要求</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一体化综合柜</w:t>
                  </w:r>
                </w:p>
              </w:tc>
              <w:tc>
                <w:tcPr>
                  <w:tcW w:type="dxa" w:w="5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1"/>
                      <w:b/>
                    </w:rPr>
                    <w:t>1.机柜基本规格</w:t>
                  </w:r>
                </w:p>
                <w:p>
                  <w:pPr>
                    <w:pStyle w:val="null3"/>
                    <w:ind w:firstLine="402"/>
                    <w:jc w:val="left"/>
                  </w:pPr>
                  <w:r>
                    <w:rPr>
                      <w:rFonts w:ascii="仿宋_GB2312" w:hAnsi="仿宋_GB2312" w:cs="仿宋_GB2312" w:eastAsia="仿宋_GB2312"/>
                      <w:sz w:val="21"/>
                    </w:rPr>
                    <w:t>外形尺寸：（宽度</w:t>
                  </w:r>
                  <w:r>
                    <w:rPr>
                      <w:rFonts w:ascii="仿宋_GB2312" w:hAnsi="仿宋_GB2312" w:cs="仿宋_GB2312" w:eastAsia="仿宋_GB2312"/>
                      <w:sz w:val="21"/>
                    </w:rPr>
                    <w:t>×深度×高度）600mm×1200mm×2000mm（±5mm），标准安装容量≥42U。</w:t>
                  </w:r>
                </w:p>
                <w:p>
                  <w:pPr>
                    <w:pStyle w:val="null3"/>
                    <w:ind w:firstLine="402"/>
                    <w:jc w:val="left"/>
                  </w:pPr>
                  <w:r>
                    <w:rPr>
                      <w:rFonts w:ascii="仿宋_GB2312" w:hAnsi="仿宋_GB2312" w:cs="仿宋_GB2312" w:eastAsia="仿宋_GB2312"/>
                      <w:sz w:val="21"/>
                    </w:rPr>
                    <w:t>配套配置：含三色</w:t>
                  </w:r>
                  <w:r>
                    <w:rPr>
                      <w:rFonts w:ascii="仿宋_GB2312" w:hAnsi="仿宋_GB2312" w:cs="仿宋_GB2312" w:eastAsia="仿宋_GB2312"/>
                      <w:sz w:val="21"/>
                    </w:rPr>
                    <w:t>LED灯带、按需配置1U、2U免工具安装盲板、含标准承重层板、L型托架、集成≥10寸动环监控触摸屏；</w:t>
                  </w:r>
                </w:p>
                <w:p>
                  <w:pPr>
                    <w:pStyle w:val="null3"/>
                    <w:ind w:firstLine="402"/>
                    <w:jc w:val="left"/>
                  </w:pPr>
                  <w:r>
                    <w:rPr>
                      <w:rFonts w:ascii="仿宋_GB2312" w:hAnsi="仿宋_GB2312" w:cs="仿宋_GB2312" w:eastAsia="仿宋_GB2312"/>
                      <w:sz w:val="21"/>
                      <w:b/>
                    </w:rPr>
                    <w:t>2.配电模块要求</w:t>
                  </w:r>
                </w:p>
                <w:p>
                  <w:pPr>
                    <w:pStyle w:val="null3"/>
                    <w:ind w:firstLine="402"/>
                    <w:jc w:val="left"/>
                  </w:pPr>
                  <w:r>
                    <w:rPr>
                      <w:rFonts w:ascii="仿宋_GB2312" w:hAnsi="仿宋_GB2312" w:cs="仿宋_GB2312" w:eastAsia="仿宋_GB2312"/>
                      <w:sz w:val="21"/>
                    </w:rPr>
                    <w:t>物理规格：安装高度</w:t>
                  </w:r>
                  <w:r>
                    <w:rPr>
                      <w:rFonts w:ascii="仿宋_GB2312" w:hAnsi="仿宋_GB2312" w:cs="仿宋_GB2312" w:eastAsia="仿宋_GB2312"/>
                      <w:sz w:val="21"/>
                    </w:rPr>
                    <w:t>≤6U，支持A/B路供电。</w:t>
                  </w:r>
                </w:p>
                <w:p>
                  <w:pPr>
                    <w:pStyle w:val="null3"/>
                    <w:ind w:firstLine="402"/>
                    <w:jc w:val="left"/>
                  </w:pPr>
                  <w:r>
                    <w:rPr>
                      <w:rFonts w:ascii="仿宋_GB2312" w:hAnsi="仿宋_GB2312" w:cs="仿宋_GB2312" w:eastAsia="仿宋_GB2312"/>
                      <w:sz w:val="21"/>
                    </w:rPr>
                    <w:t>输入输出：市电输入规格：</w:t>
                  </w:r>
                  <w:r>
                    <w:rPr>
                      <w:rFonts w:ascii="仿宋_GB2312" w:hAnsi="仿宋_GB2312" w:cs="仿宋_GB2312" w:eastAsia="仿宋_GB2312"/>
                      <w:sz w:val="21"/>
                    </w:rPr>
                    <w:t>63A/3P,</w:t>
                  </w:r>
                  <w:r>
                    <w:rPr>
                      <w:rFonts w:ascii="仿宋_GB2312" w:hAnsi="仿宋_GB2312" w:cs="仿宋_GB2312" w:eastAsia="仿宋_GB2312"/>
                      <w:sz w:val="21"/>
                    </w:rPr>
                    <w:t>含</w:t>
                  </w:r>
                  <w:r>
                    <w:rPr>
                      <w:rFonts w:ascii="仿宋_GB2312" w:hAnsi="仿宋_GB2312" w:cs="仿宋_GB2312" w:eastAsia="仿宋_GB2312"/>
                      <w:sz w:val="21"/>
                    </w:rPr>
                    <w:t>UPS供电接口</w:t>
                  </w:r>
                  <w:r>
                    <w:rPr>
                      <w:rFonts w:ascii="仿宋_GB2312" w:hAnsi="仿宋_GB2312" w:cs="仿宋_GB2312" w:eastAsia="仿宋_GB2312"/>
                      <w:sz w:val="21"/>
                    </w:rPr>
                    <w:t>；市电输出含</w:t>
                  </w:r>
                  <w:r>
                    <w:rPr>
                      <w:rFonts w:ascii="仿宋_GB2312" w:hAnsi="仿宋_GB2312" w:cs="仿宋_GB2312" w:eastAsia="仿宋_GB2312"/>
                      <w:sz w:val="21"/>
                    </w:rPr>
                    <w:t>16A/1P机柜设备供电接口*6、63A/1P空调供电接口*2；UPS输出接口≥16A/1P*6。</w:t>
                  </w:r>
                </w:p>
                <w:p>
                  <w:pPr>
                    <w:pStyle w:val="null3"/>
                    <w:ind w:firstLine="402"/>
                    <w:jc w:val="left"/>
                  </w:pPr>
                  <w:r>
                    <w:rPr>
                      <w:rFonts w:ascii="仿宋_GB2312" w:hAnsi="仿宋_GB2312" w:cs="仿宋_GB2312" w:eastAsia="仿宋_GB2312"/>
                      <w:sz w:val="21"/>
                    </w:rPr>
                    <w:t>安全防护：集成市电防雷保护装置，具备市电总输入电参量（电压、电流、功率、频率）检测功能。</w:t>
                  </w:r>
                </w:p>
                <w:p>
                  <w:pPr>
                    <w:pStyle w:val="null3"/>
                    <w:ind w:firstLine="402"/>
                    <w:jc w:val="left"/>
                  </w:pPr>
                  <w:r>
                    <w:rPr>
                      <w:rFonts w:ascii="仿宋_GB2312" w:hAnsi="仿宋_GB2312" w:cs="仿宋_GB2312" w:eastAsia="仿宋_GB2312"/>
                      <w:sz w:val="21"/>
                      <w:b/>
                    </w:rPr>
                    <w:t>3.结构与防护要求</w:t>
                  </w:r>
                </w:p>
                <w:p>
                  <w:pPr>
                    <w:pStyle w:val="null3"/>
                    <w:ind w:firstLine="402"/>
                    <w:jc w:val="left"/>
                  </w:pPr>
                  <w:r>
                    <w:rPr>
                      <w:rFonts w:ascii="仿宋_GB2312" w:hAnsi="仿宋_GB2312" w:cs="仿宋_GB2312" w:eastAsia="仿宋_GB2312"/>
                      <w:sz w:val="21"/>
                    </w:rPr>
                    <w:t>门体结构：前门采用外挂式单开玻璃门，后门采用外挂式双开钣金门；门体及侧板均为可拆卸式设计，通过铰链连接，支持快速拆卸，便于布线及并柜操作。</w:t>
                  </w:r>
                </w:p>
                <w:p>
                  <w:pPr>
                    <w:pStyle w:val="null3"/>
                    <w:ind w:firstLine="402"/>
                    <w:jc w:val="left"/>
                  </w:pPr>
                  <w:r>
                    <w:rPr>
                      <w:rFonts w:ascii="仿宋_GB2312" w:hAnsi="仿宋_GB2312" w:cs="仿宋_GB2312" w:eastAsia="仿宋_GB2312"/>
                      <w:sz w:val="21"/>
                    </w:rPr>
                    <w:t>门体性能：门体开启角度</w:t>
                  </w:r>
                  <w:r>
                    <w:rPr>
                      <w:rFonts w:ascii="仿宋_GB2312" w:hAnsi="仿宋_GB2312" w:cs="仿宋_GB2312" w:eastAsia="仿宋_GB2312"/>
                      <w:sz w:val="21"/>
                    </w:rPr>
                    <w:t>≥120°，门板骨架需保证整体强度与平整度，无扭曲、变形及明显抖动现象；门体开合灵活，能满足施工安装及维护便捷性要求。</w:t>
                  </w:r>
                </w:p>
                <w:p>
                  <w:pPr>
                    <w:pStyle w:val="null3"/>
                    <w:ind w:firstLine="402"/>
                    <w:jc w:val="left"/>
                  </w:pPr>
                  <w:r>
                    <w:rPr>
                      <w:rFonts w:ascii="仿宋_GB2312" w:hAnsi="仿宋_GB2312" w:cs="仿宋_GB2312" w:eastAsia="仿宋_GB2312"/>
                      <w:sz w:val="21"/>
                      <w:b/>
                    </w:rPr>
                    <w:t>4.布线系统要求</w:t>
                  </w:r>
                </w:p>
                <w:p>
                  <w:pPr>
                    <w:pStyle w:val="null3"/>
                    <w:ind w:firstLine="402"/>
                    <w:jc w:val="left"/>
                  </w:pPr>
                  <w:r>
                    <w:rPr>
                      <w:rFonts w:ascii="仿宋_GB2312" w:hAnsi="仿宋_GB2312" w:cs="仿宋_GB2312" w:eastAsia="仿宋_GB2312"/>
                      <w:sz w:val="21"/>
                    </w:rPr>
                    <w:t>走线方式：采用上走线设计，机柜顶部预留</w:t>
                  </w:r>
                  <w:r>
                    <w:rPr>
                      <w:rFonts w:ascii="仿宋_GB2312" w:hAnsi="仿宋_GB2312" w:cs="仿宋_GB2312" w:eastAsia="仿宋_GB2312"/>
                      <w:sz w:val="21"/>
                    </w:rPr>
                    <w:t>≥4 个椭圆形进 / 出线口，孔口边缘做钝化处理，配备橡胶密封圈（实现防尘、防漏风及线缆防护功能）。</w:t>
                  </w:r>
                </w:p>
                <w:p>
                  <w:pPr>
                    <w:pStyle w:val="null3"/>
                    <w:ind w:firstLine="402"/>
                    <w:jc w:val="left"/>
                  </w:pPr>
                  <w:r>
                    <w:rPr>
                      <w:rFonts w:ascii="仿宋_GB2312" w:hAnsi="仿宋_GB2312" w:cs="仿宋_GB2312" w:eastAsia="仿宋_GB2312"/>
                      <w:sz w:val="21"/>
                    </w:rPr>
                    <w:t>线缆管理：进线孔位置需配备线缆固定装置及专用封闭装置；采用</w:t>
                  </w:r>
                  <w:r>
                    <w:rPr>
                      <w:rFonts w:ascii="仿宋_GB2312" w:hAnsi="仿宋_GB2312" w:cs="仿宋_GB2312" w:eastAsia="仿宋_GB2312"/>
                      <w:sz w:val="21"/>
                    </w:rPr>
                    <w:t xml:space="preserve"> M 型走线槽，柜体顶板与走线槽分离设计，支持强电、弱电、铜缆分类分离走线及规范理线。</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一体化扩展柜</w:t>
                  </w:r>
                </w:p>
              </w:tc>
              <w:tc>
                <w:tcPr>
                  <w:tcW w:type="dxa" w:w="5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1"/>
                      <w:b/>
                    </w:rPr>
                    <w:t>1.机柜基本规格</w:t>
                  </w:r>
                </w:p>
                <w:p>
                  <w:pPr>
                    <w:pStyle w:val="null3"/>
                    <w:ind w:firstLine="402"/>
                    <w:jc w:val="left"/>
                  </w:pPr>
                  <w:r>
                    <w:rPr>
                      <w:rFonts w:ascii="仿宋_GB2312" w:hAnsi="仿宋_GB2312" w:cs="仿宋_GB2312" w:eastAsia="仿宋_GB2312"/>
                      <w:sz w:val="21"/>
                    </w:rPr>
                    <w:t>外形尺寸：（宽度</w:t>
                  </w:r>
                  <w:r>
                    <w:rPr>
                      <w:rFonts w:ascii="仿宋_GB2312" w:hAnsi="仿宋_GB2312" w:cs="仿宋_GB2312" w:eastAsia="仿宋_GB2312"/>
                      <w:sz w:val="21"/>
                    </w:rPr>
                    <w:t>×深度×高度）600mm×1200mm×2000mm（±5mm），标准安装容量≥42U。</w:t>
                  </w:r>
                </w:p>
                <w:p>
                  <w:pPr>
                    <w:pStyle w:val="null3"/>
                    <w:ind w:firstLine="402"/>
                    <w:jc w:val="left"/>
                  </w:pPr>
                  <w:r>
                    <w:rPr>
                      <w:rFonts w:ascii="仿宋_GB2312" w:hAnsi="仿宋_GB2312" w:cs="仿宋_GB2312" w:eastAsia="仿宋_GB2312"/>
                      <w:sz w:val="21"/>
                    </w:rPr>
                    <w:t>★配套配置：含三色LED灯带、按需配置1U、2U免工具安装盲板、含标准承重层板、L型托架；</w:t>
                  </w:r>
                </w:p>
                <w:p>
                  <w:pPr>
                    <w:pStyle w:val="null3"/>
                    <w:ind w:firstLine="402"/>
                    <w:jc w:val="left"/>
                  </w:pPr>
                  <w:r>
                    <w:rPr>
                      <w:rFonts w:ascii="仿宋_GB2312" w:hAnsi="仿宋_GB2312" w:cs="仿宋_GB2312" w:eastAsia="仿宋_GB2312"/>
                      <w:sz w:val="21"/>
                      <w:b/>
                    </w:rPr>
                    <w:t>2.结构与防护要求</w:t>
                  </w:r>
                </w:p>
                <w:p>
                  <w:pPr>
                    <w:pStyle w:val="null3"/>
                    <w:ind w:firstLine="402"/>
                    <w:jc w:val="left"/>
                  </w:pPr>
                  <w:r>
                    <w:rPr>
                      <w:rFonts w:ascii="仿宋_GB2312" w:hAnsi="仿宋_GB2312" w:cs="仿宋_GB2312" w:eastAsia="仿宋_GB2312"/>
                      <w:sz w:val="21"/>
                    </w:rPr>
                    <w:t>门体结构：前门采用外挂式单开玻璃门，后门采用外挂式双开钣金门；门体及侧板均为可拆卸式设计，通过铰链连接，支持快速拆卸，便于布线及并柜操作。</w:t>
                  </w:r>
                </w:p>
                <w:p>
                  <w:pPr>
                    <w:pStyle w:val="null3"/>
                    <w:ind w:firstLine="402"/>
                    <w:jc w:val="left"/>
                  </w:pPr>
                  <w:r>
                    <w:rPr>
                      <w:rFonts w:ascii="仿宋_GB2312" w:hAnsi="仿宋_GB2312" w:cs="仿宋_GB2312" w:eastAsia="仿宋_GB2312"/>
                      <w:sz w:val="21"/>
                    </w:rPr>
                    <w:t>门体性能：门体开启角度</w:t>
                  </w:r>
                  <w:r>
                    <w:rPr>
                      <w:rFonts w:ascii="仿宋_GB2312" w:hAnsi="仿宋_GB2312" w:cs="仿宋_GB2312" w:eastAsia="仿宋_GB2312"/>
                      <w:sz w:val="21"/>
                    </w:rPr>
                    <w:t>≥120°，门板骨架需保证整体强度与平整度，无扭曲、变形及明显抖动现象；门体开合灵活，能满足施工安装及维护便捷性要求。</w:t>
                  </w:r>
                </w:p>
                <w:p>
                  <w:pPr>
                    <w:pStyle w:val="null3"/>
                    <w:ind w:firstLine="402"/>
                    <w:jc w:val="left"/>
                  </w:pPr>
                  <w:r>
                    <w:rPr>
                      <w:rFonts w:ascii="仿宋_GB2312" w:hAnsi="仿宋_GB2312" w:cs="仿宋_GB2312" w:eastAsia="仿宋_GB2312"/>
                      <w:sz w:val="21"/>
                      <w:b/>
                    </w:rPr>
                    <w:t>3.布线系统要求</w:t>
                  </w:r>
                </w:p>
                <w:p>
                  <w:pPr>
                    <w:pStyle w:val="null3"/>
                    <w:ind w:firstLine="402"/>
                    <w:jc w:val="left"/>
                  </w:pPr>
                  <w:r>
                    <w:rPr>
                      <w:rFonts w:ascii="仿宋_GB2312" w:hAnsi="仿宋_GB2312" w:cs="仿宋_GB2312" w:eastAsia="仿宋_GB2312"/>
                      <w:sz w:val="21"/>
                    </w:rPr>
                    <w:t>走线方式：采用上走线设计，机柜顶部预留</w:t>
                  </w:r>
                  <w:r>
                    <w:rPr>
                      <w:rFonts w:ascii="仿宋_GB2312" w:hAnsi="仿宋_GB2312" w:cs="仿宋_GB2312" w:eastAsia="仿宋_GB2312"/>
                      <w:sz w:val="21"/>
                    </w:rPr>
                    <w:t>≥4 个椭圆形进 / 出线口，孔口边缘做钝化处理，配备橡胶密封圈（实现防尘、防漏风及线缆防护功能）。</w:t>
                  </w:r>
                </w:p>
                <w:p>
                  <w:pPr>
                    <w:pStyle w:val="null3"/>
                    <w:ind w:firstLine="402"/>
                    <w:jc w:val="left"/>
                  </w:pPr>
                  <w:r>
                    <w:rPr>
                      <w:rFonts w:ascii="仿宋_GB2312" w:hAnsi="仿宋_GB2312" w:cs="仿宋_GB2312" w:eastAsia="仿宋_GB2312"/>
                      <w:sz w:val="21"/>
                    </w:rPr>
                    <w:t>线缆管理：进线孔位置需配备线缆固定装置及专用封闭装置；采用</w:t>
                  </w:r>
                  <w:r>
                    <w:rPr>
                      <w:rFonts w:ascii="仿宋_GB2312" w:hAnsi="仿宋_GB2312" w:cs="仿宋_GB2312" w:eastAsia="仿宋_GB2312"/>
                      <w:sz w:val="21"/>
                    </w:rPr>
                    <w:t xml:space="preserve"> M 型走线槽，柜体顶板与走线槽分离设计，支持强电、弱电、铜缆分类分离走线及规范理线。</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交流</w:t>
                  </w:r>
                  <w:r>
                    <w:rPr>
                      <w:rFonts w:ascii="仿宋_GB2312" w:hAnsi="仿宋_GB2312" w:cs="仿宋_GB2312" w:eastAsia="仿宋_GB2312"/>
                      <w:sz w:val="21"/>
                    </w:rPr>
                    <w:t>PDU</w:t>
                  </w:r>
                </w:p>
              </w:tc>
              <w:tc>
                <w:tcPr>
                  <w:tcW w:type="dxa" w:w="5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1"/>
                    </w:rPr>
                    <w:t>1.供电规格：输入制式为 L+N+PE（单相三线），符合国家电网供电标准。</w:t>
                  </w:r>
                </w:p>
                <w:p>
                  <w:pPr>
                    <w:pStyle w:val="null3"/>
                    <w:ind w:firstLine="402"/>
                    <w:jc w:val="left"/>
                  </w:pPr>
                  <w:r>
                    <w:rPr>
                      <w:rFonts w:ascii="仿宋_GB2312" w:hAnsi="仿宋_GB2312" w:cs="仿宋_GB2312" w:eastAsia="仿宋_GB2312"/>
                      <w:sz w:val="21"/>
                    </w:rPr>
                    <w:t>2.额定参数：额定电流≥16A，额定电压 250V，额定功率≥4KW；</w:t>
                  </w:r>
                </w:p>
                <w:p>
                  <w:pPr>
                    <w:pStyle w:val="null3"/>
                    <w:ind w:firstLine="402"/>
                    <w:jc w:val="left"/>
                  </w:pPr>
                  <w:r>
                    <w:rPr>
                      <w:rFonts w:ascii="仿宋_GB2312" w:hAnsi="仿宋_GB2312" w:cs="仿宋_GB2312" w:eastAsia="仿宋_GB2312"/>
                      <w:sz w:val="21"/>
                    </w:rPr>
                    <w:t>3.接线配置：内置接线盒需支持≥3×6mm² 规格电缆连接；</w:t>
                  </w:r>
                </w:p>
                <w:p>
                  <w:pPr>
                    <w:pStyle w:val="null3"/>
                    <w:ind w:firstLine="402"/>
                    <w:jc w:val="left"/>
                  </w:pPr>
                  <w:r>
                    <w:rPr>
                      <w:rFonts w:ascii="仿宋_GB2312" w:hAnsi="仿宋_GB2312" w:cs="仿宋_GB2312" w:eastAsia="仿宋_GB2312"/>
                      <w:sz w:val="21"/>
                    </w:rPr>
                    <w:t>4.保护控制模块：≥16A，总控≥1位+指示灯≥1位；</w:t>
                  </w:r>
                </w:p>
                <w:p>
                  <w:pPr>
                    <w:pStyle w:val="null3"/>
                    <w:ind w:firstLine="402"/>
                    <w:jc w:val="left"/>
                  </w:pPr>
                  <w:r>
                    <w:rPr>
                      <w:rFonts w:ascii="仿宋_GB2312" w:hAnsi="仿宋_GB2312" w:cs="仿宋_GB2312" w:eastAsia="仿宋_GB2312"/>
                      <w:sz w:val="21"/>
                    </w:rPr>
                    <w:t>5.插座制式：插座制式均为国家标准防脱扣设计，其中 10A 插座≥12 位、16A 插座≥4 位；</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专用制冷空调设备</w:t>
                  </w:r>
                  <w:r>
                    <w:rPr>
                      <w:rFonts w:ascii="仿宋_GB2312" w:hAnsi="仿宋_GB2312" w:cs="仿宋_GB2312" w:eastAsia="仿宋_GB2312"/>
                      <w:sz w:val="21"/>
                      <w:b/>
                    </w:rPr>
                    <w:t>1</w:t>
                  </w:r>
                </w:p>
              </w:tc>
              <w:tc>
                <w:tcPr>
                  <w:tcW w:type="dxa" w:w="5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1"/>
                    </w:rPr>
                    <w:t>1.</w:t>
                  </w:r>
                  <w:r>
                    <w:rPr>
                      <w:rFonts w:ascii="仿宋_GB2312" w:hAnsi="仿宋_GB2312" w:cs="仿宋_GB2312" w:eastAsia="仿宋_GB2312"/>
                      <w:sz w:val="21"/>
                    </w:rPr>
                    <w:t>制冷量：</w:t>
                  </w:r>
                  <w:r>
                    <w:rPr>
                      <w:rFonts w:ascii="仿宋_GB2312" w:hAnsi="仿宋_GB2312" w:cs="仿宋_GB2312" w:eastAsia="仿宋_GB2312"/>
                      <w:sz w:val="21"/>
                    </w:rPr>
                    <w:t>≥6.5kW；风量≥1600m³/h；全年能效比（AEER)≥4.35</w:t>
                  </w:r>
                  <w:r>
                    <w:rPr>
                      <w:rFonts w:ascii="仿宋_GB2312" w:hAnsi="仿宋_GB2312" w:cs="仿宋_GB2312" w:eastAsia="仿宋_GB2312"/>
                      <w:sz w:val="21"/>
                    </w:rPr>
                    <w:t>；</w:t>
                  </w:r>
                </w:p>
                <w:p>
                  <w:pPr>
                    <w:pStyle w:val="null3"/>
                    <w:ind w:firstLine="402"/>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高度</w:t>
                  </w: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U,室内机噪声≤65dB(A)；</w:t>
                  </w:r>
                </w:p>
                <w:p>
                  <w:pPr>
                    <w:pStyle w:val="null3"/>
                    <w:ind w:firstLine="402"/>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空调室内机采用</w:t>
                  </w:r>
                  <w:r>
                    <w:rPr>
                      <w:rFonts w:ascii="仿宋_GB2312" w:hAnsi="仿宋_GB2312" w:cs="仿宋_GB2312" w:eastAsia="仿宋_GB2312"/>
                      <w:sz w:val="21"/>
                    </w:rPr>
                    <w:t>AC风机，具有自动保护、来电自动重启动功能；内置故障报警记录储存</w:t>
                  </w:r>
                  <w:r>
                    <w:rPr>
                      <w:rFonts w:ascii="仿宋_GB2312" w:hAnsi="仿宋_GB2312" w:cs="仿宋_GB2312" w:eastAsia="仿宋_GB2312"/>
                      <w:sz w:val="21"/>
                    </w:rPr>
                    <w:t>模块</w:t>
                  </w:r>
                  <w:r>
                    <w:rPr>
                      <w:rFonts w:ascii="仿宋_GB2312" w:hAnsi="仿宋_GB2312" w:cs="仿宋_GB2312" w:eastAsia="仿宋_GB2312"/>
                      <w:sz w:val="21"/>
                    </w:rPr>
                    <w:t>,，可追溯故障信息</w:t>
                  </w:r>
                  <w:r>
                    <w:rPr>
                      <w:rFonts w:ascii="仿宋_GB2312" w:hAnsi="仿宋_GB2312" w:cs="仿宋_GB2312" w:eastAsia="仿宋_GB2312"/>
                      <w:sz w:val="21"/>
                    </w:rPr>
                    <w:t>；</w:t>
                  </w:r>
                  <w:r>
                    <w:rPr>
                      <w:rFonts w:ascii="仿宋_GB2312" w:hAnsi="仿宋_GB2312" w:cs="仿宋_GB2312" w:eastAsia="仿宋_GB2312"/>
                      <w:sz w:val="21"/>
                    </w:rPr>
                    <w:t>输入电压允许波动范围：</w:t>
                  </w:r>
                  <w:r>
                    <w:rPr>
                      <w:rFonts w:ascii="仿宋_GB2312" w:hAnsi="仿宋_GB2312" w:cs="仿宋_GB2312" w:eastAsia="仿宋_GB2312"/>
                      <w:sz w:val="21"/>
                    </w:rPr>
                    <w:t>220V±10% ，频率：50HZ±2%；</w:t>
                  </w:r>
                </w:p>
                <w:p>
                  <w:pPr>
                    <w:pStyle w:val="null3"/>
                    <w:ind w:firstLine="402"/>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采用直流变频压缩机，配套制冷剂、支架及</w:t>
                  </w:r>
                  <w:r>
                    <w:rPr>
                      <w:rFonts w:ascii="仿宋_GB2312" w:hAnsi="仿宋_GB2312" w:cs="仿宋_GB2312" w:eastAsia="仿宋_GB2312"/>
                      <w:sz w:val="21"/>
                    </w:rPr>
                    <w:t>5m铜管，采用R410A环保冷媒；</w:t>
                  </w:r>
                </w:p>
                <w:p>
                  <w:pPr>
                    <w:pStyle w:val="null3"/>
                    <w:ind w:firstLine="402"/>
                    <w:jc w:val="left"/>
                  </w:pPr>
                  <w:r>
                    <w:rPr>
                      <w:rFonts w:ascii="仿宋_GB2312" w:hAnsi="仿宋_GB2312" w:cs="仿宋_GB2312" w:eastAsia="仿宋_GB2312"/>
                      <w:sz w:val="21"/>
                    </w:rPr>
                    <w:t>5</w:t>
                  </w:r>
                  <w:r>
                    <w:rPr>
                      <w:rFonts w:ascii="仿宋_GB2312" w:hAnsi="仿宋_GB2312" w:cs="仿宋_GB2312" w:eastAsia="仿宋_GB2312"/>
                      <w:sz w:val="21"/>
                    </w:rPr>
                    <w:t>.具备</w:t>
                  </w:r>
                  <w:r>
                    <w:rPr>
                      <w:rFonts w:ascii="仿宋_GB2312" w:hAnsi="仿宋_GB2312" w:cs="仿宋_GB2312" w:eastAsia="仿宋_GB2312"/>
                      <w:sz w:val="21"/>
                    </w:rPr>
                    <w:t>远程监控功能，配置</w:t>
                  </w:r>
                  <w:r>
                    <w:rPr>
                      <w:rFonts w:ascii="仿宋_GB2312" w:hAnsi="仿宋_GB2312" w:cs="仿宋_GB2312" w:eastAsia="仿宋_GB2312"/>
                      <w:sz w:val="21"/>
                    </w:rPr>
                    <w:t xml:space="preserve"> RS485 或以太网通信接口，支持Modbus标准通讯协议。可与机房动环监控系统无缝对接，实现温度等关键参数实时显示、设定温度调节，以及工作状态监测、故障报警等功能。</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专用制冷空调设备</w:t>
                  </w:r>
                  <w:r>
                    <w:rPr>
                      <w:rFonts w:ascii="仿宋_GB2312" w:hAnsi="仿宋_GB2312" w:cs="仿宋_GB2312" w:eastAsia="仿宋_GB2312"/>
                      <w:sz w:val="21"/>
                    </w:rPr>
                    <w:t>2</w:t>
                  </w:r>
                </w:p>
              </w:tc>
              <w:tc>
                <w:tcPr>
                  <w:tcW w:type="dxa" w:w="5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1"/>
                    </w:rPr>
                    <w:t>1.</w:t>
                  </w:r>
                  <w:r>
                    <w:rPr>
                      <w:rFonts w:ascii="仿宋_GB2312" w:hAnsi="仿宋_GB2312" w:cs="仿宋_GB2312" w:eastAsia="仿宋_GB2312"/>
                      <w:sz w:val="21"/>
                    </w:rPr>
                    <w:t>制冷量：</w:t>
                  </w:r>
                  <w:r>
                    <w:rPr>
                      <w:rFonts w:ascii="仿宋_GB2312" w:hAnsi="仿宋_GB2312" w:cs="仿宋_GB2312" w:eastAsia="仿宋_GB2312"/>
                      <w:sz w:val="21"/>
                    </w:rPr>
                    <w:t>≥6.5kW；风量≥1600m³/h；全年能效比（AEER)≥4.35</w:t>
                  </w:r>
                  <w:r>
                    <w:rPr>
                      <w:rFonts w:ascii="仿宋_GB2312" w:hAnsi="仿宋_GB2312" w:cs="仿宋_GB2312" w:eastAsia="仿宋_GB2312"/>
                      <w:sz w:val="21"/>
                    </w:rPr>
                    <w:t>；</w:t>
                  </w:r>
                </w:p>
                <w:p>
                  <w:pPr>
                    <w:pStyle w:val="null3"/>
                    <w:ind w:firstLine="402"/>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高度</w:t>
                  </w:r>
                  <w:r>
                    <w:rPr>
                      <w:rFonts w:ascii="仿宋_GB2312" w:hAnsi="仿宋_GB2312" w:cs="仿宋_GB2312" w:eastAsia="仿宋_GB2312"/>
                      <w:sz w:val="21"/>
                    </w:rPr>
                    <w:t>≤8U,室内机噪声≤65dB(A)；</w:t>
                  </w:r>
                </w:p>
                <w:p>
                  <w:pPr>
                    <w:pStyle w:val="null3"/>
                    <w:ind w:firstLine="402"/>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空调室内机采用</w:t>
                  </w:r>
                  <w:r>
                    <w:rPr>
                      <w:rFonts w:ascii="仿宋_GB2312" w:hAnsi="仿宋_GB2312" w:cs="仿宋_GB2312" w:eastAsia="仿宋_GB2312"/>
                      <w:sz w:val="21"/>
                    </w:rPr>
                    <w:t>AC风机，具有自动保护、来电自动重启动功能；内置故障报警记录储存</w:t>
                  </w:r>
                  <w:r>
                    <w:rPr>
                      <w:rFonts w:ascii="仿宋_GB2312" w:hAnsi="仿宋_GB2312" w:cs="仿宋_GB2312" w:eastAsia="仿宋_GB2312"/>
                      <w:sz w:val="21"/>
                    </w:rPr>
                    <w:t>模块</w:t>
                  </w:r>
                  <w:r>
                    <w:rPr>
                      <w:rFonts w:ascii="仿宋_GB2312" w:hAnsi="仿宋_GB2312" w:cs="仿宋_GB2312" w:eastAsia="仿宋_GB2312"/>
                      <w:sz w:val="21"/>
                    </w:rPr>
                    <w:t>,，可追溯故障信息</w:t>
                  </w:r>
                  <w:r>
                    <w:rPr>
                      <w:rFonts w:ascii="仿宋_GB2312" w:hAnsi="仿宋_GB2312" w:cs="仿宋_GB2312" w:eastAsia="仿宋_GB2312"/>
                      <w:sz w:val="21"/>
                    </w:rPr>
                    <w:t>；</w:t>
                  </w:r>
                  <w:r>
                    <w:rPr>
                      <w:rFonts w:ascii="仿宋_GB2312" w:hAnsi="仿宋_GB2312" w:cs="仿宋_GB2312" w:eastAsia="仿宋_GB2312"/>
                      <w:sz w:val="21"/>
                    </w:rPr>
                    <w:t>输入电压允许波动范围：</w:t>
                  </w:r>
                  <w:r>
                    <w:rPr>
                      <w:rFonts w:ascii="仿宋_GB2312" w:hAnsi="仿宋_GB2312" w:cs="仿宋_GB2312" w:eastAsia="仿宋_GB2312"/>
                      <w:sz w:val="21"/>
                    </w:rPr>
                    <w:t>220V±10% ，频率：50HZ±2%；</w:t>
                  </w:r>
                </w:p>
                <w:p>
                  <w:pPr>
                    <w:pStyle w:val="null3"/>
                    <w:ind w:firstLine="402"/>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采用直流变频压缩机，配套制冷剂、支架及</w:t>
                  </w:r>
                  <w:r>
                    <w:rPr>
                      <w:rFonts w:ascii="仿宋_GB2312" w:hAnsi="仿宋_GB2312" w:cs="仿宋_GB2312" w:eastAsia="仿宋_GB2312"/>
                      <w:sz w:val="21"/>
                    </w:rPr>
                    <w:t>5m铜管，采用R410A环保冷媒；</w:t>
                  </w:r>
                </w:p>
                <w:p>
                  <w:pPr>
                    <w:pStyle w:val="null3"/>
                    <w:ind w:firstLine="402"/>
                    <w:jc w:val="left"/>
                  </w:pPr>
                  <w:r>
                    <w:rPr>
                      <w:rFonts w:ascii="仿宋_GB2312" w:hAnsi="仿宋_GB2312" w:cs="仿宋_GB2312" w:eastAsia="仿宋_GB2312"/>
                      <w:sz w:val="21"/>
                    </w:rPr>
                    <w:t>5</w:t>
                  </w:r>
                  <w:r>
                    <w:rPr>
                      <w:rFonts w:ascii="仿宋_GB2312" w:hAnsi="仿宋_GB2312" w:cs="仿宋_GB2312" w:eastAsia="仿宋_GB2312"/>
                      <w:sz w:val="21"/>
                    </w:rPr>
                    <w:t>.具备</w:t>
                  </w:r>
                  <w:r>
                    <w:rPr>
                      <w:rFonts w:ascii="仿宋_GB2312" w:hAnsi="仿宋_GB2312" w:cs="仿宋_GB2312" w:eastAsia="仿宋_GB2312"/>
                      <w:sz w:val="21"/>
                    </w:rPr>
                    <w:t>远程监控功能，配置</w:t>
                  </w:r>
                  <w:r>
                    <w:rPr>
                      <w:rFonts w:ascii="仿宋_GB2312" w:hAnsi="仿宋_GB2312" w:cs="仿宋_GB2312" w:eastAsia="仿宋_GB2312"/>
                      <w:sz w:val="21"/>
                    </w:rPr>
                    <w:t xml:space="preserve"> RS485 或以太网通信接口，支持Modbus标准通讯协议。可与机房动环监控系统无缝对接，实现温度等关键参数实时显示、设定温度调节，以及工作状态监测、故障报警等功能。</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机柜内置模块化电源</w:t>
                  </w:r>
                </w:p>
              </w:tc>
              <w:tc>
                <w:tcPr>
                  <w:tcW w:type="dxa" w:w="5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1"/>
                    </w:rPr>
                    <w:t>1.单进单出在线式设计，额定功率≥10KVA/9KW，采用 19 英寸标准机柜安装。</w:t>
                  </w:r>
                </w:p>
                <w:p>
                  <w:pPr>
                    <w:pStyle w:val="null3"/>
                    <w:ind w:firstLine="402"/>
                    <w:jc w:val="left"/>
                  </w:pPr>
                  <w:r>
                    <w:rPr>
                      <w:rFonts w:ascii="仿宋_GB2312" w:hAnsi="仿宋_GB2312" w:cs="仿宋_GB2312" w:eastAsia="仿宋_GB2312"/>
                      <w:sz w:val="21"/>
                    </w:rPr>
                    <w:t>▲2.谐波失真度：线性负载≤2%，非线性负载≤5%；</w:t>
                  </w:r>
                  <w:r>
                    <w:rPr>
                      <w:rFonts w:ascii="仿宋_GB2312" w:hAnsi="仿宋_GB2312" w:cs="仿宋_GB2312" w:eastAsia="仿宋_GB2312"/>
                      <w:sz w:val="21"/>
                      <w:b/>
                    </w:rPr>
                    <w:t>（投标人需提供产品彩页或技术白皮书予以佐证）</w:t>
                  </w:r>
                </w:p>
                <w:p>
                  <w:pPr>
                    <w:pStyle w:val="null3"/>
                    <w:ind w:firstLine="402"/>
                    <w:jc w:val="left"/>
                  </w:pPr>
                  <w:r>
                    <w:rPr>
                      <w:rFonts w:ascii="仿宋_GB2312" w:hAnsi="仿宋_GB2312" w:cs="仿宋_GB2312" w:eastAsia="仿宋_GB2312"/>
                      <w:sz w:val="21"/>
                    </w:rPr>
                    <w:t>3.输出功率因数≥0.9。</w:t>
                  </w:r>
                </w:p>
                <w:p>
                  <w:pPr>
                    <w:pStyle w:val="null3"/>
                    <w:ind w:firstLine="402"/>
                    <w:jc w:val="left"/>
                  </w:pPr>
                  <w:r>
                    <w:rPr>
                      <w:rFonts w:ascii="仿宋_GB2312" w:hAnsi="仿宋_GB2312" w:cs="仿宋_GB2312" w:eastAsia="仿宋_GB2312"/>
                      <w:sz w:val="21"/>
                    </w:rPr>
                    <w:t>4.具备紧急电源关闭（EPO）功能，支持 ECO 高效节能模式。</w:t>
                  </w:r>
                </w:p>
                <w:p>
                  <w:pPr>
                    <w:pStyle w:val="null3"/>
                    <w:ind w:firstLine="402"/>
                    <w:jc w:val="left"/>
                  </w:pPr>
                  <w:r>
                    <w:rPr>
                      <w:rFonts w:ascii="仿宋_GB2312" w:hAnsi="仿宋_GB2312" w:cs="仿宋_GB2312" w:eastAsia="仿宋_GB2312"/>
                      <w:sz w:val="21"/>
                    </w:rPr>
                    <w:t>5.支持 SNMP+USB+RS232 多重监控方式，实现远程监控与本地管理。</w:t>
                  </w:r>
                </w:p>
                <w:p>
                  <w:pPr>
                    <w:pStyle w:val="null3"/>
                    <w:ind w:firstLine="402"/>
                    <w:jc w:val="left"/>
                  </w:pPr>
                  <w:r>
                    <w:rPr>
                      <w:rFonts w:ascii="仿宋_GB2312" w:hAnsi="仿宋_GB2312" w:cs="仿宋_GB2312" w:eastAsia="仿宋_GB2312"/>
                      <w:sz w:val="21"/>
                    </w:rPr>
                    <w:t>6.配置≥16 只 12V 65AH 电池，配套电池架和电池连接线。</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动环检测系统</w:t>
                  </w:r>
                </w:p>
              </w:tc>
              <w:tc>
                <w:tcPr>
                  <w:tcW w:type="dxa" w:w="5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一、功能要求</w:t>
                  </w:r>
                </w:p>
                <w:p>
                  <w:pPr>
                    <w:pStyle w:val="null3"/>
                    <w:ind w:firstLine="402"/>
                    <w:jc w:val="both"/>
                  </w:pPr>
                  <w:r>
                    <w:rPr>
                      <w:rFonts w:ascii="仿宋_GB2312" w:hAnsi="仿宋_GB2312" w:cs="仿宋_GB2312" w:eastAsia="仿宋_GB2312"/>
                      <w:sz w:val="21"/>
                    </w:rPr>
                    <w:t>1.系统支持对供配电、UPS、空调、温湿度、烟雾等设备的不间断数据采集与更新；支持故障 / 参数异常即时告警，告警方式包含：颜色提示、E-mail 通知、声音报警等多种方式，可自动记录历史数据及报警事件；提供标准北向 SNMP 接口，支持与管理平台集成接入。</w:t>
                  </w:r>
                </w:p>
                <w:p>
                  <w:pPr>
                    <w:pStyle w:val="null3"/>
                    <w:ind w:firstLine="402"/>
                    <w:jc w:val="both"/>
                  </w:pPr>
                  <w:r>
                    <w:rPr>
                      <w:rFonts w:ascii="仿宋_GB2312" w:hAnsi="仿宋_GB2312" w:cs="仿宋_GB2312" w:eastAsia="仿宋_GB2312"/>
                      <w:sz w:val="21"/>
                    </w:rPr>
                    <w:t>★配套配置：含烟感传感器、温湿度传感器、漏水检测模块、声光报警模块、短信模块各 1 套，管理软件 1 套（含安装部署服务）。</w:t>
                  </w:r>
                </w:p>
                <w:p>
                  <w:pPr>
                    <w:pStyle w:val="null3"/>
                    <w:ind w:firstLine="402"/>
                    <w:jc w:val="both"/>
                  </w:pPr>
                  <w:r>
                    <w:rPr>
                      <w:rFonts w:ascii="仿宋_GB2312" w:hAnsi="仿宋_GB2312" w:cs="仿宋_GB2312" w:eastAsia="仿宋_GB2312"/>
                      <w:sz w:val="21"/>
                    </w:rPr>
                    <w:t>2.采集器内置嵌入式软件，支持 Web 访问管理；支持 PoE 总线扩展方式，可灵活布局，实现模块化机房设备管理及功能调度。</w:t>
                  </w:r>
                </w:p>
                <w:p>
                  <w:pPr>
                    <w:pStyle w:val="null3"/>
                    <w:jc w:val="both"/>
                  </w:pPr>
                  <w:r>
                    <w:rPr>
                      <w:rFonts w:ascii="仿宋_GB2312" w:hAnsi="仿宋_GB2312" w:cs="仿宋_GB2312" w:eastAsia="仿宋_GB2312"/>
                      <w:sz w:val="21"/>
                      <w:b/>
                    </w:rPr>
                    <w:t>二、硬件参数要求（</w:t>
                  </w:r>
                  <w:r>
                    <w:rPr>
                      <w:rFonts w:ascii="仿宋_GB2312" w:hAnsi="仿宋_GB2312" w:cs="仿宋_GB2312" w:eastAsia="仿宋_GB2312"/>
                      <w:sz w:val="21"/>
                      <w:b/>
                    </w:rPr>
                    <w:t>投标人需提供产品彩页或技术白皮书予以佐证</w:t>
                  </w:r>
                  <w:r>
                    <w:rPr>
                      <w:rFonts w:ascii="仿宋_GB2312" w:hAnsi="仿宋_GB2312" w:cs="仿宋_GB2312" w:eastAsia="仿宋_GB2312"/>
                      <w:sz w:val="21"/>
                      <w:b/>
                    </w:rPr>
                    <w:t>）</w:t>
                  </w:r>
                </w:p>
                <w:p>
                  <w:pPr>
                    <w:pStyle w:val="null3"/>
                    <w:ind w:firstLine="402"/>
                    <w:jc w:val="both"/>
                  </w:pPr>
                  <w:r>
                    <w:rPr>
                      <w:rFonts w:ascii="仿宋_GB2312" w:hAnsi="仿宋_GB2312" w:cs="仿宋_GB2312" w:eastAsia="仿宋_GB2312"/>
                      <w:sz w:val="21"/>
                    </w:rPr>
                    <w:t>1.</w:t>
                  </w:r>
                  <w:r>
                    <w:rPr>
                      <w:rFonts w:ascii="仿宋_GB2312" w:hAnsi="仿宋_GB2312" w:cs="仿宋_GB2312" w:eastAsia="仿宋_GB2312"/>
                      <w:sz w:val="21"/>
                    </w:rPr>
                    <w:t>核心配置：</w:t>
                  </w:r>
                  <w:r>
                    <w:rPr>
                      <w:rFonts w:ascii="仿宋_GB2312" w:hAnsi="仿宋_GB2312" w:cs="仿宋_GB2312" w:eastAsia="仿宋_GB2312"/>
                      <w:sz w:val="21"/>
                    </w:rPr>
                    <w:t>CPU≥4 核，内存≥1G，存储空间≥8G，配备≥1 个 TF 卡扩展接口；</w:t>
                  </w:r>
                </w:p>
                <w:p>
                  <w:pPr>
                    <w:pStyle w:val="null3"/>
                    <w:ind w:firstLine="402"/>
                    <w:jc w:val="both"/>
                  </w:pPr>
                  <w:r>
                    <w:rPr>
                      <w:rFonts w:ascii="仿宋_GB2312" w:hAnsi="仿宋_GB2312" w:cs="仿宋_GB2312" w:eastAsia="仿宋_GB2312"/>
                      <w:sz w:val="21"/>
                    </w:rPr>
                    <w:t>2.</w:t>
                  </w:r>
                  <w:r>
                    <w:rPr>
                      <w:rFonts w:ascii="仿宋_GB2312" w:hAnsi="仿宋_GB2312" w:cs="仿宋_GB2312" w:eastAsia="仿宋_GB2312"/>
                      <w:sz w:val="21"/>
                    </w:rPr>
                    <w:t>供电与功耗：支持</w:t>
                  </w:r>
                  <w:r>
                    <w:rPr>
                      <w:rFonts w:ascii="仿宋_GB2312" w:hAnsi="仿宋_GB2312" w:cs="仿宋_GB2312" w:eastAsia="仿宋_GB2312"/>
                      <w:sz w:val="21"/>
                    </w:rPr>
                    <w:t xml:space="preserve"> 12V/24VDC 双电压供电，运行功耗≤30W；</w:t>
                  </w:r>
                </w:p>
                <w:p>
                  <w:pPr>
                    <w:pStyle w:val="null3"/>
                    <w:ind w:firstLine="402"/>
                    <w:jc w:val="both"/>
                  </w:pPr>
                  <w:r>
                    <w:rPr>
                      <w:rFonts w:ascii="仿宋_GB2312" w:hAnsi="仿宋_GB2312" w:cs="仿宋_GB2312" w:eastAsia="仿宋_GB2312"/>
                      <w:sz w:val="21"/>
                    </w:rPr>
                    <w:t>3.</w:t>
                  </w:r>
                  <w:r>
                    <w:rPr>
                      <w:rFonts w:ascii="仿宋_GB2312" w:hAnsi="仿宋_GB2312" w:cs="仿宋_GB2312" w:eastAsia="仿宋_GB2312"/>
                      <w:sz w:val="21"/>
                    </w:rPr>
                    <w:t>显示界面：</w:t>
                  </w:r>
                  <w:r>
                    <w:rPr>
                      <w:rFonts w:ascii="仿宋_GB2312" w:hAnsi="仿宋_GB2312" w:cs="仿宋_GB2312" w:eastAsia="仿宋_GB2312"/>
                      <w:sz w:val="21"/>
                    </w:rPr>
                    <w:t>≥10.1 英寸电容触摸屏，显示比例 16:10，分辨率≥1280×800；</w:t>
                  </w:r>
                </w:p>
                <w:p>
                  <w:pPr>
                    <w:pStyle w:val="null3"/>
                    <w:ind w:firstLine="402"/>
                    <w:jc w:val="both"/>
                  </w:pPr>
                  <w:r>
                    <w:rPr>
                      <w:rFonts w:ascii="仿宋_GB2312" w:hAnsi="仿宋_GB2312" w:cs="仿宋_GB2312" w:eastAsia="仿宋_GB2312"/>
                      <w:sz w:val="21"/>
                    </w:rPr>
                    <w:t>4.</w:t>
                  </w:r>
                  <w:r>
                    <w:rPr>
                      <w:rFonts w:ascii="仿宋_GB2312" w:hAnsi="仿宋_GB2312" w:cs="仿宋_GB2312" w:eastAsia="仿宋_GB2312"/>
                      <w:sz w:val="21"/>
                    </w:rPr>
                    <w:t>接口配置：</w:t>
                  </w:r>
                  <w:r>
                    <w:rPr>
                      <w:rFonts w:ascii="仿宋_GB2312" w:hAnsi="仿宋_GB2312" w:cs="仿宋_GB2312" w:eastAsia="仿宋_GB2312"/>
                      <w:sz w:val="21"/>
                    </w:rPr>
                    <w:t>≥1 个 RS232 串口、≥5 个 RS485 串口；≥6 个 DI 量输入、≥2 个 DO 量输出（24VDC/1A 可控）；≥1 个 HDMI 接口；支持接入漏水、防雷、红外、烟感等各类传感器；</w:t>
                  </w:r>
                </w:p>
                <w:p>
                  <w:pPr>
                    <w:pStyle w:val="null3"/>
                    <w:ind w:firstLine="402"/>
                    <w:jc w:val="both"/>
                  </w:pPr>
                  <w:r>
                    <w:rPr>
                      <w:rFonts w:ascii="仿宋_GB2312" w:hAnsi="仿宋_GB2312" w:cs="仿宋_GB2312" w:eastAsia="仿宋_GB2312"/>
                      <w:sz w:val="21"/>
                    </w:rPr>
                    <w:t>5.</w:t>
                  </w:r>
                  <w:r>
                    <w:rPr>
                      <w:rFonts w:ascii="仿宋_GB2312" w:hAnsi="仿宋_GB2312" w:cs="仿宋_GB2312" w:eastAsia="仿宋_GB2312"/>
                      <w:sz w:val="21"/>
                    </w:rPr>
                    <w:t>通讯功能：支持</w:t>
                  </w:r>
                  <w:r>
                    <w:rPr>
                      <w:rFonts w:ascii="仿宋_GB2312" w:hAnsi="仿宋_GB2312" w:cs="仿宋_GB2312" w:eastAsia="仿宋_GB2312"/>
                      <w:sz w:val="21"/>
                    </w:rPr>
                    <w:t xml:space="preserve"> 4G/3G 通讯，配备≥1 个 SIM 卡插槽；</w:t>
                  </w:r>
                </w:p>
                <w:p>
                  <w:pPr>
                    <w:pStyle w:val="null3"/>
                    <w:jc w:val="both"/>
                  </w:pPr>
                  <w:r>
                    <w:rPr>
                      <w:rFonts w:ascii="仿宋_GB2312" w:hAnsi="仿宋_GB2312" w:cs="仿宋_GB2312" w:eastAsia="仿宋_GB2312"/>
                      <w:sz w:val="21"/>
                      <w:b/>
                    </w:rPr>
                    <w:t>三、软件要求</w:t>
                  </w:r>
                </w:p>
                <w:p>
                  <w:pPr>
                    <w:pStyle w:val="null3"/>
                    <w:ind w:firstLine="402"/>
                    <w:jc w:val="both"/>
                  </w:pPr>
                  <w:r>
                    <w:rPr>
                      <w:rFonts w:ascii="仿宋_GB2312" w:hAnsi="仿宋_GB2312" w:cs="仿宋_GB2312" w:eastAsia="仿宋_GB2312"/>
                      <w:sz w:val="21"/>
                    </w:rPr>
                    <w:t>为保障软件安全可控，投标人需提供动环</w:t>
                  </w:r>
                  <w:r>
                    <w:rPr>
                      <w:rFonts w:ascii="仿宋_GB2312" w:hAnsi="仿宋_GB2312" w:cs="仿宋_GB2312" w:eastAsia="仿宋_GB2312"/>
                      <w:sz w:val="21"/>
                      <w:color w:val="FF0000"/>
                    </w:rPr>
                    <w:t>检测</w:t>
                  </w:r>
                  <w:r>
                    <w:rPr>
                      <w:rFonts w:ascii="仿宋_GB2312" w:hAnsi="仿宋_GB2312" w:cs="仿宋_GB2312" w:eastAsia="仿宋_GB2312"/>
                      <w:sz w:val="21"/>
                    </w:rPr>
                    <w:t>系统</w:t>
                  </w:r>
                  <w:r>
                    <w:rPr>
                      <w:rFonts w:ascii="仿宋_GB2312" w:hAnsi="仿宋_GB2312" w:cs="仿宋_GB2312" w:eastAsia="仿宋_GB2312"/>
                      <w:sz w:val="21"/>
                    </w:rPr>
                    <w:t>相关</w:t>
                  </w:r>
                  <w:r>
                    <w:rPr>
                      <w:rFonts w:ascii="仿宋_GB2312" w:hAnsi="仿宋_GB2312" w:cs="仿宋_GB2312" w:eastAsia="仿宋_GB2312"/>
                      <w:sz w:val="21"/>
                    </w:rPr>
                    <w:t>软件著作权证书</w:t>
                  </w:r>
                  <w:r>
                    <w:rPr>
                      <w:rFonts w:ascii="仿宋_GB2312" w:hAnsi="仿宋_GB2312" w:cs="仿宋_GB2312" w:eastAsia="仿宋_GB2312"/>
                      <w:sz w:val="21"/>
                    </w:rPr>
                    <w:t>扫描</w:t>
                  </w:r>
                  <w:r>
                    <w:rPr>
                      <w:rFonts w:ascii="仿宋_GB2312" w:hAnsi="仿宋_GB2312" w:cs="仿宋_GB2312" w:eastAsia="仿宋_GB2312"/>
                      <w:sz w:val="21"/>
                    </w:rPr>
                    <w:t>件</w:t>
                  </w:r>
                  <w:r>
                    <w:rPr>
                      <w:rFonts w:ascii="仿宋_GB2312" w:hAnsi="仿宋_GB2312" w:cs="仿宋_GB2312" w:eastAsia="仿宋_GB2312"/>
                      <w:sz w:val="21"/>
                    </w:rPr>
                    <w:t>。</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专用制冷空调设备</w:t>
                  </w:r>
                  <w:r>
                    <w:rPr>
                      <w:rFonts w:ascii="仿宋_GB2312" w:hAnsi="仿宋_GB2312" w:cs="仿宋_GB2312" w:eastAsia="仿宋_GB2312"/>
                      <w:sz w:val="21"/>
                    </w:rPr>
                    <w:t>3</w:t>
                  </w:r>
                </w:p>
              </w:tc>
              <w:tc>
                <w:tcPr>
                  <w:tcW w:type="dxa" w:w="5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1"/>
                    </w:rPr>
                    <w:t>1.</w:t>
                  </w:r>
                  <w:r>
                    <w:rPr>
                      <w:rFonts w:ascii="仿宋_GB2312" w:hAnsi="仿宋_GB2312" w:cs="仿宋_GB2312" w:eastAsia="仿宋_GB2312"/>
                      <w:sz w:val="21"/>
                    </w:rPr>
                    <w:t>制冷量</w:t>
                  </w:r>
                  <w:r>
                    <w:rPr>
                      <w:rFonts w:ascii="仿宋_GB2312" w:hAnsi="仿宋_GB2312" w:cs="仿宋_GB2312" w:eastAsia="仿宋_GB2312"/>
                      <w:sz w:val="21"/>
                    </w:rPr>
                    <w:t>≥5.4</w:t>
                  </w:r>
                  <w:r>
                    <w:rPr>
                      <w:rFonts w:ascii="仿宋_GB2312" w:hAnsi="仿宋_GB2312" w:cs="仿宋_GB2312" w:eastAsia="仿宋_GB2312"/>
                      <w:sz w:val="21"/>
                    </w:rPr>
                    <w:t>K</w:t>
                  </w:r>
                  <w:r>
                    <w:rPr>
                      <w:rFonts w:ascii="仿宋_GB2312" w:hAnsi="仿宋_GB2312" w:cs="仿宋_GB2312" w:eastAsia="仿宋_GB2312"/>
                      <w:sz w:val="21"/>
                    </w:rPr>
                    <w:t>W，制热量≥6.8kW，</w:t>
                  </w:r>
                  <w:r>
                    <w:rPr>
                      <w:rFonts w:ascii="仿宋_GB2312" w:hAnsi="仿宋_GB2312" w:cs="仿宋_GB2312" w:eastAsia="仿宋_GB2312"/>
                      <w:sz w:val="21"/>
                    </w:rPr>
                    <w:t>支持</w:t>
                  </w:r>
                  <w:r>
                    <w:rPr>
                      <w:rFonts w:ascii="仿宋_GB2312" w:hAnsi="仿宋_GB2312" w:cs="仿宋_GB2312" w:eastAsia="仿宋_GB2312"/>
                      <w:sz w:val="21"/>
                    </w:rPr>
                    <w:t>来电自启动功能，温度设置</w:t>
                  </w:r>
                  <w:r>
                    <w:rPr>
                      <w:rFonts w:ascii="仿宋_GB2312" w:hAnsi="仿宋_GB2312" w:cs="仿宋_GB2312" w:eastAsia="仿宋_GB2312"/>
                      <w:sz w:val="21"/>
                    </w:rPr>
                    <w:t>17℃-30℃，温度控制精度±1℃，控制范围17℃-32℃；</w:t>
                  </w:r>
                </w:p>
                <w:p>
                  <w:pPr>
                    <w:pStyle w:val="null3"/>
                    <w:ind w:firstLine="402"/>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制冷功率</w:t>
                  </w:r>
                  <w:r>
                    <w:rPr>
                      <w:rFonts w:ascii="仿宋_GB2312" w:hAnsi="仿宋_GB2312" w:cs="仿宋_GB2312" w:eastAsia="仿宋_GB2312"/>
                      <w:sz w:val="21"/>
                    </w:rPr>
                    <w:t>≤1.5KW，最大功率≤2.75KW；</w:t>
                  </w:r>
                </w:p>
                <w:p>
                  <w:pPr>
                    <w:pStyle w:val="null3"/>
                    <w:ind w:firstLine="402"/>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采用变频压缩机，能效等级：</w:t>
                  </w:r>
                  <w:r>
                    <w:rPr>
                      <w:rFonts w:ascii="仿宋_GB2312" w:hAnsi="仿宋_GB2312" w:cs="仿宋_GB2312" w:eastAsia="仿宋_GB2312"/>
                      <w:sz w:val="21"/>
                    </w:rPr>
                    <w:t>不低于</w:t>
                  </w:r>
                  <w:r>
                    <w:rPr>
                      <w:rFonts w:ascii="仿宋_GB2312" w:hAnsi="仿宋_GB2312" w:cs="仿宋_GB2312" w:eastAsia="仿宋_GB2312"/>
                      <w:sz w:val="21"/>
                    </w:rPr>
                    <w:t>二级，全年能效比</w:t>
                  </w:r>
                  <w:r>
                    <w:rPr>
                      <w:rFonts w:ascii="仿宋_GB2312" w:hAnsi="仿宋_GB2312" w:cs="仿宋_GB2312" w:eastAsia="仿宋_GB2312"/>
                      <w:sz w:val="21"/>
                    </w:rPr>
                    <w:t>APF≥4.35；</w:t>
                  </w:r>
                </w:p>
                <w:p>
                  <w:pPr>
                    <w:pStyle w:val="null3"/>
                    <w:ind w:firstLine="402"/>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风量</w:t>
                  </w:r>
                  <w:r>
                    <w:rPr>
                      <w:rFonts w:ascii="仿宋_GB2312" w:hAnsi="仿宋_GB2312" w:cs="仿宋_GB2312" w:eastAsia="仿宋_GB2312"/>
                      <w:sz w:val="21"/>
                    </w:rPr>
                    <w:t>≥1000m³/h；</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操作台</w:t>
                  </w:r>
                </w:p>
              </w:tc>
              <w:tc>
                <w:tcPr>
                  <w:tcW w:type="dxa" w:w="5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1"/>
                    </w:rPr>
                    <w:t>1.</w:t>
                  </w:r>
                  <w:r>
                    <w:rPr>
                      <w:rFonts w:ascii="仿宋_GB2312" w:hAnsi="仿宋_GB2312" w:cs="仿宋_GB2312" w:eastAsia="仿宋_GB2312"/>
                      <w:sz w:val="21"/>
                    </w:rPr>
                    <w:t>操作台：</w:t>
                  </w:r>
                  <w:r>
                    <w:rPr>
                      <w:rFonts w:ascii="仿宋_GB2312" w:hAnsi="仿宋_GB2312" w:cs="仿宋_GB2312" w:eastAsia="仿宋_GB2312"/>
                      <w:sz w:val="21"/>
                    </w:rPr>
                    <w:t>1000×600×750mm（±5mm)</w:t>
                  </w:r>
                  <w:r>
                    <w:rPr>
                      <w:rFonts w:ascii="仿宋_GB2312" w:hAnsi="仿宋_GB2312" w:cs="仿宋_GB2312" w:eastAsia="仿宋_GB2312"/>
                      <w:sz w:val="21"/>
                    </w:rPr>
                    <w:t>；</w:t>
                  </w:r>
                </w:p>
                <w:p>
                  <w:pPr>
                    <w:pStyle w:val="null3"/>
                    <w:ind w:firstLine="402"/>
                    <w:jc w:val="both"/>
                  </w:pPr>
                  <w:r>
                    <w:rPr>
                      <w:rFonts w:ascii="仿宋_GB2312" w:hAnsi="仿宋_GB2312" w:cs="仿宋_GB2312" w:eastAsia="仿宋_GB2312"/>
                      <w:sz w:val="21"/>
                    </w:rPr>
                    <w:t>2</w:t>
                  </w:r>
                  <w:r>
                    <w:rPr>
                      <w:rFonts w:ascii="仿宋_GB2312" w:hAnsi="仿宋_GB2312" w:cs="仿宋_GB2312" w:eastAsia="仿宋_GB2312"/>
                      <w:sz w:val="21"/>
                    </w:rPr>
                    <w:t>.材质：不低于 E1级 25mm 实木颗粒板桌面，PVC 封边，带穿线孔；</w:t>
                  </w:r>
                </w:p>
                <w:p>
                  <w:pPr>
                    <w:pStyle w:val="null3"/>
                    <w:ind w:firstLine="402"/>
                    <w:jc w:val="both"/>
                  </w:pPr>
                  <w:r>
                    <w:rPr>
                      <w:rFonts w:ascii="仿宋_GB2312" w:hAnsi="仿宋_GB2312" w:cs="仿宋_GB2312" w:eastAsia="仿宋_GB2312"/>
                      <w:sz w:val="21"/>
                    </w:rPr>
                    <w:t>★3.配置：</w:t>
                  </w:r>
                  <w:r>
                    <w:rPr>
                      <w:rFonts w:ascii="仿宋_GB2312" w:hAnsi="仿宋_GB2312" w:cs="仿宋_GB2312" w:eastAsia="仿宋_GB2312"/>
                      <w:sz w:val="21"/>
                    </w:rPr>
                    <w:t>椅子</w:t>
                  </w:r>
                  <w:r>
                    <w:rPr>
                      <w:rFonts w:ascii="仿宋_GB2312" w:hAnsi="仿宋_GB2312" w:cs="仿宋_GB2312" w:eastAsia="仿宋_GB2312"/>
                      <w:sz w:val="21"/>
                    </w:rPr>
                    <w:t>1把，带海绵坐垫、尼龙五星脚、静音轮</w:t>
                  </w:r>
                  <w:r>
                    <w:rPr>
                      <w:rFonts w:ascii="仿宋_GB2312" w:hAnsi="仿宋_GB2312" w:cs="仿宋_GB2312" w:eastAsia="仿宋_GB2312"/>
                      <w:sz w:val="21"/>
                    </w:rPr>
                    <w:t>；</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机房接地系统</w:t>
                  </w:r>
                </w:p>
              </w:tc>
              <w:tc>
                <w:tcPr>
                  <w:tcW w:type="dxa" w:w="5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1"/>
                    </w:rPr>
                    <w:t>1.机房地板下敷设30×3mm 紫铜接地铜排，按规范布放、固定牢靠。</w:t>
                  </w:r>
                </w:p>
                <w:p>
                  <w:pPr>
                    <w:pStyle w:val="null3"/>
                    <w:ind w:firstLine="402"/>
                    <w:jc w:val="both"/>
                  </w:pPr>
                  <w:r>
                    <w:rPr>
                      <w:rFonts w:ascii="仿宋_GB2312" w:hAnsi="仿宋_GB2312" w:cs="仿宋_GB2312" w:eastAsia="仿宋_GB2312"/>
                      <w:sz w:val="21"/>
                    </w:rPr>
                    <w:t>2.所有机柜、机房设施及设备均做可靠接地连接，整体接地系统满足机房建设规范接地阻值及施工工艺要求，接地连通性良好、无虚接漏接。</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市电配电箱</w:t>
                  </w:r>
                </w:p>
              </w:tc>
              <w:tc>
                <w:tcPr>
                  <w:tcW w:type="dxa" w:w="5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1"/>
                    </w:rPr>
                    <w:t>1.材质：冷轧钢板，主体厚度 ≥ 1.5mm。</w:t>
                  </w:r>
                </w:p>
                <w:p>
                  <w:pPr>
                    <w:pStyle w:val="null3"/>
                    <w:ind w:firstLine="402"/>
                    <w:jc w:val="both"/>
                  </w:pPr>
                  <w:r>
                    <w:rPr>
                      <w:rFonts w:ascii="仿宋_GB2312" w:hAnsi="仿宋_GB2312" w:cs="仿宋_GB2312" w:eastAsia="仿宋_GB2312"/>
                      <w:sz w:val="21"/>
                    </w:rPr>
                    <w:t>2.喷塑防腐，结构牢固，门开启角度 ≥ 90°，门锁可靠，适配机房安装。</w:t>
                  </w:r>
                </w:p>
                <w:p>
                  <w:pPr>
                    <w:pStyle w:val="null3"/>
                    <w:ind w:firstLine="402"/>
                    <w:jc w:val="both"/>
                  </w:pPr>
                  <w:r>
                    <w:rPr>
                      <w:rFonts w:ascii="仿宋_GB2312" w:hAnsi="仿宋_GB2312" w:cs="仿宋_GB2312" w:eastAsia="仿宋_GB2312"/>
                      <w:sz w:val="21"/>
                    </w:rPr>
                    <w:t>3.配套空开，铜排。</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5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1"/>
                    </w:rPr>
                    <w:t>1.ZC-YJV-5*16mm</w:t>
                  </w:r>
                  <w:r>
                    <w:rPr>
                      <w:rFonts w:ascii="仿宋_GB2312" w:hAnsi="仿宋_GB2312" w:cs="仿宋_GB2312" w:eastAsia="仿宋_GB2312"/>
                      <w:sz w:val="21"/>
                    </w:rPr>
                    <w:t>2</w:t>
                  </w:r>
                  <w:r>
                    <w:rPr>
                      <w:rFonts w:ascii="仿宋_GB2312" w:hAnsi="仿宋_GB2312" w:cs="仿宋_GB2312" w:eastAsia="仿宋_GB2312"/>
                      <w:sz w:val="21"/>
                    </w:rPr>
                    <w:t>，含电缆接头，配管。</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吊顶式新风机</w:t>
                  </w:r>
                </w:p>
              </w:tc>
              <w:tc>
                <w:tcPr>
                  <w:tcW w:type="dxa" w:w="5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1"/>
                    </w:rPr>
                    <w:t>1.新风量≥400m³/h；</w:t>
                  </w:r>
                </w:p>
                <w:p>
                  <w:pPr>
                    <w:pStyle w:val="null3"/>
                    <w:ind w:firstLine="402"/>
                    <w:jc w:val="both"/>
                  </w:pPr>
                  <w:r>
                    <w:rPr>
                      <w:rFonts w:ascii="仿宋_GB2312" w:hAnsi="仿宋_GB2312" w:cs="仿宋_GB2312" w:eastAsia="仿宋_GB2312"/>
                      <w:sz w:val="21"/>
                    </w:rPr>
                    <w:t>2.配置：防火阀、防雨百叶、风口、风管。</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排烟机</w:t>
                  </w:r>
                </w:p>
              </w:tc>
              <w:tc>
                <w:tcPr>
                  <w:tcW w:type="dxa" w:w="5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1"/>
                    </w:rPr>
                    <w:t>1.排风量≥1300m³/h；</w:t>
                  </w:r>
                </w:p>
                <w:p>
                  <w:pPr>
                    <w:pStyle w:val="null3"/>
                    <w:ind w:firstLine="402"/>
                    <w:jc w:val="both"/>
                  </w:pPr>
                  <w:r>
                    <w:rPr>
                      <w:rFonts w:ascii="仿宋_GB2312" w:hAnsi="仿宋_GB2312" w:cs="仿宋_GB2312" w:eastAsia="仿宋_GB2312"/>
                      <w:sz w:val="21"/>
                    </w:rPr>
                    <w:t>2.配置：防火阀、防雨百叶、风口、风管。</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专用制冷空调设备</w:t>
                  </w:r>
                  <w:r>
                    <w:rPr>
                      <w:rFonts w:ascii="仿宋_GB2312" w:hAnsi="仿宋_GB2312" w:cs="仿宋_GB2312" w:eastAsia="仿宋_GB2312"/>
                      <w:sz w:val="21"/>
                    </w:rPr>
                    <w:t>4</w:t>
                  </w:r>
                </w:p>
              </w:tc>
              <w:tc>
                <w:tcPr>
                  <w:tcW w:type="dxa" w:w="5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1"/>
                    </w:rPr>
                    <w:t>1.制冷量≥3.5KW，制热量≥5kW，具备来电自启动功能，温度设定范围17℃-30℃，温度控制精度±1℃，温控拓展控制范围17℃-32℃；</w:t>
                  </w:r>
                </w:p>
                <w:p>
                  <w:pPr>
                    <w:pStyle w:val="null3"/>
                    <w:ind w:firstLine="402"/>
                    <w:jc w:val="both"/>
                  </w:pPr>
                  <w:r>
                    <w:rPr>
                      <w:rFonts w:ascii="仿宋_GB2312" w:hAnsi="仿宋_GB2312" w:cs="仿宋_GB2312" w:eastAsia="仿宋_GB2312"/>
                      <w:sz w:val="21"/>
                    </w:rPr>
                    <w:t>2.制冷功率≤0.86KW，整机最大功率≤1.5KW；</w:t>
                  </w:r>
                </w:p>
                <w:p>
                  <w:pPr>
                    <w:pStyle w:val="null3"/>
                    <w:ind w:firstLine="402"/>
                    <w:jc w:val="both"/>
                  </w:pPr>
                  <w:r>
                    <w:rPr>
                      <w:rFonts w:ascii="仿宋_GB2312" w:hAnsi="仿宋_GB2312" w:cs="仿宋_GB2312" w:eastAsia="仿宋_GB2312"/>
                      <w:sz w:val="21"/>
                    </w:rPr>
                    <w:t>3.采用变频压缩机，能效等级：不低于二级，全年能效比APF</w:t>
                  </w:r>
                  <w:r>
                    <w:rPr>
                      <w:rFonts w:ascii="仿宋_GB2312" w:hAnsi="仿宋_GB2312" w:cs="仿宋_GB2312" w:eastAsia="仿宋_GB2312"/>
                      <w:sz w:val="21"/>
                    </w:rPr>
                    <w:t>≥</w:t>
                  </w:r>
                  <w:r>
                    <w:rPr>
                      <w:rFonts w:ascii="仿宋_GB2312" w:hAnsi="仿宋_GB2312" w:cs="仿宋_GB2312" w:eastAsia="仿宋_GB2312"/>
                      <w:sz w:val="21"/>
                    </w:rPr>
                    <w:t>4.75；</w:t>
                  </w:r>
                </w:p>
                <w:p>
                  <w:pPr>
                    <w:pStyle w:val="null3"/>
                    <w:ind w:firstLine="402"/>
                    <w:jc w:val="both"/>
                  </w:pPr>
                  <w:r>
                    <w:rPr>
                      <w:rFonts w:ascii="仿宋_GB2312" w:hAnsi="仿宋_GB2312" w:cs="仿宋_GB2312" w:eastAsia="仿宋_GB2312"/>
                      <w:sz w:val="21"/>
                    </w:rPr>
                    <w:t>4.风量≥700m³/h；</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防火墙</w:t>
                  </w:r>
                </w:p>
              </w:tc>
              <w:tc>
                <w:tcPr>
                  <w:tcW w:type="dxa" w:w="5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一、设备硬件要求</w:t>
                  </w:r>
                </w:p>
                <w:p>
                  <w:pPr>
                    <w:pStyle w:val="null3"/>
                    <w:ind w:firstLine="402"/>
                    <w:jc w:val="both"/>
                  </w:pPr>
                  <w:r>
                    <w:rPr>
                      <w:rFonts w:ascii="仿宋_GB2312" w:hAnsi="仿宋_GB2312" w:cs="仿宋_GB2312" w:eastAsia="仿宋_GB2312"/>
                      <w:sz w:val="21"/>
                    </w:rPr>
                    <w:t>标准机架式，高度</w:t>
                  </w:r>
                  <w:r>
                    <w:rPr>
                      <w:rFonts w:ascii="仿宋_GB2312" w:hAnsi="仿宋_GB2312" w:cs="仿宋_GB2312" w:eastAsia="仿宋_GB2312"/>
                      <w:sz w:val="21"/>
                    </w:rPr>
                    <w:t>≤1U；内存≥16GB，机械硬盘≥4TB；配置≥8 个千兆电口、≥2 个千兆光口、≥2 个万兆光口；配备冗余电源，具备≥2 个扩展槽位。</w:t>
                  </w:r>
                </w:p>
                <w:p>
                  <w:pPr>
                    <w:pStyle w:val="null3"/>
                    <w:jc w:val="both"/>
                  </w:pPr>
                  <w:r>
                    <w:rPr>
                      <w:rFonts w:ascii="仿宋_GB2312" w:hAnsi="仿宋_GB2312" w:cs="仿宋_GB2312" w:eastAsia="仿宋_GB2312"/>
                      <w:sz w:val="21"/>
                      <w:b/>
                    </w:rPr>
                    <w:t>二、性能指标</w:t>
                  </w:r>
                </w:p>
                <w:p>
                  <w:pPr>
                    <w:pStyle w:val="null3"/>
                    <w:ind w:firstLine="402"/>
                    <w:jc w:val="both"/>
                  </w:pPr>
                  <w:r>
                    <w:rPr>
                      <w:rFonts w:ascii="仿宋_GB2312" w:hAnsi="仿宋_GB2312" w:cs="仿宋_GB2312" w:eastAsia="仿宋_GB2312"/>
                      <w:sz w:val="21"/>
                    </w:rPr>
                    <w:t>防火墙整机吞吐量</w:t>
                  </w:r>
                  <w:r>
                    <w:rPr>
                      <w:rFonts w:ascii="仿宋_GB2312" w:hAnsi="仿宋_GB2312" w:cs="仿宋_GB2312" w:eastAsia="仿宋_GB2312"/>
                      <w:sz w:val="21"/>
                    </w:rPr>
                    <w:t>≥10G，最大并发连接≥260 万，每秒新建连接≥8 万；应用层吞吐量≥8G；IPSEC VPN 吞吐量≥1G，IPSEC VPN 最大隧道数≥2000。</w:t>
                  </w:r>
                </w:p>
                <w:p>
                  <w:pPr>
                    <w:pStyle w:val="null3"/>
                    <w:jc w:val="both"/>
                  </w:pPr>
                  <w:r>
                    <w:rPr>
                      <w:rFonts w:ascii="仿宋_GB2312" w:hAnsi="仿宋_GB2312" w:cs="仿宋_GB2312" w:eastAsia="仿宋_GB2312"/>
                      <w:sz w:val="21"/>
                    </w:rPr>
                    <w:t>标配</w:t>
                  </w:r>
                  <w:r>
                    <w:rPr>
                      <w:rFonts w:ascii="仿宋_GB2312" w:hAnsi="仿宋_GB2312" w:cs="仿宋_GB2312" w:eastAsia="仿宋_GB2312"/>
                      <w:sz w:val="21"/>
                    </w:rPr>
                    <w:t>≥1 年防病毒特征规则库、≥1 年入侵检测特征规则库授权。</w:t>
                  </w:r>
                </w:p>
                <w:p>
                  <w:pPr>
                    <w:pStyle w:val="null3"/>
                    <w:jc w:val="both"/>
                  </w:pPr>
                  <w:r>
                    <w:rPr>
                      <w:rFonts w:ascii="仿宋_GB2312" w:hAnsi="仿宋_GB2312" w:cs="仿宋_GB2312" w:eastAsia="仿宋_GB2312"/>
                      <w:sz w:val="21"/>
                      <w:b/>
                    </w:rPr>
                    <w:t>三、资质及合规要求</w:t>
                  </w:r>
                </w:p>
                <w:p>
                  <w:pPr>
                    <w:pStyle w:val="null3"/>
                    <w:ind w:firstLine="402"/>
                    <w:jc w:val="both"/>
                  </w:pPr>
                  <w:r>
                    <w:rPr>
                      <w:rFonts w:ascii="仿宋_GB2312" w:hAnsi="仿宋_GB2312" w:cs="仿宋_GB2312" w:eastAsia="仿宋_GB2312"/>
                      <w:sz w:val="21"/>
                    </w:rPr>
                    <w:t>★1. 设备须具有有效期内《网络关键设备和网络安全专用产品安全认证证书》或《网络安全专用产品安全检测证书》；</w:t>
                  </w:r>
                  <w:r>
                    <w:rPr>
                      <w:rFonts w:ascii="仿宋_GB2312" w:hAnsi="仿宋_GB2312" w:cs="仿宋_GB2312" w:eastAsia="仿宋_GB2312"/>
                      <w:sz w:val="21"/>
                      <w:b/>
                    </w:rPr>
                    <w:t>（投标时须提供证书扫描件）</w:t>
                  </w:r>
                </w:p>
                <w:p>
                  <w:pPr>
                    <w:pStyle w:val="null3"/>
                    <w:ind w:firstLine="402"/>
                    <w:jc w:val="both"/>
                  </w:pPr>
                  <w:r>
                    <w:rPr>
                      <w:rFonts w:ascii="仿宋_GB2312" w:hAnsi="仿宋_GB2312" w:cs="仿宋_GB2312" w:eastAsia="仿宋_GB2312"/>
                      <w:sz w:val="21"/>
                    </w:rPr>
                    <w:t>▲2.支持 VRRP/VRRPv3 标准协议，可与现有防火墙实现冗余部署，支持配置信息、会话信息、状态信息同步；主设备故障时备设备可无感知透明接管业务；</w:t>
                  </w:r>
                  <w:r>
                    <w:rPr>
                      <w:rFonts w:ascii="仿宋_GB2312" w:hAnsi="仿宋_GB2312" w:cs="仿宋_GB2312" w:eastAsia="仿宋_GB2312"/>
                      <w:sz w:val="21"/>
                      <w:b/>
                    </w:rPr>
                    <w:t>（提供承诺函并加盖公章）</w:t>
                  </w:r>
                </w:p>
                <w:p>
                  <w:pPr>
                    <w:pStyle w:val="null3"/>
                    <w:jc w:val="both"/>
                  </w:pPr>
                  <w:r>
                    <w:rPr>
                      <w:rFonts w:ascii="仿宋_GB2312" w:hAnsi="仿宋_GB2312" w:cs="仿宋_GB2312" w:eastAsia="仿宋_GB2312"/>
                      <w:sz w:val="21"/>
                      <w:b/>
                    </w:rPr>
                    <w:t>四、路由与协议支持</w:t>
                  </w:r>
                </w:p>
                <w:p>
                  <w:pPr>
                    <w:pStyle w:val="null3"/>
                    <w:ind w:firstLine="402"/>
                    <w:jc w:val="both"/>
                  </w:pPr>
                  <w:r>
                    <w:rPr>
                      <w:rFonts w:ascii="仿宋_GB2312" w:hAnsi="仿宋_GB2312" w:cs="仿宋_GB2312" w:eastAsia="仿宋_GB2312"/>
                      <w:sz w:val="21"/>
                    </w:rPr>
                    <w:t>1.支持 RIP、OSPF、BGP4、802.1q、QinQ 等主流路由及二层协议。</w:t>
                  </w:r>
                </w:p>
                <w:p>
                  <w:pPr>
                    <w:pStyle w:val="null3"/>
                    <w:ind w:firstLine="402"/>
                    <w:jc w:val="both"/>
                  </w:pPr>
                  <w:r>
                    <w:rPr>
                      <w:rFonts w:ascii="仿宋_GB2312" w:hAnsi="仿宋_GB2312" w:cs="仿宋_GB2312" w:eastAsia="仿宋_GB2312"/>
                      <w:sz w:val="21"/>
                    </w:rPr>
                    <w:t>2.支持策略路由，可基于入接口、源 / 目的 IP、协议、用户、应用、选路算法、链路探测等多维度配置策略路由规则。</w:t>
                  </w:r>
                </w:p>
                <w:p>
                  <w:pPr>
                    <w:pStyle w:val="null3"/>
                    <w:jc w:val="both"/>
                  </w:pPr>
                  <w:r>
                    <w:rPr>
                      <w:rFonts w:ascii="仿宋_GB2312" w:hAnsi="仿宋_GB2312" w:cs="仿宋_GB2312" w:eastAsia="仿宋_GB2312"/>
                      <w:sz w:val="21"/>
                      <w:b/>
                    </w:rPr>
                    <w:t>五、安全防护与负载功能</w:t>
                  </w:r>
                </w:p>
                <w:p>
                  <w:pPr>
                    <w:pStyle w:val="null3"/>
                    <w:ind w:firstLine="402"/>
                    <w:jc w:val="both"/>
                  </w:pPr>
                  <w:r>
                    <w:rPr>
                      <w:rFonts w:ascii="仿宋_GB2312" w:hAnsi="仿宋_GB2312" w:cs="仿宋_GB2312" w:eastAsia="仿宋_GB2312"/>
                      <w:sz w:val="21"/>
                    </w:rPr>
                    <w:t>▲1.支持针对 IP、ICMP、TCP、UDP、DNS、HTTP、NTP 等协议 DDoS 攻击防护，支持预定义及自定义防护策略模板；</w:t>
                  </w:r>
                  <w:r>
                    <w:rPr>
                      <w:rFonts w:ascii="仿宋_GB2312" w:hAnsi="仿宋_GB2312" w:cs="仿宋_GB2312" w:eastAsia="仿宋_GB2312"/>
                      <w:sz w:val="21"/>
                      <w:b/>
                    </w:rPr>
                    <w:t>（供应商需提供产品功能截图予以佐证）</w:t>
                  </w:r>
                </w:p>
                <w:p>
                  <w:pPr>
                    <w:pStyle w:val="null3"/>
                    <w:ind w:firstLine="402"/>
                    <w:jc w:val="both"/>
                  </w:pPr>
                  <w:r>
                    <w:rPr>
                      <w:rFonts w:ascii="仿宋_GB2312" w:hAnsi="仿宋_GB2312" w:cs="仿宋_GB2312" w:eastAsia="仿宋_GB2312"/>
                      <w:sz w:val="21"/>
                    </w:rPr>
                    <w:t>2.支持手动聚合及 LACP 链路聚合，具备不少于 10 种链路负载分担算法，可基于源/目的 MAC、源/目的 IP、源/目的端口、五元组、端口轮询等方式调度。</w:t>
                  </w:r>
                </w:p>
                <w:p>
                  <w:pPr>
                    <w:pStyle w:val="null3"/>
                    <w:ind w:firstLine="402"/>
                    <w:jc w:val="both"/>
                  </w:pPr>
                  <w:r>
                    <w:rPr>
                      <w:rFonts w:ascii="仿宋_GB2312" w:hAnsi="仿宋_GB2312" w:cs="仿宋_GB2312" w:eastAsia="仿宋_GB2312"/>
                      <w:sz w:val="21"/>
                    </w:rPr>
                    <w:t>▲3.具备策略冲突检测与策略统计分析功能，支持策略冗余分析、策略冲突检查、策略包含分析，可在 Web 界面显示检测结果；</w:t>
                  </w:r>
                  <w:r>
                    <w:rPr>
                      <w:rFonts w:ascii="仿宋_GB2312" w:hAnsi="仿宋_GB2312" w:cs="仿宋_GB2312" w:eastAsia="仿宋_GB2312"/>
                      <w:sz w:val="21"/>
                      <w:b/>
                    </w:rPr>
                    <w:t>（须提供产品功能截图予以佐证）</w:t>
                  </w:r>
                </w:p>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IPv4/IPv6 双栈能力</w:t>
                  </w:r>
                </w:p>
                <w:p>
                  <w:pPr>
                    <w:pStyle w:val="null3"/>
                    <w:ind w:firstLine="402"/>
                    <w:jc w:val="both"/>
                  </w:pPr>
                  <w:r>
                    <w:rPr>
                      <w:rFonts w:ascii="仿宋_GB2312" w:hAnsi="仿宋_GB2312" w:cs="仿宋_GB2312" w:eastAsia="仿宋_GB2312"/>
                      <w:sz w:val="21"/>
                    </w:rPr>
                    <w:t>1.支持 IPv4/IPv6 双栈工作，兼容 RADVD、ND、RIPng、OSPFv3、BGP4 + 。</w:t>
                  </w:r>
                </w:p>
                <w:p>
                  <w:pPr>
                    <w:pStyle w:val="null3"/>
                    <w:ind w:firstLine="402"/>
                    <w:jc w:val="both"/>
                  </w:pPr>
                  <w:r>
                    <w:rPr>
                      <w:rFonts w:ascii="仿宋_GB2312" w:hAnsi="仿宋_GB2312" w:cs="仿宋_GB2312" w:eastAsia="仿宋_GB2312"/>
                      <w:sz w:val="21"/>
                    </w:rPr>
                    <w:t>▲2.支持 IPv6 安全访问控制策略，可基于 IPv6 源/目的地址、源/目的端口、区域、服务、时间、扩展头属性等配置安全访问控制规则；</w:t>
                  </w:r>
                  <w:r>
                    <w:rPr>
                      <w:rFonts w:ascii="仿宋_GB2312" w:hAnsi="仿宋_GB2312" w:cs="仿宋_GB2312" w:eastAsia="仿宋_GB2312"/>
                      <w:sz w:val="21"/>
                      <w:b/>
                    </w:rPr>
                    <w:t>（须提供产品功能截图予以佐证）</w:t>
                  </w:r>
                </w:p>
                <w:p>
                  <w:pPr>
                    <w:pStyle w:val="null3"/>
                    <w:ind w:firstLine="402"/>
                    <w:jc w:val="both"/>
                  </w:pPr>
                  <w:r>
                    <w:rPr>
                      <w:rFonts w:ascii="仿宋_GB2312" w:hAnsi="仿宋_GB2312" w:cs="仿宋_GB2312" w:eastAsia="仿宋_GB2312"/>
                      <w:sz w:val="21"/>
                    </w:rPr>
                    <w:t>▲3.支持 IPv6 域名管控，可对多级域名进行管控限制，域名对象支持通配符匹配；</w:t>
                  </w:r>
                  <w:r>
                    <w:rPr>
                      <w:rFonts w:ascii="仿宋_GB2312" w:hAnsi="仿宋_GB2312" w:cs="仿宋_GB2312" w:eastAsia="仿宋_GB2312"/>
                      <w:sz w:val="21"/>
                      <w:b/>
                    </w:rPr>
                    <w:t>（须提供产品功能截图予以佐证）</w:t>
                  </w:r>
                </w:p>
                <w:p>
                  <w:pPr>
                    <w:pStyle w:val="null3"/>
                    <w:jc w:val="both"/>
                  </w:pPr>
                  <w:r>
                    <w:rPr>
                      <w:rFonts w:ascii="仿宋_GB2312" w:hAnsi="仿宋_GB2312" w:cs="仿宋_GB2312" w:eastAsia="仿宋_GB2312"/>
                      <w:sz w:val="21"/>
                      <w:b/>
                    </w:rPr>
                    <w:t>七、应用安全与威胁防护</w:t>
                  </w:r>
                </w:p>
                <w:p>
                  <w:pPr>
                    <w:pStyle w:val="null3"/>
                    <w:ind w:firstLine="402"/>
                    <w:jc w:val="both"/>
                  </w:pPr>
                  <w:r>
                    <w:rPr>
                      <w:rFonts w:ascii="仿宋_GB2312" w:hAnsi="仿宋_GB2312" w:cs="仿宋_GB2312" w:eastAsia="仿宋_GB2312"/>
                      <w:sz w:val="21"/>
                    </w:rPr>
                    <w:t>1.支持 HTTP/SMTP/POP3/FTP/IM 等主流协议病毒防御，病毒特征库样本规模≥200 万条。</w:t>
                  </w:r>
                </w:p>
                <w:p>
                  <w:pPr>
                    <w:pStyle w:val="null3"/>
                    <w:ind w:firstLine="402"/>
                    <w:jc w:val="both"/>
                  </w:pPr>
                  <w:r>
                    <w:rPr>
                      <w:rFonts w:ascii="仿宋_GB2312" w:hAnsi="仿宋_GB2312" w:cs="仿宋_GB2312" w:eastAsia="仿宋_GB2312"/>
                      <w:sz w:val="21"/>
                    </w:rPr>
                    <w:t>2.具备独立入侵防护特征规则库，能对常见漏洞进行安全防护。</w:t>
                  </w:r>
                </w:p>
                <w:p>
                  <w:pPr>
                    <w:pStyle w:val="null3"/>
                    <w:ind w:firstLine="402"/>
                    <w:jc w:val="both"/>
                  </w:pPr>
                  <w:r>
                    <w:rPr>
                      <w:rFonts w:ascii="仿宋_GB2312" w:hAnsi="仿宋_GB2312" w:cs="仿宋_GB2312" w:eastAsia="仿宋_GB2312"/>
                      <w:sz w:val="21"/>
                    </w:rPr>
                    <w:t>3.支持拒绝服务攻击防护、数据库攻击防护、恶意代码防护，具备攻击逃逸防护及外部协同防护机制。</w:t>
                  </w:r>
                </w:p>
                <w:p>
                  <w:pPr>
                    <w:pStyle w:val="null3"/>
                    <w:ind w:firstLine="402"/>
                    <w:jc w:val="both"/>
                  </w:pPr>
                  <w:r>
                    <w:rPr>
                      <w:rFonts w:ascii="仿宋_GB2312" w:hAnsi="仿宋_GB2312" w:cs="仿宋_GB2312" w:eastAsia="仿宋_GB2312"/>
                      <w:sz w:val="21"/>
                    </w:rPr>
                    <w:t>▲4.内置业务行为分析模块，可对会话、流量数据统计分析，建立业务行为基线，异常行为自动告警；支持行为策略实时数据与基线趋势可视化展示；</w:t>
                  </w:r>
                  <w:r>
                    <w:rPr>
                      <w:rFonts w:ascii="仿宋_GB2312" w:hAnsi="仿宋_GB2312" w:cs="仿宋_GB2312" w:eastAsia="仿宋_GB2312"/>
                      <w:sz w:val="21"/>
                      <w:b/>
                    </w:rPr>
                    <w:t>（须提供产品功能截图予以佐证）</w:t>
                  </w:r>
                </w:p>
                <w:p>
                  <w:pPr>
                    <w:pStyle w:val="null3"/>
                    <w:ind w:firstLine="402"/>
                    <w:jc w:val="both"/>
                  </w:pPr>
                  <w:r>
                    <w:rPr>
                      <w:rFonts w:ascii="仿宋_GB2312" w:hAnsi="仿宋_GB2312" w:cs="仿宋_GB2312" w:eastAsia="仿宋_GB2312"/>
                      <w:sz w:val="21"/>
                    </w:rPr>
                    <w:t>▲5.支持内容过滤，可对 FTP 各类信令行为管控过滤，包含文件上传、下载、删除、重命名、目录创建 / 删除、文件列表查看等操作；</w:t>
                  </w:r>
                  <w:r>
                    <w:rPr>
                      <w:rFonts w:ascii="仿宋_GB2312" w:hAnsi="仿宋_GB2312" w:cs="仿宋_GB2312" w:eastAsia="仿宋_GB2312"/>
                      <w:sz w:val="21"/>
                      <w:b/>
                    </w:rPr>
                    <w:t>（须提供产品功能截图予以佐证）</w:t>
                  </w:r>
                </w:p>
                <w:p>
                  <w:pPr>
                    <w:pStyle w:val="null3"/>
                    <w:ind w:firstLine="402"/>
                    <w:jc w:val="both"/>
                  </w:pPr>
                  <w:r>
                    <w:rPr>
                      <w:rFonts w:ascii="仿宋_GB2312" w:hAnsi="仿宋_GB2312" w:cs="仿宋_GB2312" w:eastAsia="仿宋_GB2312"/>
                      <w:sz w:val="21"/>
                    </w:rPr>
                    <w:t>▲6.内置静态黑名单功能，可基于五元组、源 MAC、地址段、应用、用户等多对象条件，实现异常报文快速拦截过滤；</w:t>
                  </w:r>
                  <w:r>
                    <w:rPr>
                      <w:rFonts w:ascii="仿宋_GB2312" w:hAnsi="仿宋_GB2312" w:cs="仿宋_GB2312" w:eastAsia="仿宋_GB2312"/>
                      <w:sz w:val="21"/>
                      <w:b/>
                    </w:rPr>
                    <w:t>（须提供产品功能截图予以佐证）</w:t>
                  </w:r>
                </w:p>
                <w:p>
                  <w:pPr>
                    <w:pStyle w:val="null3"/>
                    <w:jc w:val="both"/>
                  </w:pPr>
                  <w:r>
                    <w:rPr>
                      <w:rFonts w:ascii="仿宋_GB2312" w:hAnsi="仿宋_GB2312" w:cs="仿宋_GB2312" w:eastAsia="仿宋_GB2312"/>
                      <w:sz w:val="21"/>
                      <w:b/>
                    </w:rPr>
                    <w:t>八、审计、监控与黑名单</w:t>
                  </w:r>
                </w:p>
                <w:p>
                  <w:pPr>
                    <w:pStyle w:val="null3"/>
                    <w:ind w:firstLine="402"/>
                    <w:jc w:val="both"/>
                  </w:pPr>
                  <w:r>
                    <w:rPr>
                      <w:rFonts w:ascii="仿宋_GB2312" w:hAnsi="仿宋_GB2312" w:cs="仿宋_GB2312" w:eastAsia="仿宋_GB2312"/>
                      <w:sz w:val="21"/>
                    </w:rPr>
                    <w:t>1.支持独立审计策略，兼容审计白名单功能。</w:t>
                  </w:r>
                </w:p>
                <w:p>
                  <w:pPr>
                    <w:pStyle w:val="null3"/>
                    <w:ind w:firstLine="402"/>
                    <w:jc w:val="both"/>
                  </w:pPr>
                  <w:r>
                    <w:rPr>
                      <w:rFonts w:ascii="仿宋_GB2312" w:hAnsi="仿宋_GB2312" w:cs="仿宋_GB2312" w:eastAsia="仿宋_GB2312"/>
                      <w:sz w:val="21"/>
                    </w:rPr>
                    <w:t>▲2.支持按服务器维度统计流量数据，可展示服务器 IP、上行流量、下行流量、总流量、新建会话数等信息；</w:t>
                  </w:r>
                  <w:r>
                    <w:rPr>
                      <w:rFonts w:ascii="仿宋_GB2312" w:hAnsi="仿宋_GB2312" w:cs="仿宋_GB2312" w:eastAsia="仿宋_GB2312"/>
                      <w:sz w:val="21"/>
                      <w:b/>
                    </w:rPr>
                    <w:t>（须提供产品功能截图予以佐证）</w:t>
                  </w:r>
                </w:p>
                <w:p>
                  <w:pPr>
                    <w:pStyle w:val="null3"/>
                    <w:ind w:firstLine="402"/>
                    <w:jc w:val="both"/>
                  </w:pPr>
                  <w:r>
                    <w:rPr>
                      <w:rFonts w:ascii="仿宋_GB2312" w:hAnsi="仿宋_GB2312" w:cs="仿宋_GB2312" w:eastAsia="仿宋_GB2312"/>
                      <w:sz w:val="21"/>
                    </w:rPr>
                    <w:t>3.内置动态黑名单功能，可与 URL 过滤、病毒检测模块联动自动封锁；支持静态、动态黑名单命中统计、实时监控及日志查询。</w:t>
                  </w:r>
                </w:p>
                <w:p>
                  <w:pPr>
                    <w:pStyle w:val="null3"/>
                    <w:ind w:firstLine="402"/>
                    <w:jc w:val="both"/>
                  </w:p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容灾备份设备</w:t>
                  </w:r>
                </w:p>
              </w:tc>
              <w:tc>
                <w:tcPr>
                  <w:tcW w:type="dxa" w:w="5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1"/>
                      <w:b/>
                    </w:rPr>
                    <w:t>一、硬件配置要求</w:t>
                  </w:r>
                </w:p>
                <w:p>
                  <w:pPr>
                    <w:pStyle w:val="null3"/>
                    <w:ind w:firstLine="402"/>
                    <w:jc w:val="left"/>
                  </w:pPr>
                  <w:r>
                    <w:rPr>
                      <w:rFonts w:ascii="仿宋_GB2312" w:hAnsi="仿宋_GB2312" w:cs="仿宋_GB2312" w:eastAsia="仿宋_GB2312"/>
                      <w:sz w:val="21"/>
                    </w:rPr>
                    <w:t>处理器</w:t>
                  </w:r>
                  <w:r>
                    <w:rPr>
                      <w:rFonts w:ascii="仿宋_GB2312" w:hAnsi="仿宋_GB2312" w:cs="仿宋_GB2312" w:eastAsia="仿宋_GB2312"/>
                      <w:sz w:val="21"/>
                    </w:rPr>
                    <w:t>≥1 颗，单颗核心数≥10 核，主频≥2.2GHz；内存≥32GB；阵列卡缓存≥1G Cache，支持 Raid 0、1、5 等模式；系统盘≥480G SSD；配置数据盘≥3 块 8T 硬盘 + 3 块 6T 硬盘；配置千兆网口≥2 个；配备冗余电源；支持 IPMI 远程管理功能。</w:t>
                  </w:r>
                </w:p>
                <w:p>
                  <w:pPr>
                    <w:pStyle w:val="null3"/>
                    <w:ind w:firstLine="402"/>
                    <w:jc w:val="left"/>
                  </w:pPr>
                  <w:r>
                    <w:rPr>
                      <w:rFonts w:ascii="仿宋_GB2312" w:hAnsi="仿宋_GB2312" w:cs="仿宋_GB2312" w:eastAsia="仿宋_GB2312"/>
                      <w:sz w:val="21"/>
                      <w:b/>
                    </w:rPr>
                    <w:t>二、核心功能及授权要求</w:t>
                  </w:r>
                </w:p>
                <w:p>
                  <w:pPr>
                    <w:pStyle w:val="null3"/>
                    <w:ind w:firstLine="362"/>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具备定时备份功能；配置</w:t>
                  </w:r>
                  <w:r>
                    <w:rPr>
                      <w:rFonts w:ascii="仿宋_GB2312" w:hAnsi="仿宋_GB2312" w:cs="仿宋_GB2312" w:eastAsia="仿宋_GB2312"/>
                      <w:sz w:val="19"/>
                      <w:color w:val="000000"/>
                    </w:rPr>
                    <w:t>≥16T+18T 定时备份容量授权、≥16T+18T 异地云灾备资源池容量授权，授权有效期不少于 1 年，后期支持在线扩容；可实现异地数据级容灾，兼容主流虚拟化平台、云平台、服务器、超融合架构、各类数据库、文件及操作系统的自动备份保护。</w:t>
                  </w:r>
                  <w:r>
                    <w:rPr>
                      <w:rFonts w:ascii="仿宋_GB2312" w:hAnsi="仿宋_GB2312" w:cs="仿宋_GB2312" w:eastAsia="仿宋_GB2312"/>
                      <w:sz w:val="19"/>
                      <w:color w:val="000000"/>
                    </w:rPr>
                    <w:t>（</w:t>
                  </w:r>
                  <w:r>
                    <w:rPr>
                      <w:rFonts w:ascii="仿宋_GB2312" w:hAnsi="仿宋_GB2312" w:cs="仿宋_GB2312" w:eastAsia="仿宋_GB2312"/>
                      <w:sz w:val="19"/>
                      <w:b/>
                      <w:color w:val="000000"/>
                    </w:rPr>
                    <w:t>提供</w:t>
                  </w:r>
                  <w:r>
                    <w:rPr>
                      <w:rFonts w:ascii="仿宋_GB2312" w:hAnsi="仿宋_GB2312" w:cs="仿宋_GB2312" w:eastAsia="仿宋_GB2312"/>
                      <w:sz w:val="19"/>
                      <w:b/>
                      <w:color w:val="000000"/>
                    </w:rPr>
                    <w:t>承诺函</w:t>
                  </w:r>
                  <w:r>
                    <w:rPr>
                      <w:rFonts w:ascii="仿宋_GB2312" w:hAnsi="仿宋_GB2312" w:cs="仿宋_GB2312" w:eastAsia="仿宋_GB2312"/>
                      <w:sz w:val="19"/>
                      <w:b/>
                      <w:color w:val="000000"/>
                    </w:rPr>
                    <w:t>并加盖公章</w:t>
                  </w:r>
                  <w:r>
                    <w:rPr>
                      <w:rFonts w:ascii="仿宋_GB2312" w:hAnsi="仿宋_GB2312" w:cs="仿宋_GB2312" w:eastAsia="仿宋_GB2312"/>
                      <w:sz w:val="19"/>
                      <w:color w:val="000000"/>
                    </w:rPr>
                    <w:t>）</w:t>
                  </w:r>
                </w:p>
                <w:p>
                  <w:pPr>
                    <w:pStyle w:val="null3"/>
                    <w:ind w:firstLine="362"/>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采用统一管理平台，同一管理界面可通过授权定义灾备能力，至少涵盖：定时数据保护、副本数据管理、持续数据保护、数据归档管理、存储介质管理、报表管理等模块，简化运维管理。</w:t>
                  </w:r>
                  <w:r>
                    <w:rPr>
                      <w:rFonts w:ascii="仿宋_GB2312" w:hAnsi="仿宋_GB2312" w:cs="仿宋_GB2312" w:eastAsia="仿宋_GB2312"/>
                      <w:sz w:val="19"/>
                      <w:b/>
                      <w:color w:val="000000"/>
                    </w:rPr>
                    <w:t>（须提供产品功能截图予以佐证）</w:t>
                  </w:r>
                </w:p>
                <w:p>
                  <w:pPr>
                    <w:pStyle w:val="null3"/>
                    <w:ind w:firstLine="362"/>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.支持备份数据自动校验，至少具备 MD5、SHA1、CRC32、SM³ 等四种及以上校验算法，校验周期支持自定义配置。</w:t>
                  </w:r>
                  <w:r>
                    <w:rPr>
                      <w:rFonts w:ascii="仿宋_GB2312" w:hAnsi="仿宋_GB2312" w:cs="仿宋_GB2312" w:eastAsia="仿宋_GB2312"/>
                      <w:sz w:val="19"/>
                      <w:color w:val="000000"/>
                    </w:rPr>
                    <w:t>（</w:t>
                  </w:r>
                  <w:r>
                    <w:rPr>
                      <w:rFonts w:ascii="仿宋_GB2312" w:hAnsi="仿宋_GB2312" w:cs="仿宋_GB2312" w:eastAsia="仿宋_GB2312"/>
                      <w:sz w:val="19"/>
                      <w:b/>
                      <w:color w:val="000000"/>
                    </w:rPr>
                    <w:t>须提供</w:t>
                  </w:r>
                  <w:r>
                    <w:rPr>
                      <w:rFonts w:ascii="仿宋_GB2312" w:hAnsi="仿宋_GB2312" w:cs="仿宋_GB2312" w:eastAsia="仿宋_GB2312"/>
                      <w:sz w:val="19"/>
                      <w:b/>
                      <w:color w:val="000000"/>
                    </w:rPr>
                    <w:t>国家认可的第三方检测机构出具的</w:t>
                  </w:r>
                  <w:r>
                    <w:rPr>
                      <w:rFonts w:ascii="仿宋_GB2312" w:hAnsi="仿宋_GB2312" w:cs="仿宋_GB2312" w:eastAsia="仿宋_GB2312"/>
                      <w:sz w:val="19"/>
                      <w:b/>
                      <w:color w:val="000000"/>
                    </w:rPr>
                    <w:t>检测报告</w:t>
                  </w:r>
                  <w:r>
                    <w:rPr>
                      <w:rFonts w:ascii="仿宋_GB2312" w:hAnsi="仿宋_GB2312" w:cs="仿宋_GB2312" w:eastAsia="仿宋_GB2312"/>
                      <w:sz w:val="19"/>
                      <w:b/>
                      <w:color w:val="000000"/>
                    </w:rPr>
                    <w:t>予以</w:t>
                  </w:r>
                  <w:r>
                    <w:rPr>
                      <w:rFonts w:ascii="仿宋_GB2312" w:hAnsi="仿宋_GB2312" w:cs="仿宋_GB2312" w:eastAsia="仿宋_GB2312"/>
                      <w:sz w:val="19"/>
                      <w:b/>
                      <w:color w:val="000000"/>
                    </w:rPr>
                    <w:t>佐证</w:t>
                  </w:r>
                  <w:r>
                    <w:rPr>
                      <w:rFonts w:ascii="仿宋_GB2312" w:hAnsi="仿宋_GB2312" w:cs="仿宋_GB2312" w:eastAsia="仿宋_GB2312"/>
                      <w:sz w:val="19"/>
                      <w:b/>
                      <w:color w:val="000000"/>
                    </w:rPr>
                    <w:t>）</w:t>
                  </w:r>
                </w:p>
                <w:p>
                  <w:pPr>
                    <w:pStyle w:val="null3"/>
                    <w:ind w:firstLine="402"/>
                    <w:jc w:val="left"/>
                  </w:pPr>
                  <w:r>
                    <w:rPr>
                      <w:rFonts w:ascii="仿宋_GB2312" w:hAnsi="仿宋_GB2312" w:cs="仿宋_GB2312" w:eastAsia="仿宋_GB2312"/>
                      <w:sz w:val="21"/>
                      <w:b/>
                    </w:rPr>
                    <w:t>三、兼容适配能力</w:t>
                  </w:r>
                </w:p>
                <w:p>
                  <w:pPr>
                    <w:pStyle w:val="null3"/>
                    <w:ind w:firstLine="362"/>
                    <w:jc w:val="left"/>
                  </w:pPr>
                  <w:r>
                    <w:rPr>
                      <w:rFonts w:ascii="仿宋_GB2312" w:hAnsi="仿宋_GB2312" w:cs="仿宋_GB2312" w:eastAsia="仿宋_GB2312"/>
                      <w:sz w:val="19"/>
                      <w:color w:val="000000"/>
                    </w:rPr>
                    <w:t>1.</w:t>
                  </w:r>
                  <w:r>
                    <w:rPr>
                      <w:rFonts w:ascii="仿宋_GB2312" w:hAnsi="仿宋_GB2312" w:cs="仿宋_GB2312" w:eastAsia="仿宋_GB2312"/>
                      <w:sz w:val="19"/>
                      <w:color w:val="000000"/>
                    </w:rPr>
                    <w:t>数据库兼容：支持非脚本方式对</w:t>
                  </w:r>
                  <w:r>
                    <w:rPr>
                      <w:rFonts w:ascii="仿宋_GB2312" w:hAnsi="仿宋_GB2312" w:cs="仿宋_GB2312" w:eastAsia="仿宋_GB2312"/>
                      <w:sz w:val="19"/>
                      <w:color w:val="000000"/>
                    </w:rPr>
                    <w:t xml:space="preserve"> Oracle、MySQL、SQL Server、DB2、Sybase、PostgreSQL、MongoDB、达梦、人大金仓、南大通用、神通、GaussDB、瀚高、优炫、巨杉、GoldenDB、OceanBase、TiDB、阿里云 RDS MySQL 等国内外主流数据库实现在线定时备份保护。</w:t>
                  </w:r>
                </w:p>
                <w:p>
                  <w:pPr>
                    <w:pStyle w:val="null3"/>
                    <w:ind w:firstLine="362"/>
                    <w:jc w:val="left"/>
                  </w:pPr>
                  <w:r>
                    <w:rPr>
                      <w:rFonts w:ascii="仿宋_GB2312" w:hAnsi="仿宋_GB2312" w:cs="仿宋_GB2312" w:eastAsia="仿宋_GB2312"/>
                      <w:sz w:val="19"/>
                      <w:color w:val="000000"/>
                    </w:rPr>
                    <w:t>2.</w:t>
                  </w:r>
                  <w:r>
                    <w:rPr>
                      <w:rFonts w:ascii="仿宋_GB2312" w:hAnsi="仿宋_GB2312" w:cs="仿宋_GB2312" w:eastAsia="仿宋_GB2312"/>
                      <w:sz w:val="19"/>
                      <w:color w:val="000000"/>
                    </w:rPr>
                    <w:t>操作系统兼容：支持</w:t>
                  </w:r>
                  <w:r>
                    <w:rPr>
                      <w:rFonts w:ascii="仿宋_GB2312" w:hAnsi="仿宋_GB2312" w:cs="仿宋_GB2312" w:eastAsia="仿宋_GB2312"/>
                      <w:sz w:val="19"/>
                      <w:color w:val="000000"/>
                    </w:rPr>
                    <w:t xml:space="preserve"> Windows、Linux、麒麟、统信 UOS、中科方德、凝思磐石、普华等国内外主流操作系统在线热备份保护。</w:t>
                  </w:r>
                </w:p>
                <w:p>
                  <w:pPr>
                    <w:pStyle w:val="null3"/>
                    <w:ind w:firstLine="362"/>
                    <w:jc w:val="left"/>
                  </w:pPr>
                  <w:r>
                    <w:rPr>
                      <w:rFonts w:ascii="仿宋_GB2312" w:hAnsi="仿宋_GB2312" w:cs="仿宋_GB2312" w:eastAsia="仿宋_GB2312"/>
                      <w:sz w:val="19"/>
                      <w:color w:val="000000"/>
                    </w:rPr>
                    <w:t>3.</w:t>
                  </w:r>
                  <w:r>
                    <w:rPr>
                      <w:rFonts w:ascii="仿宋_GB2312" w:hAnsi="仿宋_GB2312" w:cs="仿宋_GB2312" w:eastAsia="仿宋_GB2312"/>
                      <w:sz w:val="19"/>
                      <w:color w:val="000000"/>
                    </w:rPr>
                    <w:t>虚拟化兼容：支持</w:t>
                  </w:r>
                  <w:r>
                    <w:rPr>
                      <w:rFonts w:ascii="仿宋_GB2312" w:hAnsi="仿宋_GB2312" w:cs="仿宋_GB2312" w:eastAsia="仿宋_GB2312"/>
                      <w:sz w:val="19"/>
                      <w:color w:val="000000"/>
                    </w:rPr>
                    <w:t xml:space="preserve"> VMware、华为、华三、OpenStack、EasyStack、深信服、Hyper-V、浪潮、云宏、ZStack 等主流虚拟化平台无代理备份。</w:t>
                  </w:r>
                </w:p>
                <w:p>
                  <w:pPr>
                    <w:pStyle w:val="null3"/>
                    <w:ind w:firstLine="362"/>
                    <w:jc w:val="left"/>
                  </w:pPr>
                  <w:r>
                    <w:rPr>
                      <w:rFonts w:ascii="仿宋_GB2312" w:hAnsi="仿宋_GB2312" w:cs="仿宋_GB2312" w:eastAsia="仿宋_GB2312"/>
                      <w:sz w:val="19"/>
                      <w:color w:val="000000"/>
                    </w:rPr>
                    <w:t>4.</w:t>
                  </w:r>
                  <w:r>
                    <w:rPr>
                      <w:rFonts w:ascii="仿宋_GB2312" w:hAnsi="仿宋_GB2312" w:cs="仿宋_GB2312" w:eastAsia="仿宋_GB2312"/>
                      <w:sz w:val="19"/>
                      <w:color w:val="000000"/>
                    </w:rPr>
                    <w:t>文件备份能力：支持千万级海量文件日志增量备份，可快速甄别文件变化，增量备份无需全量扫描所有文件，增量备份间隔可达分钟级。</w:t>
                  </w:r>
                </w:p>
                <w:p>
                  <w:pPr>
                    <w:pStyle w:val="null3"/>
                    <w:ind w:firstLine="402"/>
                    <w:jc w:val="left"/>
                  </w:pPr>
                  <w:r>
                    <w:rPr>
                      <w:rFonts w:ascii="仿宋_GB2312" w:hAnsi="仿宋_GB2312" w:cs="仿宋_GB2312" w:eastAsia="仿宋_GB2312"/>
                      <w:sz w:val="21"/>
                      <w:b/>
                    </w:rPr>
                    <w:t>四、数据安全与恢复要求</w:t>
                  </w:r>
                </w:p>
                <w:p>
                  <w:pPr>
                    <w:pStyle w:val="null3"/>
                    <w:ind w:firstLine="362"/>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数据恢复具备鉴权机制，异地数据恢复操作需经源端灾备平台认证授权后方可执行，保障异地数据安全。</w:t>
                  </w:r>
                  <w:r>
                    <w:rPr>
                      <w:rFonts w:ascii="仿宋_GB2312" w:hAnsi="仿宋_GB2312" w:cs="仿宋_GB2312" w:eastAsia="仿宋_GB2312"/>
                      <w:sz w:val="19"/>
                      <w:b/>
                      <w:color w:val="000000"/>
                    </w:rPr>
                    <w:t>（须提供产品功能截图予以佐证）</w:t>
                  </w:r>
                </w:p>
                <w:p>
                  <w:pPr>
                    <w:pStyle w:val="null3"/>
                    <w:ind w:firstLine="362"/>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支持文件、</w:t>
                  </w:r>
                  <w:r>
                    <w:rPr>
                      <w:rFonts w:ascii="仿宋_GB2312" w:hAnsi="仿宋_GB2312" w:cs="仿宋_GB2312" w:eastAsia="仿宋_GB2312"/>
                      <w:sz w:val="19"/>
                      <w:color w:val="000000"/>
                    </w:rPr>
                    <w:t>Oracle、SqlServer、MySQL、PostgreSQL 等</w:t>
                  </w:r>
                  <w:r>
                    <w:rPr>
                      <w:rFonts w:ascii="仿宋_GB2312" w:hAnsi="仿宋_GB2312" w:cs="仿宋_GB2312" w:eastAsia="仿宋_GB2312"/>
                      <w:sz w:val="19"/>
                      <w:color w:val="FF0000"/>
                    </w:rPr>
                    <w:t>国内外主流数据库</w:t>
                  </w:r>
                  <w:r>
                    <w:rPr>
                      <w:rFonts w:ascii="仿宋_GB2312" w:hAnsi="仿宋_GB2312" w:cs="仿宋_GB2312" w:eastAsia="仿宋_GB2312"/>
                      <w:sz w:val="19"/>
                      <w:color w:val="000000"/>
                    </w:rPr>
                    <w:t>业务策略化自动恢复，可恢复至最新备份集并自动出具恢复验证报告。</w:t>
                  </w:r>
                  <w:r>
                    <w:rPr>
                      <w:rFonts w:ascii="仿宋_GB2312" w:hAnsi="仿宋_GB2312" w:cs="仿宋_GB2312" w:eastAsia="仿宋_GB2312"/>
                      <w:sz w:val="19"/>
                      <w:color w:val="000000"/>
                    </w:rPr>
                    <w:t>（</w:t>
                  </w:r>
                  <w:r>
                    <w:rPr>
                      <w:rFonts w:ascii="仿宋_GB2312" w:hAnsi="仿宋_GB2312" w:cs="仿宋_GB2312" w:eastAsia="仿宋_GB2312"/>
                      <w:sz w:val="19"/>
                      <w:b/>
                      <w:color w:val="000000"/>
                    </w:rPr>
                    <w:t>须提供</w:t>
                  </w:r>
                  <w:r>
                    <w:rPr>
                      <w:rFonts w:ascii="仿宋_GB2312" w:hAnsi="仿宋_GB2312" w:cs="仿宋_GB2312" w:eastAsia="仿宋_GB2312"/>
                      <w:sz w:val="19"/>
                      <w:b/>
                      <w:color w:val="000000"/>
                    </w:rPr>
                    <w:t>国家认可的第三方检测机构出具的</w:t>
                  </w:r>
                  <w:r>
                    <w:rPr>
                      <w:rFonts w:ascii="仿宋_GB2312" w:hAnsi="仿宋_GB2312" w:cs="仿宋_GB2312" w:eastAsia="仿宋_GB2312"/>
                      <w:sz w:val="19"/>
                      <w:b/>
                      <w:color w:val="000000"/>
                    </w:rPr>
                    <w:t>检测报告</w:t>
                  </w:r>
                  <w:r>
                    <w:rPr>
                      <w:rFonts w:ascii="仿宋_GB2312" w:hAnsi="仿宋_GB2312" w:cs="仿宋_GB2312" w:eastAsia="仿宋_GB2312"/>
                      <w:sz w:val="19"/>
                      <w:b/>
                      <w:color w:val="000000"/>
                    </w:rPr>
                    <w:t>予以</w:t>
                  </w:r>
                  <w:r>
                    <w:rPr>
                      <w:rFonts w:ascii="仿宋_GB2312" w:hAnsi="仿宋_GB2312" w:cs="仿宋_GB2312" w:eastAsia="仿宋_GB2312"/>
                      <w:sz w:val="19"/>
                      <w:b/>
                      <w:color w:val="000000"/>
                    </w:rPr>
                    <w:t>佐证</w:t>
                  </w:r>
                  <w:r>
                    <w:rPr>
                      <w:rFonts w:ascii="仿宋_GB2312" w:hAnsi="仿宋_GB2312" w:cs="仿宋_GB2312" w:eastAsia="仿宋_GB2312"/>
                      <w:sz w:val="19"/>
                      <w:b/>
                      <w:color w:val="000000"/>
                    </w:rPr>
                    <w:t>）</w:t>
                  </w:r>
                </w:p>
                <w:p>
                  <w:pPr>
                    <w:pStyle w:val="null3"/>
                    <w:ind w:firstLine="362"/>
                    <w:jc w:val="left"/>
                  </w:pPr>
                  <w:r>
                    <w:rPr>
                      <w:rFonts w:ascii="仿宋_GB2312" w:hAnsi="仿宋_GB2312" w:cs="仿宋_GB2312" w:eastAsia="仿宋_GB2312"/>
                      <w:sz w:val="19"/>
                      <w:color w:val="000000"/>
                    </w:rPr>
                    <w:t>3.支持多租户模式，租户业务数据与其他租户配置逻辑隔离，保障数据安全与隐私；支持为各租户配置存储配额，限制资源使用量。</w:t>
                  </w:r>
                </w:p>
                <w:p>
                  <w:pPr>
                    <w:pStyle w:val="null3"/>
                    <w:ind w:firstLine="362"/>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支持</w:t>
                  </w:r>
                  <w:r>
                    <w:rPr>
                      <w:rFonts w:ascii="仿宋_GB2312" w:hAnsi="仿宋_GB2312" w:cs="仿宋_GB2312" w:eastAsia="仿宋_GB2312"/>
                      <w:sz w:val="19"/>
                      <w:color w:val="000000"/>
                    </w:rPr>
                    <w:t xml:space="preserve"> Excel </w:t>
                  </w:r>
                  <w:r>
                    <w:rPr>
                      <w:rFonts w:ascii="仿宋_GB2312" w:hAnsi="仿宋_GB2312" w:cs="仿宋_GB2312" w:eastAsia="仿宋_GB2312"/>
                      <w:sz w:val="19"/>
                      <w:color w:val="000000"/>
                    </w:rPr>
                    <w:t>模板</w:t>
                  </w:r>
                  <w:r>
                    <w:rPr>
                      <w:rFonts w:ascii="仿宋_GB2312" w:hAnsi="仿宋_GB2312" w:cs="仿宋_GB2312" w:eastAsia="仿宋_GB2312"/>
                      <w:sz w:val="19"/>
                      <w:color w:val="000000"/>
                    </w:rPr>
                    <w:t>批量导入代理信息，也可</w:t>
                  </w:r>
                  <w:r>
                    <w:rPr>
                      <w:rFonts w:ascii="仿宋_GB2312" w:hAnsi="仿宋_GB2312" w:cs="仿宋_GB2312" w:eastAsia="仿宋_GB2312"/>
                      <w:sz w:val="19"/>
                      <w:color w:val="000000"/>
                    </w:rPr>
                    <w:t xml:space="preserve"> Web 界面批量添加主机信息、批量安装代理，简化项目部署。</w:t>
                  </w:r>
                  <w:r>
                    <w:rPr>
                      <w:rFonts w:ascii="仿宋_GB2312" w:hAnsi="仿宋_GB2312" w:cs="仿宋_GB2312" w:eastAsia="仿宋_GB2312"/>
                      <w:sz w:val="19"/>
                      <w:b/>
                      <w:color w:val="000000"/>
                    </w:rPr>
                    <w:t>（须提供产品功能截图予以佐证）</w:t>
                  </w:r>
                </w:p>
                <w:p>
                  <w:pPr>
                    <w:pStyle w:val="null3"/>
                    <w:ind w:firstLine="362"/>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支持备份数据按预设策略复制至多个存储位置，规避存储介质单点故障风险。</w:t>
                  </w:r>
                  <w:r>
                    <w:rPr>
                      <w:rFonts w:ascii="仿宋_GB2312" w:hAnsi="仿宋_GB2312" w:cs="仿宋_GB2312" w:eastAsia="仿宋_GB2312"/>
                      <w:sz w:val="19"/>
                      <w:b/>
                      <w:color w:val="000000"/>
                    </w:rPr>
                    <w:t>（须提供产品功能截图予以佐证）</w:t>
                  </w:r>
                </w:p>
                <w:p>
                  <w:pPr>
                    <w:pStyle w:val="null3"/>
                    <w:ind w:firstLine="362"/>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6.</w:t>
                  </w:r>
                  <w:r>
                    <w:rPr>
                      <w:rFonts w:ascii="仿宋_GB2312" w:hAnsi="仿宋_GB2312" w:cs="仿宋_GB2312" w:eastAsia="仿宋_GB2312"/>
                      <w:sz w:val="19"/>
                      <w:color w:val="000000"/>
                    </w:rPr>
                    <w:t>具备灾备系统自备份管理能力，支持对系统配置、内置数据库数据进行自备份；可在界面自定义自备份时间点、执行计划、保留副本数量等，保障灾备平台自身安全可靠。</w:t>
                  </w:r>
                  <w:r>
                    <w:rPr>
                      <w:rFonts w:ascii="仿宋_GB2312" w:hAnsi="仿宋_GB2312" w:cs="仿宋_GB2312" w:eastAsia="仿宋_GB2312"/>
                      <w:sz w:val="19"/>
                      <w:b/>
                      <w:color w:val="000000"/>
                    </w:rPr>
                    <w:t>（须提供产品功能截图予以佐证）</w:t>
                  </w:r>
                </w:p>
                <w:p>
                  <w:pPr>
                    <w:pStyle w:val="null3"/>
                    <w:ind w:firstLine="362"/>
                    <w:jc w:val="left"/>
                  </w:pPr>
                  <w:r>
                    <w:rPr>
                      <w:rFonts w:ascii="仿宋_GB2312" w:hAnsi="仿宋_GB2312" w:cs="仿宋_GB2312" w:eastAsia="仿宋_GB2312"/>
                      <w:sz w:val="19"/>
                      <w:b/>
                      <w:color w:val="000000"/>
                    </w:rPr>
                    <w:t>★7.设备须具有有效期内《网络关键设备和网络安全专用产品安全认证证书》或《网络安全专用产品安全检测证书》；（投标时须提供证书扫描件）</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超融合一体化平台</w:t>
                  </w:r>
                </w:p>
              </w:tc>
              <w:tc>
                <w:tcPr>
                  <w:tcW w:type="dxa" w:w="5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1"/>
                      <w:b/>
                    </w:rPr>
                    <w:t>一、硬件配置要求</w:t>
                  </w:r>
                </w:p>
                <w:p>
                  <w:pPr>
                    <w:pStyle w:val="null3"/>
                    <w:ind w:firstLine="362"/>
                    <w:jc w:val="left"/>
                  </w:pPr>
                  <w:r>
                    <w:rPr>
                      <w:rFonts w:ascii="仿宋_GB2312" w:hAnsi="仿宋_GB2312" w:cs="仿宋_GB2312" w:eastAsia="仿宋_GB2312"/>
                      <w:sz w:val="19"/>
                      <w:color w:val="000000"/>
                    </w:rPr>
                    <w:t>标准机架式设备，高度</w:t>
                  </w:r>
                  <w:r>
                    <w:rPr>
                      <w:rFonts w:ascii="仿宋_GB2312" w:hAnsi="仿宋_GB2312" w:cs="仿宋_GB2312" w:eastAsia="仿宋_GB2312"/>
                      <w:sz w:val="19"/>
                      <w:color w:val="000000"/>
                    </w:rPr>
                    <w:t>≤2U；CPU 数量≥2 颗，单颗主频≥2.1GHz，总核心数≥24 核；配置内存≥128GB；硬盘盘位≥12 个；配置 480GB SSD 系统盘≥4 块；配置 4TB 7200 转 SATA 数据硬盘≥2 块；配置千兆电口≥4 个、万兆光口≥2 个（含配套多模光模块）；配置冗余电源。</w:t>
                  </w:r>
                </w:p>
                <w:p>
                  <w:pPr>
                    <w:pStyle w:val="null3"/>
                    <w:ind w:firstLine="402"/>
                    <w:jc w:val="left"/>
                  </w:pPr>
                  <w:r>
                    <w:rPr>
                      <w:rFonts w:ascii="仿宋_GB2312" w:hAnsi="仿宋_GB2312" w:cs="仿宋_GB2312" w:eastAsia="仿宋_GB2312"/>
                      <w:sz w:val="21"/>
                      <w:b/>
                    </w:rPr>
                    <w:t>二、兼容纳管要求</w:t>
                  </w:r>
                </w:p>
                <w:p>
                  <w:pPr>
                    <w:pStyle w:val="null3"/>
                    <w:ind w:firstLine="362"/>
                    <w:jc w:val="left"/>
                  </w:pPr>
                  <w:r>
                    <w:rPr>
                      <w:rFonts w:ascii="仿宋_GB2312" w:hAnsi="仿宋_GB2312" w:cs="仿宋_GB2312" w:eastAsia="仿宋_GB2312"/>
                      <w:sz w:val="19"/>
                      <w:color w:val="000000"/>
                    </w:rPr>
                    <w:t>▲1.可与项目现有虚拟环境完全兼容，支持纳入现有管理平台统一管控，平台可直接调用设备资源；可在同一管理界面完成设备日常运维、业务管理。</w:t>
                  </w:r>
                  <w:r>
                    <w:rPr>
                      <w:rFonts w:ascii="仿宋_GB2312" w:hAnsi="仿宋_GB2312" w:cs="仿宋_GB2312" w:eastAsia="仿宋_GB2312"/>
                      <w:sz w:val="19"/>
                      <w:color w:val="000000"/>
                    </w:rPr>
                    <w:t>（</w:t>
                  </w:r>
                  <w:r>
                    <w:rPr>
                      <w:rFonts w:ascii="仿宋_GB2312" w:hAnsi="仿宋_GB2312" w:cs="仿宋_GB2312" w:eastAsia="仿宋_GB2312"/>
                      <w:sz w:val="19"/>
                      <w:b/>
                      <w:color w:val="000000"/>
                    </w:rPr>
                    <w:t>提供</w:t>
                  </w:r>
                  <w:r>
                    <w:rPr>
                      <w:rFonts w:ascii="仿宋_GB2312" w:hAnsi="仿宋_GB2312" w:cs="仿宋_GB2312" w:eastAsia="仿宋_GB2312"/>
                      <w:sz w:val="19"/>
                      <w:b/>
                      <w:color w:val="000000"/>
                    </w:rPr>
                    <w:t>承诺函</w:t>
                  </w:r>
                  <w:r>
                    <w:rPr>
                      <w:rFonts w:ascii="仿宋_GB2312" w:hAnsi="仿宋_GB2312" w:cs="仿宋_GB2312" w:eastAsia="仿宋_GB2312"/>
                      <w:sz w:val="19"/>
                      <w:b/>
                      <w:color w:val="000000"/>
                    </w:rPr>
                    <w:t>并加盖公章</w:t>
                  </w:r>
                  <w:r>
                    <w:rPr>
                      <w:rFonts w:ascii="仿宋_GB2312" w:hAnsi="仿宋_GB2312" w:cs="仿宋_GB2312" w:eastAsia="仿宋_GB2312"/>
                      <w:sz w:val="19"/>
                      <w:color w:val="000000"/>
                    </w:rPr>
                    <w:t>）</w:t>
                  </w:r>
                </w:p>
                <w:p>
                  <w:pPr>
                    <w:pStyle w:val="null3"/>
                    <w:ind w:firstLine="402"/>
                    <w:jc w:val="left"/>
                  </w:pPr>
                  <w:r>
                    <w:rPr>
                      <w:rFonts w:ascii="仿宋_GB2312" w:hAnsi="仿宋_GB2312" w:cs="仿宋_GB2312" w:eastAsia="仿宋_GB2312"/>
                      <w:sz w:val="21"/>
                      <w:b/>
                    </w:rPr>
                    <w:t>三、安全产品适配</w:t>
                  </w:r>
                </w:p>
                <w:p>
                  <w:pPr>
                    <w:pStyle w:val="null3"/>
                    <w:ind w:firstLine="362"/>
                    <w:jc w:val="left"/>
                  </w:pPr>
                  <w:r>
                    <w:rPr>
                      <w:rFonts w:ascii="仿宋_GB2312" w:hAnsi="仿宋_GB2312" w:cs="仿宋_GB2312" w:eastAsia="仿宋_GB2312"/>
                      <w:sz w:val="19"/>
                      <w:color w:val="000000"/>
                    </w:rPr>
                    <w:t>支持部署分布式防火墙、下一代防火墙、</w:t>
                  </w:r>
                  <w:r>
                    <w:rPr>
                      <w:rFonts w:ascii="仿宋_GB2312" w:hAnsi="仿宋_GB2312" w:cs="仿宋_GB2312" w:eastAsia="仿宋_GB2312"/>
                      <w:sz w:val="19"/>
                      <w:color w:val="000000"/>
                    </w:rPr>
                    <w:t>WAF、数据库审计、网络审计、VPN、运维审计、基线核查、日志审计、数据防泄漏、漏洞扫描、终端杀毒等虚拟安全类产品；产品具备自主知识产权，整体架构具备良好兼容性与横向扩展能力。</w:t>
                  </w:r>
                </w:p>
                <w:p>
                  <w:pPr>
                    <w:pStyle w:val="null3"/>
                    <w:ind w:firstLine="402"/>
                    <w:jc w:val="left"/>
                  </w:pPr>
                  <w:r>
                    <w:rPr>
                      <w:rFonts w:ascii="仿宋_GB2312" w:hAnsi="仿宋_GB2312" w:cs="仿宋_GB2312" w:eastAsia="仿宋_GB2312"/>
                      <w:sz w:val="21"/>
                      <w:b/>
                    </w:rPr>
                    <w:t>四、云服务器管理功能</w:t>
                  </w:r>
                </w:p>
                <w:p>
                  <w:pPr>
                    <w:pStyle w:val="null3"/>
                    <w:ind w:firstLine="362"/>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支持批量修改云服务器配置参数，包含：</w:t>
                  </w:r>
                  <w:r>
                    <w:rPr>
                      <w:rFonts w:ascii="仿宋_GB2312" w:hAnsi="仿宋_GB2312" w:cs="仿宋_GB2312" w:eastAsia="仿宋_GB2312"/>
                      <w:sz w:val="19"/>
                      <w:color w:val="000000"/>
                    </w:rPr>
                    <w:t>CPU 基准类型、CPU 自动扩展、内存自动扩展、HA、双活配置、主资源池绑定、数据本地化、异常监测、内存安全启用等。</w:t>
                  </w:r>
                  <w:r>
                    <w:rPr>
                      <w:rFonts w:ascii="仿宋_GB2312" w:hAnsi="仿宋_GB2312" w:cs="仿宋_GB2312" w:eastAsia="仿宋_GB2312"/>
                      <w:sz w:val="19"/>
                      <w:b/>
                      <w:color w:val="000000"/>
                    </w:rPr>
                    <w:t>（须提供产品功能截图予以佐证）</w:t>
                  </w:r>
                </w:p>
                <w:p>
                  <w:pPr>
                    <w:pStyle w:val="null3"/>
                    <w:ind w:firstLine="362"/>
                    <w:jc w:val="left"/>
                  </w:pPr>
                  <w:r>
                    <w:rPr>
                      <w:rFonts w:ascii="仿宋_GB2312" w:hAnsi="仿宋_GB2312" w:cs="仿宋_GB2312" w:eastAsia="仿宋_GB2312"/>
                      <w:sz w:val="19"/>
                      <w:color w:val="000000"/>
                    </w:rPr>
                    <w:t>2.</w:t>
                  </w:r>
                  <w:r>
                    <w:rPr>
                      <w:rFonts w:ascii="仿宋_GB2312" w:hAnsi="仿宋_GB2312" w:cs="仿宋_GB2312" w:eastAsia="仿宋_GB2312"/>
                      <w:sz w:val="19"/>
                      <w:color w:val="000000"/>
                    </w:rPr>
                    <w:t>支持云服务器配置</w:t>
                  </w:r>
                  <w:r>
                    <w:rPr>
                      <w:rFonts w:ascii="仿宋_GB2312" w:hAnsi="仿宋_GB2312" w:cs="仿宋_GB2312" w:eastAsia="仿宋_GB2312"/>
                      <w:sz w:val="19"/>
                      <w:color w:val="000000"/>
                    </w:rPr>
                    <w:t xml:space="preserve"> IPv4、IPv6 及双栈网络模式，可按需选择地址协议类型；具备云平台网络防欺骗机制，可通过平台开关管控非法修改 IP、MAC 地址后的异常报文转发。</w:t>
                  </w:r>
                </w:p>
                <w:p>
                  <w:pPr>
                    <w:pStyle w:val="null3"/>
                    <w:ind w:firstLine="362"/>
                    <w:jc w:val="left"/>
                  </w:pPr>
                  <w:r>
                    <w:rPr>
                      <w:rFonts w:ascii="仿宋_GB2312" w:hAnsi="仿宋_GB2312" w:cs="仿宋_GB2312" w:eastAsia="仿宋_GB2312"/>
                      <w:sz w:val="19"/>
                      <w:color w:val="000000"/>
                    </w:rPr>
                    <w:t>▲3.支持云服务器虚拟网卡精细化配置，可自定义网卡类型、网络 QoS、IP 地址、MAC 地址；网络 QoS 可分别对上行 / 下行设置速率、峰值及突发带宽，实现精细化流量管控。</w:t>
                  </w:r>
                  <w:r>
                    <w:rPr>
                      <w:rFonts w:ascii="仿宋_GB2312" w:hAnsi="仿宋_GB2312" w:cs="仿宋_GB2312" w:eastAsia="仿宋_GB2312"/>
                      <w:sz w:val="19"/>
                      <w:b/>
                      <w:color w:val="000000"/>
                    </w:rPr>
                    <w:t>（须提供产品功能截图予以佐证）</w:t>
                  </w:r>
                </w:p>
                <w:p>
                  <w:pPr>
                    <w:pStyle w:val="null3"/>
                    <w:ind w:firstLine="362"/>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支持网络亲和性智能调度，针对低时延、高吞吐等高性能业务场景，可开启网络亲和性策略，优先将云服务器调度至网络转发核所在</w:t>
                  </w:r>
                  <w:r>
                    <w:rPr>
                      <w:rFonts w:ascii="仿宋_GB2312" w:hAnsi="仿宋_GB2312" w:cs="仿宋_GB2312" w:eastAsia="仿宋_GB2312"/>
                      <w:sz w:val="19"/>
                      <w:color w:val="000000"/>
                    </w:rPr>
                    <w:t xml:space="preserve"> NUMA 节点，提升整机网络转发性能。</w:t>
                  </w:r>
                  <w:r>
                    <w:rPr>
                      <w:rFonts w:ascii="仿宋_GB2312" w:hAnsi="仿宋_GB2312" w:cs="仿宋_GB2312" w:eastAsia="仿宋_GB2312"/>
                      <w:sz w:val="19"/>
                      <w:b/>
                      <w:color w:val="000000"/>
                    </w:rPr>
                    <w:t>（须提供产品功能截图予以佐证）</w:t>
                  </w:r>
                </w:p>
                <w:p>
                  <w:pPr>
                    <w:pStyle w:val="null3"/>
                    <w:ind w:firstLine="362"/>
                    <w:jc w:val="left"/>
                  </w:pPr>
                  <w:r>
                    <w:rPr>
                      <w:rFonts w:ascii="仿宋_GB2312" w:hAnsi="仿宋_GB2312" w:cs="仿宋_GB2312" w:eastAsia="仿宋_GB2312"/>
                      <w:sz w:val="19"/>
                      <w:color w:val="000000"/>
                    </w:rPr>
                    <w:t>5.内置云容器服务能力，支持快速创建、配置容器实例，支持容器精细化权限与资源管控，满足业务高性能、弹性扩容部署需求。</w:t>
                  </w:r>
                </w:p>
                <w:p>
                  <w:pPr>
                    <w:pStyle w:val="null3"/>
                    <w:ind w:firstLine="362"/>
                    <w:jc w:val="left"/>
                  </w:pPr>
                  <w:r>
                    <w:rPr>
                      <w:rFonts w:ascii="仿宋_GB2312" w:hAnsi="仿宋_GB2312" w:cs="仿宋_GB2312" w:eastAsia="仿宋_GB2312"/>
                      <w:sz w:val="19"/>
                      <w:color w:val="000000"/>
                    </w:rPr>
                    <w:t>▲6.支持云服务器独立副本策略配置，可按业务场景自定义单台云服务器副本数量；副本支持最小 1 副本、最大 6 副本规格，且支持业务在线动态增删副本。</w:t>
                  </w:r>
                  <w:r>
                    <w:rPr>
                      <w:rFonts w:ascii="仿宋_GB2312" w:hAnsi="仿宋_GB2312" w:cs="仿宋_GB2312" w:eastAsia="仿宋_GB2312"/>
                      <w:sz w:val="19"/>
                      <w:color w:val="000000"/>
                    </w:rPr>
                    <w:t>（</w:t>
                  </w:r>
                  <w:r>
                    <w:rPr>
                      <w:rFonts w:ascii="仿宋_GB2312" w:hAnsi="仿宋_GB2312" w:cs="仿宋_GB2312" w:eastAsia="仿宋_GB2312"/>
                      <w:sz w:val="19"/>
                      <w:b/>
                      <w:color w:val="000000"/>
                    </w:rPr>
                    <w:t>须提供</w:t>
                  </w:r>
                  <w:r>
                    <w:rPr>
                      <w:rFonts w:ascii="仿宋_GB2312" w:hAnsi="仿宋_GB2312" w:cs="仿宋_GB2312" w:eastAsia="仿宋_GB2312"/>
                      <w:sz w:val="19"/>
                      <w:b/>
                      <w:color w:val="000000"/>
                    </w:rPr>
                    <w:t>国家认可的第三方检测机构出具的</w:t>
                  </w:r>
                  <w:r>
                    <w:rPr>
                      <w:rFonts w:ascii="仿宋_GB2312" w:hAnsi="仿宋_GB2312" w:cs="仿宋_GB2312" w:eastAsia="仿宋_GB2312"/>
                      <w:sz w:val="19"/>
                      <w:b/>
                      <w:color w:val="000000"/>
                    </w:rPr>
                    <w:t>检测报告</w:t>
                  </w:r>
                  <w:r>
                    <w:rPr>
                      <w:rFonts w:ascii="仿宋_GB2312" w:hAnsi="仿宋_GB2312" w:cs="仿宋_GB2312" w:eastAsia="仿宋_GB2312"/>
                      <w:sz w:val="19"/>
                      <w:b/>
                      <w:color w:val="000000"/>
                    </w:rPr>
                    <w:t>予以</w:t>
                  </w:r>
                  <w:r>
                    <w:rPr>
                      <w:rFonts w:ascii="仿宋_GB2312" w:hAnsi="仿宋_GB2312" w:cs="仿宋_GB2312" w:eastAsia="仿宋_GB2312"/>
                      <w:sz w:val="19"/>
                      <w:b/>
                      <w:color w:val="000000"/>
                    </w:rPr>
                    <w:t>佐证</w:t>
                  </w:r>
                  <w:r>
                    <w:rPr>
                      <w:rFonts w:ascii="仿宋_GB2312" w:hAnsi="仿宋_GB2312" w:cs="仿宋_GB2312" w:eastAsia="仿宋_GB2312"/>
                      <w:sz w:val="19"/>
                      <w:b/>
                      <w:color w:val="000000"/>
                    </w:rPr>
                    <w:t>）</w:t>
                  </w:r>
                </w:p>
                <w:p>
                  <w:pPr>
                    <w:pStyle w:val="null3"/>
                    <w:ind w:firstLine="362"/>
                    <w:jc w:val="left"/>
                  </w:pPr>
                  <w:r>
                    <w:rPr>
                      <w:rFonts w:ascii="仿宋_GB2312" w:hAnsi="仿宋_GB2312" w:cs="仿宋_GB2312" w:eastAsia="仿宋_GB2312"/>
                      <w:sz w:val="19"/>
                      <w:color w:val="000000"/>
                    </w:rPr>
                    <w:t>7.</w:t>
                  </w:r>
                  <w:r>
                    <w:rPr>
                      <w:rFonts w:ascii="仿宋_GB2312" w:hAnsi="仿宋_GB2312" w:cs="仿宋_GB2312" w:eastAsia="仿宋_GB2312"/>
                      <w:sz w:val="19"/>
                      <w:color w:val="000000"/>
                    </w:rPr>
                    <w:t>支持云服务器桌面预览功能，无需登录系统即可在管理平台查看实时桌面状态；支持本地与云服务器文件拖拽互传、跨端共享粘贴板。</w:t>
                  </w:r>
                </w:p>
                <w:p>
                  <w:pPr>
                    <w:pStyle w:val="null3"/>
                    <w:ind w:firstLine="362"/>
                    <w:jc w:val="left"/>
                  </w:pPr>
                  <w:r>
                    <w:rPr>
                      <w:rFonts w:ascii="仿宋_GB2312" w:hAnsi="仿宋_GB2312" w:cs="仿宋_GB2312" w:eastAsia="仿宋_GB2312"/>
                      <w:sz w:val="19"/>
                      <w:color w:val="000000"/>
                    </w:rPr>
                    <w:t>8.支持 USB 设备远程映射至云服务器，无需外接 USB Hub 等硬件、无需安装客户端插件及代理程序即可正常识别；支持跨物理节点迁移后仍保持 USB 设备远程访问连续性。</w:t>
                  </w:r>
                </w:p>
                <w:p>
                  <w:pPr>
                    <w:pStyle w:val="null3"/>
                    <w:ind w:firstLine="362"/>
                    <w:jc w:val="left"/>
                  </w:pPr>
                  <w:r>
                    <w:rPr>
                      <w:rFonts w:ascii="仿宋_GB2312" w:hAnsi="仿宋_GB2312" w:cs="仿宋_GB2312" w:eastAsia="仿宋_GB2312"/>
                      <w:sz w:val="19"/>
                      <w:color w:val="000000"/>
                    </w:rPr>
                    <w:t>9.</w:t>
                  </w:r>
                  <w:r>
                    <w:rPr>
                      <w:rFonts w:ascii="仿宋_GB2312" w:hAnsi="仿宋_GB2312" w:cs="仿宋_GB2312" w:eastAsia="仿宋_GB2312"/>
                      <w:sz w:val="19"/>
                      <w:color w:val="000000"/>
                    </w:rPr>
                    <w:t>支持存储卷级别独立副本策略，可按业务场景为不同存储卷配置差异化副本数量，支持最小</w:t>
                  </w:r>
                  <w:r>
                    <w:rPr>
                      <w:rFonts w:ascii="仿宋_GB2312" w:hAnsi="仿宋_GB2312" w:cs="仿宋_GB2312" w:eastAsia="仿宋_GB2312"/>
                      <w:sz w:val="19"/>
                      <w:color w:val="000000"/>
                    </w:rPr>
                    <w:t xml:space="preserve"> 2 副本、最大 6 副本；支持业务在线动态增删副本，操作过程无需业务停机。</w:t>
                  </w:r>
                </w:p>
                <w:p>
                  <w:pPr>
                    <w:pStyle w:val="null3"/>
                    <w:ind w:firstLine="362"/>
                    <w:jc w:val="left"/>
                  </w:pPr>
                  <w:r>
                    <w:rPr>
                      <w:rFonts w:ascii="仿宋_GB2312" w:hAnsi="仿宋_GB2312" w:cs="仿宋_GB2312" w:eastAsia="仿宋_GB2312"/>
                      <w:sz w:val="19"/>
                      <w:color w:val="000000"/>
                    </w:rPr>
                    <w:t>10.</w:t>
                  </w:r>
                  <w:r>
                    <w:rPr>
                      <w:rFonts w:ascii="仿宋_GB2312" w:hAnsi="仿宋_GB2312" w:cs="仿宋_GB2312" w:eastAsia="仿宋_GB2312"/>
                      <w:sz w:val="19"/>
                      <w:color w:val="000000"/>
                    </w:rPr>
                    <w:t>支持存储数据卷安全分级管理，可配置弱一致、强一致、最终一致等不同数据一致性安全级别。</w:t>
                  </w:r>
                </w:p>
                <w:p>
                  <w:pPr>
                    <w:pStyle w:val="null3"/>
                    <w:ind w:firstLine="362"/>
                    <w:jc w:val="left"/>
                  </w:pPr>
                  <w:r>
                    <w:rPr>
                      <w:rFonts w:ascii="仿宋_GB2312" w:hAnsi="仿宋_GB2312" w:cs="仿宋_GB2312" w:eastAsia="仿宋_GB2312"/>
                      <w:sz w:val="19"/>
                      <w:color w:val="000000"/>
                    </w:rPr>
                    <w:t>▲11.支持智能存储分卷管理，适配 SSD+HDD 混部署架构；可将 SSD 独立组建高性能存储池供业务闪盘模式使用，也可 SSD 与 HDD 混合组建大容量存储池供大容量业务场景使用。</w:t>
                  </w:r>
                  <w:r>
                    <w:rPr>
                      <w:rFonts w:ascii="仿宋_GB2312" w:hAnsi="仿宋_GB2312" w:cs="仿宋_GB2312" w:eastAsia="仿宋_GB2312"/>
                      <w:sz w:val="19"/>
                      <w:color w:val="000000"/>
                    </w:rPr>
                    <w:t>（</w:t>
                  </w:r>
                  <w:r>
                    <w:rPr>
                      <w:rFonts w:ascii="仿宋_GB2312" w:hAnsi="仿宋_GB2312" w:cs="仿宋_GB2312" w:eastAsia="仿宋_GB2312"/>
                      <w:sz w:val="19"/>
                      <w:b/>
                      <w:color w:val="000000"/>
                    </w:rPr>
                    <w:t>须提供</w:t>
                  </w:r>
                  <w:r>
                    <w:rPr>
                      <w:rFonts w:ascii="仿宋_GB2312" w:hAnsi="仿宋_GB2312" w:cs="仿宋_GB2312" w:eastAsia="仿宋_GB2312"/>
                      <w:sz w:val="19"/>
                      <w:b/>
                      <w:color w:val="000000"/>
                    </w:rPr>
                    <w:t>国家认可的第三方检测机构出具的</w:t>
                  </w:r>
                  <w:r>
                    <w:rPr>
                      <w:rFonts w:ascii="仿宋_GB2312" w:hAnsi="仿宋_GB2312" w:cs="仿宋_GB2312" w:eastAsia="仿宋_GB2312"/>
                      <w:sz w:val="19"/>
                      <w:b/>
                      <w:color w:val="000000"/>
                    </w:rPr>
                    <w:t>检测报告</w:t>
                  </w:r>
                  <w:r>
                    <w:rPr>
                      <w:rFonts w:ascii="仿宋_GB2312" w:hAnsi="仿宋_GB2312" w:cs="仿宋_GB2312" w:eastAsia="仿宋_GB2312"/>
                      <w:sz w:val="19"/>
                      <w:b/>
                      <w:color w:val="000000"/>
                    </w:rPr>
                    <w:t>予以</w:t>
                  </w:r>
                  <w:r>
                    <w:rPr>
                      <w:rFonts w:ascii="仿宋_GB2312" w:hAnsi="仿宋_GB2312" w:cs="仿宋_GB2312" w:eastAsia="仿宋_GB2312"/>
                      <w:sz w:val="19"/>
                      <w:b/>
                      <w:color w:val="000000"/>
                    </w:rPr>
                    <w:t>佐证</w:t>
                  </w:r>
                  <w:r>
                    <w:rPr>
                      <w:rFonts w:ascii="仿宋_GB2312" w:hAnsi="仿宋_GB2312" w:cs="仿宋_GB2312" w:eastAsia="仿宋_GB2312"/>
                      <w:sz w:val="19"/>
                      <w:b/>
                      <w:color w:val="000000"/>
                    </w:rPr>
                    <w:t>）</w:t>
                  </w:r>
                </w:p>
                <w:p>
                  <w:pPr>
                    <w:pStyle w:val="null3"/>
                    <w:ind w:firstLine="362"/>
                    <w:jc w:val="left"/>
                  </w:pPr>
                  <w:r>
                    <w:rPr>
                      <w:rFonts w:ascii="仿宋_GB2312" w:hAnsi="仿宋_GB2312" w:cs="仿宋_GB2312" w:eastAsia="仿宋_GB2312"/>
                      <w:sz w:val="19"/>
                      <w:color w:val="000000"/>
                    </w:rPr>
                    <w:t>12.</w:t>
                  </w:r>
                  <w:r>
                    <w:rPr>
                      <w:rFonts w:ascii="仿宋_GB2312" w:hAnsi="仿宋_GB2312" w:cs="仿宋_GB2312" w:eastAsia="仿宋_GB2312"/>
                      <w:sz w:val="19"/>
                      <w:color w:val="000000"/>
                    </w:rPr>
                    <w:t>支持全网网络拓扑流量可视化监控，拓扑图直观展示云服务器网卡上下行吞吐量、包速率、安全组策略等关键信息。</w:t>
                  </w:r>
                </w:p>
                <w:p>
                  <w:pPr>
                    <w:pStyle w:val="null3"/>
                    <w:ind w:firstLine="362"/>
                    <w:jc w:val="left"/>
                  </w:pPr>
                  <w:r>
                    <w:rPr>
                      <w:rFonts w:ascii="仿宋_GB2312" w:hAnsi="仿宋_GB2312" w:cs="仿宋_GB2312" w:eastAsia="仿宋_GB2312"/>
                      <w:sz w:val="19"/>
                      <w:color w:val="000000"/>
                    </w:rPr>
                    <w:t>▲13.支持网络微分段安全管控，本地网络、VPC 网络环境下均可启用微分段功能；可通过微分段分组自定义安全访问控制策略。</w:t>
                  </w:r>
                  <w:r>
                    <w:rPr>
                      <w:rFonts w:ascii="仿宋_GB2312" w:hAnsi="仿宋_GB2312" w:cs="仿宋_GB2312" w:eastAsia="仿宋_GB2312"/>
                      <w:sz w:val="19"/>
                      <w:b/>
                      <w:color w:val="000000"/>
                    </w:rPr>
                    <w:t>（须提供产品功能截图予以佐证）</w:t>
                  </w:r>
                </w:p>
                <w:p>
                  <w:pPr>
                    <w:pStyle w:val="null3"/>
                    <w:ind w:firstLine="362"/>
                    <w:jc w:val="left"/>
                  </w:pPr>
                  <w:r>
                    <w:rPr>
                      <w:rFonts w:ascii="仿宋_GB2312" w:hAnsi="仿宋_GB2312" w:cs="仿宋_GB2312" w:eastAsia="仿宋_GB2312"/>
                      <w:sz w:val="19"/>
                      <w:color w:val="000000"/>
                    </w:rPr>
                    <w:t>14.</w:t>
                  </w:r>
                  <w:r>
                    <w:rPr>
                      <w:rFonts w:ascii="仿宋_GB2312" w:hAnsi="仿宋_GB2312" w:cs="仿宋_GB2312" w:eastAsia="仿宋_GB2312"/>
                      <w:sz w:val="19"/>
                      <w:color w:val="000000"/>
                    </w:rPr>
                    <w:t>具备云服务器故障宕机自动截屏功能，可捕获系统崩溃前最后一屏报错日志信息，为故障排查、问题溯源提供依据。</w:t>
                  </w:r>
                </w:p>
                <w:p>
                  <w:pPr>
                    <w:pStyle w:val="null3"/>
                    <w:ind w:firstLine="362"/>
                    <w:jc w:val="left"/>
                  </w:pPr>
                  <w:r>
                    <w:rPr>
                      <w:rFonts w:ascii="仿宋_GB2312" w:hAnsi="仿宋_GB2312" w:cs="仿宋_GB2312" w:eastAsia="仿宋_GB2312"/>
                      <w:sz w:val="19"/>
                      <w:color w:val="000000"/>
                    </w:rPr>
                    <w:t>▲15.支持系统蓝屏故障智能检测，可完整记录云服务器重启、系统故障、蓝屏异常、HA 切换等全流程日志，可在设备详情页面随时查询全过程记录。</w:t>
                  </w:r>
                  <w:r>
                    <w:rPr>
                      <w:rFonts w:ascii="仿宋_GB2312" w:hAnsi="仿宋_GB2312" w:cs="仿宋_GB2312" w:eastAsia="仿宋_GB2312"/>
                      <w:sz w:val="19"/>
                      <w:color w:val="000000"/>
                    </w:rPr>
                    <w:t>（</w:t>
                  </w:r>
                  <w:r>
                    <w:rPr>
                      <w:rFonts w:ascii="仿宋_GB2312" w:hAnsi="仿宋_GB2312" w:cs="仿宋_GB2312" w:eastAsia="仿宋_GB2312"/>
                      <w:sz w:val="19"/>
                      <w:b/>
                      <w:color w:val="000000"/>
                    </w:rPr>
                    <w:t>须提供</w:t>
                  </w:r>
                  <w:r>
                    <w:rPr>
                      <w:rFonts w:ascii="仿宋_GB2312" w:hAnsi="仿宋_GB2312" w:cs="仿宋_GB2312" w:eastAsia="仿宋_GB2312"/>
                      <w:sz w:val="19"/>
                      <w:b/>
                      <w:color w:val="000000"/>
                    </w:rPr>
                    <w:t>国家认可的第三方检测机构出具的</w:t>
                  </w:r>
                  <w:r>
                    <w:rPr>
                      <w:rFonts w:ascii="仿宋_GB2312" w:hAnsi="仿宋_GB2312" w:cs="仿宋_GB2312" w:eastAsia="仿宋_GB2312"/>
                      <w:sz w:val="19"/>
                      <w:b/>
                      <w:color w:val="000000"/>
                    </w:rPr>
                    <w:t>检测报告</w:t>
                  </w:r>
                  <w:r>
                    <w:rPr>
                      <w:rFonts w:ascii="仿宋_GB2312" w:hAnsi="仿宋_GB2312" w:cs="仿宋_GB2312" w:eastAsia="仿宋_GB2312"/>
                      <w:sz w:val="19"/>
                      <w:b/>
                      <w:color w:val="000000"/>
                    </w:rPr>
                    <w:t>予以</w:t>
                  </w:r>
                  <w:r>
                    <w:rPr>
                      <w:rFonts w:ascii="仿宋_GB2312" w:hAnsi="仿宋_GB2312" w:cs="仿宋_GB2312" w:eastAsia="仿宋_GB2312"/>
                      <w:sz w:val="19"/>
                      <w:b/>
                      <w:color w:val="000000"/>
                    </w:rPr>
                    <w:t>佐证</w:t>
                  </w:r>
                  <w:r>
                    <w:rPr>
                      <w:rFonts w:ascii="仿宋_GB2312" w:hAnsi="仿宋_GB2312" w:cs="仿宋_GB2312" w:eastAsia="仿宋_GB2312"/>
                      <w:sz w:val="19"/>
                      <w:b/>
                      <w:color w:val="000000"/>
                    </w:rPr>
                    <w:t>）</w:t>
                  </w:r>
                </w:p>
                <w:p>
                  <w:pPr>
                    <w:pStyle w:val="null3"/>
                    <w:ind w:firstLine="362"/>
                    <w:jc w:val="left"/>
                  </w:pPr>
                  <w:r>
                    <w:rPr>
                      <w:rFonts w:ascii="仿宋_GB2312" w:hAnsi="仿宋_GB2312" w:cs="仿宋_GB2312" w:eastAsia="仿宋_GB2312"/>
                      <w:sz w:val="19"/>
                      <w:color w:val="000000"/>
                    </w:rPr>
                    <w:t>16.</w:t>
                  </w:r>
                  <w:r>
                    <w:rPr>
                      <w:rFonts w:ascii="仿宋_GB2312" w:hAnsi="仿宋_GB2312" w:cs="仿宋_GB2312" w:eastAsia="仿宋_GB2312"/>
                      <w:sz w:val="19"/>
                      <w:color w:val="000000"/>
                    </w:rPr>
                    <w:t>兼容主流</w:t>
                  </w:r>
                  <w:r>
                    <w:rPr>
                      <w:rFonts w:ascii="仿宋_GB2312" w:hAnsi="仿宋_GB2312" w:cs="仿宋_GB2312" w:eastAsia="仿宋_GB2312"/>
                      <w:sz w:val="19"/>
                      <w:color w:val="000000"/>
                    </w:rPr>
                    <w:t xml:space="preserve"> Linux、Windows 及国产操作系统；支持云服务器内部负载实时监控，可展示操作系统版本、CPU 使用率、内存使用率、网络流量、磁盘数量、分区信息、磁盘使用率、系统进程及连接数等指标。</w:t>
                  </w:r>
                </w:p>
                <w:p>
                  <w:pPr>
                    <w:pStyle w:val="null3"/>
                    <w:ind w:firstLine="362"/>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17.</w:t>
                  </w:r>
                  <w:r>
                    <w:rPr>
                      <w:rFonts w:ascii="仿宋_GB2312" w:hAnsi="仿宋_GB2312" w:cs="仿宋_GB2312" w:eastAsia="仿宋_GB2312"/>
                      <w:sz w:val="19"/>
                      <w:color w:val="000000"/>
                    </w:rPr>
                    <w:t>支持硬盘退役与维护双模式管理；硬盘设为退役时，数据自动在线迁移至集群其他节点磁盘；硬盘设为维护模式时，新业务数据自动分流至其他磁盘，原有业务数据不受影响。</w:t>
                  </w:r>
                  <w:r>
                    <w:rPr>
                      <w:rFonts w:ascii="仿宋_GB2312" w:hAnsi="仿宋_GB2312" w:cs="仿宋_GB2312" w:eastAsia="仿宋_GB2312"/>
                      <w:sz w:val="19"/>
                      <w:b/>
                      <w:color w:val="000000"/>
                    </w:rPr>
                    <w:t>（须提供产品功能截图予以佐证）</w:t>
                  </w:r>
                </w:p>
              </w:tc>
            </w:tr>
            <w:tr>
              <w:tc>
                <w:tcPr>
                  <w:tcW w:type="dxa" w:w="69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r>
                    <w:rPr>
                      <w:rFonts w:ascii="仿宋_GB2312" w:hAnsi="仿宋_GB2312" w:cs="仿宋_GB2312" w:eastAsia="仿宋_GB2312"/>
                      <w:sz w:val="21"/>
                    </w:rPr>
                    <w:t>★为实质性要求，供应商未响应作负偏离处理；▲为重点技术参数，采购文件要求提供证明材料的供应商需按要求提供证明材料，未提供视为不满足。</w:t>
                  </w:r>
                </w:p>
                <w:p>
                  <w:pPr>
                    <w:pStyle w:val="null3"/>
                    <w:jc w:val="both"/>
                  </w:pPr>
                  <w:r>
                    <w:rPr>
                      <w:rFonts w:ascii="仿宋_GB2312" w:hAnsi="仿宋_GB2312" w:cs="仿宋_GB2312" w:eastAsia="仿宋_GB2312"/>
                      <w:sz w:val="21"/>
                      <w:color w:val="FF0000"/>
                    </w:rPr>
                    <w:t>本文件所有涉及到的各类标准，若有最新标准或规范均按照最新标准或规范执行。专用制冷空调设备1、专用制冷空调设备2、专用制冷空调设备3、专用制冷空调设备4 为3c认证产品，供应商需提供3C认证证书扫描件或提供具有3C认证证书的承诺函。</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原厂支持服务</w:t>
            </w:r>
          </w:p>
        </w:tc>
        <w:tc>
          <w:tcPr>
            <w:tcW w:type="dxa" w:w="5814"/>
          </w:tcPr>
          <w:p>
            <w:pPr>
              <w:pStyle w:val="null3"/>
              <w:jc w:val="left"/>
            </w:pPr>
            <w:r>
              <w:rPr>
                <w:rFonts w:ascii="仿宋_GB2312" w:hAnsi="仿宋_GB2312" w:cs="仿宋_GB2312" w:eastAsia="仿宋_GB2312"/>
                <w:sz w:val="24"/>
              </w:rPr>
              <w:t>供应商提供的设备，务必提供以下原厂支持服务，交货验收现场查验：所有设备需为原厂正品，非翻新设备，支持官网或电话查验，机身号唯一，不得具有注册使用记录；所有配置满足招标要求。如有数量短缺、规格质量不符、资料不全等，由中标人无偿更换、补齐。并承担由此产生的费用。招标人有权在交货时验证产品的技术性能，如涉及虚假，并按相关规定给予处罚及违约偿。</w:t>
            </w:r>
            <w:r>
              <w:rPr>
                <w:rFonts w:ascii="仿宋_GB2312" w:hAnsi="仿宋_GB2312" w:cs="仿宋_GB2312" w:eastAsia="仿宋_GB2312"/>
                <w:sz w:val="24"/>
                <w:b/>
              </w:rPr>
              <w:t>（提供承诺函）</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维保服务</w:t>
            </w:r>
          </w:p>
        </w:tc>
        <w:tc>
          <w:tcPr>
            <w:tcW w:type="dxa" w:w="5814"/>
          </w:tcPr>
          <w:p>
            <w:pPr>
              <w:pStyle w:val="null3"/>
              <w:jc w:val="left"/>
            </w:pPr>
            <w:r>
              <w:rPr>
                <w:rFonts w:ascii="仿宋_GB2312" w:hAnsi="仿宋_GB2312" w:cs="仿宋_GB2312" w:eastAsia="仿宋_GB2312"/>
                <w:sz w:val="24"/>
              </w:rPr>
              <w:t>三年原厂维保</w:t>
            </w:r>
            <w:r>
              <w:rPr>
                <w:rFonts w:ascii="仿宋_GB2312" w:hAnsi="仿宋_GB2312" w:cs="仿宋_GB2312" w:eastAsia="仿宋_GB2312"/>
                <w:sz w:val="24"/>
              </w:rPr>
              <w:t>(质保期自验收合格之日起开始计算)，安装验收时提供所投品牌工程师对用户进行现场培训，培训内容包括仪器操作、日常维护等，具有免费客户电话服务中心，可远程在线解答用户的日常仪器使用问题。</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合同签订后 90 日内完成全部设备的安装调试。</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1、签订合同后收到供应商开具的增值税发票后，达到付款条件起20日内，支付合同总金额的60.00%</w:t>
            </w:r>
          </w:p>
          <w:p>
            <w:pPr>
              <w:pStyle w:val="null3"/>
              <w:jc w:val="left"/>
            </w:pPr>
            <w:r>
              <w:rPr>
                <w:rFonts w:ascii="仿宋_GB2312" w:hAnsi="仿宋_GB2312" w:cs="仿宋_GB2312" w:eastAsia="仿宋_GB2312"/>
              </w:rPr>
              <w:t>2、项目验收交付完成后供应商开具的增值税发票，达到付款条件起20日内，支付合同总金额的40.00%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及《政府采购需求管理办法》（财库【2021】22号）等相关规定及招标文件服务要求、投标文件响应情况和国家、行业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对本次采购所有软硬件以及装修、施工等质量，提供三年免费维保(质保期自验收合格之日起开始计算）</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（1）采购方违约责任 1.1 采购方无正当理由拒收货物的，采购方应偿付合同总价百分之五的违约金。 1.2 因采购方原因逾期支付货款的，除应及时付足货款外，应向投标人偿付欠款总额万分之十/天的违约金；逾期付款超过 15 天的，投标人有权终止合同。 1.3 采购方偿付的违约金不足以弥补中标人损失的，还应按投标人损失尚未弥补的部分，支付赔偿金给投标人。 （2）投标方违约责任 2.1投标方交付的货物质量不符合合同规定的，投标方应向采购方支付合同总价的百分之五的违约金，并须在合同规定的交货时间内更换合格的货物给采购方，否则，视作投标人不能交付货物而违约，按本条本款下述第“2”项规定由投标方偿付违约赔偿金给采购方。 2.2 投标方不能交付货物或逾期交付货物而违约的，除应及时交足货物外，应向采购方偿付逾期交货部分货款总额的万分之十/天的违约金；逾期交货或未能按时完工超过 15 天，采购方有权终止合同，投标方则应按合同总价的百分之五的款额向采购方偿付赔偿金，并须全额退还采购方已经付给投标方的货款及其利息。 2.3 如货物经投标方 3 次维修仍不能达到合同约定的质量标准，采购方有权退货，并视作投标方不能交付货物而须支付违约赔偿金给采购方，采购方还可依法追究投标方的违约责任。 2.4投标方货物经采购方送交具有法定资格条件的质量技术监督机构检测后，如检测结果认定货物质量不符合本合同规定标准的，则视为投标方没有按时交货而违约，投标方须在 30 天内无条件更换合格的货物，如逾期不能更换合格的货物，采购方有权终止本合同，投标方应另付合同总价的百分之五的赔偿金给采购方。 2.5 投标方保证本合同货 物的权利无瑕疵，包括货物所有权及知识产权等权利无瑕疵。如任何第三方经法院（或仲裁机构） 裁决有权对上述货物主张权利或国家机关依法对货物进行没收查处的，投标方除应向采购方返还已收款项外，还应另按合同总价的百分之五向采购方支付违约金并赔偿因此给采购方造成的一切损失。 2.6 投标方偿付的违约金不足以弥补采购方损失的，还应按采购方损失尚未弥补的部分，支付赔偿金给采购方。</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1.供应商需提供2023年1月1日（含）至投标截止时间前的类似项目业绩。2.提供服务方案，包括：①产品供货及应急管理措施;②培训服务方案;③售后服务措施及质保期满后维护方案。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 人：提供“统一社会信用代码营业执照”；未换证的提供“营业执照、税务登记证、组织机构代码证”； ②若为事业法人：提供“统一社会信用代码法人登记证书”；未换证的提交“事业法人登记证书、组织机构代码证”； ③若为其他组织：提供“对应主管部门颁发的准许执业证明文件或营业执照”； ④若为自然人：提供“身份证复印件 ”。 ⑤非独立法人分支机构参加需提供具有独立法人资格的总公司针对本项目的授权书原件，并提供“统一社会信用代码营业执照”；未换证的提供“营业执照、税务登记证、组织机构代码证”。 供应商根据自身情况提供以上①、②、③ 、④、⑤任意一项。</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需要供应商按采购文件要求进行承诺，若与序号1冲突之处，以此项为准。</w:t>
            </w:r>
          </w:p>
        </w:tc>
        <w:tc>
          <w:tcPr>
            <w:tcW w:type="dxa" w:w="1661"/>
          </w:tcPr>
          <w:p>
            <w:pPr>
              <w:pStyle w:val="null3"/>
              <w:jc w:val="left"/>
            </w:pPr>
            <w:r>
              <w:rPr>
                <w:rFonts w:ascii="仿宋_GB2312" w:hAnsi="仿宋_GB2312" w:cs="仿宋_GB2312" w:eastAsia="仿宋_GB2312"/>
              </w:rPr>
              <w:t>投标人应提交的相关证明材料,产品技术参数响应表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供应商对采购文件中实质性要求响应情况</w:t>
            </w:r>
          </w:p>
        </w:tc>
        <w:tc>
          <w:tcPr>
            <w:tcW w:type="dxa" w:w="3322"/>
          </w:tcPr>
          <w:p>
            <w:pPr>
              <w:pStyle w:val="null3"/>
              <w:jc w:val="left"/>
            </w:pPr>
            <w:r>
              <w:rPr>
                <w:rFonts w:ascii="仿宋_GB2312" w:hAnsi="仿宋_GB2312" w:cs="仿宋_GB2312" w:eastAsia="仿宋_GB2312"/>
              </w:rPr>
              <w:t>供应商对采购文件中“3.2技术要求”和“3.3服务要求”（包含：3.3.1.服务内容要求 和3.3.2.商务要求）标注 ★ 内容，据实在 产品技术参数响应表及服务应答表 中进行响应。</w:t>
            </w:r>
          </w:p>
        </w:tc>
        <w:tc>
          <w:tcPr>
            <w:tcW w:type="dxa" w:w="1661"/>
          </w:tcPr>
          <w:p>
            <w:pPr>
              <w:pStyle w:val="null3"/>
              <w:jc w:val="left"/>
            </w:pPr>
            <w:r>
              <w:rPr>
                <w:rFonts w:ascii="仿宋_GB2312" w:hAnsi="仿宋_GB2312" w:cs="仿宋_GB2312" w:eastAsia="仿宋_GB2312"/>
              </w:rPr>
              <w:t>产品技术参数响应表,服务应答表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未载明或者载明的标的名称、数量、计量单位及其他实质性内容与招标文件要求不一致，且采购单位无法接受的，属于无效响应。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未载明或者载明的标的名称、数量、计量单位及其他实质性内容与招标文件要求不一致，且采购单位无法接受的，属于无效响应。</w:t>
            </w:r>
          </w:p>
        </w:tc>
        <w:tc>
          <w:tcPr>
            <w:tcW w:type="dxa" w:w="1661"/>
          </w:tcPr>
          <w:p>
            <w:pPr>
              <w:pStyle w:val="null3"/>
              <w:jc w:val="left"/>
            </w:pPr>
            <w:r>
              <w:rPr>
                <w:rFonts w:ascii="仿宋_GB2312" w:hAnsi="仿宋_GB2312" w:cs="仿宋_GB2312" w:eastAsia="仿宋_GB2312"/>
              </w:rPr>
              <w:t>投标人应提交的相关证明材料,产品技术参数响应表,中小企业声明函,残疾人福利性单位声明函,报价明细表,关于符合本国产品标准的声明函,投标文件封面,服务应答表,报价表,投标（响应）函,监狱企业的证明文件</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技术参数响应</w:t>
            </w:r>
          </w:p>
        </w:tc>
        <w:tc>
          <w:tcPr>
            <w:tcW w:type="dxa" w:w="2575"/>
          </w:tcPr>
          <w:p>
            <w:pPr>
              <w:pStyle w:val="null3"/>
              <w:jc w:val="left"/>
            </w:pPr>
            <w:r>
              <w:rPr>
                <w:rFonts w:ascii="仿宋_GB2312" w:hAnsi="仿宋_GB2312" w:cs="仿宋_GB2312" w:eastAsia="仿宋_GB2312"/>
              </w:rPr>
              <w:t>1、完全符合招标文件技术参数要求的得49分。 2、带“▲”项的技术参数为重要技术参数共26项，（共26条，39分）每有一项负偏离的扣1.5分，非“▲”项的技术参数为一般参数，一般参数得分＝（满足要求的条数/总条数）×10（保留小数点后两位）注：1、以不能拆分的最小阿拉伯数字为一条技术参数，没有阿拉伯数字的计为一条技术参数。2、带▲项参数需按招标文件提供相关证明材料,未提供视为负偏离。</w:t>
            </w:r>
          </w:p>
        </w:tc>
        <w:tc>
          <w:tcPr>
            <w:tcW w:type="dxa" w:w="831"/>
          </w:tcPr>
          <w:p>
            <w:pPr>
              <w:pStyle w:val="null3"/>
              <w:jc w:val="center"/>
            </w:pPr>
            <w:r>
              <w:rPr>
                <w:rFonts w:ascii="仿宋_GB2312" w:hAnsi="仿宋_GB2312" w:cs="仿宋_GB2312" w:eastAsia="仿宋_GB2312"/>
              </w:rPr>
              <w:t>49.0000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供应商提供2023年1月1日（含）至投标截止时间前的类似项目业绩，每提供1个得1分，本项最高得2分。 备注：供应商需提供中标（成交）通知书扫描件或合同（合同最少需包含关键页和双方盖章页）扫描件，未提供不得分。（中标/成交通知书以发放时间为准，合同以签订时间为准）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对本项目提供的服务方案进行综合评审，包括：①产品供货及应急管理措施;②培训服务方案;③售后服务措施及质保期满后维护方案。完整提供以上3项内容且不存在缺陷得18分,每有一处缺项扣6分,每有一处缺陷扣3分,该项分扣完为止。 注：缺陷是指项目名称、履约地点错误或方案内容不符合项目实际情况或方案内容有缺失或方案内容描述不准确或方案内容逻辑混乱或方案内容存在不满足项目要求等任意一种情形。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优先采购节能产品、环节标志产品</w:t>
            </w:r>
          </w:p>
        </w:tc>
        <w:tc>
          <w:tcPr>
            <w:tcW w:type="dxa" w:w="2575"/>
          </w:tcPr>
          <w:p>
            <w:pPr>
              <w:pStyle w:val="null3"/>
              <w:jc w:val="left"/>
            </w:pPr>
            <w:r>
              <w:rPr>
                <w:rFonts w:ascii="仿宋_GB2312" w:hAnsi="仿宋_GB2312" w:cs="仿宋_GB2312" w:eastAsia="仿宋_GB2312"/>
              </w:rPr>
              <w:t>投标产品中属于政府采购优先采购范围的，则每有一项为节能产品或者环境标志产品的得0.5分，非节能、环境标志产品的不得分。本项最多得1分。注：1. 节能产品、环境标志产品优先采购范围以品目清单为准。 2. 投标产品属于优先采购范围内的节能产品或者环境标志产品的，提供国家确定的认证机构出具的、处于有效期之内的节能产品、环境标志产品认证证书扫描件。</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投标人应提交的相关证明材料,产品技术参数响应表</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