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B68E46">
      <w:pPr>
        <w:pStyle w:val="21"/>
        <w:adjustRightInd w:val="0"/>
        <w:snapToGrid w:val="0"/>
        <w:spacing w:line="360" w:lineRule="auto"/>
        <w:ind w:left="4532" w:hanging="3682"/>
        <w:jc w:val="center"/>
        <w:rPr>
          <w:rFonts w:ascii="华文中宋" w:hAnsi="华文中宋" w:eastAsia="华文中宋"/>
          <w:bCs/>
          <w:sz w:val="52"/>
          <w:szCs w:val="52"/>
        </w:rPr>
      </w:pPr>
    </w:p>
    <w:p w14:paraId="655BBB8F">
      <w:pPr>
        <w:pStyle w:val="21"/>
        <w:adjustRightInd w:val="0"/>
        <w:snapToGrid w:val="0"/>
        <w:spacing w:before="624" w:beforeLines="200" w:line="360" w:lineRule="auto"/>
        <w:ind w:left="7654" w:hanging="7654"/>
        <w:jc w:val="center"/>
        <w:rPr>
          <w:rFonts w:ascii="华文中宋" w:hAnsi="华文中宋" w:eastAsia="华文中宋"/>
          <w:b/>
          <w:bCs/>
          <w:sz w:val="96"/>
          <w:szCs w:val="84"/>
        </w:rPr>
      </w:pPr>
      <w:r>
        <w:rPr>
          <w:rFonts w:hint="eastAsia" w:ascii="华文中宋" w:hAnsi="华文中宋" w:eastAsia="华文中宋"/>
          <w:b/>
          <w:bCs/>
          <w:sz w:val="96"/>
          <w:szCs w:val="84"/>
        </w:rPr>
        <w:t>招 标 文 件</w:t>
      </w:r>
    </w:p>
    <w:p w14:paraId="77B097F9">
      <w:pPr>
        <w:pStyle w:val="21"/>
        <w:adjustRightInd w:val="0"/>
        <w:snapToGrid w:val="0"/>
        <w:spacing w:line="360" w:lineRule="auto"/>
        <w:ind w:left="3968" w:hanging="3118"/>
        <w:jc w:val="center"/>
        <w:rPr>
          <w:rFonts w:ascii="华文中宋" w:hAnsi="华文中宋" w:eastAsia="华文中宋"/>
          <w:b/>
          <w:bCs/>
          <w:sz w:val="44"/>
          <w:szCs w:val="44"/>
        </w:rPr>
      </w:pPr>
    </w:p>
    <w:p w14:paraId="300F1363">
      <w:pPr>
        <w:pStyle w:val="21"/>
        <w:adjustRightInd w:val="0"/>
        <w:snapToGrid w:val="0"/>
        <w:spacing w:line="360" w:lineRule="auto"/>
        <w:ind w:left="3968" w:hanging="3118"/>
        <w:jc w:val="center"/>
        <w:rPr>
          <w:rFonts w:ascii="华文中宋" w:hAnsi="华文中宋" w:eastAsia="华文中宋"/>
          <w:b/>
          <w:bCs/>
          <w:sz w:val="44"/>
          <w:szCs w:val="44"/>
        </w:rPr>
      </w:pPr>
    </w:p>
    <w:p w14:paraId="053B2197">
      <w:pPr>
        <w:pStyle w:val="21"/>
        <w:adjustRightInd w:val="0"/>
        <w:snapToGrid w:val="0"/>
        <w:spacing w:line="240" w:lineRule="atLeast"/>
        <w:ind w:left="2337" w:hanging="1487"/>
        <w:jc w:val="center"/>
        <w:rPr>
          <w:rFonts w:ascii="华文中宋" w:hAnsi="华文中宋" w:eastAsia="华文中宋"/>
          <w:bCs/>
        </w:rPr>
      </w:pPr>
    </w:p>
    <w:p w14:paraId="66042D00">
      <w:pPr>
        <w:tabs>
          <w:tab w:val="left" w:pos="7938"/>
        </w:tabs>
        <w:suppressAutoHyphens/>
        <w:adjustRightInd w:val="0"/>
        <w:snapToGrid w:val="0"/>
        <w:spacing w:line="360" w:lineRule="auto"/>
        <w:ind w:left="2976" w:leftChars="337" w:right="1273" w:hanging="2268" w:hangingChars="709"/>
        <w:rPr>
          <w:rFonts w:ascii="黑体" w:hAnsi="黑体" w:eastAsia="黑体"/>
          <w:snapToGrid w:val="0"/>
          <w:sz w:val="32"/>
          <w:szCs w:val="32"/>
        </w:rPr>
      </w:pPr>
      <w:r>
        <w:rPr>
          <w:rFonts w:hint="eastAsia" w:ascii="黑体" w:hAnsi="黑体" w:eastAsia="黑体"/>
          <w:sz w:val="32"/>
          <w:szCs w:val="32"/>
        </w:rPr>
        <w:t>采购项目名称：</w:t>
      </w:r>
      <w:r>
        <w:rPr>
          <w:rFonts w:hint="eastAsia" w:ascii="黑体" w:hAnsi="黑体" w:eastAsia="黑体"/>
          <w:snapToGrid w:val="0"/>
          <w:sz w:val="32"/>
          <w:szCs w:val="32"/>
        </w:rPr>
        <w:t>中南大学湘雅三医院飞利浦FD-10整机维保服务</w:t>
      </w:r>
      <w:bookmarkStart w:id="202" w:name="_GoBack"/>
      <w:bookmarkEnd w:id="202"/>
      <w:r>
        <w:rPr>
          <w:rFonts w:hint="eastAsia" w:ascii="黑体" w:hAnsi="黑体" w:eastAsia="黑体"/>
          <w:snapToGrid w:val="0"/>
          <w:sz w:val="32"/>
          <w:szCs w:val="32"/>
        </w:rPr>
        <w:t>项目</w:t>
      </w:r>
    </w:p>
    <w:p w14:paraId="43AD5882">
      <w:pPr>
        <w:adjustRightInd w:val="0"/>
        <w:snapToGrid w:val="0"/>
        <w:spacing w:line="360" w:lineRule="auto"/>
        <w:ind w:left="2973" w:leftChars="337" w:right="565" w:hanging="2265" w:hangingChars="708"/>
        <w:rPr>
          <w:rFonts w:ascii="黑体" w:hAnsi="黑体" w:eastAsia="黑体"/>
          <w:snapToGrid w:val="0"/>
          <w:sz w:val="32"/>
          <w:szCs w:val="32"/>
        </w:rPr>
      </w:pPr>
      <w:r>
        <w:rPr>
          <w:rFonts w:hint="eastAsia" w:ascii="黑体" w:hAnsi="黑体" w:eastAsia="黑体"/>
          <w:snapToGrid w:val="0"/>
          <w:sz w:val="32"/>
          <w:szCs w:val="32"/>
        </w:rPr>
        <w:t>项 目  编 号：</w:t>
      </w:r>
      <w:r>
        <w:rPr>
          <w:rFonts w:ascii="黑体" w:hAnsi="黑体" w:eastAsia="黑体"/>
          <w:snapToGrid w:val="0"/>
          <w:sz w:val="32"/>
          <w:szCs w:val="32"/>
        </w:rPr>
        <w:t>ZCWB20260</w:t>
      </w:r>
      <w:r>
        <w:rPr>
          <w:rFonts w:hint="eastAsia" w:ascii="黑体" w:hAnsi="黑体" w:eastAsia="黑体"/>
          <w:snapToGrid w:val="0"/>
          <w:sz w:val="32"/>
          <w:szCs w:val="32"/>
        </w:rPr>
        <w:t>303</w:t>
      </w:r>
    </w:p>
    <w:p w14:paraId="610D0ED5">
      <w:pPr>
        <w:adjustRightInd w:val="0"/>
        <w:snapToGrid w:val="0"/>
        <w:spacing w:line="360" w:lineRule="auto"/>
        <w:ind w:left="2973" w:leftChars="337" w:right="565" w:hanging="2265" w:hangingChars="708"/>
        <w:rPr>
          <w:rFonts w:ascii="黑体" w:hAnsi="黑体" w:eastAsia="黑体"/>
          <w:color w:val="FF0000"/>
          <w:sz w:val="32"/>
          <w:szCs w:val="32"/>
        </w:rPr>
      </w:pPr>
      <w:r>
        <w:rPr>
          <w:rFonts w:hint="eastAsia" w:ascii="黑体" w:hAnsi="黑体" w:eastAsia="黑体"/>
          <w:sz w:val="32"/>
          <w:szCs w:val="32"/>
        </w:rPr>
        <w:t>采购代理编号：</w:t>
      </w:r>
      <w:r>
        <w:rPr>
          <w:rFonts w:ascii="黑体" w:hAnsi="黑体" w:eastAsia="黑体"/>
          <w:sz w:val="32"/>
          <w:szCs w:val="32"/>
        </w:rPr>
        <w:t>0646-264HNGL</w:t>
      </w:r>
      <w:r>
        <w:rPr>
          <w:rFonts w:hint="eastAsia" w:ascii="黑体" w:hAnsi="黑体" w:eastAsia="黑体"/>
          <w:sz w:val="32"/>
          <w:szCs w:val="32"/>
        </w:rPr>
        <w:t>N0131</w:t>
      </w:r>
    </w:p>
    <w:p w14:paraId="269FB0E8">
      <w:pPr>
        <w:adjustRightInd w:val="0"/>
        <w:snapToGrid w:val="0"/>
        <w:spacing w:line="360" w:lineRule="auto"/>
        <w:ind w:left="2973" w:leftChars="337" w:right="565" w:hanging="2265" w:hangingChars="708"/>
        <w:rPr>
          <w:rFonts w:ascii="黑体" w:hAnsi="黑体" w:eastAsia="黑体"/>
          <w:sz w:val="32"/>
          <w:szCs w:val="32"/>
        </w:rPr>
      </w:pPr>
      <w:r>
        <w:rPr>
          <w:rFonts w:hint="eastAsia" w:ascii="黑体" w:hAnsi="黑体" w:eastAsia="黑体"/>
          <w:sz w:val="32"/>
          <w:szCs w:val="32"/>
        </w:rPr>
        <w:t>采   购   人：中南大学湘雅三医院</w:t>
      </w:r>
    </w:p>
    <w:p w14:paraId="7428722D">
      <w:pPr>
        <w:adjustRightInd w:val="0"/>
        <w:snapToGrid w:val="0"/>
        <w:spacing w:line="360" w:lineRule="auto"/>
        <w:ind w:left="2973" w:leftChars="337" w:right="565" w:hanging="2265" w:hangingChars="708"/>
        <w:rPr>
          <w:rFonts w:hAnsi="宋体"/>
          <w:b/>
          <w:sz w:val="32"/>
          <w:szCs w:val="32"/>
        </w:rPr>
      </w:pPr>
      <w:r>
        <w:rPr>
          <w:rFonts w:hint="eastAsia" w:ascii="黑体" w:hAnsi="黑体" w:eastAsia="黑体"/>
          <w:sz w:val="32"/>
          <w:szCs w:val="32"/>
        </w:rPr>
        <w:t>采购代理机构：湖南国联招标有限公司</w:t>
      </w:r>
    </w:p>
    <w:p w14:paraId="6980742C">
      <w:pPr>
        <w:pStyle w:val="21"/>
        <w:adjustRightInd w:val="0"/>
        <w:snapToGrid w:val="0"/>
        <w:spacing w:line="360" w:lineRule="auto"/>
        <w:jc w:val="center"/>
        <w:rPr>
          <w:rFonts w:hAnsi="宋体"/>
          <w:bCs/>
          <w:sz w:val="32"/>
          <w:szCs w:val="32"/>
        </w:rPr>
      </w:pPr>
    </w:p>
    <w:p w14:paraId="7E1A04A3">
      <w:pPr>
        <w:pStyle w:val="21"/>
        <w:adjustRightInd w:val="0"/>
        <w:snapToGrid w:val="0"/>
        <w:spacing w:line="240" w:lineRule="atLeast"/>
        <w:jc w:val="center"/>
        <w:rPr>
          <w:rFonts w:hAnsi="宋体"/>
          <w:bCs/>
          <w:sz w:val="32"/>
          <w:szCs w:val="32"/>
        </w:rPr>
      </w:pPr>
    </w:p>
    <w:p w14:paraId="47612AB7">
      <w:pPr>
        <w:pStyle w:val="21"/>
        <w:adjustRightInd w:val="0"/>
        <w:snapToGrid w:val="0"/>
        <w:spacing w:line="240" w:lineRule="atLeast"/>
        <w:jc w:val="center"/>
        <w:rPr>
          <w:rFonts w:hAnsi="宋体"/>
          <w:bCs/>
          <w:sz w:val="32"/>
          <w:szCs w:val="32"/>
        </w:rPr>
      </w:pPr>
    </w:p>
    <w:p w14:paraId="200A511D">
      <w:pPr>
        <w:pStyle w:val="21"/>
        <w:adjustRightInd w:val="0"/>
        <w:snapToGrid w:val="0"/>
        <w:spacing w:line="240" w:lineRule="atLeast"/>
        <w:jc w:val="center"/>
        <w:rPr>
          <w:rFonts w:hAnsi="宋体"/>
          <w:bCs/>
          <w:sz w:val="32"/>
          <w:szCs w:val="32"/>
        </w:rPr>
      </w:pPr>
    </w:p>
    <w:p w14:paraId="1595029E">
      <w:pPr>
        <w:pStyle w:val="21"/>
        <w:adjustRightInd w:val="0"/>
        <w:snapToGrid w:val="0"/>
        <w:spacing w:line="240" w:lineRule="atLeast"/>
        <w:jc w:val="center"/>
        <w:rPr>
          <w:rFonts w:hAnsi="宋体"/>
          <w:bCs/>
          <w:sz w:val="32"/>
          <w:szCs w:val="32"/>
        </w:rPr>
      </w:pPr>
    </w:p>
    <w:p w14:paraId="0E970909">
      <w:pPr>
        <w:pStyle w:val="21"/>
        <w:adjustRightInd w:val="0"/>
        <w:snapToGrid w:val="0"/>
        <w:spacing w:line="240" w:lineRule="atLeast"/>
        <w:jc w:val="center"/>
        <w:rPr>
          <w:rFonts w:hAnsi="宋体"/>
          <w:bCs/>
          <w:sz w:val="32"/>
          <w:szCs w:val="32"/>
        </w:rPr>
      </w:pPr>
    </w:p>
    <w:p w14:paraId="031C92BE">
      <w:pPr>
        <w:pStyle w:val="21"/>
        <w:adjustRightInd w:val="0"/>
        <w:snapToGrid w:val="0"/>
        <w:spacing w:line="240" w:lineRule="atLeast"/>
        <w:jc w:val="center"/>
        <w:rPr>
          <w:rFonts w:ascii="黑体" w:hAnsi="黑体" w:eastAsia="黑体" w:cs="Times New Roman"/>
          <w:sz w:val="32"/>
          <w:szCs w:val="32"/>
        </w:rPr>
        <w:sectPr>
          <w:pgSz w:w="11906" w:h="16838"/>
          <w:pgMar w:top="1418" w:right="1418" w:bottom="1418" w:left="1418" w:header="851" w:footer="992" w:gutter="0"/>
          <w:pgNumType w:fmt="numberInDash"/>
          <w:cols w:space="720" w:num="1"/>
          <w:docGrid w:type="lines" w:linePitch="312" w:charSpace="0"/>
        </w:sectPr>
      </w:pPr>
      <w:r>
        <w:rPr>
          <w:rFonts w:hint="eastAsia" w:ascii="黑体" w:hAnsi="黑体" w:eastAsia="黑体" w:cs="Times New Roman"/>
          <w:sz w:val="32"/>
          <w:szCs w:val="32"/>
        </w:rPr>
        <w:t>2026年</w:t>
      </w:r>
      <w:r>
        <w:rPr>
          <w:rFonts w:hint="eastAsia" w:ascii="黑体" w:hAnsi="黑体" w:eastAsia="黑体" w:cs="Times New Roman"/>
          <w:sz w:val="32"/>
          <w:szCs w:val="32"/>
          <w:lang w:val="en-US" w:eastAsia="zh-CN"/>
        </w:rPr>
        <w:t>5</w:t>
      </w:r>
      <w:r>
        <w:rPr>
          <w:rFonts w:hint="eastAsia" w:ascii="黑体" w:hAnsi="黑体" w:eastAsia="黑体" w:cs="Times New Roman"/>
          <w:sz w:val="32"/>
          <w:szCs w:val="32"/>
        </w:rPr>
        <w:t>月</w:t>
      </w:r>
    </w:p>
    <w:p w14:paraId="5FEEB167">
      <w:pPr>
        <w:pStyle w:val="21"/>
        <w:adjustRightInd w:val="0"/>
        <w:snapToGrid w:val="0"/>
        <w:spacing w:line="360" w:lineRule="auto"/>
        <w:ind w:left="5667" w:hanging="4817"/>
        <w:jc w:val="center"/>
        <w:rPr>
          <w:rFonts w:ascii="华文中宋" w:hAnsi="华文中宋" w:eastAsia="华文中宋"/>
          <w:b/>
          <w:spacing w:val="160"/>
          <w:sz w:val="36"/>
          <w:szCs w:val="36"/>
        </w:rPr>
      </w:pPr>
      <w:r>
        <w:rPr>
          <w:rFonts w:hint="eastAsia" w:ascii="华文中宋" w:hAnsi="华文中宋" w:eastAsia="华文中宋"/>
          <w:b/>
          <w:spacing w:val="160"/>
          <w:sz w:val="36"/>
          <w:szCs w:val="36"/>
        </w:rPr>
        <w:t>目录</w:t>
      </w:r>
    </w:p>
    <w:p w14:paraId="5AB8CECA">
      <w:pPr>
        <w:pStyle w:val="32"/>
        <w:tabs>
          <w:tab w:val="right" w:leader="dot" w:pos="9070"/>
        </w:tabs>
        <w:ind w:left="420"/>
      </w:pPr>
      <w:r>
        <w:rPr>
          <w:rStyle w:val="44"/>
          <w:b w:val="0"/>
        </w:rPr>
        <w:fldChar w:fldCharType="begin"/>
      </w:r>
      <w:r>
        <w:rPr>
          <w:rStyle w:val="44"/>
          <w:b/>
        </w:rPr>
        <w:instrText xml:space="preserve"> TOC \o "1-5" \h \z \u </w:instrText>
      </w:r>
      <w:r>
        <w:rPr>
          <w:rStyle w:val="44"/>
          <w:b w:val="0"/>
        </w:rPr>
        <w:fldChar w:fldCharType="separate"/>
      </w:r>
      <w:r>
        <w:fldChar w:fldCharType="begin"/>
      </w:r>
      <w:r>
        <w:instrText xml:space="preserve"> HYPERLINK \l "_Toc18969" </w:instrText>
      </w:r>
      <w:r>
        <w:fldChar w:fldCharType="separate"/>
      </w:r>
      <w:r>
        <w:rPr>
          <w:rFonts w:hint="eastAsia"/>
        </w:rPr>
        <w:t>第一章 投标邀请</w:t>
      </w:r>
      <w:r>
        <w:tab/>
      </w:r>
      <w:r>
        <w:fldChar w:fldCharType="begin"/>
      </w:r>
      <w:r>
        <w:instrText xml:space="preserve"> PAGEREF _Toc18969 \h </w:instrText>
      </w:r>
      <w:r>
        <w:fldChar w:fldCharType="separate"/>
      </w:r>
      <w:r>
        <w:t>- 1 -</w:t>
      </w:r>
      <w:r>
        <w:fldChar w:fldCharType="end"/>
      </w:r>
      <w:r>
        <w:fldChar w:fldCharType="end"/>
      </w:r>
    </w:p>
    <w:p w14:paraId="0D1A7402">
      <w:pPr>
        <w:pStyle w:val="32"/>
        <w:tabs>
          <w:tab w:val="right" w:leader="dot" w:pos="9070"/>
        </w:tabs>
        <w:ind w:left="420"/>
      </w:pPr>
      <w:r>
        <w:fldChar w:fldCharType="begin"/>
      </w:r>
      <w:r>
        <w:instrText xml:space="preserve"> HYPERLINK \l "_Toc31838" </w:instrText>
      </w:r>
      <w:r>
        <w:fldChar w:fldCharType="separate"/>
      </w:r>
      <w:r>
        <w:rPr>
          <w:rFonts w:hint="eastAsia"/>
        </w:rPr>
        <w:t>第二章 投标须知</w:t>
      </w:r>
      <w:r>
        <w:tab/>
      </w:r>
      <w:r>
        <w:fldChar w:fldCharType="begin"/>
      </w:r>
      <w:r>
        <w:instrText xml:space="preserve"> PAGEREF _Toc31838 \h </w:instrText>
      </w:r>
      <w:r>
        <w:fldChar w:fldCharType="separate"/>
      </w:r>
      <w:r>
        <w:t>- 4 -</w:t>
      </w:r>
      <w:r>
        <w:fldChar w:fldCharType="end"/>
      </w:r>
      <w:r>
        <w:fldChar w:fldCharType="end"/>
      </w:r>
    </w:p>
    <w:p w14:paraId="2E50E4A8">
      <w:pPr>
        <w:pStyle w:val="32"/>
        <w:tabs>
          <w:tab w:val="right" w:leader="dot" w:pos="9070"/>
        </w:tabs>
        <w:ind w:left="420"/>
      </w:pPr>
      <w:r>
        <w:fldChar w:fldCharType="begin"/>
      </w:r>
      <w:r>
        <w:instrText xml:space="preserve"> HYPERLINK \l "_Toc10068" </w:instrText>
      </w:r>
      <w:r>
        <w:fldChar w:fldCharType="separate"/>
      </w:r>
      <w:r>
        <w:rPr>
          <w:rFonts w:hint="eastAsia"/>
        </w:rPr>
        <w:t>第一节  投标须知前附表</w:t>
      </w:r>
      <w:r>
        <w:tab/>
      </w:r>
      <w:r>
        <w:fldChar w:fldCharType="begin"/>
      </w:r>
      <w:r>
        <w:instrText xml:space="preserve"> PAGEREF _Toc10068 \h </w:instrText>
      </w:r>
      <w:r>
        <w:fldChar w:fldCharType="separate"/>
      </w:r>
      <w:r>
        <w:t>- 4 -</w:t>
      </w:r>
      <w:r>
        <w:fldChar w:fldCharType="end"/>
      </w:r>
      <w:r>
        <w:fldChar w:fldCharType="end"/>
      </w:r>
    </w:p>
    <w:p w14:paraId="4FF3AC0E">
      <w:pPr>
        <w:pStyle w:val="32"/>
        <w:tabs>
          <w:tab w:val="right" w:leader="dot" w:pos="9070"/>
        </w:tabs>
        <w:ind w:left="420"/>
      </w:pPr>
      <w:r>
        <w:fldChar w:fldCharType="begin"/>
      </w:r>
      <w:r>
        <w:instrText xml:space="preserve"> HYPERLINK \l "_Toc5585" </w:instrText>
      </w:r>
      <w:r>
        <w:fldChar w:fldCharType="separate"/>
      </w:r>
      <w:r>
        <w:rPr>
          <w:rFonts w:hint="eastAsia"/>
        </w:rPr>
        <w:t>第二节  投标须知正文</w:t>
      </w:r>
      <w:r>
        <w:tab/>
      </w:r>
      <w:r>
        <w:fldChar w:fldCharType="begin"/>
      </w:r>
      <w:r>
        <w:instrText xml:space="preserve"> PAGEREF _Toc5585 \h </w:instrText>
      </w:r>
      <w:r>
        <w:fldChar w:fldCharType="separate"/>
      </w:r>
      <w:r>
        <w:t>- 8 -</w:t>
      </w:r>
      <w:r>
        <w:fldChar w:fldCharType="end"/>
      </w:r>
      <w:r>
        <w:fldChar w:fldCharType="end"/>
      </w:r>
    </w:p>
    <w:p w14:paraId="45995678">
      <w:pPr>
        <w:pStyle w:val="20"/>
        <w:tabs>
          <w:tab w:val="right" w:leader="dot" w:pos="9070"/>
        </w:tabs>
        <w:ind w:left="840"/>
      </w:pPr>
      <w:r>
        <w:fldChar w:fldCharType="begin"/>
      </w:r>
      <w:r>
        <w:instrText xml:space="preserve"> HYPERLINK \l "_Toc7725" </w:instrText>
      </w:r>
      <w:r>
        <w:fldChar w:fldCharType="separate"/>
      </w:r>
      <w:r>
        <w:rPr>
          <w:rFonts w:hint="eastAsia"/>
        </w:rPr>
        <w:t>一、总则</w:t>
      </w:r>
      <w:r>
        <w:tab/>
      </w:r>
      <w:r>
        <w:fldChar w:fldCharType="begin"/>
      </w:r>
      <w:r>
        <w:instrText xml:space="preserve"> PAGEREF _Toc7725 \h </w:instrText>
      </w:r>
      <w:r>
        <w:fldChar w:fldCharType="separate"/>
      </w:r>
      <w:r>
        <w:t>- 8 -</w:t>
      </w:r>
      <w:r>
        <w:fldChar w:fldCharType="end"/>
      </w:r>
      <w:r>
        <w:fldChar w:fldCharType="end"/>
      </w:r>
    </w:p>
    <w:p w14:paraId="1A7F2E1F">
      <w:pPr>
        <w:pStyle w:val="20"/>
        <w:tabs>
          <w:tab w:val="right" w:leader="dot" w:pos="9070"/>
        </w:tabs>
        <w:ind w:left="840"/>
      </w:pPr>
      <w:r>
        <w:fldChar w:fldCharType="begin"/>
      </w:r>
      <w:r>
        <w:instrText xml:space="preserve"> HYPERLINK \l "_Toc25558" </w:instrText>
      </w:r>
      <w:r>
        <w:fldChar w:fldCharType="separate"/>
      </w:r>
      <w:r>
        <w:rPr>
          <w:rFonts w:hint="eastAsia" w:asciiTheme="minorEastAsia" w:hAnsiTheme="minorEastAsia"/>
          <w:bCs/>
        </w:rPr>
        <w:t>1. 适用范围</w:t>
      </w:r>
      <w:r>
        <w:tab/>
      </w:r>
      <w:r>
        <w:fldChar w:fldCharType="begin"/>
      </w:r>
      <w:r>
        <w:instrText xml:space="preserve"> PAGEREF _Toc25558 \h </w:instrText>
      </w:r>
      <w:r>
        <w:fldChar w:fldCharType="separate"/>
      </w:r>
      <w:r>
        <w:t>- 8 -</w:t>
      </w:r>
      <w:r>
        <w:fldChar w:fldCharType="end"/>
      </w:r>
      <w:r>
        <w:fldChar w:fldCharType="end"/>
      </w:r>
    </w:p>
    <w:p w14:paraId="22191861">
      <w:pPr>
        <w:pStyle w:val="20"/>
        <w:tabs>
          <w:tab w:val="right" w:leader="dot" w:pos="9070"/>
        </w:tabs>
        <w:ind w:left="840"/>
      </w:pPr>
      <w:r>
        <w:fldChar w:fldCharType="begin"/>
      </w:r>
      <w:r>
        <w:instrText xml:space="preserve"> HYPERLINK \l "_Toc10256" </w:instrText>
      </w:r>
      <w:r>
        <w:fldChar w:fldCharType="separate"/>
      </w:r>
      <w:r>
        <w:rPr>
          <w:rFonts w:hint="eastAsia" w:asciiTheme="minorEastAsia" w:hAnsiTheme="minorEastAsia"/>
          <w:bCs/>
        </w:rPr>
        <w:t>2. 定义</w:t>
      </w:r>
      <w:r>
        <w:tab/>
      </w:r>
      <w:r>
        <w:fldChar w:fldCharType="begin"/>
      </w:r>
      <w:r>
        <w:instrText xml:space="preserve"> PAGEREF _Toc10256 \h </w:instrText>
      </w:r>
      <w:r>
        <w:fldChar w:fldCharType="separate"/>
      </w:r>
      <w:r>
        <w:t>- 8 -</w:t>
      </w:r>
      <w:r>
        <w:fldChar w:fldCharType="end"/>
      </w:r>
      <w:r>
        <w:fldChar w:fldCharType="end"/>
      </w:r>
    </w:p>
    <w:p w14:paraId="73941F6F">
      <w:pPr>
        <w:pStyle w:val="20"/>
        <w:tabs>
          <w:tab w:val="right" w:leader="dot" w:pos="9070"/>
        </w:tabs>
        <w:ind w:left="840"/>
      </w:pPr>
      <w:r>
        <w:fldChar w:fldCharType="begin"/>
      </w:r>
      <w:r>
        <w:instrText xml:space="preserve"> HYPERLINK \l "_Toc18284" </w:instrText>
      </w:r>
      <w:r>
        <w:fldChar w:fldCharType="separate"/>
      </w:r>
      <w:r>
        <w:rPr>
          <w:rFonts w:hint="eastAsia" w:asciiTheme="minorEastAsia" w:hAnsiTheme="minorEastAsia"/>
          <w:bCs/>
        </w:rPr>
        <w:t>3. 投标人的资格要求</w:t>
      </w:r>
      <w:r>
        <w:tab/>
      </w:r>
      <w:r>
        <w:fldChar w:fldCharType="begin"/>
      </w:r>
      <w:r>
        <w:instrText xml:space="preserve"> PAGEREF _Toc18284 \h </w:instrText>
      </w:r>
      <w:r>
        <w:fldChar w:fldCharType="separate"/>
      </w:r>
      <w:r>
        <w:t>- 8 -</w:t>
      </w:r>
      <w:r>
        <w:fldChar w:fldCharType="end"/>
      </w:r>
      <w:r>
        <w:fldChar w:fldCharType="end"/>
      </w:r>
    </w:p>
    <w:p w14:paraId="721D2105">
      <w:pPr>
        <w:pStyle w:val="20"/>
        <w:tabs>
          <w:tab w:val="right" w:leader="dot" w:pos="9070"/>
        </w:tabs>
        <w:ind w:left="840"/>
      </w:pPr>
      <w:r>
        <w:fldChar w:fldCharType="begin"/>
      </w:r>
      <w:r>
        <w:instrText xml:space="preserve"> HYPERLINK \l "_Toc25129" </w:instrText>
      </w:r>
      <w:r>
        <w:fldChar w:fldCharType="separate"/>
      </w:r>
      <w:r>
        <w:rPr>
          <w:rFonts w:hint="eastAsia" w:asciiTheme="minorEastAsia" w:hAnsiTheme="minorEastAsia"/>
          <w:bCs/>
        </w:rPr>
        <w:t>4. 投标费用</w:t>
      </w:r>
      <w:r>
        <w:tab/>
      </w:r>
      <w:r>
        <w:fldChar w:fldCharType="begin"/>
      </w:r>
      <w:r>
        <w:instrText xml:space="preserve"> PAGEREF _Toc25129 \h </w:instrText>
      </w:r>
      <w:r>
        <w:fldChar w:fldCharType="separate"/>
      </w:r>
      <w:r>
        <w:t>- 8 -</w:t>
      </w:r>
      <w:r>
        <w:fldChar w:fldCharType="end"/>
      </w:r>
      <w:r>
        <w:fldChar w:fldCharType="end"/>
      </w:r>
    </w:p>
    <w:p w14:paraId="0BE0A178">
      <w:pPr>
        <w:pStyle w:val="20"/>
        <w:tabs>
          <w:tab w:val="right" w:leader="dot" w:pos="9070"/>
        </w:tabs>
        <w:ind w:left="840"/>
      </w:pPr>
      <w:r>
        <w:fldChar w:fldCharType="begin"/>
      </w:r>
      <w:r>
        <w:instrText xml:space="preserve"> HYPERLINK \l "_Toc12466" </w:instrText>
      </w:r>
      <w:r>
        <w:fldChar w:fldCharType="separate"/>
      </w:r>
      <w:r>
        <w:rPr>
          <w:rFonts w:hint="eastAsia" w:asciiTheme="minorEastAsia" w:hAnsiTheme="minorEastAsia"/>
          <w:bCs/>
        </w:rPr>
        <w:t>5．组织现场考察或者召开答疑会</w:t>
      </w:r>
      <w:r>
        <w:tab/>
      </w:r>
      <w:r>
        <w:fldChar w:fldCharType="begin"/>
      </w:r>
      <w:r>
        <w:instrText xml:space="preserve"> PAGEREF _Toc12466 \h </w:instrText>
      </w:r>
      <w:r>
        <w:fldChar w:fldCharType="separate"/>
      </w:r>
      <w:r>
        <w:t>- 8 -</w:t>
      </w:r>
      <w:r>
        <w:fldChar w:fldCharType="end"/>
      </w:r>
      <w:r>
        <w:fldChar w:fldCharType="end"/>
      </w:r>
    </w:p>
    <w:p w14:paraId="2BB83C30">
      <w:pPr>
        <w:pStyle w:val="20"/>
        <w:tabs>
          <w:tab w:val="right" w:leader="dot" w:pos="9070"/>
        </w:tabs>
        <w:ind w:left="840"/>
      </w:pPr>
      <w:r>
        <w:fldChar w:fldCharType="begin"/>
      </w:r>
      <w:r>
        <w:instrText xml:space="preserve"> HYPERLINK \l "_Toc3404" </w:instrText>
      </w:r>
      <w:r>
        <w:fldChar w:fldCharType="separate"/>
      </w:r>
      <w:r>
        <w:rPr>
          <w:rFonts w:hint="eastAsia"/>
        </w:rPr>
        <w:t>二、招标文件</w:t>
      </w:r>
      <w:r>
        <w:tab/>
      </w:r>
      <w:r>
        <w:fldChar w:fldCharType="begin"/>
      </w:r>
      <w:r>
        <w:instrText xml:space="preserve"> PAGEREF _Toc3404 \h </w:instrText>
      </w:r>
      <w:r>
        <w:fldChar w:fldCharType="separate"/>
      </w:r>
      <w:r>
        <w:t>- 9 -</w:t>
      </w:r>
      <w:r>
        <w:fldChar w:fldCharType="end"/>
      </w:r>
      <w:r>
        <w:fldChar w:fldCharType="end"/>
      </w:r>
    </w:p>
    <w:p w14:paraId="70FBB2F0">
      <w:pPr>
        <w:pStyle w:val="20"/>
        <w:tabs>
          <w:tab w:val="right" w:leader="dot" w:pos="9070"/>
        </w:tabs>
        <w:ind w:left="840"/>
      </w:pPr>
      <w:r>
        <w:fldChar w:fldCharType="begin"/>
      </w:r>
      <w:r>
        <w:instrText xml:space="preserve"> HYPERLINK \l "_Toc29070" </w:instrText>
      </w:r>
      <w:r>
        <w:fldChar w:fldCharType="separate"/>
      </w:r>
      <w:r>
        <w:rPr>
          <w:rFonts w:hint="eastAsia" w:asciiTheme="minorEastAsia" w:hAnsiTheme="minorEastAsia"/>
          <w:bCs/>
        </w:rPr>
        <w:t>6. 招标文件的构成</w:t>
      </w:r>
      <w:r>
        <w:tab/>
      </w:r>
      <w:r>
        <w:fldChar w:fldCharType="begin"/>
      </w:r>
      <w:r>
        <w:instrText xml:space="preserve"> PAGEREF _Toc29070 \h </w:instrText>
      </w:r>
      <w:r>
        <w:fldChar w:fldCharType="separate"/>
      </w:r>
      <w:r>
        <w:t>- 9 -</w:t>
      </w:r>
      <w:r>
        <w:fldChar w:fldCharType="end"/>
      </w:r>
      <w:r>
        <w:fldChar w:fldCharType="end"/>
      </w:r>
    </w:p>
    <w:p w14:paraId="467FDA84">
      <w:pPr>
        <w:pStyle w:val="20"/>
        <w:tabs>
          <w:tab w:val="right" w:leader="dot" w:pos="9070"/>
        </w:tabs>
        <w:ind w:left="840"/>
      </w:pPr>
      <w:r>
        <w:fldChar w:fldCharType="begin"/>
      </w:r>
      <w:r>
        <w:instrText xml:space="preserve"> HYPERLINK \l "_Toc7813" </w:instrText>
      </w:r>
      <w:r>
        <w:fldChar w:fldCharType="separate"/>
      </w:r>
      <w:r>
        <w:rPr>
          <w:rFonts w:hint="eastAsia" w:asciiTheme="minorEastAsia" w:hAnsiTheme="minorEastAsia"/>
          <w:bCs/>
        </w:rPr>
        <w:t>7．偏离与实质性响应</w:t>
      </w:r>
      <w:r>
        <w:tab/>
      </w:r>
      <w:r>
        <w:fldChar w:fldCharType="begin"/>
      </w:r>
      <w:r>
        <w:instrText xml:space="preserve"> PAGEREF _Toc7813 \h </w:instrText>
      </w:r>
      <w:r>
        <w:fldChar w:fldCharType="separate"/>
      </w:r>
      <w:r>
        <w:t>- 9 -</w:t>
      </w:r>
      <w:r>
        <w:fldChar w:fldCharType="end"/>
      </w:r>
      <w:r>
        <w:fldChar w:fldCharType="end"/>
      </w:r>
    </w:p>
    <w:p w14:paraId="2AC8409B">
      <w:pPr>
        <w:pStyle w:val="20"/>
        <w:tabs>
          <w:tab w:val="right" w:leader="dot" w:pos="9070"/>
        </w:tabs>
        <w:ind w:left="840"/>
      </w:pPr>
      <w:r>
        <w:fldChar w:fldCharType="begin"/>
      </w:r>
      <w:r>
        <w:instrText xml:space="preserve"> HYPERLINK \l "_Toc29339" </w:instrText>
      </w:r>
      <w:r>
        <w:fldChar w:fldCharType="separate"/>
      </w:r>
      <w:r>
        <w:rPr>
          <w:rFonts w:hint="eastAsia" w:asciiTheme="minorEastAsia" w:hAnsiTheme="minorEastAsia"/>
          <w:bCs/>
        </w:rPr>
        <w:t>8. 询问</w:t>
      </w:r>
      <w:r>
        <w:tab/>
      </w:r>
      <w:r>
        <w:fldChar w:fldCharType="begin"/>
      </w:r>
      <w:r>
        <w:instrText xml:space="preserve"> PAGEREF _Toc29339 \h </w:instrText>
      </w:r>
      <w:r>
        <w:fldChar w:fldCharType="separate"/>
      </w:r>
      <w:r>
        <w:t>- 9 -</w:t>
      </w:r>
      <w:r>
        <w:fldChar w:fldCharType="end"/>
      </w:r>
      <w:r>
        <w:fldChar w:fldCharType="end"/>
      </w:r>
    </w:p>
    <w:p w14:paraId="49163422">
      <w:pPr>
        <w:pStyle w:val="20"/>
        <w:tabs>
          <w:tab w:val="right" w:leader="dot" w:pos="9070"/>
        </w:tabs>
        <w:ind w:left="840"/>
      </w:pPr>
      <w:r>
        <w:fldChar w:fldCharType="begin"/>
      </w:r>
      <w:r>
        <w:instrText xml:space="preserve"> HYPERLINK \l "_Toc27863" </w:instrText>
      </w:r>
      <w:r>
        <w:fldChar w:fldCharType="separate"/>
      </w:r>
      <w:r>
        <w:rPr>
          <w:rFonts w:hint="eastAsia" w:asciiTheme="minorEastAsia" w:hAnsiTheme="minorEastAsia"/>
          <w:bCs/>
        </w:rPr>
        <w:t>9. 招标文件的澄清或者修改</w:t>
      </w:r>
      <w:r>
        <w:tab/>
      </w:r>
      <w:r>
        <w:fldChar w:fldCharType="begin"/>
      </w:r>
      <w:r>
        <w:instrText xml:space="preserve"> PAGEREF _Toc27863 \h </w:instrText>
      </w:r>
      <w:r>
        <w:fldChar w:fldCharType="separate"/>
      </w:r>
      <w:r>
        <w:t>- 9 -</w:t>
      </w:r>
      <w:r>
        <w:fldChar w:fldCharType="end"/>
      </w:r>
      <w:r>
        <w:fldChar w:fldCharType="end"/>
      </w:r>
    </w:p>
    <w:p w14:paraId="3537D90E">
      <w:pPr>
        <w:pStyle w:val="20"/>
        <w:tabs>
          <w:tab w:val="right" w:leader="dot" w:pos="9070"/>
        </w:tabs>
        <w:ind w:left="840"/>
      </w:pPr>
      <w:r>
        <w:fldChar w:fldCharType="begin"/>
      </w:r>
      <w:r>
        <w:instrText xml:space="preserve"> HYPERLINK \l "_Toc17496" </w:instrText>
      </w:r>
      <w:r>
        <w:fldChar w:fldCharType="separate"/>
      </w:r>
      <w:r>
        <w:rPr>
          <w:rFonts w:hint="eastAsia"/>
        </w:rPr>
        <w:t>三、投标文件</w:t>
      </w:r>
      <w:r>
        <w:tab/>
      </w:r>
      <w:r>
        <w:fldChar w:fldCharType="begin"/>
      </w:r>
      <w:r>
        <w:instrText xml:space="preserve"> PAGEREF _Toc17496 \h </w:instrText>
      </w:r>
      <w:r>
        <w:fldChar w:fldCharType="separate"/>
      </w:r>
      <w:r>
        <w:t>- 10 -</w:t>
      </w:r>
      <w:r>
        <w:fldChar w:fldCharType="end"/>
      </w:r>
      <w:r>
        <w:fldChar w:fldCharType="end"/>
      </w:r>
    </w:p>
    <w:p w14:paraId="1FA9E810">
      <w:pPr>
        <w:pStyle w:val="20"/>
        <w:tabs>
          <w:tab w:val="right" w:leader="dot" w:pos="9070"/>
        </w:tabs>
        <w:ind w:left="840"/>
      </w:pPr>
      <w:r>
        <w:fldChar w:fldCharType="begin"/>
      </w:r>
      <w:r>
        <w:instrText xml:space="preserve"> HYPERLINK \l "_Toc11817" </w:instrText>
      </w:r>
      <w:r>
        <w:fldChar w:fldCharType="separate"/>
      </w:r>
      <w:r>
        <w:rPr>
          <w:rFonts w:hint="eastAsia" w:asciiTheme="minorEastAsia" w:hAnsiTheme="minorEastAsia"/>
          <w:bCs/>
        </w:rPr>
        <w:t>10. 投标语言</w:t>
      </w:r>
      <w:r>
        <w:tab/>
      </w:r>
      <w:r>
        <w:fldChar w:fldCharType="begin"/>
      </w:r>
      <w:r>
        <w:instrText xml:space="preserve"> PAGEREF _Toc11817 \h </w:instrText>
      </w:r>
      <w:r>
        <w:fldChar w:fldCharType="separate"/>
      </w:r>
      <w:r>
        <w:t>- 10 -</w:t>
      </w:r>
      <w:r>
        <w:fldChar w:fldCharType="end"/>
      </w:r>
      <w:r>
        <w:fldChar w:fldCharType="end"/>
      </w:r>
    </w:p>
    <w:p w14:paraId="119B9798">
      <w:pPr>
        <w:pStyle w:val="20"/>
        <w:tabs>
          <w:tab w:val="right" w:leader="dot" w:pos="9070"/>
        </w:tabs>
        <w:ind w:left="840"/>
      </w:pPr>
      <w:r>
        <w:fldChar w:fldCharType="begin"/>
      </w:r>
      <w:r>
        <w:instrText xml:space="preserve"> HYPERLINK \l "_Toc5866" </w:instrText>
      </w:r>
      <w:r>
        <w:fldChar w:fldCharType="separate"/>
      </w:r>
      <w:r>
        <w:rPr>
          <w:rFonts w:hint="eastAsia" w:asciiTheme="minorEastAsia" w:hAnsiTheme="minorEastAsia"/>
          <w:bCs/>
        </w:rPr>
        <w:t>11. 计量单位</w:t>
      </w:r>
      <w:r>
        <w:tab/>
      </w:r>
      <w:r>
        <w:fldChar w:fldCharType="begin"/>
      </w:r>
      <w:r>
        <w:instrText xml:space="preserve"> PAGEREF _Toc5866 \h </w:instrText>
      </w:r>
      <w:r>
        <w:fldChar w:fldCharType="separate"/>
      </w:r>
      <w:r>
        <w:t>- 10 -</w:t>
      </w:r>
      <w:r>
        <w:fldChar w:fldCharType="end"/>
      </w:r>
      <w:r>
        <w:fldChar w:fldCharType="end"/>
      </w:r>
    </w:p>
    <w:p w14:paraId="02581C61">
      <w:pPr>
        <w:pStyle w:val="20"/>
        <w:tabs>
          <w:tab w:val="right" w:leader="dot" w:pos="9070"/>
        </w:tabs>
        <w:ind w:left="840"/>
      </w:pPr>
      <w:r>
        <w:fldChar w:fldCharType="begin"/>
      </w:r>
      <w:r>
        <w:instrText xml:space="preserve"> HYPERLINK \l "_Toc17531" </w:instrText>
      </w:r>
      <w:r>
        <w:fldChar w:fldCharType="separate"/>
      </w:r>
      <w:r>
        <w:rPr>
          <w:rFonts w:hint="eastAsia" w:asciiTheme="minorEastAsia" w:hAnsiTheme="minorEastAsia"/>
          <w:bCs/>
        </w:rPr>
        <w:t>12. 投标文件的组成</w:t>
      </w:r>
      <w:r>
        <w:tab/>
      </w:r>
      <w:r>
        <w:fldChar w:fldCharType="begin"/>
      </w:r>
      <w:r>
        <w:instrText xml:space="preserve"> PAGEREF _Toc17531 \h </w:instrText>
      </w:r>
      <w:r>
        <w:fldChar w:fldCharType="separate"/>
      </w:r>
      <w:r>
        <w:t>- 10 -</w:t>
      </w:r>
      <w:r>
        <w:fldChar w:fldCharType="end"/>
      </w:r>
      <w:r>
        <w:fldChar w:fldCharType="end"/>
      </w:r>
    </w:p>
    <w:p w14:paraId="1373C547">
      <w:pPr>
        <w:pStyle w:val="20"/>
        <w:tabs>
          <w:tab w:val="right" w:leader="dot" w:pos="9070"/>
        </w:tabs>
        <w:ind w:left="840"/>
      </w:pPr>
      <w:r>
        <w:fldChar w:fldCharType="begin"/>
      </w:r>
      <w:r>
        <w:instrText xml:space="preserve"> HYPERLINK \l "_Toc13563" </w:instrText>
      </w:r>
      <w:r>
        <w:fldChar w:fldCharType="separate"/>
      </w:r>
      <w:r>
        <w:rPr>
          <w:rFonts w:hint="eastAsia" w:asciiTheme="minorEastAsia" w:hAnsiTheme="minorEastAsia"/>
          <w:bCs/>
        </w:rPr>
        <w:t>13. 投标报价</w:t>
      </w:r>
      <w:r>
        <w:tab/>
      </w:r>
      <w:r>
        <w:fldChar w:fldCharType="begin"/>
      </w:r>
      <w:r>
        <w:instrText xml:space="preserve"> PAGEREF _Toc13563 \h </w:instrText>
      </w:r>
      <w:r>
        <w:fldChar w:fldCharType="separate"/>
      </w:r>
      <w:r>
        <w:t>- 11 -</w:t>
      </w:r>
      <w:r>
        <w:fldChar w:fldCharType="end"/>
      </w:r>
      <w:r>
        <w:fldChar w:fldCharType="end"/>
      </w:r>
    </w:p>
    <w:p w14:paraId="3AA85B21">
      <w:pPr>
        <w:pStyle w:val="20"/>
        <w:tabs>
          <w:tab w:val="right" w:leader="dot" w:pos="9070"/>
        </w:tabs>
        <w:ind w:left="840"/>
      </w:pPr>
      <w:r>
        <w:fldChar w:fldCharType="begin"/>
      </w:r>
      <w:r>
        <w:instrText xml:space="preserve"> HYPERLINK \l "_Toc9682" </w:instrText>
      </w:r>
      <w:r>
        <w:fldChar w:fldCharType="separate"/>
      </w:r>
      <w:r>
        <w:rPr>
          <w:rFonts w:hint="eastAsia" w:asciiTheme="minorEastAsia" w:hAnsiTheme="minorEastAsia"/>
          <w:bCs/>
        </w:rPr>
        <w:t>14. 投标人的资格证明文件</w:t>
      </w:r>
      <w:r>
        <w:tab/>
      </w:r>
      <w:r>
        <w:fldChar w:fldCharType="begin"/>
      </w:r>
      <w:r>
        <w:instrText xml:space="preserve"> PAGEREF _Toc9682 \h </w:instrText>
      </w:r>
      <w:r>
        <w:fldChar w:fldCharType="separate"/>
      </w:r>
      <w:r>
        <w:t>- 11 -</w:t>
      </w:r>
      <w:r>
        <w:fldChar w:fldCharType="end"/>
      </w:r>
      <w:r>
        <w:fldChar w:fldCharType="end"/>
      </w:r>
    </w:p>
    <w:p w14:paraId="293D4DDF">
      <w:pPr>
        <w:pStyle w:val="20"/>
        <w:tabs>
          <w:tab w:val="right" w:leader="dot" w:pos="9070"/>
        </w:tabs>
        <w:ind w:left="840"/>
      </w:pPr>
      <w:r>
        <w:fldChar w:fldCharType="begin"/>
      </w:r>
      <w:r>
        <w:instrText xml:space="preserve"> HYPERLINK \l "_Toc17014" </w:instrText>
      </w:r>
      <w:r>
        <w:fldChar w:fldCharType="separate"/>
      </w:r>
      <w:r>
        <w:rPr>
          <w:rFonts w:hint="eastAsia" w:asciiTheme="minorEastAsia" w:hAnsiTheme="minorEastAsia"/>
          <w:bCs/>
        </w:rPr>
        <w:t>15. 标的内容及服务符合招标文件规定的证明文件</w:t>
      </w:r>
      <w:r>
        <w:tab/>
      </w:r>
      <w:r>
        <w:fldChar w:fldCharType="begin"/>
      </w:r>
      <w:r>
        <w:instrText xml:space="preserve"> PAGEREF _Toc17014 \h </w:instrText>
      </w:r>
      <w:r>
        <w:fldChar w:fldCharType="separate"/>
      </w:r>
      <w:r>
        <w:t>- 12 -</w:t>
      </w:r>
      <w:r>
        <w:fldChar w:fldCharType="end"/>
      </w:r>
      <w:r>
        <w:fldChar w:fldCharType="end"/>
      </w:r>
    </w:p>
    <w:p w14:paraId="3721B0E3">
      <w:pPr>
        <w:pStyle w:val="20"/>
        <w:tabs>
          <w:tab w:val="right" w:leader="dot" w:pos="9070"/>
        </w:tabs>
        <w:ind w:left="840"/>
      </w:pPr>
      <w:r>
        <w:fldChar w:fldCharType="begin"/>
      </w:r>
      <w:r>
        <w:instrText xml:space="preserve"> HYPERLINK \l "_Toc15490" </w:instrText>
      </w:r>
      <w:r>
        <w:fldChar w:fldCharType="separate"/>
      </w:r>
      <w:r>
        <w:rPr>
          <w:rFonts w:hint="eastAsia" w:asciiTheme="minorEastAsia" w:hAnsiTheme="minorEastAsia"/>
          <w:bCs/>
        </w:rPr>
        <w:t>16. 投标有效期</w:t>
      </w:r>
      <w:r>
        <w:tab/>
      </w:r>
      <w:r>
        <w:fldChar w:fldCharType="begin"/>
      </w:r>
      <w:r>
        <w:instrText xml:space="preserve"> PAGEREF _Toc15490 \h </w:instrText>
      </w:r>
      <w:r>
        <w:fldChar w:fldCharType="separate"/>
      </w:r>
      <w:r>
        <w:t>- 12 -</w:t>
      </w:r>
      <w:r>
        <w:fldChar w:fldCharType="end"/>
      </w:r>
      <w:r>
        <w:fldChar w:fldCharType="end"/>
      </w:r>
    </w:p>
    <w:p w14:paraId="0F99E23B">
      <w:pPr>
        <w:pStyle w:val="20"/>
        <w:tabs>
          <w:tab w:val="right" w:leader="dot" w:pos="9070"/>
        </w:tabs>
        <w:ind w:left="840"/>
      </w:pPr>
      <w:r>
        <w:fldChar w:fldCharType="begin"/>
      </w:r>
      <w:r>
        <w:instrText xml:space="preserve"> HYPERLINK \l "_Toc17963" </w:instrText>
      </w:r>
      <w:r>
        <w:fldChar w:fldCharType="separate"/>
      </w:r>
      <w:r>
        <w:rPr>
          <w:rFonts w:hint="eastAsia" w:asciiTheme="minorEastAsia" w:hAnsiTheme="minorEastAsia"/>
          <w:bCs/>
        </w:rPr>
        <w:t>17. 投标保证金</w:t>
      </w:r>
      <w:r>
        <w:tab/>
      </w:r>
      <w:r>
        <w:fldChar w:fldCharType="begin"/>
      </w:r>
      <w:r>
        <w:instrText xml:space="preserve"> PAGEREF _Toc17963 \h </w:instrText>
      </w:r>
      <w:r>
        <w:fldChar w:fldCharType="separate"/>
      </w:r>
      <w:r>
        <w:t>- 12 -</w:t>
      </w:r>
      <w:r>
        <w:fldChar w:fldCharType="end"/>
      </w:r>
      <w:r>
        <w:fldChar w:fldCharType="end"/>
      </w:r>
    </w:p>
    <w:p w14:paraId="4B063394">
      <w:pPr>
        <w:pStyle w:val="20"/>
        <w:tabs>
          <w:tab w:val="right" w:leader="dot" w:pos="9070"/>
        </w:tabs>
        <w:ind w:left="840"/>
      </w:pPr>
      <w:r>
        <w:fldChar w:fldCharType="begin"/>
      </w:r>
      <w:r>
        <w:instrText xml:space="preserve"> HYPERLINK \l "_Toc19128" </w:instrText>
      </w:r>
      <w:r>
        <w:fldChar w:fldCharType="separate"/>
      </w:r>
      <w:r>
        <w:rPr>
          <w:rFonts w:hint="eastAsia" w:asciiTheme="minorEastAsia" w:hAnsiTheme="minorEastAsia"/>
          <w:bCs/>
        </w:rPr>
        <w:t>18.分包</w:t>
      </w:r>
      <w:r>
        <w:tab/>
      </w:r>
      <w:r>
        <w:fldChar w:fldCharType="begin"/>
      </w:r>
      <w:r>
        <w:instrText xml:space="preserve"> PAGEREF _Toc19128 \h </w:instrText>
      </w:r>
      <w:r>
        <w:fldChar w:fldCharType="separate"/>
      </w:r>
      <w:r>
        <w:t>- 12 -</w:t>
      </w:r>
      <w:r>
        <w:fldChar w:fldCharType="end"/>
      </w:r>
      <w:r>
        <w:fldChar w:fldCharType="end"/>
      </w:r>
    </w:p>
    <w:p w14:paraId="2CDDB26D">
      <w:pPr>
        <w:pStyle w:val="20"/>
        <w:tabs>
          <w:tab w:val="right" w:leader="dot" w:pos="9070"/>
        </w:tabs>
        <w:ind w:left="840"/>
      </w:pPr>
      <w:r>
        <w:fldChar w:fldCharType="begin"/>
      </w:r>
      <w:r>
        <w:instrText xml:space="preserve"> HYPERLINK \l "_Toc32169" </w:instrText>
      </w:r>
      <w:r>
        <w:fldChar w:fldCharType="separate"/>
      </w:r>
      <w:r>
        <w:rPr>
          <w:rFonts w:hint="eastAsia" w:asciiTheme="minorEastAsia" w:hAnsiTheme="minorEastAsia"/>
          <w:bCs/>
        </w:rPr>
        <w:t>19. 投标文件的签署</w:t>
      </w:r>
      <w:r>
        <w:tab/>
      </w:r>
      <w:r>
        <w:fldChar w:fldCharType="begin"/>
      </w:r>
      <w:r>
        <w:instrText xml:space="preserve"> PAGEREF _Toc32169 \h </w:instrText>
      </w:r>
      <w:r>
        <w:fldChar w:fldCharType="separate"/>
      </w:r>
      <w:r>
        <w:t>- 13 -</w:t>
      </w:r>
      <w:r>
        <w:fldChar w:fldCharType="end"/>
      </w:r>
      <w:r>
        <w:fldChar w:fldCharType="end"/>
      </w:r>
    </w:p>
    <w:p w14:paraId="277D35F6">
      <w:pPr>
        <w:pStyle w:val="20"/>
        <w:tabs>
          <w:tab w:val="right" w:leader="dot" w:pos="9070"/>
        </w:tabs>
        <w:ind w:left="840"/>
      </w:pPr>
      <w:r>
        <w:fldChar w:fldCharType="begin"/>
      </w:r>
      <w:r>
        <w:instrText xml:space="preserve"> HYPERLINK \l "_Toc29560" </w:instrText>
      </w:r>
      <w:r>
        <w:fldChar w:fldCharType="separate"/>
      </w:r>
      <w:r>
        <w:rPr>
          <w:rFonts w:hint="eastAsia"/>
        </w:rPr>
        <w:t>四、投标</w:t>
      </w:r>
      <w:r>
        <w:tab/>
      </w:r>
      <w:r>
        <w:fldChar w:fldCharType="begin"/>
      </w:r>
      <w:r>
        <w:instrText xml:space="preserve"> PAGEREF _Toc29560 \h </w:instrText>
      </w:r>
      <w:r>
        <w:fldChar w:fldCharType="separate"/>
      </w:r>
      <w:r>
        <w:t>- 13 -</w:t>
      </w:r>
      <w:r>
        <w:fldChar w:fldCharType="end"/>
      </w:r>
      <w:r>
        <w:fldChar w:fldCharType="end"/>
      </w:r>
    </w:p>
    <w:p w14:paraId="531A144D">
      <w:pPr>
        <w:pStyle w:val="20"/>
        <w:tabs>
          <w:tab w:val="right" w:leader="dot" w:pos="9070"/>
        </w:tabs>
        <w:ind w:left="840"/>
      </w:pPr>
      <w:r>
        <w:fldChar w:fldCharType="begin"/>
      </w:r>
      <w:r>
        <w:instrText xml:space="preserve"> HYPERLINK \l "_Toc13520" </w:instrText>
      </w:r>
      <w:r>
        <w:fldChar w:fldCharType="separate"/>
      </w:r>
      <w:r>
        <w:rPr>
          <w:rFonts w:hint="eastAsia" w:asciiTheme="minorEastAsia" w:hAnsiTheme="minorEastAsia"/>
          <w:bCs/>
        </w:rPr>
        <w:t>20. 投标文件的密封和标记</w:t>
      </w:r>
      <w:r>
        <w:tab/>
      </w:r>
      <w:r>
        <w:fldChar w:fldCharType="begin"/>
      </w:r>
      <w:r>
        <w:instrText xml:space="preserve"> PAGEREF _Toc13520 \h </w:instrText>
      </w:r>
      <w:r>
        <w:fldChar w:fldCharType="separate"/>
      </w:r>
      <w:r>
        <w:t>- 13 -</w:t>
      </w:r>
      <w:r>
        <w:fldChar w:fldCharType="end"/>
      </w:r>
      <w:r>
        <w:fldChar w:fldCharType="end"/>
      </w:r>
    </w:p>
    <w:p w14:paraId="2338A428">
      <w:pPr>
        <w:pStyle w:val="20"/>
        <w:tabs>
          <w:tab w:val="right" w:leader="dot" w:pos="9070"/>
        </w:tabs>
        <w:ind w:left="840"/>
      </w:pPr>
      <w:r>
        <w:fldChar w:fldCharType="begin"/>
      </w:r>
      <w:r>
        <w:instrText xml:space="preserve"> HYPERLINK \l "_Toc23662" </w:instrText>
      </w:r>
      <w:r>
        <w:fldChar w:fldCharType="separate"/>
      </w:r>
      <w:r>
        <w:rPr>
          <w:rFonts w:hint="eastAsia" w:asciiTheme="minorEastAsia" w:hAnsiTheme="minorEastAsia"/>
          <w:bCs/>
        </w:rPr>
        <w:t>21. 投标截止期</w:t>
      </w:r>
      <w:r>
        <w:tab/>
      </w:r>
      <w:r>
        <w:fldChar w:fldCharType="begin"/>
      </w:r>
      <w:r>
        <w:instrText xml:space="preserve"> PAGEREF _Toc23662 \h </w:instrText>
      </w:r>
      <w:r>
        <w:fldChar w:fldCharType="separate"/>
      </w:r>
      <w:r>
        <w:t>- 13 -</w:t>
      </w:r>
      <w:r>
        <w:fldChar w:fldCharType="end"/>
      </w:r>
      <w:r>
        <w:fldChar w:fldCharType="end"/>
      </w:r>
    </w:p>
    <w:p w14:paraId="4D515477">
      <w:pPr>
        <w:pStyle w:val="20"/>
        <w:tabs>
          <w:tab w:val="right" w:leader="dot" w:pos="9070"/>
        </w:tabs>
        <w:ind w:left="840"/>
      </w:pPr>
      <w:r>
        <w:fldChar w:fldCharType="begin"/>
      </w:r>
      <w:r>
        <w:instrText xml:space="preserve"> HYPERLINK \l "_Toc26330" </w:instrText>
      </w:r>
      <w:r>
        <w:fldChar w:fldCharType="separate"/>
      </w:r>
      <w:r>
        <w:rPr>
          <w:rFonts w:hint="eastAsia" w:asciiTheme="minorEastAsia" w:hAnsiTheme="minorEastAsia"/>
          <w:bCs/>
        </w:rPr>
        <w:t>22. 投标文件的修改和撤回</w:t>
      </w:r>
      <w:r>
        <w:tab/>
      </w:r>
      <w:r>
        <w:fldChar w:fldCharType="begin"/>
      </w:r>
      <w:r>
        <w:instrText xml:space="preserve"> PAGEREF _Toc26330 \h </w:instrText>
      </w:r>
      <w:r>
        <w:fldChar w:fldCharType="separate"/>
      </w:r>
      <w:r>
        <w:t>- 14 -</w:t>
      </w:r>
      <w:r>
        <w:fldChar w:fldCharType="end"/>
      </w:r>
      <w:r>
        <w:fldChar w:fldCharType="end"/>
      </w:r>
    </w:p>
    <w:p w14:paraId="1FD4E7A7">
      <w:pPr>
        <w:pStyle w:val="20"/>
        <w:tabs>
          <w:tab w:val="right" w:leader="dot" w:pos="9070"/>
        </w:tabs>
        <w:ind w:left="840"/>
      </w:pPr>
      <w:r>
        <w:fldChar w:fldCharType="begin"/>
      </w:r>
      <w:r>
        <w:instrText xml:space="preserve"> HYPERLINK \l "_Toc14131" </w:instrText>
      </w:r>
      <w:r>
        <w:fldChar w:fldCharType="separate"/>
      </w:r>
      <w:r>
        <w:rPr>
          <w:rFonts w:hint="eastAsia" w:asciiTheme="minorEastAsia" w:hAnsiTheme="minorEastAsia"/>
          <w:bCs/>
        </w:rPr>
        <w:t>23. 串通投标行为</w:t>
      </w:r>
      <w:r>
        <w:tab/>
      </w:r>
      <w:r>
        <w:fldChar w:fldCharType="begin"/>
      </w:r>
      <w:r>
        <w:instrText xml:space="preserve"> PAGEREF _Toc14131 \h </w:instrText>
      </w:r>
      <w:r>
        <w:fldChar w:fldCharType="separate"/>
      </w:r>
      <w:r>
        <w:t>- 14 -</w:t>
      </w:r>
      <w:r>
        <w:fldChar w:fldCharType="end"/>
      </w:r>
      <w:r>
        <w:fldChar w:fldCharType="end"/>
      </w:r>
    </w:p>
    <w:p w14:paraId="6EF15A0D">
      <w:pPr>
        <w:pStyle w:val="20"/>
        <w:tabs>
          <w:tab w:val="right" w:leader="dot" w:pos="9070"/>
        </w:tabs>
        <w:ind w:left="840"/>
      </w:pPr>
      <w:r>
        <w:fldChar w:fldCharType="begin"/>
      </w:r>
      <w:r>
        <w:instrText xml:space="preserve"> HYPERLINK \l "_Toc23806" </w:instrText>
      </w:r>
      <w:r>
        <w:fldChar w:fldCharType="separate"/>
      </w:r>
      <w:r>
        <w:rPr>
          <w:rFonts w:hint="eastAsia"/>
        </w:rPr>
        <w:t>五、开标，资格审查和评标</w:t>
      </w:r>
      <w:r>
        <w:tab/>
      </w:r>
      <w:r>
        <w:fldChar w:fldCharType="begin"/>
      </w:r>
      <w:r>
        <w:instrText xml:space="preserve"> PAGEREF _Toc23806 \h </w:instrText>
      </w:r>
      <w:r>
        <w:fldChar w:fldCharType="separate"/>
      </w:r>
      <w:r>
        <w:t>- 15 -</w:t>
      </w:r>
      <w:r>
        <w:fldChar w:fldCharType="end"/>
      </w:r>
      <w:r>
        <w:fldChar w:fldCharType="end"/>
      </w:r>
    </w:p>
    <w:p w14:paraId="0CD10C2B">
      <w:pPr>
        <w:pStyle w:val="20"/>
        <w:tabs>
          <w:tab w:val="right" w:leader="dot" w:pos="9070"/>
        </w:tabs>
        <w:ind w:left="840"/>
      </w:pPr>
      <w:r>
        <w:fldChar w:fldCharType="begin"/>
      </w:r>
      <w:r>
        <w:instrText xml:space="preserve"> HYPERLINK \l "_Toc13833" </w:instrText>
      </w:r>
      <w:r>
        <w:fldChar w:fldCharType="separate"/>
      </w:r>
      <w:r>
        <w:rPr>
          <w:rFonts w:hint="eastAsia" w:asciiTheme="minorEastAsia" w:hAnsiTheme="minorEastAsia"/>
          <w:bCs/>
        </w:rPr>
        <w:t>24. 开标</w:t>
      </w:r>
      <w:r>
        <w:tab/>
      </w:r>
      <w:r>
        <w:fldChar w:fldCharType="begin"/>
      </w:r>
      <w:r>
        <w:instrText xml:space="preserve"> PAGEREF _Toc13833 \h </w:instrText>
      </w:r>
      <w:r>
        <w:fldChar w:fldCharType="separate"/>
      </w:r>
      <w:r>
        <w:t>- 15 -</w:t>
      </w:r>
      <w:r>
        <w:fldChar w:fldCharType="end"/>
      </w:r>
      <w:r>
        <w:fldChar w:fldCharType="end"/>
      </w:r>
    </w:p>
    <w:p w14:paraId="6B99A5C4">
      <w:pPr>
        <w:pStyle w:val="20"/>
        <w:tabs>
          <w:tab w:val="right" w:leader="dot" w:pos="9070"/>
        </w:tabs>
        <w:ind w:left="840"/>
      </w:pPr>
      <w:r>
        <w:fldChar w:fldCharType="begin"/>
      </w:r>
      <w:r>
        <w:instrText xml:space="preserve"> HYPERLINK \l "_Toc24278" </w:instrText>
      </w:r>
      <w:r>
        <w:fldChar w:fldCharType="separate"/>
      </w:r>
      <w:r>
        <w:rPr>
          <w:rFonts w:hint="eastAsia" w:asciiTheme="minorEastAsia" w:hAnsiTheme="minorEastAsia"/>
          <w:bCs/>
        </w:rPr>
        <w:t>25. 资格审查</w:t>
      </w:r>
      <w:r>
        <w:tab/>
      </w:r>
      <w:r>
        <w:fldChar w:fldCharType="begin"/>
      </w:r>
      <w:r>
        <w:instrText xml:space="preserve"> PAGEREF _Toc24278 \h </w:instrText>
      </w:r>
      <w:r>
        <w:fldChar w:fldCharType="separate"/>
      </w:r>
      <w:r>
        <w:t>- 15 -</w:t>
      </w:r>
      <w:r>
        <w:fldChar w:fldCharType="end"/>
      </w:r>
      <w:r>
        <w:fldChar w:fldCharType="end"/>
      </w:r>
    </w:p>
    <w:p w14:paraId="1CB87D04">
      <w:pPr>
        <w:pStyle w:val="20"/>
        <w:tabs>
          <w:tab w:val="right" w:leader="dot" w:pos="9070"/>
        </w:tabs>
        <w:ind w:left="840"/>
      </w:pPr>
      <w:r>
        <w:fldChar w:fldCharType="begin"/>
      </w:r>
      <w:r>
        <w:instrText xml:space="preserve"> HYPERLINK \l "_Toc20241" </w:instrText>
      </w:r>
      <w:r>
        <w:fldChar w:fldCharType="separate"/>
      </w:r>
      <w:r>
        <w:rPr>
          <w:rFonts w:hint="eastAsia" w:asciiTheme="minorEastAsia" w:hAnsiTheme="minorEastAsia"/>
          <w:bCs/>
        </w:rPr>
        <w:t>26. 评标委员会</w:t>
      </w:r>
      <w:r>
        <w:tab/>
      </w:r>
      <w:r>
        <w:fldChar w:fldCharType="begin"/>
      </w:r>
      <w:r>
        <w:instrText xml:space="preserve"> PAGEREF _Toc20241 \h </w:instrText>
      </w:r>
      <w:r>
        <w:fldChar w:fldCharType="separate"/>
      </w:r>
      <w:r>
        <w:t>- 15 -</w:t>
      </w:r>
      <w:r>
        <w:fldChar w:fldCharType="end"/>
      </w:r>
      <w:r>
        <w:fldChar w:fldCharType="end"/>
      </w:r>
    </w:p>
    <w:p w14:paraId="5F2A72D1">
      <w:pPr>
        <w:pStyle w:val="20"/>
        <w:tabs>
          <w:tab w:val="right" w:leader="dot" w:pos="9070"/>
        </w:tabs>
        <w:ind w:left="840"/>
      </w:pPr>
      <w:r>
        <w:fldChar w:fldCharType="begin"/>
      </w:r>
      <w:r>
        <w:instrText xml:space="preserve"> HYPERLINK \l "_Toc27431" </w:instrText>
      </w:r>
      <w:r>
        <w:fldChar w:fldCharType="separate"/>
      </w:r>
      <w:r>
        <w:rPr>
          <w:rFonts w:hint="eastAsia" w:asciiTheme="minorEastAsia" w:hAnsiTheme="minorEastAsia"/>
          <w:bCs/>
        </w:rPr>
        <w:t>27. 评标</w:t>
      </w:r>
      <w:r>
        <w:tab/>
      </w:r>
      <w:r>
        <w:fldChar w:fldCharType="begin"/>
      </w:r>
      <w:r>
        <w:instrText xml:space="preserve"> PAGEREF _Toc27431 \h </w:instrText>
      </w:r>
      <w:r>
        <w:fldChar w:fldCharType="separate"/>
      </w:r>
      <w:r>
        <w:t>- 16 -</w:t>
      </w:r>
      <w:r>
        <w:fldChar w:fldCharType="end"/>
      </w:r>
      <w:r>
        <w:fldChar w:fldCharType="end"/>
      </w:r>
    </w:p>
    <w:p w14:paraId="793DB1AD">
      <w:pPr>
        <w:pStyle w:val="20"/>
        <w:tabs>
          <w:tab w:val="right" w:leader="dot" w:pos="9070"/>
        </w:tabs>
        <w:ind w:left="840"/>
      </w:pPr>
      <w:r>
        <w:fldChar w:fldCharType="begin"/>
      </w:r>
      <w:r>
        <w:instrText xml:space="preserve"> HYPERLINK \l "_Toc2692" </w:instrText>
      </w:r>
      <w:r>
        <w:fldChar w:fldCharType="separate"/>
      </w:r>
      <w:r>
        <w:rPr>
          <w:rFonts w:hint="eastAsia" w:asciiTheme="minorEastAsia" w:hAnsiTheme="minorEastAsia"/>
          <w:bCs/>
        </w:rPr>
        <w:t>28.保密</w:t>
      </w:r>
      <w:r>
        <w:tab/>
      </w:r>
      <w:r>
        <w:fldChar w:fldCharType="begin"/>
      </w:r>
      <w:r>
        <w:instrText xml:space="preserve"> PAGEREF _Toc2692 \h </w:instrText>
      </w:r>
      <w:r>
        <w:fldChar w:fldCharType="separate"/>
      </w:r>
      <w:r>
        <w:t>- 16 -</w:t>
      </w:r>
      <w:r>
        <w:fldChar w:fldCharType="end"/>
      </w:r>
      <w:r>
        <w:fldChar w:fldCharType="end"/>
      </w:r>
    </w:p>
    <w:p w14:paraId="6EB84FD8">
      <w:pPr>
        <w:pStyle w:val="20"/>
        <w:tabs>
          <w:tab w:val="right" w:leader="dot" w:pos="9070"/>
        </w:tabs>
        <w:ind w:left="840"/>
      </w:pPr>
      <w:r>
        <w:fldChar w:fldCharType="begin"/>
      </w:r>
      <w:r>
        <w:instrText xml:space="preserve"> HYPERLINK \l "_Toc25536" </w:instrText>
      </w:r>
      <w:r>
        <w:fldChar w:fldCharType="separate"/>
      </w:r>
      <w:r>
        <w:rPr>
          <w:rFonts w:hint="eastAsia"/>
        </w:rPr>
        <w:t>六、中标信息公布</w:t>
      </w:r>
      <w:r>
        <w:tab/>
      </w:r>
      <w:r>
        <w:fldChar w:fldCharType="begin"/>
      </w:r>
      <w:r>
        <w:instrText xml:space="preserve"> PAGEREF _Toc25536 \h </w:instrText>
      </w:r>
      <w:r>
        <w:fldChar w:fldCharType="separate"/>
      </w:r>
      <w:r>
        <w:t>- 16 -</w:t>
      </w:r>
      <w:r>
        <w:fldChar w:fldCharType="end"/>
      </w:r>
      <w:r>
        <w:fldChar w:fldCharType="end"/>
      </w:r>
    </w:p>
    <w:p w14:paraId="67721958">
      <w:pPr>
        <w:pStyle w:val="20"/>
        <w:tabs>
          <w:tab w:val="right" w:leader="dot" w:pos="9070"/>
        </w:tabs>
        <w:ind w:left="840"/>
      </w:pPr>
      <w:r>
        <w:fldChar w:fldCharType="begin"/>
      </w:r>
      <w:r>
        <w:instrText xml:space="preserve"> HYPERLINK \l "_Toc15233" </w:instrText>
      </w:r>
      <w:r>
        <w:fldChar w:fldCharType="separate"/>
      </w:r>
      <w:r>
        <w:rPr>
          <w:rFonts w:hint="eastAsia" w:asciiTheme="minorEastAsia" w:hAnsiTheme="minorEastAsia"/>
          <w:bCs/>
        </w:rPr>
        <w:t>29.中标通知书与中标信息公布</w:t>
      </w:r>
      <w:r>
        <w:tab/>
      </w:r>
      <w:r>
        <w:fldChar w:fldCharType="begin"/>
      </w:r>
      <w:r>
        <w:instrText xml:space="preserve"> PAGEREF _Toc15233 \h </w:instrText>
      </w:r>
      <w:r>
        <w:fldChar w:fldCharType="separate"/>
      </w:r>
      <w:r>
        <w:t>- 16 -</w:t>
      </w:r>
      <w:r>
        <w:fldChar w:fldCharType="end"/>
      </w:r>
      <w:r>
        <w:fldChar w:fldCharType="end"/>
      </w:r>
    </w:p>
    <w:p w14:paraId="5706800A">
      <w:pPr>
        <w:pStyle w:val="20"/>
        <w:tabs>
          <w:tab w:val="right" w:leader="dot" w:pos="9070"/>
        </w:tabs>
        <w:ind w:left="840"/>
      </w:pPr>
      <w:r>
        <w:fldChar w:fldCharType="begin"/>
      </w:r>
      <w:r>
        <w:instrText xml:space="preserve"> HYPERLINK \l "_Toc11663" </w:instrText>
      </w:r>
      <w:r>
        <w:fldChar w:fldCharType="separate"/>
      </w:r>
      <w:r>
        <w:rPr>
          <w:rFonts w:hint="eastAsia"/>
        </w:rPr>
        <w:t>七、询问和质疑</w:t>
      </w:r>
      <w:r>
        <w:tab/>
      </w:r>
      <w:r>
        <w:fldChar w:fldCharType="begin"/>
      </w:r>
      <w:r>
        <w:instrText xml:space="preserve"> PAGEREF _Toc11663 \h </w:instrText>
      </w:r>
      <w:r>
        <w:fldChar w:fldCharType="separate"/>
      </w:r>
      <w:r>
        <w:t>- 16 -</w:t>
      </w:r>
      <w:r>
        <w:fldChar w:fldCharType="end"/>
      </w:r>
      <w:r>
        <w:fldChar w:fldCharType="end"/>
      </w:r>
    </w:p>
    <w:p w14:paraId="21154D95">
      <w:pPr>
        <w:pStyle w:val="20"/>
        <w:tabs>
          <w:tab w:val="right" w:leader="dot" w:pos="9070"/>
        </w:tabs>
        <w:ind w:left="840"/>
      </w:pPr>
      <w:r>
        <w:fldChar w:fldCharType="begin"/>
      </w:r>
      <w:r>
        <w:instrText xml:space="preserve"> HYPERLINK \l "_Toc16483" </w:instrText>
      </w:r>
      <w:r>
        <w:fldChar w:fldCharType="separate"/>
      </w:r>
      <w:r>
        <w:rPr>
          <w:rFonts w:hint="eastAsia" w:asciiTheme="minorEastAsia" w:hAnsiTheme="minorEastAsia"/>
          <w:bCs/>
        </w:rPr>
        <w:t>30. 投标人询问及质疑</w:t>
      </w:r>
      <w:r>
        <w:tab/>
      </w:r>
      <w:r>
        <w:fldChar w:fldCharType="begin"/>
      </w:r>
      <w:r>
        <w:instrText xml:space="preserve"> PAGEREF _Toc16483 \h </w:instrText>
      </w:r>
      <w:r>
        <w:fldChar w:fldCharType="separate"/>
      </w:r>
      <w:r>
        <w:t>- 16 -</w:t>
      </w:r>
      <w:r>
        <w:fldChar w:fldCharType="end"/>
      </w:r>
      <w:r>
        <w:fldChar w:fldCharType="end"/>
      </w:r>
    </w:p>
    <w:p w14:paraId="29938357">
      <w:pPr>
        <w:pStyle w:val="20"/>
        <w:tabs>
          <w:tab w:val="right" w:leader="dot" w:pos="9070"/>
        </w:tabs>
        <w:ind w:left="840"/>
      </w:pPr>
      <w:r>
        <w:fldChar w:fldCharType="begin"/>
      </w:r>
      <w:r>
        <w:instrText xml:space="preserve"> HYPERLINK \l "_Toc3612" </w:instrText>
      </w:r>
      <w:r>
        <w:fldChar w:fldCharType="separate"/>
      </w:r>
      <w:r>
        <w:rPr>
          <w:rFonts w:hint="eastAsia"/>
        </w:rPr>
        <w:t>八、合同签订</w:t>
      </w:r>
      <w:r>
        <w:tab/>
      </w:r>
      <w:r>
        <w:fldChar w:fldCharType="begin"/>
      </w:r>
      <w:r>
        <w:instrText xml:space="preserve"> PAGEREF _Toc3612 \h </w:instrText>
      </w:r>
      <w:r>
        <w:fldChar w:fldCharType="separate"/>
      </w:r>
      <w:r>
        <w:t>- 17 -</w:t>
      </w:r>
      <w:r>
        <w:fldChar w:fldCharType="end"/>
      </w:r>
      <w:r>
        <w:fldChar w:fldCharType="end"/>
      </w:r>
    </w:p>
    <w:p w14:paraId="014666F0">
      <w:pPr>
        <w:pStyle w:val="20"/>
        <w:tabs>
          <w:tab w:val="right" w:leader="dot" w:pos="9070"/>
        </w:tabs>
        <w:ind w:left="840"/>
      </w:pPr>
      <w:r>
        <w:fldChar w:fldCharType="begin"/>
      </w:r>
      <w:r>
        <w:instrText xml:space="preserve"> HYPERLINK \l "_Toc3781" </w:instrText>
      </w:r>
      <w:r>
        <w:fldChar w:fldCharType="separate"/>
      </w:r>
      <w:r>
        <w:rPr>
          <w:rFonts w:hint="eastAsia" w:asciiTheme="minorEastAsia" w:hAnsiTheme="minorEastAsia"/>
          <w:bCs/>
        </w:rPr>
        <w:t>31. 签订合同</w:t>
      </w:r>
      <w:r>
        <w:tab/>
      </w:r>
      <w:r>
        <w:fldChar w:fldCharType="begin"/>
      </w:r>
      <w:r>
        <w:instrText xml:space="preserve"> PAGEREF _Toc3781 \h </w:instrText>
      </w:r>
      <w:r>
        <w:fldChar w:fldCharType="separate"/>
      </w:r>
      <w:r>
        <w:t>- 17 -</w:t>
      </w:r>
      <w:r>
        <w:fldChar w:fldCharType="end"/>
      </w:r>
      <w:r>
        <w:fldChar w:fldCharType="end"/>
      </w:r>
    </w:p>
    <w:p w14:paraId="3A6CB298">
      <w:pPr>
        <w:pStyle w:val="20"/>
        <w:tabs>
          <w:tab w:val="right" w:leader="dot" w:pos="9070"/>
        </w:tabs>
        <w:ind w:left="840"/>
      </w:pPr>
      <w:r>
        <w:fldChar w:fldCharType="begin"/>
      </w:r>
      <w:r>
        <w:instrText xml:space="preserve"> HYPERLINK \l "_Toc6657" </w:instrText>
      </w:r>
      <w:r>
        <w:fldChar w:fldCharType="separate"/>
      </w:r>
      <w:r>
        <w:rPr>
          <w:rFonts w:hint="eastAsia" w:asciiTheme="minorEastAsia" w:hAnsiTheme="minorEastAsia"/>
          <w:bCs/>
        </w:rPr>
        <w:t>32. 履约担保</w:t>
      </w:r>
      <w:r>
        <w:tab/>
      </w:r>
      <w:r>
        <w:fldChar w:fldCharType="begin"/>
      </w:r>
      <w:r>
        <w:instrText xml:space="preserve"> PAGEREF _Toc6657 \h </w:instrText>
      </w:r>
      <w:r>
        <w:fldChar w:fldCharType="separate"/>
      </w:r>
      <w:r>
        <w:t>- 17 -</w:t>
      </w:r>
      <w:r>
        <w:fldChar w:fldCharType="end"/>
      </w:r>
      <w:r>
        <w:fldChar w:fldCharType="end"/>
      </w:r>
    </w:p>
    <w:p w14:paraId="5F917AF8">
      <w:pPr>
        <w:pStyle w:val="20"/>
        <w:tabs>
          <w:tab w:val="right" w:leader="dot" w:pos="9070"/>
        </w:tabs>
        <w:ind w:left="840"/>
      </w:pPr>
      <w:r>
        <w:fldChar w:fldCharType="begin"/>
      </w:r>
      <w:r>
        <w:instrText xml:space="preserve"> HYPERLINK \l "_Toc12439" </w:instrText>
      </w:r>
      <w:r>
        <w:fldChar w:fldCharType="separate"/>
      </w:r>
      <w:r>
        <w:rPr>
          <w:rFonts w:hint="eastAsia" w:asciiTheme="minorEastAsia" w:hAnsiTheme="minorEastAsia"/>
          <w:bCs/>
        </w:rPr>
        <w:t>33. 政府采购合同履行中数量的变更</w:t>
      </w:r>
      <w:r>
        <w:tab/>
      </w:r>
      <w:r>
        <w:fldChar w:fldCharType="begin"/>
      </w:r>
      <w:r>
        <w:instrText xml:space="preserve"> PAGEREF _Toc12439 \h </w:instrText>
      </w:r>
      <w:r>
        <w:fldChar w:fldCharType="separate"/>
      </w:r>
      <w:r>
        <w:t>- 17 -</w:t>
      </w:r>
      <w:r>
        <w:fldChar w:fldCharType="end"/>
      </w:r>
      <w:r>
        <w:fldChar w:fldCharType="end"/>
      </w:r>
    </w:p>
    <w:p w14:paraId="5CE4BF71">
      <w:pPr>
        <w:pStyle w:val="20"/>
        <w:tabs>
          <w:tab w:val="right" w:leader="dot" w:pos="9070"/>
        </w:tabs>
        <w:ind w:left="840"/>
      </w:pPr>
      <w:r>
        <w:fldChar w:fldCharType="begin"/>
      </w:r>
      <w:r>
        <w:instrText xml:space="preserve"> HYPERLINK \l "_Toc25638" </w:instrText>
      </w:r>
      <w:r>
        <w:fldChar w:fldCharType="separate"/>
      </w:r>
      <w:r>
        <w:rPr>
          <w:rFonts w:hint="eastAsia" w:asciiTheme="minorEastAsia" w:hAnsiTheme="minorEastAsia"/>
          <w:bCs/>
        </w:rPr>
        <w:t>34.禁止行为</w:t>
      </w:r>
      <w:r>
        <w:tab/>
      </w:r>
      <w:r>
        <w:fldChar w:fldCharType="begin"/>
      </w:r>
      <w:r>
        <w:instrText xml:space="preserve"> PAGEREF _Toc25638 \h </w:instrText>
      </w:r>
      <w:r>
        <w:fldChar w:fldCharType="separate"/>
      </w:r>
      <w:r>
        <w:t>- 17 -</w:t>
      </w:r>
      <w:r>
        <w:fldChar w:fldCharType="end"/>
      </w:r>
      <w:r>
        <w:fldChar w:fldCharType="end"/>
      </w:r>
    </w:p>
    <w:p w14:paraId="14A3D236">
      <w:pPr>
        <w:pStyle w:val="20"/>
        <w:tabs>
          <w:tab w:val="right" w:leader="dot" w:pos="9070"/>
        </w:tabs>
        <w:ind w:left="840"/>
      </w:pPr>
      <w:r>
        <w:fldChar w:fldCharType="begin"/>
      </w:r>
      <w:r>
        <w:instrText xml:space="preserve"> HYPERLINK \l "_Toc17142" </w:instrText>
      </w:r>
      <w:r>
        <w:fldChar w:fldCharType="separate"/>
      </w:r>
      <w:r>
        <w:rPr>
          <w:rFonts w:hint="eastAsia"/>
        </w:rPr>
        <w:t>九、政府采购政策</w:t>
      </w:r>
      <w:r>
        <w:tab/>
      </w:r>
      <w:r>
        <w:fldChar w:fldCharType="begin"/>
      </w:r>
      <w:r>
        <w:instrText xml:space="preserve"> PAGEREF _Toc17142 \h </w:instrText>
      </w:r>
      <w:r>
        <w:fldChar w:fldCharType="separate"/>
      </w:r>
      <w:r>
        <w:t>- 18 -</w:t>
      </w:r>
      <w:r>
        <w:fldChar w:fldCharType="end"/>
      </w:r>
      <w:r>
        <w:fldChar w:fldCharType="end"/>
      </w:r>
    </w:p>
    <w:p w14:paraId="5C7CFBAC">
      <w:pPr>
        <w:pStyle w:val="20"/>
        <w:tabs>
          <w:tab w:val="right" w:leader="dot" w:pos="9070"/>
        </w:tabs>
        <w:ind w:left="840"/>
      </w:pPr>
      <w:r>
        <w:fldChar w:fldCharType="begin"/>
      </w:r>
      <w:r>
        <w:instrText xml:space="preserve"> HYPERLINK \l "_Toc23489" </w:instrText>
      </w:r>
      <w:r>
        <w:fldChar w:fldCharType="separate"/>
      </w:r>
      <w:r>
        <w:rPr>
          <w:rFonts w:hint="eastAsia" w:asciiTheme="minorEastAsia" w:hAnsiTheme="minorEastAsia"/>
          <w:bCs/>
        </w:rPr>
        <w:t>35.政府采购政策</w:t>
      </w:r>
      <w:r>
        <w:tab/>
      </w:r>
      <w:r>
        <w:fldChar w:fldCharType="begin"/>
      </w:r>
      <w:r>
        <w:instrText xml:space="preserve"> PAGEREF _Toc23489 \h </w:instrText>
      </w:r>
      <w:r>
        <w:fldChar w:fldCharType="separate"/>
      </w:r>
      <w:r>
        <w:t>- 18 -</w:t>
      </w:r>
      <w:r>
        <w:fldChar w:fldCharType="end"/>
      </w:r>
      <w:r>
        <w:fldChar w:fldCharType="end"/>
      </w:r>
    </w:p>
    <w:p w14:paraId="10EE7C05">
      <w:pPr>
        <w:pStyle w:val="20"/>
        <w:tabs>
          <w:tab w:val="right" w:leader="dot" w:pos="9070"/>
        </w:tabs>
        <w:ind w:left="840"/>
      </w:pPr>
      <w:r>
        <w:fldChar w:fldCharType="begin"/>
      </w:r>
      <w:r>
        <w:instrText xml:space="preserve"> HYPERLINK \l "_Toc19618" </w:instrText>
      </w:r>
      <w:r>
        <w:fldChar w:fldCharType="separate"/>
      </w:r>
      <w:r>
        <w:rPr>
          <w:rFonts w:hint="eastAsia"/>
        </w:rPr>
        <w:t>十、其他规定</w:t>
      </w:r>
      <w:r>
        <w:tab/>
      </w:r>
      <w:r>
        <w:fldChar w:fldCharType="begin"/>
      </w:r>
      <w:r>
        <w:instrText xml:space="preserve"> PAGEREF _Toc19618 \h </w:instrText>
      </w:r>
      <w:r>
        <w:fldChar w:fldCharType="separate"/>
      </w:r>
      <w:r>
        <w:t>- 19 -</w:t>
      </w:r>
      <w:r>
        <w:fldChar w:fldCharType="end"/>
      </w:r>
      <w:r>
        <w:fldChar w:fldCharType="end"/>
      </w:r>
    </w:p>
    <w:p w14:paraId="49F04CDE">
      <w:pPr>
        <w:pStyle w:val="20"/>
        <w:tabs>
          <w:tab w:val="right" w:leader="dot" w:pos="9070"/>
        </w:tabs>
        <w:ind w:left="840"/>
      </w:pPr>
      <w:r>
        <w:fldChar w:fldCharType="begin"/>
      </w:r>
      <w:r>
        <w:instrText xml:space="preserve"> HYPERLINK \l "_Toc30568" </w:instrText>
      </w:r>
      <w:r>
        <w:fldChar w:fldCharType="separate"/>
      </w:r>
      <w:r>
        <w:rPr>
          <w:rFonts w:hint="eastAsia" w:asciiTheme="minorEastAsia" w:hAnsiTheme="minorEastAsia"/>
          <w:bCs/>
        </w:rPr>
        <w:t>36. 招标代理服务费</w:t>
      </w:r>
      <w:r>
        <w:tab/>
      </w:r>
      <w:r>
        <w:fldChar w:fldCharType="begin"/>
      </w:r>
      <w:r>
        <w:instrText xml:space="preserve"> PAGEREF _Toc30568 \h </w:instrText>
      </w:r>
      <w:r>
        <w:fldChar w:fldCharType="separate"/>
      </w:r>
      <w:r>
        <w:t>- 19 -</w:t>
      </w:r>
      <w:r>
        <w:fldChar w:fldCharType="end"/>
      </w:r>
      <w:r>
        <w:fldChar w:fldCharType="end"/>
      </w:r>
    </w:p>
    <w:p w14:paraId="2942810D">
      <w:pPr>
        <w:pStyle w:val="20"/>
        <w:tabs>
          <w:tab w:val="right" w:leader="dot" w:pos="9070"/>
        </w:tabs>
        <w:ind w:left="840"/>
      </w:pPr>
      <w:r>
        <w:fldChar w:fldCharType="begin"/>
      </w:r>
      <w:r>
        <w:instrText xml:space="preserve"> HYPERLINK \l "_Toc12616" </w:instrText>
      </w:r>
      <w:r>
        <w:fldChar w:fldCharType="separate"/>
      </w:r>
      <w:r>
        <w:rPr>
          <w:rFonts w:hint="eastAsia" w:asciiTheme="minorEastAsia" w:hAnsiTheme="minorEastAsia"/>
          <w:bCs/>
        </w:rPr>
        <w:t>37. 需要补充的其他内容</w:t>
      </w:r>
      <w:r>
        <w:tab/>
      </w:r>
      <w:r>
        <w:fldChar w:fldCharType="begin"/>
      </w:r>
      <w:r>
        <w:instrText xml:space="preserve"> PAGEREF _Toc12616 \h </w:instrText>
      </w:r>
      <w:r>
        <w:fldChar w:fldCharType="separate"/>
      </w:r>
      <w:r>
        <w:t>- 19 -</w:t>
      </w:r>
      <w:r>
        <w:fldChar w:fldCharType="end"/>
      </w:r>
      <w:r>
        <w:fldChar w:fldCharType="end"/>
      </w:r>
    </w:p>
    <w:p w14:paraId="2049C1E7">
      <w:pPr>
        <w:pStyle w:val="32"/>
        <w:tabs>
          <w:tab w:val="right" w:leader="dot" w:pos="9070"/>
        </w:tabs>
        <w:ind w:left="420"/>
      </w:pPr>
      <w:r>
        <w:fldChar w:fldCharType="begin"/>
      </w:r>
      <w:r>
        <w:instrText xml:space="preserve"> HYPERLINK \l "_Toc32193" </w:instrText>
      </w:r>
      <w:r>
        <w:fldChar w:fldCharType="separate"/>
      </w:r>
      <w:r>
        <w:rPr>
          <w:rFonts w:hint="eastAsia"/>
        </w:rPr>
        <w:t>第三章 资格审查</w:t>
      </w:r>
      <w:r>
        <w:tab/>
      </w:r>
      <w:r>
        <w:fldChar w:fldCharType="begin"/>
      </w:r>
      <w:r>
        <w:instrText xml:space="preserve"> PAGEREF _Toc32193 \h </w:instrText>
      </w:r>
      <w:r>
        <w:fldChar w:fldCharType="separate"/>
      </w:r>
      <w:r>
        <w:t>- 20 -</w:t>
      </w:r>
      <w:r>
        <w:fldChar w:fldCharType="end"/>
      </w:r>
      <w:r>
        <w:fldChar w:fldCharType="end"/>
      </w:r>
    </w:p>
    <w:p w14:paraId="01142014">
      <w:pPr>
        <w:pStyle w:val="20"/>
        <w:tabs>
          <w:tab w:val="right" w:leader="dot" w:pos="9070"/>
        </w:tabs>
        <w:ind w:left="840"/>
      </w:pPr>
      <w:r>
        <w:fldChar w:fldCharType="begin"/>
      </w:r>
      <w:r>
        <w:instrText xml:space="preserve"> HYPERLINK \l "_Toc28667" </w:instrText>
      </w:r>
      <w:r>
        <w:fldChar w:fldCharType="separate"/>
      </w:r>
      <w:r>
        <w:rPr>
          <w:rFonts w:hint="eastAsia" w:asciiTheme="minorEastAsia" w:hAnsiTheme="minorEastAsia"/>
          <w:bCs/>
        </w:rPr>
        <w:t>1．资格审查主体</w:t>
      </w:r>
      <w:r>
        <w:tab/>
      </w:r>
      <w:r>
        <w:fldChar w:fldCharType="begin"/>
      </w:r>
      <w:r>
        <w:instrText xml:space="preserve"> PAGEREF _Toc28667 \h </w:instrText>
      </w:r>
      <w:r>
        <w:fldChar w:fldCharType="separate"/>
      </w:r>
      <w:r>
        <w:t>- 20 -</w:t>
      </w:r>
      <w:r>
        <w:fldChar w:fldCharType="end"/>
      </w:r>
      <w:r>
        <w:fldChar w:fldCharType="end"/>
      </w:r>
    </w:p>
    <w:p w14:paraId="110DB163">
      <w:pPr>
        <w:pStyle w:val="20"/>
        <w:tabs>
          <w:tab w:val="right" w:leader="dot" w:pos="9070"/>
        </w:tabs>
        <w:ind w:left="840"/>
      </w:pPr>
      <w:r>
        <w:fldChar w:fldCharType="begin"/>
      </w:r>
      <w:r>
        <w:instrText xml:space="preserve"> HYPERLINK \l "_Toc139" </w:instrText>
      </w:r>
      <w:r>
        <w:fldChar w:fldCharType="separate"/>
      </w:r>
      <w:r>
        <w:rPr>
          <w:rFonts w:hint="eastAsia" w:asciiTheme="minorEastAsia" w:hAnsiTheme="minorEastAsia"/>
          <w:bCs/>
        </w:rPr>
        <w:t>2．资格审查</w:t>
      </w:r>
      <w:r>
        <w:tab/>
      </w:r>
      <w:r>
        <w:fldChar w:fldCharType="begin"/>
      </w:r>
      <w:r>
        <w:instrText xml:space="preserve"> PAGEREF _Toc139 \h </w:instrText>
      </w:r>
      <w:r>
        <w:fldChar w:fldCharType="separate"/>
      </w:r>
      <w:r>
        <w:t>- 20 -</w:t>
      </w:r>
      <w:r>
        <w:fldChar w:fldCharType="end"/>
      </w:r>
      <w:r>
        <w:fldChar w:fldCharType="end"/>
      </w:r>
    </w:p>
    <w:p w14:paraId="654C041F">
      <w:pPr>
        <w:pStyle w:val="20"/>
        <w:tabs>
          <w:tab w:val="right" w:leader="dot" w:pos="9070"/>
        </w:tabs>
        <w:ind w:left="840"/>
      </w:pPr>
      <w:r>
        <w:fldChar w:fldCharType="begin"/>
      </w:r>
      <w:r>
        <w:instrText xml:space="preserve"> HYPERLINK \l "_Toc3727" </w:instrText>
      </w:r>
      <w:r>
        <w:fldChar w:fldCharType="separate"/>
      </w:r>
      <w:r>
        <w:rPr>
          <w:rFonts w:hint="eastAsia" w:asciiTheme="minorEastAsia" w:hAnsiTheme="minorEastAsia"/>
          <w:bCs/>
        </w:rPr>
        <w:t>3．资格审查结果</w:t>
      </w:r>
      <w:r>
        <w:tab/>
      </w:r>
      <w:r>
        <w:fldChar w:fldCharType="begin"/>
      </w:r>
      <w:r>
        <w:instrText xml:space="preserve"> PAGEREF _Toc3727 \h </w:instrText>
      </w:r>
      <w:r>
        <w:fldChar w:fldCharType="separate"/>
      </w:r>
      <w:r>
        <w:t>- 20 -</w:t>
      </w:r>
      <w:r>
        <w:fldChar w:fldCharType="end"/>
      </w:r>
      <w:r>
        <w:fldChar w:fldCharType="end"/>
      </w:r>
    </w:p>
    <w:p w14:paraId="368CF08E">
      <w:pPr>
        <w:pStyle w:val="32"/>
        <w:tabs>
          <w:tab w:val="right" w:leader="dot" w:pos="9070"/>
        </w:tabs>
        <w:ind w:left="420"/>
      </w:pPr>
      <w:r>
        <w:fldChar w:fldCharType="begin"/>
      </w:r>
      <w:r>
        <w:instrText xml:space="preserve"> HYPERLINK \l "_Toc1303" </w:instrText>
      </w:r>
      <w:r>
        <w:fldChar w:fldCharType="separate"/>
      </w:r>
      <w:r>
        <w:rPr>
          <w:rFonts w:hint="eastAsia"/>
        </w:rPr>
        <w:t>第四章 评标方法及标准（综合评分法）</w:t>
      </w:r>
      <w:r>
        <w:tab/>
      </w:r>
      <w:r>
        <w:fldChar w:fldCharType="begin"/>
      </w:r>
      <w:r>
        <w:instrText xml:space="preserve"> PAGEREF _Toc1303 \h </w:instrText>
      </w:r>
      <w:r>
        <w:fldChar w:fldCharType="separate"/>
      </w:r>
      <w:r>
        <w:t>- 21 -</w:t>
      </w:r>
      <w:r>
        <w:fldChar w:fldCharType="end"/>
      </w:r>
      <w:r>
        <w:fldChar w:fldCharType="end"/>
      </w:r>
    </w:p>
    <w:p w14:paraId="3542E425">
      <w:pPr>
        <w:pStyle w:val="32"/>
        <w:tabs>
          <w:tab w:val="right" w:leader="dot" w:pos="9070"/>
        </w:tabs>
        <w:ind w:left="420"/>
      </w:pPr>
      <w:r>
        <w:fldChar w:fldCharType="begin"/>
      </w:r>
      <w:r>
        <w:instrText xml:space="preserve"> HYPERLINK \l "_Toc24756" </w:instrText>
      </w:r>
      <w:r>
        <w:fldChar w:fldCharType="separate"/>
      </w:r>
      <w:r>
        <w:rPr>
          <w:rFonts w:hint="eastAsia"/>
        </w:rPr>
        <w:t>第一节 评标方法及标准前附表</w:t>
      </w:r>
      <w:r>
        <w:tab/>
      </w:r>
      <w:r>
        <w:fldChar w:fldCharType="begin"/>
      </w:r>
      <w:r>
        <w:instrText xml:space="preserve"> PAGEREF _Toc24756 \h </w:instrText>
      </w:r>
      <w:r>
        <w:fldChar w:fldCharType="separate"/>
      </w:r>
      <w:r>
        <w:t>- 21 -</w:t>
      </w:r>
      <w:r>
        <w:fldChar w:fldCharType="end"/>
      </w:r>
      <w:r>
        <w:fldChar w:fldCharType="end"/>
      </w:r>
    </w:p>
    <w:p w14:paraId="2B974B6E">
      <w:pPr>
        <w:pStyle w:val="32"/>
        <w:tabs>
          <w:tab w:val="right" w:leader="dot" w:pos="9070"/>
        </w:tabs>
        <w:ind w:left="420"/>
      </w:pPr>
      <w:r>
        <w:fldChar w:fldCharType="begin"/>
      </w:r>
      <w:r>
        <w:instrText xml:space="preserve"> HYPERLINK \l "_Toc28014" </w:instrText>
      </w:r>
      <w:r>
        <w:fldChar w:fldCharType="separate"/>
      </w:r>
      <w:r>
        <w:rPr>
          <w:rFonts w:hint="eastAsia"/>
        </w:rPr>
        <w:t>第二节 评标方法及标准</w:t>
      </w:r>
      <w:r>
        <w:tab/>
      </w:r>
      <w:r>
        <w:fldChar w:fldCharType="begin"/>
      </w:r>
      <w:r>
        <w:instrText xml:space="preserve"> PAGEREF _Toc28014 \h </w:instrText>
      </w:r>
      <w:r>
        <w:fldChar w:fldCharType="separate"/>
      </w:r>
      <w:r>
        <w:t>- 23 -</w:t>
      </w:r>
      <w:r>
        <w:fldChar w:fldCharType="end"/>
      </w:r>
      <w:r>
        <w:fldChar w:fldCharType="end"/>
      </w:r>
    </w:p>
    <w:p w14:paraId="0401A026">
      <w:pPr>
        <w:pStyle w:val="20"/>
        <w:tabs>
          <w:tab w:val="right" w:leader="dot" w:pos="9070"/>
        </w:tabs>
        <w:ind w:left="840"/>
      </w:pPr>
      <w:r>
        <w:fldChar w:fldCharType="begin"/>
      </w:r>
      <w:r>
        <w:instrText xml:space="preserve"> HYPERLINK \l "_Toc4354" </w:instrText>
      </w:r>
      <w:r>
        <w:fldChar w:fldCharType="separate"/>
      </w:r>
      <w:r>
        <w:rPr>
          <w:rFonts w:hint="eastAsia" w:asciiTheme="minorEastAsia" w:hAnsiTheme="minorEastAsia"/>
          <w:bCs/>
        </w:rPr>
        <w:t>1．评标方法</w:t>
      </w:r>
      <w:r>
        <w:tab/>
      </w:r>
      <w:r>
        <w:fldChar w:fldCharType="begin"/>
      </w:r>
      <w:r>
        <w:instrText xml:space="preserve"> PAGEREF _Toc4354 \h </w:instrText>
      </w:r>
      <w:r>
        <w:fldChar w:fldCharType="separate"/>
      </w:r>
      <w:r>
        <w:t>- 23 -</w:t>
      </w:r>
      <w:r>
        <w:fldChar w:fldCharType="end"/>
      </w:r>
      <w:r>
        <w:fldChar w:fldCharType="end"/>
      </w:r>
    </w:p>
    <w:p w14:paraId="7CA8C259">
      <w:pPr>
        <w:pStyle w:val="20"/>
        <w:tabs>
          <w:tab w:val="right" w:leader="dot" w:pos="9070"/>
        </w:tabs>
        <w:ind w:left="840"/>
      </w:pPr>
      <w:r>
        <w:fldChar w:fldCharType="begin"/>
      </w:r>
      <w:r>
        <w:instrText xml:space="preserve"> HYPERLINK \l "_Toc4015" </w:instrText>
      </w:r>
      <w:r>
        <w:fldChar w:fldCharType="separate"/>
      </w:r>
      <w:r>
        <w:rPr>
          <w:rFonts w:hint="eastAsia" w:asciiTheme="minorEastAsia" w:hAnsiTheme="minorEastAsia"/>
          <w:bCs/>
        </w:rPr>
        <w:t>2．评标程序</w:t>
      </w:r>
      <w:r>
        <w:tab/>
      </w:r>
      <w:r>
        <w:fldChar w:fldCharType="begin"/>
      </w:r>
      <w:r>
        <w:instrText xml:space="preserve"> PAGEREF _Toc4015 \h </w:instrText>
      </w:r>
      <w:r>
        <w:fldChar w:fldCharType="separate"/>
      </w:r>
      <w:r>
        <w:t>- 23 -</w:t>
      </w:r>
      <w:r>
        <w:fldChar w:fldCharType="end"/>
      </w:r>
      <w:r>
        <w:fldChar w:fldCharType="end"/>
      </w:r>
    </w:p>
    <w:p w14:paraId="3CCC9480">
      <w:pPr>
        <w:pStyle w:val="20"/>
        <w:tabs>
          <w:tab w:val="right" w:leader="dot" w:pos="9070"/>
        </w:tabs>
        <w:ind w:left="840"/>
      </w:pPr>
      <w:r>
        <w:fldChar w:fldCharType="begin"/>
      </w:r>
      <w:r>
        <w:instrText xml:space="preserve"> HYPERLINK \l "_Toc17242" </w:instrText>
      </w:r>
      <w:r>
        <w:fldChar w:fldCharType="separate"/>
      </w:r>
      <w:r>
        <w:rPr>
          <w:rFonts w:hint="eastAsia" w:asciiTheme="minorEastAsia" w:hAnsiTheme="minorEastAsia"/>
          <w:bCs/>
        </w:rPr>
        <w:t>3．投标文件的符合性审查</w:t>
      </w:r>
      <w:r>
        <w:tab/>
      </w:r>
      <w:r>
        <w:fldChar w:fldCharType="begin"/>
      </w:r>
      <w:r>
        <w:instrText xml:space="preserve"> PAGEREF _Toc17242 \h </w:instrText>
      </w:r>
      <w:r>
        <w:fldChar w:fldCharType="separate"/>
      </w:r>
      <w:r>
        <w:t>- 23 -</w:t>
      </w:r>
      <w:r>
        <w:fldChar w:fldCharType="end"/>
      </w:r>
      <w:r>
        <w:fldChar w:fldCharType="end"/>
      </w:r>
    </w:p>
    <w:p w14:paraId="516523AA">
      <w:pPr>
        <w:pStyle w:val="20"/>
        <w:tabs>
          <w:tab w:val="right" w:leader="dot" w:pos="9070"/>
        </w:tabs>
        <w:ind w:left="840"/>
      </w:pPr>
      <w:r>
        <w:fldChar w:fldCharType="begin"/>
      </w:r>
      <w:r>
        <w:instrText xml:space="preserve"> HYPERLINK \l "_Toc5493" </w:instrText>
      </w:r>
      <w:r>
        <w:fldChar w:fldCharType="separate"/>
      </w:r>
      <w:r>
        <w:rPr>
          <w:rFonts w:hint="eastAsia" w:asciiTheme="minorEastAsia" w:hAnsiTheme="minorEastAsia"/>
          <w:bCs/>
        </w:rPr>
        <w:t>4．投标文件的澄清</w:t>
      </w:r>
      <w:r>
        <w:tab/>
      </w:r>
      <w:r>
        <w:fldChar w:fldCharType="begin"/>
      </w:r>
      <w:r>
        <w:instrText xml:space="preserve"> PAGEREF _Toc5493 \h </w:instrText>
      </w:r>
      <w:r>
        <w:fldChar w:fldCharType="separate"/>
      </w:r>
      <w:r>
        <w:t>- 23 -</w:t>
      </w:r>
      <w:r>
        <w:fldChar w:fldCharType="end"/>
      </w:r>
      <w:r>
        <w:fldChar w:fldCharType="end"/>
      </w:r>
    </w:p>
    <w:p w14:paraId="7EFA11DF">
      <w:pPr>
        <w:pStyle w:val="20"/>
        <w:tabs>
          <w:tab w:val="right" w:leader="dot" w:pos="9070"/>
        </w:tabs>
        <w:ind w:left="840"/>
      </w:pPr>
      <w:r>
        <w:fldChar w:fldCharType="begin"/>
      </w:r>
      <w:r>
        <w:instrText xml:space="preserve"> HYPERLINK \l "_Toc9023" </w:instrText>
      </w:r>
      <w:r>
        <w:fldChar w:fldCharType="separate"/>
      </w:r>
      <w:r>
        <w:rPr>
          <w:rFonts w:hint="eastAsia" w:asciiTheme="minorEastAsia" w:hAnsiTheme="minorEastAsia"/>
          <w:bCs/>
        </w:rPr>
        <w:t>5．投标文件的比较与评价</w:t>
      </w:r>
      <w:r>
        <w:tab/>
      </w:r>
      <w:r>
        <w:fldChar w:fldCharType="begin"/>
      </w:r>
      <w:r>
        <w:instrText xml:space="preserve"> PAGEREF _Toc9023 \h </w:instrText>
      </w:r>
      <w:r>
        <w:fldChar w:fldCharType="separate"/>
      </w:r>
      <w:r>
        <w:t>- 23 -</w:t>
      </w:r>
      <w:r>
        <w:fldChar w:fldCharType="end"/>
      </w:r>
      <w:r>
        <w:fldChar w:fldCharType="end"/>
      </w:r>
    </w:p>
    <w:p w14:paraId="1F87E960">
      <w:pPr>
        <w:pStyle w:val="20"/>
        <w:tabs>
          <w:tab w:val="right" w:leader="dot" w:pos="9070"/>
        </w:tabs>
        <w:ind w:left="840"/>
      </w:pPr>
      <w:r>
        <w:fldChar w:fldCharType="begin"/>
      </w:r>
      <w:r>
        <w:instrText xml:space="preserve"> HYPERLINK \l "_Toc19261" </w:instrText>
      </w:r>
      <w:r>
        <w:fldChar w:fldCharType="separate"/>
      </w:r>
      <w:r>
        <w:rPr>
          <w:rFonts w:hint="eastAsia" w:asciiTheme="minorEastAsia" w:hAnsiTheme="minorEastAsia"/>
          <w:bCs/>
        </w:rPr>
        <w:t>6．推荐中标候选人</w:t>
      </w:r>
      <w:r>
        <w:tab/>
      </w:r>
      <w:r>
        <w:fldChar w:fldCharType="begin"/>
      </w:r>
      <w:r>
        <w:instrText xml:space="preserve"> PAGEREF _Toc19261 \h </w:instrText>
      </w:r>
      <w:r>
        <w:fldChar w:fldCharType="separate"/>
      </w:r>
      <w:r>
        <w:t>- 24 -</w:t>
      </w:r>
      <w:r>
        <w:fldChar w:fldCharType="end"/>
      </w:r>
      <w:r>
        <w:fldChar w:fldCharType="end"/>
      </w:r>
    </w:p>
    <w:p w14:paraId="748570B1">
      <w:pPr>
        <w:pStyle w:val="20"/>
        <w:tabs>
          <w:tab w:val="right" w:leader="dot" w:pos="9070"/>
        </w:tabs>
        <w:ind w:left="840"/>
      </w:pPr>
      <w:r>
        <w:fldChar w:fldCharType="begin"/>
      </w:r>
      <w:r>
        <w:instrText xml:space="preserve"> HYPERLINK \l "_Toc1565" </w:instrText>
      </w:r>
      <w:r>
        <w:fldChar w:fldCharType="separate"/>
      </w:r>
      <w:r>
        <w:rPr>
          <w:rFonts w:hint="eastAsia" w:asciiTheme="minorEastAsia" w:hAnsiTheme="minorEastAsia"/>
          <w:bCs/>
        </w:rPr>
        <w:t>7．复核</w:t>
      </w:r>
      <w:r>
        <w:tab/>
      </w:r>
      <w:r>
        <w:fldChar w:fldCharType="begin"/>
      </w:r>
      <w:r>
        <w:instrText xml:space="preserve"> PAGEREF _Toc1565 \h </w:instrText>
      </w:r>
      <w:r>
        <w:fldChar w:fldCharType="separate"/>
      </w:r>
      <w:r>
        <w:t>- 24 -</w:t>
      </w:r>
      <w:r>
        <w:fldChar w:fldCharType="end"/>
      </w:r>
      <w:r>
        <w:fldChar w:fldCharType="end"/>
      </w:r>
    </w:p>
    <w:p w14:paraId="5992836C">
      <w:pPr>
        <w:pStyle w:val="20"/>
        <w:tabs>
          <w:tab w:val="right" w:leader="dot" w:pos="9070"/>
        </w:tabs>
        <w:ind w:left="840"/>
      </w:pPr>
      <w:r>
        <w:fldChar w:fldCharType="begin"/>
      </w:r>
      <w:r>
        <w:instrText xml:space="preserve"> HYPERLINK \l "_Toc2084" </w:instrText>
      </w:r>
      <w:r>
        <w:fldChar w:fldCharType="separate"/>
      </w:r>
      <w:r>
        <w:rPr>
          <w:rFonts w:hint="eastAsia" w:asciiTheme="minorEastAsia" w:hAnsiTheme="minorEastAsia"/>
          <w:bCs/>
        </w:rPr>
        <w:t>8．编写评标报告</w:t>
      </w:r>
      <w:r>
        <w:tab/>
      </w:r>
      <w:r>
        <w:fldChar w:fldCharType="begin"/>
      </w:r>
      <w:r>
        <w:instrText xml:space="preserve"> PAGEREF _Toc2084 \h </w:instrText>
      </w:r>
      <w:r>
        <w:fldChar w:fldCharType="separate"/>
      </w:r>
      <w:r>
        <w:t>- 24 -</w:t>
      </w:r>
      <w:r>
        <w:fldChar w:fldCharType="end"/>
      </w:r>
      <w:r>
        <w:fldChar w:fldCharType="end"/>
      </w:r>
    </w:p>
    <w:p w14:paraId="3515EA1E">
      <w:pPr>
        <w:pStyle w:val="20"/>
        <w:tabs>
          <w:tab w:val="right" w:leader="dot" w:pos="9070"/>
        </w:tabs>
        <w:ind w:left="840"/>
      </w:pPr>
      <w:r>
        <w:fldChar w:fldCharType="begin"/>
      </w:r>
      <w:r>
        <w:instrText xml:space="preserve"> HYPERLINK \l "_Toc18576" </w:instrText>
      </w:r>
      <w:r>
        <w:fldChar w:fldCharType="separate"/>
      </w:r>
      <w:r>
        <w:rPr>
          <w:rFonts w:hint="eastAsia" w:asciiTheme="minorEastAsia" w:hAnsiTheme="minorEastAsia"/>
          <w:bCs/>
        </w:rPr>
        <w:t>9．停止评标</w:t>
      </w:r>
      <w:r>
        <w:tab/>
      </w:r>
      <w:r>
        <w:fldChar w:fldCharType="begin"/>
      </w:r>
      <w:r>
        <w:instrText xml:space="preserve"> PAGEREF _Toc18576 \h </w:instrText>
      </w:r>
      <w:r>
        <w:fldChar w:fldCharType="separate"/>
      </w:r>
      <w:r>
        <w:t>- 24 -</w:t>
      </w:r>
      <w:r>
        <w:fldChar w:fldCharType="end"/>
      </w:r>
      <w:r>
        <w:fldChar w:fldCharType="end"/>
      </w:r>
    </w:p>
    <w:p w14:paraId="37BB68F1">
      <w:pPr>
        <w:pStyle w:val="20"/>
        <w:tabs>
          <w:tab w:val="right" w:leader="dot" w:pos="9070"/>
        </w:tabs>
        <w:ind w:left="840"/>
      </w:pPr>
      <w:r>
        <w:fldChar w:fldCharType="begin"/>
      </w:r>
      <w:r>
        <w:instrText xml:space="preserve"> HYPERLINK \l "_Toc22646" </w:instrText>
      </w:r>
      <w:r>
        <w:fldChar w:fldCharType="separate"/>
      </w:r>
      <w:r>
        <w:rPr>
          <w:rFonts w:hint="eastAsia" w:asciiTheme="minorEastAsia" w:hAnsiTheme="minorEastAsia"/>
          <w:bCs/>
        </w:rPr>
        <w:t>10. 无效投标和废标</w:t>
      </w:r>
      <w:r>
        <w:tab/>
      </w:r>
      <w:r>
        <w:fldChar w:fldCharType="begin"/>
      </w:r>
      <w:r>
        <w:instrText xml:space="preserve"> PAGEREF _Toc22646 \h </w:instrText>
      </w:r>
      <w:r>
        <w:fldChar w:fldCharType="separate"/>
      </w:r>
      <w:r>
        <w:t>- 24 -</w:t>
      </w:r>
      <w:r>
        <w:fldChar w:fldCharType="end"/>
      </w:r>
      <w:r>
        <w:fldChar w:fldCharType="end"/>
      </w:r>
    </w:p>
    <w:p w14:paraId="4688AD48">
      <w:pPr>
        <w:pStyle w:val="20"/>
        <w:tabs>
          <w:tab w:val="right" w:leader="dot" w:pos="9070"/>
        </w:tabs>
        <w:ind w:left="840"/>
      </w:pPr>
      <w:r>
        <w:fldChar w:fldCharType="begin"/>
      </w:r>
      <w:r>
        <w:instrText xml:space="preserve"> HYPERLINK \l "_Toc1840" </w:instrText>
      </w:r>
      <w:r>
        <w:fldChar w:fldCharType="separate"/>
      </w:r>
      <w:r>
        <w:rPr>
          <w:rFonts w:hint="eastAsia" w:asciiTheme="minorEastAsia" w:hAnsiTheme="minorEastAsia"/>
          <w:bCs/>
        </w:rPr>
        <w:t>11．重新组建评标委员会进行评标</w:t>
      </w:r>
      <w:r>
        <w:tab/>
      </w:r>
      <w:r>
        <w:fldChar w:fldCharType="begin"/>
      </w:r>
      <w:r>
        <w:instrText xml:space="preserve"> PAGEREF _Toc1840 \h </w:instrText>
      </w:r>
      <w:r>
        <w:fldChar w:fldCharType="separate"/>
      </w:r>
      <w:r>
        <w:t>- 24 -</w:t>
      </w:r>
      <w:r>
        <w:fldChar w:fldCharType="end"/>
      </w:r>
      <w:r>
        <w:fldChar w:fldCharType="end"/>
      </w:r>
    </w:p>
    <w:p w14:paraId="674081DF">
      <w:pPr>
        <w:pStyle w:val="32"/>
        <w:tabs>
          <w:tab w:val="right" w:leader="dot" w:pos="9070"/>
        </w:tabs>
        <w:ind w:left="420"/>
      </w:pPr>
      <w:r>
        <w:fldChar w:fldCharType="begin"/>
      </w:r>
      <w:r>
        <w:instrText xml:space="preserve"> HYPERLINK \l "_Toc10732" </w:instrText>
      </w:r>
      <w:r>
        <w:fldChar w:fldCharType="separate"/>
      </w:r>
      <w:r>
        <w:rPr>
          <w:rFonts w:hint="eastAsia"/>
        </w:rPr>
        <w:t>第三节 投标文件的符合性审查</w:t>
      </w:r>
      <w:r>
        <w:tab/>
      </w:r>
      <w:r>
        <w:fldChar w:fldCharType="begin"/>
      </w:r>
      <w:r>
        <w:instrText xml:space="preserve"> PAGEREF _Toc10732 \h </w:instrText>
      </w:r>
      <w:r>
        <w:fldChar w:fldCharType="separate"/>
      </w:r>
      <w:r>
        <w:t>- 26 -</w:t>
      </w:r>
      <w:r>
        <w:fldChar w:fldCharType="end"/>
      </w:r>
      <w:r>
        <w:fldChar w:fldCharType="end"/>
      </w:r>
    </w:p>
    <w:p w14:paraId="7614495B">
      <w:pPr>
        <w:pStyle w:val="20"/>
        <w:tabs>
          <w:tab w:val="right" w:leader="dot" w:pos="9070"/>
        </w:tabs>
        <w:ind w:left="840"/>
      </w:pPr>
      <w:r>
        <w:fldChar w:fldCharType="begin"/>
      </w:r>
      <w:r>
        <w:instrText xml:space="preserve"> HYPERLINK \l "_Toc5741" </w:instrText>
      </w:r>
      <w:r>
        <w:fldChar w:fldCharType="separate"/>
      </w:r>
      <w:r>
        <w:rPr>
          <w:rFonts w:hint="eastAsia" w:asciiTheme="minorEastAsia" w:hAnsiTheme="minorEastAsia"/>
          <w:bCs/>
        </w:rPr>
        <w:t>1.符合性审查</w:t>
      </w:r>
      <w:r>
        <w:tab/>
      </w:r>
      <w:r>
        <w:fldChar w:fldCharType="begin"/>
      </w:r>
      <w:r>
        <w:instrText xml:space="preserve"> PAGEREF _Toc5741 \h </w:instrText>
      </w:r>
      <w:r>
        <w:fldChar w:fldCharType="separate"/>
      </w:r>
      <w:r>
        <w:t>- 26 -</w:t>
      </w:r>
      <w:r>
        <w:fldChar w:fldCharType="end"/>
      </w:r>
      <w:r>
        <w:fldChar w:fldCharType="end"/>
      </w:r>
    </w:p>
    <w:p w14:paraId="5BE8DEA2">
      <w:pPr>
        <w:pStyle w:val="20"/>
        <w:tabs>
          <w:tab w:val="right" w:leader="dot" w:pos="9070"/>
        </w:tabs>
        <w:ind w:left="840"/>
      </w:pPr>
      <w:r>
        <w:fldChar w:fldCharType="begin"/>
      </w:r>
      <w:r>
        <w:instrText xml:space="preserve"> HYPERLINK \l "_Toc28288" </w:instrText>
      </w:r>
      <w:r>
        <w:fldChar w:fldCharType="separate"/>
      </w:r>
      <w:r>
        <w:rPr>
          <w:rFonts w:hint="eastAsia" w:asciiTheme="minorEastAsia" w:hAnsiTheme="minorEastAsia"/>
          <w:bCs/>
        </w:rPr>
        <w:t>2.投标无效</w:t>
      </w:r>
      <w:r>
        <w:tab/>
      </w:r>
      <w:r>
        <w:fldChar w:fldCharType="begin"/>
      </w:r>
      <w:r>
        <w:instrText xml:space="preserve"> PAGEREF _Toc28288 \h </w:instrText>
      </w:r>
      <w:r>
        <w:fldChar w:fldCharType="separate"/>
      </w:r>
      <w:r>
        <w:t>- 26 -</w:t>
      </w:r>
      <w:r>
        <w:fldChar w:fldCharType="end"/>
      </w:r>
      <w:r>
        <w:fldChar w:fldCharType="end"/>
      </w:r>
    </w:p>
    <w:p w14:paraId="7CA0200A">
      <w:pPr>
        <w:pStyle w:val="32"/>
        <w:tabs>
          <w:tab w:val="right" w:leader="dot" w:pos="9070"/>
        </w:tabs>
        <w:ind w:left="420"/>
      </w:pPr>
      <w:r>
        <w:fldChar w:fldCharType="begin"/>
      </w:r>
      <w:r>
        <w:instrText xml:space="preserve"> HYPERLINK \l "_Toc31347" </w:instrText>
      </w:r>
      <w:r>
        <w:fldChar w:fldCharType="separate"/>
      </w:r>
      <w:r>
        <w:rPr>
          <w:rFonts w:hint="eastAsia"/>
        </w:rPr>
        <w:t>第四节 投标文件的比较与评价（综合评分法）</w:t>
      </w:r>
      <w:r>
        <w:tab/>
      </w:r>
      <w:r>
        <w:fldChar w:fldCharType="begin"/>
      </w:r>
      <w:r>
        <w:instrText xml:space="preserve"> PAGEREF _Toc31347 \h </w:instrText>
      </w:r>
      <w:r>
        <w:fldChar w:fldCharType="separate"/>
      </w:r>
      <w:r>
        <w:t>- 27 -</w:t>
      </w:r>
      <w:r>
        <w:fldChar w:fldCharType="end"/>
      </w:r>
      <w:r>
        <w:fldChar w:fldCharType="end"/>
      </w:r>
    </w:p>
    <w:p w14:paraId="201AE123">
      <w:pPr>
        <w:pStyle w:val="20"/>
        <w:tabs>
          <w:tab w:val="right" w:leader="dot" w:pos="9070"/>
        </w:tabs>
        <w:ind w:left="840"/>
      </w:pPr>
      <w:r>
        <w:fldChar w:fldCharType="begin"/>
      </w:r>
      <w:r>
        <w:instrText xml:space="preserve"> HYPERLINK \l "_Toc4932" </w:instrText>
      </w:r>
      <w:r>
        <w:fldChar w:fldCharType="separate"/>
      </w:r>
      <w:r>
        <w:rPr>
          <w:rFonts w:hint="eastAsia" w:asciiTheme="minorEastAsia" w:hAnsiTheme="minorEastAsia"/>
          <w:bCs/>
        </w:rPr>
        <w:t>1. 综合评分法</w:t>
      </w:r>
      <w:r>
        <w:tab/>
      </w:r>
      <w:r>
        <w:fldChar w:fldCharType="begin"/>
      </w:r>
      <w:r>
        <w:instrText xml:space="preserve"> PAGEREF _Toc4932 \h </w:instrText>
      </w:r>
      <w:r>
        <w:fldChar w:fldCharType="separate"/>
      </w:r>
      <w:r>
        <w:t>- 27 -</w:t>
      </w:r>
      <w:r>
        <w:fldChar w:fldCharType="end"/>
      </w:r>
      <w:r>
        <w:fldChar w:fldCharType="end"/>
      </w:r>
    </w:p>
    <w:p w14:paraId="533BBB45">
      <w:pPr>
        <w:pStyle w:val="20"/>
        <w:tabs>
          <w:tab w:val="right" w:leader="dot" w:pos="9070"/>
        </w:tabs>
        <w:ind w:left="840"/>
      </w:pPr>
      <w:r>
        <w:fldChar w:fldCharType="begin"/>
      </w:r>
      <w:r>
        <w:instrText xml:space="preserve"> HYPERLINK \l "_Toc26434" </w:instrText>
      </w:r>
      <w:r>
        <w:fldChar w:fldCharType="separate"/>
      </w:r>
      <w:r>
        <w:rPr>
          <w:rFonts w:hint="eastAsia" w:asciiTheme="minorEastAsia" w:hAnsiTheme="minorEastAsia"/>
          <w:bCs/>
        </w:rPr>
        <w:t>2. 投标报价的算术修正及政府采购政策调整</w:t>
      </w:r>
      <w:r>
        <w:tab/>
      </w:r>
      <w:r>
        <w:fldChar w:fldCharType="begin"/>
      </w:r>
      <w:r>
        <w:instrText xml:space="preserve"> PAGEREF _Toc26434 \h </w:instrText>
      </w:r>
      <w:r>
        <w:fldChar w:fldCharType="separate"/>
      </w:r>
      <w:r>
        <w:t>- 27 -</w:t>
      </w:r>
      <w:r>
        <w:fldChar w:fldCharType="end"/>
      </w:r>
      <w:r>
        <w:fldChar w:fldCharType="end"/>
      </w:r>
    </w:p>
    <w:p w14:paraId="55229AB3">
      <w:pPr>
        <w:pStyle w:val="20"/>
        <w:tabs>
          <w:tab w:val="right" w:leader="dot" w:pos="9070"/>
        </w:tabs>
        <w:ind w:left="840"/>
      </w:pPr>
      <w:r>
        <w:fldChar w:fldCharType="begin"/>
      </w:r>
      <w:r>
        <w:instrText xml:space="preserve"> HYPERLINK \l "_Toc21159" </w:instrText>
      </w:r>
      <w:r>
        <w:fldChar w:fldCharType="separate"/>
      </w:r>
      <w:r>
        <w:rPr>
          <w:rFonts w:hint="eastAsia" w:asciiTheme="minorEastAsia" w:hAnsiTheme="minorEastAsia"/>
          <w:bCs/>
        </w:rPr>
        <w:t>3. 投标报价评价</w:t>
      </w:r>
      <w:r>
        <w:tab/>
      </w:r>
      <w:r>
        <w:fldChar w:fldCharType="begin"/>
      </w:r>
      <w:r>
        <w:instrText xml:space="preserve"> PAGEREF _Toc21159 \h </w:instrText>
      </w:r>
      <w:r>
        <w:fldChar w:fldCharType="separate"/>
      </w:r>
      <w:r>
        <w:t>- 28 -</w:t>
      </w:r>
      <w:r>
        <w:fldChar w:fldCharType="end"/>
      </w:r>
      <w:r>
        <w:fldChar w:fldCharType="end"/>
      </w:r>
    </w:p>
    <w:p w14:paraId="79D95539">
      <w:pPr>
        <w:pStyle w:val="20"/>
        <w:tabs>
          <w:tab w:val="right" w:leader="dot" w:pos="9070"/>
        </w:tabs>
        <w:ind w:left="840"/>
      </w:pPr>
      <w:r>
        <w:fldChar w:fldCharType="begin"/>
      </w:r>
      <w:r>
        <w:instrText xml:space="preserve"> HYPERLINK \l "_Toc21072" </w:instrText>
      </w:r>
      <w:r>
        <w:fldChar w:fldCharType="separate"/>
      </w:r>
      <w:r>
        <w:rPr>
          <w:rFonts w:hint="eastAsia" w:asciiTheme="minorEastAsia" w:hAnsiTheme="minorEastAsia"/>
          <w:bCs/>
        </w:rPr>
        <w:t>4.技术、商务等评分项响应评价及政府采购政策加分</w:t>
      </w:r>
      <w:r>
        <w:tab/>
      </w:r>
      <w:r>
        <w:fldChar w:fldCharType="begin"/>
      </w:r>
      <w:r>
        <w:instrText xml:space="preserve"> PAGEREF _Toc21072 \h </w:instrText>
      </w:r>
      <w:r>
        <w:fldChar w:fldCharType="separate"/>
      </w:r>
      <w:r>
        <w:t>- 28 -</w:t>
      </w:r>
      <w:r>
        <w:fldChar w:fldCharType="end"/>
      </w:r>
      <w:r>
        <w:fldChar w:fldCharType="end"/>
      </w:r>
    </w:p>
    <w:p w14:paraId="143DDB89">
      <w:pPr>
        <w:pStyle w:val="20"/>
        <w:tabs>
          <w:tab w:val="right" w:leader="dot" w:pos="9070"/>
        </w:tabs>
        <w:ind w:left="840"/>
      </w:pPr>
      <w:r>
        <w:fldChar w:fldCharType="begin"/>
      </w:r>
      <w:r>
        <w:instrText xml:space="preserve"> HYPERLINK \l "_Toc26108" </w:instrText>
      </w:r>
      <w:r>
        <w:fldChar w:fldCharType="separate"/>
      </w:r>
      <w:r>
        <w:rPr>
          <w:rFonts w:hint="eastAsia" w:asciiTheme="minorEastAsia" w:hAnsiTheme="minorEastAsia"/>
          <w:bCs/>
        </w:rPr>
        <w:t>5.评标总得分</w:t>
      </w:r>
      <w:r>
        <w:tab/>
      </w:r>
      <w:r>
        <w:fldChar w:fldCharType="begin"/>
      </w:r>
      <w:r>
        <w:instrText xml:space="preserve"> PAGEREF _Toc26108 \h </w:instrText>
      </w:r>
      <w:r>
        <w:fldChar w:fldCharType="separate"/>
      </w:r>
      <w:r>
        <w:t>- 28 -</w:t>
      </w:r>
      <w:r>
        <w:fldChar w:fldCharType="end"/>
      </w:r>
      <w:r>
        <w:fldChar w:fldCharType="end"/>
      </w:r>
    </w:p>
    <w:p w14:paraId="033AB8FD">
      <w:pPr>
        <w:pStyle w:val="20"/>
        <w:tabs>
          <w:tab w:val="right" w:leader="dot" w:pos="9070"/>
        </w:tabs>
        <w:ind w:left="840"/>
      </w:pPr>
      <w:r>
        <w:fldChar w:fldCharType="begin"/>
      </w:r>
      <w:r>
        <w:instrText xml:space="preserve"> HYPERLINK \l "_Toc10866" </w:instrText>
      </w:r>
      <w:r>
        <w:fldChar w:fldCharType="separate"/>
      </w:r>
      <w:r>
        <w:rPr>
          <w:rFonts w:hint="eastAsia" w:asciiTheme="minorEastAsia" w:hAnsiTheme="minorEastAsia"/>
          <w:bCs/>
        </w:rPr>
        <w:t>6.中标候选人的推荐方法</w:t>
      </w:r>
      <w:r>
        <w:tab/>
      </w:r>
      <w:r>
        <w:fldChar w:fldCharType="begin"/>
      </w:r>
      <w:r>
        <w:instrText xml:space="preserve"> PAGEREF _Toc10866 \h </w:instrText>
      </w:r>
      <w:r>
        <w:fldChar w:fldCharType="separate"/>
      </w:r>
      <w:r>
        <w:t>- 28 -</w:t>
      </w:r>
      <w:r>
        <w:fldChar w:fldCharType="end"/>
      </w:r>
      <w:r>
        <w:fldChar w:fldCharType="end"/>
      </w:r>
    </w:p>
    <w:p w14:paraId="0B5B9A7F">
      <w:pPr>
        <w:pStyle w:val="32"/>
        <w:tabs>
          <w:tab w:val="right" w:leader="dot" w:pos="9070"/>
        </w:tabs>
        <w:ind w:left="420"/>
      </w:pPr>
      <w:r>
        <w:fldChar w:fldCharType="begin"/>
      </w:r>
      <w:r>
        <w:instrText xml:space="preserve"> HYPERLINK \l "_Toc30801" </w:instrText>
      </w:r>
      <w:r>
        <w:fldChar w:fldCharType="separate"/>
      </w:r>
      <w:r>
        <w:rPr>
          <w:rFonts w:hint="eastAsia"/>
        </w:rPr>
        <w:t>附页1 评标方法及标准</w:t>
      </w:r>
      <w:r>
        <w:tab/>
      </w:r>
      <w:r>
        <w:fldChar w:fldCharType="begin"/>
      </w:r>
      <w:r>
        <w:instrText xml:space="preserve"> PAGEREF _Toc30801 \h </w:instrText>
      </w:r>
      <w:r>
        <w:fldChar w:fldCharType="separate"/>
      </w:r>
      <w:r>
        <w:t>- 29 -</w:t>
      </w:r>
      <w:r>
        <w:fldChar w:fldCharType="end"/>
      </w:r>
      <w:r>
        <w:fldChar w:fldCharType="end"/>
      </w:r>
    </w:p>
    <w:p w14:paraId="7280E7FE">
      <w:pPr>
        <w:pStyle w:val="28"/>
        <w:tabs>
          <w:tab w:val="right" w:leader="dot" w:pos="9070"/>
          <w:tab w:val="clear" w:pos="9060"/>
        </w:tabs>
      </w:pPr>
      <w:r>
        <w:fldChar w:fldCharType="begin"/>
      </w:r>
      <w:r>
        <w:instrText xml:space="preserve"> HYPERLINK \l "_Toc12258" </w:instrText>
      </w:r>
      <w:r>
        <w:fldChar w:fldCharType="separate"/>
      </w:r>
      <w:r>
        <w:rPr>
          <w:rFonts w:hint="eastAsia"/>
        </w:rPr>
        <w:t>第五章 采购需求</w:t>
      </w:r>
      <w:r>
        <w:tab/>
      </w:r>
      <w:r>
        <w:fldChar w:fldCharType="begin"/>
      </w:r>
      <w:r>
        <w:instrText xml:space="preserve"> PAGEREF _Toc12258 \h </w:instrText>
      </w:r>
      <w:r>
        <w:fldChar w:fldCharType="separate"/>
      </w:r>
      <w:r>
        <w:t>- 31 -</w:t>
      </w:r>
      <w:r>
        <w:fldChar w:fldCharType="end"/>
      </w:r>
      <w:r>
        <w:fldChar w:fldCharType="end"/>
      </w:r>
    </w:p>
    <w:p w14:paraId="2D3111E4">
      <w:pPr>
        <w:pStyle w:val="32"/>
        <w:tabs>
          <w:tab w:val="right" w:leader="dot" w:pos="9070"/>
        </w:tabs>
        <w:ind w:left="420"/>
      </w:pPr>
      <w:r>
        <w:fldChar w:fldCharType="begin"/>
      </w:r>
      <w:r>
        <w:instrText xml:space="preserve"> HYPERLINK \l "_Toc3278" </w:instrText>
      </w:r>
      <w:r>
        <w:fldChar w:fldCharType="separate"/>
      </w:r>
      <w:r>
        <w:rPr>
          <w:rFonts w:hint="eastAsia"/>
        </w:rPr>
        <w:t>一、采购需求一览表</w:t>
      </w:r>
      <w:r>
        <w:tab/>
      </w:r>
      <w:r>
        <w:fldChar w:fldCharType="begin"/>
      </w:r>
      <w:r>
        <w:instrText xml:space="preserve"> PAGEREF _Toc3278 \h </w:instrText>
      </w:r>
      <w:r>
        <w:fldChar w:fldCharType="separate"/>
      </w:r>
      <w:r>
        <w:t>- 31 -</w:t>
      </w:r>
      <w:r>
        <w:fldChar w:fldCharType="end"/>
      </w:r>
      <w:r>
        <w:fldChar w:fldCharType="end"/>
      </w:r>
    </w:p>
    <w:p w14:paraId="5860CE71">
      <w:pPr>
        <w:pStyle w:val="32"/>
        <w:tabs>
          <w:tab w:val="right" w:leader="dot" w:pos="9070"/>
        </w:tabs>
        <w:ind w:left="420"/>
      </w:pPr>
      <w:r>
        <w:fldChar w:fldCharType="begin"/>
      </w:r>
      <w:r>
        <w:instrText xml:space="preserve"> HYPERLINK \l "_Toc30107" </w:instrText>
      </w:r>
      <w:r>
        <w:fldChar w:fldCharType="separate"/>
      </w:r>
      <w:r>
        <w:rPr>
          <w:rFonts w:hint="eastAsia"/>
        </w:rPr>
        <w:t>二、服务内容及技术要求</w:t>
      </w:r>
      <w:r>
        <w:tab/>
      </w:r>
      <w:r>
        <w:fldChar w:fldCharType="begin"/>
      </w:r>
      <w:r>
        <w:instrText xml:space="preserve"> PAGEREF _Toc30107 \h </w:instrText>
      </w:r>
      <w:r>
        <w:fldChar w:fldCharType="separate"/>
      </w:r>
      <w:r>
        <w:t>- 32 -</w:t>
      </w:r>
      <w:r>
        <w:fldChar w:fldCharType="end"/>
      </w:r>
      <w:r>
        <w:fldChar w:fldCharType="end"/>
      </w:r>
    </w:p>
    <w:p w14:paraId="7B8C8EBB">
      <w:pPr>
        <w:pStyle w:val="28"/>
        <w:tabs>
          <w:tab w:val="right" w:leader="dot" w:pos="9070"/>
          <w:tab w:val="clear" w:pos="9060"/>
        </w:tabs>
      </w:pPr>
      <w:r>
        <w:fldChar w:fldCharType="begin"/>
      </w:r>
      <w:r>
        <w:instrText xml:space="preserve"> HYPERLINK \l "_Toc23860" </w:instrText>
      </w:r>
      <w:r>
        <w:fldChar w:fldCharType="separate"/>
      </w:r>
      <w:r>
        <w:rPr>
          <w:rFonts w:hint="eastAsia"/>
        </w:rPr>
        <w:t>第六章 采购合同</w:t>
      </w:r>
      <w:r>
        <w:tab/>
      </w:r>
      <w:r>
        <w:fldChar w:fldCharType="begin"/>
      </w:r>
      <w:r>
        <w:instrText xml:space="preserve"> PAGEREF _Toc23860 \h </w:instrText>
      </w:r>
      <w:r>
        <w:fldChar w:fldCharType="separate"/>
      </w:r>
      <w:r>
        <w:t>- 34 -</w:t>
      </w:r>
      <w:r>
        <w:fldChar w:fldCharType="end"/>
      </w:r>
      <w:r>
        <w:fldChar w:fldCharType="end"/>
      </w:r>
    </w:p>
    <w:p w14:paraId="6A482BC4">
      <w:pPr>
        <w:pStyle w:val="28"/>
        <w:tabs>
          <w:tab w:val="right" w:leader="dot" w:pos="9070"/>
          <w:tab w:val="clear" w:pos="9060"/>
        </w:tabs>
      </w:pPr>
      <w:r>
        <w:fldChar w:fldCharType="begin"/>
      </w:r>
      <w:r>
        <w:instrText xml:space="preserve"> HYPERLINK \l "_Toc7773" </w:instrText>
      </w:r>
      <w:r>
        <w:fldChar w:fldCharType="separate"/>
      </w:r>
      <w:r>
        <w:rPr>
          <w:rFonts w:hint="eastAsia"/>
        </w:rPr>
        <w:t>第七章 投标文件的组成</w:t>
      </w:r>
      <w:r>
        <w:tab/>
      </w:r>
      <w:r>
        <w:fldChar w:fldCharType="begin"/>
      </w:r>
      <w:r>
        <w:instrText xml:space="preserve"> PAGEREF _Toc7773 \h </w:instrText>
      </w:r>
      <w:r>
        <w:fldChar w:fldCharType="separate"/>
      </w:r>
      <w:r>
        <w:t>- 38 -</w:t>
      </w:r>
      <w:r>
        <w:fldChar w:fldCharType="end"/>
      </w:r>
      <w:r>
        <w:fldChar w:fldCharType="end"/>
      </w:r>
    </w:p>
    <w:p w14:paraId="63F63AB2">
      <w:pPr>
        <w:pStyle w:val="32"/>
        <w:tabs>
          <w:tab w:val="right" w:leader="dot" w:pos="9070"/>
        </w:tabs>
        <w:ind w:left="420"/>
      </w:pPr>
      <w:r>
        <w:fldChar w:fldCharType="begin"/>
      </w:r>
      <w:r>
        <w:instrText xml:space="preserve"> HYPERLINK \l "_Toc6455" </w:instrText>
      </w:r>
      <w:r>
        <w:fldChar w:fldCharType="separate"/>
      </w:r>
      <w:r>
        <w:rPr>
          <w:rFonts w:hint="eastAsia"/>
        </w:rPr>
        <w:t>一、投标人具备投标资格的证明文件</w:t>
      </w:r>
      <w:r>
        <w:tab/>
      </w:r>
      <w:r>
        <w:fldChar w:fldCharType="begin"/>
      </w:r>
      <w:r>
        <w:instrText xml:space="preserve"> PAGEREF _Toc6455 \h </w:instrText>
      </w:r>
      <w:r>
        <w:fldChar w:fldCharType="separate"/>
      </w:r>
      <w:r>
        <w:t>- 42 -</w:t>
      </w:r>
      <w:r>
        <w:fldChar w:fldCharType="end"/>
      </w:r>
      <w:r>
        <w:fldChar w:fldCharType="end"/>
      </w:r>
    </w:p>
    <w:p w14:paraId="4DB2EA70">
      <w:pPr>
        <w:pStyle w:val="32"/>
        <w:tabs>
          <w:tab w:val="right" w:leader="dot" w:pos="9070"/>
        </w:tabs>
        <w:ind w:left="420"/>
      </w:pPr>
      <w:r>
        <w:fldChar w:fldCharType="begin"/>
      </w:r>
      <w:r>
        <w:instrText xml:space="preserve"> HYPERLINK \l "_Toc15132" </w:instrText>
      </w:r>
      <w:r>
        <w:fldChar w:fldCharType="separate"/>
      </w:r>
      <w:r>
        <w:rPr>
          <w:rFonts w:hint="eastAsia"/>
        </w:rPr>
        <w:t>附件1 授权委托书</w:t>
      </w:r>
      <w:r>
        <w:tab/>
      </w:r>
      <w:r>
        <w:fldChar w:fldCharType="begin"/>
      </w:r>
      <w:r>
        <w:instrText xml:space="preserve"> PAGEREF _Toc15132 \h </w:instrText>
      </w:r>
      <w:r>
        <w:fldChar w:fldCharType="separate"/>
      </w:r>
      <w:r>
        <w:t>- 42 -</w:t>
      </w:r>
      <w:r>
        <w:fldChar w:fldCharType="end"/>
      </w:r>
      <w:r>
        <w:fldChar w:fldCharType="end"/>
      </w:r>
    </w:p>
    <w:p w14:paraId="3195F60B">
      <w:pPr>
        <w:pStyle w:val="32"/>
        <w:tabs>
          <w:tab w:val="right" w:leader="dot" w:pos="9070"/>
        </w:tabs>
        <w:ind w:left="420"/>
      </w:pPr>
      <w:r>
        <w:fldChar w:fldCharType="begin"/>
      </w:r>
      <w:r>
        <w:instrText xml:space="preserve"> HYPERLINK \l "_Toc30150" </w:instrText>
      </w:r>
      <w:r>
        <w:fldChar w:fldCharType="separate"/>
      </w:r>
      <w:r>
        <w:rPr>
          <w:rFonts w:hint="eastAsia"/>
        </w:rPr>
        <w:t>附件1-1 法定代表人身份证明</w:t>
      </w:r>
      <w:r>
        <w:tab/>
      </w:r>
      <w:r>
        <w:fldChar w:fldCharType="begin"/>
      </w:r>
      <w:r>
        <w:instrText xml:space="preserve"> PAGEREF _Toc30150 \h </w:instrText>
      </w:r>
      <w:r>
        <w:fldChar w:fldCharType="separate"/>
      </w:r>
      <w:r>
        <w:t>- 43 -</w:t>
      </w:r>
      <w:r>
        <w:fldChar w:fldCharType="end"/>
      </w:r>
      <w:r>
        <w:fldChar w:fldCharType="end"/>
      </w:r>
    </w:p>
    <w:p w14:paraId="6F5FB477">
      <w:pPr>
        <w:pStyle w:val="32"/>
        <w:tabs>
          <w:tab w:val="right" w:leader="dot" w:pos="9070"/>
        </w:tabs>
        <w:ind w:left="420"/>
      </w:pPr>
      <w:r>
        <w:fldChar w:fldCharType="begin"/>
      </w:r>
      <w:r>
        <w:instrText xml:space="preserve"> HYPERLINK \l "_Toc7594" </w:instrText>
      </w:r>
      <w:r>
        <w:fldChar w:fldCharType="separate"/>
      </w:r>
      <w:r>
        <w:rPr>
          <w:rFonts w:hint="eastAsia"/>
        </w:rPr>
        <w:t>附件2 投标人基本情况</w:t>
      </w:r>
      <w:r>
        <w:tab/>
      </w:r>
      <w:r>
        <w:fldChar w:fldCharType="begin"/>
      </w:r>
      <w:r>
        <w:instrText xml:space="preserve"> PAGEREF _Toc7594 \h </w:instrText>
      </w:r>
      <w:r>
        <w:fldChar w:fldCharType="separate"/>
      </w:r>
      <w:r>
        <w:t>- 44 -</w:t>
      </w:r>
      <w:r>
        <w:fldChar w:fldCharType="end"/>
      </w:r>
      <w:r>
        <w:fldChar w:fldCharType="end"/>
      </w:r>
    </w:p>
    <w:p w14:paraId="1D5447DB">
      <w:pPr>
        <w:pStyle w:val="32"/>
        <w:tabs>
          <w:tab w:val="right" w:leader="dot" w:pos="9070"/>
        </w:tabs>
        <w:ind w:left="420"/>
      </w:pPr>
      <w:r>
        <w:fldChar w:fldCharType="begin"/>
      </w:r>
      <w:r>
        <w:instrText xml:space="preserve"> HYPERLINK \l "_Toc13189" </w:instrText>
      </w:r>
      <w:r>
        <w:fldChar w:fldCharType="separate"/>
      </w:r>
      <w:r>
        <w:rPr>
          <w:rFonts w:hint="eastAsia"/>
        </w:rPr>
        <w:t>2-1 营业执照副本 (自然人为投标人时，提供自然人身份证明)等证明材料的复印件</w:t>
      </w:r>
      <w:r>
        <w:tab/>
      </w:r>
      <w:r>
        <w:fldChar w:fldCharType="begin"/>
      </w:r>
      <w:r>
        <w:instrText xml:space="preserve"> PAGEREF _Toc13189 \h </w:instrText>
      </w:r>
      <w:r>
        <w:fldChar w:fldCharType="separate"/>
      </w:r>
      <w:r>
        <w:t>- 46 -</w:t>
      </w:r>
      <w:r>
        <w:fldChar w:fldCharType="end"/>
      </w:r>
      <w:r>
        <w:fldChar w:fldCharType="end"/>
      </w:r>
    </w:p>
    <w:p w14:paraId="47FF2C6C">
      <w:pPr>
        <w:pStyle w:val="32"/>
        <w:tabs>
          <w:tab w:val="right" w:leader="dot" w:pos="9070"/>
        </w:tabs>
        <w:ind w:left="420"/>
      </w:pPr>
      <w:r>
        <w:fldChar w:fldCharType="begin"/>
      </w:r>
      <w:r>
        <w:instrText xml:space="preserve"> HYPERLINK \l "_Toc18900" </w:instrText>
      </w:r>
      <w:r>
        <w:fldChar w:fldCharType="separate"/>
      </w:r>
      <w:r>
        <w:rPr>
          <w:rFonts w:hint="eastAsia"/>
        </w:rPr>
        <w:t>附件3 投标人资格声明</w:t>
      </w:r>
      <w:r>
        <w:tab/>
      </w:r>
      <w:r>
        <w:fldChar w:fldCharType="begin"/>
      </w:r>
      <w:r>
        <w:instrText xml:space="preserve"> PAGEREF _Toc18900 \h </w:instrText>
      </w:r>
      <w:r>
        <w:fldChar w:fldCharType="separate"/>
      </w:r>
      <w:r>
        <w:t>- 47 -</w:t>
      </w:r>
      <w:r>
        <w:fldChar w:fldCharType="end"/>
      </w:r>
      <w:r>
        <w:fldChar w:fldCharType="end"/>
      </w:r>
    </w:p>
    <w:p w14:paraId="7B448C02">
      <w:pPr>
        <w:pStyle w:val="32"/>
        <w:tabs>
          <w:tab w:val="right" w:leader="dot" w:pos="9070"/>
        </w:tabs>
        <w:ind w:left="420"/>
      </w:pPr>
      <w:r>
        <w:fldChar w:fldCharType="begin"/>
      </w:r>
      <w:r>
        <w:instrText xml:space="preserve"> HYPERLINK \l "_Toc15861" </w:instrText>
      </w:r>
      <w:r>
        <w:fldChar w:fldCharType="separate"/>
      </w:r>
      <w:r>
        <w:rPr>
          <w:rFonts w:hint="eastAsia"/>
        </w:rPr>
        <w:t>附件4 利益回避承诺书</w:t>
      </w:r>
      <w:r>
        <w:tab/>
      </w:r>
      <w:r>
        <w:fldChar w:fldCharType="begin"/>
      </w:r>
      <w:r>
        <w:instrText xml:space="preserve"> PAGEREF _Toc15861 \h </w:instrText>
      </w:r>
      <w:r>
        <w:fldChar w:fldCharType="separate"/>
      </w:r>
      <w:r>
        <w:t>- 49 -</w:t>
      </w:r>
      <w:r>
        <w:fldChar w:fldCharType="end"/>
      </w:r>
      <w:r>
        <w:fldChar w:fldCharType="end"/>
      </w:r>
    </w:p>
    <w:p w14:paraId="678F59BD">
      <w:pPr>
        <w:pStyle w:val="32"/>
        <w:tabs>
          <w:tab w:val="right" w:leader="dot" w:pos="9070"/>
        </w:tabs>
        <w:ind w:left="420"/>
      </w:pPr>
      <w:r>
        <w:fldChar w:fldCharType="begin"/>
      </w:r>
      <w:r>
        <w:instrText xml:space="preserve"> HYPERLINK \l "_Toc16465" </w:instrText>
      </w:r>
      <w:r>
        <w:fldChar w:fldCharType="separate"/>
      </w:r>
      <w:r>
        <w:rPr>
          <w:rFonts w:hint="eastAsia"/>
        </w:rPr>
        <w:t>附件 5投标保证金</w:t>
      </w:r>
      <w:r>
        <w:tab/>
      </w:r>
      <w:r>
        <w:fldChar w:fldCharType="begin"/>
      </w:r>
      <w:r>
        <w:instrText xml:space="preserve"> PAGEREF _Toc16465 \h </w:instrText>
      </w:r>
      <w:r>
        <w:fldChar w:fldCharType="separate"/>
      </w:r>
      <w:r>
        <w:t>- 50 -</w:t>
      </w:r>
      <w:r>
        <w:fldChar w:fldCharType="end"/>
      </w:r>
      <w:r>
        <w:fldChar w:fldCharType="end"/>
      </w:r>
    </w:p>
    <w:p w14:paraId="41C553B4">
      <w:pPr>
        <w:pStyle w:val="32"/>
        <w:tabs>
          <w:tab w:val="right" w:leader="dot" w:pos="9070"/>
        </w:tabs>
        <w:ind w:left="420"/>
      </w:pPr>
      <w:r>
        <w:fldChar w:fldCharType="begin"/>
      </w:r>
      <w:r>
        <w:instrText xml:space="preserve"> HYPERLINK \l "_Toc20784" </w:instrText>
      </w:r>
      <w:r>
        <w:fldChar w:fldCharType="separate"/>
      </w:r>
      <w:r>
        <w:rPr>
          <w:rFonts w:hint="eastAsia"/>
        </w:rPr>
        <w:t>二、投标函</w:t>
      </w:r>
      <w:r>
        <w:tab/>
      </w:r>
      <w:r>
        <w:fldChar w:fldCharType="begin"/>
      </w:r>
      <w:r>
        <w:instrText xml:space="preserve"> PAGEREF _Toc20784 \h </w:instrText>
      </w:r>
      <w:r>
        <w:fldChar w:fldCharType="separate"/>
      </w:r>
      <w:r>
        <w:t>- 52 -</w:t>
      </w:r>
      <w:r>
        <w:fldChar w:fldCharType="end"/>
      </w:r>
      <w:r>
        <w:fldChar w:fldCharType="end"/>
      </w:r>
    </w:p>
    <w:p w14:paraId="06B2280F">
      <w:pPr>
        <w:pStyle w:val="32"/>
        <w:tabs>
          <w:tab w:val="right" w:leader="dot" w:pos="9070"/>
        </w:tabs>
        <w:ind w:left="420"/>
      </w:pPr>
      <w:r>
        <w:fldChar w:fldCharType="begin"/>
      </w:r>
      <w:r>
        <w:instrText xml:space="preserve"> HYPERLINK \l "_Toc31277" </w:instrText>
      </w:r>
      <w:r>
        <w:fldChar w:fldCharType="separate"/>
      </w:r>
      <w:r>
        <w:rPr>
          <w:rFonts w:hint="eastAsia"/>
        </w:rPr>
        <w:t>三、开标一览表</w:t>
      </w:r>
      <w:r>
        <w:tab/>
      </w:r>
      <w:r>
        <w:fldChar w:fldCharType="begin"/>
      </w:r>
      <w:r>
        <w:instrText xml:space="preserve"> PAGEREF _Toc31277 \h </w:instrText>
      </w:r>
      <w:r>
        <w:fldChar w:fldCharType="separate"/>
      </w:r>
      <w:r>
        <w:t>- 54 -</w:t>
      </w:r>
      <w:r>
        <w:fldChar w:fldCharType="end"/>
      </w:r>
      <w:r>
        <w:fldChar w:fldCharType="end"/>
      </w:r>
    </w:p>
    <w:p w14:paraId="3DB79835">
      <w:pPr>
        <w:pStyle w:val="32"/>
        <w:tabs>
          <w:tab w:val="right" w:leader="dot" w:pos="9070"/>
        </w:tabs>
        <w:ind w:left="420"/>
      </w:pPr>
      <w:r>
        <w:fldChar w:fldCharType="begin"/>
      </w:r>
      <w:r>
        <w:instrText xml:space="preserve"> HYPERLINK \l "_Toc16921" </w:instrText>
      </w:r>
      <w:r>
        <w:fldChar w:fldCharType="separate"/>
      </w:r>
      <w:r>
        <w:rPr>
          <w:rFonts w:hint="eastAsia"/>
        </w:rPr>
        <w:t>四、分项报价明细表</w:t>
      </w:r>
      <w:r>
        <w:tab/>
      </w:r>
      <w:r>
        <w:fldChar w:fldCharType="begin"/>
      </w:r>
      <w:r>
        <w:instrText xml:space="preserve"> PAGEREF _Toc16921 \h </w:instrText>
      </w:r>
      <w:r>
        <w:fldChar w:fldCharType="separate"/>
      </w:r>
      <w:r>
        <w:t>- 55 -</w:t>
      </w:r>
      <w:r>
        <w:fldChar w:fldCharType="end"/>
      </w:r>
      <w:r>
        <w:fldChar w:fldCharType="end"/>
      </w:r>
    </w:p>
    <w:p w14:paraId="20E81389">
      <w:pPr>
        <w:pStyle w:val="32"/>
        <w:tabs>
          <w:tab w:val="right" w:leader="dot" w:pos="9070"/>
        </w:tabs>
        <w:ind w:left="420"/>
      </w:pPr>
      <w:r>
        <w:fldChar w:fldCharType="begin"/>
      </w:r>
      <w:r>
        <w:instrText xml:space="preserve"> HYPERLINK \l "_Toc24732" </w:instrText>
      </w:r>
      <w:r>
        <w:fldChar w:fldCharType="separate"/>
      </w:r>
      <w:r>
        <w:rPr>
          <w:rFonts w:hint="eastAsia"/>
        </w:rPr>
        <w:t>五、政策优惠证明材料</w:t>
      </w:r>
      <w:r>
        <w:tab/>
      </w:r>
      <w:r>
        <w:fldChar w:fldCharType="begin"/>
      </w:r>
      <w:r>
        <w:instrText xml:space="preserve"> PAGEREF _Toc24732 \h </w:instrText>
      </w:r>
      <w:r>
        <w:fldChar w:fldCharType="separate"/>
      </w:r>
      <w:r>
        <w:t>- 56 -</w:t>
      </w:r>
      <w:r>
        <w:fldChar w:fldCharType="end"/>
      </w:r>
      <w:r>
        <w:fldChar w:fldCharType="end"/>
      </w:r>
    </w:p>
    <w:p w14:paraId="276A29A4">
      <w:pPr>
        <w:pStyle w:val="32"/>
        <w:tabs>
          <w:tab w:val="right" w:leader="dot" w:pos="9070"/>
        </w:tabs>
        <w:ind w:left="420"/>
      </w:pPr>
      <w:r>
        <w:fldChar w:fldCharType="begin"/>
      </w:r>
      <w:r>
        <w:instrText xml:space="preserve"> HYPERLINK \l "_Toc9581" </w:instrText>
      </w:r>
      <w:r>
        <w:fldChar w:fldCharType="separate"/>
      </w:r>
      <w:r>
        <w:rPr>
          <w:rFonts w:hint="eastAsia"/>
        </w:rPr>
        <w:t>5</w:t>
      </w:r>
      <w:r>
        <w:t>-1中小企业声明函</w:t>
      </w:r>
      <w:r>
        <w:tab/>
      </w:r>
      <w:r>
        <w:fldChar w:fldCharType="begin"/>
      </w:r>
      <w:r>
        <w:instrText xml:space="preserve"> PAGEREF _Toc9581 \h </w:instrText>
      </w:r>
      <w:r>
        <w:fldChar w:fldCharType="separate"/>
      </w:r>
      <w:r>
        <w:t>- 56 -</w:t>
      </w:r>
      <w:r>
        <w:fldChar w:fldCharType="end"/>
      </w:r>
      <w:r>
        <w:fldChar w:fldCharType="end"/>
      </w:r>
    </w:p>
    <w:p w14:paraId="6121CB2C">
      <w:pPr>
        <w:pStyle w:val="32"/>
        <w:tabs>
          <w:tab w:val="right" w:leader="dot" w:pos="9070"/>
        </w:tabs>
        <w:ind w:left="420"/>
      </w:pPr>
      <w:r>
        <w:fldChar w:fldCharType="begin"/>
      </w:r>
      <w:r>
        <w:instrText xml:space="preserve"> HYPERLINK \l "_Toc11353" </w:instrText>
      </w:r>
      <w:r>
        <w:fldChar w:fldCharType="separate"/>
      </w:r>
      <w:r>
        <w:rPr>
          <w:rFonts w:hint="eastAsia"/>
        </w:rPr>
        <w:t>5</w:t>
      </w:r>
      <w:r>
        <w:t>-2</w:t>
      </w:r>
      <w:r>
        <w:rPr>
          <w:rFonts w:hint="eastAsia"/>
        </w:rPr>
        <w:t xml:space="preserve"> 残疾人福利性单位声明函</w:t>
      </w:r>
      <w:r>
        <w:t>(适用于残疾人福利单位)</w:t>
      </w:r>
      <w:r>
        <w:tab/>
      </w:r>
      <w:r>
        <w:fldChar w:fldCharType="begin"/>
      </w:r>
      <w:r>
        <w:instrText xml:space="preserve"> PAGEREF _Toc11353 \h </w:instrText>
      </w:r>
      <w:r>
        <w:fldChar w:fldCharType="separate"/>
      </w:r>
      <w:r>
        <w:t>- 57 -</w:t>
      </w:r>
      <w:r>
        <w:fldChar w:fldCharType="end"/>
      </w:r>
      <w:r>
        <w:fldChar w:fldCharType="end"/>
      </w:r>
    </w:p>
    <w:p w14:paraId="6E74A436">
      <w:pPr>
        <w:pStyle w:val="32"/>
        <w:tabs>
          <w:tab w:val="right" w:leader="dot" w:pos="9070"/>
        </w:tabs>
        <w:ind w:left="420"/>
      </w:pPr>
      <w:r>
        <w:fldChar w:fldCharType="begin"/>
      </w:r>
      <w:r>
        <w:instrText xml:space="preserve"> HYPERLINK \l "_Toc13351" </w:instrText>
      </w:r>
      <w:r>
        <w:fldChar w:fldCharType="separate"/>
      </w:r>
      <w:r>
        <w:rPr>
          <w:rFonts w:hint="eastAsia"/>
        </w:rPr>
        <w:t>5</w:t>
      </w:r>
      <w:r>
        <w:t>-3</w:t>
      </w:r>
      <w:r>
        <w:rPr>
          <w:rFonts w:hint="eastAsia"/>
        </w:rPr>
        <w:t xml:space="preserve"> 监狱企业证明资料</w:t>
      </w:r>
      <w:r>
        <w:t>(</w:t>
      </w:r>
      <w:r>
        <w:rPr>
          <w:rFonts w:hint="eastAsia"/>
        </w:rPr>
        <w:t>适用于监狱企业</w:t>
      </w:r>
      <w:r>
        <w:t>)</w:t>
      </w:r>
      <w:r>
        <w:tab/>
      </w:r>
      <w:r>
        <w:fldChar w:fldCharType="begin"/>
      </w:r>
      <w:r>
        <w:instrText xml:space="preserve"> PAGEREF _Toc13351 \h </w:instrText>
      </w:r>
      <w:r>
        <w:fldChar w:fldCharType="separate"/>
      </w:r>
      <w:r>
        <w:t>- 57 -</w:t>
      </w:r>
      <w:r>
        <w:fldChar w:fldCharType="end"/>
      </w:r>
      <w:r>
        <w:fldChar w:fldCharType="end"/>
      </w:r>
    </w:p>
    <w:p w14:paraId="02E1256B">
      <w:pPr>
        <w:pStyle w:val="32"/>
        <w:tabs>
          <w:tab w:val="right" w:leader="dot" w:pos="9070"/>
        </w:tabs>
        <w:ind w:left="420"/>
      </w:pPr>
      <w:r>
        <w:fldChar w:fldCharType="begin"/>
      </w:r>
      <w:r>
        <w:instrText xml:space="preserve"> HYPERLINK \l "_Toc12538" </w:instrText>
      </w:r>
      <w:r>
        <w:fldChar w:fldCharType="separate"/>
      </w:r>
      <w:r>
        <w:rPr>
          <w:rFonts w:hint="eastAsia"/>
        </w:rPr>
        <w:t>六、服务方案说明</w:t>
      </w:r>
      <w:r>
        <w:tab/>
      </w:r>
      <w:r>
        <w:fldChar w:fldCharType="begin"/>
      </w:r>
      <w:r>
        <w:instrText xml:space="preserve"> PAGEREF _Toc12538 \h </w:instrText>
      </w:r>
      <w:r>
        <w:fldChar w:fldCharType="separate"/>
      </w:r>
      <w:r>
        <w:t>- 59 -</w:t>
      </w:r>
      <w:r>
        <w:fldChar w:fldCharType="end"/>
      </w:r>
      <w:r>
        <w:fldChar w:fldCharType="end"/>
      </w:r>
    </w:p>
    <w:p w14:paraId="5CCB7754">
      <w:pPr>
        <w:pStyle w:val="32"/>
        <w:tabs>
          <w:tab w:val="right" w:leader="dot" w:pos="9070"/>
        </w:tabs>
        <w:ind w:left="420"/>
      </w:pPr>
      <w:r>
        <w:fldChar w:fldCharType="begin"/>
      </w:r>
      <w:r>
        <w:instrText xml:space="preserve"> HYPERLINK \l "_Toc1" </w:instrText>
      </w:r>
      <w:r>
        <w:fldChar w:fldCharType="separate"/>
      </w:r>
      <w:r>
        <w:rPr>
          <w:rFonts w:hint="eastAsia"/>
        </w:rPr>
        <w:t>七、主要人员简历表</w:t>
      </w:r>
      <w:r>
        <w:tab/>
      </w:r>
      <w:r>
        <w:fldChar w:fldCharType="begin"/>
      </w:r>
      <w:r>
        <w:instrText xml:space="preserve"> PAGEREF _Toc1 \h </w:instrText>
      </w:r>
      <w:r>
        <w:fldChar w:fldCharType="separate"/>
      </w:r>
      <w:r>
        <w:t>- 60 -</w:t>
      </w:r>
      <w:r>
        <w:fldChar w:fldCharType="end"/>
      </w:r>
      <w:r>
        <w:fldChar w:fldCharType="end"/>
      </w:r>
    </w:p>
    <w:p w14:paraId="24C52FBC">
      <w:pPr>
        <w:pStyle w:val="32"/>
        <w:tabs>
          <w:tab w:val="right" w:leader="dot" w:pos="9070"/>
        </w:tabs>
        <w:ind w:left="420"/>
      </w:pPr>
      <w:r>
        <w:fldChar w:fldCharType="begin"/>
      </w:r>
      <w:r>
        <w:instrText xml:space="preserve"> HYPERLINK \l "_Toc31708" </w:instrText>
      </w:r>
      <w:r>
        <w:fldChar w:fldCharType="separate"/>
      </w:r>
      <w:r>
        <w:rPr>
          <w:rFonts w:hint="eastAsia"/>
        </w:rPr>
        <w:t>八、拟投入本项目的工作人员配置一览表</w:t>
      </w:r>
      <w:r>
        <w:tab/>
      </w:r>
      <w:r>
        <w:fldChar w:fldCharType="begin"/>
      </w:r>
      <w:r>
        <w:instrText xml:space="preserve"> PAGEREF _Toc31708 \h </w:instrText>
      </w:r>
      <w:r>
        <w:fldChar w:fldCharType="separate"/>
      </w:r>
      <w:r>
        <w:t>- 61 -</w:t>
      </w:r>
      <w:r>
        <w:fldChar w:fldCharType="end"/>
      </w:r>
      <w:r>
        <w:fldChar w:fldCharType="end"/>
      </w:r>
    </w:p>
    <w:p w14:paraId="25BCE3FA">
      <w:pPr>
        <w:pStyle w:val="32"/>
        <w:tabs>
          <w:tab w:val="right" w:leader="dot" w:pos="9070"/>
        </w:tabs>
        <w:ind w:left="420"/>
      </w:pPr>
      <w:r>
        <w:fldChar w:fldCharType="begin"/>
      </w:r>
      <w:r>
        <w:instrText xml:space="preserve"> HYPERLINK \l "_Toc24871" </w:instrText>
      </w:r>
      <w:r>
        <w:fldChar w:fldCharType="separate"/>
      </w:r>
      <w:r>
        <w:rPr>
          <w:rFonts w:hint="eastAsia"/>
        </w:rPr>
        <w:t>九、采购需求响应（一）</w:t>
      </w:r>
      <w:r>
        <w:tab/>
      </w:r>
      <w:r>
        <w:fldChar w:fldCharType="begin"/>
      </w:r>
      <w:r>
        <w:instrText xml:space="preserve"> PAGEREF _Toc24871 \h </w:instrText>
      </w:r>
      <w:r>
        <w:fldChar w:fldCharType="separate"/>
      </w:r>
      <w:r>
        <w:t>- 62 -</w:t>
      </w:r>
      <w:r>
        <w:fldChar w:fldCharType="end"/>
      </w:r>
      <w:r>
        <w:fldChar w:fldCharType="end"/>
      </w:r>
    </w:p>
    <w:p w14:paraId="29E97682">
      <w:pPr>
        <w:pStyle w:val="32"/>
        <w:tabs>
          <w:tab w:val="right" w:leader="dot" w:pos="9070"/>
        </w:tabs>
        <w:ind w:left="420"/>
      </w:pPr>
      <w:r>
        <w:fldChar w:fldCharType="begin"/>
      </w:r>
      <w:r>
        <w:instrText xml:space="preserve"> HYPERLINK \l "_Toc11169" </w:instrText>
      </w:r>
      <w:r>
        <w:fldChar w:fldCharType="separate"/>
      </w:r>
      <w:r>
        <w:rPr>
          <w:rFonts w:hint="eastAsia"/>
        </w:rPr>
        <w:t>十、采购需求响应（二）</w:t>
      </w:r>
      <w:r>
        <w:tab/>
      </w:r>
      <w:r>
        <w:fldChar w:fldCharType="begin"/>
      </w:r>
      <w:r>
        <w:instrText xml:space="preserve"> PAGEREF _Toc11169 \h </w:instrText>
      </w:r>
      <w:r>
        <w:fldChar w:fldCharType="separate"/>
      </w:r>
      <w:r>
        <w:t>- 62 -</w:t>
      </w:r>
      <w:r>
        <w:fldChar w:fldCharType="end"/>
      </w:r>
      <w:r>
        <w:fldChar w:fldCharType="end"/>
      </w:r>
    </w:p>
    <w:p w14:paraId="4B77A2CE">
      <w:pPr>
        <w:pStyle w:val="32"/>
        <w:tabs>
          <w:tab w:val="right" w:leader="dot" w:pos="9070"/>
        </w:tabs>
        <w:ind w:left="420"/>
      </w:pPr>
      <w:r>
        <w:fldChar w:fldCharType="begin"/>
      </w:r>
      <w:r>
        <w:instrText xml:space="preserve"> HYPERLINK \l "_Toc3667" </w:instrText>
      </w:r>
      <w:r>
        <w:fldChar w:fldCharType="separate"/>
      </w:r>
      <w:r>
        <w:rPr>
          <w:rFonts w:hint="eastAsia"/>
        </w:rPr>
        <w:t>十一、</w:t>
      </w:r>
      <w:r>
        <w:t>按招标文件的技术★条款的要求提供相关响应资料</w:t>
      </w:r>
      <w:r>
        <w:tab/>
      </w:r>
      <w:r>
        <w:fldChar w:fldCharType="begin"/>
      </w:r>
      <w:r>
        <w:instrText xml:space="preserve"> PAGEREF _Toc3667 \h </w:instrText>
      </w:r>
      <w:r>
        <w:fldChar w:fldCharType="separate"/>
      </w:r>
      <w:r>
        <w:t>- 62 -</w:t>
      </w:r>
      <w:r>
        <w:fldChar w:fldCharType="end"/>
      </w:r>
      <w:r>
        <w:fldChar w:fldCharType="end"/>
      </w:r>
    </w:p>
    <w:p w14:paraId="289C9622">
      <w:pPr>
        <w:pStyle w:val="32"/>
        <w:tabs>
          <w:tab w:val="right" w:leader="dot" w:pos="9070"/>
        </w:tabs>
        <w:ind w:left="420"/>
      </w:pPr>
      <w:r>
        <w:fldChar w:fldCharType="begin"/>
      </w:r>
      <w:r>
        <w:instrText xml:space="preserve"> HYPERLINK \l "_Toc19531" </w:instrText>
      </w:r>
      <w:r>
        <w:fldChar w:fldCharType="separate"/>
      </w:r>
      <w:r>
        <w:rPr>
          <w:rFonts w:hint="eastAsia"/>
        </w:rPr>
        <w:t>十二、采购需求</w:t>
      </w:r>
      <w:r>
        <w:t>偏离表</w:t>
      </w:r>
      <w:r>
        <w:tab/>
      </w:r>
      <w:r>
        <w:fldChar w:fldCharType="begin"/>
      </w:r>
      <w:r>
        <w:instrText xml:space="preserve"> PAGEREF _Toc19531 \h </w:instrText>
      </w:r>
      <w:r>
        <w:fldChar w:fldCharType="separate"/>
      </w:r>
      <w:r>
        <w:t>- 63 -</w:t>
      </w:r>
      <w:r>
        <w:fldChar w:fldCharType="end"/>
      </w:r>
      <w:r>
        <w:fldChar w:fldCharType="end"/>
      </w:r>
    </w:p>
    <w:p w14:paraId="6293FB97">
      <w:pPr>
        <w:pStyle w:val="32"/>
        <w:tabs>
          <w:tab w:val="right" w:leader="dot" w:pos="9070"/>
        </w:tabs>
        <w:ind w:left="420"/>
      </w:pPr>
      <w:r>
        <w:fldChar w:fldCharType="begin"/>
      </w:r>
      <w:r>
        <w:instrText xml:space="preserve"> HYPERLINK \l "_Toc6888" </w:instrText>
      </w:r>
      <w:r>
        <w:fldChar w:fldCharType="separate"/>
      </w:r>
      <w:r>
        <w:rPr>
          <w:rFonts w:hint="eastAsia"/>
        </w:rPr>
        <w:t>十三、</w:t>
      </w:r>
      <w:r>
        <w:t>供应商需提供的其他资料</w:t>
      </w:r>
      <w:r>
        <w:tab/>
      </w:r>
      <w:r>
        <w:fldChar w:fldCharType="begin"/>
      </w:r>
      <w:r>
        <w:instrText xml:space="preserve"> PAGEREF _Toc6888 \h </w:instrText>
      </w:r>
      <w:r>
        <w:fldChar w:fldCharType="separate"/>
      </w:r>
      <w:r>
        <w:t>- 64 -</w:t>
      </w:r>
      <w:r>
        <w:fldChar w:fldCharType="end"/>
      </w:r>
      <w:r>
        <w:fldChar w:fldCharType="end"/>
      </w:r>
    </w:p>
    <w:p w14:paraId="7F37B017">
      <w:pPr>
        <w:pStyle w:val="21"/>
        <w:adjustRightInd w:val="0"/>
        <w:snapToGrid w:val="0"/>
        <w:spacing w:line="360" w:lineRule="auto"/>
        <w:ind w:left="2549" w:hanging="1699"/>
        <w:rPr>
          <w:rStyle w:val="44"/>
          <w:rFonts w:cs="Times New Roman" w:asciiTheme="minorEastAsia" w:hAnsiTheme="minorEastAsia" w:eastAsiaTheme="minorEastAsia"/>
          <w:b w:val="0"/>
          <w:sz w:val="24"/>
        </w:rPr>
        <w:sectPr>
          <w:headerReference r:id="rId3" w:type="default"/>
          <w:footerReference r:id="rId4" w:type="default"/>
          <w:pgSz w:w="11906" w:h="16838"/>
          <w:pgMar w:top="1418" w:right="1418" w:bottom="1418" w:left="1418" w:header="851" w:footer="992" w:gutter="0"/>
          <w:pgNumType w:fmt="numberInDash"/>
          <w:cols w:space="720" w:num="1"/>
          <w:docGrid w:type="lines" w:linePitch="312" w:charSpace="0"/>
        </w:sectPr>
      </w:pPr>
      <w:r>
        <w:rPr>
          <w:rFonts w:cs="Times New Roman" w:asciiTheme="minorEastAsia" w:hAnsiTheme="minorEastAsia" w:eastAsiaTheme="minorEastAsia"/>
        </w:rPr>
        <w:fldChar w:fldCharType="end"/>
      </w:r>
      <w:bookmarkStart w:id="0" w:name="_Toc21000471"/>
      <w:bookmarkStart w:id="1" w:name="_Toc20642243"/>
      <w:bookmarkStart w:id="2" w:name="_Toc21001314"/>
      <w:bookmarkStart w:id="3" w:name="_Toc53472201"/>
      <w:bookmarkStart w:id="4" w:name="_Toc34720698"/>
      <w:bookmarkStart w:id="5" w:name="_Toc20988241"/>
      <w:bookmarkStart w:id="6" w:name="_Toc35421027"/>
      <w:bookmarkStart w:id="7" w:name="_Toc20816073"/>
    </w:p>
    <w:p w14:paraId="4C420657">
      <w:pPr>
        <w:pStyle w:val="3"/>
      </w:pPr>
      <w:bookmarkStart w:id="8" w:name="_Toc18969"/>
      <w:r>
        <w:rPr>
          <w:rFonts w:hint="eastAsia"/>
        </w:rPr>
        <w:t>第一章 投标邀请</w:t>
      </w:r>
      <w:bookmarkEnd w:id="8"/>
    </w:p>
    <w:p w14:paraId="4916BF0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中南大学湘雅三医院的飞利浦FD-10整机维保服务项目进行公开招标采购，现邀请合格投标人参加投标。</w:t>
      </w:r>
    </w:p>
    <w:p w14:paraId="088A45E3">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一、采购项目名称、编号、预算金额</w:t>
      </w:r>
    </w:p>
    <w:p w14:paraId="336AEB8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1、采购项目名称：飞利浦FD-10整机维保服务项目</w:t>
      </w:r>
    </w:p>
    <w:p w14:paraId="4F19185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2、项目编号：</w:t>
      </w:r>
      <w:r>
        <w:rPr>
          <w:rFonts w:ascii="宋体" w:hAnsi="宋体"/>
          <w:szCs w:val="21"/>
          <w:highlight w:val="white"/>
        </w:rPr>
        <w:t>ZCWB2026</w:t>
      </w:r>
      <w:r>
        <w:rPr>
          <w:rFonts w:hint="eastAsia" w:ascii="宋体" w:hAnsi="宋体"/>
          <w:szCs w:val="21"/>
          <w:highlight w:val="white"/>
        </w:rPr>
        <w:t>0303</w:t>
      </w:r>
    </w:p>
    <w:p w14:paraId="46D4371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2、采购代理编号：</w:t>
      </w:r>
      <w:r>
        <w:rPr>
          <w:rFonts w:ascii="宋体" w:hAnsi="宋体"/>
          <w:szCs w:val="21"/>
          <w:highlight w:val="white"/>
        </w:rPr>
        <w:t>0646-264HNGL</w:t>
      </w:r>
      <w:r>
        <w:rPr>
          <w:rFonts w:hint="eastAsia" w:ascii="宋体" w:hAnsi="宋体"/>
          <w:szCs w:val="21"/>
          <w:highlight w:val="white"/>
        </w:rPr>
        <w:t>N0131</w:t>
      </w:r>
    </w:p>
    <w:p w14:paraId="1B0F633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3、预算金额：48.00万元</w:t>
      </w:r>
    </w:p>
    <w:p w14:paraId="5DBF07B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4、是否专门面向中小企业采购：否</w:t>
      </w:r>
    </w:p>
    <w:p w14:paraId="49019C6C">
      <w:pPr>
        <w:adjustRightInd w:val="0"/>
        <w:snapToGrid w:val="0"/>
        <w:spacing w:line="440" w:lineRule="exact"/>
        <w:ind w:firstLine="707" w:firstLineChars="337"/>
        <w:rPr>
          <w:rFonts w:ascii="宋体" w:hAnsi="宋体"/>
          <w:szCs w:val="21"/>
          <w:highlight w:val="white"/>
        </w:rPr>
      </w:pPr>
      <w:r>
        <w:rPr>
          <w:rFonts w:hint="eastAsia" w:ascii="宋体" w:hAnsi="宋体"/>
          <w:szCs w:val="21"/>
          <w:highlight w:val="white"/>
        </w:rPr>
        <w:t>本项目对应的中小企业划分标准所属行业：其他未列明行业</w:t>
      </w:r>
    </w:p>
    <w:p w14:paraId="2E99915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5、评标方法：综合评分法</w:t>
      </w:r>
    </w:p>
    <w:p w14:paraId="658960A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6、合同履行期限：</w:t>
      </w:r>
      <w:bookmarkStart w:id="9" w:name="OLE_LINK5"/>
      <w:r>
        <w:rPr>
          <w:rFonts w:hint="eastAsia" w:ascii="宋体" w:hAnsi="宋体"/>
          <w:szCs w:val="21"/>
          <w:highlight w:val="white"/>
        </w:rPr>
        <w:t>1年。</w:t>
      </w:r>
      <w:bookmarkEnd w:id="9"/>
    </w:p>
    <w:p w14:paraId="7DEB54C0">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二、采购人的采购需求</w:t>
      </w:r>
    </w:p>
    <w:tbl>
      <w:tblPr>
        <w:tblStyle w:val="41"/>
        <w:tblW w:w="4709" w:type="pct"/>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1487"/>
        <w:gridCol w:w="1489"/>
        <w:gridCol w:w="3121"/>
        <w:gridCol w:w="708"/>
        <w:gridCol w:w="1233"/>
      </w:tblGrid>
      <w:tr w14:paraId="530D2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pct"/>
            <w:vAlign w:val="center"/>
          </w:tcPr>
          <w:p w14:paraId="2881A3D0">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包号</w:t>
            </w:r>
          </w:p>
        </w:tc>
        <w:tc>
          <w:tcPr>
            <w:tcW w:w="850" w:type="pct"/>
            <w:vAlign w:val="center"/>
          </w:tcPr>
          <w:p w14:paraId="630611F5">
            <w:pPr>
              <w:widowControl/>
              <w:shd w:val="clear" w:color="auto" w:fill="FFFFFF"/>
              <w:spacing w:line="420" w:lineRule="exact"/>
              <w:jc w:val="center"/>
              <w:rPr>
                <w:rFonts w:ascii="宋体" w:hAnsi="宋体"/>
                <w:szCs w:val="21"/>
                <w:highlight w:val="white"/>
              </w:rPr>
            </w:pPr>
            <w:r>
              <w:rPr>
                <w:rFonts w:ascii="宋体" w:hAnsi="宋体"/>
                <w:szCs w:val="21"/>
                <w:highlight w:val="white"/>
              </w:rPr>
              <w:t>包名称</w:t>
            </w:r>
          </w:p>
        </w:tc>
        <w:tc>
          <w:tcPr>
            <w:tcW w:w="851" w:type="pct"/>
            <w:vAlign w:val="center"/>
          </w:tcPr>
          <w:p w14:paraId="2D878063">
            <w:pPr>
              <w:widowControl/>
              <w:shd w:val="clear" w:color="auto" w:fill="FFFFFF"/>
              <w:spacing w:line="420" w:lineRule="exact"/>
              <w:jc w:val="center"/>
              <w:rPr>
                <w:rFonts w:ascii="宋体" w:hAnsi="宋体"/>
                <w:szCs w:val="21"/>
                <w:highlight w:val="white"/>
              </w:rPr>
            </w:pPr>
            <w:r>
              <w:rPr>
                <w:rFonts w:ascii="宋体" w:hAnsi="宋体"/>
                <w:szCs w:val="21"/>
                <w:highlight w:val="white"/>
              </w:rPr>
              <w:t>分项项目名称</w:t>
            </w:r>
          </w:p>
          <w:p w14:paraId="774C20A9">
            <w:pPr>
              <w:widowControl/>
              <w:shd w:val="clear" w:color="auto" w:fill="FFFFFF"/>
              <w:spacing w:line="420" w:lineRule="exact"/>
              <w:jc w:val="center"/>
              <w:rPr>
                <w:rFonts w:ascii="宋体" w:hAnsi="宋体"/>
                <w:szCs w:val="21"/>
                <w:highlight w:val="white"/>
              </w:rPr>
            </w:pPr>
            <w:r>
              <w:rPr>
                <w:rFonts w:ascii="宋体" w:hAnsi="宋体"/>
                <w:szCs w:val="21"/>
                <w:highlight w:val="white"/>
              </w:rPr>
              <w:t>（标的名称）</w:t>
            </w:r>
          </w:p>
        </w:tc>
        <w:tc>
          <w:tcPr>
            <w:tcW w:w="1784" w:type="pct"/>
            <w:vAlign w:val="center"/>
          </w:tcPr>
          <w:p w14:paraId="7C3F1C54">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服务内容</w:t>
            </w:r>
          </w:p>
        </w:tc>
        <w:tc>
          <w:tcPr>
            <w:tcW w:w="405" w:type="pct"/>
            <w:vAlign w:val="center"/>
          </w:tcPr>
          <w:p w14:paraId="17B5CEB5">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服务</w:t>
            </w:r>
          </w:p>
          <w:p w14:paraId="6BD36280">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期限</w:t>
            </w:r>
          </w:p>
        </w:tc>
        <w:tc>
          <w:tcPr>
            <w:tcW w:w="705" w:type="pct"/>
            <w:vAlign w:val="center"/>
          </w:tcPr>
          <w:p w14:paraId="1304E0C0">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最高限价</w:t>
            </w:r>
          </w:p>
          <w:p w14:paraId="018A2B9C">
            <w:pPr>
              <w:widowControl/>
              <w:shd w:val="clear" w:color="auto" w:fill="FFFFFF"/>
              <w:spacing w:line="420" w:lineRule="exact"/>
              <w:ind w:left="-105" w:leftChars="-50" w:right="-143" w:rightChars="-68"/>
              <w:jc w:val="center"/>
              <w:rPr>
                <w:rFonts w:ascii="宋体" w:hAnsi="宋体"/>
                <w:szCs w:val="21"/>
                <w:highlight w:val="white"/>
              </w:rPr>
            </w:pPr>
            <w:r>
              <w:rPr>
                <w:rFonts w:hint="eastAsia" w:ascii="宋体" w:hAnsi="宋体"/>
                <w:szCs w:val="21"/>
                <w:highlight w:val="white"/>
              </w:rPr>
              <w:t>（万元/年）</w:t>
            </w:r>
          </w:p>
        </w:tc>
      </w:tr>
      <w:tr w14:paraId="2F61E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5" w:type="pct"/>
            <w:vAlign w:val="center"/>
          </w:tcPr>
          <w:p w14:paraId="6A57C813">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1</w:t>
            </w:r>
          </w:p>
        </w:tc>
        <w:tc>
          <w:tcPr>
            <w:tcW w:w="850" w:type="pct"/>
            <w:vAlign w:val="center"/>
          </w:tcPr>
          <w:p w14:paraId="2D8B3699">
            <w:pPr>
              <w:widowControl/>
              <w:shd w:val="clear" w:color="auto" w:fill="FFFFFF"/>
              <w:spacing w:line="420" w:lineRule="exact"/>
              <w:jc w:val="center"/>
              <w:rPr>
                <w:rFonts w:ascii="宋体" w:hAnsi="宋体" w:cs="宋体"/>
                <w:color w:val="000000"/>
                <w:kern w:val="0"/>
                <w:szCs w:val="21"/>
              </w:rPr>
            </w:pPr>
            <w:r>
              <w:rPr>
                <w:rFonts w:hint="eastAsia" w:ascii="宋体" w:hAnsi="宋体" w:cs="宋体"/>
                <w:color w:val="000000"/>
                <w:kern w:val="0"/>
                <w:szCs w:val="21"/>
              </w:rPr>
              <w:t>飞利浦FD-10整机维保服务</w:t>
            </w:r>
          </w:p>
        </w:tc>
        <w:tc>
          <w:tcPr>
            <w:tcW w:w="851" w:type="pct"/>
            <w:vAlign w:val="center"/>
          </w:tcPr>
          <w:p w14:paraId="72BEE227">
            <w:pPr>
              <w:widowControl/>
              <w:shd w:val="clear" w:color="auto" w:fill="FFFFFF"/>
              <w:spacing w:line="420" w:lineRule="exact"/>
              <w:jc w:val="center"/>
              <w:rPr>
                <w:rFonts w:ascii="宋体" w:hAnsi="宋体" w:cs="宋体"/>
                <w:color w:val="000000"/>
                <w:kern w:val="0"/>
                <w:szCs w:val="21"/>
              </w:rPr>
            </w:pPr>
            <w:r>
              <w:rPr>
                <w:rFonts w:hint="eastAsia" w:ascii="宋体" w:hAnsi="宋体" w:cs="宋体"/>
                <w:color w:val="000000"/>
                <w:kern w:val="0"/>
                <w:szCs w:val="21"/>
              </w:rPr>
              <w:t>飞利浦FD-10整机维保服务</w:t>
            </w:r>
          </w:p>
        </w:tc>
        <w:tc>
          <w:tcPr>
            <w:tcW w:w="1784" w:type="pct"/>
            <w:vAlign w:val="center"/>
          </w:tcPr>
          <w:p w14:paraId="759327B1">
            <w:pPr>
              <w:widowControl/>
              <w:shd w:val="clear" w:color="auto" w:fill="FFFFFF"/>
              <w:spacing w:line="420" w:lineRule="exact"/>
              <w:jc w:val="left"/>
              <w:rPr>
                <w:rFonts w:ascii="宋体" w:hAnsi="宋体" w:cs="宋体"/>
                <w:color w:val="000000"/>
                <w:kern w:val="0"/>
              </w:rPr>
            </w:pPr>
            <w:r>
              <w:rPr>
                <w:rFonts w:hint="eastAsia" w:ascii="宋体" w:hAnsi="宋体" w:cs="宋体"/>
                <w:kern w:val="0"/>
                <w:szCs w:val="21"/>
                <w:lang w:bidi="ar"/>
              </w:rPr>
              <w:t>飞利浦FD10 DSA整机一套，全保服务1年</w:t>
            </w:r>
            <w:r>
              <w:rPr>
                <w:rFonts w:hint="eastAsia" w:ascii="宋体" w:hAnsi="宋体" w:cs="宋体"/>
                <w:kern w:val="0"/>
                <w:szCs w:val="21"/>
              </w:rPr>
              <w:t>，包</w:t>
            </w:r>
            <w:r>
              <w:rPr>
                <w:rFonts w:hint="eastAsia" w:ascii="宋体" w:hAnsi="宋体" w:cs="宋体"/>
                <w:color w:val="000000"/>
                <w:kern w:val="0"/>
                <w:szCs w:val="21"/>
              </w:rPr>
              <w:t>括所有设备部件保养服务、备件更换服务和所有的工时服务。</w:t>
            </w:r>
          </w:p>
        </w:tc>
        <w:tc>
          <w:tcPr>
            <w:tcW w:w="405" w:type="pct"/>
            <w:vAlign w:val="center"/>
          </w:tcPr>
          <w:p w14:paraId="24D4F3C8">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1年</w:t>
            </w:r>
          </w:p>
        </w:tc>
        <w:tc>
          <w:tcPr>
            <w:tcW w:w="705" w:type="pct"/>
            <w:vAlign w:val="center"/>
          </w:tcPr>
          <w:p w14:paraId="091AD419">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48.00</w:t>
            </w:r>
          </w:p>
        </w:tc>
      </w:tr>
    </w:tbl>
    <w:p w14:paraId="3BC1D93D">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三、采购项目需落实的政府采购政策：</w:t>
      </w:r>
    </w:p>
    <w:p w14:paraId="35CB2B55">
      <w:pPr>
        <w:adjustRightInd w:val="0"/>
        <w:snapToGrid w:val="0"/>
        <w:spacing w:line="440" w:lineRule="exact"/>
        <w:ind w:firstLine="420" w:firstLineChars="200"/>
        <w:rPr>
          <w:rFonts w:asciiTheme="minorEastAsia" w:hAnsiTheme="minorEastAsia" w:eastAsiaTheme="minorEastAsia"/>
          <w:szCs w:val="21"/>
          <w:highlight w:val="white"/>
        </w:rPr>
      </w:pPr>
      <w:bookmarkStart w:id="10" w:name="OLE_LINK6"/>
      <w:r>
        <w:rPr>
          <w:rFonts w:hint="eastAsia" w:asciiTheme="minorEastAsia" w:hAnsiTheme="minorEastAsia" w:eastAsiaTheme="minorEastAsia"/>
          <w:szCs w:val="21"/>
          <w:highlight w:val="white"/>
        </w:rPr>
        <w:t>1、非专门面向中小企业采购。对小型、微型企业包括视同小型、微型企业的残疾人福利单位、监狱企业，给予价格评审优惠。</w:t>
      </w:r>
    </w:p>
    <w:bookmarkEnd w:id="10"/>
    <w:p w14:paraId="66AFCB05">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四、投标人的资格要求</w:t>
      </w:r>
    </w:p>
    <w:p w14:paraId="20B45B0C">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1、投标人的基本资格条件：投标人必须是在中华人民共和国境内注册登记的法人、其他组织或者自然人，且应当符合《政府采购法》第二十二条第一款的规定，即：</w:t>
      </w:r>
    </w:p>
    <w:p w14:paraId="6B0A7B4D">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（1）具有独立承担民事责任的能力；</w:t>
      </w:r>
    </w:p>
    <w:p w14:paraId="3BE90068">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（2）具有良好的商业信誉和健全的财务会计制度；</w:t>
      </w:r>
    </w:p>
    <w:p w14:paraId="31DDB2BA">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（3）具有履行合同所必需的设备和专业技术能力；</w:t>
      </w:r>
    </w:p>
    <w:p w14:paraId="6FE8F930">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（4）有依法缴纳税收和社会保障资金的良好记录；</w:t>
      </w:r>
    </w:p>
    <w:p w14:paraId="5037CE9F">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（5）参加政府采购活动前三年内，在经营活动中没有重大违法记录；</w:t>
      </w:r>
    </w:p>
    <w:p w14:paraId="4D3F5985">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（6）法律、行政法规规定的其他条件。</w:t>
      </w:r>
    </w:p>
    <w:p w14:paraId="117BA802">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2、采购项目的特定资格条件：无</w:t>
      </w:r>
    </w:p>
    <w:p w14:paraId="1656A1FA">
      <w:pPr>
        <w:adjustRightInd w:val="0"/>
        <w:snapToGrid w:val="0"/>
        <w:spacing w:line="440" w:lineRule="exact"/>
        <w:ind w:firstLine="420" w:firstLineChars="200"/>
        <w:rPr>
          <w:rFonts w:asciiTheme="minorEastAsia" w:hAnsiTheme="minorEastAsia" w:eastAsiaTheme="minorEastAsia"/>
          <w:szCs w:val="21"/>
          <w:highlight w:val="white"/>
        </w:rPr>
      </w:pPr>
      <w:bookmarkStart w:id="11" w:name="OLE_LINK4"/>
      <w:r>
        <w:rPr>
          <w:rFonts w:hint="eastAsia" w:asciiTheme="minorEastAsia" w:hAnsiTheme="minorEastAsia" w:eastAsiaTheme="minorEastAsia"/>
          <w:szCs w:val="21"/>
          <w:highlight w:val="white"/>
        </w:rPr>
        <w:t>3、单位负责人为同一人或者存在直接控股、管理关系的不同投标人，不得参加同一合同项下的政府采购活动。</w:t>
      </w:r>
    </w:p>
    <w:p w14:paraId="50D4157F">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4、为本采购项目提供整体设计、规范编制或者项目管理、监理、检测等服务的，不得再参加此项目的其他招标采购活动。</w:t>
      </w:r>
    </w:p>
    <w:p w14:paraId="607A546E">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5、列入失信被执行人、重大税收违法案</w:t>
      </w:r>
      <w:bookmarkStart w:id="12" w:name="OLE_LINK94"/>
      <w:bookmarkStart w:id="13" w:name="OLE_LINK93"/>
      <w:r>
        <w:rPr>
          <w:rFonts w:hint="eastAsia" w:asciiTheme="minorEastAsia" w:hAnsiTheme="minorEastAsia" w:eastAsiaTheme="minorEastAsia"/>
          <w:szCs w:val="21"/>
          <w:highlight w:val="white"/>
        </w:rPr>
        <w:t>件当事人名</w:t>
      </w:r>
      <w:bookmarkEnd w:id="12"/>
      <w:bookmarkEnd w:id="13"/>
      <w:r>
        <w:rPr>
          <w:rFonts w:hint="eastAsia" w:asciiTheme="minorEastAsia" w:hAnsiTheme="minorEastAsia" w:eastAsiaTheme="minorEastAsia"/>
          <w:szCs w:val="21"/>
          <w:highlight w:val="white"/>
        </w:rPr>
        <w:t>单，列入政府采购严重违法失信行为记录名单的，拒绝其参与政府采购活动。</w:t>
      </w:r>
    </w:p>
    <w:bookmarkEnd w:id="11"/>
    <w:p w14:paraId="54C9F2B5">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6、联合体投标。本次招标</w:t>
      </w:r>
      <w:bookmarkStart w:id="14" w:name="EB406166f3e0ce4d33913cad104b8949a5"/>
      <w:r>
        <w:rPr>
          <w:rFonts w:hint="eastAsia" w:asciiTheme="minorEastAsia" w:hAnsiTheme="minorEastAsia" w:eastAsiaTheme="minorEastAsia"/>
          <w:szCs w:val="21"/>
          <w:highlight w:val="white"/>
        </w:rPr>
        <w:t>不接受</w:t>
      </w:r>
      <w:bookmarkEnd w:id="14"/>
      <w:r>
        <w:rPr>
          <w:rFonts w:hint="eastAsia" w:asciiTheme="minorEastAsia" w:hAnsiTheme="minorEastAsia" w:eastAsiaTheme="minorEastAsia"/>
          <w:szCs w:val="21"/>
          <w:highlight w:val="white"/>
        </w:rPr>
        <w:t>联合体投标。</w:t>
      </w:r>
    </w:p>
    <w:p w14:paraId="7DE7314D">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五、获取招标文件</w:t>
      </w:r>
    </w:p>
    <w:p w14:paraId="60FCA8C2">
      <w:pPr>
        <w:adjustRightInd w:val="0"/>
        <w:snapToGrid w:val="0"/>
        <w:spacing w:line="440" w:lineRule="exact"/>
        <w:ind w:firstLine="420" w:firstLineChars="200"/>
        <w:rPr>
          <w:rFonts w:asciiTheme="minorEastAsia" w:hAnsiTheme="minorEastAsia" w:eastAsiaTheme="minorEastAsia"/>
          <w:szCs w:val="21"/>
          <w:highlight w:val="white"/>
        </w:rPr>
      </w:pPr>
      <w:bookmarkStart w:id="15" w:name="_Toc61874263"/>
      <w:r>
        <w:rPr>
          <w:rFonts w:hint="eastAsia" w:asciiTheme="minorEastAsia" w:hAnsiTheme="minorEastAsia" w:eastAsiaTheme="minorEastAsia"/>
          <w:szCs w:val="21"/>
          <w:highlight w:val="white"/>
        </w:rPr>
        <w:t>1、获取招标文件的时间：</w:t>
      </w:r>
      <w:r>
        <w:rPr>
          <w:rFonts w:asciiTheme="minorEastAsia" w:hAnsiTheme="minorEastAsia" w:eastAsiaTheme="minorEastAsia"/>
          <w:szCs w:val="21"/>
          <w:highlight w:val="white"/>
        </w:rPr>
        <w:t>202</w:t>
      </w:r>
      <w:r>
        <w:rPr>
          <w:rFonts w:hint="eastAsia" w:asciiTheme="minorEastAsia" w:hAnsiTheme="minorEastAsia" w:eastAsiaTheme="minorEastAsia"/>
          <w:szCs w:val="21"/>
          <w:highlight w:val="white"/>
        </w:rPr>
        <w:t>6</w:t>
      </w:r>
      <w:r>
        <w:rPr>
          <w:rFonts w:asciiTheme="minorEastAsia" w:hAnsiTheme="minorEastAsia" w:eastAsiaTheme="minorEastAsia"/>
          <w:szCs w:val="21"/>
          <w:highlight w:val="white"/>
        </w:rPr>
        <w:t>年</w:t>
      </w:r>
      <w:r>
        <w:rPr>
          <w:rFonts w:hint="eastAsia" w:asciiTheme="minorEastAsia" w:hAnsiTheme="minorEastAsia" w:eastAsiaTheme="minorEastAsia"/>
          <w:szCs w:val="21"/>
          <w:highlight w:val="white"/>
        </w:rPr>
        <w:t>5</w:t>
      </w:r>
      <w:r>
        <w:rPr>
          <w:rFonts w:asciiTheme="minorEastAsia" w:hAnsiTheme="minorEastAsia" w:eastAsiaTheme="minorEastAsia"/>
          <w:szCs w:val="21"/>
          <w:highlight w:val="white"/>
        </w:rPr>
        <w:t>月</w:t>
      </w:r>
      <w:r>
        <w:rPr>
          <w:rFonts w:hint="eastAsia" w:asciiTheme="minorEastAsia" w:hAnsiTheme="minorEastAsia" w:eastAsiaTheme="minorEastAsia"/>
          <w:szCs w:val="21"/>
          <w:highlight w:val="white"/>
        </w:rPr>
        <w:t>11</w:t>
      </w:r>
      <w:r>
        <w:rPr>
          <w:rFonts w:asciiTheme="minorEastAsia" w:hAnsiTheme="minorEastAsia" w:eastAsiaTheme="minorEastAsia"/>
          <w:szCs w:val="21"/>
          <w:highlight w:val="white"/>
        </w:rPr>
        <w:t>日</w:t>
      </w:r>
      <w:r>
        <w:rPr>
          <w:rFonts w:hint="eastAsia" w:asciiTheme="minorEastAsia" w:hAnsiTheme="minorEastAsia" w:eastAsiaTheme="minorEastAsia"/>
          <w:szCs w:val="21"/>
          <w:highlight w:val="white"/>
        </w:rPr>
        <w:t>起</w:t>
      </w:r>
      <w:r>
        <w:rPr>
          <w:rFonts w:asciiTheme="minorEastAsia" w:hAnsiTheme="minorEastAsia" w:eastAsiaTheme="minorEastAsia"/>
          <w:szCs w:val="21"/>
          <w:highlight w:val="white"/>
        </w:rPr>
        <w:t>至202</w:t>
      </w:r>
      <w:r>
        <w:rPr>
          <w:rFonts w:hint="eastAsia" w:asciiTheme="minorEastAsia" w:hAnsiTheme="minorEastAsia" w:eastAsiaTheme="minorEastAsia"/>
          <w:szCs w:val="21"/>
          <w:highlight w:val="white"/>
        </w:rPr>
        <w:t>6</w:t>
      </w:r>
      <w:r>
        <w:rPr>
          <w:rFonts w:asciiTheme="minorEastAsia" w:hAnsiTheme="minorEastAsia" w:eastAsiaTheme="minorEastAsia"/>
          <w:szCs w:val="21"/>
          <w:highlight w:val="white"/>
        </w:rPr>
        <w:t>年</w:t>
      </w:r>
      <w:r>
        <w:rPr>
          <w:rFonts w:hint="eastAsia" w:asciiTheme="minorEastAsia" w:hAnsiTheme="minorEastAsia" w:eastAsiaTheme="minorEastAsia"/>
          <w:szCs w:val="21"/>
          <w:highlight w:val="white"/>
        </w:rPr>
        <w:t>5</w:t>
      </w:r>
      <w:r>
        <w:rPr>
          <w:rFonts w:asciiTheme="minorEastAsia" w:hAnsiTheme="minorEastAsia" w:eastAsiaTheme="minorEastAsia"/>
          <w:szCs w:val="21"/>
          <w:highlight w:val="white"/>
        </w:rPr>
        <w:t>月</w:t>
      </w:r>
      <w:r>
        <w:rPr>
          <w:rFonts w:hint="eastAsia" w:asciiTheme="minorEastAsia" w:hAnsiTheme="minorEastAsia" w:eastAsiaTheme="minorEastAsia"/>
          <w:szCs w:val="21"/>
          <w:highlight w:val="white"/>
        </w:rPr>
        <w:t>20</w:t>
      </w:r>
      <w:r>
        <w:rPr>
          <w:rFonts w:asciiTheme="minorEastAsia" w:hAnsiTheme="minorEastAsia" w:eastAsiaTheme="minorEastAsia"/>
          <w:szCs w:val="21"/>
          <w:highlight w:val="white"/>
        </w:rPr>
        <w:t>日</w:t>
      </w:r>
      <w:r>
        <w:rPr>
          <w:rFonts w:hint="eastAsia" w:asciiTheme="minorEastAsia" w:hAnsiTheme="minorEastAsia" w:eastAsiaTheme="minorEastAsia"/>
          <w:szCs w:val="21"/>
          <w:highlight w:val="white"/>
        </w:rPr>
        <w:t>截止，每天上午 09:00 至 12:00 ，下午 14:30 至 17:30（北京时间，法定节假日除外 ）。</w:t>
      </w:r>
    </w:p>
    <w:p w14:paraId="41D53216">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2、获取招标文件的地点：湖南国联招标有限公司招标一部（</w:t>
      </w:r>
      <w:r>
        <w:rPr>
          <w:rFonts w:asciiTheme="minorEastAsia" w:hAnsiTheme="minorEastAsia" w:eastAsiaTheme="minorEastAsia"/>
          <w:szCs w:val="21"/>
          <w:highlight w:val="white"/>
        </w:rPr>
        <w:t>湖南省长沙市</w:t>
      </w:r>
      <w:r>
        <w:rPr>
          <w:rFonts w:hint="eastAsia" w:asciiTheme="minorEastAsia" w:hAnsiTheme="minorEastAsia" w:eastAsiaTheme="minorEastAsia"/>
          <w:szCs w:val="21"/>
          <w:highlight w:val="white"/>
        </w:rPr>
        <w:t>开福区黄兴北路112号华润置地中心2号楼45楼）</w:t>
      </w:r>
    </w:p>
    <w:p w14:paraId="23AD9FD4">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w:t>
      </w:r>
      <w:r>
        <w:rPr>
          <w:rFonts w:asciiTheme="minorEastAsia" w:hAnsiTheme="minorEastAsia" w:eastAsiaTheme="minorEastAsia"/>
          <w:szCs w:val="21"/>
          <w:highlight w:val="white"/>
        </w:rPr>
        <w:t>方式：</w:t>
      </w:r>
      <w:r>
        <w:rPr>
          <w:rFonts w:hint="eastAsia" w:asciiTheme="minorEastAsia" w:hAnsiTheme="minorEastAsia" w:eastAsiaTheme="minorEastAsia"/>
          <w:szCs w:val="21"/>
          <w:highlight w:val="white"/>
        </w:rPr>
        <w:t>持法定代表人身份证明原件或授权委托书原件（并附法定代表人身份证明原件）、个人身份证及复印件、投标人营业执照副本复印件购买招标文件（通过邮件报名的，将上述材料扫描并注明“N0131项目报名资料”发送至邮箱</w:t>
      </w:r>
      <w:r>
        <w:rPr>
          <w:rFonts w:asciiTheme="minorEastAsia" w:hAnsiTheme="minorEastAsia" w:eastAsiaTheme="minorEastAsia"/>
          <w:szCs w:val="21"/>
          <w:highlight w:val="white"/>
        </w:rPr>
        <w:t>hnglsb@126.com</w:t>
      </w:r>
      <w:r>
        <w:rPr>
          <w:rFonts w:hint="eastAsia" w:asciiTheme="minorEastAsia" w:hAnsiTheme="minorEastAsia" w:eastAsiaTheme="minorEastAsia"/>
          <w:szCs w:val="21"/>
          <w:highlight w:val="white"/>
        </w:rPr>
        <w:t>，索取投标登记表进行投标报名登记和购买招标文件，联系电话：</w:t>
      </w:r>
      <w:r>
        <w:rPr>
          <w:rFonts w:asciiTheme="minorEastAsia" w:hAnsiTheme="minorEastAsia" w:eastAsiaTheme="minorEastAsia"/>
          <w:szCs w:val="21"/>
          <w:highlight w:val="white"/>
        </w:rPr>
        <w:t>0731-85177559</w:t>
      </w:r>
      <w:r>
        <w:rPr>
          <w:rFonts w:hint="eastAsia" w:asciiTheme="minorEastAsia" w:hAnsiTheme="minorEastAsia" w:eastAsiaTheme="minorEastAsia"/>
          <w:szCs w:val="21"/>
          <w:highlight w:val="white"/>
        </w:rPr>
        <w:t>）。</w:t>
      </w:r>
    </w:p>
    <w:p w14:paraId="7553CDC5">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招标代理机构银行财务信息：</w:t>
      </w:r>
    </w:p>
    <w:p w14:paraId="2DC7D170">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开户名称：湖南国联招标有限公司</w:t>
      </w:r>
    </w:p>
    <w:p w14:paraId="225810BA">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开户银行：招商银行长沙分行营业部</w:t>
      </w:r>
    </w:p>
    <w:p w14:paraId="5878861A">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帐号：</w:t>
      </w:r>
      <w:r>
        <w:rPr>
          <w:rFonts w:asciiTheme="minorEastAsia" w:hAnsiTheme="minorEastAsia" w:eastAsiaTheme="minorEastAsia"/>
          <w:szCs w:val="21"/>
          <w:highlight w:val="white"/>
        </w:rPr>
        <w:t>696581515310001</w:t>
      </w:r>
    </w:p>
    <w:p w14:paraId="28E463F2">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（备注栏填写：N0131—投标单位名称或简称）</w:t>
      </w:r>
    </w:p>
    <w:p w14:paraId="3672DB37">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4、招标文件售价（元）：</w:t>
      </w:r>
      <w:r>
        <w:rPr>
          <w:rFonts w:asciiTheme="minorEastAsia" w:hAnsiTheme="minorEastAsia" w:eastAsiaTheme="minorEastAsia"/>
          <w:szCs w:val="21"/>
          <w:highlight w:val="white"/>
        </w:rPr>
        <w:t>￥400.0元，本公告包含的招标文件售价总和</w:t>
      </w:r>
    </w:p>
    <w:p w14:paraId="397A869D">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六、投标截止时间、开标时间和开标地点</w:t>
      </w:r>
      <w:bookmarkEnd w:id="15"/>
    </w:p>
    <w:p w14:paraId="06C147A0">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1、提交投标文件截止时间：</w:t>
      </w:r>
      <w:r>
        <w:rPr>
          <w:rFonts w:asciiTheme="minorEastAsia" w:hAnsiTheme="minorEastAsia" w:eastAsiaTheme="minorEastAsia"/>
          <w:b/>
          <w:bCs/>
          <w:szCs w:val="21"/>
          <w:highlight w:val="white"/>
        </w:rPr>
        <w:t>202</w:t>
      </w:r>
      <w:r>
        <w:rPr>
          <w:rFonts w:hint="eastAsia" w:asciiTheme="minorEastAsia" w:hAnsiTheme="minorEastAsia" w:eastAsiaTheme="minorEastAsia"/>
          <w:b/>
          <w:bCs/>
          <w:szCs w:val="21"/>
          <w:highlight w:val="white"/>
        </w:rPr>
        <w:t>6</w:t>
      </w:r>
      <w:r>
        <w:rPr>
          <w:rFonts w:asciiTheme="minorEastAsia" w:hAnsiTheme="minorEastAsia" w:eastAsiaTheme="minorEastAsia"/>
          <w:b/>
          <w:bCs/>
          <w:szCs w:val="21"/>
          <w:highlight w:val="white"/>
        </w:rPr>
        <w:t>年</w:t>
      </w:r>
      <w:r>
        <w:rPr>
          <w:rFonts w:hint="eastAsia" w:asciiTheme="minorEastAsia" w:hAnsiTheme="minorEastAsia" w:eastAsiaTheme="minorEastAsia"/>
          <w:b/>
          <w:bCs/>
          <w:szCs w:val="21"/>
          <w:highlight w:val="white"/>
        </w:rPr>
        <w:t>6</w:t>
      </w:r>
      <w:r>
        <w:rPr>
          <w:rFonts w:asciiTheme="minorEastAsia" w:hAnsiTheme="minorEastAsia" w:eastAsiaTheme="minorEastAsia"/>
          <w:b/>
          <w:bCs/>
          <w:szCs w:val="21"/>
          <w:highlight w:val="white"/>
        </w:rPr>
        <w:t>月</w:t>
      </w:r>
      <w:r>
        <w:rPr>
          <w:rFonts w:hint="eastAsia" w:asciiTheme="minorEastAsia" w:hAnsiTheme="minorEastAsia" w:eastAsiaTheme="minorEastAsia"/>
          <w:b/>
          <w:bCs/>
          <w:szCs w:val="21"/>
          <w:highlight w:val="white"/>
        </w:rPr>
        <w:t>4</w:t>
      </w:r>
      <w:r>
        <w:rPr>
          <w:rFonts w:asciiTheme="minorEastAsia" w:hAnsiTheme="minorEastAsia" w:eastAsiaTheme="minorEastAsia"/>
          <w:b/>
          <w:bCs/>
          <w:szCs w:val="21"/>
          <w:highlight w:val="white"/>
        </w:rPr>
        <w:t>日</w:t>
      </w:r>
      <w:r>
        <w:rPr>
          <w:rFonts w:hint="eastAsia" w:asciiTheme="minorEastAsia" w:hAnsiTheme="minorEastAsia" w:eastAsiaTheme="minorEastAsia"/>
          <w:b/>
          <w:bCs/>
          <w:szCs w:val="21"/>
          <w:highlight w:val="white"/>
        </w:rPr>
        <w:t>9</w:t>
      </w:r>
      <w:r>
        <w:rPr>
          <w:rFonts w:asciiTheme="minorEastAsia" w:hAnsiTheme="minorEastAsia" w:eastAsiaTheme="minorEastAsia"/>
          <w:b/>
          <w:bCs/>
          <w:szCs w:val="21"/>
          <w:highlight w:val="white"/>
        </w:rPr>
        <w:t>点</w:t>
      </w:r>
      <w:r>
        <w:rPr>
          <w:rFonts w:hint="eastAsia" w:asciiTheme="minorEastAsia" w:hAnsiTheme="minorEastAsia" w:eastAsiaTheme="minorEastAsia"/>
          <w:b/>
          <w:bCs/>
          <w:szCs w:val="21"/>
          <w:highlight w:val="white"/>
        </w:rPr>
        <w:t>00</w:t>
      </w:r>
      <w:r>
        <w:rPr>
          <w:rFonts w:asciiTheme="minorEastAsia" w:hAnsiTheme="minorEastAsia" w:eastAsiaTheme="minorEastAsia"/>
          <w:b/>
          <w:bCs/>
          <w:szCs w:val="21"/>
          <w:highlight w:val="white"/>
        </w:rPr>
        <w:t>分</w:t>
      </w:r>
      <w:r>
        <w:rPr>
          <w:rFonts w:hint="eastAsia" w:asciiTheme="minorEastAsia" w:hAnsiTheme="minorEastAsia" w:eastAsiaTheme="minorEastAsia"/>
          <w:szCs w:val="21"/>
          <w:highlight w:val="white"/>
        </w:rPr>
        <w:t>（北京时间）</w:t>
      </w:r>
    </w:p>
    <w:p w14:paraId="12014B61">
      <w:pPr>
        <w:adjustRightInd w:val="0"/>
        <w:snapToGrid w:val="0"/>
        <w:spacing w:line="440" w:lineRule="exact"/>
        <w:ind w:firstLine="420" w:firstLineChars="200"/>
        <w:rPr>
          <w:rFonts w:asciiTheme="minorEastAsia" w:hAnsiTheme="minorEastAsia" w:eastAsiaTheme="minorEastAsia"/>
          <w:color w:val="FF0000"/>
          <w:szCs w:val="21"/>
          <w:highlight w:val="white"/>
        </w:rPr>
      </w:pPr>
      <w:r>
        <w:rPr>
          <w:rFonts w:hint="eastAsia" w:asciiTheme="minorEastAsia" w:hAnsiTheme="minorEastAsia" w:eastAsiaTheme="minorEastAsia"/>
          <w:szCs w:val="21"/>
          <w:highlight w:val="white"/>
        </w:rPr>
        <w:t>2、开标时间：</w:t>
      </w:r>
      <w:r>
        <w:rPr>
          <w:rFonts w:asciiTheme="minorEastAsia" w:hAnsiTheme="minorEastAsia" w:eastAsiaTheme="minorEastAsia"/>
          <w:b/>
          <w:bCs/>
          <w:szCs w:val="21"/>
          <w:highlight w:val="white"/>
        </w:rPr>
        <w:t>202</w:t>
      </w:r>
      <w:r>
        <w:rPr>
          <w:rFonts w:hint="eastAsia" w:asciiTheme="minorEastAsia" w:hAnsiTheme="minorEastAsia" w:eastAsiaTheme="minorEastAsia"/>
          <w:b/>
          <w:bCs/>
          <w:szCs w:val="21"/>
          <w:highlight w:val="white"/>
        </w:rPr>
        <w:t>6</w:t>
      </w:r>
      <w:r>
        <w:rPr>
          <w:rFonts w:asciiTheme="minorEastAsia" w:hAnsiTheme="minorEastAsia" w:eastAsiaTheme="minorEastAsia"/>
          <w:b/>
          <w:bCs/>
          <w:szCs w:val="21"/>
          <w:highlight w:val="white"/>
        </w:rPr>
        <w:t>年</w:t>
      </w:r>
      <w:r>
        <w:rPr>
          <w:rFonts w:hint="eastAsia" w:asciiTheme="minorEastAsia" w:hAnsiTheme="minorEastAsia" w:eastAsiaTheme="minorEastAsia"/>
          <w:b/>
          <w:bCs/>
          <w:szCs w:val="21"/>
          <w:highlight w:val="white"/>
        </w:rPr>
        <w:t>6</w:t>
      </w:r>
      <w:r>
        <w:rPr>
          <w:rFonts w:asciiTheme="minorEastAsia" w:hAnsiTheme="minorEastAsia" w:eastAsiaTheme="minorEastAsia"/>
          <w:b/>
          <w:bCs/>
          <w:szCs w:val="21"/>
          <w:highlight w:val="white"/>
        </w:rPr>
        <w:t>月</w:t>
      </w:r>
      <w:r>
        <w:rPr>
          <w:rFonts w:hint="eastAsia" w:asciiTheme="minorEastAsia" w:hAnsiTheme="minorEastAsia" w:eastAsiaTheme="minorEastAsia"/>
          <w:b/>
          <w:bCs/>
          <w:szCs w:val="21"/>
          <w:highlight w:val="white"/>
        </w:rPr>
        <w:t>4</w:t>
      </w:r>
      <w:r>
        <w:rPr>
          <w:rFonts w:asciiTheme="minorEastAsia" w:hAnsiTheme="minorEastAsia" w:eastAsiaTheme="minorEastAsia"/>
          <w:b/>
          <w:bCs/>
          <w:szCs w:val="21"/>
          <w:highlight w:val="white"/>
        </w:rPr>
        <w:t>日</w:t>
      </w:r>
      <w:r>
        <w:rPr>
          <w:rFonts w:hint="eastAsia" w:asciiTheme="minorEastAsia" w:hAnsiTheme="minorEastAsia" w:eastAsiaTheme="minorEastAsia"/>
          <w:b/>
          <w:bCs/>
          <w:szCs w:val="21"/>
          <w:highlight w:val="white"/>
        </w:rPr>
        <w:t>9</w:t>
      </w:r>
      <w:r>
        <w:rPr>
          <w:rFonts w:asciiTheme="minorEastAsia" w:hAnsiTheme="minorEastAsia" w:eastAsiaTheme="minorEastAsia"/>
          <w:b/>
          <w:bCs/>
          <w:szCs w:val="21"/>
          <w:highlight w:val="white"/>
        </w:rPr>
        <w:t>点</w:t>
      </w:r>
      <w:r>
        <w:rPr>
          <w:rFonts w:hint="eastAsia" w:asciiTheme="minorEastAsia" w:hAnsiTheme="minorEastAsia" w:eastAsiaTheme="minorEastAsia"/>
          <w:b/>
          <w:bCs/>
          <w:szCs w:val="21"/>
          <w:highlight w:val="white"/>
        </w:rPr>
        <w:t>00</w:t>
      </w:r>
      <w:r>
        <w:rPr>
          <w:rFonts w:asciiTheme="minorEastAsia" w:hAnsiTheme="minorEastAsia" w:eastAsiaTheme="minorEastAsia"/>
          <w:b/>
          <w:bCs/>
          <w:szCs w:val="21"/>
          <w:highlight w:val="white"/>
        </w:rPr>
        <w:t>分</w:t>
      </w:r>
      <w:r>
        <w:rPr>
          <w:rFonts w:hint="eastAsia" w:asciiTheme="minorEastAsia" w:hAnsiTheme="minorEastAsia" w:eastAsiaTheme="minorEastAsia"/>
          <w:szCs w:val="21"/>
          <w:highlight w:val="white"/>
        </w:rPr>
        <w:t>（北京时间）</w:t>
      </w:r>
    </w:p>
    <w:p w14:paraId="741D008B">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3、开标地点：</w:t>
      </w:r>
      <w:r>
        <w:rPr>
          <w:rFonts w:asciiTheme="minorEastAsia" w:hAnsiTheme="minorEastAsia" w:eastAsiaTheme="minorEastAsia"/>
          <w:szCs w:val="21"/>
          <w:highlight w:val="white"/>
        </w:rPr>
        <w:t>湖南省长沙市</w:t>
      </w:r>
      <w:r>
        <w:rPr>
          <w:rFonts w:hint="eastAsia" w:asciiTheme="minorEastAsia" w:hAnsiTheme="minorEastAsia" w:eastAsiaTheme="minorEastAsia"/>
          <w:szCs w:val="21"/>
          <w:highlight w:val="white"/>
        </w:rPr>
        <w:t>开福区黄兴北路112号华润置地中心2号楼45楼湖南国联招标有限公司会议室。</w:t>
      </w:r>
    </w:p>
    <w:p w14:paraId="0C305500">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七、公告期限</w:t>
      </w:r>
    </w:p>
    <w:p w14:paraId="55663100">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自本公告发布之日起 5个工作日。</w:t>
      </w:r>
    </w:p>
    <w:p w14:paraId="527CCD96">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八、疑问及质疑：</w:t>
      </w:r>
    </w:p>
    <w:p w14:paraId="7629F52E">
      <w:pPr>
        <w:adjustRightInd w:val="0"/>
        <w:snapToGrid w:val="0"/>
        <w:spacing w:line="440" w:lineRule="exact"/>
        <w:ind w:firstLine="420" w:firstLineChars="200"/>
        <w:rPr>
          <w:rFonts w:asciiTheme="minorEastAsia" w:hAnsiTheme="minorEastAsia" w:eastAsiaTheme="minorEastAsia"/>
          <w:szCs w:val="21"/>
          <w:highlight w:val="white"/>
        </w:rPr>
      </w:pPr>
      <w:bookmarkStart w:id="16" w:name="OLE_LINK169"/>
      <w:bookmarkStart w:id="17" w:name="OLE_LINK170"/>
      <w:r>
        <w:rPr>
          <w:rFonts w:hint="eastAsia" w:asciiTheme="minorEastAsia" w:hAnsiTheme="minorEastAsia" w:eastAsiaTheme="minorEastAsia"/>
          <w:szCs w:val="21"/>
          <w:highlight w:val="white"/>
        </w:rPr>
        <w:t>1、投标人对政府采购活动事项如有疑问的，可以向采购人、采购代理机构提出询问。采购人、采购代理机构将在3个工作日内作出答复。</w:t>
      </w:r>
    </w:p>
    <w:p w14:paraId="1CFB2555">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潜在投标人认为招标文件或招标公告使自己的合法权益受到损害的，可以在获取招标文件之日或招标公告期限届满之日起7个工作日内，按《湖南省财政厅关于印发＜政府采购质疑答复和投诉处理操作规程＞的通知》(湘财购〔2024〕67号)规定，以书面形式向采购人、采购代理机构提出质疑。</w:t>
      </w:r>
    </w:p>
    <w:p w14:paraId="258D85A8">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3、投标人在法定质疑期内针对同一采购程序环节的质疑事项须一次性提出。</w:t>
      </w:r>
    </w:p>
    <w:bookmarkEnd w:id="16"/>
    <w:bookmarkEnd w:id="17"/>
    <w:p w14:paraId="61B0A455">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九、采购人、采购代理机构的名称、地址和联系方法</w:t>
      </w:r>
    </w:p>
    <w:p w14:paraId="29CCC4B2">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1、采购人信息</w:t>
      </w:r>
    </w:p>
    <w:p w14:paraId="52EE3364">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名称：中南大学湘雅三医院</w:t>
      </w:r>
    </w:p>
    <w:p w14:paraId="2ACE2980">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地址：湖南省长沙市岳麓区桐梓坡路138号</w:t>
      </w:r>
    </w:p>
    <w:p w14:paraId="582BEDE8">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联系人：</w:t>
      </w:r>
      <w:bookmarkStart w:id="18" w:name="OLE_LINK162"/>
      <w:bookmarkStart w:id="19" w:name="OLE_LINK163"/>
      <w:r>
        <w:rPr>
          <w:rFonts w:hint="eastAsia" w:asciiTheme="minorEastAsia" w:hAnsiTheme="minorEastAsia" w:eastAsiaTheme="minorEastAsia"/>
          <w:szCs w:val="21"/>
          <w:highlight w:val="white"/>
        </w:rPr>
        <w:t>徐</w:t>
      </w:r>
      <w:r>
        <w:rPr>
          <w:rFonts w:asciiTheme="minorEastAsia" w:hAnsiTheme="minorEastAsia" w:eastAsiaTheme="minorEastAsia"/>
          <w:szCs w:val="21"/>
          <w:highlight w:val="white"/>
        </w:rPr>
        <w:t>老师</w:t>
      </w:r>
      <w:bookmarkEnd w:id="18"/>
      <w:bookmarkEnd w:id="19"/>
      <w:r>
        <w:rPr>
          <w:rFonts w:hint="eastAsia" w:asciiTheme="minorEastAsia" w:hAnsiTheme="minorEastAsia" w:eastAsiaTheme="minorEastAsia"/>
          <w:szCs w:val="21"/>
          <w:highlight w:val="white"/>
        </w:rPr>
        <w:t>；电话：</w:t>
      </w:r>
      <w:r>
        <w:rPr>
          <w:rFonts w:asciiTheme="minorEastAsia" w:hAnsiTheme="minorEastAsia" w:eastAsiaTheme="minorEastAsia"/>
          <w:szCs w:val="21"/>
          <w:highlight w:val="white"/>
        </w:rPr>
        <w:t>0731-8861897</w:t>
      </w:r>
      <w:r>
        <w:rPr>
          <w:rFonts w:hint="eastAsia" w:asciiTheme="minorEastAsia" w:hAnsiTheme="minorEastAsia" w:eastAsiaTheme="minorEastAsia"/>
          <w:szCs w:val="21"/>
          <w:highlight w:val="white"/>
        </w:rPr>
        <w:t>1</w:t>
      </w:r>
    </w:p>
    <w:p w14:paraId="74641E57">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2、采购代理机构信息</w:t>
      </w:r>
    </w:p>
    <w:p w14:paraId="430F4EA2">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名称：湖南国联招标有限公司</w:t>
      </w:r>
    </w:p>
    <w:p w14:paraId="20460BE1">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地址：</w:t>
      </w:r>
      <w:r>
        <w:rPr>
          <w:rFonts w:asciiTheme="minorEastAsia" w:hAnsiTheme="minorEastAsia" w:eastAsiaTheme="minorEastAsia"/>
          <w:szCs w:val="21"/>
          <w:highlight w:val="white"/>
        </w:rPr>
        <w:t>湖南省长沙市</w:t>
      </w:r>
      <w:r>
        <w:rPr>
          <w:rFonts w:hint="eastAsia" w:asciiTheme="minorEastAsia" w:hAnsiTheme="minorEastAsia" w:eastAsiaTheme="minorEastAsia"/>
          <w:szCs w:val="21"/>
          <w:highlight w:val="white"/>
        </w:rPr>
        <w:t>开福区黄兴北路112号华润置地中心2号楼45楼</w:t>
      </w:r>
    </w:p>
    <w:p w14:paraId="57F57252">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联系人：</w:t>
      </w:r>
      <w:bookmarkStart w:id="20" w:name="OLE_LINK34"/>
      <w:bookmarkStart w:id="21" w:name="OLE_LINK35"/>
      <w:r>
        <w:rPr>
          <w:rFonts w:hint="eastAsia" w:asciiTheme="minorEastAsia" w:hAnsiTheme="minorEastAsia" w:eastAsiaTheme="minorEastAsia"/>
          <w:szCs w:val="21"/>
          <w:highlight w:val="white"/>
        </w:rPr>
        <w:t>王亚丽、薛浩</w:t>
      </w:r>
      <w:r>
        <w:rPr>
          <w:rFonts w:asciiTheme="minorEastAsia" w:hAnsiTheme="minorEastAsia" w:eastAsiaTheme="minorEastAsia"/>
          <w:szCs w:val="21"/>
          <w:highlight w:val="white"/>
        </w:rPr>
        <w:t>、陈家乐、季飞腾</w:t>
      </w:r>
      <w:bookmarkEnd w:id="20"/>
      <w:bookmarkEnd w:id="21"/>
      <w:r>
        <w:rPr>
          <w:rFonts w:hint="eastAsia" w:asciiTheme="minorEastAsia" w:hAnsiTheme="minorEastAsia" w:eastAsiaTheme="minorEastAsia"/>
          <w:szCs w:val="21"/>
          <w:highlight w:val="white"/>
        </w:rPr>
        <w:t>；电话：0731-85177559</w:t>
      </w:r>
    </w:p>
    <w:p w14:paraId="1974FDD2">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电子邮箱：hnglsb@126.com</w:t>
      </w:r>
    </w:p>
    <w:p w14:paraId="1901026B">
      <w:pPr>
        <w:adjustRightInd w:val="0"/>
        <w:snapToGrid w:val="0"/>
        <w:spacing w:line="440" w:lineRule="exact"/>
        <w:ind w:firstLine="422" w:firstLineChars="200"/>
        <w:rPr>
          <w:rFonts w:ascii="宋体" w:hAnsi="宋体"/>
          <w:b/>
          <w:szCs w:val="21"/>
          <w:highlight w:val="white"/>
        </w:rPr>
      </w:pPr>
      <w:r>
        <w:rPr>
          <w:rFonts w:hint="eastAsia" w:ascii="宋体" w:hAnsi="宋体"/>
          <w:b/>
          <w:szCs w:val="21"/>
          <w:highlight w:val="white"/>
        </w:rPr>
        <w:t>十、其他补充事宜</w:t>
      </w:r>
    </w:p>
    <w:p w14:paraId="734FDA8C">
      <w:pPr>
        <w:wordWrap w:val="0"/>
        <w:adjustRightInd w:val="0"/>
        <w:snapToGrid w:val="0"/>
        <w:spacing w:line="440" w:lineRule="exact"/>
        <w:ind w:firstLine="420" w:firstLineChars="200"/>
        <w:rPr>
          <w:rFonts w:asciiTheme="minorEastAsia" w:hAnsiTheme="minorEastAsia" w:eastAsiaTheme="minorEastAsia"/>
          <w:szCs w:val="21"/>
          <w:highlight w:val="white"/>
        </w:rPr>
      </w:pPr>
      <w:bookmarkStart w:id="22" w:name="OLE_LINK2"/>
      <w:bookmarkStart w:id="23" w:name="OLE_LINK3"/>
      <w:r>
        <w:rPr>
          <w:rFonts w:hint="eastAsia" w:asciiTheme="minorEastAsia" w:hAnsiTheme="minorEastAsia" w:eastAsiaTheme="minorEastAsia"/>
          <w:szCs w:val="21"/>
          <w:highlight w:val="white"/>
        </w:rPr>
        <w:t>1、本招标公告在中国政府采购网（</w:t>
      </w:r>
      <w:r>
        <w:rPr>
          <w:rFonts w:asciiTheme="minorEastAsia" w:hAnsiTheme="minorEastAsia" w:eastAsiaTheme="minorEastAsia"/>
          <w:szCs w:val="21"/>
        </w:rPr>
        <w:t>http://www.ccgp.gov.cn/</w:t>
      </w:r>
      <w:r>
        <w:rPr>
          <w:rFonts w:hint="eastAsia" w:asciiTheme="minorEastAsia" w:hAnsiTheme="minorEastAsia" w:eastAsiaTheme="minorEastAsia"/>
          <w:szCs w:val="21"/>
          <w:highlight w:val="white"/>
        </w:rPr>
        <w:t>）、中南大学湘雅三医院官网、湖南国联招标有限公司网站发布。</w:t>
      </w:r>
    </w:p>
    <w:p w14:paraId="2AEC7864">
      <w:pPr>
        <w:wordWrap w:val="0"/>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2、在其他媒体发布的同一招标公告如有不一致的，以在中国政府采购网（</w:t>
      </w:r>
      <w:r>
        <w:rPr>
          <w:rFonts w:asciiTheme="minorEastAsia" w:hAnsiTheme="minorEastAsia" w:eastAsiaTheme="minorEastAsia"/>
          <w:szCs w:val="21"/>
        </w:rPr>
        <w:t>http://www.ccgp.gov.cn/</w:t>
      </w:r>
      <w:r>
        <w:rPr>
          <w:rFonts w:hint="eastAsia" w:asciiTheme="minorEastAsia" w:hAnsiTheme="minorEastAsia" w:eastAsiaTheme="minorEastAsia"/>
          <w:szCs w:val="21"/>
          <w:highlight w:val="white"/>
        </w:rPr>
        <w:t>）发布的为准；公告期限自中国政府采购网（</w:t>
      </w:r>
      <w:r>
        <w:rPr>
          <w:rFonts w:asciiTheme="minorEastAsia" w:hAnsiTheme="minorEastAsia" w:eastAsiaTheme="minorEastAsia"/>
          <w:szCs w:val="21"/>
        </w:rPr>
        <w:t>http://www.ccgp.gov.cn/</w:t>
      </w:r>
      <w:r>
        <w:rPr>
          <w:rFonts w:hint="eastAsia" w:asciiTheme="minorEastAsia" w:hAnsiTheme="minorEastAsia" w:eastAsiaTheme="minorEastAsia"/>
          <w:szCs w:val="21"/>
          <w:highlight w:val="white"/>
        </w:rPr>
        <w:t>）发布公告之日起算。</w:t>
      </w:r>
      <w:bookmarkEnd w:id="22"/>
    </w:p>
    <w:p w14:paraId="29DF321E">
      <w:pPr>
        <w:wordWrap w:val="0"/>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3、本公告在中国政府采购网的链接为：</w:t>
      </w:r>
      <w:bookmarkEnd w:id="23"/>
      <w:bookmarkStart w:id="24" w:name="OLE_LINK154"/>
      <w:bookmarkEnd w:id="24"/>
      <w:bookmarkStart w:id="25" w:name="OLE_LINK155"/>
      <w:bookmarkEnd w:id="25"/>
    </w:p>
    <w:p w14:paraId="6B1A0D9B">
      <w:pPr>
        <w:wordWrap w:val="0"/>
        <w:adjustRightInd w:val="0"/>
        <w:snapToGrid w:val="0"/>
        <w:spacing w:line="440" w:lineRule="exact"/>
        <w:ind w:firstLine="420" w:firstLineChars="200"/>
        <w:rPr>
          <w:rFonts w:asciiTheme="minorEastAsia" w:hAnsiTheme="minorEastAsia" w:eastAsiaTheme="minorEastAsia"/>
          <w:szCs w:val="21"/>
          <w:highlight w:val="white"/>
        </w:rPr>
      </w:pPr>
    </w:p>
    <w:p w14:paraId="70167701">
      <w:pPr>
        <w:wordWrap w:val="0"/>
        <w:adjustRightInd w:val="0"/>
        <w:snapToGrid w:val="0"/>
        <w:spacing w:line="440" w:lineRule="exact"/>
        <w:ind w:firstLine="420" w:firstLineChars="200"/>
        <w:rPr>
          <w:rFonts w:asciiTheme="minorEastAsia" w:hAnsiTheme="minorEastAsia" w:eastAsiaTheme="minorEastAsia"/>
          <w:szCs w:val="21"/>
          <w:highlight w:val="white"/>
        </w:rPr>
      </w:pPr>
    </w:p>
    <w:p w14:paraId="29FA0312">
      <w:pPr>
        <w:wordWrap w:val="0"/>
        <w:adjustRightInd w:val="0"/>
        <w:snapToGrid w:val="0"/>
        <w:spacing w:line="440" w:lineRule="exact"/>
        <w:ind w:firstLine="420" w:firstLineChars="200"/>
        <w:rPr>
          <w:highlight w:val="white"/>
        </w:rPr>
      </w:pPr>
    </w:p>
    <w:p w14:paraId="3856F177">
      <w:pPr>
        <w:wordWrap w:val="0"/>
        <w:adjustRightInd w:val="0"/>
        <w:snapToGrid w:val="0"/>
        <w:spacing w:line="440" w:lineRule="exact"/>
        <w:ind w:firstLine="420" w:firstLineChars="200"/>
        <w:rPr>
          <w:rFonts w:asciiTheme="minorEastAsia" w:hAnsiTheme="minorEastAsia" w:eastAsiaTheme="minorEastAsia"/>
          <w:szCs w:val="21"/>
          <w:highlight w:val="white"/>
        </w:rPr>
        <w:sectPr>
          <w:footerReference r:id="rId5" w:type="default"/>
          <w:pgSz w:w="11906" w:h="16838"/>
          <w:pgMar w:top="1418" w:right="1418" w:bottom="1418" w:left="1418" w:header="851" w:footer="992" w:gutter="0"/>
          <w:pgNumType w:fmt="numberInDash" w:start="1"/>
          <w:cols w:space="720" w:num="1"/>
          <w:docGrid w:type="lines" w:linePitch="312" w:charSpace="0"/>
        </w:sectPr>
      </w:pPr>
    </w:p>
    <w:p w14:paraId="0C60BE57">
      <w:pPr>
        <w:pStyle w:val="3"/>
      </w:pPr>
      <w:bookmarkStart w:id="26" w:name="_Toc31838"/>
      <w:r>
        <w:rPr>
          <w:rFonts w:hint="eastAsia"/>
        </w:rPr>
        <w:t>第二章 投标须知</w:t>
      </w:r>
      <w:bookmarkEnd w:id="0"/>
      <w:bookmarkEnd w:id="1"/>
      <w:bookmarkEnd w:id="2"/>
      <w:bookmarkEnd w:id="3"/>
      <w:bookmarkEnd w:id="4"/>
      <w:bookmarkEnd w:id="5"/>
      <w:bookmarkEnd w:id="6"/>
      <w:bookmarkEnd w:id="7"/>
      <w:bookmarkEnd w:id="26"/>
    </w:p>
    <w:p w14:paraId="1533B0EC">
      <w:pPr>
        <w:pStyle w:val="3"/>
        <w:rPr>
          <w:rFonts w:hAnsi="黑体"/>
        </w:rPr>
      </w:pPr>
      <w:bookmarkStart w:id="27" w:name="_Toc10068"/>
      <w:r>
        <w:rPr>
          <w:rFonts w:hint="eastAsia"/>
        </w:rPr>
        <w:t>第一节  投标须知前附表</w:t>
      </w:r>
      <w:bookmarkEnd w:id="27"/>
    </w:p>
    <w:tbl>
      <w:tblPr>
        <w:tblStyle w:val="41"/>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42"/>
        <w:gridCol w:w="2552"/>
        <w:gridCol w:w="5492"/>
      </w:tblGrid>
      <w:tr w14:paraId="778DAB7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blHeader/>
        </w:trPr>
        <w:tc>
          <w:tcPr>
            <w:tcW w:w="1242" w:type="dxa"/>
            <w:vAlign w:val="center"/>
          </w:tcPr>
          <w:p w14:paraId="29509CF9">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条款号</w:t>
            </w:r>
          </w:p>
        </w:tc>
        <w:tc>
          <w:tcPr>
            <w:tcW w:w="2552" w:type="dxa"/>
            <w:vAlign w:val="center"/>
          </w:tcPr>
          <w:p w14:paraId="6C848DB1">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条款名称</w:t>
            </w:r>
          </w:p>
        </w:tc>
        <w:tc>
          <w:tcPr>
            <w:tcW w:w="5492" w:type="dxa"/>
            <w:vAlign w:val="center"/>
          </w:tcPr>
          <w:p w14:paraId="2533A674">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编列内容规定</w:t>
            </w:r>
          </w:p>
        </w:tc>
      </w:tr>
      <w:tr w14:paraId="36413AA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2094A283">
            <w:pPr>
              <w:adjustRightInd w:val="0"/>
              <w:snapToGrid w:val="0"/>
              <w:spacing w:line="440" w:lineRule="exact"/>
              <w:ind w:left="142"/>
              <w:rPr>
                <w:rFonts w:ascii="黑体" w:hAnsi="黑体" w:eastAsia="黑体"/>
                <w:b/>
              </w:rPr>
            </w:pPr>
            <w:r>
              <w:rPr>
                <w:rFonts w:hint="eastAsia" w:ascii="黑体" w:hAnsi="黑体" w:eastAsia="黑体"/>
                <w:b/>
              </w:rPr>
              <w:t>一、说明</w:t>
            </w:r>
          </w:p>
        </w:tc>
      </w:tr>
      <w:tr w14:paraId="32CE03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396F3CF6">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第1.1款</w:t>
            </w:r>
          </w:p>
        </w:tc>
        <w:tc>
          <w:tcPr>
            <w:tcW w:w="2552" w:type="dxa"/>
            <w:vAlign w:val="center"/>
          </w:tcPr>
          <w:p w14:paraId="1452E447">
            <w:pPr>
              <w:widowControl/>
              <w:spacing w:line="440" w:lineRule="exact"/>
              <w:ind w:right="-2"/>
              <w:jc w:val="left"/>
              <w:rPr>
                <w:rFonts w:ascii="宋体" w:hAnsi="宋体"/>
                <w:szCs w:val="21"/>
                <w:highlight w:val="white"/>
              </w:rPr>
            </w:pPr>
            <w:r>
              <w:rPr>
                <w:rFonts w:hint="eastAsia" w:ascii="宋体" w:hAnsi="宋体"/>
                <w:szCs w:val="21"/>
                <w:highlight w:val="white"/>
              </w:rPr>
              <w:t>采购项目</w:t>
            </w:r>
          </w:p>
        </w:tc>
        <w:tc>
          <w:tcPr>
            <w:tcW w:w="5492" w:type="dxa"/>
            <w:vAlign w:val="center"/>
          </w:tcPr>
          <w:p w14:paraId="6ABF30A2">
            <w:pPr>
              <w:widowControl/>
              <w:spacing w:line="440" w:lineRule="exact"/>
              <w:ind w:right="-2"/>
              <w:jc w:val="left"/>
              <w:rPr>
                <w:rFonts w:ascii="宋体" w:hAnsi="宋体"/>
                <w:b/>
                <w:szCs w:val="21"/>
                <w:highlight w:val="white"/>
              </w:rPr>
            </w:pPr>
            <w:r>
              <w:rPr>
                <w:rFonts w:hint="eastAsia" w:ascii="宋体" w:hAnsi="宋体"/>
                <w:szCs w:val="21"/>
                <w:highlight w:val="white"/>
              </w:rPr>
              <w:t>飞利浦FD-10整机维保服务项目</w:t>
            </w:r>
          </w:p>
        </w:tc>
      </w:tr>
      <w:tr w14:paraId="5948DE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39675318">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第1.2款</w:t>
            </w:r>
          </w:p>
        </w:tc>
        <w:tc>
          <w:tcPr>
            <w:tcW w:w="2552" w:type="dxa"/>
            <w:vAlign w:val="center"/>
          </w:tcPr>
          <w:p w14:paraId="63A5BCEB">
            <w:pPr>
              <w:widowControl/>
              <w:spacing w:line="440" w:lineRule="exact"/>
              <w:ind w:right="-2"/>
              <w:jc w:val="left"/>
              <w:rPr>
                <w:rFonts w:ascii="宋体" w:hAnsi="宋体"/>
                <w:szCs w:val="21"/>
                <w:highlight w:val="white"/>
              </w:rPr>
            </w:pPr>
            <w:r>
              <w:rPr>
                <w:rFonts w:hint="eastAsia" w:ascii="宋体" w:hAnsi="宋体"/>
                <w:szCs w:val="21"/>
                <w:highlight w:val="white"/>
              </w:rPr>
              <w:t>是否预留采购份额</w:t>
            </w:r>
          </w:p>
        </w:tc>
        <w:tc>
          <w:tcPr>
            <w:tcW w:w="5492" w:type="dxa"/>
            <w:vAlign w:val="center"/>
          </w:tcPr>
          <w:p w14:paraId="1EDD0D2B">
            <w:pPr>
              <w:widowControl/>
              <w:spacing w:line="440" w:lineRule="exact"/>
              <w:ind w:right="-2"/>
              <w:jc w:val="left"/>
              <w:rPr>
                <w:rFonts w:ascii="宋体" w:hAnsi="宋体"/>
                <w:szCs w:val="21"/>
                <w:highlight w:val="white"/>
              </w:rPr>
            </w:pPr>
            <w:r>
              <w:rPr>
                <w:rFonts w:hint="eastAsia" w:ascii="宋体" w:hAnsi="宋体"/>
                <w:szCs w:val="21"/>
                <w:highlight w:val="white"/>
              </w:rPr>
              <w:t>否</w:t>
            </w:r>
          </w:p>
        </w:tc>
      </w:tr>
      <w:tr w14:paraId="07F90E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64C12E71">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第2.1款</w:t>
            </w:r>
          </w:p>
        </w:tc>
        <w:tc>
          <w:tcPr>
            <w:tcW w:w="2552" w:type="dxa"/>
          </w:tcPr>
          <w:p w14:paraId="6ABC5DC5">
            <w:pPr>
              <w:widowControl/>
              <w:spacing w:line="440" w:lineRule="exact"/>
              <w:ind w:left="-109" w:leftChars="-52" w:right="-108"/>
              <w:jc w:val="left"/>
              <w:rPr>
                <w:rFonts w:ascii="宋体" w:hAnsi="宋体"/>
                <w:szCs w:val="21"/>
                <w:highlight w:val="white"/>
              </w:rPr>
            </w:pPr>
            <w:r>
              <w:rPr>
                <w:rFonts w:hint="eastAsia" w:ascii="宋体" w:hAnsi="宋体"/>
                <w:szCs w:val="21"/>
                <w:highlight w:val="white"/>
              </w:rPr>
              <w:t>采购项目联系人姓名和电话</w:t>
            </w:r>
          </w:p>
        </w:tc>
        <w:tc>
          <w:tcPr>
            <w:tcW w:w="5492" w:type="dxa"/>
            <w:vAlign w:val="center"/>
          </w:tcPr>
          <w:p w14:paraId="32CED383">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7C0109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1545ABC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第2.2款</w:t>
            </w:r>
          </w:p>
        </w:tc>
        <w:tc>
          <w:tcPr>
            <w:tcW w:w="2552" w:type="dxa"/>
            <w:vAlign w:val="center"/>
          </w:tcPr>
          <w:p w14:paraId="64121261">
            <w:pPr>
              <w:widowControl/>
              <w:spacing w:line="440" w:lineRule="exact"/>
              <w:ind w:right="-2"/>
              <w:jc w:val="left"/>
              <w:rPr>
                <w:rFonts w:ascii="宋体" w:hAnsi="宋体"/>
                <w:szCs w:val="21"/>
                <w:highlight w:val="white"/>
              </w:rPr>
            </w:pPr>
            <w:r>
              <w:rPr>
                <w:rFonts w:hint="eastAsia" w:ascii="宋体" w:hAnsi="宋体"/>
                <w:szCs w:val="21"/>
                <w:highlight w:val="white"/>
              </w:rPr>
              <w:t>采购人名称、地址、电话、联系人</w:t>
            </w:r>
          </w:p>
        </w:tc>
        <w:tc>
          <w:tcPr>
            <w:tcW w:w="5492" w:type="dxa"/>
            <w:vAlign w:val="center"/>
          </w:tcPr>
          <w:p w14:paraId="10AFEDD8">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642EAF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76CFE53A">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第2.3款</w:t>
            </w:r>
          </w:p>
        </w:tc>
        <w:tc>
          <w:tcPr>
            <w:tcW w:w="2552" w:type="dxa"/>
            <w:vAlign w:val="center"/>
          </w:tcPr>
          <w:p w14:paraId="6F7104CC">
            <w:pPr>
              <w:widowControl/>
              <w:spacing w:line="440" w:lineRule="exact"/>
              <w:ind w:right="-2"/>
              <w:jc w:val="left"/>
              <w:rPr>
                <w:rFonts w:ascii="宋体" w:hAnsi="宋体"/>
                <w:szCs w:val="21"/>
                <w:highlight w:val="white"/>
              </w:rPr>
            </w:pPr>
            <w:r>
              <w:rPr>
                <w:rFonts w:hint="eastAsia" w:ascii="宋体" w:hAnsi="宋体"/>
                <w:szCs w:val="21"/>
                <w:highlight w:val="white"/>
              </w:rPr>
              <w:t>采购代理机构名称、地址、电话、联系人</w:t>
            </w:r>
          </w:p>
        </w:tc>
        <w:tc>
          <w:tcPr>
            <w:tcW w:w="5492" w:type="dxa"/>
            <w:vAlign w:val="center"/>
          </w:tcPr>
          <w:p w14:paraId="165D7BED">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4A5E06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2491F70E">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第3.1款</w:t>
            </w:r>
          </w:p>
        </w:tc>
        <w:tc>
          <w:tcPr>
            <w:tcW w:w="2552" w:type="dxa"/>
            <w:vAlign w:val="center"/>
          </w:tcPr>
          <w:p w14:paraId="71AB1BD9">
            <w:pPr>
              <w:widowControl/>
              <w:spacing w:line="440" w:lineRule="exact"/>
              <w:ind w:right="-2"/>
              <w:jc w:val="left"/>
              <w:rPr>
                <w:rFonts w:ascii="宋体" w:hAnsi="宋体"/>
                <w:szCs w:val="21"/>
                <w:highlight w:val="white"/>
              </w:rPr>
            </w:pPr>
            <w:r>
              <w:rPr>
                <w:rFonts w:hint="eastAsia" w:ascii="宋体" w:hAnsi="宋体"/>
                <w:szCs w:val="21"/>
                <w:highlight w:val="white"/>
              </w:rPr>
              <w:t>投标人资格条件</w:t>
            </w:r>
          </w:p>
        </w:tc>
        <w:tc>
          <w:tcPr>
            <w:tcW w:w="5492" w:type="dxa"/>
            <w:vAlign w:val="center"/>
          </w:tcPr>
          <w:p w14:paraId="65B9371C">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607D13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62714866">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第3.2款</w:t>
            </w:r>
          </w:p>
        </w:tc>
        <w:tc>
          <w:tcPr>
            <w:tcW w:w="2552" w:type="dxa"/>
            <w:vAlign w:val="center"/>
          </w:tcPr>
          <w:p w14:paraId="577FF9F4">
            <w:pPr>
              <w:widowControl/>
              <w:spacing w:line="440" w:lineRule="exact"/>
              <w:ind w:right="-2"/>
              <w:jc w:val="left"/>
              <w:rPr>
                <w:rFonts w:ascii="宋体" w:hAnsi="宋体"/>
                <w:szCs w:val="21"/>
                <w:highlight w:val="white"/>
              </w:rPr>
            </w:pPr>
            <w:r>
              <w:rPr>
                <w:rFonts w:hint="eastAsia" w:ascii="宋体" w:hAnsi="宋体"/>
                <w:szCs w:val="21"/>
                <w:highlight w:val="white"/>
              </w:rPr>
              <w:t>接受联合体形式投标</w:t>
            </w:r>
          </w:p>
        </w:tc>
        <w:tc>
          <w:tcPr>
            <w:tcW w:w="5492" w:type="dxa"/>
            <w:vAlign w:val="center"/>
          </w:tcPr>
          <w:p w14:paraId="47BBE89D">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243FFF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5780DF36">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第5.1款</w:t>
            </w:r>
          </w:p>
        </w:tc>
        <w:tc>
          <w:tcPr>
            <w:tcW w:w="2552" w:type="dxa"/>
            <w:vAlign w:val="center"/>
          </w:tcPr>
          <w:p w14:paraId="3440FDBD">
            <w:pPr>
              <w:widowControl/>
              <w:spacing w:line="440" w:lineRule="exact"/>
              <w:ind w:right="-2"/>
              <w:jc w:val="left"/>
              <w:rPr>
                <w:rFonts w:ascii="宋体" w:hAnsi="宋体"/>
                <w:szCs w:val="21"/>
                <w:highlight w:val="white"/>
              </w:rPr>
            </w:pPr>
            <w:r>
              <w:rPr>
                <w:rFonts w:hint="eastAsia" w:ascii="宋体" w:hAnsi="宋体"/>
                <w:szCs w:val="21"/>
                <w:highlight w:val="white"/>
              </w:rPr>
              <w:t>招标文件提供期限</w:t>
            </w:r>
          </w:p>
        </w:tc>
        <w:tc>
          <w:tcPr>
            <w:tcW w:w="5492" w:type="dxa"/>
            <w:vAlign w:val="center"/>
          </w:tcPr>
          <w:p w14:paraId="22A34CA7">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411FC9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75F1F10D">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第5.2款</w:t>
            </w:r>
          </w:p>
        </w:tc>
        <w:tc>
          <w:tcPr>
            <w:tcW w:w="2552" w:type="dxa"/>
            <w:vAlign w:val="center"/>
          </w:tcPr>
          <w:p w14:paraId="195A8059">
            <w:pPr>
              <w:widowControl/>
              <w:spacing w:line="440" w:lineRule="exact"/>
              <w:ind w:right="-2"/>
              <w:jc w:val="left"/>
              <w:rPr>
                <w:rFonts w:ascii="宋体" w:hAnsi="宋体"/>
                <w:szCs w:val="21"/>
                <w:highlight w:val="white"/>
              </w:rPr>
            </w:pPr>
            <w:r>
              <w:rPr>
                <w:rFonts w:hint="eastAsia" w:ascii="宋体" w:hAnsi="宋体"/>
                <w:szCs w:val="21"/>
                <w:highlight w:val="white"/>
              </w:rPr>
              <w:t>组织现场考察或者召开答疑会</w:t>
            </w:r>
          </w:p>
        </w:tc>
        <w:tc>
          <w:tcPr>
            <w:tcW w:w="5492" w:type="dxa"/>
            <w:vAlign w:val="center"/>
          </w:tcPr>
          <w:p w14:paraId="35B864BB">
            <w:pPr>
              <w:widowControl/>
              <w:spacing w:line="440" w:lineRule="exact"/>
              <w:ind w:right="-2"/>
              <w:jc w:val="left"/>
              <w:rPr>
                <w:rFonts w:ascii="宋体" w:hAnsi="宋体"/>
                <w:szCs w:val="21"/>
                <w:highlight w:val="white"/>
              </w:rPr>
            </w:pPr>
            <w:r>
              <w:rPr>
                <w:rFonts w:hint="eastAsia" w:ascii="宋体" w:hAnsi="宋体"/>
                <w:szCs w:val="21"/>
                <w:highlight w:val="white"/>
              </w:rPr>
              <w:t>不组织</w:t>
            </w:r>
          </w:p>
        </w:tc>
      </w:tr>
      <w:tr w14:paraId="7AF9DB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20B077EC">
            <w:pPr>
              <w:adjustRightInd w:val="0"/>
              <w:snapToGrid w:val="0"/>
              <w:spacing w:line="440" w:lineRule="exact"/>
              <w:ind w:left="142"/>
              <w:rPr>
                <w:rFonts w:ascii="黑体" w:hAnsi="黑体" w:eastAsia="黑体"/>
                <w:b/>
              </w:rPr>
            </w:pPr>
            <w:r>
              <w:rPr>
                <w:rFonts w:hint="eastAsia" w:ascii="黑体" w:hAnsi="黑体" w:eastAsia="黑体"/>
                <w:b/>
              </w:rPr>
              <w:t>二、招标文件</w:t>
            </w:r>
          </w:p>
        </w:tc>
      </w:tr>
      <w:tr w14:paraId="5590C5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1D36F7EC">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第7.4款</w:t>
            </w:r>
          </w:p>
        </w:tc>
        <w:tc>
          <w:tcPr>
            <w:tcW w:w="2552" w:type="dxa"/>
            <w:vAlign w:val="center"/>
          </w:tcPr>
          <w:p w14:paraId="0B695BA1">
            <w:pPr>
              <w:widowControl/>
              <w:spacing w:line="440" w:lineRule="exact"/>
              <w:ind w:left="-109" w:leftChars="-52" w:right="-108"/>
              <w:jc w:val="left"/>
              <w:rPr>
                <w:rFonts w:ascii="宋体" w:hAnsi="宋体"/>
                <w:szCs w:val="21"/>
                <w:highlight w:val="white"/>
              </w:rPr>
            </w:pPr>
            <w:r>
              <w:rPr>
                <w:rFonts w:hint="eastAsia" w:ascii="宋体" w:hAnsi="宋体"/>
                <w:szCs w:val="21"/>
                <w:highlight w:val="white"/>
              </w:rPr>
              <w:t>非实质性偏离的范围和幅度</w:t>
            </w:r>
          </w:p>
        </w:tc>
        <w:tc>
          <w:tcPr>
            <w:tcW w:w="5492" w:type="dxa"/>
            <w:vAlign w:val="center"/>
          </w:tcPr>
          <w:p w14:paraId="269C1455">
            <w:pPr>
              <w:widowControl/>
              <w:spacing w:line="440" w:lineRule="exact"/>
              <w:ind w:right="-2"/>
              <w:jc w:val="left"/>
              <w:rPr>
                <w:rFonts w:ascii="宋体" w:hAnsi="宋体"/>
                <w:szCs w:val="21"/>
                <w:highlight w:val="white"/>
              </w:rPr>
            </w:pPr>
            <w:r>
              <w:rPr>
                <w:rFonts w:hint="eastAsia" w:ascii="宋体" w:hAnsi="宋体"/>
                <w:szCs w:val="21"/>
                <w:highlight w:val="white"/>
              </w:rPr>
              <w:t>非实质性要求条款允许偏离的最多项数≥ 8项将导致投标无效。</w:t>
            </w:r>
          </w:p>
        </w:tc>
      </w:tr>
      <w:tr w14:paraId="3D26E3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6164E2BE">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第9.1款</w:t>
            </w:r>
          </w:p>
        </w:tc>
        <w:tc>
          <w:tcPr>
            <w:tcW w:w="2552" w:type="dxa"/>
            <w:vAlign w:val="center"/>
          </w:tcPr>
          <w:p w14:paraId="1BDB8AEF">
            <w:pPr>
              <w:widowControl/>
              <w:spacing w:line="440" w:lineRule="exact"/>
              <w:ind w:right="-109" w:rightChars="-52"/>
              <w:jc w:val="left"/>
              <w:rPr>
                <w:rFonts w:ascii="宋体" w:hAnsi="宋体"/>
                <w:szCs w:val="21"/>
                <w:highlight w:val="white"/>
              </w:rPr>
            </w:pPr>
            <w:r>
              <w:rPr>
                <w:rFonts w:hint="eastAsia" w:ascii="宋体" w:hAnsi="宋体"/>
                <w:szCs w:val="21"/>
                <w:highlight w:val="white"/>
              </w:rPr>
              <w:t>招标公告指定媒体</w:t>
            </w:r>
          </w:p>
        </w:tc>
        <w:tc>
          <w:tcPr>
            <w:tcW w:w="5492" w:type="dxa"/>
            <w:vAlign w:val="center"/>
          </w:tcPr>
          <w:p w14:paraId="24215E83">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62CAD7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1C1F84FC">
            <w:pPr>
              <w:adjustRightInd w:val="0"/>
              <w:snapToGrid w:val="0"/>
              <w:spacing w:line="440" w:lineRule="exact"/>
              <w:ind w:left="142"/>
              <w:rPr>
                <w:rFonts w:ascii="黑体" w:hAnsi="黑体" w:eastAsia="黑体"/>
                <w:b/>
              </w:rPr>
            </w:pPr>
            <w:r>
              <w:rPr>
                <w:rFonts w:hint="eastAsia" w:ascii="黑体" w:hAnsi="黑体" w:eastAsia="黑体"/>
                <w:b/>
              </w:rPr>
              <w:t>三、投标文件</w:t>
            </w:r>
          </w:p>
        </w:tc>
      </w:tr>
      <w:tr w14:paraId="378CB1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7CA4F976">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第13.2款</w:t>
            </w:r>
          </w:p>
        </w:tc>
        <w:tc>
          <w:tcPr>
            <w:tcW w:w="2552" w:type="dxa"/>
            <w:vAlign w:val="center"/>
          </w:tcPr>
          <w:p w14:paraId="3C32916D">
            <w:pPr>
              <w:widowControl/>
              <w:spacing w:line="440" w:lineRule="exact"/>
              <w:ind w:right="-109" w:rightChars="-52"/>
              <w:jc w:val="left"/>
              <w:rPr>
                <w:rFonts w:ascii="宋体" w:hAnsi="宋体"/>
                <w:szCs w:val="21"/>
                <w:highlight w:val="white"/>
              </w:rPr>
            </w:pPr>
            <w:r>
              <w:rPr>
                <w:rFonts w:hint="eastAsia" w:ascii="宋体" w:hAnsi="宋体"/>
                <w:szCs w:val="21"/>
                <w:highlight w:val="white"/>
              </w:rPr>
              <w:t>采购预算、最高限价</w:t>
            </w:r>
          </w:p>
        </w:tc>
        <w:tc>
          <w:tcPr>
            <w:tcW w:w="5492" w:type="dxa"/>
            <w:vAlign w:val="center"/>
          </w:tcPr>
          <w:p w14:paraId="57D11691">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0F1449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0EE7B8EC">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第13.8款</w:t>
            </w:r>
          </w:p>
        </w:tc>
        <w:tc>
          <w:tcPr>
            <w:tcW w:w="2552" w:type="dxa"/>
            <w:vAlign w:val="center"/>
          </w:tcPr>
          <w:p w14:paraId="60073A90">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投标报价的其他要求</w:t>
            </w:r>
          </w:p>
        </w:tc>
        <w:tc>
          <w:tcPr>
            <w:tcW w:w="5492" w:type="dxa"/>
            <w:vAlign w:val="center"/>
          </w:tcPr>
          <w:p w14:paraId="497D5D2D">
            <w:pPr>
              <w:widowControl/>
              <w:spacing w:line="440" w:lineRule="exact"/>
              <w:ind w:right="-2"/>
              <w:jc w:val="left"/>
              <w:rPr>
                <w:rFonts w:ascii="宋体" w:hAnsi="宋体"/>
                <w:szCs w:val="21"/>
                <w:highlight w:val="white"/>
              </w:rPr>
            </w:pPr>
            <w:r>
              <w:rPr>
                <w:rFonts w:hint="eastAsia" w:ascii="宋体" w:hAnsi="宋体"/>
                <w:szCs w:val="21"/>
                <w:highlight w:val="white"/>
              </w:rPr>
              <w:t>以人民币进行报价，</w:t>
            </w:r>
            <w:bookmarkStart w:id="28" w:name="EB2d600d1dadaf484886ffcae339f9f9f0"/>
            <w:r>
              <w:rPr>
                <w:rFonts w:hint="eastAsia" w:ascii="宋体" w:hAnsi="宋体"/>
                <w:szCs w:val="21"/>
                <w:highlight w:val="white"/>
              </w:rPr>
              <w:t>投标报价不得超过最高限价，否则投标无效</w:t>
            </w:r>
            <w:bookmarkEnd w:id="28"/>
            <w:r>
              <w:rPr>
                <w:rFonts w:hint="eastAsia" w:ascii="宋体" w:hAnsi="宋体"/>
                <w:szCs w:val="21"/>
                <w:highlight w:val="white"/>
              </w:rPr>
              <w:t>。</w:t>
            </w:r>
          </w:p>
        </w:tc>
      </w:tr>
      <w:tr w14:paraId="78CC93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3E97E699">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第14.1款</w:t>
            </w:r>
          </w:p>
        </w:tc>
        <w:tc>
          <w:tcPr>
            <w:tcW w:w="2552" w:type="dxa"/>
            <w:vAlign w:val="center"/>
          </w:tcPr>
          <w:p w14:paraId="2AC651FF">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投标人应提供资格审查资料</w:t>
            </w:r>
          </w:p>
        </w:tc>
        <w:tc>
          <w:tcPr>
            <w:tcW w:w="5492" w:type="dxa"/>
            <w:vAlign w:val="center"/>
          </w:tcPr>
          <w:p w14:paraId="4AC49EC9">
            <w:pPr>
              <w:widowControl/>
              <w:spacing w:line="440" w:lineRule="exact"/>
              <w:ind w:right="-2"/>
              <w:jc w:val="left"/>
              <w:rPr>
                <w:rFonts w:ascii="宋体" w:hAnsi="宋体"/>
                <w:szCs w:val="21"/>
                <w:highlight w:val="white"/>
              </w:rPr>
            </w:pPr>
            <w:r>
              <w:rPr>
                <w:rFonts w:hint="eastAsia" w:ascii="宋体" w:hAnsi="宋体"/>
                <w:szCs w:val="21"/>
                <w:highlight w:val="white"/>
              </w:rPr>
              <w:t>1、满足投标人基本资格条件的证明材料包括：</w:t>
            </w:r>
          </w:p>
          <w:p w14:paraId="3E358CB9">
            <w:pPr>
              <w:widowControl/>
              <w:spacing w:line="440" w:lineRule="exact"/>
              <w:ind w:right="-2"/>
              <w:jc w:val="left"/>
              <w:rPr>
                <w:rFonts w:ascii="宋体" w:hAnsi="宋体"/>
                <w:szCs w:val="21"/>
                <w:highlight w:val="white"/>
              </w:rPr>
            </w:pPr>
            <w:r>
              <w:rPr>
                <w:rFonts w:hint="eastAsia" w:ascii="宋体" w:hAnsi="宋体"/>
                <w:szCs w:val="21"/>
                <w:highlight w:val="white"/>
              </w:rPr>
              <w:t>⑴ 法定代表人投标的提交法定代表人身份证明原件；授权人投标的提交法定代表人授权委托书原件及双方身份证复印件并附法定代表人身份证明原件；</w:t>
            </w:r>
          </w:p>
          <w:p w14:paraId="5023542B">
            <w:pPr>
              <w:widowControl/>
              <w:spacing w:line="440" w:lineRule="exact"/>
              <w:ind w:right="-2"/>
              <w:jc w:val="left"/>
              <w:rPr>
                <w:rFonts w:ascii="宋体" w:hAnsi="宋体"/>
                <w:szCs w:val="21"/>
                <w:highlight w:val="white"/>
              </w:rPr>
            </w:pPr>
            <w:r>
              <w:rPr>
                <w:rFonts w:hint="eastAsia" w:ascii="宋体" w:hAnsi="宋体"/>
                <w:szCs w:val="21"/>
                <w:highlight w:val="white"/>
              </w:rPr>
              <w:t>⑵法人或者其他组织的营业执照等主体资格证明文件，自然人的身份证明；</w:t>
            </w:r>
          </w:p>
          <w:p w14:paraId="7125F04D">
            <w:pPr>
              <w:widowControl/>
              <w:spacing w:line="440" w:lineRule="exact"/>
              <w:ind w:right="-144"/>
              <w:jc w:val="left"/>
              <w:rPr>
                <w:rFonts w:ascii="宋体" w:hAnsi="宋体"/>
                <w:szCs w:val="21"/>
                <w:highlight w:val="white"/>
              </w:rPr>
            </w:pPr>
            <w:r>
              <w:rPr>
                <w:rFonts w:hint="eastAsia" w:ascii="宋体" w:hAnsi="宋体"/>
                <w:szCs w:val="21"/>
                <w:highlight w:val="white"/>
              </w:rPr>
              <w:t>⑶ 政府采购供应商资格承诺函（投标人资格声明）。</w:t>
            </w:r>
          </w:p>
          <w:p w14:paraId="685FA4F8">
            <w:pPr>
              <w:widowControl/>
              <w:spacing w:line="440" w:lineRule="exact"/>
              <w:ind w:right="-144"/>
              <w:jc w:val="left"/>
              <w:rPr>
                <w:highlight w:val="white"/>
              </w:rPr>
            </w:pPr>
            <w:r>
              <w:rPr>
                <w:rFonts w:hint="eastAsia"/>
                <w:highlight w:val="white"/>
              </w:rPr>
              <w:t>⑷利益回避承诺书</w:t>
            </w:r>
          </w:p>
          <w:p w14:paraId="1B99FDDD">
            <w:pPr>
              <w:widowControl/>
              <w:spacing w:line="440" w:lineRule="exact"/>
              <w:ind w:right="-2"/>
              <w:jc w:val="left"/>
              <w:rPr>
                <w:rFonts w:ascii="宋体" w:hAnsi="宋体"/>
                <w:szCs w:val="21"/>
                <w:highlight w:val="white"/>
              </w:rPr>
            </w:pPr>
            <w:r>
              <w:rPr>
                <w:rFonts w:hint="eastAsia" w:ascii="宋体" w:hAnsi="宋体"/>
                <w:szCs w:val="21"/>
                <w:highlight w:val="white"/>
              </w:rPr>
              <w:t>2、满足投标人特定资格条件的证明材料包括：/。</w:t>
            </w:r>
          </w:p>
          <w:p w14:paraId="14456FEE">
            <w:pPr>
              <w:widowControl/>
              <w:spacing w:line="440" w:lineRule="exact"/>
              <w:ind w:right="-2"/>
              <w:jc w:val="left"/>
              <w:rPr>
                <w:rFonts w:ascii="宋体" w:hAnsi="宋体"/>
                <w:szCs w:val="21"/>
                <w:highlight w:val="white"/>
              </w:rPr>
            </w:pPr>
            <w:r>
              <w:rPr>
                <w:rFonts w:hint="eastAsia" w:ascii="宋体" w:hAnsi="宋体"/>
                <w:szCs w:val="21"/>
                <w:highlight w:val="white"/>
              </w:rPr>
              <w:t>3、其他说明：</w:t>
            </w:r>
          </w:p>
          <w:p w14:paraId="5DAC11D7">
            <w:pPr>
              <w:widowControl/>
              <w:spacing w:line="440" w:lineRule="exact"/>
              <w:ind w:right="-2"/>
              <w:jc w:val="left"/>
              <w:rPr>
                <w:rFonts w:ascii="宋体" w:hAnsi="宋体"/>
                <w:sz w:val="24"/>
                <w:szCs w:val="21"/>
                <w:highlight w:val="white"/>
              </w:rPr>
            </w:pPr>
            <w:r>
              <w:rPr>
                <w:rFonts w:hint="eastAsia" w:ascii="宋体" w:hAnsi="宋体"/>
                <w:szCs w:val="21"/>
                <w:highlight w:val="white"/>
              </w:rPr>
              <w:t>除不具备独立承担民事责任能力的机构、组织、个人外，供应商为其他组织、自然人参与本项目投标的，凡采购文件格式中要求为“法定代表人”签署的，由组织负责人、自然人签署，视同有效，满足采购文件要求。</w:t>
            </w:r>
          </w:p>
        </w:tc>
      </w:tr>
      <w:tr w14:paraId="6DC3CF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9" w:hRule="atLeast"/>
        </w:trPr>
        <w:tc>
          <w:tcPr>
            <w:tcW w:w="1242" w:type="dxa"/>
            <w:vAlign w:val="center"/>
          </w:tcPr>
          <w:p w14:paraId="3593BE9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第16.1款</w:t>
            </w:r>
          </w:p>
        </w:tc>
        <w:tc>
          <w:tcPr>
            <w:tcW w:w="2552" w:type="dxa"/>
            <w:vAlign w:val="center"/>
          </w:tcPr>
          <w:p w14:paraId="4BF527AA">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投标有效期</w:t>
            </w:r>
          </w:p>
        </w:tc>
        <w:tc>
          <w:tcPr>
            <w:tcW w:w="5492" w:type="dxa"/>
            <w:vAlign w:val="center"/>
          </w:tcPr>
          <w:p w14:paraId="5C2A843D">
            <w:pPr>
              <w:widowControl/>
              <w:spacing w:line="440" w:lineRule="exact"/>
              <w:ind w:right="-2"/>
              <w:jc w:val="left"/>
              <w:rPr>
                <w:rFonts w:ascii="宋体" w:hAnsi="宋体"/>
                <w:szCs w:val="21"/>
                <w:highlight w:val="white"/>
              </w:rPr>
            </w:pPr>
            <w:r>
              <w:rPr>
                <w:rFonts w:ascii="宋体" w:hAnsi="宋体"/>
                <w:szCs w:val="21"/>
                <w:highlight w:val="white"/>
              </w:rPr>
              <w:t>90</w:t>
            </w:r>
            <w:r>
              <w:rPr>
                <w:rFonts w:hint="eastAsia" w:ascii="宋体" w:hAnsi="宋体"/>
                <w:szCs w:val="21"/>
                <w:highlight w:val="white"/>
              </w:rPr>
              <w:t>日（日历日）</w:t>
            </w:r>
          </w:p>
        </w:tc>
      </w:tr>
      <w:tr w14:paraId="1F188A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5A0D12EE">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第17.1款</w:t>
            </w:r>
          </w:p>
        </w:tc>
        <w:tc>
          <w:tcPr>
            <w:tcW w:w="2552" w:type="dxa"/>
            <w:vAlign w:val="center"/>
          </w:tcPr>
          <w:p w14:paraId="46DA52BD">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投标保证金</w:t>
            </w:r>
          </w:p>
        </w:tc>
        <w:tc>
          <w:tcPr>
            <w:tcW w:w="5492" w:type="dxa"/>
            <w:vAlign w:val="center"/>
          </w:tcPr>
          <w:p w14:paraId="18A386E6">
            <w:pPr>
              <w:widowControl/>
              <w:spacing w:line="440" w:lineRule="exact"/>
              <w:ind w:right="-2"/>
              <w:jc w:val="left"/>
              <w:rPr>
                <w:rFonts w:ascii="宋体" w:hAnsi="宋体"/>
                <w:szCs w:val="21"/>
                <w:highlight w:val="white"/>
              </w:rPr>
            </w:pPr>
            <w:r>
              <w:rPr>
                <w:rFonts w:hint="eastAsia" w:ascii="宋体" w:hAnsi="宋体"/>
                <w:szCs w:val="21"/>
                <w:highlight w:val="white"/>
              </w:rPr>
              <w:t>要求提供，根据包最高限价和预算，按以下标准缴纳：</w:t>
            </w:r>
          </w:p>
          <w:p w14:paraId="20B40876">
            <w:pPr>
              <w:widowControl/>
              <w:spacing w:line="440" w:lineRule="exact"/>
              <w:ind w:right="-2"/>
              <w:jc w:val="left"/>
            </w:pPr>
            <w:r>
              <w:rPr>
                <w:rFonts w:hint="eastAsia" w:ascii="宋体" w:hAnsi="宋体"/>
                <w:szCs w:val="21"/>
                <w:highlight w:val="white"/>
              </w:rPr>
              <w:t>投标保证金数额为：7000.00元。</w:t>
            </w:r>
          </w:p>
          <w:p w14:paraId="14E408EA">
            <w:pPr>
              <w:widowControl/>
              <w:spacing w:line="440" w:lineRule="exact"/>
              <w:ind w:right="-2"/>
              <w:jc w:val="left"/>
              <w:rPr>
                <w:rFonts w:ascii="宋体" w:hAnsi="宋体"/>
                <w:szCs w:val="21"/>
                <w:highlight w:val="white"/>
              </w:rPr>
            </w:pPr>
            <w:r>
              <w:rPr>
                <w:rFonts w:hint="eastAsia" w:ascii="宋体" w:hAnsi="宋体"/>
                <w:szCs w:val="21"/>
                <w:highlight w:val="white"/>
              </w:rPr>
              <w:t>缴纳方式：</w:t>
            </w:r>
          </w:p>
          <w:p w14:paraId="5A7A5889">
            <w:pPr>
              <w:widowControl/>
              <w:spacing w:line="440" w:lineRule="exact"/>
              <w:ind w:right="-2"/>
              <w:jc w:val="left"/>
              <w:rPr>
                <w:rFonts w:ascii="宋体" w:hAnsi="宋体"/>
                <w:szCs w:val="21"/>
                <w:highlight w:val="white"/>
              </w:rPr>
            </w:pPr>
            <w:r>
              <w:rPr>
                <w:rFonts w:hint="eastAsia" w:ascii="宋体" w:hAnsi="宋体"/>
                <w:szCs w:val="21"/>
                <w:highlight w:val="white"/>
              </w:rPr>
              <w:t>1、金融机构转账的，投标保证金必须是从投标人基本账户转入到投标保证金托管账户，并在进账单用途栏或备注栏中注明“N0131保证金”字样。</w:t>
            </w:r>
          </w:p>
          <w:p w14:paraId="0D0C0E4A">
            <w:pPr>
              <w:widowControl/>
              <w:spacing w:line="440" w:lineRule="exact"/>
              <w:ind w:right="-2" w:firstLine="33" w:firstLineChars="16"/>
              <w:jc w:val="left"/>
              <w:rPr>
                <w:rFonts w:ascii="宋体" w:hAnsi="宋体"/>
                <w:szCs w:val="21"/>
                <w:highlight w:val="white"/>
              </w:rPr>
            </w:pPr>
            <w:r>
              <w:rPr>
                <w:rFonts w:hint="eastAsia" w:ascii="宋体" w:hAnsi="宋体"/>
                <w:szCs w:val="21"/>
                <w:highlight w:val="white"/>
              </w:rPr>
              <w:t>投标保证金托管账户信息如下：</w:t>
            </w:r>
          </w:p>
          <w:p w14:paraId="062A1AB0">
            <w:pPr>
              <w:widowControl/>
              <w:spacing w:line="440" w:lineRule="exact"/>
              <w:ind w:right="-2" w:firstLine="455" w:firstLineChars="217"/>
              <w:jc w:val="left"/>
              <w:rPr>
                <w:rFonts w:ascii="宋体" w:hAnsi="宋体"/>
                <w:szCs w:val="21"/>
                <w:highlight w:val="white"/>
              </w:rPr>
            </w:pPr>
            <w:r>
              <w:rPr>
                <w:rFonts w:hint="eastAsia" w:ascii="宋体" w:hAnsi="宋体"/>
                <w:szCs w:val="21"/>
                <w:highlight w:val="white"/>
              </w:rPr>
              <w:t>开户名称：湖南国联招标有限公司</w:t>
            </w:r>
          </w:p>
          <w:p w14:paraId="4CE528A7">
            <w:pPr>
              <w:widowControl/>
              <w:spacing w:line="440" w:lineRule="exact"/>
              <w:ind w:right="-2" w:firstLine="455" w:firstLineChars="217"/>
              <w:jc w:val="left"/>
              <w:rPr>
                <w:rFonts w:ascii="宋体" w:hAnsi="宋体"/>
                <w:szCs w:val="21"/>
                <w:highlight w:val="white"/>
              </w:rPr>
            </w:pPr>
            <w:r>
              <w:rPr>
                <w:rFonts w:hint="eastAsia" w:ascii="宋体" w:hAnsi="宋体"/>
                <w:szCs w:val="21"/>
                <w:highlight w:val="white"/>
              </w:rPr>
              <w:t>开户银行：招商银行长沙分行营业部</w:t>
            </w:r>
          </w:p>
          <w:p w14:paraId="7FFC5A3C">
            <w:pPr>
              <w:widowControl/>
              <w:spacing w:line="440" w:lineRule="exact"/>
              <w:ind w:right="-2" w:firstLine="455" w:firstLineChars="217"/>
              <w:jc w:val="left"/>
              <w:rPr>
                <w:rFonts w:ascii="宋体" w:hAnsi="宋体"/>
                <w:szCs w:val="21"/>
                <w:highlight w:val="white"/>
              </w:rPr>
            </w:pPr>
            <w:r>
              <w:rPr>
                <w:rFonts w:hint="eastAsia" w:ascii="宋体" w:hAnsi="宋体"/>
                <w:szCs w:val="21"/>
                <w:highlight w:val="white"/>
              </w:rPr>
              <w:t>帐　　号：</w:t>
            </w:r>
            <w:r>
              <w:rPr>
                <w:rFonts w:ascii="宋体" w:hAnsi="宋体"/>
                <w:szCs w:val="21"/>
                <w:highlight w:val="white"/>
              </w:rPr>
              <w:t>696581515310001</w:t>
            </w:r>
          </w:p>
          <w:p w14:paraId="1A070083">
            <w:pPr>
              <w:widowControl/>
              <w:spacing w:line="440" w:lineRule="exact"/>
              <w:ind w:right="-2"/>
              <w:jc w:val="left"/>
              <w:rPr>
                <w:rFonts w:ascii="宋体" w:hAnsi="宋体"/>
                <w:szCs w:val="21"/>
                <w:highlight w:val="white"/>
              </w:rPr>
            </w:pPr>
            <w:r>
              <w:rPr>
                <w:rFonts w:hint="eastAsia" w:ascii="宋体" w:hAnsi="宋体"/>
                <w:szCs w:val="21"/>
                <w:highlight w:val="white"/>
              </w:rPr>
              <w:t>2、金融机构、担保机构出具的保函形式的：</w:t>
            </w:r>
          </w:p>
          <w:p w14:paraId="45A6FB73">
            <w:pPr>
              <w:widowControl/>
              <w:spacing w:line="440" w:lineRule="exact"/>
              <w:ind w:right="-2"/>
              <w:jc w:val="left"/>
              <w:rPr>
                <w:rFonts w:ascii="宋体" w:hAnsi="宋体"/>
                <w:szCs w:val="21"/>
                <w:highlight w:val="white"/>
              </w:rPr>
            </w:pPr>
            <w:r>
              <w:rPr>
                <w:rFonts w:hint="eastAsia" w:ascii="宋体" w:hAnsi="宋体"/>
                <w:szCs w:val="21"/>
                <w:highlight w:val="white"/>
              </w:rPr>
              <w:t>① 采用金融机构出具的保函形式的，保函必须由投标人基本账户开户行出具。</w:t>
            </w:r>
          </w:p>
          <w:p w14:paraId="324C2436">
            <w:pPr>
              <w:widowControl/>
              <w:spacing w:line="440" w:lineRule="exact"/>
              <w:ind w:right="-2"/>
              <w:jc w:val="left"/>
              <w:rPr>
                <w:rFonts w:ascii="宋体" w:hAnsi="宋体"/>
                <w:szCs w:val="21"/>
                <w:highlight w:val="white"/>
              </w:rPr>
            </w:pPr>
            <w:r>
              <w:rPr>
                <w:rFonts w:hint="eastAsia" w:ascii="宋体" w:hAnsi="宋体"/>
                <w:szCs w:val="21"/>
                <w:highlight w:val="white"/>
              </w:rPr>
              <w:t>② 保函格式为见索即付保函，不得设置兑取条件。</w:t>
            </w:r>
          </w:p>
          <w:p w14:paraId="554606B9">
            <w:pPr>
              <w:widowControl/>
              <w:spacing w:line="440" w:lineRule="exact"/>
              <w:ind w:right="-2"/>
              <w:jc w:val="left"/>
              <w:rPr>
                <w:rFonts w:ascii="宋体" w:hAnsi="宋体"/>
                <w:szCs w:val="21"/>
                <w:highlight w:val="white"/>
              </w:rPr>
            </w:pPr>
            <w:r>
              <w:rPr>
                <w:rFonts w:hint="eastAsia" w:ascii="宋体" w:hAnsi="宋体"/>
                <w:szCs w:val="21"/>
                <w:highlight w:val="white"/>
              </w:rPr>
              <w:t>未按时、足额缴纳保证金的，其投标文件将</w:t>
            </w:r>
            <w:bookmarkStart w:id="29" w:name="_Toc42185449"/>
            <w:bookmarkStart w:id="30" w:name="_Toc4855"/>
            <w:bookmarkStart w:id="31" w:name="_Toc7285"/>
            <w:bookmarkStart w:id="32" w:name="_Toc5778"/>
            <w:r>
              <w:rPr>
                <w:rFonts w:hint="eastAsia" w:ascii="宋体" w:hAnsi="宋体"/>
                <w:szCs w:val="21"/>
                <w:highlight w:val="white"/>
              </w:rPr>
              <w:t>被拒绝或视为无效投标。</w:t>
            </w:r>
            <w:bookmarkEnd w:id="29"/>
            <w:bookmarkEnd w:id="30"/>
            <w:bookmarkEnd w:id="31"/>
            <w:bookmarkEnd w:id="32"/>
          </w:p>
        </w:tc>
      </w:tr>
      <w:tr w14:paraId="318C29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3DC6BC87">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第18.1款</w:t>
            </w:r>
          </w:p>
        </w:tc>
        <w:tc>
          <w:tcPr>
            <w:tcW w:w="2552" w:type="dxa"/>
            <w:vAlign w:val="center"/>
          </w:tcPr>
          <w:p w14:paraId="452562F7">
            <w:pPr>
              <w:widowControl/>
              <w:spacing w:line="440" w:lineRule="exact"/>
              <w:ind w:right="-109" w:rightChars="-52"/>
              <w:jc w:val="left"/>
              <w:rPr>
                <w:rFonts w:ascii="宋体" w:hAnsi="宋体"/>
                <w:szCs w:val="21"/>
                <w:highlight w:val="white"/>
              </w:rPr>
            </w:pPr>
            <w:r>
              <w:rPr>
                <w:rFonts w:hint="eastAsia" w:ascii="宋体" w:hAnsi="宋体"/>
                <w:szCs w:val="21"/>
                <w:highlight w:val="white"/>
              </w:rPr>
              <w:t>分包</w:t>
            </w:r>
          </w:p>
        </w:tc>
        <w:tc>
          <w:tcPr>
            <w:tcW w:w="5492" w:type="dxa"/>
            <w:vAlign w:val="center"/>
          </w:tcPr>
          <w:p w14:paraId="22377625">
            <w:pPr>
              <w:widowControl/>
              <w:spacing w:line="440" w:lineRule="exact"/>
              <w:ind w:right="-2"/>
              <w:jc w:val="left"/>
              <w:rPr>
                <w:rFonts w:ascii="宋体" w:hAnsi="宋体"/>
                <w:szCs w:val="21"/>
                <w:highlight w:val="white"/>
              </w:rPr>
            </w:pPr>
            <w:r>
              <w:rPr>
                <w:rFonts w:hint="eastAsia" w:ascii="宋体" w:hAnsi="宋体"/>
                <w:szCs w:val="21"/>
                <w:highlight w:val="white"/>
              </w:rPr>
              <w:t>本项目</w:t>
            </w:r>
            <w:bookmarkStart w:id="33" w:name="EB6ccf556308544a6faa2820c03e88a21a"/>
            <w:r>
              <w:rPr>
                <w:rFonts w:hint="eastAsia" w:ascii="宋体" w:hAnsi="宋体"/>
                <w:szCs w:val="21"/>
                <w:highlight w:val="white"/>
              </w:rPr>
              <w:t>不允许向外分包转包</w:t>
            </w:r>
            <w:bookmarkEnd w:id="33"/>
          </w:p>
        </w:tc>
      </w:tr>
      <w:tr w14:paraId="7711D5A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41938B0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第19.1款</w:t>
            </w:r>
          </w:p>
        </w:tc>
        <w:tc>
          <w:tcPr>
            <w:tcW w:w="2552" w:type="dxa"/>
            <w:vAlign w:val="center"/>
          </w:tcPr>
          <w:p w14:paraId="32AC5B62">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投标文件副本份数</w:t>
            </w:r>
          </w:p>
        </w:tc>
        <w:tc>
          <w:tcPr>
            <w:tcW w:w="5492" w:type="dxa"/>
            <w:vAlign w:val="center"/>
          </w:tcPr>
          <w:p w14:paraId="04AFD6F2">
            <w:pPr>
              <w:widowControl/>
              <w:spacing w:line="440" w:lineRule="exact"/>
              <w:ind w:right="-2"/>
              <w:jc w:val="left"/>
              <w:rPr>
                <w:rFonts w:ascii="宋体" w:hAnsi="宋体"/>
                <w:b/>
                <w:szCs w:val="21"/>
                <w:highlight w:val="white"/>
              </w:rPr>
            </w:pPr>
            <w:r>
              <w:rPr>
                <w:rFonts w:hint="eastAsia" w:ascii="宋体" w:hAnsi="宋体"/>
                <w:b/>
                <w:szCs w:val="21"/>
                <w:highlight w:val="white"/>
              </w:rPr>
              <w:t>投标文件分包编制、签署、装订、封装。</w:t>
            </w:r>
          </w:p>
          <w:p w14:paraId="2B6CBA01">
            <w:pPr>
              <w:widowControl/>
              <w:spacing w:line="440" w:lineRule="exact"/>
              <w:ind w:right="-2"/>
              <w:jc w:val="left"/>
              <w:rPr>
                <w:rFonts w:ascii="宋体" w:hAnsi="宋体"/>
                <w:szCs w:val="21"/>
                <w:highlight w:val="white"/>
              </w:rPr>
            </w:pPr>
            <w:r>
              <w:rPr>
                <w:rFonts w:hint="eastAsia" w:ascii="宋体" w:hAnsi="宋体"/>
                <w:szCs w:val="21"/>
                <w:highlight w:val="white"/>
              </w:rPr>
              <w:t>投标文件副本伍份、投标文件电子文档壹份。</w:t>
            </w:r>
          </w:p>
          <w:p w14:paraId="41A89E7C">
            <w:pPr>
              <w:widowControl/>
              <w:spacing w:line="440" w:lineRule="exact"/>
              <w:ind w:right="-2"/>
              <w:rPr>
                <w:rFonts w:ascii="宋体" w:hAnsi="宋体"/>
                <w:szCs w:val="21"/>
                <w:highlight w:val="white"/>
              </w:rPr>
            </w:pPr>
            <w:r>
              <w:rPr>
                <w:rFonts w:hint="eastAsia" w:ascii="宋体" w:hAnsi="宋体"/>
                <w:szCs w:val="21"/>
                <w:highlight w:val="white"/>
              </w:rPr>
              <w:t>电子文档内容包括：</w:t>
            </w:r>
          </w:p>
          <w:p w14:paraId="42B6BF8C">
            <w:pPr>
              <w:widowControl/>
              <w:spacing w:line="440" w:lineRule="exact"/>
              <w:ind w:right="-2"/>
              <w:rPr>
                <w:rFonts w:ascii="宋体" w:hAnsi="宋体"/>
                <w:szCs w:val="21"/>
                <w:highlight w:val="white"/>
              </w:rPr>
            </w:pPr>
            <w:r>
              <w:rPr>
                <w:rFonts w:hint="eastAsia" w:ascii="宋体" w:hAnsi="宋体"/>
                <w:szCs w:val="21"/>
                <w:highlight w:val="white"/>
              </w:rPr>
              <w:t>① 与投标文件正本一致的盖章签字版的</w:t>
            </w:r>
            <w:r>
              <w:rPr>
                <w:rFonts w:ascii="宋体" w:hAnsi="宋体"/>
                <w:szCs w:val="21"/>
                <w:highlight w:val="white"/>
              </w:rPr>
              <w:t>PDF</w:t>
            </w:r>
            <w:r>
              <w:rPr>
                <w:rFonts w:hint="eastAsia" w:ascii="宋体" w:hAnsi="宋体"/>
                <w:szCs w:val="21"/>
                <w:highlight w:val="white"/>
              </w:rPr>
              <w:t>格式的投标文件；</w:t>
            </w:r>
          </w:p>
          <w:p w14:paraId="4471604A">
            <w:pPr>
              <w:widowControl/>
              <w:spacing w:line="440" w:lineRule="exact"/>
              <w:ind w:right="-2"/>
              <w:rPr>
                <w:rFonts w:ascii="宋体" w:hAnsi="宋体"/>
                <w:szCs w:val="21"/>
                <w:highlight w:val="white"/>
              </w:rPr>
            </w:pPr>
            <w:r>
              <w:rPr>
                <w:rFonts w:hint="eastAsia" w:ascii="宋体" w:hAnsi="宋体"/>
                <w:szCs w:val="21"/>
                <w:highlight w:val="white"/>
              </w:rPr>
              <w:t>② 与投标文件正本一致的word格式的投标文件；</w:t>
            </w:r>
          </w:p>
          <w:p w14:paraId="222DF2A0">
            <w:pPr>
              <w:widowControl/>
              <w:spacing w:line="440" w:lineRule="exact"/>
              <w:ind w:right="-2"/>
              <w:rPr>
                <w:rFonts w:ascii="宋体" w:hAnsi="宋体"/>
                <w:szCs w:val="21"/>
                <w:highlight w:val="white"/>
              </w:rPr>
            </w:pPr>
            <w:r>
              <w:rPr>
                <w:rFonts w:hint="eastAsia" w:ascii="宋体" w:hAnsi="宋体"/>
                <w:szCs w:val="21"/>
                <w:highlight w:val="white"/>
              </w:rPr>
              <w:t>③ excel格式的分项报价表。</w:t>
            </w:r>
          </w:p>
          <w:p w14:paraId="2AAC0795">
            <w:pPr>
              <w:widowControl/>
              <w:spacing w:line="440" w:lineRule="exact"/>
              <w:ind w:right="-2"/>
              <w:jc w:val="left"/>
              <w:rPr>
                <w:rFonts w:ascii="宋体" w:hAnsi="宋体"/>
                <w:szCs w:val="21"/>
                <w:highlight w:val="white"/>
              </w:rPr>
            </w:pPr>
            <w:r>
              <w:rPr>
                <w:rFonts w:hint="eastAsia" w:ascii="宋体" w:hAnsi="宋体"/>
                <w:szCs w:val="21"/>
                <w:highlight w:val="white"/>
              </w:rPr>
              <w:t>【为保持投标文件</w:t>
            </w:r>
            <w:r>
              <w:rPr>
                <w:rFonts w:ascii="宋体" w:hAnsi="宋体"/>
                <w:szCs w:val="21"/>
                <w:highlight w:val="white"/>
              </w:rPr>
              <w:t>PDF电子文档</w:t>
            </w:r>
            <w:r>
              <w:rPr>
                <w:rFonts w:hint="eastAsia" w:ascii="宋体" w:hAnsi="宋体"/>
                <w:szCs w:val="21"/>
                <w:highlight w:val="white"/>
              </w:rPr>
              <w:t>与投标文件正本一致，请在</w:t>
            </w:r>
            <w:r>
              <w:rPr>
                <w:rFonts w:ascii="宋体" w:hAnsi="宋体"/>
                <w:szCs w:val="21"/>
                <w:highlight w:val="white"/>
              </w:rPr>
              <w:t>投标文件制作</w:t>
            </w:r>
            <w:r>
              <w:rPr>
                <w:rFonts w:hint="eastAsia" w:ascii="宋体" w:hAnsi="宋体"/>
                <w:szCs w:val="21"/>
                <w:highlight w:val="white"/>
              </w:rPr>
              <w:t>完成并</w:t>
            </w:r>
            <w:r>
              <w:rPr>
                <w:rFonts w:ascii="宋体" w:hAnsi="宋体"/>
                <w:szCs w:val="21"/>
                <w:highlight w:val="white"/>
              </w:rPr>
              <w:t>签字、盖章</w:t>
            </w:r>
            <w:r>
              <w:rPr>
                <w:rFonts w:hint="eastAsia" w:ascii="宋体" w:hAnsi="宋体"/>
                <w:szCs w:val="21"/>
                <w:highlight w:val="white"/>
              </w:rPr>
              <w:t>后</w:t>
            </w:r>
            <w:r>
              <w:rPr>
                <w:rFonts w:ascii="宋体" w:hAnsi="宋体"/>
                <w:szCs w:val="21"/>
                <w:highlight w:val="white"/>
              </w:rPr>
              <w:t>扫描成PDF格式</w:t>
            </w:r>
            <w:r>
              <w:rPr>
                <w:rFonts w:hint="eastAsia" w:ascii="宋体" w:hAnsi="宋体"/>
                <w:szCs w:val="21"/>
                <w:highlight w:val="white"/>
              </w:rPr>
              <w:t>。投标</w:t>
            </w:r>
            <w:r>
              <w:rPr>
                <w:rFonts w:ascii="宋体" w:hAnsi="宋体"/>
                <w:szCs w:val="21"/>
                <w:highlight w:val="white"/>
              </w:rPr>
              <w:t>电子文档</w:t>
            </w:r>
            <w:r>
              <w:rPr>
                <w:rFonts w:hint="eastAsia" w:ascii="宋体" w:hAnsi="宋体"/>
                <w:szCs w:val="21"/>
                <w:highlight w:val="white"/>
              </w:rPr>
              <w:t>、开标一览表应单独密封并粘贴在投标文件密封包装的外面，随投标文件一起递交。】</w:t>
            </w:r>
          </w:p>
        </w:tc>
      </w:tr>
      <w:tr w14:paraId="59790D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183F77F3">
            <w:pPr>
              <w:adjustRightInd w:val="0"/>
              <w:snapToGrid w:val="0"/>
              <w:spacing w:line="440" w:lineRule="exact"/>
              <w:ind w:left="142"/>
              <w:rPr>
                <w:rFonts w:ascii="黑体" w:hAnsi="黑体" w:eastAsia="黑体"/>
                <w:b/>
              </w:rPr>
            </w:pPr>
            <w:r>
              <w:rPr>
                <w:rFonts w:hint="eastAsia" w:ascii="黑体" w:hAnsi="黑体" w:eastAsia="黑体"/>
                <w:b/>
              </w:rPr>
              <w:t>四、投标</w:t>
            </w:r>
          </w:p>
        </w:tc>
      </w:tr>
      <w:tr w14:paraId="3B46A0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56C2D861">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第21.1款</w:t>
            </w:r>
          </w:p>
        </w:tc>
        <w:tc>
          <w:tcPr>
            <w:tcW w:w="2552" w:type="dxa"/>
            <w:vAlign w:val="center"/>
          </w:tcPr>
          <w:p w14:paraId="50065B7E">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投标截止时间及投标地点</w:t>
            </w:r>
          </w:p>
        </w:tc>
        <w:tc>
          <w:tcPr>
            <w:tcW w:w="5492" w:type="dxa"/>
            <w:vAlign w:val="center"/>
          </w:tcPr>
          <w:p w14:paraId="2FD71814">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052201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748333E0">
            <w:pPr>
              <w:adjustRightInd w:val="0"/>
              <w:snapToGrid w:val="0"/>
              <w:spacing w:line="440" w:lineRule="exact"/>
              <w:ind w:left="142"/>
              <w:rPr>
                <w:rFonts w:ascii="黑体" w:hAnsi="黑体" w:eastAsia="黑体"/>
                <w:b/>
              </w:rPr>
            </w:pPr>
            <w:r>
              <w:rPr>
                <w:rFonts w:hint="eastAsia" w:ascii="黑体" w:hAnsi="黑体" w:eastAsia="黑体"/>
                <w:b/>
              </w:rPr>
              <w:t>五、开标、资格审查和评标</w:t>
            </w:r>
          </w:p>
        </w:tc>
      </w:tr>
      <w:tr w14:paraId="05B2DC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1ACAC7A1">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第24.1款</w:t>
            </w:r>
          </w:p>
        </w:tc>
        <w:tc>
          <w:tcPr>
            <w:tcW w:w="2552" w:type="dxa"/>
            <w:vAlign w:val="center"/>
          </w:tcPr>
          <w:p w14:paraId="3657EC59">
            <w:pPr>
              <w:widowControl/>
              <w:spacing w:line="440" w:lineRule="exact"/>
              <w:ind w:right="-109" w:rightChars="-52"/>
              <w:jc w:val="left"/>
              <w:rPr>
                <w:rFonts w:ascii="宋体" w:hAnsi="宋体"/>
                <w:szCs w:val="21"/>
                <w:highlight w:val="white"/>
              </w:rPr>
            </w:pPr>
            <w:r>
              <w:rPr>
                <w:rFonts w:hint="eastAsia" w:ascii="宋体" w:hAnsi="宋体"/>
                <w:szCs w:val="21"/>
                <w:highlight w:val="white"/>
              </w:rPr>
              <w:t xml:space="preserve">开标地点 </w:t>
            </w:r>
          </w:p>
        </w:tc>
        <w:tc>
          <w:tcPr>
            <w:tcW w:w="5492" w:type="dxa"/>
            <w:vAlign w:val="center"/>
          </w:tcPr>
          <w:p w14:paraId="0FF605B3">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28D53F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01498362">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第24.2款</w:t>
            </w:r>
          </w:p>
        </w:tc>
        <w:tc>
          <w:tcPr>
            <w:tcW w:w="2552" w:type="dxa"/>
            <w:vAlign w:val="center"/>
          </w:tcPr>
          <w:p w14:paraId="798659C1">
            <w:pPr>
              <w:widowControl/>
              <w:spacing w:line="440" w:lineRule="exact"/>
              <w:ind w:right="-109" w:rightChars="-52"/>
              <w:jc w:val="left"/>
              <w:rPr>
                <w:rFonts w:ascii="宋体" w:hAnsi="宋体"/>
                <w:szCs w:val="21"/>
                <w:highlight w:val="white"/>
              </w:rPr>
            </w:pPr>
            <w:r>
              <w:rPr>
                <w:rFonts w:hint="eastAsia" w:ascii="宋体" w:hAnsi="宋体"/>
                <w:szCs w:val="21"/>
                <w:highlight w:val="white"/>
              </w:rPr>
              <w:t>需要宣布的其他内容</w:t>
            </w:r>
          </w:p>
        </w:tc>
        <w:tc>
          <w:tcPr>
            <w:tcW w:w="5492" w:type="dxa"/>
            <w:vAlign w:val="center"/>
          </w:tcPr>
          <w:p w14:paraId="56317567">
            <w:pPr>
              <w:widowControl/>
              <w:spacing w:line="440" w:lineRule="exact"/>
              <w:ind w:right="-2"/>
              <w:jc w:val="left"/>
              <w:rPr>
                <w:rFonts w:ascii="宋体" w:hAnsi="宋体"/>
                <w:szCs w:val="21"/>
                <w:highlight w:val="white"/>
              </w:rPr>
            </w:pPr>
            <w:r>
              <w:rPr>
                <w:rFonts w:hint="eastAsia" w:ascii="宋体" w:hAnsi="宋体"/>
                <w:szCs w:val="21"/>
                <w:highlight w:val="white"/>
              </w:rPr>
              <w:t>/</w:t>
            </w:r>
          </w:p>
        </w:tc>
      </w:tr>
      <w:tr w14:paraId="54F6AA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5FC7B5D0">
            <w:pPr>
              <w:adjustRightInd w:val="0"/>
              <w:snapToGrid w:val="0"/>
              <w:spacing w:line="440" w:lineRule="exact"/>
              <w:ind w:left="142"/>
              <w:rPr>
                <w:rFonts w:ascii="黑体" w:hAnsi="黑体" w:eastAsia="黑体"/>
                <w:b/>
              </w:rPr>
            </w:pPr>
            <w:r>
              <w:rPr>
                <w:rFonts w:hint="eastAsia" w:ascii="黑体" w:hAnsi="黑体" w:eastAsia="黑体"/>
                <w:b/>
              </w:rPr>
              <w:t>六、中标信息公布</w:t>
            </w:r>
          </w:p>
        </w:tc>
      </w:tr>
      <w:tr w14:paraId="6EF2B6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617B1451">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第29.2款</w:t>
            </w:r>
          </w:p>
        </w:tc>
        <w:tc>
          <w:tcPr>
            <w:tcW w:w="2552" w:type="dxa"/>
            <w:vAlign w:val="center"/>
          </w:tcPr>
          <w:p w14:paraId="78FC2DB0">
            <w:pPr>
              <w:widowControl/>
              <w:spacing w:line="440" w:lineRule="exact"/>
              <w:ind w:right="-109" w:rightChars="-52"/>
              <w:jc w:val="left"/>
              <w:rPr>
                <w:rFonts w:ascii="宋体" w:hAnsi="宋体"/>
                <w:szCs w:val="21"/>
                <w:highlight w:val="white"/>
              </w:rPr>
            </w:pPr>
            <w:r>
              <w:rPr>
                <w:rFonts w:hint="eastAsia" w:ascii="宋体" w:hAnsi="宋体"/>
                <w:szCs w:val="21"/>
                <w:highlight w:val="white"/>
              </w:rPr>
              <w:t>中标候选人并列的确定中标人的方式</w:t>
            </w:r>
          </w:p>
        </w:tc>
        <w:tc>
          <w:tcPr>
            <w:tcW w:w="5492" w:type="dxa"/>
            <w:vAlign w:val="center"/>
          </w:tcPr>
          <w:p w14:paraId="1B5C3FA4">
            <w:pPr>
              <w:widowControl/>
              <w:spacing w:line="440" w:lineRule="exact"/>
              <w:ind w:right="-2"/>
              <w:jc w:val="left"/>
              <w:rPr>
                <w:rFonts w:ascii="宋体" w:hAnsi="宋体"/>
                <w:szCs w:val="21"/>
                <w:highlight w:val="white"/>
              </w:rPr>
            </w:pPr>
            <w:r>
              <w:rPr>
                <w:rFonts w:hint="eastAsia" w:ascii="宋体" w:hAnsi="宋体"/>
                <w:szCs w:val="21"/>
                <w:highlight w:val="white"/>
              </w:rPr>
              <w:t>综合得分相同的，按技术得分由高到低顺序排列。综合得分且技术得分相同的，按商务得分由高到低顺序排列。</w:t>
            </w:r>
          </w:p>
        </w:tc>
      </w:tr>
      <w:tr w14:paraId="5B5216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0010CEFC">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第30.3款</w:t>
            </w:r>
          </w:p>
        </w:tc>
        <w:tc>
          <w:tcPr>
            <w:tcW w:w="2552" w:type="dxa"/>
            <w:vAlign w:val="center"/>
          </w:tcPr>
          <w:p w14:paraId="2F7CBE9E">
            <w:pPr>
              <w:widowControl/>
              <w:spacing w:line="440" w:lineRule="exact"/>
              <w:ind w:right="-109" w:rightChars="-52"/>
              <w:jc w:val="left"/>
              <w:rPr>
                <w:rFonts w:ascii="宋体" w:hAnsi="宋体"/>
                <w:szCs w:val="21"/>
                <w:highlight w:val="white"/>
              </w:rPr>
            </w:pPr>
            <w:r>
              <w:rPr>
                <w:rFonts w:hint="eastAsia" w:ascii="宋体" w:hAnsi="宋体"/>
                <w:szCs w:val="21"/>
                <w:highlight w:val="white"/>
              </w:rPr>
              <w:t>接收质疑函的联系部门、联系电话和通讯地址</w:t>
            </w:r>
          </w:p>
        </w:tc>
        <w:tc>
          <w:tcPr>
            <w:tcW w:w="5492" w:type="dxa"/>
            <w:vAlign w:val="center"/>
          </w:tcPr>
          <w:p w14:paraId="502FD6D9">
            <w:pPr>
              <w:widowControl/>
              <w:spacing w:line="440" w:lineRule="exact"/>
              <w:ind w:right="-2"/>
              <w:jc w:val="left"/>
              <w:rPr>
                <w:rFonts w:ascii="宋体" w:hAnsi="宋体"/>
                <w:szCs w:val="21"/>
                <w:highlight w:val="white"/>
              </w:rPr>
            </w:pPr>
            <w:r>
              <w:rPr>
                <w:rFonts w:hint="eastAsia" w:ascii="宋体" w:hAnsi="宋体"/>
                <w:szCs w:val="21"/>
                <w:highlight w:val="white"/>
              </w:rPr>
              <w:t>本采购项目接收质疑函方式、联系部门及联系电话、通讯地址：</w:t>
            </w:r>
          </w:p>
          <w:p w14:paraId="5C0D8EDE">
            <w:pPr>
              <w:widowControl/>
              <w:spacing w:line="440" w:lineRule="exact"/>
              <w:ind w:right="-2"/>
              <w:jc w:val="left"/>
              <w:rPr>
                <w:rFonts w:ascii="宋体" w:hAnsi="宋体"/>
                <w:szCs w:val="21"/>
                <w:highlight w:val="white"/>
              </w:rPr>
            </w:pPr>
            <w:r>
              <w:rPr>
                <w:rFonts w:hint="eastAsia" w:ascii="宋体" w:hAnsi="宋体"/>
                <w:szCs w:val="21"/>
                <w:highlight w:val="white"/>
              </w:rPr>
              <w:t>接收质疑函的方式：供应商应当按国家相关规定向采购人和采购代理机构一并当面提交书面质疑函及相关证明材料,且在法定质疑期内针对同一采购程序环节的质疑须一次性提出。</w:t>
            </w:r>
          </w:p>
          <w:p w14:paraId="69DD2CD7">
            <w:pPr>
              <w:widowControl/>
              <w:spacing w:line="440" w:lineRule="exact"/>
              <w:ind w:right="-2"/>
              <w:jc w:val="left"/>
              <w:rPr>
                <w:rFonts w:ascii="宋体" w:hAnsi="宋体"/>
                <w:szCs w:val="21"/>
                <w:highlight w:val="white"/>
              </w:rPr>
            </w:pPr>
            <w:r>
              <w:rPr>
                <w:rFonts w:hint="eastAsia" w:ascii="宋体" w:hAnsi="宋体"/>
                <w:szCs w:val="21"/>
                <w:highlight w:val="white"/>
              </w:rPr>
              <w:t>采购代理机构联系部门：湖南国联招标有限公司</w:t>
            </w:r>
          </w:p>
          <w:p w14:paraId="1AA47C13">
            <w:pPr>
              <w:widowControl/>
              <w:spacing w:line="440" w:lineRule="exact"/>
              <w:ind w:right="-2"/>
              <w:jc w:val="left"/>
              <w:rPr>
                <w:rFonts w:ascii="宋体" w:hAnsi="宋体"/>
                <w:szCs w:val="21"/>
                <w:highlight w:val="white"/>
              </w:rPr>
            </w:pPr>
            <w:r>
              <w:rPr>
                <w:rFonts w:hint="eastAsia" w:ascii="宋体" w:hAnsi="宋体"/>
                <w:szCs w:val="21"/>
                <w:highlight w:val="white"/>
              </w:rPr>
              <w:t>联系电话：0731-85177559</w:t>
            </w:r>
          </w:p>
          <w:p w14:paraId="28EE2A43">
            <w:pPr>
              <w:widowControl/>
              <w:spacing w:line="440" w:lineRule="exact"/>
              <w:ind w:right="-2"/>
              <w:jc w:val="left"/>
              <w:rPr>
                <w:rFonts w:ascii="宋体" w:hAnsi="宋体"/>
                <w:szCs w:val="21"/>
                <w:highlight w:val="white"/>
              </w:rPr>
            </w:pPr>
            <w:r>
              <w:rPr>
                <w:rFonts w:hint="eastAsia" w:ascii="宋体" w:hAnsi="宋体"/>
                <w:szCs w:val="21"/>
                <w:highlight w:val="white"/>
              </w:rPr>
              <w:t>通讯地址：</w:t>
            </w:r>
            <w:r>
              <w:rPr>
                <w:rFonts w:ascii="宋体" w:hAnsi="宋体"/>
                <w:szCs w:val="21"/>
                <w:highlight w:val="white"/>
              </w:rPr>
              <w:t>湖南省长沙市</w:t>
            </w:r>
            <w:r>
              <w:rPr>
                <w:rFonts w:hint="eastAsia" w:ascii="宋体" w:hAnsi="宋体"/>
                <w:szCs w:val="21"/>
                <w:highlight w:val="white"/>
              </w:rPr>
              <w:t>开福区黄兴北路112号华润置地中心2号楼45楼</w:t>
            </w:r>
          </w:p>
          <w:p w14:paraId="612AF02B">
            <w:pPr>
              <w:widowControl/>
              <w:spacing w:line="440" w:lineRule="exact"/>
              <w:ind w:right="-2"/>
              <w:jc w:val="left"/>
              <w:rPr>
                <w:rFonts w:ascii="宋体" w:hAnsi="宋体"/>
                <w:szCs w:val="21"/>
                <w:highlight w:val="white"/>
              </w:rPr>
            </w:pPr>
            <w:r>
              <w:rPr>
                <w:rFonts w:hint="eastAsia" w:ascii="宋体" w:hAnsi="宋体"/>
                <w:szCs w:val="21"/>
                <w:highlight w:val="white"/>
              </w:rPr>
              <w:t>采购人联系部门：中南大学湘雅三医院</w:t>
            </w:r>
          </w:p>
          <w:p w14:paraId="10E77DBF">
            <w:pPr>
              <w:widowControl/>
              <w:spacing w:line="440" w:lineRule="exact"/>
              <w:ind w:right="-2"/>
              <w:jc w:val="left"/>
              <w:rPr>
                <w:rFonts w:ascii="宋体" w:hAnsi="宋体"/>
                <w:szCs w:val="21"/>
                <w:highlight w:val="white"/>
              </w:rPr>
            </w:pPr>
            <w:r>
              <w:rPr>
                <w:rFonts w:hint="eastAsia" w:ascii="宋体" w:hAnsi="宋体"/>
                <w:szCs w:val="21"/>
                <w:highlight w:val="white"/>
              </w:rPr>
              <w:t>联系电话：0731-</w:t>
            </w:r>
            <w:r>
              <w:rPr>
                <w:rFonts w:asciiTheme="minorEastAsia" w:hAnsiTheme="minorEastAsia" w:eastAsiaTheme="minorEastAsia"/>
                <w:szCs w:val="21"/>
                <w:highlight w:val="white"/>
              </w:rPr>
              <w:t>8861897</w:t>
            </w:r>
            <w:r>
              <w:rPr>
                <w:rFonts w:hint="eastAsia" w:asciiTheme="minorEastAsia" w:hAnsiTheme="minorEastAsia" w:eastAsiaTheme="minorEastAsia"/>
                <w:szCs w:val="21"/>
                <w:highlight w:val="white"/>
              </w:rPr>
              <w:t>1</w:t>
            </w:r>
          </w:p>
          <w:p w14:paraId="42E61D17">
            <w:pPr>
              <w:widowControl/>
              <w:spacing w:line="440" w:lineRule="exact"/>
              <w:ind w:right="-2"/>
              <w:jc w:val="left"/>
              <w:rPr>
                <w:rFonts w:ascii="宋体" w:hAnsi="宋体"/>
                <w:szCs w:val="21"/>
                <w:highlight w:val="white"/>
              </w:rPr>
            </w:pPr>
            <w:r>
              <w:rPr>
                <w:rFonts w:hint="eastAsia" w:ascii="宋体" w:hAnsi="宋体"/>
                <w:szCs w:val="21"/>
                <w:highlight w:val="white"/>
              </w:rPr>
              <w:t>通讯地址：湖南省长沙市岳麓区桐梓坡路138号，中南大学湘雅三医院招标中心</w:t>
            </w:r>
          </w:p>
        </w:tc>
      </w:tr>
      <w:tr w14:paraId="2EC56A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6638B9B8">
            <w:pPr>
              <w:adjustRightInd w:val="0"/>
              <w:snapToGrid w:val="0"/>
              <w:spacing w:line="440" w:lineRule="exact"/>
              <w:ind w:left="142"/>
              <w:rPr>
                <w:rFonts w:ascii="黑体" w:hAnsi="黑体" w:eastAsia="黑体"/>
                <w:b/>
              </w:rPr>
            </w:pPr>
            <w:r>
              <w:rPr>
                <w:rFonts w:hint="eastAsia" w:ascii="黑体" w:hAnsi="黑体" w:eastAsia="黑体"/>
                <w:b/>
              </w:rPr>
              <w:t>八、合同签订</w:t>
            </w:r>
          </w:p>
        </w:tc>
      </w:tr>
      <w:tr w14:paraId="1A5E89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6A31F87B">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第32.1款</w:t>
            </w:r>
          </w:p>
        </w:tc>
        <w:tc>
          <w:tcPr>
            <w:tcW w:w="2552" w:type="dxa"/>
            <w:vAlign w:val="center"/>
          </w:tcPr>
          <w:p w14:paraId="01846BAE">
            <w:pPr>
              <w:widowControl/>
              <w:spacing w:line="440" w:lineRule="exact"/>
              <w:ind w:right="-109" w:rightChars="-52"/>
              <w:jc w:val="left"/>
              <w:rPr>
                <w:rFonts w:ascii="宋体" w:hAnsi="宋体"/>
                <w:szCs w:val="21"/>
                <w:highlight w:val="white"/>
              </w:rPr>
            </w:pPr>
            <w:r>
              <w:rPr>
                <w:rFonts w:hint="eastAsia" w:ascii="宋体" w:hAnsi="宋体"/>
                <w:szCs w:val="21"/>
                <w:highlight w:val="white"/>
              </w:rPr>
              <w:t>履约担保</w:t>
            </w:r>
          </w:p>
        </w:tc>
        <w:tc>
          <w:tcPr>
            <w:tcW w:w="5492" w:type="dxa"/>
            <w:vAlign w:val="center"/>
          </w:tcPr>
          <w:p w14:paraId="24B4A271">
            <w:pPr>
              <w:widowControl/>
              <w:spacing w:line="440" w:lineRule="exact"/>
              <w:ind w:right="-2"/>
              <w:jc w:val="left"/>
              <w:rPr>
                <w:rFonts w:ascii="宋体" w:hAnsi="宋体"/>
                <w:szCs w:val="21"/>
                <w:highlight w:val="white"/>
              </w:rPr>
            </w:pPr>
            <w:r>
              <w:rPr>
                <w:rFonts w:hint="eastAsia" w:ascii="宋体" w:hAnsi="宋体"/>
                <w:szCs w:val="21"/>
                <w:highlight w:val="white"/>
              </w:rPr>
              <w:t>不要求提供</w:t>
            </w:r>
          </w:p>
        </w:tc>
      </w:tr>
      <w:tr w14:paraId="2BB5BD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1C660164">
            <w:pPr>
              <w:adjustRightInd w:val="0"/>
              <w:snapToGrid w:val="0"/>
              <w:spacing w:line="440" w:lineRule="exact"/>
              <w:ind w:left="142"/>
              <w:rPr>
                <w:rFonts w:ascii="黑体" w:hAnsi="黑体" w:eastAsia="黑体"/>
                <w:b/>
              </w:rPr>
            </w:pPr>
            <w:r>
              <w:rPr>
                <w:rFonts w:hint="eastAsia" w:ascii="黑体" w:hAnsi="黑体" w:eastAsia="黑体"/>
                <w:b/>
              </w:rPr>
              <w:t>十、其他规定</w:t>
            </w:r>
          </w:p>
        </w:tc>
      </w:tr>
      <w:tr w14:paraId="1FC942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242" w:type="dxa"/>
            <w:vAlign w:val="center"/>
          </w:tcPr>
          <w:p w14:paraId="21A3B48B">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第36.1款</w:t>
            </w:r>
          </w:p>
        </w:tc>
        <w:tc>
          <w:tcPr>
            <w:tcW w:w="2552" w:type="dxa"/>
            <w:vAlign w:val="center"/>
          </w:tcPr>
          <w:p w14:paraId="656D076B">
            <w:pPr>
              <w:widowControl/>
              <w:spacing w:line="440" w:lineRule="exact"/>
              <w:ind w:right="-109" w:rightChars="-52"/>
              <w:jc w:val="left"/>
              <w:rPr>
                <w:rFonts w:ascii="宋体" w:hAnsi="宋体"/>
                <w:szCs w:val="21"/>
                <w:highlight w:val="white"/>
              </w:rPr>
            </w:pPr>
            <w:r>
              <w:rPr>
                <w:rFonts w:hint="eastAsia" w:ascii="宋体" w:hAnsi="宋体"/>
                <w:szCs w:val="21"/>
                <w:highlight w:val="white"/>
              </w:rPr>
              <w:t>招标代理服务费</w:t>
            </w:r>
          </w:p>
        </w:tc>
        <w:tc>
          <w:tcPr>
            <w:tcW w:w="5492" w:type="dxa"/>
            <w:vAlign w:val="center"/>
          </w:tcPr>
          <w:p w14:paraId="2A7C38A8">
            <w:pPr>
              <w:widowControl/>
              <w:spacing w:line="440" w:lineRule="exact"/>
              <w:ind w:right="-2"/>
              <w:jc w:val="left"/>
              <w:rPr>
                <w:rFonts w:ascii="宋体" w:hAnsi="宋体"/>
                <w:szCs w:val="21"/>
                <w:highlight w:val="white"/>
              </w:rPr>
            </w:pPr>
            <w:r>
              <w:rPr>
                <w:rFonts w:hint="eastAsia" w:ascii="宋体" w:hAnsi="宋体"/>
                <w:szCs w:val="21"/>
                <w:highlight w:val="white"/>
              </w:rPr>
              <w:t>招标代理服务费具体标准：参照原国家计委计价格〔</w:t>
            </w:r>
            <w:r>
              <w:rPr>
                <w:rFonts w:ascii="宋体" w:hAnsi="宋体"/>
                <w:szCs w:val="21"/>
                <w:highlight w:val="white"/>
              </w:rPr>
              <w:t>2002</w:t>
            </w:r>
            <w:r>
              <w:rPr>
                <w:rFonts w:hint="eastAsia" w:ascii="宋体" w:hAnsi="宋体"/>
                <w:szCs w:val="21"/>
                <w:highlight w:val="white"/>
              </w:rPr>
              <w:t>〕</w:t>
            </w:r>
            <w:r>
              <w:rPr>
                <w:rFonts w:ascii="宋体" w:hAnsi="宋体"/>
                <w:szCs w:val="21"/>
                <w:highlight w:val="white"/>
              </w:rPr>
              <w:t>1980</w:t>
            </w:r>
            <w:r>
              <w:rPr>
                <w:rFonts w:hint="eastAsia" w:ascii="宋体" w:hAnsi="宋体"/>
                <w:szCs w:val="21"/>
                <w:highlight w:val="white"/>
              </w:rPr>
              <w:t>号《关于印发〈招标代理服务收费管理暂行办法〉的通知》中规定的费率标准的75%向中标人收取中标服务费，收费基价为中标价。</w:t>
            </w:r>
          </w:p>
          <w:p w14:paraId="1FB8DBFA">
            <w:pPr>
              <w:widowControl/>
              <w:spacing w:line="440" w:lineRule="exact"/>
              <w:ind w:right="-2"/>
              <w:jc w:val="left"/>
              <w:rPr>
                <w:rFonts w:ascii="宋体" w:hAnsi="宋体"/>
                <w:szCs w:val="21"/>
                <w:highlight w:val="white"/>
              </w:rPr>
            </w:pPr>
            <w:r>
              <w:rPr>
                <w:rFonts w:hint="eastAsia" w:ascii="宋体" w:hAnsi="宋体"/>
                <w:szCs w:val="21"/>
                <w:highlight w:val="white"/>
              </w:rPr>
              <w:t>招标代理服务费账户信息如下：</w:t>
            </w:r>
          </w:p>
          <w:p w14:paraId="5987151E">
            <w:pPr>
              <w:widowControl/>
              <w:spacing w:line="440" w:lineRule="exact"/>
              <w:ind w:right="-2"/>
              <w:jc w:val="left"/>
              <w:rPr>
                <w:rFonts w:ascii="宋体" w:hAnsi="宋体"/>
                <w:szCs w:val="21"/>
                <w:highlight w:val="white"/>
              </w:rPr>
            </w:pPr>
            <w:r>
              <w:rPr>
                <w:rFonts w:hint="eastAsia" w:ascii="宋体" w:hAnsi="宋体"/>
                <w:szCs w:val="21"/>
                <w:highlight w:val="white"/>
              </w:rPr>
              <w:t>开户名称：湖南国联招标有限公司</w:t>
            </w:r>
          </w:p>
          <w:p w14:paraId="1B78CFB1">
            <w:pPr>
              <w:widowControl/>
              <w:spacing w:line="440" w:lineRule="exact"/>
              <w:ind w:right="-2"/>
              <w:jc w:val="left"/>
              <w:rPr>
                <w:rFonts w:ascii="宋体" w:hAnsi="宋体"/>
                <w:szCs w:val="21"/>
                <w:highlight w:val="white"/>
              </w:rPr>
            </w:pPr>
            <w:r>
              <w:rPr>
                <w:rFonts w:hint="eastAsia" w:ascii="宋体" w:hAnsi="宋体"/>
                <w:szCs w:val="21"/>
                <w:highlight w:val="white"/>
              </w:rPr>
              <w:t>开户行：招商银行长沙分行营业部</w:t>
            </w:r>
          </w:p>
          <w:p w14:paraId="4D65E39C">
            <w:pPr>
              <w:widowControl/>
              <w:spacing w:line="440" w:lineRule="exact"/>
              <w:ind w:right="-2"/>
              <w:jc w:val="left"/>
              <w:rPr>
                <w:rFonts w:ascii="宋体" w:hAnsi="宋体"/>
                <w:szCs w:val="21"/>
                <w:highlight w:val="white"/>
              </w:rPr>
            </w:pPr>
            <w:r>
              <w:rPr>
                <w:rFonts w:hint="eastAsia" w:ascii="宋体" w:hAnsi="宋体"/>
                <w:szCs w:val="21"/>
                <w:highlight w:val="white"/>
              </w:rPr>
              <w:t>银行帐号：</w:t>
            </w:r>
            <w:r>
              <w:rPr>
                <w:rFonts w:ascii="宋体" w:hAnsi="宋体"/>
                <w:szCs w:val="21"/>
                <w:highlight w:val="white"/>
              </w:rPr>
              <w:t>696581515310001</w:t>
            </w:r>
          </w:p>
        </w:tc>
      </w:tr>
      <w:tr w14:paraId="51FC86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1242" w:type="dxa"/>
            <w:vAlign w:val="center"/>
          </w:tcPr>
          <w:p w14:paraId="011211F6">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第37.1款</w:t>
            </w:r>
          </w:p>
        </w:tc>
        <w:tc>
          <w:tcPr>
            <w:tcW w:w="2552" w:type="dxa"/>
            <w:vAlign w:val="center"/>
          </w:tcPr>
          <w:p w14:paraId="3388D1B8">
            <w:pPr>
              <w:widowControl/>
              <w:spacing w:line="440" w:lineRule="exact"/>
              <w:ind w:right="-109" w:rightChars="-52"/>
              <w:jc w:val="left"/>
              <w:rPr>
                <w:rFonts w:ascii="宋体" w:hAnsi="宋体"/>
                <w:szCs w:val="21"/>
                <w:highlight w:val="white"/>
              </w:rPr>
            </w:pPr>
            <w:r>
              <w:rPr>
                <w:rFonts w:hint="eastAsia" w:ascii="宋体" w:hAnsi="宋体"/>
                <w:szCs w:val="21"/>
                <w:highlight w:val="white"/>
              </w:rPr>
              <w:t>其他规定</w:t>
            </w:r>
          </w:p>
        </w:tc>
        <w:tc>
          <w:tcPr>
            <w:tcW w:w="5492" w:type="dxa"/>
            <w:vAlign w:val="center"/>
          </w:tcPr>
          <w:p w14:paraId="0222F861">
            <w:pPr>
              <w:widowControl/>
              <w:spacing w:line="440" w:lineRule="exact"/>
              <w:ind w:right="-2"/>
              <w:jc w:val="left"/>
              <w:rPr>
                <w:rFonts w:ascii="宋体" w:hAnsi="宋体"/>
                <w:szCs w:val="21"/>
                <w:highlight w:val="white"/>
              </w:rPr>
            </w:pPr>
            <w:r>
              <w:rPr>
                <w:rFonts w:hint="eastAsia" w:ascii="宋体" w:hAnsi="宋体"/>
                <w:szCs w:val="21"/>
                <w:highlight w:val="whit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6D0A5E7A">
            <w:pPr>
              <w:widowControl/>
              <w:wordWrap w:val="0"/>
              <w:spacing w:line="440" w:lineRule="exact"/>
              <w:jc w:val="left"/>
              <w:rPr>
                <w:rFonts w:ascii="宋体" w:hAnsi="宋体"/>
                <w:szCs w:val="21"/>
                <w:highlight w:val="white"/>
              </w:rPr>
            </w:pPr>
            <w:r>
              <w:rPr>
                <w:rFonts w:hint="eastAsia" w:ascii="宋体" w:hAnsi="宋体"/>
                <w:szCs w:val="21"/>
                <w:highlight w:val="white"/>
              </w:rPr>
              <w:t>1、信用信息查询的查询渠道：“信用中国”网站（www.creditchina.gov.cn）和中国政府采购网（www.ccgp.gov.cn）。</w:t>
            </w:r>
          </w:p>
          <w:p w14:paraId="1BD105E0">
            <w:pPr>
              <w:widowControl/>
              <w:spacing w:line="440" w:lineRule="exact"/>
              <w:ind w:right="-2"/>
              <w:jc w:val="left"/>
              <w:rPr>
                <w:rFonts w:ascii="宋体" w:hAnsi="宋体"/>
                <w:szCs w:val="21"/>
                <w:highlight w:val="white"/>
              </w:rPr>
            </w:pPr>
            <w:r>
              <w:rPr>
                <w:rFonts w:hint="eastAsia" w:ascii="宋体" w:hAnsi="宋体"/>
                <w:szCs w:val="21"/>
                <w:highlight w:val="white"/>
              </w:rPr>
              <w:t>2、信用信息查询的截止时点：至本项目投标截止时间止。</w:t>
            </w:r>
          </w:p>
          <w:p w14:paraId="69C45D93">
            <w:pPr>
              <w:widowControl/>
              <w:spacing w:line="440" w:lineRule="exact"/>
              <w:ind w:right="-2"/>
              <w:jc w:val="left"/>
              <w:rPr>
                <w:rFonts w:ascii="宋体" w:hAnsi="宋体"/>
                <w:szCs w:val="21"/>
                <w:highlight w:val="white"/>
              </w:rPr>
            </w:pPr>
            <w:r>
              <w:rPr>
                <w:rFonts w:hint="eastAsia" w:ascii="宋体" w:hAnsi="宋体"/>
                <w:szCs w:val="21"/>
                <w:highlight w:val="white"/>
              </w:rPr>
              <w:t>3、信用信息查询记录的具体方式：采购人或采购代理机构在开标时在规定的查询渠道进行查询。</w:t>
            </w:r>
          </w:p>
          <w:p w14:paraId="7C7D7C55">
            <w:pPr>
              <w:widowControl/>
              <w:spacing w:line="440" w:lineRule="exact"/>
              <w:ind w:right="-2"/>
              <w:jc w:val="left"/>
              <w:rPr>
                <w:rFonts w:ascii="宋体" w:hAnsi="宋体"/>
                <w:szCs w:val="21"/>
                <w:highlight w:val="white"/>
              </w:rPr>
            </w:pPr>
            <w:r>
              <w:rPr>
                <w:rFonts w:hint="eastAsia" w:ascii="宋体" w:hAnsi="宋体"/>
                <w:szCs w:val="21"/>
                <w:highlight w:val="white"/>
              </w:rPr>
              <w:t>4、信用信息查询记录证据留存的具体方式：查询记录的网上打印件。</w:t>
            </w:r>
          </w:p>
        </w:tc>
      </w:tr>
    </w:tbl>
    <w:p w14:paraId="16AB4F0E">
      <w:pPr>
        <w:adjustRightInd w:val="0"/>
        <w:snapToGrid w:val="0"/>
        <w:spacing w:line="360" w:lineRule="auto"/>
        <w:ind w:left="2343" w:hanging="1493"/>
        <w:rPr>
          <w:rFonts w:ascii="宋体" w:hAnsi="宋体"/>
          <w:b/>
          <w:szCs w:val="21"/>
        </w:rPr>
      </w:pPr>
      <w:r>
        <w:rPr>
          <w:rFonts w:ascii="宋体" w:hAnsi="宋体"/>
          <w:b/>
          <w:szCs w:val="21"/>
        </w:rPr>
        <w:br w:type="page"/>
      </w:r>
    </w:p>
    <w:p w14:paraId="3E32056E">
      <w:pPr>
        <w:pStyle w:val="3"/>
      </w:pPr>
      <w:bookmarkStart w:id="34" w:name="_Toc5585"/>
      <w:r>
        <w:rPr>
          <w:rFonts w:hint="eastAsia"/>
        </w:rPr>
        <w:t>第二节  投标须知正文</w:t>
      </w:r>
      <w:bookmarkEnd w:id="34"/>
    </w:p>
    <w:p w14:paraId="11612396">
      <w:pPr>
        <w:pStyle w:val="4"/>
        <w:spacing w:before="156"/>
      </w:pPr>
      <w:bookmarkStart w:id="35" w:name="_Toc7725"/>
      <w:r>
        <w:rPr>
          <w:rFonts w:hint="eastAsia"/>
        </w:rPr>
        <w:t>一、总则</w:t>
      </w:r>
      <w:bookmarkEnd w:id="35"/>
    </w:p>
    <w:p w14:paraId="3C50DA3B">
      <w:pPr>
        <w:adjustRightInd w:val="0"/>
        <w:snapToGrid w:val="0"/>
        <w:spacing w:line="440" w:lineRule="exact"/>
        <w:ind w:firstLine="426"/>
        <w:jc w:val="left"/>
        <w:outlineLvl w:val="2"/>
        <w:rPr>
          <w:rFonts w:asciiTheme="minorEastAsia" w:hAnsiTheme="minorEastAsia" w:eastAsiaTheme="minorEastAsia"/>
          <w:b/>
          <w:bCs/>
        </w:rPr>
      </w:pPr>
      <w:bookmarkStart w:id="36" w:name="_Toc25558"/>
      <w:r>
        <w:rPr>
          <w:rFonts w:hint="eastAsia" w:asciiTheme="minorEastAsia" w:hAnsiTheme="minorEastAsia" w:eastAsiaTheme="minorEastAsia"/>
          <w:b/>
          <w:bCs/>
        </w:rPr>
        <w:t>1. 适用范围</w:t>
      </w:r>
      <w:bookmarkEnd w:id="36"/>
    </w:p>
    <w:p w14:paraId="6636DAC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1.1本招标文件仅适用于本章第一节“投标须知前附表”（以下简称【投标须知前附表】）中所叙述的采购项目。</w:t>
      </w:r>
    </w:p>
    <w:p w14:paraId="7E7C0DD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1.2【投标须知前附表】规定采购项目或者采购包属于“预留采购份额”的，投标人应当符合本章第35.1款规定，否则将被拒绝。</w:t>
      </w:r>
    </w:p>
    <w:p w14:paraId="7D35C11A">
      <w:pPr>
        <w:adjustRightInd w:val="0"/>
        <w:snapToGrid w:val="0"/>
        <w:spacing w:line="440" w:lineRule="exact"/>
        <w:ind w:firstLine="426"/>
        <w:jc w:val="left"/>
        <w:outlineLvl w:val="2"/>
        <w:rPr>
          <w:rFonts w:asciiTheme="minorEastAsia" w:hAnsiTheme="minorEastAsia" w:eastAsiaTheme="minorEastAsia"/>
          <w:b/>
          <w:bCs/>
        </w:rPr>
      </w:pPr>
      <w:bookmarkStart w:id="37" w:name="_Toc10256"/>
      <w:r>
        <w:rPr>
          <w:rFonts w:hint="eastAsia" w:asciiTheme="minorEastAsia" w:hAnsiTheme="minorEastAsia" w:eastAsiaTheme="minorEastAsia"/>
          <w:b/>
          <w:bCs/>
        </w:rPr>
        <w:t>2. 定义</w:t>
      </w:r>
      <w:bookmarkEnd w:id="37"/>
    </w:p>
    <w:p w14:paraId="4354CDB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2.1采购项目联系人姓名和电话见【投标须知前附表】。</w:t>
      </w:r>
    </w:p>
    <w:p w14:paraId="43BBA17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2.2采购人名称、地址、电话、联系人见【投标须知前附表】。</w:t>
      </w:r>
    </w:p>
    <w:p w14:paraId="140ABB0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2.3采购代理机构名称、地址、电话、联系人见【投标须知前附表】。</w:t>
      </w:r>
    </w:p>
    <w:p w14:paraId="15744EC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2.4投标人系指响应招标、参加投标竞争的法人、其他组织或自然人。</w:t>
      </w:r>
    </w:p>
    <w:p w14:paraId="1B653E94">
      <w:pPr>
        <w:adjustRightInd w:val="0"/>
        <w:snapToGrid w:val="0"/>
        <w:spacing w:line="440" w:lineRule="exact"/>
        <w:ind w:firstLine="426"/>
        <w:jc w:val="left"/>
        <w:outlineLvl w:val="2"/>
        <w:rPr>
          <w:rFonts w:asciiTheme="minorEastAsia" w:hAnsiTheme="minorEastAsia" w:eastAsiaTheme="minorEastAsia"/>
          <w:b/>
          <w:bCs/>
        </w:rPr>
      </w:pPr>
      <w:bookmarkStart w:id="38" w:name="_Toc18284"/>
      <w:r>
        <w:rPr>
          <w:rFonts w:hint="eastAsia" w:asciiTheme="minorEastAsia" w:hAnsiTheme="minorEastAsia" w:eastAsiaTheme="minorEastAsia"/>
          <w:b/>
          <w:bCs/>
        </w:rPr>
        <w:t>3. 投标人的资格要求</w:t>
      </w:r>
      <w:bookmarkEnd w:id="38"/>
    </w:p>
    <w:p w14:paraId="3C2978C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3.1投标人应当符合【投标须知前附表】规定的投标人资格条件。</w:t>
      </w:r>
    </w:p>
    <w:p w14:paraId="5050E4F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3.2【投标须知前附表】规定接受联合体形式投标的，投标人除应符合本章第3.1款规定外，还应遵守以下规定：</w:t>
      </w:r>
    </w:p>
    <w:p w14:paraId="2D7E6FA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（l）联合体中有同类资质的供应商按照联合体分工承担相同工作的，应当按照资质等级较低的供应商确定资质等级。</w:t>
      </w:r>
    </w:p>
    <w:p w14:paraId="60B9D9B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（2）联合体各方应按招标文件提供的格式签订联合体协议书，明确联合体牵头人和各方的权利义务、合同工作量比例；</w:t>
      </w:r>
    </w:p>
    <w:p w14:paraId="6E07F72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（3）联合体各方签订联合体协议书后，不得再单独参加或者与其他投标人组成新的联合体参加同一合同项下的采购活动。</w:t>
      </w:r>
    </w:p>
    <w:p w14:paraId="025E433D">
      <w:pPr>
        <w:adjustRightInd w:val="0"/>
        <w:snapToGrid w:val="0"/>
        <w:spacing w:line="440" w:lineRule="exact"/>
        <w:ind w:firstLine="426"/>
        <w:jc w:val="left"/>
        <w:outlineLvl w:val="2"/>
        <w:rPr>
          <w:rFonts w:asciiTheme="minorEastAsia" w:hAnsiTheme="minorEastAsia" w:eastAsiaTheme="minorEastAsia"/>
          <w:b/>
          <w:bCs/>
        </w:rPr>
      </w:pPr>
      <w:bookmarkStart w:id="39" w:name="_Toc25129"/>
      <w:r>
        <w:rPr>
          <w:rFonts w:hint="eastAsia" w:asciiTheme="minorEastAsia" w:hAnsiTheme="minorEastAsia" w:eastAsiaTheme="minorEastAsia"/>
          <w:b/>
          <w:bCs/>
        </w:rPr>
        <w:t>4. 投标费用</w:t>
      </w:r>
      <w:bookmarkEnd w:id="39"/>
    </w:p>
    <w:p w14:paraId="29AA6DA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4.1投标人应自行承担所有参与投标的相关费用，不论投标的结果如何，采购人或者采购代理机构均无义务和责任承担这些费用。</w:t>
      </w:r>
    </w:p>
    <w:p w14:paraId="694F3958">
      <w:pPr>
        <w:adjustRightInd w:val="0"/>
        <w:snapToGrid w:val="0"/>
        <w:spacing w:line="440" w:lineRule="exact"/>
        <w:ind w:firstLine="426"/>
        <w:jc w:val="left"/>
        <w:outlineLvl w:val="2"/>
        <w:rPr>
          <w:rFonts w:asciiTheme="minorEastAsia" w:hAnsiTheme="minorEastAsia" w:eastAsiaTheme="minorEastAsia"/>
          <w:b/>
          <w:bCs/>
        </w:rPr>
      </w:pPr>
      <w:bookmarkStart w:id="40" w:name="_Toc12466"/>
      <w:r>
        <w:rPr>
          <w:rFonts w:hint="eastAsia" w:asciiTheme="minorEastAsia" w:hAnsiTheme="minorEastAsia" w:eastAsiaTheme="minorEastAsia"/>
          <w:b/>
          <w:bCs/>
        </w:rPr>
        <w:t>5．组织现场考察或者召开答疑会</w:t>
      </w:r>
      <w:bookmarkEnd w:id="40"/>
    </w:p>
    <w:p w14:paraId="34574BE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5.1采购人、采购代理机构可以在【投标须知前附表】规定的招标文件提供期限截止后，组织已获取招标文件的潜在投标人现场考察或者召开开标前答疑会。</w:t>
      </w:r>
    </w:p>
    <w:p w14:paraId="7FC62EC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5.2获取招标文件的潜在投标人应按【投标须知前附表】规定参加现场考察或者答疑会；如不参加，其风险由其自行承担。</w:t>
      </w:r>
    </w:p>
    <w:p w14:paraId="1950F5E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5.3潜在投标人现场考察或者参加答疑会的费用由自己承担，现场考察期间所发生的人身伤害及财产损失由自己负责。</w:t>
      </w:r>
    </w:p>
    <w:p w14:paraId="50094B2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5.4采购人、采购代理机构不对投标人据此而做出的推论、理解和结论负责。投标人一旦中标，不得以任何借口，提出额外补偿，或延长合同期限的要求。</w:t>
      </w:r>
    </w:p>
    <w:p w14:paraId="14F2D07A">
      <w:pPr>
        <w:pStyle w:val="4"/>
        <w:spacing w:before="156"/>
      </w:pPr>
      <w:bookmarkStart w:id="41" w:name="_Toc3404"/>
      <w:r>
        <w:rPr>
          <w:rFonts w:hint="eastAsia"/>
        </w:rPr>
        <w:t>二、招标文件</w:t>
      </w:r>
      <w:bookmarkEnd w:id="41"/>
    </w:p>
    <w:p w14:paraId="21F56A56">
      <w:pPr>
        <w:adjustRightInd w:val="0"/>
        <w:snapToGrid w:val="0"/>
        <w:spacing w:line="440" w:lineRule="exact"/>
        <w:ind w:firstLine="426"/>
        <w:jc w:val="left"/>
        <w:outlineLvl w:val="2"/>
        <w:rPr>
          <w:rFonts w:asciiTheme="minorEastAsia" w:hAnsiTheme="minorEastAsia" w:eastAsiaTheme="minorEastAsia"/>
          <w:b/>
          <w:bCs/>
        </w:rPr>
      </w:pPr>
      <w:bookmarkStart w:id="42" w:name="_Toc29070"/>
      <w:r>
        <w:rPr>
          <w:rFonts w:hint="eastAsia" w:asciiTheme="minorEastAsia" w:hAnsiTheme="minorEastAsia" w:eastAsiaTheme="minorEastAsia"/>
          <w:b/>
          <w:bCs/>
        </w:rPr>
        <w:t>6. 招标文件的构成</w:t>
      </w:r>
      <w:bookmarkEnd w:id="42"/>
    </w:p>
    <w:p w14:paraId="7E036D1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6.1 招标文件共七章，各章内容如下：</w:t>
      </w:r>
    </w:p>
    <w:p w14:paraId="30205285">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第一章</w:t>
      </w:r>
      <w:r>
        <w:rPr>
          <w:rFonts w:hint="eastAsia" w:ascii="宋体" w:hAnsi="宋体"/>
          <w:szCs w:val="21"/>
          <w:highlight w:val="white"/>
        </w:rPr>
        <w:tab/>
      </w:r>
      <w:r>
        <w:rPr>
          <w:rFonts w:hint="eastAsia" w:ascii="宋体" w:hAnsi="宋体"/>
          <w:szCs w:val="21"/>
          <w:highlight w:val="white"/>
        </w:rPr>
        <w:t>投标邀请</w:t>
      </w:r>
    </w:p>
    <w:p w14:paraId="7E5DD611">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第二章</w:t>
      </w:r>
      <w:r>
        <w:rPr>
          <w:rFonts w:hint="eastAsia" w:ascii="宋体" w:hAnsi="宋体"/>
          <w:szCs w:val="21"/>
          <w:highlight w:val="white"/>
        </w:rPr>
        <w:tab/>
      </w:r>
      <w:r>
        <w:rPr>
          <w:rFonts w:hint="eastAsia" w:ascii="宋体" w:hAnsi="宋体"/>
          <w:szCs w:val="21"/>
          <w:highlight w:val="white"/>
        </w:rPr>
        <w:t>投标须知</w:t>
      </w:r>
    </w:p>
    <w:p w14:paraId="3E27E7A0">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第三章</w:t>
      </w:r>
      <w:r>
        <w:rPr>
          <w:rFonts w:hint="eastAsia" w:ascii="宋体" w:hAnsi="宋体"/>
          <w:szCs w:val="21"/>
          <w:highlight w:val="white"/>
        </w:rPr>
        <w:tab/>
      </w:r>
      <w:r>
        <w:rPr>
          <w:rFonts w:hint="eastAsia" w:ascii="宋体" w:hAnsi="宋体"/>
          <w:szCs w:val="21"/>
          <w:highlight w:val="white"/>
        </w:rPr>
        <w:t>资格审查</w:t>
      </w:r>
    </w:p>
    <w:p w14:paraId="6970AB07">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第四章</w:t>
      </w:r>
      <w:r>
        <w:rPr>
          <w:rFonts w:hint="eastAsia" w:ascii="宋体" w:hAnsi="宋体"/>
          <w:szCs w:val="21"/>
          <w:highlight w:val="white"/>
        </w:rPr>
        <w:tab/>
      </w:r>
      <w:r>
        <w:rPr>
          <w:rFonts w:hint="eastAsia" w:ascii="宋体" w:hAnsi="宋体"/>
          <w:szCs w:val="21"/>
          <w:highlight w:val="white"/>
        </w:rPr>
        <w:t>评标方法及标准</w:t>
      </w:r>
    </w:p>
    <w:p w14:paraId="6F398929">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第五章</w:t>
      </w:r>
      <w:r>
        <w:rPr>
          <w:rFonts w:hint="eastAsia" w:ascii="宋体" w:hAnsi="宋体"/>
          <w:szCs w:val="21"/>
          <w:highlight w:val="white"/>
        </w:rPr>
        <w:tab/>
      </w:r>
      <w:r>
        <w:rPr>
          <w:rFonts w:hint="eastAsia" w:ascii="宋体" w:hAnsi="宋体"/>
          <w:szCs w:val="21"/>
          <w:highlight w:val="white"/>
        </w:rPr>
        <w:t>采购需求</w:t>
      </w:r>
    </w:p>
    <w:p w14:paraId="0BCE8AFD">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第六章</w:t>
      </w:r>
      <w:r>
        <w:rPr>
          <w:rFonts w:hint="eastAsia" w:ascii="宋体" w:hAnsi="宋体"/>
          <w:szCs w:val="21"/>
          <w:highlight w:val="white"/>
        </w:rPr>
        <w:tab/>
      </w:r>
      <w:r>
        <w:rPr>
          <w:rFonts w:hint="eastAsia" w:ascii="宋体" w:hAnsi="宋体"/>
          <w:szCs w:val="21"/>
          <w:highlight w:val="white"/>
        </w:rPr>
        <w:t>政府采购合同</w:t>
      </w:r>
    </w:p>
    <w:p w14:paraId="22D4A037">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第七章</w:t>
      </w:r>
      <w:r>
        <w:rPr>
          <w:rFonts w:hint="eastAsia" w:ascii="宋体" w:hAnsi="宋体"/>
          <w:szCs w:val="21"/>
          <w:highlight w:val="white"/>
        </w:rPr>
        <w:tab/>
      </w:r>
      <w:r>
        <w:rPr>
          <w:rFonts w:hint="eastAsia" w:ascii="宋体" w:hAnsi="宋体"/>
          <w:szCs w:val="21"/>
          <w:highlight w:val="white"/>
        </w:rPr>
        <w:t>投标文件的组成</w:t>
      </w:r>
    </w:p>
    <w:p w14:paraId="254A01E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6.2采购人、采购代理机构在提交投标文件截止时间前对招标文件所作的澄清或者修改，构成招标文件的组成部分。</w:t>
      </w:r>
    </w:p>
    <w:p w14:paraId="3DF4E09A">
      <w:pPr>
        <w:adjustRightInd w:val="0"/>
        <w:snapToGrid w:val="0"/>
        <w:spacing w:line="440" w:lineRule="exact"/>
        <w:ind w:firstLine="426"/>
        <w:jc w:val="left"/>
        <w:outlineLvl w:val="2"/>
        <w:rPr>
          <w:rFonts w:asciiTheme="minorEastAsia" w:hAnsiTheme="minorEastAsia" w:eastAsiaTheme="minorEastAsia"/>
          <w:b/>
          <w:bCs/>
        </w:rPr>
      </w:pPr>
      <w:bookmarkStart w:id="43" w:name="_Toc7813"/>
      <w:r>
        <w:rPr>
          <w:rFonts w:hint="eastAsia" w:asciiTheme="minorEastAsia" w:hAnsiTheme="minorEastAsia" w:eastAsiaTheme="minorEastAsia"/>
          <w:b/>
          <w:bCs/>
        </w:rPr>
        <w:t>7．偏离与实质性响应</w:t>
      </w:r>
      <w:bookmarkEnd w:id="43"/>
    </w:p>
    <w:p w14:paraId="0C56ECA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7.1投标人应当按照招标文件的要求编制投标文件。投标文件应当对招标文件提出的要求和条件作出明确响应。</w:t>
      </w:r>
    </w:p>
    <w:p w14:paraId="4B8DB35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7.2偏离是指投标文件不响应或者不满足招标文件提出的要求和条件，分为实质性偏离和非实质性偏离。</w:t>
      </w:r>
    </w:p>
    <w:p w14:paraId="037D2B7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7.3除法律、法规和招标文件规定的其他投标无效情形外，招标文件中用“★”符号标明的条款为实质性要求和条件，对其中任何一条的偏离，为实质性偏离，其投标无效。</w:t>
      </w:r>
    </w:p>
    <w:p w14:paraId="06BC393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7.4投标文件偏离招标文件的非实质性要求和条件，为非实质性偏离。非实质性偏离的范围和幅度应当符合【投标须知前附表】的规定，否则投标无效。</w:t>
      </w:r>
    </w:p>
    <w:p w14:paraId="2DB373FF">
      <w:pPr>
        <w:adjustRightInd w:val="0"/>
        <w:snapToGrid w:val="0"/>
        <w:spacing w:line="440" w:lineRule="exact"/>
        <w:ind w:firstLine="426"/>
        <w:jc w:val="left"/>
        <w:outlineLvl w:val="2"/>
        <w:rPr>
          <w:rFonts w:asciiTheme="minorEastAsia" w:hAnsiTheme="minorEastAsia" w:eastAsiaTheme="minorEastAsia"/>
          <w:b/>
          <w:bCs/>
        </w:rPr>
      </w:pPr>
      <w:bookmarkStart w:id="44" w:name="_Toc29339"/>
      <w:r>
        <w:rPr>
          <w:rFonts w:hint="eastAsia" w:asciiTheme="minorEastAsia" w:hAnsiTheme="minorEastAsia" w:eastAsiaTheme="minorEastAsia"/>
          <w:b/>
          <w:bCs/>
        </w:rPr>
        <w:t>8. 询问</w:t>
      </w:r>
      <w:bookmarkEnd w:id="44"/>
    </w:p>
    <w:p w14:paraId="006FEE4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8.1潜在投标人应仔细阅读和检查招标文件的全部内容。如有疑问，可以向采购人或者采购代理机构提出询问。</w:t>
      </w:r>
    </w:p>
    <w:p w14:paraId="69ED85C6">
      <w:pPr>
        <w:adjustRightInd w:val="0"/>
        <w:snapToGrid w:val="0"/>
        <w:spacing w:line="440" w:lineRule="exact"/>
        <w:ind w:firstLine="426"/>
        <w:jc w:val="left"/>
        <w:outlineLvl w:val="2"/>
        <w:rPr>
          <w:rFonts w:asciiTheme="minorEastAsia" w:hAnsiTheme="minorEastAsia" w:eastAsiaTheme="minorEastAsia"/>
          <w:b/>
          <w:bCs/>
        </w:rPr>
      </w:pPr>
      <w:bookmarkStart w:id="45" w:name="_Toc27863"/>
      <w:r>
        <w:rPr>
          <w:rFonts w:hint="eastAsia" w:asciiTheme="minorEastAsia" w:hAnsiTheme="minorEastAsia" w:eastAsiaTheme="minorEastAsia"/>
          <w:b/>
          <w:bCs/>
        </w:rPr>
        <w:t>9. 招标文件的澄清或者修改</w:t>
      </w:r>
      <w:bookmarkEnd w:id="45"/>
    </w:p>
    <w:p w14:paraId="3801F68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9.1采购人、采购代理机构对已发出的招标文件进行必要澄清或者修改的，将在【投标须知前附表】规定的招标公告指定媒体上发布澄清或者修改公告。</w:t>
      </w:r>
    </w:p>
    <w:p w14:paraId="05D009A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9.2澄清或者修改的内容可能影响投标文件编制的，采购人、采购代理机构将在提交投标文件截止时间15日前，以书面形式通知所有获取招标文件的潜在投标人；不足15日的，将相应延长提交投标文件的截止时间。</w:t>
      </w:r>
    </w:p>
    <w:p w14:paraId="116B3DF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9.3澄清或者修改的内容不影响投标文件编制的，采购人、采购代理机构将在提交投标文件截止时间3日前，以书面形式通知所有获取招标文件的潜在投标人；不足3日的，将相应延长提交投标文件的截止时间。</w:t>
      </w:r>
    </w:p>
    <w:p w14:paraId="481CD47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w:t>
      </w:r>
      <w:r>
        <w:rPr>
          <w:rFonts w:ascii="宋体" w:hAnsi="宋体"/>
          <w:szCs w:val="21"/>
          <w:highlight w:val="white"/>
        </w:rPr>
        <w:t>.</w:t>
      </w:r>
      <w:r>
        <w:rPr>
          <w:rFonts w:hint="eastAsia" w:ascii="宋体" w:hAnsi="宋体"/>
          <w:szCs w:val="21"/>
          <w:highlight w:val="white"/>
        </w:rPr>
        <w:t>4招标文件的提供期限届满后，获取招标文件的潜在投标人不足3家的，可以顺延提供期限，并在指定媒体上发布修改公告。</w:t>
      </w:r>
    </w:p>
    <w:p w14:paraId="06E78316">
      <w:pPr>
        <w:pStyle w:val="4"/>
        <w:spacing w:before="156"/>
      </w:pPr>
      <w:bookmarkStart w:id="46" w:name="_Toc17496"/>
      <w:r>
        <w:rPr>
          <w:rFonts w:hint="eastAsia"/>
        </w:rPr>
        <w:t>三、投标文件</w:t>
      </w:r>
      <w:bookmarkEnd w:id="46"/>
    </w:p>
    <w:p w14:paraId="329E8689">
      <w:pPr>
        <w:adjustRightInd w:val="0"/>
        <w:snapToGrid w:val="0"/>
        <w:spacing w:line="440" w:lineRule="exact"/>
        <w:ind w:firstLine="426"/>
        <w:jc w:val="left"/>
        <w:outlineLvl w:val="2"/>
        <w:rPr>
          <w:rFonts w:asciiTheme="minorEastAsia" w:hAnsiTheme="minorEastAsia" w:eastAsiaTheme="minorEastAsia"/>
          <w:b/>
          <w:bCs/>
        </w:rPr>
      </w:pPr>
      <w:bookmarkStart w:id="47" w:name="_Toc11817"/>
      <w:r>
        <w:rPr>
          <w:rFonts w:hint="eastAsia" w:asciiTheme="minorEastAsia" w:hAnsiTheme="minorEastAsia" w:eastAsiaTheme="minorEastAsia"/>
          <w:b/>
          <w:bCs/>
        </w:rPr>
        <w:t>10. 投标语言</w:t>
      </w:r>
      <w:bookmarkEnd w:id="47"/>
    </w:p>
    <w:p w14:paraId="486B062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10.1除专用术语外，投标人提交的投标文件及投标人与采购人、采购代理机构就有关投标的所有来往函电均使用中文。投标人可以提交其它语言的资料，但应附有中文注释，有差异时以中文为准。</w:t>
      </w:r>
    </w:p>
    <w:p w14:paraId="63B024D2">
      <w:pPr>
        <w:adjustRightInd w:val="0"/>
        <w:snapToGrid w:val="0"/>
        <w:spacing w:line="440" w:lineRule="exact"/>
        <w:ind w:firstLine="426"/>
        <w:jc w:val="left"/>
        <w:outlineLvl w:val="2"/>
        <w:rPr>
          <w:rFonts w:asciiTheme="minorEastAsia" w:hAnsiTheme="minorEastAsia" w:eastAsiaTheme="minorEastAsia"/>
          <w:b/>
          <w:bCs/>
        </w:rPr>
      </w:pPr>
      <w:bookmarkStart w:id="48" w:name="_Toc5866"/>
      <w:r>
        <w:rPr>
          <w:rFonts w:hint="eastAsia" w:asciiTheme="minorEastAsia" w:hAnsiTheme="minorEastAsia" w:eastAsiaTheme="minorEastAsia"/>
          <w:b/>
          <w:bCs/>
        </w:rPr>
        <w:t>11. 计量单位</w:t>
      </w:r>
      <w:bookmarkEnd w:id="48"/>
    </w:p>
    <w:p w14:paraId="3B736A9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11.1所有计量均采用中华人民共和国法定计量单位。</w:t>
      </w:r>
    </w:p>
    <w:p w14:paraId="48B869C5">
      <w:pPr>
        <w:adjustRightInd w:val="0"/>
        <w:snapToGrid w:val="0"/>
        <w:spacing w:line="440" w:lineRule="exact"/>
        <w:ind w:firstLine="426"/>
        <w:jc w:val="left"/>
        <w:outlineLvl w:val="2"/>
        <w:rPr>
          <w:rFonts w:asciiTheme="minorEastAsia" w:hAnsiTheme="minorEastAsia" w:eastAsiaTheme="minorEastAsia"/>
          <w:b/>
          <w:bCs/>
        </w:rPr>
      </w:pPr>
      <w:bookmarkStart w:id="49" w:name="_Toc17531"/>
      <w:r>
        <w:rPr>
          <w:rFonts w:hint="eastAsia" w:asciiTheme="minorEastAsia" w:hAnsiTheme="minorEastAsia" w:eastAsiaTheme="minorEastAsia"/>
          <w:b/>
          <w:bCs/>
        </w:rPr>
        <w:t>12. 投标文件的组成</w:t>
      </w:r>
      <w:bookmarkEnd w:id="49"/>
    </w:p>
    <w:p w14:paraId="5FB51A9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12.1投标文件由如下内容组成：</w:t>
      </w:r>
    </w:p>
    <w:p w14:paraId="11740CDF">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第一部分  资格证明文件</w:t>
      </w:r>
    </w:p>
    <w:p w14:paraId="1D3A2C02">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一、投标人具备投标资格的证明文件</w:t>
      </w:r>
    </w:p>
    <w:p w14:paraId="6BF30FC2">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附件1 授权委托书</w:t>
      </w:r>
    </w:p>
    <w:p w14:paraId="7E746E6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附件2 投标人基本情况</w:t>
      </w:r>
    </w:p>
    <w:p w14:paraId="1CA34A79">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附件3 投标人资格声明</w:t>
      </w:r>
    </w:p>
    <w:p w14:paraId="0E1FEA4F">
      <w:pPr>
        <w:adjustRightInd w:val="0"/>
        <w:snapToGrid w:val="0"/>
        <w:spacing w:line="440" w:lineRule="exact"/>
        <w:ind w:firstLine="1274" w:firstLineChars="607"/>
        <w:rPr>
          <w:highlight w:val="white"/>
        </w:rPr>
      </w:pPr>
      <w:r>
        <w:rPr>
          <w:rFonts w:hint="eastAsia" w:ascii="宋体" w:hAnsi="宋体"/>
          <w:szCs w:val="21"/>
          <w:highlight w:val="white"/>
        </w:rPr>
        <w:t>附件4 利益回避承诺书</w:t>
      </w:r>
    </w:p>
    <w:p w14:paraId="29CEBF41">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附件5投标保证金</w:t>
      </w:r>
    </w:p>
    <w:p w14:paraId="2B023614">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第二部分  商务文件</w:t>
      </w:r>
    </w:p>
    <w:p w14:paraId="0D80E81F">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二、投标函</w:t>
      </w:r>
    </w:p>
    <w:p w14:paraId="3A801780">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三、开标一览表</w:t>
      </w:r>
    </w:p>
    <w:p w14:paraId="60D3863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四、分项报价明细表</w:t>
      </w:r>
    </w:p>
    <w:p w14:paraId="256D23F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五、商务要求响应</w:t>
      </w:r>
    </w:p>
    <w:p w14:paraId="57318FFE">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六、政策优惠证明材料</w:t>
      </w:r>
    </w:p>
    <w:p w14:paraId="07A07212">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第三部分  技术部分</w:t>
      </w:r>
    </w:p>
    <w:p w14:paraId="1485B5D6">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七、服务方案说明</w:t>
      </w:r>
    </w:p>
    <w:p w14:paraId="7A998D5D">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八、主要人员简历表</w:t>
      </w:r>
    </w:p>
    <w:p w14:paraId="34BB0FE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九、拟投入本项目的工作人员配置一览表</w:t>
      </w:r>
    </w:p>
    <w:p w14:paraId="2712739E">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十、技术采购需求响应（一）</w:t>
      </w:r>
    </w:p>
    <w:p w14:paraId="3AE80D60">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十一、技术采购需求响应（二）</w:t>
      </w:r>
    </w:p>
    <w:p w14:paraId="13743EEE">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十二、按招标文件的技术★条款的要求提供相关响应资料</w:t>
      </w:r>
    </w:p>
    <w:p w14:paraId="0A5E0CE3">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十三、技术偏离表</w:t>
      </w:r>
    </w:p>
    <w:p w14:paraId="4FA8B027">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十四、供应商需提供的其他资料</w:t>
      </w:r>
    </w:p>
    <w:p w14:paraId="4B98DF4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12.2根据《政府采购法》第四十二条的规定，投标人无论中标与否，其投标文件不予退还。</w:t>
      </w:r>
    </w:p>
    <w:p w14:paraId="27375028">
      <w:pPr>
        <w:adjustRightInd w:val="0"/>
        <w:snapToGrid w:val="0"/>
        <w:spacing w:line="440" w:lineRule="exact"/>
        <w:ind w:firstLine="426"/>
        <w:jc w:val="left"/>
        <w:outlineLvl w:val="2"/>
        <w:rPr>
          <w:rFonts w:asciiTheme="minorEastAsia" w:hAnsiTheme="minorEastAsia" w:eastAsiaTheme="minorEastAsia"/>
          <w:b/>
          <w:bCs/>
        </w:rPr>
      </w:pPr>
      <w:bookmarkStart w:id="50" w:name="_Toc13563"/>
      <w:r>
        <w:rPr>
          <w:rFonts w:hint="eastAsia" w:asciiTheme="minorEastAsia" w:hAnsiTheme="minorEastAsia" w:eastAsiaTheme="minorEastAsia"/>
          <w:b/>
          <w:bCs/>
        </w:rPr>
        <w:t>13. 投标报价</w:t>
      </w:r>
      <w:bookmarkEnd w:id="50"/>
    </w:p>
    <w:p w14:paraId="6C35A43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2228AFD9">
      <w:pPr>
        <w:adjustRightInd w:val="0"/>
        <w:snapToGrid w:val="0"/>
        <w:spacing w:line="440" w:lineRule="exact"/>
        <w:ind w:firstLine="420" w:firstLineChars="200"/>
        <w:rPr>
          <w:rFonts w:ascii="宋体" w:hAnsi="宋体"/>
          <w:szCs w:val="21"/>
          <w:highlight w:val="white"/>
        </w:rPr>
      </w:pPr>
      <w:r>
        <w:rPr>
          <w:rFonts w:ascii="宋体" w:hAnsi="宋体"/>
          <w:szCs w:val="21"/>
          <w:highlight w:val="white"/>
        </w:rPr>
        <w:t>1</w:t>
      </w:r>
      <w:r>
        <w:rPr>
          <w:rFonts w:hint="eastAsia" w:ascii="宋体" w:hAnsi="宋体"/>
          <w:szCs w:val="21"/>
          <w:highlight w:val="white"/>
        </w:rPr>
        <w:t>3</w:t>
      </w:r>
      <w:r>
        <w:rPr>
          <w:rFonts w:ascii="宋体" w:hAnsi="宋体"/>
          <w:szCs w:val="21"/>
          <w:highlight w:val="white"/>
        </w:rPr>
        <w:t>.</w:t>
      </w:r>
      <w:r>
        <w:rPr>
          <w:rFonts w:hint="eastAsia" w:ascii="宋体" w:hAnsi="宋体"/>
          <w:szCs w:val="21"/>
          <w:highlight w:val="white"/>
        </w:rPr>
        <w:t>2投标人的投标报价不得超过采购预算，也不得超过最高限价(如果设定)，否则其投标无效。采购项目预算、最高限价见【投标须知前附表】。</w:t>
      </w:r>
    </w:p>
    <w:p w14:paraId="55AC74C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13.3 投标人应在分项报价明细表中对每项内容给予详细分项报价。</w:t>
      </w:r>
    </w:p>
    <w:p w14:paraId="65E5613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13.4投标文件中标明的价格在合同执行过程中是固定不变的，不得以任何理由予以变更。任何包含价格调整要求和条件的投标，其投标无效。</w:t>
      </w:r>
    </w:p>
    <w:p w14:paraId="037EB81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13.5投标人在投标截止时间前修改“开标一览表”中的投标报价的，应同时修改投标文件“分项报价明细表”“享受政府采购政策优惠的证明资料”等相关内容。</w:t>
      </w:r>
    </w:p>
    <w:p w14:paraId="7B55E4F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13.6投标总价不得缺漏招标文件所要求的内容，否则，在评标时将视为无效投标。</w:t>
      </w:r>
    </w:p>
    <w:p w14:paraId="23C4FDC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13.7投标人对每种货物及服务只允许有一个报价，不接受选择性报价，否则，在评标时将视为无效投标。（接受备选方案时除外。）</w:t>
      </w:r>
    </w:p>
    <w:p w14:paraId="235E20C4">
      <w:pPr>
        <w:adjustRightInd w:val="0"/>
        <w:snapToGrid w:val="0"/>
        <w:spacing w:line="440" w:lineRule="exact"/>
        <w:ind w:firstLine="426"/>
        <w:jc w:val="left"/>
        <w:outlineLvl w:val="2"/>
        <w:rPr>
          <w:rFonts w:asciiTheme="minorEastAsia" w:hAnsiTheme="minorEastAsia" w:eastAsiaTheme="minorEastAsia"/>
          <w:b/>
          <w:bCs/>
        </w:rPr>
      </w:pPr>
      <w:bookmarkStart w:id="51" w:name="_Toc9682"/>
      <w:r>
        <w:rPr>
          <w:rFonts w:hint="eastAsia" w:asciiTheme="minorEastAsia" w:hAnsiTheme="minorEastAsia" w:eastAsiaTheme="minorEastAsia"/>
          <w:b/>
          <w:bCs/>
        </w:rPr>
        <w:t>14. 投标人的资格证明文件</w:t>
      </w:r>
      <w:bookmarkEnd w:id="51"/>
    </w:p>
    <w:p w14:paraId="7908C29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14.1投标人应按【投标须知前附表】的规定提供资格证明文件。</w:t>
      </w:r>
    </w:p>
    <w:p w14:paraId="307A0A7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471F030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（2）投标人资格声明(格式)</w:t>
      </w:r>
    </w:p>
    <w:p w14:paraId="5D0E8893">
      <w:pPr>
        <w:adjustRightInd w:val="0"/>
        <w:snapToGrid w:val="0"/>
        <w:spacing w:line="440" w:lineRule="exact"/>
        <w:ind w:firstLine="420" w:firstLineChars="200"/>
        <w:rPr>
          <w:highlight w:val="white"/>
        </w:rPr>
      </w:pPr>
      <w:r>
        <w:rPr>
          <w:rFonts w:hint="eastAsia"/>
          <w:highlight w:val="white"/>
        </w:rPr>
        <w:t>（3）利益回避承诺书</w:t>
      </w:r>
    </w:p>
    <w:p w14:paraId="22E2D8D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（3）符合特定资格条件证明文件复印件或者情况说明原件。具体要求见【投标须知前附表】。</w:t>
      </w:r>
    </w:p>
    <w:p w14:paraId="00146AD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14.2投标人以联合体形式投标的，除应提交联合协议(格式)外，参加联合体的各方均应提交上款资格证明材料。</w:t>
      </w:r>
    </w:p>
    <w:p w14:paraId="4C0632FB">
      <w:pPr>
        <w:adjustRightInd w:val="0"/>
        <w:snapToGrid w:val="0"/>
        <w:spacing w:line="440" w:lineRule="exact"/>
        <w:ind w:firstLine="420" w:firstLineChars="200"/>
        <w:rPr>
          <w:highlight w:val="white"/>
        </w:rPr>
      </w:pPr>
      <w:r>
        <w:rPr>
          <w:rFonts w:hint="eastAsia" w:ascii="宋体" w:hAnsi="宋体"/>
          <w:szCs w:val="21"/>
          <w:highlight w:val="white"/>
        </w:rPr>
        <w:t>14.3投标人的资格证明文件均应为有效文件并加盖投标人公章，并按招标文件规定签章。</w:t>
      </w:r>
    </w:p>
    <w:p w14:paraId="5B7D450A">
      <w:pPr>
        <w:adjustRightInd w:val="0"/>
        <w:snapToGrid w:val="0"/>
        <w:spacing w:line="440" w:lineRule="exact"/>
        <w:ind w:firstLine="426"/>
        <w:jc w:val="left"/>
        <w:outlineLvl w:val="2"/>
        <w:rPr>
          <w:rFonts w:asciiTheme="minorEastAsia" w:hAnsiTheme="minorEastAsia" w:eastAsiaTheme="minorEastAsia"/>
          <w:b/>
          <w:bCs/>
        </w:rPr>
      </w:pPr>
      <w:bookmarkStart w:id="52" w:name="_Toc17014"/>
      <w:r>
        <w:rPr>
          <w:rFonts w:hint="eastAsia" w:asciiTheme="minorEastAsia" w:hAnsiTheme="minorEastAsia" w:eastAsiaTheme="minorEastAsia"/>
          <w:b/>
          <w:bCs/>
        </w:rPr>
        <w:t>15. 标的内容及服务符合招标文件规定的证明文件</w:t>
      </w:r>
      <w:bookmarkEnd w:id="52"/>
    </w:p>
    <w:p w14:paraId="32F69E5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15.1投标人应当提交其拟供的合同项下标的内容及其服务符合招标文件规定的证明文件,该证明文件作为投标文件的一部分。</w:t>
      </w:r>
    </w:p>
    <w:p w14:paraId="71728E8D">
      <w:pPr>
        <w:adjustRightInd w:val="0"/>
        <w:snapToGrid w:val="0"/>
        <w:spacing w:line="440" w:lineRule="exact"/>
        <w:ind w:firstLine="426"/>
        <w:jc w:val="left"/>
        <w:outlineLvl w:val="2"/>
        <w:rPr>
          <w:rFonts w:asciiTheme="minorEastAsia" w:hAnsiTheme="minorEastAsia" w:eastAsiaTheme="minorEastAsia"/>
          <w:b/>
          <w:bCs/>
        </w:rPr>
      </w:pPr>
      <w:bookmarkStart w:id="53" w:name="_Toc15490"/>
      <w:r>
        <w:rPr>
          <w:rFonts w:hint="eastAsia" w:asciiTheme="minorEastAsia" w:hAnsiTheme="minorEastAsia" w:eastAsiaTheme="minorEastAsia"/>
          <w:b/>
          <w:bCs/>
        </w:rPr>
        <w:t>16. 投标有效期</w:t>
      </w:r>
      <w:bookmarkEnd w:id="53"/>
    </w:p>
    <w:p w14:paraId="142A666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16.1投标有效期从提交投标文件的截止之日起算。投标文件中承诺的投标有效期应当不少于【投标须知前附表】中载明的投标有效期。投标有效期不满足要求的，其投标无效。</w:t>
      </w:r>
    </w:p>
    <w:p w14:paraId="24E1432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16.2投标有效期内投标人撤销投标文件的，投标人应承担招标文件和法律规定的责任。</w:t>
      </w:r>
    </w:p>
    <w:p w14:paraId="4483F16B">
      <w:pPr>
        <w:adjustRightInd w:val="0"/>
        <w:snapToGrid w:val="0"/>
        <w:spacing w:line="440" w:lineRule="exact"/>
        <w:ind w:firstLine="426"/>
        <w:jc w:val="left"/>
        <w:outlineLvl w:val="2"/>
        <w:rPr>
          <w:rFonts w:asciiTheme="minorEastAsia" w:hAnsiTheme="minorEastAsia" w:eastAsiaTheme="minorEastAsia"/>
          <w:b/>
          <w:bCs/>
        </w:rPr>
      </w:pPr>
      <w:bookmarkStart w:id="54" w:name="_Toc17963"/>
      <w:r>
        <w:rPr>
          <w:rFonts w:hint="eastAsia" w:asciiTheme="minorEastAsia" w:hAnsiTheme="minorEastAsia" w:eastAsiaTheme="minorEastAsia"/>
          <w:b/>
          <w:bCs/>
        </w:rPr>
        <w:t>17. 投标保证金</w:t>
      </w:r>
      <w:bookmarkEnd w:id="54"/>
    </w:p>
    <w:p w14:paraId="24BF875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17.1招标文件要求投标人提交投标保证金的，投标人应按【投标须知前附表】规定，在提交投标文件的截止时间前提交投标保证金。</w:t>
      </w:r>
    </w:p>
    <w:p w14:paraId="2861AEE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17.2联合体投标的，可以由联合体中的一方或者共同提交投标保证金。以一方名义提交投标保证金的，对联合体各方均具有约束力。</w:t>
      </w:r>
    </w:p>
    <w:p w14:paraId="7CBE9A5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17.3投标保证金的退还按以下规定办理：</w:t>
      </w:r>
    </w:p>
    <w:p w14:paraId="30D5228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（1）中标投标人的投标保证金，将在政府采购合同签订后5个工作日内退还。</w:t>
      </w:r>
    </w:p>
    <w:p w14:paraId="2186065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（2）未中标的投标人的投标保证金，将在中标通知书发出后5个工作日内退还。</w:t>
      </w:r>
    </w:p>
    <w:p w14:paraId="2F785C7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（3）终止招标的。对于已递交投标保证金的，采购人、采购代理机构在终止招标公告发布后5个工作日内退还。</w:t>
      </w:r>
    </w:p>
    <w:p w14:paraId="368FC9A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（4）在投标截止日前撤回投标的，对于已递交投标保证金的，采购人、采购代理机构在收到投标人书面撤回投标通知之日起5个工作日内退还。</w:t>
      </w:r>
    </w:p>
    <w:p w14:paraId="01E9E75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17.4有以下情形之一的，投标保证金将不予退还：</w:t>
      </w:r>
    </w:p>
    <w:p w14:paraId="6F587EC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（1）中标、成交后无正当理由不与采购人签订合同的；</w:t>
      </w:r>
    </w:p>
    <w:p w14:paraId="1CB192E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（2）未经采购人同意，将中标、成交项目分包方式履行合同的；</w:t>
      </w:r>
    </w:p>
    <w:p w14:paraId="215879F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（3）在提交投标（响应）文件截止时间后撤回投标（响应）文件的；</w:t>
      </w:r>
    </w:p>
    <w:p w14:paraId="45DCAB0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（4）在投标（响应）文件中提供虚假材料的；</w:t>
      </w:r>
    </w:p>
    <w:p w14:paraId="015042E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（5）与采购人、其他供应商或者采购代理机构恶意串通的；</w:t>
      </w:r>
    </w:p>
    <w:p w14:paraId="117F14F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w:t>
      </w:r>
      <w:r>
        <w:rPr>
          <w:rFonts w:hint="eastAsia" w:ascii="宋体" w:hAnsi="宋体"/>
          <w:color w:val="000000"/>
          <w:szCs w:val="21"/>
          <w:highlight w:val="white"/>
        </w:rPr>
        <w:t>法律法规或者采购文件规定的其他情形。</w:t>
      </w:r>
    </w:p>
    <w:p w14:paraId="25BB2CD8">
      <w:pPr>
        <w:adjustRightInd w:val="0"/>
        <w:snapToGrid w:val="0"/>
        <w:spacing w:line="440" w:lineRule="exact"/>
        <w:ind w:firstLine="426"/>
        <w:jc w:val="left"/>
        <w:outlineLvl w:val="2"/>
        <w:rPr>
          <w:rFonts w:asciiTheme="minorEastAsia" w:hAnsiTheme="minorEastAsia" w:eastAsiaTheme="minorEastAsia"/>
          <w:b/>
          <w:bCs/>
        </w:rPr>
      </w:pPr>
      <w:bookmarkStart w:id="55" w:name="_Toc19128"/>
      <w:r>
        <w:rPr>
          <w:rFonts w:hint="eastAsia" w:asciiTheme="minorEastAsia" w:hAnsiTheme="minorEastAsia" w:eastAsiaTheme="minorEastAsia"/>
          <w:b/>
          <w:bCs/>
        </w:rPr>
        <w:t>18.分包</w:t>
      </w:r>
      <w:bookmarkEnd w:id="55"/>
    </w:p>
    <w:p w14:paraId="15C1A3E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18.1投标人拟在中标后将中标项目的非主体、非关键性工作进行分包的，应符合【投标须知前附表】规定的分包内容、分包金额和资质要求等限制性条件，并在投标文件中载明分包承担主体，且分包承担主体不得再次分包。</w:t>
      </w:r>
    </w:p>
    <w:p w14:paraId="67BC562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18.2中标人应当就分包项目向采购人负责，分包承担主体就分包项目承担连带责任。</w:t>
      </w:r>
    </w:p>
    <w:p w14:paraId="400DC4E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18.3不符合招标文件中有关分包规定的，其投标无效。</w:t>
      </w:r>
    </w:p>
    <w:p w14:paraId="3D09C434">
      <w:pPr>
        <w:adjustRightInd w:val="0"/>
        <w:snapToGrid w:val="0"/>
        <w:spacing w:line="440" w:lineRule="exact"/>
        <w:ind w:firstLine="426"/>
        <w:jc w:val="left"/>
        <w:outlineLvl w:val="2"/>
        <w:rPr>
          <w:rFonts w:asciiTheme="minorEastAsia" w:hAnsiTheme="minorEastAsia" w:eastAsiaTheme="minorEastAsia"/>
          <w:b/>
          <w:bCs/>
        </w:rPr>
      </w:pPr>
      <w:bookmarkStart w:id="56" w:name="_Toc32169"/>
      <w:r>
        <w:rPr>
          <w:rFonts w:hint="eastAsia" w:asciiTheme="minorEastAsia" w:hAnsiTheme="minorEastAsia" w:eastAsiaTheme="minorEastAsia"/>
          <w:b/>
          <w:bCs/>
        </w:rPr>
        <w:t>19. 投标文件的签署</w:t>
      </w:r>
      <w:bookmarkEnd w:id="56"/>
    </w:p>
    <w:p w14:paraId="265638C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19.1 招标项目分包的，投标人应按包分别编制、签署、封装提供投标文件。</w:t>
      </w:r>
    </w:p>
    <w:p w14:paraId="6E64FDC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19.2投标文件正本一份，副本份数见【投标须知前附表】；投标文件电子文档（U盘或光盘形式）：壹份。纸质投标文件须清楚地注明“正本”或“副本”的字样。若副本和正本不一致或电子版文件和纸质正本文件不一致时，以纸质正本文件为准。</w:t>
      </w:r>
    </w:p>
    <w:p w14:paraId="214BCA5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19.3投标文件正本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的，应提供法定代表人（单位负责人）授权委托书。投标文件的副本可以是正本文件的复印件。投标文件的正本与副本应分别装订成册，并编制目录。</w:t>
      </w:r>
    </w:p>
    <w:p w14:paraId="7D54B09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19.4投标文件中的任何行间插字、涂改和增删，改动的地方应加盖单位章或由投标人代表签字确认。不按上述要求签署的，其投标无效。</w:t>
      </w:r>
    </w:p>
    <w:p w14:paraId="471F6BF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19.5为便于采购文件保存，投标文件电子文档建议为PDF格式，内容与纸质投标文件正本一致。</w:t>
      </w:r>
    </w:p>
    <w:p w14:paraId="13FC59EB">
      <w:pPr>
        <w:pStyle w:val="4"/>
        <w:spacing w:before="156"/>
      </w:pPr>
      <w:bookmarkStart w:id="57" w:name="_Toc29560"/>
      <w:r>
        <w:rPr>
          <w:rFonts w:hint="eastAsia"/>
        </w:rPr>
        <w:t>四、投标</w:t>
      </w:r>
      <w:bookmarkEnd w:id="57"/>
    </w:p>
    <w:p w14:paraId="69DFFE5D">
      <w:pPr>
        <w:adjustRightInd w:val="0"/>
        <w:snapToGrid w:val="0"/>
        <w:spacing w:line="440" w:lineRule="exact"/>
        <w:ind w:firstLine="426"/>
        <w:jc w:val="left"/>
        <w:outlineLvl w:val="2"/>
        <w:rPr>
          <w:rFonts w:asciiTheme="minorEastAsia" w:hAnsiTheme="minorEastAsia" w:eastAsiaTheme="minorEastAsia"/>
          <w:b/>
          <w:bCs/>
        </w:rPr>
      </w:pPr>
      <w:bookmarkStart w:id="58" w:name="_Toc13520"/>
      <w:r>
        <w:rPr>
          <w:rFonts w:hint="eastAsia" w:asciiTheme="minorEastAsia" w:hAnsiTheme="minorEastAsia" w:eastAsiaTheme="minorEastAsia"/>
          <w:b/>
          <w:bCs/>
        </w:rPr>
        <w:t>20. 投标文件的密封和标记</w:t>
      </w:r>
      <w:bookmarkEnd w:id="58"/>
    </w:p>
    <w:p w14:paraId="3D8E440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20.1投标人应将投标文件密封包装以保证自己的投标信息在开标前不被透露。</w:t>
      </w:r>
    </w:p>
    <w:p w14:paraId="234D1D8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20</w:t>
      </w:r>
      <w:r>
        <w:rPr>
          <w:rFonts w:ascii="宋体" w:hAnsi="宋体"/>
          <w:szCs w:val="21"/>
          <w:highlight w:val="white"/>
        </w:rPr>
        <w:t>.2</w:t>
      </w:r>
      <w:r>
        <w:rPr>
          <w:rFonts w:hint="eastAsia" w:ascii="宋体" w:hAnsi="宋体"/>
          <w:szCs w:val="21"/>
          <w:highlight w:val="white"/>
        </w:rPr>
        <w:t>投标文件密封袋上应标明“投标项目名称”、“采购代理编号”、“正本”或“副本”和“于（开标时间） 之前不得开启”的字样。如果采购项目分包招标的，还应注明投标的包号。</w:t>
      </w:r>
    </w:p>
    <w:p w14:paraId="5DBA172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20</w:t>
      </w:r>
      <w:r>
        <w:rPr>
          <w:rFonts w:ascii="宋体" w:hAnsi="宋体"/>
          <w:szCs w:val="21"/>
          <w:highlight w:val="white"/>
        </w:rPr>
        <w:t>.</w:t>
      </w:r>
      <w:r>
        <w:rPr>
          <w:rFonts w:hint="eastAsia" w:ascii="宋体" w:hAnsi="宋体"/>
          <w:szCs w:val="21"/>
          <w:highlight w:val="white"/>
        </w:rPr>
        <w:t>3未按本章第 20.1 款要求密封的投标文件，采购人、采购代理机构应当拒收。</w:t>
      </w:r>
    </w:p>
    <w:p w14:paraId="4CBA3F32">
      <w:pPr>
        <w:adjustRightInd w:val="0"/>
        <w:snapToGrid w:val="0"/>
        <w:spacing w:line="440" w:lineRule="exact"/>
        <w:ind w:firstLine="426"/>
        <w:jc w:val="left"/>
        <w:outlineLvl w:val="2"/>
        <w:rPr>
          <w:rFonts w:asciiTheme="minorEastAsia" w:hAnsiTheme="minorEastAsia" w:eastAsiaTheme="minorEastAsia"/>
          <w:b/>
          <w:bCs/>
        </w:rPr>
      </w:pPr>
      <w:bookmarkStart w:id="59" w:name="_Toc23662"/>
      <w:r>
        <w:rPr>
          <w:rFonts w:hint="eastAsia" w:asciiTheme="minorEastAsia" w:hAnsiTheme="minorEastAsia" w:eastAsiaTheme="minorEastAsia"/>
          <w:b/>
          <w:bCs/>
        </w:rPr>
        <w:t>21. 投标截止期</w:t>
      </w:r>
      <w:bookmarkEnd w:id="59"/>
    </w:p>
    <w:p w14:paraId="532F839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21.1投标人应在【投标须知前附表】规定的投标截止时间前将投标文件密封送达【投标须知前附表】指定的投标地点。</w:t>
      </w:r>
    </w:p>
    <w:p w14:paraId="4031D2F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21.2逾期送达的投标文件，以及未通过资格预审的申请人提交的投标文件（实行资格预审的），采购人、采购代理机构应当拒收。</w:t>
      </w:r>
    </w:p>
    <w:p w14:paraId="43A48B5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21.3采购人、采购代理机构收到投标文件后，应当如实记载投标文件的送达时间和密封情况，签收保存，并向投标人出具包括</w:t>
      </w:r>
      <w:r>
        <w:rPr>
          <w:rFonts w:ascii="宋体" w:hAnsi="宋体"/>
          <w:szCs w:val="21"/>
          <w:highlight w:val="white"/>
        </w:rPr>
        <w:t>以下</w:t>
      </w:r>
      <w:r>
        <w:rPr>
          <w:rFonts w:hint="eastAsia" w:ascii="宋体" w:hAnsi="宋体"/>
          <w:szCs w:val="21"/>
          <w:highlight w:val="white"/>
        </w:rPr>
        <w:t>信息的签收回执。任何单位和个人不得在开标前开启投标文件。</w:t>
      </w:r>
    </w:p>
    <w:p w14:paraId="725E72A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w:t>
      </w:r>
      <w:r>
        <w:rPr>
          <w:rFonts w:ascii="宋体" w:hAnsi="宋体"/>
          <w:szCs w:val="21"/>
          <w:highlight w:val="white"/>
        </w:rPr>
        <w:t>项目名称</w:t>
      </w:r>
      <w:r>
        <w:rPr>
          <w:rFonts w:hint="eastAsia" w:ascii="宋体" w:hAnsi="宋体"/>
          <w:szCs w:val="21"/>
          <w:highlight w:val="white"/>
        </w:rPr>
        <w:t>、采购代理编号；</w:t>
      </w:r>
    </w:p>
    <w:p w14:paraId="4530D42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w:t>
      </w:r>
      <w:r>
        <w:rPr>
          <w:rFonts w:ascii="宋体" w:hAnsi="宋体"/>
          <w:szCs w:val="21"/>
          <w:highlight w:val="white"/>
        </w:rPr>
        <w:t>投标人名称</w:t>
      </w:r>
      <w:r>
        <w:rPr>
          <w:rFonts w:hint="eastAsia" w:ascii="宋体" w:hAnsi="宋体"/>
          <w:szCs w:val="21"/>
          <w:highlight w:val="white"/>
        </w:rPr>
        <w:t>；</w:t>
      </w:r>
    </w:p>
    <w:p w14:paraId="7D7F6A7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（3）投标文件送达</w:t>
      </w:r>
      <w:r>
        <w:rPr>
          <w:rFonts w:ascii="宋体" w:hAnsi="宋体"/>
          <w:szCs w:val="21"/>
          <w:highlight w:val="white"/>
        </w:rPr>
        <w:t>时间</w:t>
      </w:r>
      <w:r>
        <w:rPr>
          <w:rFonts w:hint="eastAsia" w:ascii="宋体" w:hAnsi="宋体"/>
          <w:szCs w:val="21"/>
          <w:highlight w:val="white"/>
        </w:rPr>
        <w:t>、地址；</w:t>
      </w:r>
    </w:p>
    <w:p w14:paraId="4EE5B36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w:t>
      </w:r>
      <w:r>
        <w:rPr>
          <w:rFonts w:ascii="宋体" w:hAnsi="宋体"/>
          <w:szCs w:val="21"/>
          <w:highlight w:val="white"/>
        </w:rPr>
        <w:t>投标文件密封情况</w:t>
      </w:r>
      <w:r>
        <w:rPr>
          <w:rFonts w:hint="eastAsia" w:ascii="宋体" w:hAnsi="宋体"/>
          <w:szCs w:val="21"/>
          <w:highlight w:val="white"/>
        </w:rPr>
        <w:t>；</w:t>
      </w:r>
    </w:p>
    <w:p w14:paraId="305529F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（5）采购代理机构名称；</w:t>
      </w:r>
    </w:p>
    <w:p w14:paraId="170CB18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（6）采购代理机构</w:t>
      </w:r>
      <w:r>
        <w:rPr>
          <w:rFonts w:ascii="宋体" w:hAnsi="宋体"/>
          <w:szCs w:val="21"/>
          <w:highlight w:val="white"/>
        </w:rPr>
        <w:t>接收人签字</w:t>
      </w:r>
      <w:r>
        <w:rPr>
          <w:rFonts w:hint="eastAsia" w:ascii="宋体" w:hAnsi="宋体"/>
          <w:szCs w:val="21"/>
          <w:highlight w:val="white"/>
        </w:rPr>
        <w:t>。</w:t>
      </w:r>
    </w:p>
    <w:p w14:paraId="7F702C5D">
      <w:pPr>
        <w:adjustRightInd w:val="0"/>
        <w:snapToGrid w:val="0"/>
        <w:spacing w:line="440" w:lineRule="exact"/>
        <w:ind w:firstLine="426"/>
        <w:jc w:val="left"/>
        <w:outlineLvl w:val="2"/>
        <w:rPr>
          <w:rFonts w:asciiTheme="minorEastAsia" w:hAnsiTheme="minorEastAsia" w:eastAsiaTheme="minorEastAsia"/>
          <w:b/>
          <w:bCs/>
        </w:rPr>
      </w:pPr>
      <w:bookmarkStart w:id="60" w:name="_Toc26330"/>
      <w:r>
        <w:rPr>
          <w:rFonts w:hint="eastAsia" w:asciiTheme="minorEastAsia" w:hAnsiTheme="minorEastAsia" w:eastAsiaTheme="minorEastAsia"/>
          <w:b/>
          <w:bCs/>
        </w:rPr>
        <w:t>22. 投标文件的修改和撤回</w:t>
      </w:r>
      <w:bookmarkEnd w:id="60"/>
    </w:p>
    <w:p w14:paraId="21B59FB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22.1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14:paraId="0B0CEB1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22.2采购人、采购代理机构对投标人提交的投标文件修改或者撤回的书面通知，按照本章第21.3款规定如实记载、签收保存，并向投标人出具签收回执。</w:t>
      </w:r>
    </w:p>
    <w:p w14:paraId="441A04E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22.3投标人在提交投标文件的截止时间前撤回已提交的投标文件的，采购人、采购代理机构应当自收到投标人书面撤回通知之日起５个工作日内，退还已收取的投标保证金，但因投标人自身原因导致无法及时退还的除外。</w:t>
      </w:r>
    </w:p>
    <w:p w14:paraId="7804ED24">
      <w:pPr>
        <w:adjustRightInd w:val="0"/>
        <w:snapToGrid w:val="0"/>
        <w:spacing w:line="440" w:lineRule="exact"/>
        <w:ind w:firstLine="426"/>
        <w:jc w:val="left"/>
        <w:outlineLvl w:val="2"/>
        <w:rPr>
          <w:rFonts w:asciiTheme="minorEastAsia" w:hAnsiTheme="minorEastAsia" w:eastAsiaTheme="minorEastAsia"/>
          <w:b/>
          <w:bCs/>
        </w:rPr>
      </w:pPr>
      <w:bookmarkStart w:id="61" w:name="_Toc14131"/>
      <w:r>
        <w:rPr>
          <w:rFonts w:hint="eastAsia" w:asciiTheme="minorEastAsia" w:hAnsiTheme="minorEastAsia" w:eastAsiaTheme="minorEastAsia"/>
          <w:b/>
          <w:bCs/>
        </w:rPr>
        <w:t>23. 串通投标行为</w:t>
      </w:r>
      <w:bookmarkEnd w:id="61"/>
    </w:p>
    <w:p w14:paraId="2F55352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23.1有下列情形之一的，属于恶意串通，对投标人依照政府采购法第七十七条第一款的规定追究法律责任：</w:t>
      </w:r>
    </w:p>
    <w:p w14:paraId="6E1EEEA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（1）投标人直接或者间接从采购人或者采购代理机构处获得其他投标人的相关情况并修改其投标文件；</w:t>
      </w:r>
    </w:p>
    <w:p w14:paraId="2583CA8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（2）投标人按照采购人或者采购代理机构的授意撤换、修改投标文件；</w:t>
      </w:r>
    </w:p>
    <w:p w14:paraId="06E1C59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（3）投标人之间协商报价、技术方案等投标文件的实质性内容；</w:t>
      </w:r>
    </w:p>
    <w:p w14:paraId="0A9A20F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（4）属于同一集团、协会、商会等组织成员的投标人按照该组织要求协同参加政府采购活动；</w:t>
      </w:r>
    </w:p>
    <w:p w14:paraId="50CBC7A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（5）投标人之间事先约定由某一特定投标人中标；</w:t>
      </w:r>
    </w:p>
    <w:p w14:paraId="1507719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（6）投标人之间商定部分投标人放弃参加政府采购活动或者放弃中标；</w:t>
      </w:r>
    </w:p>
    <w:p w14:paraId="57D706F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（7）投标人与采购人或者采购代理机构之间、投标人相互之间，为谋求特定投标人中标或者排斥其他投标人的其他串通行为。</w:t>
      </w:r>
    </w:p>
    <w:p w14:paraId="32E5371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23.2有下列情形之一的，视为投标人串通投标，其投标无效：</w:t>
      </w:r>
    </w:p>
    <w:p w14:paraId="726A262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（1）不同投标人的投标文件由同一单位或者个人编制；</w:t>
      </w:r>
    </w:p>
    <w:p w14:paraId="7B38F6B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（2）不同投标人委托同一单位或者个人办理投标事宜；</w:t>
      </w:r>
    </w:p>
    <w:p w14:paraId="15CB937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（3）不同投标人的投标文件载明的项目管理成员或者联系人员为同一人；</w:t>
      </w:r>
    </w:p>
    <w:p w14:paraId="66063F2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（4）不同投标人的投标文件异常一致或者投标报价呈规律性差异；</w:t>
      </w:r>
    </w:p>
    <w:p w14:paraId="602463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（5）不同投标人的投标文件相互混装；</w:t>
      </w:r>
    </w:p>
    <w:p w14:paraId="71973CE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（6）不同投标人的投标保证金从同一单位或者个人的账户转出。</w:t>
      </w:r>
    </w:p>
    <w:p w14:paraId="6686BBB6">
      <w:pPr>
        <w:pStyle w:val="4"/>
        <w:spacing w:before="156"/>
      </w:pPr>
      <w:bookmarkStart w:id="62" w:name="_Toc23806"/>
      <w:r>
        <w:rPr>
          <w:rFonts w:hint="eastAsia"/>
        </w:rPr>
        <w:t>五、开标，资格审查和评标</w:t>
      </w:r>
      <w:bookmarkEnd w:id="62"/>
    </w:p>
    <w:p w14:paraId="467D559E">
      <w:pPr>
        <w:adjustRightInd w:val="0"/>
        <w:snapToGrid w:val="0"/>
        <w:spacing w:line="440" w:lineRule="exact"/>
        <w:ind w:firstLine="426"/>
        <w:jc w:val="left"/>
        <w:outlineLvl w:val="2"/>
        <w:rPr>
          <w:rFonts w:asciiTheme="minorEastAsia" w:hAnsiTheme="minorEastAsia" w:eastAsiaTheme="minorEastAsia"/>
          <w:b/>
          <w:bCs/>
        </w:rPr>
      </w:pPr>
      <w:bookmarkStart w:id="63" w:name="_Toc13833"/>
      <w:r>
        <w:rPr>
          <w:rFonts w:hint="eastAsia" w:asciiTheme="minorEastAsia" w:hAnsiTheme="minorEastAsia" w:eastAsiaTheme="minorEastAsia"/>
          <w:b/>
          <w:bCs/>
        </w:rPr>
        <w:t>24. 开标</w:t>
      </w:r>
      <w:bookmarkEnd w:id="63"/>
    </w:p>
    <w:p w14:paraId="4D8CC2D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24.1采购人、采购代理机构在【投标须知前附表】规定的开标地点组织开标，并邀请投标人参加。投标人未参加开标的，视同认可开标结果。</w:t>
      </w:r>
    </w:p>
    <w:p w14:paraId="5305484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24.2开标时，由投标人或其推选的代表检查投标文件的密封情况；经确认无误后，由采购人、采购代理机构当众拆封投标文件，宣读投标人名称、投标价格和【投标须知前附表】规定需要宣布的其他内容。投标人不足3家的，不得开标。</w:t>
      </w:r>
    </w:p>
    <w:p w14:paraId="228CC7E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24.3开标过程应当由采购人、采购代理机构负责记录，由参加开标的各投标人代表和相关工作人员签字确认后随采购文件一并存档。</w:t>
      </w:r>
    </w:p>
    <w:p w14:paraId="3FA8294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24.4投标人代表对开标过程和开标记录有疑义，以及认为采购人、采购代理机构相关工作人员有《政府采购法实施条例》第九条第一款需要回避的情形的，应当场提出询问或者回避申请。</w:t>
      </w:r>
    </w:p>
    <w:p w14:paraId="602E6A7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24.5采购人、采购代理机构对投标人代表当场提出的询问或者回避申请，按《政府采购法实施条例》有关规定及时处理。</w:t>
      </w:r>
    </w:p>
    <w:p w14:paraId="1EAC697A">
      <w:pPr>
        <w:adjustRightInd w:val="0"/>
        <w:snapToGrid w:val="0"/>
        <w:spacing w:line="440" w:lineRule="exact"/>
        <w:ind w:firstLine="426"/>
        <w:jc w:val="left"/>
        <w:outlineLvl w:val="2"/>
        <w:rPr>
          <w:rFonts w:asciiTheme="minorEastAsia" w:hAnsiTheme="minorEastAsia" w:eastAsiaTheme="minorEastAsia"/>
          <w:b/>
          <w:bCs/>
        </w:rPr>
      </w:pPr>
      <w:bookmarkStart w:id="64" w:name="_Toc24278"/>
      <w:r>
        <w:rPr>
          <w:rFonts w:hint="eastAsia" w:asciiTheme="minorEastAsia" w:hAnsiTheme="minorEastAsia" w:eastAsiaTheme="minorEastAsia"/>
          <w:b/>
          <w:bCs/>
        </w:rPr>
        <w:t>25. 资格审查</w:t>
      </w:r>
      <w:bookmarkEnd w:id="64"/>
    </w:p>
    <w:p w14:paraId="6628672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25.1开标结束后，采购人、采购代理机构依法按照第三章“资格审查”规定组织资格审查。</w:t>
      </w:r>
    </w:p>
    <w:p w14:paraId="6B9E595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25.2资格审查结束后，采购人、采购代理机构应将资格审查结果告知评标委员会。资格审查不合格投标人不进入评标；资格审查合格投标人少于3家的，不得评标。</w:t>
      </w:r>
    </w:p>
    <w:p w14:paraId="4690AEE2">
      <w:pPr>
        <w:adjustRightInd w:val="0"/>
        <w:snapToGrid w:val="0"/>
        <w:spacing w:line="440" w:lineRule="exact"/>
        <w:ind w:firstLine="426"/>
        <w:jc w:val="left"/>
        <w:outlineLvl w:val="2"/>
        <w:rPr>
          <w:rFonts w:asciiTheme="minorEastAsia" w:hAnsiTheme="minorEastAsia" w:eastAsiaTheme="minorEastAsia"/>
          <w:b/>
          <w:bCs/>
        </w:rPr>
      </w:pPr>
      <w:bookmarkStart w:id="65" w:name="_Toc20241"/>
      <w:r>
        <w:rPr>
          <w:rFonts w:hint="eastAsia" w:asciiTheme="minorEastAsia" w:hAnsiTheme="minorEastAsia" w:eastAsiaTheme="minorEastAsia"/>
          <w:b/>
          <w:bCs/>
        </w:rPr>
        <w:t>26. 评标委员会</w:t>
      </w:r>
      <w:bookmarkEnd w:id="65"/>
    </w:p>
    <w:p w14:paraId="2B8D19D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26.1评标由依法组建的评标委员会负责，评标委员会由采购人代表和评审专家组成。</w:t>
      </w:r>
    </w:p>
    <w:p w14:paraId="1C345C2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26.2评标委员会成员有下列情形之一的，应当回避：</w:t>
      </w:r>
    </w:p>
    <w:p w14:paraId="665CB02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（1）参加采购活动前三年内,与投标人存在劳动关系,或者担任过投标人的董事、监事,或者是投标人的控股股东或实际控制人；</w:t>
      </w:r>
    </w:p>
    <w:p w14:paraId="170D13B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（2）与投标人的法定代表人或者负责人有夫妻、直系血亲、三代以内旁系血亲或者近姻亲关系；</w:t>
      </w:r>
    </w:p>
    <w:p w14:paraId="0D40DC4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（3）与投标人有其他可能影响政府采购活动公平、公正进行的关系。</w:t>
      </w:r>
    </w:p>
    <w:p w14:paraId="077016F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26.3评标委员会负责具体评标事务，并独立履行下列职责：</w:t>
      </w:r>
    </w:p>
    <w:p w14:paraId="1C99251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（1）审查、评价投标文件是否符合招标文件的商务、技术等实质性要求；</w:t>
      </w:r>
    </w:p>
    <w:p w14:paraId="0DF3A1A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（2）要求投标人对投标文件有关事项作出澄清或者说明；</w:t>
      </w:r>
    </w:p>
    <w:p w14:paraId="3F1AC94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（3）对投标文件进行比较和评价；</w:t>
      </w:r>
    </w:p>
    <w:p w14:paraId="7A30761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（4）确定中标候选人名单，以及根据采购人委托直接确定中标人。</w:t>
      </w:r>
    </w:p>
    <w:p w14:paraId="366DB447">
      <w:pPr>
        <w:adjustRightInd w:val="0"/>
        <w:snapToGrid w:val="0"/>
        <w:spacing w:line="440" w:lineRule="exact"/>
        <w:ind w:firstLine="426"/>
        <w:jc w:val="left"/>
        <w:outlineLvl w:val="2"/>
        <w:rPr>
          <w:rFonts w:asciiTheme="minorEastAsia" w:hAnsiTheme="minorEastAsia" w:eastAsiaTheme="minorEastAsia"/>
          <w:b/>
          <w:bCs/>
        </w:rPr>
      </w:pPr>
      <w:bookmarkStart w:id="66" w:name="_Toc27431"/>
      <w:r>
        <w:rPr>
          <w:rFonts w:hint="eastAsia" w:asciiTheme="minorEastAsia" w:hAnsiTheme="minorEastAsia" w:eastAsiaTheme="minorEastAsia"/>
          <w:b/>
          <w:bCs/>
        </w:rPr>
        <w:t>27. 评标</w:t>
      </w:r>
      <w:bookmarkEnd w:id="66"/>
    </w:p>
    <w:p w14:paraId="3FA5805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27.1评标委员会按照第四章“评标方法及标准”规定的评标方法、评审因素、标准和程序以及有关法律、法规及规章对投标文件进行评审。</w:t>
      </w:r>
    </w:p>
    <w:p w14:paraId="17FB0233">
      <w:pPr>
        <w:adjustRightInd w:val="0"/>
        <w:snapToGrid w:val="0"/>
        <w:spacing w:line="440" w:lineRule="exact"/>
        <w:ind w:firstLine="426"/>
        <w:jc w:val="left"/>
        <w:outlineLvl w:val="2"/>
        <w:rPr>
          <w:rFonts w:asciiTheme="minorEastAsia" w:hAnsiTheme="minorEastAsia" w:eastAsiaTheme="minorEastAsia"/>
          <w:b/>
          <w:bCs/>
        </w:rPr>
      </w:pPr>
      <w:bookmarkStart w:id="67" w:name="_Toc62206152"/>
      <w:bookmarkStart w:id="68" w:name="_Toc2692"/>
      <w:bookmarkStart w:id="69" w:name="_Toc66776830"/>
      <w:bookmarkStart w:id="70" w:name="_Toc62225276"/>
      <w:r>
        <w:rPr>
          <w:rFonts w:hint="eastAsia" w:asciiTheme="minorEastAsia" w:hAnsiTheme="minorEastAsia" w:eastAsiaTheme="minorEastAsia"/>
          <w:b/>
          <w:bCs/>
        </w:rPr>
        <w:t>28.保密</w:t>
      </w:r>
      <w:bookmarkEnd w:id="67"/>
      <w:bookmarkEnd w:id="68"/>
      <w:bookmarkEnd w:id="69"/>
      <w:bookmarkEnd w:id="70"/>
    </w:p>
    <w:p w14:paraId="22E9F7C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28.1评标委员会成员以及与评标工作有关的人员不得泄露评审情况以及评审过程中获悉的国家秘密、商业秘密。</w:t>
      </w:r>
    </w:p>
    <w:p w14:paraId="4FC1F7C0">
      <w:pPr>
        <w:pStyle w:val="4"/>
        <w:spacing w:before="156"/>
      </w:pPr>
      <w:bookmarkStart w:id="71" w:name="_Toc25536"/>
      <w:r>
        <w:rPr>
          <w:rFonts w:hint="eastAsia"/>
        </w:rPr>
        <w:t>六、中标信息公布</w:t>
      </w:r>
      <w:bookmarkEnd w:id="71"/>
    </w:p>
    <w:p w14:paraId="2506226F">
      <w:pPr>
        <w:adjustRightInd w:val="0"/>
        <w:snapToGrid w:val="0"/>
        <w:spacing w:line="440" w:lineRule="exact"/>
        <w:ind w:firstLine="426"/>
        <w:jc w:val="left"/>
        <w:outlineLvl w:val="2"/>
        <w:rPr>
          <w:rFonts w:asciiTheme="minorEastAsia" w:hAnsiTheme="minorEastAsia" w:eastAsiaTheme="minorEastAsia"/>
          <w:b/>
          <w:bCs/>
        </w:rPr>
      </w:pPr>
      <w:bookmarkStart w:id="72" w:name="_Toc15233"/>
      <w:r>
        <w:rPr>
          <w:rFonts w:hint="eastAsia" w:asciiTheme="minorEastAsia" w:hAnsiTheme="minorEastAsia" w:eastAsiaTheme="minorEastAsia"/>
          <w:b/>
          <w:bCs/>
        </w:rPr>
        <w:t>29.中标通知书与中标信息公布</w:t>
      </w:r>
      <w:bookmarkEnd w:id="72"/>
    </w:p>
    <w:p w14:paraId="2B9B4BE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29.1采购代理机构应当在评标结束后2个工作日内将评标报告送采购人。</w:t>
      </w:r>
    </w:p>
    <w:p w14:paraId="6985EFE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29.2采购人应当自收到评标报告之日起5个工作日内，在评标报告确定的中标候选人名单中按顺序确定中标人。中标候选人并列的，按照【投标须知前附表】规定的方式确定中标人；招标文件未规定的，采取随机抽取的方式确定。</w:t>
      </w:r>
    </w:p>
    <w:p w14:paraId="6FA1439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29.3采购人、采购代理机构应当自采购人确定中标供应商之日起2个工作日内，发出中标通知书，并在招标公告指定媒体上公告中标结果，招标文件随中标结果同时公告，中标结果公告期限为１个工作日。</w:t>
      </w:r>
    </w:p>
    <w:p w14:paraId="30E14C99">
      <w:pPr>
        <w:pStyle w:val="4"/>
        <w:spacing w:before="156"/>
      </w:pPr>
      <w:bookmarkStart w:id="73" w:name="_Toc11663"/>
      <w:r>
        <w:rPr>
          <w:rFonts w:hint="eastAsia"/>
        </w:rPr>
        <w:t>七、询问和质疑</w:t>
      </w:r>
      <w:bookmarkEnd w:id="73"/>
    </w:p>
    <w:p w14:paraId="1EF67255">
      <w:pPr>
        <w:adjustRightInd w:val="0"/>
        <w:snapToGrid w:val="0"/>
        <w:spacing w:line="440" w:lineRule="exact"/>
        <w:ind w:firstLine="426"/>
        <w:jc w:val="left"/>
        <w:outlineLvl w:val="2"/>
        <w:rPr>
          <w:rFonts w:asciiTheme="minorEastAsia" w:hAnsiTheme="minorEastAsia" w:eastAsiaTheme="minorEastAsia"/>
          <w:b/>
          <w:bCs/>
        </w:rPr>
      </w:pPr>
      <w:bookmarkStart w:id="74" w:name="_Toc16483"/>
      <w:r>
        <w:rPr>
          <w:rFonts w:hint="eastAsia" w:asciiTheme="minorEastAsia" w:hAnsiTheme="minorEastAsia" w:eastAsiaTheme="minorEastAsia"/>
          <w:b/>
          <w:bCs/>
        </w:rPr>
        <w:t>30. 投标人询问及质疑</w:t>
      </w:r>
      <w:bookmarkEnd w:id="74"/>
    </w:p>
    <w:p w14:paraId="17353A5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30.1投标人对政府采购活动事项有疑问的，可以向采购人、采购代理机构提出询问。采购人或采购代理机构将在3个工作日内作出答复。</w:t>
      </w:r>
    </w:p>
    <w:p w14:paraId="7979153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30.2投标人认为招标文件、采购过程和中标结果使自己的权益受到损害的，可以在知道或者应知其权益受到损害之日起7个工作日内，按《湖南省财政厅关于印发＜政府采购质疑答复和投诉处理操作规程＞的通知》(湘财购〔2024〕67号)规定，以书面形式一次性向采购人、采购代理机构提出质疑。</w:t>
      </w:r>
    </w:p>
    <w:p w14:paraId="19EDA4E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30.3投标人提出质疑的，应按照《湖南省财政厅关于印发＜政府采购质疑答复和投诉处理操作规程＞的通知》规定制作、签署、送达。采购人、采购代理机构接收质疑函的联系部门、联系电话和通讯地址见【投标须知前附表】。</w:t>
      </w:r>
    </w:p>
    <w:p w14:paraId="7E05C21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30.4采购人、采购代理机构按照《政府采购质疑答复和投诉办法》(财政部令94号)规定进行质疑答复。</w:t>
      </w:r>
    </w:p>
    <w:p w14:paraId="7D74C61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w:t>
      </w:r>
      <w:r>
        <w:rPr>
          <w:rFonts w:ascii="宋体" w:hAnsi="宋体"/>
          <w:szCs w:val="21"/>
          <w:highlight w:val="white"/>
        </w:rPr>
        <w:t>.</w:t>
      </w:r>
      <w:r>
        <w:rPr>
          <w:rFonts w:hint="eastAsia" w:ascii="宋体" w:hAnsi="宋体"/>
          <w:szCs w:val="21"/>
          <w:highlight w:val="white"/>
        </w:rPr>
        <w:t>5投标人对采购人、采购代理机构的答复不满意，或采购人或采购代理机构未在规定的期限作出答复的，可在答复期满后15个工作日内，按照《政府采购质疑答复和投诉办法》(财政部令94号)规定向采购人同级财政部门提出投诉。</w:t>
      </w:r>
    </w:p>
    <w:p w14:paraId="11D923CA">
      <w:pPr>
        <w:pStyle w:val="4"/>
        <w:spacing w:before="156"/>
      </w:pPr>
      <w:bookmarkStart w:id="75" w:name="_Toc3612"/>
      <w:r>
        <w:rPr>
          <w:rFonts w:hint="eastAsia"/>
        </w:rPr>
        <w:t>八、合同签订</w:t>
      </w:r>
      <w:bookmarkEnd w:id="75"/>
    </w:p>
    <w:p w14:paraId="0F88D292">
      <w:pPr>
        <w:adjustRightInd w:val="0"/>
        <w:snapToGrid w:val="0"/>
        <w:spacing w:line="440" w:lineRule="exact"/>
        <w:ind w:firstLine="426"/>
        <w:jc w:val="left"/>
        <w:outlineLvl w:val="2"/>
        <w:rPr>
          <w:rFonts w:asciiTheme="minorEastAsia" w:hAnsiTheme="minorEastAsia" w:eastAsiaTheme="minorEastAsia"/>
          <w:b/>
          <w:bCs/>
        </w:rPr>
      </w:pPr>
      <w:bookmarkStart w:id="76" w:name="_Toc3781"/>
      <w:r>
        <w:rPr>
          <w:rFonts w:hint="eastAsia" w:asciiTheme="minorEastAsia" w:hAnsiTheme="minorEastAsia" w:eastAsiaTheme="minorEastAsia"/>
          <w:b/>
          <w:bCs/>
        </w:rPr>
        <w:t>31. 签订合同</w:t>
      </w:r>
      <w:bookmarkEnd w:id="76"/>
    </w:p>
    <w:p w14:paraId="7EA8F37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31.1采购人应自中标通知书发出之日起30日内，按中标通知书指定的时间、地点与中标人签订政府采购合同。所签订的合同不得对招标文件确定的事项和中标人投标文件作实质性修改。</w:t>
      </w:r>
    </w:p>
    <w:p w14:paraId="4583EA1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31.2招标文件、中标人的投标文件均为签订合同的依据。</w:t>
      </w:r>
    </w:p>
    <w:p w14:paraId="0DBA68F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31.3联合体中标的，联合体各方应当共同与采购人签订合同，就中标项目向采购人承担连带责任。</w:t>
      </w:r>
    </w:p>
    <w:p w14:paraId="699CF1B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w:t>
      </w:r>
      <w:r>
        <w:rPr>
          <w:rFonts w:ascii="宋体" w:hAnsi="宋体"/>
          <w:szCs w:val="21"/>
          <w:highlight w:val="white"/>
        </w:rPr>
        <w:t>.4</w:t>
      </w:r>
      <w:r>
        <w:rPr>
          <w:rFonts w:hint="eastAsia" w:ascii="宋体" w:hAnsi="宋体"/>
          <w:szCs w:val="21"/>
          <w:highlight w:val="white"/>
        </w:rPr>
        <w:t>中标合同将在招标公告指定媒体上公告，但合同中涉及国家秘密、商业秘密的内容除外。</w:t>
      </w:r>
    </w:p>
    <w:p w14:paraId="154B857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31.5中标人应当按照合同约定依法履行合同义务。政府采购合同的履行、违约责任和解决争议的方法等适用《中华人民共和国民法典》。</w:t>
      </w:r>
    </w:p>
    <w:p w14:paraId="2630BB14">
      <w:pPr>
        <w:adjustRightInd w:val="0"/>
        <w:snapToGrid w:val="0"/>
        <w:spacing w:line="440" w:lineRule="exact"/>
        <w:ind w:firstLine="426"/>
        <w:jc w:val="left"/>
        <w:outlineLvl w:val="2"/>
        <w:rPr>
          <w:rFonts w:asciiTheme="minorEastAsia" w:hAnsiTheme="minorEastAsia" w:eastAsiaTheme="minorEastAsia"/>
          <w:b/>
          <w:bCs/>
        </w:rPr>
      </w:pPr>
      <w:bookmarkStart w:id="77" w:name="_Toc6657"/>
      <w:r>
        <w:rPr>
          <w:rFonts w:hint="eastAsia" w:asciiTheme="minorEastAsia" w:hAnsiTheme="minorEastAsia" w:eastAsiaTheme="minorEastAsia"/>
          <w:b/>
          <w:bCs/>
        </w:rPr>
        <w:t>32. 履约担保</w:t>
      </w:r>
      <w:bookmarkEnd w:id="77"/>
    </w:p>
    <w:p w14:paraId="254A810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32.1招标文件要求中标人向采购人提交履约担保的，中标人应按照【投标须知前附表】的规定提交。联合体中标的，履约担保由联合体各方或联合体中牵头人的名义提交。</w:t>
      </w:r>
    </w:p>
    <w:p w14:paraId="6ACB43E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32.2中标人没有按照本章第31.1款规定提交履约担保的，视为放弃中标，其投标保证金不予退还。</w:t>
      </w:r>
    </w:p>
    <w:p w14:paraId="46C9CE62">
      <w:pPr>
        <w:adjustRightInd w:val="0"/>
        <w:snapToGrid w:val="0"/>
        <w:spacing w:line="440" w:lineRule="exact"/>
        <w:ind w:firstLine="426"/>
        <w:jc w:val="left"/>
        <w:outlineLvl w:val="2"/>
        <w:rPr>
          <w:rFonts w:asciiTheme="minorEastAsia" w:hAnsiTheme="minorEastAsia" w:eastAsiaTheme="minorEastAsia"/>
          <w:b/>
          <w:bCs/>
        </w:rPr>
      </w:pPr>
      <w:bookmarkStart w:id="78" w:name="_Toc12439"/>
      <w:r>
        <w:rPr>
          <w:rFonts w:hint="eastAsia" w:asciiTheme="minorEastAsia" w:hAnsiTheme="minorEastAsia" w:eastAsiaTheme="minorEastAsia"/>
          <w:b/>
          <w:bCs/>
        </w:rPr>
        <w:t>33. 政府采购合同履行中数量的变更</w:t>
      </w:r>
      <w:bookmarkEnd w:id="78"/>
    </w:p>
    <w:p w14:paraId="0EF5B44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33.1政府采购合同履行中，采购人需追加与合同标的相同的货物服务的，在不改变合同其他条款的前提下，可以与中标人协商签订补充合同，但所有补充合同的采购金额不得超过原合同采购金额的百分之十。</w:t>
      </w:r>
    </w:p>
    <w:p w14:paraId="4F9AC302">
      <w:pPr>
        <w:adjustRightInd w:val="0"/>
        <w:snapToGrid w:val="0"/>
        <w:spacing w:line="440" w:lineRule="exact"/>
        <w:ind w:firstLine="426"/>
        <w:jc w:val="left"/>
        <w:outlineLvl w:val="2"/>
        <w:rPr>
          <w:rFonts w:asciiTheme="minorEastAsia" w:hAnsiTheme="minorEastAsia" w:eastAsiaTheme="minorEastAsia"/>
          <w:b/>
          <w:bCs/>
        </w:rPr>
      </w:pPr>
      <w:bookmarkStart w:id="79" w:name="_Toc62225284"/>
      <w:bookmarkStart w:id="80" w:name="_Toc62206159"/>
      <w:bookmarkStart w:id="81" w:name="_Toc25638"/>
      <w:bookmarkStart w:id="82" w:name="_Toc66776838"/>
      <w:r>
        <w:rPr>
          <w:rFonts w:hint="eastAsia" w:asciiTheme="minorEastAsia" w:hAnsiTheme="minorEastAsia" w:eastAsiaTheme="minorEastAsia"/>
          <w:b/>
          <w:bCs/>
        </w:rPr>
        <w:t>34.禁止行为</w:t>
      </w:r>
      <w:bookmarkEnd w:id="79"/>
      <w:bookmarkEnd w:id="80"/>
      <w:bookmarkEnd w:id="81"/>
      <w:bookmarkEnd w:id="82"/>
    </w:p>
    <w:p w14:paraId="7B5BB11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34.1 供应商不得与采购人、采购代理机构、其他供应商恶意串通；不得向采购人、采购代理机构或者评标委员会成员行贿或者提供其他不正当利益；不得提供虚假材料谋取中标；不得以任何方式干扰、影响采购工作。</w:t>
      </w:r>
    </w:p>
    <w:p w14:paraId="38A54CB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34.2中标供应商有下列情形之一的，责令限期改正，情节严重的，列入不良行为记录名单，在1至3年内禁止参加政府采购活动，并予以通报：</w:t>
      </w:r>
    </w:p>
    <w:p w14:paraId="0311B11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（1）中标后无正当理由不与采购人签订合同的；</w:t>
      </w:r>
    </w:p>
    <w:p w14:paraId="4FFDC79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（2）未按照招标文件确定的事项签订政府采购合同，或者与采购人另行订立背离合同实质性内容的协议的；</w:t>
      </w:r>
    </w:p>
    <w:p w14:paraId="437CC9A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（3）拒绝履行合同义务的；</w:t>
      </w:r>
    </w:p>
    <w:p w14:paraId="7E2EAFC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（4）违反法律、规章、规范性文件规定的。</w:t>
      </w:r>
    </w:p>
    <w:p w14:paraId="7DB9A655">
      <w:pPr>
        <w:pStyle w:val="4"/>
        <w:spacing w:before="156"/>
      </w:pPr>
      <w:bookmarkStart w:id="83" w:name="_Toc17142"/>
      <w:r>
        <w:rPr>
          <w:rFonts w:hint="eastAsia"/>
        </w:rPr>
        <w:t>九、政府采购政策</w:t>
      </w:r>
      <w:bookmarkEnd w:id="83"/>
    </w:p>
    <w:p w14:paraId="01D82BE1">
      <w:pPr>
        <w:adjustRightInd w:val="0"/>
        <w:snapToGrid w:val="0"/>
        <w:spacing w:line="440" w:lineRule="exact"/>
        <w:ind w:firstLine="426"/>
        <w:jc w:val="left"/>
        <w:outlineLvl w:val="2"/>
        <w:rPr>
          <w:rFonts w:asciiTheme="minorEastAsia" w:hAnsiTheme="minorEastAsia" w:eastAsiaTheme="minorEastAsia"/>
          <w:b/>
          <w:bCs/>
        </w:rPr>
      </w:pPr>
      <w:bookmarkStart w:id="84" w:name="_Toc66776843"/>
      <w:bookmarkStart w:id="85" w:name="_Toc62206164"/>
      <w:bookmarkStart w:id="86" w:name="_Toc62225289"/>
      <w:bookmarkStart w:id="87" w:name="_Toc23489"/>
      <w:r>
        <w:rPr>
          <w:rFonts w:hint="eastAsia" w:asciiTheme="minorEastAsia" w:hAnsiTheme="minorEastAsia" w:eastAsiaTheme="minorEastAsia"/>
          <w:b/>
          <w:bCs/>
        </w:rPr>
        <w:t>35.</w:t>
      </w:r>
      <w:bookmarkEnd w:id="84"/>
      <w:bookmarkEnd w:id="85"/>
      <w:bookmarkEnd w:id="86"/>
      <w:r>
        <w:rPr>
          <w:rFonts w:hint="eastAsia" w:asciiTheme="minorEastAsia" w:hAnsiTheme="minorEastAsia" w:eastAsiaTheme="minorEastAsia"/>
          <w:b/>
          <w:bCs/>
        </w:rPr>
        <w:t>政府采购政策</w:t>
      </w:r>
      <w:bookmarkEnd w:id="87"/>
    </w:p>
    <w:p w14:paraId="60F9CA0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在政府采购活动中，供应商提供的货物、工程或者服务符合下列情形的：（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给予一定比例的价格折扣，用扣除后的价格参与评审；</w:t>
      </w:r>
    </w:p>
    <w:p w14:paraId="09A8382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对于经主管预算单位统筹后未预留份额专门面向中小企业采购的采购项目，以及预留份额项目中的非预留部分采购包，符合小微企业生产的货物或者提供的服务、工程情形的，给予一定比例的价格折扣，用扣除后的价格参与评审。</w:t>
      </w:r>
    </w:p>
    <w:p w14:paraId="4143B71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接受大中型企业与小微企业组成联合体或者允许大中型企业向一家或者多家小微企业分包的采购项目，对于联合协议或者分包意向协议约定小微企业的合同份额占到合同总金额30%以上的，给予一定比例的价格折扣，用扣除后的价格参与评审。以联合体形式参加政府采购活动，联合体各方均为中小企业的，联合体视同中小企业。其中，联合体各方均为小微企业的，联合体视同小微企业； </w:t>
      </w:r>
    </w:p>
    <w:p w14:paraId="195BF59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（3）符合中小企业划分标准的个体工商户视同中小企业，享受评审中价格扣除等促进中小企业发展的政府采购政策。</w:t>
      </w:r>
    </w:p>
    <w:p w14:paraId="220975A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（4）监狱企业、残疾人福利性单位视同小型、微型企业，享受评审中价格扣除等促进中小企业发展的政府采购政策。</w:t>
      </w:r>
    </w:p>
    <w:p w14:paraId="522A9D2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（5）与大企业的负责人为同一人，或者与大企业存在直接控股、管理关系的中小企业，不享受评审中价格扣除等促进中小企业发展的政府采购政策。 </w:t>
      </w:r>
    </w:p>
    <w:p w14:paraId="5FCF18F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（6）本章第1.2款规定采购项目或者采购包属于“预留采购份额”的，预留部分不再享受本款“价格评审优惠”的小微企业扶持政策。</w:t>
      </w:r>
    </w:p>
    <w:p w14:paraId="5E5E129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33.2政府采购政策交叉与叠加</w:t>
      </w:r>
    </w:p>
    <w:p w14:paraId="7FFC879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（1）投标人同时符合小型、微型企业及监狱企业、残疾人福利性单位要求的，评审时只有一种类型享受价格评审优惠政策；</w:t>
      </w:r>
    </w:p>
    <w:p w14:paraId="3BCD985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35.3投标人符合本章第35.1款规定的，应提供相关证明资料。</w:t>
      </w:r>
    </w:p>
    <w:p w14:paraId="4D11D5A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（1）中小企业：按《关于印发＜政府采购促进中小企业发展办法＞的通知》(财库[2020]46号) 和《关于印发中小企业划型标准规定的通知》（工信部联企业〔2011〕300号）文件规定提供中小企业声明函（格式）。</w:t>
      </w:r>
    </w:p>
    <w:p w14:paraId="2306A1F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（2）监狱企业：按《关于政府采购支持监狱企业发展有关问题的通知》(财库〔2014〕68号)文件规定提供证明文件。</w:t>
      </w:r>
    </w:p>
    <w:p w14:paraId="3A32F4B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（3）残疾人福利性单位：按《关于促进残疾人就业政府采购政策的通知》(财库〔2017〕141号)文件规定提供《残疾人福利性单位声明函》（格式）。</w:t>
      </w:r>
    </w:p>
    <w:p w14:paraId="0A1B7C7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35.4执行中小企业预留采购份额政策的规定：</w:t>
      </w:r>
    </w:p>
    <w:p w14:paraId="40AC49B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（1）预留份额的采购项目或者采购包，应明确该项目或相关采购包专门面向中小企业采购，并作为供应商资格条件。</w:t>
      </w:r>
    </w:p>
    <w:p w14:paraId="3130A45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（2）要求以联合体形式参加或者合同分包的，应明确联合协议或者分包意向协议中中小企业合同金额应当达到的比例，并作为供应商资格条件。</w:t>
      </w:r>
    </w:p>
    <w:p w14:paraId="5D1135B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（3）组成联合体或者接受分包合同的中小企业与联合体内其他企业(成员)、分包企业(投标人)之间不得存在直接控股、管理关系。</w:t>
      </w:r>
    </w:p>
    <w:p w14:paraId="1C4CA38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35.5 投标人有融资、担保需求的，可登陆中国湖南政府采购网查询相关银行、担保机构业务。</w:t>
      </w:r>
    </w:p>
    <w:p w14:paraId="0EB162E1">
      <w:pPr>
        <w:pStyle w:val="4"/>
        <w:spacing w:before="156"/>
      </w:pPr>
      <w:bookmarkStart w:id="88" w:name="_Toc20651204"/>
      <w:bookmarkStart w:id="89" w:name="_Toc19618"/>
      <w:r>
        <w:rPr>
          <w:rFonts w:hint="eastAsia"/>
        </w:rPr>
        <w:t>十、其他规定</w:t>
      </w:r>
      <w:bookmarkEnd w:id="88"/>
      <w:bookmarkEnd w:id="89"/>
    </w:p>
    <w:p w14:paraId="1D0504A4">
      <w:pPr>
        <w:adjustRightInd w:val="0"/>
        <w:snapToGrid w:val="0"/>
        <w:spacing w:line="440" w:lineRule="exact"/>
        <w:ind w:firstLine="426"/>
        <w:jc w:val="left"/>
        <w:outlineLvl w:val="2"/>
        <w:rPr>
          <w:rFonts w:asciiTheme="minorEastAsia" w:hAnsiTheme="minorEastAsia" w:eastAsiaTheme="minorEastAsia"/>
          <w:b/>
          <w:bCs/>
        </w:rPr>
      </w:pPr>
      <w:bookmarkStart w:id="90" w:name="_Toc30568"/>
      <w:r>
        <w:rPr>
          <w:rFonts w:hint="eastAsia" w:asciiTheme="minorEastAsia" w:hAnsiTheme="minorEastAsia" w:eastAsiaTheme="minorEastAsia"/>
          <w:b/>
          <w:bCs/>
        </w:rPr>
        <w:t>36. 招标代理服务费</w:t>
      </w:r>
      <w:bookmarkEnd w:id="90"/>
    </w:p>
    <w:p w14:paraId="6C4636E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36.1招标代理服务费由中标人支付的，投标人应按【投标须知前附表】规定向采购代理机构交纳招标代理服务费，并在投标文件中提供中标服务费承诺书。</w:t>
      </w:r>
    </w:p>
    <w:p w14:paraId="2E8745E3">
      <w:pPr>
        <w:adjustRightInd w:val="0"/>
        <w:snapToGrid w:val="0"/>
        <w:spacing w:line="440" w:lineRule="exact"/>
        <w:ind w:firstLine="426"/>
        <w:jc w:val="left"/>
        <w:outlineLvl w:val="2"/>
        <w:rPr>
          <w:rFonts w:asciiTheme="minorEastAsia" w:hAnsiTheme="minorEastAsia" w:eastAsiaTheme="minorEastAsia"/>
          <w:b/>
          <w:bCs/>
        </w:rPr>
      </w:pPr>
      <w:bookmarkStart w:id="91" w:name="_Toc12616"/>
      <w:r>
        <w:rPr>
          <w:rFonts w:hint="eastAsia" w:asciiTheme="minorEastAsia" w:hAnsiTheme="minorEastAsia" w:eastAsiaTheme="minorEastAsia"/>
          <w:b/>
          <w:bCs/>
        </w:rPr>
        <w:t>37. 需要补充的其他内容</w:t>
      </w:r>
      <w:bookmarkEnd w:id="91"/>
    </w:p>
    <w:p w14:paraId="4726973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37.1招标文件需要补充的其他内容见【投标须知前附表】。</w:t>
      </w:r>
      <w:r>
        <w:rPr>
          <w:rFonts w:ascii="宋体" w:hAnsi="宋体"/>
          <w:szCs w:val="21"/>
          <w:highlight w:val="white"/>
        </w:rPr>
        <w:br w:type="page"/>
      </w:r>
    </w:p>
    <w:p w14:paraId="7099BF31">
      <w:pPr>
        <w:pStyle w:val="3"/>
      </w:pPr>
      <w:bookmarkStart w:id="92" w:name="_Toc32193"/>
      <w:r>
        <w:rPr>
          <w:rFonts w:hint="eastAsia"/>
        </w:rPr>
        <w:t>第三章 资格审查</w:t>
      </w:r>
      <w:bookmarkEnd w:id="92"/>
    </w:p>
    <w:p w14:paraId="60759116">
      <w:pPr>
        <w:adjustRightInd w:val="0"/>
        <w:snapToGrid w:val="0"/>
        <w:spacing w:line="440" w:lineRule="exact"/>
        <w:ind w:firstLine="426"/>
        <w:jc w:val="left"/>
        <w:outlineLvl w:val="2"/>
        <w:rPr>
          <w:rFonts w:asciiTheme="minorEastAsia" w:hAnsiTheme="minorEastAsia" w:eastAsiaTheme="minorEastAsia"/>
          <w:b/>
          <w:bCs/>
        </w:rPr>
      </w:pPr>
      <w:bookmarkStart w:id="93" w:name="_Toc28667"/>
      <w:r>
        <w:rPr>
          <w:rFonts w:hint="eastAsia" w:asciiTheme="minorEastAsia" w:hAnsiTheme="minorEastAsia" w:eastAsiaTheme="minorEastAsia"/>
          <w:b/>
          <w:bCs/>
        </w:rPr>
        <w:t>1．资格审查主体</w:t>
      </w:r>
      <w:bookmarkEnd w:id="93"/>
    </w:p>
    <w:p w14:paraId="61C28E6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1.1资格审查主体：采购人、采购代理机构。</w:t>
      </w:r>
    </w:p>
    <w:p w14:paraId="71845752">
      <w:pPr>
        <w:adjustRightInd w:val="0"/>
        <w:snapToGrid w:val="0"/>
        <w:spacing w:line="440" w:lineRule="exact"/>
        <w:ind w:firstLine="426"/>
        <w:jc w:val="left"/>
        <w:outlineLvl w:val="2"/>
        <w:rPr>
          <w:rFonts w:asciiTheme="minorEastAsia" w:hAnsiTheme="minorEastAsia" w:eastAsiaTheme="minorEastAsia"/>
          <w:b/>
          <w:bCs/>
        </w:rPr>
      </w:pPr>
      <w:bookmarkStart w:id="94" w:name="_Toc139"/>
      <w:r>
        <w:rPr>
          <w:rFonts w:hint="eastAsia" w:asciiTheme="minorEastAsia" w:hAnsiTheme="minorEastAsia" w:eastAsiaTheme="minorEastAsia"/>
          <w:b/>
          <w:bCs/>
        </w:rPr>
        <w:t>2．资格审查</w:t>
      </w:r>
      <w:bookmarkEnd w:id="94"/>
    </w:p>
    <w:p w14:paraId="3B3ADFA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2.1资格审查依据法律法规和招标文件的规定，对投标文件中的资格证明文件、投标保证金、投标报价等进行审查，以确定投标供应商是否具备投标资格。</w:t>
      </w:r>
    </w:p>
    <w:p w14:paraId="250A63C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2.2在资格审查时，投标人存在下列情况之一的，资格审查不合格，其投标无效：</w:t>
      </w:r>
    </w:p>
    <w:p w14:paraId="1212235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（1）不具备招标文件中规定的资格要求的，或提交的资格证明文件不符合招标文件要求的；</w:t>
      </w:r>
    </w:p>
    <w:p w14:paraId="24472E2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（2）联合体投标未提交联合体协议书，或未提交联合体各方资格证明文件的；</w:t>
      </w:r>
    </w:p>
    <w:p w14:paraId="3C84C0D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（3）投标文件的资格证明文件未按照招标文件要求进行签名、盖章的；</w:t>
      </w:r>
    </w:p>
    <w:p w14:paraId="70F8A99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（4）未按要求提交投标保证金的；</w:t>
      </w:r>
    </w:p>
    <w:p w14:paraId="29FE3BF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（5）投标报价超过招标文件中规定的预算金额或者最高限价的</w:t>
      </w:r>
    </w:p>
    <w:p w14:paraId="546D764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（6）法律、法规和招标文件规定的其他投标无效情形的。</w:t>
      </w:r>
    </w:p>
    <w:p w14:paraId="6733D2A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2.4信用记录。开标结束后资格审查时，采购人、采购代理机构将对投标人信用记录进行甄别。</w:t>
      </w:r>
    </w:p>
    <w:p w14:paraId="5B25E83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（1）信用信息查询的查询渠道：信用中国网（www.creditchina.gov.cn）、中国政府采购网（www.ccgp.gov.cn）；</w:t>
      </w:r>
    </w:p>
    <w:p w14:paraId="6B8479D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34214D4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（3）联合体形式投标的，联合体成员存在不良信用记录的，视同联合体存在不良信用记录。</w:t>
      </w:r>
    </w:p>
    <w:p w14:paraId="2D9306B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（4）信用信息查询记录和证据留存具体方式：投标人不良信用记录以采购人、采购代理机构查询结果为准。查询结果与其他采购文件一并保存。</w:t>
      </w:r>
    </w:p>
    <w:p w14:paraId="39B9F606">
      <w:pPr>
        <w:adjustRightInd w:val="0"/>
        <w:snapToGrid w:val="0"/>
        <w:spacing w:line="440" w:lineRule="exact"/>
        <w:ind w:firstLine="426"/>
        <w:jc w:val="left"/>
        <w:outlineLvl w:val="2"/>
        <w:rPr>
          <w:rFonts w:asciiTheme="minorEastAsia" w:hAnsiTheme="minorEastAsia" w:eastAsiaTheme="minorEastAsia"/>
          <w:b/>
          <w:bCs/>
        </w:rPr>
      </w:pPr>
      <w:bookmarkStart w:id="95" w:name="_Toc3727"/>
      <w:r>
        <w:rPr>
          <w:rFonts w:hint="eastAsia" w:asciiTheme="minorEastAsia" w:hAnsiTheme="minorEastAsia" w:eastAsiaTheme="minorEastAsia"/>
          <w:b/>
          <w:bCs/>
        </w:rPr>
        <w:t>3．资格审查结果</w:t>
      </w:r>
      <w:bookmarkEnd w:id="95"/>
    </w:p>
    <w:p w14:paraId="2BA4D50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3.1未通过资格审查的投标人，采购人、采购代理机构应当告知其未通过的原因。</w:t>
      </w:r>
    </w:p>
    <w:p w14:paraId="74A0046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3.2资格审查结束后，采购人、采购代理机构应将资格审查结果告知评标委员会。</w:t>
      </w:r>
    </w:p>
    <w:p w14:paraId="28F15FE2">
      <w:pPr>
        <w:adjustRightInd w:val="0"/>
        <w:snapToGrid w:val="0"/>
        <w:spacing w:line="440" w:lineRule="exact"/>
        <w:ind w:firstLine="420" w:firstLineChars="200"/>
        <w:rPr>
          <w:rFonts w:ascii="黑体" w:hAnsi="黑体" w:eastAsia="黑体"/>
          <w:bCs/>
          <w:szCs w:val="21"/>
        </w:rPr>
      </w:pPr>
    </w:p>
    <w:p w14:paraId="2FD351AA">
      <w:pPr>
        <w:adjustRightInd w:val="0"/>
        <w:snapToGrid w:val="0"/>
        <w:spacing w:line="420" w:lineRule="exact"/>
        <w:ind w:left="2337" w:hanging="1487"/>
        <w:rPr>
          <w:rFonts w:ascii="黑体" w:hAnsi="黑体" w:eastAsia="黑体"/>
        </w:rPr>
        <w:sectPr>
          <w:pgSz w:w="11906" w:h="16838"/>
          <w:pgMar w:top="1418" w:right="1418" w:bottom="1418" w:left="1418" w:header="851" w:footer="992" w:gutter="0"/>
          <w:pgNumType w:fmt="numberInDash"/>
          <w:cols w:space="720" w:num="1"/>
          <w:docGrid w:type="lines" w:linePitch="312" w:charSpace="0"/>
        </w:sectPr>
      </w:pPr>
    </w:p>
    <w:p w14:paraId="2AC2F6BA">
      <w:pPr>
        <w:pStyle w:val="3"/>
      </w:pPr>
      <w:bookmarkStart w:id="96" w:name="_Toc1303"/>
      <w:r>
        <w:rPr>
          <w:rFonts w:hint="eastAsia"/>
        </w:rPr>
        <w:t>第四章 评标方法及标准（综合评分法）</w:t>
      </w:r>
      <w:bookmarkEnd w:id="96"/>
    </w:p>
    <w:p w14:paraId="3A5C7C5B"/>
    <w:p w14:paraId="4DD973F8">
      <w:pPr>
        <w:pStyle w:val="3"/>
      </w:pPr>
      <w:bookmarkStart w:id="97" w:name="_Toc24756"/>
      <w:bookmarkStart w:id="98" w:name="_Toc20651214"/>
      <w:r>
        <w:rPr>
          <w:rFonts w:hint="eastAsia"/>
        </w:rPr>
        <w:t>第一节 评标方法及标准前附表</w:t>
      </w:r>
      <w:bookmarkEnd w:id="97"/>
      <w:bookmarkEnd w:id="98"/>
    </w:p>
    <w:tbl>
      <w:tblPr>
        <w:tblStyle w:val="41"/>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1987"/>
        <w:gridCol w:w="5773"/>
      </w:tblGrid>
      <w:tr w14:paraId="122D89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double" w:color="auto" w:sz="4" w:space="0"/>
              <w:bottom w:val="single" w:color="auto" w:sz="6" w:space="0"/>
            </w:tcBorders>
          </w:tcPr>
          <w:p w14:paraId="244E43E2">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条款号</w:t>
            </w:r>
          </w:p>
        </w:tc>
        <w:tc>
          <w:tcPr>
            <w:tcW w:w="1987" w:type="dxa"/>
            <w:tcBorders>
              <w:top w:val="double" w:color="auto" w:sz="4" w:space="0"/>
              <w:bottom w:val="single" w:color="auto" w:sz="6" w:space="0"/>
            </w:tcBorders>
          </w:tcPr>
          <w:p w14:paraId="02567F6D">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条款名称</w:t>
            </w:r>
          </w:p>
        </w:tc>
        <w:tc>
          <w:tcPr>
            <w:tcW w:w="5773" w:type="dxa"/>
            <w:tcBorders>
              <w:top w:val="double" w:color="auto" w:sz="4" w:space="0"/>
              <w:bottom w:val="single" w:color="auto" w:sz="6" w:space="0"/>
            </w:tcBorders>
          </w:tcPr>
          <w:p w14:paraId="3802488B">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编列内容规定</w:t>
            </w:r>
          </w:p>
        </w:tc>
      </w:tr>
      <w:tr w14:paraId="17075C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bottom w:val="single" w:color="auto" w:sz="6" w:space="0"/>
            </w:tcBorders>
            <w:vAlign w:val="center"/>
          </w:tcPr>
          <w:p w14:paraId="69293C2B">
            <w:pPr>
              <w:widowControl/>
              <w:spacing w:line="440" w:lineRule="exact"/>
              <w:jc w:val="center"/>
              <w:rPr>
                <w:rFonts w:ascii="宋体" w:hAnsi="宋体"/>
                <w:szCs w:val="21"/>
                <w:highlight w:val="white"/>
              </w:rPr>
            </w:pPr>
            <w:r>
              <w:rPr>
                <w:rFonts w:hint="eastAsia" w:ascii="宋体" w:hAnsi="宋体"/>
                <w:szCs w:val="21"/>
                <w:highlight w:val="white"/>
              </w:rPr>
              <w:t>第1.3款</w:t>
            </w:r>
          </w:p>
        </w:tc>
        <w:tc>
          <w:tcPr>
            <w:tcW w:w="1987" w:type="dxa"/>
            <w:tcBorders>
              <w:top w:val="single" w:color="auto" w:sz="6" w:space="0"/>
              <w:bottom w:val="single" w:color="auto" w:sz="6" w:space="0"/>
            </w:tcBorders>
            <w:vAlign w:val="center"/>
          </w:tcPr>
          <w:p w14:paraId="30FD31D5">
            <w:pPr>
              <w:widowControl/>
              <w:spacing w:line="440" w:lineRule="exact"/>
              <w:jc w:val="center"/>
              <w:rPr>
                <w:rFonts w:ascii="宋体" w:hAnsi="宋体"/>
                <w:szCs w:val="21"/>
                <w:highlight w:val="white"/>
              </w:rPr>
            </w:pPr>
            <w:r>
              <w:rPr>
                <w:rFonts w:hint="eastAsia" w:ascii="宋体" w:hAnsi="宋体"/>
                <w:szCs w:val="21"/>
                <w:highlight w:val="white"/>
              </w:rPr>
              <w:t>评标方法</w:t>
            </w:r>
          </w:p>
        </w:tc>
        <w:tc>
          <w:tcPr>
            <w:tcW w:w="5773" w:type="dxa"/>
            <w:tcBorders>
              <w:top w:val="single" w:color="auto" w:sz="6" w:space="0"/>
              <w:bottom w:val="single" w:color="auto" w:sz="6" w:space="0"/>
            </w:tcBorders>
            <w:vAlign w:val="center"/>
          </w:tcPr>
          <w:p w14:paraId="6B483F9C">
            <w:pPr>
              <w:widowControl/>
              <w:spacing w:line="440" w:lineRule="exact"/>
              <w:jc w:val="left"/>
              <w:rPr>
                <w:rFonts w:ascii="宋体" w:hAnsi="宋体"/>
                <w:szCs w:val="21"/>
                <w:highlight w:val="white"/>
              </w:rPr>
            </w:pPr>
            <w:r>
              <w:rPr>
                <w:rFonts w:hint="eastAsia" w:ascii="宋体" w:hAnsi="宋体"/>
                <w:szCs w:val="21"/>
                <w:highlight w:val="white"/>
              </w:rPr>
              <w:t>本项目采用综合评分法。</w:t>
            </w:r>
          </w:p>
        </w:tc>
      </w:tr>
      <w:tr w14:paraId="1AE823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bottom w:val="single" w:color="auto" w:sz="6" w:space="0"/>
            </w:tcBorders>
            <w:vAlign w:val="center"/>
          </w:tcPr>
          <w:p w14:paraId="7B653C74">
            <w:pPr>
              <w:widowControl/>
              <w:spacing w:line="440" w:lineRule="exact"/>
              <w:jc w:val="center"/>
              <w:rPr>
                <w:rFonts w:ascii="宋体" w:hAnsi="宋体"/>
                <w:szCs w:val="21"/>
                <w:highlight w:val="white"/>
              </w:rPr>
            </w:pPr>
            <w:r>
              <w:rPr>
                <w:rFonts w:hint="eastAsia" w:ascii="宋体" w:hAnsi="宋体"/>
                <w:szCs w:val="21"/>
                <w:highlight w:val="white"/>
              </w:rPr>
              <w:t>第4.2款</w:t>
            </w:r>
          </w:p>
        </w:tc>
        <w:tc>
          <w:tcPr>
            <w:tcW w:w="1987" w:type="dxa"/>
            <w:tcBorders>
              <w:top w:val="single" w:color="auto" w:sz="6" w:space="0"/>
              <w:bottom w:val="single" w:color="auto" w:sz="6" w:space="0"/>
            </w:tcBorders>
            <w:vAlign w:val="center"/>
          </w:tcPr>
          <w:p w14:paraId="01E4101D">
            <w:pPr>
              <w:widowControl/>
              <w:spacing w:line="440" w:lineRule="exact"/>
              <w:jc w:val="center"/>
              <w:rPr>
                <w:rFonts w:ascii="宋体" w:hAnsi="宋体"/>
                <w:szCs w:val="21"/>
                <w:highlight w:val="white"/>
              </w:rPr>
            </w:pPr>
            <w:r>
              <w:rPr>
                <w:rFonts w:hint="eastAsia" w:ascii="宋体" w:hAnsi="宋体"/>
                <w:szCs w:val="21"/>
                <w:highlight w:val="white"/>
              </w:rPr>
              <w:t>投标文件报价出现前后不一致的修正</w:t>
            </w:r>
          </w:p>
        </w:tc>
        <w:tc>
          <w:tcPr>
            <w:tcW w:w="5773" w:type="dxa"/>
            <w:tcBorders>
              <w:top w:val="single" w:color="auto" w:sz="6" w:space="0"/>
              <w:bottom w:val="single" w:color="auto" w:sz="6" w:space="0"/>
            </w:tcBorders>
            <w:vAlign w:val="center"/>
          </w:tcPr>
          <w:p w14:paraId="1214D07C">
            <w:pPr>
              <w:spacing w:line="440" w:lineRule="exact"/>
              <w:jc w:val="left"/>
              <w:rPr>
                <w:rFonts w:ascii="宋体" w:hAnsi="宋体"/>
                <w:szCs w:val="21"/>
                <w:highlight w:val="white"/>
              </w:rPr>
            </w:pPr>
            <w:r>
              <w:rPr>
                <w:rFonts w:hint="eastAsia" w:ascii="宋体" w:hAnsi="宋体"/>
                <w:szCs w:val="21"/>
                <w:highlight w:val="white"/>
              </w:rPr>
              <w:t>1、根据中华人民共和国财政部令第87号--政府采购货物和服务招标投标管理办法第五十九条 投标文件报价出现前后不一致的，除招标文件另有规定外，按照下列规定修正：</w:t>
            </w:r>
          </w:p>
          <w:p w14:paraId="324D3751">
            <w:pPr>
              <w:spacing w:line="440" w:lineRule="exact"/>
              <w:jc w:val="left"/>
              <w:rPr>
                <w:rFonts w:ascii="宋体" w:hAnsi="宋体"/>
                <w:szCs w:val="21"/>
                <w:highlight w:val="white"/>
              </w:rPr>
            </w:pPr>
            <w:r>
              <w:rPr>
                <w:rFonts w:hint="eastAsia" w:ascii="宋体" w:hAnsi="宋体"/>
                <w:szCs w:val="21"/>
                <w:highlight w:val="white"/>
              </w:rPr>
              <w:t>（1）投标文件中开标一览表内容与投标文件中相应内容不一致的，以开标一览表为准；</w:t>
            </w:r>
          </w:p>
          <w:p w14:paraId="060B21CF">
            <w:pPr>
              <w:spacing w:line="440" w:lineRule="exact"/>
              <w:jc w:val="left"/>
              <w:rPr>
                <w:rFonts w:ascii="宋体" w:hAnsi="宋体"/>
                <w:szCs w:val="21"/>
                <w:highlight w:val="white"/>
              </w:rPr>
            </w:pPr>
            <w:r>
              <w:rPr>
                <w:rFonts w:hint="eastAsia" w:ascii="宋体" w:hAnsi="宋体"/>
                <w:szCs w:val="21"/>
                <w:highlight w:val="white"/>
              </w:rPr>
              <w:t>（2）大写金额和小写金额不一致的，以大写金额为准；</w:t>
            </w:r>
          </w:p>
          <w:p w14:paraId="019127F0">
            <w:pPr>
              <w:spacing w:line="440" w:lineRule="exact"/>
              <w:jc w:val="left"/>
              <w:rPr>
                <w:rFonts w:ascii="宋体" w:hAnsi="宋体"/>
                <w:szCs w:val="21"/>
                <w:highlight w:val="white"/>
              </w:rPr>
            </w:pPr>
            <w:r>
              <w:rPr>
                <w:rFonts w:hint="eastAsia" w:ascii="宋体" w:hAnsi="宋体"/>
                <w:szCs w:val="21"/>
                <w:highlight w:val="white"/>
              </w:rPr>
              <w:t>（3）单价金额小数点或者百分比有明显错位的，以开标一览表的总价为准，并修改单价；</w:t>
            </w:r>
          </w:p>
          <w:p w14:paraId="2635DE8C">
            <w:pPr>
              <w:spacing w:line="440" w:lineRule="exact"/>
              <w:jc w:val="left"/>
              <w:rPr>
                <w:rFonts w:ascii="宋体" w:hAnsi="宋体"/>
                <w:szCs w:val="21"/>
                <w:highlight w:val="white"/>
              </w:rPr>
            </w:pPr>
            <w:r>
              <w:rPr>
                <w:rFonts w:hint="eastAsia" w:ascii="宋体" w:hAnsi="宋体"/>
                <w:szCs w:val="21"/>
                <w:highlight w:val="white"/>
              </w:rPr>
              <w:t>（4）总价金额与按单价汇总金额不一致的，以单价金额计算结果为准。</w:t>
            </w:r>
          </w:p>
          <w:p w14:paraId="4477D518">
            <w:pPr>
              <w:spacing w:line="440" w:lineRule="exact"/>
              <w:jc w:val="left"/>
              <w:rPr>
                <w:rFonts w:ascii="宋体" w:hAnsi="宋体"/>
                <w:szCs w:val="21"/>
                <w:highlight w:val="white"/>
              </w:rPr>
            </w:pPr>
            <w:r>
              <w:rPr>
                <w:rFonts w:hint="eastAsia" w:ascii="宋体" w:hAnsi="宋体"/>
                <w:szCs w:val="21"/>
                <w:highlight w:val="white"/>
              </w:rPr>
              <w:t>同时出现两种以上不一致的，按照前款规定的顺序修正。修正后的报价按照本办法第五十一条第二款的规定经投标人确认后产生约束力，投标人不确认的，其投标无效。</w:t>
            </w:r>
          </w:p>
          <w:p w14:paraId="257AE0FE">
            <w:pPr>
              <w:spacing w:line="440" w:lineRule="exact"/>
              <w:jc w:val="left"/>
              <w:rPr>
                <w:rFonts w:ascii="宋体" w:hAnsi="宋体"/>
                <w:szCs w:val="21"/>
                <w:highlight w:val="white"/>
              </w:rPr>
            </w:pPr>
            <w:r>
              <w:rPr>
                <w:rFonts w:hint="eastAsia" w:ascii="宋体" w:hAnsi="宋体"/>
                <w:szCs w:val="21"/>
                <w:highlight w:val="white"/>
              </w:rPr>
              <w:t>2、投标文件中含义不明确、表述不一致的内容，除评标委员会要求当场澄清的以外，其余按照有利于采购人的内容进行认定，投标人应自行承担由此产生的风险及费用。</w:t>
            </w:r>
          </w:p>
        </w:tc>
      </w:tr>
      <w:tr w14:paraId="33BA04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tcBorders>
            <w:vAlign w:val="center"/>
          </w:tcPr>
          <w:p w14:paraId="3F3FF09E">
            <w:pPr>
              <w:widowControl/>
              <w:spacing w:line="440" w:lineRule="exact"/>
              <w:jc w:val="center"/>
              <w:rPr>
                <w:rFonts w:ascii="宋体" w:hAnsi="宋体"/>
                <w:szCs w:val="21"/>
                <w:highlight w:val="white"/>
              </w:rPr>
            </w:pPr>
            <w:r>
              <w:rPr>
                <w:rFonts w:hint="eastAsia" w:ascii="宋体" w:hAnsi="宋体"/>
                <w:szCs w:val="21"/>
                <w:highlight w:val="white"/>
              </w:rPr>
              <w:t>第5.4（1）项</w:t>
            </w:r>
          </w:p>
        </w:tc>
        <w:tc>
          <w:tcPr>
            <w:tcW w:w="1987" w:type="dxa"/>
            <w:tcBorders>
              <w:top w:val="single" w:color="auto" w:sz="6" w:space="0"/>
            </w:tcBorders>
            <w:vAlign w:val="center"/>
          </w:tcPr>
          <w:p w14:paraId="4E251234">
            <w:pPr>
              <w:widowControl/>
              <w:spacing w:line="440" w:lineRule="exact"/>
              <w:jc w:val="center"/>
              <w:rPr>
                <w:rFonts w:ascii="宋体" w:hAnsi="宋体"/>
                <w:szCs w:val="21"/>
                <w:highlight w:val="white"/>
              </w:rPr>
            </w:pPr>
            <w:r>
              <w:rPr>
                <w:rFonts w:hint="eastAsia" w:ascii="宋体" w:hAnsi="宋体"/>
                <w:szCs w:val="21"/>
                <w:highlight w:val="white"/>
              </w:rPr>
              <w:t>价格评审优惠</w:t>
            </w:r>
          </w:p>
        </w:tc>
        <w:tc>
          <w:tcPr>
            <w:tcW w:w="5773" w:type="dxa"/>
            <w:tcBorders>
              <w:top w:val="single" w:color="auto" w:sz="6" w:space="0"/>
            </w:tcBorders>
            <w:vAlign w:val="center"/>
          </w:tcPr>
          <w:p w14:paraId="1DF8EDE0">
            <w:pPr>
              <w:spacing w:line="440" w:lineRule="exact"/>
              <w:jc w:val="left"/>
              <w:rPr>
                <w:rFonts w:ascii="宋体" w:hAnsi="宋体"/>
                <w:szCs w:val="21"/>
                <w:highlight w:val="white"/>
              </w:rPr>
            </w:pPr>
            <w:r>
              <w:rPr>
                <w:rFonts w:hint="eastAsia" w:ascii="宋体" w:hAnsi="宋体"/>
                <w:szCs w:val="21"/>
                <w:highlight w:val="white"/>
              </w:rPr>
              <w:t>1、服务由小型和微型企业承接的，给予10％的价格折扣，用扣除后的价格参与评审。</w:t>
            </w:r>
          </w:p>
          <w:p w14:paraId="1351744A">
            <w:pPr>
              <w:spacing w:line="440" w:lineRule="exact"/>
              <w:jc w:val="left"/>
              <w:rPr>
                <w:rFonts w:ascii="宋体" w:hAnsi="宋体"/>
                <w:szCs w:val="21"/>
                <w:highlight w:val="white"/>
              </w:rPr>
            </w:pPr>
            <w:r>
              <w:rPr>
                <w:rFonts w:hint="eastAsia" w:ascii="宋体" w:hAnsi="宋体"/>
                <w:szCs w:val="21"/>
                <w:highlight w:val="white"/>
              </w:rPr>
              <w:t>2、监狱企业、残疾人福利性单位视同小型、微型企业，不重复享受政策。</w:t>
            </w:r>
          </w:p>
          <w:p w14:paraId="250290AE">
            <w:pPr>
              <w:tabs>
                <w:tab w:val="left" w:pos="3962"/>
              </w:tabs>
              <w:spacing w:before="156" w:beforeLines="50" w:line="440" w:lineRule="exact"/>
              <w:jc w:val="left"/>
              <w:rPr>
                <w:rFonts w:ascii="宋体" w:hAnsi="宋体"/>
                <w:szCs w:val="21"/>
                <w:highlight w:val="white"/>
              </w:rPr>
            </w:pPr>
            <w:r>
              <w:rPr>
                <w:rFonts w:hint="eastAsia" w:ascii="宋体" w:hAnsi="宋体"/>
                <w:szCs w:val="21"/>
                <w:highlight w:val="white"/>
              </w:rPr>
              <w:t>注：（1）小微企业：按《关于印发＜政府采购促进中小企业发展管理办法＞的通知》(财库[2020]46号)和《关于印发中小企业划型标准规定的通知》（工信部联企业〔2011〕300号）文件规定提供《中小企业声明函》（格式）。</w:t>
            </w:r>
          </w:p>
          <w:p w14:paraId="13095F16">
            <w:pPr>
              <w:tabs>
                <w:tab w:val="left" w:pos="3962"/>
              </w:tabs>
              <w:spacing w:line="440" w:lineRule="exact"/>
              <w:jc w:val="left"/>
              <w:rPr>
                <w:rFonts w:ascii="宋体" w:hAnsi="宋体"/>
                <w:szCs w:val="21"/>
                <w:highlight w:val="white"/>
              </w:rPr>
            </w:pPr>
            <w:r>
              <w:rPr>
                <w:rFonts w:hint="eastAsia" w:ascii="宋体" w:hAnsi="宋体"/>
                <w:szCs w:val="21"/>
                <w:highlight w:val="white"/>
              </w:rPr>
              <w:t>（2）监狱企业：按《财政部 司法部关于政府采购支持监狱企业发展有关问题的通知》(财库〔2014〕68号)文件规定提供证明文件（复印件）。</w:t>
            </w:r>
          </w:p>
          <w:p w14:paraId="1DAE03C3">
            <w:pPr>
              <w:tabs>
                <w:tab w:val="left" w:pos="3962"/>
              </w:tabs>
              <w:spacing w:line="440" w:lineRule="exact"/>
              <w:jc w:val="left"/>
              <w:rPr>
                <w:rFonts w:ascii="宋体" w:hAnsi="宋体"/>
                <w:szCs w:val="21"/>
                <w:highlight w:val="white"/>
              </w:rPr>
            </w:pPr>
            <w:r>
              <w:rPr>
                <w:rFonts w:hint="eastAsia" w:ascii="宋体" w:hAnsi="宋体"/>
                <w:szCs w:val="21"/>
                <w:highlight w:val="white"/>
              </w:rPr>
              <w:t>（3）残疾人福利性单位：按《三部门联合发布关于促进残疾人就业政府采购政策的通知》(财库〔2017〕141号)文件规定提供《残疾人福利性单位声明函》（格式）。</w:t>
            </w:r>
          </w:p>
        </w:tc>
      </w:tr>
      <w:tr w14:paraId="13F12B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bottom w:val="single" w:color="auto" w:sz="6" w:space="0"/>
            </w:tcBorders>
            <w:vAlign w:val="center"/>
          </w:tcPr>
          <w:p w14:paraId="7276A325">
            <w:pPr>
              <w:widowControl/>
              <w:spacing w:line="440" w:lineRule="exact"/>
              <w:jc w:val="center"/>
              <w:rPr>
                <w:rFonts w:ascii="宋体" w:hAnsi="宋体"/>
                <w:szCs w:val="21"/>
                <w:highlight w:val="white"/>
              </w:rPr>
            </w:pPr>
            <w:r>
              <w:rPr>
                <w:rFonts w:hint="eastAsia" w:ascii="宋体" w:hAnsi="宋体"/>
                <w:szCs w:val="21"/>
                <w:highlight w:val="white"/>
              </w:rPr>
              <w:t>第6款</w:t>
            </w:r>
          </w:p>
        </w:tc>
        <w:tc>
          <w:tcPr>
            <w:tcW w:w="1987" w:type="dxa"/>
            <w:tcBorders>
              <w:top w:val="single" w:color="auto" w:sz="6" w:space="0"/>
              <w:bottom w:val="single" w:color="auto" w:sz="6" w:space="0"/>
              <w:right w:val="single" w:color="auto" w:sz="6" w:space="0"/>
            </w:tcBorders>
            <w:vAlign w:val="center"/>
          </w:tcPr>
          <w:p w14:paraId="7BA2731C">
            <w:pPr>
              <w:widowControl/>
              <w:spacing w:line="440" w:lineRule="exact"/>
              <w:jc w:val="center"/>
              <w:rPr>
                <w:rFonts w:ascii="宋体" w:hAnsi="宋体"/>
                <w:szCs w:val="21"/>
                <w:highlight w:val="white"/>
              </w:rPr>
            </w:pPr>
            <w:r>
              <w:rPr>
                <w:rFonts w:hint="eastAsia" w:ascii="宋体" w:hAnsi="宋体"/>
                <w:szCs w:val="21"/>
                <w:highlight w:val="white"/>
              </w:rPr>
              <w:t>中标候选人并列的确定中标人的方式</w:t>
            </w:r>
          </w:p>
        </w:tc>
        <w:tc>
          <w:tcPr>
            <w:tcW w:w="5773" w:type="dxa"/>
            <w:tcBorders>
              <w:top w:val="single" w:color="auto" w:sz="6" w:space="0"/>
              <w:left w:val="single" w:color="auto" w:sz="6" w:space="0"/>
              <w:bottom w:val="single" w:color="auto" w:sz="6" w:space="0"/>
              <w:right w:val="double" w:color="auto" w:sz="4" w:space="0"/>
            </w:tcBorders>
            <w:vAlign w:val="center"/>
          </w:tcPr>
          <w:p w14:paraId="63497C48">
            <w:pPr>
              <w:spacing w:line="440" w:lineRule="exact"/>
              <w:jc w:val="left"/>
              <w:rPr>
                <w:rFonts w:ascii="宋体" w:hAnsi="宋体"/>
                <w:szCs w:val="21"/>
                <w:highlight w:val="white"/>
              </w:rPr>
            </w:pPr>
            <w:bookmarkStart w:id="99" w:name="EB33912c3aed0043a2ab13071ffc0a8aa2"/>
            <w:r>
              <w:rPr>
                <w:rFonts w:hint="eastAsia" w:ascii="宋体" w:hAnsi="宋体"/>
                <w:szCs w:val="21"/>
                <w:highlight w:val="white"/>
              </w:rPr>
              <w:t>投标文件满足招标文件全部实质性要求，且按照评审因素的量化指标评审得分最高的投标人为排名第一的中标候选人。中标候选人并列的：得分相同的，按投标报价由低到高顺序排列。得分且投标报价相同的按技术得分由高到低排序。</w:t>
            </w:r>
            <w:bookmarkEnd w:id="99"/>
          </w:p>
        </w:tc>
      </w:tr>
      <w:tr w14:paraId="1DDF36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2" w:hRule="atLeast"/>
        </w:trPr>
        <w:tc>
          <w:tcPr>
            <w:tcW w:w="1526" w:type="dxa"/>
            <w:vMerge w:val="restart"/>
            <w:tcBorders>
              <w:top w:val="single" w:color="auto" w:sz="6" w:space="0"/>
            </w:tcBorders>
            <w:vAlign w:val="center"/>
          </w:tcPr>
          <w:p w14:paraId="392C9518">
            <w:pPr>
              <w:widowControl/>
              <w:spacing w:line="440" w:lineRule="exact"/>
              <w:jc w:val="center"/>
              <w:rPr>
                <w:rFonts w:ascii="宋体" w:hAnsi="宋体"/>
                <w:szCs w:val="21"/>
                <w:highlight w:val="white"/>
              </w:rPr>
            </w:pPr>
            <w:r>
              <w:rPr>
                <w:rFonts w:hint="eastAsia" w:ascii="宋体" w:hAnsi="宋体"/>
                <w:szCs w:val="21"/>
                <w:highlight w:val="white"/>
              </w:rPr>
              <w:t>第10款</w:t>
            </w:r>
          </w:p>
        </w:tc>
        <w:tc>
          <w:tcPr>
            <w:tcW w:w="1987" w:type="dxa"/>
            <w:tcBorders>
              <w:top w:val="single" w:color="auto" w:sz="6" w:space="0"/>
              <w:bottom w:val="single" w:color="auto" w:sz="4" w:space="0"/>
              <w:right w:val="single" w:color="auto" w:sz="6" w:space="0"/>
            </w:tcBorders>
            <w:vAlign w:val="center"/>
          </w:tcPr>
          <w:p w14:paraId="21372BD2">
            <w:pPr>
              <w:widowControl/>
              <w:spacing w:line="440" w:lineRule="exact"/>
              <w:jc w:val="center"/>
              <w:rPr>
                <w:rFonts w:ascii="宋体" w:hAnsi="宋体"/>
                <w:szCs w:val="21"/>
                <w:highlight w:val="white"/>
              </w:rPr>
            </w:pPr>
            <w:r>
              <w:rPr>
                <w:rFonts w:hint="eastAsia" w:ascii="宋体" w:hAnsi="宋体"/>
                <w:szCs w:val="21"/>
                <w:highlight w:val="white"/>
              </w:rPr>
              <w:t>无效投标的规定</w:t>
            </w:r>
          </w:p>
        </w:tc>
        <w:tc>
          <w:tcPr>
            <w:tcW w:w="5773" w:type="dxa"/>
            <w:tcBorders>
              <w:top w:val="single" w:color="auto" w:sz="6" w:space="0"/>
              <w:left w:val="single" w:color="auto" w:sz="6" w:space="0"/>
              <w:bottom w:val="single" w:color="auto" w:sz="4" w:space="0"/>
              <w:right w:val="double" w:color="auto" w:sz="4" w:space="0"/>
            </w:tcBorders>
            <w:vAlign w:val="center"/>
          </w:tcPr>
          <w:p w14:paraId="572D7160">
            <w:pPr>
              <w:spacing w:line="440" w:lineRule="exact"/>
              <w:jc w:val="left"/>
              <w:rPr>
                <w:rFonts w:ascii="宋体" w:hAnsi="宋体"/>
                <w:szCs w:val="21"/>
                <w:highlight w:val="white"/>
              </w:rPr>
            </w:pPr>
            <w:r>
              <w:rPr>
                <w:rFonts w:hint="eastAsia" w:ascii="宋体" w:hAnsi="宋体"/>
                <w:szCs w:val="21"/>
                <w:highlight w:val="white"/>
              </w:rPr>
              <w:t xml:space="preserve">投标文件中除前章节条款所述情况外，有下列情况之一的，也应在符合性检查时按照无效投标处理： </w:t>
            </w:r>
          </w:p>
          <w:p w14:paraId="6DAD2AD3">
            <w:pPr>
              <w:spacing w:line="440" w:lineRule="exact"/>
              <w:jc w:val="left"/>
              <w:rPr>
                <w:rFonts w:ascii="宋体" w:hAnsi="宋体"/>
                <w:szCs w:val="21"/>
                <w:highlight w:val="white"/>
              </w:rPr>
            </w:pPr>
            <w:r>
              <w:rPr>
                <w:rFonts w:hint="eastAsia" w:ascii="宋体" w:hAnsi="宋体"/>
                <w:szCs w:val="21"/>
                <w:highlight w:val="white"/>
              </w:rPr>
              <w:t>（1）投标文件载明的投标范围小于招标文件规定的招标范围的(缺漏招标文件所要求的内容)；</w:t>
            </w:r>
          </w:p>
          <w:p w14:paraId="1F141D0D">
            <w:pPr>
              <w:spacing w:line="440" w:lineRule="exact"/>
              <w:jc w:val="left"/>
              <w:rPr>
                <w:rFonts w:ascii="宋体" w:hAnsi="宋体"/>
                <w:szCs w:val="21"/>
                <w:highlight w:val="white"/>
              </w:rPr>
            </w:pPr>
            <w:r>
              <w:rPr>
                <w:rFonts w:hint="eastAsia" w:ascii="宋体" w:hAnsi="宋体"/>
                <w:szCs w:val="21"/>
                <w:highlight w:val="white"/>
              </w:rPr>
              <w:t>（2）不符合法律、法规和招标文件其他规定的实质性内容。</w:t>
            </w:r>
          </w:p>
        </w:tc>
      </w:tr>
      <w:tr w14:paraId="65A4B3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7" w:hRule="atLeast"/>
        </w:trPr>
        <w:tc>
          <w:tcPr>
            <w:tcW w:w="1526" w:type="dxa"/>
            <w:vMerge w:val="continue"/>
            <w:tcBorders>
              <w:bottom w:val="double" w:color="auto" w:sz="4" w:space="0"/>
            </w:tcBorders>
            <w:vAlign w:val="center"/>
          </w:tcPr>
          <w:p w14:paraId="6EB462D3">
            <w:pPr>
              <w:widowControl/>
              <w:spacing w:line="440" w:lineRule="exact"/>
              <w:jc w:val="center"/>
              <w:rPr>
                <w:rFonts w:ascii="宋体" w:hAnsi="宋体"/>
                <w:szCs w:val="21"/>
                <w:highlight w:val="white"/>
              </w:rPr>
            </w:pPr>
          </w:p>
        </w:tc>
        <w:tc>
          <w:tcPr>
            <w:tcW w:w="1987" w:type="dxa"/>
            <w:tcBorders>
              <w:top w:val="single" w:color="auto" w:sz="4" w:space="0"/>
              <w:bottom w:val="double" w:color="auto" w:sz="4" w:space="0"/>
              <w:right w:val="single" w:color="auto" w:sz="6" w:space="0"/>
            </w:tcBorders>
            <w:vAlign w:val="center"/>
          </w:tcPr>
          <w:p w14:paraId="4243D5C5">
            <w:pPr>
              <w:widowControl/>
              <w:spacing w:line="440" w:lineRule="exact"/>
              <w:jc w:val="center"/>
              <w:rPr>
                <w:rFonts w:ascii="宋体" w:hAnsi="宋体"/>
                <w:szCs w:val="21"/>
                <w:highlight w:val="white"/>
              </w:rPr>
            </w:pPr>
            <w:r>
              <w:rPr>
                <w:rFonts w:hint="eastAsia" w:ascii="宋体" w:hAnsi="宋体"/>
                <w:szCs w:val="21"/>
                <w:highlight w:val="white"/>
              </w:rPr>
              <w:t>废标的规定</w:t>
            </w:r>
          </w:p>
        </w:tc>
        <w:tc>
          <w:tcPr>
            <w:tcW w:w="5773" w:type="dxa"/>
            <w:tcBorders>
              <w:top w:val="single" w:color="auto" w:sz="4" w:space="0"/>
              <w:left w:val="single" w:color="auto" w:sz="6" w:space="0"/>
              <w:bottom w:val="double" w:color="auto" w:sz="4" w:space="0"/>
              <w:right w:val="double" w:color="auto" w:sz="4" w:space="0"/>
            </w:tcBorders>
            <w:vAlign w:val="center"/>
          </w:tcPr>
          <w:p w14:paraId="3B5D57A5">
            <w:pPr>
              <w:spacing w:line="440" w:lineRule="exact"/>
              <w:jc w:val="left"/>
              <w:rPr>
                <w:rFonts w:ascii="宋体" w:hAnsi="宋体"/>
                <w:szCs w:val="21"/>
                <w:highlight w:val="white"/>
              </w:rPr>
            </w:pPr>
            <w:r>
              <w:rPr>
                <w:rFonts w:hint="eastAsia" w:ascii="宋体" w:hAnsi="宋体"/>
                <w:szCs w:val="21"/>
                <w:highlight w:val="white"/>
              </w:rPr>
              <w:t>有下列情形之一时，评标委员会应予废标：</w:t>
            </w:r>
          </w:p>
          <w:p w14:paraId="3AF0BC10">
            <w:pPr>
              <w:spacing w:line="440" w:lineRule="exact"/>
              <w:jc w:val="left"/>
              <w:rPr>
                <w:rFonts w:ascii="宋体" w:hAnsi="宋体"/>
                <w:szCs w:val="21"/>
                <w:highlight w:val="white"/>
              </w:rPr>
            </w:pPr>
            <w:r>
              <w:rPr>
                <w:rFonts w:hint="eastAsia" w:ascii="宋体" w:hAnsi="宋体"/>
                <w:szCs w:val="21"/>
                <w:highlight w:val="white"/>
              </w:rPr>
              <w:t>（1）符合专业条件的投标人或者对招标文件作实质性响应的投标人不足三家的；</w:t>
            </w:r>
          </w:p>
          <w:p w14:paraId="0005C34C">
            <w:pPr>
              <w:spacing w:line="440" w:lineRule="exact"/>
              <w:jc w:val="left"/>
              <w:rPr>
                <w:rFonts w:ascii="宋体" w:hAnsi="宋体"/>
                <w:szCs w:val="21"/>
                <w:highlight w:val="white"/>
              </w:rPr>
            </w:pPr>
            <w:r>
              <w:rPr>
                <w:rFonts w:hint="eastAsia" w:ascii="宋体" w:hAnsi="宋体"/>
                <w:szCs w:val="21"/>
                <w:highlight w:val="white"/>
              </w:rPr>
              <w:t>（2）出现影响采购公正的违法、违规行为的；</w:t>
            </w:r>
          </w:p>
          <w:p w14:paraId="7F484078">
            <w:pPr>
              <w:spacing w:line="440" w:lineRule="exact"/>
              <w:jc w:val="left"/>
              <w:rPr>
                <w:rFonts w:ascii="宋体" w:hAnsi="宋体"/>
                <w:szCs w:val="21"/>
                <w:highlight w:val="white"/>
              </w:rPr>
            </w:pPr>
            <w:r>
              <w:rPr>
                <w:rFonts w:hint="eastAsia" w:ascii="宋体" w:hAnsi="宋体"/>
                <w:szCs w:val="21"/>
                <w:highlight w:val="white"/>
              </w:rPr>
              <w:t xml:space="preserve">（3）投标人的报价均超过了采购预算，采购人不能支付的； </w:t>
            </w:r>
          </w:p>
          <w:p w14:paraId="4AFA52E8">
            <w:pPr>
              <w:spacing w:line="440" w:lineRule="exact"/>
              <w:jc w:val="left"/>
              <w:rPr>
                <w:rFonts w:ascii="宋体" w:hAnsi="宋体"/>
                <w:szCs w:val="21"/>
                <w:highlight w:val="white"/>
              </w:rPr>
            </w:pPr>
            <w:r>
              <w:rPr>
                <w:rFonts w:hint="eastAsia" w:ascii="宋体" w:hAnsi="宋体"/>
                <w:szCs w:val="21"/>
                <w:highlight w:val="white"/>
              </w:rPr>
              <w:t>（4）因重大变故，采购任务取消的。</w:t>
            </w:r>
          </w:p>
        </w:tc>
      </w:tr>
    </w:tbl>
    <w:p w14:paraId="32B41B7A">
      <w:pPr>
        <w:adjustRightInd w:val="0"/>
        <w:snapToGrid w:val="0"/>
        <w:spacing w:line="360" w:lineRule="auto"/>
        <w:ind w:left="2337" w:hanging="1487"/>
        <w:jc w:val="right"/>
        <w:rPr>
          <w:rFonts w:asciiTheme="minorEastAsia" w:hAnsiTheme="minorEastAsia" w:eastAsiaTheme="minorEastAsia"/>
          <w:bCs/>
          <w:i/>
          <w:szCs w:val="21"/>
        </w:rPr>
      </w:pPr>
    </w:p>
    <w:p w14:paraId="37832C1A">
      <w:pPr>
        <w:adjustRightInd w:val="0"/>
        <w:snapToGrid w:val="0"/>
        <w:spacing w:before="156" w:beforeLines="50" w:line="360" w:lineRule="auto"/>
        <w:ind w:left="850" w:firstLine="420" w:firstLineChars="200"/>
        <w:jc w:val="left"/>
        <w:rPr>
          <w:rFonts w:asciiTheme="minorEastAsia" w:hAnsiTheme="minorEastAsia" w:eastAsiaTheme="minorEastAsia"/>
        </w:rPr>
        <w:sectPr>
          <w:pgSz w:w="11906" w:h="16838"/>
          <w:pgMar w:top="1418" w:right="1418" w:bottom="1418" w:left="1418" w:header="851" w:footer="992" w:gutter="0"/>
          <w:pgNumType w:fmt="numberInDash"/>
          <w:cols w:space="720" w:num="1"/>
          <w:docGrid w:type="lines" w:linePitch="312" w:charSpace="0"/>
        </w:sectPr>
      </w:pPr>
    </w:p>
    <w:p w14:paraId="51F9D3E3">
      <w:pPr>
        <w:pStyle w:val="3"/>
      </w:pPr>
      <w:bookmarkStart w:id="100" w:name="_Toc44315054"/>
      <w:bookmarkStart w:id="101" w:name="_Toc20651215"/>
      <w:bookmarkStart w:id="102" w:name="_Toc28014"/>
      <w:r>
        <w:rPr>
          <w:rFonts w:hint="eastAsia"/>
        </w:rPr>
        <w:t>第二节 评标方法及标准</w:t>
      </w:r>
      <w:bookmarkEnd w:id="100"/>
      <w:bookmarkEnd w:id="101"/>
      <w:bookmarkEnd w:id="102"/>
    </w:p>
    <w:p w14:paraId="6203C548">
      <w:pPr>
        <w:adjustRightInd w:val="0"/>
        <w:snapToGrid w:val="0"/>
        <w:spacing w:line="440" w:lineRule="exact"/>
        <w:ind w:firstLine="426"/>
        <w:jc w:val="left"/>
        <w:outlineLvl w:val="2"/>
        <w:rPr>
          <w:rFonts w:asciiTheme="minorEastAsia" w:hAnsiTheme="minorEastAsia" w:eastAsiaTheme="minorEastAsia"/>
          <w:b/>
          <w:bCs/>
        </w:rPr>
      </w:pPr>
      <w:bookmarkStart w:id="103" w:name="_Toc44315055"/>
      <w:bookmarkStart w:id="104" w:name="_Toc4354"/>
      <w:bookmarkStart w:id="105" w:name="_Toc20651216"/>
      <w:r>
        <w:rPr>
          <w:rFonts w:hint="eastAsia" w:asciiTheme="minorEastAsia" w:hAnsiTheme="minorEastAsia" w:eastAsiaTheme="minorEastAsia"/>
          <w:b/>
          <w:bCs/>
        </w:rPr>
        <w:t>1．评标方法</w:t>
      </w:r>
      <w:bookmarkEnd w:id="103"/>
      <w:bookmarkEnd w:id="104"/>
      <w:bookmarkEnd w:id="105"/>
    </w:p>
    <w:p w14:paraId="7294DA1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1.1本采购项目评标方法见本章第一节“评标方法及标准前附表”（以下简称【评标方法及标准前附表】）。</w:t>
      </w:r>
    </w:p>
    <w:p w14:paraId="1F608FFC">
      <w:pPr>
        <w:adjustRightInd w:val="0"/>
        <w:snapToGrid w:val="0"/>
        <w:spacing w:line="440" w:lineRule="exact"/>
        <w:ind w:firstLine="426"/>
        <w:jc w:val="left"/>
        <w:outlineLvl w:val="2"/>
        <w:rPr>
          <w:rFonts w:asciiTheme="minorEastAsia" w:hAnsiTheme="minorEastAsia" w:eastAsiaTheme="minorEastAsia"/>
          <w:b/>
          <w:bCs/>
        </w:rPr>
      </w:pPr>
      <w:bookmarkStart w:id="106" w:name="_Toc4015"/>
      <w:bookmarkStart w:id="107" w:name="_Toc44315056"/>
      <w:bookmarkStart w:id="108" w:name="_Toc20651217"/>
      <w:r>
        <w:rPr>
          <w:rFonts w:hint="eastAsia" w:asciiTheme="minorEastAsia" w:hAnsiTheme="minorEastAsia" w:eastAsiaTheme="minorEastAsia"/>
          <w:b/>
          <w:bCs/>
        </w:rPr>
        <w:t>2．评标程序</w:t>
      </w:r>
      <w:bookmarkEnd w:id="106"/>
      <w:bookmarkEnd w:id="107"/>
      <w:bookmarkEnd w:id="108"/>
    </w:p>
    <w:p w14:paraId="290AF39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2.1评标程序分为投标文件符合性审查、澄清有关问题、比较和评价、推荐中标候选人。</w:t>
      </w:r>
    </w:p>
    <w:p w14:paraId="75833F87">
      <w:pPr>
        <w:adjustRightInd w:val="0"/>
        <w:snapToGrid w:val="0"/>
        <w:spacing w:line="440" w:lineRule="exact"/>
        <w:ind w:firstLine="426"/>
        <w:jc w:val="left"/>
        <w:outlineLvl w:val="2"/>
        <w:rPr>
          <w:rFonts w:asciiTheme="minorEastAsia" w:hAnsiTheme="minorEastAsia" w:eastAsiaTheme="minorEastAsia"/>
          <w:b/>
          <w:bCs/>
        </w:rPr>
      </w:pPr>
      <w:bookmarkStart w:id="109" w:name="_Toc17242"/>
      <w:bookmarkStart w:id="110" w:name="_Toc44315057"/>
      <w:bookmarkStart w:id="111" w:name="_Toc20651218"/>
      <w:r>
        <w:rPr>
          <w:rFonts w:hint="eastAsia" w:asciiTheme="minorEastAsia" w:hAnsiTheme="minorEastAsia" w:eastAsiaTheme="minorEastAsia"/>
          <w:b/>
          <w:bCs/>
        </w:rPr>
        <w:t>3．投标文件的符合性审查</w:t>
      </w:r>
      <w:bookmarkEnd w:id="109"/>
      <w:bookmarkEnd w:id="110"/>
      <w:bookmarkEnd w:id="111"/>
    </w:p>
    <w:p w14:paraId="398070F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3.1资格审查结束后，评标委员会依法按照本章第三节“投标文件的符合性审查”规定进行投标文件符合性。</w:t>
      </w:r>
    </w:p>
    <w:p w14:paraId="66FB955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3.2符合性审查合格投标人少于3家的，应予废标。</w:t>
      </w:r>
    </w:p>
    <w:p w14:paraId="4C9D2237">
      <w:pPr>
        <w:adjustRightInd w:val="0"/>
        <w:snapToGrid w:val="0"/>
        <w:spacing w:line="440" w:lineRule="exact"/>
        <w:ind w:firstLine="426"/>
        <w:jc w:val="left"/>
        <w:outlineLvl w:val="2"/>
        <w:rPr>
          <w:rFonts w:asciiTheme="minorEastAsia" w:hAnsiTheme="minorEastAsia" w:eastAsiaTheme="minorEastAsia"/>
          <w:b/>
          <w:bCs/>
        </w:rPr>
      </w:pPr>
      <w:bookmarkStart w:id="112" w:name="_Toc20651219"/>
      <w:bookmarkStart w:id="113" w:name="_Toc5493"/>
      <w:bookmarkStart w:id="114" w:name="_Toc44315058"/>
      <w:r>
        <w:rPr>
          <w:rFonts w:hint="eastAsia" w:asciiTheme="minorEastAsia" w:hAnsiTheme="minorEastAsia" w:eastAsiaTheme="minorEastAsia"/>
          <w:b/>
          <w:bCs/>
        </w:rPr>
        <w:t>4．投标文件的澄清</w:t>
      </w:r>
      <w:bookmarkEnd w:id="112"/>
      <w:bookmarkEnd w:id="113"/>
      <w:bookmarkEnd w:id="114"/>
    </w:p>
    <w:p w14:paraId="2A6DFC1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4.1对于投标文件中含义不明确、同类问题表述不一致或者有明显文字和计算错误的内容，评标委员会应当以书面形式要求投标人作出必要的澄清、说明或者补正。</w:t>
      </w:r>
    </w:p>
    <w:p w14:paraId="49ACF30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4.2投标文件的投标报价出现前后不一致的，除【评标方法及标准前附表】另有规定外，按照下列规定修正：</w:t>
      </w:r>
    </w:p>
    <w:p w14:paraId="6C67E62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（1）投标文件中开标一览表内容与投标文件中相应内容不一致的，以开标一览表为准；</w:t>
      </w:r>
    </w:p>
    <w:p w14:paraId="7155FCF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（2）大写金额和小写金额不一致的，以大写金额为准；</w:t>
      </w:r>
    </w:p>
    <w:p w14:paraId="3BC5121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（3）单价金额小数点或者百分比有明显错位的，以开标一览表的总价为准，并修改单价；</w:t>
      </w:r>
    </w:p>
    <w:p w14:paraId="720515C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（4）总价金额与按单价汇总金额不一致的，以单价金额计算结果为准。</w:t>
      </w:r>
    </w:p>
    <w:p w14:paraId="30A242F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4.3投标文件报价同时出现两种以上不一致的，按照前款规定的顺序修正。修正后的报价由投标人代表签字或者加盖单位章确认后产生约束力，投标人不确认的，其投标无效。</w:t>
      </w:r>
    </w:p>
    <w:p w14:paraId="40A417D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10C3722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4.5有效的书面澄清材料，是投标文件的补充材料，成为投标文件的组成部分。</w:t>
      </w:r>
    </w:p>
    <w:p w14:paraId="67391EB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26CDC9E6">
      <w:pPr>
        <w:adjustRightInd w:val="0"/>
        <w:snapToGrid w:val="0"/>
        <w:spacing w:line="440" w:lineRule="exact"/>
        <w:ind w:firstLine="426"/>
        <w:jc w:val="left"/>
        <w:outlineLvl w:val="2"/>
        <w:rPr>
          <w:rFonts w:asciiTheme="minorEastAsia" w:hAnsiTheme="minorEastAsia" w:eastAsiaTheme="minorEastAsia"/>
          <w:b/>
          <w:bCs/>
        </w:rPr>
      </w:pPr>
      <w:bookmarkStart w:id="115" w:name="_Toc44315059"/>
      <w:bookmarkStart w:id="116" w:name="_Toc20651220"/>
      <w:bookmarkStart w:id="117" w:name="_Toc9023"/>
      <w:r>
        <w:rPr>
          <w:rFonts w:hint="eastAsia" w:asciiTheme="minorEastAsia" w:hAnsiTheme="minorEastAsia" w:eastAsiaTheme="minorEastAsia"/>
          <w:b/>
          <w:bCs/>
        </w:rPr>
        <w:t>5．投标文件的比较与评价</w:t>
      </w:r>
      <w:bookmarkEnd w:id="115"/>
      <w:bookmarkEnd w:id="116"/>
      <w:bookmarkEnd w:id="117"/>
    </w:p>
    <w:p w14:paraId="295A54E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5.1评标委员会依法按照本章第三节“投标文件的比较与评价”规定，对资格性检查和符合性检查合格的投标文件进行比较和评价。</w:t>
      </w:r>
    </w:p>
    <w:p w14:paraId="5441E44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5.2政府采购政策：</w:t>
      </w:r>
    </w:p>
    <w:p w14:paraId="7934618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（1）价格评审优惠：按【评标方法及标准前附表】及第二章“投标须知”的相关规定给予一定的价格折扣。</w:t>
      </w:r>
    </w:p>
    <w:p w14:paraId="6088CDEA">
      <w:pPr>
        <w:adjustRightInd w:val="0"/>
        <w:snapToGrid w:val="0"/>
        <w:spacing w:line="440" w:lineRule="exact"/>
        <w:ind w:firstLine="426"/>
        <w:jc w:val="left"/>
        <w:outlineLvl w:val="2"/>
        <w:rPr>
          <w:rFonts w:asciiTheme="minorEastAsia" w:hAnsiTheme="minorEastAsia" w:eastAsiaTheme="minorEastAsia"/>
          <w:b/>
          <w:bCs/>
        </w:rPr>
      </w:pPr>
      <w:bookmarkStart w:id="118" w:name="_Toc20651221"/>
      <w:bookmarkStart w:id="119" w:name="_Toc19261"/>
      <w:bookmarkStart w:id="120" w:name="_Toc44315060"/>
      <w:r>
        <w:rPr>
          <w:rFonts w:hint="eastAsia" w:asciiTheme="minorEastAsia" w:hAnsiTheme="minorEastAsia" w:eastAsiaTheme="minorEastAsia"/>
          <w:b/>
          <w:bCs/>
        </w:rPr>
        <w:t>6．推荐中标候选人</w:t>
      </w:r>
      <w:bookmarkEnd w:id="118"/>
      <w:bookmarkEnd w:id="119"/>
      <w:bookmarkEnd w:id="120"/>
    </w:p>
    <w:p w14:paraId="6803749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6.1评标结果按评审后得分由高到低顺序排列。得分相同的，按投标报价由低到高顺序排列。得分且投标报价相同的并列，按【评标方法及标准前附表】规定的方式确定中标人；招标文件未规定的，采取随机抽取的方式确定。</w:t>
      </w:r>
    </w:p>
    <w:p w14:paraId="21C3D246">
      <w:pPr>
        <w:adjustRightInd w:val="0"/>
        <w:snapToGrid w:val="0"/>
        <w:spacing w:line="440" w:lineRule="exact"/>
        <w:ind w:firstLine="426"/>
        <w:jc w:val="left"/>
        <w:outlineLvl w:val="2"/>
        <w:rPr>
          <w:rFonts w:asciiTheme="minorEastAsia" w:hAnsiTheme="minorEastAsia" w:eastAsiaTheme="minorEastAsia"/>
          <w:b/>
          <w:bCs/>
        </w:rPr>
      </w:pPr>
      <w:bookmarkStart w:id="121" w:name="_Toc1565"/>
      <w:bookmarkStart w:id="122" w:name="_Toc256000029"/>
      <w:r>
        <w:rPr>
          <w:rFonts w:hint="eastAsia" w:asciiTheme="minorEastAsia" w:hAnsiTheme="minorEastAsia" w:eastAsiaTheme="minorEastAsia"/>
          <w:b/>
          <w:bCs/>
        </w:rPr>
        <w:t>7．复核</w:t>
      </w:r>
      <w:bookmarkEnd w:id="121"/>
      <w:bookmarkEnd w:id="122"/>
    </w:p>
    <w:p w14:paraId="52E06E6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7.1汇总结束后，评标委员会应当进行复核，特别要对拟推荐为中标候选供应商的、报价最低的、投标文件被认定为无效的进行重点复核。</w:t>
      </w:r>
    </w:p>
    <w:p w14:paraId="0CB6A49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7.2汇总完成后，除下列情形外，任何人不得修改评标结果：</w:t>
      </w:r>
    </w:p>
    <w:p w14:paraId="4A30CA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（1）分值汇总计算错误的；</w:t>
      </w:r>
    </w:p>
    <w:p w14:paraId="0B2FF45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（2）分项评分超出评分标准范围的；</w:t>
      </w:r>
    </w:p>
    <w:p w14:paraId="3BE53DA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（3）评标委员会成员对客观评审因素评分不一致的；</w:t>
      </w:r>
    </w:p>
    <w:p w14:paraId="30C4FFD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（4）经评标委员会认定评分畸高、畸低的。</w:t>
      </w:r>
    </w:p>
    <w:p w14:paraId="252323B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经复核发现存在以上情形之一的，评标委员会应当当场修改评标结果，并在评标报告中记载；</w:t>
      </w:r>
    </w:p>
    <w:p w14:paraId="7F3B55FF">
      <w:pPr>
        <w:adjustRightInd w:val="0"/>
        <w:snapToGrid w:val="0"/>
        <w:spacing w:line="440" w:lineRule="exact"/>
        <w:ind w:firstLine="426"/>
        <w:jc w:val="left"/>
        <w:outlineLvl w:val="2"/>
        <w:rPr>
          <w:rFonts w:asciiTheme="minorEastAsia" w:hAnsiTheme="minorEastAsia" w:eastAsiaTheme="minorEastAsia"/>
          <w:b/>
          <w:bCs/>
        </w:rPr>
      </w:pPr>
      <w:bookmarkStart w:id="123" w:name="_Toc44315061"/>
      <w:bookmarkStart w:id="124" w:name="_Toc2084"/>
      <w:bookmarkStart w:id="125" w:name="_Toc20651222"/>
      <w:r>
        <w:rPr>
          <w:rFonts w:hint="eastAsia" w:asciiTheme="minorEastAsia" w:hAnsiTheme="minorEastAsia" w:eastAsiaTheme="minorEastAsia"/>
          <w:b/>
          <w:bCs/>
        </w:rPr>
        <w:t>8．编写评标报告</w:t>
      </w:r>
      <w:bookmarkEnd w:id="123"/>
      <w:bookmarkEnd w:id="124"/>
      <w:bookmarkEnd w:id="125"/>
    </w:p>
    <w:p w14:paraId="18E791D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8.1根据全体评标成员签名的原始评标记录和评标结果编写评标报告。</w:t>
      </w:r>
    </w:p>
    <w:p w14:paraId="0500A6E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8.2评标委员会成员对需要共同认定的事项存在争议的，应当按照少数服从多数的原则作出结论。持不同意见的评标委员会成员应当在评标报告上签署不同意见及理由，否则视为同意评标报告。</w:t>
      </w:r>
    </w:p>
    <w:p w14:paraId="00517B1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8.3评标报告签署后，采购人或者采购代理机构发现存在本节7.2情形之一的，应当组织原评标委员会进行重新评审。重新评审改变评标结果的，书面报告本级财政部门。</w:t>
      </w:r>
    </w:p>
    <w:p w14:paraId="6468239F">
      <w:pPr>
        <w:adjustRightInd w:val="0"/>
        <w:snapToGrid w:val="0"/>
        <w:spacing w:line="440" w:lineRule="exact"/>
        <w:ind w:firstLine="426"/>
        <w:jc w:val="left"/>
        <w:outlineLvl w:val="2"/>
        <w:rPr>
          <w:rFonts w:asciiTheme="minorEastAsia" w:hAnsiTheme="minorEastAsia" w:eastAsiaTheme="minorEastAsia"/>
          <w:b/>
          <w:bCs/>
        </w:rPr>
      </w:pPr>
      <w:bookmarkStart w:id="126" w:name="_Toc18576"/>
      <w:bookmarkStart w:id="127" w:name="_Toc20651224"/>
      <w:bookmarkStart w:id="128" w:name="_Toc44315063"/>
      <w:r>
        <w:rPr>
          <w:rFonts w:hint="eastAsia" w:asciiTheme="minorEastAsia" w:hAnsiTheme="minorEastAsia" w:eastAsiaTheme="minorEastAsia"/>
          <w:b/>
          <w:bCs/>
        </w:rPr>
        <w:t>9．停止评标</w:t>
      </w:r>
      <w:bookmarkEnd w:id="126"/>
      <w:bookmarkEnd w:id="127"/>
      <w:bookmarkEnd w:id="128"/>
    </w:p>
    <w:p w14:paraId="121E131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0509FD9C">
      <w:pPr>
        <w:adjustRightInd w:val="0"/>
        <w:snapToGrid w:val="0"/>
        <w:spacing w:line="440" w:lineRule="exact"/>
        <w:ind w:firstLine="426"/>
        <w:jc w:val="left"/>
        <w:outlineLvl w:val="2"/>
        <w:rPr>
          <w:rFonts w:asciiTheme="minorEastAsia" w:hAnsiTheme="minorEastAsia" w:eastAsiaTheme="minorEastAsia"/>
          <w:b/>
          <w:bCs/>
        </w:rPr>
      </w:pPr>
      <w:bookmarkStart w:id="129" w:name="_Toc44315064"/>
      <w:bookmarkStart w:id="130" w:name="_Toc22646"/>
      <w:r>
        <w:rPr>
          <w:rFonts w:hint="eastAsia" w:asciiTheme="minorEastAsia" w:hAnsiTheme="minorEastAsia" w:eastAsiaTheme="minorEastAsia"/>
          <w:b/>
          <w:bCs/>
        </w:rPr>
        <w:t>10.</w:t>
      </w:r>
      <w:bookmarkEnd w:id="129"/>
      <w:r>
        <w:rPr>
          <w:rFonts w:hint="eastAsia" w:asciiTheme="minorEastAsia" w:hAnsiTheme="minorEastAsia" w:eastAsiaTheme="minorEastAsia"/>
          <w:b/>
          <w:bCs/>
        </w:rPr>
        <w:t xml:space="preserve"> 无效投标和废标</w:t>
      </w:r>
      <w:bookmarkEnd w:id="130"/>
    </w:p>
    <w:p w14:paraId="2526E83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10.1按【评标方法及标准前附表】</w:t>
      </w:r>
    </w:p>
    <w:p w14:paraId="41C344C1">
      <w:pPr>
        <w:adjustRightInd w:val="0"/>
        <w:snapToGrid w:val="0"/>
        <w:spacing w:line="440" w:lineRule="exact"/>
        <w:ind w:firstLine="426"/>
        <w:jc w:val="left"/>
        <w:outlineLvl w:val="2"/>
        <w:rPr>
          <w:rFonts w:asciiTheme="minorEastAsia" w:hAnsiTheme="minorEastAsia" w:eastAsiaTheme="minorEastAsia"/>
          <w:b/>
          <w:bCs/>
        </w:rPr>
      </w:pPr>
      <w:bookmarkStart w:id="131" w:name="_Toc44315065"/>
      <w:bookmarkStart w:id="132" w:name="_Toc20651225"/>
      <w:bookmarkStart w:id="133" w:name="_Toc1840"/>
      <w:r>
        <w:rPr>
          <w:rFonts w:hint="eastAsia" w:asciiTheme="minorEastAsia" w:hAnsiTheme="minorEastAsia" w:eastAsiaTheme="minorEastAsia"/>
          <w:b/>
          <w:bCs/>
        </w:rPr>
        <w:t>11．重新组建评标委员会进行评标</w:t>
      </w:r>
      <w:bookmarkEnd w:id="131"/>
      <w:bookmarkEnd w:id="132"/>
      <w:bookmarkEnd w:id="133"/>
    </w:p>
    <w:p w14:paraId="1E64814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11.1评标委员会或者其成员存在下列情形导致评标结果无效的，采购人、采购代理机构可以重新组建评标委员会进行评标，并书面报告本级财政部门，但采购合同已经履行的除外：</w:t>
      </w:r>
    </w:p>
    <w:p w14:paraId="7DB985B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（1）评标委员会组成不符合《政府采购货物和服务招标投标管理办法》规定的；</w:t>
      </w:r>
    </w:p>
    <w:p w14:paraId="7389011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（2）有《政府采购货物和服务招标投标管理办法》第六十二条第一至五项情形的；</w:t>
      </w:r>
    </w:p>
    <w:p w14:paraId="6646E41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（3）评标委员会及其成员独立评标受到非法干预的；</w:t>
      </w:r>
    </w:p>
    <w:p w14:paraId="6D66949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（4）有政府采购法实施条例第七十五条规定的违法行为的。</w:t>
      </w:r>
    </w:p>
    <w:p w14:paraId="50E838B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11.2有违法违规行为的原评标委员会成员不得参加重新组建的评标委员会。</w:t>
      </w:r>
    </w:p>
    <w:p w14:paraId="3DA2A480">
      <w:pPr>
        <w:adjustRightInd w:val="0"/>
        <w:snapToGrid w:val="0"/>
        <w:spacing w:line="380" w:lineRule="exact"/>
        <w:ind w:left="850" w:firstLine="420" w:firstLineChars="200"/>
        <w:jc w:val="left"/>
        <w:rPr>
          <w:rFonts w:ascii="黑体" w:hAnsi="黑体" w:eastAsia="黑体"/>
          <w:szCs w:val="21"/>
        </w:rPr>
      </w:pPr>
    </w:p>
    <w:p w14:paraId="7C0E2951">
      <w:pPr>
        <w:adjustRightInd w:val="0"/>
        <w:snapToGrid w:val="0"/>
        <w:spacing w:line="380" w:lineRule="exact"/>
        <w:ind w:left="850" w:firstLine="420" w:firstLineChars="200"/>
        <w:jc w:val="left"/>
        <w:rPr>
          <w:rFonts w:ascii="黑体" w:hAnsi="黑体" w:eastAsia="黑体"/>
          <w:szCs w:val="21"/>
        </w:rPr>
      </w:pPr>
    </w:p>
    <w:p w14:paraId="4BE0259C">
      <w:pPr>
        <w:adjustRightInd w:val="0"/>
        <w:snapToGrid w:val="0"/>
        <w:spacing w:line="380" w:lineRule="exact"/>
        <w:ind w:left="850" w:firstLine="420" w:firstLineChars="200"/>
        <w:jc w:val="left"/>
        <w:rPr>
          <w:rFonts w:hAnsi="宋体"/>
        </w:rPr>
        <w:sectPr>
          <w:pgSz w:w="11906" w:h="16838"/>
          <w:pgMar w:top="1418" w:right="1418" w:bottom="1418" w:left="1418" w:header="851" w:footer="851" w:gutter="0"/>
          <w:pgNumType w:fmt="numberInDash"/>
          <w:cols w:space="720" w:num="1"/>
          <w:docGrid w:type="lines" w:linePitch="312" w:charSpace="0"/>
        </w:sectPr>
      </w:pPr>
    </w:p>
    <w:p w14:paraId="4E72630C">
      <w:pPr>
        <w:pStyle w:val="3"/>
      </w:pPr>
      <w:bookmarkStart w:id="134" w:name="_Toc44315066"/>
      <w:bookmarkStart w:id="135" w:name="_Toc20651226"/>
      <w:bookmarkStart w:id="136" w:name="_Toc10732"/>
      <w:r>
        <w:rPr>
          <w:rFonts w:hint="eastAsia"/>
        </w:rPr>
        <w:t>第三节 投标文件的符合性审查</w:t>
      </w:r>
      <w:bookmarkEnd w:id="134"/>
      <w:bookmarkEnd w:id="135"/>
      <w:bookmarkEnd w:id="136"/>
    </w:p>
    <w:p w14:paraId="0592AEDF">
      <w:pPr>
        <w:adjustRightInd w:val="0"/>
        <w:snapToGrid w:val="0"/>
        <w:spacing w:line="440" w:lineRule="exact"/>
        <w:ind w:firstLine="426"/>
        <w:jc w:val="left"/>
        <w:outlineLvl w:val="2"/>
        <w:rPr>
          <w:rFonts w:asciiTheme="minorEastAsia" w:hAnsiTheme="minorEastAsia" w:eastAsiaTheme="minorEastAsia"/>
          <w:b/>
          <w:bCs/>
        </w:rPr>
      </w:pPr>
      <w:bookmarkStart w:id="137" w:name="_Toc44315067"/>
      <w:bookmarkStart w:id="138" w:name="_Toc5741"/>
      <w:r>
        <w:rPr>
          <w:rFonts w:hint="eastAsia" w:asciiTheme="minorEastAsia" w:hAnsiTheme="minorEastAsia" w:eastAsiaTheme="minorEastAsia"/>
          <w:b/>
          <w:bCs/>
        </w:rPr>
        <w:t>1.符合性审查</w:t>
      </w:r>
      <w:bookmarkEnd w:id="137"/>
      <w:bookmarkEnd w:id="138"/>
    </w:p>
    <w:p w14:paraId="467A6FF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1.1评标委员会应按本章本节附表1“符合性审查表”所列审查项目及审查标准，对符合资格条件的投标人的投标文件进行符合性审查，以确定其是否满足招标文件的实质性要求。</w:t>
      </w:r>
    </w:p>
    <w:p w14:paraId="75F23BD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6021A66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（2）投标人不得通过修正或撤销不合要求的偏离从而使其投标成为实质上响应的投标。</w:t>
      </w:r>
    </w:p>
    <w:p w14:paraId="53A065B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1.2未通过符合性审查的投标人，其投标将被认定为投标无效，不能进入下一阶段评审。通过符合性审查的投标人数量不足 3 家的，不得作进一步的比较和评价。</w:t>
      </w:r>
    </w:p>
    <w:p w14:paraId="3935AD34">
      <w:pPr>
        <w:adjustRightInd w:val="0"/>
        <w:snapToGrid w:val="0"/>
        <w:spacing w:line="440" w:lineRule="exact"/>
        <w:ind w:firstLine="426"/>
        <w:jc w:val="left"/>
        <w:outlineLvl w:val="2"/>
        <w:rPr>
          <w:rFonts w:asciiTheme="minorEastAsia" w:hAnsiTheme="minorEastAsia" w:eastAsiaTheme="minorEastAsia"/>
          <w:b/>
          <w:bCs/>
        </w:rPr>
      </w:pPr>
      <w:bookmarkStart w:id="139" w:name="_Toc28288"/>
      <w:bookmarkStart w:id="140" w:name="_Toc44315068"/>
      <w:r>
        <w:rPr>
          <w:rFonts w:hint="eastAsia" w:asciiTheme="minorEastAsia" w:hAnsiTheme="minorEastAsia" w:eastAsiaTheme="minorEastAsia"/>
          <w:b/>
          <w:bCs/>
        </w:rPr>
        <w:t>2.投标无效</w:t>
      </w:r>
      <w:bookmarkEnd w:id="139"/>
      <w:bookmarkEnd w:id="140"/>
    </w:p>
    <w:p w14:paraId="7CD1C0C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2.1投标人存在下列情况之一的，符合性审查不合格，投标无效：</w:t>
      </w:r>
    </w:p>
    <w:p w14:paraId="5D48DFB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（1）投标文件中商务技术文件未按照招标文件规定要求签署、盖章的；</w:t>
      </w:r>
    </w:p>
    <w:p w14:paraId="30EA736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（2）投标文件没有对招标文件的实质性要求和条件作出响应，或者对招标文件的偏离超出招标文件规定的偏离范围和幅度；</w:t>
      </w:r>
    </w:p>
    <w:p w14:paraId="6466B5A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（3）投标有效期不足的；</w:t>
      </w:r>
    </w:p>
    <w:p w14:paraId="6CB52D7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（4）投标文件含有采购人不能接受的附加条件的；</w:t>
      </w:r>
    </w:p>
    <w:p w14:paraId="68FD4AA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（5）不符合本节第1.1款规定符合性审查标准的；</w:t>
      </w:r>
    </w:p>
    <w:p w14:paraId="21E5E1C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（6）法律、法规和招标文件规定的其他投标无效情形的。</w:t>
      </w:r>
    </w:p>
    <w:p w14:paraId="6FCA4D4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2.2在评标过程中发现投标人有不遵循公平竞争的原则，恶意串通，妨碍其他投标人的竞争行为，损害采购人或者其他投标人的合法权益的，评标委员会应当认定其投标无效，并书面报告本级财政部门。</w:t>
      </w:r>
    </w:p>
    <w:p w14:paraId="11A5ACCD">
      <w:pPr>
        <w:adjustRightInd w:val="0"/>
        <w:snapToGrid w:val="0"/>
        <w:spacing w:line="380" w:lineRule="exact"/>
        <w:ind w:left="850" w:firstLine="420" w:firstLineChars="200"/>
        <w:jc w:val="left"/>
        <w:rPr>
          <w:rFonts w:ascii="黑体" w:hAnsi="黑体" w:eastAsia="黑体"/>
          <w:szCs w:val="21"/>
        </w:rPr>
      </w:pPr>
    </w:p>
    <w:p w14:paraId="145E21A8">
      <w:pPr>
        <w:adjustRightInd w:val="0"/>
        <w:snapToGrid w:val="0"/>
        <w:spacing w:line="380" w:lineRule="exact"/>
        <w:ind w:left="850" w:firstLine="420" w:firstLineChars="200"/>
        <w:jc w:val="left"/>
        <w:rPr>
          <w:rFonts w:ascii="黑体" w:hAnsi="黑体" w:eastAsia="黑体"/>
          <w:szCs w:val="21"/>
        </w:rPr>
      </w:pPr>
    </w:p>
    <w:p w14:paraId="289887AE">
      <w:pPr>
        <w:adjustRightInd w:val="0"/>
        <w:snapToGrid w:val="0"/>
        <w:spacing w:line="380" w:lineRule="exact"/>
        <w:ind w:left="850" w:firstLine="420" w:firstLineChars="200"/>
        <w:jc w:val="left"/>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p>
    <w:p w14:paraId="441A1617">
      <w:pPr>
        <w:pStyle w:val="3"/>
      </w:pPr>
      <w:bookmarkStart w:id="141" w:name="_Toc44315072"/>
      <w:bookmarkStart w:id="142" w:name="_Toc20651230"/>
      <w:bookmarkStart w:id="143" w:name="_Toc31347"/>
      <w:r>
        <w:rPr>
          <w:rFonts w:hint="eastAsia"/>
        </w:rPr>
        <w:t>第四节 投标文件的比较与评价（综合评分法）</w:t>
      </w:r>
      <w:bookmarkEnd w:id="141"/>
      <w:bookmarkEnd w:id="142"/>
      <w:bookmarkEnd w:id="143"/>
    </w:p>
    <w:p w14:paraId="0EE1BE81">
      <w:pPr>
        <w:adjustRightInd w:val="0"/>
        <w:snapToGrid w:val="0"/>
        <w:spacing w:line="440" w:lineRule="exact"/>
        <w:ind w:firstLine="426"/>
        <w:jc w:val="left"/>
        <w:outlineLvl w:val="2"/>
        <w:rPr>
          <w:rFonts w:asciiTheme="minorEastAsia" w:hAnsiTheme="minorEastAsia" w:eastAsiaTheme="minorEastAsia"/>
          <w:b/>
          <w:bCs/>
        </w:rPr>
      </w:pPr>
      <w:bookmarkStart w:id="144" w:name="_Toc44315073"/>
      <w:bookmarkStart w:id="145" w:name="_Toc4932"/>
      <w:r>
        <w:rPr>
          <w:rFonts w:hint="eastAsia" w:asciiTheme="minorEastAsia" w:hAnsiTheme="minorEastAsia" w:eastAsiaTheme="minorEastAsia"/>
          <w:b/>
          <w:bCs/>
        </w:rPr>
        <w:t>1. 综合评分法</w:t>
      </w:r>
      <w:bookmarkEnd w:id="144"/>
      <w:bookmarkEnd w:id="145"/>
    </w:p>
    <w:p w14:paraId="40E5A59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1.1综合评分法，指投标文件满足招标文件全部实质性要求，且按照评审因素的量化指标评审得分最高的投标人为中标候选人的评标方法。</w:t>
      </w:r>
    </w:p>
    <w:p w14:paraId="57289F3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0ADB196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1.3未通过符合性审查的投标文件不得进入比较与评价。</w:t>
      </w:r>
    </w:p>
    <w:p w14:paraId="62B5FCD9">
      <w:pPr>
        <w:adjustRightInd w:val="0"/>
        <w:snapToGrid w:val="0"/>
        <w:spacing w:line="440" w:lineRule="exact"/>
        <w:ind w:firstLine="426"/>
        <w:jc w:val="left"/>
        <w:outlineLvl w:val="2"/>
        <w:rPr>
          <w:rFonts w:asciiTheme="minorEastAsia" w:hAnsiTheme="minorEastAsia" w:eastAsiaTheme="minorEastAsia"/>
          <w:b/>
          <w:bCs/>
        </w:rPr>
      </w:pPr>
      <w:bookmarkStart w:id="146" w:name="_Toc44315074"/>
      <w:bookmarkStart w:id="147" w:name="_Toc26434"/>
      <w:r>
        <w:rPr>
          <w:rFonts w:hint="eastAsia" w:asciiTheme="minorEastAsia" w:hAnsiTheme="minorEastAsia" w:eastAsiaTheme="minorEastAsia"/>
          <w:b/>
          <w:bCs/>
        </w:rPr>
        <w:t>2. 投标报价的算术修正及政府采购政策调整</w:t>
      </w:r>
      <w:bookmarkEnd w:id="146"/>
      <w:bookmarkEnd w:id="147"/>
    </w:p>
    <w:p w14:paraId="1115856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2.1如果有算术错误，投标报价将按本章第二节第4.2款、第4.3款规定进行算术修正。</w:t>
      </w:r>
    </w:p>
    <w:p w14:paraId="6097B0A7">
      <w:pPr>
        <w:adjustRightInd w:val="0"/>
        <w:snapToGrid w:val="0"/>
        <w:spacing w:line="440" w:lineRule="exact"/>
        <w:ind w:firstLine="420" w:firstLineChars="200"/>
        <w:rPr>
          <w:rFonts w:ascii="宋体" w:hAnsi="宋体"/>
          <w:szCs w:val="21"/>
          <w:highlight w:val="white"/>
        </w:rPr>
      </w:pPr>
      <w:r>
        <w:rPr>
          <w:rFonts w:hint="eastAsia" w:ascii="宋体" w:hAnsi="宋体"/>
          <w:szCs w:val="21"/>
        </w:rPr>
        <w:t>2.2 根据《关于推动解决政府采购异常低价问题的通知》（</w:t>
      </w:r>
      <w:r>
        <w:rPr>
          <w:rFonts w:ascii="宋体" w:hAnsi="宋体"/>
          <w:szCs w:val="21"/>
        </w:rPr>
        <w:t>财库〔2026〕2号</w:t>
      </w:r>
      <w:r>
        <w:rPr>
          <w:rFonts w:hint="eastAsia" w:ascii="宋体" w:hAnsi="宋体"/>
          <w:szCs w:val="21"/>
        </w:rPr>
        <w:t>）文件的相关规定，</w:t>
      </w:r>
      <w:r>
        <w:rPr>
          <w:rFonts w:hint="eastAsia" w:ascii="宋体" w:hAnsi="宋体"/>
          <w:szCs w:val="21"/>
          <w:highlight w:val="white"/>
        </w:rPr>
        <w:t>评审中出现下列情形之一的，评审委员会应当启动异常低价投标（响应）审查程序：</w:t>
      </w:r>
    </w:p>
    <w:p w14:paraId="77AE6C0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（1）投标（响应）报价低于全部通过符合性审查供应商投标（响应）报价平均值65%的，即投标（响应）报价&lt;全部通过符合性审查供应商投标（响应）报价平均值×65%；</w:t>
      </w:r>
    </w:p>
    <w:p w14:paraId="14E919B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（2）投标（响应）报价低于通过符合性审查的次低报价供应商投标（响应）报价65%的，即投标（响应）报价&lt;通过符合性审查的次低报价供应商投标（响应）报价×65%；</w:t>
      </w:r>
    </w:p>
    <w:p w14:paraId="1F013F1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（3）投标（响应）报价低于采购项目最高限价65%的，即投标（响应）报价&lt;采购项目最高限价×65%；</w:t>
      </w:r>
    </w:p>
    <w:p w14:paraId="1462B71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（4）评审委员会基于专业判断，认为供应商报价过低，有可能影响产品质量或者不能诚信履约的其他情形。</w:t>
      </w:r>
    </w:p>
    <w:p w14:paraId="1E266C2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C37BE2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08914F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异常低价投标（响应）审查的启动原因、审查意见和审查结果应当在评审报告中记录，并随供应商提供的相关书面说明及证明材料，以及评审委员会有关互联网浏览、查询历史一并归档。</w:t>
      </w:r>
    </w:p>
    <w:p w14:paraId="291E432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2.3需落实政府采购政策（价格评审优惠）的，按第二章“投标须知”及本章第二节第5.3（1）项的相关规定进行价格调整。</w:t>
      </w:r>
    </w:p>
    <w:p w14:paraId="5F1B14E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2.4按本章本节第2.1款、第2.2款规定，以修正或调整后的价格确定投标人的投标报价和评标基准价，用于投标报价评价。</w:t>
      </w:r>
    </w:p>
    <w:p w14:paraId="66C11522">
      <w:pPr>
        <w:adjustRightInd w:val="0"/>
        <w:snapToGrid w:val="0"/>
        <w:spacing w:line="440" w:lineRule="exact"/>
        <w:ind w:firstLine="426"/>
        <w:jc w:val="left"/>
        <w:outlineLvl w:val="2"/>
        <w:rPr>
          <w:rFonts w:asciiTheme="minorEastAsia" w:hAnsiTheme="minorEastAsia" w:eastAsiaTheme="minorEastAsia"/>
          <w:b/>
          <w:bCs/>
        </w:rPr>
      </w:pPr>
      <w:bookmarkStart w:id="148" w:name="_Toc44315075"/>
      <w:bookmarkStart w:id="149" w:name="_Toc21159"/>
      <w:r>
        <w:rPr>
          <w:rFonts w:hint="eastAsia" w:asciiTheme="minorEastAsia" w:hAnsiTheme="minorEastAsia" w:eastAsiaTheme="minorEastAsia"/>
          <w:b/>
          <w:bCs/>
        </w:rPr>
        <w:t>3. 投标报价评价</w:t>
      </w:r>
      <w:bookmarkEnd w:id="148"/>
      <w:bookmarkEnd w:id="149"/>
    </w:p>
    <w:p w14:paraId="6076393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3.1投标报价评价：价格分应当采用低价优先法计算，即满足招标文件要求且投标价格最低的投标报价为评标基准价，其价格分为满分（报价权重分）。其他投标人的价格分统一按照下列公式计算：</w:t>
      </w:r>
    </w:p>
    <w:p w14:paraId="2AD189E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投标报价得分=（评标基准价修正或调整／投标报价修正或调整） × 报价权重分</w:t>
      </w:r>
    </w:p>
    <w:p w14:paraId="6A858B24">
      <w:pPr>
        <w:adjustRightInd w:val="0"/>
        <w:snapToGrid w:val="0"/>
        <w:spacing w:line="440" w:lineRule="exact"/>
        <w:ind w:firstLine="426"/>
        <w:jc w:val="left"/>
        <w:outlineLvl w:val="2"/>
        <w:rPr>
          <w:rFonts w:asciiTheme="minorEastAsia" w:hAnsiTheme="minorEastAsia" w:eastAsiaTheme="minorEastAsia"/>
          <w:b/>
          <w:bCs/>
        </w:rPr>
      </w:pPr>
      <w:bookmarkStart w:id="150" w:name="_Toc21072"/>
      <w:r>
        <w:rPr>
          <w:rFonts w:hint="eastAsia" w:asciiTheme="minorEastAsia" w:hAnsiTheme="minorEastAsia" w:eastAsiaTheme="minorEastAsia"/>
          <w:b/>
          <w:bCs/>
        </w:rPr>
        <w:t>4.技术、商务等评分项响应评价及政府采购政策加分</w:t>
      </w:r>
      <w:bookmarkEnd w:id="150"/>
    </w:p>
    <w:p w14:paraId="223C3EC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4.1技术、商务等评分项响应评分。按本章本s节附页1“评标方法及标准表”规定的评标因素和标准，对技术、商务等评分项计算得分。</w:t>
      </w:r>
    </w:p>
    <w:p w14:paraId="77D9535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4.2需落实政府采购政策（优先采购）的，按第二章、本章第二节第5.3（2）项以及本节附页1“评标方法及标准表”的相关规定进行技术、价格、商务项得分(加分)计算。</w:t>
      </w:r>
    </w:p>
    <w:p w14:paraId="5D69C81D">
      <w:pPr>
        <w:adjustRightInd w:val="0"/>
        <w:snapToGrid w:val="0"/>
        <w:spacing w:line="440" w:lineRule="exact"/>
        <w:ind w:firstLine="426"/>
        <w:jc w:val="left"/>
        <w:outlineLvl w:val="2"/>
        <w:rPr>
          <w:rFonts w:asciiTheme="minorEastAsia" w:hAnsiTheme="minorEastAsia" w:eastAsiaTheme="minorEastAsia"/>
          <w:b/>
          <w:bCs/>
        </w:rPr>
      </w:pPr>
      <w:bookmarkStart w:id="151" w:name="_Toc44315077"/>
      <w:bookmarkStart w:id="152" w:name="_Toc26108"/>
      <w:r>
        <w:rPr>
          <w:rFonts w:hint="eastAsia" w:asciiTheme="minorEastAsia" w:hAnsiTheme="minorEastAsia" w:eastAsiaTheme="minorEastAsia"/>
          <w:b/>
          <w:bCs/>
        </w:rPr>
        <w:t>5.评标总得分</w:t>
      </w:r>
      <w:bookmarkEnd w:id="151"/>
      <w:bookmarkEnd w:id="152"/>
    </w:p>
    <w:p w14:paraId="3E9A50A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5.1评标总得分为投标报价、技术、商务等评分项得分(含优先采购政策加分)之和。</w:t>
      </w:r>
    </w:p>
    <w:p w14:paraId="4365012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评标总得分＝A</w:t>
      </w:r>
      <w:r>
        <w:rPr>
          <w:rFonts w:hint="eastAsia" w:ascii="宋体" w:hAnsi="宋体"/>
          <w:szCs w:val="21"/>
          <w:highlight w:val="white"/>
          <w:vertAlign w:val="subscript"/>
        </w:rPr>
        <w:t>投标报价得分</w:t>
      </w:r>
      <w:r>
        <w:rPr>
          <w:rFonts w:hint="eastAsia" w:ascii="宋体" w:hAnsi="宋体"/>
          <w:szCs w:val="21"/>
          <w:highlight w:val="white"/>
        </w:rPr>
        <w:t>＋A</w:t>
      </w:r>
      <w:r>
        <w:rPr>
          <w:rFonts w:hint="eastAsia" w:ascii="宋体" w:hAnsi="宋体"/>
          <w:szCs w:val="21"/>
          <w:highlight w:val="white"/>
          <w:vertAlign w:val="subscript"/>
        </w:rPr>
        <w:t>技术项得分</w:t>
      </w:r>
      <w:r>
        <w:rPr>
          <w:rFonts w:hint="eastAsia" w:ascii="宋体" w:hAnsi="宋体"/>
          <w:szCs w:val="21"/>
          <w:highlight w:val="white"/>
        </w:rPr>
        <w:t>＋A</w:t>
      </w:r>
      <w:r>
        <w:rPr>
          <w:rFonts w:hint="eastAsia" w:ascii="宋体" w:hAnsi="宋体"/>
          <w:szCs w:val="21"/>
          <w:highlight w:val="white"/>
          <w:vertAlign w:val="subscript"/>
        </w:rPr>
        <w:t>商务项得分</w:t>
      </w:r>
      <w:r>
        <w:rPr>
          <w:rFonts w:hint="eastAsia" w:ascii="宋体" w:hAnsi="宋体"/>
          <w:szCs w:val="21"/>
          <w:highlight w:val="white"/>
        </w:rPr>
        <w:t>＋A</w:t>
      </w:r>
      <w:r>
        <w:rPr>
          <w:rFonts w:hint="eastAsia" w:ascii="宋体" w:hAnsi="宋体"/>
          <w:szCs w:val="21"/>
          <w:highlight w:val="white"/>
          <w:vertAlign w:val="subscript"/>
        </w:rPr>
        <w:t>优先采购加分</w:t>
      </w:r>
    </w:p>
    <w:p w14:paraId="4574DFD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5.2评分分值计算保留小数点后两位，小数点后第三位“四舍五入”。</w:t>
      </w:r>
    </w:p>
    <w:p w14:paraId="65D6320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5.3评标时，评标委员会成员应当独立对满足招标文件全部实质性要求投标人的投标文件进行评价、评分，然后汇总每个投标人每项评分因素的得分。每个投标人的最终得分为所有评标委员会成员评分的算术平均值。</w:t>
      </w:r>
    </w:p>
    <w:p w14:paraId="47118E3F">
      <w:pPr>
        <w:adjustRightInd w:val="0"/>
        <w:snapToGrid w:val="0"/>
        <w:spacing w:line="440" w:lineRule="exact"/>
        <w:ind w:firstLine="426"/>
        <w:jc w:val="left"/>
        <w:outlineLvl w:val="2"/>
        <w:rPr>
          <w:rFonts w:asciiTheme="minorEastAsia" w:hAnsiTheme="minorEastAsia" w:eastAsiaTheme="minorEastAsia"/>
          <w:b/>
          <w:bCs/>
        </w:rPr>
      </w:pPr>
      <w:bookmarkStart w:id="153" w:name="_Toc10866"/>
      <w:bookmarkStart w:id="154" w:name="_Toc44315078"/>
      <w:r>
        <w:rPr>
          <w:rFonts w:hint="eastAsia" w:asciiTheme="minorEastAsia" w:hAnsiTheme="minorEastAsia" w:eastAsiaTheme="minorEastAsia"/>
          <w:b/>
          <w:bCs/>
        </w:rPr>
        <w:t>6.中标候选人的推荐方法</w:t>
      </w:r>
      <w:bookmarkEnd w:id="153"/>
      <w:bookmarkEnd w:id="154"/>
    </w:p>
    <w:p w14:paraId="3246AA1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778154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6.2得分且投标报价相同的并列，按本章第二节规定确定中标候选人。</w:t>
      </w:r>
    </w:p>
    <w:p w14:paraId="10E3B981">
      <w:pPr>
        <w:adjustRightInd w:val="0"/>
        <w:snapToGrid w:val="0"/>
        <w:spacing w:line="380" w:lineRule="exact"/>
        <w:ind w:left="850" w:firstLine="420" w:firstLineChars="200"/>
        <w:jc w:val="left"/>
        <w:rPr>
          <w:rFonts w:ascii="黑体" w:hAnsi="黑体" w:eastAsia="黑体"/>
          <w:szCs w:val="21"/>
        </w:rPr>
      </w:pPr>
    </w:p>
    <w:p w14:paraId="667208EA">
      <w:pPr>
        <w:adjustRightInd w:val="0"/>
        <w:snapToGrid w:val="0"/>
        <w:spacing w:line="380" w:lineRule="exact"/>
        <w:ind w:left="850" w:firstLine="420" w:firstLineChars="200"/>
        <w:jc w:val="left"/>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p>
    <w:p w14:paraId="5238CFCA">
      <w:pPr>
        <w:pStyle w:val="3"/>
      </w:pPr>
      <w:bookmarkStart w:id="155" w:name="_Toc44315079"/>
      <w:bookmarkStart w:id="156" w:name="_Toc30801"/>
      <w:r>
        <w:rPr>
          <w:rFonts w:hint="eastAsia"/>
        </w:rPr>
        <w:t>附页1 评标方法及标准</w:t>
      </w:r>
      <w:bookmarkEnd w:id="155"/>
      <w:bookmarkEnd w:id="156"/>
    </w:p>
    <w:p w14:paraId="295BBF41"/>
    <w:p w14:paraId="2B4581B0">
      <w:pPr>
        <w:adjustRightInd w:val="0"/>
        <w:snapToGrid w:val="0"/>
        <w:spacing w:line="360" w:lineRule="auto"/>
        <w:jc w:val="center"/>
        <w:rPr>
          <w:rFonts w:ascii="黑体" w:hAnsi="华文中宋" w:eastAsia="黑体"/>
          <w:b/>
          <w:bCs/>
          <w:sz w:val="24"/>
        </w:rPr>
      </w:pPr>
      <w:r>
        <w:rPr>
          <w:rFonts w:hint="eastAsia" w:ascii="黑体" w:hAnsi="华文中宋" w:eastAsia="黑体"/>
          <w:b/>
          <w:bCs/>
          <w:sz w:val="24"/>
        </w:rPr>
        <w:t>评标方法及标准</w:t>
      </w:r>
    </w:p>
    <w:tbl>
      <w:tblPr>
        <w:tblStyle w:val="41"/>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55"/>
        <w:gridCol w:w="1563"/>
        <w:gridCol w:w="567"/>
        <w:gridCol w:w="6201"/>
      </w:tblGrid>
      <w:tr w14:paraId="1A3BAC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9286" w:type="dxa"/>
            <w:gridSpan w:val="4"/>
            <w:vAlign w:val="center"/>
          </w:tcPr>
          <w:p w14:paraId="02608E99">
            <w:pPr>
              <w:widowControl/>
              <w:spacing w:line="420" w:lineRule="exact"/>
              <w:ind w:right="-109" w:rightChars="-52"/>
              <w:jc w:val="center"/>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评审因素及权值</w:t>
            </w:r>
          </w:p>
        </w:tc>
      </w:tr>
      <w:tr w14:paraId="1F7F6E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2518" w:type="dxa"/>
            <w:gridSpan w:val="2"/>
            <w:tcBorders>
              <w:right w:val="single" w:color="auto" w:sz="4" w:space="0"/>
            </w:tcBorders>
            <w:vAlign w:val="center"/>
          </w:tcPr>
          <w:p w14:paraId="7D44121C">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评标因素</w:t>
            </w:r>
          </w:p>
        </w:tc>
        <w:tc>
          <w:tcPr>
            <w:tcW w:w="6768" w:type="dxa"/>
            <w:gridSpan w:val="2"/>
            <w:tcBorders>
              <w:left w:val="single" w:color="auto" w:sz="4" w:space="0"/>
            </w:tcBorders>
            <w:vAlign w:val="center"/>
          </w:tcPr>
          <w:p w14:paraId="20D6FDAE">
            <w:pPr>
              <w:widowControl/>
              <w:spacing w:line="420" w:lineRule="exact"/>
              <w:ind w:right="-109" w:rightChars="-52"/>
              <w:jc w:val="center"/>
              <w:rPr>
                <w:rFonts w:ascii="黑体" w:hAnsi="黑体" w:eastAsia="黑体"/>
                <w:b/>
                <w:color w:val="000000" w:themeColor="text1"/>
                <w:szCs w:val="21"/>
                <w14:textFill>
                  <w14:solidFill>
                    <w14:schemeClr w14:val="tx1"/>
                  </w14:solidFill>
                </w14:textFill>
              </w:rPr>
            </w:pPr>
            <w:r>
              <w:rPr>
                <w:rFonts w:ascii="宋体" w:hAnsi="宋体" w:cs="宋体"/>
                <w:color w:val="000000" w:themeColor="text1"/>
                <w14:textFill>
                  <w14:solidFill>
                    <w14:schemeClr w14:val="tx1"/>
                  </w14:solidFill>
                </w14:textFill>
              </w:rPr>
              <w:t>权值范围</w:t>
            </w:r>
          </w:p>
        </w:tc>
      </w:tr>
      <w:tr w14:paraId="33C30A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2518" w:type="dxa"/>
            <w:gridSpan w:val="2"/>
            <w:tcBorders>
              <w:right w:val="single" w:color="auto" w:sz="4" w:space="0"/>
            </w:tcBorders>
            <w:vAlign w:val="center"/>
          </w:tcPr>
          <w:p w14:paraId="45542E6F">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技术部分</w:t>
            </w:r>
          </w:p>
        </w:tc>
        <w:tc>
          <w:tcPr>
            <w:tcW w:w="6768" w:type="dxa"/>
            <w:gridSpan w:val="2"/>
            <w:tcBorders>
              <w:left w:val="single" w:color="auto" w:sz="4" w:space="0"/>
            </w:tcBorders>
            <w:vAlign w:val="center"/>
          </w:tcPr>
          <w:p w14:paraId="63EDB4A0">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60</w:t>
            </w:r>
          </w:p>
        </w:tc>
      </w:tr>
      <w:tr w14:paraId="431F32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2518" w:type="dxa"/>
            <w:gridSpan w:val="2"/>
            <w:tcBorders>
              <w:right w:val="single" w:color="auto" w:sz="4" w:space="0"/>
            </w:tcBorders>
            <w:vAlign w:val="center"/>
          </w:tcPr>
          <w:p w14:paraId="4255270C">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w:t>
            </w:r>
          </w:p>
        </w:tc>
        <w:tc>
          <w:tcPr>
            <w:tcW w:w="6768" w:type="dxa"/>
            <w:gridSpan w:val="2"/>
            <w:tcBorders>
              <w:left w:val="single" w:color="auto" w:sz="4" w:space="0"/>
            </w:tcBorders>
            <w:vAlign w:val="center"/>
          </w:tcPr>
          <w:p w14:paraId="6145B9EA">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w:t>
            </w:r>
          </w:p>
        </w:tc>
      </w:tr>
      <w:tr w14:paraId="2B5036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2518" w:type="dxa"/>
            <w:gridSpan w:val="2"/>
            <w:tcBorders>
              <w:right w:val="single" w:color="auto" w:sz="4" w:space="0"/>
            </w:tcBorders>
            <w:vAlign w:val="center"/>
          </w:tcPr>
          <w:p w14:paraId="1C055EDC">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价格部分</w:t>
            </w:r>
          </w:p>
        </w:tc>
        <w:tc>
          <w:tcPr>
            <w:tcW w:w="6768" w:type="dxa"/>
            <w:gridSpan w:val="2"/>
            <w:tcBorders>
              <w:left w:val="single" w:color="auto" w:sz="4" w:space="0"/>
            </w:tcBorders>
            <w:vAlign w:val="center"/>
          </w:tcPr>
          <w:p w14:paraId="5C148DF5">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w:t>
            </w:r>
          </w:p>
        </w:tc>
      </w:tr>
      <w:tr w14:paraId="6B7C7D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9286" w:type="dxa"/>
            <w:gridSpan w:val="4"/>
            <w:vAlign w:val="center"/>
          </w:tcPr>
          <w:p w14:paraId="215DAD8B">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综合评分表</w:t>
            </w:r>
          </w:p>
        </w:tc>
      </w:tr>
      <w:tr w14:paraId="079711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7" w:hRule="exact"/>
        </w:trPr>
        <w:tc>
          <w:tcPr>
            <w:tcW w:w="955" w:type="dxa"/>
            <w:tcBorders>
              <w:right w:val="single" w:color="auto" w:sz="4" w:space="0"/>
            </w:tcBorders>
            <w:vAlign w:val="center"/>
          </w:tcPr>
          <w:p w14:paraId="3294A5EA">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评审因素</w:t>
            </w:r>
          </w:p>
        </w:tc>
        <w:tc>
          <w:tcPr>
            <w:tcW w:w="1563" w:type="dxa"/>
            <w:tcBorders>
              <w:left w:val="single" w:color="auto" w:sz="4" w:space="0"/>
              <w:right w:val="single" w:color="auto" w:sz="4" w:space="0"/>
            </w:tcBorders>
            <w:vAlign w:val="center"/>
          </w:tcPr>
          <w:p w14:paraId="6C9D96C4">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计分因素</w:t>
            </w:r>
          </w:p>
        </w:tc>
        <w:tc>
          <w:tcPr>
            <w:tcW w:w="567" w:type="dxa"/>
            <w:tcBorders>
              <w:left w:val="single" w:color="auto" w:sz="4" w:space="0"/>
              <w:right w:val="single" w:color="auto" w:sz="4" w:space="0"/>
            </w:tcBorders>
            <w:vAlign w:val="center"/>
          </w:tcPr>
          <w:p w14:paraId="6107EFCC">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分值</w:t>
            </w:r>
          </w:p>
        </w:tc>
        <w:tc>
          <w:tcPr>
            <w:tcW w:w="6201" w:type="dxa"/>
            <w:tcBorders>
              <w:left w:val="single" w:color="auto" w:sz="4" w:space="0"/>
            </w:tcBorders>
            <w:vAlign w:val="center"/>
          </w:tcPr>
          <w:p w14:paraId="50C32690">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计分标准</w:t>
            </w:r>
          </w:p>
        </w:tc>
      </w:tr>
      <w:tr w14:paraId="2A7947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5" w:type="dxa"/>
            <w:vMerge w:val="restart"/>
            <w:tcBorders>
              <w:right w:val="single" w:color="auto" w:sz="4" w:space="0"/>
            </w:tcBorders>
            <w:vAlign w:val="center"/>
          </w:tcPr>
          <w:p w14:paraId="3642DD11">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技术部分</w:t>
            </w:r>
          </w:p>
        </w:tc>
        <w:tc>
          <w:tcPr>
            <w:tcW w:w="1563" w:type="dxa"/>
            <w:tcBorders>
              <w:left w:val="single" w:color="auto" w:sz="4" w:space="0"/>
              <w:bottom w:val="single" w:color="auto" w:sz="4" w:space="0"/>
              <w:right w:val="single" w:color="auto" w:sz="4" w:space="0"/>
            </w:tcBorders>
            <w:vAlign w:val="center"/>
          </w:tcPr>
          <w:p w14:paraId="63295608">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技术部分响应程度</w:t>
            </w:r>
          </w:p>
        </w:tc>
        <w:tc>
          <w:tcPr>
            <w:tcW w:w="567" w:type="dxa"/>
            <w:tcBorders>
              <w:left w:val="single" w:color="auto" w:sz="4" w:space="0"/>
              <w:bottom w:val="single" w:color="auto" w:sz="4" w:space="0"/>
              <w:right w:val="single" w:color="auto" w:sz="4" w:space="0"/>
            </w:tcBorders>
            <w:vAlign w:val="center"/>
          </w:tcPr>
          <w:p w14:paraId="158D043D">
            <w:pPr>
              <w:widowControl/>
              <w:spacing w:line="420" w:lineRule="exact"/>
              <w:ind w:left="-107" w:leftChars="-102" w:right="-109" w:rightChars="-52" w:hanging="107" w:hangingChars="51"/>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26</w:t>
            </w:r>
          </w:p>
        </w:tc>
        <w:tc>
          <w:tcPr>
            <w:tcW w:w="6201" w:type="dxa"/>
            <w:tcBorders>
              <w:left w:val="single" w:color="auto" w:sz="4" w:space="0"/>
              <w:bottom w:val="single" w:color="auto" w:sz="4" w:space="0"/>
            </w:tcBorders>
            <w:vAlign w:val="center"/>
          </w:tcPr>
          <w:p w14:paraId="2B7B16E0">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完全符合招标文件第五章采购需求要求的，计26分；偏离标记“▲”条款的，每偏离一项扣4分；偏离非标记“▲”和“★”条款的，每偏离一项扣2分，扣完为止；采购需求中标记“★”号项不满足的视为无效响应。</w:t>
            </w:r>
          </w:p>
        </w:tc>
      </w:tr>
      <w:tr w14:paraId="406D8F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5" w:type="dxa"/>
            <w:vMerge w:val="continue"/>
            <w:tcBorders>
              <w:right w:val="single" w:color="auto" w:sz="4" w:space="0"/>
            </w:tcBorders>
            <w:vAlign w:val="center"/>
          </w:tcPr>
          <w:p w14:paraId="2F8D0EA5">
            <w:pPr>
              <w:widowControl/>
              <w:spacing w:line="420" w:lineRule="exact"/>
              <w:ind w:right="-109" w:rightChars="-52"/>
              <w:jc w:val="center"/>
              <w:rPr>
                <w:rFonts w:ascii="宋体" w:hAnsi="宋体"/>
                <w:color w:val="000000" w:themeColor="text1"/>
                <w:szCs w:val="21"/>
                <w14:textFill>
                  <w14:solidFill>
                    <w14:schemeClr w14:val="tx1"/>
                  </w14:solidFill>
                </w14:textFill>
              </w:rPr>
            </w:pPr>
          </w:p>
        </w:tc>
        <w:tc>
          <w:tcPr>
            <w:tcW w:w="1563" w:type="dxa"/>
            <w:tcBorders>
              <w:top w:val="single" w:color="auto" w:sz="4" w:space="0"/>
              <w:left w:val="single" w:color="auto" w:sz="4" w:space="0"/>
              <w:right w:val="single" w:color="auto" w:sz="4" w:space="0"/>
            </w:tcBorders>
            <w:vAlign w:val="center"/>
          </w:tcPr>
          <w:p w14:paraId="2914D19B">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服务团队</w:t>
            </w:r>
          </w:p>
        </w:tc>
        <w:tc>
          <w:tcPr>
            <w:tcW w:w="567" w:type="dxa"/>
            <w:tcBorders>
              <w:top w:val="single" w:color="auto" w:sz="4" w:space="0"/>
              <w:left w:val="single" w:color="auto" w:sz="4" w:space="0"/>
              <w:right w:val="single" w:color="auto" w:sz="4" w:space="0"/>
            </w:tcBorders>
            <w:vAlign w:val="center"/>
          </w:tcPr>
          <w:p w14:paraId="01A67207">
            <w:pPr>
              <w:widowControl/>
              <w:spacing w:line="420" w:lineRule="exact"/>
              <w:ind w:left="-107" w:leftChars="-102" w:right="-109" w:rightChars="-52" w:hanging="107" w:hangingChars="51"/>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6201" w:type="dxa"/>
            <w:tcBorders>
              <w:top w:val="single" w:color="auto" w:sz="4" w:space="0"/>
              <w:left w:val="single" w:color="auto" w:sz="4" w:space="0"/>
            </w:tcBorders>
            <w:vAlign w:val="center"/>
          </w:tcPr>
          <w:p w14:paraId="266D8632">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投标人针对本项目拟派的服务团队中专业维修工程师在采购需求要求的基础上，每增加一个原厂相关资质认证的工程师的计2.5分，最高计5分。</w:t>
            </w:r>
          </w:p>
          <w:p w14:paraId="2A055D99">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[须提供本项目维修人员清单（包括姓名、联系电话等）、原厂同类设备维修培训合格证，否则不计分。]</w:t>
            </w:r>
          </w:p>
        </w:tc>
      </w:tr>
      <w:tr w14:paraId="34E86E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5" w:type="dxa"/>
            <w:vMerge w:val="continue"/>
            <w:tcBorders>
              <w:right w:val="single" w:color="auto" w:sz="4" w:space="0"/>
            </w:tcBorders>
            <w:vAlign w:val="center"/>
          </w:tcPr>
          <w:p w14:paraId="649E32D2">
            <w:pPr>
              <w:widowControl/>
              <w:spacing w:line="420" w:lineRule="exact"/>
              <w:ind w:right="-109" w:rightChars="-52"/>
              <w:jc w:val="center"/>
              <w:rPr>
                <w:rFonts w:ascii="宋体" w:hAnsi="宋体"/>
                <w:color w:val="000000" w:themeColor="text1"/>
                <w:szCs w:val="21"/>
                <w14:textFill>
                  <w14:solidFill>
                    <w14:schemeClr w14:val="tx1"/>
                  </w14:solidFill>
                </w14:textFill>
              </w:rPr>
            </w:pPr>
          </w:p>
        </w:tc>
        <w:tc>
          <w:tcPr>
            <w:tcW w:w="1563" w:type="dxa"/>
            <w:tcBorders>
              <w:top w:val="single" w:color="auto" w:sz="4" w:space="0"/>
              <w:left w:val="single" w:color="auto" w:sz="4" w:space="0"/>
              <w:right w:val="single" w:color="auto" w:sz="4" w:space="0"/>
            </w:tcBorders>
            <w:vAlign w:val="center"/>
          </w:tcPr>
          <w:p w14:paraId="3D8F1DD5">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维保服务方案</w:t>
            </w:r>
          </w:p>
        </w:tc>
        <w:tc>
          <w:tcPr>
            <w:tcW w:w="567" w:type="dxa"/>
            <w:tcBorders>
              <w:top w:val="single" w:color="auto" w:sz="4" w:space="0"/>
              <w:left w:val="single" w:color="auto" w:sz="4" w:space="0"/>
              <w:right w:val="single" w:color="auto" w:sz="4" w:space="0"/>
            </w:tcBorders>
            <w:vAlign w:val="center"/>
          </w:tcPr>
          <w:p w14:paraId="2D700877">
            <w:pPr>
              <w:widowControl/>
              <w:spacing w:line="420" w:lineRule="exact"/>
              <w:ind w:left="-107" w:leftChars="-102" w:right="-109" w:rightChars="-52" w:hanging="107" w:hangingChars="51"/>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w:t>
            </w:r>
          </w:p>
        </w:tc>
        <w:tc>
          <w:tcPr>
            <w:tcW w:w="6201" w:type="dxa"/>
            <w:tcBorders>
              <w:top w:val="single" w:color="auto" w:sz="4" w:space="0"/>
              <w:left w:val="single" w:color="auto" w:sz="4" w:space="0"/>
            </w:tcBorders>
            <w:vAlign w:val="center"/>
          </w:tcPr>
          <w:p w14:paraId="36525990">
            <w:pPr>
              <w:widowControl/>
              <w:spacing w:line="420" w:lineRule="exact"/>
              <w:ind w:right="-2"/>
              <w:jc w:val="lef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投标人针对本项目编制详细维保方案，内容包括但不限于：</w:t>
            </w:r>
            <w:r>
              <w:rPr>
                <w:rFonts w:hint="eastAsia"/>
                <w:color w:val="000000" w:themeColor="text1"/>
                <w:szCs w:val="21"/>
                <w14:textFill>
                  <w14:solidFill>
                    <w14:schemeClr w14:val="tx1"/>
                  </w14:solidFill>
                </w14:textFill>
              </w:rPr>
              <w:t>①响应时间及开机率；②服务内容（包括但不限于定期保养、培训等）；③</w:t>
            </w:r>
            <w:r>
              <w:rPr>
                <w:rFonts w:hint="eastAsia" w:ascii="宋体" w:hAnsi="宋体"/>
                <w:color w:val="000000" w:themeColor="text1"/>
                <w:szCs w:val="21"/>
                <w14:textFill>
                  <w14:solidFill>
                    <w14:schemeClr w14:val="tx1"/>
                  </w14:solidFill>
                </w14:textFill>
              </w:rPr>
              <w:t>备品备件管理及配送</w:t>
            </w:r>
            <w:r>
              <w:rPr>
                <w:rFonts w:hint="eastAsia"/>
                <w:color w:val="000000" w:themeColor="text1"/>
                <w:szCs w:val="21"/>
                <w14:textFill>
                  <w14:solidFill>
                    <w14:schemeClr w14:val="tx1"/>
                  </w14:solidFill>
                </w14:textFill>
              </w:rPr>
              <w:t>（包括但不限于</w:t>
            </w:r>
            <w:r>
              <w:rPr>
                <w:rFonts w:hint="eastAsia" w:ascii="宋体" w:hAnsi="宋体"/>
                <w:color w:val="000000" w:themeColor="text1"/>
                <w:szCs w:val="21"/>
                <w14:textFill>
                  <w14:solidFill>
                    <w14:schemeClr w14:val="tx1"/>
                  </w14:solidFill>
                </w14:textFill>
              </w:rPr>
              <w:t>备品备件库</w:t>
            </w:r>
            <w:r>
              <w:rPr>
                <w:rFonts w:hint="eastAsia"/>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备品备件种类</w:t>
            </w:r>
            <w:r>
              <w:rPr>
                <w:rFonts w:hint="eastAsia"/>
                <w:color w:val="000000" w:themeColor="text1"/>
                <w:szCs w:val="21"/>
                <w14:textFill>
                  <w14:solidFill>
                    <w14:schemeClr w14:val="tx1"/>
                  </w14:solidFill>
                </w14:textFill>
              </w:rPr>
              <w:t>等）；④维修服务整体方案；⑤服务质量保证措施及安全管理措施等。方案内容全面、准确、详实，完全满足采购需求的得20分。每出现一处方案缺漏项扣4分，每有一处缺陷的扣2分，不提供不得分，扣完为止。</w:t>
            </w:r>
          </w:p>
          <w:p w14:paraId="51E5E098">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（缺陷是指：非专门针对本项目或不适用项目特性的情形、内容不完整或缺少关键节点、套用其他项目方案、内容前后矛盾、涉及的规范及标准错误、不利于项目实施、不可能实现的情形等任意一种情形。）</w:t>
            </w:r>
          </w:p>
        </w:tc>
      </w:tr>
      <w:tr w14:paraId="41ABBC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5" w:type="dxa"/>
            <w:vMerge w:val="continue"/>
            <w:tcBorders>
              <w:right w:val="single" w:color="auto" w:sz="4" w:space="0"/>
            </w:tcBorders>
            <w:vAlign w:val="center"/>
          </w:tcPr>
          <w:p w14:paraId="4BF82DC2">
            <w:pPr>
              <w:widowControl/>
              <w:spacing w:line="420" w:lineRule="exact"/>
              <w:ind w:right="-109" w:rightChars="-52"/>
              <w:jc w:val="center"/>
              <w:rPr>
                <w:rFonts w:ascii="宋体" w:hAnsi="宋体"/>
                <w:color w:val="000000" w:themeColor="text1"/>
                <w:szCs w:val="21"/>
                <w14:textFill>
                  <w14:solidFill>
                    <w14:schemeClr w14:val="tx1"/>
                  </w14:solidFill>
                </w14:textFill>
              </w:rPr>
            </w:pPr>
          </w:p>
        </w:tc>
        <w:tc>
          <w:tcPr>
            <w:tcW w:w="1563" w:type="dxa"/>
            <w:tcBorders>
              <w:top w:val="single" w:color="auto" w:sz="4" w:space="0"/>
              <w:left w:val="single" w:color="auto" w:sz="4" w:space="0"/>
              <w:right w:val="single" w:color="auto" w:sz="4" w:space="0"/>
            </w:tcBorders>
            <w:vAlign w:val="center"/>
          </w:tcPr>
          <w:p w14:paraId="5DA169B9">
            <w:pPr>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应急方案</w:t>
            </w:r>
          </w:p>
        </w:tc>
        <w:tc>
          <w:tcPr>
            <w:tcW w:w="567" w:type="dxa"/>
            <w:tcBorders>
              <w:top w:val="single" w:color="auto" w:sz="4" w:space="0"/>
              <w:left w:val="single" w:color="auto" w:sz="4" w:space="0"/>
              <w:right w:val="single" w:color="auto" w:sz="4" w:space="0"/>
            </w:tcBorders>
            <w:vAlign w:val="center"/>
          </w:tcPr>
          <w:p w14:paraId="5054711E">
            <w:pPr>
              <w:spacing w:line="420" w:lineRule="exact"/>
              <w:ind w:left="-107" w:leftChars="-102" w:right="-109" w:rightChars="-52" w:hanging="107" w:hangingChars="51"/>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9</w:t>
            </w:r>
          </w:p>
        </w:tc>
        <w:tc>
          <w:tcPr>
            <w:tcW w:w="6201" w:type="dxa"/>
            <w:tcBorders>
              <w:top w:val="single" w:color="auto" w:sz="4" w:space="0"/>
              <w:left w:val="single" w:color="auto" w:sz="4" w:space="0"/>
            </w:tcBorders>
            <w:vAlign w:val="center"/>
          </w:tcPr>
          <w:p w14:paraId="3F550DE7">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针对本项目编制详细维保应急方案，内容包括但不限于：①应急响应时效；②故障排除措施；③日常防范、优化及合理化建议，方案内容全面合理、切实可行、详细周密，确保能在出现紧急情况下保障所维保设备运行、完全满足需求的，计9分；每出现一处方案缺漏项扣3分，每有一处缺陷的扣1.5分，不提供不得分，扣完为止。</w:t>
            </w:r>
          </w:p>
          <w:p w14:paraId="72946A39">
            <w:pPr>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(缺陷是指：非专门针对本项目或不适用项目特性的情形、内容不完整或缺少关键节点、套用其他项目方案、内容前后矛盾、涉及的规范及标准错误、不利于项目实施、不可能实现的情形等任意一种情形。)</w:t>
            </w:r>
          </w:p>
        </w:tc>
      </w:tr>
      <w:tr w14:paraId="7E218D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5" w:type="dxa"/>
            <w:vMerge w:val="restart"/>
            <w:tcBorders>
              <w:right w:val="single" w:color="auto" w:sz="4" w:space="0"/>
            </w:tcBorders>
            <w:vAlign w:val="center"/>
          </w:tcPr>
          <w:p w14:paraId="2CEBE07F">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商务部分</w:t>
            </w:r>
          </w:p>
        </w:tc>
        <w:tc>
          <w:tcPr>
            <w:tcW w:w="1563" w:type="dxa"/>
            <w:tcBorders>
              <w:left w:val="single" w:color="auto" w:sz="4" w:space="0"/>
              <w:bottom w:val="single" w:color="auto" w:sz="4" w:space="0"/>
              <w:right w:val="single" w:color="auto" w:sz="4" w:space="0"/>
            </w:tcBorders>
            <w:vAlign w:val="center"/>
          </w:tcPr>
          <w:p w14:paraId="17E12E9E">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质量保障体系</w:t>
            </w:r>
          </w:p>
        </w:tc>
        <w:tc>
          <w:tcPr>
            <w:tcW w:w="567" w:type="dxa"/>
            <w:tcBorders>
              <w:left w:val="single" w:color="auto" w:sz="4" w:space="0"/>
              <w:right w:val="single" w:color="auto" w:sz="4" w:space="0"/>
            </w:tcBorders>
            <w:vAlign w:val="center"/>
          </w:tcPr>
          <w:p w14:paraId="713C6DF4">
            <w:pPr>
              <w:widowControl/>
              <w:spacing w:line="420" w:lineRule="exact"/>
              <w:ind w:left="-107" w:leftChars="-102" w:right="-109" w:rightChars="-52" w:hanging="107" w:hangingChars="51"/>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tc>
        <w:tc>
          <w:tcPr>
            <w:tcW w:w="6201" w:type="dxa"/>
            <w:tcBorders>
              <w:left w:val="single" w:color="auto" w:sz="4" w:space="0"/>
            </w:tcBorders>
            <w:vAlign w:val="center"/>
          </w:tcPr>
          <w:p w14:paraId="322AEACA">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1、投标人具备质量管理体系认证计1分；</w:t>
            </w:r>
          </w:p>
          <w:p w14:paraId="5B1920EC">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2、投标人具备环境管理体系认证证书计1分；</w:t>
            </w:r>
          </w:p>
          <w:p w14:paraId="24A09C74">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3、投标人具备职业健康安全管理体系认证证书计1分；</w:t>
            </w:r>
          </w:p>
          <w:p w14:paraId="5B2D4619">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4、投标人具备医疗器械质量管理体系认证证书计2分。</w:t>
            </w:r>
          </w:p>
          <w:p w14:paraId="362F7184">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注：提供认证证书复印件并须同时提供全国认证认可信息公共服务平台对体系证书的信息查询截图作为评审依据，否则不计分。</w:t>
            </w:r>
          </w:p>
        </w:tc>
      </w:tr>
      <w:tr w14:paraId="260ADD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5" w:type="dxa"/>
            <w:vMerge w:val="continue"/>
            <w:tcBorders>
              <w:right w:val="single" w:color="auto" w:sz="4" w:space="0"/>
            </w:tcBorders>
            <w:vAlign w:val="center"/>
          </w:tcPr>
          <w:p w14:paraId="11D137E3">
            <w:pPr>
              <w:adjustRightInd w:val="0"/>
              <w:snapToGrid w:val="0"/>
              <w:spacing w:line="420" w:lineRule="exact"/>
              <w:ind w:left="1382" w:leftChars="-50" w:right="-107" w:rightChars="-51" w:hanging="1487"/>
              <w:jc w:val="center"/>
              <w:rPr>
                <w:rFonts w:ascii="黑体" w:hAnsi="黑体" w:eastAsia="黑体"/>
                <w:bCs/>
                <w:color w:val="000000" w:themeColor="text1"/>
                <w:szCs w:val="21"/>
                <w14:textFill>
                  <w14:solidFill>
                    <w14:schemeClr w14:val="tx1"/>
                  </w14:solidFill>
                </w14:textFill>
              </w:rPr>
            </w:pPr>
          </w:p>
        </w:tc>
        <w:tc>
          <w:tcPr>
            <w:tcW w:w="1563" w:type="dxa"/>
            <w:tcBorders>
              <w:top w:val="nil"/>
              <w:left w:val="single" w:color="auto" w:sz="4" w:space="0"/>
              <w:right w:val="single" w:color="auto" w:sz="4" w:space="0"/>
            </w:tcBorders>
            <w:vAlign w:val="center"/>
          </w:tcPr>
          <w:p w14:paraId="1467935D">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类似业绩</w:t>
            </w:r>
          </w:p>
        </w:tc>
        <w:tc>
          <w:tcPr>
            <w:tcW w:w="567" w:type="dxa"/>
            <w:tcBorders>
              <w:top w:val="nil"/>
              <w:left w:val="single" w:color="auto" w:sz="4" w:space="0"/>
              <w:right w:val="single" w:color="auto" w:sz="4" w:space="0"/>
            </w:tcBorders>
            <w:vAlign w:val="center"/>
          </w:tcPr>
          <w:p w14:paraId="70E6C096">
            <w:pPr>
              <w:widowControl/>
              <w:spacing w:line="420" w:lineRule="exact"/>
              <w:ind w:left="-107" w:leftChars="-102" w:right="-109" w:rightChars="-52" w:hanging="107" w:hangingChars="51"/>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15</w:t>
            </w:r>
          </w:p>
        </w:tc>
        <w:tc>
          <w:tcPr>
            <w:tcW w:w="6201" w:type="dxa"/>
            <w:tcBorders>
              <w:top w:val="nil"/>
              <w:left w:val="single" w:color="auto" w:sz="4" w:space="0"/>
            </w:tcBorders>
            <w:vAlign w:val="center"/>
          </w:tcPr>
          <w:p w14:paraId="626BE417">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投标人提供自公告发布日前36个月内承接的包含采购需求中相同型号设备维保服务，每一个业绩计3分，最高计15分。同一用户单位同型号设备业绩不重复计分。</w:t>
            </w:r>
          </w:p>
          <w:p w14:paraId="726C6D94">
            <w:pPr>
              <w:widowControl/>
              <w:spacing w:line="420" w:lineRule="exact"/>
              <w:ind w:right="-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（提供合同复印件，加盖投标人公章，未提供或无法辨别的不计分）</w:t>
            </w:r>
          </w:p>
        </w:tc>
      </w:tr>
      <w:tr w14:paraId="5DB2F7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5" w:type="dxa"/>
            <w:tcBorders>
              <w:right w:val="single" w:color="auto" w:sz="4" w:space="0"/>
            </w:tcBorders>
            <w:vAlign w:val="center"/>
          </w:tcPr>
          <w:p w14:paraId="4191F918">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价格部分</w:t>
            </w:r>
          </w:p>
        </w:tc>
        <w:tc>
          <w:tcPr>
            <w:tcW w:w="1563" w:type="dxa"/>
            <w:tcBorders>
              <w:left w:val="single" w:color="auto" w:sz="4" w:space="0"/>
              <w:right w:val="single" w:color="auto" w:sz="4" w:space="0"/>
            </w:tcBorders>
            <w:vAlign w:val="center"/>
          </w:tcPr>
          <w:p w14:paraId="54FF87EA">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投标报价</w:t>
            </w:r>
          </w:p>
        </w:tc>
        <w:tc>
          <w:tcPr>
            <w:tcW w:w="567" w:type="dxa"/>
            <w:tcBorders>
              <w:left w:val="single" w:color="auto" w:sz="4" w:space="0"/>
              <w:right w:val="single" w:color="auto" w:sz="4" w:space="0"/>
            </w:tcBorders>
            <w:vAlign w:val="center"/>
          </w:tcPr>
          <w:p w14:paraId="53CAACC6">
            <w:pPr>
              <w:widowControl/>
              <w:spacing w:line="420" w:lineRule="exact"/>
              <w:ind w:right="-2"/>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20</w:t>
            </w:r>
          </w:p>
        </w:tc>
        <w:tc>
          <w:tcPr>
            <w:tcW w:w="6201" w:type="dxa"/>
            <w:tcBorders>
              <w:left w:val="single" w:color="auto" w:sz="4" w:space="0"/>
            </w:tcBorders>
            <w:vAlign w:val="center"/>
          </w:tcPr>
          <w:p w14:paraId="3DB64517">
            <w:pPr>
              <w:widowControl/>
              <w:spacing w:line="420" w:lineRule="exact"/>
              <w:ind w:right="-2"/>
              <w:jc w:val="lef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价格分采用</w:t>
            </w:r>
            <w:r>
              <w:rPr>
                <w:rFonts w:hint="eastAsia" w:ascii="宋体" w:hAnsi="宋体"/>
                <w:color w:val="000000" w:themeColor="text1"/>
                <w:szCs w:val="21"/>
                <w14:textFill>
                  <w14:solidFill>
                    <w14:schemeClr w14:val="tx1"/>
                  </w14:solidFill>
                </w14:textFill>
              </w:rPr>
              <w:t>低价</w:t>
            </w:r>
            <w:r>
              <w:rPr>
                <w:rFonts w:hint="eastAsia" w:ascii="宋体" w:hAnsi="宋体"/>
                <w:color w:val="000000" w:themeColor="text1"/>
                <w14:textFill>
                  <w14:solidFill>
                    <w14:schemeClr w14:val="tx1"/>
                  </w14:solidFill>
                </w14:textFill>
              </w:rPr>
              <w:t>优先法计算，即满足招标文件要求且投标价格最低的投标报价为评标基准价，其价格分为满分，其他有效投标人的价格分按照下列公式计算：投标报价得分=(评标基准价／投标报价)×价格分值</w:t>
            </w:r>
          </w:p>
        </w:tc>
      </w:tr>
      <w:tr w14:paraId="0B87DD1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085" w:type="dxa"/>
            <w:gridSpan w:val="3"/>
            <w:tcBorders>
              <w:right w:val="single" w:color="auto" w:sz="4" w:space="0"/>
            </w:tcBorders>
            <w:vAlign w:val="center"/>
          </w:tcPr>
          <w:p w14:paraId="7F6990DC">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推荐的中标候选人数量</w:t>
            </w:r>
          </w:p>
        </w:tc>
        <w:tc>
          <w:tcPr>
            <w:tcW w:w="6201" w:type="dxa"/>
            <w:tcBorders>
              <w:left w:val="single" w:color="auto" w:sz="4" w:space="0"/>
            </w:tcBorders>
            <w:vAlign w:val="center"/>
          </w:tcPr>
          <w:p w14:paraId="6B16A80F">
            <w:pPr>
              <w:widowControl/>
              <w:spacing w:line="420" w:lineRule="exact"/>
              <w:ind w:right="-109" w:rightChars="-52"/>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全部通过资格和符合性审查的投标人</w:t>
            </w:r>
          </w:p>
        </w:tc>
      </w:tr>
      <w:tr w14:paraId="0CF1CC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085" w:type="dxa"/>
            <w:gridSpan w:val="3"/>
            <w:tcBorders>
              <w:right w:val="single" w:color="auto" w:sz="4" w:space="0"/>
            </w:tcBorders>
            <w:vAlign w:val="center"/>
          </w:tcPr>
          <w:p w14:paraId="6D6203A2">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推荐中标候选人方式</w:t>
            </w:r>
          </w:p>
        </w:tc>
        <w:tc>
          <w:tcPr>
            <w:tcW w:w="6201" w:type="dxa"/>
            <w:tcBorders>
              <w:left w:val="single" w:color="auto" w:sz="4" w:space="0"/>
            </w:tcBorders>
            <w:vAlign w:val="center"/>
          </w:tcPr>
          <w:p w14:paraId="31BDC77C">
            <w:pPr>
              <w:widowControl/>
              <w:spacing w:line="420" w:lineRule="exact"/>
              <w:ind w:right="-109" w:rightChars="-52"/>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以综合得分排名高低顺序，得分最高的为中标人。</w:t>
            </w:r>
          </w:p>
        </w:tc>
      </w:tr>
      <w:tr w14:paraId="609EFB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085" w:type="dxa"/>
            <w:gridSpan w:val="3"/>
            <w:tcBorders>
              <w:right w:val="single" w:color="auto" w:sz="4" w:space="0"/>
            </w:tcBorders>
            <w:vAlign w:val="center"/>
          </w:tcPr>
          <w:p w14:paraId="1B8D6E15">
            <w:pPr>
              <w:widowControl/>
              <w:spacing w:line="420" w:lineRule="exact"/>
              <w:ind w:right="-109" w:rightChars="-52"/>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说明</w:t>
            </w:r>
          </w:p>
        </w:tc>
        <w:tc>
          <w:tcPr>
            <w:tcW w:w="6201" w:type="dxa"/>
            <w:tcBorders>
              <w:left w:val="single" w:color="auto" w:sz="4" w:space="0"/>
            </w:tcBorders>
            <w:vAlign w:val="center"/>
          </w:tcPr>
          <w:p w14:paraId="7F2957F9">
            <w:pPr>
              <w:widowControl/>
              <w:spacing w:line="420" w:lineRule="exact"/>
              <w:ind w:right="-109" w:rightChars="-52"/>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1、计算过程中，算术平均值保留2位小数（百分比亦取2位小数），第三位小数四舍五入。</w:t>
            </w:r>
          </w:p>
          <w:p w14:paraId="15053EC2">
            <w:pPr>
              <w:widowControl/>
              <w:spacing w:line="420" w:lineRule="exact"/>
              <w:ind w:right="-109" w:rightChars="-52"/>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2、投标人的最终得分为：所有评委对其评分的算术平均值。</w:t>
            </w:r>
          </w:p>
        </w:tc>
      </w:tr>
    </w:tbl>
    <w:p w14:paraId="76C43BD3">
      <w:pPr>
        <w:pStyle w:val="16"/>
        <w:rPr>
          <w:b/>
          <w:bCs/>
          <w:color w:val="4F81BD" w:themeColor="accent1"/>
          <w:sz w:val="28"/>
          <w:szCs w:val="28"/>
          <w14:textFill>
            <w14:solidFill>
              <w14:schemeClr w14:val="accent1"/>
            </w14:solidFill>
          </w14:textFill>
        </w:rPr>
      </w:pPr>
    </w:p>
    <w:p w14:paraId="7F8EFE69">
      <w:pPr>
        <w:pStyle w:val="119"/>
        <w:spacing w:after="0" w:line="380" w:lineRule="exact"/>
        <w:ind w:left="850" w:firstLine="424" w:firstLineChars="202"/>
        <w:jc w:val="left"/>
        <w:rPr>
          <w:rFonts w:ascii="黑体" w:hAnsi="黑体" w:eastAsia="黑体"/>
          <w:bCs/>
          <w:sz w:val="21"/>
          <w:szCs w:val="21"/>
        </w:rPr>
        <w:sectPr>
          <w:pgSz w:w="11906" w:h="16838"/>
          <w:pgMar w:top="1418" w:right="1418" w:bottom="1418" w:left="1418" w:header="851" w:footer="992" w:gutter="0"/>
          <w:pgNumType w:fmt="numberInDash"/>
          <w:cols w:space="720" w:num="1"/>
          <w:docGrid w:type="lines" w:linePitch="312" w:charSpace="0"/>
        </w:sectPr>
      </w:pPr>
    </w:p>
    <w:p w14:paraId="5246B098">
      <w:pPr>
        <w:pStyle w:val="2"/>
        <w:numPr>
          <w:ilvl w:val="0"/>
          <w:numId w:val="1"/>
        </w:numPr>
      </w:pPr>
      <w:bookmarkStart w:id="157" w:name="_Toc12258"/>
      <w:r>
        <w:rPr>
          <w:rFonts w:hint="eastAsia"/>
        </w:rPr>
        <w:t>采购需求</w:t>
      </w:r>
      <w:bookmarkEnd w:id="157"/>
    </w:p>
    <w:p w14:paraId="486C3CAE">
      <w:pPr>
        <w:pStyle w:val="3"/>
      </w:pPr>
      <w:bookmarkStart w:id="158" w:name="_Toc3278"/>
      <w:r>
        <w:rPr>
          <w:rFonts w:hint="eastAsia"/>
        </w:rPr>
        <w:t>一、采购需求一览表</w:t>
      </w:r>
      <w:bookmarkEnd w:id="158"/>
    </w:p>
    <w:p w14:paraId="727AD424"/>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4"/>
        <w:gridCol w:w="1618"/>
        <w:gridCol w:w="1620"/>
        <w:gridCol w:w="3314"/>
        <w:gridCol w:w="752"/>
        <w:gridCol w:w="1310"/>
      </w:tblGrid>
      <w:tr w14:paraId="4743C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2B2F0413">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包号</w:t>
            </w:r>
          </w:p>
        </w:tc>
        <w:tc>
          <w:tcPr>
            <w:tcW w:w="871" w:type="pct"/>
            <w:vAlign w:val="center"/>
          </w:tcPr>
          <w:p w14:paraId="32AE2676">
            <w:pPr>
              <w:widowControl/>
              <w:shd w:val="clear" w:color="auto" w:fill="FFFFFF"/>
              <w:spacing w:line="420" w:lineRule="exact"/>
              <w:jc w:val="center"/>
              <w:rPr>
                <w:rFonts w:ascii="宋体" w:hAnsi="宋体"/>
                <w:szCs w:val="21"/>
                <w:highlight w:val="white"/>
              </w:rPr>
            </w:pPr>
            <w:r>
              <w:rPr>
                <w:rFonts w:ascii="宋体" w:hAnsi="宋体"/>
                <w:szCs w:val="21"/>
                <w:highlight w:val="white"/>
              </w:rPr>
              <w:t>包名称</w:t>
            </w:r>
          </w:p>
        </w:tc>
        <w:tc>
          <w:tcPr>
            <w:tcW w:w="872" w:type="pct"/>
            <w:vAlign w:val="center"/>
          </w:tcPr>
          <w:p w14:paraId="35D0EC2E">
            <w:pPr>
              <w:widowControl/>
              <w:shd w:val="clear" w:color="auto" w:fill="FFFFFF"/>
              <w:spacing w:line="420" w:lineRule="exact"/>
              <w:jc w:val="center"/>
              <w:rPr>
                <w:rFonts w:ascii="宋体" w:hAnsi="宋体"/>
                <w:szCs w:val="21"/>
                <w:highlight w:val="white"/>
              </w:rPr>
            </w:pPr>
            <w:r>
              <w:rPr>
                <w:rFonts w:ascii="宋体" w:hAnsi="宋体"/>
                <w:szCs w:val="21"/>
                <w:highlight w:val="white"/>
              </w:rPr>
              <w:t>分项项目名称</w:t>
            </w:r>
          </w:p>
          <w:p w14:paraId="204E8E86">
            <w:pPr>
              <w:widowControl/>
              <w:shd w:val="clear" w:color="auto" w:fill="FFFFFF"/>
              <w:spacing w:line="420" w:lineRule="exact"/>
              <w:jc w:val="center"/>
              <w:rPr>
                <w:rFonts w:ascii="宋体" w:hAnsi="宋体"/>
                <w:szCs w:val="21"/>
                <w:highlight w:val="white"/>
              </w:rPr>
            </w:pPr>
            <w:r>
              <w:rPr>
                <w:rFonts w:ascii="宋体" w:hAnsi="宋体"/>
                <w:szCs w:val="21"/>
                <w:highlight w:val="white"/>
              </w:rPr>
              <w:t>（标的名称）</w:t>
            </w:r>
          </w:p>
        </w:tc>
        <w:tc>
          <w:tcPr>
            <w:tcW w:w="1784" w:type="pct"/>
            <w:vAlign w:val="center"/>
          </w:tcPr>
          <w:p w14:paraId="2987976A">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服务内容</w:t>
            </w:r>
          </w:p>
        </w:tc>
        <w:tc>
          <w:tcPr>
            <w:tcW w:w="405" w:type="pct"/>
            <w:vAlign w:val="center"/>
          </w:tcPr>
          <w:p w14:paraId="78E14FBE">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服务</w:t>
            </w:r>
          </w:p>
          <w:p w14:paraId="2B7ADD45">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期限</w:t>
            </w:r>
          </w:p>
        </w:tc>
        <w:tc>
          <w:tcPr>
            <w:tcW w:w="705" w:type="pct"/>
            <w:vAlign w:val="center"/>
          </w:tcPr>
          <w:p w14:paraId="24654728">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最高限价</w:t>
            </w:r>
          </w:p>
          <w:p w14:paraId="295B7A19">
            <w:pPr>
              <w:widowControl/>
              <w:shd w:val="clear" w:color="auto" w:fill="FFFFFF"/>
              <w:spacing w:line="420" w:lineRule="exact"/>
              <w:ind w:left="-105" w:leftChars="-50" w:right="-143" w:rightChars="-68"/>
              <w:jc w:val="center"/>
              <w:rPr>
                <w:rFonts w:ascii="宋体" w:hAnsi="宋体"/>
                <w:szCs w:val="21"/>
                <w:highlight w:val="white"/>
              </w:rPr>
            </w:pPr>
            <w:r>
              <w:rPr>
                <w:rFonts w:hint="eastAsia" w:ascii="宋体" w:hAnsi="宋体"/>
                <w:szCs w:val="21"/>
                <w:highlight w:val="white"/>
              </w:rPr>
              <w:t>（万元/年）</w:t>
            </w:r>
          </w:p>
        </w:tc>
      </w:tr>
      <w:tr w14:paraId="2AE56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vAlign w:val="center"/>
          </w:tcPr>
          <w:p w14:paraId="2C7C8CF7">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1</w:t>
            </w:r>
          </w:p>
        </w:tc>
        <w:tc>
          <w:tcPr>
            <w:tcW w:w="871" w:type="pct"/>
            <w:vAlign w:val="center"/>
          </w:tcPr>
          <w:p w14:paraId="7C8D5184">
            <w:pPr>
              <w:widowControl/>
              <w:shd w:val="clear" w:color="auto" w:fill="FFFFFF"/>
              <w:spacing w:line="420" w:lineRule="exact"/>
              <w:jc w:val="center"/>
              <w:rPr>
                <w:rFonts w:ascii="宋体" w:hAnsi="宋体" w:cs="宋体"/>
                <w:color w:val="000000"/>
                <w:kern w:val="0"/>
                <w:szCs w:val="21"/>
              </w:rPr>
            </w:pPr>
            <w:r>
              <w:rPr>
                <w:rFonts w:hint="eastAsia" w:ascii="宋体" w:hAnsi="宋体" w:cs="宋体"/>
                <w:color w:val="000000"/>
                <w:kern w:val="0"/>
                <w:szCs w:val="21"/>
              </w:rPr>
              <w:t>飞利浦FD-10整机维保服务</w:t>
            </w:r>
          </w:p>
        </w:tc>
        <w:tc>
          <w:tcPr>
            <w:tcW w:w="872" w:type="pct"/>
            <w:vAlign w:val="center"/>
          </w:tcPr>
          <w:p w14:paraId="39DCC654">
            <w:pPr>
              <w:widowControl/>
              <w:shd w:val="clear" w:color="auto" w:fill="FFFFFF"/>
              <w:spacing w:line="420" w:lineRule="exact"/>
              <w:jc w:val="center"/>
              <w:rPr>
                <w:rFonts w:ascii="宋体" w:hAnsi="宋体" w:cs="宋体"/>
                <w:color w:val="000000"/>
                <w:kern w:val="0"/>
                <w:szCs w:val="21"/>
              </w:rPr>
            </w:pPr>
            <w:r>
              <w:rPr>
                <w:rFonts w:hint="eastAsia" w:ascii="宋体" w:hAnsi="宋体" w:cs="宋体"/>
                <w:color w:val="000000"/>
                <w:kern w:val="0"/>
                <w:szCs w:val="21"/>
              </w:rPr>
              <w:t>飞利浦FD-10整机维保服务</w:t>
            </w:r>
          </w:p>
        </w:tc>
        <w:tc>
          <w:tcPr>
            <w:tcW w:w="1784" w:type="pct"/>
            <w:vAlign w:val="center"/>
          </w:tcPr>
          <w:p w14:paraId="1ABB68F4">
            <w:pPr>
              <w:widowControl/>
              <w:shd w:val="clear" w:color="auto" w:fill="FFFFFF"/>
              <w:spacing w:line="420" w:lineRule="exact"/>
              <w:jc w:val="left"/>
              <w:rPr>
                <w:rFonts w:ascii="宋体" w:hAnsi="宋体" w:cs="宋体"/>
                <w:color w:val="000000"/>
                <w:kern w:val="0"/>
                <w:szCs w:val="21"/>
              </w:rPr>
            </w:pPr>
            <w:r>
              <w:rPr>
                <w:rFonts w:hint="eastAsia" w:ascii="宋体" w:hAnsi="宋体" w:cs="宋体"/>
                <w:color w:val="000000"/>
                <w:kern w:val="0"/>
                <w:szCs w:val="21"/>
              </w:rPr>
              <w:t>飞利浦FD10 DSA整机一套，全保服务1年，包括所有设备部件保养服务、备件更换服务和所有的工时服务</w:t>
            </w:r>
          </w:p>
        </w:tc>
        <w:tc>
          <w:tcPr>
            <w:tcW w:w="405" w:type="pct"/>
            <w:vAlign w:val="center"/>
          </w:tcPr>
          <w:p w14:paraId="5E935CBD">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1年</w:t>
            </w:r>
          </w:p>
        </w:tc>
        <w:tc>
          <w:tcPr>
            <w:tcW w:w="705" w:type="pct"/>
            <w:vAlign w:val="center"/>
          </w:tcPr>
          <w:p w14:paraId="0F024432">
            <w:pPr>
              <w:widowControl/>
              <w:shd w:val="clear" w:color="auto" w:fill="FFFFFF"/>
              <w:spacing w:line="420" w:lineRule="exact"/>
              <w:jc w:val="center"/>
              <w:rPr>
                <w:rFonts w:ascii="宋体" w:hAnsi="宋体"/>
                <w:szCs w:val="21"/>
                <w:highlight w:val="white"/>
              </w:rPr>
            </w:pPr>
            <w:r>
              <w:rPr>
                <w:rFonts w:hint="eastAsia" w:ascii="宋体" w:hAnsi="宋体"/>
                <w:szCs w:val="21"/>
                <w:highlight w:val="white"/>
              </w:rPr>
              <w:t>48.00</w:t>
            </w:r>
          </w:p>
        </w:tc>
      </w:tr>
    </w:tbl>
    <w:p w14:paraId="092F9675"/>
    <w:p w14:paraId="7C0C9FCA">
      <w:pPr>
        <w:sectPr>
          <w:pgSz w:w="11906" w:h="16838"/>
          <w:pgMar w:top="1417" w:right="1417" w:bottom="1417" w:left="1417" w:header="851" w:footer="992" w:gutter="0"/>
          <w:pgNumType w:fmt="numberInDash"/>
          <w:cols w:space="720" w:num="1"/>
          <w:docGrid w:type="lines" w:linePitch="312" w:charSpace="0"/>
        </w:sectPr>
      </w:pPr>
    </w:p>
    <w:p w14:paraId="1695C083">
      <w:pPr>
        <w:pStyle w:val="3"/>
      </w:pPr>
      <w:bookmarkStart w:id="159" w:name="_Toc30107"/>
      <w:r>
        <w:rPr>
          <w:rFonts w:hint="eastAsia"/>
        </w:rPr>
        <w:t>二、服务内容及技术要求</w:t>
      </w:r>
      <w:bookmarkEnd w:id="159"/>
    </w:p>
    <w:p w14:paraId="54F21103">
      <w:pPr>
        <w:widowControl/>
        <w:spacing w:before="156" w:beforeLines="50" w:line="420" w:lineRule="exact"/>
        <w:jc w:val="left"/>
        <w:rPr>
          <w:rFonts w:ascii="宋体" w:hAnsi="宋体"/>
          <w:b/>
          <w:szCs w:val="21"/>
        </w:rPr>
      </w:pPr>
      <w:r>
        <w:rPr>
          <w:rFonts w:hint="eastAsia" w:ascii="宋体" w:hAnsi="宋体"/>
          <w:b/>
          <w:szCs w:val="21"/>
        </w:rPr>
        <w:t>一、项目概述</w:t>
      </w:r>
    </w:p>
    <w:p w14:paraId="7FEBE934">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rPr>
        <w:t>1、项目内容：飞利浦FD10 DSA整机全保服务。</w:t>
      </w:r>
      <w:r>
        <w:rPr>
          <w:rFonts w:hint="eastAsia" w:ascii="宋体" w:hAnsi="宋体" w:cs="宋体"/>
          <w:color w:val="000000"/>
          <w:kern w:val="0"/>
          <w:szCs w:val="21"/>
          <w:lang w:bidi="ar"/>
        </w:rPr>
        <w:t>（机型：Allura Xper FD10，序列号:1576）</w:t>
      </w:r>
    </w:p>
    <w:p w14:paraId="5F879633">
      <w:pPr>
        <w:widowControl/>
        <w:spacing w:line="420" w:lineRule="exact"/>
        <w:ind w:firstLine="420" w:firstLineChars="200"/>
        <w:jc w:val="left"/>
        <w:rPr>
          <w:rFonts w:ascii="宋体" w:hAnsi="宋体" w:cs="宋体"/>
          <w:color w:val="000000"/>
          <w:kern w:val="0"/>
          <w:szCs w:val="21"/>
        </w:rPr>
      </w:pPr>
      <w:r>
        <w:rPr>
          <w:rFonts w:hint="eastAsia" w:ascii="宋体" w:hAnsi="宋体" w:cs="宋体"/>
          <w:color w:val="000000"/>
          <w:kern w:val="0"/>
          <w:szCs w:val="21"/>
        </w:rPr>
        <w:t>2、服务范围：飞利浦FD10 DSA整机一套，全保服务1年，包括所有设备部件保养服务、备件更换服务和所有的工时服务。</w:t>
      </w:r>
    </w:p>
    <w:p w14:paraId="08F785DC">
      <w:pPr>
        <w:widowControl/>
        <w:spacing w:line="420" w:lineRule="exact"/>
        <w:ind w:firstLine="420" w:firstLineChars="200"/>
        <w:jc w:val="left"/>
        <w:rPr>
          <w:rFonts w:ascii="宋体" w:hAnsi="宋体" w:cs="宋体"/>
          <w:color w:val="000000"/>
          <w:kern w:val="0"/>
          <w:szCs w:val="21"/>
        </w:rPr>
      </w:pPr>
      <w:r>
        <w:rPr>
          <w:rFonts w:hint="eastAsia" w:ascii="宋体" w:hAnsi="宋体" w:cs="宋体"/>
          <w:color w:val="000000"/>
          <w:kern w:val="0"/>
          <w:szCs w:val="21"/>
        </w:rPr>
        <w:t>3、项目实施地点：中南大学湘雅三医院心内科。</w:t>
      </w:r>
    </w:p>
    <w:p w14:paraId="6F36EFA3">
      <w:pPr>
        <w:widowControl/>
        <w:spacing w:before="156" w:beforeLines="50" w:line="420" w:lineRule="exact"/>
        <w:jc w:val="left"/>
        <w:rPr>
          <w:rFonts w:ascii="宋体" w:hAnsi="宋体"/>
          <w:b/>
          <w:szCs w:val="21"/>
        </w:rPr>
      </w:pPr>
      <w:r>
        <w:rPr>
          <w:rFonts w:hint="eastAsia" w:ascii="宋体" w:hAnsi="宋体"/>
          <w:b/>
          <w:szCs w:val="21"/>
        </w:rPr>
        <w:t>二、服务内容及具体要求</w:t>
      </w:r>
    </w:p>
    <w:p w14:paraId="06601ED7">
      <w:pPr>
        <w:widowControl/>
        <w:spacing w:line="420" w:lineRule="exact"/>
        <w:ind w:firstLine="420" w:firstLineChars="200"/>
        <w:jc w:val="left"/>
        <w:rPr>
          <w:rFonts w:ascii="宋体" w:hAnsi="宋体" w:cs="宋体"/>
          <w:color w:val="000000"/>
          <w:kern w:val="0"/>
          <w:szCs w:val="21"/>
        </w:rPr>
      </w:pPr>
      <w:r>
        <w:rPr>
          <w:rFonts w:hint="eastAsia" w:ascii="宋体" w:hAnsi="宋体" w:cs="宋体"/>
          <w:color w:val="000000"/>
          <w:kern w:val="0"/>
          <w:szCs w:val="21"/>
        </w:rPr>
        <w:t>★2.1保修内容：覆盖整机球管在内全部核心部件，具体包括但不限于：高压发生器、探测器，以及设备配套附属组件、线路、软件系统等。服务期内，不限次数的设备维修保养、系统安全升级、日常安全检查，以及保养所需常规损耗品，均由中标人负责提供原厂原装配件，医院无需承担任何相关费用。</w:t>
      </w:r>
    </w:p>
    <w:p w14:paraId="2A52F164">
      <w:pPr>
        <w:widowControl/>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rPr>
        <w:t>2.2服务方式：中标人每年提供不限次数的人工上门维修服务；提供一年至少四次的定期维护与保养，其中A级保养不低于一次。定期的维护保养服务项目包括：设备的机械安全检查、电气安全检查、影像质量检查、设备除尘保养、运行状态检查等，保养中需要更换的损耗品由中标人负责提供。维修或保养完成后，中标人需提供维修报告、保养报告及质控报告。</w:t>
      </w:r>
    </w:p>
    <w:p w14:paraId="6C16ABCE">
      <w:pPr>
        <w:widowControl/>
        <w:spacing w:line="420" w:lineRule="exact"/>
        <w:ind w:firstLine="420" w:firstLineChars="200"/>
        <w:jc w:val="left"/>
        <w:rPr>
          <w:rFonts w:ascii="宋体" w:hAnsi="宋体" w:cs="宋体"/>
          <w:color w:val="000000"/>
          <w:kern w:val="0"/>
          <w:szCs w:val="21"/>
        </w:rPr>
      </w:pPr>
      <w:r>
        <w:rPr>
          <w:rFonts w:hint="eastAsia" w:ascii="宋体" w:hAnsi="宋体" w:cs="宋体"/>
          <w:color w:val="000000"/>
          <w:kern w:val="0"/>
          <w:szCs w:val="21"/>
        </w:rPr>
        <w:t>2.3服务时间：周一至周日；初次电话响应时间：1小时；工程师24小时内现场响应，48小时内故障排除。</w:t>
      </w:r>
    </w:p>
    <w:p w14:paraId="407BFB05">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rPr>
        <w:t>▲2.4更换的备件必须为与原设备型号一致的原厂全新备件，安装完毕后达到设备功能和质量</w:t>
      </w:r>
      <w:r>
        <w:rPr>
          <w:rFonts w:hint="eastAsia" w:ascii="宋体" w:hAnsi="宋体" w:cs="宋体"/>
          <w:color w:val="000000"/>
          <w:kern w:val="0"/>
          <w:szCs w:val="21"/>
          <w:lang w:bidi="ar"/>
        </w:rPr>
        <w:t>达到新装标准。</w:t>
      </w:r>
    </w:p>
    <w:p w14:paraId="70554D23">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▲2.5年检时，中标人负责并保证全部监测指标达标，通过相关部门检测。</w:t>
      </w:r>
    </w:p>
    <w:p w14:paraId="27395BBD">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2.6设备开机率全年达到 95%以上 (以365天、每天24小时计算)，如果此开机率由于中标人的原因未能达到，则停机时间超过5%的部分，按1:10顺延保修期。</w:t>
      </w:r>
    </w:p>
    <w:p w14:paraId="51A1954E">
      <w:pPr>
        <w:widowControl/>
        <w:spacing w:line="420" w:lineRule="exact"/>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2.7在保修合同执行期间，如厂家有新的软硬件版本，且医院需要，则中标人应负责升级，费用包含在合同总价内。</w:t>
      </w:r>
    </w:p>
    <w:p w14:paraId="7FB21855">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★2.8所派工程师必须取得原厂相关资质认证并且认证须在效期内，提供至少2名专业维修工程师名单，以及投标单位在投标截止时间前近三个月（可以不含开标当月）为其缴纳的社保证明。</w:t>
      </w:r>
    </w:p>
    <w:p w14:paraId="6511C0F1">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2.9投标人需具备本次维保设备的专业服务能力，拥有完善的服务团队和常备备件库存；中标人须承诺，合同期内不得将本项目维保服务私自转包、分包给第三方机构，一经发现，医院有权立即解除合同，并追究相关违约责任。</w:t>
      </w:r>
    </w:p>
    <w:p w14:paraId="1F16C424">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2.10中标人工程师在医院现场开展维修、保养、安装等作业过程中，若发生非医院原因导致的人身安全、设备损坏、财产损失等安全责任事故，全部责任由中标人自行承担，医院不承担任何法律责任和经济赔偿责任。</w:t>
      </w:r>
    </w:p>
    <w:p w14:paraId="75DDA73D">
      <w:pPr>
        <w:widowControl/>
        <w:spacing w:line="360" w:lineRule="auto"/>
        <w:ind w:firstLine="420" w:firstLineChars="200"/>
        <w:jc w:val="left"/>
        <w:rPr>
          <w:rFonts w:ascii="宋体" w:hAnsi="宋体" w:cs="宋体"/>
          <w:color w:val="000000"/>
          <w:kern w:val="0"/>
          <w:szCs w:val="21"/>
          <w:lang w:bidi="ar"/>
        </w:rPr>
      </w:pPr>
      <w:r>
        <w:rPr>
          <w:rFonts w:hint="eastAsia" w:ascii="宋体" w:hAnsi="宋体" w:cs="宋体"/>
          <w:color w:val="000000"/>
          <w:kern w:val="0"/>
          <w:szCs w:val="21"/>
          <w:lang w:bidi="ar"/>
        </w:rPr>
        <w:t>2.11在合同期内，如此设备报废或停止使用，医院将提前一个月通知中标人中断服务合同，实际产生的维保费用按整月计算，具体金额根据合同金额测算。</w:t>
      </w:r>
    </w:p>
    <w:p w14:paraId="443DDACA">
      <w:pPr>
        <w:widowControl/>
        <w:spacing w:line="360" w:lineRule="auto"/>
        <w:ind w:firstLine="420" w:firstLineChars="200"/>
        <w:jc w:val="left"/>
        <w:rPr>
          <w:rFonts w:ascii="宋体" w:hAnsi="宋体" w:cs="宋体"/>
          <w:color w:val="000000"/>
          <w:kern w:val="0"/>
          <w:szCs w:val="21"/>
        </w:rPr>
      </w:pPr>
      <w:r>
        <w:rPr>
          <w:rFonts w:hint="eastAsia" w:ascii="宋体" w:hAnsi="宋体" w:cs="宋体"/>
          <w:color w:val="000000"/>
          <w:kern w:val="0"/>
          <w:szCs w:val="21"/>
          <w:lang w:bidi="ar"/>
        </w:rPr>
        <w:t>▲2.12在合同期内，如医院执行新的维修维保服务模式，中标人需无条件配合医院相关工作，包括但不限于合同义务的转移等。</w:t>
      </w:r>
    </w:p>
    <w:p w14:paraId="3CF36C37">
      <w:pPr>
        <w:widowControl/>
        <w:spacing w:before="156" w:beforeLines="50" w:line="420" w:lineRule="exact"/>
        <w:jc w:val="left"/>
        <w:rPr>
          <w:rFonts w:ascii="宋体" w:hAnsi="宋体"/>
          <w:b/>
          <w:szCs w:val="21"/>
        </w:rPr>
      </w:pPr>
      <w:r>
        <w:rPr>
          <w:rFonts w:hint="eastAsia" w:ascii="宋体" w:hAnsi="宋体"/>
          <w:b/>
          <w:szCs w:val="21"/>
        </w:rPr>
        <w:t>三、验收考核标准</w:t>
      </w:r>
    </w:p>
    <w:p w14:paraId="2B4A9ADD">
      <w:pPr>
        <w:widowControl/>
        <w:spacing w:line="420" w:lineRule="exact"/>
        <w:ind w:firstLine="420" w:firstLineChars="200"/>
        <w:jc w:val="left"/>
        <w:rPr>
          <w:rFonts w:ascii="宋体" w:hAnsi="宋体"/>
          <w:szCs w:val="21"/>
          <w:highlight w:val="white"/>
        </w:rPr>
      </w:pPr>
      <w:r>
        <w:rPr>
          <w:rFonts w:hint="eastAsia" w:ascii="宋体" w:hAnsi="宋体" w:cs="宋体"/>
          <w:color w:val="000000"/>
          <w:kern w:val="0"/>
          <w:szCs w:val="21"/>
        </w:rPr>
        <w:t>合同期内，招标人将对中标人的服务质量进行考核（包括：软件安装升级、开机率、故障响应时间、故障排除时间及维保服务条款履行情况等），每半年为一个考核周期，服务商须提供考核周期内所服务设备的质量检测报告，若考核不合格，招标人可解除合同并有权要求投标人赔偿由于设备停机造成的直接和间接损失。</w:t>
      </w:r>
    </w:p>
    <w:p w14:paraId="77EDEDEB">
      <w:pPr>
        <w:pStyle w:val="16"/>
        <w:rPr>
          <w:rFonts w:ascii="宋体" w:hAnsi="宋体"/>
          <w:szCs w:val="21"/>
          <w:highlight w:val="white"/>
        </w:rPr>
        <w:sectPr>
          <w:pgSz w:w="11906" w:h="16838"/>
          <w:pgMar w:top="1417" w:right="1417" w:bottom="1417" w:left="1417" w:header="851" w:footer="992" w:gutter="0"/>
          <w:pgNumType w:fmt="numberInDash"/>
          <w:cols w:space="720" w:num="1"/>
          <w:docGrid w:type="lines" w:linePitch="312" w:charSpace="0"/>
        </w:sectPr>
      </w:pPr>
    </w:p>
    <w:p w14:paraId="0FD5AE3C">
      <w:pPr>
        <w:pStyle w:val="2"/>
      </w:pPr>
      <w:bookmarkStart w:id="160" w:name="_Toc23860"/>
      <w:r>
        <w:rPr>
          <w:rFonts w:hint="eastAsia"/>
        </w:rPr>
        <w:t>第六章 采购合同</w:t>
      </w:r>
      <w:bookmarkEnd w:id="160"/>
    </w:p>
    <w:p w14:paraId="1FEF3E27">
      <w:pPr>
        <w:spacing w:before="27" w:line="360" w:lineRule="auto"/>
        <w:ind w:left="284" w:right="-483"/>
        <w:jc w:val="center"/>
        <w:rPr>
          <w:rFonts w:ascii="黑体" w:hAnsi="黑体" w:eastAsia="黑体"/>
          <w:b/>
          <w:bCs/>
          <w:sz w:val="28"/>
          <w:szCs w:val="28"/>
        </w:rPr>
      </w:pPr>
      <w:r>
        <w:rPr>
          <w:rFonts w:hint="eastAsia" w:ascii="黑体" w:hAnsi="黑体" w:eastAsia="黑体"/>
          <w:b/>
          <w:bCs/>
          <w:sz w:val="28"/>
          <w:szCs w:val="28"/>
        </w:rPr>
        <w:t>中南大学湘雅三医院设备整机全保合同</w:t>
      </w:r>
    </w:p>
    <w:p w14:paraId="74F30DC1">
      <w:pPr>
        <w:pStyle w:val="16"/>
        <w:jc w:val="center"/>
        <w:rPr>
          <w:rFonts w:ascii="黑体" w:hAnsi="黑体" w:eastAsia="黑体"/>
          <w:b/>
          <w:bCs/>
          <w:sz w:val="24"/>
          <w:szCs w:val="28"/>
        </w:rPr>
      </w:pPr>
      <w:r>
        <w:rPr>
          <w:rFonts w:hint="eastAsia" w:ascii="黑体" w:hAnsi="黑体" w:eastAsia="黑体"/>
          <w:b/>
          <w:bCs/>
          <w:sz w:val="24"/>
          <w:szCs w:val="28"/>
        </w:rPr>
        <w:t>（</w:t>
      </w:r>
      <w:r>
        <w:rPr>
          <w:rFonts w:ascii="黑体" w:hAnsi="黑体" w:eastAsia="黑体"/>
          <w:b/>
          <w:bCs/>
          <w:sz w:val="24"/>
          <w:szCs w:val="28"/>
        </w:rPr>
        <w:t>具体</w:t>
      </w:r>
      <w:r>
        <w:rPr>
          <w:rFonts w:hint="eastAsia" w:ascii="黑体" w:hAnsi="黑体" w:eastAsia="黑体"/>
          <w:b/>
          <w:bCs/>
          <w:sz w:val="24"/>
          <w:szCs w:val="28"/>
        </w:rPr>
        <w:t>以实际签订合同内容为准）</w:t>
      </w:r>
    </w:p>
    <w:p w14:paraId="4E22A2C9">
      <w:pPr>
        <w:adjustRightInd w:val="0"/>
        <w:snapToGrid w:val="0"/>
        <w:spacing w:line="460" w:lineRule="exact"/>
        <w:ind w:firstLine="420" w:firstLineChars="200"/>
        <w:rPr>
          <w:rFonts w:ascii="宋体" w:hAnsi="宋体"/>
          <w:bCs/>
          <w:szCs w:val="21"/>
        </w:rPr>
      </w:pPr>
      <w:r>
        <w:rPr>
          <w:rFonts w:hint="eastAsia" w:ascii="宋体" w:hAnsi="宋体"/>
          <w:bCs/>
          <w:szCs w:val="21"/>
        </w:rPr>
        <w:t xml:space="preserve">甲  方：中南大学湘雅三医院 </w:t>
      </w:r>
    </w:p>
    <w:p w14:paraId="014E9AF0">
      <w:pPr>
        <w:adjustRightInd w:val="0"/>
        <w:snapToGrid w:val="0"/>
        <w:spacing w:line="460" w:lineRule="exact"/>
        <w:ind w:firstLine="420" w:firstLineChars="200"/>
        <w:rPr>
          <w:rFonts w:ascii="宋体" w:hAnsi="宋体"/>
          <w:bCs/>
          <w:szCs w:val="21"/>
        </w:rPr>
      </w:pPr>
      <w:r>
        <w:rPr>
          <w:rFonts w:ascii="宋体" w:hAnsi="宋体"/>
          <w:bCs/>
          <w:szCs w:val="21"/>
        </w:rPr>
        <w:t>法定代表人</w:t>
      </w:r>
      <w:r>
        <w:rPr>
          <w:rFonts w:hint="eastAsia" w:ascii="宋体" w:hAnsi="宋体"/>
          <w:bCs/>
          <w:szCs w:val="21"/>
        </w:rPr>
        <w:t>：江泓</w:t>
      </w:r>
    </w:p>
    <w:p w14:paraId="41A1083F">
      <w:pPr>
        <w:adjustRightInd w:val="0"/>
        <w:snapToGrid w:val="0"/>
        <w:spacing w:line="460" w:lineRule="exact"/>
        <w:ind w:firstLine="420" w:firstLineChars="200"/>
        <w:rPr>
          <w:rFonts w:ascii="宋体" w:hAnsi="宋体"/>
          <w:bCs/>
          <w:szCs w:val="21"/>
        </w:rPr>
      </w:pPr>
      <w:r>
        <w:rPr>
          <w:rFonts w:ascii="宋体" w:hAnsi="宋体"/>
          <w:bCs/>
          <w:szCs w:val="21"/>
        </w:rPr>
        <w:t>地址：</w:t>
      </w:r>
      <w:r>
        <w:rPr>
          <w:rFonts w:hint="eastAsia" w:ascii="宋体" w:hAnsi="宋体"/>
          <w:bCs/>
          <w:szCs w:val="21"/>
        </w:rPr>
        <w:t>湖南省长沙市岳麓区桐梓坡路138号</w:t>
      </w:r>
    </w:p>
    <w:p w14:paraId="03C31B27">
      <w:pPr>
        <w:adjustRightInd w:val="0"/>
        <w:snapToGrid w:val="0"/>
        <w:spacing w:line="460" w:lineRule="exact"/>
        <w:ind w:firstLine="420" w:firstLineChars="200"/>
        <w:rPr>
          <w:rFonts w:ascii="宋体" w:hAnsi="宋体"/>
          <w:bCs/>
          <w:szCs w:val="21"/>
        </w:rPr>
      </w:pPr>
      <w:r>
        <w:rPr>
          <w:rFonts w:ascii="宋体" w:hAnsi="宋体"/>
          <w:bCs/>
          <w:szCs w:val="21"/>
        </w:rPr>
        <w:t>联系</w:t>
      </w:r>
      <w:r>
        <w:rPr>
          <w:rFonts w:hint="eastAsia" w:ascii="宋体" w:hAnsi="宋体"/>
          <w:bCs/>
          <w:szCs w:val="21"/>
        </w:rPr>
        <w:t>电话：0731-88638888</w:t>
      </w:r>
    </w:p>
    <w:p w14:paraId="6D0BE748">
      <w:pPr>
        <w:adjustRightInd w:val="0"/>
        <w:snapToGrid w:val="0"/>
        <w:spacing w:before="156" w:beforeLines="50" w:line="460" w:lineRule="exact"/>
        <w:ind w:firstLine="420" w:firstLineChars="200"/>
        <w:rPr>
          <w:rFonts w:ascii="宋体" w:hAnsi="宋体"/>
          <w:bCs/>
          <w:szCs w:val="21"/>
        </w:rPr>
      </w:pPr>
      <w:r>
        <w:rPr>
          <w:rFonts w:hint="eastAsia" w:ascii="宋体" w:hAnsi="宋体"/>
          <w:bCs/>
          <w:szCs w:val="21"/>
        </w:rPr>
        <w:t>乙方：</w:t>
      </w:r>
    </w:p>
    <w:p w14:paraId="6DD12490">
      <w:pPr>
        <w:adjustRightInd w:val="0"/>
        <w:snapToGrid w:val="0"/>
        <w:spacing w:line="460" w:lineRule="exact"/>
        <w:ind w:firstLine="420" w:firstLineChars="200"/>
        <w:rPr>
          <w:rFonts w:ascii="宋体" w:hAnsi="宋体"/>
          <w:bCs/>
          <w:szCs w:val="21"/>
        </w:rPr>
      </w:pPr>
      <w:r>
        <w:rPr>
          <w:rFonts w:hint="eastAsia" w:ascii="宋体" w:hAnsi="宋体"/>
          <w:bCs/>
          <w:szCs w:val="21"/>
        </w:rPr>
        <w:t>法定代表人：</w:t>
      </w:r>
    </w:p>
    <w:p w14:paraId="6AFA1C74">
      <w:pPr>
        <w:adjustRightInd w:val="0"/>
        <w:snapToGrid w:val="0"/>
        <w:spacing w:line="460" w:lineRule="exact"/>
        <w:ind w:firstLine="420" w:firstLineChars="200"/>
        <w:rPr>
          <w:rFonts w:ascii="宋体" w:hAnsi="宋体"/>
          <w:bCs/>
          <w:szCs w:val="21"/>
        </w:rPr>
      </w:pPr>
      <w:r>
        <w:rPr>
          <w:rFonts w:hint="eastAsia" w:ascii="宋体" w:hAnsi="宋体"/>
          <w:bCs/>
          <w:szCs w:val="21"/>
        </w:rPr>
        <w:t>地址：</w:t>
      </w:r>
    </w:p>
    <w:p w14:paraId="7BF854C7">
      <w:pPr>
        <w:adjustRightInd w:val="0"/>
        <w:snapToGrid w:val="0"/>
        <w:spacing w:line="460" w:lineRule="exact"/>
        <w:ind w:firstLine="420" w:firstLineChars="200"/>
        <w:rPr>
          <w:rFonts w:ascii="宋体" w:hAnsi="宋体"/>
          <w:bCs/>
          <w:szCs w:val="21"/>
        </w:rPr>
      </w:pPr>
      <w:r>
        <w:rPr>
          <w:rFonts w:hint="eastAsia" w:ascii="宋体" w:hAnsi="宋体"/>
          <w:bCs/>
          <w:szCs w:val="21"/>
        </w:rPr>
        <w:t>联系电话：</w:t>
      </w:r>
    </w:p>
    <w:p w14:paraId="54A96E8A">
      <w:pPr>
        <w:adjustRightInd w:val="0"/>
        <w:snapToGrid w:val="0"/>
        <w:spacing w:line="460" w:lineRule="exact"/>
        <w:ind w:firstLine="420" w:firstLineChars="200"/>
        <w:rPr>
          <w:rFonts w:ascii="宋体" w:hAnsi="宋体"/>
          <w:bCs/>
          <w:szCs w:val="21"/>
        </w:rPr>
      </w:pPr>
      <w:r>
        <w:rPr>
          <w:rFonts w:hint="eastAsia" w:ascii="宋体" w:hAnsi="宋体"/>
          <w:bCs/>
          <w:szCs w:val="21"/>
        </w:rPr>
        <w:t>开户行：</w:t>
      </w:r>
    </w:p>
    <w:p w14:paraId="52AC0AF7">
      <w:pPr>
        <w:adjustRightInd w:val="0"/>
        <w:snapToGrid w:val="0"/>
        <w:spacing w:line="460" w:lineRule="exact"/>
        <w:ind w:firstLine="420" w:firstLineChars="200"/>
        <w:rPr>
          <w:rFonts w:ascii="微软雅黑" w:hAnsi="微软雅黑" w:eastAsia="微软雅黑" w:cs="微软雅黑"/>
          <w:sz w:val="28"/>
          <w:szCs w:val="28"/>
        </w:rPr>
      </w:pPr>
      <w:r>
        <w:rPr>
          <w:rFonts w:hint="eastAsia" w:ascii="宋体" w:hAnsi="宋体"/>
          <w:bCs/>
          <w:szCs w:val="21"/>
        </w:rPr>
        <w:t>账号：</w:t>
      </w:r>
    </w:p>
    <w:p w14:paraId="2D1AEECB">
      <w:pPr>
        <w:adjustRightInd w:val="0"/>
        <w:snapToGrid w:val="0"/>
        <w:spacing w:before="156" w:beforeLines="50" w:line="460" w:lineRule="exact"/>
        <w:ind w:firstLine="420" w:firstLineChars="200"/>
        <w:rPr>
          <w:rFonts w:ascii="宋体" w:hAnsi="宋体"/>
          <w:bCs/>
          <w:szCs w:val="21"/>
        </w:rPr>
      </w:pPr>
      <w:r>
        <w:rPr>
          <w:rFonts w:hint="eastAsia" w:ascii="宋体" w:hAnsi="宋体"/>
          <w:bCs/>
          <w:szCs w:val="21"/>
        </w:rPr>
        <w:t>根据《中华人民共和国民法典》等相关法律、法规的规定，甲、乙双方本着自愿、平等、公平、诚信的原则,经协商一致签订本合同，以资共同遵守履行。</w:t>
      </w:r>
    </w:p>
    <w:p w14:paraId="30C2B662">
      <w:pPr>
        <w:pStyle w:val="16"/>
        <w:spacing w:after="0" w:line="460" w:lineRule="exact"/>
        <w:ind w:left="764" w:hanging="480"/>
        <w:rPr>
          <w:rFonts w:ascii="宋体" w:hAnsi="宋体"/>
          <w:b/>
          <w:szCs w:val="21"/>
        </w:rPr>
      </w:pPr>
      <w:r>
        <w:rPr>
          <w:rFonts w:hint="eastAsia" w:ascii="宋体" w:hAnsi="宋体"/>
          <w:b/>
          <w:szCs w:val="21"/>
        </w:rPr>
        <w:t>一 、合同范围</w:t>
      </w:r>
    </w:p>
    <w:p w14:paraId="54617885">
      <w:pPr>
        <w:pStyle w:val="16"/>
        <w:spacing w:after="0" w:line="460" w:lineRule="exact"/>
        <w:ind w:left="4" w:firstLine="280"/>
        <w:rPr>
          <w:rFonts w:ascii="宋体" w:hAnsi="宋体"/>
          <w:bCs/>
          <w:szCs w:val="21"/>
        </w:rPr>
      </w:pPr>
      <w:r>
        <w:rPr>
          <w:rFonts w:hint="eastAsia" w:ascii="宋体" w:hAnsi="宋体"/>
          <w:bCs/>
          <w:szCs w:val="21"/>
        </w:rPr>
        <w:t>1.维修服务所保设备：</w:t>
      </w:r>
    </w:p>
    <w:tbl>
      <w:tblPr>
        <w:tblStyle w:val="4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1547"/>
        <w:gridCol w:w="1547"/>
        <w:gridCol w:w="1547"/>
        <w:gridCol w:w="1547"/>
        <w:gridCol w:w="1547"/>
      </w:tblGrid>
      <w:tr w14:paraId="556D6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tcPr>
          <w:p w14:paraId="7B3F3EC1">
            <w:pPr>
              <w:pStyle w:val="102"/>
            </w:pPr>
            <w:r>
              <w:rPr>
                <w:rFonts w:hint="eastAsia"/>
              </w:rPr>
              <w:t>设备名称</w:t>
            </w:r>
          </w:p>
        </w:tc>
        <w:tc>
          <w:tcPr>
            <w:tcW w:w="833" w:type="pct"/>
          </w:tcPr>
          <w:p w14:paraId="13C544F4">
            <w:pPr>
              <w:pStyle w:val="102"/>
            </w:pPr>
            <w:r>
              <w:rPr>
                <w:rFonts w:hint="eastAsia"/>
              </w:rPr>
              <w:t>资产编码</w:t>
            </w:r>
          </w:p>
        </w:tc>
        <w:tc>
          <w:tcPr>
            <w:tcW w:w="833" w:type="pct"/>
          </w:tcPr>
          <w:p w14:paraId="37F36091">
            <w:pPr>
              <w:pStyle w:val="102"/>
            </w:pPr>
            <w:r>
              <w:rPr>
                <w:rFonts w:hint="eastAsia"/>
              </w:rPr>
              <w:t>主机序列号</w:t>
            </w:r>
          </w:p>
        </w:tc>
        <w:tc>
          <w:tcPr>
            <w:tcW w:w="833" w:type="pct"/>
          </w:tcPr>
          <w:p w14:paraId="4CE7845B">
            <w:pPr>
              <w:pStyle w:val="102"/>
            </w:pPr>
            <w:r>
              <w:rPr>
                <w:rFonts w:hint="eastAsia"/>
              </w:rPr>
              <w:t>装机日期</w:t>
            </w:r>
          </w:p>
        </w:tc>
        <w:tc>
          <w:tcPr>
            <w:tcW w:w="833" w:type="pct"/>
          </w:tcPr>
          <w:p w14:paraId="5D2A7134">
            <w:pPr>
              <w:pStyle w:val="102"/>
            </w:pPr>
            <w:r>
              <w:rPr>
                <w:rFonts w:hint="eastAsia"/>
              </w:rPr>
              <w:t>数量</w:t>
            </w:r>
          </w:p>
        </w:tc>
        <w:tc>
          <w:tcPr>
            <w:tcW w:w="833" w:type="pct"/>
          </w:tcPr>
          <w:p w14:paraId="7371CFFA">
            <w:pPr>
              <w:pStyle w:val="102"/>
            </w:pPr>
            <w:r>
              <w:rPr>
                <w:rFonts w:hint="eastAsia"/>
              </w:rPr>
              <w:t>使用科室</w:t>
            </w:r>
          </w:p>
        </w:tc>
      </w:tr>
      <w:tr w14:paraId="40C7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3" w:type="pct"/>
          </w:tcPr>
          <w:p w14:paraId="329BD475">
            <w:pPr>
              <w:pStyle w:val="102"/>
            </w:pPr>
          </w:p>
        </w:tc>
        <w:tc>
          <w:tcPr>
            <w:tcW w:w="833" w:type="pct"/>
          </w:tcPr>
          <w:p w14:paraId="3DAD2B73">
            <w:pPr>
              <w:pStyle w:val="102"/>
            </w:pPr>
          </w:p>
        </w:tc>
        <w:tc>
          <w:tcPr>
            <w:tcW w:w="833" w:type="pct"/>
          </w:tcPr>
          <w:p w14:paraId="3FBF23D0">
            <w:pPr>
              <w:pStyle w:val="102"/>
            </w:pPr>
          </w:p>
        </w:tc>
        <w:tc>
          <w:tcPr>
            <w:tcW w:w="833" w:type="pct"/>
          </w:tcPr>
          <w:p w14:paraId="7F0845B7">
            <w:pPr>
              <w:pStyle w:val="102"/>
            </w:pPr>
          </w:p>
        </w:tc>
        <w:tc>
          <w:tcPr>
            <w:tcW w:w="833" w:type="pct"/>
          </w:tcPr>
          <w:p w14:paraId="7D105CF5">
            <w:pPr>
              <w:pStyle w:val="102"/>
            </w:pPr>
          </w:p>
        </w:tc>
        <w:tc>
          <w:tcPr>
            <w:tcW w:w="833" w:type="pct"/>
          </w:tcPr>
          <w:p w14:paraId="21F9C616">
            <w:pPr>
              <w:pStyle w:val="102"/>
            </w:pPr>
          </w:p>
        </w:tc>
      </w:tr>
    </w:tbl>
    <w:p w14:paraId="20D4297E">
      <w:pPr>
        <w:pStyle w:val="16"/>
        <w:spacing w:after="0" w:line="460" w:lineRule="exact"/>
        <w:ind w:left="764" w:hanging="480"/>
        <w:rPr>
          <w:rFonts w:ascii="宋体" w:hAnsi="宋体"/>
          <w:bCs/>
          <w:szCs w:val="21"/>
        </w:rPr>
      </w:pPr>
      <w:r>
        <w:rPr>
          <w:rFonts w:hint="eastAsia" w:ascii="宋体" w:hAnsi="宋体"/>
          <w:bCs/>
          <w:szCs w:val="21"/>
        </w:rPr>
        <w:t>2.设备系统/服务： 无</w:t>
      </w:r>
    </w:p>
    <w:p w14:paraId="5F9E0DED">
      <w:pPr>
        <w:pStyle w:val="16"/>
        <w:spacing w:after="0" w:line="460" w:lineRule="exact"/>
        <w:ind w:left="764" w:hanging="480"/>
        <w:rPr>
          <w:rFonts w:ascii="宋体" w:hAnsi="宋体"/>
          <w:b/>
          <w:szCs w:val="21"/>
        </w:rPr>
      </w:pPr>
      <w:r>
        <w:rPr>
          <w:rFonts w:hint="eastAsia" w:ascii="宋体" w:hAnsi="宋体"/>
          <w:b/>
          <w:szCs w:val="21"/>
        </w:rPr>
        <w:t>二 、合同期限</w:t>
      </w:r>
    </w:p>
    <w:p w14:paraId="5DB387CB">
      <w:pPr>
        <w:pStyle w:val="16"/>
        <w:spacing w:after="0" w:line="460" w:lineRule="exact"/>
        <w:ind w:left="764" w:hanging="480"/>
        <w:rPr>
          <w:rFonts w:ascii="宋体" w:hAnsi="宋体"/>
          <w:bCs/>
          <w:szCs w:val="21"/>
        </w:rPr>
      </w:pPr>
      <w:r>
        <w:rPr>
          <w:rFonts w:hint="eastAsia" w:ascii="宋体" w:hAnsi="宋体"/>
          <w:bCs/>
          <w:szCs w:val="21"/>
        </w:rPr>
        <w:t>本合同有效期 __年（ _____ 年___月___日至_________年__月__日）。</w:t>
      </w:r>
    </w:p>
    <w:p w14:paraId="756A9FB4">
      <w:pPr>
        <w:pStyle w:val="16"/>
        <w:spacing w:after="0" w:line="460" w:lineRule="exact"/>
        <w:ind w:left="764" w:hanging="480"/>
        <w:rPr>
          <w:rFonts w:ascii="宋体" w:hAnsi="宋体"/>
          <w:b/>
          <w:szCs w:val="21"/>
        </w:rPr>
      </w:pPr>
      <w:r>
        <w:rPr>
          <w:rFonts w:hint="eastAsia" w:ascii="宋体" w:hAnsi="宋体"/>
          <w:b/>
          <w:szCs w:val="21"/>
        </w:rPr>
        <w:t>三 、付款方式</w:t>
      </w:r>
    </w:p>
    <w:p w14:paraId="68CF69BB">
      <w:pPr>
        <w:pStyle w:val="16"/>
        <w:spacing w:after="0" w:line="460" w:lineRule="exact"/>
        <w:ind w:left="4" w:firstLine="280"/>
        <w:rPr>
          <w:rFonts w:ascii="宋体" w:hAnsi="宋体"/>
          <w:bCs/>
          <w:szCs w:val="21"/>
        </w:rPr>
      </w:pPr>
      <w:r>
        <w:rPr>
          <w:rFonts w:hint="eastAsia" w:ascii="宋体" w:hAnsi="宋体"/>
          <w:bCs/>
          <w:szCs w:val="21"/>
        </w:rPr>
        <w:t>1.合同总价款（含税）：______元（人民币）(大写）__________ 元。年维保费用__________元（人民币）（大写）___________元。</w:t>
      </w:r>
    </w:p>
    <w:p w14:paraId="3D6472E1">
      <w:pPr>
        <w:pStyle w:val="16"/>
        <w:spacing w:after="0" w:line="460" w:lineRule="exact"/>
        <w:ind w:left="4" w:firstLine="280"/>
        <w:rPr>
          <w:rFonts w:ascii="宋体" w:hAnsi="宋体"/>
          <w:bCs/>
          <w:szCs w:val="21"/>
        </w:rPr>
      </w:pPr>
      <w:r>
        <w:rPr>
          <w:rFonts w:hint="eastAsia" w:ascii="宋体" w:hAnsi="宋体"/>
          <w:bCs/>
          <w:szCs w:val="21"/>
        </w:rPr>
        <w:t>2.付款方式、时间：合同生效后，甲方在合同规定的时间内，按半年支付一次每次支付___________元的原则。每次付款需凭乙方开具的发票（发票必须由乙方自行验证真伪随同发票一并提供</w:t>
      </w:r>
      <w:r>
        <w:rPr>
          <w:rFonts w:ascii="宋体" w:hAnsi="宋体"/>
          <w:bCs/>
          <w:szCs w:val="21"/>
        </w:rPr>
        <w:t>)</w:t>
      </w:r>
      <w:r>
        <w:rPr>
          <w:rFonts w:hint="eastAsia" w:ascii="宋体" w:hAnsi="宋体"/>
          <w:bCs/>
          <w:szCs w:val="21"/>
        </w:rPr>
        <w:t>、保养工单、使用科室及主管部门负责人签字确认的阶段性维保服务报告办理支付（除第一次付款需提供合同原件，其他付款需提供合同复印件）。</w:t>
      </w:r>
    </w:p>
    <w:p w14:paraId="07423F61">
      <w:pPr>
        <w:pStyle w:val="16"/>
        <w:spacing w:after="0" w:line="460" w:lineRule="exact"/>
        <w:ind w:left="4" w:firstLine="280"/>
        <w:rPr>
          <w:rFonts w:ascii="宋体" w:hAnsi="宋体"/>
          <w:bCs/>
          <w:szCs w:val="21"/>
        </w:rPr>
      </w:pPr>
      <w:r>
        <w:rPr>
          <w:rFonts w:hint="eastAsia" w:ascii="宋体" w:hAnsi="宋体"/>
          <w:bCs/>
          <w:szCs w:val="21"/>
        </w:rPr>
        <w:t>付款时间表:</w:t>
      </w:r>
    </w:p>
    <w:tbl>
      <w:tblPr>
        <w:tblStyle w:val="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4"/>
        <w:gridCol w:w="1140"/>
        <w:gridCol w:w="1244"/>
        <w:gridCol w:w="1244"/>
        <w:gridCol w:w="1170"/>
        <w:gridCol w:w="1170"/>
        <w:gridCol w:w="1170"/>
      </w:tblGrid>
      <w:tr w14:paraId="6C2F1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pct"/>
          </w:tcPr>
          <w:p w14:paraId="73DF2780">
            <w:pPr>
              <w:pStyle w:val="102"/>
            </w:pPr>
            <w:r>
              <w:rPr>
                <w:rFonts w:hint="eastAsia"/>
              </w:rPr>
              <w:t>付款时间</w:t>
            </w:r>
          </w:p>
        </w:tc>
        <w:tc>
          <w:tcPr>
            <w:tcW w:w="614" w:type="pct"/>
          </w:tcPr>
          <w:p w14:paraId="4B0DD194">
            <w:pPr>
              <w:pStyle w:val="102"/>
            </w:pPr>
          </w:p>
        </w:tc>
        <w:tc>
          <w:tcPr>
            <w:tcW w:w="670" w:type="pct"/>
          </w:tcPr>
          <w:p w14:paraId="622292A6">
            <w:pPr>
              <w:pStyle w:val="102"/>
            </w:pPr>
          </w:p>
        </w:tc>
        <w:tc>
          <w:tcPr>
            <w:tcW w:w="670" w:type="pct"/>
          </w:tcPr>
          <w:p w14:paraId="1C6AB1D6">
            <w:pPr>
              <w:pStyle w:val="102"/>
            </w:pPr>
          </w:p>
        </w:tc>
        <w:tc>
          <w:tcPr>
            <w:tcW w:w="630" w:type="pct"/>
          </w:tcPr>
          <w:p w14:paraId="7A6695AA">
            <w:pPr>
              <w:pStyle w:val="102"/>
            </w:pPr>
          </w:p>
        </w:tc>
        <w:tc>
          <w:tcPr>
            <w:tcW w:w="630" w:type="pct"/>
          </w:tcPr>
          <w:p w14:paraId="77CDD830">
            <w:pPr>
              <w:pStyle w:val="102"/>
            </w:pPr>
          </w:p>
        </w:tc>
        <w:tc>
          <w:tcPr>
            <w:tcW w:w="630" w:type="pct"/>
          </w:tcPr>
          <w:p w14:paraId="7C0E0787">
            <w:pPr>
              <w:pStyle w:val="102"/>
            </w:pPr>
          </w:p>
        </w:tc>
      </w:tr>
      <w:tr w14:paraId="73951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5" w:type="pct"/>
          </w:tcPr>
          <w:p w14:paraId="11B0D5AD">
            <w:pPr>
              <w:pStyle w:val="102"/>
            </w:pPr>
            <w:r>
              <w:rPr>
                <w:rFonts w:hint="eastAsia"/>
              </w:rPr>
              <w:t>应付金额（人民币）</w:t>
            </w:r>
          </w:p>
        </w:tc>
        <w:tc>
          <w:tcPr>
            <w:tcW w:w="614" w:type="pct"/>
          </w:tcPr>
          <w:p w14:paraId="1B2C335F">
            <w:pPr>
              <w:pStyle w:val="102"/>
            </w:pPr>
          </w:p>
        </w:tc>
        <w:tc>
          <w:tcPr>
            <w:tcW w:w="670" w:type="pct"/>
          </w:tcPr>
          <w:p w14:paraId="20D00D00">
            <w:pPr>
              <w:pStyle w:val="102"/>
            </w:pPr>
          </w:p>
        </w:tc>
        <w:tc>
          <w:tcPr>
            <w:tcW w:w="670" w:type="pct"/>
          </w:tcPr>
          <w:p w14:paraId="24D49BFE">
            <w:pPr>
              <w:pStyle w:val="102"/>
            </w:pPr>
          </w:p>
        </w:tc>
        <w:tc>
          <w:tcPr>
            <w:tcW w:w="630" w:type="pct"/>
          </w:tcPr>
          <w:p w14:paraId="45D4AE8E">
            <w:pPr>
              <w:pStyle w:val="102"/>
            </w:pPr>
          </w:p>
        </w:tc>
        <w:tc>
          <w:tcPr>
            <w:tcW w:w="630" w:type="pct"/>
          </w:tcPr>
          <w:p w14:paraId="5DCDCDCD">
            <w:pPr>
              <w:pStyle w:val="102"/>
            </w:pPr>
          </w:p>
        </w:tc>
        <w:tc>
          <w:tcPr>
            <w:tcW w:w="630" w:type="pct"/>
          </w:tcPr>
          <w:p w14:paraId="5180C3A7">
            <w:pPr>
              <w:pStyle w:val="102"/>
            </w:pPr>
          </w:p>
        </w:tc>
      </w:tr>
    </w:tbl>
    <w:p w14:paraId="67C39D02">
      <w:pPr>
        <w:pStyle w:val="16"/>
        <w:spacing w:after="0" w:line="460" w:lineRule="exact"/>
        <w:ind w:left="764" w:hanging="480"/>
        <w:rPr>
          <w:rFonts w:ascii="宋体" w:hAnsi="宋体"/>
          <w:b/>
          <w:szCs w:val="21"/>
        </w:rPr>
      </w:pPr>
      <w:r>
        <w:rPr>
          <w:rFonts w:hint="eastAsia" w:ascii="宋体" w:hAnsi="宋体"/>
          <w:b/>
          <w:szCs w:val="21"/>
        </w:rPr>
        <w:t>四 、维保要求</w:t>
      </w:r>
    </w:p>
    <w:p w14:paraId="385DBFDD">
      <w:pPr>
        <w:pStyle w:val="16"/>
        <w:spacing w:after="0" w:line="460" w:lineRule="exact"/>
        <w:ind w:left="4" w:firstLine="280"/>
        <w:rPr>
          <w:rFonts w:ascii="宋体" w:hAnsi="宋体"/>
          <w:bCs/>
          <w:szCs w:val="21"/>
        </w:rPr>
      </w:pPr>
      <w:r>
        <w:rPr>
          <w:rFonts w:hint="eastAsia" w:ascii="宋体" w:hAnsi="宋体"/>
          <w:bCs/>
          <w:szCs w:val="21"/>
        </w:rPr>
        <w:t>定期保养：提供一年至少4次的定期维护，定期维护保养服务项目包括：设备的机械安全检查、电气安全检查、影像质量检查、设备除尘保养、运行状态检查（根据具体机器增加相关内容），保养中需要更换的损耗品由乙方免费提供。维修或保养完成后，乙方需提供维修单、保养报告交由甲方医学装备部保存。</w:t>
      </w:r>
    </w:p>
    <w:p w14:paraId="2D35ADAD">
      <w:pPr>
        <w:pStyle w:val="16"/>
        <w:spacing w:after="0" w:line="460" w:lineRule="exact"/>
        <w:ind w:left="4" w:firstLine="280"/>
        <w:rPr>
          <w:rFonts w:ascii="宋体" w:hAnsi="宋体"/>
          <w:bCs/>
          <w:szCs w:val="21"/>
        </w:rPr>
      </w:pPr>
      <w:r>
        <w:rPr>
          <w:rFonts w:hint="eastAsia" w:ascii="宋体" w:hAnsi="宋体"/>
          <w:bCs/>
          <w:szCs w:val="21"/>
        </w:rPr>
        <w:t>开机率：95%以上</w:t>
      </w:r>
    </w:p>
    <w:p w14:paraId="3A65EDC5">
      <w:pPr>
        <w:pStyle w:val="16"/>
        <w:spacing w:after="0" w:line="460" w:lineRule="exact"/>
        <w:ind w:left="4" w:firstLine="280"/>
        <w:rPr>
          <w:rFonts w:ascii="宋体" w:hAnsi="宋体"/>
          <w:bCs/>
          <w:szCs w:val="21"/>
        </w:rPr>
      </w:pPr>
      <w:r>
        <w:rPr>
          <w:rFonts w:hint="eastAsia" w:ascii="宋体" w:hAnsi="宋体"/>
          <w:bCs/>
          <w:szCs w:val="21"/>
        </w:rPr>
        <w:t xml:space="preserve">服务热线：      </w:t>
      </w:r>
    </w:p>
    <w:p w14:paraId="49756989">
      <w:pPr>
        <w:pStyle w:val="16"/>
        <w:spacing w:after="0" w:line="460" w:lineRule="exact"/>
        <w:ind w:left="4" w:firstLine="280"/>
        <w:rPr>
          <w:rFonts w:ascii="宋体" w:hAnsi="宋体"/>
          <w:bCs/>
          <w:szCs w:val="21"/>
        </w:rPr>
      </w:pPr>
      <w:r>
        <w:rPr>
          <w:rFonts w:hint="eastAsia" w:ascii="宋体" w:hAnsi="宋体"/>
          <w:bCs/>
          <w:szCs w:val="21"/>
        </w:rPr>
        <w:t xml:space="preserve">故障响应时间：乙方在接到甲方报修电话后，须在2小时内给予明确的远程诊断回复。若远程无法解决，乙方的维修工程师须在24小时内（含节假日）携带必要工具到达甲方设备现场。 </w:t>
      </w:r>
    </w:p>
    <w:p w14:paraId="11ECE65B">
      <w:pPr>
        <w:pStyle w:val="16"/>
        <w:spacing w:after="0" w:line="460" w:lineRule="exact"/>
        <w:ind w:left="4" w:firstLine="280"/>
        <w:rPr>
          <w:rFonts w:ascii="宋体" w:hAnsi="宋体"/>
          <w:bCs/>
          <w:szCs w:val="21"/>
        </w:rPr>
      </w:pPr>
      <w:r>
        <w:rPr>
          <w:rFonts w:hint="eastAsia" w:ascii="宋体" w:hAnsi="宋体"/>
          <w:bCs/>
          <w:szCs w:val="21"/>
        </w:rPr>
        <w:t>故障修复时限：一般故障：工程师到达现场后48小时内须排除故障恢复使用。重大故障（涉及球管、探测器等核心备件）：乙方须在96小时内完成更换并恢复临床使用；特殊情况可以经协商后延长时限，如超过时限，应参照开机率条款进行额外补偿。</w:t>
      </w:r>
    </w:p>
    <w:p w14:paraId="3CD172A0">
      <w:pPr>
        <w:pStyle w:val="16"/>
        <w:spacing w:after="0" w:line="460" w:lineRule="exact"/>
        <w:ind w:left="764" w:hanging="480"/>
        <w:rPr>
          <w:rFonts w:ascii="宋体" w:hAnsi="宋体"/>
          <w:b/>
          <w:szCs w:val="21"/>
        </w:rPr>
      </w:pPr>
      <w:r>
        <w:rPr>
          <w:rFonts w:hint="eastAsia" w:ascii="宋体" w:hAnsi="宋体"/>
          <w:b/>
          <w:szCs w:val="21"/>
        </w:rPr>
        <w:t>五 、双方的权利义务:</w:t>
      </w:r>
    </w:p>
    <w:p w14:paraId="73763169">
      <w:pPr>
        <w:pStyle w:val="16"/>
        <w:spacing w:after="0" w:line="460" w:lineRule="exact"/>
        <w:ind w:left="4" w:firstLine="280"/>
        <w:rPr>
          <w:rFonts w:ascii="宋体" w:hAnsi="宋体"/>
          <w:bCs/>
          <w:szCs w:val="21"/>
        </w:rPr>
      </w:pPr>
      <w:r>
        <w:rPr>
          <w:rFonts w:hint="eastAsia" w:ascii="宋体" w:hAnsi="宋体"/>
          <w:bCs/>
          <w:szCs w:val="21"/>
        </w:rPr>
        <w:t>1.甲方的权利义务</w:t>
      </w:r>
    </w:p>
    <w:p w14:paraId="7A4AECD4">
      <w:pPr>
        <w:pStyle w:val="16"/>
        <w:spacing w:after="0" w:line="460" w:lineRule="exact"/>
        <w:ind w:left="4" w:firstLine="280"/>
        <w:rPr>
          <w:rFonts w:ascii="宋体" w:hAnsi="宋体"/>
          <w:bCs/>
          <w:szCs w:val="21"/>
        </w:rPr>
      </w:pPr>
      <w:r>
        <w:rPr>
          <w:rFonts w:hint="eastAsia" w:ascii="宋体" w:hAnsi="宋体"/>
          <w:bCs/>
          <w:szCs w:val="21"/>
        </w:rPr>
        <w:t>（1）审定乙方年度服务目标及年度维保服务计划，并对乙方的维保管理实施监督检查；</w:t>
      </w:r>
    </w:p>
    <w:p w14:paraId="34A8271F">
      <w:pPr>
        <w:pStyle w:val="16"/>
        <w:spacing w:after="0" w:line="460" w:lineRule="exact"/>
        <w:ind w:left="4" w:firstLine="280"/>
        <w:rPr>
          <w:rFonts w:ascii="宋体" w:hAnsi="宋体"/>
          <w:bCs/>
          <w:szCs w:val="21"/>
        </w:rPr>
      </w:pPr>
      <w:r>
        <w:rPr>
          <w:rFonts w:hint="eastAsia" w:ascii="宋体" w:hAnsi="宋体"/>
          <w:bCs/>
          <w:szCs w:val="21"/>
        </w:rPr>
        <w:t>合同期间，如因乙方原因造成甲方经济损失，甲方有权向乙方提出索赔，并可终止合同；（2）如造成第三方人身和财产等损失的，由乙方最终承担全部责任；</w:t>
      </w:r>
    </w:p>
    <w:p w14:paraId="68C2CA59">
      <w:pPr>
        <w:pStyle w:val="16"/>
        <w:spacing w:after="0" w:line="460" w:lineRule="exact"/>
        <w:ind w:left="4" w:firstLine="280"/>
        <w:rPr>
          <w:rFonts w:ascii="宋体" w:hAnsi="宋体"/>
          <w:bCs/>
          <w:szCs w:val="21"/>
        </w:rPr>
      </w:pPr>
      <w:r>
        <w:rPr>
          <w:rFonts w:hint="eastAsia" w:ascii="宋体" w:hAnsi="宋体"/>
          <w:bCs/>
          <w:szCs w:val="21"/>
        </w:rPr>
        <w:t>（3）依合同规定配合乙方开展相关维保服务工作；</w:t>
      </w:r>
    </w:p>
    <w:p w14:paraId="396DEB46">
      <w:pPr>
        <w:pStyle w:val="16"/>
        <w:spacing w:after="0" w:line="460" w:lineRule="exact"/>
        <w:ind w:left="4" w:firstLine="280"/>
        <w:rPr>
          <w:rFonts w:ascii="宋体" w:hAnsi="宋体"/>
          <w:bCs/>
          <w:szCs w:val="21"/>
        </w:rPr>
      </w:pPr>
      <w:r>
        <w:rPr>
          <w:rFonts w:hint="eastAsia" w:ascii="宋体" w:hAnsi="宋体"/>
          <w:bCs/>
          <w:szCs w:val="21"/>
        </w:rPr>
        <w:t>（4）依合同规定按时支付乙方的服务费用；</w:t>
      </w:r>
    </w:p>
    <w:p w14:paraId="006EDFF7">
      <w:pPr>
        <w:pStyle w:val="16"/>
        <w:spacing w:after="0" w:line="460" w:lineRule="exact"/>
        <w:ind w:left="4" w:firstLine="280"/>
        <w:rPr>
          <w:rFonts w:ascii="宋体" w:hAnsi="宋体"/>
          <w:bCs/>
          <w:szCs w:val="21"/>
        </w:rPr>
      </w:pPr>
      <w:r>
        <w:rPr>
          <w:rFonts w:hint="eastAsia" w:ascii="宋体" w:hAnsi="宋体"/>
          <w:bCs/>
          <w:szCs w:val="21"/>
        </w:rPr>
        <w:t>（5）合同有效期内，如设备提前报废，甲方将提前通知乙方，并终止维保合同，对已发生的维修费用，甲方按实际费用支付给乙方。</w:t>
      </w:r>
    </w:p>
    <w:p w14:paraId="75F38A5A">
      <w:pPr>
        <w:pStyle w:val="16"/>
        <w:spacing w:after="0" w:line="460" w:lineRule="exact"/>
        <w:ind w:left="4" w:firstLine="280"/>
        <w:rPr>
          <w:rFonts w:ascii="宋体" w:hAnsi="宋体"/>
          <w:bCs/>
          <w:szCs w:val="21"/>
        </w:rPr>
      </w:pPr>
      <w:r>
        <w:rPr>
          <w:rFonts w:hint="eastAsia" w:ascii="宋体" w:hAnsi="宋体"/>
          <w:bCs/>
          <w:szCs w:val="21"/>
        </w:rPr>
        <w:t>2.乙方的权利义务</w:t>
      </w:r>
    </w:p>
    <w:p w14:paraId="566D13E4">
      <w:pPr>
        <w:pStyle w:val="16"/>
        <w:spacing w:after="0" w:line="460" w:lineRule="exact"/>
        <w:ind w:left="4" w:firstLine="280"/>
        <w:rPr>
          <w:rFonts w:ascii="宋体" w:hAnsi="宋体"/>
          <w:bCs/>
          <w:szCs w:val="21"/>
        </w:rPr>
      </w:pPr>
      <w:r>
        <w:rPr>
          <w:rFonts w:hint="eastAsia" w:ascii="宋体" w:hAnsi="宋体"/>
          <w:bCs/>
          <w:szCs w:val="21"/>
        </w:rPr>
        <w:t>（1）乙方承诺对在提供任何维修保养服务期间可能接触到的，有关甲方的任何信息或数据保密，不向任何第三方披露，并承诺令其员工对任何信息或数据保密且不向任何第三方披露；</w:t>
      </w:r>
    </w:p>
    <w:p w14:paraId="38B7BC92">
      <w:pPr>
        <w:pStyle w:val="16"/>
        <w:spacing w:after="0" w:line="460" w:lineRule="exact"/>
        <w:ind w:left="4" w:firstLine="280"/>
        <w:rPr>
          <w:rFonts w:ascii="宋体" w:hAnsi="宋体"/>
          <w:bCs/>
          <w:szCs w:val="21"/>
        </w:rPr>
      </w:pPr>
      <w:r>
        <w:rPr>
          <w:rFonts w:hint="eastAsia" w:ascii="宋体" w:hAnsi="宋体"/>
          <w:bCs/>
          <w:szCs w:val="21"/>
        </w:rPr>
        <w:t>（2）乙方员工应遵守甲方操作现场有关安全、卫生和着装方面的所有要求和规定；</w:t>
      </w:r>
    </w:p>
    <w:p w14:paraId="1D333B48">
      <w:pPr>
        <w:pStyle w:val="16"/>
        <w:spacing w:after="0" w:line="460" w:lineRule="exact"/>
        <w:ind w:left="4" w:firstLine="280"/>
        <w:rPr>
          <w:rFonts w:ascii="宋体" w:hAnsi="宋体"/>
          <w:bCs/>
          <w:szCs w:val="21"/>
        </w:rPr>
      </w:pPr>
      <w:r>
        <w:rPr>
          <w:rFonts w:hint="eastAsia" w:ascii="宋体" w:hAnsi="宋体"/>
          <w:bCs/>
          <w:szCs w:val="21"/>
        </w:rPr>
        <w:t>（3）乙方负责为甲方提供所选保修方案相关项目的保修服务，并保证维修质量；乙方应建立维修保养档案，档案保管期不低于五年；</w:t>
      </w:r>
    </w:p>
    <w:p w14:paraId="5698BBB9">
      <w:pPr>
        <w:pStyle w:val="16"/>
        <w:spacing w:after="0" w:line="460" w:lineRule="exact"/>
        <w:ind w:left="4" w:firstLine="280"/>
        <w:rPr>
          <w:rFonts w:ascii="宋体" w:hAnsi="宋体"/>
          <w:bCs/>
          <w:szCs w:val="21"/>
        </w:rPr>
      </w:pPr>
      <w:r>
        <w:rPr>
          <w:rFonts w:hint="eastAsia" w:ascii="宋体" w:hAnsi="宋体"/>
          <w:bCs/>
          <w:szCs w:val="21"/>
        </w:rPr>
        <w:t xml:space="preserve">（4）保修期内乙方对该设备提供每年规定的定期维护，确保设备达到出厂标准正常运行,并提供相应的维护报告和检测报告给医学装备部和临床使用科室存档备查。除定期维护以外的维修，更换球管、探测器等核心部件时，乙方须提供原厂出库证明、报关单（如适用）及唯一序列号，供甲方核验。确保设备维修情况已达到正常状态，并出示相应的维修服务报告。 </w:t>
      </w:r>
    </w:p>
    <w:p w14:paraId="7A74CEF8">
      <w:pPr>
        <w:pStyle w:val="16"/>
        <w:spacing w:after="0" w:line="460" w:lineRule="exact"/>
        <w:ind w:left="4" w:firstLine="280"/>
        <w:rPr>
          <w:rFonts w:ascii="宋体" w:hAnsi="宋体"/>
          <w:bCs/>
          <w:szCs w:val="21"/>
        </w:rPr>
      </w:pPr>
      <w:r>
        <w:rPr>
          <w:rFonts w:hint="eastAsia" w:ascii="宋体" w:hAnsi="宋体"/>
          <w:bCs/>
          <w:szCs w:val="21"/>
        </w:rPr>
        <w:t>（5）依据国家法律法规，对设备需进行质量检测并出具检测报告，若在保修期内无法达到国家相关部门的检测标准或质量问题出现的任何不良事件，后果由乙方承担全部责任；</w:t>
      </w:r>
    </w:p>
    <w:p w14:paraId="74E45D06">
      <w:pPr>
        <w:pStyle w:val="16"/>
        <w:spacing w:after="0" w:line="460" w:lineRule="exact"/>
        <w:ind w:left="4" w:firstLine="280"/>
        <w:rPr>
          <w:rFonts w:ascii="宋体" w:hAnsi="宋体"/>
          <w:bCs/>
          <w:szCs w:val="21"/>
        </w:rPr>
      </w:pPr>
      <w:r>
        <w:rPr>
          <w:rFonts w:hint="eastAsia" w:ascii="宋体" w:hAnsi="宋体"/>
          <w:bCs/>
          <w:szCs w:val="21"/>
        </w:rPr>
        <w:t>（6）在维护过程中所引起的人员、财产安全问题由乙方承担。</w:t>
      </w:r>
    </w:p>
    <w:p w14:paraId="5EB8BE0D">
      <w:pPr>
        <w:pStyle w:val="16"/>
        <w:spacing w:after="0" w:line="460" w:lineRule="exact"/>
        <w:ind w:left="4" w:firstLine="280"/>
        <w:rPr>
          <w:rFonts w:ascii="宋体" w:hAnsi="宋体"/>
          <w:bCs/>
          <w:szCs w:val="21"/>
        </w:rPr>
      </w:pPr>
      <w:r>
        <w:rPr>
          <w:rFonts w:hint="eastAsia" w:ascii="宋体" w:hAnsi="宋体"/>
          <w:bCs/>
          <w:szCs w:val="21"/>
        </w:rPr>
        <w:t>（7）乙方按年度需给甲方专业技术人员提供至少一次培训，培训内容应围绕设备维修保养技术、新型设备原理及行业规范等主题，培训费用（含差旅费、资料费等）由乙方承担。</w:t>
      </w:r>
    </w:p>
    <w:p w14:paraId="073DBB14">
      <w:pPr>
        <w:pStyle w:val="16"/>
        <w:spacing w:after="0" w:line="460" w:lineRule="exact"/>
        <w:ind w:left="764" w:hanging="480"/>
        <w:rPr>
          <w:rFonts w:ascii="宋体" w:hAnsi="宋体"/>
          <w:b/>
          <w:szCs w:val="21"/>
        </w:rPr>
      </w:pPr>
      <w:r>
        <w:rPr>
          <w:rFonts w:hint="eastAsia" w:ascii="宋体" w:hAnsi="宋体"/>
          <w:b/>
          <w:szCs w:val="21"/>
        </w:rPr>
        <w:t>六 、违约责任、解决纠纷方式：</w:t>
      </w:r>
    </w:p>
    <w:p w14:paraId="399CA682">
      <w:pPr>
        <w:pStyle w:val="16"/>
        <w:spacing w:after="0" w:line="460" w:lineRule="exact"/>
        <w:ind w:left="4" w:firstLine="280"/>
        <w:rPr>
          <w:rFonts w:ascii="宋体" w:hAnsi="宋体"/>
          <w:bCs/>
          <w:szCs w:val="21"/>
        </w:rPr>
      </w:pPr>
      <w:r>
        <w:rPr>
          <w:rFonts w:hint="eastAsia" w:ascii="宋体" w:hAnsi="宋体"/>
          <w:bCs/>
          <w:szCs w:val="21"/>
        </w:rPr>
        <w:t>1.甲乙双方任何一方违约，经通知后 10 个工作日内仍不改正的，守约方有权终止合同，并要求违约方支付合同总金额 10%的违约金。</w:t>
      </w:r>
    </w:p>
    <w:p w14:paraId="67AA2E1F">
      <w:pPr>
        <w:pStyle w:val="16"/>
        <w:spacing w:after="0" w:line="460" w:lineRule="exact"/>
        <w:ind w:left="4" w:firstLine="280"/>
        <w:rPr>
          <w:rFonts w:ascii="宋体" w:hAnsi="宋体"/>
          <w:bCs/>
          <w:szCs w:val="21"/>
        </w:rPr>
      </w:pPr>
      <w:r>
        <w:rPr>
          <w:rFonts w:hint="eastAsia" w:ascii="宋体" w:hAnsi="宋体"/>
          <w:bCs/>
          <w:szCs w:val="21"/>
        </w:rPr>
        <w:t>2.合同期内，甲乙双方任何一方无故终止合同或违约，另一方由此所遭受的损失由违约方负责赔偿。</w:t>
      </w:r>
    </w:p>
    <w:p w14:paraId="423879C9">
      <w:pPr>
        <w:pStyle w:val="16"/>
        <w:spacing w:after="0" w:line="460" w:lineRule="exact"/>
        <w:ind w:left="4" w:firstLine="280"/>
        <w:rPr>
          <w:rFonts w:ascii="宋体" w:hAnsi="宋体"/>
          <w:bCs/>
          <w:szCs w:val="21"/>
        </w:rPr>
      </w:pPr>
      <w:r>
        <w:rPr>
          <w:rFonts w:hint="eastAsia" w:ascii="宋体" w:hAnsi="宋体"/>
          <w:bCs/>
          <w:szCs w:val="21"/>
        </w:rPr>
        <w:t>3.合同期内，乙方转包他人，甲方有权终止合同，乙方除全额退还甲方所付款项外还须赔偿由此给甲方造成的损失。</w:t>
      </w:r>
    </w:p>
    <w:p w14:paraId="2AAFE56C">
      <w:pPr>
        <w:pStyle w:val="16"/>
        <w:spacing w:after="0" w:line="460" w:lineRule="exact"/>
        <w:ind w:left="4" w:firstLine="280"/>
        <w:rPr>
          <w:rFonts w:ascii="宋体" w:hAnsi="宋体"/>
          <w:bCs/>
          <w:szCs w:val="21"/>
        </w:rPr>
      </w:pPr>
      <w:r>
        <w:rPr>
          <w:rFonts w:hint="eastAsia" w:ascii="宋体" w:hAnsi="宋体"/>
          <w:bCs/>
          <w:szCs w:val="21"/>
        </w:rPr>
        <w:t>4.合同期内，甲方将对乙方的服务质量进行每年一次的考核（包括：开机率、故障响应时间、故障排除时间及维保服务条款履行情况）若考核不合格，甲方可解除合同并有权要求乙方赔偿由于设备停机造成的损失。</w:t>
      </w:r>
    </w:p>
    <w:p w14:paraId="450BA95F">
      <w:pPr>
        <w:pStyle w:val="16"/>
        <w:spacing w:after="0" w:line="460" w:lineRule="exact"/>
        <w:ind w:left="4" w:firstLine="280"/>
        <w:rPr>
          <w:rFonts w:ascii="宋体" w:hAnsi="宋体"/>
          <w:bCs/>
          <w:szCs w:val="21"/>
        </w:rPr>
      </w:pPr>
      <w:r>
        <w:rPr>
          <w:rFonts w:hint="eastAsia" w:ascii="宋体" w:hAnsi="宋体"/>
          <w:bCs/>
          <w:szCs w:val="21"/>
        </w:rPr>
        <w:t>5.本合同所称的损失包括直接和间接经济损失，具体包括但不限鉴定费、公证费、差旅费、诉讼费以及律师费等。</w:t>
      </w:r>
    </w:p>
    <w:p w14:paraId="77EBBFDE">
      <w:pPr>
        <w:pStyle w:val="16"/>
        <w:spacing w:after="0" w:line="460" w:lineRule="exact"/>
        <w:ind w:left="4" w:firstLine="280"/>
        <w:rPr>
          <w:rFonts w:ascii="宋体" w:hAnsi="宋体"/>
          <w:bCs/>
          <w:szCs w:val="21"/>
        </w:rPr>
      </w:pPr>
      <w:r>
        <w:rPr>
          <w:rFonts w:hint="eastAsia" w:ascii="宋体" w:hAnsi="宋体"/>
          <w:bCs/>
          <w:szCs w:val="21"/>
        </w:rPr>
        <w:t>6、乙方应当承担安全生产相关责任义务，落实安全生产主体责任，乙方有义务组织乙方员工及甲方相关人员学习国家有关安全生产的法律法规、政策等文件。若因乙方违反安全生产相关权利义务给甲方或任何第三方造成损失，相关法律责任由乙方承担。</w:t>
      </w:r>
    </w:p>
    <w:p w14:paraId="14CC8ABD">
      <w:pPr>
        <w:pStyle w:val="16"/>
        <w:spacing w:after="0" w:line="460" w:lineRule="exact"/>
        <w:ind w:left="4" w:firstLine="280"/>
        <w:rPr>
          <w:rFonts w:ascii="宋体" w:hAnsi="宋体"/>
          <w:bCs/>
          <w:szCs w:val="21"/>
        </w:rPr>
      </w:pPr>
      <w:r>
        <w:rPr>
          <w:rFonts w:ascii="宋体" w:hAnsi="宋体"/>
          <w:bCs/>
          <w:szCs w:val="21"/>
        </w:rPr>
        <w:t>7</w:t>
      </w:r>
      <w:r>
        <w:rPr>
          <w:rFonts w:hint="eastAsia" w:ascii="宋体" w:hAnsi="宋体"/>
          <w:bCs/>
          <w:szCs w:val="21"/>
        </w:rPr>
        <w:t>.合同期内，若经查实乙方更换的核心备件（如超声探头、梯度线圈、球管、探测器、高压发生器等）非原厂全新，甲方有权要求乙方按该备件市场价的2倍 进行赔偿，并保留单方面解除合同的权利。</w:t>
      </w:r>
    </w:p>
    <w:p w14:paraId="6AA4B68F">
      <w:pPr>
        <w:pStyle w:val="16"/>
        <w:spacing w:after="0" w:line="460" w:lineRule="exact"/>
        <w:ind w:left="4" w:firstLine="280"/>
        <w:rPr>
          <w:rFonts w:ascii="宋体" w:hAnsi="宋体"/>
          <w:bCs/>
          <w:szCs w:val="21"/>
        </w:rPr>
      </w:pPr>
      <w:r>
        <w:rPr>
          <w:rFonts w:ascii="宋体" w:hAnsi="宋体"/>
          <w:bCs/>
          <w:szCs w:val="21"/>
        </w:rPr>
        <w:t>8</w:t>
      </w:r>
      <w:r>
        <w:rPr>
          <w:rFonts w:hint="eastAsia" w:ascii="宋体" w:hAnsi="宋体"/>
          <w:bCs/>
          <w:szCs w:val="21"/>
        </w:rPr>
        <w:t>.如开机率未达到 95%，乙方须按照甲方的要求，按一定的赔付比例顺延维保时间：（按招标技术文件中做出规定执行）。其中，B 超类是按照 1：2 的赔付比例；CT/磁共振类按照 1:10 的赔付比例，内窥镜按照 1:20 的赔付比例等；其他类根据实际情况商定。</w:t>
      </w:r>
    </w:p>
    <w:p w14:paraId="02A83F49">
      <w:pPr>
        <w:pStyle w:val="16"/>
        <w:spacing w:after="0" w:line="460" w:lineRule="exact"/>
        <w:ind w:left="764" w:hanging="480"/>
        <w:rPr>
          <w:rFonts w:ascii="宋体" w:hAnsi="宋体"/>
          <w:b/>
          <w:szCs w:val="21"/>
        </w:rPr>
      </w:pPr>
      <w:r>
        <w:rPr>
          <w:rFonts w:hint="eastAsia" w:ascii="宋体" w:hAnsi="宋体"/>
          <w:b/>
          <w:szCs w:val="21"/>
        </w:rPr>
        <w:t>七 、其它约定及要求：</w:t>
      </w:r>
    </w:p>
    <w:p w14:paraId="1A76B92E">
      <w:pPr>
        <w:pStyle w:val="16"/>
        <w:spacing w:after="0" w:line="460" w:lineRule="exact"/>
        <w:ind w:left="4" w:firstLine="280"/>
        <w:rPr>
          <w:rFonts w:ascii="宋体" w:hAnsi="宋体"/>
          <w:bCs/>
          <w:szCs w:val="21"/>
        </w:rPr>
      </w:pPr>
      <w:r>
        <w:rPr>
          <w:rFonts w:hint="eastAsia" w:ascii="宋体" w:hAnsi="宋体"/>
          <w:bCs/>
          <w:szCs w:val="21"/>
        </w:rPr>
        <w:t>1、本合同经双方签字盖章后即发生法律效力，因国家政策干预、战争、地震等不可抗力导致本合同不能执行的，可终止本合同，双方互不承担违约责任。</w:t>
      </w:r>
    </w:p>
    <w:p w14:paraId="2B80D099">
      <w:pPr>
        <w:pStyle w:val="16"/>
        <w:spacing w:after="0" w:line="460" w:lineRule="exact"/>
        <w:ind w:left="4" w:firstLine="280"/>
        <w:rPr>
          <w:rFonts w:ascii="宋体" w:hAnsi="宋体"/>
          <w:bCs/>
          <w:szCs w:val="21"/>
        </w:rPr>
      </w:pPr>
      <w:r>
        <w:rPr>
          <w:rFonts w:hint="eastAsia" w:ascii="宋体" w:hAnsi="宋体"/>
          <w:bCs/>
          <w:szCs w:val="21"/>
        </w:rPr>
        <w:t>2、合同未尽事宜双方协商解决，不能协商解决的，可向甲方所在地法院提起诉讼。</w:t>
      </w:r>
    </w:p>
    <w:p w14:paraId="0E543577">
      <w:pPr>
        <w:pStyle w:val="16"/>
        <w:spacing w:after="0" w:line="460" w:lineRule="exact"/>
        <w:ind w:left="4" w:firstLine="280"/>
        <w:rPr>
          <w:rFonts w:ascii="宋体" w:hAnsi="宋体"/>
          <w:bCs/>
          <w:szCs w:val="21"/>
        </w:rPr>
      </w:pPr>
      <w:r>
        <w:rPr>
          <w:rFonts w:hint="eastAsia" w:ascii="宋体" w:hAnsi="宋体"/>
          <w:bCs/>
          <w:szCs w:val="21"/>
        </w:rPr>
        <w:t>3、该项目招标文件、投标文件、投标现场的投标澄清承诺书与本合同互为补充和解释,是本合同的组成部分，具有同等的法律效力；在不偏离招投标文件实质性条款的情形下，如有不清或矛盾之处，以本合同为准。</w:t>
      </w:r>
    </w:p>
    <w:p w14:paraId="12B9B04A">
      <w:pPr>
        <w:pStyle w:val="16"/>
        <w:spacing w:after="0" w:line="460" w:lineRule="exact"/>
        <w:ind w:left="4" w:firstLine="280"/>
        <w:rPr>
          <w:rFonts w:ascii="宋体" w:hAnsi="宋体"/>
          <w:bCs/>
          <w:szCs w:val="21"/>
        </w:rPr>
      </w:pPr>
      <w:r>
        <w:rPr>
          <w:rFonts w:hint="eastAsia" w:ascii="宋体" w:hAnsi="宋体"/>
          <w:bCs/>
          <w:szCs w:val="21"/>
        </w:rPr>
        <w:t>4、乙方应遵循医院未来可能实施的由第三方负责的医用设备维修维保整体管理要求，严格配合医院医用设备维修维保相关制度，包括但不限于合同义务的变更。</w:t>
      </w:r>
    </w:p>
    <w:p w14:paraId="77733A75">
      <w:pPr>
        <w:pStyle w:val="16"/>
        <w:spacing w:after="0" w:line="460" w:lineRule="exact"/>
        <w:ind w:left="4" w:firstLine="280"/>
        <w:rPr>
          <w:rFonts w:ascii="宋体" w:hAnsi="宋体"/>
          <w:bCs/>
          <w:szCs w:val="21"/>
        </w:rPr>
      </w:pPr>
      <w:r>
        <w:rPr>
          <w:rFonts w:ascii="宋体" w:hAnsi="宋体"/>
          <w:bCs/>
          <w:szCs w:val="21"/>
        </w:rPr>
        <w:t>5</w:t>
      </w:r>
      <w:r>
        <w:rPr>
          <w:rFonts w:hint="eastAsia" w:ascii="宋体" w:hAnsi="宋体"/>
          <w:bCs/>
          <w:szCs w:val="21"/>
        </w:rPr>
        <w:t>、本合同未尽事宜，由双方另行商定并予以书面形式进行补充或说明，补充《说明条款》与合同本体共同具有法律效力。</w:t>
      </w:r>
    </w:p>
    <w:p w14:paraId="6CCAE38B">
      <w:pPr>
        <w:pStyle w:val="16"/>
        <w:spacing w:after="0" w:line="460" w:lineRule="exact"/>
        <w:ind w:left="4" w:firstLine="280"/>
        <w:rPr>
          <w:rFonts w:ascii="宋体" w:hAnsi="宋体"/>
          <w:bCs/>
          <w:szCs w:val="21"/>
        </w:rPr>
      </w:pPr>
      <w:r>
        <w:rPr>
          <w:rFonts w:hint="eastAsia" w:ascii="宋体" w:hAnsi="宋体"/>
          <w:bCs/>
          <w:szCs w:val="21"/>
        </w:rPr>
        <w:t>7、此协议壹式 肆 份，甲方持 叁 份，乙方持 壹 份，具有同等法律效力。</w:t>
      </w:r>
    </w:p>
    <w:tbl>
      <w:tblPr>
        <w:tblStyle w:val="42"/>
        <w:tblpPr w:leftFromText="180" w:rightFromText="180" w:vertAnchor="text" w:horzAnchor="page" w:tblpX="1720" w:tblpY="75"/>
        <w:tblOverlap w:val="never"/>
        <w:tblW w:w="91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644"/>
        <w:gridCol w:w="4482"/>
      </w:tblGrid>
      <w:tr w14:paraId="6C359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644" w:type="dxa"/>
            <w:vAlign w:val="center"/>
          </w:tcPr>
          <w:p w14:paraId="7B3B55A9">
            <w:pPr>
              <w:spacing w:line="460" w:lineRule="exact"/>
              <w:ind w:right="-483" w:firstLine="480"/>
              <w:jc w:val="left"/>
              <w:rPr>
                <w:rFonts w:ascii="宋体" w:hAnsi="宋体"/>
                <w:bCs/>
                <w:szCs w:val="21"/>
              </w:rPr>
            </w:pPr>
            <w:r>
              <w:rPr>
                <w:rFonts w:hint="eastAsia" w:ascii="宋体" w:hAnsi="宋体"/>
                <w:bCs/>
                <w:szCs w:val="21"/>
              </w:rPr>
              <w:t>甲</w:t>
            </w:r>
            <w:r>
              <w:rPr>
                <w:rFonts w:hint="eastAsia" w:ascii="宋体" w:hAnsi="宋体"/>
                <w:bCs/>
                <w:szCs w:val="21"/>
              </w:rPr>
              <w:tab/>
            </w:r>
            <w:r>
              <w:rPr>
                <w:rFonts w:hint="eastAsia" w:ascii="宋体" w:hAnsi="宋体"/>
                <w:bCs/>
                <w:szCs w:val="21"/>
              </w:rPr>
              <w:t>方：中南大学湘雅三医院</w:t>
            </w:r>
          </w:p>
        </w:tc>
        <w:tc>
          <w:tcPr>
            <w:tcW w:w="4482" w:type="dxa"/>
            <w:vAlign w:val="center"/>
          </w:tcPr>
          <w:p w14:paraId="6DFDA4AA">
            <w:pPr>
              <w:spacing w:line="460" w:lineRule="exact"/>
              <w:ind w:right="-483" w:firstLine="480"/>
              <w:rPr>
                <w:rFonts w:ascii="宋体" w:hAnsi="宋体"/>
                <w:bCs/>
                <w:szCs w:val="21"/>
              </w:rPr>
            </w:pPr>
            <w:r>
              <w:rPr>
                <w:rFonts w:hint="eastAsia" w:ascii="宋体" w:hAnsi="宋体"/>
                <w:bCs/>
                <w:szCs w:val="21"/>
              </w:rPr>
              <w:t>乙方：</w:t>
            </w:r>
          </w:p>
          <w:p w14:paraId="4E694311">
            <w:pPr>
              <w:spacing w:line="460" w:lineRule="exact"/>
              <w:ind w:right="-483" w:firstLine="480"/>
              <w:rPr>
                <w:rFonts w:ascii="宋体" w:hAnsi="宋体"/>
                <w:bCs/>
                <w:szCs w:val="21"/>
              </w:rPr>
            </w:pPr>
          </w:p>
        </w:tc>
      </w:tr>
      <w:tr w14:paraId="42673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644" w:type="dxa"/>
            <w:vAlign w:val="center"/>
          </w:tcPr>
          <w:p w14:paraId="6A4336F1">
            <w:pPr>
              <w:spacing w:line="460" w:lineRule="exact"/>
              <w:ind w:right="-483" w:firstLine="480"/>
              <w:rPr>
                <w:rFonts w:ascii="宋体" w:hAnsi="宋体"/>
                <w:bCs/>
                <w:szCs w:val="21"/>
              </w:rPr>
            </w:pPr>
            <w:r>
              <w:rPr>
                <w:rFonts w:hint="eastAsia" w:ascii="宋体" w:hAnsi="宋体"/>
                <w:bCs/>
                <w:szCs w:val="21"/>
              </w:rPr>
              <w:t>（盖章）</w:t>
            </w:r>
          </w:p>
        </w:tc>
        <w:tc>
          <w:tcPr>
            <w:tcW w:w="4482" w:type="dxa"/>
            <w:vAlign w:val="center"/>
          </w:tcPr>
          <w:p w14:paraId="50932D29">
            <w:pPr>
              <w:spacing w:line="460" w:lineRule="exact"/>
              <w:ind w:right="-483" w:firstLine="480"/>
              <w:rPr>
                <w:rFonts w:ascii="宋体" w:hAnsi="宋体"/>
                <w:bCs/>
                <w:szCs w:val="21"/>
              </w:rPr>
            </w:pPr>
            <w:r>
              <w:rPr>
                <w:rFonts w:hint="eastAsia" w:ascii="宋体" w:hAnsi="宋体"/>
                <w:bCs/>
                <w:szCs w:val="21"/>
              </w:rPr>
              <w:t>（盖章）</w:t>
            </w:r>
          </w:p>
        </w:tc>
      </w:tr>
      <w:tr w14:paraId="7E77A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644" w:type="dxa"/>
            <w:vAlign w:val="center"/>
          </w:tcPr>
          <w:p w14:paraId="12A02C05">
            <w:pPr>
              <w:spacing w:line="460" w:lineRule="exact"/>
              <w:ind w:right="-483" w:firstLine="480"/>
              <w:rPr>
                <w:rFonts w:ascii="宋体" w:hAnsi="宋体"/>
                <w:bCs/>
                <w:szCs w:val="21"/>
              </w:rPr>
            </w:pPr>
            <w:r>
              <w:rPr>
                <w:rFonts w:hint="eastAsia" w:ascii="宋体" w:hAnsi="宋体"/>
                <w:bCs/>
                <w:szCs w:val="21"/>
              </w:rPr>
              <w:t>授权代表（签名）：</w:t>
            </w:r>
          </w:p>
        </w:tc>
        <w:tc>
          <w:tcPr>
            <w:tcW w:w="4482" w:type="dxa"/>
            <w:vAlign w:val="center"/>
          </w:tcPr>
          <w:p w14:paraId="5108B0D8">
            <w:pPr>
              <w:spacing w:line="460" w:lineRule="exact"/>
              <w:ind w:right="-483" w:firstLine="480"/>
              <w:rPr>
                <w:rFonts w:ascii="宋体" w:hAnsi="宋体"/>
                <w:bCs/>
                <w:szCs w:val="21"/>
              </w:rPr>
            </w:pPr>
            <w:r>
              <w:rPr>
                <w:rFonts w:hint="eastAsia" w:ascii="宋体" w:hAnsi="宋体"/>
                <w:bCs/>
                <w:szCs w:val="21"/>
              </w:rPr>
              <w:t>授权代表（签名）：</w:t>
            </w:r>
          </w:p>
        </w:tc>
      </w:tr>
      <w:tr w14:paraId="3B2A6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644" w:type="dxa"/>
            <w:vAlign w:val="center"/>
          </w:tcPr>
          <w:p w14:paraId="105E9BBB">
            <w:pPr>
              <w:spacing w:line="460" w:lineRule="exact"/>
              <w:ind w:right="-483" w:firstLine="480"/>
              <w:rPr>
                <w:rFonts w:ascii="宋体" w:hAnsi="宋体"/>
                <w:bCs/>
                <w:szCs w:val="21"/>
              </w:rPr>
            </w:pPr>
            <w:r>
              <w:rPr>
                <w:rFonts w:hint="eastAsia" w:ascii="宋体" w:hAnsi="宋体"/>
                <w:bCs/>
                <w:szCs w:val="21"/>
              </w:rPr>
              <w:t>或</w:t>
            </w:r>
          </w:p>
        </w:tc>
        <w:tc>
          <w:tcPr>
            <w:tcW w:w="4482" w:type="dxa"/>
            <w:vAlign w:val="center"/>
          </w:tcPr>
          <w:p w14:paraId="446FCC08">
            <w:pPr>
              <w:spacing w:line="460" w:lineRule="exact"/>
              <w:ind w:right="-483" w:firstLine="480"/>
              <w:rPr>
                <w:rFonts w:ascii="宋体" w:hAnsi="宋体"/>
                <w:bCs/>
                <w:szCs w:val="21"/>
              </w:rPr>
            </w:pPr>
            <w:r>
              <w:rPr>
                <w:rFonts w:hint="eastAsia" w:ascii="宋体" w:hAnsi="宋体"/>
                <w:bCs/>
                <w:szCs w:val="21"/>
              </w:rPr>
              <w:t>或</w:t>
            </w:r>
          </w:p>
        </w:tc>
      </w:tr>
      <w:tr w14:paraId="01F6B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644" w:type="dxa"/>
            <w:vAlign w:val="center"/>
          </w:tcPr>
          <w:p w14:paraId="1FBD025D">
            <w:pPr>
              <w:spacing w:line="460" w:lineRule="exact"/>
              <w:ind w:right="-483" w:firstLine="480"/>
              <w:rPr>
                <w:rFonts w:ascii="宋体" w:hAnsi="宋体"/>
                <w:bCs/>
                <w:szCs w:val="21"/>
              </w:rPr>
            </w:pPr>
            <w:r>
              <w:rPr>
                <w:rFonts w:hint="eastAsia" w:ascii="宋体" w:hAnsi="宋体"/>
                <w:bCs/>
                <w:szCs w:val="21"/>
              </w:rPr>
              <w:t>法定代表人（签名）：</w:t>
            </w:r>
          </w:p>
        </w:tc>
        <w:tc>
          <w:tcPr>
            <w:tcW w:w="4482" w:type="dxa"/>
            <w:vAlign w:val="center"/>
          </w:tcPr>
          <w:p w14:paraId="3B6FAAE3">
            <w:pPr>
              <w:spacing w:line="460" w:lineRule="exact"/>
              <w:ind w:right="-483" w:firstLine="480"/>
              <w:rPr>
                <w:rFonts w:ascii="宋体" w:hAnsi="宋体"/>
                <w:bCs/>
                <w:szCs w:val="21"/>
              </w:rPr>
            </w:pPr>
            <w:r>
              <w:rPr>
                <w:rFonts w:hint="eastAsia" w:ascii="宋体" w:hAnsi="宋体"/>
                <w:bCs/>
                <w:szCs w:val="21"/>
              </w:rPr>
              <w:t>法定代表人（签名）：</w:t>
            </w:r>
          </w:p>
        </w:tc>
      </w:tr>
      <w:tr w14:paraId="72694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4644" w:type="dxa"/>
            <w:vAlign w:val="center"/>
          </w:tcPr>
          <w:p w14:paraId="4BD7FE60">
            <w:pPr>
              <w:spacing w:line="460" w:lineRule="exact"/>
              <w:ind w:right="-483" w:firstLine="480"/>
              <w:rPr>
                <w:rFonts w:ascii="宋体" w:hAnsi="宋体"/>
                <w:bCs/>
                <w:szCs w:val="21"/>
              </w:rPr>
            </w:pPr>
            <w:r>
              <w:rPr>
                <w:rFonts w:hint="eastAsia" w:ascii="宋体" w:hAnsi="宋体"/>
                <w:bCs/>
                <w:szCs w:val="21"/>
              </w:rPr>
              <w:t>日期：       年     月     日</w:t>
            </w:r>
          </w:p>
        </w:tc>
        <w:tc>
          <w:tcPr>
            <w:tcW w:w="4482" w:type="dxa"/>
            <w:vAlign w:val="center"/>
          </w:tcPr>
          <w:p w14:paraId="1C1A4E47">
            <w:pPr>
              <w:spacing w:line="460" w:lineRule="exact"/>
              <w:ind w:right="-483" w:firstLine="480"/>
              <w:rPr>
                <w:rFonts w:ascii="宋体" w:hAnsi="宋体"/>
                <w:bCs/>
                <w:szCs w:val="21"/>
              </w:rPr>
            </w:pPr>
            <w:r>
              <w:rPr>
                <w:rFonts w:hint="eastAsia" w:ascii="宋体" w:hAnsi="宋体"/>
                <w:bCs/>
                <w:szCs w:val="21"/>
              </w:rPr>
              <w:t>日期：       年     月     日</w:t>
            </w:r>
          </w:p>
        </w:tc>
      </w:tr>
    </w:tbl>
    <w:p w14:paraId="71B605CD">
      <w:pPr>
        <w:spacing w:line="420" w:lineRule="exact"/>
        <w:ind w:firstLine="565" w:firstLineChars="202"/>
      </w:pPr>
      <w:r>
        <w:rPr>
          <w:rFonts w:hint="eastAsia" w:ascii="Songti SC" w:hAnsi="Songti SC" w:eastAsia="Songti SC" w:cs="楷体_GB2312"/>
          <w:sz w:val="28"/>
          <w:szCs w:val="28"/>
        </w:rPr>
        <w:br w:type="page"/>
      </w:r>
    </w:p>
    <w:p w14:paraId="401CBD27">
      <w:pPr>
        <w:pStyle w:val="51"/>
        <w:spacing w:before="156"/>
        <w:sectPr>
          <w:pgSz w:w="11906" w:h="16838"/>
          <w:pgMar w:top="1418" w:right="1418" w:bottom="1418" w:left="1418" w:header="851" w:footer="992" w:gutter="0"/>
          <w:pgNumType w:fmt="numberInDash"/>
          <w:cols w:space="720" w:num="1"/>
          <w:docGrid w:type="lines" w:linePitch="312" w:charSpace="0"/>
        </w:sectPr>
      </w:pPr>
    </w:p>
    <w:p w14:paraId="2DFA122F">
      <w:pPr>
        <w:pStyle w:val="2"/>
      </w:pPr>
      <w:bookmarkStart w:id="161" w:name="_Toc7773"/>
      <w:r>
        <w:rPr>
          <w:rFonts w:hint="eastAsia"/>
        </w:rPr>
        <w:t>第七章 投标文件的组成</w:t>
      </w:r>
      <w:bookmarkEnd w:id="161"/>
    </w:p>
    <w:p w14:paraId="75E5EBAC">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第一部分  资格证明文件</w:t>
      </w:r>
    </w:p>
    <w:p w14:paraId="0C09678F">
      <w:pPr>
        <w:adjustRightInd w:val="0"/>
        <w:snapToGrid w:val="0"/>
        <w:spacing w:line="440" w:lineRule="exact"/>
        <w:ind w:firstLine="1266" w:firstLineChars="603"/>
        <w:rPr>
          <w:rFonts w:ascii="宋体" w:hAnsi="宋体"/>
          <w:szCs w:val="21"/>
          <w:highlight w:val="white"/>
        </w:rPr>
      </w:pPr>
      <w:r>
        <w:rPr>
          <w:rFonts w:hint="eastAsia" w:ascii="宋体" w:hAnsi="宋体" w:cs="宋体"/>
          <w:kern w:val="0"/>
          <w:highlight w:val="white"/>
        </w:rPr>
        <w:t>资格证明文件封面</w:t>
      </w:r>
    </w:p>
    <w:p w14:paraId="6220838C">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一、投标人具备投标资格的证明文件</w:t>
      </w:r>
    </w:p>
    <w:p w14:paraId="1B996DFD">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附件1 授权委托书</w:t>
      </w:r>
    </w:p>
    <w:p w14:paraId="580542D4">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附件2 投标人基本情况</w:t>
      </w:r>
    </w:p>
    <w:p w14:paraId="1EB3CC7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附件3 投标人资格声明</w:t>
      </w:r>
    </w:p>
    <w:p w14:paraId="335B6B3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附件4 联合体协议</w:t>
      </w:r>
    </w:p>
    <w:p w14:paraId="06EBC6C7">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附件5 投标保证金</w:t>
      </w:r>
    </w:p>
    <w:p w14:paraId="4D037497">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第二部分  商务文件</w:t>
      </w:r>
    </w:p>
    <w:p w14:paraId="47174DBA">
      <w:pPr>
        <w:adjustRightInd w:val="0"/>
        <w:snapToGrid w:val="0"/>
        <w:spacing w:line="440" w:lineRule="exact"/>
        <w:ind w:firstLine="1262" w:firstLineChars="601"/>
        <w:rPr>
          <w:rFonts w:ascii="宋体" w:hAnsi="宋体" w:cs="宋体"/>
          <w:kern w:val="0"/>
          <w:highlight w:val="white"/>
        </w:rPr>
      </w:pPr>
      <w:r>
        <w:rPr>
          <w:rFonts w:hint="eastAsia" w:ascii="宋体" w:hAnsi="宋体" w:cs="宋体"/>
          <w:kern w:val="0"/>
          <w:highlight w:val="white"/>
        </w:rPr>
        <w:t>商务文件封面</w:t>
      </w:r>
    </w:p>
    <w:p w14:paraId="2C7B7E47">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二、投标函</w:t>
      </w:r>
    </w:p>
    <w:p w14:paraId="04615EF2">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三、开标一览表</w:t>
      </w:r>
    </w:p>
    <w:p w14:paraId="1D559ED9">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四、分项报价明细表</w:t>
      </w:r>
    </w:p>
    <w:p w14:paraId="201DD3E8">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五、政策优惠证明材料</w:t>
      </w:r>
    </w:p>
    <w:p w14:paraId="1063381D">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第三部分  技术部分</w:t>
      </w:r>
    </w:p>
    <w:p w14:paraId="07FA7D3D">
      <w:pPr>
        <w:adjustRightInd w:val="0"/>
        <w:snapToGrid w:val="0"/>
        <w:spacing w:line="440" w:lineRule="exact"/>
        <w:ind w:firstLine="1262" w:firstLineChars="601"/>
        <w:rPr>
          <w:rFonts w:ascii="宋体" w:hAnsi="宋体" w:cs="宋体"/>
          <w:kern w:val="0"/>
          <w:highlight w:val="white"/>
        </w:rPr>
      </w:pPr>
      <w:r>
        <w:rPr>
          <w:rFonts w:hint="eastAsia" w:ascii="宋体" w:hAnsi="宋体" w:cs="宋体"/>
          <w:kern w:val="0"/>
          <w:highlight w:val="white"/>
        </w:rPr>
        <w:t>技术文件封面</w:t>
      </w:r>
    </w:p>
    <w:p w14:paraId="0E870F7C">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六、服务方案说明</w:t>
      </w:r>
    </w:p>
    <w:p w14:paraId="40219680">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七、主要人员简历表</w:t>
      </w:r>
    </w:p>
    <w:p w14:paraId="430AEA86">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八、拟投入本项目的工作人员配置一览表</w:t>
      </w:r>
    </w:p>
    <w:p w14:paraId="28C315CE">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九、采购需求响应（一）</w:t>
      </w:r>
    </w:p>
    <w:p w14:paraId="72F0A8E9">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十、采购需求响应（二）</w:t>
      </w:r>
    </w:p>
    <w:p w14:paraId="7AB28367">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十一、按招标文件的技术★条款的要求提供相关响应资料</w:t>
      </w:r>
    </w:p>
    <w:p w14:paraId="6754B41A">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十二、采购需求偏离表</w:t>
      </w:r>
    </w:p>
    <w:p w14:paraId="670827A8">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十三、供应商需提供的其他资料</w:t>
      </w:r>
    </w:p>
    <w:p w14:paraId="002399B4">
      <w:pPr>
        <w:adjustRightInd w:val="0"/>
        <w:snapToGrid w:val="0"/>
        <w:spacing w:line="440" w:lineRule="exact"/>
        <w:ind w:firstLine="850" w:firstLineChars="405"/>
        <w:rPr>
          <w:rFonts w:ascii="宋体" w:hAnsi="宋体" w:cs="宋体"/>
          <w:kern w:val="0"/>
          <w:highlight w:val="white"/>
        </w:rPr>
        <w:sectPr>
          <w:pgSz w:w="11906" w:h="16838"/>
          <w:pgMar w:top="1418" w:right="1418" w:bottom="1418" w:left="1418" w:header="851" w:footer="992" w:gutter="0"/>
          <w:pgNumType w:fmt="numberInDash"/>
          <w:cols w:space="720" w:num="1"/>
          <w:docGrid w:type="lines" w:linePitch="312" w:charSpace="0"/>
        </w:sectPr>
      </w:pPr>
    </w:p>
    <w:p w14:paraId="1B83A766">
      <w:pPr>
        <w:adjustRightInd w:val="0"/>
        <w:snapToGrid w:val="0"/>
        <w:spacing w:line="360" w:lineRule="auto"/>
        <w:jc w:val="center"/>
        <w:rPr>
          <w:rFonts w:ascii="黑体" w:eastAsia="黑体"/>
          <w:color w:val="000000"/>
          <w:sz w:val="32"/>
          <w:szCs w:val="32"/>
        </w:rPr>
      </w:pPr>
    </w:p>
    <w:p w14:paraId="158656B9">
      <w:pPr>
        <w:adjustRightInd w:val="0"/>
        <w:snapToGrid w:val="0"/>
        <w:spacing w:line="360" w:lineRule="auto"/>
        <w:jc w:val="center"/>
        <w:rPr>
          <w:rFonts w:ascii="黑体" w:eastAsia="黑体"/>
          <w:color w:val="000000"/>
          <w:sz w:val="32"/>
          <w:szCs w:val="32"/>
        </w:rPr>
      </w:pPr>
    </w:p>
    <w:p w14:paraId="7BBBBF8B">
      <w:pPr>
        <w:pStyle w:val="21"/>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4F82784D">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53D4A7DC">
      <w:pPr>
        <w:adjustRightInd w:val="0"/>
        <w:snapToGrid w:val="0"/>
        <w:spacing w:line="360" w:lineRule="auto"/>
        <w:ind w:left="3124" w:hanging="2274"/>
        <w:rPr>
          <w:rFonts w:asciiTheme="minorEastAsia" w:hAnsiTheme="minorEastAsia" w:eastAsiaTheme="minorEastAsia"/>
          <w:b/>
          <w:color w:val="000000"/>
          <w:sz w:val="32"/>
          <w:szCs w:val="32"/>
        </w:rPr>
      </w:pPr>
    </w:p>
    <w:p w14:paraId="0B00A839">
      <w:pPr>
        <w:adjustRightInd w:val="0"/>
        <w:snapToGrid w:val="0"/>
        <w:spacing w:line="360" w:lineRule="auto"/>
        <w:ind w:left="2982" w:hanging="2132"/>
        <w:rPr>
          <w:rFonts w:asciiTheme="minorEastAsia" w:hAnsiTheme="minorEastAsia" w:eastAsiaTheme="minorEastAsia"/>
          <w:b/>
          <w:color w:val="000000"/>
          <w:sz w:val="30"/>
          <w:szCs w:val="30"/>
        </w:rPr>
      </w:pPr>
    </w:p>
    <w:p w14:paraId="267C1159">
      <w:pPr>
        <w:pStyle w:val="51"/>
        <w:spacing w:before="156"/>
      </w:pPr>
    </w:p>
    <w:p w14:paraId="71DDA879">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采购项目名称：___________________</w:t>
      </w:r>
    </w:p>
    <w:p w14:paraId="4855C554">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   购   人：___________________</w:t>
      </w:r>
    </w:p>
    <w:p w14:paraId="7E8FA2AA">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采购代理编号：___________________</w:t>
      </w:r>
    </w:p>
    <w:p w14:paraId="3A827EDE">
      <w:pPr>
        <w:pStyle w:val="21"/>
        <w:adjustRightInd w:val="0"/>
        <w:snapToGrid w:val="0"/>
        <w:spacing w:line="360" w:lineRule="auto"/>
        <w:ind w:left="2" w:firstLine="704" w:firstLineChars="220"/>
        <w:jc w:val="left"/>
        <w:rPr>
          <w:rFonts w:ascii="黑体" w:hAnsi="黑体" w:eastAsia="黑体" w:cs="Times New Roman"/>
          <w:bCs/>
          <w:color w:val="000000"/>
          <w:sz w:val="36"/>
          <w:szCs w:val="36"/>
        </w:rPr>
      </w:pPr>
      <w:r>
        <w:rPr>
          <w:rFonts w:hint="eastAsia" w:ascii="黑体" w:hAnsi="黑体" w:eastAsia="黑体" w:cs="Times New Roman"/>
          <w:bCs/>
          <w:color w:val="000000"/>
          <w:sz w:val="32"/>
          <w:szCs w:val="32"/>
        </w:rPr>
        <w:t>采购代理机构：___________________</w:t>
      </w:r>
    </w:p>
    <w:p w14:paraId="5095CC4D">
      <w:pPr>
        <w:adjustRightInd w:val="0"/>
        <w:snapToGrid w:val="0"/>
        <w:ind w:left="2974" w:hanging="2124"/>
        <w:rPr>
          <w:rFonts w:ascii="黑体" w:hAnsi="宋体" w:eastAsia="黑体"/>
          <w:color w:val="000000"/>
          <w:sz w:val="30"/>
          <w:szCs w:val="30"/>
        </w:rPr>
      </w:pPr>
    </w:p>
    <w:p w14:paraId="712C09F3">
      <w:pPr>
        <w:pStyle w:val="51"/>
        <w:spacing w:before="156"/>
      </w:pPr>
    </w:p>
    <w:p w14:paraId="403E61B7">
      <w:pPr>
        <w:adjustRightInd w:val="0"/>
        <w:snapToGrid w:val="0"/>
        <w:spacing w:line="360" w:lineRule="auto"/>
        <w:ind w:left="2974" w:hanging="2124"/>
        <w:rPr>
          <w:rFonts w:ascii="黑体" w:hAnsi="宋体" w:eastAsia="黑体"/>
          <w:color w:val="000000"/>
          <w:sz w:val="30"/>
          <w:szCs w:val="30"/>
        </w:rPr>
      </w:pPr>
    </w:p>
    <w:p w14:paraId="39B7672D">
      <w:pPr>
        <w:adjustRightInd w:val="0"/>
        <w:snapToGrid w:val="0"/>
        <w:spacing w:line="360" w:lineRule="auto"/>
        <w:ind w:left="2974" w:hanging="2124"/>
        <w:rPr>
          <w:rFonts w:ascii="黑体" w:hAnsi="宋体" w:eastAsia="黑体"/>
          <w:color w:val="000000"/>
          <w:sz w:val="30"/>
          <w:szCs w:val="30"/>
        </w:rPr>
      </w:pPr>
    </w:p>
    <w:p w14:paraId="1BEE969D">
      <w:pPr>
        <w:adjustRightInd w:val="0"/>
        <w:snapToGrid w:val="0"/>
        <w:spacing w:line="360" w:lineRule="auto"/>
        <w:ind w:left="2" w:firstLine="1840" w:firstLineChars="575"/>
        <w:jc w:val="left"/>
        <w:rPr>
          <w:rFonts w:ascii="黑体" w:hAnsi="黑体" w:eastAsia="黑体"/>
          <w:bCs/>
          <w:color w:val="000000"/>
          <w:sz w:val="28"/>
          <w:szCs w:val="28"/>
        </w:rPr>
      </w:pPr>
      <w:r>
        <w:rPr>
          <w:rFonts w:hint="eastAsia" w:ascii="黑体" w:hAnsi="宋体" w:eastAsia="黑体"/>
          <w:color w:val="000000"/>
          <w:sz w:val="32"/>
          <w:szCs w:val="32"/>
        </w:rPr>
        <w:t>投标人名称：</w:t>
      </w:r>
      <w:r>
        <w:rPr>
          <w:rFonts w:hint="eastAsia" w:ascii="黑体" w:hAnsi="黑体" w:eastAsia="黑体"/>
          <w:bCs/>
          <w:color w:val="000000"/>
          <w:sz w:val="28"/>
          <w:szCs w:val="28"/>
        </w:rPr>
        <w:t xml:space="preserve"> ___________________（盖章）</w:t>
      </w:r>
    </w:p>
    <w:p w14:paraId="44E560AB">
      <w:pPr>
        <w:adjustRightInd w:val="0"/>
        <w:snapToGrid w:val="0"/>
        <w:spacing w:line="360" w:lineRule="auto"/>
        <w:ind w:left="2" w:firstLine="1840" w:firstLineChars="575"/>
        <w:jc w:val="left"/>
        <w:rPr>
          <w:rFonts w:ascii="黑体" w:hAnsi="黑体" w:eastAsia="黑体"/>
          <w:bCs/>
          <w:color w:val="000000"/>
          <w:sz w:val="28"/>
          <w:szCs w:val="28"/>
        </w:rPr>
      </w:pPr>
      <w:r>
        <w:rPr>
          <w:rFonts w:hint="eastAsia" w:ascii="黑体" w:hAnsi="宋体" w:eastAsia="黑体"/>
          <w:color w:val="000000"/>
          <w:sz w:val="32"/>
          <w:szCs w:val="32"/>
        </w:rPr>
        <w:t>授权</w:t>
      </w:r>
      <w:r>
        <w:rPr>
          <w:rFonts w:hint="eastAsia" w:ascii="黑体" w:hAnsi="黑体" w:eastAsia="黑体"/>
          <w:bCs/>
          <w:color w:val="000000"/>
          <w:sz w:val="28"/>
          <w:szCs w:val="28"/>
        </w:rPr>
        <w:t>代表：_________________________</w:t>
      </w:r>
    </w:p>
    <w:p w14:paraId="1D2EA9B6">
      <w:pPr>
        <w:adjustRightInd w:val="0"/>
        <w:snapToGrid w:val="0"/>
        <w:spacing w:line="360" w:lineRule="auto"/>
        <w:ind w:left="2" w:firstLine="1840" w:firstLineChars="575"/>
        <w:jc w:val="left"/>
        <w:rPr>
          <w:rFonts w:ascii="黑体" w:hAnsi="宋体" w:eastAsia="黑体"/>
          <w:color w:val="000000"/>
          <w:sz w:val="32"/>
          <w:szCs w:val="32"/>
          <w:u w:val="single"/>
        </w:rPr>
      </w:pPr>
      <w:r>
        <w:rPr>
          <w:rFonts w:hint="eastAsia" w:ascii="黑体" w:hAnsi="宋体" w:eastAsia="黑体"/>
          <w:color w:val="000000"/>
          <w:sz w:val="32"/>
          <w:szCs w:val="32"/>
        </w:rPr>
        <w:t>联系</w:t>
      </w:r>
      <w:r>
        <w:rPr>
          <w:rFonts w:hint="eastAsia" w:ascii="黑体" w:hAnsi="黑体" w:eastAsia="黑体"/>
          <w:bCs/>
          <w:color w:val="000000"/>
          <w:sz w:val="28"/>
          <w:szCs w:val="28"/>
        </w:rPr>
        <w:t>电话（手机）：_______________</w:t>
      </w:r>
    </w:p>
    <w:p w14:paraId="7A0EC47B">
      <w:pPr>
        <w:adjustRightInd w:val="0"/>
        <w:snapToGrid w:val="0"/>
        <w:spacing w:line="360" w:lineRule="auto"/>
        <w:ind w:left="2"/>
        <w:jc w:val="center"/>
        <w:rPr>
          <w:rFonts w:ascii="黑体" w:hAnsi="宋体" w:eastAsia="黑体"/>
          <w:color w:val="000000"/>
          <w:sz w:val="32"/>
          <w:szCs w:val="32"/>
        </w:rPr>
        <w:sectPr>
          <w:pgSz w:w="11906" w:h="16838"/>
          <w:pgMar w:top="1418" w:right="1418" w:bottom="1418" w:left="1418" w:header="851" w:footer="851" w:gutter="0"/>
          <w:pgNumType w:fmt="numberInDash"/>
          <w:cols w:space="720" w:num="1"/>
          <w:docGrid w:type="lines" w:linePitch="312" w:charSpace="0"/>
        </w:sectPr>
      </w:pPr>
      <w:r>
        <w:rPr>
          <w:rFonts w:hint="eastAsia" w:ascii="黑体" w:hAnsi="宋体" w:eastAsia="黑体"/>
          <w:color w:val="000000"/>
          <w:sz w:val="32"/>
          <w:szCs w:val="32"/>
        </w:rPr>
        <w:t>____年__月__日</w:t>
      </w:r>
    </w:p>
    <w:p w14:paraId="2345E874">
      <w:pPr>
        <w:adjustRightInd w:val="0"/>
        <w:snapToGrid w:val="0"/>
        <w:spacing w:line="440" w:lineRule="exact"/>
        <w:jc w:val="center"/>
        <w:rPr>
          <w:rFonts w:ascii="宋体" w:hAnsi="宋体"/>
          <w:b/>
          <w:sz w:val="36"/>
          <w:szCs w:val="21"/>
          <w:highlight w:val="white"/>
        </w:rPr>
      </w:pPr>
      <w:r>
        <w:rPr>
          <w:rFonts w:hint="eastAsia" w:ascii="宋体" w:hAnsi="宋体"/>
          <w:b/>
          <w:sz w:val="36"/>
          <w:szCs w:val="21"/>
          <w:highlight w:val="white"/>
        </w:rPr>
        <w:t>目 录</w:t>
      </w:r>
    </w:p>
    <w:p w14:paraId="724A4993">
      <w:pPr>
        <w:adjustRightInd w:val="0"/>
        <w:snapToGrid w:val="0"/>
        <w:spacing w:line="420" w:lineRule="exact"/>
        <w:ind w:firstLine="141" w:firstLineChars="67"/>
        <w:rPr>
          <w:rFonts w:ascii="宋体" w:hAnsi="宋体"/>
          <w:b/>
          <w:szCs w:val="21"/>
          <w:highlight w:val="white"/>
        </w:rPr>
      </w:pPr>
      <w:r>
        <w:rPr>
          <w:rFonts w:hint="eastAsia" w:ascii="宋体" w:hAnsi="宋体"/>
          <w:b/>
          <w:szCs w:val="21"/>
          <w:highlight w:val="white"/>
        </w:rPr>
        <w:t>第一部分  资格证明文件</w:t>
      </w:r>
    </w:p>
    <w:p w14:paraId="501BEF62">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一、投标人具备投标资格的证明文件</w:t>
      </w:r>
    </w:p>
    <w:p w14:paraId="1DF9314C">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附件1 授权委托书</w:t>
      </w:r>
    </w:p>
    <w:p w14:paraId="255F4DE8">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1-1 法定代表人身份证明</w:t>
      </w:r>
    </w:p>
    <w:p w14:paraId="3FEA9F72">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附件2 投标人基本情况</w:t>
      </w:r>
    </w:p>
    <w:p w14:paraId="6DD805F7">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2-1 营业执照副本及其年检合格(自然人为投标人时，提供自然人身份证明)等证明材料的复印件</w:t>
      </w:r>
    </w:p>
    <w:p w14:paraId="7085BBAB">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附件3 投标人资格声明</w:t>
      </w:r>
    </w:p>
    <w:p w14:paraId="71AE33EB">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附件4 利益回避承诺书</w:t>
      </w:r>
    </w:p>
    <w:p w14:paraId="55B23776">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附件5 投标保证金</w:t>
      </w:r>
    </w:p>
    <w:p w14:paraId="76BA97A1">
      <w:pPr>
        <w:adjustRightInd w:val="0"/>
        <w:snapToGrid w:val="0"/>
        <w:spacing w:line="440" w:lineRule="exact"/>
        <w:ind w:firstLine="854" w:firstLineChars="405"/>
        <w:rPr>
          <w:rFonts w:ascii="宋体" w:hAnsi="宋体"/>
          <w:b/>
          <w:szCs w:val="21"/>
          <w:highlight w:val="white"/>
        </w:rPr>
      </w:pPr>
      <w:bookmarkStart w:id="162" w:name="OLE_LINK183"/>
      <w:bookmarkStart w:id="163" w:name="OLE_LINK184"/>
      <w:r>
        <w:rPr>
          <w:rFonts w:hint="eastAsia" w:ascii="宋体" w:hAnsi="宋体"/>
          <w:b/>
          <w:szCs w:val="21"/>
          <w:highlight w:val="white"/>
        </w:rPr>
        <w:t>第二部分  商务文件</w:t>
      </w:r>
    </w:p>
    <w:p w14:paraId="7F940563">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二、投标函</w:t>
      </w:r>
    </w:p>
    <w:p w14:paraId="5810A9E3">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三、开标一览表</w:t>
      </w:r>
    </w:p>
    <w:p w14:paraId="61F93A21">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四、分项报价明细表</w:t>
      </w:r>
    </w:p>
    <w:p w14:paraId="78D9BD1F">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五、政策优惠证明材料</w:t>
      </w:r>
    </w:p>
    <w:p w14:paraId="7E922257">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第三部分  技术部分</w:t>
      </w:r>
    </w:p>
    <w:p w14:paraId="3A3A740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六、服务方案说明</w:t>
      </w:r>
    </w:p>
    <w:p w14:paraId="59034046">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七、主要人员简历表</w:t>
      </w:r>
    </w:p>
    <w:p w14:paraId="17ACFCD3">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八、拟投入本项目的工作人员配置一览表</w:t>
      </w:r>
    </w:p>
    <w:p w14:paraId="6391D58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九、技术采购需求响应（一）</w:t>
      </w:r>
    </w:p>
    <w:p w14:paraId="3B6D6ACD">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十、技术采购需求响应（二）</w:t>
      </w:r>
    </w:p>
    <w:p w14:paraId="77791401">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十一、按招标文件的技术★条款的要求提供相关响应资料</w:t>
      </w:r>
    </w:p>
    <w:p w14:paraId="0C6F49C1">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十二、技术偏离表</w:t>
      </w:r>
    </w:p>
    <w:p w14:paraId="506CAB93">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十三、供应商需提供的其他资料</w:t>
      </w:r>
    </w:p>
    <w:p w14:paraId="15406F3E">
      <w:pPr>
        <w:pStyle w:val="51"/>
        <w:spacing w:before="156"/>
        <w:rPr>
          <w:highlight w:val="white"/>
        </w:rPr>
      </w:pPr>
      <w:r>
        <w:rPr>
          <w:rFonts w:hint="eastAsia"/>
          <w:highlight w:val="white"/>
        </w:rPr>
        <w:t>备注：投标人编制投标文件时，应编制目录、页码，便于评审。</w:t>
      </w:r>
    </w:p>
    <w:bookmarkEnd w:id="162"/>
    <w:bookmarkEnd w:id="163"/>
    <w:p w14:paraId="6984233B">
      <w:pPr>
        <w:adjustRightInd w:val="0"/>
        <w:snapToGrid w:val="0"/>
        <w:spacing w:line="440" w:lineRule="exact"/>
        <w:ind w:left="1134" w:leftChars="540"/>
        <w:rPr>
          <w:rFonts w:ascii="宋体" w:hAnsi="宋体"/>
          <w:b/>
          <w:szCs w:val="21"/>
          <w:highlight w:val="white"/>
        </w:rPr>
        <w:sectPr>
          <w:pgSz w:w="11906" w:h="16838"/>
          <w:pgMar w:top="1304" w:right="1418" w:bottom="1021" w:left="1418" w:header="680" w:footer="680" w:gutter="0"/>
          <w:pgNumType w:fmt="numberInDash"/>
          <w:cols w:space="720" w:num="1"/>
          <w:docGrid w:type="lines" w:linePitch="312" w:charSpace="0"/>
        </w:sectPr>
      </w:pPr>
    </w:p>
    <w:p w14:paraId="20DD589D">
      <w:pPr>
        <w:pStyle w:val="21"/>
        <w:adjustRightInd w:val="0"/>
        <w:snapToGrid w:val="0"/>
        <w:spacing w:line="360" w:lineRule="auto"/>
        <w:jc w:val="center"/>
        <w:rPr>
          <w:rFonts w:ascii="黑体" w:hAnsi="华文中宋" w:eastAsia="黑体"/>
          <w:sz w:val="52"/>
          <w:szCs w:val="52"/>
        </w:rPr>
      </w:pPr>
    </w:p>
    <w:p w14:paraId="1790A64F">
      <w:pPr>
        <w:pStyle w:val="21"/>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56524B80">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117F392B">
      <w:pPr>
        <w:pStyle w:val="51"/>
        <w:spacing w:before="156"/>
      </w:pPr>
    </w:p>
    <w:p w14:paraId="158D2A0F">
      <w:pPr>
        <w:adjustRightInd w:val="0"/>
        <w:snapToGrid w:val="0"/>
        <w:spacing w:line="360" w:lineRule="auto"/>
        <w:jc w:val="center"/>
        <w:rPr>
          <w:rFonts w:asciiTheme="minorEastAsia" w:hAnsiTheme="minorEastAsia" w:eastAsiaTheme="minorEastAsia"/>
          <w:b/>
          <w:color w:val="000000"/>
          <w:sz w:val="32"/>
          <w:szCs w:val="32"/>
        </w:rPr>
      </w:pPr>
      <w:r>
        <w:rPr>
          <w:rFonts w:hint="eastAsia" w:ascii="黑体" w:hAnsi="黑体" w:eastAsia="黑体"/>
          <w:b/>
          <w:bCs/>
          <w:color w:val="000000"/>
          <w:sz w:val="44"/>
          <w:szCs w:val="44"/>
        </w:rPr>
        <w:t>第一部分 资格证明文件</w:t>
      </w:r>
    </w:p>
    <w:p w14:paraId="71429F8D">
      <w:pPr>
        <w:adjustRightInd w:val="0"/>
        <w:snapToGrid w:val="0"/>
        <w:spacing w:line="360" w:lineRule="auto"/>
        <w:ind w:left="2982" w:hanging="2132"/>
        <w:rPr>
          <w:rFonts w:asciiTheme="minorEastAsia" w:hAnsiTheme="minorEastAsia" w:eastAsiaTheme="minorEastAsia"/>
          <w:b/>
          <w:color w:val="000000"/>
          <w:sz w:val="30"/>
          <w:szCs w:val="30"/>
        </w:rPr>
      </w:pPr>
    </w:p>
    <w:p w14:paraId="75B2CF76">
      <w:pPr>
        <w:pStyle w:val="51"/>
        <w:spacing w:before="156"/>
      </w:pPr>
    </w:p>
    <w:p w14:paraId="193360EE">
      <w:pPr>
        <w:pStyle w:val="51"/>
        <w:spacing w:before="156"/>
      </w:pPr>
    </w:p>
    <w:p w14:paraId="268F7621">
      <w:pPr>
        <w:pStyle w:val="51"/>
        <w:spacing w:before="156"/>
      </w:pPr>
    </w:p>
    <w:p w14:paraId="42D85168">
      <w:pPr>
        <w:pStyle w:val="51"/>
        <w:spacing w:before="156"/>
      </w:pPr>
    </w:p>
    <w:p w14:paraId="3D4A6CD9">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采购项目名称：___________________</w:t>
      </w:r>
    </w:p>
    <w:p w14:paraId="2E8C4B36">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   购   人：___________________</w:t>
      </w:r>
    </w:p>
    <w:p w14:paraId="7EA02F5A">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采购代理编号：___________________</w:t>
      </w:r>
    </w:p>
    <w:p w14:paraId="4828C18C">
      <w:pPr>
        <w:pStyle w:val="21"/>
        <w:adjustRightInd w:val="0"/>
        <w:snapToGrid w:val="0"/>
        <w:spacing w:line="360" w:lineRule="auto"/>
        <w:ind w:left="2" w:firstLine="704" w:firstLineChars="220"/>
        <w:jc w:val="left"/>
        <w:rPr>
          <w:rFonts w:ascii="黑体" w:hAnsi="黑体" w:eastAsia="黑体" w:cs="Times New Roman"/>
          <w:bCs/>
          <w:color w:val="000000"/>
          <w:sz w:val="36"/>
          <w:szCs w:val="36"/>
        </w:rPr>
      </w:pPr>
      <w:r>
        <w:rPr>
          <w:rFonts w:hint="eastAsia" w:ascii="黑体" w:hAnsi="黑体" w:eastAsia="黑体" w:cs="Times New Roman"/>
          <w:bCs/>
          <w:color w:val="000000"/>
          <w:sz w:val="32"/>
          <w:szCs w:val="32"/>
        </w:rPr>
        <w:t>采购代理机构：___________________</w:t>
      </w:r>
    </w:p>
    <w:p w14:paraId="53B88A78">
      <w:pPr>
        <w:adjustRightInd w:val="0"/>
        <w:snapToGrid w:val="0"/>
        <w:ind w:left="2974" w:hanging="2124"/>
        <w:rPr>
          <w:rFonts w:ascii="黑体" w:hAnsi="宋体" w:eastAsia="黑体"/>
          <w:color w:val="000000"/>
          <w:sz w:val="30"/>
          <w:szCs w:val="30"/>
        </w:rPr>
      </w:pPr>
    </w:p>
    <w:p w14:paraId="6FCA004B">
      <w:pPr>
        <w:pStyle w:val="51"/>
        <w:spacing w:before="156"/>
      </w:pPr>
    </w:p>
    <w:p w14:paraId="67CBE73A">
      <w:pPr>
        <w:pStyle w:val="51"/>
        <w:spacing w:before="156"/>
      </w:pPr>
    </w:p>
    <w:p w14:paraId="61D1A637">
      <w:pPr>
        <w:pStyle w:val="51"/>
        <w:spacing w:before="156"/>
      </w:pPr>
    </w:p>
    <w:p w14:paraId="12F32A48">
      <w:pPr>
        <w:adjustRightInd w:val="0"/>
        <w:snapToGrid w:val="0"/>
        <w:spacing w:line="360" w:lineRule="auto"/>
        <w:ind w:left="2"/>
        <w:jc w:val="center"/>
        <w:rPr>
          <w:rFonts w:ascii="黑体" w:hAnsi="宋体" w:eastAsia="黑体"/>
          <w:color w:val="000000"/>
          <w:sz w:val="32"/>
          <w:szCs w:val="32"/>
          <w:u w:val="single"/>
        </w:rPr>
      </w:pPr>
      <w:r>
        <w:rPr>
          <w:rFonts w:hint="eastAsia" w:ascii="黑体" w:hAnsi="宋体" w:eastAsia="黑体"/>
          <w:color w:val="000000"/>
          <w:sz w:val="32"/>
          <w:szCs w:val="32"/>
        </w:rPr>
        <w:t>投标人名称：</w:t>
      </w:r>
      <w:r>
        <w:rPr>
          <w:rFonts w:hint="eastAsia" w:ascii="黑体" w:hAnsi="黑体" w:eastAsia="黑体"/>
          <w:bCs/>
          <w:color w:val="000000"/>
          <w:sz w:val="28"/>
          <w:szCs w:val="28"/>
        </w:rPr>
        <w:t xml:space="preserve"> ___________________</w:t>
      </w:r>
    </w:p>
    <w:p w14:paraId="5B01C7AC">
      <w:pPr>
        <w:pStyle w:val="136"/>
        <w:adjustRightInd w:val="0"/>
        <w:snapToGrid w:val="0"/>
        <w:spacing w:line="360" w:lineRule="auto"/>
        <w:jc w:val="center"/>
        <w:rPr>
          <w:rFonts w:ascii="黑体" w:hAnsi="黑体" w:eastAsia="黑体"/>
          <w:color w:val="000000"/>
          <w:sz w:val="24"/>
        </w:rPr>
      </w:pPr>
      <w:r>
        <w:rPr>
          <w:rFonts w:hint="eastAsia" w:ascii="黑体" w:hAnsi="宋体" w:eastAsia="黑体"/>
          <w:color w:val="000000"/>
          <w:sz w:val="32"/>
          <w:szCs w:val="32"/>
        </w:rPr>
        <w:t>____年__月__日</w:t>
      </w:r>
    </w:p>
    <w:p w14:paraId="755C5717">
      <w:pPr>
        <w:widowControl/>
        <w:spacing w:line="480" w:lineRule="auto"/>
        <w:ind w:left="850" w:firstLine="484" w:firstLineChars="202"/>
        <w:jc w:val="left"/>
        <w:rPr>
          <w:rFonts w:ascii="黑体" w:hAnsi="黑体" w:eastAsia="黑体"/>
          <w:color w:val="000000"/>
          <w:sz w:val="24"/>
        </w:rPr>
        <w:sectPr>
          <w:pgSz w:w="11906" w:h="16838"/>
          <w:pgMar w:top="1418" w:right="1418" w:bottom="1418" w:left="1418" w:header="851" w:footer="851" w:gutter="0"/>
          <w:pgNumType w:fmt="numberInDash"/>
          <w:cols w:space="720" w:num="1"/>
          <w:docGrid w:type="lines" w:linePitch="312" w:charSpace="0"/>
        </w:sectPr>
      </w:pPr>
    </w:p>
    <w:p w14:paraId="6EA3C513">
      <w:pPr>
        <w:pStyle w:val="3"/>
      </w:pPr>
      <w:bookmarkStart w:id="164" w:name="_Toc6455"/>
      <w:r>
        <w:rPr>
          <w:rFonts w:hint="eastAsia"/>
        </w:rPr>
        <w:t>一、投标人具备投标资格的证明文件</w:t>
      </w:r>
      <w:bookmarkEnd w:id="164"/>
    </w:p>
    <w:p w14:paraId="38CD5DA0"/>
    <w:p w14:paraId="00815349">
      <w:pPr>
        <w:pStyle w:val="3"/>
      </w:pPr>
      <w:bookmarkStart w:id="165" w:name="_Toc15132"/>
      <w:r>
        <w:rPr>
          <w:rFonts w:hint="eastAsia"/>
        </w:rPr>
        <w:t>附件1 授权委托书</w:t>
      </w:r>
      <w:bookmarkEnd w:id="165"/>
    </w:p>
    <w:p w14:paraId="007498B8">
      <w:pPr>
        <w:autoSpaceDE w:val="0"/>
        <w:adjustRightInd w:val="0"/>
        <w:snapToGrid w:val="0"/>
        <w:spacing w:before="156" w:beforeLines="50" w:after="156" w:afterLines="50" w:line="440" w:lineRule="exact"/>
        <w:jc w:val="center"/>
        <w:rPr>
          <w:rFonts w:ascii="宋体" w:hAnsi="宋体"/>
          <w:sz w:val="24"/>
          <w:szCs w:val="21"/>
          <w:highlight w:val="white"/>
        </w:rPr>
      </w:pPr>
      <w:r>
        <w:rPr>
          <w:rFonts w:hint="eastAsia" w:ascii="宋体" w:hAnsi="宋体"/>
          <w:sz w:val="24"/>
          <w:szCs w:val="21"/>
          <w:highlight w:val="white"/>
        </w:rPr>
        <w:t>授权委托书</w:t>
      </w:r>
    </w:p>
    <w:p w14:paraId="512739AD">
      <w:pPr>
        <w:pStyle w:val="137"/>
        <w:spacing w:line="440" w:lineRule="exact"/>
        <w:ind w:firstLine="420" w:firstLineChars="200"/>
      </w:pPr>
      <w:r>
        <w:rPr>
          <w:rFonts w:hint="eastAsia" w:ascii="宋体" w:hAnsi="宋体" w:cs="宋体"/>
          <w:szCs w:val="21"/>
        </w:rPr>
        <w:t>本人</w:t>
      </w:r>
      <w:r>
        <w:rPr>
          <w:rFonts w:hint="eastAsia" w:ascii="宋体" w:hAnsi="宋体" w:cs="宋体"/>
          <w:szCs w:val="21"/>
          <w:u w:val="single"/>
        </w:rPr>
        <w:t>         </w:t>
      </w:r>
      <w:r>
        <w:rPr>
          <w:rFonts w:hint="eastAsia" w:ascii="宋体" w:hAnsi="宋体" w:cs="宋体"/>
          <w:szCs w:val="21"/>
        </w:rPr>
        <w:t xml:space="preserve"> （姓名、职务）系_______________  （供应商名称）的法定代表人，现授权</w:t>
      </w:r>
      <w:r>
        <w:rPr>
          <w:rFonts w:hint="eastAsia" w:ascii="宋体" w:hAnsi="宋体" w:cs="宋体"/>
          <w:szCs w:val="21"/>
          <w:u w:val="single"/>
        </w:rPr>
        <w:t>         </w:t>
      </w:r>
      <w:r>
        <w:rPr>
          <w:rFonts w:hint="eastAsia" w:ascii="宋体" w:hAnsi="宋体" w:cs="宋体"/>
          <w:szCs w:val="21"/>
        </w:rPr>
        <w:t xml:space="preserve"> （姓名、职务）为我方代理人。代理人根据授权，以我方名义签署、澄清、补正、修改、撤回、提交_______________ （项目名称、采购代理机构编号）资格审查文件和投标文件，签订合同和处理有关事宜，其法律后果由我方承担。</w:t>
      </w:r>
    </w:p>
    <w:p w14:paraId="1B4851B5">
      <w:pPr>
        <w:pStyle w:val="137"/>
        <w:tabs>
          <w:tab w:val="left" w:pos="7524"/>
        </w:tabs>
        <w:spacing w:line="440" w:lineRule="exact"/>
        <w:ind w:firstLine="420"/>
      </w:pPr>
      <w:r>
        <w:rPr>
          <w:rFonts w:hint="eastAsia" w:ascii="宋体" w:hAnsi="宋体" w:cs="宋体"/>
          <w:szCs w:val="21"/>
        </w:rPr>
        <w:t>委托期限：</w:t>
      </w:r>
      <w:r>
        <w:rPr>
          <w:rFonts w:hint="eastAsia" w:ascii="宋体" w:hAnsi="宋体" w:cs="宋体"/>
          <w:szCs w:val="21"/>
          <w:u w:val="single"/>
        </w:rPr>
        <w:t>                      </w:t>
      </w:r>
      <w:r>
        <w:rPr>
          <w:rFonts w:hint="eastAsia" w:ascii="宋体" w:hAnsi="宋体" w:cs="宋体"/>
          <w:szCs w:val="21"/>
        </w:rPr>
        <w:t>。</w:t>
      </w:r>
    </w:p>
    <w:p w14:paraId="08059493">
      <w:pPr>
        <w:pStyle w:val="137"/>
        <w:spacing w:line="440" w:lineRule="exact"/>
        <w:ind w:firstLine="435"/>
      </w:pPr>
      <w:r>
        <w:rPr>
          <w:rFonts w:hint="eastAsia" w:ascii="宋体" w:hAnsi="宋体" w:cs="宋体"/>
          <w:szCs w:val="21"/>
        </w:rPr>
        <w:t>代理人无转委托权。</w:t>
      </w:r>
    </w:p>
    <w:p w14:paraId="45720CBE">
      <w:pPr>
        <w:pStyle w:val="137"/>
        <w:spacing w:line="440" w:lineRule="exact"/>
        <w:ind w:firstLine="435"/>
      </w:pPr>
      <w:r>
        <w:rPr>
          <w:rFonts w:hint="eastAsia" w:ascii="宋体" w:hAnsi="宋体" w:cs="宋体"/>
          <w:szCs w:val="21"/>
        </w:rPr>
        <w:t>本授权书于</w:t>
      </w:r>
      <w:r>
        <w:rPr>
          <w:rFonts w:hint="eastAsia" w:ascii="宋体" w:hAnsi="宋体" w:cs="宋体"/>
          <w:szCs w:val="21"/>
          <w:u w:val="single"/>
        </w:rPr>
        <w:t>     </w:t>
      </w:r>
      <w:r>
        <w:rPr>
          <w:rFonts w:hint="eastAsia" w:ascii="宋体" w:hAnsi="宋体" w:cs="宋体"/>
          <w:szCs w:val="21"/>
        </w:rPr>
        <w:t xml:space="preserve"> 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日签字生效，特此声明。</w:t>
      </w:r>
    </w:p>
    <w:p w14:paraId="56D17C90">
      <w:pPr>
        <w:pStyle w:val="137"/>
        <w:spacing w:line="440" w:lineRule="exact"/>
        <w:ind w:firstLine="420"/>
      </w:pPr>
    </w:p>
    <w:tbl>
      <w:tblPr>
        <w:tblStyle w:val="41"/>
        <w:tblW w:w="0" w:type="auto"/>
        <w:tblInd w:w="128" w:type="dxa"/>
        <w:tblLayout w:type="autofit"/>
        <w:tblCellMar>
          <w:top w:w="0" w:type="dxa"/>
          <w:left w:w="0" w:type="dxa"/>
          <w:bottom w:w="0" w:type="dxa"/>
          <w:right w:w="0" w:type="dxa"/>
        </w:tblCellMar>
      </w:tblPr>
      <w:tblGrid>
        <w:gridCol w:w="8528"/>
      </w:tblGrid>
      <w:tr w14:paraId="5258C9C7">
        <w:tblPrEx>
          <w:tblCellMar>
            <w:top w:w="0" w:type="dxa"/>
            <w:left w:w="0" w:type="dxa"/>
            <w:bottom w:w="0" w:type="dxa"/>
            <w:right w:w="0" w:type="dxa"/>
          </w:tblCellMar>
        </w:tblPrEx>
        <w:trPr>
          <w:trHeight w:val="2526" w:hRule="atLeast"/>
        </w:trPr>
        <w:tc>
          <w:tcPr>
            <w:tcW w:w="85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23E88AE">
            <w:pPr>
              <w:pStyle w:val="137"/>
              <w:spacing w:line="440" w:lineRule="exact"/>
              <w:jc w:val="center"/>
            </w:pPr>
            <w:r>
              <w:rPr>
                <w:rFonts w:hint="eastAsia" w:ascii="宋体" w:hAnsi="宋体" w:cs="宋体"/>
                <w:szCs w:val="21"/>
              </w:rPr>
              <w:t>委托代理人身份证复印件</w:t>
            </w:r>
          </w:p>
        </w:tc>
      </w:tr>
    </w:tbl>
    <w:p w14:paraId="7BBCBA51">
      <w:pPr>
        <w:pStyle w:val="137"/>
        <w:spacing w:line="440" w:lineRule="exact"/>
        <w:ind w:firstLine="420"/>
      </w:pPr>
      <w:r>
        <w:rPr>
          <w:rFonts w:hint="eastAsia" w:ascii="宋体" w:hAnsi="宋体" w:cs="宋体"/>
          <w:szCs w:val="21"/>
        </w:rPr>
        <w:t>附：法定代表人身份证明</w:t>
      </w:r>
      <w:r>
        <w:rPr>
          <w:rFonts w:hint="eastAsia"/>
          <w:szCs w:val="21"/>
        </w:rPr>
        <w:t>（见附件</w:t>
      </w:r>
      <w:r>
        <w:rPr>
          <w:szCs w:val="21"/>
        </w:rPr>
        <w:t>1-1</w:t>
      </w:r>
      <w:r>
        <w:rPr>
          <w:rFonts w:hint="eastAsia"/>
          <w:szCs w:val="21"/>
        </w:rPr>
        <w:t>）</w:t>
      </w:r>
    </w:p>
    <w:p w14:paraId="03505874">
      <w:pPr>
        <w:pStyle w:val="137"/>
        <w:spacing w:line="400" w:lineRule="exact"/>
        <w:ind w:firstLine="420"/>
        <w:rPr>
          <w:szCs w:val="21"/>
        </w:rPr>
      </w:pPr>
      <w:r>
        <w:rPr>
          <w:szCs w:val="21"/>
        </w:rPr>
        <w:t xml:space="preserve">  </w:t>
      </w:r>
    </w:p>
    <w:p w14:paraId="1E781B37">
      <w:pPr>
        <w:pStyle w:val="137"/>
        <w:spacing w:line="400" w:lineRule="exact"/>
        <w:ind w:firstLine="420"/>
        <w:rPr>
          <w:szCs w:val="21"/>
        </w:rPr>
      </w:pPr>
    </w:p>
    <w:p w14:paraId="0B9355AF">
      <w:pPr>
        <w:pStyle w:val="137"/>
        <w:spacing w:line="440" w:lineRule="exact"/>
        <w:ind w:firstLine="420"/>
        <w:rPr>
          <w:szCs w:val="21"/>
        </w:rPr>
      </w:pPr>
    </w:p>
    <w:p w14:paraId="23AF98FA">
      <w:pPr>
        <w:pStyle w:val="137"/>
        <w:spacing w:line="440" w:lineRule="exact"/>
        <w:rPr>
          <w:rFonts w:ascii="宋体" w:hAnsi="宋体" w:cs="宋体"/>
          <w:szCs w:val="21"/>
        </w:rPr>
      </w:pPr>
      <w:r>
        <w:rPr>
          <w:rFonts w:hint="eastAsia" w:ascii="宋体" w:hAnsi="宋体" w:cs="宋体"/>
          <w:szCs w:val="21"/>
        </w:rPr>
        <w:t>投标人名称（盖单位章）：_______________________</w:t>
      </w:r>
    </w:p>
    <w:p w14:paraId="2771521D">
      <w:pPr>
        <w:pStyle w:val="137"/>
        <w:spacing w:line="440" w:lineRule="exact"/>
        <w:rPr>
          <w:rFonts w:ascii="宋体" w:hAnsi="宋体" w:cs="宋体"/>
          <w:szCs w:val="21"/>
        </w:rPr>
      </w:pPr>
      <w:r>
        <w:rPr>
          <w:rFonts w:hint="eastAsia" w:ascii="宋体" w:hAnsi="宋体" w:cs="宋体"/>
          <w:szCs w:val="21"/>
        </w:rPr>
        <w:t>法定代表人（单位负责人）（签字或印章）：___________________________</w:t>
      </w:r>
    </w:p>
    <w:p w14:paraId="0DD2FDFA">
      <w:pPr>
        <w:pStyle w:val="137"/>
        <w:spacing w:line="440" w:lineRule="exact"/>
        <w:rPr>
          <w:rFonts w:ascii="宋体" w:hAnsi="宋体" w:cs="宋体"/>
          <w:szCs w:val="21"/>
        </w:rPr>
      </w:pPr>
      <w:r>
        <w:rPr>
          <w:rFonts w:hint="eastAsia" w:ascii="宋体" w:hAnsi="宋体" w:cs="宋体"/>
          <w:szCs w:val="21"/>
        </w:rPr>
        <w:t>委托代理人（签字或印章）：___________________________</w:t>
      </w:r>
    </w:p>
    <w:p w14:paraId="5201C499">
      <w:pPr>
        <w:pStyle w:val="137"/>
        <w:spacing w:line="440" w:lineRule="exact"/>
        <w:ind w:right="420"/>
        <w:rPr>
          <w:highlight w:val="white"/>
        </w:rPr>
      </w:pPr>
      <w:r>
        <w:rPr>
          <w:rFonts w:hint="eastAsia" w:ascii="宋体" w:hAnsi="宋体" w:cs="Courier New"/>
          <w:szCs w:val="21"/>
        </w:rPr>
        <w:t>_____年___月___日</w:t>
      </w:r>
    </w:p>
    <w:p w14:paraId="2D4EA6EF">
      <w:pPr>
        <w:pStyle w:val="51"/>
        <w:spacing w:before="156"/>
        <w:rPr>
          <w:highlight w:val="white"/>
        </w:rPr>
        <w:sectPr>
          <w:pgSz w:w="11906" w:h="16838"/>
          <w:pgMar w:top="1418" w:right="1418" w:bottom="1418" w:left="1418" w:header="851" w:footer="851" w:gutter="0"/>
          <w:pgNumType w:fmt="numberInDash"/>
          <w:cols w:space="720" w:num="1"/>
          <w:docGrid w:type="lines" w:linePitch="312" w:charSpace="0"/>
        </w:sectPr>
      </w:pPr>
    </w:p>
    <w:p w14:paraId="7182B14C">
      <w:pPr>
        <w:pStyle w:val="3"/>
      </w:pPr>
      <w:bookmarkStart w:id="166" w:name="_Toc30150"/>
      <w:bookmarkStart w:id="167" w:name="_Toc256000054"/>
      <w:r>
        <w:rPr>
          <w:rFonts w:hint="eastAsia"/>
        </w:rPr>
        <w:t>附件1-1 法定代表人身份证明</w:t>
      </w:r>
      <w:bookmarkEnd w:id="166"/>
      <w:bookmarkEnd w:id="167"/>
    </w:p>
    <w:p w14:paraId="48CD1A16">
      <w:pPr>
        <w:autoSpaceDE w:val="0"/>
        <w:adjustRightInd w:val="0"/>
        <w:snapToGrid w:val="0"/>
        <w:spacing w:before="156" w:beforeLines="50" w:after="156" w:afterLines="50" w:line="440" w:lineRule="exact"/>
        <w:jc w:val="center"/>
        <w:rPr>
          <w:rFonts w:ascii="宋体" w:hAnsi="宋体"/>
          <w:sz w:val="24"/>
          <w:szCs w:val="21"/>
          <w:highlight w:val="white"/>
        </w:rPr>
      </w:pPr>
      <w:r>
        <w:rPr>
          <w:rFonts w:hint="eastAsia" w:ascii="宋体" w:hAnsi="宋体"/>
          <w:sz w:val="24"/>
          <w:szCs w:val="21"/>
          <w:highlight w:val="white"/>
        </w:rPr>
        <w:t>法定代表人身份证明</w:t>
      </w:r>
    </w:p>
    <w:p w14:paraId="34CC40B8">
      <w:pPr>
        <w:pStyle w:val="132"/>
        <w:spacing w:line="440" w:lineRule="exact"/>
      </w:pPr>
      <w:r>
        <w:rPr>
          <w:rFonts w:hint="eastAsia" w:ascii="宋体" w:hAnsi="宋体" w:cs="宋体"/>
          <w:szCs w:val="21"/>
        </w:rPr>
        <w:t>投标人名称：</w:t>
      </w:r>
      <w:r>
        <w:rPr>
          <w:rFonts w:hint="eastAsia" w:ascii="宋体" w:hAnsi="宋体" w:cs="宋体"/>
          <w:szCs w:val="21"/>
          <w:u w:val="single"/>
        </w:rPr>
        <w:t>                 </w:t>
      </w:r>
      <w:r>
        <w:rPr>
          <w:rFonts w:hint="eastAsia" w:ascii="宋体" w:hAnsi="宋体" w:cs="宋体"/>
          <w:szCs w:val="21"/>
        </w:rPr>
        <w:t xml:space="preserve">  </w:t>
      </w:r>
    </w:p>
    <w:p w14:paraId="56F8A49C">
      <w:pPr>
        <w:pStyle w:val="132"/>
        <w:spacing w:line="440" w:lineRule="exact"/>
      </w:pPr>
      <w:r>
        <w:rPr>
          <w:rFonts w:hint="eastAsia" w:ascii="宋体" w:hAnsi="宋体" w:cs="宋体"/>
          <w:szCs w:val="21"/>
        </w:rPr>
        <w:t>注册号：</w:t>
      </w:r>
      <w:r>
        <w:rPr>
          <w:rFonts w:hint="eastAsia" w:ascii="宋体" w:hAnsi="宋体" w:cs="宋体"/>
          <w:szCs w:val="21"/>
          <w:u w:val="single"/>
        </w:rPr>
        <w:t>                  </w:t>
      </w:r>
    </w:p>
    <w:p w14:paraId="4EC405D2">
      <w:pPr>
        <w:pStyle w:val="132"/>
        <w:spacing w:line="440" w:lineRule="exact"/>
      </w:pPr>
      <w:r>
        <w:rPr>
          <w:rFonts w:hint="eastAsia" w:ascii="宋体" w:hAnsi="宋体" w:cs="宋体"/>
          <w:szCs w:val="21"/>
        </w:rPr>
        <w:t>注册地址：</w:t>
      </w:r>
      <w:r>
        <w:rPr>
          <w:rFonts w:hint="eastAsia" w:ascii="宋体" w:hAnsi="宋体" w:cs="宋体"/>
          <w:szCs w:val="21"/>
          <w:u w:val="single"/>
        </w:rPr>
        <w:t>                                   </w:t>
      </w:r>
    </w:p>
    <w:p w14:paraId="04F364AE">
      <w:pPr>
        <w:pStyle w:val="132"/>
        <w:spacing w:line="440" w:lineRule="exact"/>
      </w:pPr>
      <w:r>
        <w:rPr>
          <w:rFonts w:hint="eastAsia" w:ascii="宋体" w:hAnsi="宋体" w:cs="宋体"/>
          <w:szCs w:val="21"/>
        </w:rPr>
        <w:t xml:space="preserve">成立时间： </w:t>
      </w:r>
      <w:r>
        <w:rPr>
          <w:rFonts w:hint="eastAsia" w:ascii="宋体" w:hAnsi="宋体" w:cs="宋体"/>
          <w:szCs w:val="21"/>
          <w:u w:val="single"/>
        </w:rPr>
        <w:t>       </w:t>
      </w:r>
      <w:r>
        <w:rPr>
          <w:rFonts w:hint="eastAsia" w:ascii="宋体" w:hAnsi="宋体" w:cs="宋体"/>
          <w:szCs w:val="21"/>
        </w:rPr>
        <w:t xml:space="preserve">年 </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 xml:space="preserve">  日</w:t>
      </w:r>
    </w:p>
    <w:p w14:paraId="51BCEB24">
      <w:pPr>
        <w:pStyle w:val="132"/>
        <w:spacing w:line="440" w:lineRule="exact"/>
      </w:pPr>
      <w:r>
        <w:rPr>
          <w:rFonts w:hint="eastAsia" w:ascii="宋体" w:hAnsi="宋体" w:cs="宋体"/>
          <w:szCs w:val="21"/>
        </w:rPr>
        <w:t>经营期限：</w:t>
      </w:r>
      <w:r>
        <w:rPr>
          <w:rFonts w:hint="eastAsia" w:ascii="宋体" w:hAnsi="宋体" w:cs="宋体"/>
          <w:szCs w:val="21"/>
          <w:u w:val="single"/>
        </w:rPr>
        <w:t>                 </w:t>
      </w:r>
    </w:p>
    <w:p w14:paraId="785AA98A">
      <w:pPr>
        <w:pStyle w:val="132"/>
        <w:spacing w:line="440" w:lineRule="exact"/>
      </w:pPr>
      <w:r>
        <w:rPr>
          <w:rFonts w:hint="eastAsia" w:ascii="宋体" w:hAnsi="宋体" w:cs="宋体"/>
          <w:szCs w:val="21"/>
        </w:rPr>
        <w:t>经营范围：主营：</w:t>
      </w:r>
      <w:r>
        <w:rPr>
          <w:rFonts w:hint="eastAsia" w:ascii="宋体" w:hAnsi="宋体" w:cs="宋体"/>
          <w:szCs w:val="21"/>
          <w:u w:val="single"/>
        </w:rPr>
        <w:t>             </w:t>
      </w:r>
      <w:r>
        <w:rPr>
          <w:rFonts w:hint="eastAsia" w:ascii="宋体" w:hAnsi="宋体" w:cs="宋体"/>
          <w:szCs w:val="21"/>
        </w:rPr>
        <w:t xml:space="preserve">  ；兼营：</w:t>
      </w:r>
      <w:r>
        <w:rPr>
          <w:rFonts w:hint="eastAsia" w:ascii="宋体" w:hAnsi="宋体" w:cs="宋体"/>
          <w:szCs w:val="21"/>
          <w:u w:val="single"/>
        </w:rPr>
        <w:t>             </w:t>
      </w:r>
    </w:p>
    <w:p w14:paraId="4E95A9A3">
      <w:pPr>
        <w:pStyle w:val="132"/>
        <w:spacing w:line="440" w:lineRule="exact"/>
      </w:pPr>
      <w:r>
        <w:rPr>
          <w:rFonts w:hint="eastAsia" w:ascii="宋体" w:hAnsi="宋体" w:cs="宋体"/>
          <w:szCs w:val="21"/>
        </w:rPr>
        <w:t>姓名：</w:t>
      </w:r>
      <w:r>
        <w:rPr>
          <w:rFonts w:hint="eastAsia" w:ascii="宋体" w:hAnsi="宋体" w:cs="宋体"/>
          <w:szCs w:val="21"/>
          <w:u w:val="single"/>
        </w:rPr>
        <w:t>        </w:t>
      </w:r>
      <w:r>
        <w:rPr>
          <w:rFonts w:hint="eastAsia" w:ascii="宋体" w:hAnsi="宋体" w:cs="宋体"/>
          <w:szCs w:val="21"/>
        </w:rPr>
        <w:t xml:space="preserve">  性别：</w:t>
      </w:r>
      <w:r>
        <w:rPr>
          <w:rFonts w:hint="eastAsia" w:ascii="宋体" w:hAnsi="宋体" w:cs="宋体"/>
          <w:szCs w:val="21"/>
          <w:u w:val="single"/>
        </w:rPr>
        <w:t>     </w:t>
      </w:r>
      <w:r>
        <w:rPr>
          <w:rFonts w:hint="eastAsia" w:ascii="宋体" w:hAnsi="宋体" w:cs="宋体"/>
          <w:szCs w:val="21"/>
        </w:rPr>
        <w:t xml:space="preserve">  年龄：</w:t>
      </w:r>
      <w:r>
        <w:rPr>
          <w:rFonts w:hint="eastAsia" w:ascii="宋体" w:hAnsi="宋体" w:cs="宋体"/>
          <w:szCs w:val="21"/>
          <w:u w:val="single"/>
        </w:rPr>
        <w:t>    </w:t>
      </w:r>
      <w:r>
        <w:rPr>
          <w:rFonts w:hint="eastAsia" w:ascii="宋体" w:hAnsi="宋体" w:cs="宋体"/>
          <w:szCs w:val="21"/>
        </w:rPr>
        <w:t xml:space="preserve">  职务：</w:t>
      </w:r>
      <w:r>
        <w:rPr>
          <w:rFonts w:hint="eastAsia" w:ascii="宋体" w:hAnsi="宋体" w:cs="宋体"/>
          <w:szCs w:val="21"/>
          <w:u w:val="single"/>
        </w:rPr>
        <w:t>        </w:t>
      </w:r>
      <w:r>
        <w:rPr>
          <w:rFonts w:hint="eastAsia" w:ascii="宋体" w:hAnsi="宋体" w:cs="宋体"/>
          <w:szCs w:val="21"/>
        </w:rPr>
        <w:t xml:space="preserve"> 系</w:t>
      </w:r>
      <w:r>
        <w:rPr>
          <w:rFonts w:hint="eastAsia" w:ascii="宋体" w:hAnsi="宋体" w:cs="宋体"/>
          <w:szCs w:val="21"/>
          <w:u w:val="single"/>
        </w:rPr>
        <w:t>         </w:t>
      </w:r>
      <w:r>
        <w:rPr>
          <w:rFonts w:hint="eastAsia" w:ascii="宋体" w:hAnsi="宋体" w:cs="宋体"/>
          <w:szCs w:val="21"/>
        </w:rPr>
        <w:t xml:space="preserve">  （投标人名称）的法定代表人。</w:t>
      </w:r>
    </w:p>
    <w:p w14:paraId="52311F3B">
      <w:pPr>
        <w:pStyle w:val="132"/>
        <w:spacing w:line="440" w:lineRule="exact"/>
      </w:pPr>
      <w:r>
        <w:rPr>
          <w:rFonts w:hint="eastAsia" w:ascii="宋体" w:hAnsi="宋体" w:cs="宋体"/>
          <w:szCs w:val="21"/>
        </w:rPr>
        <w:t>特此证明。</w:t>
      </w:r>
    </w:p>
    <w:p w14:paraId="50E271D2">
      <w:pPr>
        <w:pStyle w:val="132"/>
        <w:spacing w:line="440" w:lineRule="exact"/>
      </w:pPr>
      <w:r>
        <w:rPr>
          <w:szCs w:val="21"/>
        </w:rPr>
        <w:t xml:space="preserve">  </w:t>
      </w:r>
    </w:p>
    <w:tbl>
      <w:tblPr>
        <w:tblStyle w:val="41"/>
        <w:tblW w:w="0" w:type="auto"/>
        <w:tblInd w:w="128" w:type="dxa"/>
        <w:tblLayout w:type="autofit"/>
        <w:tblCellMar>
          <w:top w:w="0" w:type="dxa"/>
          <w:left w:w="0" w:type="dxa"/>
          <w:bottom w:w="0" w:type="dxa"/>
          <w:right w:w="0" w:type="dxa"/>
        </w:tblCellMar>
      </w:tblPr>
      <w:tblGrid>
        <w:gridCol w:w="8528"/>
      </w:tblGrid>
      <w:tr w14:paraId="3BDD65C0">
        <w:tblPrEx>
          <w:tblCellMar>
            <w:top w:w="0" w:type="dxa"/>
            <w:left w:w="0" w:type="dxa"/>
            <w:bottom w:w="0" w:type="dxa"/>
            <w:right w:w="0" w:type="dxa"/>
          </w:tblCellMar>
        </w:tblPrEx>
        <w:trPr>
          <w:trHeight w:val="2526" w:hRule="atLeast"/>
        </w:trPr>
        <w:tc>
          <w:tcPr>
            <w:tcW w:w="85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EBC8D17">
            <w:pPr>
              <w:pStyle w:val="132"/>
              <w:spacing w:line="440" w:lineRule="exact"/>
              <w:jc w:val="center"/>
            </w:pPr>
            <w:r>
              <w:rPr>
                <w:rFonts w:hint="eastAsia" w:ascii="宋体" w:hAnsi="宋体" w:cs="宋体"/>
                <w:szCs w:val="21"/>
              </w:rPr>
              <w:t>法定代表人身份证复印件</w:t>
            </w:r>
          </w:p>
        </w:tc>
      </w:tr>
    </w:tbl>
    <w:p w14:paraId="0817A578">
      <w:pPr>
        <w:pStyle w:val="132"/>
        <w:spacing w:line="440" w:lineRule="exact"/>
      </w:pPr>
      <w:r>
        <w:rPr>
          <w:szCs w:val="21"/>
        </w:rPr>
        <w:t xml:space="preserve">  </w:t>
      </w:r>
    </w:p>
    <w:p w14:paraId="54CC0FC3">
      <w:pPr>
        <w:pStyle w:val="132"/>
        <w:spacing w:line="440" w:lineRule="exact"/>
      </w:pPr>
      <w:r>
        <w:rPr>
          <w:szCs w:val="21"/>
        </w:rPr>
        <w:t xml:space="preserve">  </w:t>
      </w:r>
    </w:p>
    <w:p w14:paraId="0C0DB3B5">
      <w:pPr>
        <w:pStyle w:val="132"/>
        <w:spacing w:line="440" w:lineRule="exact"/>
      </w:pPr>
      <w:r>
        <w:rPr>
          <w:szCs w:val="21"/>
        </w:rPr>
        <w:t xml:space="preserve">  </w:t>
      </w:r>
    </w:p>
    <w:p w14:paraId="156E4C8F">
      <w:pPr>
        <w:pStyle w:val="132"/>
        <w:spacing w:line="440" w:lineRule="exact"/>
      </w:pPr>
      <w:r>
        <w:rPr>
          <w:szCs w:val="21"/>
        </w:rPr>
        <w:t xml:space="preserve">  </w:t>
      </w:r>
    </w:p>
    <w:p w14:paraId="3153552F">
      <w:pPr>
        <w:pStyle w:val="132"/>
        <w:spacing w:line="440" w:lineRule="exact"/>
        <w:ind w:right="420"/>
      </w:pPr>
      <w:r>
        <w:rPr>
          <w:rFonts w:hint="eastAsia" w:ascii="宋体" w:hAnsi="宋体" w:cs="宋体"/>
          <w:szCs w:val="21"/>
        </w:rPr>
        <w:t>投标人名称（盖单位章）：</w:t>
      </w:r>
      <w:r>
        <w:rPr>
          <w:rFonts w:hint="eastAsia" w:ascii="宋体" w:hAnsi="宋体" w:cs="宋体"/>
          <w:szCs w:val="21"/>
          <w:u w:val="single"/>
        </w:rPr>
        <w:t>                </w:t>
      </w:r>
    </w:p>
    <w:p w14:paraId="23015B0D">
      <w:pPr>
        <w:pStyle w:val="132"/>
        <w:spacing w:line="440" w:lineRule="exact"/>
        <w:ind w:right="420"/>
        <w:rPr>
          <w:rFonts w:ascii="宋体" w:hAnsi="宋体" w:cs="宋体"/>
          <w:szCs w:val="21"/>
        </w:rPr>
        <w:sectPr>
          <w:pgSz w:w="11906" w:h="16838"/>
          <w:pgMar w:top="1418" w:right="1418" w:bottom="1418" w:left="1418" w:header="851" w:footer="851" w:gutter="0"/>
          <w:pgNumType w:fmt="numberInDash"/>
          <w:cols w:space="720" w:num="1"/>
          <w:docGrid w:type="lines" w:linePitch="312" w:charSpace="0"/>
        </w:sectPr>
      </w:pPr>
      <w:r>
        <w:rPr>
          <w:rFonts w:hint="eastAsia" w:ascii="宋体" w:hAnsi="宋体" w:cs="Courier New"/>
          <w:szCs w:val="21"/>
        </w:rPr>
        <w:t>_____年___月___日</w:t>
      </w:r>
    </w:p>
    <w:p w14:paraId="35CB5F49">
      <w:pPr>
        <w:pStyle w:val="3"/>
      </w:pPr>
      <w:bookmarkStart w:id="168" w:name="_Toc7594"/>
      <w:bookmarkStart w:id="169" w:name="_Toc256000056"/>
      <w:r>
        <w:rPr>
          <w:rFonts w:hint="eastAsia"/>
        </w:rPr>
        <w:t>附件2 投标人基本情况</w:t>
      </w:r>
      <w:bookmarkEnd w:id="168"/>
      <w:bookmarkEnd w:id="169"/>
    </w:p>
    <w:p w14:paraId="3538BF2D">
      <w:pPr>
        <w:autoSpaceDE w:val="0"/>
        <w:adjustRightInd w:val="0"/>
        <w:snapToGrid w:val="0"/>
        <w:spacing w:before="156" w:beforeLines="50" w:after="156" w:afterLines="50" w:line="440" w:lineRule="exact"/>
        <w:jc w:val="center"/>
        <w:rPr>
          <w:rFonts w:ascii="宋体" w:hAnsi="宋体"/>
          <w:sz w:val="24"/>
          <w:szCs w:val="21"/>
          <w:highlight w:val="white"/>
        </w:rPr>
      </w:pPr>
      <w:r>
        <w:rPr>
          <w:rFonts w:hint="eastAsia" w:ascii="宋体" w:hAnsi="宋体"/>
          <w:sz w:val="24"/>
          <w:szCs w:val="21"/>
          <w:highlight w:val="white"/>
        </w:rPr>
        <w:t>投标人基本情况</w:t>
      </w:r>
    </w:p>
    <w:p w14:paraId="577ADF37">
      <w:pPr>
        <w:pStyle w:val="139"/>
        <w:spacing w:line="440" w:lineRule="exact"/>
      </w:pPr>
      <w:r>
        <w:rPr>
          <w:szCs w:val="21"/>
        </w:rPr>
        <w:t xml:space="preserve">  </w:t>
      </w:r>
      <w:r>
        <w:rPr>
          <w:rFonts w:hint="eastAsia" w:ascii="宋体" w:hAnsi="宋体" w:cs="宋体"/>
          <w:szCs w:val="21"/>
        </w:rPr>
        <w:t>1.名称及概况：</w:t>
      </w:r>
    </w:p>
    <w:p w14:paraId="5E9DCE5A">
      <w:pPr>
        <w:pStyle w:val="139"/>
        <w:spacing w:line="440" w:lineRule="exact"/>
        <w:ind w:firstLine="315"/>
      </w:pPr>
      <w:r>
        <w:rPr>
          <w:rFonts w:hint="eastAsia" w:ascii="宋体" w:hAnsi="宋体" w:cs="宋体"/>
          <w:szCs w:val="21"/>
        </w:rPr>
        <w:t xml:space="preserve">(1)投标人名称： </w:t>
      </w:r>
      <w:r>
        <w:rPr>
          <w:rFonts w:hint="eastAsia" w:ascii="宋体" w:hAnsi="宋体" w:cs="宋体"/>
          <w:szCs w:val="21"/>
          <w:u w:val="single"/>
        </w:rPr>
        <w:t>                        </w:t>
      </w:r>
    </w:p>
    <w:p w14:paraId="63F77153">
      <w:pPr>
        <w:pStyle w:val="139"/>
        <w:spacing w:line="440" w:lineRule="exact"/>
        <w:ind w:firstLine="1365"/>
      </w:pPr>
      <w:r>
        <w:rPr>
          <w:rFonts w:hint="eastAsia" w:ascii="宋体" w:hAnsi="宋体" w:cs="宋体"/>
          <w:szCs w:val="21"/>
        </w:rPr>
        <w:t xml:space="preserve">地址： </w:t>
      </w:r>
      <w:r>
        <w:rPr>
          <w:rFonts w:hint="eastAsia" w:ascii="宋体" w:hAnsi="宋体" w:cs="宋体"/>
          <w:szCs w:val="21"/>
          <w:u w:val="single"/>
        </w:rPr>
        <w:t>                        </w:t>
      </w:r>
    </w:p>
    <w:p w14:paraId="231A0B34">
      <w:pPr>
        <w:pStyle w:val="139"/>
        <w:spacing w:line="440" w:lineRule="exact"/>
        <w:ind w:firstLine="1365"/>
      </w:pPr>
      <w:r>
        <w:rPr>
          <w:rFonts w:hint="eastAsia" w:ascii="宋体" w:hAnsi="宋体" w:cs="宋体"/>
          <w:szCs w:val="21"/>
        </w:rPr>
        <w:t xml:space="preserve">传真/电话号码： </w:t>
      </w:r>
      <w:r>
        <w:rPr>
          <w:rFonts w:hint="eastAsia" w:ascii="宋体" w:hAnsi="宋体" w:cs="宋体"/>
          <w:szCs w:val="21"/>
          <w:u w:val="single"/>
        </w:rPr>
        <w:t>        </w:t>
      </w:r>
      <w:r>
        <w:rPr>
          <w:rFonts w:hint="eastAsia" w:ascii="宋体" w:hAnsi="宋体" w:cs="宋体"/>
          <w:szCs w:val="21"/>
        </w:rPr>
        <w:t xml:space="preserve"> 邮政编码： </w:t>
      </w:r>
      <w:r>
        <w:rPr>
          <w:rFonts w:hint="eastAsia" w:ascii="宋体" w:hAnsi="宋体" w:cs="宋体"/>
          <w:szCs w:val="21"/>
          <w:u w:val="single"/>
        </w:rPr>
        <w:t>        </w:t>
      </w:r>
    </w:p>
    <w:p w14:paraId="6D893A0E">
      <w:pPr>
        <w:pStyle w:val="139"/>
        <w:spacing w:line="440" w:lineRule="exact"/>
        <w:ind w:firstLine="420"/>
      </w:pPr>
      <w:r>
        <w:rPr>
          <w:rFonts w:hint="eastAsia" w:ascii="宋体" w:hAnsi="宋体" w:cs="宋体"/>
          <w:szCs w:val="21"/>
        </w:rPr>
        <w:t xml:space="preserve">(2)成立或注册日期： </w:t>
      </w:r>
      <w:r>
        <w:rPr>
          <w:rFonts w:hint="eastAsia" w:ascii="宋体" w:hAnsi="宋体" w:cs="宋体"/>
          <w:szCs w:val="21"/>
          <w:u w:val="single"/>
        </w:rPr>
        <w:t>                  ;</w:t>
      </w:r>
    </w:p>
    <w:p w14:paraId="08C4FE7E">
      <w:pPr>
        <w:pStyle w:val="139"/>
        <w:spacing w:line="440" w:lineRule="exact"/>
        <w:ind w:firstLine="420"/>
      </w:pPr>
      <w:r>
        <w:rPr>
          <w:rFonts w:hint="eastAsia" w:ascii="宋体" w:hAnsi="宋体" w:cs="宋体"/>
          <w:szCs w:val="21"/>
        </w:rPr>
        <w:t xml:space="preserve">(3)注册号码： </w:t>
      </w:r>
      <w:r>
        <w:rPr>
          <w:rFonts w:hint="eastAsia" w:ascii="宋体" w:hAnsi="宋体" w:cs="宋体"/>
          <w:szCs w:val="21"/>
          <w:u w:val="single"/>
        </w:rPr>
        <w:t>                </w:t>
      </w:r>
    </w:p>
    <w:p w14:paraId="051FE24F">
      <w:pPr>
        <w:pStyle w:val="139"/>
        <w:spacing w:line="440" w:lineRule="exact"/>
        <w:ind w:firstLine="420"/>
      </w:pPr>
      <w:r>
        <w:rPr>
          <w:rFonts w:hint="eastAsia" w:ascii="宋体" w:hAnsi="宋体" w:cs="宋体"/>
          <w:szCs w:val="21"/>
        </w:rPr>
        <w:t xml:space="preserve">(4)实收资本： </w:t>
      </w:r>
      <w:r>
        <w:rPr>
          <w:rFonts w:hint="eastAsia" w:ascii="宋体" w:hAnsi="宋体" w:cs="宋体"/>
          <w:szCs w:val="21"/>
          <w:u w:val="single"/>
        </w:rPr>
        <w:t>                </w:t>
      </w:r>
    </w:p>
    <w:p w14:paraId="375D97AA">
      <w:pPr>
        <w:pStyle w:val="139"/>
        <w:spacing w:line="440" w:lineRule="exact"/>
        <w:ind w:firstLine="420"/>
      </w:pPr>
      <w:r>
        <w:rPr>
          <w:rFonts w:hint="eastAsia" w:ascii="宋体" w:hAnsi="宋体" w:cs="宋体"/>
          <w:szCs w:val="21"/>
        </w:rPr>
        <w:t xml:space="preserve">(5)近期资产负债表（到 </w:t>
      </w:r>
      <w:r>
        <w:rPr>
          <w:rFonts w:hint="eastAsia" w:ascii="宋体" w:hAnsi="宋体" w:cs="宋体"/>
          <w:szCs w:val="21"/>
          <w:u w:val="single"/>
        </w:rPr>
        <w:t>    </w:t>
      </w:r>
      <w:r>
        <w:rPr>
          <w:rFonts w:hint="eastAsia" w:ascii="宋体" w:hAnsi="宋体" w:cs="宋体"/>
          <w:szCs w:val="21"/>
        </w:rPr>
        <w:t xml:space="preserve"> 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日止）</w:t>
      </w:r>
    </w:p>
    <w:p w14:paraId="004D2DBB">
      <w:pPr>
        <w:pStyle w:val="139"/>
        <w:spacing w:line="440" w:lineRule="exact"/>
        <w:ind w:firstLine="630"/>
      </w:pPr>
      <w:r>
        <w:rPr>
          <w:rFonts w:hint="eastAsia" w:ascii="宋体" w:hAnsi="宋体" w:cs="宋体"/>
          <w:szCs w:val="21"/>
        </w:rPr>
        <w:t xml:space="preserve">①固定资产： </w:t>
      </w:r>
      <w:r>
        <w:rPr>
          <w:rFonts w:hint="eastAsia" w:ascii="宋体" w:hAnsi="宋体" w:cs="宋体"/>
          <w:szCs w:val="21"/>
          <w:u w:val="single"/>
        </w:rPr>
        <w:t>                        </w:t>
      </w:r>
    </w:p>
    <w:p w14:paraId="2EDB7FE3">
      <w:pPr>
        <w:pStyle w:val="139"/>
        <w:spacing w:line="440" w:lineRule="exact"/>
        <w:ind w:firstLine="630"/>
      </w:pPr>
      <w:r>
        <w:rPr>
          <w:rFonts w:hint="eastAsia" w:ascii="宋体" w:hAnsi="宋体" w:cs="宋体"/>
          <w:szCs w:val="21"/>
        </w:rPr>
        <w:t xml:space="preserve">②流动资产： </w:t>
      </w:r>
      <w:r>
        <w:rPr>
          <w:rFonts w:hint="eastAsia" w:ascii="宋体" w:hAnsi="宋体" w:cs="宋体"/>
          <w:szCs w:val="21"/>
          <w:u w:val="single"/>
        </w:rPr>
        <w:t>                        </w:t>
      </w:r>
    </w:p>
    <w:p w14:paraId="654DEE9E">
      <w:pPr>
        <w:pStyle w:val="139"/>
        <w:spacing w:line="440" w:lineRule="exact"/>
        <w:ind w:firstLine="630"/>
      </w:pPr>
      <w:r>
        <w:rPr>
          <w:rFonts w:hint="eastAsia" w:ascii="宋体" w:hAnsi="宋体" w:cs="宋体"/>
          <w:szCs w:val="21"/>
        </w:rPr>
        <w:t xml:space="preserve">③长期负债： </w:t>
      </w:r>
      <w:r>
        <w:rPr>
          <w:rFonts w:hint="eastAsia" w:ascii="宋体" w:hAnsi="宋体" w:cs="宋体"/>
          <w:szCs w:val="21"/>
          <w:u w:val="single"/>
        </w:rPr>
        <w:t>                        </w:t>
      </w:r>
    </w:p>
    <w:p w14:paraId="6312A313">
      <w:pPr>
        <w:pStyle w:val="139"/>
        <w:spacing w:line="440" w:lineRule="exact"/>
        <w:ind w:firstLine="630"/>
      </w:pPr>
      <w:r>
        <w:rPr>
          <w:rFonts w:hint="eastAsia" w:ascii="宋体" w:hAnsi="宋体" w:cs="宋体"/>
          <w:szCs w:val="21"/>
        </w:rPr>
        <w:t xml:space="preserve">④流动负债： </w:t>
      </w:r>
      <w:r>
        <w:rPr>
          <w:rFonts w:hint="eastAsia" w:ascii="宋体" w:hAnsi="宋体" w:cs="宋体"/>
          <w:szCs w:val="21"/>
          <w:u w:val="single"/>
        </w:rPr>
        <w:t>                        </w:t>
      </w:r>
    </w:p>
    <w:p w14:paraId="3350A478">
      <w:pPr>
        <w:pStyle w:val="139"/>
        <w:spacing w:line="440" w:lineRule="exact"/>
        <w:ind w:firstLine="630"/>
      </w:pPr>
      <w:r>
        <w:rPr>
          <w:rFonts w:hint="eastAsia" w:ascii="宋体" w:hAnsi="宋体" w:cs="宋体"/>
          <w:szCs w:val="21"/>
        </w:rPr>
        <w:t xml:space="preserve">⑤净值： </w:t>
      </w:r>
      <w:r>
        <w:rPr>
          <w:rFonts w:hint="eastAsia" w:ascii="宋体" w:hAnsi="宋体" w:cs="宋体"/>
          <w:szCs w:val="21"/>
          <w:u w:val="single"/>
        </w:rPr>
        <w:t>                        </w:t>
      </w:r>
    </w:p>
    <w:p w14:paraId="57AC3BCF">
      <w:pPr>
        <w:pStyle w:val="139"/>
        <w:spacing w:line="440" w:lineRule="exact"/>
        <w:ind w:firstLine="420"/>
        <w:rPr>
          <w:szCs w:val="21"/>
        </w:rPr>
      </w:pPr>
      <w:r>
        <w:rPr>
          <w:rFonts w:hint="eastAsia" w:ascii="宋体" w:hAnsi="宋体" w:cs="宋体"/>
          <w:szCs w:val="21"/>
        </w:rPr>
        <w:t xml:space="preserve">(6)法定代表人姓名： </w:t>
      </w:r>
      <w:r>
        <w:rPr>
          <w:rFonts w:hint="eastAsia" w:ascii="宋体" w:hAnsi="宋体" w:cs="宋体"/>
          <w:szCs w:val="21"/>
          <w:u w:val="single"/>
        </w:rPr>
        <w:t>                        </w:t>
      </w:r>
    </w:p>
    <w:p w14:paraId="00420BA3">
      <w:pPr>
        <w:pStyle w:val="139"/>
        <w:spacing w:line="440" w:lineRule="exact"/>
      </w:pPr>
      <w:r>
        <w:rPr>
          <w:rFonts w:hint="eastAsia" w:ascii="宋体" w:hAnsi="宋体" w:cs="宋体"/>
          <w:szCs w:val="21"/>
        </w:rPr>
        <w:t xml:space="preserve">2.经营范围： </w:t>
      </w:r>
      <w:r>
        <w:rPr>
          <w:rFonts w:hint="eastAsia" w:ascii="宋体" w:hAnsi="宋体" w:cs="宋体"/>
          <w:szCs w:val="21"/>
          <w:u w:val="single"/>
        </w:rPr>
        <w:t>                        </w:t>
      </w:r>
    </w:p>
    <w:p w14:paraId="597A34B3">
      <w:pPr>
        <w:pStyle w:val="139"/>
        <w:spacing w:line="440" w:lineRule="exact"/>
      </w:pPr>
      <w:r>
        <w:rPr>
          <w:rFonts w:hint="eastAsia" w:ascii="宋体" w:hAnsi="宋体" w:cs="宋体"/>
          <w:szCs w:val="21"/>
        </w:rPr>
        <w:t>3.近年营业额：</w:t>
      </w:r>
    </w:p>
    <w:tbl>
      <w:tblPr>
        <w:tblStyle w:val="41"/>
        <w:tblW w:w="5000" w:type="pct"/>
        <w:tblInd w:w="0" w:type="dxa"/>
        <w:tblLayout w:type="autofit"/>
        <w:tblCellMar>
          <w:top w:w="0" w:type="dxa"/>
          <w:left w:w="0" w:type="dxa"/>
          <w:bottom w:w="0" w:type="dxa"/>
          <w:right w:w="0" w:type="dxa"/>
        </w:tblCellMar>
      </w:tblPr>
      <w:tblGrid>
        <w:gridCol w:w="3310"/>
        <w:gridCol w:w="5976"/>
      </w:tblGrid>
      <w:tr w14:paraId="66C5689F">
        <w:tblPrEx>
          <w:tblCellMar>
            <w:top w:w="0" w:type="dxa"/>
            <w:left w:w="0" w:type="dxa"/>
            <w:bottom w:w="0" w:type="dxa"/>
            <w:right w:w="0" w:type="dxa"/>
          </w:tblCellMar>
        </w:tblPrEx>
        <w:trPr>
          <w:trHeight w:val="483" w:hRule="atLeast"/>
        </w:trPr>
        <w:tc>
          <w:tcPr>
            <w:tcW w:w="1782"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7EA5995">
            <w:pPr>
              <w:pStyle w:val="139"/>
              <w:spacing w:line="440" w:lineRule="exact"/>
              <w:jc w:val="center"/>
            </w:pPr>
            <w:r>
              <w:rPr>
                <w:rFonts w:hint="eastAsia" w:ascii="宋体" w:hAnsi="宋体" w:cs="宋体"/>
                <w:szCs w:val="21"/>
              </w:rPr>
              <w:t>年度</w:t>
            </w:r>
          </w:p>
        </w:tc>
        <w:tc>
          <w:tcPr>
            <w:tcW w:w="3218" w:type="pct"/>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7B591803">
            <w:pPr>
              <w:pStyle w:val="139"/>
              <w:spacing w:line="440" w:lineRule="exact"/>
              <w:jc w:val="center"/>
            </w:pPr>
            <w:r>
              <w:rPr>
                <w:rFonts w:hint="eastAsia" w:ascii="宋体" w:hAnsi="宋体" w:cs="宋体"/>
                <w:szCs w:val="21"/>
              </w:rPr>
              <w:t>总额</w:t>
            </w:r>
          </w:p>
        </w:tc>
      </w:tr>
      <w:tr w14:paraId="7DE2794E">
        <w:tblPrEx>
          <w:tblCellMar>
            <w:top w:w="0" w:type="dxa"/>
            <w:left w:w="0" w:type="dxa"/>
            <w:bottom w:w="0" w:type="dxa"/>
            <w:right w:w="0" w:type="dxa"/>
          </w:tblCellMar>
        </w:tblPrEx>
        <w:trPr>
          <w:trHeight w:val="483" w:hRule="atLeast"/>
        </w:trPr>
        <w:tc>
          <w:tcPr>
            <w:tcW w:w="1782" w:type="pct"/>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3C19FF2">
            <w:pPr>
              <w:pStyle w:val="139"/>
              <w:spacing w:line="440" w:lineRule="exact"/>
            </w:pPr>
            <w:r>
              <w:rPr>
                <w:szCs w:val="21"/>
              </w:rPr>
              <w:t xml:space="preserve">  </w:t>
            </w:r>
          </w:p>
        </w:tc>
        <w:tc>
          <w:tcPr>
            <w:tcW w:w="3218" w:type="pct"/>
            <w:tcBorders>
              <w:top w:val="nil"/>
              <w:left w:val="nil"/>
              <w:bottom w:val="single" w:color="000000" w:sz="8" w:space="0"/>
              <w:right w:val="single" w:color="000000" w:sz="8" w:space="0"/>
            </w:tcBorders>
            <w:tcMar>
              <w:top w:w="0" w:type="dxa"/>
              <w:left w:w="108" w:type="dxa"/>
              <w:bottom w:w="0" w:type="dxa"/>
              <w:right w:w="108" w:type="dxa"/>
            </w:tcMar>
          </w:tcPr>
          <w:p w14:paraId="0AB5E070">
            <w:pPr>
              <w:pStyle w:val="139"/>
              <w:spacing w:line="440" w:lineRule="exact"/>
            </w:pPr>
            <w:r>
              <w:rPr>
                <w:szCs w:val="21"/>
              </w:rPr>
              <w:t xml:space="preserve">  </w:t>
            </w:r>
          </w:p>
        </w:tc>
      </w:tr>
      <w:tr w14:paraId="01D9FC0C">
        <w:tblPrEx>
          <w:tblCellMar>
            <w:top w:w="0" w:type="dxa"/>
            <w:left w:w="0" w:type="dxa"/>
            <w:bottom w:w="0" w:type="dxa"/>
            <w:right w:w="0" w:type="dxa"/>
          </w:tblCellMar>
        </w:tblPrEx>
        <w:trPr>
          <w:trHeight w:val="483" w:hRule="atLeast"/>
        </w:trPr>
        <w:tc>
          <w:tcPr>
            <w:tcW w:w="1782" w:type="pct"/>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E0AD110">
            <w:pPr>
              <w:pStyle w:val="139"/>
              <w:spacing w:line="440" w:lineRule="exact"/>
            </w:pPr>
            <w:r>
              <w:rPr>
                <w:szCs w:val="21"/>
              </w:rPr>
              <w:t xml:space="preserve">  </w:t>
            </w:r>
          </w:p>
        </w:tc>
        <w:tc>
          <w:tcPr>
            <w:tcW w:w="3218" w:type="pct"/>
            <w:tcBorders>
              <w:top w:val="nil"/>
              <w:left w:val="nil"/>
              <w:bottom w:val="single" w:color="000000" w:sz="8" w:space="0"/>
              <w:right w:val="single" w:color="000000" w:sz="8" w:space="0"/>
            </w:tcBorders>
            <w:tcMar>
              <w:top w:w="0" w:type="dxa"/>
              <w:left w:w="108" w:type="dxa"/>
              <w:bottom w:w="0" w:type="dxa"/>
              <w:right w:w="108" w:type="dxa"/>
            </w:tcMar>
          </w:tcPr>
          <w:p w14:paraId="72976DDC">
            <w:pPr>
              <w:pStyle w:val="139"/>
              <w:spacing w:line="440" w:lineRule="exact"/>
            </w:pPr>
            <w:r>
              <w:rPr>
                <w:szCs w:val="21"/>
              </w:rPr>
              <w:t xml:space="preserve">  </w:t>
            </w:r>
          </w:p>
        </w:tc>
      </w:tr>
      <w:tr w14:paraId="085E0E8F">
        <w:tblPrEx>
          <w:tblCellMar>
            <w:top w:w="0" w:type="dxa"/>
            <w:left w:w="0" w:type="dxa"/>
            <w:bottom w:w="0" w:type="dxa"/>
            <w:right w:w="0" w:type="dxa"/>
          </w:tblCellMar>
        </w:tblPrEx>
        <w:trPr>
          <w:trHeight w:val="483" w:hRule="atLeast"/>
        </w:trPr>
        <w:tc>
          <w:tcPr>
            <w:tcW w:w="1782" w:type="pct"/>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738A979">
            <w:pPr>
              <w:pStyle w:val="139"/>
              <w:spacing w:line="440" w:lineRule="exact"/>
            </w:pPr>
            <w:r>
              <w:rPr>
                <w:szCs w:val="21"/>
              </w:rPr>
              <w:t xml:space="preserve">  </w:t>
            </w:r>
          </w:p>
        </w:tc>
        <w:tc>
          <w:tcPr>
            <w:tcW w:w="3218" w:type="pct"/>
            <w:tcBorders>
              <w:top w:val="nil"/>
              <w:left w:val="nil"/>
              <w:bottom w:val="single" w:color="000000" w:sz="8" w:space="0"/>
              <w:right w:val="single" w:color="000000" w:sz="8" w:space="0"/>
            </w:tcBorders>
            <w:tcMar>
              <w:top w:w="0" w:type="dxa"/>
              <w:left w:w="108" w:type="dxa"/>
              <w:bottom w:w="0" w:type="dxa"/>
              <w:right w:w="108" w:type="dxa"/>
            </w:tcMar>
          </w:tcPr>
          <w:p w14:paraId="3773DCB6">
            <w:pPr>
              <w:pStyle w:val="139"/>
              <w:spacing w:line="440" w:lineRule="exact"/>
            </w:pPr>
            <w:r>
              <w:rPr>
                <w:szCs w:val="21"/>
              </w:rPr>
              <w:t xml:space="preserve">  </w:t>
            </w:r>
          </w:p>
        </w:tc>
      </w:tr>
    </w:tbl>
    <w:p w14:paraId="7C4CAE35">
      <w:pPr>
        <w:pStyle w:val="139"/>
        <w:spacing w:line="440" w:lineRule="exact"/>
      </w:pPr>
      <w:r>
        <w:rPr>
          <w:rFonts w:hint="eastAsia" w:ascii="宋体" w:hAnsi="宋体" w:cs="宋体"/>
          <w:szCs w:val="21"/>
        </w:rPr>
        <w:t>4.近年该货物主要销售客户的名称地址(可另附页)：</w:t>
      </w:r>
    </w:p>
    <w:p w14:paraId="65DA379E">
      <w:pPr>
        <w:pStyle w:val="139"/>
        <w:spacing w:line="440" w:lineRule="exact"/>
        <w:ind w:firstLine="420"/>
      </w:pPr>
      <w:r>
        <w:rPr>
          <w:rFonts w:hint="eastAsia" w:ascii="宋体" w:hAnsi="宋体" w:cs="宋体"/>
          <w:szCs w:val="21"/>
        </w:rPr>
        <w:t>(1)</w:t>
      </w:r>
      <w:r>
        <w:rPr>
          <w:rFonts w:hint="eastAsia" w:ascii="宋体" w:hAnsi="宋体" w:cs="宋体"/>
          <w:szCs w:val="21"/>
          <w:u w:val="single"/>
        </w:rPr>
        <w:t>          </w:t>
      </w:r>
      <w:r>
        <w:rPr>
          <w:rFonts w:hint="eastAsia" w:ascii="宋体" w:hAnsi="宋体" w:cs="宋体"/>
          <w:szCs w:val="21"/>
        </w:rPr>
        <w:t xml:space="preserve">（用户名称和地址） </w:t>
      </w:r>
      <w:r>
        <w:rPr>
          <w:rFonts w:hint="eastAsia" w:ascii="宋体" w:hAnsi="宋体" w:cs="宋体"/>
          <w:szCs w:val="21"/>
          <w:u w:val="single"/>
        </w:rPr>
        <w:t>         </w:t>
      </w:r>
      <w:r>
        <w:rPr>
          <w:rFonts w:hint="eastAsia" w:ascii="宋体" w:hAnsi="宋体" w:cs="宋体"/>
          <w:szCs w:val="21"/>
        </w:rPr>
        <w:t>（销售项目名称）</w:t>
      </w:r>
    </w:p>
    <w:p w14:paraId="77F7CF76">
      <w:pPr>
        <w:pStyle w:val="139"/>
        <w:spacing w:line="440" w:lineRule="exact"/>
        <w:ind w:firstLine="420"/>
      </w:pPr>
      <w:r>
        <w:rPr>
          <w:rFonts w:hint="eastAsia" w:ascii="宋体" w:hAnsi="宋体" w:cs="宋体"/>
          <w:szCs w:val="21"/>
        </w:rPr>
        <w:t>(2)</w:t>
      </w:r>
      <w:r>
        <w:rPr>
          <w:rFonts w:hint="eastAsia" w:ascii="宋体" w:hAnsi="宋体" w:cs="宋体"/>
          <w:szCs w:val="21"/>
          <w:u w:val="single"/>
        </w:rPr>
        <w:t>          </w:t>
      </w:r>
      <w:r>
        <w:rPr>
          <w:rFonts w:hint="eastAsia" w:ascii="宋体" w:hAnsi="宋体" w:cs="宋体"/>
          <w:szCs w:val="21"/>
        </w:rPr>
        <w:t xml:space="preserve">（用户名称和地址） </w:t>
      </w:r>
      <w:r>
        <w:rPr>
          <w:rFonts w:hint="eastAsia" w:ascii="宋体" w:hAnsi="宋体" w:cs="宋体"/>
          <w:szCs w:val="21"/>
          <w:u w:val="single"/>
        </w:rPr>
        <w:t>         </w:t>
      </w:r>
      <w:r>
        <w:rPr>
          <w:rFonts w:hint="eastAsia" w:ascii="宋体" w:hAnsi="宋体" w:cs="宋体"/>
          <w:szCs w:val="21"/>
        </w:rPr>
        <w:t>（销售项目名称）</w:t>
      </w:r>
    </w:p>
    <w:p w14:paraId="780256BD">
      <w:pPr>
        <w:pStyle w:val="139"/>
        <w:spacing w:line="440" w:lineRule="exact"/>
      </w:pPr>
      <w:r>
        <w:rPr>
          <w:rFonts w:hint="eastAsia" w:ascii="宋体" w:hAnsi="宋体" w:cs="宋体"/>
          <w:szCs w:val="21"/>
        </w:rPr>
        <w:t>5.同意为投标人制造货物的制造商名称、地址(</w:t>
      </w:r>
      <w:r>
        <w:rPr>
          <w:rFonts w:hint="eastAsia" w:ascii="宋体" w:hAnsi="宋体" w:cs="宋体"/>
          <w:szCs w:val="21"/>
          <w:u w:val="single"/>
        </w:rPr>
        <w:t>非制造商填写</w:t>
      </w:r>
      <w:r>
        <w:rPr>
          <w:rFonts w:hint="eastAsia" w:ascii="宋体" w:hAnsi="宋体" w:cs="宋体"/>
          <w:szCs w:val="21"/>
        </w:rPr>
        <w:t>)</w:t>
      </w:r>
    </w:p>
    <w:p w14:paraId="64796DC6">
      <w:pPr>
        <w:pStyle w:val="139"/>
        <w:spacing w:line="440" w:lineRule="exact"/>
        <w:ind w:left="420"/>
      </w:pPr>
      <w:r>
        <w:rPr>
          <w:rFonts w:hint="eastAsia" w:ascii="宋体" w:hAnsi="宋体" w:cs="宋体"/>
          <w:szCs w:val="21"/>
          <w:u w:val="single"/>
        </w:rPr>
        <w:t>                                                                        </w:t>
      </w:r>
    </w:p>
    <w:p w14:paraId="170B29D6">
      <w:pPr>
        <w:pStyle w:val="139"/>
        <w:spacing w:line="440" w:lineRule="exact"/>
      </w:pPr>
      <w:r>
        <w:rPr>
          <w:rFonts w:hint="eastAsia" w:ascii="宋体" w:hAnsi="宋体" w:cs="宋体"/>
          <w:szCs w:val="21"/>
        </w:rPr>
        <w:t>6,近年类似项目业绩(可另附页)：</w:t>
      </w:r>
    </w:p>
    <w:p w14:paraId="30C50CA3">
      <w:pPr>
        <w:pStyle w:val="139"/>
        <w:spacing w:line="440" w:lineRule="exact"/>
        <w:ind w:left="420"/>
      </w:pPr>
      <w:r>
        <w:rPr>
          <w:rFonts w:hint="eastAsia" w:ascii="宋体" w:hAnsi="宋体" w:cs="宋体"/>
          <w:szCs w:val="21"/>
        </w:rPr>
        <w:t>采购人：________________________________________</w:t>
      </w:r>
    </w:p>
    <w:p w14:paraId="22A2ED37">
      <w:pPr>
        <w:pStyle w:val="139"/>
        <w:spacing w:line="440" w:lineRule="exact"/>
        <w:ind w:left="420"/>
      </w:pPr>
      <w:r>
        <w:rPr>
          <w:rFonts w:hint="eastAsia" w:ascii="宋体" w:hAnsi="宋体" w:cs="宋体"/>
          <w:szCs w:val="21"/>
        </w:rPr>
        <w:t>合同签订时间：________________________________________</w:t>
      </w:r>
    </w:p>
    <w:p w14:paraId="20DEB566">
      <w:pPr>
        <w:pStyle w:val="139"/>
        <w:spacing w:line="440" w:lineRule="exact"/>
        <w:ind w:left="420"/>
      </w:pPr>
      <w:r>
        <w:rPr>
          <w:rFonts w:hint="eastAsia" w:ascii="宋体" w:hAnsi="宋体" w:cs="宋体"/>
          <w:szCs w:val="21"/>
        </w:rPr>
        <w:t>数量：________________________________________</w:t>
      </w:r>
    </w:p>
    <w:p w14:paraId="4B29FB4C">
      <w:pPr>
        <w:pStyle w:val="139"/>
        <w:spacing w:line="440" w:lineRule="exact"/>
        <w:ind w:left="420"/>
      </w:pPr>
      <w:r>
        <w:rPr>
          <w:rFonts w:hint="eastAsia" w:ascii="宋体" w:hAnsi="宋体" w:cs="宋体"/>
          <w:szCs w:val="21"/>
        </w:rPr>
        <w:t>合同金额：________________________________________</w:t>
      </w:r>
    </w:p>
    <w:p w14:paraId="47C198D9">
      <w:pPr>
        <w:pStyle w:val="139"/>
        <w:spacing w:line="440" w:lineRule="exact"/>
      </w:pPr>
      <w:r>
        <w:rPr>
          <w:rFonts w:hint="eastAsia" w:ascii="宋体" w:hAnsi="宋体" w:cs="宋体"/>
          <w:szCs w:val="21"/>
        </w:rPr>
        <w:t>7.开立基本帐户银行的名称和地址：________________________________________ （提供注册地人民银行开户许可证复印件）</w:t>
      </w:r>
    </w:p>
    <w:p w14:paraId="3B8BFE96">
      <w:pPr>
        <w:pStyle w:val="139"/>
        <w:spacing w:line="440" w:lineRule="exact"/>
      </w:pPr>
      <w:r>
        <w:rPr>
          <w:rFonts w:hint="eastAsia" w:ascii="宋体" w:hAnsi="宋体" w:cs="宋体"/>
          <w:szCs w:val="21"/>
        </w:rPr>
        <w:t>8.其他情况：组织机构、技术力量、制造商体系认证情况等</w:t>
      </w:r>
    </w:p>
    <w:p w14:paraId="7957852E">
      <w:pPr>
        <w:pStyle w:val="139"/>
        <w:spacing w:line="440" w:lineRule="exact"/>
      </w:pPr>
      <w:r>
        <w:rPr>
          <w:rFonts w:hint="eastAsia" w:ascii="宋体" w:hAnsi="宋体" w:cs="宋体"/>
          <w:szCs w:val="21"/>
        </w:rPr>
        <w:t>9.提供营业执照副本及其年检合格(自然人为投标人时，提供自然人身份证明)等证明材料的复印件。</w:t>
      </w:r>
    </w:p>
    <w:p w14:paraId="44B9B032">
      <w:pPr>
        <w:pStyle w:val="139"/>
        <w:spacing w:line="440" w:lineRule="exact"/>
        <w:ind w:firstLine="420"/>
      </w:pPr>
      <w:r>
        <w:rPr>
          <w:rFonts w:hint="eastAsia" w:ascii="宋体" w:hAnsi="宋体" w:cs="宋体"/>
          <w:szCs w:val="21"/>
        </w:rPr>
        <w:t>兹声明上述数据和资料是真实、正确的，我们同意遵照贵方要求出示有关证明文件。</w:t>
      </w:r>
    </w:p>
    <w:p w14:paraId="00E642D7">
      <w:pPr>
        <w:pStyle w:val="139"/>
        <w:spacing w:line="440" w:lineRule="exact"/>
        <w:ind w:firstLine="420"/>
      </w:pPr>
      <w:r>
        <w:rPr>
          <w:szCs w:val="21"/>
        </w:rPr>
        <w:t xml:space="preserve">  </w:t>
      </w:r>
    </w:p>
    <w:p w14:paraId="037D35E9">
      <w:pPr>
        <w:pStyle w:val="139"/>
        <w:spacing w:line="440" w:lineRule="exact"/>
        <w:ind w:firstLine="420"/>
      </w:pPr>
      <w:r>
        <w:rPr>
          <w:szCs w:val="21"/>
        </w:rPr>
        <w:t xml:space="preserve">  </w:t>
      </w:r>
    </w:p>
    <w:p w14:paraId="24EC636C">
      <w:pPr>
        <w:pStyle w:val="139"/>
        <w:spacing w:line="440" w:lineRule="exact"/>
        <w:ind w:firstLine="420"/>
      </w:pPr>
      <w:r>
        <w:rPr>
          <w:szCs w:val="21"/>
        </w:rPr>
        <w:t xml:space="preserve">  </w:t>
      </w:r>
    </w:p>
    <w:p w14:paraId="32C1F1CB">
      <w:pPr>
        <w:pStyle w:val="139"/>
        <w:spacing w:line="440" w:lineRule="exact"/>
        <w:ind w:firstLine="420"/>
      </w:pPr>
      <w:r>
        <w:rPr>
          <w:szCs w:val="21"/>
        </w:rPr>
        <w:t xml:space="preserve">  </w:t>
      </w:r>
    </w:p>
    <w:p w14:paraId="33A3DF35">
      <w:pPr>
        <w:pStyle w:val="139"/>
        <w:spacing w:line="440" w:lineRule="exact"/>
        <w:ind w:firstLine="420"/>
      </w:pPr>
      <w:r>
        <w:rPr>
          <w:szCs w:val="21"/>
        </w:rPr>
        <w:t xml:space="preserve">  </w:t>
      </w:r>
    </w:p>
    <w:p w14:paraId="7B25518C">
      <w:pPr>
        <w:pStyle w:val="139"/>
        <w:spacing w:line="440" w:lineRule="exact"/>
      </w:pPr>
      <w:r>
        <w:rPr>
          <w:rFonts w:hint="eastAsia" w:ascii="宋体" w:hAnsi="宋体" w:cs="宋体"/>
          <w:szCs w:val="21"/>
        </w:rPr>
        <w:t>投标人名称（盖单位章）：</w:t>
      </w:r>
      <w:r>
        <w:rPr>
          <w:rFonts w:hint="eastAsia" w:ascii="宋体" w:hAnsi="宋体" w:cs="宋体"/>
          <w:szCs w:val="21"/>
          <w:u w:val="single"/>
        </w:rPr>
        <w:t>           </w:t>
      </w:r>
    </w:p>
    <w:p w14:paraId="29E4B183">
      <w:pPr>
        <w:pStyle w:val="139"/>
        <w:spacing w:line="440" w:lineRule="exact"/>
        <w:rPr>
          <w:rFonts w:ascii="宋体" w:hAnsi="宋体" w:cs="宋体"/>
          <w:szCs w:val="21"/>
        </w:rPr>
        <w:sectPr>
          <w:pgSz w:w="11906" w:h="16838"/>
          <w:pgMar w:top="1418" w:right="1418" w:bottom="1418" w:left="1418" w:header="851" w:footer="851" w:gutter="0"/>
          <w:pgNumType w:fmt="numberInDash"/>
          <w:cols w:space="720" w:num="1"/>
          <w:docGrid w:type="lines" w:linePitch="312" w:charSpace="0"/>
        </w:sectPr>
      </w:pPr>
      <w:r>
        <w:rPr>
          <w:rFonts w:hint="eastAsia" w:ascii="宋体" w:hAnsi="宋体" w:cs="宋体"/>
          <w:szCs w:val="21"/>
        </w:rPr>
        <w:t>日期：</w:t>
      </w:r>
      <w:r>
        <w:rPr>
          <w:rFonts w:hint="eastAsia" w:ascii="宋体" w:hAnsi="宋体" w:cs="Courier New"/>
          <w:szCs w:val="21"/>
        </w:rPr>
        <w:t>_____年___月___日</w:t>
      </w:r>
    </w:p>
    <w:p w14:paraId="39EC0B23">
      <w:pPr>
        <w:pStyle w:val="3"/>
      </w:pPr>
      <w:bookmarkStart w:id="170" w:name="_Toc13189"/>
      <w:r>
        <w:rPr>
          <w:rFonts w:hint="eastAsia"/>
        </w:rPr>
        <w:t>2-1 营业执照副本 (自然人为投标人时，提供自然人身份证明)等证明材料的复印件</w:t>
      </w:r>
      <w:bookmarkEnd w:id="170"/>
    </w:p>
    <w:p w14:paraId="357A4EA8">
      <w:pPr>
        <w:pStyle w:val="139"/>
        <w:spacing w:line="440" w:lineRule="exact"/>
        <w:rPr>
          <w:szCs w:val="21"/>
        </w:rPr>
        <w:sectPr>
          <w:pgSz w:w="11906" w:h="16838"/>
          <w:pgMar w:top="1418" w:right="1418" w:bottom="1418" w:left="1418" w:header="851" w:footer="851" w:gutter="0"/>
          <w:pgNumType w:fmt="numberInDash"/>
          <w:cols w:space="720" w:num="1"/>
          <w:docGrid w:type="lines" w:linePitch="312" w:charSpace="0"/>
        </w:sectPr>
      </w:pPr>
    </w:p>
    <w:p w14:paraId="207C6F9F">
      <w:pPr>
        <w:pStyle w:val="3"/>
      </w:pPr>
      <w:bookmarkStart w:id="171" w:name="_Toc18900"/>
      <w:bookmarkStart w:id="172" w:name="_Toc256000058"/>
      <w:r>
        <w:rPr>
          <w:rFonts w:hint="eastAsia"/>
        </w:rPr>
        <w:t>附件3 投标人资格声明</w:t>
      </w:r>
      <w:bookmarkEnd w:id="171"/>
      <w:bookmarkEnd w:id="172"/>
    </w:p>
    <w:p w14:paraId="030E14CE">
      <w:pPr>
        <w:autoSpaceDE w:val="0"/>
        <w:adjustRightInd w:val="0"/>
        <w:snapToGrid w:val="0"/>
        <w:spacing w:before="156" w:beforeLines="50" w:after="156" w:afterLines="50" w:line="440" w:lineRule="exact"/>
        <w:jc w:val="center"/>
        <w:rPr>
          <w:rFonts w:ascii="宋体" w:hAnsi="宋体"/>
          <w:sz w:val="24"/>
          <w:szCs w:val="21"/>
          <w:highlight w:val="white"/>
        </w:rPr>
      </w:pPr>
      <w:r>
        <w:rPr>
          <w:rFonts w:hint="eastAsia" w:ascii="宋体" w:hAnsi="宋体"/>
          <w:sz w:val="24"/>
          <w:szCs w:val="21"/>
          <w:highlight w:val="white"/>
        </w:rPr>
        <w:t>投标人资格声明</w:t>
      </w:r>
    </w:p>
    <w:p w14:paraId="467101F0">
      <w:pPr>
        <w:pStyle w:val="140"/>
        <w:spacing w:line="440" w:lineRule="exact"/>
        <w:ind w:firstLine="420" w:firstLineChars="200"/>
        <w:rPr>
          <w:rFonts w:ascii="宋体" w:hAnsi="宋体" w:cs="宋体"/>
          <w:szCs w:val="21"/>
        </w:rPr>
      </w:pPr>
      <w:r>
        <w:rPr>
          <w:rFonts w:hint="eastAsia" w:ascii="宋体" w:hAnsi="宋体" w:cs="宋体"/>
          <w:szCs w:val="21"/>
        </w:rPr>
        <w:t>致(采购人、采购代理机构)：</w:t>
      </w:r>
    </w:p>
    <w:p w14:paraId="6049848F">
      <w:pPr>
        <w:pStyle w:val="140"/>
        <w:spacing w:line="440" w:lineRule="exact"/>
        <w:ind w:firstLine="420" w:firstLineChars="200"/>
        <w:rPr>
          <w:rFonts w:ascii="宋体" w:hAnsi="宋体" w:cs="宋体"/>
          <w:szCs w:val="21"/>
        </w:rPr>
      </w:pPr>
      <w:r>
        <w:rPr>
          <w:rFonts w:hint="eastAsia" w:ascii="宋体" w:hAnsi="宋体" w:cs="宋体"/>
          <w:szCs w:val="21"/>
        </w:rPr>
        <w:t>按照《中华人民共和国政府采购法》第二十二条和招标文件的规定,我单位郑重声明如下:</w:t>
      </w:r>
    </w:p>
    <w:p w14:paraId="45CBFA53">
      <w:pPr>
        <w:pStyle w:val="140"/>
        <w:spacing w:line="440" w:lineRule="exact"/>
        <w:ind w:firstLine="420" w:firstLineChars="200"/>
        <w:rPr>
          <w:rFonts w:ascii="宋体" w:hAnsi="宋体" w:cs="宋体"/>
          <w:szCs w:val="21"/>
        </w:rPr>
      </w:pPr>
      <w:r>
        <w:rPr>
          <w:rFonts w:hint="eastAsia" w:ascii="宋体" w:hAnsi="宋体" w:cs="宋体"/>
          <w:szCs w:val="21"/>
        </w:rPr>
        <w:t>一、我单位是按照中华人民共和国法律规定登记注册的,注册地点为，全称为 ,统一社会信用代码为，法定代表人(单位负责人)为，具有独立承担民事责任的能力。</w:t>
      </w:r>
    </w:p>
    <w:p w14:paraId="5F097994">
      <w:pPr>
        <w:pStyle w:val="140"/>
        <w:spacing w:line="440" w:lineRule="exact"/>
        <w:ind w:firstLine="420" w:firstLineChars="200"/>
        <w:rPr>
          <w:rFonts w:ascii="宋体" w:hAnsi="宋体" w:cs="宋体"/>
          <w:szCs w:val="21"/>
        </w:rPr>
      </w:pPr>
      <w:r>
        <w:rPr>
          <w:rFonts w:hint="eastAsia" w:ascii="宋体" w:hAnsi="宋体" w:cs="宋体"/>
          <w:szCs w:val="21"/>
        </w:rPr>
        <w:t>二、我单位未被“国家企业信用信息系统”列入经营异常名录或者严重违法企业名单。</w:t>
      </w:r>
    </w:p>
    <w:p w14:paraId="0ADFBD0C">
      <w:pPr>
        <w:pStyle w:val="140"/>
        <w:spacing w:line="440" w:lineRule="exact"/>
        <w:ind w:firstLine="420" w:firstLineChars="200"/>
        <w:rPr>
          <w:rFonts w:ascii="宋体" w:hAnsi="宋体" w:cs="宋体"/>
          <w:szCs w:val="21"/>
        </w:rPr>
      </w:pPr>
      <w:r>
        <w:rPr>
          <w:rFonts w:hint="eastAsia" w:ascii="宋体" w:hAnsi="宋体" w:cs="宋体"/>
          <w:szCs w:val="21"/>
        </w:rPr>
        <w:t>三、我单位具有良好的商业信誉和健全的财务会计制度。</w:t>
      </w:r>
    </w:p>
    <w:p w14:paraId="5CCC5D54">
      <w:pPr>
        <w:pStyle w:val="140"/>
        <w:spacing w:line="440" w:lineRule="exact"/>
        <w:ind w:firstLine="420" w:firstLineChars="200"/>
        <w:rPr>
          <w:rFonts w:ascii="宋体" w:hAnsi="宋体" w:cs="宋体"/>
          <w:szCs w:val="21"/>
        </w:rPr>
      </w:pPr>
      <w:r>
        <w:rPr>
          <w:rFonts w:hint="eastAsia" w:ascii="宋体" w:hAnsi="宋体" w:cs="宋体"/>
          <w:szCs w:val="21"/>
        </w:rPr>
        <w:t>四、我单位依法进行纳税和社会保险申报并实际履行了义务。</w:t>
      </w:r>
    </w:p>
    <w:p w14:paraId="44497474">
      <w:pPr>
        <w:pStyle w:val="140"/>
        <w:spacing w:line="440" w:lineRule="exact"/>
        <w:ind w:firstLine="420" w:firstLineChars="200"/>
        <w:rPr>
          <w:rFonts w:ascii="宋体" w:hAnsi="宋体" w:cs="宋体"/>
          <w:szCs w:val="21"/>
        </w:rPr>
      </w:pPr>
      <w:r>
        <w:rPr>
          <w:rFonts w:hint="eastAsia" w:ascii="宋体" w:hAnsi="宋体" w:cs="宋体"/>
          <w:szCs w:val="21"/>
        </w:rPr>
        <w:t>五、我单位具有履行本项目采购合同所必需的设备和专业技术能力,并具有履行合同的良好记录。</w:t>
      </w:r>
    </w:p>
    <w:p w14:paraId="4B8ACBC5">
      <w:pPr>
        <w:pStyle w:val="140"/>
        <w:spacing w:line="440" w:lineRule="exact"/>
        <w:ind w:firstLine="420" w:firstLineChars="200"/>
        <w:rPr>
          <w:rFonts w:ascii="宋体" w:hAnsi="宋体" w:cs="宋体"/>
          <w:szCs w:val="21"/>
        </w:rPr>
      </w:pPr>
      <w:r>
        <w:rPr>
          <w:rFonts w:hint="eastAsia" w:ascii="宋体" w:hAnsi="宋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在参加政府采购活动前 3 年内因违法经营被禁止在一定期限内参加政府采购活动,期限届满的,可以参加政府采购活动。</w:t>
      </w:r>
    </w:p>
    <w:p w14:paraId="0FE69632">
      <w:pPr>
        <w:pStyle w:val="140"/>
        <w:spacing w:line="440" w:lineRule="exact"/>
        <w:ind w:firstLine="420" w:firstLineChars="200"/>
        <w:rPr>
          <w:rFonts w:ascii="宋体" w:hAnsi="宋体" w:cs="宋体"/>
          <w:szCs w:val="21"/>
        </w:rPr>
      </w:pPr>
      <w:r>
        <w:rPr>
          <w:rFonts w:hint="eastAsia" w:ascii="宋体" w:hAnsi="宋体" w:cs="宋体"/>
          <w:szCs w:val="21"/>
        </w:rPr>
        <w:t>七、我单位具备法律、行政法规规定的其他条件。</w:t>
      </w:r>
    </w:p>
    <w:p w14:paraId="31CDBEF9">
      <w:pPr>
        <w:pStyle w:val="140"/>
        <w:spacing w:line="440" w:lineRule="exact"/>
        <w:ind w:firstLine="420" w:firstLineChars="200"/>
        <w:rPr>
          <w:rFonts w:ascii="宋体" w:hAnsi="宋体" w:cs="宋体"/>
          <w:szCs w:val="21"/>
        </w:rPr>
      </w:pPr>
      <w:r>
        <w:rPr>
          <w:rFonts w:hint="eastAsia" w:ascii="宋体" w:hAnsi="宋体" w:cs="宋体"/>
          <w:szCs w:val="21"/>
        </w:rPr>
        <w:t>八、与我单位存在“单位负责人为同一人或者存在直接控股、管理关系”的其他单位信息如下(如无,填写“无”):</w:t>
      </w:r>
    </w:p>
    <w:p w14:paraId="7EB13389">
      <w:pPr>
        <w:pStyle w:val="140"/>
        <w:spacing w:line="440" w:lineRule="exact"/>
        <w:ind w:firstLine="420" w:firstLineChars="200"/>
        <w:rPr>
          <w:rFonts w:ascii="宋体" w:hAnsi="宋体" w:cs="宋体"/>
          <w:szCs w:val="21"/>
        </w:rPr>
      </w:pPr>
      <w:r>
        <w:rPr>
          <w:rFonts w:hint="eastAsia" w:ascii="宋体" w:hAnsi="宋体" w:cs="宋体"/>
          <w:szCs w:val="21"/>
        </w:rPr>
        <w:t>1、与我单位的法定代表人(单位负责人)为同一人的其他单位如下：</w:t>
      </w:r>
    </w:p>
    <w:p w14:paraId="51DC7F87">
      <w:pPr>
        <w:pStyle w:val="140"/>
        <w:spacing w:line="440" w:lineRule="exact"/>
        <w:ind w:firstLine="707" w:firstLineChars="337"/>
        <w:rPr>
          <w:rFonts w:ascii="宋体" w:hAnsi="宋体" w:cs="宋体"/>
          <w:szCs w:val="21"/>
        </w:rPr>
      </w:pPr>
      <w:r>
        <w:rPr>
          <w:rFonts w:hint="eastAsia" w:ascii="宋体" w:hAnsi="宋体" w:cs="宋体"/>
          <w:szCs w:val="21"/>
        </w:rPr>
        <w:t>_______________________________________________________________</w:t>
      </w:r>
    </w:p>
    <w:p w14:paraId="2D77DA18">
      <w:pPr>
        <w:pStyle w:val="140"/>
        <w:spacing w:line="440" w:lineRule="exact"/>
        <w:ind w:firstLine="420" w:firstLineChars="200"/>
        <w:rPr>
          <w:rFonts w:ascii="宋体" w:hAnsi="宋体" w:cs="宋体"/>
          <w:szCs w:val="21"/>
        </w:rPr>
      </w:pPr>
      <w:r>
        <w:rPr>
          <w:rFonts w:hint="eastAsia" w:ascii="宋体" w:hAnsi="宋体" w:cs="宋体"/>
          <w:szCs w:val="21"/>
        </w:rPr>
        <w:t>2、我单位直接控股的其他单位如下：</w:t>
      </w:r>
    </w:p>
    <w:p w14:paraId="7DD21492">
      <w:pPr>
        <w:pStyle w:val="140"/>
        <w:spacing w:line="440" w:lineRule="exact"/>
        <w:ind w:firstLine="707" w:firstLineChars="337"/>
        <w:rPr>
          <w:rFonts w:ascii="宋体" w:hAnsi="宋体" w:cs="宋体"/>
          <w:szCs w:val="21"/>
        </w:rPr>
      </w:pPr>
      <w:r>
        <w:rPr>
          <w:rFonts w:hint="eastAsia" w:ascii="宋体" w:hAnsi="宋体" w:cs="宋体"/>
          <w:szCs w:val="21"/>
        </w:rPr>
        <w:t>_______________________________________________________________</w:t>
      </w:r>
    </w:p>
    <w:p w14:paraId="47EAFD22">
      <w:pPr>
        <w:pStyle w:val="140"/>
        <w:spacing w:line="440" w:lineRule="exact"/>
        <w:ind w:firstLine="420" w:firstLineChars="200"/>
        <w:rPr>
          <w:rFonts w:ascii="宋体" w:hAnsi="宋体" w:cs="宋体"/>
          <w:szCs w:val="21"/>
        </w:rPr>
      </w:pPr>
      <w:r>
        <w:rPr>
          <w:rFonts w:hint="eastAsia" w:ascii="宋体" w:hAnsi="宋体" w:cs="宋体"/>
          <w:szCs w:val="21"/>
        </w:rPr>
        <w:t>3、与我单位存在管理关系的其他单位如下：</w:t>
      </w:r>
    </w:p>
    <w:p w14:paraId="4B9DFC45">
      <w:pPr>
        <w:pStyle w:val="140"/>
        <w:spacing w:line="440" w:lineRule="exact"/>
        <w:ind w:firstLine="707" w:firstLineChars="337"/>
        <w:rPr>
          <w:rFonts w:ascii="宋体" w:hAnsi="宋体" w:cs="宋体"/>
          <w:szCs w:val="21"/>
        </w:rPr>
      </w:pPr>
      <w:r>
        <w:rPr>
          <w:rFonts w:hint="eastAsia" w:ascii="宋体" w:hAnsi="宋体" w:cs="宋体"/>
          <w:szCs w:val="21"/>
        </w:rPr>
        <w:t>_______________________________________________________________</w:t>
      </w:r>
    </w:p>
    <w:p w14:paraId="46435C7F">
      <w:pPr>
        <w:pStyle w:val="140"/>
        <w:spacing w:line="440" w:lineRule="exact"/>
        <w:ind w:firstLine="420" w:firstLineChars="200"/>
        <w:rPr>
          <w:rFonts w:ascii="宋体" w:hAnsi="宋体" w:cs="宋体"/>
          <w:szCs w:val="21"/>
        </w:rPr>
      </w:pPr>
      <w:r>
        <w:rPr>
          <w:rFonts w:hint="eastAsia" w:ascii="宋体" w:hAnsi="宋体" w:cs="宋体"/>
          <w:szCs w:val="21"/>
        </w:rPr>
        <w:t>九、我单位不属于为本项目提供整体设计、规范编制或者项目管理、监理、检测等服务的投标人。</w:t>
      </w:r>
    </w:p>
    <w:p w14:paraId="745A8886">
      <w:pPr>
        <w:pStyle w:val="140"/>
        <w:spacing w:line="440" w:lineRule="exact"/>
        <w:ind w:firstLine="420" w:firstLineChars="200"/>
        <w:rPr>
          <w:rFonts w:ascii="宋体" w:hAnsi="宋体" w:cs="宋体"/>
          <w:szCs w:val="21"/>
        </w:rPr>
      </w:pPr>
      <w:r>
        <w:rPr>
          <w:rFonts w:hint="eastAsia" w:ascii="宋体" w:hAnsi="宋体" w:cs="宋体"/>
          <w:szCs w:val="21"/>
        </w:rPr>
        <w:t>十、我单位无以下不良信用记录情形：</w:t>
      </w:r>
    </w:p>
    <w:p w14:paraId="2EB4977E">
      <w:pPr>
        <w:pStyle w:val="140"/>
        <w:spacing w:line="440" w:lineRule="exact"/>
        <w:ind w:firstLine="420" w:firstLineChars="200"/>
        <w:rPr>
          <w:rFonts w:ascii="宋体" w:hAnsi="宋体" w:cs="宋体"/>
          <w:szCs w:val="21"/>
        </w:rPr>
      </w:pPr>
      <w:r>
        <w:rPr>
          <w:rFonts w:hint="eastAsia" w:ascii="宋体" w:hAnsi="宋体" w:cs="宋体"/>
          <w:szCs w:val="21"/>
        </w:rPr>
        <w:t>1、在“信用中国”网站被列入失信被执行人和重大税收违法案件当事人名单;</w:t>
      </w:r>
    </w:p>
    <w:p w14:paraId="65B0211F">
      <w:pPr>
        <w:pStyle w:val="140"/>
        <w:spacing w:line="440" w:lineRule="exact"/>
        <w:ind w:firstLine="420" w:firstLineChars="200"/>
        <w:rPr>
          <w:rFonts w:ascii="宋体" w:hAnsi="宋体" w:cs="宋体"/>
          <w:szCs w:val="21"/>
        </w:rPr>
      </w:pPr>
      <w:r>
        <w:rPr>
          <w:rFonts w:hint="eastAsia" w:ascii="宋体" w:hAnsi="宋体" w:cs="宋体"/>
          <w:szCs w:val="21"/>
        </w:rPr>
        <w:t>2、在“中国政府采购网”网站被列入政府采购严重违法失信行为记录名单;</w:t>
      </w:r>
    </w:p>
    <w:p w14:paraId="3C4A8984">
      <w:pPr>
        <w:pStyle w:val="140"/>
        <w:spacing w:line="440" w:lineRule="exact"/>
        <w:ind w:firstLine="420" w:firstLineChars="200"/>
        <w:rPr>
          <w:rFonts w:ascii="宋体" w:hAnsi="宋体" w:cs="宋体"/>
          <w:szCs w:val="21"/>
        </w:rPr>
      </w:pPr>
      <w:r>
        <w:rPr>
          <w:rFonts w:hint="eastAsia" w:ascii="宋体" w:hAnsi="宋体" w:cs="宋体"/>
          <w:szCs w:val="21"/>
        </w:rPr>
        <w:t>3、不符合《政府采购法》第二十二条规定的条件。</w:t>
      </w:r>
    </w:p>
    <w:p w14:paraId="68BF3B40">
      <w:pPr>
        <w:pStyle w:val="140"/>
        <w:spacing w:line="440" w:lineRule="exact"/>
        <w:ind w:firstLine="420" w:firstLineChars="200"/>
        <w:rPr>
          <w:rFonts w:ascii="宋体" w:hAnsi="宋体" w:cs="宋体"/>
          <w:szCs w:val="21"/>
        </w:rPr>
      </w:pPr>
      <w:r>
        <w:rPr>
          <w:rFonts w:hint="eastAsia" w:ascii="宋体" w:hAnsi="宋体" w:cs="宋体"/>
          <w:szCs w:val="21"/>
        </w:rPr>
        <w:t>我单位保证上述声明的事项都是真实的,如有虚假,我单位愿意承担相应的法律责任,并承担因此所造成的一切损失。</w:t>
      </w:r>
    </w:p>
    <w:p w14:paraId="344B0C6B">
      <w:pPr>
        <w:pStyle w:val="140"/>
        <w:spacing w:line="440" w:lineRule="exact"/>
        <w:ind w:firstLine="420" w:firstLineChars="200"/>
        <w:rPr>
          <w:rFonts w:ascii="宋体" w:hAnsi="宋体" w:cs="宋体"/>
          <w:szCs w:val="21"/>
        </w:rPr>
      </w:pPr>
      <w:r>
        <w:rPr>
          <w:rFonts w:hint="eastAsia" w:ascii="宋体" w:hAnsi="宋体" w:cs="宋体"/>
          <w:szCs w:val="21"/>
        </w:rPr>
        <w:t>注:第三条“良好的商业信誉”是指投标人经营状况良好,无本资格声明第十条情形。</w:t>
      </w:r>
    </w:p>
    <w:p w14:paraId="65EFFF5B">
      <w:pPr>
        <w:pStyle w:val="140"/>
        <w:spacing w:line="440" w:lineRule="exact"/>
        <w:ind w:firstLine="420" w:firstLineChars="200"/>
        <w:rPr>
          <w:rFonts w:ascii="宋体" w:hAnsi="宋体" w:cs="宋体"/>
          <w:szCs w:val="21"/>
        </w:rPr>
      </w:pPr>
    </w:p>
    <w:p w14:paraId="04895C42">
      <w:pPr>
        <w:pStyle w:val="140"/>
        <w:spacing w:line="440" w:lineRule="exact"/>
        <w:ind w:firstLine="420" w:firstLineChars="200"/>
        <w:rPr>
          <w:rFonts w:ascii="宋体" w:hAnsi="宋体" w:cs="宋体"/>
          <w:szCs w:val="21"/>
        </w:rPr>
      </w:pPr>
      <w:r>
        <w:rPr>
          <w:rFonts w:hint="eastAsia" w:ascii="宋体" w:hAnsi="宋体" w:cs="宋体"/>
          <w:szCs w:val="21"/>
        </w:rPr>
        <w:t>投标人名称(盖单位章)：</w:t>
      </w:r>
    </w:p>
    <w:p w14:paraId="181DEF5C">
      <w:pPr>
        <w:pStyle w:val="140"/>
        <w:spacing w:line="440" w:lineRule="exact"/>
        <w:ind w:firstLine="420" w:firstLineChars="200"/>
        <w:rPr>
          <w:rFonts w:ascii="宋体" w:hAnsi="宋体" w:cs="宋体"/>
          <w:szCs w:val="21"/>
        </w:rPr>
        <w:sectPr>
          <w:pgSz w:w="11906" w:h="16838"/>
          <w:pgMar w:top="1418" w:right="1418" w:bottom="1418" w:left="1418" w:header="851" w:footer="851" w:gutter="0"/>
          <w:pgNumType w:fmt="numberInDash"/>
          <w:cols w:space="720" w:num="1"/>
          <w:docGrid w:type="lines" w:linePitch="312" w:charSpace="0"/>
        </w:sectPr>
      </w:pPr>
      <w:r>
        <w:rPr>
          <w:rFonts w:hint="eastAsia" w:ascii="宋体" w:hAnsi="宋体" w:cs="宋体"/>
          <w:szCs w:val="21"/>
        </w:rPr>
        <w:t>日期:</w:t>
      </w:r>
      <w:r>
        <w:rPr>
          <w:rFonts w:hint="eastAsia" w:ascii="宋体" w:hAnsi="宋体" w:cs="Courier New"/>
          <w:szCs w:val="21"/>
        </w:rPr>
        <w:t xml:space="preserve"> _____年___月___日</w:t>
      </w:r>
    </w:p>
    <w:p w14:paraId="4C30F525">
      <w:pPr>
        <w:pStyle w:val="3"/>
      </w:pPr>
      <w:bookmarkStart w:id="173" w:name="_Toc15861"/>
      <w:r>
        <w:rPr>
          <w:rFonts w:hint="eastAsia"/>
        </w:rPr>
        <w:t>附件4 利益回避承诺书</w:t>
      </w:r>
      <w:bookmarkEnd w:id="173"/>
    </w:p>
    <w:p w14:paraId="2AC8F01F">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致：中南大学湘雅三医院</w:t>
      </w:r>
    </w:p>
    <w:p w14:paraId="73F945DC">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我单位郑重声明如下：</w:t>
      </w:r>
    </w:p>
    <w:p w14:paraId="53F325B3">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一、我单位是按照中华人民共和国法律规定登记注册的，注册地点为______________，全称为__________，统一社会信用代码为____________________，法定代表人（单位负责人）为_______________，具有独立承担民事责任的能力。</w:t>
      </w:r>
    </w:p>
    <w:p w14:paraId="21DA638C">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二、我单位满足《中华人民共和国政府采购法》第二十二条规定。</w:t>
      </w:r>
    </w:p>
    <w:p w14:paraId="1F13815F">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三、我单位本次投标不存在以下情形：</w:t>
      </w:r>
    </w:p>
    <w:p w14:paraId="6B29A1D2">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1.提供虚假材料谋取中标、成交；</w:t>
      </w:r>
    </w:p>
    <w:p w14:paraId="43DA5AAE">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2.采取不正当手段诋毁、排挤其他供应商；</w:t>
      </w:r>
    </w:p>
    <w:p w14:paraId="62F6662E">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3.与采购人、其他供应商或者采购代理机构恶意串通；</w:t>
      </w:r>
    </w:p>
    <w:p w14:paraId="781C72E1">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4.向采购人、采购代理机构行贿或者提供其他不正当利益；</w:t>
      </w:r>
    </w:p>
    <w:p w14:paraId="05435E9C">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5.在采购过程中私下与采购人进行协商谈判；</w:t>
      </w:r>
    </w:p>
    <w:p w14:paraId="081267EB">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6.我单位和相关控股单位同时参与本次项目投标。</w:t>
      </w:r>
    </w:p>
    <w:p w14:paraId="63D0EEE5">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四、本次采购活动前3年内，采购人（采购人代表及相关人员）与我单位存在利害关系信息如下（如无，填写“无”）：</w:t>
      </w:r>
    </w:p>
    <w:p w14:paraId="5E7E2266">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1.与我单位存在劳动关系如下：__________________；</w:t>
      </w:r>
    </w:p>
    <w:p w14:paraId="31D6F6B8">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2.任我单位董事、监事等职务如下：____________________；</w:t>
      </w:r>
    </w:p>
    <w:p w14:paraId="483594B8">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3. 任我单位控股股东或者实际控制人如下：____________________；</w:t>
      </w:r>
    </w:p>
    <w:p w14:paraId="6C0019FD">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4. 与我单位的法定代表人或者负责人有夫妻、直系血亲、三代以内旁系血亲或者近姻亲关系如下：_________________；</w:t>
      </w:r>
    </w:p>
    <w:p w14:paraId="1520F0B9">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5. 与我单位有其他可能影响政府采购活动公平、公正进行的关系如下：_____________。</w:t>
      </w:r>
    </w:p>
    <w:p w14:paraId="2A9C9CF2">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我单位保证上述声明的事项都是真实的，如有虚假，我单位愿意承担相应的法律责任，并承担因此所造成的一切损失。</w:t>
      </w:r>
    </w:p>
    <w:p w14:paraId="056B37FA">
      <w:pPr>
        <w:pStyle w:val="142"/>
        <w:adjustRightInd w:val="0"/>
        <w:snapToGrid w:val="0"/>
        <w:spacing w:line="440" w:lineRule="exact"/>
        <w:ind w:firstLine="420" w:firstLineChars="200"/>
        <w:rPr>
          <w:rFonts w:ascii="宋体" w:hAnsi="宋体"/>
          <w:color w:val="000000"/>
          <w:szCs w:val="21"/>
        </w:rPr>
      </w:pPr>
    </w:p>
    <w:p w14:paraId="0937121A">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投标人（盖单位章）：____________________</w:t>
      </w:r>
    </w:p>
    <w:p w14:paraId="37DD5401">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法定代表人（单位负责人）或其委托代理人（签字或盖章）：____________________</w:t>
      </w:r>
    </w:p>
    <w:p w14:paraId="54EE406E">
      <w:pPr>
        <w:pStyle w:val="142"/>
        <w:adjustRightInd w:val="0"/>
        <w:snapToGrid w:val="0"/>
        <w:spacing w:line="440" w:lineRule="exact"/>
        <w:ind w:firstLine="420" w:firstLineChars="200"/>
        <w:rPr>
          <w:rFonts w:ascii="宋体" w:hAnsi="宋体"/>
          <w:color w:val="000000"/>
          <w:szCs w:val="21"/>
        </w:rPr>
        <w:sectPr>
          <w:pgSz w:w="11906" w:h="16838"/>
          <w:pgMar w:top="1418" w:right="1418" w:bottom="1418" w:left="1418" w:header="851" w:footer="851" w:gutter="0"/>
          <w:pgNumType w:fmt="numberInDash"/>
          <w:cols w:space="720" w:num="1"/>
          <w:docGrid w:type="lines" w:linePitch="312" w:charSpace="0"/>
        </w:sectPr>
      </w:pPr>
      <w:r>
        <w:rPr>
          <w:rFonts w:hint="eastAsia" w:ascii="宋体" w:hAnsi="宋体"/>
          <w:color w:val="000000"/>
          <w:szCs w:val="21"/>
        </w:rPr>
        <w:t>日期：</w:t>
      </w:r>
      <w:r>
        <w:rPr>
          <w:rFonts w:hint="eastAsia" w:ascii="宋体" w:hAnsi="宋体" w:cs="Courier New"/>
          <w:szCs w:val="21"/>
        </w:rPr>
        <w:t>_____年___月___日</w:t>
      </w:r>
      <w:r>
        <w:rPr>
          <w:rFonts w:ascii="宋体" w:hAnsi="宋体"/>
          <w:color w:val="000000"/>
          <w:szCs w:val="21"/>
        </w:rPr>
        <w:br w:type="page"/>
      </w:r>
    </w:p>
    <w:p w14:paraId="135DC46D">
      <w:pPr>
        <w:pStyle w:val="3"/>
      </w:pPr>
      <w:bookmarkStart w:id="174" w:name="_Toc256000063"/>
      <w:bookmarkStart w:id="175" w:name="_Toc16465"/>
      <w:r>
        <w:rPr>
          <w:rFonts w:hint="eastAsia"/>
        </w:rPr>
        <w:t>附件 5投标保证金</w:t>
      </w:r>
      <w:bookmarkEnd w:id="174"/>
      <w:bookmarkEnd w:id="175"/>
    </w:p>
    <w:p w14:paraId="2D1FC530">
      <w:pPr>
        <w:pStyle w:val="142"/>
        <w:adjustRightInd w:val="0"/>
        <w:snapToGrid w:val="0"/>
        <w:spacing w:line="440" w:lineRule="exact"/>
        <w:ind w:firstLine="420" w:firstLineChars="200"/>
        <w:rPr>
          <w:rFonts w:ascii="宋体" w:hAnsi="宋体"/>
          <w:color w:val="000000"/>
          <w:szCs w:val="21"/>
        </w:rPr>
      </w:pPr>
    </w:p>
    <w:p w14:paraId="7F98A51B">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1、投标人须提供：付款凭证复印件，或金融机构、担保机构出具的保函原件（投标文件中附复印件）。</w:t>
      </w:r>
    </w:p>
    <w:p w14:paraId="265B87DA">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或</w:t>
      </w:r>
    </w:p>
    <w:p w14:paraId="7EAF3221">
      <w:pPr>
        <w:pStyle w:val="142"/>
        <w:adjustRightInd w:val="0"/>
        <w:snapToGrid w:val="0"/>
        <w:spacing w:line="440" w:lineRule="exact"/>
        <w:ind w:firstLine="420" w:firstLineChars="200"/>
        <w:rPr>
          <w:rFonts w:ascii="宋体" w:hAnsi="宋体"/>
          <w:color w:val="000000"/>
          <w:szCs w:val="21"/>
        </w:rPr>
      </w:pPr>
    </w:p>
    <w:p w14:paraId="3162071A">
      <w:pPr>
        <w:pStyle w:val="142"/>
        <w:adjustRightInd w:val="0"/>
        <w:snapToGrid w:val="0"/>
        <w:spacing w:line="440" w:lineRule="exact"/>
        <w:ind w:firstLine="420" w:firstLineChars="200"/>
        <w:rPr>
          <w:rFonts w:ascii="宋体" w:hAnsi="宋体"/>
          <w:color w:val="000000"/>
          <w:szCs w:val="21"/>
        </w:rPr>
      </w:pPr>
      <w:r>
        <w:rPr>
          <w:rFonts w:hint="eastAsia" w:ascii="宋体" w:hAnsi="宋体"/>
          <w:color w:val="000000"/>
          <w:szCs w:val="21"/>
        </w:rPr>
        <w:t>2、</w:t>
      </w:r>
      <w:r>
        <w:rPr>
          <w:rFonts w:ascii="宋体" w:hAnsi="宋体"/>
          <w:color w:val="000000"/>
          <w:szCs w:val="21"/>
        </w:rPr>
        <w:t>投标保函</w:t>
      </w:r>
    </w:p>
    <w:p w14:paraId="5955A2C6">
      <w:pPr>
        <w:pStyle w:val="141"/>
        <w:adjustRightInd w:val="0"/>
        <w:snapToGrid w:val="0"/>
        <w:spacing w:line="360" w:lineRule="auto"/>
        <w:jc w:val="center"/>
        <w:rPr>
          <w:rFonts w:ascii="黑体" w:hAnsi="黑体" w:eastAsia="黑体"/>
          <w:b/>
          <w:sz w:val="28"/>
          <w:szCs w:val="28"/>
          <w:u w:val="single"/>
        </w:rPr>
      </w:pPr>
      <w:r>
        <w:rPr>
          <w:rFonts w:hint="eastAsia" w:ascii="黑体" w:hAnsi="黑体" w:eastAsia="黑体"/>
          <w:b/>
          <w:sz w:val="28"/>
          <w:szCs w:val="28"/>
        </w:rPr>
        <w:t>投标保函（格式）</w:t>
      </w:r>
    </w:p>
    <w:p w14:paraId="09DA8D3B">
      <w:pPr>
        <w:pStyle w:val="141"/>
        <w:adjustRightInd w:val="0"/>
        <w:snapToGrid w:val="0"/>
        <w:spacing w:line="360" w:lineRule="auto"/>
        <w:jc w:val="center"/>
        <w:rPr>
          <w:rFonts w:ascii="宋体" w:hAnsi="宋体"/>
          <w:szCs w:val="24"/>
          <w:u w:val="single"/>
        </w:rPr>
      </w:pPr>
      <w:r>
        <w:rPr>
          <w:rFonts w:hint="eastAsia" w:ascii="宋体" w:hAnsi="宋体"/>
          <w:szCs w:val="24"/>
        </w:rPr>
        <w:t>（金融机构、担保机构保函）</w:t>
      </w:r>
    </w:p>
    <w:p w14:paraId="3ED9E0F3">
      <w:pPr>
        <w:pStyle w:val="141"/>
        <w:adjustRightInd w:val="0"/>
        <w:snapToGrid w:val="0"/>
        <w:spacing w:line="440" w:lineRule="exact"/>
        <w:jc w:val="left"/>
        <w:rPr>
          <w:rFonts w:ascii="宋体" w:hAnsi="宋体"/>
          <w:szCs w:val="24"/>
        </w:rPr>
      </w:pPr>
      <w:r>
        <w:rPr>
          <w:rFonts w:hint="eastAsia" w:ascii="宋体" w:hAnsi="宋体"/>
          <w:szCs w:val="24"/>
        </w:rPr>
        <w:t>________________________（采购人名称）：</w:t>
      </w:r>
    </w:p>
    <w:p w14:paraId="2CF9A47B">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鉴于______________（投标人名称）（以下称“投标人”）于____年__月___日参加_______（项目名称）政府采购招标</w:t>
      </w:r>
      <w:r>
        <w:rPr>
          <w:rFonts w:hint="eastAsia" w:ascii="宋体" w:hAnsi="宋体"/>
          <w:szCs w:val="21"/>
        </w:rPr>
        <w:t>（采购代理编号 ：___________________）</w:t>
      </w:r>
      <w:r>
        <w:rPr>
          <w:rFonts w:hint="eastAsia" w:ascii="宋体" w:hAnsi="宋体"/>
          <w:szCs w:val="24"/>
        </w:rPr>
        <w:t>的投标，_______________（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 7 日内向你方无条件支付人民币（大写）。</w:t>
      </w:r>
    </w:p>
    <w:p w14:paraId="49C73CFE">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本保函在投标有效期内保持有效。要求我方承担保证责任的通知应在投标有效期内送达我方。</w:t>
      </w:r>
    </w:p>
    <w:p w14:paraId="1D8FF3CE">
      <w:pPr>
        <w:pStyle w:val="141"/>
        <w:adjustRightInd w:val="0"/>
        <w:snapToGrid w:val="0"/>
        <w:spacing w:line="440" w:lineRule="exact"/>
        <w:ind w:firstLine="420" w:firstLineChars="200"/>
        <w:jc w:val="left"/>
        <w:rPr>
          <w:rFonts w:ascii="宋体" w:hAnsi="宋体"/>
          <w:szCs w:val="24"/>
        </w:rPr>
      </w:pPr>
    </w:p>
    <w:p w14:paraId="484EFE66">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担保人名称：________________（盖单位章）</w:t>
      </w:r>
    </w:p>
    <w:p w14:paraId="4B13EDA3">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法定代表人（单位负责人）或委托代理人：_____________（签字或盖章）</w:t>
      </w:r>
    </w:p>
    <w:p w14:paraId="7C30529D">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地    址：</w:t>
      </w:r>
    </w:p>
    <w:p w14:paraId="6EE5EE25">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邮政编码：</w:t>
      </w:r>
    </w:p>
    <w:p w14:paraId="10BFFF3F">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电    话：</w:t>
      </w:r>
    </w:p>
    <w:p w14:paraId="0A99987B">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_____年___月___日</w:t>
      </w:r>
    </w:p>
    <w:p w14:paraId="14460C92">
      <w:pPr>
        <w:pStyle w:val="142"/>
        <w:adjustRightInd w:val="0"/>
        <w:snapToGrid w:val="0"/>
        <w:spacing w:line="440" w:lineRule="exact"/>
        <w:ind w:firstLine="420" w:firstLineChars="200"/>
        <w:rPr>
          <w:rFonts w:ascii="宋体" w:hAnsi="宋体"/>
          <w:color w:val="000000"/>
          <w:szCs w:val="21"/>
        </w:rPr>
        <w:sectPr>
          <w:pgSz w:w="11906" w:h="16838"/>
          <w:pgMar w:top="1418" w:right="1418" w:bottom="1418" w:left="1418" w:header="851" w:footer="851" w:gutter="0"/>
          <w:pgNumType w:fmt="numberInDash"/>
          <w:cols w:space="720" w:num="1"/>
          <w:docGrid w:type="lines" w:linePitch="312" w:charSpace="0"/>
        </w:sectPr>
      </w:pPr>
    </w:p>
    <w:p w14:paraId="19A6EDA1">
      <w:pPr>
        <w:pStyle w:val="21"/>
        <w:adjustRightInd w:val="0"/>
        <w:snapToGrid w:val="0"/>
        <w:spacing w:line="360" w:lineRule="auto"/>
        <w:jc w:val="center"/>
        <w:rPr>
          <w:rFonts w:ascii="黑体" w:hAnsi="华文中宋" w:eastAsia="黑体"/>
          <w:sz w:val="52"/>
          <w:szCs w:val="52"/>
        </w:rPr>
      </w:pPr>
    </w:p>
    <w:p w14:paraId="4148F2BB">
      <w:pPr>
        <w:pStyle w:val="21"/>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2732A83B">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6C4632B8">
      <w:pPr>
        <w:pStyle w:val="51"/>
        <w:spacing w:before="156"/>
      </w:pPr>
    </w:p>
    <w:p w14:paraId="77D07B8E">
      <w:pPr>
        <w:pStyle w:val="51"/>
        <w:spacing w:before="156"/>
      </w:pPr>
    </w:p>
    <w:p w14:paraId="4BD0504E">
      <w:pPr>
        <w:pStyle w:val="51"/>
        <w:spacing w:before="156"/>
      </w:pPr>
    </w:p>
    <w:p w14:paraId="157AC01B">
      <w:pPr>
        <w:numPr>
          <w:ilvl w:val="0"/>
          <w:numId w:val="2"/>
        </w:numPr>
        <w:adjustRightInd w:val="0"/>
        <w:snapToGrid w:val="0"/>
        <w:spacing w:line="360" w:lineRule="auto"/>
        <w:jc w:val="center"/>
        <w:rPr>
          <w:rFonts w:ascii="黑体" w:hAnsi="黑体" w:eastAsia="黑体"/>
          <w:b/>
          <w:bCs/>
          <w:sz w:val="44"/>
          <w:szCs w:val="44"/>
        </w:rPr>
      </w:pPr>
      <w:r>
        <w:rPr>
          <w:rFonts w:hint="eastAsia" w:ascii="黑体" w:hAnsi="黑体" w:eastAsia="黑体"/>
          <w:b/>
          <w:bCs/>
          <w:sz w:val="44"/>
          <w:szCs w:val="44"/>
        </w:rPr>
        <w:t>商务文件</w:t>
      </w:r>
    </w:p>
    <w:p w14:paraId="33BDA5E1">
      <w:pPr>
        <w:adjustRightInd w:val="0"/>
        <w:snapToGrid w:val="0"/>
        <w:spacing w:line="360" w:lineRule="auto"/>
        <w:jc w:val="center"/>
        <w:rPr>
          <w:rFonts w:ascii="黑体" w:hAnsi="黑体" w:eastAsia="黑体"/>
          <w:b/>
          <w:bCs/>
          <w:color w:val="FF0000"/>
          <w:sz w:val="44"/>
          <w:szCs w:val="44"/>
        </w:rPr>
      </w:pPr>
    </w:p>
    <w:p w14:paraId="17EC1DFE">
      <w:pPr>
        <w:adjustRightInd w:val="0"/>
        <w:snapToGrid w:val="0"/>
        <w:spacing w:line="360" w:lineRule="auto"/>
        <w:ind w:left="2982" w:hanging="2132"/>
        <w:rPr>
          <w:rFonts w:asciiTheme="minorEastAsia" w:hAnsiTheme="minorEastAsia" w:eastAsiaTheme="minorEastAsia"/>
          <w:b/>
          <w:color w:val="000000"/>
          <w:sz w:val="30"/>
          <w:szCs w:val="30"/>
        </w:rPr>
      </w:pPr>
    </w:p>
    <w:p w14:paraId="0001687E">
      <w:pPr>
        <w:pStyle w:val="51"/>
        <w:spacing w:before="156"/>
      </w:pPr>
    </w:p>
    <w:p w14:paraId="5E8124F2">
      <w:pPr>
        <w:pStyle w:val="51"/>
        <w:spacing w:before="156"/>
      </w:pPr>
    </w:p>
    <w:p w14:paraId="44A4E433">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采购项目名称：___________________</w:t>
      </w:r>
    </w:p>
    <w:p w14:paraId="459C2B3B">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   购   人：___________________</w:t>
      </w:r>
    </w:p>
    <w:p w14:paraId="3FA42349">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采购代理编号：___________________</w:t>
      </w:r>
    </w:p>
    <w:p w14:paraId="07148E88">
      <w:pPr>
        <w:pStyle w:val="21"/>
        <w:adjustRightInd w:val="0"/>
        <w:snapToGrid w:val="0"/>
        <w:spacing w:line="360" w:lineRule="auto"/>
        <w:ind w:left="2" w:firstLine="704" w:firstLineChars="220"/>
        <w:jc w:val="left"/>
        <w:rPr>
          <w:rFonts w:ascii="黑体" w:hAnsi="黑体" w:eastAsia="黑体" w:cs="Times New Roman"/>
          <w:bCs/>
          <w:color w:val="000000"/>
          <w:sz w:val="36"/>
          <w:szCs w:val="36"/>
        </w:rPr>
      </w:pPr>
      <w:r>
        <w:rPr>
          <w:rFonts w:hint="eastAsia" w:ascii="黑体" w:hAnsi="黑体" w:eastAsia="黑体" w:cs="Times New Roman"/>
          <w:bCs/>
          <w:color w:val="000000"/>
          <w:sz w:val="32"/>
          <w:szCs w:val="32"/>
        </w:rPr>
        <w:t>采购代理机构：___________________</w:t>
      </w:r>
    </w:p>
    <w:p w14:paraId="37E98DA8">
      <w:pPr>
        <w:adjustRightInd w:val="0"/>
        <w:snapToGrid w:val="0"/>
        <w:ind w:left="2974" w:hanging="2124"/>
        <w:rPr>
          <w:rFonts w:ascii="黑体" w:hAnsi="宋体" w:eastAsia="黑体"/>
          <w:color w:val="000000"/>
          <w:sz w:val="30"/>
          <w:szCs w:val="30"/>
        </w:rPr>
      </w:pPr>
    </w:p>
    <w:p w14:paraId="34A5674F">
      <w:pPr>
        <w:pStyle w:val="51"/>
        <w:spacing w:before="156"/>
      </w:pPr>
    </w:p>
    <w:p w14:paraId="4E1329BC">
      <w:pPr>
        <w:adjustRightInd w:val="0"/>
        <w:snapToGrid w:val="0"/>
        <w:spacing w:line="360" w:lineRule="auto"/>
        <w:ind w:left="2"/>
        <w:jc w:val="center"/>
        <w:rPr>
          <w:rFonts w:ascii="黑体" w:hAnsi="黑体" w:eastAsia="黑体"/>
          <w:bCs/>
          <w:color w:val="000000"/>
          <w:sz w:val="28"/>
          <w:szCs w:val="28"/>
        </w:rPr>
      </w:pPr>
      <w:r>
        <w:rPr>
          <w:rFonts w:hint="eastAsia" w:ascii="黑体" w:hAnsi="宋体" w:eastAsia="黑体"/>
          <w:color w:val="000000"/>
          <w:sz w:val="32"/>
          <w:szCs w:val="32"/>
        </w:rPr>
        <w:t>投标人名称：</w:t>
      </w:r>
      <w:r>
        <w:rPr>
          <w:rFonts w:hint="eastAsia" w:ascii="黑体" w:hAnsi="黑体" w:eastAsia="黑体"/>
          <w:bCs/>
          <w:color w:val="000000"/>
          <w:sz w:val="28"/>
          <w:szCs w:val="28"/>
        </w:rPr>
        <w:t xml:space="preserve"> ___________________</w:t>
      </w:r>
    </w:p>
    <w:p w14:paraId="14E4EC66">
      <w:pPr>
        <w:pStyle w:val="136"/>
        <w:adjustRightInd w:val="0"/>
        <w:snapToGrid w:val="0"/>
        <w:spacing w:line="360" w:lineRule="auto"/>
        <w:jc w:val="center"/>
        <w:rPr>
          <w:rFonts w:ascii="宋体" w:hAnsi="宋体"/>
          <w:b/>
          <w:bCs/>
          <w:sz w:val="84"/>
          <w:szCs w:val="84"/>
        </w:rPr>
      </w:pPr>
      <w:r>
        <w:rPr>
          <w:rFonts w:hint="eastAsia" w:ascii="黑体" w:hAnsi="宋体" w:eastAsia="黑体"/>
          <w:color w:val="000000"/>
          <w:sz w:val="32"/>
          <w:szCs w:val="32"/>
        </w:rPr>
        <w:t>____年__月__日</w:t>
      </w:r>
    </w:p>
    <w:p w14:paraId="6E9AC9B5">
      <w:pPr>
        <w:widowControl/>
        <w:spacing w:line="480" w:lineRule="auto"/>
        <w:ind w:left="850" w:firstLine="484" w:firstLineChars="202"/>
        <w:jc w:val="left"/>
        <w:rPr>
          <w:rFonts w:ascii="黑体" w:hAnsi="黑体" w:eastAsia="黑体"/>
          <w:color w:val="000000"/>
          <w:sz w:val="24"/>
        </w:rPr>
        <w:sectPr>
          <w:pgSz w:w="11906" w:h="16838"/>
          <w:pgMar w:top="1418" w:right="1418" w:bottom="1418" w:left="1418" w:header="851" w:footer="851" w:gutter="0"/>
          <w:pgNumType w:fmt="numberInDash"/>
          <w:cols w:space="720" w:num="1"/>
          <w:docGrid w:type="lines" w:linePitch="312" w:charSpace="0"/>
        </w:sectPr>
      </w:pPr>
    </w:p>
    <w:p w14:paraId="43452EC0">
      <w:pPr>
        <w:pStyle w:val="3"/>
      </w:pPr>
      <w:bookmarkStart w:id="176" w:name="_Toc256000069"/>
      <w:bookmarkStart w:id="177" w:name="_Toc20784"/>
      <w:r>
        <w:rPr>
          <w:rFonts w:hint="eastAsia"/>
        </w:rPr>
        <w:t>二、投标函</w:t>
      </w:r>
      <w:bookmarkEnd w:id="176"/>
      <w:bookmarkEnd w:id="177"/>
    </w:p>
    <w:p w14:paraId="481FB169">
      <w:pPr>
        <w:pStyle w:val="143"/>
        <w:adjustRightInd w:val="0"/>
        <w:snapToGrid w:val="0"/>
        <w:spacing w:before="156" w:beforeLines="50" w:line="440" w:lineRule="exact"/>
        <w:rPr>
          <w:rFonts w:ascii="宋体" w:hAnsi="宋体"/>
          <w:szCs w:val="21"/>
        </w:rPr>
      </w:pPr>
      <w:r>
        <w:rPr>
          <w:rFonts w:hint="eastAsia" w:ascii="宋体" w:hAnsi="宋体"/>
          <w:szCs w:val="21"/>
        </w:rPr>
        <w:t>致：________________（采购人、采购代理机构）：</w:t>
      </w:r>
    </w:p>
    <w:p w14:paraId="0B97CFE2">
      <w:pPr>
        <w:pStyle w:val="143"/>
        <w:adjustRightInd w:val="0"/>
        <w:snapToGrid w:val="0"/>
        <w:spacing w:line="440" w:lineRule="exact"/>
        <w:ind w:firstLine="435"/>
        <w:rPr>
          <w:rFonts w:ascii="宋体" w:hAnsi="宋体"/>
          <w:szCs w:val="21"/>
        </w:rPr>
      </w:pPr>
      <w:r>
        <w:rPr>
          <w:rFonts w:hint="eastAsia" w:ascii="宋体" w:hAnsi="宋体"/>
          <w:szCs w:val="21"/>
        </w:rPr>
        <w:t>根据贵方为____________（项目名称）的投标邀请（采购代理编号：_____________），签字代表 __________（姓名、职务）经正式授权并代表投标人________________（投标人名称）提交包含下述内容的投标文件正本一份,副本____份；投标文件电子文档：一份，参加________________项目第______包投标，并在此声明，所递交的投标文件内容合法、完整、真实。</w:t>
      </w:r>
    </w:p>
    <w:p w14:paraId="645C9AC8">
      <w:pPr>
        <w:pStyle w:val="143"/>
        <w:adjustRightInd w:val="0"/>
        <w:snapToGrid w:val="0"/>
        <w:spacing w:line="440" w:lineRule="exact"/>
        <w:ind w:firstLine="422" w:firstLineChars="200"/>
        <w:rPr>
          <w:rFonts w:ascii="宋体" w:hAnsi="宋体"/>
          <w:b/>
          <w:szCs w:val="21"/>
        </w:rPr>
      </w:pPr>
      <w:r>
        <w:rPr>
          <w:rFonts w:hint="eastAsia" w:ascii="宋体" w:hAnsi="宋体"/>
          <w:b/>
          <w:szCs w:val="21"/>
        </w:rPr>
        <w:t>第一部分  资格证明文件</w:t>
      </w:r>
    </w:p>
    <w:p w14:paraId="2C6787B5">
      <w:pPr>
        <w:pStyle w:val="143"/>
        <w:adjustRightInd w:val="0"/>
        <w:snapToGrid w:val="0"/>
        <w:spacing w:line="440" w:lineRule="exact"/>
        <w:ind w:firstLine="630" w:firstLineChars="300"/>
        <w:rPr>
          <w:rFonts w:ascii="宋体" w:hAnsi="宋体"/>
          <w:szCs w:val="21"/>
        </w:rPr>
      </w:pPr>
      <w:r>
        <w:rPr>
          <w:rFonts w:hint="eastAsia" w:ascii="宋体" w:hAnsi="宋体"/>
          <w:szCs w:val="21"/>
        </w:rPr>
        <w:t>一、投标人具备投标资格的证明文件</w:t>
      </w:r>
    </w:p>
    <w:p w14:paraId="23EC6471">
      <w:pPr>
        <w:pStyle w:val="143"/>
        <w:adjustRightInd w:val="0"/>
        <w:snapToGrid w:val="0"/>
        <w:spacing w:line="440" w:lineRule="exact"/>
        <w:ind w:firstLine="630" w:firstLineChars="300"/>
        <w:rPr>
          <w:rFonts w:ascii="宋体" w:hAnsi="宋体"/>
          <w:szCs w:val="21"/>
        </w:rPr>
      </w:pPr>
      <w:r>
        <w:rPr>
          <w:rFonts w:hint="eastAsia" w:ascii="宋体" w:hAnsi="宋体"/>
          <w:szCs w:val="21"/>
        </w:rPr>
        <w:t>附件1 授权委托书</w:t>
      </w:r>
    </w:p>
    <w:p w14:paraId="02EAA179">
      <w:pPr>
        <w:pStyle w:val="143"/>
        <w:adjustRightInd w:val="0"/>
        <w:snapToGrid w:val="0"/>
        <w:spacing w:line="440" w:lineRule="exact"/>
        <w:ind w:left="1275" w:leftChars="607"/>
        <w:rPr>
          <w:rFonts w:ascii="宋体" w:hAnsi="宋体"/>
          <w:szCs w:val="21"/>
        </w:rPr>
      </w:pPr>
      <w:r>
        <w:rPr>
          <w:rFonts w:hint="eastAsia" w:ascii="宋体" w:hAnsi="宋体"/>
          <w:szCs w:val="21"/>
        </w:rPr>
        <w:t>1-1 法定代表人身份证明</w:t>
      </w:r>
    </w:p>
    <w:p w14:paraId="625EEF85">
      <w:pPr>
        <w:pStyle w:val="143"/>
        <w:adjustRightInd w:val="0"/>
        <w:snapToGrid w:val="0"/>
        <w:spacing w:line="440" w:lineRule="exact"/>
        <w:ind w:firstLine="630" w:firstLineChars="300"/>
        <w:rPr>
          <w:rFonts w:ascii="宋体" w:hAnsi="宋体"/>
          <w:szCs w:val="21"/>
        </w:rPr>
      </w:pPr>
      <w:r>
        <w:rPr>
          <w:rFonts w:hint="eastAsia" w:ascii="宋体" w:hAnsi="宋体"/>
          <w:szCs w:val="21"/>
        </w:rPr>
        <w:t>附件2 投标人基本情况</w:t>
      </w:r>
    </w:p>
    <w:p w14:paraId="21C0561F">
      <w:pPr>
        <w:pStyle w:val="143"/>
        <w:adjustRightInd w:val="0"/>
        <w:snapToGrid w:val="0"/>
        <w:spacing w:line="440" w:lineRule="exact"/>
        <w:ind w:left="1275" w:leftChars="607"/>
        <w:rPr>
          <w:rFonts w:ascii="宋体" w:hAnsi="宋体"/>
          <w:szCs w:val="21"/>
        </w:rPr>
      </w:pPr>
      <w:r>
        <w:rPr>
          <w:rFonts w:hint="eastAsia" w:ascii="宋体" w:hAnsi="宋体"/>
          <w:szCs w:val="21"/>
        </w:rPr>
        <w:t>2-1 营业执照副本及其年检合格(自然人为投标人时，提供自然人身份证明)等证明材料的复印件</w:t>
      </w:r>
    </w:p>
    <w:p w14:paraId="0846FD94">
      <w:pPr>
        <w:pStyle w:val="143"/>
        <w:adjustRightInd w:val="0"/>
        <w:snapToGrid w:val="0"/>
        <w:spacing w:line="440" w:lineRule="exact"/>
        <w:ind w:firstLine="630" w:firstLineChars="300"/>
        <w:rPr>
          <w:rFonts w:ascii="宋体" w:hAnsi="宋体"/>
          <w:szCs w:val="21"/>
        </w:rPr>
      </w:pPr>
      <w:r>
        <w:rPr>
          <w:rFonts w:hint="eastAsia" w:ascii="宋体" w:hAnsi="宋体"/>
          <w:szCs w:val="21"/>
        </w:rPr>
        <w:t>附件3 投标人资格声明</w:t>
      </w:r>
    </w:p>
    <w:p w14:paraId="143EFE6E">
      <w:pPr>
        <w:pStyle w:val="143"/>
        <w:adjustRightInd w:val="0"/>
        <w:snapToGrid w:val="0"/>
        <w:spacing w:line="440" w:lineRule="exact"/>
        <w:ind w:firstLine="630" w:firstLineChars="300"/>
        <w:rPr>
          <w:rFonts w:ascii="宋体" w:hAnsi="宋体"/>
          <w:szCs w:val="21"/>
        </w:rPr>
      </w:pPr>
      <w:r>
        <w:rPr>
          <w:rFonts w:hint="eastAsia" w:ascii="宋体" w:hAnsi="宋体"/>
          <w:szCs w:val="21"/>
        </w:rPr>
        <w:t>附件4 利益回避承诺书</w:t>
      </w:r>
    </w:p>
    <w:p w14:paraId="7AEFEF76">
      <w:pPr>
        <w:pStyle w:val="143"/>
        <w:adjustRightInd w:val="0"/>
        <w:snapToGrid w:val="0"/>
        <w:spacing w:line="440" w:lineRule="exact"/>
        <w:ind w:firstLine="630" w:firstLineChars="300"/>
        <w:rPr>
          <w:rFonts w:ascii="宋体" w:hAnsi="宋体"/>
          <w:szCs w:val="21"/>
        </w:rPr>
      </w:pPr>
      <w:r>
        <w:rPr>
          <w:rFonts w:hint="eastAsia" w:ascii="宋体" w:hAnsi="宋体"/>
          <w:szCs w:val="21"/>
        </w:rPr>
        <w:t>附件5</w:t>
      </w:r>
      <w:r>
        <w:rPr>
          <w:rFonts w:hint="eastAsia" w:ascii="宋体" w:hAnsi="宋体"/>
          <w:szCs w:val="21"/>
        </w:rPr>
        <w:tab/>
      </w:r>
      <w:r>
        <w:rPr>
          <w:rFonts w:hint="eastAsia" w:ascii="宋体" w:hAnsi="宋体"/>
          <w:szCs w:val="21"/>
        </w:rPr>
        <w:t xml:space="preserve"> 投标保证金</w:t>
      </w:r>
    </w:p>
    <w:p w14:paraId="6E31B20A">
      <w:pPr>
        <w:pStyle w:val="143"/>
        <w:adjustRightInd w:val="0"/>
        <w:snapToGrid w:val="0"/>
        <w:spacing w:line="440" w:lineRule="exact"/>
        <w:ind w:firstLine="422" w:firstLineChars="200"/>
        <w:rPr>
          <w:rFonts w:ascii="宋体" w:hAnsi="宋体"/>
          <w:b/>
          <w:szCs w:val="21"/>
        </w:rPr>
      </w:pPr>
      <w:r>
        <w:rPr>
          <w:rFonts w:hint="eastAsia" w:ascii="宋体" w:hAnsi="宋体"/>
          <w:b/>
          <w:szCs w:val="21"/>
        </w:rPr>
        <w:t>第二部分  商务文件</w:t>
      </w:r>
    </w:p>
    <w:p w14:paraId="41D4B9F8">
      <w:pPr>
        <w:pStyle w:val="143"/>
        <w:adjustRightInd w:val="0"/>
        <w:snapToGrid w:val="0"/>
        <w:spacing w:line="440" w:lineRule="exact"/>
        <w:ind w:firstLine="630" w:firstLineChars="300"/>
        <w:rPr>
          <w:rFonts w:ascii="宋体" w:hAnsi="宋体"/>
          <w:szCs w:val="21"/>
        </w:rPr>
      </w:pPr>
      <w:r>
        <w:rPr>
          <w:rFonts w:hint="eastAsia" w:ascii="宋体" w:hAnsi="宋体"/>
          <w:szCs w:val="21"/>
        </w:rPr>
        <w:t>二、投标函</w:t>
      </w:r>
    </w:p>
    <w:p w14:paraId="3CDDA310">
      <w:pPr>
        <w:pStyle w:val="143"/>
        <w:adjustRightInd w:val="0"/>
        <w:snapToGrid w:val="0"/>
        <w:spacing w:line="440" w:lineRule="exact"/>
        <w:ind w:firstLine="630" w:firstLineChars="300"/>
        <w:rPr>
          <w:rFonts w:ascii="宋体" w:hAnsi="宋体"/>
          <w:szCs w:val="21"/>
        </w:rPr>
      </w:pPr>
      <w:r>
        <w:rPr>
          <w:rFonts w:hint="eastAsia" w:ascii="宋体" w:hAnsi="宋体"/>
          <w:szCs w:val="21"/>
        </w:rPr>
        <w:t>三、开标一览表</w:t>
      </w:r>
    </w:p>
    <w:p w14:paraId="16F04767">
      <w:pPr>
        <w:pStyle w:val="143"/>
        <w:adjustRightInd w:val="0"/>
        <w:snapToGrid w:val="0"/>
        <w:spacing w:line="440" w:lineRule="exact"/>
        <w:ind w:firstLine="630" w:firstLineChars="300"/>
        <w:rPr>
          <w:rFonts w:ascii="宋体" w:hAnsi="宋体"/>
          <w:szCs w:val="21"/>
        </w:rPr>
      </w:pPr>
      <w:r>
        <w:rPr>
          <w:rFonts w:hint="eastAsia" w:ascii="宋体" w:hAnsi="宋体"/>
          <w:szCs w:val="21"/>
        </w:rPr>
        <w:t>四、分项报价明细表</w:t>
      </w:r>
    </w:p>
    <w:p w14:paraId="297835AE">
      <w:pPr>
        <w:pStyle w:val="143"/>
        <w:adjustRightInd w:val="0"/>
        <w:snapToGrid w:val="0"/>
        <w:spacing w:line="440" w:lineRule="exact"/>
        <w:ind w:firstLine="630" w:firstLineChars="300"/>
        <w:rPr>
          <w:rFonts w:ascii="宋体" w:hAnsi="宋体"/>
          <w:szCs w:val="21"/>
        </w:rPr>
      </w:pPr>
      <w:r>
        <w:rPr>
          <w:rFonts w:hint="eastAsia" w:ascii="宋体" w:hAnsi="宋体"/>
          <w:szCs w:val="21"/>
        </w:rPr>
        <w:t>五、政策优惠证明材料包含：</w:t>
      </w:r>
    </w:p>
    <w:p w14:paraId="326D20AA">
      <w:pPr>
        <w:pStyle w:val="143"/>
        <w:adjustRightInd w:val="0"/>
        <w:snapToGrid w:val="0"/>
        <w:spacing w:line="440" w:lineRule="exact"/>
        <w:ind w:left="1275" w:leftChars="607"/>
        <w:rPr>
          <w:rFonts w:ascii="宋体" w:hAnsi="宋体"/>
          <w:szCs w:val="21"/>
        </w:rPr>
      </w:pPr>
      <w:r>
        <w:rPr>
          <w:rFonts w:hint="eastAsia" w:ascii="宋体" w:hAnsi="宋体"/>
          <w:szCs w:val="21"/>
        </w:rPr>
        <w:t>5-1中小企业声明函</w:t>
      </w:r>
    </w:p>
    <w:p w14:paraId="5AFA9AD9">
      <w:pPr>
        <w:pStyle w:val="143"/>
        <w:adjustRightInd w:val="0"/>
        <w:snapToGrid w:val="0"/>
        <w:spacing w:line="440" w:lineRule="exact"/>
        <w:ind w:left="1275" w:leftChars="607"/>
        <w:rPr>
          <w:rFonts w:ascii="宋体" w:hAnsi="宋体"/>
          <w:szCs w:val="21"/>
        </w:rPr>
      </w:pPr>
      <w:r>
        <w:rPr>
          <w:rFonts w:hint="eastAsia" w:ascii="宋体" w:hAnsi="宋体"/>
          <w:szCs w:val="21"/>
        </w:rPr>
        <w:t>5-2残疾人福利性单位声明函</w:t>
      </w:r>
    </w:p>
    <w:p w14:paraId="4D2847E7">
      <w:pPr>
        <w:pStyle w:val="143"/>
        <w:adjustRightInd w:val="0"/>
        <w:snapToGrid w:val="0"/>
        <w:spacing w:line="440" w:lineRule="exact"/>
        <w:ind w:left="1275" w:leftChars="607"/>
        <w:rPr>
          <w:rFonts w:ascii="宋体" w:hAnsi="宋体"/>
          <w:szCs w:val="21"/>
        </w:rPr>
      </w:pPr>
      <w:r>
        <w:rPr>
          <w:rFonts w:hint="eastAsia" w:ascii="宋体" w:hAnsi="宋体"/>
          <w:szCs w:val="21"/>
        </w:rPr>
        <w:t>5-3监狱企业证明材料</w:t>
      </w:r>
    </w:p>
    <w:p w14:paraId="0B56AD71">
      <w:pPr>
        <w:pStyle w:val="143"/>
        <w:adjustRightInd w:val="0"/>
        <w:snapToGrid w:val="0"/>
        <w:spacing w:line="440" w:lineRule="exact"/>
        <w:ind w:firstLine="422" w:firstLineChars="200"/>
        <w:rPr>
          <w:rFonts w:ascii="宋体" w:hAnsi="宋体"/>
          <w:b/>
          <w:szCs w:val="21"/>
        </w:rPr>
      </w:pPr>
      <w:r>
        <w:rPr>
          <w:rFonts w:hint="eastAsia" w:ascii="宋体" w:hAnsi="宋体"/>
          <w:b/>
          <w:szCs w:val="21"/>
        </w:rPr>
        <w:t>第三部分  技术部分</w:t>
      </w:r>
    </w:p>
    <w:p w14:paraId="1A198329">
      <w:pPr>
        <w:adjustRightInd w:val="0"/>
        <w:snapToGrid w:val="0"/>
        <w:spacing w:line="420" w:lineRule="exact"/>
        <w:ind w:firstLine="707" w:firstLineChars="337"/>
        <w:rPr>
          <w:rFonts w:asciiTheme="minorEastAsia" w:hAnsiTheme="minorEastAsia" w:eastAsiaTheme="minorEastAsia"/>
          <w:bCs/>
          <w:sz w:val="24"/>
        </w:rPr>
      </w:pPr>
      <w:r>
        <w:rPr>
          <w:rFonts w:hint="eastAsia" w:ascii="宋体" w:hAnsi="宋体" w:cs="宋体"/>
          <w:kern w:val="0"/>
          <w:highlight w:val="white"/>
        </w:rPr>
        <w:t>六、</w:t>
      </w:r>
      <w:r>
        <w:rPr>
          <w:rFonts w:hint="eastAsia" w:asciiTheme="minorEastAsia" w:hAnsiTheme="minorEastAsia" w:eastAsiaTheme="minorEastAsia"/>
          <w:bCs/>
          <w:sz w:val="24"/>
        </w:rPr>
        <w:t>服务方案说明</w:t>
      </w:r>
    </w:p>
    <w:p w14:paraId="7B17C3D4">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七、主要人员简历表</w:t>
      </w:r>
    </w:p>
    <w:p w14:paraId="1F293256">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八、拟投入本项目的工作人员配置一览表</w:t>
      </w:r>
    </w:p>
    <w:p w14:paraId="324D9FD0">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九、采购需求响应（一）</w:t>
      </w:r>
    </w:p>
    <w:p w14:paraId="280ED6C9">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十、采购需求响应（二）</w:t>
      </w:r>
    </w:p>
    <w:p w14:paraId="28BDAE96">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十一、按招标文件的技术★条款的要求提供相关响应资料</w:t>
      </w:r>
    </w:p>
    <w:p w14:paraId="01502392">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十二、采购需求偏离表</w:t>
      </w:r>
    </w:p>
    <w:p w14:paraId="0E3BF0ED">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十三、供应商需提供的其他资料</w:t>
      </w:r>
    </w:p>
    <w:p w14:paraId="20D80AA7">
      <w:pPr>
        <w:pStyle w:val="143"/>
        <w:adjustRightInd w:val="0"/>
        <w:snapToGrid w:val="0"/>
        <w:spacing w:line="440" w:lineRule="exact"/>
        <w:ind w:firstLine="420" w:firstLineChars="200"/>
        <w:rPr>
          <w:rFonts w:ascii="宋体" w:hAnsi="宋体"/>
          <w:szCs w:val="21"/>
        </w:rPr>
      </w:pPr>
      <w:r>
        <w:rPr>
          <w:rFonts w:hint="eastAsia" w:ascii="宋体" w:hAnsi="宋体"/>
          <w:szCs w:val="21"/>
        </w:rPr>
        <w:t>在此，签字代表宣布同意如下：</w:t>
      </w:r>
    </w:p>
    <w:p w14:paraId="19E16BD8">
      <w:pPr>
        <w:pStyle w:val="143"/>
        <w:adjustRightInd w:val="0"/>
        <w:snapToGrid w:val="0"/>
        <w:spacing w:line="440" w:lineRule="exact"/>
        <w:ind w:firstLine="420" w:firstLineChars="200"/>
        <w:rPr>
          <w:rFonts w:ascii="宋体" w:hAnsi="宋体"/>
          <w:szCs w:val="21"/>
        </w:rPr>
      </w:pPr>
      <w:r>
        <w:rPr>
          <w:rFonts w:hint="eastAsia" w:ascii="宋体" w:hAnsi="宋体"/>
          <w:szCs w:val="21"/>
        </w:rPr>
        <w:t>1、投标人严格按照招标文件的规定报价，见《开标一览表》。</w:t>
      </w:r>
    </w:p>
    <w:p w14:paraId="5B0EEAA9">
      <w:pPr>
        <w:pStyle w:val="143"/>
        <w:adjustRightInd w:val="0"/>
        <w:snapToGrid w:val="0"/>
        <w:spacing w:line="440" w:lineRule="exact"/>
        <w:ind w:firstLine="420" w:firstLineChars="200"/>
        <w:rPr>
          <w:rFonts w:ascii="宋体" w:hAnsi="宋体"/>
          <w:szCs w:val="21"/>
        </w:rPr>
      </w:pPr>
      <w:r>
        <w:rPr>
          <w:rFonts w:hint="eastAsia" w:ascii="宋体" w:hAnsi="宋体"/>
          <w:szCs w:val="21"/>
        </w:rPr>
        <w:t>2、投标人将按招标文件的规定履行合同责任和义务。</w:t>
      </w:r>
    </w:p>
    <w:p w14:paraId="66D69AF5">
      <w:pPr>
        <w:pStyle w:val="143"/>
        <w:adjustRightInd w:val="0"/>
        <w:snapToGrid w:val="0"/>
        <w:spacing w:line="440" w:lineRule="exact"/>
        <w:ind w:firstLine="420" w:firstLineChars="200"/>
        <w:rPr>
          <w:rFonts w:ascii="宋体" w:hAnsi="宋体"/>
          <w:szCs w:val="21"/>
        </w:rPr>
      </w:pPr>
      <w:r>
        <w:rPr>
          <w:rFonts w:hint="eastAsia" w:ascii="宋体" w:hAnsi="宋体"/>
          <w:szCs w:val="21"/>
        </w:rPr>
        <w:t>3、投标人已详细审查招标文件。我们完全理解并同意放弃对这方面有不明及误解的权力。</w:t>
      </w:r>
    </w:p>
    <w:p w14:paraId="236F3D11">
      <w:pPr>
        <w:pStyle w:val="143"/>
        <w:adjustRightInd w:val="0"/>
        <w:snapToGrid w:val="0"/>
        <w:spacing w:line="440" w:lineRule="exact"/>
        <w:ind w:firstLine="420" w:firstLineChars="200"/>
        <w:rPr>
          <w:rFonts w:ascii="宋体" w:hAnsi="宋体"/>
          <w:szCs w:val="24"/>
        </w:rPr>
      </w:pPr>
      <w:r>
        <w:rPr>
          <w:rFonts w:hint="eastAsia" w:ascii="宋体" w:hAnsi="宋体"/>
          <w:szCs w:val="21"/>
        </w:rPr>
        <w:t>4、本投标有效期为自招标文件规定的提交投标文件截止之日起____个日历日。在投标有效期内，</w:t>
      </w:r>
      <w:r>
        <w:rPr>
          <w:rFonts w:hint="eastAsia" w:ascii="宋体" w:hAnsi="宋体"/>
          <w:szCs w:val="24"/>
        </w:rPr>
        <w:t>投标人同意遵守本</w:t>
      </w:r>
      <w:r>
        <w:rPr>
          <w:rFonts w:hint="eastAsia" w:ascii="宋体" w:hAnsi="宋体"/>
          <w:szCs w:val="21"/>
        </w:rPr>
        <w:t>投标</w:t>
      </w:r>
      <w:r>
        <w:rPr>
          <w:rFonts w:hint="eastAsia" w:ascii="宋体" w:hAnsi="宋体"/>
          <w:szCs w:val="24"/>
        </w:rPr>
        <w:t>文件中的承诺且在此期限期满之前</w:t>
      </w:r>
      <w:r>
        <w:rPr>
          <w:rFonts w:hint="eastAsia" w:ascii="宋体" w:hAnsi="宋体"/>
          <w:szCs w:val="21"/>
        </w:rPr>
        <w:t>投标</w:t>
      </w:r>
      <w:r>
        <w:rPr>
          <w:rFonts w:hint="eastAsia" w:ascii="宋体" w:hAnsi="宋体"/>
          <w:szCs w:val="24"/>
        </w:rPr>
        <w:t>文件</w:t>
      </w:r>
      <w:r>
        <w:rPr>
          <w:rFonts w:hint="eastAsia" w:ascii="宋体" w:hAnsi="宋体"/>
          <w:szCs w:val="21"/>
        </w:rPr>
        <w:t>对我方具有法律约束力</w:t>
      </w:r>
      <w:r>
        <w:rPr>
          <w:rFonts w:hint="eastAsia" w:ascii="宋体" w:hAnsi="宋体"/>
          <w:szCs w:val="24"/>
        </w:rPr>
        <w:t>。</w:t>
      </w:r>
    </w:p>
    <w:p w14:paraId="3D5A2453">
      <w:pPr>
        <w:pStyle w:val="143"/>
        <w:adjustRightInd w:val="0"/>
        <w:snapToGrid w:val="0"/>
        <w:spacing w:line="440" w:lineRule="exact"/>
        <w:ind w:firstLine="420" w:firstLineChars="200"/>
        <w:rPr>
          <w:rFonts w:ascii="宋体" w:hAnsi="宋体"/>
          <w:szCs w:val="24"/>
        </w:rPr>
      </w:pPr>
      <w:r>
        <w:rPr>
          <w:rFonts w:hint="eastAsia" w:ascii="宋体" w:hAnsi="宋体"/>
          <w:szCs w:val="24"/>
        </w:rPr>
        <w:t>5、</w:t>
      </w:r>
      <w:r>
        <w:rPr>
          <w:rFonts w:hint="eastAsia" w:ascii="宋体" w:hAnsi="宋体"/>
          <w:szCs w:val="21"/>
        </w:rPr>
        <w:t>同意提供贵方可能要求的与其投标有关的一切数据或资料。</w:t>
      </w:r>
    </w:p>
    <w:p w14:paraId="7F5DD5BB">
      <w:pPr>
        <w:pStyle w:val="143"/>
        <w:adjustRightInd w:val="0"/>
        <w:snapToGrid w:val="0"/>
        <w:spacing w:line="440" w:lineRule="exact"/>
        <w:ind w:firstLine="420" w:firstLineChars="200"/>
        <w:rPr>
          <w:rFonts w:ascii="宋体" w:hAnsi="宋体"/>
          <w:szCs w:val="21"/>
        </w:rPr>
      </w:pPr>
      <w:r>
        <w:rPr>
          <w:rFonts w:hint="eastAsia" w:ascii="宋体" w:hAnsi="宋体"/>
          <w:szCs w:val="21"/>
        </w:rPr>
        <w:t>6、与本投标有关的一切正式往来信函请寄：</w:t>
      </w:r>
    </w:p>
    <w:p w14:paraId="09E732A0">
      <w:pPr>
        <w:pStyle w:val="143"/>
        <w:adjustRightInd w:val="0"/>
        <w:snapToGrid w:val="0"/>
        <w:spacing w:line="440" w:lineRule="exact"/>
        <w:ind w:firstLine="420" w:firstLineChars="200"/>
        <w:rPr>
          <w:rFonts w:ascii="宋体" w:hAnsi="宋体"/>
          <w:szCs w:val="21"/>
        </w:rPr>
      </w:pPr>
      <w:r>
        <w:rPr>
          <w:rFonts w:hint="eastAsia" w:ascii="宋体" w:hAnsi="宋体"/>
          <w:szCs w:val="21"/>
        </w:rPr>
        <w:t>地址：_______________________；</w:t>
      </w:r>
    </w:p>
    <w:p w14:paraId="0281A538">
      <w:pPr>
        <w:pStyle w:val="143"/>
        <w:adjustRightInd w:val="0"/>
        <w:snapToGrid w:val="0"/>
        <w:spacing w:line="440" w:lineRule="exact"/>
        <w:ind w:firstLine="420" w:firstLineChars="200"/>
        <w:rPr>
          <w:rFonts w:ascii="宋体" w:hAnsi="宋体"/>
          <w:szCs w:val="21"/>
        </w:rPr>
      </w:pPr>
      <w:r>
        <w:rPr>
          <w:rFonts w:hint="eastAsia" w:ascii="宋体" w:hAnsi="宋体"/>
          <w:szCs w:val="21"/>
        </w:rPr>
        <w:t>邮编：_______________________；</w:t>
      </w:r>
    </w:p>
    <w:p w14:paraId="31BC6176">
      <w:pPr>
        <w:pStyle w:val="143"/>
        <w:adjustRightInd w:val="0"/>
        <w:snapToGrid w:val="0"/>
        <w:spacing w:line="440" w:lineRule="exact"/>
        <w:ind w:firstLine="420" w:firstLineChars="200"/>
        <w:rPr>
          <w:rFonts w:ascii="宋体" w:hAnsi="宋体"/>
          <w:szCs w:val="21"/>
        </w:rPr>
      </w:pPr>
      <w:r>
        <w:rPr>
          <w:rFonts w:hint="eastAsia" w:ascii="宋体" w:hAnsi="宋体"/>
          <w:szCs w:val="21"/>
        </w:rPr>
        <w:t>电话：_______________________；</w:t>
      </w:r>
    </w:p>
    <w:p w14:paraId="6649455F">
      <w:pPr>
        <w:pStyle w:val="143"/>
        <w:adjustRightInd w:val="0"/>
        <w:snapToGrid w:val="0"/>
        <w:spacing w:line="440" w:lineRule="exact"/>
        <w:ind w:firstLine="420" w:firstLineChars="200"/>
        <w:rPr>
          <w:rFonts w:ascii="宋体" w:hAnsi="宋体"/>
          <w:szCs w:val="21"/>
        </w:rPr>
      </w:pPr>
      <w:r>
        <w:rPr>
          <w:rFonts w:hint="eastAsia" w:ascii="宋体" w:hAnsi="宋体"/>
          <w:szCs w:val="21"/>
        </w:rPr>
        <w:t>电子邮箱：___________________。</w:t>
      </w:r>
    </w:p>
    <w:p w14:paraId="65ED4E68">
      <w:pPr>
        <w:pStyle w:val="143"/>
        <w:adjustRightInd w:val="0"/>
        <w:snapToGrid w:val="0"/>
        <w:spacing w:line="440" w:lineRule="exact"/>
        <w:ind w:firstLine="420" w:firstLineChars="200"/>
        <w:rPr>
          <w:rFonts w:ascii="宋体" w:hAnsi="宋体"/>
          <w:szCs w:val="21"/>
        </w:rPr>
      </w:pPr>
    </w:p>
    <w:p w14:paraId="6F5C7295">
      <w:pPr>
        <w:pStyle w:val="143"/>
        <w:adjustRightInd w:val="0"/>
        <w:snapToGrid w:val="0"/>
        <w:spacing w:line="440" w:lineRule="exact"/>
        <w:rPr>
          <w:rFonts w:ascii="宋体" w:hAnsi="宋体" w:cs="Courier New"/>
          <w:szCs w:val="21"/>
        </w:rPr>
      </w:pPr>
      <w:r>
        <w:rPr>
          <w:rFonts w:hint="eastAsia" w:ascii="宋体" w:hAnsi="宋体" w:cs="Courier New"/>
          <w:szCs w:val="21"/>
        </w:rPr>
        <w:t>投标人名称（盖单位章）：_______________</w:t>
      </w:r>
    </w:p>
    <w:p w14:paraId="1460CCEC">
      <w:pPr>
        <w:pStyle w:val="143"/>
        <w:adjustRightInd w:val="0"/>
        <w:snapToGrid w:val="0"/>
        <w:spacing w:line="440" w:lineRule="exact"/>
        <w:rPr>
          <w:rFonts w:ascii="宋体" w:hAnsi="宋体" w:cs="Courier New"/>
          <w:szCs w:val="21"/>
        </w:rPr>
      </w:pPr>
      <w:r>
        <w:rPr>
          <w:rFonts w:hint="eastAsia" w:ascii="宋体" w:hAnsi="宋体" w:cs="Courier New"/>
          <w:szCs w:val="21"/>
        </w:rPr>
        <w:t>法定代表人（单位负责人）或其授权的代理人（签字或盖章）：_______________</w:t>
      </w:r>
    </w:p>
    <w:p w14:paraId="3D0B8322">
      <w:pPr>
        <w:pStyle w:val="143"/>
        <w:adjustRightInd w:val="0"/>
        <w:snapToGrid w:val="0"/>
        <w:spacing w:line="440" w:lineRule="exact"/>
        <w:rPr>
          <w:rFonts w:ascii="宋体" w:hAnsi="宋体" w:cs="Courier New"/>
          <w:szCs w:val="21"/>
        </w:rPr>
      </w:pPr>
      <w:r>
        <w:rPr>
          <w:rFonts w:hint="eastAsia" w:ascii="宋体" w:hAnsi="宋体" w:cs="Courier New"/>
          <w:szCs w:val="21"/>
        </w:rPr>
        <w:t>日期：_____年___月___日</w:t>
      </w:r>
    </w:p>
    <w:p w14:paraId="417A2766">
      <w:pPr>
        <w:pStyle w:val="143"/>
        <w:spacing w:line="440" w:lineRule="exact"/>
        <w:rPr>
          <w:rFonts w:ascii="宋体" w:hAnsi="宋体"/>
          <w:szCs w:val="21"/>
        </w:rPr>
        <w:sectPr>
          <w:pgSz w:w="11906" w:h="16838"/>
          <w:pgMar w:top="1418" w:right="1418" w:bottom="1418" w:left="1418" w:header="851" w:footer="851" w:gutter="0"/>
          <w:pgNumType w:fmt="numberInDash"/>
          <w:cols w:space="720" w:num="1"/>
          <w:docGrid w:type="lines" w:linePitch="312" w:charSpace="0"/>
        </w:sectPr>
      </w:pPr>
    </w:p>
    <w:p w14:paraId="30B1432F">
      <w:pPr>
        <w:pStyle w:val="3"/>
      </w:pPr>
      <w:bookmarkStart w:id="178" w:name="_Toc31277"/>
      <w:bookmarkStart w:id="179" w:name="_Toc256000071"/>
      <w:r>
        <w:rPr>
          <w:rFonts w:hint="eastAsia"/>
        </w:rPr>
        <w:t>三、开标一览表</w:t>
      </w:r>
      <w:bookmarkEnd w:id="178"/>
      <w:bookmarkEnd w:id="179"/>
    </w:p>
    <w:p w14:paraId="3913202D">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采购代理编号：_____________                 项目名称：_____________</w:t>
      </w:r>
    </w:p>
    <w:p w14:paraId="3DF2C90B">
      <w:pPr>
        <w:pStyle w:val="143"/>
        <w:adjustRightInd w:val="0"/>
        <w:snapToGrid w:val="0"/>
        <w:spacing w:line="440" w:lineRule="exact"/>
        <w:ind w:firstLine="420" w:firstLineChars="200"/>
        <w:rPr>
          <w:rFonts w:ascii="宋体" w:hAnsi="宋体"/>
          <w:szCs w:val="21"/>
        </w:rPr>
      </w:pPr>
      <w:r>
        <w:rPr>
          <w:rFonts w:hint="eastAsia" w:ascii="宋体" w:hAnsi="宋体"/>
          <w:szCs w:val="21"/>
        </w:rPr>
        <w:t>包号：_____________                         包名称：_____________</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5991"/>
        <w:gridCol w:w="3295"/>
      </w:tblGrid>
      <w:tr w14:paraId="6BB205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3226" w:type="pct"/>
            <w:vAlign w:val="center"/>
          </w:tcPr>
          <w:p w14:paraId="4E8C7ABA">
            <w:pPr>
              <w:pStyle w:val="144"/>
              <w:adjustRightInd w:val="0"/>
              <w:snapToGrid w:val="0"/>
              <w:spacing w:line="440" w:lineRule="exact"/>
              <w:jc w:val="center"/>
              <w:rPr>
                <w:rFonts w:ascii="宋体" w:hAnsi="宋体"/>
                <w:szCs w:val="21"/>
              </w:rPr>
            </w:pPr>
            <w:r>
              <w:rPr>
                <w:rFonts w:hint="eastAsia" w:ascii="宋体" w:hAnsi="宋体"/>
                <w:szCs w:val="21"/>
              </w:rPr>
              <w:t>投标报价</w:t>
            </w:r>
          </w:p>
        </w:tc>
        <w:tc>
          <w:tcPr>
            <w:tcW w:w="1774" w:type="pct"/>
            <w:vAlign w:val="center"/>
          </w:tcPr>
          <w:p w14:paraId="7480FA37">
            <w:pPr>
              <w:pStyle w:val="144"/>
              <w:adjustRightInd w:val="0"/>
              <w:snapToGrid w:val="0"/>
              <w:spacing w:line="440" w:lineRule="exact"/>
              <w:jc w:val="center"/>
              <w:rPr>
                <w:rFonts w:ascii="宋体" w:hAnsi="宋体"/>
                <w:szCs w:val="21"/>
              </w:rPr>
            </w:pPr>
            <w:r>
              <w:rPr>
                <w:rFonts w:hint="eastAsia" w:ascii="宋体" w:hAnsi="宋体"/>
                <w:szCs w:val="21"/>
              </w:rPr>
              <w:t>其他内容</w:t>
            </w:r>
          </w:p>
        </w:tc>
      </w:tr>
      <w:tr w14:paraId="0EEC1F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25" w:hRule="atLeast"/>
        </w:trPr>
        <w:tc>
          <w:tcPr>
            <w:tcW w:w="3226" w:type="pct"/>
            <w:vAlign w:val="center"/>
          </w:tcPr>
          <w:p w14:paraId="07E1FB3A">
            <w:pPr>
              <w:pStyle w:val="144"/>
              <w:adjustRightInd w:val="0"/>
              <w:snapToGrid w:val="0"/>
              <w:spacing w:line="440" w:lineRule="exact"/>
              <w:jc w:val="center"/>
              <w:rPr>
                <w:rFonts w:ascii="宋体" w:hAnsi="宋体"/>
                <w:szCs w:val="21"/>
              </w:rPr>
            </w:pPr>
            <w:r>
              <w:rPr>
                <w:rFonts w:hint="eastAsia" w:ascii="宋体" w:hAnsi="宋体"/>
                <w:szCs w:val="21"/>
              </w:rPr>
              <w:t>小写金额：______________（人民币元/年）</w:t>
            </w:r>
          </w:p>
          <w:p w14:paraId="101BD787">
            <w:pPr>
              <w:pStyle w:val="144"/>
              <w:adjustRightInd w:val="0"/>
              <w:snapToGrid w:val="0"/>
              <w:spacing w:line="440" w:lineRule="exact"/>
              <w:jc w:val="center"/>
              <w:rPr>
                <w:rFonts w:ascii="宋体" w:hAnsi="宋体"/>
                <w:szCs w:val="21"/>
              </w:rPr>
            </w:pPr>
            <w:r>
              <w:rPr>
                <w:rFonts w:hint="eastAsia" w:ascii="宋体" w:hAnsi="宋体"/>
                <w:szCs w:val="21"/>
              </w:rPr>
              <w:t>大写金额：______________（人民币元/年）</w:t>
            </w:r>
          </w:p>
          <w:p w14:paraId="0BA6CA0A">
            <w:pPr>
              <w:pStyle w:val="144"/>
              <w:adjustRightInd w:val="0"/>
              <w:snapToGrid w:val="0"/>
              <w:spacing w:line="440" w:lineRule="exact"/>
              <w:jc w:val="center"/>
              <w:rPr>
                <w:rFonts w:ascii="宋体" w:hAnsi="宋体"/>
                <w:szCs w:val="21"/>
              </w:rPr>
            </w:pPr>
            <w:r>
              <w:rPr>
                <w:rFonts w:hint="eastAsia" w:ascii="宋体" w:hAnsi="宋体"/>
                <w:szCs w:val="21"/>
              </w:rPr>
              <w:t>（大写金额与小写金额不一致时，以大写金额为准）</w:t>
            </w:r>
          </w:p>
        </w:tc>
        <w:tc>
          <w:tcPr>
            <w:tcW w:w="1774" w:type="pct"/>
            <w:vAlign w:val="center"/>
          </w:tcPr>
          <w:p w14:paraId="78D33636">
            <w:pPr>
              <w:pStyle w:val="144"/>
              <w:adjustRightInd w:val="0"/>
              <w:snapToGrid w:val="0"/>
              <w:spacing w:line="440" w:lineRule="exact"/>
              <w:jc w:val="center"/>
              <w:rPr>
                <w:rFonts w:ascii="宋体" w:hAnsi="宋体"/>
                <w:szCs w:val="21"/>
              </w:rPr>
            </w:pPr>
          </w:p>
        </w:tc>
      </w:tr>
    </w:tbl>
    <w:p w14:paraId="54B305DC">
      <w:pPr>
        <w:pStyle w:val="143"/>
        <w:adjustRightInd w:val="0"/>
        <w:snapToGrid w:val="0"/>
        <w:spacing w:line="440" w:lineRule="exact"/>
        <w:ind w:firstLine="420" w:firstLineChars="200"/>
        <w:rPr>
          <w:rFonts w:ascii="宋体" w:hAnsi="宋体"/>
          <w:szCs w:val="21"/>
        </w:rPr>
      </w:pPr>
      <w:r>
        <w:rPr>
          <w:rFonts w:hint="eastAsia" w:ascii="宋体" w:hAnsi="宋体"/>
          <w:szCs w:val="21"/>
        </w:rPr>
        <w:t>备注：</w:t>
      </w:r>
    </w:p>
    <w:p w14:paraId="4C1457B5">
      <w:pPr>
        <w:pStyle w:val="143"/>
        <w:adjustRightInd w:val="0"/>
        <w:snapToGrid w:val="0"/>
        <w:spacing w:line="440" w:lineRule="exact"/>
        <w:ind w:firstLine="420" w:firstLineChars="200"/>
        <w:rPr>
          <w:rFonts w:ascii="宋体" w:hAnsi="宋体"/>
          <w:szCs w:val="21"/>
        </w:rPr>
      </w:pPr>
      <w:r>
        <w:rPr>
          <w:rFonts w:hint="eastAsia" w:ascii="宋体" w:hAnsi="宋体"/>
          <w:szCs w:val="21"/>
        </w:rPr>
        <w:t>1、本表须按包填写，一个“包号”一份。</w:t>
      </w:r>
    </w:p>
    <w:p w14:paraId="757FF52C">
      <w:pPr>
        <w:pStyle w:val="143"/>
        <w:adjustRightInd w:val="0"/>
        <w:snapToGrid w:val="0"/>
        <w:spacing w:line="440" w:lineRule="exact"/>
        <w:ind w:firstLine="420" w:firstLineChars="200"/>
        <w:rPr>
          <w:rFonts w:ascii="宋体" w:hAnsi="宋体"/>
          <w:szCs w:val="21"/>
        </w:rPr>
      </w:pPr>
      <w:r>
        <w:rPr>
          <w:rFonts w:hint="eastAsia" w:ascii="宋体" w:hAnsi="宋体"/>
          <w:szCs w:val="21"/>
        </w:rPr>
        <w:t>2、投标人提交两份及以上投标报价不同的“开标一览表”，且未书面说明哪个有效或以哪个为准的，其投标无效。</w:t>
      </w:r>
    </w:p>
    <w:p w14:paraId="58B67532">
      <w:pPr>
        <w:pStyle w:val="143"/>
        <w:adjustRightInd w:val="0"/>
        <w:snapToGrid w:val="0"/>
        <w:spacing w:line="440" w:lineRule="exact"/>
        <w:ind w:firstLine="420" w:firstLineChars="200"/>
        <w:rPr>
          <w:rFonts w:ascii="宋体" w:hAnsi="宋体"/>
          <w:szCs w:val="21"/>
        </w:rPr>
      </w:pPr>
      <w:r>
        <w:rPr>
          <w:rFonts w:hint="eastAsia" w:ascii="宋体" w:hAnsi="宋体"/>
          <w:szCs w:val="21"/>
        </w:rPr>
        <w:t>3、投标人在投标截止时间前修改“开标一览表”中的投标报价的，应同时修改投标文件“分项报价明细表”“享受政府采购政策优惠的证明资料”以及“联合体协议书”（如果影响）等相关内容。</w:t>
      </w:r>
    </w:p>
    <w:p w14:paraId="641BD8DD">
      <w:pPr>
        <w:pStyle w:val="143"/>
        <w:adjustRightInd w:val="0"/>
        <w:snapToGrid w:val="0"/>
        <w:spacing w:line="440" w:lineRule="exact"/>
        <w:ind w:firstLine="420" w:firstLineChars="200"/>
        <w:rPr>
          <w:rFonts w:ascii="宋体" w:hAnsi="宋体"/>
          <w:szCs w:val="21"/>
        </w:rPr>
      </w:pPr>
      <w:r>
        <w:rPr>
          <w:rFonts w:hint="eastAsia" w:ascii="宋体" w:hAnsi="宋体"/>
          <w:szCs w:val="21"/>
        </w:rPr>
        <w:t>5、“其他内容”招标文件规定的</w:t>
      </w:r>
    </w:p>
    <w:p w14:paraId="0969B5C7">
      <w:pPr>
        <w:pStyle w:val="143"/>
        <w:adjustRightInd w:val="0"/>
        <w:snapToGrid w:val="0"/>
        <w:spacing w:line="440" w:lineRule="exact"/>
        <w:ind w:firstLine="420" w:firstLineChars="200"/>
        <w:rPr>
          <w:rFonts w:ascii="宋体" w:hAnsi="宋体"/>
          <w:szCs w:val="21"/>
        </w:rPr>
      </w:pPr>
    </w:p>
    <w:p w14:paraId="7CC76603">
      <w:pPr>
        <w:pStyle w:val="143"/>
        <w:adjustRightInd w:val="0"/>
        <w:snapToGrid w:val="0"/>
        <w:spacing w:line="440" w:lineRule="exact"/>
        <w:ind w:firstLine="420" w:firstLineChars="200"/>
        <w:rPr>
          <w:rFonts w:ascii="宋体" w:hAnsi="宋体"/>
          <w:szCs w:val="21"/>
        </w:rPr>
      </w:pPr>
    </w:p>
    <w:p w14:paraId="293FE9B7">
      <w:pPr>
        <w:pStyle w:val="143"/>
        <w:adjustRightInd w:val="0"/>
        <w:snapToGrid w:val="0"/>
        <w:spacing w:line="440" w:lineRule="exact"/>
        <w:rPr>
          <w:rFonts w:ascii="宋体" w:hAnsi="宋体" w:cs="Courier New"/>
          <w:szCs w:val="21"/>
        </w:rPr>
      </w:pPr>
      <w:r>
        <w:rPr>
          <w:rFonts w:hint="eastAsia" w:ascii="宋体" w:hAnsi="宋体" w:cs="Courier New"/>
          <w:szCs w:val="21"/>
        </w:rPr>
        <w:t>投标人名称（盖单位章）：_______________</w:t>
      </w:r>
    </w:p>
    <w:p w14:paraId="181135CF">
      <w:pPr>
        <w:pStyle w:val="143"/>
        <w:adjustRightInd w:val="0"/>
        <w:snapToGrid w:val="0"/>
        <w:spacing w:line="440" w:lineRule="exact"/>
        <w:rPr>
          <w:rFonts w:ascii="宋体" w:hAnsi="宋体" w:cs="Courier New"/>
          <w:szCs w:val="21"/>
        </w:rPr>
      </w:pPr>
      <w:r>
        <w:rPr>
          <w:rFonts w:hint="eastAsia" w:ascii="宋体" w:hAnsi="宋体" w:cs="Courier New"/>
          <w:szCs w:val="21"/>
        </w:rPr>
        <w:t>法定代表人（单位负责人）或其授权的代理人（签字或盖章）：_______________</w:t>
      </w:r>
    </w:p>
    <w:p w14:paraId="7DA2DB21">
      <w:pPr>
        <w:pStyle w:val="143"/>
        <w:adjustRightInd w:val="0"/>
        <w:snapToGrid w:val="0"/>
        <w:spacing w:line="440" w:lineRule="exact"/>
        <w:rPr>
          <w:rFonts w:ascii="宋体" w:hAnsi="宋体"/>
          <w:szCs w:val="21"/>
        </w:rPr>
      </w:pPr>
      <w:r>
        <w:rPr>
          <w:rFonts w:hint="eastAsia" w:ascii="宋体" w:hAnsi="宋体" w:cs="Courier New"/>
          <w:szCs w:val="21"/>
        </w:rPr>
        <w:t>日期：_____年___月___日</w:t>
      </w:r>
    </w:p>
    <w:p w14:paraId="1E4FECF0">
      <w:pPr>
        <w:pStyle w:val="143"/>
        <w:spacing w:line="440" w:lineRule="exact"/>
        <w:rPr>
          <w:rFonts w:ascii="宋体" w:hAnsi="宋体"/>
          <w:szCs w:val="21"/>
        </w:rPr>
      </w:pPr>
    </w:p>
    <w:p w14:paraId="7EF8F30C">
      <w:pPr>
        <w:pStyle w:val="143"/>
        <w:spacing w:line="440" w:lineRule="exact"/>
      </w:pPr>
    </w:p>
    <w:p w14:paraId="28936568">
      <w:pPr>
        <w:pStyle w:val="51"/>
        <w:spacing w:before="156"/>
      </w:pPr>
    </w:p>
    <w:p w14:paraId="1324A738">
      <w:pPr>
        <w:autoSpaceDE w:val="0"/>
        <w:autoSpaceDN w:val="0"/>
        <w:adjustRightInd w:val="0"/>
        <w:snapToGrid w:val="0"/>
        <w:spacing w:before="312" w:beforeLines="100" w:line="360" w:lineRule="auto"/>
        <w:ind w:left="2428" w:hanging="1578"/>
        <w:jc w:val="center"/>
        <w:rPr>
          <w:rFonts w:ascii="宋体" w:hAnsi="宋体"/>
          <w:b/>
          <w:spacing w:val="6"/>
          <w:szCs w:val="21"/>
        </w:rPr>
        <w:sectPr>
          <w:pgSz w:w="11906" w:h="16838"/>
          <w:pgMar w:top="1418" w:right="1418" w:bottom="1418" w:left="1418" w:header="851" w:footer="851" w:gutter="0"/>
          <w:pgNumType w:fmt="numberInDash"/>
          <w:cols w:space="720" w:num="1"/>
          <w:docGrid w:type="lines" w:linePitch="312" w:charSpace="0"/>
        </w:sectPr>
      </w:pPr>
    </w:p>
    <w:p w14:paraId="1B395044">
      <w:pPr>
        <w:pStyle w:val="3"/>
      </w:pPr>
      <w:bookmarkStart w:id="180" w:name="_Toc16921"/>
      <w:r>
        <w:rPr>
          <w:rFonts w:hint="eastAsia"/>
        </w:rPr>
        <w:t>四、分项报价明细表</w:t>
      </w:r>
      <w:bookmarkEnd w:id="180"/>
    </w:p>
    <w:p w14:paraId="165F3F37">
      <w:pPr>
        <w:pStyle w:val="143"/>
        <w:adjustRightInd w:val="0"/>
        <w:snapToGrid w:val="0"/>
        <w:spacing w:line="440" w:lineRule="exact"/>
        <w:ind w:firstLine="420" w:firstLineChars="200"/>
        <w:rPr>
          <w:rFonts w:ascii="宋体" w:hAnsi="宋体"/>
          <w:szCs w:val="21"/>
        </w:rPr>
      </w:pPr>
      <w:r>
        <w:rPr>
          <w:rFonts w:hint="eastAsia" w:ascii="宋体" w:hAnsi="宋体"/>
          <w:szCs w:val="21"/>
        </w:rPr>
        <w:t>采购代理编号：_______________                       项目名称：_________________</w:t>
      </w:r>
    </w:p>
    <w:p w14:paraId="522D81F6">
      <w:pPr>
        <w:pStyle w:val="143"/>
        <w:adjustRightInd w:val="0"/>
        <w:snapToGrid w:val="0"/>
        <w:spacing w:line="440" w:lineRule="exact"/>
        <w:ind w:firstLine="420" w:firstLineChars="200"/>
        <w:rPr>
          <w:rFonts w:hint="eastAsia" w:ascii="宋体" w:hAnsi="宋体"/>
          <w:szCs w:val="21"/>
        </w:rPr>
      </w:pPr>
      <w:r>
        <w:rPr>
          <w:rFonts w:hint="eastAsia" w:ascii="宋体" w:hAnsi="宋体"/>
          <w:szCs w:val="21"/>
        </w:rPr>
        <w:t>包号：_______________________                       包名称：________</w:t>
      </w:r>
    </w:p>
    <w:p w14:paraId="1B0B4C7C">
      <w:pPr>
        <w:pStyle w:val="143"/>
        <w:adjustRightInd w:val="0"/>
        <w:snapToGrid w:val="0"/>
        <w:spacing w:line="440" w:lineRule="exact"/>
        <w:ind w:firstLine="420" w:firstLineChars="200"/>
        <w:rPr>
          <w:rFonts w:ascii="宋体" w:hAnsi="宋体"/>
          <w:szCs w:val="21"/>
        </w:rPr>
      </w:pPr>
      <w:r>
        <w:rPr>
          <w:rFonts w:hint="eastAsia" w:ascii="宋体" w:hAnsi="宋体"/>
          <w:szCs w:val="21"/>
        </w:rPr>
        <w:t>价格单位：________元</w:t>
      </w:r>
    </w:p>
    <w:tbl>
      <w:tblPr>
        <w:tblStyle w:val="41"/>
        <w:tblW w:w="4998" w:type="pct"/>
        <w:tblInd w:w="15" w:type="dxa"/>
        <w:tblLayout w:type="autofit"/>
        <w:tblCellMar>
          <w:top w:w="0" w:type="dxa"/>
          <w:left w:w="0" w:type="dxa"/>
          <w:bottom w:w="0" w:type="dxa"/>
          <w:right w:w="0" w:type="dxa"/>
        </w:tblCellMar>
      </w:tblPr>
      <w:tblGrid>
        <w:gridCol w:w="482"/>
        <w:gridCol w:w="1234"/>
        <w:gridCol w:w="1499"/>
        <w:gridCol w:w="1499"/>
        <w:gridCol w:w="1496"/>
        <w:gridCol w:w="1493"/>
        <w:gridCol w:w="1493"/>
        <w:gridCol w:w="1496"/>
        <w:gridCol w:w="1506"/>
      </w:tblGrid>
      <w:tr w14:paraId="0541D62A">
        <w:tblPrEx>
          <w:tblCellMar>
            <w:top w:w="0" w:type="dxa"/>
            <w:left w:w="0" w:type="dxa"/>
            <w:bottom w:w="0" w:type="dxa"/>
            <w:right w:w="0" w:type="dxa"/>
          </w:tblCellMar>
        </w:tblPrEx>
        <w:tc>
          <w:tcPr>
            <w:tcW w:w="869" w:type="pct"/>
            <w:gridSpan w:val="2"/>
            <w:tcBorders>
              <w:top w:val="double" w:color="auto" w:sz="4" w:space="0"/>
              <w:left w:val="double" w:color="auto" w:sz="4" w:space="0"/>
              <w:right w:val="single" w:color="auto" w:sz="6" w:space="0"/>
            </w:tcBorders>
            <w:vAlign w:val="center"/>
          </w:tcPr>
          <w:p w14:paraId="00D4930B">
            <w:pPr>
              <w:spacing w:line="380" w:lineRule="exact"/>
              <w:ind w:left="1378" w:leftChars="-52" w:right="-105" w:rightChars="-50" w:hanging="1487"/>
              <w:jc w:val="center"/>
              <w:rPr>
                <w:rFonts w:ascii="宋体" w:hAnsi="宋体"/>
                <w:szCs w:val="21"/>
              </w:rPr>
            </w:pPr>
            <w:r>
              <w:rPr>
                <w:rFonts w:hint="eastAsia" w:ascii="宋体" w:hAnsi="宋体"/>
                <w:szCs w:val="21"/>
              </w:rPr>
              <w:t>分项项目名称</w:t>
            </w:r>
          </w:p>
          <w:p w14:paraId="7020B83E">
            <w:pPr>
              <w:spacing w:line="380" w:lineRule="exact"/>
              <w:ind w:left="1378" w:leftChars="-52" w:right="-105" w:rightChars="-50" w:hanging="1487"/>
              <w:jc w:val="center"/>
              <w:rPr>
                <w:rFonts w:ascii="宋体" w:hAnsi="宋体"/>
                <w:szCs w:val="21"/>
              </w:rPr>
            </w:pPr>
            <w:r>
              <w:rPr>
                <w:rFonts w:hint="eastAsia" w:ascii="宋体" w:hAnsi="宋体"/>
                <w:szCs w:val="21"/>
              </w:rPr>
              <w:t>（服务名称）</w:t>
            </w:r>
          </w:p>
        </w:tc>
        <w:tc>
          <w:tcPr>
            <w:tcW w:w="589" w:type="pct"/>
            <w:tcBorders>
              <w:top w:val="double" w:color="auto" w:sz="4" w:space="0"/>
              <w:left w:val="single" w:color="auto" w:sz="6" w:space="0"/>
              <w:bottom w:val="single" w:color="auto" w:sz="6" w:space="0"/>
              <w:right w:val="single" w:color="auto" w:sz="6" w:space="0"/>
            </w:tcBorders>
            <w:vAlign w:val="center"/>
          </w:tcPr>
          <w:p w14:paraId="196B4AA7">
            <w:pPr>
              <w:spacing w:line="380" w:lineRule="exact"/>
              <w:ind w:left="1378" w:leftChars="-52" w:right="-105" w:rightChars="-50" w:hanging="1487"/>
              <w:jc w:val="center"/>
              <w:rPr>
                <w:rFonts w:ascii="宋体" w:hAnsi="宋体"/>
                <w:szCs w:val="21"/>
              </w:rPr>
            </w:pPr>
            <w:r>
              <w:rPr>
                <w:rFonts w:hint="eastAsia" w:ascii="宋体" w:hAnsi="宋体"/>
                <w:szCs w:val="21"/>
              </w:rPr>
              <w:t>服务范围</w:t>
            </w:r>
          </w:p>
        </w:tc>
        <w:tc>
          <w:tcPr>
            <w:tcW w:w="589" w:type="pct"/>
            <w:tcBorders>
              <w:top w:val="double" w:color="auto" w:sz="4" w:space="0"/>
              <w:left w:val="single" w:color="auto" w:sz="6" w:space="0"/>
              <w:right w:val="single" w:color="auto" w:sz="6" w:space="0"/>
            </w:tcBorders>
            <w:vAlign w:val="center"/>
          </w:tcPr>
          <w:p w14:paraId="6FED0DE4">
            <w:pPr>
              <w:spacing w:line="380" w:lineRule="exact"/>
              <w:ind w:left="1378" w:leftChars="-52" w:right="-105" w:rightChars="-50" w:hanging="1487"/>
              <w:jc w:val="center"/>
              <w:rPr>
                <w:rFonts w:ascii="宋体" w:hAnsi="宋体"/>
                <w:szCs w:val="21"/>
              </w:rPr>
            </w:pPr>
            <w:r>
              <w:rPr>
                <w:rFonts w:hint="eastAsia" w:ascii="宋体" w:hAnsi="宋体"/>
                <w:szCs w:val="21"/>
              </w:rPr>
              <w:t>服务要求</w:t>
            </w:r>
          </w:p>
        </w:tc>
        <w:tc>
          <w:tcPr>
            <w:tcW w:w="589" w:type="pct"/>
            <w:tcBorders>
              <w:top w:val="double" w:color="auto" w:sz="4" w:space="0"/>
              <w:left w:val="single" w:color="auto" w:sz="6" w:space="0"/>
              <w:right w:val="single" w:color="auto" w:sz="4" w:space="0"/>
            </w:tcBorders>
            <w:vAlign w:val="center"/>
          </w:tcPr>
          <w:p w14:paraId="152F5152">
            <w:pPr>
              <w:spacing w:line="380" w:lineRule="exact"/>
              <w:ind w:left="1378" w:leftChars="-52" w:right="-105" w:rightChars="-50" w:hanging="1487"/>
              <w:jc w:val="center"/>
              <w:rPr>
                <w:rFonts w:ascii="宋体" w:hAnsi="宋体"/>
                <w:szCs w:val="21"/>
              </w:rPr>
            </w:pPr>
            <w:r>
              <w:rPr>
                <w:rFonts w:hint="eastAsia" w:ascii="宋体" w:hAnsi="宋体"/>
                <w:szCs w:val="21"/>
              </w:rPr>
              <w:t>服务期限</w:t>
            </w:r>
          </w:p>
        </w:tc>
        <w:tc>
          <w:tcPr>
            <w:tcW w:w="839" w:type="pct"/>
            <w:tcBorders>
              <w:top w:val="double" w:color="auto" w:sz="4" w:space="0"/>
              <w:left w:val="single" w:color="auto" w:sz="4" w:space="0"/>
              <w:right w:val="single" w:color="auto" w:sz="4" w:space="0"/>
            </w:tcBorders>
            <w:vAlign w:val="center"/>
          </w:tcPr>
          <w:p w14:paraId="412E8633">
            <w:pPr>
              <w:spacing w:line="380" w:lineRule="exact"/>
              <w:ind w:left="1378" w:leftChars="-52" w:right="-105" w:rightChars="-50" w:hanging="1487"/>
              <w:jc w:val="center"/>
              <w:rPr>
                <w:rFonts w:ascii="宋体" w:hAnsi="宋体"/>
                <w:szCs w:val="21"/>
              </w:rPr>
            </w:pPr>
            <w:r>
              <w:rPr>
                <w:rFonts w:hint="eastAsia" w:ascii="宋体" w:hAnsi="宋体"/>
                <w:szCs w:val="21"/>
              </w:rPr>
              <w:t>服务标准</w:t>
            </w:r>
          </w:p>
        </w:tc>
        <w:tc>
          <w:tcPr>
            <w:tcW w:w="518" w:type="pct"/>
            <w:tcBorders>
              <w:top w:val="double" w:color="auto" w:sz="4" w:space="0"/>
              <w:left w:val="single" w:color="auto" w:sz="4" w:space="0"/>
              <w:right w:val="single" w:color="auto" w:sz="4" w:space="0"/>
            </w:tcBorders>
            <w:vAlign w:val="center"/>
          </w:tcPr>
          <w:p w14:paraId="46C9112B">
            <w:pPr>
              <w:spacing w:line="380" w:lineRule="exact"/>
              <w:ind w:left="1378" w:leftChars="-52" w:right="-105" w:rightChars="-50" w:hanging="1487"/>
              <w:jc w:val="center"/>
              <w:rPr>
                <w:rFonts w:ascii="宋体" w:hAnsi="宋体"/>
                <w:szCs w:val="21"/>
              </w:rPr>
            </w:pPr>
            <w:r>
              <w:rPr>
                <w:rFonts w:hint="eastAsia" w:ascii="宋体" w:hAnsi="宋体"/>
                <w:szCs w:val="21"/>
              </w:rPr>
              <w:t>单价</w:t>
            </w:r>
          </w:p>
        </w:tc>
        <w:tc>
          <w:tcPr>
            <w:tcW w:w="449" w:type="pct"/>
            <w:tcBorders>
              <w:top w:val="double" w:color="auto" w:sz="4" w:space="0"/>
              <w:left w:val="single" w:color="auto" w:sz="4" w:space="0"/>
              <w:right w:val="single" w:color="auto" w:sz="6" w:space="0"/>
            </w:tcBorders>
            <w:vAlign w:val="center"/>
          </w:tcPr>
          <w:p w14:paraId="1161BB47">
            <w:pPr>
              <w:spacing w:line="380" w:lineRule="exact"/>
              <w:ind w:left="1378" w:leftChars="-52" w:right="-105" w:rightChars="-50" w:hanging="1487"/>
              <w:jc w:val="center"/>
              <w:rPr>
                <w:rFonts w:ascii="宋体" w:hAnsi="宋体"/>
                <w:szCs w:val="21"/>
              </w:rPr>
            </w:pPr>
            <w:r>
              <w:rPr>
                <w:rFonts w:hint="eastAsia" w:ascii="宋体" w:hAnsi="宋体"/>
                <w:szCs w:val="21"/>
              </w:rPr>
              <w:t>数量</w:t>
            </w:r>
          </w:p>
        </w:tc>
        <w:tc>
          <w:tcPr>
            <w:tcW w:w="554" w:type="pct"/>
            <w:tcBorders>
              <w:top w:val="double" w:color="auto" w:sz="4" w:space="0"/>
              <w:left w:val="single" w:color="auto" w:sz="6" w:space="0"/>
              <w:bottom w:val="single" w:color="auto" w:sz="6" w:space="0"/>
              <w:right w:val="double" w:color="auto" w:sz="4" w:space="0"/>
            </w:tcBorders>
            <w:vAlign w:val="center"/>
          </w:tcPr>
          <w:p w14:paraId="66F96C5F">
            <w:pPr>
              <w:spacing w:line="380" w:lineRule="exact"/>
              <w:ind w:left="1378" w:leftChars="-52" w:right="-105" w:rightChars="-50" w:hanging="1487"/>
              <w:jc w:val="center"/>
              <w:rPr>
                <w:rFonts w:ascii="宋体" w:hAnsi="宋体"/>
                <w:szCs w:val="21"/>
              </w:rPr>
            </w:pPr>
            <w:r>
              <w:rPr>
                <w:rFonts w:hint="eastAsia" w:ascii="宋体" w:hAnsi="宋体"/>
                <w:szCs w:val="21"/>
              </w:rPr>
              <w:t>小计报价</w:t>
            </w:r>
          </w:p>
        </w:tc>
      </w:tr>
      <w:tr w14:paraId="0AB5C62F">
        <w:tblPrEx>
          <w:tblCellMar>
            <w:top w:w="0" w:type="dxa"/>
            <w:left w:w="0" w:type="dxa"/>
            <w:bottom w:w="0" w:type="dxa"/>
            <w:right w:w="0" w:type="dxa"/>
          </w:tblCellMar>
        </w:tblPrEx>
        <w:tc>
          <w:tcPr>
            <w:tcW w:w="244" w:type="pct"/>
            <w:tcBorders>
              <w:top w:val="single" w:color="auto" w:sz="6" w:space="0"/>
              <w:left w:val="double" w:color="auto" w:sz="4" w:space="0"/>
              <w:bottom w:val="single" w:color="auto" w:sz="6" w:space="0"/>
              <w:right w:val="single" w:color="auto" w:sz="6" w:space="0"/>
            </w:tcBorders>
            <w:vAlign w:val="center"/>
          </w:tcPr>
          <w:p w14:paraId="6C9D9FBC">
            <w:pPr>
              <w:spacing w:line="380" w:lineRule="exact"/>
              <w:ind w:left="1378" w:leftChars="-52" w:right="-105" w:rightChars="-50" w:hanging="1487"/>
              <w:jc w:val="center"/>
              <w:rPr>
                <w:rFonts w:ascii="宋体" w:hAnsi="宋体"/>
                <w:szCs w:val="21"/>
              </w:rPr>
            </w:pPr>
            <w:r>
              <w:rPr>
                <w:rFonts w:hint="eastAsia" w:ascii="宋体" w:hAnsi="宋体"/>
                <w:szCs w:val="21"/>
              </w:rPr>
              <w:t>1</w:t>
            </w:r>
          </w:p>
        </w:tc>
        <w:tc>
          <w:tcPr>
            <w:tcW w:w="625" w:type="pct"/>
            <w:tcBorders>
              <w:top w:val="single" w:color="auto" w:sz="6" w:space="0"/>
              <w:left w:val="single" w:color="auto" w:sz="6" w:space="0"/>
              <w:bottom w:val="single" w:color="auto" w:sz="6" w:space="0"/>
              <w:right w:val="single" w:color="auto" w:sz="6" w:space="0"/>
            </w:tcBorders>
            <w:vAlign w:val="center"/>
          </w:tcPr>
          <w:p w14:paraId="7075DCF0">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3327A799">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24832379">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4" w:space="0"/>
            </w:tcBorders>
            <w:vAlign w:val="center"/>
          </w:tcPr>
          <w:p w14:paraId="384A0265">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839" w:type="pct"/>
            <w:tcBorders>
              <w:top w:val="single" w:color="auto" w:sz="6" w:space="0"/>
              <w:left w:val="single" w:color="auto" w:sz="6" w:space="0"/>
              <w:bottom w:val="single" w:color="auto" w:sz="4" w:space="0"/>
              <w:right w:val="single" w:color="auto" w:sz="4" w:space="0"/>
            </w:tcBorders>
            <w:vAlign w:val="center"/>
          </w:tcPr>
          <w:p w14:paraId="41689D02">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18" w:type="pct"/>
            <w:tcBorders>
              <w:top w:val="single" w:color="auto" w:sz="6" w:space="0"/>
              <w:left w:val="single" w:color="auto" w:sz="4" w:space="0"/>
              <w:bottom w:val="single" w:color="auto" w:sz="4" w:space="0"/>
              <w:right w:val="single" w:color="auto" w:sz="4" w:space="0"/>
            </w:tcBorders>
            <w:vAlign w:val="center"/>
          </w:tcPr>
          <w:p w14:paraId="73369FBA">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449" w:type="pct"/>
            <w:tcBorders>
              <w:top w:val="single" w:color="auto" w:sz="6" w:space="0"/>
              <w:left w:val="single" w:color="auto" w:sz="4" w:space="0"/>
              <w:bottom w:val="single" w:color="auto" w:sz="4" w:space="0"/>
              <w:right w:val="single" w:color="auto" w:sz="6" w:space="0"/>
            </w:tcBorders>
            <w:vAlign w:val="center"/>
          </w:tcPr>
          <w:p w14:paraId="38B9555F">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54" w:type="pct"/>
            <w:tcBorders>
              <w:top w:val="single" w:color="auto" w:sz="6" w:space="0"/>
              <w:left w:val="single" w:color="auto" w:sz="6" w:space="0"/>
              <w:bottom w:val="single" w:color="auto" w:sz="6" w:space="0"/>
              <w:right w:val="double" w:color="auto" w:sz="4" w:space="0"/>
            </w:tcBorders>
            <w:vAlign w:val="center"/>
          </w:tcPr>
          <w:p w14:paraId="6F2A6F6C">
            <w:pPr>
              <w:autoSpaceDE w:val="0"/>
              <w:autoSpaceDN w:val="0"/>
              <w:adjustRightInd w:val="0"/>
              <w:snapToGrid w:val="0"/>
              <w:spacing w:line="380" w:lineRule="exact"/>
              <w:ind w:left="1378" w:leftChars="-52" w:right="-105" w:rightChars="-50" w:hanging="1487"/>
              <w:jc w:val="center"/>
              <w:rPr>
                <w:rFonts w:ascii="宋体" w:hAnsi="宋体"/>
                <w:szCs w:val="21"/>
              </w:rPr>
            </w:pPr>
          </w:p>
        </w:tc>
      </w:tr>
      <w:tr w14:paraId="5D5C4F43">
        <w:tblPrEx>
          <w:tblCellMar>
            <w:top w:w="0" w:type="dxa"/>
            <w:left w:w="0" w:type="dxa"/>
            <w:bottom w:w="0" w:type="dxa"/>
            <w:right w:w="0" w:type="dxa"/>
          </w:tblCellMar>
        </w:tblPrEx>
        <w:tc>
          <w:tcPr>
            <w:tcW w:w="244" w:type="pct"/>
            <w:tcBorders>
              <w:top w:val="single" w:color="auto" w:sz="6" w:space="0"/>
              <w:left w:val="double" w:color="auto" w:sz="4" w:space="0"/>
              <w:bottom w:val="single" w:color="auto" w:sz="6" w:space="0"/>
              <w:right w:val="single" w:color="auto" w:sz="6" w:space="0"/>
            </w:tcBorders>
            <w:vAlign w:val="center"/>
          </w:tcPr>
          <w:p w14:paraId="10FBCD68">
            <w:pPr>
              <w:spacing w:line="380" w:lineRule="exact"/>
              <w:ind w:left="1378" w:leftChars="-52" w:right="-105" w:rightChars="-50" w:hanging="1487"/>
              <w:jc w:val="center"/>
              <w:rPr>
                <w:rFonts w:ascii="宋体" w:hAnsi="宋体"/>
                <w:szCs w:val="21"/>
              </w:rPr>
            </w:pPr>
            <w:r>
              <w:rPr>
                <w:rFonts w:hint="eastAsia" w:ascii="宋体" w:hAnsi="宋体"/>
                <w:szCs w:val="21"/>
              </w:rPr>
              <w:t>2</w:t>
            </w:r>
          </w:p>
        </w:tc>
        <w:tc>
          <w:tcPr>
            <w:tcW w:w="625" w:type="pct"/>
            <w:tcBorders>
              <w:top w:val="single" w:color="auto" w:sz="6" w:space="0"/>
              <w:left w:val="single" w:color="auto" w:sz="6" w:space="0"/>
              <w:bottom w:val="single" w:color="auto" w:sz="6" w:space="0"/>
              <w:right w:val="single" w:color="auto" w:sz="6" w:space="0"/>
            </w:tcBorders>
            <w:vAlign w:val="center"/>
          </w:tcPr>
          <w:p w14:paraId="2DC65F62">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71EB1B6F">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77928833">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4" w:space="0"/>
            </w:tcBorders>
            <w:vAlign w:val="center"/>
          </w:tcPr>
          <w:p w14:paraId="2A66B2A4">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839" w:type="pct"/>
            <w:tcBorders>
              <w:top w:val="single" w:color="auto" w:sz="4" w:space="0"/>
              <w:left w:val="single" w:color="auto" w:sz="6" w:space="0"/>
              <w:bottom w:val="single" w:color="auto" w:sz="4" w:space="0"/>
              <w:right w:val="single" w:color="auto" w:sz="4" w:space="0"/>
            </w:tcBorders>
            <w:vAlign w:val="center"/>
          </w:tcPr>
          <w:p w14:paraId="297BEA40">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18" w:type="pct"/>
            <w:tcBorders>
              <w:top w:val="single" w:color="auto" w:sz="4" w:space="0"/>
              <w:left w:val="single" w:color="auto" w:sz="4" w:space="0"/>
              <w:bottom w:val="single" w:color="auto" w:sz="4" w:space="0"/>
              <w:right w:val="single" w:color="auto" w:sz="4" w:space="0"/>
            </w:tcBorders>
            <w:vAlign w:val="center"/>
          </w:tcPr>
          <w:p w14:paraId="1729C400">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449" w:type="pct"/>
            <w:tcBorders>
              <w:top w:val="single" w:color="auto" w:sz="4" w:space="0"/>
              <w:left w:val="single" w:color="auto" w:sz="4" w:space="0"/>
              <w:bottom w:val="single" w:color="auto" w:sz="4" w:space="0"/>
              <w:right w:val="single" w:color="auto" w:sz="6" w:space="0"/>
            </w:tcBorders>
            <w:vAlign w:val="center"/>
          </w:tcPr>
          <w:p w14:paraId="5B0FBFC1">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54" w:type="pct"/>
            <w:tcBorders>
              <w:top w:val="single" w:color="auto" w:sz="6" w:space="0"/>
              <w:left w:val="single" w:color="auto" w:sz="6" w:space="0"/>
              <w:bottom w:val="single" w:color="auto" w:sz="6" w:space="0"/>
              <w:right w:val="double" w:color="auto" w:sz="4" w:space="0"/>
            </w:tcBorders>
            <w:vAlign w:val="center"/>
          </w:tcPr>
          <w:p w14:paraId="14BCCB4E">
            <w:pPr>
              <w:autoSpaceDE w:val="0"/>
              <w:autoSpaceDN w:val="0"/>
              <w:adjustRightInd w:val="0"/>
              <w:snapToGrid w:val="0"/>
              <w:spacing w:line="380" w:lineRule="exact"/>
              <w:ind w:left="1378" w:leftChars="-52" w:right="-105" w:rightChars="-50" w:hanging="1487"/>
              <w:jc w:val="center"/>
              <w:rPr>
                <w:rFonts w:ascii="宋体" w:hAnsi="宋体"/>
                <w:szCs w:val="21"/>
              </w:rPr>
            </w:pPr>
          </w:p>
        </w:tc>
      </w:tr>
      <w:tr w14:paraId="71186A4B">
        <w:tblPrEx>
          <w:tblCellMar>
            <w:top w:w="0" w:type="dxa"/>
            <w:left w:w="0" w:type="dxa"/>
            <w:bottom w:w="0" w:type="dxa"/>
            <w:right w:w="0" w:type="dxa"/>
          </w:tblCellMar>
        </w:tblPrEx>
        <w:tc>
          <w:tcPr>
            <w:tcW w:w="244" w:type="pct"/>
            <w:tcBorders>
              <w:top w:val="single" w:color="auto" w:sz="6" w:space="0"/>
              <w:left w:val="double" w:color="auto" w:sz="4" w:space="0"/>
              <w:bottom w:val="single" w:color="auto" w:sz="6" w:space="0"/>
              <w:right w:val="single" w:color="auto" w:sz="6" w:space="0"/>
            </w:tcBorders>
            <w:vAlign w:val="center"/>
          </w:tcPr>
          <w:p w14:paraId="33F90EC3">
            <w:pPr>
              <w:spacing w:line="380" w:lineRule="exact"/>
              <w:ind w:left="1378" w:leftChars="-52" w:right="-105" w:rightChars="-50" w:hanging="1487"/>
              <w:jc w:val="center"/>
              <w:rPr>
                <w:rFonts w:ascii="宋体" w:hAnsi="宋体"/>
                <w:szCs w:val="21"/>
              </w:rPr>
            </w:pPr>
            <w:r>
              <w:rPr>
                <w:rFonts w:hint="eastAsia" w:ascii="宋体" w:hAnsi="宋体"/>
                <w:szCs w:val="21"/>
              </w:rPr>
              <w:t>3</w:t>
            </w:r>
          </w:p>
        </w:tc>
        <w:tc>
          <w:tcPr>
            <w:tcW w:w="625" w:type="pct"/>
            <w:tcBorders>
              <w:top w:val="single" w:color="auto" w:sz="6" w:space="0"/>
              <w:left w:val="single" w:color="auto" w:sz="6" w:space="0"/>
              <w:bottom w:val="single" w:color="auto" w:sz="6" w:space="0"/>
              <w:right w:val="single" w:color="auto" w:sz="6" w:space="0"/>
            </w:tcBorders>
            <w:vAlign w:val="center"/>
          </w:tcPr>
          <w:p w14:paraId="02892229">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046C3CC0">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7517C293">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4" w:space="0"/>
            </w:tcBorders>
            <w:vAlign w:val="center"/>
          </w:tcPr>
          <w:p w14:paraId="1085097F">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839" w:type="pct"/>
            <w:tcBorders>
              <w:top w:val="single" w:color="auto" w:sz="4" w:space="0"/>
              <w:left w:val="single" w:color="auto" w:sz="6" w:space="0"/>
              <w:bottom w:val="single" w:color="auto" w:sz="4" w:space="0"/>
              <w:right w:val="single" w:color="auto" w:sz="4" w:space="0"/>
            </w:tcBorders>
            <w:vAlign w:val="center"/>
          </w:tcPr>
          <w:p w14:paraId="036C7EBA">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18" w:type="pct"/>
            <w:tcBorders>
              <w:top w:val="single" w:color="auto" w:sz="4" w:space="0"/>
              <w:left w:val="single" w:color="auto" w:sz="4" w:space="0"/>
              <w:bottom w:val="single" w:color="auto" w:sz="4" w:space="0"/>
              <w:right w:val="single" w:color="auto" w:sz="4" w:space="0"/>
            </w:tcBorders>
            <w:vAlign w:val="center"/>
          </w:tcPr>
          <w:p w14:paraId="2E6038FE">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449" w:type="pct"/>
            <w:tcBorders>
              <w:top w:val="single" w:color="auto" w:sz="4" w:space="0"/>
              <w:left w:val="single" w:color="auto" w:sz="4" w:space="0"/>
              <w:bottom w:val="single" w:color="auto" w:sz="4" w:space="0"/>
              <w:right w:val="single" w:color="auto" w:sz="6" w:space="0"/>
            </w:tcBorders>
            <w:vAlign w:val="center"/>
          </w:tcPr>
          <w:p w14:paraId="41FDC268">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54" w:type="pct"/>
            <w:tcBorders>
              <w:top w:val="single" w:color="auto" w:sz="6" w:space="0"/>
              <w:left w:val="single" w:color="auto" w:sz="6" w:space="0"/>
              <w:bottom w:val="single" w:color="auto" w:sz="6" w:space="0"/>
              <w:right w:val="double" w:color="auto" w:sz="4" w:space="0"/>
            </w:tcBorders>
            <w:vAlign w:val="center"/>
          </w:tcPr>
          <w:p w14:paraId="393B0945">
            <w:pPr>
              <w:autoSpaceDE w:val="0"/>
              <w:autoSpaceDN w:val="0"/>
              <w:adjustRightInd w:val="0"/>
              <w:snapToGrid w:val="0"/>
              <w:spacing w:line="380" w:lineRule="exact"/>
              <w:ind w:left="1378" w:leftChars="-52" w:right="-105" w:rightChars="-50" w:hanging="1487"/>
              <w:jc w:val="center"/>
              <w:rPr>
                <w:rFonts w:ascii="宋体" w:hAnsi="宋体"/>
                <w:szCs w:val="21"/>
              </w:rPr>
            </w:pPr>
          </w:p>
        </w:tc>
      </w:tr>
      <w:tr w14:paraId="352A48F2">
        <w:tblPrEx>
          <w:tblCellMar>
            <w:top w:w="0" w:type="dxa"/>
            <w:left w:w="0" w:type="dxa"/>
            <w:bottom w:w="0" w:type="dxa"/>
            <w:right w:w="0" w:type="dxa"/>
          </w:tblCellMar>
        </w:tblPrEx>
        <w:tc>
          <w:tcPr>
            <w:tcW w:w="244" w:type="pct"/>
            <w:tcBorders>
              <w:top w:val="single" w:color="auto" w:sz="6" w:space="0"/>
              <w:left w:val="double" w:color="auto" w:sz="4" w:space="0"/>
              <w:bottom w:val="single" w:color="auto" w:sz="6" w:space="0"/>
              <w:right w:val="single" w:color="auto" w:sz="6" w:space="0"/>
            </w:tcBorders>
            <w:vAlign w:val="center"/>
          </w:tcPr>
          <w:p w14:paraId="2A962CCE">
            <w:pPr>
              <w:spacing w:line="380" w:lineRule="exact"/>
              <w:ind w:left="1378" w:leftChars="-52" w:right="-105" w:rightChars="-50" w:hanging="1487"/>
              <w:jc w:val="center"/>
              <w:rPr>
                <w:rFonts w:ascii="宋体" w:hAnsi="宋体"/>
                <w:szCs w:val="21"/>
              </w:rPr>
            </w:pPr>
            <w:r>
              <w:rPr>
                <w:rFonts w:hint="eastAsia" w:ascii="宋体" w:hAnsi="宋体"/>
                <w:szCs w:val="21"/>
              </w:rPr>
              <w:t>4</w:t>
            </w:r>
          </w:p>
        </w:tc>
        <w:tc>
          <w:tcPr>
            <w:tcW w:w="625" w:type="pct"/>
            <w:tcBorders>
              <w:top w:val="single" w:color="auto" w:sz="6" w:space="0"/>
              <w:left w:val="single" w:color="auto" w:sz="6" w:space="0"/>
              <w:bottom w:val="single" w:color="auto" w:sz="6" w:space="0"/>
              <w:right w:val="single" w:color="auto" w:sz="6" w:space="0"/>
            </w:tcBorders>
            <w:vAlign w:val="center"/>
          </w:tcPr>
          <w:p w14:paraId="1317DBD6">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21567F88">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27FCB335">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4" w:space="0"/>
            </w:tcBorders>
            <w:vAlign w:val="center"/>
          </w:tcPr>
          <w:p w14:paraId="5932DCF2">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839" w:type="pct"/>
            <w:tcBorders>
              <w:top w:val="single" w:color="auto" w:sz="4" w:space="0"/>
              <w:left w:val="single" w:color="auto" w:sz="6" w:space="0"/>
              <w:bottom w:val="single" w:color="auto" w:sz="4" w:space="0"/>
              <w:right w:val="single" w:color="auto" w:sz="4" w:space="0"/>
            </w:tcBorders>
            <w:vAlign w:val="center"/>
          </w:tcPr>
          <w:p w14:paraId="0D1A1C17">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18" w:type="pct"/>
            <w:tcBorders>
              <w:top w:val="single" w:color="auto" w:sz="4" w:space="0"/>
              <w:left w:val="single" w:color="auto" w:sz="4" w:space="0"/>
              <w:bottom w:val="single" w:color="auto" w:sz="4" w:space="0"/>
              <w:right w:val="single" w:color="auto" w:sz="4" w:space="0"/>
            </w:tcBorders>
            <w:vAlign w:val="center"/>
          </w:tcPr>
          <w:p w14:paraId="55CB1C86">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449" w:type="pct"/>
            <w:tcBorders>
              <w:top w:val="single" w:color="auto" w:sz="4" w:space="0"/>
              <w:left w:val="single" w:color="auto" w:sz="4" w:space="0"/>
              <w:bottom w:val="single" w:color="auto" w:sz="4" w:space="0"/>
              <w:right w:val="single" w:color="auto" w:sz="6" w:space="0"/>
            </w:tcBorders>
            <w:vAlign w:val="center"/>
          </w:tcPr>
          <w:p w14:paraId="58923938">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54" w:type="pct"/>
            <w:tcBorders>
              <w:top w:val="single" w:color="auto" w:sz="6" w:space="0"/>
              <w:left w:val="single" w:color="auto" w:sz="6" w:space="0"/>
              <w:bottom w:val="single" w:color="auto" w:sz="6" w:space="0"/>
              <w:right w:val="double" w:color="auto" w:sz="4" w:space="0"/>
            </w:tcBorders>
            <w:vAlign w:val="center"/>
          </w:tcPr>
          <w:p w14:paraId="55C0A40B">
            <w:pPr>
              <w:autoSpaceDE w:val="0"/>
              <w:autoSpaceDN w:val="0"/>
              <w:adjustRightInd w:val="0"/>
              <w:snapToGrid w:val="0"/>
              <w:spacing w:line="380" w:lineRule="exact"/>
              <w:ind w:left="1378" w:leftChars="-52" w:right="-105" w:rightChars="-50" w:hanging="1487"/>
              <w:jc w:val="center"/>
              <w:rPr>
                <w:rFonts w:ascii="宋体" w:hAnsi="宋体"/>
                <w:szCs w:val="21"/>
              </w:rPr>
            </w:pPr>
          </w:p>
        </w:tc>
      </w:tr>
      <w:tr w14:paraId="03BC27BA">
        <w:tblPrEx>
          <w:tblCellMar>
            <w:top w:w="0" w:type="dxa"/>
            <w:left w:w="0" w:type="dxa"/>
            <w:bottom w:w="0" w:type="dxa"/>
            <w:right w:w="0" w:type="dxa"/>
          </w:tblCellMar>
        </w:tblPrEx>
        <w:tc>
          <w:tcPr>
            <w:tcW w:w="244" w:type="pct"/>
            <w:tcBorders>
              <w:top w:val="single" w:color="auto" w:sz="6" w:space="0"/>
              <w:left w:val="double" w:color="auto" w:sz="4" w:space="0"/>
              <w:bottom w:val="single" w:color="auto" w:sz="6" w:space="0"/>
              <w:right w:val="single" w:color="auto" w:sz="6" w:space="0"/>
            </w:tcBorders>
            <w:vAlign w:val="center"/>
          </w:tcPr>
          <w:p w14:paraId="7C9031E6">
            <w:pPr>
              <w:spacing w:line="380" w:lineRule="exact"/>
              <w:ind w:left="1378" w:leftChars="-52" w:right="-105" w:rightChars="-50" w:hanging="1487"/>
              <w:jc w:val="center"/>
              <w:rPr>
                <w:rFonts w:ascii="宋体" w:hAnsi="宋体"/>
                <w:szCs w:val="21"/>
              </w:rPr>
            </w:pPr>
            <w:r>
              <w:rPr>
                <w:rFonts w:hint="eastAsia" w:ascii="宋体" w:hAnsi="宋体"/>
                <w:szCs w:val="21"/>
              </w:rPr>
              <w:t>5</w:t>
            </w:r>
          </w:p>
        </w:tc>
        <w:tc>
          <w:tcPr>
            <w:tcW w:w="625" w:type="pct"/>
            <w:tcBorders>
              <w:top w:val="single" w:color="auto" w:sz="6" w:space="0"/>
              <w:left w:val="single" w:color="auto" w:sz="6" w:space="0"/>
              <w:bottom w:val="single" w:color="auto" w:sz="6" w:space="0"/>
              <w:right w:val="single" w:color="auto" w:sz="6" w:space="0"/>
            </w:tcBorders>
            <w:vAlign w:val="center"/>
          </w:tcPr>
          <w:p w14:paraId="578D304B">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4286EE54">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0BE6A0D4">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4" w:space="0"/>
            </w:tcBorders>
            <w:vAlign w:val="center"/>
          </w:tcPr>
          <w:p w14:paraId="30BBDBB1">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839" w:type="pct"/>
            <w:tcBorders>
              <w:top w:val="single" w:color="auto" w:sz="4" w:space="0"/>
              <w:left w:val="single" w:color="auto" w:sz="6" w:space="0"/>
              <w:bottom w:val="single" w:color="auto" w:sz="4" w:space="0"/>
              <w:right w:val="single" w:color="auto" w:sz="4" w:space="0"/>
            </w:tcBorders>
            <w:vAlign w:val="center"/>
          </w:tcPr>
          <w:p w14:paraId="7DB09296">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18" w:type="pct"/>
            <w:tcBorders>
              <w:top w:val="single" w:color="auto" w:sz="4" w:space="0"/>
              <w:left w:val="single" w:color="auto" w:sz="4" w:space="0"/>
              <w:bottom w:val="single" w:color="auto" w:sz="4" w:space="0"/>
              <w:right w:val="single" w:color="auto" w:sz="4" w:space="0"/>
            </w:tcBorders>
            <w:vAlign w:val="center"/>
          </w:tcPr>
          <w:p w14:paraId="0240287F">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449" w:type="pct"/>
            <w:tcBorders>
              <w:top w:val="single" w:color="auto" w:sz="4" w:space="0"/>
              <w:left w:val="single" w:color="auto" w:sz="4" w:space="0"/>
              <w:bottom w:val="single" w:color="auto" w:sz="4" w:space="0"/>
              <w:right w:val="single" w:color="auto" w:sz="6" w:space="0"/>
            </w:tcBorders>
            <w:vAlign w:val="center"/>
          </w:tcPr>
          <w:p w14:paraId="78ABD1CE">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54" w:type="pct"/>
            <w:tcBorders>
              <w:top w:val="single" w:color="auto" w:sz="6" w:space="0"/>
              <w:left w:val="single" w:color="auto" w:sz="6" w:space="0"/>
              <w:bottom w:val="single" w:color="auto" w:sz="6" w:space="0"/>
              <w:right w:val="double" w:color="auto" w:sz="4" w:space="0"/>
            </w:tcBorders>
            <w:vAlign w:val="center"/>
          </w:tcPr>
          <w:p w14:paraId="3B44382E">
            <w:pPr>
              <w:autoSpaceDE w:val="0"/>
              <w:autoSpaceDN w:val="0"/>
              <w:adjustRightInd w:val="0"/>
              <w:snapToGrid w:val="0"/>
              <w:spacing w:line="380" w:lineRule="exact"/>
              <w:ind w:left="1378" w:leftChars="-52" w:right="-105" w:rightChars="-50" w:hanging="1487"/>
              <w:jc w:val="center"/>
              <w:rPr>
                <w:rFonts w:ascii="宋体" w:hAnsi="宋体"/>
                <w:szCs w:val="21"/>
              </w:rPr>
            </w:pPr>
          </w:p>
        </w:tc>
      </w:tr>
      <w:tr w14:paraId="0676BE9A">
        <w:tblPrEx>
          <w:tblCellMar>
            <w:top w:w="0" w:type="dxa"/>
            <w:left w:w="0" w:type="dxa"/>
            <w:bottom w:w="0" w:type="dxa"/>
            <w:right w:w="0" w:type="dxa"/>
          </w:tblCellMar>
        </w:tblPrEx>
        <w:tc>
          <w:tcPr>
            <w:tcW w:w="244" w:type="pct"/>
            <w:tcBorders>
              <w:top w:val="single" w:color="auto" w:sz="6" w:space="0"/>
              <w:left w:val="double" w:color="auto" w:sz="4" w:space="0"/>
              <w:bottom w:val="single" w:color="auto" w:sz="6" w:space="0"/>
              <w:right w:val="single" w:color="auto" w:sz="6" w:space="0"/>
            </w:tcBorders>
            <w:vAlign w:val="center"/>
          </w:tcPr>
          <w:p w14:paraId="39B046BF">
            <w:pPr>
              <w:spacing w:line="380" w:lineRule="exact"/>
              <w:ind w:left="1378" w:leftChars="-52" w:right="-105" w:rightChars="-50" w:hanging="1487"/>
              <w:jc w:val="center"/>
              <w:rPr>
                <w:rFonts w:ascii="宋体" w:hAnsi="宋体"/>
                <w:szCs w:val="21"/>
              </w:rPr>
            </w:pPr>
            <w:r>
              <w:rPr>
                <w:rFonts w:hint="eastAsia" w:ascii="宋体" w:hAnsi="宋体"/>
                <w:szCs w:val="21"/>
              </w:rPr>
              <w:t>…</w:t>
            </w:r>
          </w:p>
        </w:tc>
        <w:tc>
          <w:tcPr>
            <w:tcW w:w="625" w:type="pct"/>
            <w:tcBorders>
              <w:top w:val="single" w:color="auto" w:sz="6" w:space="0"/>
              <w:left w:val="single" w:color="auto" w:sz="6" w:space="0"/>
              <w:bottom w:val="single" w:color="auto" w:sz="6" w:space="0"/>
              <w:right w:val="single" w:color="auto" w:sz="6" w:space="0"/>
            </w:tcBorders>
            <w:vAlign w:val="center"/>
          </w:tcPr>
          <w:p w14:paraId="1C6E9DE9">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085334AD">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6" w:space="0"/>
            </w:tcBorders>
            <w:vAlign w:val="center"/>
          </w:tcPr>
          <w:p w14:paraId="5B5E241B">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89" w:type="pct"/>
            <w:tcBorders>
              <w:top w:val="single" w:color="auto" w:sz="6" w:space="0"/>
              <w:left w:val="single" w:color="auto" w:sz="6" w:space="0"/>
              <w:bottom w:val="single" w:color="auto" w:sz="6" w:space="0"/>
              <w:right w:val="single" w:color="auto" w:sz="4" w:space="0"/>
            </w:tcBorders>
            <w:vAlign w:val="center"/>
          </w:tcPr>
          <w:p w14:paraId="1521EDBB">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839" w:type="pct"/>
            <w:tcBorders>
              <w:top w:val="single" w:color="auto" w:sz="4" w:space="0"/>
              <w:left w:val="single" w:color="auto" w:sz="6" w:space="0"/>
              <w:bottom w:val="single" w:color="auto" w:sz="6" w:space="0"/>
              <w:right w:val="single" w:color="auto" w:sz="4" w:space="0"/>
            </w:tcBorders>
            <w:vAlign w:val="center"/>
          </w:tcPr>
          <w:p w14:paraId="294611AD">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18" w:type="pct"/>
            <w:tcBorders>
              <w:top w:val="single" w:color="auto" w:sz="4" w:space="0"/>
              <w:left w:val="single" w:color="auto" w:sz="4" w:space="0"/>
              <w:bottom w:val="single" w:color="auto" w:sz="6" w:space="0"/>
              <w:right w:val="single" w:color="auto" w:sz="4" w:space="0"/>
            </w:tcBorders>
            <w:vAlign w:val="center"/>
          </w:tcPr>
          <w:p w14:paraId="5EB71E1C">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449" w:type="pct"/>
            <w:tcBorders>
              <w:top w:val="single" w:color="auto" w:sz="4" w:space="0"/>
              <w:left w:val="single" w:color="auto" w:sz="4" w:space="0"/>
              <w:bottom w:val="single" w:color="auto" w:sz="6" w:space="0"/>
              <w:right w:val="single" w:color="auto" w:sz="6" w:space="0"/>
            </w:tcBorders>
            <w:vAlign w:val="center"/>
          </w:tcPr>
          <w:p w14:paraId="76794DF2">
            <w:pPr>
              <w:autoSpaceDE w:val="0"/>
              <w:autoSpaceDN w:val="0"/>
              <w:adjustRightInd w:val="0"/>
              <w:snapToGrid w:val="0"/>
              <w:spacing w:line="380" w:lineRule="exact"/>
              <w:ind w:left="1378" w:leftChars="-52" w:right="-105" w:rightChars="-50" w:hanging="1487"/>
              <w:jc w:val="center"/>
              <w:rPr>
                <w:rFonts w:ascii="宋体" w:hAnsi="宋体"/>
                <w:szCs w:val="21"/>
              </w:rPr>
            </w:pPr>
          </w:p>
        </w:tc>
        <w:tc>
          <w:tcPr>
            <w:tcW w:w="554" w:type="pct"/>
            <w:tcBorders>
              <w:top w:val="single" w:color="auto" w:sz="6" w:space="0"/>
              <w:left w:val="single" w:color="auto" w:sz="6" w:space="0"/>
              <w:bottom w:val="single" w:color="auto" w:sz="6" w:space="0"/>
              <w:right w:val="double" w:color="auto" w:sz="4" w:space="0"/>
            </w:tcBorders>
            <w:vAlign w:val="center"/>
          </w:tcPr>
          <w:p w14:paraId="3ECC622F">
            <w:pPr>
              <w:autoSpaceDE w:val="0"/>
              <w:autoSpaceDN w:val="0"/>
              <w:adjustRightInd w:val="0"/>
              <w:snapToGrid w:val="0"/>
              <w:spacing w:line="380" w:lineRule="exact"/>
              <w:ind w:left="1378" w:leftChars="-52" w:right="-105" w:rightChars="-50" w:hanging="1487"/>
              <w:jc w:val="center"/>
              <w:rPr>
                <w:rFonts w:ascii="宋体" w:hAnsi="宋体"/>
                <w:szCs w:val="21"/>
              </w:rPr>
            </w:pPr>
          </w:p>
        </w:tc>
      </w:tr>
      <w:tr w14:paraId="1D7BE8B3">
        <w:tblPrEx>
          <w:tblCellMar>
            <w:top w:w="0" w:type="dxa"/>
            <w:left w:w="0" w:type="dxa"/>
            <w:bottom w:w="0" w:type="dxa"/>
            <w:right w:w="0" w:type="dxa"/>
          </w:tblCellMar>
        </w:tblPrEx>
        <w:tc>
          <w:tcPr>
            <w:tcW w:w="5000" w:type="pct"/>
            <w:gridSpan w:val="9"/>
            <w:tcBorders>
              <w:top w:val="single" w:color="auto" w:sz="6" w:space="0"/>
              <w:left w:val="double" w:color="auto" w:sz="4" w:space="0"/>
              <w:bottom w:val="double" w:color="auto" w:sz="4" w:space="0"/>
              <w:right w:val="double" w:color="auto" w:sz="4" w:space="0"/>
            </w:tcBorders>
            <w:vAlign w:val="center"/>
          </w:tcPr>
          <w:p w14:paraId="6F553AA1">
            <w:pPr>
              <w:spacing w:line="380" w:lineRule="exact"/>
              <w:ind w:left="1379" w:leftChars="68" w:right="-105" w:rightChars="-50" w:hanging="1236"/>
              <w:jc w:val="left"/>
              <w:rPr>
                <w:rFonts w:ascii="宋体" w:hAnsi="宋体"/>
                <w:szCs w:val="21"/>
              </w:rPr>
            </w:pPr>
            <w:r>
              <w:rPr>
                <w:rFonts w:hint="eastAsia" w:ascii="宋体" w:hAnsi="宋体"/>
                <w:szCs w:val="21"/>
              </w:rPr>
              <w:t>投标报价：___________元</w:t>
            </w:r>
          </w:p>
        </w:tc>
      </w:tr>
    </w:tbl>
    <w:p w14:paraId="50BC8325">
      <w:pPr>
        <w:pStyle w:val="143"/>
        <w:adjustRightInd w:val="0"/>
        <w:snapToGrid w:val="0"/>
        <w:spacing w:line="440" w:lineRule="exact"/>
        <w:rPr>
          <w:rFonts w:ascii="宋体" w:hAnsi="宋体"/>
          <w:szCs w:val="21"/>
        </w:rPr>
      </w:pPr>
      <w:r>
        <w:rPr>
          <w:rFonts w:hint="eastAsia" w:ascii="宋体" w:hAnsi="宋体"/>
          <w:szCs w:val="21"/>
        </w:rPr>
        <w:t>备注：（1）本表应对应“开标一览表”，按包填写。投标人如果不提供分项报价明细表，其投标无效。</w:t>
      </w:r>
    </w:p>
    <w:p w14:paraId="505ECC4A">
      <w:pPr>
        <w:pStyle w:val="143"/>
        <w:adjustRightInd w:val="0"/>
        <w:snapToGrid w:val="0"/>
        <w:spacing w:line="440" w:lineRule="exact"/>
        <w:ind w:firstLine="567" w:firstLineChars="270"/>
        <w:rPr>
          <w:rFonts w:ascii="宋体" w:hAnsi="宋体"/>
          <w:szCs w:val="21"/>
        </w:rPr>
      </w:pPr>
      <w:r>
        <w:rPr>
          <w:rFonts w:hint="eastAsia" w:ascii="宋体" w:hAnsi="宋体"/>
          <w:szCs w:val="21"/>
        </w:rPr>
        <w:t>（2）不得填写“免费”或“赠与”，也不得进行“零”报价，否则投标无效。</w:t>
      </w:r>
    </w:p>
    <w:p w14:paraId="1C7E9049">
      <w:pPr>
        <w:pStyle w:val="143"/>
        <w:adjustRightInd w:val="0"/>
        <w:snapToGrid w:val="0"/>
        <w:spacing w:line="440" w:lineRule="exact"/>
        <w:ind w:firstLine="567" w:firstLineChars="270"/>
        <w:rPr>
          <w:rFonts w:ascii="宋体" w:hAnsi="宋体"/>
          <w:szCs w:val="21"/>
        </w:rPr>
      </w:pPr>
      <w:r>
        <w:rPr>
          <w:rFonts w:hint="eastAsia" w:ascii="宋体" w:hAnsi="宋体"/>
          <w:szCs w:val="21"/>
        </w:rPr>
        <w:t>（3）如果开标一览表内容与本表内容不一致的，以开标一览表内容为准。</w:t>
      </w:r>
    </w:p>
    <w:p w14:paraId="71BB773C">
      <w:pPr>
        <w:pStyle w:val="143"/>
        <w:adjustRightInd w:val="0"/>
        <w:snapToGrid w:val="0"/>
        <w:spacing w:line="440" w:lineRule="exact"/>
        <w:ind w:firstLine="567" w:firstLineChars="270"/>
        <w:rPr>
          <w:rFonts w:ascii="宋体" w:hAnsi="宋体"/>
          <w:szCs w:val="21"/>
        </w:rPr>
      </w:pPr>
      <w:r>
        <w:rPr>
          <w:rFonts w:hint="eastAsia" w:ascii="宋体" w:hAnsi="宋体"/>
          <w:szCs w:val="21"/>
        </w:rPr>
        <w:t>（4）投标人在投标截止时间前修改“开标一览表”中的投标报价的，应按第二章第13.5款规定修改本表相应内容。否则，本表相应内容按投标报价修改的相同比例进行调整。</w:t>
      </w:r>
    </w:p>
    <w:p w14:paraId="3E2E783C">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投标人名称（盖单位章）：_______________</w:t>
      </w:r>
    </w:p>
    <w:p w14:paraId="6C15B018">
      <w:pPr>
        <w:pStyle w:val="143"/>
        <w:adjustRightInd w:val="0"/>
        <w:snapToGrid w:val="0"/>
        <w:spacing w:line="440" w:lineRule="exact"/>
        <w:ind w:firstLine="420" w:firstLineChars="200"/>
        <w:rPr>
          <w:rFonts w:ascii="宋体" w:hAnsi="宋体"/>
          <w:szCs w:val="21"/>
        </w:rPr>
      </w:pPr>
      <w:r>
        <w:rPr>
          <w:rFonts w:hint="eastAsia" w:ascii="宋体" w:hAnsi="宋体"/>
          <w:szCs w:val="21"/>
        </w:rPr>
        <w:t>法定代表人（单位负责人）或其授权的代理人（签字或盖章）：_______________</w:t>
      </w:r>
    </w:p>
    <w:p w14:paraId="7D9D060B">
      <w:pPr>
        <w:pStyle w:val="143"/>
        <w:adjustRightInd w:val="0"/>
        <w:snapToGrid w:val="0"/>
        <w:spacing w:line="440" w:lineRule="exact"/>
        <w:ind w:firstLine="420" w:firstLineChars="200"/>
        <w:rPr>
          <w:rFonts w:ascii="宋体" w:hAnsi="宋体"/>
          <w:szCs w:val="21"/>
        </w:rPr>
        <w:sectPr>
          <w:pgSz w:w="11906" w:h="16838"/>
          <w:pgMar w:top="1418" w:right="1418" w:bottom="1418" w:left="1418" w:header="851" w:footer="851" w:gutter="0"/>
          <w:pgNumType w:fmt="numberInDash"/>
          <w:cols w:space="720" w:num="1"/>
          <w:docGrid w:type="lines" w:linePitch="312" w:charSpace="0"/>
        </w:sectPr>
      </w:pPr>
      <w:r>
        <w:rPr>
          <w:rFonts w:hint="eastAsia" w:ascii="宋体" w:hAnsi="宋体"/>
          <w:szCs w:val="21"/>
        </w:rPr>
        <w:t>日期：_______年__月__日</w:t>
      </w:r>
    </w:p>
    <w:p w14:paraId="00C37CDB">
      <w:pPr>
        <w:pStyle w:val="3"/>
      </w:pPr>
      <w:bookmarkStart w:id="181" w:name="_Toc24732"/>
      <w:r>
        <w:rPr>
          <w:rFonts w:hint="eastAsia"/>
        </w:rPr>
        <w:t>五、政策优惠证明材料</w:t>
      </w:r>
      <w:bookmarkEnd w:id="181"/>
    </w:p>
    <w:p w14:paraId="1107F79F"/>
    <w:p w14:paraId="6A9F6C18">
      <w:pPr>
        <w:pStyle w:val="3"/>
      </w:pPr>
      <w:bookmarkStart w:id="182" w:name="_Toc9581"/>
      <w:bookmarkStart w:id="183" w:name="_Toc256000087"/>
      <w:r>
        <w:rPr>
          <w:rFonts w:hint="eastAsia"/>
        </w:rPr>
        <w:t>5</w:t>
      </w:r>
      <w:r>
        <w:t>-1中小企业声明函</w:t>
      </w:r>
      <w:bookmarkEnd w:id="182"/>
      <w:bookmarkEnd w:id="183"/>
    </w:p>
    <w:p w14:paraId="2EBFE727">
      <w:pPr>
        <w:pStyle w:val="151"/>
        <w:spacing w:line="360" w:lineRule="auto"/>
        <w:jc w:val="center"/>
        <w:rPr>
          <w:rFonts w:asciiTheme="minorEastAsia" w:hAnsiTheme="minorEastAsia" w:eastAsiaTheme="minorEastAsia"/>
          <w:b/>
          <w:bCs/>
          <w:sz w:val="24"/>
          <w:szCs w:val="32"/>
        </w:rPr>
      </w:pPr>
      <w:r>
        <w:rPr>
          <w:rFonts w:hint="eastAsia" w:asciiTheme="minorEastAsia" w:hAnsiTheme="minorEastAsia" w:eastAsiaTheme="minorEastAsia"/>
          <w:b/>
          <w:bCs/>
          <w:sz w:val="24"/>
          <w:szCs w:val="32"/>
        </w:rPr>
        <w:t>(适用于中小企业)</w:t>
      </w:r>
    </w:p>
    <w:p w14:paraId="1AB9CA16">
      <w:pPr>
        <w:pStyle w:val="151"/>
        <w:adjustRightInd w:val="0"/>
        <w:snapToGrid w:val="0"/>
        <w:spacing w:line="440" w:lineRule="exact"/>
        <w:ind w:left="-88" w:leftChars="-42" w:firstLine="420" w:firstLineChars="200"/>
        <w:rPr>
          <w:rFonts w:ascii="宋体" w:hAnsi="宋体"/>
          <w:szCs w:val="21"/>
        </w:rPr>
      </w:pPr>
    </w:p>
    <w:p w14:paraId="61F39E68">
      <w:pPr>
        <w:widowControl/>
        <w:adjustRightInd w:val="0"/>
        <w:snapToGrid w:val="0"/>
        <w:spacing w:line="440" w:lineRule="exact"/>
        <w:ind w:firstLine="444" w:firstLineChars="200"/>
        <w:jc w:val="left"/>
        <w:rPr>
          <w:rFonts w:ascii="宋体" w:hAnsi="宋体"/>
          <w:spacing w:val="6"/>
          <w:kern w:val="0"/>
          <w:szCs w:val="21"/>
        </w:rPr>
      </w:pPr>
      <w:r>
        <w:rPr>
          <w:rFonts w:hint="eastAsia" w:ascii="宋体" w:hAnsi="宋体"/>
          <w:spacing w:val="6"/>
          <w:kern w:val="0"/>
          <w:szCs w:val="21"/>
        </w:rPr>
        <w:t>本公司郑重声明，根据《政府采购促进中小企业发展管理办法》（财库[2020]46号）的规定，本公司参加___________（单位名称）的</w:t>
      </w:r>
      <w:r>
        <w:rPr>
          <w:rFonts w:hint="eastAsia" w:ascii="宋体" w:hAnsi="宋体"/>
          <w:szCs w:val="21"/>
        </w:rPr>
        <w:t>_____</w:t>
      </w:r>
      <w:r>
        <w:rPr>
          <w:rFonts w:hint="eastAsia" w:ascii="宋体" w:hAnsi="宋体"/>
          <w:spacing w:val="6"/>
          <w:kern w:val="0"/>
          <w:szCs w:val="21"/>
        </w:rPr>
        <w:t>___________（项目名称）采购活动，服务全部由符合政策要求的中小企业承接。相关企业（含联合体中的中小企业、签订分包意向协议的中小企业）的具体情况如下：</w:t>
      </w:r>
    </w:p>
    <w:p w14:paraId="64FD8EC0">
      <w:pPr>
        <w:widowControl/>
        <w:adjustRightInd w:val="0"/>
        <w:snapToGrid w:val="0"/>
        <w:spacing w:line="440" w:lineRule="exact"/>
        <w:ind w:firstLine="444" w:firstLineChars="200"/>
        <w:jc w:val="left"/>
        <w:rPr>
          <w:rFonts w:ascii="宋体" w:hAnsi="宋体"/>
          <w:spacing w:val="6"/>
          <w:kern w:val="0"/>
          <w:szCs w:val="21"/>
        </w:rPr>
      </w:pPr>
      <w:r>
        <w:rPr>
          <w:rFonts w:hint="eastAsia" w:ascii="宋体" w:hAnsi="宋体"/>
          <w:spacing w:val="6"/>
          <w:kern w:val="0"/>
          <w:szCs w:val="21"/>
        </w:rPr>
        <w:t>1. ___________（标的名称），属于</w:t>
      </w:r>
      <w:r>
        <w:rPr>
          <w:rFonts w:hint="eastAsia" w:ascii="宋体" w:hAnsi="宋体"/>
          <w:szCs w:val="21"/>
        </w:rPr>
        <w:t>_____</w:t>
      </w:r>
      <w:r>
        <w:rPr>
          <w:rFonts w:hint="eastAsia" w:ascii="宋体" w:hAnsi="宋体"/>
          <w:spacing w:val="6"/>
          <w:kern w:val="0"/>
          <w:szCs w:val="21"/>
        </w:rPr>
        <w:t>___________（采购文件中明确的所属行业）行业</w:t>
      </w:r>
      <w:r>
        <w:rPr>
          <w:rFonts w:hint="eastAsia" w:ascii="宋体" w:hAnsi="宋体"/>
          <w:b/>
          <w:color w:val="FF0000"/>
          <w:szCs w:val="21"/>
          <w:vertAlign w:val="superscript"/>
        </w:rPr>
        <w:t>[2]</w:t>
      </w:r>
      <w:r>
        <w:rPr>
          <w:rFonts w:hint="eastAsia" w:ascii="宋体" w:hAnsi="宋体"/>
          <w:spacing w:val="6"/>
          <w:kern w:val="0"/>
          <w:szCs w:val="21"/>
        </w:rPr>
        <w:t>；承接企业为___________（企业名称），从业人员____人，营业收入____万元，资产总额____万元</w:t>
      </w:r>
      <w:r>
        <w:rPr>
          <w:rFonts w:hint="eastAsia" w:ascii="宋体" w:hAnsi="宋体"/>
          <w:szCs w:val="21"/>
          <w:vertAlign w:val="superscript"/>
        </w:rPr>
        <w:t>[1]</w:t>
      </w:r>
      <w:r>
        <w:rPr>
          <w:rFonts w:hint="eastAsia" w:ascii="宋体" w:hAnsi="宋体"/>
          <w:spacing w:val="6"/>
          <w:kern w:val="0"/>
          <w:szCs w:val="21"/>
        </w:rPr>
        <w:t>，属于________（中型企业、小型企业、微型企业）；</w:t>
      </w:r>
    </w:p>
    <w:p w14:paraId="2CA60D28">
      <w:pPr>
        <w:widowControl/>
        <w:adjustRightInd w:val="0"/>
        <w:snapToGrid w:val="0"/>
        <w:spacing w:line="440" w:lineRule="exact"/>
        <w:ind w:firstLine="444" w:firstLineChars="200"/>
        <w:jc w:val="left"/>
        <w:rPr>
          <w:rFonts w:ascii="宋体" w:hAnsi="宋体"/>
          <w:spacing w:val="6"/>
          <w:kern w:val="0"/>
          <w:szCs w:val="21"/>
        </w:rPr>
      </w:pPr>
      <w:r>
        <w:rPr>
          <w:rFonts w:hint="eastAsia" w:ascii="宋体" w:hAnsi="宋体"/>
          <w:spacing w:val="6"/>
          <w:kern w:val="0"/>
          <w:szCs w:val="21"/>
        </w:rPr>
        <w:t>2. ___________（标的名称），属于</w:t>
      </w:r>
      <w:r>
        <w:rPr>
          <w:rFonts w:hint="eastAsia" w:ascii="宋体" w:hAnsi="宋体"/>
          <w:szCs w:val="21"/>
        </w:rPr>
        <w:t>_____</w:t>
      </w:r>
      <w:r>
        <w:rPr>
          <w:rFonts w:hint="eastAsia" w:ascii="宋体" w:hAnsi="宋体"/>
          <w:spacing w:val="6"/>
          <w:kern w:val="0"/>
          <w:szCs w:val="21"/>
        </w:rPr>
        <w:t>___________（采购文件中明确的所属行业）行业</w:t>
      </w:r>
      <w:r>
        <w:rPr>
          <w:rFonts w:hint="eastAsia" w:ascii="宋体" w:hAnsi="宋体"/>
          <w:b/>
          <w:color w:val="FF0000"/>
          <w:szCs w:val="21"/>
          <w:vertAlign w:val="superscript"/>
        </w:rPr>
        <w:t>[2]</w:t>
      </w:r>
      <w:r>
        <w:rPr>
          <w:rFonts w:hint="eastAsia" w:ascii="宋体" w:hAnsi="宋体"/>
          <w:spacing w:val="6"/>
          <w:kern w:val="0"/>
          <w:szCs w:val="21"/>
        </w:rPr>
        <w:t>；承接企业为___________（企业名称），从业人员____人，营业收入____万元，资产总额____万元</w:t>
      </w:r>
      <w:r>
        <w:rPr>
          <w:rFonts w:hint="eastAsia" w:ascii="宋体" w:hAnsi="宋体"/>
          <w:szCs w:val="21"/>
          <w:vertAlign w:val="superscript"/>
        </w:rPr>
        <w:t>[1]</w:t>
      </w:r>
      <w:r>
        <w:rPr>
          <w:rFonts w:hint="eastAsia" w:ascii="宋体" w:hAnsi="宋体"/>
          <w:spacing w:val="6"/>
          <w:kern w:val="0"/>
          <w:szCs w:val="21"/>
        </w:rPr>
        <w:t>，属于________（中型企业、小型企业、微型企业）；</w:t>
      </w:r>
    </w:p>
    <w:p w14:paraId="586E64A3">
      <w:pPr>
        <w:widowControl/>
        <w:adjustRightInd w:val="0"/>
        <w:snapToGrid w:val="0"/>
        <w:spacing w:line="440" w:lineRule="exact"/>
        <w:ind w:firstLine="444" w:firstLineChars="200"/>
        <w:jc w:val="left"/>
        <w:rPr>
          <w:rFonts w:ascii="宋体" w:hAnsi="宋体"/>
          <w:spacing w:val="6"/>
          <w:kern w:val="0"/>
          <w:szCs w:val="21"/>
        </w:rPr>
      </w:pPr>
      <w:r>
        <w:rPr>
          <w:rFonts w:hint="eastAsia" w:ascii="宋体" w:hAnsi="宋体"/>
          <w:spacing w:val="6"/>
          <w:kern w:val="0"/>
          <w:szCs w:val="21"/>
        </w:rPr>
        <w:t>…</w:t>
      </w:r>
    </w:p>
    <w:p w14:paraId="49ABE125">
      <w:pPr>
        <w:widowControl/>
        <w:adjustRightInd w:val="0"/>
        <w:snapToGrid w:val="0"/>
        <w:spacing w:line="440" w:lineRule="exact"/>
        <w:ind w:firstLine="444" w:firstLineChars="200"/>
        <w:jc w:val="left"/>
        <w:rPr>
          <w:rFonts w:ascii="宋体" w:hAnsi="宋体"/>
          <w:spacing w:val="6"/>
          <w:kern w:val="0"/>
          <w:szCs w:val="21"/>
        </w:rPr>
      </w:pPr>
      <w:r>
        <w:rPr>
          <w:rFonts w:hint="eastAsia" w:ascii="宋体" w:hAnsi="宋体"/>
          <w:spacing w:val="6"/>
          <w:kern w:val="0"/>
          <w:szCs w:val="21"/>
        </w:rPr>
        <w:t>以上企业，不属于大企业的分支机构，不存在控股股东为大企业的情形，也不存在与大企业的负责人为同一人的情形。</w:t>
      </w:r>
    </w:p>
    <w:p w14:paraId="7A0D9211">
      <w:pPr>
        <w:widowControl/>
        <w:adjustRightInd w:val="0"/>
        <w:snapToGrid w:val="0"/>
        <w:spacing w:line="440" w:lineRule="exact"/>
        <w:ind w:firstLine="444" w:firstLineChars="200"/>
        <w:jc w:val="left"/>
        <w:rPr>
          <w:rFonts w:ascii="宋体" w:hAnsi="宋体"/>
          <w:spacing w:val="6"/>
          <w:kern w:val="0"/>
          <w:szCs w:val="21"/>
        </w:rPr>
      </w:pPr>
      <w:r>
        <w:rPr>
          <w:rFonts w:hint="eastAsia" w:ascii="宋体" w:hAnsi="宋体"/>
          <w:spacing w:val="6"/>
          <w:kern w:val="0"/>
          <w:szCs w:val="21"/>
        </w:rPr>
        <w:t>本企业对上述声明内容的真实性负责。如有虚假，将依法承担相应责任。</w:t>
      </w:r>
    </w:p>
    <w:p w14:paraId="3FB926A3">
      <w:pPr>
        <w:widowControl/>
        <w:adjustRightInd w:val="0"/>
        <w:snapToGrid w:val="0"/>
        <w:spacing w:line="440" w:lineRule="exact"/>
        <w:ind w:firstLine="444" w:firstLineChars="200"/>
        <w:jc w:val="center"/>
        <w:rPr>
          <w:rFonts w:ascii="宋体" w:hAnsi="宋体"/>
          <w:spacing w:val="6"/>
          <w:kern w:val="0"/>
          <w:szCs w:val="21"/>
        </w:rPr>
      </w:pPr>
      <w:r>
        <w:rPr>
          <w:rFonts w:hint="eastAsia" w:ascii="宋体" w:hAnsi="宋体"/>
          <w:spacing w:val="6"/>
          <w:kern w:val="0"/>
          <w:szCs w:val="21"/>
        </w:rPr>
        <w:t xml:space="preserve">                      企业名称（盖章）：</w:t>
      </w:r>
    </w:p>
    <w:p w14:paraId="3F74DA3F">
      <w:pPr>
        <w:pStyle w:val="151"/>
        <w:adjustRightInd w:val="0"/>
        <w:snapToGrid w:val="0"/>
        <w:spacing w:line="440" w:lineRule="exact"/>
        <w:ind w:left="-88" w:leftChars="-42" w:firstLine="5190" w:firstLineChars="2338"/>
        <w:rPr>
          <w:rFonts w:ascii="宋体" w:hAnsi="宋体"/>
          <w:szCs w:val="21"/>
        </w:rPr>
      </w:pPr>
      <w:r>
        <w:rPr>
          <w:rFonts w:hint="eastAsia" w:ascii="宋体" w:hAnsi="宋体"/>
          <w:spacing w:val="6"/>
          <w:kern w:val="0"/>
          <w:szCs w:val="21"/>
        </w:rPr>
        <w:t>日期：</w:t>
      </w:r>
    </w:p>
    <w:p w14:paraId="76EE30C9">
      <w:pPr>
        <w:widowControl/>
        <w:spacing w:before="156" w:beforeLines="50" w:line="440" w:lineRule="exact"/>
        <w:ind w:firstLine="420" w:firstLineChars="200"/>
        <w:jc w:val="left"/>
        <w:rPr>
          <w:rFonts w:ascii="宋体" w:hAnsi="宋体" w:cs="宋体"/>
          <w:kern w:val="0"/>
          <w:szCs w:val="21"/>
        </w:rPr>
      </w:pPr>
      <w:r>
        <w:rPr>
          <w:rFonts w:hint="eastAsia" w:ascii="宋体" w:hAnsi="宋体" w:cs="宋体"/>
          <w:kern w:val="0"/>
          <w:szCs w:val="21"/>
        </w:rPr>
        <w:t>注：1.属于专门面向中小企业采购的政府采购服务类项目，投标人应按本声明函内容和格式如实声明，未提供本声明函或不符合《政府采购促进中小企业发展管理办法》（财库﹝2020﹞46 号）规定的，其</w:t>
      </w:r>
      <w:r>
        <w:rPr>
          <w:rFonts w:hint="eastAsia" w:ascii="宋体" w:hAnsi="宋体" w:cs="宋体"/>
          <w:b/>
          <w:bCs/>
          <w:kern w:val="0"/>
          <w:szCs w:val="21"/>
        </w:rPr>
        <w:t>投标无效。</w:t>
      </w:r>
    </w:p>
    <w:p w14:paraId="2BA1448C">
      <w:pPr>
        <w:widowControl/>
        <w:spacing w:line="440" w:lineRule="exact"/>
        <w:ind w:firstLine="420" w:firstLineChars="200"/>
        <w:jc w:val="left"/>
        <w:rPr>
          <w:rFonts w:ascii="宋体" w:hAnsi="宋体" w:cs="宋体"/>
          <w:kern w:val="0"/>
          <w:szCs w:val="21"/>
        </w:rPr>
      </w:pPr>
      <w:r>
        <w:rPr>
          <w:rFonts w:hint="eastAsia" w:ascii="宋体" w:hAnsi="宋体" w:cs="宋体"/>
          <w:kern w:val="0"/>
          <w:szCs w:val="21"/>
        </w:rPr>
        <w:t>2.</w:t>
      </w:r>
      <w:r>
        <w:rPr>
          <w:rFonts w:hint="eastAsia" w:ascii="宋体" w:hAnsi="宋体"/>
          <w:spacing w:val="6"/>
          <w:kern w:val="0"/>
          <w:szCs w:val="21"/>
          <w:vertAlign w:val="superscript"/>
        </w:rPr>
        <w:t xml:space="preserve"> [1]</w:t>
      </w:r>
      <w:r>
        <w:rPr>
          <w:rFonts w:hint="eastAsia" w:ascii="宋体" w:hAnsi="宋体" w:cs="宋体"/>
          <w:kern w:val="0"/>
          <w:szCs w:val="21"/>
        </w:rPr>
        <w:t>从业人员、营业收入、资产总额填报上一年度数据，无上一年度数据的新成立企业可不填报。</w:t>
      </w:r>
    </w:p>
    <w:p w14:paraId="591AA9FE">
      <w:pPr>
        <w:widowControl/>
        <w:spacing w:line="440" w:lineRule="exact"/>
        <w:ind w:firstLine="420" w:firstLineChars="200"/>
        <w:jc w:val="left"/>
        <w:rPr>
          <w:rFonts w:ascii="宋体" w:hAnsi="宋体" w:cs="宋体"/>
          <w:kern w:val="0"/>
          <w:szCs w:val="21"/>
        </w:rPr>
      </w:pPr>
      <w:r>
        <w:rPr>
          <w:rFonts w:hint="eastAsia" w:ascii="宋体" w:hAnsi="宋体" w:cs="宋体"/>
          <w:kern w:val="0"/>
          <w:szCs w:val="21"/>
        </w:rPr>
        <w:t>3. 本项目对应的中小企业划分标准所属行业：</w:t>
      </w:r>
      <w:r>
        <w:rPr>
          <w:rFonts w:hint="eastAsia" w:ascii="宋体" w:hAnsi="宋体"/>
          <w:szCs w:val="21"/>
        </w:rPr>
        <w:t>租赁和商务服务业</w:t>
      </w:r>
      <w:r>
        <w:rPr>
          <w:rFonts w:hint="eastAsia" w:ascii="宋体" w:hAnsi="宋体" w:cs="宋体"/>
          <w:kern w:val="0"/>
          <w:szCs w:val="21"/>
        </w:rPr>
        <w:t>。</w:t>
      </w:r>
    </w:p>
    <w:p w14:paraId="694AD1FF">
      <w:pPr>
        <w:pStyle w:val="151"/>
        <w:adjustRightInd w:val="0"/>
        <w:snapToGrid w:val="0"/>
        <w:spacing w:before="50" w:line="440" w:lineRule="exact"/>
        <w:ind w:left="-88" w:leftChars="-42" w:firstLine="420" w:firstLineChars="200"/>
      </w:pPr>
      <w:r>
        <w:rPr>
          <w:rFonts w:hint="eastAsia" w:ascii="宋体" w:hAnsi="宋体" w:cs="宋体"/>
          <w:kern w:val="0"/>
          <w:szCs w:val="21"/>
        </w:rPr>
        <w:t>4.</w:t>
      </w:r>
      <w:r>
        <w:rPr>
          <w:rFonts w:hint="eastAsia" w:ascii="宋体" w:hAnsi="宋体"/>
          <w:szCs w:val="21"/>
          <w:vertAlign w:val="superscript"/>
        </w:rPr>
        <w:t xml:space="preserve"> 2]</w:t>
      </w:r>
      <w:r>
        <w:rPr>
          <w:rFonts w:hint="eastAsia" w:ascii="宋体" w:hAnsi="宋体" w:cs="宋体"/>
          <w:kern w:val="0"/>
          <w:szCs w:val="21"/>
        </w:rPr>
        <w:t>采购(招标)文件中明确的所属行业为：《关于印发中小企业划型标准规定的通知》（工信部联企业〔2011〕300号）第四条第十二款规定的“软件和信息技术服务业”，即</w:t>
      </w:r>
      <w:r>
        <w:rPr>
          <w:rFonts w:hint="eastAsia" w:ascii="宋体" w:hAnsi="宋体"/>
          <w:spacing w:val="6"/>
          <w:kern w:val="0"/>
          <w:szCs w:val="21"/>
        </w:rPr>
        <w:t>从业人员300人以下的为中小微型企业。其中，从业人员100人及以上的为中型企业；从业人员10人及以上的为小型企业；从业人员10人以下的为微型企业。</w:t>
      </w:r>
      <w:r>
        <w:br w:type="page"/>
      </w:r>
    </w:p>
    <w:p w14:paraId="34996F36">
      <w:pPr>
        <w:pStyle w:val="3"/>
      </w:pPr>
      <w:bookmarkStart w:id="184" w:name="_Toc256000089"/>
      <w:bookmarkStart w:id="185" w:name="_Toc11353"/>
      <w:r>
        <w:rPr>
          <w:rFonts w:hint="eastAsia"/>
        </w:rPr>
        <w:t>5</w:t>
      </w:r>
      <w:r>
        <w:t>-2</w:t>
      </w:r>
      <w:r>
        <w:rPr>
          <w:rFonts w:hint="eastAsia"/>
        </w:rPr>
        <w:t xml:space="preserve"> 残疾人福利性单位声明函</w:t>
      </w:r>
      <w:r>
        <w:t>(适用于残疾人福利单位)</w:t>
      </w:r>
      <w:bookmarkEnd w:id="184"/>
      <w:bookmarkEnd w:id="185"/>
    </w:p>
    <w:p w14:paraId="202CD523">
      <w:pPr>
        <w:pStyle w:val="153"/>
        <w:spacing w:line="440" w:lineRule="exact"/>
        <w:ind w:firstLine="444" w:firstLineChars="200"/>
        <w:rPr>
          <w:rFonts w:ascii="宋体" w:hAnsi="宋体" w:cs="仿宋_GB2312"/>
          <w:spacing w:val="6"/>
          <w:szCs w:val="21"/>
        </w:rPr>
      </w:pPr>
    </w:p>
    <w:p w14:paraId="1D9FF82B">
      <w:pPr>
        <w:pStyle w:val="153"/>
        <w:spacing w:line="440" w:lineRule="exact"/>
        <w:ind w:firstLine="444" w:firstLineChars="200"/>
        <w:rPr>
          <w:rFonts w:ascii="宋体" w:hAnsi="宋体"/>
          <w:spacing w:val="6"/>
          <w:szCs w:val="21"/>
        </w:rPr>
      </w:pPr>
      <w:r>
        <w:rPr>
          <w:rFonts w:hint="eastAsia" w:ascii="宋体" w:hAnsi="宋体" w:cs="仿宋_GB2312"/>
          <w:spacing w:val="6"/>
          <w:szCs w:val="21"/>
        </w:rPr>
        <w:t>本单位郑重声明，根据《财政部民政部中国残疾人联合会关于促进残疾人就业政府采购政策的通知》（财库</w:t>
      </w:r>
      <w:r>
        <w:rPr>
          <w:rFonts w:hint="eastAsia" w:ascii="宋体" w:hAnsi="宋体" w:cs="仿宋_GB2312"/>
          <w:szCs w:val="21"/>
        </w:rPr>
        <w:t>〔</w:t>
      </w:r>
      <w:r>
        <w:rPr>
          <w:rFonts w:ascii="宋体" w:hAnsi="宋体" w:cs="仿宋_GB2312"/>
          <w:szCs w:val="21"/>
        </w:rPr>
        <w:t>2017</w:t>
      </w:r>
      <w:r>
        <w:rPr>
          <w:rFonts w:hint="eastAsia" w:ascii="宋体" w:hAnsi="宋体" w:cs="仿宋_GB2312"/>
          <w:szCs w:val="21"/>
        </w:rPr>
        <w:t>〕</w:t>
      </w:r>
      <w:r>
        <w:rPr>
          <w:rFonts w:ascii="宋体" w:hAnsi="宋体" w:cs="仿宋_GB2312"/>
          <w:szCs w:val="21"/>
        </w:rPr>
        <w:t xml:space="preserve"> 141</w:t>
      </w:r>
      <w:r>
        <w:rPr>
          <w:rFonts w:hint="eastAsia" w:ascii="宋体" w:hAnsi="宋体" w:cs="仿宋_GB2312"/>
          <w:spacing w:val="6"/>
          <w:szCs w:val="21"/>
        </w:rPr>
        <w:t>号）的规定，本单位为符合条件的残疾人福利性单位，且本单位参加__________单位的__________项目采购活动提供本单位制造的货物（由本单位承担工程</w:t>
      </w:r>
      <w:r>
        <w:rPr>
          <w:rFonts w:ascii="宋体" w:hAnsi="宋体" w:cs="仿宋_GB2312"/>
          <w:spacing w:val="6"/>
          <w:szCs w:val="21"/>
        </w:rPr>
        <w:t>/</w:t>
      </w:r>
      <w:r>
        <w:rPr>
          <w:rFonts w:hint="eastAsia" w:ascii="宋体" w:hAnsi="宋体" w:cs="仿宋_GB2312"/>
          <w:spacing w:val="6"/>
          <w:szCs w:val="21"/>
        </w:rPr>
        <w:t>提供服务），或者提供其他残疾人福利性单位制造的货物（不包括使用非残疾人福利性单位注册商标的货物）。</w:t>
      </w:r>
    </w:p>
    <w:p w14:paraId="6499225D">
      <w:pPr>
        <w:pStyle w:val="153"/>
        <w:spacing w:line="440" w:lineRule="exact"/>
        <w:ind w:firstLine="444" w:firstLineChars="200"/>
        <w:rPr>
          <w:rFonts w:ascii="宋体" w:hAnsi="宋体"/>
          <w:spacing w:val="6"/>
          <w:szCs w:val="21"/>
        </w:rPr>
      </w:pPr>
      <w:r>
        <w:rPr>
          <w:rFonts w:hint="eastAsia" w:ascii="宋体" w:hAnsi="宋体" w:cs="仿宋_GB2312"/>
          <w:spacing w:val="6"/>
          <w:szCs w:val="21"/>
        </w:rPr>
        <w:t>本单位对上述声明的真实性负责。如有虚假，将依法承担相应责任。</w:t>
      </w:r>
    </w:p>
    <w:p w14:paraId="28A03074">
      <w:pPr>
        <w:pStyle w:val="153"/>
        <w:spacing w:line="440" w:lineRule="exact"/>
        <w:ind w:firstLine="444" w:firstLineChars="200"/>
        <w:rPr>
          <w:rFonts w:ascii="宋体" w:hAnsi="宋体"/>
          <w:spacing w:val="6"/>
          <w:szCs w:val="21"/>
        </w:rPr>
      </w:pPr>
    </w:p>
    <w:p w14:paraId="461E870B">
      <w:pPr>
        <w:pStyle w:val="153"/>
        <w:spacing w:line="440" w:lineRule="exact"/>
        <w:ind w:firstLine="444" w:firstLineChars="200"/>
        <w:rPr>
          <w:rFonts w:ascii="宋体" w:hAnsi="宋体"/>
          <w:spacing w:val="6"/>
          <w:szCs w:val="21"/>
        </w:rPr>
      </w:pPr>
    </w:p>
    <w:p w14:paraId="7B3BC888">
      <w:pPr>
        <w:pStyle w:val="153"/>
        <w:tabs>
          <w:tab w:val="left" w:pos="4860"/>
        </w:tabs>
        <w:spacing w:line="440" w:lineRule="exact"/>
        <w:ind w:right="1560" w:firstLine="444" w:firstLineChars="200"/>
        <w:jc w:val="center"/>
        <w:rPr>
          <w:rFonts w:ascii="宋体" w:hAnsi="宋体"/>
          <w:spacing w:val="6"/>
          <w:szCs w:val="21"/>
        </w:rPr>
      </w:pPr>
      <w:r>
        <w:rPr>
          <w:rFonts w:hint="eastAsia" w:ascii="宋体" w:hAnsi="宋体" w:cs="仿宋_GB2312"/>
          <w:spacing w:val="6"/>
          <w:szCs w:val="21"/>
        </w:rPr>
        <w:t>单位名称（盖</w:t>
      </w:r>
      <w:r>
        <w:rPr>
          <w:rFonts w:hint="eastAsia" w:cs="Tahoma"/>
          <w:spacing w:val="6"/>
          <w:szCs w:val="21"/>
        </w:rPr>
        <w:t>单位章</w:t>
      </w:r>
      <w:r>
        <w:rPr>
          <w:rFonts w:hint="eastAsia" w:ascii="宋体" w:hAnsi="宋体" w:cs="仿宋_GB2312"/>
          <w:spacing w:val="6"/>
          <w:szCs w:val="21"/>
        </w:rPr>
        <w:t>）：</w:t>
      </w:r>
    </w:p>
    <w:p w14:paraId="1767D72B">
      <w:pPr>
        <w:pStyle w:val="153"/>
        <w:tabs>
          <w:tab w:val="left" w:pos="4860"/>
        </w:tabs>
        <w:spacing w:line="440" w:lineRule="exact"/>
        <w:ind w:right="1560" w:firstLine="444" w:firstLineChars="200"/>
        <w:jc w:val="center"/>
        <w:rPr>
          <w:rFonts w:ascii="宋体" w:hAnsi="宋体" w:cs="仿宋_GB2312"/>
          <w:spacing w:val="6"/>
          <w:szCs w:val="21"/>
        </w:rPr>
      </w:pPr>
      <w:r>
        <w:rPr>
          <w:rFonts w:hint="eastAsia" w:ascii="宋体" w:hAnsi="宋体" w:cs="仿宋_GB2312"/>
          <w:spacing w:val="6"/>
          <w:szCs w:val="21"/>
        </w:rPr>
        <w:t>日期：</w:t>
      </w:r>
    </w:p>
    <w:p w14:paraId="06212876">
      <w:pPr>
        <w:pStyle w:val="153"/>
        <w:tabs>
          <w:tab w:val="left" w:pos="4860"/>
        </w:tabs>
        <w:spacing w:line="440" w:lineRule="exact"/>
        <w:ind w:right="1560" w:firstLine="444" w:firstLineChars="200"/>
        <w:jc w:val="center"/>
        <w:rPr>
          <w:rFonts w:ascii="宋体" w:hAnsi="宋体" w:cs="仿宋_GB2312"/>
          <w:spacing w:val="6"/>
          <w:szCs w:val="21"/>
        </w:rPr>
      </w:pPr>
    </w:p>
    <w:p w14:paraId="6A0A4A6B">
      <w:pPr>
        <w:pStyle w:val="153"/>
        <w:tabs>
          <w:tab w:val="left" w:pos="4860"/>
        </w:tabs>
        <w:spacing w:line="440" w:lineRule="exact"/>
        <w:ind w:right="1560" w:firstLine="444" w:firstLineChars="200"/>
        <w:jc w:val="center"/>
        <w:rPr>
          <w:rFonts w:ascii="宋体" w:hAnsi="宋体" w:cs="仿宋_GB2312"/>
          <w:spacing w:val="6"/>
          <w:szCs w:val="21"/>
        </w:rPr>
      </w:pPr>
    </w:p>
    <w:p w14:paraId="752956B9">
      <w:pPr>
        <w:pStyle w:val="153"/>
        <w:tabs>
          <w:tab w:val="left" w:pos="4860"/>
        </w:tabs>
        <w:spacing w:line="440" w:lineRule="exact"/>
        <w:ind w:right="1560" w:firstLine="420" w:firstLineChars="200"/>
        <w:jc w:val="center"/>
        <w:rPr>
          <w:rFonts w:ascii="Times New Roman" w:hAnsi="Times New Roman" w:eastAsiaTheme="minorEastAsia"/>
        </w:rPr>
      </w:pPr>
    </w:p>
    <w:p w14:paraId="1804B18F">
      <w:pPr>
        <w:pStyle w:val="153"/>
        <w:tabs>
          <w:tab w:val="left" w:pos="4860"/>
        </w:tabs>
        <w:spacing w:line="440" w:lineRule="exact"/>
        <w:ind w:right="1560" w:firstLine="420" w:firstLineChars="200"/>
        <w:jc w:val="center"/>
        <w:rPr>
          <w:rFonts w:ascii="Times New Roman" w:hAnsi="Times New Roman" w:eastAsiaTheme="minorEastAsia"/>
        </w:rPr>
      </w:pPr>
    </w:p>
    <w:p w14:paraId="64875F78">
      <w:pPr>
        <w:pStyle w:val="153"/>
        <w:tabs>
          <w:tab w:val="left" w:pos="4860"/>
        </w:tabs>
        <w:spacing w:line="440" w:lineRule="exact"/>
        <w:ind w:right="1560" w:firstLine="420" w:firstLineChars="200"/>
        <w:jc w:val="center"/>
        <w:rPr>
          <w:rFonts w:ascii="Times New Roman" w:hAnsi="Times New Roman" w:eastAsiaTheme="minorEastAsia"/>
        </w:rPr>
      </w:pPr>
    </w:p>
    <w:p w14:paraId="7DBADDFF">
      <w:pPr>
        <w:pStyle w:val="153"/>
        <w:tabs>
          <w:tab w:val="left" w:pos="4860"/>
        </w:tabs>
        <w:spacing w:line="440" w:lineRule="exact"/>
        <w:ind w:right="1560" w:firstLine="420" w:firstLineChars="200"/>
        <w:jc w:val="center"/>
        <w:rPr>
          <w:rFonts w:ascii="Times New Roman" w:hAnsi="Times New Roman" w:eastAsiaTheme="minorEastAsia"/>
        </w:rPr>
      </w:pPr>
    </w:p>
    <w:p w14:paraId="585A5867">
      <w:pPr>
        <w:pStyle w:val="153"/>
        <w:tabs>
          <w:tab w:val="left" w:pos="4860"/>
        </w:tabs>
        <w:spacing w:line="440" w:lineRule="exact"/>
        <w:ind w:right="1560" w:firstLine="420" w:firstLineChars="200"/>
        <w:jc w:val="center"/>
        <w:rPr>
          <w:rFonts w:ascii="Times New Roman" w:hAnsi="Times New Roman" w:eastAsiaTheme="minorEastAsia"/>
        </w:rPr>
      </w:pPr>
    </w:p>
    <w:p w14:paraId="4AF19E2D">
      <w:pPr>
        <w:pStyle w:val="153"/>
        <w:tabs>
          <w:tab w:val="left" w:pos="4860"/>
        </w:tabs>
        <w:spacing w:line="440" w:lineRule="exact"/>
        <w:ind w:right="1560" w:firstLine="420" w:firstLineChars="200"/>
        <w:jc w:val="center"/>
        <w:rPr>
          <w:rFonts w:ascii="Times New Roman" w:hAnsi="Times New Roman" w:eastAsiaTheme="minorEastAsia"/>
        </w:rPr>
      </w:pPr>
    </w:p>
    <w:p w14:paraId="72481BBB">
      <w:pPr>
        <w:pStyle w:val="153"/>
        <w:tabs>
          <w:tab w:val="left" w:pos="4860"/>
        </w:tabs>
        <w:spacing w:line="440" w:lineRule="exact"/>
        <w:ind w:right="1560" w:firstLine="420" w:firstLineChars="200"/>
        <w:jc w:val="center"/>
        <w:rPr>
          <w:rFonts w:ascii="Times New Roman" w:hAnsi="Times New Roman" w:eastAsiaTheme="minorEastAsia"/>
        </w:rPr>
      </w:pPr>
    </w:p>
    <w:p w14:paraId="172D38AE">
      <w:pPr>
        <w:pStyle w:val="3"/>
      </w:pPr>
      <w:bookmarkStart w:id="186" w:name="_Toc13351"/>
      <w:bookmarkStart w:id="187" w:name="_Toc256000091"/>
      <w:r>
        <w:rPr>
          <w:rFonts w:hint="eastAsia"/>
        </w:rPr>
        <w:t>5</w:t>
      </w:r>
      <w:r>
        <w:t>-3</w:t>
      </w:r>
      <w:r>
        <w:rPr>
          <w:rFonts w:hint="eastAsia"/>
        </w:rPr>
        <w:t xml:space="preserve"> 监狱企业证明资料</w:t>
      </w:r>
      <w:r>
        <w:t>(</w:t>
      </w:r>
      <w:r>
        <w:rPr>
          <w:rFonts w:hint="eastAsia"/>
        </w:rPr>
        <w:t>适用于监狱企业</w:t>
      </w:r>
      <w:r>
        <w:t>)</w:t>
      </w:r>
      <w:bookmarkEnd w:id="186"/>
      <w:bookmarkEnd w:id="187"/>
    </w:p>
    <w:p w14:paraId="7749A555">
      <w:pPr>
        <w:pStyle w:val="153"/>
        <w:spacing w:line="440" w:lineRule="exact"/>
        <w:ind w:firstLine="444" w:firstLineChars="200"/>
        <w:rPr>
          <w:rFonts w:ascii="宋体" w:hAnsi="宋体" w:cs="仿宋_GB2312"/>
          <w:spacing w:val="6"/>
          <w:szCs w:val="21"/>
        </w:rPr>
      </w:pPr>
      <w:r>
        <w:rPr>
          <w:rFonts w:hint="eastAsia" w:ascii="宋体" w:hAnsi="宋体" w:cs="仿宋_GB2312"/>
          <w:spacing w:val="6"/>
          <w:szCs w:val="21"/>
        </w:rPr>
        <w:t>备注：按《财政部 司法部关于政府采购支持监狱企业发展有关问题的通知》(财库〔2014〕68号)文件规定提供证明文件（复印件）</w:t>
      </w:r>
    </w:p>
    <w:p w14:paraId="18A06F9C">
      <w:pPr>
        <w:pStyle w:val="156"/>
        <w:outlineLvl w:val="1"/>
      </w:pPr>
      <w:r>
        <w:br w:type="page"/>
      </w:r>
    </w:p>
    <w:p w14:paraId="4C124525">
      <w:pPr>
        <w:pStyle w:val="51"/>
        <w:spacing w:before="156"/>
        <w:sectPr>
          <w:pgSz w:w="11906" w:h="16838"/>
          <w:pgMar w:top="1418" w:right="1418" w:bottom="1418" w:left="1418" w:header="851" w:footer="851" w:gutter="0"/>
          <w:pgNumType w:fmt="numberInDash"/>
          <w:cols w:space="720" w:num="1"/>
          <w:docGrid w:type="lines" w:linePitch="312" w:charSpace="0"/>
        </w:sectPr>
      </w:pPr>
    </w:p>
    <w:p w14:paraId="370E2CCB">
      <w:pPr>
        <w:pStyle w:val="21"/>
        <w:adjustRightInd w:val="0"/>
        <w:snapToGrid w:val="0"/>
        <w:spacing w:line="360" w:lineRule="auto"/>
        <w:jc w:val="center"/>
        <w:rPr>
          <w:rFonts w:ascii="黑体" w:hAnsi="华文中宋" w:eastAsia="黑体"/>
          <w:sz w:val="52"/>
          <w:szCs w:val="52"/>
        </w:rPr>
      </w:pPr>
    </w:p>
    <w:p w14:paraId="0F0518B7">
      <w:pPr>
        <w:pStyle w:val="21"/>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0F3DA8ED">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7CB9E7AD">
      <w:pPr>
        <w:pStyle w:val="51"/>
        <w:spacing w:before="156"/>
      </w:pPr>
    </w:p>
    <w:p w14:paraId="07B5FD15">
      <w:pPr>
        <w:numPr>
          <w:ilvl w:val="0"/>
          <w:numId w:val="2"/>
        </w:numPr>
        <w:adjustRightInd w:val="0"/>
        <w:snapToGrid w:val="0"/>
        <w:spacing w:line="360" w:lineRule="auto"/>
        <w:jc w:val="center"/>
        <w:rPr>
          <w:rFonts w:ascii="黑体" w:hAnsi="黑体" w:eastAsia="黑体"/>
          <w:b/>
          <w:bCs/>
          <w:sz w:val="44"/>
          <w:szCs w:val="44"/>
        </w:rPr>
      </w:pPr>
      <w:r>
        <w:rPr>
          <w:rFonts w:hint="eastAsia" w:ascii="黑体" w:hAnsi="黑体" w:eastAsia="黑体"/>
          <w:b/>
          <w:bCs/>
          <w:sz w:val="44"/>
          <w:szCs w:val="44"/>
        </w:rPr>
        <w:t>技术文件</w:t>
      </w:r>
    </w:p>
    <w:p w14:paraId="46D5C64D">
      <w:pPr>
        <w:adjustRightInd w:val="0"/>
        <w:snapToGrid w:val="0"/>
        <w:spacing w:line="360" w:lineRule="auto"/>
        <w:ind w:left="2982" w:hanging="2132"/>
        <w:rPr>
          <w:rFonts w:asciiTheme="minorEastAsia" w:hAnsiTheme="minorEastAsia" w:eastAsiaTheme="minorEastAsia"/>
          <w:b/>
          <w:color w:val="000000"/>
          <w:sz w:val="30"/>
          <w:szCs w:val="30"/>
        </w:rPr>
      </w:pPr>
    </w:p>
    <w:p w14:paraId="463ABABF">
      <w:pPr>
        <w:pStyle w:val="51"/>
        <w:spacing w:before="156"/>
      </w:pPr>
    </w:p>
    <w:p w14:paraId="1E2F7D80">
      <w:pPr>
        <w:pStyle w:val="51"/>
        <w:spacing w:before="156"/>
      </w:pPr>
    </w:p>
    <w:p w14:paraId="4ECFB25D">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采购项目名称：___________________</w:t>
      </w:r>
    </w:p>
    <w:p w14:paraId="4482B977">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   购   人：___________________</w:t>
      </w:r>
    </w:p>
    <w:p w14:paraId="1271326D">
      <w:pPr>
        <w:pStyle w:val="21"/>
        <w:adjustRightInd w:val="0"/>
        <w:snapToGrid w:val="0"/>
        <w:spacing w:line="360" w:lineRule="auto"/>
        <w:ind w:left="2" w:firstLine="704" w:firstLineChars="220"/>
        <w:jc w:val="left"/>
        <w:rPr>
          <w:rFonts w:ascii="黑体" w:hAnsi="黑体" w:eastAsia="黑体" w:cs="Times New Roman"/>
          <w:bCs/>
          <w:color w:val="000000"/>
          <w:sz w:val="32"/>
          <w:szCs w:val="32"/>
        </w:rPr>
      </w:pPr>
      <w:r>
        <w:rPr>
          <w:rFonts w:hint="eastAsia" w:ascii="黑体" w:hAnsi="黑体" w:eastAsia="黑体" w:cs="Times New Roman"/>
          <w:bCs/>
          <w:color w:val="000000"/>
          <w:sz w:val="32"/>
          <w:szCs w:val="32"/>
        </w:rPr>
        <w:t>采购代理编号：___________________</w:t>
      </w:r>
    </w:p>
    <w:p w14:paraId="51C4F975">
      <w:pPr>
        <w:pStyle w:val="21"/>
        <w:adjustRightInd w:val="0"/>
        <w:snapToGrid w:val="0"/>
        <w:spacing w:line="360" w:lineRule="auto"/>
        <w:ind w:left="2" w:firstLine="704" w:firstLineChars="220"/>
        <w:jc w:val="left"/>
        <w:rPr>
          <w:rFonts w:ascii="黑体" w:hAnsi="黑体" w:eastAsia="黑体" w:cs="Times New Roman"/>
          <w:bCs/>
          <w:color w:val="000000"/>
          <w:sz w:val="36"/>
          <w:szCs w:val="36"/>
        </w:rPr>
      </w:pPr>
      <w:r>
        <w:rPr>
          <w:rFonts w:hint="eastAsia" w:ascii="黑体" w:hAnsi="黑体" w:eastAsia="黑体" w:cs="Times New Roman"/>
          <w:bCs/>
          <w:color w:val="000000"/>
          <w:sz w:val="32"/>
          <w:szCs w:val="32"/>
        </w:rPr>
        <w:t>采购代理机构：___________________</w:t>
      </w:r>
    </w:p>
    <w:p w14:paraId="66055897">
      <w:pPr>
        <w:adjustRightInd w:val="0"/>
        <w:snapToGrid w:val="0"/>
        <w:ind w:left="2974" w:hanging="2124"/>
        <w:rPr>
          <w:rFonts w:ascii="黑体" w:hAnsi="宋体" w:eastAsia="黑体"/>
          <w:color w:val="000000"/>
          <w:sz w:val="30"/>
          <w:szCs w:val="30"/>
        </w:rPr>
      </w:pPr>
    </w:p>
    <w:p w14:paraId="746A652D">
      <w:pPr>
        <w:pStyle w:val="51"/>
        <w:spacing w:before="156"/>
      </w:pPr>
    </w:p>
    <w:p w14:paraId="2D0AB7E5">
      <w:pPr>
        <w:adjustRightInd w:val="0"/>
        <w:snapToGrid w:val="0"/>
        <w:spacing w:line="360" w:lineRule="auto"/>
        <w:ind w:left="2"/>
        <w:jc w:val="center"/>
        <w:rPr>
          <w:rFonts w:ascii="黑体" w:hAnsi="黑体" w:eastAsia="黑体"/>
          <w:bCs/>
          <w:color w:val="000000"/>
          <w:sz w:val="28"/>
          <w:szCs w:val="28"/>
        </w:rPr>
      </w:pPr>
      <w:r>
        <w:rPr>
          <w:rFonts w:hint="eastAsia" w:ascii="黑体" w:hAnsi="宋体" w:eastAsia="黑体"/>
          <w:color w:val="000000"/>
          <w:sz w:val="32"/>
          <w:szCs w:val="32"/>
        </w:rPr>
        <w:t>投标人名称：</w:t>
      </w:r>
      <w:r>
        <w:rPr>
          <w:rFonts w:hint="eastAsia" w:ascii="黑体" w:hAnsi="黑体" w:eastAsia="黑体"/>
          <w:bCs/>
          <w:color w:val="000000"/>
          <w:sz w:val="28"/>
          <w:szCs w:val="28"/>
        </w:rPr>
        <w:t xml:space="preserve"> ___________________</w:t>
      </w:r>
    </w:p>
    <w:p w14:paraId="01342AF4">
      <w:pPr>
        <w:pStyle w:val="136"/>
        <w:adjustRightInd w:val="0"/>
        <w:snapToGrid w:val="0"/>
        <w:spacing w:line="360" w:lineRule="auto"/>
        <w:jc w:val="center"/>
        <w:rPr>
          <w:rFonts w:ascii="宋体" w:hAnsi="宋体"/>
          <w:b/>
          <w:bCs/>
          <w:sz w:val="84"/>
          <w:szCs w:val="84"/>
        </w:rPr>
      </w:pPr>
      <w:r>
        <w:rPr>
          <w:rFonts w:hint="eastAsia" w:ascii="黑体" w:hAnsi="宋体" w:eastAsia="黑体"/>
          <w:color w:val="000000"/>
          <w:sz w:val="32"/>
          <w:szCs w:val="32"/>
        </w:rPr>
        <w:t>____年__月__日</w:t>
      </w:r>
    </w:p>
    <w:p w14:paraId="0032DCC8">
      <w:pPr>
        <w:widowControl/>
        <w:spacing w:line="480" w:lineRule="auto"/>
        <w:ind w:left="850" w:firstLine="484" w:firstLineChars="202"/>
        <w:jc w:val="left"/>
        <w:rPr>
          <w:rFonts w:ascii="黑体" w:hAnsi="黑体" w:eastAsia="黑体"/>
          <w:color w:val="000000"/>
          <w:sz w:val="24"/>
        </w:rPr>
        <w:sectPr>
          <w:pgSz w:w="11906" w:h="16838"/>
          <w:pgMar w:top="1418" w:right="1418" w:bottom="1418" w:left="1418" w:header="851" w:footer="851" w:gutter="0"/>
          <w:pgNumType w:fmt="numberInDash"/>
          <w:cols w:space="720" w:num="1"/>
          <w:docGrid w:type="lines" w:linePitch="312" w:charSpace="0"/>
        </w:sectPr>
      </w:pPr>
    </w:p>
    <w:p w14:paraId="4EE9E2D4">
      <w:pPr>
        <w:pStyle w:val="3"/>
      </w:pPr>
      <w:bookmarkStart w:id="188" w:name="_Toc12538"/>
      <w:bookmarkStart w:id="189" w:name="_Toc256000106"/>
      <w:r>
        <w:rPr>
          <w:rFonts w:hint="eastAsia"/>
        </w:rPr>
        <w:t>六、服务方案说明</w:t>
      </w:r>
      <w:bookmarkEnd w:id="188"/>
    </w:p>
    <w:p w14:paraId="26A49603"/>
    <w:p w14:paraId="1D74BDA5">
      <w:pPr>
        <w:spacing w:before="120" w:line="480" w:lineRule="exact"/>
        <w:ind w:firstLine="371" w:firstLineChars="177"/>
        <w:rPr>
          <w:rFonts w:asciiTheme="minorEastAsia" w:hAnsiTheme="minorEastAsia" w:eastAsiaTheme="minorEastAsia"/>
          <w:bCs/>
        </w:rPr>
      </w:pPr>
      <w:r>
        <w:rPr>
          <w:rFonts w:hint="eastAsia" w:asciiTheme="minorEastAsia" w:hAnsiTheme="minorEastAsia" w:eastAsiaTheme="minorEastAsia"/>
          <w:bCs/>
        </w:rPr>
        <w:t>供应商应根据第四章规定和本项目评标标准要求编写项目维保、服务及应急服务方案。格式自拟。</w:t>
      </w:r>
    </w:p>
    <w:p w14:paraId="4800F82E">
      <w:pPr>
        <w:adjustRightInd w:val="0"/>
        <w:snapToGrid w:val="0"/>
        <w:spacing w:before="120"/>
        <w:ind w:firstLine="480"/>
        <w:rPr>
          <w:rFonts w:ascii="宋体" w:hAnsi="宋体"/>
          <w:sz w:val="24"/>
        </w:rPr>
      </w:pPr>
    </w:p>
    <w:p w14:paraId="26EB9A01">
      <w:pPr>
        <w:pStyle w:val="51"/>
        <w:spacing w:before="156"/>
      </w:pPr>
    </w:p>
    <w:p w14:paraId="6F0445E2">
      <w:pPr>
        <w:pStyle w:val="51"/>
        <w:spacing w:before="156"/>
      </w:pPr>
    </w:p>
    <w:p w14:paraId="66FC5A2E">
      <w:pPr>
        <w:pStyle w:val="51"/>
        <w:spacing w:before="156"/>
      </w:pPr>
    </w:p>
    <w:p w14:paraId="5D92DE1D">
      <w:pPr>
        <w:pStyle w:val="51"/>
        <w:spacing w:before="156"/>
      </w:pPr>
    </w:p>
    <w:p w14:paraId="546ABC8E">
      <w:pPr>
        <w:pStyle w:val="51"/>
        <w:spacing w:before="156"/>
      </w:pPr>
    </w:p>
    <w:p w14:paraId="3CBD05F9">
      <w:pPr>
        <w:pStyle w:val="51"/>
        <w:spacing w:before="156"/>
      </w:pPr>
    </w:p>
    <w:p w14:paraId="59D323CD">
      <w:pPr>
        <w:pStyle w:val="51"/>
        <w:spacing w:before="156"/>
      </w:pPr>
    </w:p>
    <w:p w14:paraId="4149FBEF">
      <w:pPr>
        <w:pStyle w:val="51"/>
        <w:spacing w:before="156"/>
      </w:pPr>
    </w:p>
    <w:p w14:paraId="3B9438E5">
      <w:pPr>
        <w:pStyle w:val="51"/>
        <w:spacing w:before="156"/>
      </w:pPr>
    </w:p>
    <w:p w14:paraId="2EF89D18">
      <w:pPr>
        <w:pStyle w:val="51"/>
        <w:spacing w:before="156"/>
      </w:pPr>
    </w:p>
    <w:p w14:paraId="5CB5C360">
      <w:pPr>
        <w:pStyle w:val="51"/>
        <w:spacing w:before="156"/>
      </w:pPr>
    </w:p>
    <w:p w14:paraId="69FF84AA">
      <w:pPr>
        <w:adjustRightInd w:val="0"/>
        <w:snapToGrid w:val="0"/>
        <w:spacing w:line="46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供应商名称(盖单位章)：________________________</w:t>
      </w:r>
    </w:p>
    <w:p w14:paraId="54C99258">
      <w:pPr>
        <w:adjustRightInd w:val="0"/>
        <w:snapToGrid w:val="0"/>
        <w:spacing w:line="460" w:lineRule="exact"/>
        <w:ind w:firstLine="482"/>
        <w:rPr>
          <w:rFonts w:asciiTheme="minorEastAsia" w:hAnsiTheme="minorEastAsia" w:eastAsiaTheme="minorEastAsia"/>
          <w:bCs/>
          <w:sz w:val="24"/>
        </w:rPr>
      </w:pPr>
      <w:r>
        <w:rPr>
          <w:rFonts w:hint="eastAsia" w:asciiTheme="minorEastAsia" w:hAnsiTheme="minorEastAsia" w:eastAsiaTheme="minorEastAsia"/>
          <w:bCs/>
          <w:sz w:val="24"/>
        </w:rPr>
        <w:t>法定代表人或其委托代理人签字：___________________________</w:t>
      </w:r>
    </w:p>
    <w:p w14:paraId="50F50B83">
      <w:pPr>
        <w:adjustRightInd w:val="0"/>
        <w:snapToGrid w:val="0"/>
        <w:spacing w:line="460" w:lineRule="exact"/>
        <w:ind w:firstLine="482"/>
        <w:rPr>
          <w:rFonts w:asciiTheme="minorEastAsia" w:hAnsiTheme="minorEastAsia" w:eastAsiaTheme="minorEastAsia"/>
          <w:bCs/>
          <w:sz w:val="24"/>
        </w:rPr>
        <w:sectPr>
          <w:pgSz w:w="11906" w:h="16838"/>
          <w:pgMar w:top="1418" w:right="1418" w:bottom="1418" w:left="1418" w:header="851" w:footer="851" w:gutter="0"/>
          <w:pgNumType w:fmt="numberInDash"/>
          <w:cols w:space="720" w:num="1"/>
          <w:docGrid w:type="lines" w:linePitch="312" w:charSpace="0"/>
        </w:sectPr>
      </w:pPr>
      <w:r>
        <w:rPr>
          <w:rFonts w:hint="eastAsia" w:asciiTheme="minorEastAsia" w:hAnsiTheme="minorEastAsia" w:eastAsiaTheme="minorEastAsia"/>
          <w:bCs/>
          <w:sz w:val="24"/>
        </w:rPr>
        <w:t>日期：______年___月___日</w:t>
      </w:r>
    </w:p>
    <w:p w14:paraId="79D6DD9E">
      <w:pPr>
        <w:pStyle w:val="3"/>
      </w:pPr>
      <w:bookmarkStart w:id="190" w:name="_Toc1"/>
      <w:r>
        <w:rPr>
          <w:rFonts w:hint="eastAsia"/>
        </w:rPr>
        <w:t>七、主要人员简历表</w:t>
      </w:r>
      <w:bookmarkEnd w:id="190"/>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374"/>
        <w:gridCol w:w="843"/>
        <w:gridCol w:w="2695"/>
        <w:gridCol w:w="433"/>
        <w:gridCol w:w="1532"/>
        <w:gridCol w:w="591"/>
        <w:gridCol w:w="1818"/>
      </w:tblGrid>
      <w:tr w14:paraId="26B924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8" w:hRule="exact"/>
        </w:trPr>
        <w:tc>
          <w:tcPr>
            <w:tcW w:w="1194" w:type="pct"/>
            <w:gridSpan w:val="2"/>
            <w:vAlign w:val="center"/>
          </w:tcPr>
          <w:p w14:paraId="603A6DA8">
            <w:pPr>
              <w:spacing w:line="460" w:lineRule="exact"/>
              <w:jc w:val="center"/>
              <w:rPr>
                <w:rFonts w:ascii="宋体" w:hAnsi="宋体"/>
                <w:bCs/>
                <w:szCs w:val="21"/>
              </w:rPr>
            </w:pPr>
            <w:r>
              <w:rPr>
                <w:rFonts w:hint="eastAsia" w:ascii="宋体" w:hAnsi="宋体"/>
                <w:bCs/>
                <w:szCs w:val="21"/>
              </w:rPr>
              <w:t>姓名</w:t>
            </w:r>
          </w:p>
        </w:tc>
        <w:tc>
          <w:tcPr>
            <w:tcW w:w="1451" w:type="pct"/>
            <w:vAlign w:val="center"/>
          </w:tcPr>
          <w:p w14:paraId="13195CC4">
            <w:pPr>
              <w:spacing w:line="460" w:lineRule="exact"/>
              <w:jc w:val="center"/>
              <w:rPr>
                <w:rFonts w:ascii="宋体" w:hAnsi="宋体"/>
                <w:bCs/>
                <w:szCs w:val="21"/>
              </w:rPr>
            </w:pPr>
          </w:p>
        </w:tc>
        <w:tc>
          <w:tcPr>
            <w:tcW w:w="1376" w:type="pct"/>
            <w:gridSpan w:val="3"/>
            <w:vAlign w:val="center"/>
          </w:tcPr>
          <w:p w14:paraId="7209B24D">
            <w:pPr>
              <w:spacing w:line="460" w:lineRule="exact"/>
              <w:jc w:val="center"/>
              <w:rPr>
                <w:rFonts w:ascii="宋体" w:hAnsi="宋体"/>
                <w:bCs/>
                <w:szCs w:val="21"/>
              </w:rPr>
            </w:pPr>
            <w:r>
              <w:rPr>
                <w:rFonts w:hint="eastAsia" w:ascii="宋体" w:hAnsi="宋体"/>
                <w:bCs/>
                <w:szCs w:val="21"/>
              </w:rPr>
              <w:t>性别</w:t>
            </w:r>
          </w:p>
        </w:tc>
        <w:tc>
          <w:tcPr>
            <w:tcW w:w="979" w:type="pct"/>
            <w:vAlign w:val="center"/>
          </w:tcPr>
          <w:p w14:paraId="41C6816D">
            <w:pPr>
              <w:spacing w:line="460" w:lineRule="exact"/>
              <w:jc w:val="center"/>
              <w:rPr>
                <w:rFonts w:ascii="宋体" w:hAnsi="宋体"/>
                <w:bCs/>
                <w:szCs w:val="21"/>
              </w:rPr>
            </w:pPr>
          </w:p>
        </w:tc>
      </w:tr>
      <w:tr w14:paraId="1396DC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9" w:hRule="exact"/>
        </w:trPr>
        <w:tc>
          <w:tcPr>
            <w:tcW w:w="1194" w:type="pct"/>
            <w:gridSpan w:val="2"/>
            <w:vAlign w:val="center"/>
          </w:tcPr>
          <w:p w14:paraId="0083F496">
            <w:pPr>
              <w:spacing w:line="460" w:lineRule="exact"/>
              <w:jc w:val="center"/>
              <w:rPr>
                <w:rFonts w:ascii="宋体" w:hAnsi="宋体"/>
                <w:bCs/>
                <w:szCs w:val="21"/>
              </w:rPr>
            </w:pPr>
            <w:r>
              <w:rPr>
                <w:rFonts w:hint="eastAsia" w:ascii="宋体" w:hAnsi="宋体"/>
                <w:bCs/>
                <w:szCs w:val="21"/>
              </w:rPr>
              <w:t>职务</w:t>
            </w:r>
          </w:p>
        </w:tc>
        <w:tc>
          <w:tcPr>
            <w:tcW w:w="1451" w:type="pct"/>
            <w:vAlign w:val="center"/>
          </w:tcPr>
          <w:p w14:paraId="2DD84B53">
            <w:pPr>
              <w:spacing w:line="460" w:lineRule="exact"/>
              <w:jc w:val="center"/>
              <w:rPr>
                <w:rFonts w:ascii="宋体" w:hAnsi="宋体"/>
                <w:bCs/>
                <w:szCs w:val="21"/>
              </w:rPr>
            </w:pPr>
          </w:p>
        </w:tc>
        <w:tc>
          <w:tcPr>
            <w:tcW w:w="1376" w:type="pct"/>
            <w:gridSpan w:val="3"/>
            <w:vAlign w:val="center"/>
          </w:tcPr>
          <w:p w14:paraId="04596663">
            <w:pPr>
              <w:spacing w:line="460" w:lineRule="exact"/>
              <w:jc w:val="center"/>
              <w:rPr>
                <w:rFonts w:ascii="宋体" w:hAnsi="宋体"/>
                <w:bCs/>
                <w:szCs w:val="21"/>
              </w:rPr>
            </w:pPr>
            <w:r>
              <w:rPr>
                <w:rFonts w:hint="eastAsia" w:ascii="宋体" w:hAnsi="宋体"/>
                <w:bCs/>
                <w:szCs w:val="21"/>
              </w:rPr>
              <w:t>职称</w:t>
            </w:r>
          </w:p>
        </w:tc>
        <w:tc>
          <w:tcPr>
            <w:tcW w:w="979" w:type="pct"/>
            <w:vAlign w:val="center"/>
          </w:tcPr>
          <w:p w14:paraId="5068B315">
            <w:pPr>
              <w:spacing w:line="460" w:lineRule="exact"/>
              <w:jc w:val="center"/>
              <w:rPr>
                <w:rFonts w:ascii="宋体" w:hAnsi="宋体"/>
                <w:bCs/>
                <w:szCs w:val="21"/>
              </w:rPr>
            </w:pPr>
          </w:p>
        </w:tc>
      </w:tr>
      <w:tr w14:paraId="2795FC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7" w:hRule="exact"/>
        </w:trPr>
        <w:tc>
          <w:tcPr>
            <w:tcW w:w="1194" w:type="pct"/>
            <w:gridSpan w:val="2"/>
            <w:vAlign w:val="center"/>
          </w:tcPr>
          <w:p w14:paraId="6805E4A9">
            <w:pPr>
              <w:spacing w:line="460" w:lineRule="exact"/>
              <w:jc w:val="center"/>
              <w:rPr>
                <w:rFonts w:ascii="宋体" w:hAnsi="宋体"/>
                <w:bCs/>
                <w:szCs w:val="21"/>
              </w:rPr>
            </w:pPr>
            <w:r>
              <w:rPr>
                <w:rFonts w:hint="eastAsia" w:ascii="宋体" w:hAnsi="宋体"/>
                <w:bCs/>
                <w:szCs w:val="21"/>
              </w:rPr>
              <w:t>毕业学校、专业</w:t>
            </w:r>
          </w:p>
        </w:tc>
        <w:tc>
          <w:tcPr>
            <w:tcW w:w="3806" w:type="pct"/>
            <w:gridSpan w:val="5"/>
            <w:vAlign w:val="center"/>
          </w:tcPr>
          <w:p w14:paraId="4C2F5E28">
            <w:pPr>
              <w:spacing w:line="460" w:lineRule="exact"/>
              <w:jc w:val="center"/>
              <w:rPr>
                <w:rFonts w:ascii="宋体" w:hAnsi="宋体"/>
                <w:bCs/>
                <w:szCs w:val="21"/>
              </w:rPr>
            </w:pPr>
          </w:p>
        </w:tc>
      </w:tr>
      <w:tr w14:paraId="2FAE56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9" w:hRule="exact"/>
        </w:trPr>
        <w:tc>
          <w:tcPr>
            <w:tcW w:w="1194" w:type="pct"/>
            <w:gridSpan w:val="2"/>
            <w:vAlign w:val="center"/>
          </w:tcPr>
          <w:p w14:paraId="062A66B0">
            <w:pPr>
              <w:spacing w:line="460" w:lineRule="exact"/>
              <w:jc w:val="center"/>
              <w:rPr>
                <w:rFonts w:ascii="宋体" w:hAnsi="宋体"/>
                <w:bCs/>
                <w:szCs w:val="21"/>
              </w:rPr>
            </w:pPr>
            <w:r>
              <w:rPr>
                <w:rFonts w:hint="eastAsia" w:ascii="宋体" w:hAnsi="宋体"/>
                <w:bCs/>
                <w:szCs w:val="21"/>
              </w:rPr>
              <w:t>身份证号</w:t>
            </w:r>
          </w:p>
        </w:tc>
        <w:tc>
          <w:tcPr>
            <w:tcW w:w="1451" w:type="pct"/>
            <w:vAlign w:val="center"/>
          </w:tcPr>
          <w:p w14:paraId="7B4F6517">
            <w:pPr>
              <w:spacing w:line="460" w:lineRule="exact"/>
              <w:jc w:val="center"/>
              <w:rPr>
                <w:rFonts w:ascii="宋体" w:hAnsi="宋体"/>
                <w:bCs/>
                <w:szCs w:val="21"/>
              </w:rPr>
            </w:pPr>
          </w:p>
        </w:tc>
        <w:tc>
          <w:tcPr>
            <w:tcW w:w="1376" w:type="pct"/>
            <w:gridSpan w:val="3"/>
            <w:vAlign w:val="center"/>
          </w:tcPr>
          <w:p w14:paraId="33B24BA2">
            <w:pPr>
              <w:spacing w:line="460" w:lineRule="exact"/>
              <w:jc w:val="center"/>
              <w:rPr>
                <w:rFonts w:ascii="宋体" w:hAnsi="宋体"/>
                <w:bCs/>
                <w:szCs w:val="21"/>
              </w:rPr>
            </w:pPr>
            <w:r>
              <w:rPr>
                <w:rFonts w:hint="eastAsia" w:ascii="宋体" w:hAnsi="宋体"/>
                <w:bCs/>
                <w:szCs w:val="21"/>
              </w:rPr>
              <w:t>拟在本合同任职</w:t>
            </w:r>
          </w:p>
        </w:tc>
        <w:tc>
          <w:tcPr>
            <w:tcW w:w="979" w:type="pct"/>
            <w:vAlign w:val="center"/>
          </w:tcPr>
          <w:p w14:paraId="43263F8C">
            <w:pPr>
              <w:spacing w:line="460" w:lineRule="exact"/>
              <w:ind w:right="-105" w:rightChars="-50"/>
              <w:jc w:val="center"/>
              <w:rPr>
                <w:rFonts w:ascii="宋体" w:hAnsi="宋体"/>
                <w:bCs/>
                <w:szCs w:val="21"/>
              </w:rPr>
            </w:pPr>
          </w:p>
        </w:tc>
      </w:tr>
      <w:tr w14:paraId="081F19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9" w:hRule="exact"/>
        </w:trPr>
        <w:tc>
          <w:tcPr>
            <w:tcW w:w="1194" w:type="pct"/>
            <w:gridSpan w:val="2"/>
            <w:vAlign w:val="center"/>
          </w:tcPr>
          <w:p w14:paraId="690A1887">
            <w:pPr>
              <w:spacing w:line="460" w:lineRule="exact"/>
              <w:jc w:val="center"/>
              <w:rPr>
                <w:rFonts w:ascii="宋体" w:hAnsi="宋体"/>
                <w:bCs/>
                <w:szCs w:val="21"/>
              </w:rPr>
            </w:pPr>
            <w:r>
              <w:rPr>
                <w:rFonts w:hint="eastAsia" w:ascii="宋体" w:hAnsi="宋体"/>
                <w:bCs/>
                <w:szCs w:val="21"/>
              </w:rPr>
              <w:t>执业资格证</w:t>
            </w:r>
          </w:p>
        </w:tc>
        <w:tc>
          <w:tcPr>
            <w:tcW w:w="1451" w:type="pct"/>
            <w:vAlign w:val="center"/>
          </w:tcPr>
          <w:p w14:paraId="598C3B5E">
            <w:pPr>
              <w:spacing w:line="460" w:lineRule="exact"/>
              <w:jc w:val="center"/>
              <w:rPr>
                <w:rFonts w:ascii="宋体" w:hAnsi="宋体"/>
                <w:bCs/>
                <w:szCs w:val="21"/>
              </w:rPr>
            </w:pPr>
          </w:p>
        </w:tc>
        <w:tc>
          <w:tcPr>
            <w:tcW w:w="1376" w:type="pct"/>
            <w:gridSpan w:val="3"/>
            <w:vAlign w:val="center"/>
          </w:tcPr>
          <w:p w14:paraId="31E811EE">
            <w:pPr>
              <w:spacing w:line="460" w:lineRule="exact"/>
              <w:jc w:val="center"/>
              <w:rPr>
                <w:rFonts w:ascii="宋体" w:hAnsi="宋体"/>
                <w:bCs/>
                <w:szCs w:val="21"/>
              </w:rPr>
            </w:pPr>
            <w:r>
              <w:rPr>
                <w:rFonts w:hint="eastAsia" w:ascii="宋体" w:hAnsi="宋体"/>
                <w:bCs/>
                <w:szCs w:val="21"/>
              </w:rPr>
              <w:t>执业资格证书号</w:t>
            </w:r>
          </w:p>
        </w:tc>
        <w:tc>
          <w:tcPr>
            <w:tcW w:w="979" w:type="pct"/>
            <w:vAlign w:val="center"/>
          </w:tcPr>
          <w:p w14:paraId="10C93BFE">
            <w:pPr>
              <w:spacing w:line="460" w:lineRule="exact"/>
              <w:rPr>
                <w:rFonts w:ascii="宋体" w:hAnsi="宋体"/>
                <w:bCs/>
                <w:szCs w:val="21"/>
              </w:rPr>
            </w:pPr>
          </w:p>
        </w:tc>
      </w:tr>
      <w:tr w14:paraId="4EB81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5" w:hRule="exact"/>
        </w:trPr>
        <w:tc>
          <w:tcPr>
            <w:tcW w:w="5000" w:type="pct"/>
            <w:gridSpan w:val="7"/>
            <w:vAlign w:val="center"/>
          </w:tcPr>
          <w:p w14:paraId="77CC922B">
            <w:pPr>
              <w:spacing w:line="460" w:lineRule="exact"/>
              <w:jc w:val="center"/>
              <w:rPr>
                <w:rFonts w:ascii="宋体" w:hAnsi="宋体"/>
                <w:bCs/>
                <w:szCs w:val="21"/>
              </w:rPr>
            </w:pPr>
            <w:r>
              <w:rPr>
                <w:rFonts w:hint="eastAsia" w:ascii="宋体" w:hAnsi="宋体"/>
                <w:bCs/>
                <w:szCs w:val="21"/>
              </w:rPr>
              <w:t>承担项目情况</w:t>
            </w:r>
          </w:p>
        </w:tc>
      </w:tr>
      <w:tr w14:paraId="3F3E9E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3D0A4EF6">
            <w:pPr>
              <w:spacing w:line="460" w:lineRule="exact"/>
              <w:jc w:val="center"/>
              <w:rPr>
                <w:rFonts w:ascii="宋体" w:hAnsi="宋体"/>
                <w:bCs/>
                <w:szCs w:val="21"/>
              </w:rPr>
            </w:pPr>
            <w:r>
              <w:rPr>
                <w:rFonts w:hint="eastAsia" w:ascii="宋体" w:hAnsi="宋体"/>
                <w:bCs/>
                <w:szCs w:val="21"/>
              </w:rPr>
              <w:t>时间</w:t>
            </w:r>
          </w:p>
        </w:tc>
        <w:tc>
          <w:tcPr>
            <w:tcW w:w="2138" w:type="pct"/>
            <w:gridSpan w:val="3"/>
            <w:vAlign w:val="center"/>
          </w:tcPr>
          <w:p w14:paraId="0256389F">
            <w:pPr>
              <w:spacing w:line="460" w:lineRule="exact"/>
              <w:jc w:val="center"/>
              <w:rPr>
                <w:rFonts w:ascii="宋体" w:hAnsi="宋体"/>
                <w:bCs/>
                <w:szCs w:val="21"/>
              </w:rPr>
            </w:pPr>
            <w:r>
              <w:rPr>
                <w:rFonts w:hint="eastAsia" w:ascii="宋体" w:hAnsi="宋体"/>
                <w:bCs/>
                <w:szCs w:val="21"/>
              </w:rPr>
              <w:t>类似项目名称</w:t>
            </w:r>
          </w:p>
        </w:tc>
        <w:tc>
          <w:tcPr>
            <w:tcW w:w="825" w:type="pct"/>
            <w:vAlign w:val="center"/>
          </w:tcPr>
          <w:p w14:paraId="41ABD81F">
            <w:pPr>
              <w:spacing w:line="460" w:lineRule="exact"/>
              <w:jc w:val="center"/>
              <w:rPr>
                <w:rFonts w:ascii="宋体" w:hAnsi="宋体"/>
                <w:bCs/>
                <w:szCs w:val="21"/>
              </w:rPr>
            </w:pPr>
            <w:r>
              <w:rPr>
                <w:rFonts w:hint="eastAsia" w:ascii="宋体" w:hAnsi="宋体"/>
                <w:bCs/>
                <w:szCs w:val="21"/>
              </w:rPr>
              <w:t>担任职务</w:t>
            </w:r>
          </w:p>
        </w:tc>
        <w:tc>
          <w:tcPr>
            <w:tcW w:w="1297" w:type="pct"/>
            <w:gridSpan w:val="2"/>
            <w:vAlign w:val="center"/>
          </w:tcPr>
          <w:p w14:paraId="2158139A">
            <w:pPr>
              <w:spacing w:line="460" w:lineRule="exact"/>
              <w:jc w:val="center"/>
              <w:rPr>
                <w:rFonts w:ascii="宋体" w:hAnsi="宋体"/>
                <w:bCs/>
                <w:szCs w:val="21"/>
              </w:rPr>
            </w:pPr>
            <w:r>
              <w:rPr>
                <w:rFonts w:hint="eastAsia" w:ascii="宋体" w:hAnsi="宋体"/>
                <w:bCs/>
                <w:szCs w:val="21"/>
              </w:rPr>
              <w:t>项目单位名称及电话</w:t>
            </w:r>
          </w:p>
        </w:tc>
      </w:tr>
      <w:tr w14:paraId="3C8046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6E5CC532">
            <w:pPr>
              <w:spacing w:line="460" w:lineRule="exact"/>
              <w:jc w:val="center"/>
              <w:rPr>
                <w:rFonts w:ascii="宋体" w:hAnsi="宋体"/>
                <w:bCs/>
                <w:szCs w:val="21"/>
              </w:rPr>
            </w:pPr>
          </w:p>
        </w:tc>
        <w:tc>
          <w:tcPr>
            <w:tcW w:w="2138" w:type="pct"/>
            <w:gridSpan w:val="3"/>
            <w:vAlign w:val="center"/>
          </w:tcPr>
          <w:p w14:paraId="58BB4916">
            <w:pPr>
              <w:spacing w:line="460" w:lineRule="exact"/>
              <w:jc w:val="center"/>
              <w:rPr>
                <w:rFonts w:ascii="宋体" w:hAnsi="宋体"/>
                <w:bCs/>
                <w:szCs w:val="21"/>
              </w:rPr>
            </w:pPr>
          </w:p>
        </w:tc>
        <w:tc>
          <w:tcPr>
            <w:tcW w:w="825" w:type="pct"/>
            <w:vAlign w:val="center"/>
          </w:tcPr>
          <w:p w14:paraId="34FF7264">
            <w:pPr>
              <w:spacing w:line="460" w:lineRule="exact"/>
              <w:jc w:val="center"/>
              <w:rPr>
                <w:rFonts w:ascii="宋体" w:hAnsi="宋体"/>
                <w:bCs/>
                <w:szCs w:val="21"/>
              </w:rPr>
            </w:pPr>
          </w:p>
        </w:tc>
        <w:tc>
          <w:tcPr>
            <w:tcW w:w="1297" w:type="pct"/>
            <w:gridSpan w:val="2"/>
            <w:vAlign w:val="center"/>
          </w:tcPr>
          <w:p w14:paraId="02568994">
            <w:pPr>
              <w:spacing w:line="460" w:lineRule="exact"/>
              <w:jc w:val="center"/>
              <w:rPr>
                <w:rFonts w:ascii="宋体" w:hAnsi="宋体"/>
                <w:bCs/>
                <w:szCs w:val="21"/>
              </w:rPr>
            </w:pPr>
          </w:p>
        </w:tc>
      </w:tr>
      <w:tr w14:paraId="1BE408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542D9F1C">
            <w:pPr>
              <w:spacing w:line="460" w:lineRule="exact"/>
              <w:jc w:val="center"/>
              <w:rPr>
                <w:rFonts w:ascii="宋体" w:hAnsi="宋体"/>
                <w:bCs/>
                <w:szCs w:val="21"/>
              </w:rPr>
            </w:pPr>
          </w:p>
        </w:tc>
        <w:tc>
          <w:tcPr>
            <w:tcW w:w="2138" w:type="pct"/>
            <w:gridSpan w:val="3"/>
            <w:vAlign w:val="center"/>
          </w:tcPr>
          <w:p w14:paraId="655A6536">
            <w:pPr>
              <w:spacing w:line="460" w:lineRule="exact"/>
              <w:jc w:val="center"/>
              <w:rPr>
                <w:rFonts w:ascii="宋体" w:hAnsi="宋体"/>
                <w:bCs/>
                <w:szCs w:val="21"/>
              </w:rPr>
            </w:pPr>
          </w:p>
        </w:tc>
        <w:tc>
          <w:tcPr>
            <w:tcW w:w="825" w:type="pct"/>
            <w:vAlign w:val="center"/>
          </w:tcPr>
          <w:p w14:paraId="2B3771E3">
            <w:pPr>
              <w:spacing w:line="460" w:lineRule="exact"/>
              <w:jc w:val="center"/>
              <w:rPr>
                <w:rFonts w:ascii="宋体" w:hAnsi="宋体"/>
                <w:bCs/>
                <w:szCs w:val="21"/>
              </w:rPr>
            </w:pPr>
          </w:p>
        </w:tc>
        <w:tc>
          <w:tcPr>
            <w:tcW w:w="1297" w:type="pct"/>
            <w:gridSpan w:val="2"/>
            <w:vAlign w:val="center"/>
          </w:tcPr>
          <w:p w14:paraId="5EF1BFF2">
            <w:pPr>
              <w:spacing w:line="460" w:lineRule="exact"/>
              <w:jc w:val="center"/>
              <w:rPr>
                <w:rFonts w:ascii="宋体" w:hAnsi="宋体"/>
                <w:bCs/>
                <w:szCs w:val="21"/>
              </w:rPr>
            </w:pPr>
          </w:p>
        </w:tc>
      </w:tr>
      <w:tr w14:paraId="06CB19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6CCCD284">
            <w:pPr>
              <w:spacing w:line="460" w:lineRule="exact"/>
              <w:jc w:val="center"/>
              <w:rPr>
                <w:rFonts w:ascii="宋体" w:hAnsi="宋体"/>
                <w:bCs/>
                <w:szCs w:val="21"/>
              </w:rPr>
            </w:pPr>
          </w:p>
        </w:tc>
        <w:tc>
          <w:tcPr>
            <w:tcW w:w="2138" w:type="pct"/>
            <w:gridSpan w:val="3"/>
            <w:vAlign w:val="center"/>
          </w:tcPr>
          <w:p w14:paraId="057CAE52">
            <w:pPr>
              <w:spacing w:line="460" w:lineRule="exact"/>
              <w:jc w:val="center"/>
              <w:rPr>
                <w:rFonts w:ascii="宋体" w:hAnsi="宋体"/>
                <w:bCs/>
                <w:szCs w:val="21"/>
              </w:rPr>
            </w:pPr>
          </w:p>
        </w:tc>
        <w:tc>
          <w:tcPr>
            <w:tcW w:w="825" w:type="pct"/>
            <w:vAlign w:val="center"/>
          </w:tcPr>
          <w:p w14:paraId="60C44870">
            <w:pPr>
              <w:spacing w:line="460" w:lineRule="exact"/>
              <w:jc w:val="center"/>
              <w:rPr>
                <w:rFonts w:ascii="宋体" w:hAnsi="宋体"/>
                <w:bCs/>
                <w:szCs w:val="21"/>
              </w:rPr>
            </w:pPr>
          </w:p>
        </w:tc>
        <w:tc>
          <w:tcPr>
            <w:tcW w:w="1297" w:type="pct"/>
            <w:gridSpan w:val="2"/>
            <w:vAlign w:val="center"/>
          </w:tcPr>
          <w:p w14:paraId="12B98337">
            <w:pPr>
              <w:spacing w:line="460" w:lineRule="exact"/>
              <w:jc w:val="center"/>
              <w:rPr>
                <w:rFonts w:ascii="宋体" w:hAnsi="宋体"/>
                <w:bCs/>
                <w:szCs w:val="21"/>
              </w:rPr>
            </w:pPr>
          </w:p>
        </w:tc>
      </w:tr>
      <w:tr w14:paraId="3BEEA8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58B091F5">
            <w:pPr>
              <w:spacing w:line="460" w:lineRule="exact"/>
              <w:jc w:val="center"/>
              <w:rPr>
                <w:rFonts w:ascii="宋体" w:hAnsi="宋体"/>
                <w:bCs/>
                <w:szCs w:val="21"/>
              </w:rPr>
            </w:pPr>
          </w:p>
        </w:tc>
        <w:tc>
          <w:tcPr>
            <w:tcW w:w="2138" w:type="pct"/>
            <w:gridSpan w:val="3"/>
            <w:vAlign w:val="center"/>
          </w:tcPr>
          <w:p w14:paraId="0D8A04B4">
            <w:pPr>
              <w:spacing w:line="460" w:lineRule="exact"/>
              <w:jc w:val="center"/>
              <w:rPr>
                <w:rFonts w:ascii="宋体" w:hAnsi="宋体"/>
                <w:bCs/>
                <w:szCs w:val="21"/>
              </w:rPr>
            </w:pPr>
          </w:p>
        </w:tc>
        <w:tc>
          <w:tcPr>
            <w:tcW w:w="825" w:type="pct"/>
            <w:vAlign w:val="center"/>
          </w:tcPr>
          <w:p w14:paraId="75B5C848">
            <w:pPr>
              <w:spacing w:line="460" w:lineRule="exact"/>
              <w:jc w:val="center"/>
              <w:rPr>
                <w:rFonts w:ascii="宋体" w:hAnsi="宋体"/>
                <w:bCs/>
                <w:szCs w:val="21"/>
              </w:rPr>
            </w:pPr>
          </w:p>
        </w:tc>
        <w:tc>
          <w:tcPr>
            <w:tcW w:w="1297" w:type="pct"/>
            <w:gridSpan w:val="2"/>
            <w:vAlign w:val="center"/>
          </w:tcPr>
          <w:p w14:paraId="3A00DB46">
            <w:pPr>
              <w:spacing w:line="460" w:lineRule="exact"/>
              <w:jc w:val="center"/>
              <w:rPr>
                <w:rFonts w:ascii="宋体" w:hAnsi="宋体"/>
                <w:bCs/>
                <w:szCs w:val="21"/>
              </w:rPr>
            </w:pPr>
          </w:p>
        </w:tc>
      </w:tr>
      <w:tr w14:paraId="3EAB8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487852E1">
            <w:pPr>
              <w:spacing w:line="460" w:lineRule="exact"/>
              <w:jc w:val="center"/>
              <w:rPr>
                <w:rFonts w:ascii="宋体" w:hAnsi="宋体"/>
                <w:bCs/>
                <w:szCs w:val="21"/>
              </w:rPr>
            </w:pPr>
          </w:p>
        </w:tc>
        <w:tc>
          <w:tcPr>
            <w:tcW w:w="2138" w:type="pct"/>
            <w:gridSpan w:val="3"/>
            <w:vAlign w:val="center"/>
          </w:tcPr>
          <w:p w14:paraId="07C5D2B3">
            <w:pPr>
              <w:spacing w:line="460" w:lineRule="exact"/>
              <w:jc w:val="center"/>
              <w:rPr>
                <w:rFonts w:ascii="宋体" w:hAnsi="宋体"/>
                <w:bCs/>
                <w:szCs w:val="21"/>
              </w:rPr>
            </w:pPr>
          </w:p>
        </w:tc>
        <w:tc>
          <w:tcPr>
            <w:tcW w:w="825" w:type="pct"/>
            <w:vAlign w:val="center"/>
          </w:tcPr>
          <w:p w14:paraId="7F4C6E97">
            <w:pPr>
              <w:spacing w:line="460" w:lineRule="exact"/>
              <w:jc w:val="center"/>
              <w:rPr>
                <w:rFonts w:ascii="宋体" w:hAnsi="宋体"/>
                <w:bCs/>
                <w:szCs w:val="21"/>
              </w:rPr>
            </w:pPr>
          </w:p>
        </w:tc>
        <w:tc>
          <w:tcPr>
            <w:tcW w:w="1297" w:type="pct"/>
            <w:gridSpan w:val="2"/>
            <w:vAlign w:val="center"/>
          </w:tcPr>
          <w:p w14:paraId="38FF53C2">
            <w:pPr>
              <w:spacing w:line="460" w:lineRule="exact"/>
              <w:jc w:val="center"/>
              <w:rPr>
                <w:rFonts w:ascii="宋体" w:hAnsi="宋体"/>
                <w:bCs/>
                <w:szCs w:val="21"/>
              </w:rPr>
            </w:pPr>
          </w:p>
        </w:tc>
      </w:tr>
      <w:tr w14:paraId="0B321D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4DA06C73">
            <w:pPr>
              <w:spacing w:line="460" w:lineRule="exact"/>
              <w:jc w:val="center"/>
              <w:rPr>
                <w:rFonts w:ascii="宋体" w:hAnsi="宋体"/>
                <w:bCs/>
                <w:szCs w:val="21"/>
              </w:rPr>
            </w:pPr>
          </w:p>
        </w:tc>
        <w:tc>
          <w:tcPr>
            <w:tcW w:w="2138" w:type="pct"/>
            <w:gridSpan w:val="3"/>
            <w:vAlign w:val="center"/>
          </w:tcPr>
          <w:p w14:paraId="79B05291">
            <w:pPr>
              <w:spacing w:line="460" w:lineRule="exact"/>
              <w:jc w:val="center"/>
              <w:rPr>
                <w:rFonts w:ascii="宋体" w:hAnsi="宋体"/>
                <w:bCs/>
                <w:szCs w:val="21"/>
              </w:rPr>
            </w:pPr>
          </w:p>
        </w:tc>
        <w:tc>
          <w:tcPr>
            <w:tcW w:w="825" w:type="pct"/>
            <w:vAlign w:val="center"/>
          </w:tcPr>
          <w:p w14:paraId="0652FB4F">
            <w:pPr>
              <w:spacing w:line="460" w:lineRule="exact"/>
              <w:jc w:val="center"/>
              <w:rPr>
                <w:rFonts w:ascii="宋体" w:hAnsi="宋体"/>
                <w:bCs/>
                <w:szCs w:val="21"/>
              </w:rPr>
            </w:pPr>
          </w:p>
        </w:tc>
        <w:tc>
          <w:tcPr>
            <w:tcW w:w="1297" w:type="pct"/>
            <w:gridSpan w:val="2"/>
            <w:vAlign w:val="center"/>
          </w:tcPr>
          <w:p w14:paraId="08EB057F">
            <w:pPr>
              <w:spacing w:line="460" w:lineRule="exact"/>
              <w:jc w:val="center"/>
              <w:rPr>
                <w:rFonts w:ascii="宋体" w:hAnsi="宋体"/>
                <w:bCs/>
                <w:szCs w:val="21"/>
              </w:rPr>
            </w:pPr>
          </w:p>
        </w:tc>
      </w:tr>
      <w:tr w14:paraId="51A9A5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3A05B232">
            <w:pPr>
              <w:spacing w:line="460" w:lineRule="exact"/>
              <w:jc w:val="center"/>
              <w:rPr>
                <w:rFonts w:ascii="宋体" w:hAnsi="宋体"/>
                <w:bCs/>
                <w:szCs w:val="21"/>
              </w:rPr>
            </w:pPr>
          </w:p>
        </w:tc>
        <w:tc>
          <w:tcPr>
            <w:tcW w:w="2138" w:type="pct"/>
            <w:gridSpan w:val="3"/>
            <w:vAlign w:val="center"/>
          </w:tcPr>
          <w:p w14:paraId="56DFF8BA">
            <w:pPr>
              <w:spacing w:line="460" w:lineRule="exact"/>
              <w:jc w:val="center"/>
              <w:rPr>
                <w:rFonts w:ascii="宋体" w:hAnsi="宋体"/>
                <w:bCs/>
                <w:szCs w:val="21"/>
              </w:rPr>
            </w:pPr>
          </w:p>
        </w:tc>
        <w:tc>
          <w:tcPr>
            <w:tcW w:w="825" w:type="pct"/>
            <w:vAlign w:val="center"/>
          </w:tcPr>
          <w:p w14:paraId="576085E7">
            <w:pPr>
              <w:spacing w:line="460" w:lineRule="exact"/>
              <w:jc w:val="center"/>
              <w:rPr>
                <w:rFonts w:ascii="宋体" w:hAnsi="宋体"/>
                <w:bCs/>
                <w:szCs w:val="21"/>
              </w:rPr>
            </w:pPr>
          </w:p>
        </w:tc>
        <w:tc>
          <w:tcPr>
            <w:tcW w:w="1297" w:type="pct"/>
            <w:gridSpan w:val="2"/>
            <w:vAlign w:val="center"/>
          </w:tcPr>
          <w:p w14:paraId="5D5656C5">
            <w:pPr>
              <w:spacing w:line="460" w:lineRule="exact"/>
              <w:jc w:val="center"/>
              <w:rPr>
                <w:rFonts w:ascii="宋体" w:hAnsi="宋体"/>
                <w:bCs/>
                <w:szCs w:val="21"/>
              </w:rPr>
            </w:pPr>
          </w:p>
        </w:tc>
      </w:tr>
      <w:tr w14:paraId="49BD4C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671092E5">
            <w:pPr>
              <w:spacing w:line="460" w:lineRule="exact"/>
              <w:jc w:val="center"/>
              <w:rPr>
                <w:rFonts w:ascii="宋体" w:hAnsi="宋体"/>
                <w:bCs/>
                <w:szCs w:val="21"/>
              </w:rPr>
            </w:pPr>
          </w:p>
        </w:tc>
        <w:tc>
          <w:tcPr>
            <w:tcW w:w="2138" w:type="pct"/>
            <w:gridSpan w:val="3"/>
            <w:vAlign w:val="center"/>
          </w:tcPr>
          <w:p w14:paraId="2964F565">
            <w:pPr>
              <w:spacing w:line="460" w:lineRule="exact"/>
              <w:jc w:val="center"/>
              <w:rPr>
                <w:rFonts w:ascii="宋体" w:hAnsi="宋体"/>
                <w:bCs/>
                <w:szCs w:val="21"/>
              </w:rPr>
            </w:pPr>
          </w:p>
        </w:tc>
        <w:tc>
          <w:tcPr>
            <w:tcW w:w="825" w:type="pct"/>
            <w:vAlign w:val="center"/>
          </w:tcPr>
          <w:p w14:paraId="79F57A13">
            <w:pPr>
              <w:spacing w:line="460" w:lineRule="exact"/>
              <w:jc w:val="center"/>
              <w:rPr>
                <w:rFonts w:ascii="宋体" w:hAnsi="宋体"/>
                <w:bCs/>
                <w:szCs w:val="21"/>
              </w:rPr>
            </w:pPr>
          </w:p>
        </w:tc>
        <w:tc>
          <w:tcPr>
            <w:tcW w:w="1297" w:type="pct"/>
            <w:gridSpan w:val="2"/>
            <w:vAlign w:val="center"/>
          </w:tcPr>
          <w:p w14:paraId="258528EF">
            <w:pPr>
              <w:spacing w:line="460" w:lineRule="exact"/>
              <w:jc w:val="center"/>
              <w:rPr>
                <w:rFonts w:ascii="宋体" w:hAnsi="宋体"/>
                <w:bCs/>
                <w:szCs w:val="21"/>
              </w:rPr>
            </w:pPr>
          </w:p>
        </w:tc>
      </w:tr>
      <w:tr w14:paraId="1CD28F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14:paraId="5E3881FA">
            <w:pPr>
              <w:spacing w:line="460" w:lineRule="exact"/>
              <w:jc w:val="center"/>
              <w:rPr>
                <w:rFonts w:ascii="宋体" w:hAnsi="宋体"/>
                <w:bCs/>
                <w:szCs w:val="21"/>
              </w:rPr>
            </w:pPr>
          </w:p>
        </w:tc>
        <w:tc>
          <w:tcPr>
            <w:tcW w:w="2138" w:type="pct"/>
            <w:gridSpan w:val="3"/>
            <w:vAlign w:val="center"/>
          </w:tcPr>
          <w:p w14:paraId="347A2715">
            <w:pPr>
              <w:spacing w:line="460" w:lineRule="exact"/>
              <w:jc w:val="center"/>
              <w:rPr>
                <w:rFonts w:ascii="宋体" w:hAnsi="宋体"/>
                <w:bCs/>
                <w:szCs w:val="21"/>
              </w:rPr>
            </w:pPr>
          </w:p>
        </w:tc>
        <w:tc>
          <w:tcPr>
            <w:tcW w:w="825" w:type="pct"/>
            <w:vAlign w:val="center"/>
          </w:tcPr>
          <w:p w14:paraId="7F4C7384">
            <w:pPr>
              <w:spacing w:line="460" w:lineRule="exact"/>
              <w:jc w:val="center"/>
              <w:rPr>
                <w:rFonts w:ascii="宋体" w:hAnsi="宋体"/>
                <w:bCs/>
                <w:szCs w:val="21"/>
              </w:rPr>
            </w:pPr>
          </w:p>
        </w:tc>
        <w:tc>
          <w:tcPr>
            <w:tcW w:w="1297" w:type="pct"/>
            <w:gridSpan w:val="2"/>
            <w:vAlign w:val="center"/>
          </w:tcPr>
          <w:p w14:paraId="2539D028">
            <w:pPr>
              <w:spacing w:line="460" w:lineRule="exact"/>
              <w:jc w:val="center"/>
              <w:rPr>
                <w:rFonts w:ascii="宋体" w:hAnsi="宋体"/>
                <w:bCs/>
                <w:szCs w:val="21"/>
              </w:rPr>
            </w:pPr>
          </w:p>
        </w:tc>
      </w:tr>
    </w:tbl>
    <w:p w14:paraId="006EFBD9">
      <w:pPr>
        <w:spacing w:before="120" w:line="360" w:lineRule="atLeast"/>
        <w:ind w:firstLine="480"/>
        <w:rPr>
          <w:rFonts w:ascii="宋体" w:hAnsi="宋体"/>
          <w:bCs/>
          <w:szCs w:val="21"/>
        </w:rPr>
      </w:pPr>
      <w:r>
        <w:rPr>
          <w:rFonts w:hint="eastAsia" w:ascii="宋体" w:hAnsi="宋体"/>
          <w:bCs/>
          <w:szCs w:val="21"/>
        </w:rPr>
        <w:t>说明：主要人员证书、类似项目证明资料等按第二章或第四章要求提供。</w:t>
      </w:r>
    </w:p>
    <w:p w14:paraId="7099ABF2">
      <w:pPr>
        <w:adjustRightInd w:val="0"/>
        <w:snapToGrid w:val="0"/>
        <w:spacing w:before="120" w:line="360" w:lineRule="auto"/>
        <w:ind w:firstLine="480"/>
        <w:rPr>
          <w:rFonts w:ascii="宋体" w:hAnsi="宋体"/>
          <w:szCs w:val="21"/>
        </w:rPr>
      </w:pPr>
    </w:p>
    <w:p w14:paraId="175EE548">
      <w:pPr>
        <w:spacing w:before="120"/>
        <w:ind w:firstLine="480"/>
        <w:rPr>
          <w:rFonts w:ascii="宋体" w:hAnsi="宋体"/>
          <w:szCs w:val="21"/>
        </w:rPr>
      </w:pPr>
    </w:p>
    <w:p w14:paraId="767AC655">
      <w:pPr>
        <w:adjustRightInd w:val="0"/>
        <w:snapToGrid w:val="0"/>
        <w:spacing w:line="460" w:lineRule="exact"/>
        <w:ind w:firstLine="482"/>
        <w:rPr>
          <w:rFonts w:ascii="宋体" w:hAnsi="宋体"/>
          <w:bCs/>
          <w:szCs w:val="21"/>
        </w:rPr>
      </w:pPr>
      <w:r>
        <w:rPr>
          <w:rFonts w:hint="eastAsia" w:ascii="宋体" w:hAnsi="宋体"/>
          <w:bCs/>
          <w:szCs w:val="21"/>
        </w:rPr>
        <w:t>供应商名称(盖单位章)：________________________</w:t>
      </w:r>
    </w:p>
    <w:p w14:paraId="6F7BEA36">
      <w:pPr>
        <w:adjustRightInd w:val="0"/>
        <w:snapToGrid w:val="0"/>
        <w:spacing w:line="460" w:lineRule="exact"/>
        <w:ind w:firstLine="482"/>
        <w:rPr>
          <w:rFonts w:ascii="宋体" w:hAnsi="宋体"/>
          <w:bCs/>
          <w:szCs w:val="21"/>
        </w:rPr>
      </w:pPr>
      <w:r>
        <w:rPr>
          <w:rFonts w:hint="eastAsia" w:ascii="宋体" w:hAnsi="宋体"/>
          <w:bCs/>
          <w:szCs w:val="21"/>
        </w:rPr>
        <w:t>法定代表人或其委托代理人签字：___________________________</w:t>
      </w:r>
    </w:p>
    <w:p w14:paraId="206C8222">
      <w:pPr>
        <w:adjustRightInd w:val="0"/>
        <w:snapToGrid w:val="0"/>
        <w:spacing w:line="460" w:lineRule="exact"/>
        <w:ind w:firstLine="482"/>
        <w:rPr>
          <w:rFonts w:asciiTheme="minorEastAsia" w:hAnsiTheme="minorEastAsia" w:eastAsiaTheme="minorEastAsia"/>
          <w:bCs/>
          <w:sz w:val="24"/>
        </w:rPr>
        <w:sectPr>
          <w:pgSz w:w="11906" w:h="16838"/>
          <w:pgMar w:top="1418" w:right="1418" w:bottom="1418" w:left="1418" w:header="851" w:footer="851" w:gutter="0"/>
          <w:pgNumType w:fmt="numberInDash"/>
          <w:cols w:space="720" w:num="1"/>
          <w:docGrid w:type="lines" w:linePitch="312" w:charSpace="0"/>
        </w:sectPr>
      </w:pPr>
      <w:r>
        <w:rPr>
          <w:rFonts w:hint="eastAsia" w:ascii="宋体" w:hAnsi="宋体"/>
          <w:bCs/>
          <w:szCs w:val="21"/>
        </w:rPr>
        <w:t>日期：______年___月___日</w:t>
      </w:r>
    </w:p>
    <w:p w14:paraId="3381485E">
      <w:pPr>
        <w:pStyle w:val="3"/>
      </w:pPr>
      <w:bookmarkStart w:id="191" w:name="_Toc31708"/>
      <w:r>
        <w:rPr>
          <w:rFonts w:hint="eastAsia"/>
        </w:rPr>
        <w:t>八、拟投入本项目的工作人员配置一览表</w:t>
      </w:r>
      <w:bookmarkEnd w:id="191"/>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778"/>
        <w:gridCol w:w="780"/>
        <w:gridCol w:w="780"/>
        <w:gridCol w:w="780"/>
        <w:gridCol w:w="1133"/>
        <w:gridCol w:w="2502"/>
        <w:gridCol w:w="865"/>
      </w:tblGrid>
      <w:tr w14:paraId="5F3A6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8" w:type="pct"/>
            <w:tcBorders>
              <w:top w:val="double" w:color="auto" w:sz="4" w:space="0"/>
              <w:left w:val="double" w:color="auto" w:sz="4" w:space="0"/>
            </w:tcBorders>
            <w:vAlign w:val="center"/>
          </w:tcPr>
          <w:p w14:paraId="6CC82313">
            <w:pPr>
              <w:pStyle w:val="21"/>
              <w:widowControl/>
              <w:adjustRightInd w:val="0"/>
              <w:snapToGrid w:val="0"/>
              <w:spacing w:before="120"/>
              <w:jc w:val="center"/>
              <w:rPr>
                <w:rFonts w:hAnsi="宋体" w:cs="Times New Roman"/>
                <w:bCs/>
              </w:rPr>
            </w:pPr>
            <w:r>
              <w:rPr>
                <w:rFonts w:hint="eastAsia" w:hAnsi="宋体" w:cs="Times New Roman"/>
                <w:bCs/>
              </w:rPr>
              <w:t>人员类别</w:t>
            </w:r>
          </w:p>
        </w:tc>
        <w:tc>
          <w:tcPr>
            <w:tcW w:w="419" w:type="pct"/>
            <w:tcBorders>
              <w:top w:val="double" w:color="auto" w:sz="4" w:space="0"/>
            </w:tcBorders>
            <w:vAlign w:val="center"/>
          </w:tcPr>
          <w:p w14:paraId="4E3CA7E2">
            <w:pPr>
              <w:pStyle w:val="21"/>
              <w:widowControl/>
              <w:adjustRightInd w:val="0"/>
              <w:snapToGrid w:val="0"/>
              <w:spacing w:before="120"/>
              <w:jc w:val="center"/>
              <w:rPr>
                <w:rFonts w:hAnsi="宋体" w:cs="Times New Roman"/>
                <w:bCs/>
              </w:rPr>
            </w:pPr>
            <w:r>
              <w:rPr>
                <w:rFonts w:hint="eastAsia" w:hAnsi="宋体" w:cs="Times New Roman"/>
                <w:bCs/>
              </w:rPr>
              <w:t>姓名</w:t>
            </w:r>
          </w:p>
        </w:tc>
        <w:tc>
          <w:tcPr>
            <w:tcW w:w="420" w:type="pct"/>
            <w:tcBorders>
              <w:top w:val="double" w:color="auto" w:sz="4" w:space="0"/>
            </w:tcBorders>
            <w:vAlign w:val="center"/>
          </w:tcPr>
          <w:p w14:paraId="530B2AD4">
            <w:pPr>
              <w:pStyle w:val="21"/>
              <w:widowControl/>
              <w:adjustRightInd w:val="0"/>
              <w:snapToGrid w:val="0"/>
              <w:spacing w:before="120"/>
              <w:jc w:val="center"/>
              <w:rPr>
                <w:rFonts w:hAnsi="宋体" w:cs="Times New Roman"/>
                <w:bCs/>
              </w:rPr>
            </w:pPr>
            <w:r>
              <w:rPr>
                <w:rFonts w:hint="eastAsia" w:hAnsi="宋体" w:cs="Times New Roman"/>
                <w:bCs/>
              </w:rPr>
              <w:t>年龄</w:t>
            </w:r>
          </w:p>
        </w:tc>
        <w:tc>
          <w:tcPr>
            <w:tcW w:w="420" w:type="pct"/>
            <w:tcBorders>
              <w:top w:val="double" w:color="auto" w:sz="4" w:space="0"/>
            </w:tcBorders>
            <w:vAlign w:val="center"/>
          </w:tcPr>
          <w:p w14:paraId="273D2CF7">
            <w:pPr>
              <w:pStyle w:val="21"/>
              <w:widowControl/>
              <w:adjustRightInd w:val="0"/>
              <w:snapToGrid w:val="0"/>
              <w:spacing w:before="120"/>
              <w:jc w:val="center"/>
              <w:rPr>
                <w:rFonts w:hAnsi="宋体" w:cs="Times New Roman"/>
                <w:bCs/>
              </w:rPr>
            </w:pPr>
            <w:r>
              <w:rPr>
                <w:rFonts w:hint="eastAsia" w:hAnsi="宋体" w:cs="Times New Roman"/>
                <w:bCs/>
              </w:rPr>
              <w:t>学历</w:t>
            </w:r>
          </w:p>
        </w:tc>
        <w:tc>
          <w:tcPr>
            <w:tcW w:w="420" w:type="pct"/>
            <w:tcBorders>
              <w:top w:val="double" w:color="auto" w:sz="4" w:space="0"/>
            </w:tcBorders>
            <w:vAlign w:val="center"/>
          </w:tcPr>
          <w:p w14:paraId="3C2D1FAB">
            <w:pPr>
              <w:pStyle w:val="21"/>
              <w:widowControl/>
              <w:adjustRightInd w:val="0"/>
              <w:snapToGrid w:val="0"/>
              <w:spacing w:before="120"/>
              <w:jc w:val="center"/>
              <w:rPr>
                <w:rFonts w:hAnsi="宋体" w:cs="Times New Roman"/>
                <w:bCs/>
              </w:rPr>
            </w:pPr>
            <w:r>
              <w:rPr>
                <w:rFonts w:hint="eastAsia" w:hAnsi="宋体" w:cs="Times New Roman"/>
                <w:bCs/>
              </w:rPr>
              <w:t>职称</w:t>
            </w:r>
          </w:p>
        </w:tc>
        <w:tc>
          <w:tcPr>
            <w:tcW w:w="610" w:type="pct"/>
            <w:tcBorders>
              <w:top w:val="double" w:color="auto" w:sz="4" w:space="0"/>
            </w:tcBorders>
            <w:vAlign w:val="center"/>
          </w:tcPr>
          <w:p w14:paraId="029AB003">
            <w:pPr>
              <w:pStyle w:val="21"/>
              <w:widowControl/>
              <w:adjustRightInd w:val="0"/>
              <w:snapToGrid w:val="0"/>
              <w:spacing w:before="120"/>
              <w:jc w:val="center"/>
              <w:rPr>
                <w:rFonts w:hAnsi="宋体" w:cs="Times New Roman"/>
                <w:bCs/>
              </w:rPr>
            </w:pPr>
            <w:r>
              <w:rPr>
                <w:rFonts w:hint="eastAsia" w:hAnsi="宋体" w:cs="Times New Roman"/>
                <w:bCs/>
              </w:rPr>
              <w:t>从事本工作时间</w:t>
            </w:r>
          </w:p>
        </w:tc>
        <w:tc>
          <w:tcPr>
            <w:tcW w:w="1347" w:type="pct"/>
            <w:tcBorders>
              <w:top w:val="double" w:color="auto" w:sz="4" w:space="0"/>
              <w:right w:val="single" w:color="auto" w:sz="4" w:space="0"/>
            </w:tcBorders>
            <w:vAlign w:val="center"/>
          </w:tcPr>
          <w:p w14:paraId="7870F4D4">
            <w:pPr>
              <w:pStyle w:val="21"/>
              <w:widowControl/>
              <w:adjustRightInd w:val="0"/>
              <w:snapToGrid w:val="0"/>
              <w:spacing w:before="120"/>
              <w:jc w:val="center"/>
              <w:rPr>
                <w:rFonts w:hAnsi="宋体" w:cs="Times New Roman"/>
                <w:bCs/>
              </w:rPr>
            </w:pPr>
            <w:r>
              <w:rPr>
                <w:rFonts w:hint="eastAsia" w:hAnsi="宋体" w:cs="Times New Roman"/>
                <w:bCs/>
              </w:rPr>
              <w:t>取得的相关证书（职称证、资格证、学历证等）</w:t>
            </w:r>
          </w:p>
        </w:tc>
        <w:tc>
          <w:tcPr>
            <w:tcW w:w="466" w:type="pct"/>
            <w:tcBorders>
              <w:top w:val="double" w:color="auto" w:sz="4" w:space="0"/>
              <w:left w:val="single" w:color="auto" w:sz="4" w:space="0"/>
              <w:right w:val="double" w:color="auto" w:sz="4" w:space="0"/>
            </w:tcBorders>
            <w:vAlign w:val="center"/>
          </w:tcPr>
          <w:p w14:paraId="27E3D5C2">
            <w:pPr>
              <w:pStyle w:val="21"/>
              <w:widowControl/>
              <w:adjustRightInd w:val="0"/>
              <w:snapToGrid w:val="0"/>
              <w:spacing w:before="120"/>
              <w:jc w:val="center"/>
              <w:rPr>
                <w:rFonts w:hAnsi="宋体" w:cs="Times New Roman"/>
                <w:bCs/>
              </w:rPr>
            </w:pPr>
            <w:r>
              <w:rPr>
                <w:rFonts w:hint="eastAsia" w:hAnsi="宋体" w:cs="Times New Roman"/>
                <w:bCs/>
              </w:rPr>
              <w:t>备注</w:t>
            </w:r>
          </w:p>
        </w:tc>
      </w:tr>
      <w:tr w14:paraId="6771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898" w:type="pct"/>
            <w:tcBorders>
              <w:left w:val="double" w:color="auto" w:sz="4" w:space="0"/>
            </w:tcBorders>
            <w:vAlign w:val="center"/>
          </w:tcPr>
          <w:p w14:paraId="03B455E1">
            <w:pPr>
              <w:pStyle w:val="21"/>
              <w:widowControl/>
              <w:adjustRightInd w:val="0"/>
              <w:snapToGrid w:val="0"/>
              <w:spacing w:before="120"/>
              <w:jc w:val="center"/>
              <w:rPr>
                <w:rFonts w:hAnsi="宋体" w:cs="Times New Roman"/>
                <w:bCs/>
              </w:rPr>
            </w:pPr>
            <w:r>
              <w:rPr>
                <w:rFonts w:hint="eastAsia" w:hAnsi="宋体" w:cs="Times New Roman"/>
                <w:bCs/>
              </w:rPr>
              <w:t>技术负责人</w:t>
            </w:r>
          </w:p>
        </w:tc>
        <w:tc>
          <w:tcPr>
            <w:tcW w:w="419" w:type="pct"/>
          </w:tcPr>
          <w:p w14:paraId="60D1C32D">
            <w:pPr>
              <w:pStyle w:val="21"/>
              <w:widowControl/>
              <w:adjustRightInd w:val="0"/>
              <w:snapToGrid w:val="0"/>
              <w:spacing w:before="120"/>
              <w:jc w:val="center"/>
              <w:rPr>
                <w:rFonts w:hAnsi="宋体" w:cs="Times New Roman"/>
                <w:bCs/>
              </w:rPr>
            </w:pPr>
          </w:p>
        </w:tc>
        <w:tc>
          <w:tcPr>
            <w:tcW w:w="420" w:type="pct"/>
          </w:tcPr>
          <w:p w14:paraId="64540375">
            <w:pPr>
              <w:pStyle w:val="21"/>
              <w:widowControl/>
              <w:adjustRightInd w:val="0"/>
              <w:snapToGrid w:val="0"/>
              <w:spacing w:before="120"/>
              <w:jc w:val="center"/>
              <w:rPr>
                <w:rFonts w:hAnsi="宋体" w:cs="Times New Roman"/>
                <w:bCs/>
              </w:rPr>
            </w:pPr>
          </w:p>
        </w:tc>
        <w:tc>
          <w:tcPr>
            <w:tcW w:w="420" w:type="pct"/>
          </w:tcPr>
          <w:p w14:paraId="2A270AED">
            <w:pPr>
              <w:pStyle w:val="21"/>
              <w:widowControl/>
              <w:adjustRightInd w:val="0"/>
              <w:snapToGrid w:val="0"/>
              <w:spacing w:before="120"/>
              <w:jc w:val="center"/>
              <w:rPr>
                <w:rFonts w:hAnsi="宋体" w:cs="Times New Roman"/>
                <w:bCs/>
              </w:rPr>
            </w:pPr>
          </w:p>
        </w:tc>
        <w:tc>
          <w:tcPr>
            <w:tcW w:w="420" w:type="pct"/>
          </w:tcPr>
          <w:p w14:paraId="31B70CF4">
            <w:pPr>
              <w:pStyle w:val="21"/>
              <w:widowControl/>
              <w:adjustRightInd w:val="0"/>
              <w:snapToGrid w:val="0"/>
              <w:spacing w:before="120"/>
              <w:jc w:val="center"/>
              <w:rPr>
                <w:rFonts w:hAnsi="宋体" w:cs="Times New Roman"/>
                <w:bCs/>
              </w:rPr>
            </w:pPr>
          </w:p>
        </w:tc>
        <w:tc>
          <w:tcPr>
            <w:tcW w:w="610" w:type="pct"/>
          </w:tcPr>
          <w:p w14:paraId="322DCA9A">
            <w:pPr>
              <w:pStyle w:val="21"/>
              <w:widowControl/>
              <w:adjustRightInd w:val="0"/>
              <w:snapToGrid w:val="0"/>
              <w:spacing w:before="120"/>
              <w:jc w:val="center"/>
              <w:rPr>
                <w:rFonts w:hAnsi="宋体" w:cs="Times New Roman"/>
                <w:bCs/>
              </w:rPr>
            </w:pPr>
          </w:p>
        </w:tc>
        <w:tc>
          <w:tcPr>
            <w:tcW w:w="1347" w:type="pct"/>
            <w:tcBorders>
              <w:right w:val="single" w:color="auto" w:sz="4" w:space="0"/>
            </w:tcBorders>
            <w:vAlign w:val="center"/>
          </w:tcPr>
          <w:p w14:paraId="47CF1A3C">
            <w:pPr>
              <w:pStyle w:val="21"/>
              <w:widowControl/>
              <w:adjustRightInd w:val="0"/>
              <w:snapToGrid w:val="0"/>
              <w:spacing w:before="120"/>
              <w:jc w:val="center"/>
              <w:rPr>
                <w:rFonts w:hAnsi="宋体" w:cs="Times New Roman"/>
                <w:bCs/>
              </w:rPr>
            </w:pPr>
          </w:p>
        </w:tc>
        <w:tc>
          <w:tcPr>
            <w:tcW w:w="466" w:type="pct"/>
            <w:tcBorders>
              <w:left w:val="single" w:color="auto" w:sz="4" w:space="0"/>
              <w:right w:val="double" w:color="auto" w:sz="4" w:space="0"/>
            </w:tcBorders>
            <w:vAlign w:val="center"/>
          </w:tcPr>
          <w:p w14:paraId="488FA617">
            <w:pPr>
              <w:pStyle w:val="21"/>
              <w:widowControl/>
              <w:adjustRightInd w:val="0"/>
              <w:snapToGrid w:val="0"/>
              <w:spacing w:before="120"/>
              <w:jc w:val="center"/>
              <w:rPr>
                <w:rFonts w:hAnsi="宋体" w:cs="Times New Roman"/>
                <w:bCs/>
              </w:rPr>
            </w:pPr>
          </w:p>
        </w:tc>
      </w:tr>
      <w:tr w14:paraId="6A94E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898" w:type="pct"/>
            <w:vMerge w:val="restart"/>
            <w:tcBorders>
              <w:left w:val="double" w:color="auto" w:sz="4" w:space="0"/>
            </w:tcBorders>
            <w:vAlign w:val="center"/>
          </w:tcPr>
          <w:p w14:paraId="05B5449B">
            <w:pPr>
              <w:pStyle w:val="21"/>
              <w:widowControl/>
              <w:adjustRightInd w:val="0"/>
              <w:snapToGrid w:val="0"/>
              <w:spacing w:before="120"/>
              <w:jc w:val="center"/>
              <w:rPr>
                <w:rFonts w:hAnsi="宋体" w:cs="Times New Roman"/>
                <w:bCs/>
              </w:rPr>
            </w:pPr>
            <w:r>
              <w:rPr>
                <w:rFonts w:hint="eastAsia" w:hAnsi="宋体" w:cs="Times New Roman"/>
                <w:bCs/>
              </w:rPr>
              <w:t>主要技术人员</w:t>
            </w:r>
          </w:p>
        </w:tc>
        <w:tc>
          <w:tcPr>
            <w:tcW w:w="419" w:type="pct"/>
          </w:tcPr>
          <w:p w14:paraId="165FDAA3">
            <w:pPr>
              <w:pStyle w:val="21"/>
              <w:widowControl/>
              <w:adjustRightInd w:val="0"/>
              <w:snapToGrid w:val="0"/>
              <w:spacing w:before="120"/>
              <w:jc w:val="center"/>
              <w:rPr>
                <w:rFonts w:hAnsi="宋体" w:cs="Times New Roman"/>
                <w:bCs/>
              </w:rPr>
            </w:pPr>
          </w:p>
        </w:tc>
        <w:tc>
          <w:tcPr>
            <w:tcW w:w="420" w:type="pct"/>
          </w:tcPr>
          <w:p w14:paraId="7EC79615">
            <w:pPr>
              <w:pStyle w:val="21"/>
              <w:widowControl/>
              <w:adjustRightInd w:val="0"/>
              <w:snapToGrid w:val="0"/>
              <w:spacing w:before="120"/>
              <w:jc w:val="center"/>
              <w:rPr>
                <w:rFonts w:hAnsi="宋体" w:cs="Times New Roman"/>
                <w:bCs/>
              </w:rPr>
            </w:pPr>
          </w:p>
        </w:tc>
        <w:tc>
          <w:tcPr>
            <w:tcW w:w="420" w:type="pct"/>
          </w:tcPr>
          <w:p w14:paraId="228A88CA">
            <w:pPr>
              <w:pStyle w:val="21"/>
              <w:widowControl/>
              <w:adjustRightInd w:val="0"/>
              <w:snapToGrid w:val="0"/>
              <w:spacing w:before="120"/>
              <w:jc w:val="center"/>
              <w:rPr>
                <w:rFonts w:hAnsi="宋体" w:cs="Times New Roman"/>
                <w:bCs/>
              </w:rPr>
            </w:pPr>
          </w:p>
        </w:tc>
        <w:tc>
          <w:tcPr>
            <w:tcW w:w="420" w:type="pct"/>
          </w:tcPr>
          <w:p w14:paraId="77BB0299">
            <w:pPr>
              <w:pStyle w:val="21"/>
              <w:widowControl/>
              <w:adjustRightInd w:val="0"/>
              <w:snapToGrid w:val="0"/>
              <w:spacing w:before="120"/>
              <w:jc w:val="center"/>
              <w:rPr>
                <w:rFonts w:hAnsi="宋体" w:cs="Times New Roman"/>
                <w:bCs/>
              </w:rPr>
            </w:pPr>
          </w:p>
        </w:tc>
        <w:tc>
          <w:tcPr>
            <w:tcW w:w="610" w:type="pct"/>
          </w:tcPr>
          <w:p w14:paraId="5E404118">
            <w:pPr>
              <w:pStyle w:val="21"/>
              <w:widowControl/>
              <w:adjustRightInd w:val="0"/>
              <w:snapToGrid w:val="0"/>
              <w:spacing w:before="120"/>
              <w:jc w:val="center"/>
              <w:rPr>
                <w:rFonts w:hAnsi="宋体" w:cs="Times New Roman"/>
                <w:bCs/>
              </w:rPr>
            </w:pPr>
          </w:p>
        </w:tc>
        <w:tc>
          <w:tcPr>
            <w:tcW w:w="1347" w:type="pct"/>
            <w:tcBorders>
              <w:right w:val="single" w:color="auto" w:sz="4" w:space="0"/>
            </w:tcBorders>
            <w:vAlign w:val="center"/>
          </w:tcPr>
          <w:p w14:paraId="273968D4">
            <w:pPr>
              <w:pStyle w:val="21"/>
              <w:widowControl/>
              <w:adjustRightInd w:val="0"/>
              <w:snapToGrid w:val="0"/>
              <w:spacing w:before="120"/>
              <w:jc w:val="center"/>
              <w:rPr>
                <w:rFonts w:hAnsi="宋体" w:cs="Times New Roman"/>
                <w:bCs/>
              </w:rPr>
            </w:pPr>
          </w:p>
        </w:tc>
        <w:tc>
          <w:tcPr>
            <w:tcW w:w="466" w:type="pct"/>
            <w:tcBorders>
              <w:left w:val="single" w:color="auto" w:sz="4" w:space="0"/>
              <w:right w:val="double" w:color="auto" w:sz="4" w:space="0"/>
            </w:tcBorders>
            <w:vAlign w:val="center"/>
          </w:tcPr>
          <w:p w14:paraId="1C6CC266">
            <w:pPr>
              <w:pStyle w:val="21"/>
              <w:widowControl/>
              <w:adjustRightInd w:val="0"/>
              <w:snapToGrid w:val="0"/>
              <w:spacing w:before="120"/>
              <w:jc w:val="center"/>
              <w:rPr>
                <w:rFonts w:hAnsi="宋体" w:cs="Times New Roman"/>
                <w:bCs/>
              </w:rPr>
            </w:pPr>
          </w:p>
        </w:tc>
      </w:tr>
      <w:tr w14:paraId="529B4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898" w:type="pct"/>
            <w:vMerge w:val="continue"/>
            <w:tcBorders>
              <w:left w:val="double" w:color="auto" w:sz="4" w:space="0"/>
            </w:tcBorders>
            <w:vAlign w:val="center"/>
          </w:tcPr>
          <w:p w14:paraId="6DC48365">
            <w:pPr>
              <w:pStyle w:val="21"/>
              <w:widowControl/>
              <w:adjustRightInd w:val="0"/>
              <w:snapToGrid w:val="0"/>
              <w:spacing w:before="120"/>
              <w:jc w:val="center"/>
              <w:rPr>
                <w:rFonts w:hAnsi="宋体" w:cs="Times New Roman"/>
                <w:bCs/>
              </w:rPr>
            </w:pPr>
          </w:p>
        </w:tc>
        <w:tc>
          <w:tcPr>
            <w:tcW w:w="419" w:type="pct"/>
          </w:tcPr>
          <w:p w14:paraId="56A30D21">
            <w:pPr>
              <w:pStyle w:val="21"/>
              <w:widowControl/>
              <w:adjustRightInd w:val="0"/>
              <w:snapToGrid w:val="0"/>
              <w:spacing w:before="120"/>
              <w:rPr>
                <w:rFonts w:hAnsi="宋体" w:cs="Times New Roman"/>
                <w:bCs/>
              </w:rPr>
            </w:pPr>
          </w:p>
        </w:tc>
        <w:tc>
          <w:tcPr>
            <w:tcW w:w="420" w:type="pct"/>
          </w:tcPr>
          <w:p w14:paraId="2ACB8D62">
            <w:pPr>
              <w:pStyle w:val="21"/>
              <w:widowControl/>
              <w:adjustRightInd w:val="0"/>
              <w:snapToGrid w:val="0"/>
              <w:spacing w:before="120"/>
              <w:rPr>
                <w:rFonts w:hAnsi="宋体" w:cs="Times New Roman"/>
                <w:bCs/>
              </w:rPr>
            </w:pPr>
          </w:p>
        </w:tc>
        <w:tc>
          <w:tcPr>
            <w:tcW w:w="420" w:type="pct"/>
          </w:tcPr>
          <w:p w14:paraId="405895A5">
            <w:pPr>
              <w:pStyle w:val="21"/>
              <w:widowControl/>
              <w:adjustRightInd w:val="0"/>
              <w:snapToGrid w:val="0"/>
              <w:spacing w:before="120"/>
              <w:rPr>
                <w:rFonts w:hAnsi="宋体" w:cs="Times New Roman"/>
                <w:bCs/>
              </w:rPr>
            </w:pPr>
          </w:p>
        </w:tc>
        <w:tc>
          <w:tcPr>
            <w:tcW w:w="420" w:type="pct"/>
          </w:tcPr>
          <w:p w14:paraId="129D07E9">
            <w:pPr>
              <w:pStyle w:val="21"/>
              <w:widowControl/>
              <w:adjustRightInd w:val="0"/>
              <w:snapToGrid w:val="0"/>
              <w:spacing w:before="120"/>
              <w:jc w:val="center"/>
              <w:rPr>
                <w:rFonts w:hAnsi="宋体" w:cs="Times New Roman"/>
                <w:bCs/>
              </w:rPr>
            </w:pPr>
          </w:p>
        </w:tc>
        <w:tc>
          <w:tcPr>
            <w:tcW w:w="610" w:type="pct"/>
          </w:tcPr>
          <w:p w14:paraId="6713F096">
            <w:pPr>
              <w:pStyle w:val="21"/>
              <w:widowControl/>
              <w:adjustRightInd w:val="0"/>
              <w:snapToGrid w:val="0"/>
              <w:spacing w:before="120"/>
              <w:rPr>
                <w:rFonts w:hAnsi="宋体" w:cs="Times New Roman"/>
                <w:bCs/>
              </w:rPr>
            </w:pPr>
          </w:p>
        </w:tc>
        <w:tc>
          <w:tcPr>
            <w:tcW w:w="1347" w:type="pct"/>
            <w:tcBorders>
              <w:right w:val="single" w:color="auto" w:sz="4" w:space="0"/>
            </w:tcBorders>
            <w:vAlign w:val="center"/>
          </w:tcPr>
          <w:p w14:paraId="311E9FA5">
            <w:pPr>
              <w:pStyle w:val="21"/>
              <w:widowControl/>
              <w:adjustRightInd w:val="0"/>
              <w:snapToGrid w:val="0"/>
              <w:spacing w:before="120"/>
              <w:jc w:val="center"/>
              <w:rPr>
                <w:rFonts w:hAnsi="宋体" w:cs="Times New Roman"/>
                <w:bCs/>
              </w:rPr>
            </w:pPr>
          </w:p>
        </w:tc>
        <w:tc>
          <w:tcPr>
            <w:tcW w:w="466" w:type="pct"/>
            <w:tcBorders>
              <w:left w:val="single" w:color="auto" w:sz="4" w:space="0"/>
              <w:right w:val="double" w:color="auto" w:sz="4" w:space="0"/>
            </w:tcBorders>
            <w:vAlign w:val="center"/>
          </w:tcPr>
          <w:p w14:paraId="2E400E44">
            <w:pPr>
              <w:pStyle w:val="21"/>
              <w:widowControl/>
              <w:adjustRightInd w:val="0"/>
              <w:snapToGrid w:val="0"/>
              <w:spacing w:before="120"/>
              <w:jc w:val="center"/>
              <w:rPr>
                <w:rFonts w:hAnsi="宋体" w:cs="Times New Roman"/>
                <w:bCs/>
              </w:rPr>
            </w:pPr>
          </w:p>
        </w:tc>
      </w:tr>
      <w:tr w14:paraId="0793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898" w:type="pct"/>
            <w:vMerge w:val="continue"/>
            <w:tcBorders>
              <w:left w:val="double" w:color="auto" w:sz="4" w:space="0"/>
            </w:tcBorders>
            <w:vAlign w:val="center"/>
          </w:tcPr>
          <w:p w14:paraId="66712939">
            <w:pPr>
              <w:pStyle w:val="21"/>
              <w:widowControl/>
              <w:adjustRightInd w:val="0"/>
              <w:snapToGrid w:val="0"/>
              <w:spacing w:before="120"/>
              <w:jc w:val="center"/>
              <w:rPr>
                <w:rFonts w:hAnsi="宋体" w:cs="Times New Roman"/>
                <w:bCs/>
              </w:rPr>
            </w:pPr>
          </w:p>
        </w:tc>
        <w:tc>
          <w:tcPr>
            <w:tcW w:w="419" w:type="pct"/>
          </w:tcPr>
          <w:p w14:paraId="3E31A960">
            <w:pPr>
              <w:pStyle w:val="21"/>
              <w:widowControl/>
              <w:adjustRightInd w:val="0"/>
              <w:snapToGrid w:val="0"/>
              <w:spacing w:before="120"/>
              <w:rPr>
                <w:rFonts w:hAnsi="宋体" w:cs="Times New Roman"/>
                <w:bCs/>
              </w:rPr>
            </w:pPr>
          </w:p>
        </w:tc>
        <w:tc>
          <w:tcPr>
            <w:tcW w:w="420" w:type="pct"/>
          </w:tcPr>
          <w:p w14:paraId="4C02F100">
            <w:pPr>
              <w:pStyle w:val="21"/>
              <w:widowControl/>
              <w:adjustRightInd w:val="0"/>
              <w:snapToGrid w:val="0"/>
              <w:spacing w:before="120"/>
              <w:rPr>
                <w:rFonts w:hAnsi="宋体" w:cs="Times New Roman"/>
                <w:bCs/>
              </w:rPr>
            </w:pPr>
          </w:p>
        </w:tc>
        <w:tc>
          <w:tcPr>
            <w:tcW w:w="420" w:type="pct"/>
          </w:tcPr>
          <w:p w14:paraId="52810086">
            <w:pPr>
              <w:pStyle w:val="21"/>
              <w:widowControl/>
              <w:adjustRightInd w:val="0"/>
              <w:snapToGrid w:val="0"/>
              <w:spacing w:before="120"/>
              <w:rPr>
                <w:rFonts w:hAnsi="宋体" w:cs="Times New Roman"/>
                <w:bCs/>
              </w:rPr>
            </w:pPr>
          </w:p>
        </w:tc>
        <w:tc>
          <w:tcPr>
            <w:tcW w:w="420" w:type="pct"/>
          </w:tcPr>
          <w:p w14:paraId="01B4A7E5">
            <w:pPr>
              <w:pStyle w:val="21"/>
              <w:widowControl/>
              <w:adjustRightInd w:val="0"/>
              <w:snapToGrid w:val="0"/>
              <w:spacing w:before="120"/>
              <w:rPr>
                <w:rFonts w:hAnsi="宋体" w:cs="Times New Roman"/>
                <w:bCs/>
              </w:rPr>
            </w:pPr>
          </w:p>
        </w:tc>
        <w:tc>
          <w:tcPr>
            <w:tcW w:w="610" w:type="pct"/>
          </w:tcPr>
          <w:p w14:paraId="3E77D98B">
            <w:pPr>
              <w:pStyle w:val="21"/>
              <w:widowControl/>
              <w:adjustRightInd w:val="0"/>
              <w:snapToGrid w:val="0"/>
              <w:spacing w:before="120"/>
              <w:rPr>
                <w:rFonts w:hAnsi="宋体" w:cs="Times New Roman"/>
                <w:bCs/>
              </w:rPr>
            </w:pPr>
          </w:p>
        </w:tc>
        <w:tc>
          <w:tcPr>
            <w:tcW w:w="1347" w:type="pct"/>
            <w:tcBorders>
              <w:right w:val="single" w:color="auto" w:sz="4" w:space="0"/>
            </w:tcBorders>
            <w:vAlign w:val="center"/>
          </w:tcPr>
          <w:p w14:paraId="4C283327">
            <w:pPr>
              <w:pStyle w:val="21"/>
              <w:widowControl/>
              <w:adjustRightInd w:val="0"/>
              <w:snapToGrid w:val="0"/>
              <w:spacing w:before="120"/>
              <w:jc w:val="center"/>
              <w:rPr>
                <w:rFonts w:hAnsi="宋体" w:cs="Times New Roman"/>
                <w:bCs/>
              </w:rPr>
            </w:pPr>
          </w:p>
        </w:tc>
        <w:tc>
          <w:tcPr>
            <w:tcW w:w="466" w:type="pct"/>
            <w:tcBorders>
              <w:left w:val="single" w:color="auto" w:sz="4" w:space="0"/>
              <w:right w:val="double" w:color="auto" w:sz="4" w:space="0"/>
            </w:tcBorders>
            <w:vAlign w:val="center"/>
          </w:tcPr>
          <w:p w14:paraId="747C070F">
            <w:pPr>
              <w:pStyle w:val="21"/>
              <w:widowControl/>
              <w:adjustRightInd w:val="0"/>
              <w:snapToGrid w:val="0"/>
              <w:spacing w:before="120"/>
              <w:jc w:val="center"/>
              <w:rPr>
                <w:rFonts w:hAnsi="宋体" w:cs="Times New Roman"/>
                <w:bCs/>
              </w:rPr>
            </w:pPr>
          </w:p>
        </w:tc>
      </w:tr>
      <w:tr w14:paraId="1B654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898" w:type="pct"/>
            <w:vMerge w:val="continue"/>
            <w:tcBorders>
              <w:left w:val="double" w:color="auto" w:sz="4" w:space="0"/>
            </w:tcBorders>
            <w:vAlign w:val="center"/>
          </w:tcPr>
          <w:p w14:paraId="1C6F8561">
            <w:pPr>
              <w:pStyle w:val="21"/>
              <w:widowControl/>
              <w:adjustRightInd w:val="0"/>
              <w:snapToGrid w:val="0"/>
              <w:spacing w:before="120"/>
              <w:jc w:val="center"/>
              <w:rPr>
                <w:rFonts w:hAnsi="宋体" w:cs="Times New Roman"/>
                <w:bCs/>
              </w:rPr>
            </w:pPr>
          </w:p>
        </w:tc>
        <w:tc>
          <w:tcPr>
            <w:tcW w:w="419" w:type="pct"/>
            <w:vAlign w:val="center"/>
          </w:tcPr>
          <w:p w14:paraId="1D8B6CD9">
            <w:pPr>
              <w:widowControl/>
              <w:spacing w:before="120" w:line="40" w:lineRule="atLeast"/>
              <w:jc w:val="center"/>
              <w:rPr>
                <w:rFonts w:ascii="宋体" w:hAnsi="宋体"/>
                <w:bCs/>
                <w:szCs w:val="21"/>
              </w:rPr>
            </w:pPr>
          </w:p>
        </w:tc>
        <w:tc>
          <w:tcPr>
            <w:tcW w:w="420" w:type="pct"/>
          </w:tcPr>
          <w:p w14:paraId="7757DB89">
            <w:pPr>
              <w:pStyle w:val="21"/>
              <w:widowControl/>
              <w:adjustRightInd w:val="0"/>
              <w:snapToGrid w:val="0"/>
              <w:spacing w:before="120"/>
              <w:rPr>
                <w:rFonts w:hAnsi="宋体" w:cs="Times New Roman"/>
                <w:bCs/>
              </w:rPr>
            </w:pPr>
          </w:p>
        </w:tc>
        <w:tc>
          <w:tcPr>
            <w:tcW w:w="420" w:type="pct"/>
          </w:tcPr>
          <w:p w14:paraId="5F5BAFB9">
            <w:pPr>
              <w:pStyle w:val="21"/>
              <w:widowControl/>
              <w:adjustRightInd w:val="0"/>
              <w:snapToGrid w:val="0"/>
              <w:spacing w:before="120"/>
              <w:rPr>
                <w:rFonts w:hAnsi="宋体" w:cs="Times New Roman"/>
                <w:bCs/>
              </w:rPr>
            </w:pPr>
          </w:p>
        </w:tc>
        <w:tc>
          <w:tcPr>
            <w:tcW w:w="420" w:type="pct"/>
          </w:tcPr>
          <w:p w14:paraId="4345446A">
            <w:pPr>
              <w:pStyle w:val="21"/>
              <w:widowControl/>
              <w:adjustRightInd w:val="0"/>
              <w:snapToGrid w:val="0"/>
              <w:spacing w:before="120"/>
              <w:rPr>
                <w:rFonts w:hAnsi="宋体" w:cs="Times New Roman"/>
                <w:bCs/>
              </w:rPr>
            </w:pPr>
          </w:p>
        </w:tc>
        <w:tc>
          <w:tcPr>
            <w:tcW w:w="610" w:type="pct"/>
          </w:tcPr>
          <w:p w14:paraId="63ED595A">
            <w:pPr>
              <w:pStyle w:val="21"/>
              <w:widowControl/>
              <w:adjustRightInd w:val="0"/>
              <w:snapToGrid w:val="0"/>
              <w:spacing w:before="120"/>
              <w:rPr>
                <w:rFonts w:hAnsi="宋体" w:cs="Times New Roman"/>
                <w:bCs/>
              </w:rPr>
            </w:pPr>
          </w:p>
        </w:tc>
        <w:tc>
          <w:tcPr>
            <w:tcW w:w="1347" w:type="pct"/>
            <w:tcBorders>
              <w:right w:val="single" w:color="auto" w:sz="4" w:space="0"/>
            </w:tcBorders>
            <w:vAlign w:val="center"/>
          </w:tcPr>
          <w:p w14:paraId="4A92A9BD">
            <w:pPr>
              <w:pStyle w:val="21"/>
              <w:adjustRightInd w:val="0"/>
              <w:snapToGrid w:val="0"/>
              <w:spacing w:before="120"/>
              <w:jc w:val="center"/>
              <w:rPr>
                <w:rFonts w:hAnsi="宋体" w:cs="Times New Roman"/>
                <w:bCs/>
              </w:rPr>
            </w:pPr>
          </w:p>
        </w:tc>
        <w:tc>
          <w:tcPr>
            <w:tcW w:w="466" w:type="pct"/>
            <w:tcBorders>
              <w:left w:val="single" w:color="auto" w:sz="4" w:space="0"/>
              <w:right w:val="double" w:color="auto" w:sz="4" w:space="0"/>
            </w:tcBorders>
            <w:vAlign w:val="center"/>
          </w:tcPr>
          <w:p w14:paraId="3BE7D80A">
            <w:pPr>
              <w:pStyle w:val="21"/>
              <w:adjustRightInd w:val="0"/>
              <w:snapToGrid w:val="0"/>
              <w:spacing w:before="120"/>
              <w:jc w:val="center"/>
              <w:rPr>
                <w:rFonts w:hAnsi="宋体" w:cs="Times New Roman"/>
                <w:bCs/>
              </w:rPr>
            </w:pPr>
          </w:p>
        </w:tc>
      </w:tr>
      <w:tr w14:paraId="38E5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trPr>
        <w:tc>
          <w:tcPr>
            <w:tcW w:w="898" w:type="pct"/>
            <w:vMerge w:val="continue"/>
            <w:tcBorders>
              <w:left w:val="double" w:color="auto" w:sz="4" w:space="0"/>
            </w:tcBorders>
            <w:vAlign w:val="center"/>
          </w:tcPr>
          <w:p w14:paraId="6E52284A">
            <w:pPr>
              <w:pStyle w:val="21"/>
              <w:widowControl/>
              <w:adjustRightInd w:val="0"/>
              <w:snapToGrid w:val="0"/>
              <w:spacing w:before="120"/>
              <w:jc w:val="center"/>
              <w:rPr>
                <w:rFonts w:hAnsi="宋体" w:cs="Times New Roman"/>
                <w:bCs/>
              </w:rPr>
            </w:pPr>
          </w:p>
        </w:tc>
        <w:tc>
          <w:tcPr>
            <w:tcW w:w="419" w:type="pct"/>
            <w:vAlign w:val="center"/>
          </w:tcPr>
          <w:p w14:paraId="1ABA154B">
            <w:pPr>
              <w:widowControl/>
              <w:spacing w:before="120" w:line="40" w:lineRule="atLeast"/>
              <w:jc w:val="center"/>
              <w:rPr>
                <w:rFonts w:ascii="宋体" w:hAnsi="宋体"/>
                <w:bCs/>
                <w:szCs w:val="21"/>
              </w:rPr>
            </w:pPr>
          </w:p>
        </w:tc>
        <w:tc>
          <w:tcPr>
            <w:tcW w:w="420" w:type="pct"/>
          </w:tcPr>
          <w:p w14:paraId="1CC488F7">
            <w:pPr>
              <w:pStyle w:val="21"/>
              <w:widowControl/>
              <w:adjustRightInd w:val="0"/>
              <w:snapToGrid w:val="0"/>
              <w:spacing w:before="120"/>
              <w:rPr>
                <w:rFonts w:hAnsi="宋体" w:cs="Times New Roman"/>
                <w:bCs/>
              </w:rPr>
            </w:pPr>
          </w:p>
        </w:tc>
        <w:tc>
          <w:tcPr>
            <w:tcW w:w="420" w:type="pct"/>
          </w:tcPr>
          <w:p w14:paraId="12E771E3">
            <w:pPr>
              <w:pStyle w:val="21"/>
              <w:widowControl/>
              <w:adjustRightInd w:val="0"/>
              <w:snapToGrid w:val="0"/>
              <w:spacing w:before="120"/>
              <w:rPr>
                <w:rFonts w:hAnsi="宋体" w:cs="Times New Roman"/>
                <w:bCs/>
              </w:rPr>
            </w:pPr>
          </w:p>
        </w:tc>
        <w:tc>
          <w:tcPr>
            <w:tcW w:w="420" w:type="pct"/>
          </w:tcPr>
          <w:p w14:paraId="2228AD9F">
            <w:pPr>
              <w:pStyle w:val="21"/>
              <w:widowControl/>
              <w:adjustRightInd w:val="0"/>
              <w:snapToGrid w:val="0"/>
              <w:spacing w:before="120"/>
              <w:rPr>
                <w:rFonts w:hAnsi="宋体" w:cs="Times New Roman"/>
                <w:bCs/>
              </w:rPr>
            </w:pPr>
          </w:p>
        </w:tc>
        <w:tc>
          <w:tcPr>
            <w:tcW w:w="610" w:type="pct"/>
          </w:tcPr>
          <w:p w14:paraId="6F015453">
            <w:pPr>
              <w:pStyle w:val="21"/>
              <w:widowControl/>
              <w:adjustRightInd w:val="0"/>
              <w:snapToGrid w:val="0"/>
              <w:spacing w:before="120"/>
              <w:rPr>
                <w:rFonts w:hAnsi="宋体" w:cs="Times New Roman"/>
                <w:bCs/>
              </w:rPr>
            </w:pPr>
          </w:p>
        </w:tc>
        <w:tc>
          <w:tcPr>
            <w:tcW w:w="1347" w:type="pct"/>
            <w:tcBorders>
              <w:right w:val="single" w:color="auto" w:sz="4" w:space="0"/>
            </w:tcBorders>
            <w:vAlign w:val="center"/>
          </w:tcPr>
          <w:p w14:paraId="06AF84F8">
            <w:pPr>
              <w:pStyle w:val="21"/>
              <w:adjustRightInd w:val="0"/>
              <w:snapToGrid w:val="0"/>
              <w:spacing w:before="120"/>
              <w:jc w:val="center"/>
              <w:rPr>
                <w:rFonts w:hAnsi="宋体" w:cs="Times New Roman"/>
                <w:bCs/>
              </w:rPr>
            </w:pPr>
          </w:p>
        </w:tc>
        <w:tc>
          <w:tcPr>
            <w:tcW w:w="466" w:type="pct"/>
            <w:tcBorders>
              <w:left w:val="single" w:color="auto" w:sz="4" w:space="0"/>
              <w:right w:val="double" w:color="auto" w:sz="4" w:space="0"/>
            </w:tcBorders>
            <w:vAlign w:val="center"/>
          </w:tcPr>
          <w:p w14:paraId="0196C5BF">
            <w:pPr>
              <w:pStyle w:val="21"/>
              <w:adjustRightInd w:val="0"/>
              <w:snapToGrid w:val="0"/>
              <w:spacing w:before="120"/>
              <w:jc w:val="center"/>
              <w:rPr>
                <w:rFonts w:hAnsi="宋体" w:cs="Times New Roman"/>
                <w:bCs/>
              </w:rPr>
            </w:pPr>
          </w:p>
        </w:tc>
      </w:tr>
      <w:tr w14:paraId="087B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98" w:type="pct"/>
            <w:vMerge w:val="restart"/>
            <w:tcBorders>
              <w:left w:val="double" w:color="auto" w:sz="4" w:space="0"/>
            </w:tcBorders>
            <w:vAlign w:val="center"/>
          </w:tcPr>
          <w:p w14:paraId="2A10A8A9">
            <w:pPr>
              <w:pStyle w:val="21"/>
              <w:widowControl/>
              <w:adjustRightInd w:val="0"/>
              <w:snapToGrid w:val="0"/>
              <w:spacing w:before="120"/>
              <w:jc w:val="center"/>
              <w:rPr>
                <w:rFonts w:hAnsi="宋体" w:cs="Times New Roman"/>
                <w:bCs/>
              </w:rPr>
            </w:pPr>
            <w:r>
              <w:rPr>
                <w:rFonts w:hint="eastAsia" w:hAnsi="宋体" w:cs="Times New Roman"/>
                <w:bCs/>
              </w:rPr>
              <w:t>其他人员</w:t>
            </w:r>
          </w:p>
        </w:tc>
        <w:tc>
          <w:tcPr>
            <w:tcW w:w="419" w:type="pct"/>
          </w:tcPr>
          <w:p w14:paraId="4F97DD1E">
            <w:pPr>
              <w:pStyle w:val="21"/>
              <w:widowControl/>
              <w:adjustRightInd w:val="0"/>
              <w:snapToGrid w:val="0"/>
              <w:spacing w:before="120"/>
              <w:rPr>
                <w:rFonts w:hAnsi="宋体" w:cs="Times New Roman"/>
                <w:bCs/>
              </w:rPr>
            </w:pPr>
          </w:p>
        </w:tc>
        <w:tc>
          <w:tcPr>
            <w:tcW w:w="420" w:type="pct"/>
          </w:tcPr>
          <w:p w14:paraId="6D764F31">
            <w:pPr>
              <w:pStyle w:val="21"/>
              <w:widowControl/>
              <w:adjustRightInd w:val="0"/>
              <w:snapToGrid w:val="0"/>
              <w:spacing w:before="120"/>
              <w:rPr>
                <w:rFonts w:hAnsi="宋体" w:cs="Times New Roman"/>
                <w:bCs/>
              </w:rPr>
            </w:pPr>
          </w:p>
        </w:tc>
        <w:tc>
          <w:tcPr>
            <w:tcW w:w="420" w:type="pct"/>
          </w:tcPr>
          <w:p w14:paraId="414160DD">
            <w:pPr>
              <w:pStyle w:val="21"/>
              <w:widowControl/>
              <w:adjustRightInd w:val="0"/>
              <w:snapToGrid w:val="0"/>
              <w:spacing w:before="120"/>
              <w:rPr>
                <w:rFonts w:hAnsi="宋体" w:cs="Times New Roman"/>
                <w:bCs/>
              </w:rPr>
            </w:pPr>
          </w:p>
        </w:tc>
        <w:tc>
          <w:tcPr>
            <w:tcW w:w="420" w:type="pct"/>
          </w:tcPr>
          <w:p w14:paraId="06BBE6A2">
            <w:pPr>
              <w:pStyle w:val="21"/>
              <w:widowControl/>
              <w:adjustRightInd w:val="0"/>
              <w:snapToGrid w:val="0"/>
              <w:spacing w:before="120"/>
              <w:rPr>
                <w:rFonts w:hAnsi="宋体" w:cs="Times New Roman"/>
                <w:bCs/>
              </w:rPr>
            </w:pPr>
          </w:p>
        </w:tc>
        <w:tc>
          <w:tcPr>
            <w:tcW w:w="610" w:type="pct"/>
          </w:tcPr>
          <w:p w14:paraId="09BFB765">
            <w:pPr>
              <w:pStyle w:val="21"/>
              <w:widowControl/>
              <w:adjustRightInd w:val="0"/>
              <w:snapToGrid w:val="0"/>
              <w:spacing w:before="120"/>
              <w:rPr>
                <w:rFonts w:hAnsi="宋体" w:cs="Times New Roman"/>
                <w:bCs/>
              </w:rPr>
            </w:pPr>
          </w:p>
        </w:tc>
        <w:tc>
          <w:tcPr>
            <w:tcW w:w="1347" w:type="pct"/>
            <w:tcBorders>
              <w:right w:val="single" w:color="auto" w:sz="4" w:space="0"/>
            </w:tcBorders>
            <w:vAlign w:val="center"/>
          </w:tcPr>
          <w:p w14:paraId="7555A140">
            <w:pPr>
              <w:pStyle w:val="21"/>
              <w:widowControl/>
              <w:adjustRightInd w:val="0"/>
              <w:snapToGrid w:val="0"/>
              <w:spacing w:before="120"/>
              <w:jc w:val="center"/>
              <w:rPr>
                <w:rFonts w:hAnsi="宋体" w:cs="Times New Roman"/>
                <w:bCs/>
              </w:rPr>
            </w:pPr>
          </w:p>
        </w:tc>
        <w:tc>
          <w:tcPr>
            <w:tcW w:w="466" w:type="pct"/>
            <w:tcBorders>
              <w:left w:val="single" w:color="auto" w:sz="4" w:space="0"/>
              <w:right w:val="double" w:color="auto" w:sz="4" w:space="0"/>
            </w:tcBorders>
            <w:vAlign w:val="center"/>
          </w:tcPr>
          <w:p w14:paraId="084265BD">
            <w:pPr>
              <w:pStyle w:val="21"/>
              <w:widowControl/>
              <w:adjustRightInd w:val="0"/>
              <w:snapToGrid w:val="0"/>
              <w:spacing w:before="120"/>
              <w:jc w:val="center"/>
              <w:rPr>
                <w:rFonts w:hAnsi="宋体" w:cs="Times New Roman"/>
                <w:bCs/>
              </w:rPr>
            </w:pPr>
          </w:p>
        </w:tc>
      </w:tr>
      <w:tr w14:paraId="5C8A7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98" w:type="pct"/>
            <w:vMerge w:val="continue"/>
            <w:tcBorders>
              <w:left w:val="double" w:color="auto" w:sz="4" w:space="0"/>
            </w:tcBorders>
            <w:vAlign w:val="center"/>
          </w:tcPr>
          <w:p w14:paraId="1312CBA3">
            <w:pPr>
              <w:pStyle w:val="21"/>
              <w:widowControl/>
              <w:adjustRightInd w:val="0"/>
              <w:snapToGrid w:val="0"/>
              <w:spacing w:before="120"/>
              <w:jc w:val="center"/>
              <w:rPr>
                <w:rFonts w:hAnsi="宋体" w:cs="Times New Roman"/>
                <w:bCs/>
              </w:rPr>
            </w:pPr>
          </w:p>
        </w:tc>
        <w:tc>
          <w:tcPr>
            <w:tcW w:w="419" w:type="pct"/>
          </w:tcPr>
          <w:p w14:paraId="01EBA3F5">
            <w:pPr>
              <w:pStyle w:val="21"/>
              <w:widowControl/>
              <w:adjustRightInd w:val="0"/>
              <w:snapToGrid w:val="0"/>
              <w:spacing w:before="120"/>
              <w:rPr>
                <w:rFonts w:hAnsi="宋体" w:cs="Times New Roman"/>
                <w:bCs/>
              </w:rPr>
            </w:pPr>
          </w:p>
        </w:tc>
        <w:tc>
          <w:tcPr>
            <w:tcW w:w="420" w:type="pct"/>
          </w:tcPr>
          <w:p w14:paraId="3DA221F9">
            <w:pPr>
              <w:pStyle w:val="21"/>
              <w:widowControl/>
              <w:adjustRightInd w:val="0"/>
              <w:snapToGrid w:val="0"/>
              <w:spacing w:before="120"/>
              <w:rPr>
                <w:rFonts w:hAnsi="宋体" w:cs="Times New Roman"/>
                <w:bCs/>
              </w:rPr>
            </w:pPr>
          </w:p>
        </w:tc>
        <w:tc>
          <w:tcPr>
            <w:tcW w:w="420" w:type="pct"/>
          </w:tcPr>
          <w:p w14:paraId="73530527">
            <w:pPr>
              <w:pStyle w:val="21"/>
              <w:widowControl/>
              <w:adjustRightInd w:val="0"/>
              <w:snapToGrid w:val="0"/>
              <w:spacing w:before="120"/>
              <w:rPr>
                <w:rFonts w:hAnsi="宋体" w:cs="Times New Roman"/>
                <w:bCs/>
              </w:rPr>
            </w:pPr>
          </w:p>
        </w:tc>
        <w:tc>
          <w:tcPr>
            <w:tcW w:w="420" w:type="pct"/>
          </w:tcPr>
          <w:p w14:paraId="6281B0A7">
            <w:pPr>
              <w:pStyle w:val="21"/>
              <w:widowControl/>
              <w:adjustRightInd w:val="0"/>
              <w:snapToGrid w:val="0"/>
              <w:spacing w:before="120"/>
              <w:rPr>
                <w:rFonts w:hAnsi="宋体" w:cs="Times New Roman"/>
                <w:bCs/>
              </w:rPr>
            </w:pPr>
          </w:p>
        </w:tc>
        <w:tc>
          <w:tcPr>
            <w:tcW w:w="610" w:type="pct"/>
          </w:tcPr>
          <w:p w14:paraId="0302B41A">
            <w:pPr>
              <w:pStyle w:val="21"/>
              <w:widowControl/>
              <w:adjustRightInd w:val="0"/>
              <w:snapToGrid w:val="0"/>
              <w:spacing w:before="120"/>
              <w:rPr>
                <w:rFonts w:hAnsi="宋体" w:cs="Times New Roman"/>
                <w:bCs/>
              </w:rPr>
            </w:pPr>
          </w:p>
        </w:tc>
        <w:tc>
          <w:tcPr>
            <w:tcW w:w="1347" w:type="pct"/>
            <w:tcBorders>
              <w:right w:val="single" w:color="auto" w:sz="4" w:space="0"/>
            </w:tcBorders>
          </w:tcPr>
          <w:p w14:paraId="5030BE3C">
            <w:pPr>
              <w:pStyle w:val="21"/>
              <w:widowControl/>
              <w:adjustRightInd w:val="0"/>
              <w:snapToGrid w:val="0"/>
              <w:spacing w:before="120"/>
              <w:rPr>
                <w:rFonts w:hAnsi="宋体" w:cs="Times New Roman"/>
                <w:bCs/>
              </w:rPr>
            </w:pPr>
          </w:p>
        </w:tc>
        <w:tc>
          <w:tcPr>
            <w:tcW w:w="466" w:type="pct"/>
            <w:tcBorders>
              <w:left w:val="single" w:color="auto" w:sz="4" w:space="0"/>
              <w:right w:val="double" w:color="auto" w:sz="4" w:space="0"/>
            </w:tcBorders>
          </w:tcPr>
          <w:p w14:paraId="30D23A44">
            <w:pPr>
              <w:pStyle w:val="21"/>
              <w:widowControl/>
              <w:adjustRightInd w:val="0"/>
              <w:snapToGrid w:val="0"/>
              <w:spacing w:before="120"/>
              <w:rPr>
                <w:rFonts w:hAnsi="宋体" w:cs="Times New Roman"/>
                <w:bCs/>
              </w:rPr>
            </w:pPr>
          </w:p>
        </w:tc>
      </w:tr>
      <w:tr w14:paraId="1486B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98" w:type="pct"/>
            <w:tcBorders>
              <w:left w:val="double" w:color="auto" w:sz="4" w:space="0"/>
              <w:bottom w:val="double" w:color="auto" w:sz="4" w:space="0"/>
            </w:tcBorders>
            <w:vAlign w:val="center"/>
          </w:tcPr>
          <w:p w14:paraId="2C36F57A">
            <w:pPr>
              <w:pStyle w:val="21"/>
              <w:widowControl/>
              <w:adjustRightInd w:val="0"/>
              <w:snapToGrid w:val="0"/>
              <w:spacing w:before="120"/>
              <w:jc w:val="center"/>
              <w:rPr>
                <w:rFonts w:hAnsi="宋体" w:cs="Times New Roman"/>
                <w:bCs/>
              </w:rPr>
            </w:pPr>
            <w:r>
              <w:rPr>
                <w:rFonts w:hint="eastAsia" w:hAnsi="宋体" w:cs="Times New Roman"/>
                <w:bCs/>
              </w:rPr>
              <w:t>拟投入本项目人员总数</w:t>
            </w:r>
          </w:p>
        </w:tc>
        <w:tc>
          <w:tcPr>
            <w:tcW w:w="4102" w:type="pct"/>
            <w:gridSpan w:val="7"/>
            <w:tcBorders>
              <w:bottom w:val="double" w:color="auto" w:sz="4" w:space="0"/>
              <w:right w:val="double" w:color="auto" w:sz="4" w:space="0"/>
            </w:tcBorders>
          </w:tcPr>
          <w:p w14:paraId="330D4198">
            <w:pPr>
              <w:pStyle w:val="21"/>
              <w:widowControl/>
              <w:adjustRightInd w:val="0"/>
              <w:snapToGrid w:val="0"/>
              <w:spacing w:before="120"/>
              <w:rPr>
                <w:rFonts w:hAnsi="宋体" w:cs="Times New Roman"/>
                <w:bCs/>
              </w:rPr>
            </w:pPr>
            <w:r>
              <w:rPr>
                <w:rFonts w:hAnsi="宋体" w:cs="Times New Roman"/>
                <w:bCs/>
              </w:rPr>
              <w:t>______________人（拟投入项目人员总数＝</w:t>
            </w:r>
            <w:r>
              <w:rPr>
                <w:rFonts w:hint="eastAsia" w:hAnsi="宋体" w:cs="Times New Roman"/>
                <w:bCs/>
              </w:rPr>
              <w:t>技术</w:t>
            </w:r>
            <w:r>
              <w:rPr>
                <w:rFonts w:hAnsi="宋体" w:cs="Times New Roman"/>
                <w:bCs/>
              </w:rPr>
              <w:t>负责人+主要技术人员数+其他人员数）</w:t>
            </w:r>
          </w:p>
        </w:tc>
      </w:tr>
    </w:tbl>
    <w:p w14:paraId="131F7626">
      <w:pPr>
        <w:widowControl/>
        <w:adjustRightInd w:val="0"/>
        <w:snapToGrid w:val="0"/>
        <w:spacing w:before="120" w:line="400" w:lineRule="atLeast"/>
        <w:ind w:left="510" w:firstLine="480"/>
        <w:rPr>
          <w:rFonts w:ascii="宋体" w:hAnsi="宋体"/>
          <w:bCs/>
          <w:szCs w:val="21"/>
        </w:rPr>
      </w:pPr>
      <w:r>
        <w:rPr>
          <w:rFonts w:hint="eastAsia" w:ascii="宋体" w:hAnsi="宋体"/>
          <w:bCs/>
          <w:szCs w:val="21"/>
        </w:rPr>
        <w:t>注：</w:t>
      </w:r>
      <w:r>
        <w:rPr>
          <w:rFonts w:ascii="宋体" w:hAnsi="宋体"/>
          <w:bCs/>
          <w:szCs w:val="21"/>
        </w:rPr>
        <w:t>1.</w:t>
      </w:r>
      <w:r>
        <w:rPr>
          <w:rFonts w:ascii="宋体" w:hAnsi="宋体"/>
          <w:bCs/>
          <w:szCs w:val="21"/>
        </w:rPr>
        <w:tab/>
      </w:r>
      <w:r>
        <w:rPr>
          <w:rFonts w:hint="eastAsia" w:ascii="宋体" w:hAnsi="宋体"/>
          <w:bCs/>
          <w:szCs w:val="21"/>
        </w:rPr>
        <w:t>本表若不能反映全部实际情况，除在备注栏说明外，亦可另行制表说明；</w:t>
      </w:r>
    </w:p>
    <w:p w14:paraId="1BB47AFC">
      <w:pPr>
        <w:widowControl/>
        <w:adjustRightInd w:val="0"/>
        <w:snapToGrid w:val="0"/>
        <w:spacing w:before="120" w:line="400" w:lineRule="atLeast"/>
        <w:ind w:left="480" w:firstLine="420" w:firstLineChars="200"/>
        <w:rPr>
          <w:rFonts w:ascii="宋体" w:hAnsi="宋体"/>
          <w:bCs/>
          <w:szCs w:val="21"/>
        </w:rPr>
      </w:pPr>
      <w:r>
        <w:rPr>
          <w:rFonts w:ascii="宋体" w:hAnsi="宋体"/>
          <w:bCs/>
          <w:szCs w:val="21"/>
        </w:rPr>
        <w:t>2、从事本工作时间为在本岗位的工作年限；</w:t>
      </w:r>
    </w:p>
    <w:p w14:paraId="2263233F">
      <w:pPr>
        <w:widowControl/>
        <w:adjustRightInd w:val="0"/>
        <w:snapToGrid w:val="0"/>
        <w:spacing w:before="120" w:line="400" w:lineRule="atLeast"/>
        <w:ind w:left="870" w:firstLine="105" w:firstLineChars="50"/>
        <w:rPr>
          <w:rFonts w:ascii="宋体" w:hAnsi="宋体"/>
          <w:bCs/>
          <w:szCs w:val="21"/>
        </w:rPr>
      </w:pPr>
      <w:r>
        <w:rPr>
          <w:rFonts w:ascii="宋体" w:hAnsi="宋体"/>
          <w:bCs/>
          <w:szCs w:val="21"/>
        </w:rPr>
        <w:t>3、附各类人员的相关证书(职称证书、执业资格证书等)复印件（如果有）。</w:t>
      </w:r>
    </w:p>
    <w:p w14:paraId="4DD76CF6">
      <w:pPr>
        <w:pStyle w:val="23"/>
        <w:adjustRightInd w:val="0"/>
        <w:snapToGrid w:val="0"/>
        <w:spacing w:before="120" w:line="360" w:lineRule="auto"/>
        <w:ind w:firstLine="480"/>
        <w:outlineLvl w:val="0"/>
        <w:rPr>
          <w:rFonts w:ascii="宋体" w:hAnsi="宋体"/>
          <w:bCs/>
          <w:sz w:val="21"/>
          <w:szCs w:val="21"/>
        </w:rPr>
      </w:pPr>
    </w:p>
    <w:p w14:paraId="26FE8606">
      <w:pPr>
        <w:adjustRightInd w:val="0"/>
        <w:snapToGrid w:val="0"/>
        <w:spacing w:line="460" w:lineRule="exact"/>
        <w:ind w:firstLine="482"/>
        <w:rPr>
          <w:rFonts w:ascii="宋体" w:hAnsi="宋体"/>
          <w:bCs/>
          <w:szCs w:val="21"/>
        </w:rPr>
      </w:pPr>
      <w:r>
        <w:rPr>
          <w:rFonts w:hint="eastAsia" w:ascii="宋体" w:hAnsi="宋体"/>
          <w:bCs/>
          <w:szCs w:val="21"/>
        </w:rPr>
        <w:t>供应商名称(盖单位章)：________________________</w:t>
      </w:r>
    </w:p>
    <w:p w14:paraId="728E9FA3">
      <w:pPr>
        <w:adjustRightInd w:val="0"/>
        <w:snapToGrid w:val="0"/>
        <w:spacing w:line="460" w:lineRule="exact"/>
        <w:ind w:firstLine="482"/>
        <w:rPr>
          <w:rFonts w:ascii="宋体" w:hAnsi="宋体"/>
          <w:bCs/>
          <w:szCs w:val="21"/>
        </w:rPr>
      </w:pPr>
      <w:r>
        <w:rPr>
          <w:rFonts w:hint="eastAsia" w:ascii="宋体" w:hAnsi="宋体"/>
          <w:bCs/>
          <w:szCs w:val="21"/>
        </w:rPr>
        <w:t>法定代表人或其委托代理人签字：___________________________</w:t>
      </w:r>
    </w:p>
    <w:p w14:paraId="35A51A74">
      <w:pPr>
        <w:adjustRightInd w:val="0"/>
        <w:snapToGrid w:val="0"/>
        <w:spacing w:line="460" w:lineRule="exact"/>
        <w:ind w:firstLine="482"/>
        <w:rPr>
          <w:rFonts w:asciiTheme="minorEastAsia" w:hAnsiTheme="minorEastAsia" w:eastAsiaTheme="minorEastAsia"/>
          <w:bCs/>
          <w:sz w:val="24"/>
        </w:rPr>
      </w:pPr>
      <w:r>
        <w:rPr>
          <w:rFonts w:hint="eastAsia" w:ascii="宋体" w:hAnsi="宋体"/>
          <w:bCs/>
          <w:szCs w:val="21"/>
        </w:rPr>
        <w:t>日期：______年___月___日</w:t>
      </w:r>
    </w:p>
    <w:p w14:paraId="4EDD1958">
      <w:pPr>
        <w:adjustRightInd w:val="0"/>
        <w:snapToGrid w:val="0"/>
        <w:spacing w:before="120" w:line="460" w:lineRule="exact"/>
        <w:ind w:firstLine="480"/>
        <w:rPr>
          <w:rFonts w:asciiTheme="minorEastAsia" w:hAnsiTheme="minorEastAsia" w:eastAsiaTheme="minorEastAsia"/>
          <w:bCs/>
          <w:sz w:val="24"/>
        </w:rPr>
      </w:pPr>
    </w:p>
    <w:p w14:paraId="1F3AE347">
      <w:pPr>
        <w:adjustRightInd w:val="0"/>
        <w:snapToGrid w:val="0"/>
        <w:spacing w:line="460" w:lineRule="exact"/>
        <w:ind w:firstLine="482"/>
      </w:pPr>
    </w:p>
    <w:p w14:paraId="00BEABFE">
      <w:pPr>
        <w:pStyle w:val="51"/>
        <w:spacing w:before="156"/>
      </w:pPr>
    </w:p>
    <w:p w14:paraId="24F1FCBC">
      <w:pPr>
        <w:pStyle w:val="3"/>
        <w:sectPr>
          <w:pgSz w:w="11906" w:h="16838"/>
          <w:pgMar w:top="1418" w:right="1418" w:bottom="1418" w:left="1418" w:header="851" w:footer="851" w:gutter="0"/>
          <w:pgNumType w:fmt="numberInDash"/>
          <w:cols w:space="720" w:num="1"/>
          <w:docGrid w:type="lines" w:linePitch="312" w:charSpace="0"/>
        </w:sectPr>
      </w:pPr>
    </w:p>
    <w:bookmarkEnd w:id="189"/>
    <w:p w14:paraId="35CF88BA">
      <w:pPr>
        <w:pStyle w:val="3"/>
      </w:pPr>
      <w:bookmarkStart w:id="192" w:name="_Toc24871"/>
      <w:bookmarkStart w:id="193" w:name="_Toc256000108"/>
      <w:r>
        <w:rPr>
          <w:rFonts w:hint="eastAsia"/>
        </w:rPr>
        <w:t>九、采购需求响应（一）</w:t>
      </w:r>
      <w:bookmarkEnd w:id="192"/>
      <w:bookmarkEnd w:id="193"/>
    </w:p>
    <w:p w14:paraId="32E7BF83">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编制说明：投标人应按招标文件第五章采购需求自行编写采购需求响应文件（其内容可包括，且不限于详细的技术指标和质量保证措施、组织实施方案等，格式自拟）。</w:t>
      </w:r>
    </w:p>
    <w:p w14:paraId="241E8455">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1、采购需求的响应</w:t>
      </w:r>
    </w:p>
    <w:tbl>
      <w:tblPr>
        <w:tblStyle w:val="41"/>
        <w:tblW w:w="5000" w:type="pct"/>
        <w:jc w:val="center"/>
        <w:tblLayout w:type="autofit"/>
        <w:tblCellMar>
          <w:top w:w="0" w:type="dxa"/>
          <w:left w:w="0" w:type="dxa"/>
          <w:bottom w:w="0" w:type="dxa"/>
          <w:right w:w="0" w:type="dxa"/>
        </w:tblCellMar>
      </w:tblPr>
      <w:tblGrid>
        <w:gridCol w:w="781"/>
        <w:gridCol w:w="1022"/>
        <w:gridCol w:w="1533"/>
        <w:gridCol w:w="2079"/>
        <w:gridCol w:w="2835"/>
        <w:gridCol w:w="876"/>
      </w:tblGrid>
      <w:tr w14:paraId="4D11D2AA">
        <w:tblPrEx>
          <w:tblCellMar>
            <w:top w:w="0" w:type="dxa"/>
            <w:left w:w="0" w:type="dxa"/>
            <w:bottom w:w="0" w:type="dxa"/>
            <w:right w:w="0" w:type="dxa"/>
          </w:tblCellMar>
        </w:tblPrEx>
        <w:trPr>
          <w:jc w:val="center"/>
        </w:trPr>
        <w:tc>
          <w:tcPr>
            <w:tcW w:w="428" w:type="pct"/>
            <w:tcBorders>
              <w:top w:val="single" w:color="000000" w:sz="8" w:space="0"/>
              <w:left w:val="single" w:color="000000" w:sz="8" w:space="0"/>
              <w:bottom w:val="single" w:color="000000" w:sz="8" w:space="0"/>
              <w:right w:val="single" w:color="000000" w:sz="8" w:space="0"/>
            </w:tcBorders>
            <w:tcMar>
              <w:top w:w="0" w:type="dxa"/>
              <w:left w:w="28" w:type="dxa"/>
              <w:bottom w:w="0" w:type="dxa"/>
              <w:right w:w="28" w:type="dxa"/>
            </w:tcMar>
            <w:vAlign w:val="center"/>
          </w:tcPr>
          <w:p w14:paraId="77195C76">
            <w:pPr>
              <w:pStyle w:val="169"/>
              <w:spacing w:line="440" w:lineRule="exact"/>
              <w:jc w:val="center"/>
            </w:pPr>
            <w:r>
              <w:rPr>
                <w:rFonts w:hint="eastAsia" w:ascii="宋体" w:hAnsi="宋体" w:cs="宋体"/>
                <w:szCs w:val="21"/>
              </w:rPr>
              <w:t>序号</w:t>
            </w:r>
          </w:p>
        </w:tc>
        <w:tc>
          <w:tcPr>
            <w:tcW w:w="56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0929DF15">
            <w:pPr>
              <w:pStyle w:val="169"/>
              <w:spacing w:line="440" w:lineRule="exact"/>
              <w:jc w:val="center"/>
            </w:pPr>
            <w:r>
              <w:rPr>
                <w:rFonts w:hint="eastAsia" w:ascii="宋体" w:hAnsi="宋体" w:cs="宋体"/>
                <w:szCs w:val="21"/>
              </w:rPr>
              <w:t>货物名称</w:t>
            </w:r>
          </w:p>
        </w:tc>
        <w:tc>
          <w:tcPr>
            <w:tcW w:w="84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1230909E">
            <w:pPr>
              <w:pStyle w:val="169"/>
              <w:spacing w:line="440" w:lineRule="exact"/>
              <w:jc w:val="center"/>
            </w:pPr>
            <w:r>
              <w:rPr>
                <w:rFonts w:hint="eastAsia" w:ascii="宋体" w:hAnsi="宋体" w:cs="宋体"/>
                <w:szCs w:val="21"/>
              </w:rPr>
              <w:t>招标文件条目号</w:t>
            </w:r>
          </w:p>
        </w:tc>
        <w:tc>
          <w:tcPr>
            <w:tcW w:w="1139"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2F7FD0AB">
            <w:pPr>
              <w:pStyle w:val="169"/>
              <w:spacing w:line="440" w:lineRule="exact"/>
              <w:jc w:val="center"/>
            </w:pPr>
            <w:r>
              <w:rPr>
                <w:rFonts w:hint="eastAsia" w:ascii="宋体" w:hAnsi="宋体" w:cs="宋体"/>
                <w:szCs w:val="21"/>
              </w:rPr>
              <w:t>招标文件的技术要求</w:t>
            </w:r>
          </w:p>
        </w:tc>
        <w:tc>
          <w:tcPr>
            <w:tcW w:w="1553"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0D84499B">
            <w:pPr>
              <w:pStyle w:val="169"/>
              <w:spacing w:line="440" w:lineRule="exact"/>
              <w:jc w:val="center"/>
            </w:pPr>
            <w:r>
              <w:rPr>
                <w:rFonts w:hint="eastAsia" w:ascii="宋体" w:hAnsi="宋体" w:cs="宋体"/>
                <w:szCs w:val="21"/>
              </w:rPr>
              <w:t>投标文件的技术响应</w:t>
            </w:r>
          </w:p>
        </w:tc>
        <w:tc>
          <w:tcPr>
            <w:tcW w:w="48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48050BB6">
            <w:pPr>
              <w:pStyle w:val="169"/>
              <w:spacing w:line="440" w:lineRule="exact"/>
              <w:jc w:val="center"/>
            </w:pPr>
            <w:r>
              <w:rPr>
                <w:rFonts w:hint="eastAsia" w:ascii="宋体" w:hAnsi="宋体" w:cs="宋体"/>
                <w:szCs w:val="21"/>
              </w:rPr>
              <w:t>说明</w:t>
            </w:r>
          </w:p>
        </w:tc>
      </w:tr>
      <w:tr w14:paraId="534305CF">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7E949DC8">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6C8BCDF">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C11710C">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ED5C780">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5CFF771">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A95AEED">
            <w:pPr>
              <w:pStyle w:val="169"/>
              <w:spacing w:line="440" w:lineRule="exact"/>
              <w:jc w:val="center"/>
            </w:pPr>
            <w:r>
              <w:rPr>
                <w:szCs w:val="21"/>
              </w:rPr>
              <w:t xml:space="preserve">  </w:t>
            </w:r>
          </w:p>
        </w:tc>
      </w:tr>
      <w:tr w14:paraId="1840F501">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7FF4815B">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851FCD2">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7EDE09A">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0DD3F75">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EAEA3E9">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DFEB21C">
            <w:pPr>
              <w:pStyle w:val="169"/>
              <w:spacing w:line="440" w:lineRule="exact"/>
              <w:jc w:val="center"/>
            </w:pPr>
            <w:r>
              <w:rPr>
                <w:szCs w:val="21"/>
              </w:rPr>
              <w:t xml:space="preserve">  </w:t>
            </w:r>
          </w:p>
        </w:tc>
      </w:tr>
      <w:tr w14:paraId="39057E9F">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35DE54E5">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DF7381F">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B6D2A3F">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1B50B6D">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A6B7DB9">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9DCCFEC">
            <w:pPr>
              <w:pStyle w:val="169"/>
              <w:spacing w:line="440" w:lineRule="exact"/>
              <w:jc w:val="center"/>
            </w:pPr>
            <w:r>
              <w:rPr>
                <w:szCs w:val="21"/>
              </w:rPr>
              <w:t xml:space="preserve">  </w:t>
            </w:r>
          </w:p>
        </w:tc>
      </w:tr>
      <w:tr w14:paraId="5AAAE94C">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6116A7A5">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EE03775">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0CB28C6">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5CF1BFB">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C0557D9">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68D3651">
            <w:pPr>
              <w:pStyle w:val="169"/>
              <w:spacing w:line="440" w:lineRule="exact"/>
              <w:jc w:val="center"/>
            </w:pPr>
            <w:r>
              <w:rPr>
                <w:szCs w:val="21"/>
              </w:rPr>
              <w:t xml:space="preserve">  </w:t>
            </w:r>
          </w:p>
        </w:tc>
      </w:tr>
      <w:tr w14:paraId="5CDB3FFE">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17CFAEF6">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358A542">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2AED160">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9E7B3C3">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5E1D4B2">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E0DFE8B">
            <w:pPr>
              <w:pStyle w:val="169"/>
              <w:spacing w:line="440" w:lineRule="exact"/>
              <w:jc w:val="center"/>
            </w:pPr>
            <w:r>
              <w:rPr>
                <w:szCs w:val="21"/>
              </w:rPr>
              <w:t xml:space="preserve">  </w:t>
            </w:r>
          </w:p>
        </w:tc>
      </w:tr>
    </w:tbl>
    <w:p w14:paraId="76FB525D">
      <w:pPr>
        <w:pStyle w:val="143"/>
        <w:adjustRightInd w:val="0"/>
        <w:snapToGrid w:val="0"/>
        <w:spacing w:before="156" w:beforeLines="50" w:line="440" w:lineRule="exact"/>
        <w:ind w:firstLine="420" w:firstLineChars="200"/>
        <w:rPr>
          <w:rFonts w:ascii="宋体" w:hAnsi="宋体"/>
          <w:strike/>
          <w:color w:val="FF0000"/>
          <w:szCs w:val="21"/>
        </w:rPr>
      </w:pPr>
    </w:p>
    <w:p w14:paraId="57D681FE">
      <w:pPr>
        <w:pStyle w:val="164"/>
        <w:outlineLvl w:val="1"/>
        <w:rPr>
          <w:rFonts w:eastAsiaTheme="minorEastAsia"/>
          <w:strike/>
          <w:color w:val="FF0000"/>
        </w:rPr>
      </w:pPr>
    </w:p>
    <w:p w14:paraId="6C416C38">
      <w:pPr>
        <w:pStyle w:val="164"/>
        <w:outlineLvl w:val="1"/>
        <w:rPr>
          <w:rFonts w:eastAsiaTheme="minorEastAsia"/>
          <w:strike/>
          <w:color w:val="FF0000"/>
        </w:rPr>
      </w:pPr>
    </w:p>
    <w:p w14:paraId="61B3DDD0">
      <w:pPr>
        <w:pStyle w:val="3"/>
      </w:pPr>
      <w:bookmarkStart w:id="194" w:name="_Toc256000110"/>
      <w:bookmarkStart w:id="195" w:name="_Toc11169"/>
      <w:r>
        <w:rPr>
          <w:rFonts w:hint="eastAsia"/>
        </w:rPr>
        <w:t>十、采购需求响应（二）</w:t>
      </w:r>
      <w:bookmarkEnd w:id="194"/>
      <w:bookmarkEnd w:id="195"/>
    </w:p>
    <w:p w14:paraId="791BDE6A">
      <w:pPr>
        <w:pStyle w:val="143"/>
        <w:adjustRightInd w:val="0"/>
        <w:snapToGrid w:val="0"/>
        <w:spacing w:before="156" w:beforeLines="50" w:line="440" w:lineRule="exact"/>
        <w:ind w:firstLine="420" w:firstLineChars="200"/>
        <w:rPr>
          <w:rFonts w:ascii="宋体" w:hAnsi="宋体"/>
          <w:szCs w:val="21"/>
        </w:rPr>
      </w:pPr>
      <w:r>
        <w:rPr>
          <w:rFonts w:ascii="宋体" w:hAnsi="宋体"/>
          <w:szCs w:val="21"/>
        </w:rPr>
        <w:t>提供</w:t>
      </w:r>
      <w:r>
        <w:rPr>
          <w:rFonts w:hint="eastAsia" w:ascii="宋体" w:hAnsi="宋体"/>
          <w:szCs w:val="21"/>
        </w:rPr>
        <w:t>招标文件</w:t>
      </w:r>
      <w:r>
        <w:rPr>
          <w:rFonts w:ascii="宋体" w:hAnsi="宋体"/>
          <w:szCs w:val="21"/>
        </w:rPr>
        <w:t>“技术规格、参数及要求”</w:t>
      </w:r>
      <w:r>
        <w:rPr>
          <w:rFonts w:hint="eastAsia" w:ascii="宋体" w:hAnsi="宋体"/>
          <w:szCs w:val="21"/>
        </w:rPr>
        <w:t>和“综合评分表”</w:t>
      </w:r>
      <w:r>
        <w:rPr>
          <w:rFonts w:ascii="宋体" w:hAnsi="宋体"/>
          <w:szCs w:val="21"/>
        </w:rPr>
        <w:t>规定的证明材料复印件</w:t>
      </w:r>
    </w:p>
    <w:p w14:paraId="3C4EF0B2">
      <w:pPr>
        <w:pStyle w:val="143"/>
        <w:adjustRightInd w:val="0"/>
        <w:snapToGrid w:val="0"/>
        <w:spacing w:before="156" w:beforeLines="50" w:line="440" w:lineRule="exact"/>
        <w:ind w:firstLine="420" w:firstLineChars="200"/>
        <w:rPr>
          <w:rFonts w:ascii="宋体" w:hAnsi="宋体"/>
          <w:strike/>
          <w:color w:val="FF0000"/>
          <w:szCs w:val="21"/>
        </w:rPr>
      </w:pPr>
    </w:p>
    <w:p w14:paraId="01B37054">
      <w:pPr>
        <w:pStyle w:val="143"/>
        <w:adjustRightInd w:val="0"/>
        <w:snapToGrid w:val="0"/>
        <w:spacing w:before="156" w:beforeLines="50" w:line="440" w:lineRule="exact"/>
        <w:ind w:firstLine="420" w:firstLineChars="200"/>
        <w:rPr>
          <w:rFonts w:ascii="宋体" w:hAnsi="宋体"/>
          <w:strike/>
          <w:color w:val="FF0000"/>
          <w:szCs w:val="21"/>
        </w:rPr>
      </w:pPr>
    </w:p>
    <w:p w14:paraId="14652ABF">
      <w:pPr>
        <w:pStyle w:val="143"/>
        <w:adjustRightInd w:val="0"/>
        <w:snapToGrid w:val="0"/>
        <w:spacing w:before="156" w:beforeLines="50" w:line="440" w:lineRule="exact"/>
        <w:ind w:firstLine="420" w:firstLineChars="200"/>
        <w:rPr>
          <w:rFonts w:ascii="宋体" w:hAnsi="宋体"/>
          <w:strike/>
          <w:color w:val="FF0000"/>
          <w:szCs w:val="21"/>
        </w:rPr>
      </w:pPr>
    </w:p>
    <w:p w14:paraId="512812C7">
      <w:pPr>
        <w:pStyle w:val="166"/>
        <w:outlineLvl w:val="1"/>
        <w:rPr>
          <w:rFonts w:eastAsiaTheme="minorEastAsia"/>
          <w:strike/>
          <w:color w:val="FF0000"/>
        </w:rPr>
      </w:pPr>
    </w:p>
    <w:p w14:paraId="228DD658">
      <w:pPr>
        <w:pStyle w:val="166"/>
        <w:outlineLvl w:val="1"/>
        <w:rPr>
          <w:rFonts w:eastAsiaTheme="minorEastAsia"/>
          <w:strike/>
          <w:color w:val="FF0000"/>
        </w:rPr>
      </w:pPr>
    </w:p>
    <w:p w14:paraId="18C8BC50">
      <w:pPr>
        <w:pStyle w:val="166"/>
        <w:outlineLvl w:val="1"/>
        <w:rPr>
          <w:rFonts w:eastAsiaTheme="minorEastAsia"/>
          <w:strike/>
          <w:color w:val="FF0000"/>
        </w:rPr>
      </w:pPr>
    </w:p>
    <w:p w14:paraId="6B33439C">
      <w:pPr>
        <w:pStyle w:val="3"/>
      </w:pPr>
      <w:bookmarkStart w:id="196" w:name="_Toc256000112"/>
      <w:bookmarkStart w:id="197" w:name="_Toc3667"/>
      <w:r>
        <w:rPr>
          <w:rFonts w:hint="eastAsia"/>
        </w:rPr>
        <w:t>十一、</w:t>
      </w:r>
      <w:r>
        <w:t>按招标文件的技术★条款的要求提供相关响应资料</w:t>
      </w:r>
      <w:bookmarkEnd w:id="196"/>
      <w:bookmarkEnd w:id="197"/>
    </w:p>
    <w:p w14:paraId="18925BB2">
      <w:pPr>
        <w:pStyle w:val="168"/>
        <w:outlineLvl w:val="1"/>
        <w:rPr>
          <w:strike/>
          <w:color w:val="FF0000"/>
        </w:rPr>
        <w:sectPr>
          <w:headerReference r:id="rId7" w:type="first"/>
          <w:headerReference r:id="rId6" w:type="even"/>
          <w:pgSz w:w="11906" w:h="16838"/>
          <w:pgMar w:top="1418" w:right="1418" w:bottom="1418" w:left="1418" w:header="851" w:footer="851" w:gutter="0"/>
          <w:pgNumType w:fmt="numberInDash"/>
          <w:cols w:space="720" w:num="1"/>
          <w:docGrid w:type="lines" w:linePitch="312" w:charSpace="0"/>
        </w:sectPr>
      </w:pPr>
    </w:p>
    <w:p w14:paraId="4E9F8C52">
      <w:pPr>
        <w:pStyle w:val="3"/>
      </w:pPr>
      <w:bookmarkStart w:id="198" w:name="_Toc19531"/>
      <w:bookmarkStart w:id="199" w:name="_Toc256000114"/>
      <w:r>
        <w:rPr>
          <w:rFonts w:hint="eastAsia"/>
        </w:rPr>
        <w:t>十二、采购需求</w:t>
      </w:r>
      <w:r>
        <w:t>偏离表</w:t>
      </w:r>
      <w:bookmarkEnd w:id="198"/>
      <w:bookmarkEnd w:id="199"/>
    </w:p>
    <w:p w14:paraId="26A9C607">
      <w:pPr>
        <w:pStyle w:val="143"/>
        <w:adjustRightInd w:val="0"/>
        <w:snapToGrid w:val="0"/>
        <w:spacing w:before="156" w:beforeLines="50" w:line="440" w:lineRule="exact"/>
        <w:rPr>
          <w:rFonts w:ascii="宋体" w:hAnsi="宋体"/>
          <w:szCs w:val="21"/>
        </w:rPr>
      </w:pPr>
      <w:r>
        <w:rPr>
          <w:rFonts w:hint="eastAsia" w:ascii="宋体" w:hAnsi="宋体"/>
          <w:szCs w:val="21"/>
        </w:rPr>
        <w:t>采购代理编号：_____________                 项目名称：_____________</w:t>
      </w:r>
    </w:p>
    <w:p w14:paraId="794E4E79">
      <w:pPr>
        <w:pStyle w:val="143"/>
        <w:adjustRightInd w:val="0"/>
        <w:snapToGrid w:val="0"/>
        <w:spacing w:line="440" w:lineRule="exact"/>
      </w:pPr>
      <w:r>
        <w:rPr>
          <w:rFonts w:hint="eastAsia" w:ascii="宋体" w:hAnsi="宋体"/>
          <w:szCs w:val="21"/>
        </w:rPr>
        <w:t>包号：_____________                         包名称：_____________</w:t>
      </w:r>
    </w:p>
    <w:tbl>
      <w:tblPr>
        <w:tblStyle w:val="41"/>
        <w:tblW w:w="5000" w:type="pct"/>
        <w:jc w:val="center"/>
        <w:tblLayout w:type="autofit"/>
        <w:tblCellMar>
          <w:top w:w="0" w:type="dxa"/>
          <w:left w:w="0" w:type="dxa"/>
          <w:bottom w:w="0" w:type="dxa"/>
          <w:right w:w="0" w:type="dxa"/>
        </w:tblCellMar>
      </w:tblPr>
      <w:tblGrid>
        <w:gridCol w:w="781"/>
        <w:gridCol w:w="1022"/>
        <w:gridCol w:w="1533"/>
        <w:gridCol w:w="2079"/>
        <w:gridCol w:w="1984"/>
        <w:gridCol w:w="851"/>
        <w:gridCol w:w="876"/>
      </w:tblGrid>
      <w:tr w14:paraId="06D70388">
        <w:tblPrEx>
          <w:tblCellMar>
            <w:top w:w="0" w:type="dxa"/>
            <w:left w:w="0" w:type="dxa"/>
            <w:bottom w:w="0" w:type="dxa"/>
            <w:right w:w="0" w:type="dxa"/>
          </w:tblCellMar>
        </w:tblPrEx>
        <w:trPr>
          <w:jc w:val="center"/>
        </w:trPr>
        <w:tc>
          <w:tcPr>
            <w:tcW w:w="428" w:type="pct"/>
            <w:tcBorders>
              <w:top w:val="single" w:color="000000" w:sz="8" w:space="0"/>
              <w:left w:val="single" w:color="000000" w:sz="8" w:space="0"/>
              <w:bottom w:val="single" w:color="000000" w:sz="8" w:space="0"/>
              <w:right w:val="single" w:color="000000" w:sz="8" w:space="0"/>
            </w:tcBorders>
            <w:tcMar>
              <w:top w:w="0" w:type="dxa"/>
              <w:left w:w="28" w:type="dxa"/>
              <w:bottom w:w="0" w:type="dxa"/>
              <w:right w:w="28" w:type="dxa"/>
            </w:tcMar>
            <w:vAlign w:val="center"/>
          </w:tcPr>
          <w:p w14:paraId="2648D009">
            <w:pPr>
              <w:pStyle w:val="169"/>
              <w:spacing w:line="440" w:lineRule="exact"/>
              <w:jc w:val="center"/>
            </w:pPr>
            <w:r>
              <w:rPr>
                <w:rFonts w:hint="eastAsia" w:ascii="宋体" w:hAnsi="宋体" w:cs="宋体"/>
                <w:szCs w:val="21"/>
              </w:rPr>
              <w:t>序号</w:t>
            </w:r>
          </w:p>
        </w:tc>
        <w:tc>
          <w:tcPr>
            <w:tcW w:w="56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1A459641">
            <w:pPr>
              <w:pStyle w:val="169"/>
              <w:spacing w:line="440" w:lineRule="exact"/>
              <w:jc w:val="center"/>
            </w:pPr>
            <w:r>
              <w:rPr>
                <w:rFonts w:hint="eastAsia" w:ascii="宋体" w:hAnsi="宋体" w:cs="宋体"/>
                <w:szCs w:val="21"/>
              </w:rPr>
              <w:t>货物名称</w:t>
            </w:r>
          </w:p>
        </w:tc>
        <w:tc>
          <w:tcPr>
            <w:tcW w:w="84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4EB403A4">
            <w:pPr>
              <w:pStyle w:val="169"/>
              <w:spacing w:line="440" w:lineRule="exact"/>
              <w:jc w:val="center"/>
            </w:pPr>
            <w:r>
              <w:rPr>
                <w:rFonts w:hint="eastAsia" w:ascii="宋体" w:hAnsi="宋体" w:cs="宋体"/>
                <w:szCs w:val="21"/>
              </w:rPr>
              <w:t>招标文件条目号</w:t>
            </w:r>
          </w:p>
        </w:tc>
        <w:tc>
          <w:tcPr>
            <w:tcW w:w="1139"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489030EC">
            <w:pPr>
              <w:pStyle w:val="169"/>
              <w:spacing w:line="440" w:lineRule="exact"/>
              <w:jc w:val="center"/>
            </w:pPr>
            <w:r>
              <w:rPr>
                <w:rFonts w:hint="eastAsia" w:ascii="宋体" w:hAnsi="宋体" w:cs="宋体"/>
                <w:szCs w:val="21"/>
              </w:rPr>
              <w:t>招标文件的技术要求</w:t>
            </w:r>
          </w:p>
        </w:tc>
        <w:tc>
          <w:tcPr>
            <w:tcW w:w="1087"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5EA0D460">
            <w:pPr>
              <w:pStyle w:val="169"/>
              <w:spacing w:line="440" w:lineRule="exact"/>
              <w:jc w:val="center"/>
            </w:pPr>
            <w:r>
              <w:rPr>
                <w:rFonts w:hint="eastAsia" w:ascii="宋体" w:hAnsi="宋体" w:cs="宋体"/>
                <w:szCs w:val="21"/>
              </w:rPr>
              <w:t>投标文件的技术响应</w:t>
            </w:r>
          </w:p>
        </w:tc>
        <w:tc>
          <w:tcPr>
            <w:tcW w:w="466"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0B65BCF7">
            <w:pPr>
              <w:pStyle w:val="169"/>
              <w:spacing w:line="440" w:lineRule="exact"/>
              <w:jc w:val="center"/>
            </w:pPr>
            <w:r>
              <w:rPr>
                <w:rFonts w:hint="eastAsia" w:ascii="宋体" w:hAnsi="宋体" w:cs="宋体"/>
                <w:szCs w:val="21"/>
              </w:rPr>
              <w:t>偏离</w:t>
            </w:r>
          </w:p>
        </w:tc>
        <w:tc>
          <w:tcPr>
            <w:tcW w:w="48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3CC1C2B1">
            <w:pPr>
              <w:pStyle w:val="169"/>
              <w:spacing w:line="440" w:lineRule="exact"/>
              <w:jc w:val="center"/>
            </w:pPr>
            <w:r>
              <w:rPr>
                <w:rFonts w:hint="eastAsia" w:ascii="宋体" w:hAnsi="宋体" w:cs="宋体"/>
                <w:szCs w:val="21"/>
              </w:rPr>
              <w:t>说明</w:t>
            </w:r>
          </w:p>
        </w:tc>
      </w:tr>
      <w:tr w14:paraId="7B04513D">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61E38C84">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6A69A80">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161C93C">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4CABF4F">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5D0E965">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A8A219F">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26050D3">
            <w:pPr>
              <w:pStyle w:val="169"/>
              <w:spacing w:line="440" w:lineRule="exact"/>
              <w:jc w:val="center"/>
            </w:pPr>
            <w:r>
              <w:rPr>
                <w:szCs w:val="21"/>
              </w:rPr>
              <w:t xml:space="preserve">  </w:t>
            </w:r>
          </w:p>
        </w:tc>
      </w:tr>
      <w:tr w14:paraId="0C9B81E5">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5DF2FD04">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B5D3CF7">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3C7725B">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081EF9F">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420632C">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D2E1DCE">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C58CA97">
            <w:pPr>
              <w:pStyle w:val="169"/>
              <w:spacing w:line="440" w:lineRule="exact"/>
              <w:jc w:val="center"/>
            </w:pPr>
            <w:r>
              <w:rPr>
                <w:szCs w:val="21"/>
              </w:rPr>
              <w:t xml:space="preserve">  </w:t>
            </w:r>
          </w:p>
        </w:tc>
      </w:tr>
      <w:tr w14:paraId="702288D4">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5E79D7BD">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B8D5A4A">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DC94CEB">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D0FDD89">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B7C0611">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11A4FE8">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9097609">
            <w:pPr>
              <w:pStyle w:val="169"/>
              <w:spacing w:line="440" w:lineRule="exact"/>
              <w:jc w:val="center"/>
            </w:pPr>
            <w:r>
              <w:rPr>
                <w:szCs w:val="21"/>
              </w:rPr>
              <w:t xml:space="preserve">  </w:t>
            </w:r>
          </w:p>
        </w:tc>
      </w:tr>
      <w:tr w14:paraId="248ACFC6">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7965E184">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E71A074">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12B01C6">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F876D9C">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DB2B67B">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555001A">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67ADD6E">
            <w:pPr>
              <w:pStyle w:val="169"/>
              <w:spacing w:line="440" w:lineRule="exact"/>
              <w:jc w:val="center"/>
            </w:pPr>
            <w:r>
              <w:rPr>
                <w:szCs w:val="21"/>
              </w:rPr>
              <w:t xml:space="preserve">  </w:t>
            </w:r>
          </w:p>
        </w:tc>
      </w:tr>
      <w:tr w14:paraId="47EF4FD2">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77270FF8">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B003439">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85793D6">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FEDB9D5">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5DA8269">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34CFCC6">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6059988">
            <w:pPr>
              <w:pStyle w:val="169"/>
              <w:spacing w:line="440" w:lineRule="exact"/>
              <w:jc w:val="center"/>
            </w:pPr>
            <w:r>
              <w:rPr>
                <w:szCs w:val="21"/>
              </w:rPr>
              <w:t xml:space="preserve">  </w:t>
            </w:r>
          </w:p>
        </w:tc>
      </w:tr>
      <w:tr w14:paraId="2357BA40">
        <w:tblPrEx>
          <w:tblCellMar>
            <w:top w:w="0" w:type="dxa"/>
            <w:left w:w="0" w:type="dxa"/>
            <w:bottom w:w="0" w:type="dxa"/>
            <w:right w:w="0" w:type="dxa"/>
          </w:tblCellMar>
        </w:tblPrEx>
        <w:trPr>
          <w:jc w:val="center"/>
        </w:trPr>
        <w:tc>
          <w:tcPr>
            <w:tcW w:w="5000" w:type="pct"/>
            <w:gridSpan w:val="7"/>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3D5CCC42">
            <w:pPr>
              <w:pStyle w:val="169"/>
              <w:spacing w:line="440" w:lineRule="exact"/>
              <w:jc w:val="left"/>
            </w:pPr>
            <w:r>
              <w:rPr>
                <w:rFonts w:hint="eastAsia"/>
                <w:b/>
                <w:szCs w:val="21"/>
              </w:rPr>
              <w:t>投标人保证：除本采购需求偏离表列出的偏离外，我单位对招标文件的其他采购需求条款完全响应，无偏离。</w:t>
            </w:r>
            <w:r>
              <w:rPr>
                <w:szCs w:val="21"/>
              </w:rPr>
              <w:t xml:space="preserve">   </w:t>
            </w:r>
          </w:p>
        </w:tc>
      </w:tr>
    </w:tbl>
    <w:p w14:paraId="7ADD1055">
      <w:pPr>
        <w:pStyle w:val="143"/>
        <w:adjustRightInd w:val="0"/>
        <w:snapToGrid w:val="0"/>
        <w:spacing w:before="156" w:beforeLines="50" w:line="440" w:lineRule="exact"/>
        <w:rPr>
          <w:rFonts w:ascii="宋体" w:hAnsi="宋体"/>
          <w:szCs w:val="21"/>
        </w:rPr>
      </w:pPr>
      <w:r>
        <w:rPr>
          <w:rFonts w:hint="eastAsia" w:ascii="宋体" w:hAnsi="宋体"/>
          <w:szCs w:val="21"/>
        </w:rPr>
        <w:t>备注：1、偏离为不满足招标文件要求；</w:t>
      </w:r>
    </w:p>
    <w:p w14:paraId="31795587">
      <w:pPr>
        <w:pStyle w:val="143"/>
        <w:adjustRightInd w:val="0"/>
        <w:snapToGrid w:val="0"/>
        <w:spacing w:line="440" w:lineRule="exact"/>
        <w:ind w:firstLine="567" w:firstLineChars="270"/>
        <w:rPr>
          <w:rFonts w:ascii="宋体" w:hAnsi="宋体"/>
          <w:szCs w:val="21"/>
        </w:rPr>
      </w:pPr>
      <w:r>
        <w:rPr>
          <w:rFonts w:hint="eastAsia" w:ascii="宋体" w:hAnsi="宋体"/>
          <w:szCs w:val="21"/>
        </w:rPr>
        <w:t>2、投标人如果对招标文件第五章“技术要求”的响应有偏离，应将偏离条款逐条如实应答，并作出说明；</w:t>
      </w:r>
    </w:p>
    <w:p w14:paraId="074B07EC">
      <w:pPr>
        <w:pStyle w:val="143"/>
        <w:adjustRightInd w:val="0"/>
        <w:snapToGrid w:val="0"/>
        <w:spacing w:line="440" w:lineRule="exact"/>
        <w:ind w:firstLine="567" w:firstLineChars="270"/>
        <w:rPr>
          <w:rFonts w:ascii="宋体" w:hAnsi="宋体"/>
          <w:szCs w:val="21"/>
        </w:rPr>
      </w:pPr>
      <w:r>
        <w:rPr>
          <w:rFonts w:hint="eastAsia" w:ascii="宋体" w:hAnsi="宋体"/>
          <w:szCs w:val="21"/>
        </w:rPr>
        <w:t>3、如不提供此表，则视为投标人不满足招标文件第五章的所有技术条款要求，其投标无效。</w:t>
      </w:r>
    </w:p>
    <w:p w14:paraId="5E47C361">
      <w:pPr>
        <w:pStyle w:val="143"/>
        <w:adjustRightInd w:val="0"/>
        <w:snapToGrid w:val="0"/>
        <w:spacing w:line="440" w:lineRule="exact"/>
        <w:ind w:firstLine="567" w:firstLineChars="270"/>
        <w:rPr>
          <w:rFonts w:ascii="宋体" w:hAnsi="宋体"/>
          <w:szCs w:val="21"/>
        </w:rPr>
      </w:pPr>
      <w:r>
        <w:rPr>
          <w:rFonts w:hint="eastAsia" w:ascii="宋体" w:hAnsi="宋体"/>
          <w:szCs w:val="21"/>
        </w:rPr>
        <w:t>4、在采购人与中标人签订合同时，如中标人未在投标文件“商务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7E0089DB">
      <w:pPr>
        <w:pStyle w:val="143"/>
        <w:adjustRightInd w:val="0"/>
        <w:snapToGrid w:val="0"/>
        <w:spacing w:line="440" w:lineRule="exact"/>
        <w:ind w:firstLine="991" w:firstLineChars="472"/>
        <w:rPr>
          <w:rFonts w:ascii="宋体" w:hAnsi="宋体"/>
          <w:szCs w:val="21"/>
        </w:rPr>
      </w:pPr>
      <w:r>
        <w:rPr>
          <w:rFonts w:ascii="宋体" w:hAnsi="宋体"/>
          <w:szCs w:val="21"/>
        </w:rPr>
        <w:t xml:space="preserve">  </w:t>
      </w:r>
    </w:p>
    <w:p w14:paraId="7180CFA5">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投标人名称（盖单位章）：_______________</w:t>
      </w:r>
    </w:p>
    <w:p w14:paraId="5D0911A6">
      <w:pPr>
        <w:pStyle w:val="143"/>
        <w:adjustRightInd w:val="0"/>
        <w:snapToGrid w:val="0"/>
        <w:spacing w:line="440" w:lineRule="exact"/>
        <w:ind w:firstLine="420" w:firstLineChars="200"/>
        <w:rPr>
          <w:rFonts w:ascii="宋体" w:hAnsi="宋体"/>
          <w:szCs w:val="21"/>
        </w:rPr>
      </w:pPr>
      <w:r>
        <w:rPr>
          <w:rFonts w:hint="eastAsia" w:ascii="宋体" w:hAnsi="宋体"/>
          <w:szCs w:val="21"/>
        </w:rPr>
        <w:t>法定代表人（单位负责人）或其授权的代理人（签字或盖章）：_______________</w:t>
      </w:r>
    </w:p>
    <w:p w14:paraId="352D148F">
      <w:pPr>
        <w:pStyle w:val="143"/>
        <w:adjustRightInd w:val="0"/>
        <w:snapToGrid w:val="0"/>
        <w:spacing w:line="440" w:lineRule="exact"/>
        <w:ind w:firstLine="420" w:firstLineChars="200"/>
        <w:rPr>
          <w:rFonts w:ascii="宋体" w:hAnsi="宋体"/>
          <w:szCs w:val="21"/>
        </w:rPr>
      </w:pPr>
      <w:r>
        <w:rPr>
          <w:rFonts w:hint="eastAsia" w:ascii="宋体" w:hAnsi="宋体"/>
          <w:szCs w:val="21"/>
        </w:rPr>
        <w:t>日期：_______年__月__日</w:t>
      </w:r>
    </w:p>
    <w:p w14:paraId="0C064EA1">
      <w:pPr>
        <w:pStyle w:val="170"/>
        <w:outlineLvl w:val="1"/>
        <w:rPr>
          <w:strike/>
          <w:color w:val="FF0000"/>
        </w:rPr>
      </w:pPr>
      <w:r>
        <w:br w:type="page"/>
      </w:r>
    </w:p>
    <w:p w14:paraId="718003DA">
      <w:pPr>
        <w:pStyle w:val="3"/>
      </w:pPr>
      <w:bookmarkStart w:id="200" w:name="_Toc6888"/>
      <w:bookmarkStart w:id="201" w:name="_Toc256000116"/>
      <w:r>
        <w:rPr>
          <w:rFonts w:hint="eastAsia"/>
        </w:rPr>
        <w:t>十三、</w:t>
      </w:r>
      <w:r>
        <w:t>供应商需提供的其他资料</w:t>
      </w:r>
      <w:bookmarkEnd w:id="200"/>
      <w:bookmarkEnd w:id="201"/>
    </w:p>
    <w:p w14:paraId="250F6403">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备注：投标人认为需提供的其他资料包括：</w:t>
      </w:r>
    </w:p>
    <w:p w14:paraId="1BAFA4AD">
      <w:pPr>
        <w:pStyle w:val="143"/>
        <w:adjustRightInd w:val="0"/>
        <w:snapToGrid w:val="0"/>
        <w:spacing w:line="440" w:lineRule="exact"/>
        <w:ind w:firstLine="991" w:firstLineChars="472"/>
        <w:rPr>
          <w:rFonts w:ascii="宋体" w:hAnsi="宋体"/>
          <w:szCs w:val="21"/>
        </w:rPr>
      </w:pPr>
      <w:r>
        <w:rPr>
          <w:rFonts w:hint="eastAsia" w:ascii="宋体" w:hAnsi="宋体"/>
          <w:szCs w:val="21"/>
        </w:rPr>
        <w:t>（1）招标文件采购需求要求的其他资料；</w:t>
      </w:r>
    </w:p>
    <w:p w14:paraId="6C6D8077">
      <w:pPr>
        <w:pStyle w:val="143"/>
        <w:adjustRightInd w:val="0"/>
        <w:snapToGrid w:val="0"/>
        <w:spacing w:line="440" w:lineRule="exact"/>
        <w:ind w:firstLine="991" w:firstLineChars="472"/>
        <w:rPr>
          <w:rFonts w:ascii="黑体" w:hAnsi="黑体" w:eastAsia="黑体"/>
          <w:spacing w:val="6"/>
          <w:szCs w:val="21"/>
        </w:rPr>
      </w:pPr>
      <w:r>
        <w:rPr>
          <w:rFonts w:hint="eastAsia" w:ascii="宋体" w:hAnsi="宋体"/>
          <w:szCs w:val="21"/>
        </w:rPr>
        <w:t>（2）招标文件评标方法及标准要求的其他相关资料。</w:t>
      </w:r>
    </w:p>
    <w:sectPr>
      <w:pgSz w:w="11906" w:h="16838"/>
      <w:pgMar w:top="1418" w:right="1418" w:bottom="1418" w:left="1418" w:header="851" w:footer="85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Songti SC">
    <w:altName w:val="宋体"/>
    <w:panose1 w:val="00000000000000000000"/>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95EB1">
    <w:pPr>
      <w:pStyle w:val="26"/>
      <w:spacing w:line="380" w:lineRule="exact"/>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4826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381635" cy="482600"/>
                      </a:xfrm>
                      <a:prstGeom prst="rect">
                        <a:avLst/>
                      </a:prstGeom>
                      <a:noFill/>
                      <a:ln w="6350">
                        <a:noFill/>
                      </a:ln>
                      <a:effectLst/>
                    </wps:spPr>
                    <wps:txbx>
                      <w:txbxContent>
                        <w:sdt>
                          <w:sdtPr>
                            <w:id w:val="907187013"/>
                          </w:sdtPr>
                          <w:sdtContent>
                            <w:p w14:paraId="7749F053">
                              <w:pPr>
                                <w:pStyle w:val="26"/>
                                <w:spacing w:line="380" w:lineRule="exact"/>
                                <w:jc w:val="cente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ArabicDash  \* MERGEFORMAT </w:instrText>
                              </w:r>
                              <w:r>
                                <w:rPr>
                                  <w:rFonts w:hint="eastAsia" w:ascii="仿宋" w:hAnsi="仿宋" w:eastAsia="仿宋" w:cs="仿宋"/>
                                  <w:sz w:val="24"/>
                                  <w:szCs w:val="24"/>
                                </w:rPr>
                                <w:fldChar w:fldCharType="separate"/>
                              </w:r>
                              <w:r>
                                <w:rPr>
                                  <w:rFonts w:ascii="仿宋" w:hAnsi="仿宋" w:eastAsia="仿宋" w:cs="仿宋"/>
                                  <w:sz w:val="24"/>
                                  <w:szCs w:val="24"/>
                                </w:rPr>
                                <w:t>- 5 -</w:t>
                              </w:r>
                              <w:r>
                                <w:rPr>
                                  <w:rFonts w:hint="eastAsia" w:ascii="仿宋" w:hAnsi="仿宋" w:eastAsia="仿宋" w:cs="仿宋"/>
                                  <w:sz w:val="24"/>
                                  <w:szCs w:val="24"/>
                                </w:rPr>
                                <w:fldChar w:fldCharType="end"/>
                              </w:r>
                            </w:p>
                          </w:sdtContent>
                        </w:sdt>
                        <w:p w14:paraId="14D186D9">
                          <w:pPr>
                            <w:pStyle w:val="51"/>
                            <w:spacing w:before="1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38pt;width:30.05pt;mso-position-horizontal:center;mso-position-horizontal-relative:margin;mso-wrap-style:none;z-index:251659264;mso-width-relative:page;mso-height-relative:page;" filled="f" stroked="f" coordsize="21600,21600" o:gfxdata="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uslsnSAAAAAwEAAA8AAAAAAAAAAQAgAAAAIgAAAGRycy9kb3ducmV2LnhtbFBL&#10;AQIUABQAAAAIAIdO4kBHoAFBNQIAAGEEAAAOAAAAAAAAAAEAIAAAACEBAABkcnMvZTJvRG9jLnht&#10;bFBLBQYAAAAABgAGAFkBAADIBQAAAAA=&#10;">
              <v:fill on="f" focussize="0,0"/>
              <v:stroke on="f" weight="0.5pt"/>
              <v:imagedata o:title=""/>
              <o:lock v:ext="edit" aspectratio="f"/>
              <v:textbox inset="0mm,0mm,0mm,0mm" style="mso-fit-shape-to-text:t;">
                <w:txbxContent>
                  <w:sdt>
                    <w:sdtPr>
                      <w:id w:val="907187013"/>
                    </w:sdtPr>
                    <w:sdtContent>
                      <w:p w14:paraId="7749F053">
                        <w:pPr>
                          <w:pStyle w:val="26"/>
                          <w:spacing w:line="380" w:lineRule="exact"/>
                          <w:jc w:val="cente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ArabicDash  \* MERGEFORMAT </w:instrText>
                        </w:r>
                        <w:r>
                          <w:rPr>
                            <w:rFonts w:hint="eastAsia" w:ascii="仿宋" w:hAnsi="仿宋" w:eastAsia="仿宋" w:cs="仿宋"/>
                            <w:sz w:val="24"/>
                            <w:szCs w:val="24"/>
                          </w:rPr>
                          <w:fldChar w:fldCharType="separate"/>
                        </w:r>
                        <w:r>
                          <w:rPr>
                            <w:rFonts w:ascii="仿宋" w:hAnsi="仿宋" w:eastAsia="仿宋" w:cs="仿宋"/>
                            <w:sz w:val="24"/>
                            <w:szCs w:val="24"/>
                          </w:rPr>
                          <w:t>- 5 -</w:t>
                        </w:r>
                        <w:r>
                          <w:rPr>
                            <w:rFonts w:hint="eastAsia" w:ascii="仿宋" w:hAnsi="仿宋" w:eastAsia="仿宋" w:cs="仿宋"/>
                            <w:sz w:val="24"/>
                            <w:szCs w:val="24"/>
                          </w:rPr>
                          <w:fldChar w:fldCharType="end"/>
                        </w:r>
                      </w:p>
                    </w:sdtContent>
                  </w:sdt>
                  <w:p w14:paraId="14D186D9">
                    <w:pPr>
                      <w:pStyle w:val="51"/>
                      <w:spacing w:before="120"/>
                    </w:pPr>
                  </w:p>
                </w:txbxContent>
              </v:textbox>
            </v:shape>
          </w:pict>
        </mc:Fallback>
      </mc:AlternateContent>
    </w:r>
  </w:p>
  <w:p w14:paraId="07D583B6">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328C7">
    <w:pPr>
      <w:pStyle w:val="26"/>
      <w:spacing w:line="380" w:lineRule="exact"/>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57835" cy="4826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57835" cy="482600"/>
                      </a:xfrm>
                      <a:prstGeom prst="rect">
                        <a:avLst/>
                      </a:prstGeom>
                      <a:noFill/>
                      <a:ln w="6350">
                        <a:noFill/>
                      </a:ln>
                      <a:effectLst/>
                    </wps:spPr>
                    <wps:txbx>
                      <w:txbxContent>
                        <w:sdt>
                          <w:sdtPr>
                            <w:id w:val="578481043"/>
                          </w:sdtPr>
                          <w:sdtContent>
                            <w:p w14:paraId="627D4217">
                              <w:pPr>
                                <w:pStyle w:val="26"/>
                                <w:spacing w:line="380" w:lineRule="exact"/>
                                <w:jc w:val="cente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ArabicDash  \* MERGEFORMAT </w:instrText>
                              </w:r>
                              <w:r>
                                <w:rPr>
                                  <w:rFonts w:hint="eastAsia" w:ascii="仿宋" w:hAnsi="仿宋" w:eastAsia="仿宋" w:cs="仿宋"/>
                                  <w:sz w:val="24"/>
                                  <w:szCs w:val="24"/>
                                </w:rPr>
                                <w:fldChar w:fldCharType="separate"/>
                              </w:r>
                              <w:r>
                                <w:rPr>
                                  <w:rFonts w:ascii="仿宋" w:hAnsi="仿宋" w:eastAsia="仿宋" w:cs="仿宋"/>
                                  <w:sz w:val="24"/>
                                  <w:szCs w:val="24"/>
                                </w:rPr>
                                <w:t>- 61 -</w:t>
                              </w:r>
                              <w:r>
                                <w:rPr>
                                  <w:rFonts w:hint="eastAsia" w:ascii="仿宋" w:hAnsi="仿宋" w:eastAsia="仿宋" w:cs="仿宋"/>
                                  <w:sz w:val="24"/>
                                  <w:szCs w:val="24"/>
                                </w:rPr>
                                <w:fldChar w:fldCharType="end"/>
                              </w:r>
                            </w:p>
                          </w:sdtContent>
                        </w:sdt>
                        <w:p w14:paraId="7D6F7A07">
                          <w:pPr>
                            <w:pStyle w:val="51"/>
                            <w:spacing w:before="1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38pt;width:36.05pt;mso-position-horizontal:center;mso-position-horizontal-relative:margin;mso-wrap-style:none;z-index:251660288;mso-width-relative:page;mso-height-relative:page;" filled="f" stroked="f" coordsize="21600,21600" o:gfxdata="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Vj/qp0QAAAAMBAAAPAAAAAAAAAAEAIAAAACIAAABkcnMvZG93bnJldi54bWxQ&#10;SwECFAAUAAAACACHTuJAR8znAzcCAABhBAAADgAAAAAAAAABACAAAAAgAQAAZHJzL2Uyb0RvYy54&#10;bWxQSwUGAAAAAAYABgBZAQAAyQUAAAAA&#10;">
              <v:fill on="f" focussize="0,0"/>
              <v:stroke on="f" weight="0.5pt"/>
              <v:imagedata o:title=""/>
              <o:lock v:ext="edit" aspectratio="f"/>
              <v:textbox inset="0mm,0mm,0mm,0mm" style="mso-fit-shape-to-text:t;">
                <w:txbxContent>
                  <w:sdt>
                    <w:sdtPr>
                      <w:id w:val="578481043"/>
                    </w:sdtPr>
                    <w:sdtContent>
                      <w:p w14:paraId="627D4217">
                        <w:pPr>
                          <w:pStyle w:val="26"/>
                          <w:spacing w:line="380" w:lineRule="exact"/>
                          <w:jc w:val="cente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ArabicDash  \* MERGEFORMAT </w:instrText>
                        </w:r>
                        <w:r>
                          <w:rPr>
                            <w:rFonts w:hint="eastAsia" w:ascii="仿宋" w:hAnsi="仿宋" w:eastAsia="仿宋" w:cs="仿宋"/>
                            <w:sz w:val="24"/>
                            <w:szCs w:val="24"/>
                          </w:rPr>
                          <w:fldChar w:fldCharType="separate"/>
                        </w:r>
                        <w:r>
                          <w:rPr>
                            <w:rFonts w:ascii="仿宋" w:hAnsi="仿宋" w:eastAsia="仿宋" w:cs="仿宋"/>
                            <w:sz w:val="24"/>
                            <w:szCs w:val="24"/>
                          </w:rPr>
                          <w:t>- 61 -</w:t>
                        </w:r>
                        <w:r>
                          <w:rPr>
                            <w:rFonts w:hint="eastAsia" w:ascii="仿宋" w:hAnsi="仿宋" w:eastAsia="仿宋" w:cs="仿宋"/>
                            <w:sz w:val="24"/>
                            <w:szCs w:val="24"/>
                          </w:rPr>
                          <w:fldChar w:fldCharType="end"/>
                        </w:r>
                      </w:p>
                    </w:sdtContent>
                  </w:sdt>
                  <w:p w14:paraId="7D6F7A07">
                    <w:pPr>
                      <w:pStyle w:val="51"/>
                      <w:spacing w:before="120"/>
                    </w:pPr>
                  </w:p>
                </w:txbxContent>
              </v:textbox>
            </v:shape>
          </w:pict>
        </mc:Fallback>
      </mc:AlternateContent>
    </w:r>
  </w:p>
  <w:p w14:paraId="4BC2EAD1">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109CF1">
    <w:pPr>
      <w:pStyle w:val="27"/>
      <w:jc w:val="left"/>
      <w:rPr>
        <w:rFonts w:ascii="仿宋" w:hAnsi="仿宋" w:eastAsia="仿宋"/>
        <w:szCs w:val="21"/>
      </w:rPr>
    </w:pPr>
    <w:r>
      <w:rPr>
        <w:rFonts w:hint="eastAsia" w:ascii="仿宋" w:hAnsi="仿宋" w:eastAsia="仿宋"/>
        <w:sz w:val="20"/>
        <w:szCs w:val="21"/>
      </w:rPr>
      <w:t>飞利浦FD-10整机维保服务项目招标文件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46B3C">
    <w:pPr>
      <w:pStyle w:val="27"/>
      <w:ind w:left="2124" w:hanging="127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F3C9F">
    <w:pPr>
      <w:pStyle w:val="27"/>
      <w:ind w:left="2124" w:hanging="127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5250BC"/>
    <w:multiLevelType w:val="singleLevel"/>
    <w:tmpl w:val="BA5250BC"/>
    <w:lvl w:ilvl="0" w:tentative="0">
      <w:start w:val="5"/>
      <w:numFmt w:val="chineseCounting"/>
      <w:suff w:val="space"/>
      <w:lvlText w:val="第%1章"/>
      <w:lvlJc w:val="left"/>
      <w:rPr>
        <w:rFonts w:hint="eastAsia"/>
      </w:rPr>
    </w:lvl>
  </w:abstractNum>
  <w:abstractNum w:abstractNumId="1">
    <w:nsid w:val="327F3888"/>
    <w:multiLevelType w:val="singleLevel"/>
    <w:tmpl w:val="327F3888"/>
    <w:lvl w:ilvl="0" w:tentative="0">
      <w:start w:val="2"/>
      <w:numFmt w:val="chineseCounting"/>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zZjNlMmQ5MGFmYzM4NmRjNjhkZDk0NzI3Y2UyNWEifQ=="/>
  </w:docVars>
  <w:rsids>
    <w:rsidRoot w:val="007434B4"/>
    <w:rsid w:val="00000A61"/>
    <w:rsid w:val="00000A83"/>
    <w:rsid w:val="000013FE"/>
    <w:rsid w:val="0000170E"/>
    <w:rsid w:val="0000186F"/>
    <w:rsid w:val="00001A03"/>
    <w:rsid w:val="00001E31"/>
    <w:rsid w:val="00002568"/>
    <w:rsid w:val="000032A2"/>
    <w:rsid w:val="000037DE"/>
    <w:rsid w:val="00003B38"/>
    <w:rsid w:val="00003D23"/>
    <w:rsid w:val="00003EB8"/>
    <w:rsid w:val="000054DE"/>
    <w:rsid w:val="00006404"/>
    <w:rsid w:val="00006552"/>
    <w:rsid w:val="000066D4"/>
    <w:rsid w:val="00007898"/>
    <w:rsid w:val="00007DB2"/>
    <w:rsid w:val="0001024D"/>
    <w:rsid w:val="00010382"/>
    <w:rsid w:val="000108AC"/>
    <w:rsid w:val="00011566"/>
    <w:rsid w:val="00012A10"/>
    <w:rsid w:val="00013365"/>
    <w:rsid w:val="00013466"/>
    <w:rsid w:val="00013574"/>
    <w:rsid w:val="00013923"/>
    <w:rsid w:val="00013BEB"/>
    <w:rsid w:val="00014634"/>
    <w:rsid w:val="00014A82"/>
    <w:rsid w:val="00015858"/>
    <w:rsid w:val="00015F83"/>
    <w:rsid w:val="0001617A"/>
    <w:rsid w:val="0001645E"/>
    <w:rsid w:val="00017581"/>
    <w:rsid w:val="000175E8"/>
    <w:rsid w:val="0001778D"/>
    <w:rsid w:val="00017CF0"/>
    <w:rsid w:val="00017D14"/>
    <w:rsid w:val="00017DF4"/>
    <w:rsid w:val="00017F9C"/>
    <w:rsid w:val="0002027C"/>
    <w:rsid w:val="00020525"/>
    <w:rsid w:val="00020766"/>
    <w:rsid w:val="0002130A"/>
    <w:rsid w:val="000252F0"/>
    <w:rsid w:val="00025652"/>
    <w:rsid w:val="00025EED"/>
    <w:rsid w:val="000273B5"/>
    <w:rsid w:val="00027D0F"/>
    <w:rsid w:val="00030A53"/>
    <w:rsid w:val="00031705"/>
    <w:rsid w:val="00031C52"/>
    <w:rsid w:val="00032D30"/>
    <w:rsid w:val="00032D53"/>
    <w:rsid w:val="000333AE"/>
    <w:rsid w:val="00033BA3"/>
    <w:rsid w:val="00034832"/>
    <w:rsid w:val="000351A9"/>
    <w:rsid w:val="000358FA"/>
    <w:rsid w:val="00035900"/>
    <w:rsid w:val="00035B2B"/>
    <w:rsid w:val="00040247"/>
    <w:rsid w:val="00040313"/>
    <w:rsid w:val="000408BF"/>
    <w:rsid w:val="00040E14"/>
    <w:rsid w:val="0004165B"/>
    <w:rsid w:val="00041DB2"/>
    <w:rsid w:val="0004234C"/>
    <w:rsid w:val="00042874"/>
    <w:rsid w:val="00042A0F"/>
    <w:rsid w:val="0004325A"/>
    <w:rsid w:val="00043C33"/>
    <w:rsid w:val="00045899"/>
    <w:rsid w:val="00045B4B"/>
    <w:rsid w:val="00046881"/>
    <w:rsid w:val="00046AF0"/>
    <w:rsid w:val="00046BAB"/>
    <w:rsid w:val="00047029"/>
    <w:rsid w:val="00047440"/>
    <w:rsid w:val="00047548"/>
    <w:rsid w:val="0004759C"/>
    <w:rsid w:val="00047C70"/>
    <w:rsid w:val="0005019F"/>
    <w:rsid w:val="0005070A"/>
    <w:rsid w:val="0005089A"/>
    <w:rsid w:val="000508AD"/>
    <w:rsid w:val="00050E9B"/>
    <w:rsid w:val="0005168D"/>
    <w:rsid w:val="00051C95"/>
    <w:rsid w:val="0005208E"/>
    <w:rsid w:val="0005225A"/>
    <w:rsid w:val="000530E7"/>
    <w:rsid w:val="00053BE1"/>
    <w:rsid w:val="00053C94"/>
    <w:rsid w:val="00053CA3"/>
    <w:rsid w:val="00054943"/>
    <w:rsid w:val="00054BC8"/>
    <w:rsid w:val="00054D49"/>
    <w:rsid w:val="00055832"/>
    <w:rsid w:val="000566BD"/>
    <w:rsid w:val="000567E1"/>
    <w:rsid w:val="0005701C"/>
    <w:rsid w:val="000577CD"/>
    <w:rsid w:val="00057AD7"/>
    <w:rsid w:val="00060239"/>
    <w:rsid w:val="000606A2"/>
    <w:rsid w:val="00060C04"/>
    <w:rsid w:val="00060EE2"/>
    <w:rsid w:val="000612FD"/>
    <w:rsid w:val="00061310"/>
    <w:rsid w:val="00061914"/>
    <w:rsid w:val="0006206D"/>
    <w:rsid w:val="000620A1"/>
    <w:rsid w:val="00063F7B"/>
    <w:rsid w:val="000650FA"/>
    <w:rsid w:val="0006608E"/>
    <w:rsid w:val="000662FC"/>
    <w:rsid w:val="00066B75"/>
    <w:rsid w:val="000675E6"/>
    <w:rsid w:val="000677C7"/>
    <w:rsid w:val="00067D0B"/>
    <w:rsid w:val="000709FB"/>
    <w:rsid w:val="00070B21"/>
    <w:rsid w:val="000721E3"/>
    <w:rsid w:val="00072573"/>
    <w:rsid w:val="0007343D"/>
    <w:rsid w:val="00073BB3"/>
    <w:rsid w:val="00073D34"/>
    <w:rsid w:val="00073F04"/>
    <w:rsid w:val="000745C1"/>
    <w:rsid w:val="0007473A"/>
    <w:rsid w:val="00074AED"/>
    <w:rsid w:val="00074CB8"/>
    <w:rsid w:val="000759CF"/>
    <w:rsid w:val="00076502"/>
    <w:rsid w:val="00077380"/>
    <w:rsid w:val="000775DD"/>
    <w:rsid w:val="000779A9"/>
    <w:rsid w:val="00077BE6"/>
    <w:rsid w:val="00081F65"/>
    <w:rsid w:val="00082346"/>
    <w:rsid w:val="00082944"/>
    <w:rsid w:val="00083303"/>
    <w:rsid w:val="00083627"/>
    <w:rsid w:val="000838CB"/>
    <w:rsid w:val="00083AE6"/>
    <w:rsid w:val="000841E5"/>
    <w:rsid w:val="000842A1"/>
    <w:rsid w:val="00085204"/>
    <w:rsid w:val="00085DB0"/>
    <w:rsid w:val="00086046"/>
    <w:rsid w:val="00086190"/>
    <w:rsid w:val="0008682C"/>
    <w:rsid w:val="00086E38"/>
    <w:rsid w:val="00087CA6"/>
    <w:rsid w:val="000904BC"/>
    <w:rsid w:val="00090D47"/>
    <w:rsid w:val="00091751"/>
    <w:rsid w:val="000917F5"/>
    <w:rsid w:val="000921D2"/>
    <w:rsid w:val="00092E61"/>
    <w:rsid w:val="00092F11"/>
    <w:rsid w:val="0009483A"/>
    <w:rsid w:val="00095A0E"/>
    <w:rsid w:val="00097EA9"/>
    <w:rsid w:val="00097FB9"/>
    <w:rsid w:val="000A04A4"/>
    <w:rsid w:val="000A0CD6"/>
    <w:rsid w:val="000A0CE0"/>
    <w:rsid w:val="000A0D38"/>
    <w:rsid w:val="000A0F29"/>
    <w:rsid w:val="000A2451"/>
    <w:rsid w:val="000A2575"/>
    <w:rsid w:val="000A2631"/>
    <w:rsid w:val="000A3313"/>
    <w:rsid w:val="000A4283"/>
    <w:rsid w:val="000A6428"/>
    <w:rsid w:val="000A6658"/>
    <w:rsid w:val="000A66DF"/>
    <w:rsid w:val="000A693C"/>
    <w:rsid w:val="000B0390"/>
    <w:rsid w:val="000B0E6E"/>
    <w:rsid w:val="000B1637"/>
    <w:rsid w:val="000B168E"/>
    <w:rsid w:val="000B1715"/>
    <w:rsid w:val="000B2722"/>
    <w:rsid w:val="000B320F"/>
    <w:rsid w:val="000B3A4F"/>
    <w:rsid w:val="000B3DA1"/>
    <w:rsid w:val="000B3EF4"/>
    <w:rsid w:val="000B48CB"/>
    <w:rsid w:val="000B531C"/>
    <w:rsid w:val="000B53CE"/>
    <w:rsid w:val="000B5D7D"/>
    <w:rsid w:val="000B67D9"/>
    <w:rsid w:val="000B6A6A"/>
    <w:rsid w:val="000B7DF1"/>
    <w:rsid w:val="000B7EDF"/>
    <w:rsid w:val="000C035B"/>
    <w:rsid w:val="000C0714"/>
    <w:rsid w:val="000C188C"/>
    <w:rsid w:val="000C23D1"/>
    <w:rsid w:val="000C245B"/>
    <w:rsid w:val="000C24EE"/>
    <w:rsid w:val="000C280F"/>
    <w:rsid w:val="000C2AE6"/>
    <w:rsid w:val="000C354A"/>
    <w:rsid w:val="000C4FD9"/>
    <w:rsid w:val="000C52A0"/>
    <w:rsid w:val="000C5816"/>
    <w:rsid w:val="000C64DF"/>
    <w:rsid w:val="000C6B2C"/>
    <w:rsid w:val="000C6D3C"/>
    <w:rsid w:val="000C6F6C"/>
    <w:rsid w:val="000C70C2"/>
    <w:rsid w:val="000C7812"/>
    <w:rsid w:val="000C7EAA"/>
    <w:rsid w:val="000D04C8"/>
    <w:rsid w:val="000D0E5E"/>
    <w:rsid w:val="000D1018"/>
    <w:rsid w:val="000D211B"/>
    <w:rsid w:val="000D23CE"/>
    <w:rsid w:val="000D23D9"/>
    <w:rsid w:val="000D2A3F"/>
    <w:rsid w:val="000D39E3"/>
    <w:rsid w:val="000D3DA5"/>
    <w:rsid w:val="000D5249"/>
    <w:rsid w:val="000D5F8B"/>
    <w:rsid w:val="000D6514"/>
    <w:rsid w:val="000E0580"/>
    <w:rsid w:val="000E18CF"/>
    <w:rsid w:val="000E274B"/>
    <w:rsid w:val="000E3A4C"/>
    <w:rsid w:val="000E3DCC"/>
    <w:rsid w:val="000E4341"/>
    <w:rsid w:val="000E450B"/>
    <w:rsid w:val="000E4525"/>
    <w:rsid w:val="000E46D9"/>
    <w:rsid w:val="000E4E95"/>
    <w:rsid w:val="000E5089"/>
    <w:rsid w:val="000E50DD"/>
    <w:rsid w:val="000E5B08"/>
    <w:rsid w:val="000E640C"/>
    <w:rsid w:val="000E6AC1"/>
    <w:rsid w:val="000E6AC7"/>
    <w:rsid w:val="000E72AD"/>
    <w:rsid w:val="000E7308"/>
    <w:rsid w:val="000E7417"/>
    <w:rsid w:val="000E741F"/>
    <w:rsid w:val="000F075D"/>
    <w:rsid w:val="000F1A45"/>
    <w:rsid w:val="000F1AF9"/>
    <w:rsid w:val="000F21C8"/>
    <w:rsid w:val="000F2381"/>
    <w:rsid w:val="000F2BD4"/>
    <w:rsid w:val="000F2F6B"/>
    <w:rsid w:val="000F3189"/>
    <w:rsid w:val="000F3713"/>
    <w:rsid w:val="000F376A"/>
    <w:rsid w:val="000F3DC2"/>
    <w:rsid w:val="000F4155"/>
    <w:rsid w:val="000F44CB"/>
    <w:rsid w:val="000F4C59"/>
    <w:rsid w:val="000F4F2F"/>
    <w:rsid w:val="000F5866"/>
    <w:rsid w:val="000F620C"/>
    <w:rsid w:val="000F6BD4"/>
    <w:rsid w:val="000F7591"/>
    <w:rsid w:val="000F7A0E"/>
    <w:rsid w:val="001000C3"/>
    <w:rsid w:val="00100398"/>
    <w:rsid w:val="001018FA"/>
    <w:rsid w:val="00102950"/>
    <w:rsid w:val="001040F1"/>
    <w:rsid w:val="001047E3"/>
    <w:rsid w:val="00104824"/>
    <w:rsid w:val="00104908"/>
    <w:rsid w:val="0010572F"/>
    <w:rsid w:val="00105A9C"/>
    <w:rsid w:val="00105CB8"/>
    <w:rsid w:val="0010633C"/>
    <w:rsid w:val="00106446"/>
    <w:rsid w:val="00107077"/>
    <w:rsid w:val="00110A59"/>
    <w:rsid w:val="00110B4B"/>
    <w:rsid w:val="001113FC"/>
    <w:rsid w:val="00111596"/>
    <w:rsid w:val="00111CC9"/>
    <w:rsid w:val="001125E4"/>
    <w:rsid w:val="00112774"/>
    <w:rsid w:val="00112A3D"/>
    <w:rsid w:val="001133AC"/>
    <w:rsid w:val="00113C61"/>
    <w:rsid w:val="001147A7"/>
    <w:rsid w:val="00114B15"/>
    <w:rsid w:val="001165A6"/>
    <w:rsid w:val="001168F1"/>
    <w:rsid w:val="00116D40"/>
    <w:rsid w:val="00117058"/>
    <w:rsid w:val="00117D51"/>
    <w:rsid w:val="0012020C"/>
    <w:rsid w:val="00120369"/>
    <w:rsid w:val="001205C7"/>
    <w:rsid w:val="001214B8"/>
    <w:rsid w:val="00121A30"/>
    <w:rsid w:val="00122342"/>
    <w:rsid w:val="001228FD"/>
    <w:rsid w:val="00122CFC"/>
    <w:rsid w:val="00122F3C"/>
    <w:rsid w:val="00123226"/>
    <w:rsid w:val="001232B6"/>
    <w:rsid w:val="00123418"/>
    <w:rsid w:val="0012356A"/>
    <w:rsid w:val="001238B5"/>
    <w:rsid w:val="00123FC5"/>
    <w:rsid w:val="001240E5"/>
    <w:rsid w:val="00124345"/>
    <w:rsid w:val="001245F4"/>
    <w:rsid w:val="00124784"/>
    <w:rsid w:val="00124E8C"/>
    <w:rsid w:val="00125769"/>
    <w:rsid w:val="00125F48"/>
    <w:rsid w:val="00126231"/>
    <w:rsid w:val="001263C8"/>
    <w:rsid w:val="001263CF"/>
    <w:rsid w:val="001264DC"/>
    <w:rsid w:val="00126C6C"/>
    <w:rsid w:val="0013010D"/>
    <w:rsid w:val="0013172D"/>
    <w:rsid w:val="001319E6"/>
    <w:rsid w:val="001322EF"/>
    <w:rsid w:val="0013284D"/>
    <w:rsid w:val="00132AEF"/>
    <w:rsid w:val="00132C6C"/>
    <w:rsid w:val="00134858"/>
    <w:rsid w:val="00134894"/>
    <w:rsid w:val="001348D3"/>
    <w:rsid w:val="00135375"/>
    <w:rsid w:val="001370E3"/>
    <w:rsid w:val="00137A07"/>
    <w:rsid w:val="0014000F"/>
    <w:rsid w:val="00140DA3"/>
    <w:rsid w:val="001410C9"/>
    <w:rsid w:val="001413DF"/>
    <w:rsid w:val="00141BEE"/>
    <w:rsid w:val="001420EA"/>
    <w:rsid w:val="00143121"/>
    <w:rsid w:val="00144141"/>
    <w:rsid w:val="00144B56"/>
    <w:rsid w:val="00144F97"/>
    <w:rsid w:val="00145664"/>
    <w:rsid w:val="0014653C"/>
    <w:rsid w:val="0014699B"/>
    <w:rsid w:val="00146CAA"/>
    <w:rsid w:val="00146D14"/>
    <w:rsid w:val="001477B7"/>
    <w:rsid w:val="00147F62"/>
    <w:rsid w:val="00150F2C"/>
    <w:rsid w:val="00151BA6"/>
    <w:rsid w:val="001529E8"/>
    <w:rsid w:val="00153C89"/>
    <w:rsid w:val="0015489C"/>
    <w:rsid w:val="00154F56"/>
    <w:rsid w:val="00155208"/>
    <w:rsid w:val="00156049"/>
    <w:rsid w:val="001564DB"/>
    <w:rsid w:val="00156D7A"/>
    <w:rsid w:val="00157EB6"/>
    <w:rsid w:val="0016109A"/>
    <w:rsid w:val="001617E9"/>
    <w:rsid w:val="00162175"/>
    <w:rsid w:val="00162403"/>
    <w:rsid w:val="0016254E"/>
    <w:rsid w:val="00162F23"/>
    <w:rsid w:val="00163293"/>
    <w:rsid w:val="0016451E"/>
    <w:rsid w:val="00164F1C"/>
    <w:rsid w:val="0016583A"/>
    <w:rsid w:val="00166A7A"/>
    <w:rsid w:val="00166F38"/>
    <w:rsid w:val="00167763"/>
    <w:rsid w:val="001708E8"/>
    <w:rsid w:val="0017148D"/>
    <w:rsid w:val="0017241F"/>
    <w:rsid w:val="00173263"/>
    <w:rsid w:val="00173713"/>
    <w:rsid w:val="001739CD"/>
    <w:rsid w:val="00173A95"/>
    <w:rsid w:val="00173D83"/>
    <w:rsid w:val="00173FF2"/>
    <w:rsid w:val="0017404D"/>
    <w:rsid w:val="001748FE"/>
    <w:rsid w:val="00175AAB"/>
    <w:rsid w:val="00175C3F"/>
    <w:rsid w:val="00175FE2"/>
    <w:rsid w:val="0017633E"/>
    <w:rsid w:val="0017667B"/>
    <w:rsid w:val="001766C9"/>
    <w:rsid w:val="00176CB4"/>
    <w:rsid w:val="00176DC7"/>
    <w:rsid w:val="00176ED6"/>
    <w:rsid w:val="0017741D"/>
    <w:rsid w:val="0017751B"/>
    <w:rsid w:val="00177903"/>
    <w:rsid w:val="001808FD"/>
    <w:rsid w:val="001810E9"/>
    <w:rsid w:val="00181CFE"/>
    <w:rsid w:val="00181D2E"/>
    <w:rsid w:val="00182831"/>
    <w:rsid w:val="001828D3"/>
    <w:rsid w:val="00183A4C"/>
    <w:rsid w:val="00183C41"/>
    <w:rsid w:val="001846F2"/>
    <w:rsid w:val="001850A4"/>
    <w:rsid w:val="00185B43"/>
    <w:rsid w:val="00186927"/>
    <w:rsid w:val="00186F21"/>
    <w:rsid w:val="001870D2"/>
    <w:rsid w:val="00187535"/>
    <w:rsid w:val="0019063E"/>
    <w:rsid w:val="00190C8F"/>
    <w:rsid w:val="0019128B"/>
    <w:rsid w:val="001916D1"/>
    <w:rsid w:val="0019190B"/>
    <w:rsid w:val="00192075"/>
    <w:rsid w:val="00193526"/>
    <w:rsid w:val="00193E09"/>
    <w:rsid w:val="00194132"/>
    <w:rsid w:val="001942E2"/>
    <w:rsid w:val="00195771"/>
    <w:rsid w:val="0019633F"/>
    <w:rsid w:val="00196DC6"/>
    <w:rsid w:val="001970B8"/>
    <w:rsid w:val="00197252"/>
    <w:rsid w:val="0019742D"/>
    <w:rsid w:val="00197441"/>
    <w:rsid w:val="001975B8"/>
    <w:rsid w:val="001979D3"/>
    <w:rsid w:val="001A053D"/>
    <w:rsid w:val="001A0AFC"/>
    <w:rsid w:val="001A0F65"/>
    <w:rsid w:val="001A101A"/>
    <w:rsid w:val="001A15EA"/>
    <w:rsid w:val="001A1E7A"/>
    <w:rsid w:val="001A2976"/>
    <w:rsid w:val="001A2CEA"/>
    <w:rsid w:val="001A2E9C"/>
    <w:rsid w:val="001A3027"/>
    <w:rsid w:val="001A38FC"/>
    <w:rsid w:val="001A3AA5"/>
    <w:rsid w:val="001A3AEB"/>
    <w:rsid w:val="001A3AFC"/>
    <w:rsid w:val="001A3B5A"/>
    <w:rsid w:val="001A3BCB"/>
    <w:rsid w:val="001A4B2B"/>
    <w:rsid w:val="001A4D9B"/>
    <w:rsid w:val="001A561A"/>
    <w:rsid w:val="001A582B"/>
    <w:rsid w:val="001A58C6"/>
    <w:rsid w:val="001A59EB"/>
    <w:rsid w:val="001A5E77"/>
    <w:rsid w:val="001A62B7"/>
    <w:rsid w:val="001A6BC7"/>
    <w:rsid w:val="001B1859"/>
    <w:rsid w:val="001B1FF8"/>
    <w:rsid w:val="001B2294"/>
    <w:rsid w:val="001B2F21"/>
    <w:rsid w:val="001B313B"/>
    <w:rsid w:val="001B383C"/>
    <w:rsid w:val="001B3B39"/>
    <w:rsid w:val="001B3D05"/>
    <w:rsid w:val="001B4005"/>
    <w:rsid w:val="001B43FA"/>
    <w:rsid w:val="001B4531"/>
    <w:rsid w:val="001B4F01"/>
    <w:rsid w:val="001B5907"/>
    <w:rsid w:val="001B6146"/>
    <w:rsid w:val="001B65DF"/>
    <w:rsid w:val="001B6D76"/>
    <w:rsid w:val="001C09E8"/>
    <w:rsid w:val="001C0DCD"/>
    <w:rsid w:val="001C1296"/>
    <w:rsid w:val="001C183F"/>
    <w:rsid w:val="001C2072"/>
    <w:rsid w:val="001C274B"/>
    <w:rsid w:val="001C296B"/>
    <w:rsid w:val="001C2C3C"/>
    <w:rsid w:val="001C3481"/>
    <w:rsid w:val="001C3DD3"/>
    <w:rsid w:val="001C4202"/>
    <w:rsid w:val="001C44DA"/>
    <w:rsid w:val="001C4E4C"/>
    <w:rsid w:val="001C5444"/>
    <w:rsid w:val="001C7B25"/>
    <w:rsid w:val="001D058D"/>
    <w:rsid w:val="001D0F5F"/>
    <w:rsid w:val="001D176B"/>
    <w:rsid w:val="001D2229"/>
    <w:rsid w:val="001D26DC"/>
    <w:rsid w:val="001D29E0"/>
    <w:rsid w:val="001D2E15"/>
    <w:rsid w:val="001D2ED5"/>
    <w:rsid w:val="001D300D"/>
    <w:rsid w:val="001D302B"/>
    <w:rsid w:val="001D574C"/>
    <w:rsid w:val="001D5B75"/>
    <w:rsid w:val="001D5E5C"/>
    <w:rsid w:val="001D6DBD"/>
    <w:rsid w:val="001D7A8F"/>
    <w:rsid w:val="001D7BA2"/>
    <w:rsid w:val="001D7DAE"/>
    <w:rsid w:val="001E0EE3"/>
    <w:rsid w:val="001E1D4A"/>
    <w:rsid w:val="001E2091"/>
    <w:rsid w:val="001E3741"/>
    <w:rsid w:val="001E3A6E"/>
    <w:rsid w:val="001E3AF6"/>
    <w:rsid w:val="001E3D6A"/>
    <w:rsid w:val="001E4458"/>
    <w:rsid w:val="001E4B8C"/>
    <w:rsid w:val="001E4F16"/>
    <w:rsid w:val="001E59F7"/>
    <w:rsid w:val="001E59FC"/>
    <w:rsid w:val="001E6326"/>
    <w:rsid w:val="001E6A66"/>
    <w:rsid w:val="001F075D"/>
    <w:rsid w:val="001F0FC6"/>
    <w:rsid w:val="001F130D"/>
    <w:rsid w:val="001F1819"/>
    <w:rsid w:val="001F2E9D"/>
    <w:rsid w:val="001F3A23"/>
    <w:rsid w:val="001F4112"/>
    <w:rsid w:val="001F4878"/>
    <w:rsid w:val="001F4E3A"/>
    <w:rsid w:val="001F5321"/>
    <w:rsid w:val="001F534E"/>
    <w:rsid w:val="001F5B18"/>
    <w:rsid w:val="001F5D56"/>
    <w:rsid w:val="001F6185"/>
    <w:rsid w:val="001F6FAA"/>
    <w:rsid w:val="001F7AFA"/>
    <w:rsid w:val="001F7B9D"/>
    <w:rsid w:val="00200149"/>
    <w:rsid w:val="00200789"/>
    <w:rsid w:val="002008A9"/>
    <w:rsid w:val="00200C39"/>
    <w:rsid w:val="0020110C"/>
    <w:rsid w:val="002018AB"/>
    <w:rsid w:val="00201B3C"/>
    <w:rsid w:val="002023F0"/>
    <w:rsid w:val="002025F8"/>
    <w:rsid w:val="0020308E"/>
    <w:rsid w:val="00203EA6"/>
    <w:rsid w:val="0020460C"/>
    <w:rsid w:val="0020475C"/>
    <w:rsid w:val="0020559B"/>
    <w:rsid w:val="00205AF5"/>
    <w:rsid w:val="00206018"/>
    <w:rsid w:val="002073D3"/>
    <w:rsid w:val="00207869"/>
    <w:rsid w:val="00207FDF"/>
    <w:rsid w:val="0021073A"/>
    <w:rsid w:val="00210EE8"/>
    <w:rsid w:val="00210F21"/>
    <w:rsid w:val="0021131F"/>
    <w:rsid w:val="0021140A"/>
    <w:rsid w:val="00211A24"/>
    <w:rsid w:val="00211EBA"/>
    <w:rsid w:val="002125DE"/>
    <w:rsid w:val="0021470F"/>
    <w:rsid w:val="0021548B"/>
    <w:rsid w:val="00215C17"/>
    <w:rsid w:val="00215D98"/>
    <w:rsid w:val="00216282"/>
    <w:rsid w:val="002167DE"/>
    <w:rsid w:val="00216A6E"/>
    <w:rsid w:val="00216D7D"/>
    <w:rsid w:val="00216FA2"/>
    <w:rsid w:val="00217F2F"/>
    <w:rsid w:val="002203CE"/>
    <w:rsid w:val="0022042A"/>
    <w:rsid w:val="00220FCB"/>
    <w:rsid w:val="00221240"/>
    <w:rsid w:val="00221600"/>
    <w:rsid w:val="00221952"/>
    <w:rsid w:val="00221BE4"/>
    <w:rsid w:val="00221DD1"/>
    <w:rsid w:val="00221F03"/>
    <w:rsid w:val="002223B5"/>
    <w:rsid w:val="00222875"/>
    <w:rsid w:val="00222BB9"/>
    <w:rsid w:val="00223541"/>
    <w:rsid w:val="00223613"/>
    <w:rsid w:val="00223B66"/>
    <w:rsid w:val="002240A4"/>
    <w:rsid w:val="00224198"/>
    <w:rsid w:val="0022478B"/>
    <w:rsid w:val="00224D91"/>
    <w:rsid w:val="00225308"/>
    <w:rsid w:val="00225402"/>
    <w:rsid w:val="00225547"/>
    <w:rsid w:val="00225DB4"/>
    <w:rsid w:val="00225F4E"/>
    <w:rsid w:val="00225FF2"/>
    <w:rsid w:val="0022728A"/>
    <w:rsid w:val="002303FF"/>
    <w:rsid w:val="00230B4C"/>
    <w:rsid w:val="00230C74"/>
    <w:rsid w:val="00231269"/>
    <w:rsid w:val="0023187C"/>
    <w:rsid w:val="0023235C"/>
    <w:rsid w:val="002324E9"/>
    <w:rsid w:val="00232836"/>
    <w:rsid w:val="0023330C"/>
    <w:rsid w:val="0023339C"/>
    <w:rsid w:val="00234309"/>
    <w:rsid w:val="0023485F"/>
    <w:rsid w:val="00234950"/>
    <w:rsid w:val="00235123"/>
    <w:rsid w:val="00236362"/>
    <w:rsid w:val="00236E82"/>
    <w:rsid w:val="00237752"/>
    <w:rsid w:val="0024078E"/>
    <w:rsid w:val="00240C07"/>
    <w:rsid w:val="00240C5B"/>
    <w:rsid w:val="002411A4"/>
    <w:rsid w:val="002416E2"/>
    <w:rsid w:val="002416F8"/>
    <w:rsid w:val="002419D0"/>
    <w:rsid w:val="00242897"/>
    <w:rsid w:val="00242A62"/>
    <w:rsid w:val="00242B32"/>
    <w:rsid w:val="002444EA"/>
    <w:rsid w:val="00245EF6"/>
    <w:rsid w:val="00246E7B"/>
    <w:rsid w:val="00247F3F"/>
    <w:rsid w:val="002505FD"/>
    <w:rsid w:val="0025131F"/>
    <w:rsid w:val="00251861"/>
    <w:rsid w:val="00253669"/>
    <w:rsid w:val="00253A6A"/>
    <w:rsid w:val="00253F0D"/>
    <w:rsid w:val="00255414"/>
    <w:rsid w:val="00255576"/>
    <w:rsid w:val="00255AC7"/>
    <w:rsid w:val="002569C5"/>
    <w:rsid w:val="00256A84"/>
    <w:rsid w:val="00256C85"/>
    <w:rsid w:val="00257A80"/>
    <w:rsid w:val="00257F4D"/>
    <w:rsid w:val="00260532"/>
    <w:rsid w:val="00261404"/>
    <w:rsid w:val="002617E0"/>
    <w:rsid w:val="0026198C"/>
    <w:rsid w:val="00261AC6"/>
    <w:rsid w:val="0026287D"/>
    <w:rsid w:val="00262FCB"/>
    <w:rsid w:val="002635B6"/>
    <w:rsid w:val="00263AB2"/>
    <w:rsid w:val="002643E5"/>
    <w:rsid w:val="00264EB2"/>
    <w:rsid w:val="00265009"/>
    <w:rsid w:val="002659CF"/>
    <w:rsid w:val="0026684E"/>
    <w:rsid w:val="00266E33"/>
    <w:rsid w:val="0026705D"/>
    <w:rsid w:val="00267C83"/>
    <w:rsid w:val="0027096D"/>
    <w:rsid w:val="00270DBF"/>
    <w:rsid w:val="002718CF"/>
    <w:rsid w:val="0027213C"/>
    <w:rsid w:val="00272498"/>
    <w:rsid w:val="002725B6"/>
    <w:rsid w:val="002726B5"/>
    <w:rsid w:val="0027399C"/>
    <w:rsid w:val="00273A94"/>
    <w:rsid w:val="002742BC"/>
    <w:rsid w:val="00274C49"/>
    <w:rsid w:val="002756FA"/>
    <w:rsid w:val="0027583C"/>
    <w:rsid w:val="00276030"/>
    <w:rsid w:val="002762EB"/>
    <w:rsid w:val="002763BB"/>
    <w:rsid w:val="00276AC4"/>
    <w:rsid w:val="00276F7B"/>
    <w:rsid w:val="00277292"/>
    <w:rsid w:val="0027767A"/>
    <w:rsid w:val="00277E4B"/>
    <w:rsid w:val="002806DE"/>
    <w:rsid w:val="002807E4"/>
    <w:rsid w:val="00280E41"/>
    <w:rsid w:val="002815E4"/>
    <w:rsid w:val="00281D37"/>
    <w:rsid w:val="0028240A"/>
    <w:rsid w:val="002826C6"/>
    <w:rsid w:val="00282892"/>
    <w:rsid w:val="00282AD6"/>
    <w:rsid w:val="002830C4"/>
    <w:rsid w:val="00283506"/>
    <w:rsid w:val="00283A43"/>
    <w:rsid w:val="002842BF"/>
    <w:rsid w:val="00284301"/>
    <w:rsid w:val="00284647"/>
    <w:rsid w:val="0028487B"/>
    <w:rsid w:val="002848AD"/>
    <w:rsid w:val="002848C4"/>
    <w:rsid w:val="002849EB"/>
    <w:rsid w:val="00285A81"/>
    <w:rsid w:val="00285BDF"/>
    <w:rsid w:val="00285F61"/>
    <w:rsid w:val="002862E3"/>
    <w:rsid w:val="002868A8"/>
    <w:rsid w:val="00287BB6"/>
    <w:rsid w:val="00287E12"/>
    <w:rsid w:val="00290DAB"/>
    <w:rsid w:val="00291042"/>
    <w:rsid w:val="002913F1"/>
    <w:rsid w:val="0029153C"/>
    <w:rsid w:val="00291871"/>
    <w:rsid w:val="0029192C"/>
    <w:rsid w:val="00291C24"/>
    <w:rsid w:val="00291C6C"/>
    <w:rsid w:val="00292441"/>
    <w:rsid w:val="00292754"/>
    <w:rsid w:val="002927BC"/>
    <w:rsid w:val="00292AC6"/>
    <w:rsid w:val="00292F73"/>
    <w:rsid w:val="002937EB"/>
    <w:rsid w:val="00293A07"/>
    <w:rsid w:val="002950BC"/>
    <w:rsid w:val="00295CE8"/>
    <w:rsid w:val="00295FCA"/>
    <w:rsid w:val="002962B1"/>
    <w:rsid w:val="002965AD"/>
    <w:rsid w:val="002978BD"/>
    <w:rsid w:val="00297B75"/>
    <w:rsid w:val="002A0B61"/>
    <w:rsid w:val="002A0C3D"/>
    <w:rsid w:val="002A0C4E"/>
    <w:rsid w:val="002A1672"/>
    <w:rsid w:val="002A1950"/>
    <w:rsid w:val="002A22D6"/>
    <w:rsid w:val="002A347A"/>
    <w:rsid w:val="002A3505"/>
    <w:rsid w:val="002A3741"/>
    <w:rsid w:val="002A38B8"/>
    <w:rsid w:val="002A4AAB"/>
    <w:rsid w:val="002A5B5E"/>
    <w:rsid w:val="002A5CB2"/>
    <w:rsid w:val="002A5E44"/>
    <w:rsid w:val="002A65E2"/>
    <w:rsid w:val="002A78DA"/>
    <w:rsid w:val="002A7BBC"/>
    <w:rsid w:val="002A7D8B"/>
    <w:rsid w:val="002B04B6"/>
    <w:rsid w:val="002B12E2"/>
    <w:rsid w:val="002B1662"/>
    <w:rsid w:val="002B26DD"/>
    <w:rsid w:val="002B2E32"/>
    <w:rsid w:val="002B3F03"/>
    <w:rsid w:val="002B4148"/>
    <w:rsid w:val="002B469A"/>
    <w:rsid w:val="002B4844"/>
    <w:rsid w:val="002B51EA"/>
    <w:rsid w:val="002B58A5"/>
    <w:rsid w:val="002B6E74"/>
    <w:rsid w:val="002B7974"/>
    <w:rsid w:val="002C0DD0"/>
    <w:rsid w:val="002C1AB9"/>
    <w:rsid w:val="002C1B64"/>
    <w:rsid w:val="002C1F72"/>
    <w:rsid w:val="002C2A04"/>
    <w:rsid w:val="002C2D6E"/>
    <w:rsid w:val="002C2F76"/>
    <w:rsid w:val="002C3042"/>
    <w:rsid w:val="002C363B"/>
    <w:rsid w:val="002C465A"/>
    <w:rsid w:val="002C4FE9"/>
    <w:rsid w:val="002C666B"/>
    <w:rsid w:val="002C6C07"/>
    <w:rsid w:val="002C6E3F"/>
    <w:rsid w:val="002C73BE"/>
    <w:rsid w:val="002D12C2"/>
    <w:rsid w:val="002D139C"/>
    <w:rsid w:val="002D13DD"/>
    <w:rsid w:val="002D1777"/>
    <w:rsid w:val="002D2F30"/>
    <w:rsid w:val="002D53F6"/>
    <w:rsid w:val="002D5C40"/>
    <w:rsid w:val="002D61AB"/>
    <w:rsid w:val="002D6778"/>
    <w:rsid w:val="002D691E"/>
    <w:rsid w:val="002D71D8"/>
    <w:rsid w:val="002D7BB2"/>
    <w:rsid w:val="002E089B"/>
    <w:rsid w:val="002E1270"/>
    <w:rsid w:val="002E144B"/>
    <w:rsid w:val="002E1F2C"/>
    <w:rsid w:val="002E273F"/>
    <w:rsid w:val="002E28E9"/>
    <w:rsid w:val="002E2FC3"/>
    <w:rsid w:val="002E3240"/>
    <w:rsid w:val="002E348F"/>
    <w:rsid w:val="002E365A"/>
    <w:rsid w:val="002E36ED"/>
    <w:rsid w:val="002E3D82"/>
    <w:rsid w:val="002E4176"/>
    <w:rsid w:val="002E4405"/>
    <w:rsid w:val="002E49FF"/>
    <w:rsid w:val="002E4DA9"/>
    <w:rsid w:val="002E6986"/>
    <w:rsid w:val="002E69EC"/>
    <w:rsid w:val="002E6BFE"/>
    <w:rsid w:val="002E6F35"/>
    <w:rsid w:val="002E7D9A"/>
    <w:rsid w:val="002F0E7D"/>
    <w:rsid w:val="002F1AA5"/>
    <w:rsid w:val="002F285F"/>
    <w:rsid w:val="002F4179"/>
    <w:rsid w:val="002F4310"/>
    <w:rsid w:val="002F4611"/>
    <w:rsid w:val="002F4865"/>
    <w:rsid w:val="002F499D"/>
    <w:rsid w:val="002F64B6"/>
    <w:rsid w:val="002F654F"/>
    <w:rsid w:val="002F69E0"/>
    <w:rsid w:val="002F6C93"/>
    <w:rsid w:val="002F7204"/>
    <w:rsid w:val="002F7B60"/>
    <w:rsid w:val="00302CC4"/>
    <w:rsid w:val="00302CFF"/>
    <w:rsid w:val="00303C71"/>
    <w:rsid w:val="003043DA"/>
    <w:rsid w:val="00304814"/>
    <w:rsid w:val="0030496A"/>
    <w:rsid w:val="00305BF1"/>
    <w:rsid w:val="003065FB"/>
    <w:rsid w:val="00306880"/>
    <w:rsid w:val="003068FA"/>
    <w:rsid w:val="00306A74"/>
    <w:rsid w:val="003101E3"/>
    <w:rsid w:val="00311639"/>
    <w:rsid w:val="00311897"/>
    <w:rsid w:val="00313325"/>
    <w:rsid w:val="00313A4D"/>
    <w:rsid w:val="00313F34"/>
    <w:rsid w:val="00314DB9"/>
    <w:rsid w:val="0031539F"/>
    <w:rsid w:val="00315B7B"/>
    <w:rsid w:val="00315E89"/>
    <w:rsid w:val="00316DF0"/>
    <w:rsid w:val="0031707F"/>
    <w:rsid w:val="003175EE"/>
    <w:rsid w:val="00317704"/>
    <w:rsid w:val="003203C0"/>
    <w:rsid w:val="00321283"/>
    <w:rsid w:val="00321E2F"/>
    <w:rsid w:val="00322EAA"/>
    <w:rsid w:val="00323A61"/>
    <w:rsid w:val="00324720"/>
    <w:rsid w:val="00324865"/>
    <w:rsid w:val="00324E36"/>
    <w:rsid w:val="0032557C"/>
    <w:rsid w:val="00326478"/>
    <w:rsid w:val="00327585"/>
    <w:rsid w:val="00327742"/>
    <w:rsid w:val="0032788A"/>
    <w:rsid w:val="0033082B"/>
    <w:rsid w:val="00330FA4"/>
    <w:rsid w:val="00331031"/>
    <w:rsid w:val="00331281"/>
    <w:rsid w:val="00331594"/>
    <w:rsid w:val="0033174A"/>
    <w:rsid w:val="00332678"/>
    <w:rsid w:val="003333CF"/>
    <w:rsid w:val="003347D8"/>
    <w:rsid w:val="003347F8"/>
    <w:rsid w:val="003348AD"/>
    <w:rsid w:val="003350FF"/>
    <w:rsid w:val="0033550D"/>
    <w:rsid w:val="003357A8"/>
    <w:rsid w:val="003359F2"/>
    <w:rsid w:val="00336167"/>
    <w:rsid w:val="00337B51"/>
    <w:rsid w:val="00340374"/>
    <w:rsid w:val="003405B0"/>
    <w:rsid w:val="00340734"/>
    <w:rsid w:val="0034095A"/>
    <w:rsid w:val="00340B45"/>
    <w:rsid w:val="00341F3F"/>
    <w:rsid w:val="00342D53"/>
    <w:rsid w:val="00342E44"/>
    <w:rsid w:val="003430D9"/>
    <w:rsid w:val="0034314E"/>
    <w:rsid w:val="00343150"/>
    <w:rsid w:val="00343334"/>
    <w:rsid w:val="003435EA"/>
    <w:rsid w:val="00343795"/>
    <w:rsid w:val="0034421E"/>
    <w:rsid w:val="00345802"/>
    <w:rsid w:val="00346F10"/>
    <w:rsid w:val="00347DC8"/>
    <w:rsid w:val="00350642"/>
    <w:rsid w:val="0035087B"/>
    <w:rsid w:val="00350ACD"/>
    <w:rsid w:val="00350D3C"/>
    <w:rsid w:val="00351F04"/>
    <w:rsid w:val="00352243"/>
    <w:rsid w:val="00352345"/>
    <w:rsid w:val="0035277F"/>
    <w:rsid w:val="00352E5D"/>
    <w:rsid w:val="00353746"/>
    <w:rsid w:val="003538B4"/>
    <w:rsid w:val="00353D3F"/>
    <w:rsid w:val="00353DAF"/>
    <w:rsid w:val="003546A7"/>
    <w:rsid w:val="0035476A"/>
    <w:rsid w:val="00354E41"/>
    <w:rsid w:val="00355900"/>
    <w:rsid w:val="00355F7D"/>
    <w:rsid w:val="00356C0C"/>
    <w:rsid w:val="0036003D"/>
    <w:rsid w:val="003601EE"/>
    <w:rsid w:val="0036092F"/>
    <w:rsid w:val="00360A15"/>
    <w:rsid w:val="00361208"/>
    <w:rsid w:val="0036212C"/>
    <w:rsid w:val="00363C9A"/>
    <w:rsid w:val="00364709"/>
    <w:rsid w:val="0036549B"/>
    <w:rsid w:val="00365849"/>
    <w:rsid w:val="00365B00"/>
    <w:rsid w:val="00365D48"/>
    <w:rsid w:val="0036608F"/>
    <w:rsid w:val="00366FBC"/>
    <w:rsid w:val="00367761"/>
    <w:rsid w:val="00367C9D"/>
    <w:rsid w:val="0037177E"/>
    <w:rsid w:val="00372044"/>
    <w:rsid w:val="003723EC"/>
    <w:rsid w:val="003725C2"/>
    <w:rsid w:val="00372EA0"/>
    <w:rsid w:val="00373228"/>
    <w:rsid w:val="00373279"/>
    <w:rsid w:val="0037398C"/>
    <w:rsid w:val="00373DDA"/>
    <w:rsid w:val="003751D4"/>
    <w:rsid w:val="003773F8"/>
    <w:rsid w:val="0037765F"/>
    <w:rsid w:val="0037789B"/>
    <w:rsid w:val="003805C3"/>
    <w:rsid w:val="003808DC"/>
    <w:rsid w:val="003812EE"/>
    <w:rsid w:val="00381353"/>
    <w:rsid w:val="00381AD3"/>
    <w:rsid w:val="00382023"/>
    <w:rsid w:val="00382317"/>
    <w:rsid w:val="00382748"/>
    <w:rsid w:val="00382999"/>
    <w:rsid w:val="00383613"/>
    <w:rsid w:val="0038366B"/>
    <w:rsid w:val="00383860"/>
    <w:rsid w:val="00383E27"/>
    <w:rsid w:val="00384A33"/>
    <w:rsid w:val="00384F53"/>
    <w:rsid w:val="00385835"/>
    <w:rsid w:val="00385D26"/>
    <w:rsid w:val="0038644E"/>
    <w:rsid w:val="00386787"/>
    <w:rsid w:val="003867F9"/>
    <w:rsid w:val="0038718B"/>
    <w:rsid w:val="00390037"/>
    <w:rsid w:val="003902C3"/>
    <w:rsid w:val="00390F51"/>
    <w:rsid w:val="00391567"/>
    <w:rsid w:val="00391805"/>
    <w:rsid w:val="00391A97"/>
    <w:rsid w:val="00392780"/>
    <w:rsid w:val="00392866"/>
    <w:rsid w:val="0039294F"/>
    <w:rsid w:val="00392B9F"/>
    <w:rsid w:val="00392D76"/>
    <w:rsid w:val="0039443C"/>
    <w:rsid w:val="00396446"/>
    <w:rsid w:val="003965DB"/>
    <w:rsid w:val="003966A4"/>
    <w:rsid w:val="00397C03"/>
    <w:rsid w:val="00397EA7"/>
    <w:rsid w:val="003A1873"/>
    <w:rsid w:val="003A18B0"/>
    <w:rsid w:val="003A3077"/>
    <w:rsid w:val="003A389D"/>
    <w:rsid w:val="003A38CA"/>
    <w:rsid w:val="003A3AA9"/>
    <w:rsid w:val="003A4083"/>
    <w:rsid w:val="003A4099"/>
    <w:rsid w:val="003A48A3"/>
    <w:rsid w:val="003A4DEB"/>
    <w:rsid w:val="003A5400"/>
    <w:rsid w:val="003A54A3"/>
    <w:rsid w:val="003A56B4"/>
    <w:rsid w:val="003A7181"/>
    <w:rsid w:val="003A7B5E"/>
    <w:rsid w:val="003A7CE9"/>
    <w:rsid w:val="003A7D94"/>
    <w:rsid w:val="003B074C"/>
    <w:rsid w:val="003B0E84"/>
    <w:rsid w:val="003B2770"/>
    <w:rsid w:val="003B2E8F"/>
    <w:rsid w:val="003B304F"/>
    <w:rsid w:val="003B36FD"/>
    <w:rsid w:val="003B3A47"/>
    <w:rsid w:val="003B4DC4"/>
    <w:rsid w:val="003B52E3"/>
    <w:rsid w:val="003B5832"/>
    <w:rsid w:val="003B5E71"/>
    <w:rsid w:val="003B74A7"/>
    <w:rsid w:val="003C0A14"/>
    <w:rsid w:val="003C0D4F"/>
    <w:rsid w:val="003C1256"/>
    <w:rsid w:val="003C1404"/>
    <w:rsid w:val="003C1471"/>
    <w:rsid w:val="003C1956"/>
    <w:rsid w:val="003C205E"/>
    <w:rsid w:val="003C2F63"/>
    <w:rsid w:val="003C3A16"/>
    <w:rsid w:val="003C3E7A"/>
    <w:rsid w:val="003C5D94"/>
    <w:rsid w:val="003C5F39"/>
    <w:rsid w:val="003C7416"/>
    <w:rsid w:val="003C7A73"/>
    <w:rsid w:val="003D061C"/>
    <w:rsid w:val="003D07AC"/>
    <w:rsid w:val="003D16A0"/>
    <w:rsid w:val="003D188B"/>
    <w:rsid w:val="003D203F"/>
    <w:rsid w:val="003D22F5"/>
    <w:rsid w:val="003D29A8"/>
    <w:rsid w:val="003D2ED7"/>
    <w:rsid w:val="003D31F8"/>
    <w:rsid w:val="003D3B9A"/>
    <w:rsid w:val="003D42BA"/>
    <w:rsid w:val="003D4669"/>
    <w:rsid w:val="003D499F"/>
    <w:rsid w:val="003D5E2A"/>
    <w:rsid w:val="003D6859"/>
    <w:rsid w:val="003D6916"/>
    <w:rsid w:val="003D6B57"/>
    <w:rsid w:val="003D78C3"/>
    <w:rsid w:val="003E05F8"/>
    <w:rsid w:val="003E0880"/>
    <w:rsid w:val="003E0893"/>
    <w:rsid w:val="003E117C"/>
    <w:rsid w:val="003E1860"/>
    <w:rsid w:val="003E1B94"/>
    <w:rsid w:val="003E3CBC"/>
    <w:rsid w:val="003E4724"/>
    <w:rsid w:val="003E5316"/>
    <w:rsid w:val="003E5B81"/>
    <w:rsid w:val="003E6165"/>
    <w:rsid w:val="003E63DA"/>
    <w:rsid w:val="003E6E9A"/>
    <w:rsid w:val="003F0052"/>
    <w:rsid w:val="003F04AD"/>
    <w:rsid w:val="003F080A"/>
    <w:rsid w:val="003F089C"/>
    <w:rsid w:val="003F1AB4"/>
    <w:rsid w:val="003F20BE"/>
    <w:rsid w:val="003F2930"/>
    <w:rsid w:val="003F32ED"/>
    <w:rsid w:val="003F4609"/>
    <w:rsid w:val="003F4741"/>
    <w:rsid w:val="003F4887"/>
    <w:rsid w:val="003F4BF3"/>
    <w:rsid w:val="003F4CD7"/>
    <w:rsid w:val="003F6718"/>
    <w:rsid w:val="003F6774"/>
    <w:rsid w:val="003F7507"/>
    <w:rsid w:val="003F7BA2"/>
    <w:rsid w:val="0040036D"/>
    <w:rsid w:val="00400ACB"/>
    <w:rsid w:val="004014AC"/>
    <w:rsid w:val="00401BD6"/>
    <w:rsid w:val="00401EA9"/>
    <w:rsid w:val="00402A57"/>
    <w:rsid w:val="00402BA3"/>
    <w:rsid w:val="00402EAD"/>
    <w:rsid w:val="004033D5"/>
    <w:rsid w:val="0040556F"/>
    <w:rsid w:val="00405C57"/>
    <w:rsid w:val="0040634B"/>
    <w:rsid w:val="00406717"/>
    <w:rsid w:val="00406F15"/>
    <w:rsid w:val="00407DF5"/>
    <w:rsid w:val="004112B7"/>
    <w:rsid w:val="004113F2"/>
    <w:rsid w:val="0041189C"/>
    <w:rsid w:val="0041286B"/>
    <w:rsid w:val="004128B4"/>
    <w:rsid w:val="0041292C"/>
    <w:rsid w:val="00412E55"/>
    <w:rsid w:val="00412EDA"/>
    <w:rsid w:val="00413ED6"/>
    <w:rsid w:val="0041470D"/>
    <w:rsid w:val="00414B1C"/>
    <w:rsid w:val="00415306"/>
    <w:rsid w:val="00415F1E"/>
    <w:rsid w:val="004165A5"/>
    <w:rsid w:val="004165E0"/>
    <w:rsid w:val="0042010D"/>
    <w:rsid w:val="0042020F"/>
    <w:rsid w:val="004209AD"/>
    <w:rsid w:val="00420E26"/>
    <w:rsid w:val="00421D16"/>
    <w:rsid w:val="00422306"/>
    <w:rsid w:val="00423AB0"/>
    <w:rsid w:val="004241CA"/>
    <w:rsid w:val="004241CE"/>
    <w:rsid w:val="00424712"/>
    <w:rsid w:val="0042490F"/>
    <w:rsid w:val="00424DB7"/>
    <w:rsid w:val="0042508B"/>
    <w:rsid w:val="004254EF"/>
    <w:rsid w:val="004255AF"/>
    <w:rsid w:val="00425B05"/>
    <w:rsid w:val="00425EF9"/>
    <w:rsid w:val="00426BCE"/>
    <w:rsid w:val="004279C8"/>
    <w:rsid w:val="0043056E"/>
    <w:rsid w:val="0043102C"/>
    <w:rsid w:val="0043118F"/>
    <w:rsid w:val="00431942"/>
    <w:rsid w:val="00431D80"/>
    <w:rsid w:val="00431E2C"/>
    <w:rsid w:val="0043220B"/>
    <w:rsid w:val="00432712"/>
    <w:rsid w:val="00432EDE"/>
    <w:rsid w:val="00433182"/>
    <w:rsid w:val="00433389"/>
    <w:rsid w:val="004337B5"/>
    <w:rsid w:val="004346A4"/>
    <w:rsid w:val="00434759"/>
    <w:rsid w:val="00434E74"/>
    <w:rsid w:val="00435970"/>
    <w:rsid w:val="0043663F"/>
    <w:rsid w:val="004366AC"/>
    <w:rsid w:val="00436879"/>
    <w:rsid w:val="00437C0C"/>
    <w:rsid w:val="00437DC8"/>
    <w:rsid w:val="00440935"/>
    <w:rsid w:val="0044137D"/>
    <w:rsid w:val="004415FA"/>
    <w:rsid w:val="00441DE0"/>
    <w:rsid w:val="004428F8"/>
    <w:rsid w:val="00443178"/>
    <w:rsid w:val="004438EC"/>
    <w:rsid w:val="0044402C"/>
    <w:rsid w:val="00444B64"/>
    <w:rsid w:val="004451F6"/>
    <w:rsid w:val="00445686"/>
    <w:rsid w:val="00446471"/>
    <w:rsid w:val="004470BD"/>
    <w:rsid w:val="00447425"/>
    <w:rsid w:val="004475A2"/>
    <w:rsid w:val="00447F68"/>
    <w:rsid w:val="00450348"/>
    <w:rsid w:val="004508EB"/>
    <w:rsid w:val="0045245D"/>
    <w:rsid w:val="00453947"/>
    <w:rsid w:val="00453F0B"/>
    <w:rsid w:val="00454212"/>
    <w:rsid w:val="00456A2C"/>
    <w:rsid w:val="004605E2"/>
    <w:rsid w:val="00460668"/>
    <w:rsid w:val="0046073A"/>
    <w:rsid w:val="00460FE1"/>
    <w:rsid w:val="004611C1"/>
    <w:rsid w:val="004623DA"/>
    <w:rsid w:val="00463F68"/>
    <w:rsid w:val="004641AB"/>
    <w:rsid w:val="004642F0"/>
    <w:rsid w:val="0046580F"/>
    <w:rsid w:val="00465AF5"/>
    <w:rsid w:val="004661B0"/>
    <w:rsid w:val="004668CD"/>
    <w:rsid w:val="00466EEA"/>
    <w:rsid w:val="0046763B"/>
    <w:rsid w:val="004702BD"/>
    <w:rsid w:val="00470775"/>
    <w:rsid w:val="00471E25"/>
    <w:rsid w:val="00472EFF"/>
    <w:rsid w:val="004736D8"/>
    <w:rsid w:val="00473A7F"/>
    <w:rsid w:val="00473E7D"/>
    <w:rsid w:val="0047596E"/>
    <w:rsid w:val="00476466"/>
    <w:rsid w:val="00477865"/>
    <w:rsid w:val="004803BE"/>
    <w:rsid w:val="00482C15"/>
    <w:rsid w:val="00484168"/>
    <w:rsid w:val="00484599"/>
    <w:rsid w:val="0048500C"/>
    <w:rsid w:val="004851C5"/>
    <w:rsid w:val="00485919"/>
    <w:rsid w:val="00485F0D"/>
    <w:rsid w:val="00487EFD"/>
    <w:rsid w:val="0049035D"/>
    <w:rsid w:val="00490639"/>
    <w:rsid w:val="00490DAB"/>
    <w:rsid w:val="00490E4A"/>
    <w:rsid w:val="004911DC"/>
    <w:rsid w:val="004919FF"/>
    <w:rsid w:val="00492789"/>
    <w:rsid w:val="004944B6"/>
    <w:rsid w:val="0049465F"/>
    <w:rsid w:val="00494A80"/>
    <w:rsid w:val="00496566"/>
    <w:rsid w:val="00497391"/>
    <w:rsid w:val="004A0207"/>
    <w:rsid w:val="004A138B"/>
    <w:rsid w:val="004A1641"/>
    <w:rsid w:val="004A1A48"/>
    <w:rsid w:val="004A4630"/>
    <w:rsid w:val="004A4CC2"/>
    <w:rsid w:val="004A617B"/>
    <w:rsid w:val="004A7952"/>
    <w:rsid w:val="004A7AFF"/>
    <w:rsid w:val="004B0529"/>
    <w:rsid w:val="004B0607"/>
    <w:rsid w:val="004B1465"/>
    <w:rsid w:val="004B380A"/>
    <w:rsid w:val="004B3B1B"/>
    <w:rsid w:val="004B5555"/>
    <w:rsid w:val="004B5F11"/>
    <w:rsid w:val="004B61D7"/>
    <w:rsid w:val="004B67F3"/>
    <w:rsid w:val="004B6A9B"/>
    <w:rsid w:val="004B6AEA"/>
    <w:rsid w:val="004B6C20"/>
    <w:rsid w:val="004B78C3"/>
    <w:rsid w:val="004B7D7C"/>
    <w:rsid w:val="004C018B"/>
    <w:rsid w:val="004C0273"/>
    <w:rsid w:val="004C0A57"/>
    <w:rsid w:val="004C0C6D"/>
    <w:rsid w:val="004C2C07"/>
    <w:rsid w:val="004C4100"/>
    <w:rsid w:val="004C4320"/>
    <w:rsid w:val="004C4847"/>
    <w:rsid w:val="004C5156"/>
    <w:rsid w:val="004C5584"/>
    <w:rsid w:val="004C5794"/>
    <w:rsid w:val="004C6B9E"/>
    <w:rsid w:val="004C6C6E"/>
    <w:rsid w:val="004C7449"/>
    <w:rsid w:val="004C780E"/>
    <w:rsid w:val="004D090D"/>
    <w:rsid w:val="004D0C5E"/>
    <w:rsid w:val="004D14D8"/>
    <w:rsid w:val="004D1FB6"/>
    <w:rsid w:val="004D2A28"/>
    <w:rsid w:val="004D31C7"/>
    <w:rsid w:val="004D3241"/>
    <w:rsid w:val="004D3D91"/>
    <w:rsid w:val="004D41AF"/>
    <w:rsid w:val="004D4549"/>
    <w:rsid w:val="004D4BA7"/>
    <w:rsid w:val="004D5ACE"/>
    <w:rsid w:val="004D5BB9"/>
    <w:rsid w:val="004D5E0E"/>
    <w:rsid w:val="004D6074"/>
    <w:rsid w:val="004D6D18"/>
    <w:rsid w:val="004D73F4"/>
    <w:rsid w:val="004D77B0"/>
    <w:rsid w:val="004D7834"/>
    <w:rsid w:val="004D7BF8"/>
    <w:rsid w:val="004D7C86"/>
    <w:rsid w:val="004E01E1"/>
    <w:rsid w:val="004E0233"/>
    <w:rsid w:val="004E0B7A"/>
    <w:rsid w:val="004E0B8E"/>
    <w:rsid w:val="004E1894"/>
    <w:rsid w:val="004E2364"/>
    <w:rsid w:val="004E2523"/>
    <w:rsid w:val="004E2CF6"/>
    <w:rsid w:val="004E3BBF"/>
    <w:rsid w:val="004E44A3"/>
    <w:rsid w:val="004E518C"/>
    <w:rsid w:val="004E6B12"/>
    <w:rsid w:val="004E6F94"/>
    <w:rsid w:val="004E7484"/>
    <w:rsid w:val="004E7578"/>
    <w:rsid w:val="004E765F"/>
    <w:rsid w:val="004E7886"/>
    <w:rsid w:val="004F0107"/>
    <w:rsid w:val="004F095E"/>
    <w:rsid w:val="004F1699"/>
    <w:rsid w:val="004F2BF1"/>
    <w:rsid w:val="004F3090"/>
    <w:rsid w:val="004F382E"/>
    <w:rsid w:val="004F4346"/>
    <w:rsid w:val="004F448A"/>
    <w:rsid w:val="004F489A"/>
    <w:rsid w:val="004F4A38"/>
    <w:rsid w:val="004F4A39"/>
    <w:rsid w:val="004F4D75"/>
    <w:rsid w:val="004F4EF9"/>
    <w:rsid w:val="004F5F21"/>
    <w:rsid w:val="004F66D0"/>
    <w:rsid w:val="004F6747"/>
    <w:rsid w:val="004F7745"/>
    <w:rsid w:val="00500F88"/>
    <w:rsid w:val="00500F9D"/>
    <w:rsid w:val="00502A95"/>
    <w:rsid w:val="00503D6E"/>
    <w:rsid w:val="00504154"/>
    <w:rsid w:val="00504223"/>
    <w:rsid w:val="0050477B"/>
    <w:rsid w:val="005057CC"/>
    <w:rsid w:val="00505858"/>
    <w:rsid w:val="00505A9A"/>
    <w:rsid w:val="00505F80"/>
    <w:rsid w:val="00506455"/>
    <w:rsid w:val="00506501"/>
    <w:rsid w:val="00506A73"/>
    <w:rsid w:val="0050753E"/>
    <w:rsid w:val="00507E86"/>
    <w:rsid w:val="00507EB3"/>
    <w:rsid w:val="0051069F"/>
    <w:rsid w:val="005106F5"/>
    <w:rsid w:val="00510880"/>
    <w:rsid w:val="0051089D"/>
    <w:rsid w:val="00510C9E"/>
    <w:rsid w:val="005115F3"/>
    <w:rsid w:val="005120FE"/>
    <w:rsid w:val="00512BF2"/>
    <w:rsid w:val="00512C32"/>
    <w:rsid w:val="00513652"/>
    <w:rsid w:val="00513834"/>
    <w:rsid w:val="00513FA0"/>
    <w:rsid w:val="00514422"/>
    <w:rsid w:val="00514908"/>
    <w:rsid w:val="00514A6D"/>
    <w:rsid w:val="00515EB7"/>
    <w:rsid w:val="00516C57"/>
    <w:rsid w:val="005179DF"/>
    <w:rsid w:val="00520518"/>
    <w:rsid w:val="0052057E"/>
    <w:rsid w:val="005209D7"/>
    <w:rsid w:val="00520CB6"/>
    <w:rsid w:val="00520CB7"/>
    <w:rsid w:val="00520CD4"/>
    <w:rsid w:val="0052205A"/>
    <w:rsid w:val="005234EA"/>
    <w:rsid w:val="0052358E"/>
    <w:rsid w:val="00523628"/>
    <w:rsid w:val="00523D1E"/>
    <w:rsid w:val="00523DAC"/>
    <w:rsid w:val="00523FC5"/>
    <w:rsid w:val="00524C83"/>
    <w:rsid w:val="0052537E"/>
    <w:rsid w:val="00525778"/>
    <w:rsid w:val="00525F48"/>
    <w:rsid w:val="0052611C"/>
    <w:rsid w:val="005261F1"/>
    <w:rsid w:val="00526784"/>
    <w:rsid w:val="00526E2C"/>
    <w:rsid w:val="00526F68"/>
    <w:rsid w:val="005271A4"/>
    <w:rsid w:val="00527CD2"/>
    <w:rsid w:val="00527D03"/>
    <w:rsid w:val="00531781"/>
    <w:rsid w:val="00531E4D"/>
    <w:rsid w:val="005323B4"/>
    <w:rsid w:val="005327E8"/>
    <w:rsid w:val="00533FFC"/>
    <w:rsid w:val="0053417E"/>
    <w:rsid w:val="005351B0"/>
    <w:rsid w:val="0053539D"/>
    <w:rsid w:val="005358C4"/>
    <w:rsid w:val="005361E0"/>
    <w:rsid w:val="00536E17"/>
    <w:rsid w:val="0053729D"/>
    <w:rsid w:val="00540570"/>
    <w:rsid w:val="005437CF"/>
    <w:rsid w:val="0054482C"/>
    <w:rsid w:val="005450A3"/>
    <w:rsid w:val="00545CC6"/>
    <w:rsid w:val="00547298"/>
    <w:rsid w:val="005473AA"/>
    <w:rsid w:val="00547B5A"/>
    <w:rsid w:val="00550282"/>
    <w:rsid w:val="00550672"/>
    <w:rsid w:val="0055130D"/>
    <w:rsid w:val="005524C1"/>
    <w:rsid w:val="00553B61"/>
    <w:rsid w:val="00553FFE"/>
    <w:rsid w:val="00554095"/>
    <w:rsid w:val="0055446F"/>
    <w:rsid w:val="005550AD"/>
    <w:rsid w:val="005550DD"/>
    <w:rsid w:val="00555359"/>
    <w:rsid w:val="005554AD"/>
    <w:rsid w:val="005563CA"/>
    <w:rsid w:val="005575BA"/>
    <w:rsid w:val="00557DC5"/>
    <w:rsid w:val="005604D3"/>
    <w:rsid w:val="0056070D"/>
    <w:rsid w:val="00560C70"/>
    <w:rsid w:val="00560F77"/>
    <w:rsid w:val="00560FC3"/>
    <w:rsid w:val="005615BF"/>
    <w:rsid w:val="00561EA3"/>
    <w:rsid w:val="005624A0"/>
    <w:rsid w:val="00563076"/>
    <w:rsid w:val="005635C8"/>
    <w:rsid w:val="0056465E"/>
    <w:rsid w:val="005649A2"/>
    <w:rsid w:val="00564B12"/>
    <w:rsid w:val="0056550D"/>
    <w:rsid w:val="005659AC"/>
    <w:rsid w:val="00565CE6"/>
    <w:rsid w:val="00566336"/>
    <w:rsid w:val="0056637C"/>
    <w:rsid w:val="00566412"/>
    <w:rsid w:val="005665E1"/>
    <w:rsid w:val="00566EF8"/>
    <w:rsid w:val="00567348"/>
    <w:rsid w:val="00567592"/>
    <w:rsid w:val="00567B55"/>
    <w:rsid w:val="00567D6B"/>
    <w:rsid w:val="00567E5B"/>
    <w:rsid w:val="005701BB"/>
    <w:rsid w:val="005709B5"/>
    <w:rsid w:val="00570BB9"/>
    <w:rsid w:val="005712A8"/>
    <w:rsid w:val="00571B09"/>
    <w:rsid w:val="00572418"/>
    <w:rsid w:val="00572733"/>
    <w:rsid w:val="00572A77"/>
    <w:rsid w:val="00572E77"/>
    <w:rsid w:val="00573BE5"/>
    <w:rsid w:val="00574301"/>
    <w:rsid w:val="0057463F"/>
    <w:rsid w:val="00574806"/>
    <w:rsid w:val="005752A3"/>
    <w:rsid w:val="00575373"/>
    <w:rsid w:val="00575C34"/>
    <w:rsid w:val="00575CB7"/>
    <w:rsid w:val="005770DC"/>
    <w:rsid w:val="00577878"/>
    <w:rsid w:val="005806BC"/>
    <w:rsid w:val="00580BCD"/>
    <w:rsid w:val="00580F55"/>
    <w:rsid w:val="00581653"/>
    <w:rsid w:val="005818B6"/>
    <w:rsid w:val="00581B91"/>
    <w:rsid w:val="005821DB"/>
    <w:rsid w:val="0058312F"/>
    <w:rsid w:val="0058360C"/>
    <w:rsid w:val="00583D45"/>
    <w:rsid w:val="00583F70"/>
    <w:rsid w:val="00584D05"/>
    <w:rsid w:val="0058523D"/>
    <w:rsid w:val="0058537C"/>
    <w:rsid w:val="00585D70"/>
    <w:rsid w:val="00586934"/>
    <w:rsid w:val="00587C00"/>
    <w:rsid w:val="00587E4F"/>
    <w:rsid w:val="0059004B"/>
    <w:rsid w:val="0059089C"/>
    <w:rsid w:val="00590F89"/>
    <w:rsid w:val="00591843"/>
    <w:rsid w:val="00591BBD"/>
    <w:rsid w:val="00592139"/>
    <w:rsid w:val="00592493"/>
    <w:rsid w:val="005936AE"/>
    <w:rsid w:val="0059402C"/>
    <w:rsid w:val="0059449D"/>
    <w:rsid w:val="00596313"/>
    <w:rsid w:val="00596E7E"/>
    <w:rsid w:val="0059742D"/>
    <w:rsid w:val="00597D45"/>
    <w:rsid w:val="00597E20"/>
    <w:rsid w:val="00597E4B"/>
    <w:rsid w:val="00597E60"/>
    <w:rsid w:val="005A0B19"/>
    <w:rsid w:val="005A0DD7"/>
    <w:rsid w:val="005A10B1"/>
    <w:rsid w:val="005A1260"/>
    <w:rsid w:val="005A2FA1"/>
    <w:rsid w:val="005A3014"/>
    <w:rsid w:val="005A35B6"/>
    <w:rsid w:val="005A40E1"/>
    <w:rsid w:val="005A44E8"/>
    <w:rsid w:val="005A50A0"/>
    <w:rsid w:val="005A5384"/>
    <w:rsid w:val="005A54DE"/>
    <w:rsid w:val="005A6740"/>
    <w:rsid w:val="005A6DB0"/>
    <w:rsid w:val="005A753F"/>
    <w:rsid w:val="005A77C9"/>
    <w:rsid w:val="005A7A37"/>
    <w:rsid w:val="005B0287"/>
    <w:rsid w:val="005B03C3"/>
    <w:rsid w:val="005B0A7C"/>
    <w:rsid w:val="005B0B32"/>
    <w:rsid w:val="005B0C96"/>
    <w:rsid w:val="005B102C"/>
    <w:rsid w:val="005B10FD"/>
    <w:rsid w:val="005B1244"/>
    <w:rsid w:val="005B214B"/>
    <w:rsid w:val="005B3314"/>
    <w:rsid w:val="005B3467"/>
    <w:rsid w:val="005B37CC"/>
    <w:rsid w:val="005B3817"/>
    <w:rsid w:val="005B3959"/>
    <w:rsid w:val="005B4AB8"/>
    <w:rsid w:val="005B4FA4"/>
    <w:rsid w:val="005B5AF6"/>
    <w:rsid w:val="005B61FE"/>
    <w:rsid w:val="005B6687"/>
    <w:rsid w:val="005B6A86"/>
    <w:rsid w:val="005B7004"/>
    <w:rsid w:val="005B731A"/>
    <w:rsid w:val="005B7DE6"/>
    <w:rsid w:val="005C07E1"/>
    <w:rsid w:val="005C0F07"/>
    <w:rsid w:val="005C1516"/>
    <w:rsid w:val="005C177B"/>
    <w:rsid w:val="005C1975"/>
    <w:rsid w:val="005C1CA1"/>
    <w:rsid w:val="005C1E67"/>
    <w:rsid w:val="005C2179"/>
    <w:rsid w:val="005C2DE6"/>
    <w:rsid w:val="005C3E05"/>
    <w:rsid w:val="005C4EBF"/>
    <w:rsid w:val="005C5098"/>
    <w:rsid w:val="005C58EB"/>
    <w:rsid w:val="005C63D9"/>
    <w:rsid w:val="005D088D"/>
    <w:rsid w:val="005D153A"/>
    <w:rsid w:val="005D15F0"/>
    <w:rsid w:val="005D1A7D"/>
    <w:rsid w:val="005D1D9B"/>
    <w:rsid w:val="005D1F21"/>
    <w:rsid w:val="005D2C4E"/>
    <w:rsid w:val="005D2D8C"/>
    <w:rsid w:val="005D31E6"/>
    <w:rsid w:val="005D358C"/>
    <w:rsid w:val="005D392F"/>
    <w:rsid w:val="005D57AA"/>
    <w:rsid w:val="005D5BFF"/>
    <w:rsid w:val="005D5D39"/>
    <w:rsid w:val="005D76DC"/>
    <w:rsid w:val="005D78A2"/>
    <w:rsid w:val="005D7A92"/>
    <w:rsid w:val="005D7E32"/>
    <w:rsid w:val="005E0A5A"/>
    <w:rsid w:val="005E182B"/>
    <w:rsid w:val="005E1B29"/>
    <w:rsid w:val="005E1C52"/>
    <w:rsid w:val="005E2892"/>
    <w:rsid w:val="005E2E68"/>
    <w:rsid w:val="005E33D2"/>
    <w:rsid w:val="005E41E1"/>
    <w:rsid w:val="005E4BD2"/>
    <w:rsid w:val="005E501E"/>
    <w:rsid w:val="005E50F3"/>
    <w:rsid w:val="005E5F00"/>
    <w:rsid w:val="005E6199"/>
    <w:rsid w:val="005E61D5"/>
    <w:rsid w:val="005E751B"/>
    <w:rsid w:val="005F0933"/>
    <w:rsid w:val="005F105B"/>
    <w:rsid w:val="005F1996"/>
    <w:rsid w:val="005F2D4C"/>
    <w:rsid w:val="005F2EAF"/>
    <w:rsid w:val="005F3757"/>
    <w:rsid w:val="005F37D4"/>
    <w:rsid w:val="005F42D2"/>
    <w:rsid w:val="005F46BF"/>
    <w:rsid w:val="005F4DD9"/>
    <w:rsid w:val="005F51F9"/>
    <w:rsid w:val="005F5F7D"/>
    <w:rsid w:val="005F67E2"/>
    <w:rsid w:val="005F6EDD"/>
    <w:rsid w:val="005F7B95"/>
    <w:rsid w:val="006004B6"/>
    <w:rsid w:val="00600768"/>
    <w:rsid w:val="006007FB"/>
    <w:rsid w:val="006015FA"/>
    <w:rsid w:val="006018B3"/>
    <w:rsid w:val="00601D8F"/>
    <w:rsid w:val="006020D9"/>
    <w:rsid w:val="0060267A"/>
    <w:rsid w:val="006030D6"/>
    <w:rsid w:val="00603844"/>
    <w:rsid w:val="00603960"/>
    <w:rsid w:val="00604122"/>
    <w:rsid w:val="00604390"/>
    <w:rsid w:val="00605007"/>
    <w:rsid w:val="00605135"/>
    <w:rsid w:val="00607DB4"/>
    <w:rsid w:val="006105B3"/>
    <w:rsid w:val="006119B8"/>
    <w:rsid w:val="006119E1"/>
    <w:rsid w:val="0061204C"/>
    <w:rsid w:val="006125A4"/>
    <w:rsid w:val="00614CD3"/>
    <w:rsid w:val="0061609E"/>
    <w:rsid w:val="00616BF1"/>
    <w:rsid w:val="00617424"/>
    <w:rsid w:val="00617A45"/>
    <w:rsid w:val="0062043A"/>
    <w:rsid w:val="00620808"/>
    <w:rsid w:val="00620870"/>
    <w:rsid w:val="0062144F"/>
    <w:rsid w:val="006217E3"/>
    <w:rsid w:val="00621A67"/>
    <w:rsid w:val="00621EDB"/>
    <w:rsid w:val="0062213B"/>
    <w:rsid w:val="006232A3"/>
    <w:rsid w:val="006242DF"/>
    <w:rsid w:val="00624605"/>
    <w:rsid w:val="00624632"/>
    <w:rsid w:val="006248E1"/>
    <w:rsid w:val="0062497C"/>
    <w:rsid w:val="00624EB7"/>
    <w:rsid w:val="0062600E"/>
    <w:rsid w:val="00626EC9"/>
    <w:rsid w:val="00630EC8"/>
    <w:rsid w:val="00631848"/>
    <w:rsid w:val="00631FCD"/>
    <w:rsid w:val="0063383E"/>
    <w:rsid w:val="00633FA5"/>
    <w:rsid w:val="00634523"/>
    <w:rsid w:val="0063486C"/>
    <w:rsid w:val="00634993"/>
    <w:rsid w:val="006351C1"/>
    <w:rsid w:val="006364E6"/>
    <w:rsid w:val="0063655B"/>
    <w:rsid w:val="00636643"/>
    <w:rsid w:val="00637F16"/>
    <w:rsid w:val="00640570"/>
    <w:rsid w:val="00640871"/>
    <w:rsid w:val="00640CB0"/>
    <w:rsid w:val="00641143"/>
    <w:rsid w:val="0064144F"/>
    <w:rsid w:val="0064267E"/>
    <w:rsid w:val="006430FF"/>
    <w:rsid w:val="0064347A"/>
    <w:rsid w:val="00643967"/>
    <w:rsid w:val="006458D8"/>
    <w:rsid w:val="00647882"/>
    <w:rsid w:val="00647F9D"/>
    <w:rsid w:val="006502AB"/>
    <w:rsid w:val="00650556"/>
    <w:rsid w:val="00650BFF"/>
    <w:rsid w:val="00650F8C"/>
    <w:rsid w:val="00650FF7"/>
    <w:rsid w:val="00651177"/>
    <w:rsid w:val="0065343A"/>
    <w:rsid w:val="00653B74"/>
    <w:rsid w:val="006569FD"/>
    <w:rsid w:val="006603D2"/>
    <w:rsid w:val="0066076B"/>
    <w:rsid w:val="0066096D"/>
    <w:rsid w:val="00660BC7"/>
    <w:rsid w:val="0066100B"/>
    <w:rsid w:val="00661125"/>
    <w:rsid w:val="00661148"/>
    <w:rsid w:val="00661D00"/>
    <w:rsid w:val="0066219C"/>
    <w:rsid w:val="00662DA6"/>
    <w:rsid w:val="00664105"/>
    <w:rsid w:val="006646BF"/>
    <w:rsid w:val="00665069"/>
    <w:rsid w:val="006657CC"/>
    <w:rsid w:val="0066654B"/>
    <w:rsid w:val="00666B1D"/>
    <w:rsid w:val="00666BFE"/>
    <w:rsid w:val="006672FF"/>
    <w:rsid w:val="0067052A"/>
    <w:rsid w:val="00670738"/>
    <w:rsid w:val="00670943"/>
    <w:rsid w:val="00670D4E"/>
    <w:rsid w:val="00671816"/>
    <w:rsid w:val="006724CA"/>
    <w:rsid w:val="006727E9"/>
    <w:rsid w:val="00674108"/>
    <w:rsid w:val="00674450"/>
    <w:rsid w:val="006746CD"/>
    <w:rsid w:val="00674CA1"/>
    <w:rsid w:val="00674DB1"/>
    <w:rsid w:val="00675215"/>
    <w:rsid w:val="0067575F"/>
    <w:rsid w:val="00676DEC"/>
    <w:rsid w:val="00677156"/>
    <w:rsid w:val="006776DF"/>
    <w:rsid w:val="006777FE"/>
    <w:rsid w:val="006778BC"/>
    <w:rsid w:val="006779A1"/>
    <w:rsid w:val="006807B3"/>
    <w:rsid w:val="006813A4"/>
    <w:rsid w:val="00681F77"/>
    <w:rsid w:val="006823B3"/>
    <w:rsid w:val="006828CD"/>
    <w:rsid w:val="00682BA0"/>
    <w:rsid w:val="00682E7A"/>
    <w:rsid w:val="0068390A"/>
    <w:rsid w:val="00684190"/>
    <w:rsid w:val="00684C05"/>
    <w:rsid w:val="006855D3"/>
    <w:rsid w:val="00685D06"/>
    <w:rsid w:val="00686202"/>
    <w:rsid w:val="00690173"/>
    <w:rsid w:val="00690243"/>
    <w:rsid w:val="00690CF2"/>
    <w:rsid w:val="0069139A"/>
    <w:rsid w:val="006917A7"/>
    <w:rsid w:val="00691862"/>
    <w:rsid w:val="00691B89"/>
    <w:rsid w:val="00691E2C"/>
    <w:rsid w:val="00691FFC"/>
    <w:rsid w:val="0069219F"/>
    <w:rsid w:val="006928A5"/>
    <w:rsid w:val="0069293F"/>
    <w:rsid w:val="0069417C"/>
    <w:rsid w:val="006944EB"/>
    <w:rsid w:val="00694C2D"/>
    <w:rsid w:val="00695525"/>
    <w:rsid w:val="00695F1B"/>
    <w:rsid w:val="00697F50"/>
    <w:rsid w:val="006A00B7"/>
    <w:rsid w:val="006A0563"/>
    <w:rsid w:val="006A10E5"/>
    <w:rsid w:val="006A134B"/>
    <w:rsid w:val="006A1B12"/>
    <w:rsid w:val="006A2171"/>
    <w:rsid w:val="006A229F"/>
    <w:rsid w:val="006A2B99"/>
    <w:rsid w:val="006A312B"/>
    <w:rsid w:val="006A34AC"/>
    <w:rsid w:val="006A46A7"/>
    <w:rsid w:val="006A4A6B"/>
    <w:rsid w:val="006A4D18"/>
    <w:rsid w:val="006A50E4"/>
    <w:rsid w:val="006A5199"/>
    <w:rsid w:val="006A5998"/>
    <w:rsid w:val="006A6395"/>
    <w:rsid w:val="006A7371"/>
    <w:rsid w:val="006B0724"/>
    <w:rsid w:val="006B0DEE"/>
    <w:rsid w:val="006B231F"/>
    <w:rsid w:val="006B23F7"/>
    <w:rsid w:val="006B34C9"/>
    <w:rsid w:val="006B399A"/>
    <w:rsid w:val="006B3BFC"/>
    <w:rsid w:val="006B4795"/>
    <w:rsid w:val="006B4822"/>
    <w:rsid w:val="006B4F23"/>
    <w:rsid w:val="006B5579"/>
    <w:rsid w:val="006B5791"/>
    <w:rsid w:val="006B5FB6"/>
    <w:rsid w:val="006B60A2"/>
    <w:rsid w:val="006B6798"/>
    <w:rsid w:val="006B77BE"/>
    <w:rsid w:val="006B7B54"/>
    <w:rsid w:val="006C080B"/>
    <w:rsid w:val="006C0F76"/>
    <w:rsid w:val="006C1340"/>
    <w:rsid w:val="006C1364"/>
    <w:rsid w:val="006C1CF7"/>
    <w:rsid w:val="006C23C2"/>
    <w:rsid w:val="006C2B86"/>
    <w:rsid w:val="006C33AC"/>
    <w:rsid w:val="006C45A4"/>
    <w:rsid w:val="006C5C39"/>
    <w:rsid w:val="006C723E"/>
    <w:rsid w:val="006C7B71"/>
    <w:rsid w:val="006C7DF3"/>
    <w:rsid w:val="006D01E3"/>
    <w:rsid w:val="006D109C"/>
    <w:rsid w:val="006D16F9"/>
    <w:rsid w:val="006D188B"/>
    <w:rsid w:val="006D213F"/>
    <w:rsid w:val="006D3A6D"/>
    <w:rsid w:val="006D3D8E"/>
    <w:rsid w:val="006D40D2"/>
    <w:rsid w:val="006D43A1"/>
    <w:rsid w:val="006D46C6"/>
    <w:rsid w:val="006D4F91"/>
    <w:rsid w:val="006D501C"/>
    <w:rsid w:val="006D5556"/>
    <w:rsid w:val="006D5C10"/>
    <w:rsid w:val="006D6DB3"/>
    <w:rsid w:val="006D7031"/>
    <w:rsid w:val="006D7CE8"/>
    <w:rsid w:val="006D7D06"/>
    <w:rsid w:val="006E0419"/>
    <w:rsid w:val="006E0CF5"/>
    <w:rsid w:val="006E15B5"/>
    <w:rsid w:val="006E1A33"/>
    <w:rsid w:val="006E1F39"/>
    <w:rsid w:val="006E2E75"/>
    <w:rsid w:val="006E31A3"/>
    <w:rsid w:val="006E424F"/>
    <w:rsid w:val="006E45CC"/>
    <w:rsid w:val="006E48D3"/>
    <w:rsid w:val="006E490E"/>
    <w:rsid w:val="006E5C6C"/>
    <w:rsid w:val="006E63DE"/>
    <w:rsid w:val="006E6A42"/>
    <w:rsid w:val="006E70D1"/>
    <w:rsid w:val="006E7842"/>
    <w:rsid w:val="006F137B"/>
    <w:rsid w:val="006F1DC1"/>
    <w:rsid w:val="006F2292"/>
    <w:rsid w:val="006F31D7"/>
    <w:rsid w:val="006F3670"/>
    <w:rsid w:val="006F3932"/>
    <w:rsid w:val="006F3B2C"/>
    <w:rsid w:val="006F4901"/>
    <w:rsid w:val="006F4D65"/>
    <w:rsid w:val="006F5EAB"/>
    <w:rsid w:val="006F617A"/>
    <w:rsid w:val="006F686C"/>
    <w:rsid w:val="006F6D52"/>
    <w:rsid w:val="006F7F20"/>
    <w:rsid w:val="007001BB"/>
    <w:rsid w:val="00700EFE"/>
    <w:rsid w:val="0070184C"/>
    <w:rsid w:val="007028E7"/>
    <w:rsid w:val="00702E47"/>
    <w:rsid w:val="0070382F"/>
    <w:rsid w:val="007039B7"/>
    <w:rsid w:val="00703C04"/>
    <w:rsid w:val="00704082"/>
    <w:rsid w:val="0070476B"/>
    <w:rsid w:val="007059C2"/>
    <w:rsid w:val="00706D42"/>
    <w:rsid w:val="007077DC"/>
    <w:rsid w:val="00707DAE"/>
    <w:rsid w:val="00707FB4"/>
    <w:rsid w:val="00710C2B"/>
    <w:rsid w:val="00711788"/>
    <w:rsid w:val="00712DC8"/>
    <w:rsid w:val="00713D73"/>
    <w:rsid w:val="00714BB0"/>
    <w:rsid w:val="00714C66"/>
    <w:rsid w:val="00714F31"/>
    <w:rsid w:val="0071593B"/>
    <w:rsid w:val="00715D79"/>
    <w:rsid w:val="00715FE8"/>
    <w:rsid w:val="00716208"/>
    <w:rsid w:val="00721193"/>
    <w:rsid w:val="00721622"/>
    <w:rsid w:val="007219F6"/>
    <w:rsid w:val="00722046"/>
    <w:rsid w:val="00722CFC"/>
    <w:rsid w:val="00722D09"/>
    <w:rsid w:val="00722FAA"/>
    <w:rsid w:val="0072424D"/>
    <w:rsid w:val="0072440A"/>
    <w:rsid w:val="00724504"/>
    <w:rsid w:val="007247EB"/>
    <w:rsid w:val="00724BC4"/>
    <w:rsid w:val="00725117"/>
    <w:rsid w:val="007257D4"/>
    <w:rsid w:val="00726485"/>
    <w:rsid w:val="0072653A"/>
    <w:rsid w:val="00726F2B"/>
    <w:rsid w:val="00727A03"/>
    <w:rsid w:val="00730F07"/>
    <w:rsid w:val="0073163F"/>
    <w:rsid w:val="00732A9A"/>
    <w:rsid w:val="00732F1A"/>
    <w:rsid w:val="00733151"/>
    <w:rsid w:val="00733BCA"/>
    <w:rsid w:val="00734A87"/>
    <w:rsid w:val="00734CF6"/>
    <w:rsid w:val="00734F2C"/>
    <w:rsid w:val="00735189"/>
    <w:rsid w:val="00735629"/>
    <w:rsid w:val="007360FB"/>
    <w:rsid w:val="007364B5"/>
    <w:rsid w:val="007369A0"/>
    <w:rsid w:val="00737170"/>
    <w:rsid w:val="007374D9"/>
    <w:rsid w:val="00737A76"/>
    <w:rsid w:val="00737B41"/>
    <w:rsid w:val="00737BF5"/>
    <w:rsid w:val="00737CD3"/>
    <w:rsid w:val="00740CC7"/>
    <w:rsid w:val="00740E6A"/>
    <w:rsid w:val="007413D9"/>
    <w:rsid w:val="0074150C"/>
    <w:rsid w:val="00741CC6"/>
    <w:rsid w:val="00741FF8"/>
    <w:rsid w:val="00742276"/>
    <w:rsid w:val="00742BFC"/>
    <w:rsid w:val="007434B4"/>
    <w:rsid w:val="00743EC9"/>
    <w:rsid w:val="00744360"/>
    <w:rsid w:val="0074520D"/>
    <w:rsid w:val="0074567C"/>
    <w:rsid w:val="00745685"/>
    <w:rsid w:val="0074593E"/>
    <w:rsid w:val="007460BC"/>
    <w:rsid w:val="00746586"/>
    <w:rsid w:val="0074675B"/>
    <w:rsid w:val="00747190"/>
    <w:rsid w:val="00747779"/>
    <w:rsid w:val="00747DDA"/>
    <w:rsid w:val="00747F03"/>
    <w:rsid w:val="00750446"/>
    <w:rsid w:val="00751132"/>
    <w:rsid w:val="007515A0"/>
    <w:rsid w:val="007519B1"/>
    <w:rsid w:val="00751F7C"/>
    <w:rsid w:val="00752C1B"/>
    <w:rsid w:val="00752E3D"/>
    <w:rsid w:val="00752E87"/>
    <w:rsid w:val="00753FAF"/>
    <w:rsid w:val="0075519B"/>
    <w:rsid w:val="00755F77"/>
    <w:rsid w:val="007567BC"/>
    <w:rsid w:val="007568EE"/>
    <w:rsid w:val="00756A5B"/>
    <w:rsid w:val="0075758C"/>
    <w:rsid w:val="007601F3"/>
    <w:rsid w:val="0076057D"/>
    <w:rsid w:val="00760674"/>
    <w:rsid w:val="007606C3"/>
    <w:rsid w:val="00760ADC"/>
    <w:rsid w:val="00760E64"/>
    <w:rsid w:val="007611A9"/>
    <w:rsid w:val="00761A80"/>
    <w:rsid w:val="00761AC4"/>
    <w:rsid w:val="00761C5D"/>
    <w:rsid w:val="00761F02"/>
    <w:rsid w:val="00762207"/>
    <w:rsid w:val="00762D46"/>
    <w:rsid w:val="00763BD6"/>
    <w:rsid w:val="0076488F"/>
    <w:rsid w:val="00764E3B"/>
    <w:rsid w:val="00764F9E"/>
    <w:rsid w:val="00765AED"/>
    <w:rsid w:val="00765E57"/>
    <w:rsid w:val="007661A7"/>
    <w:rsid w:val="007662F0"/>
    <w:rsid w:val="007663E6"/>
    <w:rsid w:val="0076675E"/>
    <w:rsid w:val="0076684A"/>
    <w:rsid w:val="00766D8A"/>
    <w:rsid w:val="00767220"/>
    <w:rsid w:val="00767438"/>
    <w:rsid w:val="00767CB4"/>
    <w:rsid w:val="007708C2"/>
    <w:rsid w:val="007714B4"/>
    <w:rsid w:val="00771DE6"/>
    <w:rsid w:val="007721BF"/>
    <w:rsid w:val="007723AB"/>
    <w:rsid w:val="0077276B"/>
    <w:rsid w:val="007728A6"/>
    <w:rsid w:val="00772A3B"/>
    <w:rsid w:val="00772C05"/>
    <w:rsid w:val="007741AD"/>
    <w:rsid w:val="0077428F"/>
    <w:rsid w:val="00774632"/>
    <w:rsid w:val="00774788"/>
    <w:rsid w:val="00775065"/>
    <w:rsid w:val="00775733"/>
    <w:rsid w:val="007758D9"/>
    <w:rsid w:val="0077681B"/>
    <w:rsid w:val="00777113"/>
    <w:rsid w:val="00777B6C"/>
    <w:rsid w:val="00780A78"/>
    <w:rsid w:val="00780CB0"/>
    <w:rsid w:val="00781144"/>
    <w:rsid w:val="007811A5"/>
    <w:rsid w:val="007847B2"/>
    <w:rsid w:val="00784ACF"/>
    <w:rsid w:val="00784E47"/>
    <w:rsid w:val="00785225"/>
    <w:rsid w:val="00785952"/>
    <w:rsid w:val="0078641B"/>
    <w:rsid w:val="00786755"/>
    <w:rsid w:val="00787111"/>
    <w:rsid w:val="0078751B"/>
    <w:rsid w:val="00787602"/>
    <w:rsid w:val="00787713"/>
    <w:rsid w:val="00787762"/>
    <w:rsid w:val="00787B90"/>
    <w:rsid w:val="00790C80"/>
    <w:rsid w:val="007927E9"/>
    <w:rsid w:val="007928E2"/>
    <w:rsid w:val="007936B7"/>
    <w:rsid w:val="007938A2"/>
    <w:rsid w:val="00793C99"/>
    <w:rsid w:val="007946C7"/>
    <w:rsid w:val="007948EB"/>
    <w:rsid w:val="0079531F"/>
    <w:rsid w:val="00795A09"/>
    <w:rsid w:val="00795B97"/>
    <w:rsid w:val="00795D1A"/>
    <w:rsid w:val="007972B8"/>
    <w:rsid w:val="00797416"/>
    <w:rsid w:val="00797518"/>
    <w:rsid w:val="007A1286"/>
    <w:rsid w:val="007A33DB"/>
    <w:rsid w:val="007A3ABD"/>
    <w:rsid w:val="007A42F5"/>
    <w:rsid w:val="007A4311"/>
    <w:rsid w:val="007A4899"/>
    <w:rsid w:val="007A4B56"/>
    <w:rsid w:val="007A51D4"/>
    <w:rsid w:val="007A54CF"/>
    <w:rsid w:val="007A5DDD"/>
    <w:rsid w:val="007A61DC"/>
    <w:rsid w:val="007A69F1"/>
    <w:rsid w:val="007A6B90"/>
    <w:rsid w:val="007A6D7B"/>
    <w:rsid w:val="007A7381"/>
    <w:rsid w:val="007B0338"/>
    <w:rsid w:val="007B038B"/>
    <w:rsid w:val="007B0520"/>
    <w:rsid w:val="007B1CD5"/>
    <w:rsid w:val="007B2232"/>
    <w:rsid w:val="007B3828"/>
    <w:rsid w:val="007B3C61"/>
    <w:rsid w:val="007B4A00"/>
    <w:rsid w:val="007B4CB8"/>
    <w:rsid w:val="007B644C"/>
    <w:rsid w:val="007B65F8"/>
    <w:rsid w:val="007B6C22"/>
    <w:rsid w:val="007B7044"/>
    <w:rsid w:val="007B7F00"/>
    <w:rsid w:val="007C0489"/>
    <w:rsid w:val="007C1AC8"/>
    <w:rsid w:val="007C2C9D"/>
    <w:rsid w:val="007C302F"/>
    <w:rsid w:val="007C3349"/>
    <w:rsid w:val="007C34B9"/>
    <w:rsid w:val="007C4F93"/>
    <w:rsid w:val="007C5C1F"/>
    <w:rsid w:val="007C6027"/>
    <w:rsid w:val="007C6354"/>
    <w:rsid w:val="007C6A8E"/>
    <w:rsid w:val="007C6E0F"/>
    <w:rsid w:val="007C6ED7"/>
    <w:rsid w:val="007C7050"/>
    <w:rsid w:val="007C76F3"/>
    <w:rsid w:val="007C791F"/>
    <w:rsid w:val="007D1565"/>
    <w:rsid w:val="007D23C8"/>
    <w:rsid w:val="007D25BF"/>
    <w:rsid w:val="007D32F7"/>
    <w:rsid w:val="007D348B"/>
    <w:rsid w:val="007D3A8A"/>
    <w:rsid w:val="007D405F"/>
    <w:rsid w:val="007D458E"/>
    <w:rsid w:val="007D460B"/>
    <w:rsid w:val="007D4EAE"/>
    <w:rsid w:val="007D4F21"/>
    <w:rsid w:val="007D5339"/>
    <w:rsid w:val="007D57AF"/>
    <w:rsid w:val="007D5C23"/>
    <w:rsid w:val="007D66B1"/>
    <w:rsid w:val="007D6E84"/>
    <w:rsid w:val="007D71A8"/>
    <w:rsid w:val="007D7812"/>
    <w:rsid w:val="007E0221"/>
    <w:rsid w:val="007E0993"/>
    <w:rsid w:val="007E1080"/>
    <w:rsid w:val="007E1305"/>
    <w:rsid w:val="007E1DC0"/>
    <w:rsid w:val="007E22BB"/>
    <w:rsid w:val="007E2C2B"/>
    <w:rsid w:val="007E2F36"/>
    <w:rsid w:val="007E47AD"/>
    <w:rsid w:val="007E484A"/>
    <w:rsid w:val="007E4969"/>
    <w:rsid w:val="007E4E7C"/>
    <w:rsid w:val="007E4EF2"/>
    <w:rsid w:val="007E5152"/>
    <w:rsid w:val="007E5BC4"/>
    <w:rsid w:val="007E687A"/>
    <w:rsid w:val="007E7C09"/>
    <w:rsid w:val="007F1198"/>
    <w:rsid w:val="007F343A"/>
    <w:rsid w:val="007F3500"/>
    <w:rsid w:val="007F3A75"/>
    <w:rsid w:val="007F3B6C"/>
    <w:rsid w:val="007F4E73"/>
    <w:rsid w:val="007F4EA1"/>
    <w:rsid w:val="007F547A"/>
    <w:rsid w:val="007F558D"/>
    <w:rsid w:val="007F589A"/>
    <w:rsid w:val="007F5A41"/>
    <w:rsid w:val="007F5C7E"/>
    <w:rsid w:val="007F5C8A"/>
    <w:rsid w:val="007F648D"/>
    <w:rsid w:val="007F6ECA"/>
    <w:rsid w:val="007F70DC"/>
    <w:rsid w:val="007F76ED"/>
    <w:rsid w:val="007F775E"/>
    <w:rsid w:val="007F7B3F"/>
    <w:rsid w:val="008005CE"/>
    <w:rsid w:val="00801157"/>
    <w:rsid w:val="00801360"/>
    <w:rsid w:val="00801B24"/>
    <w:rsid w:val="008022FA"/>
    <w:rsid w:val="008025D0"/>
    <w:rsid w:val="00802842"/>
    <w:rsid w:val="008029A3"/>
    <w:rsid w:val="00802D88"/>
    <w:rsid w:val="008041E9"/>
    <w:rsid w:val="00804C62"/>
    <w:rsid w:val="0080530F"/>
    <w:rsid w:val="00805524"/>
    <w:rsid w:val="00805B8A"/>
    <w:rsid w:val="00805D07"/>
    <w:rsid w:val="00805E68"/>
    <w:rsid w:val="008065CA"/>
    <w:rsid w:val="008067C0"/>
    <w:rsid w:val="00807280"/>
    <w:rsid w:val="00807527"/>
    <w:rsid w:val="008100B3"/>
    <w:rsid w:val="00811110"/>
    <w:rsid w:val="008124A1"/>
    <w:rsid w:val="00812AB1"/>
    <w:rsid w:val="008137E0"/>
    <w:rsid w:val="00813B1D"/>
    <w:rsid w:val="00814617"/>
    <w:rsid w:val="008148B8"/>
    <w:rsid w:val="00814F1A"/>
    <w:rsid w:val="00815EC5"/>
    <w:rsid w:val="008168BB"/>
    <w:rsid w:val="008171F2"/>
    <w:rsid w:val="00817A8B"/>
    <w:rsid w:val="008204C0"/>
    <w:rsid w:val="008205E0"/>
    <w:rsid w:val="008207D8"/>
    <w:rsid w:val="00820C24"/>
    <w:rsid w:val="00821AAC"/>
    <w:rsid w:val="0082253F"/>
    <w:rsid w:val="00823B5F"/>
    <w:rsid w:val="00824448"/>
    <w:rsid w:val="00824B7E"/>
    <w:rsid w:val="00824EC3"/>
    <w:rsid w:val="008253AE"/>
    <w:rsid w:val="00825654"/>
    <w:rsid w:val="00826A07"/>
    <w:rsid w:val="00826F02"/>
    <w:rsid w:val="00826FDC"/>
    <w:rsid w:val="0082755A"/>
    <w:rsid w:val="008275D3"/>
    <w:rsid w:val="008300E7"/>
    <w:rsid w:val="00830B7A"/>
    <w:rsid w:val="008327F1"/>
    <w:rsid w:val="00832DB8"/>
    <w:rsid w:val="0083301D"/>
    <w:rsid w:val="0083358D"/>
    <w:rsid w:val="00833685"/>
    <w:rsid w:val="00833A36"/>
    <w:rsid w:val="00833E82"/>
    <w:rsid w:val="008348A7"/>
    <w:rsid w:val="00834E67"/>
    <w:rsid w:val="00835058"/>
    <w:rsid w:val="00835756"/>
    <w:rsid w:val="008367CA"/>
    <w:rsid w:val="008368A0"/>
    <w:rsid w:val="00837642"/>
    <w:rsid w:val="00840AB2"/>
    <w:rsid w:val="008417A5"/>
    <w:rsid w:val="008423B2"/>
    <w:rsid w:val="0084242F"/>
    <w:rsid w:val="00842C17"/>
    <w:rsid w:val="008431C5"/>
    <w:rsid w:val="008449AD"/>
    <w:rsid w:val="00844C56"/>
    <w:rsid w:val="0084593E"/>
    <w:rsid w:val="00845C17"/>
    <w:rsid w:val="0084683D"/>
    <w:rsid w:val="00846C2C"/>
    <w:rsid w:val="00846F26"/>
    <w:rsid w:val="0084749B"/>
    <w:rsid w:val="00847EB1"/>
    <w:rsid w:val="008508B6"/>
    <w:rsid w:val="0085129C"/>
    <w:rsid w:val="00852675"/>
    <w:rsid w:val="00852853"/>
    <w:rsid w:val="00852C96"/>
    <w:rsid w:val="00854496"/>
    <w:rsid w:val="00855822"/>
    <w:rsid w:val="008558C2"/>
    <w:rsid w:val="00855A06"/>
    <w:rsid w:val="00855F0C"/>
    <w:rsid w:val="008565CA"/>
    <w:rsid w:val="00856FDB"/>
    <w:rsid w:val="008570AA"/>
    <w:rsid w:val="00857565"/>
    <w:rsid w:val="00860E07"/>
    <w:rsid w:val="008613AD"/>
    <w:rsid w:val="00861928"/>
    <w:rsid w:val="00861D3C"/>
    <w:rsid w:val="0086210B"/>
    <w:rsid w:val="0086223C"/>
    <w:rsid w:val="00862AC9"/>
    <w:rsid w:val="00862B7D"/>
    <w:rsid w:val="00862E2B"/>
    <w:rsid w:val="0086500B"/>
    <w:rsid w:val="00865FEB"/>
    <w:rsid w:val="0086659F"/>
    <w:rsid w:val="008667F9"/>
    <w:rsid w:val="00866963"/>
    <w:rsid w:val="00866FC9"/>
    <w:rsid w:val="0087026F"/>
    <w:rsid w:val="00870669"/>
    <w:rsid w:val="008706F9"/>
    <w:rsid w:val="00870A31"/>
    <w:rsid w:val="0087104E"/>
    <w:rsid w:val="008717CD"/>
    <w:rsid w:val="008719F7"/>
    <w:rsid w:val="00871BBB"/>
    <w:rsid w:val="00872FBF"/>
    <w:rsid w:val="00873CDE"/>
    <w:rsid w:val="0087441B"/>
    <w:rsid w:val="00874C18"/>
    <w:rsid w:val="00875673"/>
    <w:rsid w:val="0087608A"/>
    <w:rsid w:val="00876925"/>
    <w:rsid w:val="00877941"/>
    <w:rsid w:val="0088016F"/>
    <w:rsid w:val="00880359"/>
    <w:rsid w:val="0088062D"/>
    <w:rsid w:val="00880C22"/>
    <w:rsid w:val="00881408"/>
    <w:rsid w:val="0088161E"/>
    <w:rsid w:val="00881895"/>
    <w:rsid w:val="00881E69"/>
    <w:rsid w:val="008821CE"/>
    <w:rsid w:val="00882419"/>
    <w:rsid w:val="008828A3"/>
    <w:rsid w:val="00882F88"/>
    <w:rsid w:val="008830DF"/>
    <w:rsid w:val="008841CA"/>
    <w:rsid w:val="00884527"/>
    <w:rsid w:val="00884FF5"/>
    <w:rsid w:val="00885429"/>
    <w:rsid w:val="008862FF"/>
    <w:rsid w:val="00886B25"/>
    <w:rsid w:val="00886F4E"/>
    <w:rsid w:val="00886FAE"/>
    <w:rsid w:val="00887570"/>
    <w:rsid w:val="0088767A"/>
    <w:rsid w:val="00890320"/>
    <w:rsid w:val="008904E1"/>
    <w:rsid w:val="00891E71"/>
    <w:rsid w:val="00892D2C"/>
    <w:rsid w:val="00893531"/>
    <w:rsid w:val="00893D38"/>
    <w:rsid w:val="008952DA"/>
    <w:rsid w:val="00895D20"/>
    <w:rsid w:val="008961A9"/>
    <w:rsid w:val="008962B5"/>
    <w:rsid w:val="00897703"/>
    <w:rsid w:val="00897720"/>
    <w:rsid w:val="00897848"/>
    <w:rsid w:val="008978AE"/>
    <w:rsid w:val="008A1CC1"/>
    <w:rsid w:val="008A1E03"/>
    <w:rsid w:val="008A379E"/>
    <w:rsid w:val="008A3809"/>
    <w:rsid w:val="008A3FAA"/>
    <w:rsid w:val="008A400C"/>
    <w:rsid w:val="008A463E"/>
    <w:rsid w:val="008A5439"/>
    <w:rsid w:val="008A64F6"/>
    <w:rsid w:val="008A664A"/>
    <w:rsid w:val="008A6C2A"/>
    <w:rsid w:val="008A75A2"/>
    <w:rsid w:val="008B064A"/>
    <w:rsid w:val="008B174A"/>
    <w:rsid w:val="008B3281"/>
    <w:rsid w:val="008B3F0D"/>
    <w:rsid w:val="008B49BC"/>
    <w:rsid w:val="008B4D06"/>
    <w:rsid w:val="008B4ECD"/>
    <w:rsid w:val="008B54E8"/>
    <w:rsid w:val="008B5518"/>
    <w:rsid w:val="008B5668"/>
    <w:rsid w:val="008B57A0"/>
    <w:rsid w:val="008B6805"/>
    <w:rsid w:val="008B685F"/>
    <w:rsid w:val="008B790A"/>
    <w:rsid w:val="008B7C74"/>
    <w:rsid w:val="008B7E9E"/>
    <w:rsid w:val="008C008E"/>
    <w:rsid w:val="008C08ED"/>
    <w:rsid w:val="008C2311"/>
    <w:rsid w:val="008C2834"/>
    <w:rsid w:val="008C29DE"/>
    <w:rsid w:val="008C2DE1"/>
    <w:rsid w:val="008C3A07"/>
    <w:rsid w:val="008C3AC9"/>
    <w:rsid w:val="008C3DCF"/>
    <w:rsid w:val="008C41AF"/>
    <w:rsid w:val="008C47C2"/>
    <w:rsid w:val="008C53CC"/>
    <w:rsid w:val="008C59C3"/>
    <w:rsid w:val="008C5A68"/>
    <w:rsid w:val="008C5FFD"/>
    <w:rsid w:val="008D0C02"/>
    <w:rsid w:val="008D185A"/>
    <w:rsid w:val="008D1F3D"/>
    <w:rsid w:val="008D201F"/>
    <w:rsid w:val="008D280C"/>
    <w:rsid w:val="008D3FC4"/>
    <w:rsid w:val="008D4563"/>
    <w:rsid w:val="008D499A"/>
    <w:rsid w:val="008D4A08"/>
    <w:rsid w:val="008D599D"/>
    <w:rsid w:val="008D5A64"/>
    <w:rsid w:val="008D5E73"/>
    <w:rsid w:val="008D63C6"/>
    <w:rsid w:val="008D70F8"/>
    <w:rsid w:val="008D71E1"/>
    <w:rsid w:val="008E074C"/>
    <w:rsid w:val="008E08E9"/>
    <w:rsid w:val="008E1B2E"/>
    <w:rsid w:val="008E1C92"/>
    <w:rsid w:val="008E2830"/>
    <w:rsid w:val="008E290D"/>
    <w:rsid w:val="008E2E02"/>
    <w:rsid w:val="008E3392"/>
    <w:rsid w:val="008E38C2"/>
    <w:rsid w:val="008E3C1A"/>
    <w:rsid w:val="008E419C"/>
    <w:rsid w:val="008E4C0E"/>
    <w:rsid w:val="008E66C8"/>
    <w:rsid w:val="008E6DFB"/>
    <w:rsid w:val="008E72E5"/>
    <w:rsid w:val="008E7652"/>
    <w:rsid w:val="008E7A57"/>
    <w:rsid w:val="008F01FA"/>
    <w:rsid w:val="008F05D0"/>
    <w:rsid w:val="008F087A"/>
    <w:rsid w:val="008F1137"/>
    <w:rsid w:val="008F1C57"/>
    <w:rsid w:val="008F26D3"/>
    <w:rsid w:val="008F587E"/>
    <w:rsid w:val="008F63FC"/>
    <w:rsid w:val="008F6500"/>
    <w:rsid w:val="008F6CB0"/>
    <w:rsid w:val="008F73EE"/>
    <w:rsid w:val="008F7F59"/>
    <w:rsid w:val="009011C0"/>
    <w:rsid w:val="00901406"/>
    <w:rsid w:val="00901880"/>
    <w:rsid w:val="00901F15"/>
    <w:rsid w:val="00901F5B"/>
    <w:rsid w:val="0090312E"/>
    <w:rsid w:val="00903231"/>
    <w:rsid w:val="00903A01"/>
    <w:rsid w:val="00903D42"/>
    <w:rsid w:val="00904A64"/>
    <w:rsid w:val="00904C24"/>
    <w:rsid w:val="00904FDD"/>
    <w:rsid w:val="009052EF"/>
    <w:rsid w:val="009055CB"/>
    <w:rsid w:val="009069C0"/>
    <w:rsid w:val="009069EB"/>
    <w:rsid w:val="0090766C"/>
    <w:rsid w:val="009101D3"/>
    <w:rsid w:val="009104BE"/>
    <w:rsid w:val="00910FB9"/>
    <w:rsid w:val="0091102F"/>
    <w:rsid w:val="00911115"/>
    <w:rsid w:val="0091159B"/>
    <w:rsid w:val="009128B1"/>
    <w:rsid w:val="009129C3"/>
    <w:rsid w:val="009131DB"/>
    <w:rsid w:val="00913BC4"/>
    <w:rsid w:val="00914055"/>
    <w:rsid w:val="00914342"/>
    <w:rsid w:val="009146CE"/>
    <w:rsid w:val="00914952"/>
    <w:rsid w:val="00914CC7"/>
    <w:rsid w:val="00915026"/>
    <w:rsid w:val="00915275"/>
    <w:rsid w:val="009155A3"/>
    <w:rsid w:val="00915B79"/>
    <w:rsid w:val="00915C2A"/>
    <w:rsid w:val="00916580"/>
    <w:rsid w:val="0091703C"/>
    <w:rsid w:val="009179EE"/>
    <w:rsid w:val="00917A91"/>
    <w:rsid w:val="00917B30"/>
    <w:rsid w:val="00920DBD"/>
    <w:rsid w:val="00921556"/>
    <w:rsid w:val="0092181D"/>
    <w:rsid w:val="009220E1"/>
    <w:rsid w:val="009226FF"/>
    <w:rsid w:val="00922BA4"/>
    <w:rsid w:val="00922BF1"/>
    <w:rsid w:val="00922DDF"/>
    <w:rsid w:val="00923BAA"/>
    <w:rsid w:val="00924343"/>
    <w:rsid w:val="009251D3"/>
    <w:rsid w:val="00925502"/>
    <w:rsid w:val="009258D3"/>
    <w:rsid w:val="00925A3B"/>
    <w:rsid w:val="00926203"/>
    <w:rsid w:val="00926E98"/>
    <w:rsid w:val="009272E0"/>
    <w:rsid w:val="009274C9"/>
    <w:rsid w:val="0093022F"/>
    <w:rsid w:val="0093049E"/>
    <w:rsid w:val="00932212"/>
    <w:rsid w:val="009329F0"/>
    <w:rsid w:val="00932CC8"/>
    <w:rsid w:val="00932D24"/>
    <w:rsid w:val="0093449D"/>
    <w:rsid w:val="0093522F"/>
    <w:rsid w:val="009359CD"/>
    <w:rsid w:val="0093686E"/>
    <w:rsid w:val="00936DC3"/>
    <w:rsid w:val="00936FED"/>
    <w:rsid w:val="0093744F"/>
    <w:rsid w:val="00937A8B"/>
    <w:rsid w:val="00940DAC"/>
    <w:rsid w:val="00941413"/>
    <w:rsid w:val="009438E2"/>
    <w:rsid w:val="00943B5A"/>
    <w:rsid w:val="00943D98"/>
    <w:rsid w:val="00943E93"/>
    <w:rsid w:val="00943F2F"/>
    <w:rsid w:val="009440E8"/>
    <w:rsid w:val="009441C3"/>
    <w:rsid w:val="0094432A"/>
    <w:rsid w:val="00944515"/>
    <w:rsid w:val="0094476B"/>
    <w:rsid w:val="0094507E"/>
    <w:rsid w:val="009471C8"/>
    <w:rsid w:val="0094725B"/>
    <w:rsid w:val="00947C60"/>
    <w:rsid w:val="00950768"/>
    <w:rsid w:val="00950C3C"/>
    <w:rsid w:val="0095174C"/>
    <w:rsid w:val="00951E05"/>
    <w:rsid w:val="0095283A"/>
    <w:rsid w:val="00952F90"/>
    <w:rsid w:val="00953295"/>
    <w:rsid w:val="009533D4"/>
    <w:rsid w:val="009536C0"/>
    <w:rsid w:val="00953E3D"/>
    <w:rsid w:val="00953F1D"/>
    <w:rsid w:val="0095411A"/>
    <w:rsid w:val="00954825"/>
    <w:rsid w:val="00954C0E"/>
    <w:rsid w:val="00955A0A"/>
    <w:rsid w:val="00956792"/>
    <w:rsid w:val="0095706A"/>
    <w:rsid w:val="009575AE"/>
    <w:rsid w:val="00957F57"/>
    <w:rsid w:val="0096037C"/>
    <w:rsid w:val="009605C3"/>
    <w:rsid w:val="00960AEF"/>
    <w:rsid w:val="0096145B"/>
    <w:rsid w:val="00961B68"/>
    <w:rsid w:val="00963FB1"/>
    <w:rsid w:val="00964404"/>
    <w:rsid w:val="00964485"/>
    <w:rsid w:val="00964F32"/>
    <w:rsid w:val="0096502E"/>
    <w:rsid w:val="009663CE"/>
    <w:rsid w:val="00966666"/>
    <w:rsid w:val="00966952"/>
    <w:rsid w:val="00966A87"/>
    <w:rsid w:val="00966FED"/>
    <w:rsid w:val="009672E4"/>
    <w:rsid w:val="00967B29"/>
    <w:rsid w:val="00967EB5"/>
    <w:rsid w:val="009702E5"/>
    <w:rsid w:val="0097053B"/>
    <w:rsid w:val="009716E8"/>
    <w:rsid w:val="00971C9C"/>
    <w:rsid w:val="009735EB"/>
    <w:rsid w:val="00974D37"/>
    <w:rsid w:val="00974E44"/>
    <w:rsid w:val="0097589F"/>
    <w:rsid w:val="00975CD0"/>
    <w:rsid w:val="009763A8"/>
    <w:rsid w:val="009764A4"/>
    <w:rsid w:val="0097662F"/>
    <w:rsid w:val="009771AA"/>
    <w:rsid w:val="00977201"/>
    <w:rsid w:val="00977899"/>
    <w:rsid w:val="00977D4E"/>
    <w:rsid w:val="00981394"/>
    <w:rsid w:val="009813F8"/>
    <w:rsid w:val="0098151F"/>
    <w:rsid w:val="00981A30"/>
    <w:rsid w:val="009822A0"/>
    <w:rsid w:val="009822F0"/>
    <w:rsid w:val="00982857"/>
    <w:rsid w:val="00983A67"/>
    <w:rsid w:val="00983B75"/>
    <w:rsid w:val="0098579C"/>
    <w:rsid w:val="009858AE"/>
    <w:rsid w:val="009864CF"/>
    <w:rsid w:val="009868D4"/>
    <w:rsid w:val="00987B55"/>
    <w:rsid w:val="0099031D"/>
    <w:rsid w:val="009905B3"/>
    <w:rsid w:val="00990EAE"/>
    <w:rsid w:val="0099109C"/>
    <w:rsid w:val="00991EB4"/>
    <w:rsid w:val="0099223C"/>
    <w:rsid w:val="009928A8"/>
    <w:rsid w:val="00992BAF"/>
    <w:rsid w:val="00992F43"/>
    <w:rsid w:val="00993161"/>
    <w:rsid w:val="00993871"/>
    <w:rsid w:val="00993918"/>
    <w:rsid w:val="00994C2B"/>
    <w:rsid w:val="00994DAF"/>
    <w:rsid w:val="009965C1"/>
    <w:rsid w:val="00996B4D"/>
    <w:rsid w:val="00996C73"/>
    <w:rsid w:val="00996D0D"/>
    <w:rsid w:val="009A065D"/>
    <w:rsid w:val="009A0AA3"/>
    <w:rsid w:val="009A0FB5"/>
    <w:rsid w:val="009A3024"/>
    <w:rsid w:val="009A30BF"/>
    <w:rsid w:val="009A3F9F"/>
    <w:rsid w:val="009A4C47"/>
    <w:rsid w:val="009A4E7D"/>
    <w:rsid w:val="009A5E9C"/>
    <w:rsid w:val="009A6374"/>
    <w:rsid w:val="009A7525"/>
    <w:rsid w:val="009A7679"/>
    <w:rsid w:val="009B00A1"/>
    <w:rsid w:val="009B0170"/>
    <w:rsid w:val="009B06BC"/>
    <w:rsid w:val="009B1169"/>
    <w:rsid w:val="009B1C7C"/>
    <w:rsid w:val="009B1EEC"/>
    <w:rsid w:val="009B1F47"/>
    <w:rsid w:val="009B2B6A"/>
    <w:rsid w:val="009B2E7C"/>
    <w:rsid w:val="009B2F92"/>
    <w:rsid w:val="009B327E"/>
    <w:rsid w:val="009B339A"/>
    <w:rsid w:val="009B3942"/>
    <w:rsid w:val="009B4D71"/>
    <w:rsid w:val="009B56E8"/>
    <w:rsid w:val="009B5D34"/>
    <w:rsid w:val="009B6BDF"/>
    <w:rsid w:val="009B7134"/>
    <w:rsid w:val="009B7466"/>
    <w:rsid w:val="009B793C"/>
    <w:rsid w:val="009C0165"/>
    <w:rsid w:val="009C0CAA"/>
    <w:rsid w:val="009C120F"/>
    <w:rsid w:val="009C1461"/>
    <w:rsid w:val="009C1C11"/>
    <w:rsid w:val="009C29F4"/>
    <w:rsid w:val="009C2F1E"/>
    <w:rsid w:val="009C3615"/>
    <w:rsid w:val="009C39BD"/>
    <w:rsid w:val="009C4FA3"/>
    <w:rsid w:val="009C523E"/>
    <w:rsid w:val="009C580C"/>
    <w:rsid w:val="009C5D0F"/>
    <w:rsid w:val="009C7FC4"/>
    <w:rsid w:val="009D09B9"/>
    <w:rsid w:val="009D0CD3"/>
    <w:rsid w:val="009D1889"/>
    <w:rsid w:val="009D258D"/>
    <w:rsid w:val="009D37FD"/>
    <w:rsid w:val="009D4434"/>
    <w:rsid w:val="009D52FE"/>
    <w:rsid w:val="009D5A42"/>
    <w:rsid w:val="009D5DB8"/>
    <w:rsid w:val="009D7095"/>
    <w:rsid w:val="009D7612"/>
    <w:rsid w:val="009D7DE9"/>
    <w:rsid w:val="009E04AF"/>
    <w:rsid w:val="009E04F5"/>
    <w:rsid w:val="009E0E5F"/>
    <w:rsid w:val="009E171A"/>
    <w:rsid w:val="009E1DC2"/>
    <w:rsid w:val="009E2EEE"/>
    <w:rsid w:val="009E4A6F"/>
    <w:rsid w:val="009E5362"/>
    <w:rsid w:val="009E56EB"/>
    <w:rsid w:val="009E5BB5"/>
    <w:rsid w:val="009E60AA"/>
    <w:rsid w:val="009E69CC"/>
    <w:rsid w:val="009E6B19"/>
    <w:rsid w:val="009E6D03"/>
    <w:rsid w:val="009F0ED2"/>
    <w:rsid w:val="009F3C62"/>
    <w:rsid w:val="009F4E4D"/>
    <w:rsid w:val="009F6612"/>
    <w:rsid w:val="009F6DF5"/>
    <w:rsid w:val="009F7F4B"/>
    <w:rsid w:val="009F7FB0"/>
    <w:rsid w:val="00A006D4"/>
    <w:rsid w:val="00A00FEB"/>
    <w:rsid w:val="00A030F5"/>
    <w:rsid w:val="00A0440E"/>
    <w:rsid w:val="00A04A94"/>
    <w:rsid w:val="00A055A2"/>
    <w:rsid w:val="00A057AE"/>
    <w:rsid w:val="00A05BDC"/>
    <w:rsid w:val="00A068BD"/>
    <w:rsid w:val="00A06CFF"/>
    <w:rsid w:val="00A079C5"/>
    <w:rsid w:val="00A10233"/>
    <w:rsid w:val="00A10993"/>
    <w:rsid w:val="00A10DF5"/>
    <w:rsid w:val="00A1238E"/>
    <w:rsid w:val="00A12445"/>
    <w:rsid w:val="00A147BA"/>
    <w:rsid w:val="00A14F25"/>
    <w:rsid w:val="00A16170"/>
    <w:rsid w:val="00A2099A"/>
    <w:rsid w:val="00A20DB6"/>
    <w:rsid w:val="00A21A24"/>
    <w:rsid w:val="00A21A8D"/>
    <w:rsid w:val="00A21E6B"/>
    <w:rsid w:val="00A21F26"/>
    <w:rsid w:val="00A23005"/>
    <w:rsid w:val="00A23123"/>
    <w:rsid w:val="00A23FA0"/>
    <w:rsid w:val="00A251BE"/>
    <w:rsid w:val="00A265E8"/>
    <w:rsid w:val="00A27620"/>
    <w:rsid w:val="00A2772A"/>
    <w:rsid w:val="00A27DBA"/>
    <w:rsid w:val="00A308A5"/>
    <w:rsid w:val="00A30A8F"/>
    <w:rsid w:val="00A30C20"/>
    <w:rsid w:val="00A31AC7"/>
    <w:rsid w:val="00A31C0C"/>
    <w:rsid w:val="00A32970"/>
    <w:rsid w:val="00A340D8"/>
    <w:rsid w:val="00A35822"/>
    <w:rsid w:val="00A364E0"/>
    <w:rsid w:val="00A3740A"/>
    <w:rsid w:val="00A3746D"/>
    <w:rsid w:val="00A402A5"/>
    <w:rsid w:val="00A40786"/>
    <w:rsid w:val="00A410EA"/>
    <w:rsid w:val="00A43B64"/>
    <w:rsid w:val="00A43F6D"/>
    <w:rsid w:val="00A44AA1"/>
    <w:rsid w:val="00A454EF"/>
    <w:rsid w:val="00A456CB"/>
    <w:rsid w:val="00A45D07"/>
    <w:rsid w:val="00A469B8"/>
    <w:rsid w:val="00A473E0"/>
    <w:rsid w:val="00A47B85"/>
    <w:rsid w:val="00A5072C"/>
    <w:rsid w:val="00A50B2A"/>
    <w:rsid w:val="00A51B00"/>
    <w:rsid w:val="00A52EAE"/>
    <w:rsid w:val="00A52FEC"/>
    <w:rsid w:val="00A53A4C"/>
    <w:rsid w:val="00A53AA9"/>
    <w:rsid w:val="00A549B7"/>
    <w:rsid w:val="00A54ADC"/>
    <w:rsid w:val="00A56FA8"/>
    <w:rsid w:val="00A57007"/>
    <w:rsid w:val="00A572BD"/>
    <w:rsid w:val="00A572D9"/>
    <w:rsid w:val="00A57B0B"/>
    <w:rsid w:val="00A57CB5"/>
    <w:rsid w:val="00A57DD4"/>
    <w:rsid w:val="00A60510"/>
    <w:rsid w:val="00A611BB"/>
    <w:rsid w:val="00A62925"/>
    <w:rsid w:val="00A64028"/>
    <w:rsid w:val="00A64425"/>
    <w:rsid w:val="00A656D3"/>
    <w:rsid w:val="00A6583E"/>
    <w:rsid w:val="00A65ABF"/>
    <w:rsid w:val="00A668FB"/>
    <w:rsid w:val="00A6702B"/>
    <w:rsid w:val="00A67272"/>
    <w:rsid w:val="00A6791A"/>
    <w:rsid w:val="00A71189"/>
    <w:rsid w:val="00A71B1F"/>
    <w:rsid w:val="00A71D21"/>
    <w:rsid w:val="00A7255C"/>
    <w:rsid w:val="00A73820"/>
    <w:rsid w:val="00A73A8A"/>
    <w:rsid w:val="00A7401C"/>
    <w:rsid w:val="00A74571"/>
    <w:rsid w:val="00A74BEB"/>
    <w:rsid w:val="00A74F07"/>
    <w:rsid w:val="00A758D6"/>
    <w:rsid w:val="00A76084"/>
    <w:rsid w:val="00A76B92"/>
    <w:rsid w:val="00A77494"/>
    <w:rsid w:val="00A80508"/>
    <w:rsid w:val="00A806A9"/>
    <w:rsid w:val="00A807C8"/>
    <w:rsid w:val="00A8096C"/>
    <w:rsid w:val="00A80E37"/>
    <w:rsid w:val="00A81C21"/>
    <w:rsid w:val="00A836DC"/>
    <w:rsid w:val="00A83878"/>
    <w:rsid w:val="00A83ED2"/>
    <w:rsid w:val="00A83F45"/>
    <w:rsid w:val="00A8400E"/>
    <w:rsid w:val="00A8423D"/>
    <w:rsid w:val="00A8508E"/>
    <w:rsid w:val="00A869D6"/>
    <w:rsid w:val="00A86A04"/>
    <w:rsid w:val="00A86ECE"/>
    <w:rsid w:val="00A9070B"/>
    <w:rsid w:val="00A90B18"/>
    <w:rsid w:val="00A91737"/>
    <w:rsid w:val="00A91844"/>
    <w:rsid w:val="00A92883"/>
    <w:rsid w:val="00A92904"/>
    <w:rsid w:val="00A92E92"/>
    <w:rsid w:val="00A93090"/>
    <w:rsid w:val="00A933B4"/>
    <w:rsid w:val="00A934F8"/>
    <w:rsid w:val="00A93676"/>
    <w:rsid w:val="00A94D6C"/>
    <w:rsid w:val="00A9518D"/>
    <w:rsid w:val="00A954C4"/>
    <w:rsid w:val="00A95AC6"/>
    <w:rsid w:val="00A96972"/>
    <w:rsid w:val="00A9710F"/>
    <w:rsid w:val="00A97511"/>
    <w:rsid w:val="00A979CB"/>
    <w:rsid w:val="00A97AB4"/>
    <w:rsid w:val="00A97B7F"/>
    <w:rsid w:val="00A97EBD"/>
    <w:rsid w:val="00AA0453"/>
    <w:rsid w:val="00AA1E38"/>
    <w:rsid w:val="00AA33B0"/>
    <w:rsid w:val="00AA4277"/>
    <w:rsid w:val="00AA43D5"/>
    <w:rsid w:val="00AA4545"/>
    <w:rsid w:val="00AA6414"/>
    <w:rsid w:val="00AB03B3"/>
    <w:rsid w:val="00AB05A0"/>
    <w:rsid w:val="00AB0B1D"/>
    <w:rsid w:val="00AB126F"/>
    <w:rsid w:val="00AB1312"/>
    <w:rsid w:val="00AB179F"/>
    <w:rsid w:val="00AB1EAB"/>
    <w:rsid w:val="00AB210D"/>
    <w:rsid w:val="00AB2A7D"/>
    <w:rsid w:val="00AB4860"/>
    <w:rsid w:val="00AB4CFA"/>
    <w:rsid w:val="00AB5225"/>
    <w:rsid w:val="00AB621A"/>
    <w:rsid w:val="00AB65F6"/>
    <w:rsid w:val="00AB6BC7"/>
    <w:rsid w:val="00AB6FF0"/>
    <w:rsid w:val="00AB77B3"/>
    <w:rsid w:val="00AB7A04"/>
    <w:rsid w:val="00AC0391"/>
    <w:rsid w:val="00AC0CE9"/>
    <w:rsid w:val="00AC14AF"/>
    <w:rsid w:val="00AC25B2"/>
    <w:rsid w:val="00AC272E"/>
    <w:rsid w:val="00AC28AA"/>
    <w:rsid w:val="00AC2F10"/>
    <w:rsid w:val="00AC375C"/>
    <w:rsid w:val="00AC3A3B"/>
    <w:rsid w:val="00AC47B6"/>
    <w:rsid w:val="00AC558B"/>
    <w:rsid w:val="00AC591B"/>
    <w:rsid w:val="00AC5FEB"/>
    <w:rsid w:val="00AC6458"/>
    <w:rsid w:val="00AC6674"/>
    <w:rsid w:val="00AC71EB"/>
    <w:rsid w:val="00AC7706"/>
    <w:rsid w:val="00AC7AA9"/>
    <w:rsid w:val="00AC7D32"/>
    <w:rsid w:val="00AD0017"/>
    <w:rsid w:val="00AD0343"/>
    <w:rsid w:val="00AD0E8F"/>
    <w:rsid w:val="00AD198D"/>
    <w:rsid w:val="00AD2D77"/>
    <w:rsid w:val="00AD3D2A"/>
    <w:rsid w:val="00AD3D71"/>
    <w:rsid w:val="00AD3E86"/>
    <w:rsid w:val="00AD3EA2"/>
    <w:rsid w:val="00AD44DC"/>
    <w:rsid w:val="00AD4609"/>
    <w:rsid w:val="00AD4B42"/>
    <w:rsid w:val="00AD54AD"/>
    <w:rsid w:val="00AD5A5C"/>
    <w:rsid w:val="00AD5C7C"/>
    <w:rsid w:val="00AD6A0E"/>
    <w:rsid w:val="00AD6F72"/>
    <w:rsid w:val="00AE03CB"/>
    <w:rsid w:val="00AE0550"/>
    <w:rsid w:val="00AE068C"/>
    <w:rsid w:val="00AE0EF8"/>
    <w:rsid w:val="00AE3218"/>
    <w:rsid w:val="00AE32D9"/>
    <w:rsid w:val="00AE36F4"/>
    <w:rsid w:val="00AE3B1F"/>
    <w:rsid w:val="00AE3C09"/>
    <w:rsid w:val="00AE43C4"/>
    <w:rsid w:val="00AE4454"/>
    <w:rsid w:val="00AE4674"/>
    <w:rsid w:val="00AE4814"/>
    <w:rsid w:val="00AE4958"/>
    <w:rsid w:val="00AE4D65"/>
    <w:rsid w:val="00AE542C"/>
    <w:rsid w:val="00AE55D1"/>
    <w:rsid w:val="00AE58AB"/>
    <w:rsid w:val="00AE6556"/>
    <w:rsid w:val="00AE7496"/>
    <w:rsid w:val="00AE77AE"/>
    <w:rsid w:val="00AE7DF5"/>
    <w:rsid w:val="00AF0141"/>
    <w:rsid w:val="00AF0550"/>
    <w:rsid w:val="00AF0748"/>
    <w:rsid w:val="00AF1060"/>
    <w:rsid w:val="00AF18B3"/>
    <w:rsid w:val="00AF18DD"/>
    <w:rsid w:val="00AF3BA9"/>
    <w:rsid w:val="00AF4CCA"/>
    <w:rsid w:val="00AF568F"/>
    <w:rsid w:val="00AF5B89"/>
    <w:rsid w:val="00AF67B9"/>
    <w:rsid w:val="00AF79EF"/>
    <w:rsid w:val="00AF7B5E"/>
    <w:rsid w:val="00AF7CF6"/>
    <w:rsid w:val="00B001AB"/>
    <w:rsid w:val="00B00935"/>
    <w:rsid w:val="00B00CF6"/>
    <w:rsid w:val="00B012BD"/>
    <w:rsid w:val="00B014E7"/>
    <w:rsid w:val="00B022A4"/>
    <w:rsid w:val="00B02895"/>
    <w:rsid w:val="00B02A7E"/>
    <w:rsid w:val="00B02D50"/>
    <w:rsid w:val="00B02F74"/>
    <w:rsid w:val="00B036E5"/>
    <w:rsid w:val="00B038FC"/>
    <w:rsid w:val="00B03F24"/>
    <w:rsid w:val="00B04C61"/>
    <w:rsid w:val="00B05475"/>
    <w:rsid w:val="00B05FAA"/>
    <w:rsid w:val="00B06020"/>
    <w:rsid w:val="00B06424"/>
    <w:rsid w:val="00B06661"/>
    <w:rsid w:val="00B07638"/>
    <w:rsid w:val="00B07C59"/>
    <w:rsid w:val="00B115CA"/>
    <w:rsid w:val="00B122B7"/>
    <w:rsid w:val="00B13558"/>
    <w:rsid w:val="00B13626"/>
    <w:rsid w:val="00B137EA"/>
    <w:rsid w:val="00B140ED"/>
    <w:rsid w:val="00B14513"/>
    <w:rsid w:val="00B14731"/>
    <w:rsid w:val="00B147C9"/>
    <w:rsid w:val="00B1496E"/>
    <w:rsid w:val="00B149DE"/>
    <w:rsid w:val="00B1573F"/>
    <w:rsid w:val="00B159A6"/>
    <w:rsid w:val="00B15ACB"/>
    <w:rsid w:val="00B15E27"/>
    <w:rsid w:val="00B15F19"/>
    <w:rsid w:val="00B163B5"/>
    <w:rsid w:val="00B20716"/>
    <w:rsid w:val="00B216C6"/>
    <w:rsid w:val="00B218D2"/>
    <w:rsid w:val="00B21BCE"/>
    <w:rsid w:val="00B21FB1"/>
    <w:rsid w:val="00B221AB"/>
    <w:rsid w:val="00B22735"/>
    <w:rsid w:val="00B22ABA"/>
    <w:rsid w:val="00B233A7"/>
    <w:rsid w:val="00B242AF"/>
    <w:rsid w:val="00B242C9"/>
    <w:rsid w:val="00B2468F"/>
    <w:rsid w:val="00B257D8"/>
    <w:rsid w:val="00B25A91"/>
    <w:rsid w:val="00B2614F"/>
    <w:rsid w:val="00B26607"/>
    <w:rsid w:val="00B277C0"/>
    <w:rsid w:val="00B30004"/>
    <w:rsid w:val="00B302AC"/>
    <w:rsid w:val="00B30CE6"/>
    <w:rsid w:val="00B3148E"/>
    <w:rsid w:val="00B314D8"/>
    <w:rsid w:val="00B318AA"/>
    <w:rsid w:val="00B31CB9"/>
    <w:rsid w:val="00B32C48"/>
    <w:rsid w:val="00B33C46"/>
    <w:rsid w:val="00B34364"/>
    <w:rsid w:val="00B35FA3"/>
    <w:rsid w:val="00B363DC"/>
    <w:rsid w:val="00B366FC"/>
    <w:rsid w:val="00B36CB2"/>
    <w:rsid w:val="00B36FFA"/>
    <w:rsid w:val="00B37AA6"/>
    <w:rsid w:val="00B37CD6"/>
    <w:rsid w:val="00B41112"/>
    <w:rsid w:val="00B416F4"/>
    <w:rsid w:val="00B418E7"/>
    <w:rsid w:val="00B41991"/>
    <w:rsid w:val="00B420B0"/>
    <w:rsid w:val="00B42258"/>
    <w:rsid w:val="00B42450"/>
    <w:rsid w:val="00B42D4F"/>
    <w:rsid w:val="00B44107"/>
    <w:rsid w:val="00B441C0"/>
    <w:rsid w:val="00B44C47"/>
    <w:rsid w:val="00B45413"/>
    <w:rsid w:val="00B45620"/>
    <w:rsid w:val="00B45891"/>
    <w:rsid w:val="00B46248"/>
    <w:rsid w:val="00B46449"/>
    <w:rsid w:val="00B47A89"/>
    <w:rsid w:val="00B47F99"/>
    <w:rsid w:val="00B50B02"/>
    <w:rsid w:val="00B513A7"/>
    <w:rsid w:val="00B51B77"/>
    <w:rsid w:val="00B51CB4"/>
    <w:rsid w:val="00B53341"/>
    <w:rsid w:val="00B533D2"/>
    <w:rsid w:val="00B53710"/>
    <w:rsid w:val="00B53AE3"/>
    <w:rsid w:val="00B53D89"/>
    <w:rsid w:val="00B54806"/>
    <w:rsid w:val="00B55ECD"/>
    <w:rsid w:val="00B56BD0"/>
    <w:rsid w:val="00B56CDE"/>
    <w:rsid w:val="00B5734F"/>
    <w:rsid w:val="00B575F0"/>
    <w:rsid w:val="00B578B5"/>
    <w:rsid w:val="00B6048A"/>
    <w:rsid w:val="00B61000"/>
    <w:rsid w:val="00B61262"/>
    <w:rsid w:val="00B61625"/>
    <w:rsid w:val="00B618A0"/>
    <w:rsid w:val="00B61DDA"/>
    <w:rsid w:val="00B62254"/>
    <w:rsid w:val="00B62426"/>
    <w:rsid w:val="00B629EE"/>
    <w:rsid w:val="00B630AA"/>
    <w:rsid w:val="00B635FD"/>
    <w:rsid w:val="00B63BB6"/>
    <w:rsid w:val="00B6426D"/>
    <w:rsid w:val="00B650CF"/>
    <w:rsid w:val="00B661D4"/>
    <w:rsid w:val="00B704E4"/>
    <w:rsid w:val="00B70D74"/>
    <w:rsid w:val="00B716F8"/>
    <w:rsid w:val="00B71DFB"/>
    <w:rsid w:val="00B71E34"/>
    <w:rsid w:val="00B729FA"/>
    <w:rsid w:val="00B7326F"/>
    <w:rsid w:val="00B74282"/>
    <w:rsid w:val="00B751C8"/>
    <w:rsid w:val="00B753FB"/>
    <w:rsid w:val="00B755B3"/>
    <w:rsid w:val="00B762A9"/>
    <w:rsid w:val="00B76AA9"/>
    <w:rsid w:val="00B76DDD"/>
    <w:rsid w:val="00B77BB6"/>
    <w:rsid w:val="00B81B3B"/>
    <w:rsid w:val="00B8333A"/>
    <w:rsid w:val="00B83403"/>
    <w:rsid w:val="00B843F2"/>
    <w:rsid w:val="00B8443F"/>
    <w:rsid w:val="00B84891"/>
    <w:rsid w:val="00B85CBF"/>
    <w:rsid w:val="00B85EAC"/>
    <w:rsid w:val="00B90CB7"/>
    <w:rsid w:val="00B90DAF"/>
    <w:rsid w:val="00B91D19"/>
    <w:rsid w:val="00B91F1F"/>
    <w:rsid w:val="00B924B9"/>
    <w:rsid w:val="00B925BE"/>
    <w:rsid w:val="00B929BC"/>
    <w:rsid w:val="00B92B81"/>
    <w:rsid w:val="00B92BEC"/>
    <w:rsid w:val="00B92E30"/>
    <w:rsid w:val="00B93043"/>
    <w:rsid w:val="00B93D7E"/>
    <w:rsid w:val="00B95659"/>
    <w:rsid w:val="00B962C7"/>
    <w:rsid w:val="00B96D6C"/>
    <w:rsid w:val="00BA21EA"/>
    <w:rsid w:val="00BA27AD"/>
    <w:rsid w:val="00BA2A64"/>
    <w:rsid w:val="00BA2F79"/>
    <w:rsid w:val="00BA3090"/>
    <w:rsid w:val="00BA3B51"/>
    <w:rsid w:val="00BA3C35"/>
    <w:rsid w:val="00BA3D21"/>
    <w:rsid w:val="00BA3DEF"/>
    <w:rsid w:val="00BA5A6A"/>
    <w:rsid w:val="00BA722A"/>
    <w:rsid w:val="00BB0FFB"/>
    <w:rsid w:val="00BB1830"/>
    <w:rsid w:val="00BB1CA3"/>
    <w:rsid w:val="00BB23B4"/>
    <w:rsid w:val="00BB2E12"/>
    <w:rsid w:val="00BB417F"/>
    <w:rsid w:val="00BB4A09"/>
    <w:rsid w:val="00BB5B51"/>
    <w:rsid w:val="00BB6128"/>
    <w:rsid w:val="00BB6245"/>
    <w:rsid w:val="00BB65D3"/>
    <w:rsid w:val="00BB7E13"/>
    <w:rsid w:val="00BC06E2"/>
    <w:rsid w:val="00BC0FDA"/>
    <w:rsid w:val="00BC1529"/>
    <w:rsid w:val="00BC1A1F"/>
    <w:rsid w:val="00BC1A2F"/>
    <w:rsid w:val="00BC23A2"/>
    <w:rsid w:val="00BC298F"/>
    <w:rsid w:val="00BC38CC"/>
    <w:rsid w:val="00BC3BE5"/>
    <w:rsid w:val="00BC3C3D"/>
    <w:rsid w:val="00BC4CC0"/>
    <w:rsid w:val="00BC4F04"/>
    <w:rsid w:val="00BC509C"/>
    <w:rsid w:val="00BC51EA"/>
    <w:rsid w:val="00BC5F46"/>
    <w:rsid w:val="00BC60F6"/>
    <w:rsid w:val="00BC61E8"/>
    <w:rsid w:val="00BC62F1"/>
    <w:rsid w:val="00BC6F2C"/>
    <w:rsid w:val="00BC76B1"/>
    <w:rsid w:val="00BC7F71"/>
    <w:rsid w:val="00BD0C25"/>
    <w:rsid w:val="00BD119D"/>
    <w:rsid w:val="00BD1F8A"/>
    <w:rsid w:val="00BD3615"/>
    <w:rsid w:val="00BD36CB"/>
    <w:rsid w:val="00BD3888"/>
    <w:rsid w:val="00BD4B43"/>
    <w:rsid w:val="00BD4FFF"/>
    <w:rsid w:val="00BD5693"/>
    <w:rsid w:val="00BD5BEE"/>
    <w:rsid w:val="00BE0619"/>
    <w:rsid w:val="00BE0B80"/>
    <w:rsid w:val="00BE0C22"/>
    <w:rsid w:val="00BE0D19"/>
    <w:rsid w:val="00BE1232"/>
    <w:rsid w:val="00BE15E2"/>
    <w:rsid w:val="00BE1D2D"/>
    <w:rsid w:val="00BE2FF1"/>
    <w:rsid w:val="00BE3417"/>
    <w:rsid w:val="00BE35B9"/>
    <w:rsid w:val="00BE37D6"/>
    <w:rsid w:val="00BE38AE"/>
    <w:rsid w:val="00BE3967"/>
    <w:rsid w:val="00BE399F"/>
    <w:rsid w:val="00BE3A7E"/>
    <w:rsid w:val="00BE4053"/>
    <w:rsid w:val="00BE4EF1"/>
    <w:rsid w:val="00BE51B8"/>
    <w:rsid w:val="00BE5F83"/>
    <w:rsid w:val="00BE623D"/>
    <w:rsid w:val="00BE6B0E"/>
    <w:rsid w:val="00BE6E4E"/>
    <w:rsid w:val="00BE7139"/>
    <w:rsid w:val="00BE7422"/>
    <w:rsid w:val="00BE7826"/>
    <w:rsid w:val="00BF0379"/>
    <w:rsid w:val="00BF0581"/>
    <w:rsid w:val="00BF19DA"/>
    <w:rsid w:val="00BF1F21"/>
    <w:rsid w:val="00BF39FE"/>
    <w:rsid w:val="00BF3DF7"/>
    <w:rsid w:val="00BF3ED5"/>
    <w:rsid w:val="00BF4711"/>
    <w:rsid w:val="00BF4C07"/>
    <w:rsid w:val="00BF56F8"/>
    <w:rsid w:val="00BF59BB"/>
    <w:rsid w:val="00BF59BE"/>
    <w:rsid w:val="00BF6097"/>
    <w:rsid w:val="00BF618E"/>
    <w:rsid w:val="00BF6C7C"/>
    <w:rsid w:val="00BF7010"/>
    <w:rsid w:val="00BF7233"/>
    <w:rsid w:val="00BF79D5"/>
    <w:rsid w:val="00C00279"/>
    <w:rsid w:val="00C00AFD"/>
    <w:rsid w:val="00C00EDF"/>
    <w:rsid w:val="00C00EE7"/>
    <w:rsid w:val="00C019A0"/>
    <w:rsid w:val="00C02620"/>
    <w:rsid w:val="00C02977"/>
    <w:rsid w:val="00C02F22"/>
    <w:rsid w:val="00C0330A"/>
    <w:rsid w:val="00C04161"/>
    <w:rsid w:val="00C0459A"/>
    <w:rsid w:val="00C0528C"/>
    <w:rsid w:val="00C052D8"/>
    <w:rsid w:val="00C05362"/>
    <w:rsid w:val="00C0571E"/>
    <w:rsid w:val="00C06269"/>
    <w:rsid w:val="00C06538"/>
    <w:rsid w:val="00C07910"/>
    <w:rsid w:val="00C10239"/>
    <w:rsid w:val="00C11187"/>
    <w:rsid w:val="00C113B0"/>
    <w:rsid w:val="00C11D0C"/>
    <w:rsid w:val="00C12222"/>
    <w:rsid w:val="00C12B3C"/>
    <w:rsid w:val="00C12D1F"/>
    <w:rsid w:val="00C12F2F"/>
    <w:rsid w:val="00C134EE"/>
    <w:rsid w:val="00C13FBA"/>
    <w:rsid w:val="00C146A7"/>
    <w:rsid w:val="00C16FF1"/>
    <w:rsid w:val="00C17281"/>
    <w:rsid w:val="00C20B7F"/>
    <w:rsid w:val="00C23CC1"/>
    <w:rsid w:val="00C23D8A"/>
    <w:rsid w:val="00C23E80"/>
    <w:rsid w:val="00C2463D"/>
    <w:rsid w:val="00C251FE"/>
    <w:rsid w:val="00C260C7"/>
    <w:rsid w:val="00C265FE"/>
    <w:rsid w:val="00C26DAF"/>
    <w:rsid w:val="00C2755A"/>
    <w:rsid w:val="00C27BCC"/>
    <w:rsid w:val="00C30D89"/>
    <w:rsid w:val="00C311CE"/>
    <w:rsid w:val="00C3149C"/>
    <w:rsid w:val="00C315B1"/>
    <w:rsid w:val="00C3210C"/>
    <w:rsid w:val="00C3302E"/>
    <w:rsid w:val="00C33834"/>
    <w:rsid w:val="00C33EC6"/>
    <w:rsid w:val="00C33F3D"/>
    <w:rsid w:val="00C34849"/>
    <w:rsid w:val="00C349C5"/>
    <w:rsid w:val="00C35288"/>
    <w:rsid w:val="00C35478"/>
    <w:rsid w:val="00C362C5"/>
    <w:rsid w:val="00C4028F"/>
    <w:rsid w:val="00C40DA5"/>
    <w:rsid w:val="00C40E1A"/>
    <w:rsid w:val="00C4109D"/>
    <w:rsid w:val="00C44BF5"/>
    <w:rsid w:val="00C44E2D"/>
    <w:rsid w:val="00C4500C"/>
    <w:rsid w:val="00C4512E"/>
    <w:rsid w:val="00C469CD"/>
    <w:rsid w:val="00C46A6F"/>
    <w:rsid w:val="00C475AC"/>
    <w:rsid w:val="00C50C7C"/>
    <w:rsid w:val="00C514FD"/>
    <w:rsid w:val="00C5245A"/>
    <w:rsid w:val="00C52F69"/>
    <w:rsid w:val="00C53170"/>
    <w:rsid w:val="00C536AF"/>
    <w:rsid w:val="00C53755"/>
    <w:rsid w:val="00C53984"/>
    <w:rsid w:val="00C53BD6"/>
    <w:rsid w:val="00C53FDF"/>
    <w:rsid w:val="00C54290"/>
    <w:rsid w:val="00C54739"/>
    <w:rsid w:val="00C54C6E"/>
    <w:rsid w:val="00C55584"/>
    <w:rsid w:val="00C556F7"/>
    <w:rsid w:val="00C55823"/>
    <w:rsid w:val="00C5614A"/>
    <w:rsid w:val="00C56EED"/>
    <w:rsid w:val="00C578FA"/>
    <w:rsid w:val="00C603FC"/>
    <w:rsid w:val="00C609F4"/>
    <w:rsid w:val="00C610B0"/>
    <w:rsid w:val="00C613C2"/>
    <w:rsid w:val="00C61777"/>
    <w:rsid w:val="00C61CEF"/>
    <w:rsid w:val="00C61DFF"/>
    <w:rsid w:val="00C62530"/>
    <w:rsid w:val="00C62C82"/>
    <w:rsid w:val="00C62CE9"/>
    <w:rsid w:val="00C62FE6"/>
    <w:rsid w:val="00C635E5"/>
    <w:rsid w:val="00C6379B"/>
    <w:rsid w:val="00C63B80"/>
    <w:rsid w:val="00C63C78"/>
    <w:rsid w:val="00C63CB0"/>
    <w:rsid w:val="00C6461C"/>
    <w:rsid w:val="00C64D5A"/>
    <w:rsid w:val="00C65169"/>
    <w:rsid w:val="00C66462"/>
    <w:rsid w:val="00C66B5D"/>
    <w:rsid w:val="00C673C6"/>
    <w:rsid w:val="00C67517"/>
    <w:rsid w:val="00C67535"/>
    <w:rsid w:val="00C67AF0"/>
    <w:rsid w:val="00C67B05"/>
    <w:rsid w:val="00C71541"/>
    <w:rsid w:val="00C71E43"/>
    <w:rsid w:val="00C71EC2"/>
    <w:rsid w:val="00C72881"/>
    <w:rsid w:val="00C73B27"/>
    <w:rsid w:val="00C7480E"/>
    <w:rsid w:val="00C75726"/>
    <w:rsid w:val="00C75910"/>
    <w:rsid w:val="00C7696B"/>
    <w:rsid w:val="00C76B08"/>
    <w:rsid w:val="00C77191"/>
    <w:rsid w:val="00C771FD"/>
    <w:rsid w:val="00C7722E"/>
    <w:rsid w:val="00C77DF9"/>
    <w:rsid w:val="00C80904"/>
    <w:rsid w:val="00C814BA"/>
    <w:rsid w:val="00C81682"/>
    <w:rsid w:val="00C81C6F"/>
    <w:rsid w:val="00C835C6"/>
    <w:rsid w:val="00C837A8"/>
    <w:rsid w:val="00C83CF0"/>
    <w:rsid w:val="00C84016"/>
    <w:rsid w:val="00C849DC"/>
    <w:rsid w:val="00C84BEE"/>
    <w:rsid w:val="00C85093"/>
    <w:rsid w:val="00C85B9D"/>
    <w:rsid w:val="00C867C3"/>
    <w:rsid w:val="00C87BD1"/>
    <w:rsid w:val="00C900DC"/>
    <w:rsid w:val="00C902D1"/>
    <w:rsid w:val="00C913A9"/>
    <w:rsid w:val="00C91C1D"/>
    <w:rsid w:val="00C93B6F"/>
    <w:rsid w:val="00C9442C"/>
    <w:rsid w:val="00C94A69"/>
    <w:rsid w:val="00C94E53"/>
    <w:rsid w:val="00C95565"/>
    <w:rsid w:val="00C9576D"/>
    <w:rsid w:val="00C957B6"/>
    <w:rsid w:val="00C95ABF"/>
    <w:rsid w:val="00C969D0"/>
    <w:rsid w:val="00C97523"/>
    <w:rsid w:val="00C977E5"/>
    <w:rsid w:val="00CA03F1"/>
    <w:rsid w:val="00CA042A"/>
    <w:rsid w:val="00CA07AC"/>
    <w:rsid w:val="00CA0823"/>
    <w:rsid w:val="00CA19BC"/>
    <w:rsid w:val="00CA242A"/>
    <w:rsid w:val="00CA2B85"/>
    <w:rsid w:val="00CA2CF0"/>
    <w:rsid w:val="00CA2EBB"/>
    <w:rsid w:val="00CA43BC"/>
    <w:rsid w:val="00CA467A"/>
    <w:rsid w:val="00CA473C"/>
    <w:rsid w:val="00CA47A5"/>
    <w:rsid w:val="00CA47D7"/>
    <w:rsid w:val="00CA5DD4"/>
    <w:rsid w:val="00CA6433"/>
    <w:rsid w:val="00CA6F49"/>
    <w:rsid w:val="00CA6F89"/>
    <w:rsid w:val="00CA72BF"/>
    <w:rsid w:val="00CA752A"/>
    <w:rsid w:val="00CA7BEB"/>
    <w:rsid w:val="00CB003D"/>
    <w:rsid w:val="00CB00C9"/>
    <w:rsid w:val="00CB066D"/>
    <w:rsid w:val="00CB07CF"/>
    <w:rsid w:val="00CB0B9E"/>
    <w:rsid w:val="00CB0E79"/>
    <w:rsid w:val="00CB110F"/>
    <w:rsid w:val="00CB1E47"/>
    <w:rsid w:val="00CB2835"/>
    <w:rsid w:val="00CB28D1"/>
    <w:rsid w:val="00CB344D"/>
    <w:rsid w:val="00CB4902"/>
    <w:rsid w:val="00CB51C2"/>
    <w:rsid w:val="00CB566F"/>
    <w:rsid w:val="00CB58B3"/>
    <w:rsid w:val="00CB58E4"/>
    <w:rsid w:val="00CB5EA7"/>
    <w:rsid w:val="00CB5ED3"/>
    <w:rsid w:val="00CB63E8"/>
    <w:rsid w:val="00CB67F0"/>
    <w:rsid w:val="00CB68B5"/>
    <w:rsid w:val="00CB69FA"/>
    <w:rsid w:val="00CB6C72"/>
    <w:rsid w:val="00CB70E1"/>
    <w:rsid w:val="00CB7FD9"/>
    <w:rsid w:val="00CC042A"/>
    <w:rsid w:val="00CC05B7"/>
    <w:rsid w:val="00CC1859"/>
    <w:rsid w:val="00CC208D"/>
    <w:rsid w:val="00CC23B3"/>
    <w:rsid w:val="00CC44EE"/>
    <w:rsid w:val="00CC479D"/>
    <w:rsid w:val="00CC4990"/>
    <w:rsid w:val="00CC54FD"/>
    <w:rsid w:val="00CC60E8"/>
    <w:rsid w:val="00CC6CF9"/>
    <w:rsid w:val="00CC72C5"/>
    <w:rsid w:val="00CC7B54"/>
    <w:rsid w:val="00CD1183"/>
    <w:rsid w:val="00CD1296"/>
    <w:rsid w:val="00CD13E8"/>
    <w:rsid w:val="00CD21FE"/>
    <w:rsid w:val="00CD2906"/>
    <w:rsid w:val="00CD2CE7"/>
    <w:rsid w:val="00CD2E8F"/>
    <w:rsid w:val="00CD2EDC"/>
    <w:rsid w:val="00CD3ACB"/>
    <w:rsid w:val="00CD4432"/>
    <w:rsid w:val="00CD48B5"/>
    <w:rsid w:val="00CD5987"/>
    <w:rsid w:val="00CD699C"/>
    <w:rsid w:val="00CD6B71"/>
    <w:rsid w:val="00CD761E"/>
    <w:rsid w:val="00CD7987"/>
    <w:rsid w:val="00CD7C52"/>
    <w:rsid w:val="00CE0CF9"/>
    <w:rsid w:val="00CE3A92"/>
    <w:rsid w:val="00CE49CE"/>
    <w:rsid w:val="00CE5C74"/>
    <w:rsid w:val="00CE5D57"/>
    <w:rsid w:val="00CE68A6"/>
    <w:rsid w:val="00CE6A33"/>
    <w:rsid w:val="00CE70CC"/>
    <w:rsid w:val="00CF0916"/>
    <w:rsid w:val="00CF22EF"/>
    <w:rsid w:val="00CF2EFB"/>
    <w:rsid w:val="00CF42C0"/>
    <w:rsid w:val="00CF5178"/>
    <w:rsid w:val="00CF565F"/>
    <w:rsid w:val="00CF59D5"/>
    <w:rsid w:val="00CF5F28"/>
    <w:rsid w:val="00CF6927"/>
    <w:rsid w:val="00CF6E50"/>
    <w:rsid w:val="00CF6F75"/>
    <w:rsid w:val="00D015E1"/>
    <w:rsid w:val="00D01CF4"/>
    <w:rsid w:val="00D025C8"/>
    <w:rsid w:val="00D03C61"/>
    <w:rsid w:val="00D0410E"/>
    <w:rsid w:val="00D045AB"/>
    <w:rsid w:val="00D045D2"/>
    <w:rsid w:val="00D05954"/>
    <w:rsid w:val="00D05DA4"/>
    <w:rsid w:val="00D05E78"/>
    <w:rsid w:val="00D06292"/>
    <w:rsid w:val="00D06C11"/>
    <w:rsid w:val="00D06F55"/>
    <w:rsid w:val="00D102D4"/>
    <w:rsid w:val="00D1130B"/>
    <w:rsid w:val="00D1130C"/>
    <w:rsid w:val="00D11476"/>
    <w:rsid w:val="00D11C1D"/>
    <w:rsid w:val="00D12293"/>
    <w:rsid w:val="00D12384"/>
    <w:rsid w:val="00D13355"/>
    <w:rsid w:val="00D149C8"/>
    <w:rsid w:val="00D14AE5"/>
    <w:rsid w:val="00D153C1"/>
    <w:rsid w:val="00D1657F"/>
    <w:rsid w:val="00D16D77"/>
    <w:rsid w:val="00D17CB4"/>
    <w:rsid w:val="00D20025"/>
    <w:rsid w:val="00D20FE9"/>
    <w:rsid w:val="00D21663"/>
    <w:rsid w:val="00D21B7C"/>
    <w:rsid w:val="00D22ED1"/>
    <w:rsid w:val="00D22FE9"/>
    <w:rsid w:val="00D2325D"/>
    <w:rsid w:val="00D235C6"/>
    <w:rsid w:val="00D23FAD"/>
    <w:rsid w:val="00D24163"/>
    <w:rsid w:val="00D24A8F"/>
    <w:rsid w:val="00D25618"/>
    <w:rsid w:val="00D258F4"/>
    <w:rsid w:val="00D25B6D"/>
    <w:rsid w:val="00D25CB9"/>
    <w:rsid w:val="00D25DC7"/>
    <w:rsid w:val="00D270CB"/>
    <w:rsid w:val="00D2732B"/>
    <w:rsid w:val="00D27741"/>
    <w:rsid w:val="00D27A6E"/>
    <w:rsid w:val="00D27C30"/>
    <w:rsid w:val="00D30594"/>
    <w:rsid w:val="00D305EC"/>
    <w:rsid w:val="00D30D81"/>
    <w:rsid w:val="00D30FDA"/>
    <w:rsid w:val="00D315BA"/>
    <w:rsid w:val="00D318F3"/>
    <w:rsid w:val="00D32803"/>
    <w:rsid w:val="00D32A90"/>
    <w:rsid w:val="00D3319E"/>
    <w:rsid w:val="00D332F2"/>
    <w:rsid w:val="00D334FE"/>
    <w:rsid w:val="00D3360B"/>
    <w:rsid w:val="00D34310"/>
    <w:rsid w:val="00D34424"/>
    <w:rsid w:val="00D3479D"/>
    <w:rsid w:val="00D34B16"/>
    <w:rsid w:val="00D35540"/>
    <w:rsid w:val="00D356A9"/>
    <w:rsid w:val="00D358A0"/>
    <w:rsid w:val="00D35B20"/>
    <w:rsid w:val="00D35B85"/>
    <w:rsid w:val="00D36C9C"/>
    <w:rsid w:val="00D377D5"/>
    <w:rsid w:val="00D408EA"/>
    <w:rsid w:val="00D43745"/>
    <w:rsid w:val="00D43852"/>
    <w:rsid w:val="00D43E91"/>
    <w:rsid w:val="00D43FC0"/>
    <w:rsid w:val="00D44102"/>
    <w:rsid w:val="00D4671F"/>
    <w:rsid w:val="00D468AC"/>
    <w:rsid w:val="00D478C0"/>
    <w:rsid w:val="00D47D80"/>
    <w:rsid w:val="00D517FA"/>
    <w:rsid w:val="00D51E41"/>
    <w:rsid w:val="00D5329B"/>
    <w:rsid w:val="00D532A5"/>
    <w:rsid w:val="00D539C8"/>
    <w:rsid w:val="00D53F79"/>
    <w:rsid w:val="00D5506D"/>
    <w:rsid w:val="00D55976"/>
    <w:rsid w:val="00D55D97"/>
    <w:rsid w:val="00D56CEC"/>
    <w:rsid w:val="00D56DE3"/>
    <w:rsid w:val="00D573EA"/>
    <w:rsid w:val="00D576C3"/>
    <w:rsid w:val="00D579A6"/>
    <w:rsid w:val="00D60562"/>
    <w:rsid w:val="00D6085A"/>
    <w:rsid w:val="00D60D2B"/>
    <w:rsid w:val="00D60E3B"/>
    <w:rsid w:val="00D61D9E"/>
    <w:rsid w:val="00D625E1"/>
    <w:rsid w:val="00D62D7F"/>
    <w:rsid w:val="00D6300D"/>
    <w:rsid w:val="00D631A2"/>
    <w:rsid w:val="00D639E9"/>
    <w:rsid w:val="00D662BC"/>
    <w:rsid w:val="00D66DC1"/>
    <w:rsid w:val="00D66F25"/>
    <w:rsid w:val="00D66FC5"/>
    <w:rsid w:val="00D67660"/>
    <w:rsid w:val="00D679C2"/>
    <w:rsid w:val="00D67A09"/>
    <w:rsid w:val="00D70D7B"/>
    <w:rsid w:val="00D720F1"/>
    <w:rsid w:val="00D7252F"/>
    <w:rsid w:val="00D72E13"/>
    <w:rsid w:val="00D75597"/>
    <w:rsid w:val="00D7619E"/>
    <w:rsid w:val="00D767EF"/>
    <w:rsid w:val="00D7742D"/>
    <w:rsid w:val="00D774C7"/>
    <w:rsid w:val="00D77522"/>
    <w:rsid w:val="00D77EFF"/>
    <w:rsid w:val="00D8088C"/>
    <w:rsid w:val="00D8138C"/>
    <w:rsid w:val="00D8167D"/>
    <w:rsid w:val="00D81873"/>
    <w:rsid w:val="00D81B81"/>
    <w:rsid w:val="00D82279"/>
    <w:rsid w:val="00D8273E"/>
    <w:rsid w:val="00D82C72"/>
    <w:rsid w:val="00D834CB"/>
    <w:rsid w:val="00D83A2E"/>
    <w:rsid w:val="00D8453D"/>
    <w:rsid w:val="00D847A5"/>
    <w:rsid w:val="00D84AA5"/>
    <w:rsid w:val="00D84D5F"/>
    <w:rsid w:val="00D854A2"/>
    <w:rsid w:val="00D854AE"/>
    <w:rsid w:val="00D85B8F"/>
    <w:rsid w:val="00D85BA2"/>
    <w:rsid w:val="00D85DC3"/>
    <w:rsid w:val="00D86957"/>
    <w:rsid w:val="00D86A93"/>
    <w:rsid w:val="00D86AD5"/>
    <w:rsid w:val="00D87304"/>
    <w:rsid w:val="00D87C35"/>
    <w:rsid w:val="00D87F7F"/>
    <w:rsid w:val="00D90355"/>
    <w:rsid w:val="00D90A72"/>
    <w:rsid w:val="00D90D40"/>
    <w:rsid w:val="00D91111"/>
    <w:rsid w:val="00D917C7"/>
    <w:rsid w:val="00D91CA2"/>
    <w:rsid w:val="00D92209"/>
    <w:rsid w:val="00D926B6"/>
    <w:rsid w:val="00D92719"/>
    <w:rsid w:val="00D9290E"/>
    <w:rsid w:val="00D92A42"/>
    <w:rsid w:val="00D92CB8"/>
    <w:rsid w:val="00D93ED8"/>
    <w:rsid w:val="00D941A6"/>
    <w:rsid w:val="00D94248"/>
    <w:rsid w:val="00D95300"/>
    <w:rsid w:val="00D95D9F"/>
    <w:rsid w:val="00D962ED"/>
    <w:rsid w:val="00D964B7"/>
    <w:rsid w:val="00D96631"/>
    <w:rsid w:val="00D968BC"/>
    <w:rsid w:val="00D96B28"/>
    <w:rsid w:val="00D96C5B"/>
    <w:rsid w:val="00D96D87"/>
    <w:rsid w:val="00D979C4"/>
    <w:rsid w:val="00DA0D97"/>
    <w:rsid w:val="00DA0DBB"/>
    <w:rsid w:val="00DA10B6"/>
    <w:rsid w:val="00DA110F"/>
    <w:rsid w:val="00DA12F4"/>
    <w:rsid w:val="00DA2B04"/>
    <w:rsid w:val="00DA2CB7"/>
    <w:rsid w:val="00DA2F07"/>
    <w:rsid w:val="00DA3D6B"/>
    <w:rsid w:val="00DA4F3E"/>
    <w:rsid w:val="00DA56E0"/>
    <w:rsid w:val="00DA571B"/>
    <w:rsid w:val="00DA5B22"/>
    <w:rsid w:val="00DA5DB6"/>
    <w:rsid w:val="00DA5DC0"/>
    <w:rsid w:val="00DA60C0"/>
    <w:rsid w:val="00DA62C1"/>
    <w:rsid w:val="00DA65C3"/>
    <w:rsid w:val="00DA6AA4"/>
    <w:rsid w:val="00DA6E8C"/>
    <w:rsid w:val="00DA751E"/>
    <w:rsid w:val="00DA7691"/>
    <w:rsid w:val="00DB0054"/>
    <w:rsid w:val="00DB0303"/>
    <w:rsid w:val="00DB0595"/>
    <w:rsid w:val="00DB1BE6"/>
    <w:rsid w:val="00DB2595"/>
    <w:rsid w:val="00DB3FDD"/>
    <w:rsid w:val="00DB478A"/>
    <w:rsid w:val="00DB498A"/>
    <w:rsid w:val="00DB5DE6"/>
    <w:rsid w:val="00DB616F"/>
    <w:rsid w:val="00DB65C0"/>
    <w:rsid w:val="00DB6614"/>
    <w:rsid w:val="00DB66A9"/>
    <w:rsid w:val="00DB7281"/>
    <w:rsid w:val="00DB74B1"/>
    <w:rsid w:val="00DB7792"/>
    <w:rsid w:val="00DB7EE2"/>
    <w:rsid w:val="00DC059C"/>
    <w:rsid w:val="00DC09D6"/>
    <w:rsid w:val="00DC0F62"/>
    <w:rsid w:val="00DC1279"/>
    <w:rsid w:val="00DC144A"/>
    <w:rsid w:val="00DC181C"/>
    <w:rsid w:val="00DC230B"/>
    <w:rsid w:val="00DC2440"/>
    <w:rsid w:val="00DC2A42"/>
    <w:rsid w:val="00DC2F69"/>
    <w:rsid w:val="00DC30F3"/>
    <w:rsid w:val="00DC399F"/>
    <w:rsid w:val="00DC3F25"/>
    <w:rsid w:val="00DC4A83"/>
    <w:rsid w:val="00DC4B1F"/>
    <w:rsid w:val="00DC6C22"/>
    <w:rsid w:val="00DC7D0B"/>
    <w:rsid w:val="00DD04E9"/>
    <w:rsid w:val="00DD33A0"/>
    <w:rsid w:val="00DD358F"/>
    <w:rsid w:val="00DD3AC2"/>
    <w:rsid w:val="00DD3C69"/>
    <w:rsid w:val="00DD45BB"/>
    <w:rsid w:val="00DD4B4C"/>
    <w:rsid w:val="00DD5BA5"/>
    <w:rsid w:val="00DD708C"/>
    <w:rsid w:val="00DD75C4"/>
    <w:rsid w:val="00DD7653"/>
    <w:rsid w:val="00DD790D"/>
    <w:rsid w:val="00DE07DB"/>
    <w:rsid w:val="00DE0A40"/>
    <w:rsid w:val="00DE120B"/>
    <w:rsid w:val="00DE1653"/>
    <w:rsid w:val="00DE17E0"/>
    <w:rsid w:val="00DE2D8D"/>
    <w:rsid w:val="00DE33F3"/>
    <w:rsid w:val="00DE365E"/>
    <w:rsid w:val="00DE3934"/>
    <w:rsid w:val="00DE4D2B"/>
    <w:rsid w:val="00DE6364"/>
    <w:rsid w:val="00DE6929"/>
    <w:rsid w:val="00DE73ED"/>
    <w:rsid w:val="00DE73EF"/>
    <w:rsid w:val="00DE7D7D"/>
    <w:rsid w:val="00DF1BE3"/>
    <w:rsid w:val="00DF21B4"/>
    <w:rsid w:val="00DF3964"/>
    <w:rsid w:val="00DF424C"/>
    <w:rsid w:val="00DF53AF"/>
    <w:rsid w:val="00DF5957"/>
    <w:rsid w:val="00DF607F"/>
    <w:rsid w:val="00DF655F"/>
    <w:rsid w:val="00DF759D"/>
    <w:rsid w:val="00DF76DA"/>
    <w:rsid w:val="00DF7BAE"/>
    <w:rsid w:val="00DF7BB5"/>
    <w:rsid w:val="00DF7DD9"/>
    <w:rsid w:val="00E00224"/>
    <w:rsid w:val="00E010C6"/>
    <w:rsid w:val="00E01802"/>
    <w:rsid w:val="00E01991"/>
    <w:rsid w:val="00E028A7"/>
    <w:rsid w:val="00E03DA8"/>
    <w:rsid w:val="00E04041"/>
    <w:rsid w:val="00E046B3"/>
    <w:rsid w:val="00E050F6"/>
    <w:rsid w:val="00E05452"/>
    <w:rsid w:val="00E05988"/>
    <w:rsid w:val="00E05BA4"/>
    <w:rsid w:val="00E05EE8"/>
    <w:rsid w:val="00E05F58"/>
    <w:rsid w:val="00E06097"/>
    <w:rsid w:val="00E06B70"/>
    <w:rsid w:val="00E06DA8"/>
    <w:rsid w:val="00E06FFE"/>
    <w:rsid w:val="00E079C3"/>
    <w:rsid w:val="00E07D70"/>
    <w:rsid w:val="00E07EB2"/>
    <w:rsid w:val="00E10BFC"/>
    <w:rsid w:val="00E10FB9"/>
    <w:rsid w:val="00E12885"/>
    <w:rsid w:val="00E12C47"/>
    <w:rsid w:val="00E12D3B"/>
    <w:rsid w:val="00E13BD4"/>
    <w:rsid w:val="00E14614"/>
    <w:rsid w:val="00E151F6"/>
    <w:rsid w:val="00E15A39"/>
    <w:rsid w:val="00E15DAA"/>
    <w:rsid w:val="00E16DE7"/>
    <w:rsid w:val="00E1766D"/>
    <w:rsid w:val="00E17B86"/>
    <w:rsid w:val="00E21657"/>
    <w:rsid w:val="00E225D3"/>
    <w:rsid w:val="00E22785"/>
    <w:rsid w:val="00E22C20"/>
    <w:rsid w:val="00E22CA5"/>
    <w:rsid w:val="00E23E08"/>
    <w:rsid w:val="00E23EBF"/>
    <w:rsid w:val="00E24459"/>
    <w:rsid w:val="00E25F5E"/>
    <w:rsid w:val="00E26006"/>
    <w:rsid w:val="00E2648E"/>
    <w:rsid w:val="00E26F87"/>
    <w:rsid w:val="00E3015C"/>
    <w:rsid w:val="00E30824"/>
    <w:rsid w:val="00E3127B"/>
    <w:rsid w:val="00E32232"/>
    <w:rsid w:val="00E32F50"/>
    <w:rsid w:val="00E331B1"/>
    <w:rsid w:val="00E33408"/>
    <w:rsid w:val="00E33BEE"/>
    <w:rsid w:val="00E34719"/>
    <w:rsid w:val="00E34AC2"/>
    <w:rsid w:val="00E35309"/>
    <w:rsid w:val="00E35CC5"/>
    <w:rsid w:val="00E3606B"/>
    <w:rsid w:val="00E36B7F"/>
    <w:rsid w:val="00E372AE"/>
    <w:rsid w:val="00E375E5"/>
    <w:rsid w:val="00E40217"/>
    <w:rsid w:val="00E40303"/>
    <w:rsid w:val="00E40662"/>
    <w:rsid w:val="00E40957"/>
    <w:rsid w:val="00E41B9A"/>
    <w:rsid w:val="00E42116"/>
    <w:rsid w:val="00E42484"/>
    <w:rsid w:val="00E42A8F"/>
    <w:rsid w:val="00E42AE6"/>
    <w:rsid w:val="00E43870"/>
    <w:rsid w:val="00E43872"/>
    <w:rsid w:val="00E439CC"/>
    <w:rsid w:val="00E451F3"/>
    <w:rsid w:val="00E455D6"/>
    <w:rsid w:val="00E50005"/>
    <w:rsid w:val="00E5009F"/>
    <w:rsid w:val="00E501DC"/>
    <w:rsid w:val="00E50972"/>
    <w:rsid w:val="00E52027"/>
    <w:rsid w:val="00E540B4"/>
    <w:rsid w:val="00E5456D"/>
    <w:rsid w:val="00E54D53"/>
    <w:rsid w:val="00E55478"/>
    <w:rsid w:val="00E554E8"/>
    <w:rsid w:val="00E555D2"/>
    <w:rsid w:val="00E56013"/>
    <w:rsid w:val="00E56D48"/>
    <w:rsid w:val="00E56F34"/>
    <w:rsid w:val="00E57523"/>
    <w:rsid w:val="00E602E5"/>
    <w:rsid w:val="00E60303"/>
    <w:rsid w:val="00E61894"/>
    <w:rsid w:val="00E6245C"/>
    <w:rsid w:val="00E62AB4"/>
    <w:rsid w:val="00E62B2C"/>
    <w:rsid w:val="00E62C34"/>
    <w:rsid w:val="00E62E22"/>
    <w:rsid w:val="00E63140"/>
    <w:rsid w:val="00E633DC"/>
    <w:rsid w:val="00E63CAB"/>
    <w:rsid w:val="00E64545"/>
    <w:rsid w:val="00E655E2"/>
    <w:rsid w:val="00E659E2"/>
    <w:rsid w:val="00E65CD8"/>
    <w:rsid w:val="00E66603"/>
    <w:rsid w:val="00E669A1"/>
    <w:rsid w:val="00E67E42"/>
    <w:rsid w:val="00E70777"/>
    <w:rsid w:val="00E70E9D"/>
    <w:rsid w:val="00E7103D"/>
    <w:rsid w:val="00E711EA"/>
    <w:rsid w:val="00E71B57"/>
    <w:rsid w:val="00E73364"/>
    <w:rsid w:val="00E735A9"/>
    <w:rsid w:val="00E73ACF"/>
    <w:rsid w:val="00E73B7E"/>
    <w:rsid w:val="00E73BE4"/>
    <w:rsid w:val="00E74ECC"/>
    <w:rsid w:val="00E758A2"/>
    <w:rsid w:val="00E75E27"/>
    <w:rsid w:val="00E76AF3"/>
    <w:rsid w:val="00E76E32"/>
    <w:rsid w:val="00E776F0"/>
    <w:rsid w:val="00E77907"/>
    <w:rsid w:val="00E77C0B"/>
    <w:rsid w:val="00E77C5E"/>
    <w:rsid w:val="00E80640"/>
    <w:rsid w:val="00E807FC"/>
    <w:rsid w:val="00E80AE8"/>
    <w:rsid w:val="00E8157E"/>
    <w:rsid w:val="00E81736"/>
    <w:rsid w:val="00E81ED7"/>
    <w:rsid w:val="00E82586"/>
    <w:rsid w:val="00E826C4"/>
    <w:rsid w:val="00E82F1F"/>
    <w:rsid w:val="00E834BE"/>
    <w:rsid w:val="00E83A20"/>
    <w:rsid w:val="00E84C24"/>
    <w:rsid w:val="00E84D69"/>
    <w:rsid w:val="00E85C47"/>
    <w:rsid w:val="00E85C7C"/>
    <w:rsid w:val="00E86488"/>
    <w:rsid w:val="00E86659"/>
    <w:rsid w:val="00E86E5F"/>
    <w:rsid w:val="00E87A99"/>
    <w:rsid w:val="00E90228"/>
    <w:rsid w:val="00E90771"/>
    <w:rsid w:val="00E907F4"/>
    <w:rsid w:val="00E90A89"/>
    <w:rsid w:val="00E92035"/>
    <w:rsid w:val="00E92C3F"/>
    <w:rsid w:val="00E9516B"/>
    <w:rsid w:val="00E95224"/>
    <w:rsid w:val="00E95B9E"/>
    <w:rsid w:val="00E95F4E"/>
    <w:rsid w:val="00E96211"/>
    <w:rsid w:val="00E965CD"/>
    <w:rsid w:val="00E96E5D"/>
    <w:rsid w:val="00E9798A"/>
    <w:rsid w:val="00E979F7"/>
    <w:rsid w:val="00EA08BF"/>
    <w:rsid w:val="00EA1C09"/>
    <w:rsid w:val="00EA23F0"/>
    <w:rsid w:val="00EA3000"/>
    <w:rsid w:val="00EA317D"/>
    <w:rsid w:val="00EA3725"/>
    <w:rsid w:val="00EA3936"/>
    <w:rsid w:val="00EA50D8"/>
    <w:rsid w:val="00EA513F"/>
    <w:rsid w:val="00EA5961"/>
    <w:rsid w:val="00EA5CD1"/>
    <w:rsid w:val="00EA5E2A"/>
    <w:rsid w:val="00EA5FCF"/>
    <w:rsid w:val="00EA6D84"/>
    <w:rsid w:val="00EA7710"/>
    <w:rsid w:val="00EA7D38"/>
    <w:rsid w:val="00EB0731"/>
    <w:rsid w:val="00EB1015"/>
    <w:rsid w:val="00EB2020"/>
    <w:rsid w:val="00EB2240"/>
    <w:rsid w:val="00EB27D5"/>
    <w:rsid w:val="00EB28E9"/>
    <w:rsid w:val="00EB2938"/>
    <w:rsid w:val="00EB2A5E"/>
    <w:rsid w:val="00EB2E09"/>
    <w:rsid w:val="00EB3801"/>
    <w:rsid w:val="00EB4981"/>
    <w:rsid w:val="00EB578A"/>
    <w:rsid w:val="00EB6AFD"/>
    <w:rsid w:val="00EB6C7D"/>
    <w:rsid w:val="00EB6EBC"/>
    <w:rsid w:val="00EB70E5"/>
    <w:rsid w:val="00EB7639"/>
    <w:rsid w:val="00EB79F9"/>
    <w:rsid w:val="00EB7C8E"/>
    <w:rsid w:val="00EC02BE"/>
    <w:rsid w:val="00EC10D6"/>
    <w:rsid w:val="00EC1B1A"/>
    <w:rsid w:val="00EC2C5E"/>
    <w:rsid w:val="00EC3096"/>
    <w:rsid w:val="00EC341D"/>
    <w:rsid w:val="00EC3441"/>
    <w:rsid w:val="00EC35DE"/>
    <w:rsid w:val="00EC4E2F"/>
    <w:rsid w:val="00EC4EFE"/>
    <w:rsid w:val="00EC53E6"/>
    <w:rsid w:val="00EC543A"/>
    <w:rsid w:val="00EC5975"/>
    <w:rsid w:val="00EC6130"/>
    <w:rsid w:val="00EC66C3"/>
    <w:rsid w:val="00EC6766"/>
    <w:rsid w:val="00EC6B27"/>
    <w:rsid w:val="00EC6BF6"/>
    <w:rsid w:val="00EC6FD7"/>
    <w:rsid w:val="00EC70A6"/>
    <w:rsid w:val="00EC7AE3"/>
    <w:rsid w:val="00EC7E08"/>
    <w:rsid w:val="00ED090D"/>
    <w:rsid w:val="00ED0F4E"/>
    <w:rsid w:val="00ED0FF2"/>
    <w:rsid w:val="00ED2563"/>
    <w:rsid w:val="00ED2A4C"/>
    <w:rsid w:val="00ED33A4"/>
    <w:rsid w:val="00ED4092"/>
    <w:rsid w:val="00ED6D28"/>
    <w:rsid w:val="00ED762B"/>
    <w:rsid w:val="00EE067C"/>
    <w:rsid w:val="00EE0E4C"/>
    <w:rsid w:val="00EE1275"/>
    <w:rsid w:val="00EE1D7D"/>
    <w:rsid w:val="00EE2031"/>
    <w:rsid w:val="00EE209E"/>
    <w:rsid w:val="00EE2D3E"/>
    <w:rsid w:val="00EE3993"/>
    <w:rsid w:val="00EE3C30"/>
    <w:rsid w:val="00EE5270"/>
    <w:rsid w:val="00EE7A5E"/>
    <w:rsid w:val="00EF039F"/>
    <w:rsid w:val="00EF11CE"/>
    <w:rsid w:val="00EF13FE"/>
    <w:rsid w:val="00EF145D"/>
    <w:rsid w:val="00EF1500"/>
    <w:rsid w:val="00EF1ECC"/>
    <w:rsid w:val="00EF2143"/>
    <w:rsid w:val="00EF3024"/>
    <w:rsid w:val="00EF3159"/>
    <w:rsid w:val="00EF384D"/>
    <w:rsid w:val="00EF38EA"/>
    <w:rsid w:val="00EF4569"/>
    <w:rsid w:val="00EF4B3C"/>
    <w:rsid w:val="00EF4F51"/>
    <w:rsid w:val="00EF5BEE"/>
    <w:rsid w:val="00EF6446"/>
    <w:rsid w:val="00EF6765"/>
    <w:rsid w:val="00EF6960"/>
    <w:rsid w:val="00EF71D4"/>
    <w:rsid w:val="00EF7D4C"/>
    <w:rsid w:val="00F002CC"/>
    <w:rsid w:val="00F00B40"/>
    <w:rsid w:val="00F00D8E"/>
    <w:rsid w:val="00F02924"/>
    <w:rsid w:val="00F02DFC"/>
    <w:rsid w:val="00F031FF"/>
    <w:rsid w:val="00F033F5"/>
    <w:rsid w:val="00F041ED"/>
    <w:rsid w:val="00F04AF4"/>
    <w:rsid w:val="00F05334"/>
    <w:rsid w:val="00F054F9"/>
    <w:rsid w:val="00F05778"/>
    <w:rsid w:val="00F062AC"/>
    <w:rsid w:val="00F068A0"/>
    <w:rsid w:val="00F06982"/>
    <w:rsid w:val="00F06D59"/>
    <w:rsid w:val="00F0745D"/>
    <w:rsid w:val="00F07922"/>
    <w:rsid w:val="00F10C63"/>
    <w:rsid w:val="00F10F15"/>
    <w:rsid w:val="00F115A6"/>
    <w:rsid w:val="00F115CA"/>
    <w:rsid w:val="00F120DC"/>
    <w:rsid w:val="00F121CB"/>
    <w:rsid w:val="00F12787"/>
    <w:rsid w:val="00F13C13"/>
    <w:rsid w:val="00F14614"/>
    <w:rsid w:val="00F147E5"/>
    <w:rsid w:val="00F152AB"/>
    <w:rsid w:val="00F152BF"/>
    <w:rsid w:val="00F17101"/>
    <w:rsid w:val="00F175F6"/>
    <w:rsid w:val="00F17AC1"/>
    <w:rsid w:val="00F20670"/>
    <w:rsid w:val="00F20A25"/>
    <w:rsid w:val="00F20D6E"/>
    <w:rsid w:val="00F21B49"/>
    <w:rsid w:val="00F22810"/>
    <w:rsid w:val="00F23521"/>
    <w:rsid w:val="00F2359F"/>
    <w:rsid w:val="00F23830"/>
    <w:rsid w:val="00F2409F"/>
    <w:rsid w:val="00F2458B"/>
    <w:rsid w:val="00F257C2"/>
    <w:rsid w:val="00F25E05"/>
    <w:rsid w:val="00F2620D"/>
    <w:rsid w:val="00F26D29"/>
    <w:rsid w:val="00F26F08"/>
    <w:rsid w:val="00F2710C"/>
    <w:rsid w:val="00F274F9"/>
    <w:rsid w:val="00F278C7"/>
    <w:rsid w:val="00F278CC"/>
    <w:rsid w:val="00F31046"/>
    <w:rsid w:val="00F314CA"/>
    <w:rsid w:val="00F316CC"/>
    <w:rsid w:val="00F31F31"/>
    <w:rsid w:val="00F33B65"/>
    <w:rsid w:val="00F33E4A"/>
    <w:rsid w:val="00F33FD7"/>
    <w:rsid w:val="00F34F34"/>
    <w:rsid w:val="00F35350"/>
    <w:rsid w:val="00F35503"/>
    <w:rsid w:val="00F35D14"/>
    <w:rsid w:val="00F35E37"/>
    <w:rsid w:val="00F36CF6"/>
    <w:rsid w:val="00F37737"/>
    <w:rsid w:val="00F4022D"/>
    <w:rsid w:val="00F407D1"/>
    <w:rsid w:val="00F40BDA"/>
    <w:rsid w:val="00F4119C"/>
    <w:rsid w:val="00F41268"/>
    <w:rsid w:val="00F428DC"/>
    <w:rsid w:val="00F4352C"/>
    <w:rsid w:val="00F435DD"/>
    <w:rsid w:val="00F43806"/>
    <w:rsid w:val="00F43F9B"/>
    <w:rsid w:val="00F44886"/>
    <w:rsid w:val="00F44A54"/>
    <w:rsid w:val="00F44E59"/>
    <w:rsid w:val="00F45B75"/>
    <w:rsid w:val="00F46DC9"/>
    <w:rsid w:val="00F47051"/>
    <w:rsid w:val="00F47DFA"/>
    <w:rsid w:val="00F50870"/>
    <w:rsid w:val="00F50B8A"/>
    <w:rsid w:val="00F52196"/>
    <w:rsid w:val="00F529E6"/>
    <w:rsid w:val="00F563C0"/>
    <w:rsid w:val="00F56757"/>
    <w:rsid w:val="00F57680"/>
    <w:rsid w:val="00F5776B"/>
    <w:rsid w:val="00F57C50"/>
    <w:rsid w:val="00F57E9A"/>
    <w:rsid w:val="00F61830"/>
    <w:rsid w:val="00F61F2B"/>
    <w:rsid w:val="00F632F0"/>
    <w:rsid w:val="00F63C41"/>
    <w:rsid w:val="00F64B6F"/>
    <w:rsid w:val="00F650C6"/>
    <w:rsid w:val="00F6654F"/>
    <w:rsid w:val="00F670C5"/>
    <w:rsid w:val="00F6758F"/>
    <w:rsid w:val="00F676B6"/>
    <w:rsid w:val="00F678F9"/>
    <w:rsid w:val="00F67E52"/>
    <w:rsid w:val="00F70D7F"/>
    <w:rsid w:val="00F70EA1"/>
    <w:rsid w:val="00F717A9"/>
    <w:rsid w:val="00F71D05"/>
    <w:rsid w:val="00F72004"/>
    <w:rsid w:val="00F72386"/>
    <w:rsid w:val="00F72702"/>
    <w:rsid w:val="00F72893"/>
    <w:rsid w:val="00F72F75"/>
    <w:rsid w:val="00F730B3"/>
    <w:rsid w:val="00F7373C"/>
    <w:rsid w:val="00F74885"/>
    <w:rsid w:val="00F74CBA"/>
    <w:rsid w:val="00F7597A"/>
    <w:rsid w:val="00F77C40"/>
    <w:rsid w:val="00F77C87"/>
    <w:rsid w:val="00F808C8"/>
    <w:rsid w:val="00F809B3"/>
    <w:rsid w:val="00F81C05"/>
    <w:rsid w:val="00F82C19"/>
    <w:rsid w:val="00F82F71"/>
    <w:rsid w:val="00F83D3F"/>
    <w:rsid w:val="00F84F80"/>
    <w:rsid w:val="00F852AC"/>
    <w:rsid w:val="00F853D7"/>
    <w:rsid w:val="00F85A2E"/>
    <w:rsid w:val="00F85F31"/>
    <w:rsid w:val="00F864DE"/>
    <w:rsid w:val="00F870E7"/>
    <w:rsid w:val="00F871DA"/>
    <w:rsid w:val="00F87873"/>
    <w:rsid w:val="00F90015"/>
    <w:rsid w:val="00F90801"/>
    <w:rsid w:val="00F90FD1"/>
    <w:rsid w:val="00F91815"/>
    <w:rsid w:val="00F91FC2"/>
    <w:rsid w:val="00F928A7"/>
    <w:rsid w:val="00F92A68"/>
    <w:rsid w:val="00F9317A"/>
    <w:rsid w:val="00F9379E"/>
    <w:rsid w:val="00F951A8"/>
    <w:rsid w:val="00F95A1A"/>
    <w:rsid w:val="00F973B8"/>
    <w:rsid w:val="00F97A56"/>
    <w:rsid w:val="00FA074C"/>
    <w:rsid w:val="00FA0E13"/>
    <w:rsid w:val="00FA189F"/>
    <w:rsid w:val="00FA2733"/>
    <w:rsid w:val="00FA33EA"/>
    <w:rsid w:val="00FA3B31"/>
    <w:rsid w:val="00FA4435"/>
    <w:rsid w:val="00FA4E6A"/>
    <w:rsid w:val="00FA50D1"/>
    <w:rsid w:val="00FA6021"/>
    <w:rsid w:val="00FA63A9"/>
    <w:rsid w:val="00FA6477"/>
    <w:rsid w:val="00FA6B34"/>
    <w:rsid w:val="00FA6C0F"/>
    <w:rsid w:val="00FA6E71"/>
    <w:rsid w:val="00FA7041"/>
    <w:rsid w:val="00FA73A5"/>
    <w:rsid w:val="00FB057E"/>
    <w:rsid w:val="00FB0C51"/>
    <w:rsid w:val="00FB0FB2"/>
    <w:rsid w:val="00FB1AF5"/>
    <w:rsid w:val="00FB1CAD"/>
    <w:rsid w:val="00FB1F32"/>
    <w:rsid w:val="00FB347E"/>
    <w:rsid w:val="00FB38C1"/>
    <w:rsid w:val="00FB4EEC"/>
    <w:rsid w:val="00FB5305"/>
    <w:rsid w:val="00FB5539"/>
    <w:rsid w:val="00FB580A"/>
    <w:rsid w:val="00FB5B89"/>
    <w:rsid w:val="00FB5D0B"/>
    <w:rsid w:val="00FB6219"/>
    <w:rsid w:val="00FB6344"/>
    <w:rsid w:val="00FB6DD1"/>
    <w:rsid w:val="00FB7397"/>
    <w:rsid w:val="00FC0BB0"/>
    <w:rsid w:val="00FC18C6"/>
    <w:rsid w:val="00FC2AA2"/>
    <w:rsid w:val="00FC2BFC"/>
    <w:rsid w:val="00FC2C67"/>
    <w:rsid w:val="00FC2FEF"/>
    <w:rsid w:val="00FC3973"/>
    <w:rsid w:val="00FC4D03"/>
    <w:rsid w:val="00FC4E0A"/>
    <w:rsid w:val="00FC507A"/>
    <w:rsid w:val="00FC5721"/>
    <w:rsid w:val="00FC5BF2"/>
    <w:rsid w:val="00FC7057"/>
    <w:rsid w:val="00FC7C5E"/>
    <w:rsid w:val="00FD0107"/>
    <w:rsid w:val="00FD0552"/>
    <w:rsid w:val="00FD1151"/>
    <w:rsid w:val="00FD1472"/>
    <w:rsid w:val="00FD157C"/>
    <w:rsid w:val="00FD4484"/>
    <w:rsid w:val="00FD45B6"/>
    <w:rsid w:val="00FD5ADC"/>
    <w:rsid w:val="00FD5B9A"/>
    <w:rsid w:val="00FD5BAB"/>
    <w:rsid w:val="00FD62B7"/>
    <w:rsid w:val="00FD6495"/>
    <w:rsid w:val="00FD6621"/>
    <w:rsid w:val="00FE0E6B"/>
    <w:rsid w:val="00FE208C"/>
    <w:rsid w:val="00FE2C99"/>
    <w:rsid w:val="00FE2FFD"/>
    <w:rsid w:val="00FE3E17"/>
    <w:rsid w:val="00FE4388"/>
    <w:rsid w:val="00FE4CEE"/>
    <w:rsid w:val="00FE53AC"/>
    <w:rsid w:val="00FE609E"/>
    <w:rsid w:val="00FE68F4"/>
    <w:rsid w:val="00FE6D9D"/>
    <w:rsid w:val="00FE78F3"/>
    <w:rsid w:val="00FE7F72"/>
    <w:rsid w:val="00FF051E"/>
    <w:rsid w:val="00FF0D4E"/>
    <w:rsid w:val="00FF1535"/>
    <w:rsid w:val="00FF1EFB"/>
    <w:rsid w:val="00FF241D"/>
    <w:rsid w:val="00FF2706"/>
    <w:rsid w:val="00FF2794"/>
    <w:rsid w:val="00FF2C39"/>
    <w:rsid w:val="00FF2D0A"/>
    <w:rsid w:val="00FF2F94"/>
    <w:rsid w:val="00FF3228"/>
    <w:rsid w:val="00FF36AF"/>
    <w:rsid w:val="00FF3D97"/>
    <w:rsid w:val="00FF4A77"/>
    <w:rsid w:val="00FF595F"/>
    <w:rsid w:val="00FF5CDC"/>
    <w:rsid w:val="00FF65BF"/>
    <w:rsid w:val="00FF6FAA"/>
    <w:rsid w:val="00FF7442"/>
    <w:rsid w:val="00FF771D"/>
    <w:rsid w:val="00FF77B0"/>
    <w:rsid w:val="01116397"/>
    <w:rsid w:val="016C0FA1"/>
    <w:rsid w:val="039D18E6"/>
    <w:rsid w:val="03FC51CF"/>
    <w:rsid w:val="043A7135"/>
    <w:rsid w:val="04F80D9E"/>
    <w:rsid w:val="06021638"/>
    <w:rsid w:val="07D4164E"/>
    <w:rsid w:val="08B76694"/>
    <w:rsid w:val="08C91839"/>
    <w:rsid w:val="08EA5C5E"/>
    <w:rsid w:val="097823F8"/>
    <w:rsid w:val="0A8F4AD9"/>
    <w:rsid w:val="0AEA7F5C"/>
    <w:rsid w:val="0C1B5A9E"/>
    <w:rsid w:val="0CE14FFE"/>
    <w:rsid w:val="0F1A3D3A"/>
    <w:rsid w:val="0F3155D8"/>
    <w:rsid w:val="10176CE3"/>
    <w:rsid w:val="116D3047"/>
    <w:rsid w:val="121D046F"/>
    <w:rsid w:val="139D56C3"/>
    <w:rsid w:val="13EF6FB0"/>
    <w:rsid w:val="153E15AB"/>
    <w:rsid w:val="160E7742"/>
    <w:rsid w:val="16D619F8"/>
    <w:rsid w:val="170830C2"/>
    <w:rsid w:val="178321B2"/>
    <w:rsid w:val="183D4FEE"/>
    <w:rsid w:val="1944587B"/>
    <w:rsid w:val="19B317D6"/>
    <w:rsid w:val="19BB08C0"/>
    <w:rsid w:val="1A9F4AF0"/>
    <w:rsid w:val="1AEE6561"/>
    <w:rsid w:val="1B283D33"/>
    <w:rsid w:val="1B8924F7"/>
    <w:rsid w:val="1C47021D"/>
    <w:rsid w:val="1C5550FC"/>
    <w:rsid w:val="1DD3548B"/>
    <w:rsid w:val="1DED21D8"/>
    <w:rsid w:val="1E312B1D"/>
    <w:rsid w:val="1E45663A"/>
    <w:rsid w:val="1EB65413"/>
    <w:rsid w:val="1F0B1027"/>
    <w:rsid w:val="1F0E3DA5"/>
    <w:rsid w:val="1F5D1AFC"/>
    <w:rsid w:val="1FCF66B3"/>
    <w:rsid w:val="1FF46A5D"/>
    <w:rsid w:val="20512654"/>
    <w:rsid w:val="206C6470"/>
    <w:rsid w:val="20B514C1"/>
    <w:rsid w:val="20CE49AC"/>
    <w:rsid w:val="20DF52F4"/>
    <w:rsid w:val="21284571"/>
    <w:rsid w:val="2186530F"/>
    <w:rsid w:val="21920158"/>
    <w:rsid w:val="22AA093B"/>
    <w:rsid w:val="22E5250A"/>
    <w:rsid w:val="22F75C0D"/>
    <w:rsid w:val="23153138"/>
    <w:rsid w:val="237F470C"/>
    <w:rsid w:val="23D762F6"/>
    <w:rsid w:val="241E4CD1"/>
    <w:rsid w:val="25005DB5"/>
    <w:rsid w:val="25114177"/>
    <w:rsid w:val="262F572D"/>
    <w:rsid w:val="278E3170"/>
    <w:rsid w:val="27C052F3"/>
    <w:rsid w:val="27E34808"/>
    <w:rsid w:val="28316C2F"/>
    <w:rsid w:val="290F7096"/>
    <w:rsid w:val="2AD65B5E"/>
    <w:rsid w:val="2B116592"/>
    <w:rsid w:val="2B8A00F2"/>
    <w:rsid w:val="2C097249"/>
    <w:rsid w:val="2D191D0A"/>
    <w:rsid w:val="2D235753"/>
    <w:rsid w:val="2D621DCA"/>
    <w:rsid w:val="30497C28"/>
    <w:rsid w:val="30CC4D09"/>
    <w:rsid w:val="31476261"/>
    <w:rsid w:val="31481606"/>
    <w:rsid w:val="314F17F5"/>
    <w:rsid w:val="32252923"/>
    <w:rsid w:val="32625045"/>
    <w:rsid w:val="32CB5278"/>
    <w:rsid w:val="33107ADD"/>
    <w:rsid w:val="33D12D62"/>
    <w:rsid w:val="33F64577"/>
    <w:rsid w:val="34795DF7"/>
    <w:rsid w:val="35C91DF7"/>
    <w:rsid w:val="35E47D52"/>
    <w:rsid w:val="370C0184"/>
    <w:rsid w:val="375A1AA6"/>
    <w:rsid w:val="37920A5A"/>
    <w:rsid w:val="388C1EBB"/>
    <w:rsid w:val="38C26B8B"/>
    <w:rsid w:val="395D4DC4"/>
    <w:rsid w:val="39623AF0"/>
    <w:rsid w:val="3A053765"/>
    <w:rsid w:val="3A495F50"/>
    <w:rsid w:val="3A496D8D"/>
    <w:rsid w:val="3AE07D2F"/>
    <w:rsid w:val="3DB03FCF"/>
    <w:rsid w:val="3E412892"/>
    <w:rsid w:val="3FBB6674"/>
    <w:rsid w:val="401330BC"/>
    <w:rsid w:val="40310E2B"/>
    <w:rsid w:val="41566655"/>
    <w:rsid w:val="419140FC"/>
    <w:rsid w:val="41E41EB2"/>
    <w:rsid w:val="440875AB"/>
    <w:rsid w:val="4447181F"/>
    <w:rsid w:val="445342A5"/>
    <w:rsid w:val="477C0DDF"/>
    <w:rsid w:val="48B9571B"/>
    <w:rsid w:val="48C447EC"/>
    <w:rsid w:val="49B4660E"/>
    <w:rsid w:val="49C84040"/>
    <w:rsid w:val="49E57256"/>
    <w:rsid w:val="4AF333FB"/>
    <w:rsid w:val="4B1A005D"/>
    <w:rsid w:val="4BED4059"/>
    <w:rsid w:val="4C177D34"/>
    <w:rsid w:val="4D0C6761"/>
    <w:rsid w:val="4D185106"/>
    <w:rsid w:val="4D695962"/>
    <w:rsid w:val="4E915170"/>
    <w:rsid w:val="4EA91A44"/>
    <w:rsid w:val="4EF5033F"/>
    <w:rsid w:val="4F250117"/>
    <w:rsid w:val="4F626B0C"/>
    <w:rsid w:val="4F90367A"/>
    <w:rsid w:val="50E072A9"/>
    <w:rsid w:val="5107673D"/>
    <w:rsid w:val="51615AA7"/>
    <w:rsid w:val="518A6447"/>
    <w:rsid w:val="5220262B"/>
    <w:rsid w:val="52AC785B"/>
    <w:rsid w:val="53BC753D"/>
    <w:rsid w:val="540900AB"/>
    <w:rsid w:val="54391BD5"/>
    <w:rsid w:val="545D1820"/>
    <w:rsid w:val="55120D38"/>
    <w:rsid w:val="56833665"/>
    <w:rsid w:val="572162C6"/>
    <w:rsid w:val="583223F2"/>
    <w:rsid w:val="59574994"/>
    <w:rsid w:val="59F4590F"/>
    <w:rsid w:val="5ABC63C6"/>
    <w:rsid w:val="5C506285"/>
    <w:rsid w:val="5C9B1C6D"/>
    <w:rsid w:val="5E7A79CF"/>
    <w:rsid w:val="5EAE23A9"/>
    <w:rsid w:val="5ED209B4"/>
    <w:rsid w:val="5F6D2429"/>
    <w:rsid w:val="60E05AE3"/>
    <w:rsid w:val="61066B3B"/>
    <w:rsid w:val="61721916"/>
    <w:rsid w:val="6235591B"/>
    <w:rsid w:val="649503DF"/>
    <w:rsid w:val="64C55287"/>
    <w:rsid w:val="64F25DE5"/>
    <w:rsid w:val="6516041D"/>
    <w:rsid w:val="65183A9D"/>
    <w:rsid w:val="6562503C"/>
    <w:rsid w:val="67A92B33"/>
    <w:rsid w:val="67D435C2"/>
    <w:rsid w:val="689D7F6A"/>
    <w:rsid w:val="691E58C2"/>
    <w:rsid w:val="69654A8C"/>
    <w:rsid w:val="6BD1633D"/>
    <w:rsid w:val="6C040369"/>
    <w:rsid w:val="6C494E84"/>
    <w:rsid w:val="6E3D6323"/>
    <w:rsid w:val="6EF47329"/>
    <w:rsid w:val="6F0B1DF7"/>
    <w:rsid w:val="6F7B4311"/>
    <w:rsid w:val="71632432"/>
    <w:rsid w:val="71E2790D"/>
    <w:rsid w:val="7376359C"/>
    <w:rsid w:val="755A41A9"/>
    <w:rsid w:val="75A66518"/>
    <w:rsid w:val="763C69CA"/>
    <w:rsid w:val="769A7FE7"/>
    <w:rsid w:val="771D707E"/>
    <w:rsid w:val="77F42148"/>
    <w:rsid w:val="782A3DBC"/>
    <w:rsid w:val="78850FF2"/>
    <w:rsid w:val="788D434B"/>
    <w:rsid w:val="78B344C5"/>
    <w:rsid w:val="79F41E6D"/>
    <w:rsid w:val="7B1465BF"/>
    <w:rsid w:val="7B7D06A6"/>
    <w:rsid w:val="7BF87D2D"/>
    <w:rsid w:val="7C1D7794"/>
    <w:rsid w:val="7C5424EB"/>
    <w:rsid w:val="7D137C14"/>
    <w:rsid w:val="7D221B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autoRedefine/>
    <w:qFormat/>
    <w:uiPriority w:val="0"/>
    <w:pPr>
      <w:keepNext/>
      <w:jc w:val="center"/>
      <w:outlineLvl w:val="0"/>
    </w:pPr>
    <w:rPr>
      <w:rFonts w:ascii="黑体" w:hAnsi="华文中宋" w:eastAsia="黑体"/>
      <w:b/>
      <w:bCs/>
      <w:sz w:val="28"/>
      <w:szCs w:val="32"/>
    </w:rPr>
  </w:style>
  <w:style w:type="paragraph" w:styleId="3">
    <w:name w:val="heading 2"/>
    <w:basedOn w:val="1"/>
    <w:next w:val="1"/>
    <w:link w:val="53"/>
    <w:autoRedefine/>
    <w:qFormat/>
    <w:uiPriority w:val="0"/>
    <w:pPr>
      <w:keepNext/>
      <w:keepLines/>
      <w:adjustRightInd w:val="0"/>
      <w:snapToGrid w:val="0"/>
      <w:spacing w:line="440" w:lineRule="exact"/>
      <w:jc w:val="center"/>
      <w:outlineLvl w:val="1"/>
    </w:pPr>
    <w:rPr>
      <w:rFonts w:asciiTheme="minorEastAsia" w:hAnsiTheme="minorEastAsia" w:eastAsiaTheme="minorEastAsia"/>
      <w:b/>
      <w:bCs/>
      <w:sz w:val="24"/>
      <w:szCs w:val="32"/>
    </w:rPr>
  </w:style>
  <w:style w:type="paragraph" w:styleId="4">
    <w:name w:val="heading 3"/>
    <w:basedOn w:val="1"/>
    <w:next w:val="1"/>
    <w:link w:val="54"/>
    <w:autoRedefine/>
    <w:qFormat/>
    <w:uiPriority w:val="0"/>
    <w:pPr>
      <w:keepNext/>
      <w:keepLines/>
      <w:adjustRightInd w:val="0"/>
      <w:snapToGrid w:val="0"/>
      <w:spacing w:beforeLines="50" w:line="440" w:lineRule="exact"/>
      <w:jc w:val="left"/>
      <w:outlineLvl w:val="2"/>
    </w:pPr>
    <w:rPr>
      <w:b/>
      <w:bCs/>
      <w:sz w:val="24"/>
      <w:szCs w:val="32"/>
    </w:rPr>
  </w:style>
  <w:style w:type="paragraph" w:styleId="5">
    <w:name w:val="heading 4"/>
    <w:basedOn w:val="1"/>
    <w:next w:val="1"/>
    <w:link w:val="55"/>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6"/>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57"/>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58"/>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59"/>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0"/>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12">
    <w:name w:val="Normal Indent"/>
    <w:basedOn w:val="1"/>
    <w:autoRedefine/>
    <w:qFormat/>
    <w:uiPriority w:val="0"/>
    <w:pPr>
      <w:widowControl/>
      <w:ind w:firstLine="420"/>
      <w:jc w:val="left"/>
    </w:pPr>
    <w:rPr>
      <w:kern w:val="0"/>
      <w:sz w:val="20"/>
      <w:szCs w:val="20"/>
    </w:rPr>
  </w:style>
  <w:style w:type="paragraph" w:styleId="13">
    <w:name w:val="Document Map"/>
    <w:basedOn w:val="1"/>
    <w:link w:val="84"/>
    <w:autoRedefine/>
    <w:qFormat/>
    <w:uiPriority w:val="99"/>
    <w:pPr>
      <w:shd w:val="clear" w:color="auto" w:fill="000080"/>
    </w:pPr>
  </w:style>
  <w:style w:type="paragraph" w:styleId="14">
    <w:name w:val="annotation text"/>
    <w:basedOn w:val="1"/>
    <w:link w:val="68"/>
    <w:autoRedefine/>
    <w:qFormat/>
    <w:uiPriority w:val="99"/>
    <w:pPr>
      <w:jc w:val="left"/>
    </w:pPr>
  </w:style>
  <w:style w:type="paragraph" w:styleId="15">
    <w:name w:val="Salutation"/>
    <w:basedOn w:val="1"/>
    <w:next w:val="1"/>
    <w:link w:val="73"/>
    <w:autoRedefine/>
    <w:qFormat/>
    <w:uiPriority w:val="0"/>
    <w:rPr>
      <w:rFonts w:ascii="仿宋_GB2312" w:eastAsia="仿宋_GB2312"/>
      <w:sz w:val="24"/>
    </w:rPr>
  </w:style>
  <w:style w:type="paragraph" w:styleId="16">
    <w:name w:val="Body Text"/>
    <w:basedOn w:val="1"/>
    <w:link w:val="62"/>
    <w:autoRedefine/>
    <w:qFormat/>
    <w:uiPriority w:val="0"/>
    <w:pPr>
      <w:spacing w:after="120"/>
    </w:pPr>
  </w:style>
  <w:style w:type="paragraph" w:styleId="17">
    <w:name w:val="Body Text Indent"/>
    <w:basedOn w:val="1"/>
    <w:link w:val="65"/>
    <w:autoRedefine/>
    <w:qFormat/>
    <w:uiPriority w:val="0"/>
    <w:pPr>
      <w:spacing w:after="120"/>
      <w:ind w:left="420" w:leftChars="200"/>
    </w:pPr>
  </w:style>
  <w:style w:type="paragraph" w:styleId="18">
    <w:name w:val="Block Text"/>
    <w:basedOn w:val="1"/>
    <w:autoRedefine/>
    <w:qFormat/>
    <w:uiPriority w:val="0"/>
    <w:pPr>
      <w:ind w:left="1171" w:right="91" w:hanging="1080"/>
    </w:pPr>
    <w:rPr>
      <w:rFonts w:eastAsia="楷体_GB2312"/>
      <w:szCs w:val="20"/>
    </w:rPr>
  </w:style>
  <w:style w:type="paragraph" w:styleId="19">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20">
    <w:name w:val="toc 3"/>
    <w:basedOn w:val="1"/>
    <w:next w:val="1"/>
    <w:autoRedefine/>
    <w:unhideWhenUsed/>
    <w:qFormat/>
    <w:uiPriority w:val="39"/>
    <w:pPr>
      <w:adjustRightInd w:val="0"/>
      <w:snapToGrid w:val="0"/>
      <w:spacing w:line="360" w:lineRule="auto"/>
      <w:ind w:left="400" w:leftChars="400"/>
    </w:pPr>
    <w:rPr>
      <w:rFonts w:eastAsiaTheme="minorEastAsia"/>
      <w:b/>
    </w:rPr>
  </w:style>
  <w:style w:type="paragraph" w:styleId="21">
    <w:name w:val="Plain Text"/>
    <w:basedOn w:val="1"/>
    <w:link w:val="67"/>
    <w:qFormat/>
    <w:uiPriority w:val="99"/>
    <w:rPr>
      <w:rFonts w:ascii="宋体" w:hAnsi="Courier New" w:cs="Courier New"/>
      <w:szCs w:val="21"/>
    </w:rPr>
  </w:style>
  <w:style w:type="paragraph" w:styleId="22">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3">
    <w:name w:val="Date"/>
    <w:basedOn w:val="1"/>
    <w:next w:val="1"/>
    <w:link w:val="78"/>
    <w:autoRedefine/>
    <w:qFormat/>
    <w:uiPriority w:val="0"/>
    <w:rPr>
      <w:sz w:val="24"/>
      <w:szCs w:val="20"/>
    </w:rPr>
  </w:style>
  <w:style w:type="paragraph" w:styleId="24">
    <w:name w:val="Body Text Indent 2"/>
    <w:basedOn w:val="1"/>
    <w:link w:val="75"/>
    <w:autoRedefine/>
    <w:qFormat/>
    <w:uiPriority w:val="0"/>
    <w:pPr>
      <w:spacing w:after="120" w:line="480" w:lineRule="auto"/>
      <w:ind w:left="420" w:leftChars="200"/>
    </w:pPr>
  </w:style>
  <w:style w:type="paragraph" w:styleId="25">
    <w:name w:val="Balloon Text"/>
    <w:basedOn w:val="1"/>
    <w:link w:val="92"/>
    <w:autoRedefine/>
    <w:qFormat/>
    <w:uiPriority w:val="0"/>
    <w:rPr>
      <w:sz w:val="18"/>
      <w:szCs w:val="18"/>
    </w:rPr>
  </w:style>
  <w:style w:type="paragraph" w:styleId="26">
    <w:name w:val="footer"/>
    <w:basedOn w:val="1"/>
    <w:link w:val="63"/>
    <w:autoRedefine/>
    <w:qFormat/>
    <w:uiPriority w:val="99"/>
    <w:pPr>
      <w:tabs>
        <w:tab w:val="center" w:pos="4153"/>
        <w:tab w:val="right" w:pos="8306"/>
      </w:tabs>
      <w:snapToGrid w:val="0"/>
      <w:jc w:val="left"/>
    </w:pPr>
    <w:rPr>
      <w:sz w:val="18"/>
      <w:szCs w:val="18"/>
    </w:rPr>
  </w:style>
  <w:style w:type="paragraph" w:styleId="27">
    <w:name w:val="header"/>
    <w:basedOn w:val="1"/>
    <w:link w:val="64"/>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tabs>
        <w:tab w:val="right" w:leader="dot" w:pos="9060"/>
      </w:tabs>
      <w:spacing w:line="360" w:lineRule="auto"/>
    </w:pPr>
    <w:rPr>
      <w:rFonts w:asciiTheme="minorEastAsia" w:hAnsiTheme="minorEastAsia" w:eastAsiaTheme="minorEastAsia"/>
      <w:b/>
      <w:sz w:val="24"/>
      <w:szCs w:val="21"/>
    </w:rPr>
  </w:style>
  <w:style w:type="paragraph" w:styleId="29">
    <w:name w:val="toc 4"/>
    <w:basedOn w:val="1"/>
    <w:next w:val="1"/>
    <w:autoRedefine/>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0">
    <w:name w:val="toc 6"/>
    <w:basedOn w:val="1"/>
    <w:next w:val="1"/>
    <w:autoRedefine/>
    <w:qFormat/>
    <w:uiPriority w:val="39"/>
    <w:pPr>
      <w:ind w:left="2100"/>
    </w:pPr>
    <w:rPr>
      <w:szCs w:val="20"/>
    </w:rPr>
  </w:style>
  <w:style w:type="paragraph" w:styleId="31">
    <w:name w:val="Body Text Indent 3"/>
    <w:basedOn w:val="1"/>
    <w:link w:val="77"/>
    <w:autoRedefine/>
    <w:qFormat/>
    <w:uiPriority w:val="0"/>
    <w:pPr>
      <w:spacing w:after="120"/>
      <w:ind w:left="420" w:leftChars="200"/>
    </w:pPr>
    <w:rPr>
      <w:sz w:val="16"/>
      <w:szCs w:val="16"/>
    </w:rPr>
  </w:style>
  <w:style w:type="paragraph" w:styleId="32">
    <w:name w:val="toc 2"/>
    <w:basedOn w:val="1"/>
    <w:next w:val="1"/>
    <w:autoRedefine/>
    <w:unhideWhenUsed/>
    <w:qFormat/>
    <w:uiPriority w:val="39"/>
    <w:pPr>
      <w:spacing w:line="360" w:lineRule="auto"/>
      <w:ind w:left="200" w:leftChars="200"/>
    </w:pPr>
    <w:rPr>
      <w:rFonts w:eastAsiaTheme="majorEastAsia"/>
      <w:b/>
    </w:rPr>
  </w:style>
  <w:style w:type="paragraph" w:styleId="33">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4">
    <w:name w:val="Body Text 2"/>
    <w:basedOn w:val="1"/>
    <w:link w:val="74"/>
    <w:autoRedefine/>
    <w:qFormat/>
    <w:uiPriority w:val="0"/>
    <w:pPr>
      <w:spacing w:after="120" w:line="480" w:lineRule="auto"/>
    </w:pPr>
  </w:style>
  <w:style w:type="paragraph" w:styleId="35">
    <w:name w:val="HTML Preformatted"/>
    <w:basedOn w:val="1"/>
    <w:link w:val="72"/>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7">
    <w:name w:val="index 1"/>
    <w:basedOn w:val="1"/>
    <w:next w:val="1"/>
    <w:autoRedefine/>
    <w:qFormat/>
    <w:uiPriority w:val="0"/>
    <w:pPr>
      <w:spacing w:line="220" w:lineRule="exact"/>
      <w:jc w:val="center"/>
    </w:pPr>
    <w:rPr>
      <w:rFonts w:ascii="仿宋_GB2312" w:eastAsia="仿宋_GB2312"/>
      <w:szCs w:val="20"/>
    </w:rPr>
  </w:style>
  <w:style w:type="paragraph" w:styleId="38">
    <w:name w:val="Title"/>
    <w:basedOn w:val="1"/>
    <w:link w:val="109"/>
    <w:autoRedefine/>
    <w:qFormat/>
    <w:uiPriority w:val="10"/>
    <w:pPr>
      <w:jc w:val="center"/>
      <w:outlineLvl w:val="0"/>
    </w:pPr>
    <w:rPr>
      <w:rFonts w:asciiTheme="minorHAnsi" w:hAnsiTheme="minorHAnsi" w:eastAsiaTheme="minorEastAsia" w:cstheme="minorBidi"/>
      <w:b/>
      <w:sz w:val="32"/>
      <w:szCs w:val="22"/>
    </w:rPr>
  </w:style>
  <w:style w:type="paragraph" w:styleId="39">
    <w:name w:val="annotation subject"/>
    <w:basedOn w:val="14"/>
    <w:next w:val="14"/>
    <w:link w:val="91"/>
    <w:autoRedefine/>
    <w:qFormat/>
    <w:uiPriority w:val="0"/>
    <w:rPr>
      <w:b/>
      <w:bCs/>
    </w:rPr>
  </w:style>
  <w:style w:type="paragraph" w:styleId="40">
    <w:name w:val="Body Text First Indent 2"/>
    <w:basedOn w:val="17"/>
    <w:autoRedefine/>
    <w:qFormat/>
    <w:uiPriority w:val="0"/>
    <w:pPr>
      <w:ind w:firstLine="420" w:firstLineChars="200"/>
    </w:pPr>
  </w:style>
  <w:style w:type="table" w:styleId="42">
    <w:name w:val="Table Grid"/>
    <w:basedOn w:val="41"/>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qFormat/>
    <w:uiPriority w:val="0"/>
    <w:rPr>
      <w:b/>
      <w:bCs/>
    </w:rPr>
  </w:style>
  <w:style w:type="character" w:styleId="45">
    <w:name w:val="page number"/>
    <w:basedOn w:val="43"/>
    <w:qFormat/>
    <w:uiPriority w:val="0"/>
  </w:style>
  <w:style w:type="character" w:styleId="46">
    <w:name w:val="FollowedHyperlink"/>
    <w:autoRedefine/>
    <w:qFormat/>
    <w:uiPriority w:val="0"/>
    <w:rPr>
      <w:color w:val="800080"/>
      <w:u w:val="single"/>
    </w:rPr>
  </w:style>
  <w:style w:type="character" w:styleId="47">
    <w:name w:val="Emphasis"/>
    <w:basedOn w:val="43"/>
    <w:autoRedefine/>
    <w:qFormat/>
    <w:uiPriority w:val="0"/>
    <w:rPr>
      <w:i/>
    </w:rPr>
  </w:style>
  <w:style w:type="character" w:styleId="48">
    <w:name w:val="Hyperlink"/>
    <w:autoRedefine/>
    <w:qFormat/>
    <w:uiPriority w:val="99"/>
    <w:rPr>
      <w:color w:val="136EC2"/>
      <w:u w:val="single"/>
    </w:rPr>
  </w:style>
  <w:style w:type="character" w:styleId="49">
    <w:name w:val="annotation reference"/>
    <w:autoRedefine/>
    <w:qFormat/>
    <w:uiPriority w:val="99"/>
    <w:rPr>
      <w:sz w:val="21"/>
      <w:szCs w:val="21"/>
    </w:rPr>
  </w:style>
  <w:style w:type="character" w:styleId="50">
    <w:name w:val="HTML Sample"/>
    <w:autoRedefine/>
    <w:qFormat/>
    <w:uiPriority w:val="0"/>
    <w:rPr>
      <w:rFonts w:ascii="Courier New" w:hAnsi="Courier New" w:eastAsia="Courier New" w:cs="Courier New"/>
    </w:rPr>
  </w:style>
  <w:style w:type="paragraph" w:customStyle="1" w:styleId="51">
    <w:name w:val="列出段落1"/>
    <w:basedOn w:val="1"/>
    <w:autoRedefine/>
    <w:qFormat/>
    <w:uiPriority w:val="34"/>
    <w:pPr>
      <w:widowControl/>
      <w:spacing w:beforeLines="50" w:line="380" w:lineRule="exact"/>
      <w:ind w:right="-109" w:rightChars="-52" w:firstLine="420" w:firstLineChars="200"/>
      <w:jc w:val="left"/>
    </w:pPr>
    <w:rPr>
      <w:szCs w:val="21"/>
    </w:rPr>
  </w:style>
  <w:style w:type="character" w:customStyle="1" w:styleId="52">
    <w:name w:val="标题 1 Char"/>
    <w:basedOn w:val="43"/>
    <w:link w:val="2"/>
    <w:autoRedefine/>
    <w:qFormat/>
    <w:uiPriority w:val="0"/>
    <w:rPr>
      <w:rFonts w:ascii="黑体" w:hAnsi="华文中宋" w:eastAsia="黑体"/>
      <w:b/>
      <w:bCs/>
      <w:kern w:val="2"/>
      <w:sz w:val="28"/>
      <w:szCs w:val="32"/>
    </w:rPr>
  </w:style>
  <w:style w:type="character" w:customStyle="1" w:styleId="53">
    <w:name w:val="标题 2 Char"/>
    <w:basedOn w:val="43"/>
    <w:link w:val="3"/>
    <w:autoRedefine/>
    <w:qFormat/>
    <w:uiPriority w:val="0"/>
    <w:rPr>
      <w:rFonts w:asciiTheme="minorEastAsia" w:hAnsiTheme="minorEastAsia" w:eastAsiaTheme="minorEastAsia"/>
      <w:b/>
      <w:bCs/>
      <w:kern w:val="2"/>
      <w:sz w:val="24"/>
      <w:szCs w:val="32"/>
    </w:rPr>
  </w:style>
  <w:style w:type="character" w:customStyle="1" w:styleId="54">
    <w:name w:val="标题 3 Char"/>
    <w:basedOn w:val="43"/>
    <w:link w:val="4"/>
    <w:autoRedefine/>
    <w:qFormat/>
    <w:uiPriority w:val="0"/>
    <w:rPr>
      <w:b/>
      <w:bCs/>
      <w:kern w:val="2"/>
      <w:sz w:val="24"/>
      <w:szCs w:val="32"/>
    </w:rPr>
  </w:style>
  <w:style w:type="character" w:customStyle="1" w:styleId="55">
    <w:name w:val="标题 4 Char"/>
    <w:basedOn w:val="43"/>
    <w:link w:val="5"/>
    <w:autoRedefine/>
    <w:qFormat/>
    <w:uiPriority w:val="0"/>
    <w:rPr>
      <w:rFonts w:ascii="Arial" w:hAnsi="Arial" w:eastAsia="黑体" w:cs="Times New Roman"/>
      <w:b/>
      <w:bCs/>
      <w:sz w:val="28"/>
      <w:szCs w:val="28"/>
    </w:rPr>
  </w:style>
  <w:style w:type="character" w:customStyle="1" w:styleId="56">
    <w:name w:val="标题 5 Char"/>
    <w:basedOn w:val="43"/>
    <w:link w:val="6"/>
    <w:autoRedefine/>
    <w:qFormat/>
    <w:uiPriority w:val="0"/>
    <w:rPr>
      <w:rFonts w:ascii="Times New Roman" w:hAnsi="Times New Roman" w:eastAsia="宋体" w:cs="Times New Roman"/>
      <w:b/>
      <w:bCs/>
      <w:kern w:val="0"/>
      <w:sz w:val="28"/>
      <w:szCs w:val="28"/>
    </w:rPr>
  </w:style>
  <w:style w:type="character" w:customStyle="1" w:styleId="57">
    <w:name w:val="标题 6 Char"/>
    <w:basedOn w:val="43"/>
    <w:link w:val="7"/>
    <w:autoRedefine/>
    <w:qFormat/>
    <w:uiPriority w:val="0"/>
    <w:rPr>
      <w:rFonts w:ascii="Arial" w:hAnsi="Arial" w:eastAsia="黑体" w:cs="Times New Roman"/>
      <w:b/>
      <w:bCs/>
      <w:kern w:val="0"/>
      <w:sz w:val="24"/>
      <w:szCs w:val="24"/>
    </w:rPr>
  </w:style>
  <w:style w:type="character" w:customStyle="1" w:styleId="58">
    <w:name w:val="标题 7 Char"/>
    <w:basedOn w:val="43"/>
    <w:link w:val="8"/>
    <w:autoRedefine/>
    <w:qFormat/>
    <w:uiPriority w:val="0"/>
    <w:rPr>
      <w:rFonts w:ascii="Times New Roman" w:hAnsi="Times New Roman" w:eastAsia="宋体" w:cs="Times New Roman"/>
      <w:b/>
      <w:bCs/>
      <w:kern w:val="0"/>
      <w:sz w:val="24"/>
      <w:szCs w:val="24"/>
    </w:rPr>
  </w:style>
  <w:style w:type="character" w:customStyle="1" w:styleId="59">
    <w:name w:val="标题 8 Char"/>
    <w:basedOn w:val="43"/>
    <w:link w:val="9"/>
    <w:autoRedefine/>
    <w:qFormat/>
    <w:uiPriority w:val="0"/>
    <w:rPr>
      <w:rFonts w:ascii="Arial" w:hAnsi="Arial" w:eastAsia="黑体" w:cs="Times New Roman"/>
      <w:kern w:val="0"/>
      <w:sz w:val="24"/>
      <w:szCs w:val="24"/>
    </w:rPr>
  </w:style>
  <w:style w:type="character" w:customStyle="1" w:styleId="60">
    <w:name w:val="标题 9 Char"/>
    <w:basedOn w:val="43"/>
    <w:link w:val="10"/>
    <w:autoRedefine/>
    <w:qFormat/>
    <w:uiPriority w:val="0"/>
    <w:rPr>
      <w:rFonts w:ascii="Arial" w:hAnsi="Arial" w:eastAsia="黑体" w:cs="Times New Roman"/>
      <w:kern w:val="0"/>
      <w:szCs w:val="21"/>
    </w:rPr>
  </w:style>
  <w:style w:type="paragraph" w:customStyle="1" w:styleId="61">
    <w:name w:val="表格内容"/>
    <w:basedOn w:val="16"/>
    <w:autoRedefine/>
    <w:qFormat/>
    <w:uiPriority w:val="0"/>
    <w:pPr>
      <w:suppressLineNumbers/>
      <w:suppressAutoHyphens/>
      <w:jc w:val="left"/>
    </w:pPr>
    <w:rPr>
      <w:rFonts w:cs="Tahoma"/>
      <w:kern w:val="0"/>
      <w:sz w:val="24"/>
    </w:rPr>
  </w:style>
  <w:style w:type="character" w:customStyle="1" w:styleId="62">
    <w:name w:val="正文文本 Char"/>
    <w:basedOn w:val="43"/>
    <w:link w:val="16"/>
    <w:autoRedefine/>
    <w:qFormat/>
    <w:uiPriority w:val="0"/>
    <w:rPr>
      <w:rFonts w:ascii="Times New Roman" w:hAnsi="Times New Roman" w:eastAsia="宋体" w:cs="Times New Roman"/>
      <w:szCs w:val="24"/>
    </w:rPr>
  </w:style>
  <w:style w:type="character" w:customStyle="1" w:styleId="63">
    <w:name w:val="页脚 Char"/>
    <w:basedOn w:val="43"/>
    <w:link w:val="26"/>
    <w:autoRedefine/>
    <w:qFormat/>
    <w:uiPriority w:val="99"/>
    <w:rPr>
      <w:rFonts w:ascii="Times New Roman" w:hAnsi="Times New Roman" w:eastAsia="宋体" w:cs="Times New Roman"/>
      <w:sz w:val="18"/>
      <w:szCs w:val="18"/>
    </w:rPr>
  </w:style>
  <w:style w:type="character" w:customStyle="1" w:styleId="64">
    <w:name w:val="页眉 Char"/>
    <w:basedOn w:val="43"/>
    <w:link w:val="27"/>
    <w:autoRedefine/>
    <w:qFormat/>
    <w:uiPriority w:val="0"/>
    <w:rPr>
      <w:rFonts w:ascii="Times New Roman" w:hAnsi="Times New Roman" w:eastAsia="宋体" w:cs="Times New Roman"/>
      <w:sz w:val="18"/>
      <w:szCs w:val="18"/>
    </w:rPr>
  </w:style>
  <w:style w:type="character" w:customStyle="1" w:styleId="65">
    <w:name w:val="正文文本缩进 Char"/>
    <w:basedOn w:val="43"/>
    <w:link w:val="17"/>
    <w:autoRedefine/>
    <w:qFormat/>
    <w:uiPriority w:val="0"/>
    <w:rPr>
      <w:rFonts w:ascii="Times New Roman" w:hAnsi="Times New Roman" w:eastAsia="宋体" w:cs="Times New Roman"/>
      <w:szCs w:val="24"/>
    </w:rPr>
  </w:style>
  <w:style w:type="paragraph" w:customStyle="1" w:styleId="66">
    <w:name w:val="Char Char Char Char Char Char Char"/>
    <w:basedOn w:val="1"/>
    <w:autoRedefine/>
    <w:qFormat/>
    <w:uiPriority w:val="0"/>
    <w:pPr>
      <w:snapToGrid w:val="0"/>
      <w:spacing w:line="360" w:lineRule="auto"/>
      <w:ind w:firstLine="200" w:firstLineChars="200"/>
    </w:pPr>
    <w:rPr>
      <w:rFonts w:eastAsia="仿宋_GB2312"/>
      <w:sz w:val="24"/>
    </w:rPr>
  </w:style>
  <w:style w:type="character" w:customStyle="1" w:styleId="67">
    <w:name w:val="纯文本 Char"/>
    <w:basedOn w:val="43"/>
    <w:link w:val="21"/>
    <w:autoRedefine/>
    <w:qFormat/>
    <w:uiPriority w:val="99"/>
    <w:rPr>
      <w:rFonts w:ascii="宋体" w:hAnsi="Courier New" w:eastAsia="宋体" w:cs="Courier New"/>
      <w:szCs w:val="21"/>
    </w:rPr>
  </w:style>
  <w:style w:type="character" w:customStyle="1" w:styleId="68">
    <w:name w:val="批注文字 Char"/>
    <w:basedOn w:val="43"/>
    <w:link w:val="14"/>
    <w:autoRedefine/>
    <w:qFormat/>
    <w:uiPriority w:val="99"/>
    <w:rPr>
      <w:rFonts w:ascii="Times New Roman" w:hAnsi="Times New Roman" w:eastAsia="宋体" w:cs="Times New Roman"/>
      <w:szCs w:val="24"/>
    </w:rPr>
  </w:style>
  <w:style w:type="paragraph" w:customStyle="1" w:styleId="6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70">
    <w:name w:val="Char Char Char"/>
    <w:basedOn w:val="1"/>
    <w:autoRedefine/>
    <w:qFormat/>
    <w:uiPriority w:val="0"/>
    <w:rPr>
      <w:rFonts w:ascii="宋体" w:hAnsi="宋体"/>
      <w:b/>
      <w:sz w:val="28"/>
      <w:szCs w:val="28"/>
    </w:rPr>
  </w:style>
  <w:style w:type="paragraph" w:customStyle="1" w:styleId="71">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character" w:customStyle="1" w:styleId="72">
    <w:name w:val="HTML 预设格式 Char"/>
    <w:basedOn w:val="43"/>
    <w:link w:val="35"/>
    <w:autoRedefine/>
    <w:qFormat/>
    <w:uiPriority w:val="99"/>
    <w:rPr>
      <w:rFonts w:ascii="Arial" w:hAnsi="Arial" w:eastAsia="宋体" w:cs="Arial"/>
      <w:kern w:val="0"/>
      <w:sz w:val="24"/>
      <w:szCs w:val="24"/>
    </w:rPr>
  </w:style>
  <w:style w:type="character" w:customStyle="1" w:styleId="73">
    <w:name w:val="称呼 Char"/>
    <w:basedOn w:val="43"/>
    <w:link w:val="15"/>
    <w:autoRedefine/>
    <w:qFormat/>
    <w:uiPriority w:val="0"/>
    <w:rPr>
      <w:rFonts w:ascii="仿宋_GB2312" w:hAnsi="Times New Roman" w:eastAsia="仿宋_GB2312" w:cs="Times New Roman"/>
      <w:sz w:val="24"/>
      <w:szCs w:val="24"/>
    </w:rPr>
  </w:style>
  <w:style w:type="character" w:customStyle="1" w:styleId="74">
    <w:name w:val="正文文本 2 Char"/>
    <w:basedOn w:val="43"/>
    <w:link w:val="34"/>
    <w:autoRedefine/>
    <w:qFormat/>
    <w:uiPriority w:val="0"/>
    <w:rPr>
      <w:rFonts w:ascii="Times New Roman" w:hAnsi="Times New Roman" w:eastAsia="宋体" w:cs="Times New Roman"/>
      <w:szCs w:val="24"/>
    </w:rPr>
  </w:style>
  <w:style w:type="character" w:customStyle="1" w:styleId="75">
    <w:name w:val="正文文本缩进 2 Char"/>
    <w:basedOn w:val="43"/>
    <w:link w:val="24"/>
    <w:autoRedefine/>
    <w:qFormat/>
    <w:uiPriority w:val="0"/>
    <w:rPr>
      <w:rFonts w:ascii="Times New Roman" w:hAnsi="Times New Roman" w:eastAsia="宋体" w:cs="Times New Roman"/>
      <w:szCs w:val="24"/>
    </w:rPr>
  </w:style>
  <w:style w:type="paragraph" w:customStyle="1" w:styleId="76">
    <w:name w:val="Char"/>
    <w:basedOn w:val="1"/>
    <w:autoRedefine/>
    <w:qFormat/>
    <w:uiPriority w:val="0"/>
    <w:pPr>
      <w:tabs>
        <w:tab w:val="left" w:pos="360"/>
      </w:tabs>
      <w:ind w:left="360" w:hanging="360" w:hangingChars="200"/>
    </w:pPr>
    <w:rPr>
      <w:sz w:val="24"/>
    </w:rPr>
  </w:style>
  <w:style w:type="character" w:customStyle="1" w:styleId="77">
    <w:name w:val="正文文本缩进 3 Char"/>
    <w:basedOn w:val="43"/>
    <w:link w:val="31"/>
    <w:autoRedefine/>
    <w:qFormat/>
    <w:uiPriority w:val="0"/>
    <w:rPr>
      <w:rFonts w:ascii="Times New Roman" w:hAnsi="Times New Roman" w:eastAsia="宋体" w:cs="Times New Roman"/>
      <w:sz w:val="16"/>
      <w:szCs w:val="16"/>
    </w:rPr>
  </w:style>
  <w:style w:type="character" w:customStyle="1" w:styleId="78">
    <w:name w:val="日期 Char"/>
    <w:basedOn w:val="43"/>
    <w:link w:val="23"/>
    <w:autoRedefine/>
    <w:qFormat/>
    <w:uiPriority w:val="0"/>
    <w:rPr>
      <w:rFonts w:ascii="Times New Roman" w:hAnsi="Times New Roman" w:eastAsia="宋体" w:cs="Times New Roman"/>
      <w:sz w:val="24"/>
      <w:szCs w:val="20"/>
    </w:rPr>
  </w:style>
  <w:style w:type="paragraph" w:customStyle="1" w:styleId="79">
    <w:name w:val="样式1"/>
    <w:basedOn w:val="1"/>
    <w:link w:val="111"/>
    <w:autoRedefine/>
    <w:qFormat/>
    <w:uiPriority w:val="0"/>
    <w:pPr>
      <w:tabs>
        <w:tab w:val="left" w:pos="360"/>
      </w:tabs>
      <w:adjustRightInd w:val="0"/>
      <w:ind w:left="360" w:hanging="360"/>
      <w:textAlignment w:val="baseline"/>
    </w:pPr>
    <w:rPr>
      <w:rFonts w:ascii="宋体" w:hAnsi="宋体"/>
      <w:kern w:val="0"/>
      <w:szCs w:val="21"/>
    </w:rPr>
  </w:style>
  <w:style w:type="character" w:customStyle="1" w:styleId="80">
    <w:name w:val="p0 Char"/>
    <w:link w:val="81"/>
    <w:autoRedefine/>
    <w:qFormat/>
    <w:uiPriority w:val="0"/>
    <w:rPr>
      <w:rFonts w:eastAsia="宋体"/>
      <w:szCs w:val="21"/>
    </w:rPr>
  </w:style>
  <w:style w:type="paragraph" w:customStyle="1" w:styleId="81">
    <w:name w:val="p0"/>
    <w:basedOn w:val="1"/>
    <w:link w:val="80"/>
    <w:autoRedefine/>
    <w:qFormat/>
    <w:uiPriority w:val="0"/>
    <w:pPr>
      <w:widowControl/>
    </w:pPr>
    <w:rPr>
      <w:rFonts w:asciiTheme="minorHAnsi" w:hAnsiTheme="minorHAnsi" w:cstheme="minorBidi"/>
      <w:szCs w:val="21"/>
    </w:rPr>
  </w:style>
  <w:style w:type="paragraph" w:customStyle="1" w:styleId="82">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3">
    <w:name w:val="Char Char1 Char Char Char Char Char1 Char Char Char Char"/>
    <w:basedOn w:val="13"/>
    <w:autoRedefine/>
    <w:qFormat/>
    <w:uiPriority w:val="0"/>
    <w:rPr>
      <w:rFonts w:ascii="Tahoma" w:hAnsi="Tahoma"/>
    </w:rPr>
  </w:style>
  <w:style w:type="character" w:customStyle="1" w:styleId="84">
    <w:name w:val="文档结构图 Char"/>
    <w:basedOn w:val="43"/>
    <w:link w:val="13"/>
    <w:autoRedefine/>
    <w:semiHidden/>
    <w:qFormat/>
    <w:uiPriority w:val="99"/>
    <w:rPr>
      <w:rFonts w:ascii="Times New Roman" w:hAnsi="Times New Roman" w:eastAsia="宋体" w:cs="Times New Roman"/>
      <w:szCs w:val="24"/>
      <w:shd w:val="clear" w:color="auto" w:fill="000080"/>
    </w:rPr>
  </w:style>
  <w:style w:type="paragraph" w:customStyle="1" w:styleId="85">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6">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7">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8">
    <w:name w:val="1"/>
    <w:basedOn w:val="1"/>
    <w:autoRedefine/>
    <w:qFormat/>
    <w:uiPriority w:val="0"/>
    <w:pPr>
      <w:spacing w:afterLines="50" w:line="360" w:lineRule="auto"/>
    </w:pPr>
    <w:rPr>
      <w:rFonts w:ascii="宋体" w:hAnsi="宋体"/>
      <w:b/>
      <w:sz w:val="30"/>
      <w:szCs w:val="21"/>
    </w:rPr>
  </w:style>
  <w:style w:type="paragraph" w:customStyle="1" w:styleId="89">
    <w:name w:val="样式 标题 2 + 宋体 五号 行距: 单倍行距"/>
    <w:basedOn w:val="3"/>
    <w:autoRedefine/>
    <w:qFormat/>
    <w:uiPriority w:val="0"/>
    <w:pPr>
      <w:tabs>
        <w:tab w:val="left" w:pos="2175"/>
      </w:tabs>
      <w:spacing w:before="260" w:after="260" w:line="240" w:lineRule="auto"/>
      <w:ind w:left="2175" w:hanging="1275"/>
      <w:textAlignment w:val="baseline"/>
    </w:pPr>
    <w:rPr>
      <w:rFonts w:ascii="宋体" w:hAnsi="宋体"/>
      <w:kern w:val="0"/>
      <w:sz w:val="21"/>
      <w:szCs w:val="20"/>
    </w:rPr>
  </w:style>
  <w:style w:type="paragraph" w:customStyle="1" w:styleId="90">
    <w:name w:val="标题 1 +"/>
    <w:basedOn w:val="2"/>
    <w:next w:val="1"/>
    <w:autoRedefine/>
    <w:qFormat/>
    <w:uiPriority w:val="0"/>
    <w:pPr>
      <w:keepLines/>
      <w:spacing w:line="600" w:lineRule="auto"/>
    </w:pPr>
    <w:rPr>
      <w:kern w:val="0"/>
      <w:sz w:val="32"/>
    </w:rPr>
  </w:style>
  <w:style w:type="character" w:customStyle="1" w:styleId="91">
    <w:name w:val="批注主题 Char"/>
    <w:basedOn w:val="68"/>
    <w:link w:val="39"/>
    <w:autoRedefine/>
    <w:qFormat/>
    <w:uiPriority w:val="0"/>
    <w:rPr>
      <w:rFonts w:ascii="Times New Roman" w:hAnsi="Times New Roman" w:eastAsia="宋体" w:cs="Times New Roman"/>
      <w:b/>
      <w:bCs/>
      <w:szCs w:val="24"/>
    </w:rPr>
  </w:style>
  <w:style w:type="character" w:customStyle="1" w:styleId="92">
    <w:name w:val="批注框文本 Char"/>
    <w:basedOn w:val="43"/>
    <w:link w:val="25"/>
    <w:autoRedefine/>
    <w:qFormat/>
    <w:uiPriority w:val="0"/>
    <w:rPr>
      <w:rFonts w:ascii="Times New Roman" w:hAnsi="Times New Roman" w:eastAsia="宋体" w:cs="Times New Roman"/>
      <w:sz w:val="18"/>
      <w:szCs w:val="18"/>
    </w:rPr>
  </w:style>
  <w:style w:type="paragraph" w:customStyle="1" w:styleId="93">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94">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95">
    <w:name w:val="Char1 Char Char Char 字元 Char Char 字元 Char 字元 Char1 Char Char Char"/>
    <w:basedOn w:val="1"/>
    <w:autoRedefine/>
    <w:qFormat/>
    <w:uiPriority w:val="0"/>
    <w:rPr>
      <w:szCs w:val="20"/>
    </w:rPr>
  </w:style>
  <w:style w:type="paragraph" w:customStyle="1" w:styleId="96">
    <w:name w:val="p16"/>
    <w:basedOn w:val="1"/>
    <w:autoRedefine/>
    <w:qFormat/>
    <w:uiPriority w:val="0"/>
    <w:pPr>
      <w:widowControl/>
      <w:jc w:val="left"/>
    </w:pPr>
    <w:rPr>
      <w:kern w:val="0"/>
      <w:szCs w:val="21"/>
    </w:rPr>
  </w:style>
  <w:style w:type="paragraph" w:customStyle="1" w:styleId="97">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8">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99">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0">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1">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02">
    <w:name w:val="List Paragraph"/>
    <w:basedOn w:val="1"/>
    <w:link w:val="108"/>
    <w:autoRedefine/>
    <w:qFormat/>
    <w:uiPriority w:val="1"/>
    <w:pPr>
      <w:widowControl/>
      <w:tabs>
        <w:tab w:val="left" w:pos="34"/>
        <w:tab w:val="left" w:pos="1479"/>
        <w:tab w:val="left" w:pos="1480"/>
      </w:tabs>
      <w:adjustRightInd w:val="0"/>
      <w:snapToGrid w:val="0"/>
      <w:spacing w:line="460" w:lineRule="exact"/>
      <w:ind w:right="-18"/>
      <w:jc w:val="center"/>
    </w:pPr>
  </w:style>
  <w:style w:type="character" w:customStyle="1" w:styleId="103">
    <w:name w:val="fontstyle01"/>
    <w:basedOn w:val="43"/>
    <w:autoRedefine/>
    <w:qFormat/>
    <w:uiPriority w:val="0"/>
    <w:rPr>
      <w:rFonts w:hint="eastAsia" w:ascii="宋体" w:hAnsi="宋体" w:eastAsia="宋体"/>
      <w:color w:val="000000"/>
      <w:sz w:val="24"/>
      <w:szCs w:val="24"/>
    </w:rPr>
  </w:style>
  <w:style w:type="character" w:customStyle="1" w:styleId="104">
    <w:name w:val="fontstyle11"/>
    <w:basedOn w:val="43"/>
    <w:autoRedefine/>
    <w:qFormat/>
    <w:uiPriority w:val="0"/>
    <w:rPr>
      <w:rFonts w:hint="default" w:ascii="TimesNewRomanPSMT" w:hAnsi="TimesNewRomanPSMT"/>
      <w:color w:val="000000"/>
      <w:sz w:val="24"/>
      <w:szCs w:val="24"/>
    </w:rPr>
  </w:style>
  <w:style w:type="paragraph" w:customStyle="1" w:styleId="105">
    <w:name w:val="TOC 标题1"/>
    <w:basedOn w:val="2"/>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Cs w:val="28"/>
    </w:rPr>
  </w:style>
  <w:style w:type="character" w:customStyle="1" w:styleId="106">
    <w:name w:val="fontstyle21"/>
    <w:basedOn w:val="43"/>
    <w:autoRedefine/>
    <w:qFormat/>
    <w:uiPriority w:val="0"/>
    <w:rPr>
      <w:rFonts w:hint="eastAsia" w:ascii="宋体" w:hAnsi="宋体" w:eastAsia="宋体"/>
      <w:color w:val="993300"/>
      <w:sz w:val="24"/>
      <w:szCs w:val="24"/>
    </w:rPr>
  </w:style>
  <w:style w:type="character" w:customStyle="1" w:styleId="107">
    <w:name w:val="fontstyle31"/>
    <w:basedOn w:val="43"/>
    <w:autoRedefine/>
    <w:qFormat/>
    <w:uiPriority w:val="0"/>
    <w:rPr>
      <w:rFonts w:hint="default" w:ascii="Arial" w:hAnsi="Arial" w:cs="Arial"/>
      <w:color w:val="993300"/>
      <w:sz w:val="24"/>
      <w:szCs w:val="24"/>
    </w:rPr>
  </w:style>
  <w:style w:type="character" w:customStyle="1" w:styleId="108">
    <w:name w:val="列出段落 Char"/>
    <w:link w:val="102"/>
    <w:autoRedefine/>
    <w:qFormat/>
    <w:uiPriority w:val="1"/>
    <w:rPr>
      <w:kern w:val="2"/>
      <w:sz w:val="21"/>
      <w:szCs w:val="24"/>
    </w:rPr>
  </w:style>
  <w:style w:type="character" w:customStyle="1" w:styleId="109">
    <w:name w:val="标题 Char"/>
    <w:link w:val="38"/>
    <w:autoRedefine/>
    <w:qFormat/>
    <w:uiPriority w:val="0"/>
    <w:rPr>
      <w:b/>
      <w:sz w:val="32"/>
    </w:rPr>
  </w:style>
  <w:style w:type="character" w:customStyle="1" w:styleId="110">
    <w:name w:val="标题 Char1"/>
    <w:basedOn w:val="43"/>
    <w:autoRedefine/>
    <w:qFormat/>
    <w:uiPriority w:val="10"/>
    <w:rPr>
      <w:rFonts w:eastAsia="宋体" w:asciiTheme="majorHAnsi" w:hAnsiTheme="majorHAnsi" w:cstheme="majorBidi"/>
      <w:b/>
      <w:bCs/>
      <w:sz w:val="32"/>
      <w:szCs w:val="32"/>
    </w:rPr>
  </w:style>
  <w:style w:type="character" w:customStyle="1" w:styleId="111">
    <w:name w:val="样式1 Char Char"/>
    <w:link w:val="79"/>
    <w:autoRedefine/>
    <w:qFormat/>
    <w:uiPriority w:val="0"/>
    <w:rPr>
      <w:rFonts w:ascii="宋体" w:hAnsi="宋体" w:eastAsia="宋体" w:cs="Times New Roman"/>
      <w:kern w:val="0"/>
      <w:szCs w:val="21"/>
    </w:rPr>
  </w:style>
  <w:style w:type="character" w:customStyle="1" w:styleId="112">
    <w:name w:val="纯文本 Char1"/>
    <w:basedOn w:val="43"/>
    <w:autoRedefine/>
    <w:qFormat/>
    <w:uiPriority w:val="99"/>
    <w:rPr>
      <w:rFonts w:ascii="宋体" w:hAnsi="Courier New" w:eastAsia="宋体" w:cs="Courier New"/>
      <w:szCs w:val="21"/>
    </w:rPr>
  </w:style>
  <w:style w:type="paragraph" w:customStyle="1" w:styleId="113">
    <w:name w:val="TOC 标题2"/>
    <w:basedOn w:val="2"/>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Cs w:val="28"/>
    </w:rPr>
  </w:style>
  <w:style w:type="paragraph" w:customStyle="1" w:styleId="114">
    <w:name w:val="二级无"/>
    <w:basedOn w:val="1"/>
    <w:autoRedefine/>
    <w:qFormat/>
    <w:uiPriority w:val="0"/>
    <w:pPr>
      <w:widowControl/>
      <w:tabs>
        <w:tab w:val="left" w:pos="1260"/>
      </w:tabs>
      <w:spacing w:before="50" w:after="50"/>
      <w:ind w:left="1259"/>
      <w:jc w:val="center"/>
      <w:outlineLvl w:val="3"/>
    </w:pPr>
    <w:rPr>
      <w:rFonts w:ascii="宋体"/>
      <w:kern w:val="0"/>
      <w:szCs w:val="21"/>
    </w:rPr>
  </w:style>
  <w:style w:type="paragraph" w:customStyle="1" w:styleId="115">
    <w:name w:val="张世超样式-正文文本2"/>
    <w:basedOn w:val="1"/>
    <w:autoRedefine/>
    <w:qFormat/>
    <w:uiPriority w:val="0"/>
    <w:pPr>
      <w:ind w:left="2"/>
      <w:jc w:val="center"/>
    </w:pPr>
    <w:rPr>
      <w:b/>
      <w:color w:val="FF0000"/>
      <w:sz w:val="24"/>
    </w:rPr>
  </w:style>
  <w:style w:type="paragraph" w:customStyle="1" w:styleId="116">
    <w:name w:val="常规"/>
    <w:basedOn w:val="1"/>
    <w:autoRedefine/>
    <w:qFormat/>
    <w:uiPriority w:val="0"/>
    <w:pPr>
      <w:widowControl/>
      <w:spacing w:after="200" w:line="276" w:lineRule="auto"/>
      <w:jc w:val="left"/>
    </w:pPr>
    <w:rPr>
      <w:rFonts w:ascii="Arial" w:hAnsi="Arial" w:cs="Arial"/>
      <w:snapToGrid w:val="0"/>
      <w:color w:val="000000"/>
      <w:kern w:val="0"/>
      <w:sz w:val="20"/>
      <w:szCs w:val="20"/>
    </w:rPr>
  </w:style>
  <w:style w:type="paragraph" w:customStyle="1" w:styleId="117">
    <w:name w:val="列出段落2"/>
    <w:basedOn w:val="1"/>
    <w:autoRedefine/>
    <w:qFormat/>
    <w:uiPriority w:val="34"/>
    <w:pPr>
      <w:ind w:firstLine="420" w:firstLineChars="200"/>
    </w:pPr>
    <w:rPr>
      <w:rFonts w:ascii="Calibri" w:hAnsi="Calibri"/>
      <w:szCs w:val="22"/>
    </w:rPr>
  </w:style>
  <w:style w:type="paragraph" w:customStyle="1" w:styleId="118">
    <w:name w:val="列表段落1"/>
    <w:basedOn w:val="1"/>
    <w:autoRedefine/>
    <w:qFormat/>
    <w:uiPriority w:val="34"/>
    <w:pPr>
      <w:ind w:firstLine="420" w:firstLineChars="200"/>
    </w:pPr>
  </w:style>
  <w:style w:type="paragraph" w:customStyle="1" w:styleId="119">
    <w:name w:val="BodyText"/>
    <w:basedOn w:val="1"/>
    <w:autoRedefine/>
    <w:qFormat/>
    <w:uiPriority w:val="0"/>
    <w:pPr>
      <w:spacing w:after="120"/>
    </w:pPr>
    <w:rPr>
      <w:rFonts w:asciiTheme="minorHAnsi" w:hAnsiTheme="minorHAnsi" w:eastAsiaTheme="minorEastAsia" w:cstheme="minorBidi"/>
      <w:kern w:val="0"/>
      <w:sz w:val="20"/>
    </w:rPr>
  </w:style>
  <w:style w:type="character" w:customStyle="1" w:styleId="120">
    <w:name w:val="15"/>
    <w:autoRedefine/>
    <w:qFormat/>
    <w:uiPriority w:val="0"/>
    <w:rPr>
      <w:rFonts w:hint="default" w:ascii="Calibri" w:hAnsi="Calibri" w:cs="Calibri"/>
    </w:rPr>
  </w:style>
  <w:style w:type="table" w:customStyle="1" w:styleId="121">
    <w:name w:val="网格型8"/>
    <w:basedOn w:val="4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2">
    <w:name w:val="_Style 120"/>
    <w:basedOn w:val="1"/>
    <w:next w:val="102"/>
    <w:autoRedefine/>
    <w:qFormat/>
    <w:uiPriority w:val="34"/>
    <w:pPr>
      <w:ind w:firstLine="420" w:firstLineChars="200"/>
    </w:pPr>
  </w:style>
  <w:style w:type="paragraph" w:customStyle="1" w:styleId="123">
    <w:name w:val="_Style 121"/>
    <w:basedOn w:val="1"/>
    <w:next w:val="102"/>
    <w:autoRedefine/>
    <w:qFormat/>
    <w:uiPriority w:val="34"/>
    <w:pPr>
      <w:ind w:firstLine="420" w:firstLineChars="200"/>
    </w:pPr>
  </w:style>
  <w:style w:type="character" w:customStyle="1" w:styleId="124">
    <w:name w:val="批注文字 Char1"/>
    <w:autoRedefine/>
    <w:qFormat/>
    <w:uiPriority w:val="99"/>
    <w:rPr>
      <w:rFonts w:eastAsia="宋体"/>
      <w:kern w:val="2"/>
      <w:sz w:val="21"/>
      <w:szCs w:val="24"/>
      <w:lang w:val="en-US" w:eastAsia="zh-CN" w:bidi="ar-SA"/>
    </w:rPr>
  </w:style>
  <w:style w:type="paragraph" w:customStyle="1" w:styleId="125">
    <w:name w:val="样式 首行缩进:  2 字符"/>
    <w:basedOn w:val="1"/>
    <w:autoRedefine/>
    <w:qFormat/>
    <w:uiPriority w:val="0"/>
    <w:pPr>
      <w:ind w:firstLine="560"/>
    </w:pPr>
    <w:rPr>
      <w:rFonts w:eastAsia="仿宋_GB2312" w:cs="宋体"/>
      <w:sz w:val="24"/>
      <w:szCs w:val="20"/>
    </w:rPr>
  </w:style>
  <w:style w:type="character" w:customStyle="1" w:styleId="126">
    <w:name w:val="font11"/>
    <w:basedOn w:val="43"/>
    <w:autoRedefine/>
    <w:qFormat/>
    <w:uiPriority w:val="0"/>
    <w:rPr>
      <w:rFonts w:hint="eastAsia" w:ascii="宋体" w:hAnsi="宋体" w:eastAsia="宋体" w:cs="宋体"/>
      <w:color w:val="000000"/>
      <w:sz w:val="20"/>
      <w:szCs w:val="20"/>
      <w:u w:val="none"/>
    </w:rPr>
  </w:style>
  <w:style w:type="character" w:customStyle="1" w:styleId="127">
    <w:name w:val="font21"/>
    <w:basedOn w:val="43"/>
    <w:autoRedefine/>
    <w:qFormat/>
    <w:uiPriority w:val="0"/>
    <w:rPr>
      <w:rFonts w:ascii="Arial" w:hAnsi="Arial" w:cs="Arial"/>
      <w:color w:val="000000"/>
      <w:sz w:val="20"/>
      <w:szCs w:val="20"/>
      <w:u w:val="none"/>
    </w:rPr>
  </w:style>
  <w:style w:type="character" w:customStyle="1" w:styleId="128">
    <w:name w:val="font31"/>
    <w:basedOn w:val="43"/>
    <w:autoRedefine/>
    <w:qFormat/>
    <w:uiPriority w:val="0"/>
    <w:rPr>
      <w:rFonts w:hint="eastAsia" w:ascii="宋体" w:hAnsi="宋体" w:eastAsia="宋体" w:cs="宋体"/>
      <w:color w:val="000000"/>
      <w:sz w:val="20"/>
      <w:szCs w:val="20"/>
      <w:u w:val="none"/>
    </w:rPr>
  </w:style>
  <w:style w:type="character" w:customStyle="1" w:styleId="129">
    <w:name w:val="NormalCharacter"/>
    <w:autoRedefine/>
    <w:qFormat/>
    <w:uiPriority w:val="0"/>
    <w:rPr>
      <w:rFonts w:ascii="Times New Roman" w:hAnsi="Times New Roman" w:eastAsia="宋体" w:cs="Times New Roman"/>
      <w:kern w:val="2"/>
      <w:sz w:val="21"/>
      <w:szCs w:val="24"/>
      <w:lang w:val="en-US" w:eastAsia="zh-CN" w:bidi="ar-SA"/>
    </w:rPr>
  </w:style>
  <w:style w:type="paragraph" w:customStyle="1" w:styleId="130">
    <w:name w:val="Heading1"/>
    <w:basedOn w:val="1"/>
    <w:autoRedefine/>
    <w:qFormat/>
    <w:uiPriority w:val="0"/>
    <w:pPr>
      <w:keepNext/>
      <w:keepLines/>
      <w:spacing w:before="340" w:after="330" w:line="576" w:lineRule="auto"/>
      <w:textAlignment w:val="baseline"/>
    </w:pPr>
    <w:rPr>
      <w:rFonts w:ascii="Calibri" w:hAnsi="Calibri"/>
      <w:b/>
      <w:bCs/>
      <w:kern w:val="44"/>
      <w:sz w:val="44"/>
    </w:rPr>
  </w:style>
  <w:style w:type="paragraph" w:customStyle="1" w:styleId="131">
    <w:name w:val="Normal_0"/>
    <w:qFormat/>
    <w:uiPriority w:val="0"/>
    <w:rPr>
      <w:rFonts w:ascii="Times New Roman" w:hAnsi="Times New Roman" w:eastAsia="Times New Roman" w:cs="Times New Roman"/>
      <w:sz w:val="24"/>
      <w:szCs w:val="24"/>
      <w:lang w:val="en-US" w:eastAsia="zh-CN" w:bidi="ar-SA"/>
    </w:rPr>
  </w:style>
  <w:style w:type="paragraph" w:customStyle="1" w:styleId="132">
    <w:name w:val="正文_2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正文_0"/>
    <w:basedOn w:val="134"/>
    <w:qFormat/>
    <w:uiPriority w:val="0"/>
    <w:rPr>
      <w:rFonts w:ascii="Times New Roman" w:hAnsi="Times New Roman" w:cs="Calibri"/>
      <w:szCs w:val="21"/>
    </w:rPr>
  </w:style>
  <w:style w:type="paragraph" w:customStyle="1" w:styleId="134">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Normal_42"/>
    <w:qFormat/>
    <w:uiPriority w:val="0"/>
    <w:rPr>
      <w:rFonts w:ascii="Times New Roman" w:hAnsi="Times New Roman" w:eastAsia="Times New Roman" w:cs="Times New Roman"/>
      <w:sz w:val="24"/>
      <w:szCs w:val="24"/>
      <w:lang w:val="en-US" w:eastAsia="zh-CN" w:bidi="ar-SA"/>
    </w:rPr>
  </w:style>
  <w:style w:type="paragraph" w:customStyle="1" w:styleId="136">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正文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Normal_4"/>
    <w:qFormat/>
    <w:uiPriority w:val="0"/>
    <w:rPr>
      <w:rFonts w:ascii="Times New Roman" w:hAnsi="Times New Roman" w:eastAsia="Times New Roman" w:cs="Times New Roman"/>
      <w:sz w:val="24"/>
      <w:szCs w:val="24"/>
      <w:lang w:val="en-US" w:eastAsia="zh-CN" w:bidi="ar-SA"/>
    </w:rPr>
  </w:style>
  <w:style w:type="paragraph" w:customStyle="1" w:styleId="139">
    <w:name w:val="正文_3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0">
    <w:name w:val="正文_4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1">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2">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3">
    <w:name w:val="正文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4">
    <w:name w:val="正文_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5">
    <w:name w:val="正文_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6">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7">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8">
    <w:name w:val="正文_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9">
    <w:name w:val="正文_1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0">
    <w:name w:val="正文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1">
    <w:name w:val="正文_1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2">
    <w:name w:val="Normal_19"/>
    <w:qFormat/>
    <w:uiPriority w:val="0"/>
    <w:rPr>
      <w:rFonts w:ascii="Times New Roman" w:hAnsi="Times New Roman" w:eastAsia="Times New Roman" w:cs="Times New Roman"/>
      <w:sz w:val="24"/>
      <w:szCs w:val="24"/>
      <w:lang w:val="en-US" w:eastAsia="zh-CN" w:bidi="ar-SA"/>
    </w:rPr>
  </w:style>
  <w:style w:type="paragraph" w:customStyle="1" w:styleId="153">
    <w:name w:val="正文_18"/>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
    <w:name w:val="Normal_20"/>
    <w:qFormat/>
    <w:uiPriority w:val="0"/>
    <w:rPr>
      <w:rFonts w:ascii="Times New Roman" w:hAnsi="Times New Roman" w:eastAsia="Times New Roman" w:cs="Times New Roman"/>
      <w:sz w:val="24"/>
      <w:szCs w:val="24"/>
      <w:lang w:val="en-US" w:eastAsia="zh-CN" w:bidi="ar-SA"/>
    </w:rPr>
  </w:style>
  <w:style w:type="paragraph" w:customStyle="1" w:styleId="155">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Normal_21"/>
    <w:qFormat/>
    <w:uiPriority w:val="0"/>
    <w:rPr>
      <w:rFonts w:ascii="Times New Roman" w:hAnsi="Times New Roman" w:eastAsia="Times New Roman" w:cs="Times New Roman"/>
      <w:sz w:val="24"/>
      <w:szCs w:val="24"/>
      <w:lang w:val="en-US" w:eastAsia="zh-CN" w:bidi="ar-SA"/>
    </w:rPr>
  </w:style>
  <w:style w:type="paragraph" w:customStyle="1" w:styleId="157">
    <w:name w:val="Normal_2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8">
    <w:name w:val="Normal_23"/>
    <w:qFormat/>
    <w:uiPriority w:val="0"/>
    <w:rPr>
      <w:rFonts w:ascii="Times New Roman" w:hAnsi="Times New Roman" w:eastAsia="Times New Roman" w:cs="Times New Roman"/>
      <w:sz w:val="24"/>
      <w:szCs w:val="24"/>
      <w:lang w:val="en-US" w:eastAsia="zh-CN" w:bidi="ar-SA"/>
    </w:rPr>
  </w:style>
  <w:style w:type="paragraph" w:customStyle="1" w:styleId="159">
    <w:name w:val="Normal_2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0">
    <w:name w:val="Normal_25"/>
    <w:qFormat/>
    <w:uiPriority w:val="0"/>
    <w:rPr>
      <w:rFonts w:ascii="Times New Roman" w:hAnsi="Times New Roman" w:eastAsia="Times New Roman" w:cs="Times New Roman"/>
      <w:sz w:val="24"/>
      <w:szCs w:val="24"/>
      <w:lang w:val="en-US" w:eastAsia="zh-CN" w:bidi="ar-SA"/>
    </w:rPr>
  </w:style>
  <w:style w:type="paragraph" w:customStyle="1" w:styleId="161">
    <w:name w:val="正文_2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2">
    <w:name w:val="正文_2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3">
    <w:name w:val="正文_2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4">
    <w:name w:val="Normal_34"/>
    <w:qFormat/>
    <w:uiPriority w:val="0"/>
    <w:rPr>
      <w:rFonts w:ascii="Times New Roman" w:hAnsi="Times New Roman" w:eastAsia="Times New Roman" w:cs="Times New Roman"/>
      <w:sz w:val="24"/>
      <w:szCs w:val="24"/>
      <w:lang w:val="en-US" w:eastAsia="zh-CN" w:bidi="ar-SA"/>
    </w:rPr>
  </w:style>
  <w:style w:type="paragraph" w:customStyle="1" w:styleId="165">
    <w:name w:val="正文_2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6">
    <w:name w:val="Normal_35"/>
    <w:qFormat/>
    <w:uiPriority w:val="0"/>
    <w:rPr>
      <w:rFonts w:ascii="Times New Roman" w:hAnsi="Times New Roman" w:eastAsia="Times New Roman" w:cs="Times New Roman"/>
      <w:sz w:val="24"/>
      <w:szCs w:val="24"/>
      <w:lang w:val="en-US" w:eastAsia="zh-CN" w:bidi="ar-SA"/>
    </w:rPr>
  </w:style>
  <w:style w:type="paragraph" w:customStyle="1" w:styleId="167">
    <w:name w:val="正文_2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8">
    <w:name w:val="Normal_36"/>
    <w:qFormat/>
    <w:uiPriority w:val="0"/>
    <w:rPr>
      <w:rFonts w:ascii="Times New Roman" w:hAnsi="Times New Roman" w:eastAsia="Times New Roman" w:cs="Times New Roman"/>
      <w:sz w:val="24"/>
      <w:szCs w:val="24"/>
      <w:lang w:val="en-US" w:eastAsia="zh-CN" w:bidi="ar-SA"/>
    </w:rPr>
  </w:style>
  <w:style w:type="paragraph" w:customStyle="1" w:styleId="169">
    <w:name w:val="正文_2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0">
    <w:name w:val="Normal_37"/>
    <w:qFormat/>
    <w:uiPriority w:val="0"/>
    <w:rPr>
      <w:rFonts w:ascii="Times New Roman" w:hAnsi="Times New Roman" w:eastAsia="Times New Roman" w:cs="Times New Roman"/>
      <w:sz w:val="24"/>
      <w:szCs w:val="24"/>
      <w:lang w:val="en-US" w:eastAsia="zh-CN" w:bidi="ar-SA"/>
    </w:rPr>
  </w:style>
  <w:style w:type="paragraph" w:customStyle="1" w:styleId="171">
    <w:name w:val="正文_2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2">
    <w:name w:val="Normal_38"/>
    <w:qFormat/>
    <w:uiPriority w:val="0"/>
    <w:rPr>
      <w:rFonts w:ascii="Times New Roman" w:hAnsi="Times New Roman" w:eastAsia="Times New Roman" w:cs="Times New Roman"/>
      <w:sz w:val="24"/>
      <w:szCs w:val="24"/>
      <w:lang w:val="en-US" w:eastAsia="zh-CN" w:bidi="ar-SA"/>
    </w:rPr>
  </w:style>
  <w:style w:type="paragraph" w:customStyle="1" w:styleId="173">
    <w:name w:val="List Paragraph1"/>
    <w:basedOn w:val="1"/>
    <w:qFormat/>
    <w:uiPriority w:val="0"/>
    <w:pPr>
      <w:ind w:firstLine="420" w:firstLineChars="200"/>
    </w:pPr>
  </w:style>
  <w:style w:type="paragraph" w:customStyle="1" w:styleId="174">
    <w:name w:val="正文_37"/>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5">
    <w:name w:val="表格文字"/>
    <w:basedOn w:val="1"/>
    <w:qFormat/>
    <w:uiPriority w:val="0"/>
    <w:pPr>
      <w:spacing w:before="25" w:after="25"/>
      <w:jc w:val="left"/>
    </w:pPr>
    <w:rPr>
      <w:rFonts w:ascii="Calibri" w:hAnsi="Calibri"/>
      <w:spacing w:val="10"/>
      <w:kern w:val="0"/>
      <w:sz w:val="24"/>
    </w:rPr>
  </w:style>
  <w:style w:type="paragraph" w:customStyle="1" w:styleId="176">
    <w:name w:val="List Paragraph2"/>
    <w:basedOn w:val="1"/>
    <w:qFormat/>
    <w:uiPriority w:val="0"/>
    <w:pPr>
      <w:ind w:firstLine="420" w:firstLineChars="200"/>
    </w:pPr>
    <w:rPr>
      <w:szCs w:val="21"/>
    </w:rPr>
  </w:style>
  <w:style w:type="paragraph" w:customStyle="1" w:styleId="177">
    <w:name w:val="列表段落2"/>
    <w:basedOn w:val="1"/>
    <w:qFormat/>
    <w:uiPriority w:val="0"/>
    <w:pPr>
      <w:ind w:firstLine="420" w:firstLineChars="200"/>
    </w:pPr>
    <w:rPr>
      <w:rFonts w:ascii="Calibri" w:hAnsi="Calibri"/>
      <w:szCs w:val="21"/>
    </w:rPr>
  </w:style>
  <w:style w:type="character" w:customStyle="1" w:styleId="178">
    <w:name w:val="font01"/>
    <w:basedOn w:val="43"/>
    <w:qFormat/>
    <w:uiPriority w:val="0"/>
    <w:rPr>
      <w:rFonts w:hint="eastAsia" w:ascii="宋体" w:hAnsi="宋体" w:eastAsia="宋体" w:cs="宋体"/>
      <w:color w:val="000000"/>
      <w:sz w:val="22"/>
      <w:szCs w:val="22"/>
      <w:u w:val="none"/>
    </w:rPr>
  </w:style>
  <w:style w:type="paragraph" w:customStyle="1" w:styleId="179">
    <w:name w:val="正文 A"/>
    <w:autoRedefine/>
    <w:qFormat/>
    <w:uiPriority w:val="0"/>
    <w:pPr>
      <w:widowControl w:val="0"/>
      <w:spacing w:line="420" w:lineRule="exact"/>
      <w:jc w:val="both"/>
    </w:pPr>
    <w:rPr>
      <w:rFonts w:ascii="宋体" w:hAnsi="宋体" w:eastAsia="宋体" w:cs="Times New Roman"/>
      <w:kern w:val="2"/>
      <w:sz w:val="21"/>
      <w:szCs w:val="21"/>
      <w:lang w:val="en-US" w:eastAsia="zh-CN" w:bidi="ar-SA"/>
    </w:rPr>
  </w:style>
  <w:style w:type="character" w:customStyle="1" w:styleId="180">
    <w:name w:val="未处理的提及1"/>
    <w:basedOn w:val="43"/>
    <w:semiHidden/>
    <w:unhideWhenUsed/>
    <w:qFormat/>
    <w:uiPriority w:val="99"/>
    <w:rPr>
      <w:color w:val="605E5C"/>
      <w:shd w:val="clear" w:color="auto" w:fill="E1DFDD"/>
    </w:rPr>
  </w:style>
  <w:style w:type="paragraph" w:customStyle="1" w:styleId="181">
    <w:name w:val="Table Paragraph"/>
    <w:basedOn w:val="1"/>
    <w:qFormat/>
    <w:uiPriority w:val="1"/>
    <w:rPr>
      <w:rFonts w:ascii="Calibri" w:hAnsi="Calibri"/>
      <w:szCs w:val="21"/>
    </w:rPr>
  </w:style>
  <w:style w:type="character" w:customStyle="1" w:styleId="182">
    <w:name w:val="Unresolved Mention"/>
    <w:basedOn w:val="43"/>
    <w:semiHidden/>
    <w:unhideWhenUsed/>
    <w:qFormat/>
    <w:uiPriority w:val="99"/>
    <w:rPr>
      <w:color w:val="605E5C"/>
      <w:shd w:val="clear" w:color="auto" w:fill="E1DFDD"/>
    </w:rPr>
  </w:style>
  <w:style w:type="character" w:customStyle="1" w:styleId="183">
    <w:name w:val="10"/>
    <w:basedOn w:val="43"/>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69</Pages>
  <Words>21527</Words>
  <Characters>22805</Characters>
  <Lines>109</Lines>
  <Paragraphs>91</Paragraphs>
  <TotalTime>11</TotalTime>
  <ScaleCrop>false</ScaleCrop>
  <LinksUpToDate>false</LinksUpToDate>
  <CharactersWithSpaces>23307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2026-04-22T04:37:00Z</dcterms:created>
  <dc:creator>admin</dc:creator>
  <cp:lastModifiedBy>Supreme</cp:lastModifiedBy>
  <cp:lastPrinted>2025-11-24T00:57:00Z</cp:lastPrinted>
  <dcterms:modified xsi:type="dcterms:W3CDTF">2026-05-11T03:12:03Z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13CB65D365B44FEB8F89B7ECD241FCFE_13</vt:lpwstr>
  </property>
  <property fmtid="{D5CDD505-2E9C-101B-9397-08002B2CF9AE}" pid="4" name="KSOTemplateDocerSaveRecord">
    <vt:lpwstr>eyJoZGlkIjoiZDU1ZDMyODEwNDUyN2FhMTM3Y2FiMjQ2ZDMxOWYzNDkiLCJ1c2VySWQiOiIxMjY3NzEzMTIzIn0=</vt:lpwstr>
  </property>
</Properties>
</file>