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竞争性谈判文件</w:t>
      </w:r>
    </w:p>
    <w:p>
      <w:pPr>
        <w:pStyle w:val="null3"/>
        <w:jc w:val="center"/>
        <w:outlineLvl w:val="0"/>
      </w:pPr>
      <w:r>
        <w:rPr>
          <w:sz w:val="48"/>
          <w:b/>
        </w:rPr>
        <w:t>（货物类）</w:t>
      </w:r>
    </w:p>
    <w:p>
      <w:pPr>
        <w:pStyle w:val="null3"/>
        <w:jc w:val="center"/>
        <w:outlineLvl w:val="2"/>
      </w:pPr>
      <w:r>
        <w:rPr>
          <w:sz w:val="28"/>
          <w:b/>
        </w:rPr>
        <w:t>项目名称：</w:t>
      </w:r>
      <w:r>
        <w:rPr>
          <w:sz w:val="28"/>
          <w:b/>
        </w:rPr>
        <w:t>福州职业技术学院匠心楼网络建设项目(二次)</w:t>
      </w:r>
    </w:p>
    <w:p>
      <w:pPr>
        <w:pStyle w:val="null3"/>
        <w:jc w:val="center"/>
        <w:outlineLvl w:val="2"/>
      </w:pPr>
      <w:r>
        <w:rPr>
          <w:sz w:val="28"/>
          <w:b/>
        </w:rPr>
        <w:t>备案编号：</w:t>
      </w:r>
      <w:r>
        <w:rPr>
          <w:sz w:val="28"/>
          <w:b/>
        </w:rPr>
        <w:t>CGXM-2024-350101-04855[2024]02683</w:t>
      </w:r>
    </w:p>
    <w:p>
      <w:pPr>
        <w:pStyle w:val="null3"/>
        <w:jc w:val="center"/>
        <w:outlineLvl w:val="2"/>
      </w:pPr>
      <w:r>
        <w:rPr>
          <w:sz w:val="28"/>
          <w:b/>
        </w:rPr>
        <w:t>项目编号：</w:t>
      </w:r>
      <w:r>
        <w:rPr>
          <w:sz w:val="28"/>
          <w:b/>
        </w:rPr>
        <w:t>[350101]JJZB[TP]2024004</w:t>
      </w:r>
    </w:p>
    <w:p>
      <w:pPr>
        <w:pStyle w:val="null3"/>
        <w:jc w:val="center"/>
        <w:outlineLvl w:val="2"/>
      </w:pPr>
      <w:r>
        <w:rPr>
          <w:sz w:val="28"/>
          <w:b/>
        </w:rPr>
        <w:t>采购人：</w:t>
      </w:r>
      <w:r>
        <w:rPr>
          <w:sz w:val="28"/>
          <w:b/>
        </w:rPr>
        <w:t>福州职业技术学院</w:t>
      </w:r>
    </w:p>
    <w:p>
      <w:pPr>
        <w:pStyle w:val="null3"/>
        <w:jc w:val="center"/>
        <w:outlineLvl w:val="2"/>
      </w:pPr>
      <w:r>
        <w:rPr>
          <w:sz w:val="28"/>
          <w:b/>
        </w:rPr>
        <w:t>代理机构：</w:t>
      </w:r>
      <w:r>
        <w:rPr>
          <w:sz w:val="28"/>
          <w:b/>
        </w:rPr>
        <w:t>福建杰俊招标代理有限公司</w:t>
      </w:r>
    </w:p>
    <w:p>
      <w:pPr>
        <w:pStyle w:val="null3"/>
        <w:jc w:val="center"/>
        <w:outlineLvl w:val="2"/>
      </w:pPr>
      <w:r>
        <w:rPr>
          <w:sz w:val="28"/>
          <w:b/>
        </w:rPr>
        <w:t>编制时间</w:t>
      </w:r>
      <w:r>
        <w:rPr>
          <w:sz w:val="28"/>
          <w:b/>
        </w:rPr>
        <w:t>：</w:t>
      </w:r>
      <w:r>
        <w:rPr>
          <w:sz w:val="28"/>
          <w:b/>
        </w:rPr>
        <w:t>2024年10月</w:t>
      </w:r>
    </w:p>
    <w:p>
      <w:pPr>
        <w:pStyle w:val="null3"/>
      </w:pPr>
      <w:r>
        <w:rPr/>
        <w:t xml:space="preserve"> </w:t>
        <w:br/>
        <w:br w:type="page"/>
      </w:r>
    </w:p>
    <w:p>
      <w:pPr>
        <w:pStyle w:val="null3"/>
        <w:jc w:val="center"/>
        <w:outlineLvl w:val="1"/>
      </w:pPr>
      <w:r>
        <w:rPr>
          <w:sz w:val="36"/>
          <w:b/>
        </w:rPr>
        <w:t>第一章 采购公告/采购邀请书</w:t>
      </w:r>
    </w:p>
    <w:p>
      <w:pPr>
        <w:pStyle w:val="null3"/>
        <w:jc w:val="center"/>
      </w:pPr>
      <w:r>
        <w:rPr>
          <w:b/>
        </w:rPr>
        <w:t>竞争性谈判采购公告</w:t>
      </w:r>
    </w:p>
    <w:p>
      <w:pPr>
        <w:pStyle w:val="null3"/>
        <w:ind w:firstLine="960"/>
        <w:jc w:val="both"/>
      </w:pPr>
      <w:r>
        <w:rPr/>
        <w:t>福州职业技术学院</w:t>
      </w:r>
      <w:r>
        <w:rPr/>
        <w:t xml:space="preserve"> 已根据政府采购相关法律法规，经相应程序确定采用 竞争性谈判 方式组织 </w:t>
      </w:r>
      <w:r>
        <w:rPr/>
        <w:t>福州职业技术学院匠心楼网络建设项目(二次)</w:t>
      </w:r>
      <w:r>
        <w:rPr/>
        <w:t xml:space="preserve"> 项目（以下简称：“本项目”）的政府采购活动， </w:t>
      </w:r>
      <w:r>
        <w:rPr/>
        <w:t>现欢迎国内合格的供应商前来参加。</w:t>
      </w:r>
      <w:r>
        <w:rPr/>
        <w:t xml:space="preserve"> 本项目由采购人委托 </w:t>
      </w:r>
      <w:r>
        <w:rPr/>
        <w:t>福建杰俊招标代理有限公司</w:t>
      </w:r>
      <w:r>
        <w:rPr/>
        <w:t xml:space="preserve"> 开展竞争性谈判活动。</w:t>
      </w:r>
    </w:p>
    <w:p>
      <w:pPr>
        <w:pStyle w:val="null3"/>
        <w:ind w:firstLine="480"/>
        <w:jc w:val="left"/>
        <w:outlineLvl w:val="2"/>
      </w:pPr>
      <w:r>
        <w:rPr>
          <w:sz w:val="28"/>
          <w:b/>
        </w:rPr>
        <w:t>1.项目名称</w:t>
      </w:r>
      <w:r>
        <w:rPr>
          <w:sz w:val="28"/>
          <w:b/>
        </w:rPr>
        <w:t xml:space="preserve">： </w:t>
      </w:r>
      <w:r>
        <w:rPr>
          <w:sz w:val="28"/>
          <w:b/>
        </w:rPr>
        <w:t>福州职业技术学院匠心楼网络建设项目(二次)</w:t>
      </w:r>
    </w:p>
    <w:p>
      <w:pPr>
        <w:pStyle w:val="null3"/>
        <w:ind w:firstLine="480"/>
        <w:jc w:val="left"/>
        <w:outlineLvl w:val="2"/>
      </w:pPr>
      <w:r>
        <w:rPr>
          <w:sz w:val="28"/>
          <w:b/>
        </w:rPr>
        <w:t>2.备案编号</w:t>
      </w:r>
      <w:r>
        <w:rPr>
          <w:sz w:val="28"/>
          <w:b/>
        </w:rPr>
        <w:t xml:space="preserve">： </w:t>
      </w:r>
      <w:r>
        <w:rPr>
          <w:sz w:val="28"/>
          <w:b/>
        </w:rPr>
        <w:t>CGXM-2024-350101-04855[2024]02683</w:t>
      </w:r>
    </w:p>
    <w:p>
      <w:pPr>
        <w:pStyle w:val="null3"/>
        <w:ind w:firstLine="480"/>
        <w:jc w:val="left"/>
        <w:outlineLvl w:val="2"/>
      </w:pPr>
      <w:r>
        <w:rPr>
          <w:sz w:val="28"/>
          <w:b/>
        </w:rPr>
        <w:t>3.项目编号</w:t>
      </w:r>
      <w:r>
        <w:rPr>
          <w:sz w:val="28"/>
          <w:b/>
        </w:rPr>
        <w:t xml:space="preserve">： </w:t>
      </w:r>
      <w:r>
        <w:rPr>
          <w:sz w:val="28"/>
          <w:b/>
        </w:rPr>
        <w:t>[350101]JJZB[TP]2024004</w:t>
      </w:r>
    </w:p>
    <w:p>
      <w:pPr>
        <w:pStyle w:val="null3"/>
        <w:ind w:firstLine="480"/>
        <w:jc w:val="left"/>
        <w:outlineLvl w:val="2"/>
      </w:pPr>
      <w:r>
        <w:rPr>
          <w:sz w:val="28"/>
          <w:b/>
        </w:rPr>
        <w:t>4.采购内容及要求：</w:t>
      </w:r>
    </w:p>
    <w:p>
      <w:pPr>
        <w:pStyle w:val="null3"/>
        <w:ind w:firstLine="480"/>
        <w:jc w:val="both"/>
      </w:pPr>
      <w:r>
        <w:rPr/>
        <w:t>采购包1：</w:t>
      </w:r>
    </w:p>
    <w:p>
      <w:pPr>
        <w:pStyle w:val="null3"/>
        <w:jc w:val="both"/>
      </w:pPr>
      <w:r>
        <w:rPr/>
        <w:t>采购包预算金额（元）: 970,000.00</w:t>
      </w:r>
    </w:p>
    <w:p>
      <w:pPr>
        <w:pStyle w:val="null3"/>
        <w:jc w:val="both"/>
      </w:pPr>
      <w:r>
        <w:rPr/>
        <w:t>采购包最高限价（元）: 970,000.00</w:t>
      </w:r>
    </w:p>
    <w:p>
      <w:pPr>
        <w:pStyle w:val="null3"/>
        <w:jc w:val="both"/>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both"/>
            </w:pPr>
            <w:r>
              <w:rPr/>
              <w:t>序号</w:t>
            </w:r>
          </w:p>
        </w:tc>
        <w:tc>
          <w:tcPr>
            <w:tcW w:type="dxa" w:w="1187"/>
          </w:tcPr>
          <w:p>
            <w:pPr>
              <w:pStyle w:val="null3"/>
              <w:jc w:val="both"/>
            </w:pPr>
            <w:r>
              <w:rPr/>
              <w:t>标的名称</w:t>
            </w:r>
          </w:p>
        </w:tc>
        <w:tc>
          <w:tcPr>
            <w:tcW w:type="dxa" w:w="1187"/>
          </w:tcPr>
          <w:p>
            <w:pPr>
              <w:pStyle w:val="null3"/>
              <w:jc w:val="both"/>
            </w:pPr>
            <w:r>
              <w:rPr/>
              <w:t>数量</w:t>
            </w:r>
          </w:p>
        </w:tc>
        <w:tc>
          <w:tcPr>
            <w:tcW w:type="dxa" w:w="1187"/>
          </w:tcPr>
          <w:p>
            <w:pPr>
              <w:pStyle w:val="null3"/>
              <w:jc w:val="both"/>
            </w:pPr>
            <w:r>
              <w:rPr/>
              <w:t>标的金额 （元）</w:t>
            </w:r>
          </w:p>
        </w:tc>
        <w:tc>
          <w:tcPr>
            <w:tcW w:type="dxa" w:w="1187"/>
          </w:tcPr>
          <w:p>
            <w:pPr>
              <w:pStyle w:val="null3"/>
              <w:jc w:val="both"/>
            </w:pPr>
            <w:r>
              <w:rPr/>
              <w:t>计量单位</w:t>
            </w:r>
          </w:p>
        </w:tc>
        <w:tc>
          <w:tcPr>
            <w:tcW w:type="dxa" w:w="1187"/>
          </w:tcPr>
          <w:p>
            <w:pPr>
              <w:pStyle w:val="null3"/>
              <w:jc w:val="both"/>
            </w:pPr>
            <w:r>
              <w:rPr/>
              <w:t>所属行业</w:t>
            </w:r>
          </w:p>
        </w:tc>
        <w:tc>
          <w:tcPr>
            <w:tcW w:type="dxa" w:w="1187"/>
          </w:tcPr>
          <w:p>
            <w:pPr>
              <w:pStyle w:val="null3"/>
              <w:jc w:val="both"/>
            </w:pPr>
            <w:r>
              <w:rPr/>
              <w:t>是否允许进口产品</w:t>
            </w:r>
          </w:p>
        </w:tc>
      </w:tr>
      <w:tr>
        <w:tc>
          <w:tcPr>
            <w:tcW w:type="dxa" w:w="1187"/>
          </w:tcPr>
          <w:p>
            <w:pPr>
              <w:pStyle w:val="null3"/>
              <w:jc w:val="both"/>
            </w:pPr>
            <w:r>
              <w:rPr/>
              <w:t>1</w:t>
            </w:r>
          </w:p>
        </w:tc>
        <w:tc>
          <w:tcPr>
            <w:tcW w:type="dxa" w:w="1187"/>
          </w:tcPr>
          <w:p>
            <w:pPr>
              <w:pStyle w:val="null3"/>
              <w:jc w:val="both"/>
            </w:pPr>
            <w:r>
              <w:rPr/>
              <w:t>放装AP</w:t>
            </w:r>
          </w:p>
        </w:tc>
        <w:tc>
          <w:tcPr>
            <w:tcW w:type="dxa" w:w="1187"/>
          </w:tcPr>
          <w:p>
            <w:pPr>
              <w:pStyle w:val="null3"/>
              <w:jc w:val="right"/>
            </w:pPr>
            <w:r>
              <w:rPr/>
              <w:t>123.00</w:t>
            </w:r>
          </w:p>
        </w:tc>
        <w:tc>
          <w:tcPr>
            <w:tcW w:type="dxa" w:w="1187"/>
          </w:tcPr>
          <w:p>
            <w:pPr>
              <w:pStyle w:val="null3"/>
              <w:jc w:val="right"/>
            </w:pPr>
            <w:r>
              <w:rPr/>
              <w:t>178,350.00</w:t>
            </w:r>
          </w:p>
        </w:tc>
        <w:tc>
          <w:tcPr>
            <w:tcW w:type="dxa" w:w="1187"/>
          </w:tcPr>
          <w:p>
            <w:pPr>
              <w:pStyle w:val="null3"/>
              <w:jc w:val="both"/>
            </w:pPr>
            <w:r>
              <w:rPr/>
              <w:t>台</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2</w:t>
            </w:r>
          </w:p>
        </w:tc>
        <w:tc>
          <w:tcPr>
            <w:tcW w:type="dxa" w:w="1187"/>
          </w:tcPr>
          <w:p>
            <w:pPr>
              <w:pStyle w:val="null3"/>
              <w:jc w:val="both"/>
            </w:pPr>
            <w:r>
              <w:rPr/>
              <w:t>安视光盒</w:t>
            </w:r>
          </w:p>
        </w:tc>
        <w:tc>
          <w:tcPr>
            <w:tcW w:type="dxa" w:w="1187"/>
          </w:tcPr>
          <w:p>
            <w:pPr>
              <w:pStyle w:val="null3"/>
              <w:jc w:val="right"/>
            </w:pPr>
            <w:r>
              <w:rPr/>
              <w:t>99.00</w:t>
            </w:r>
          </w:p>
        </w:tc>
        <w:tc>
          <w:tcPr>
            <w:tcW w:type="dxa" w:w="1187"/>
          </w:tcPr>
          <w:p>
            <w:pPr>
              <w:pStyle w:val="null3"/>
              <w:jc w:val="right"/>
            </w:pPr>
            <w:r>
              <w:rPr/>
              <w:t>267,300.00</w:t>
            </w:r>
          </w:p>
        </w:tc>
        <w:tc>
          <w:tcPr>
            <w:tcW w:type="dxa" w:w="1187"/>
          </w:tcPr>
          <w:p>
            <w:pPr>
              <w:pStyle w:val="null3"/>
              <w:jc w:val="both"/>
            </w:pPr>
            <w:r>
              <w:rPr/>
              <w:t>台</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3</w:t>
            </w:r>
          </w:p>
        </w:tc>
        <w:tc>
          <w:tcPr>
            <w:tcW w:type="dxa" w:w="1187"/>
          </w:tcPr>
          <w:p>
            <w:pPr>
              <w:pStyle w:val="null3"/>
              <w:jc w:val="both"/>
            </w:pPr>
            <w:r>
              <w:rPr/>
              <w:t>24口光主机</w:t>
            </w:r>
          </w:p>
        </w:tc>
        <w:tc>
          <w:tcPr>
            <w:tcW w:type="dxa" w:w="1187"/>
          </w:tcPr>
          <w:p>
            <w:pPr>
              <w:pStyle w:val="null3"/>
              <w:jc w:val="right"/>
            </w:pPr>
            <w:r>
              <w:rPr/>
              <w:t>10.00</w:t>
            </w:r>
          </w:p>
        </w:tc>
        <w:tc>
          <w:tcPr>
            <w:tcW w:type="dxa" w:w="1187"/>
          </w:tcPr>
          <w:p>
            <w:pPr>
              <w:pStyle w:val="null3"/>
              <w:jc w:val="right"/>
            </w:pPr>
            <w:r>
              <w:rPr/>
              <w:t>90,800.00</w:t>
            </w:r>
          </w:p>
        </w:tc>
        <w:tc>
          <w:tcPr>
            <w:tcW w:type="dxa" w:w="1187"/>
          </w:tcPr>
          <w:p>
            <w:pPr>
              <w:pStyle w:val="null3"/>
              <w:jc w:val="both"/>
            </w:pPr>
            <w:r>
              <w:rPr/>
              <w:t>台</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4</w:t>
            </w:r>
          </w:p>
        </w:tc>
        <w:tc>
          <w:tcPr>
            <w:tcW w:type="dxa" w:w="1187"/>
          </w:tcPr>
          <w:p>
            <w:pPr>
              <w:pStyle w:val="null3"/>
              <w:jc w:val="both"/>
            </w:pPr>
            <w:r>
              <w:rPr/>
              <w:t>楼宇汇聚数据传输单元</w:t>
            </w:r>
          </w:p>
        </w:tc>
        <w:tc>
          <w:tcPr>
            <w:tcW w:type="dxa" w:w="1187"/>
          </w:tcPr>
          <w:p>
            <w:pPr>
              <w:pStyle w:val="null3"/>
              <w:jc w:val="right"/>
            </w:pPr>
            <w:r>
              <w:rPr/>
              <w:t>1.00</w:t>
            </w:r>
          </w:p>
        </w:tc>
        <w:tc>
          <w:tcPr>
            <w:tcW w:type="dxa" w:w="1187"/>
          </w:tcPr>
          <w:p>
            <w:pPr>
              <w:pStyle w:val="null3"/>
              <w:jc w:val="right"/>
            </w:pPr>
            <w:r>
              <w:rPr/>
              <w:t>19,500.00</w:t>
            </w:r>
          </w:p>
        </w:tc>
        <w:tc>
          <w:tcPr>
            <w:tcW w:type="dxa" w:w="1187"/>
          </w:tcPr>
          <w:p>
            <w:pPr>
              <w:pStyle w:val="null3"/>
              <w:jc w:val="both"/>
            </w:pPr>
            <w:r>
              <w:rPr/>
              <w:t>台</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5</w:t>
            </w:r>
          </w:p>
        </w:tc>
        <w:tc>
          <w:tcPr>
            <w:tcW w:type="dxa" w:w="1187"/>
          </w:tcPr>
          <w:p>
            <w:pPr>
              <w:pStyle w:val="null3"/>
              <w:jc w:val="both"/>
            </w:pPr>
            <w:r>
              <w:rPr/>
              <w:t>数据传输光盒</w:t>
            </w:r>
          </w:p>
        </w:tc>
        <w:tc>
          <w:tcPr>
            <w:tcW w:type="dxa" w:w="1187"/>
          </w:tcPr>
          <w:p>
            <w:pPr>
              <w:pStyle w:val="null3"/>
              <w:jc w:val="right"/>
            </w:pPr>
            <w:r>
              <w:rPr/>
              <w:t>12.00</w:t>
            </w:r>
          </w:p>
        </w:tc>
        <w:tc>
          <w:tcPr>
            <w:tcW w:type="dxa" w:w="1187"/>
          </w:tcPr>
          <w:p>
            <w:pPr>
              <w:pStyle w:val="null3"/>
              <w:jc w:val="right"/>
            </w:pPr>
            <w:r>
              <w:rPr/>
              <w:t>26,400.00</w:t>
            </w:r>
          </w:p>
        </w:tc>
        <w:tc>
          <w:tcPr>
            <w:tcW w:type="dxa" w:w="1187"/>
          </w:tcPr>
          <w:p>
            <w:pPr>
              <w:pStyle w:val="null3"/>
              <w:jc w:val="both"/>
            </w:pPr>
            <w:r>
              <w:rPr/>
              <w:t>台</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6</w:t>
            </w:r>
          </w:p>
        </w:tc>
        <w:tc>
          <w:tcPr>
            <w:tcW w:type="dxa" w:w="1187"/>
          </w:tcPr>
          <w:p>
            <w:pPr>
              <w:pStyle w:val="null3"/>
              <w:jc w:val="both"/>
            </w:pPr>
            <w:r>
              <w:rPr/>
              <w:t>千兆光模块</w:t>
            </w:r>
          </w:p>
        </w:tc>
        <w:tc>
          <w:tcPr>
            <w:tcW w:type="dxa" w:w="1187"/>
          </w:tcPr>
          <w:p>
            <w:pPr>
              <w:pStyle w:val="null3"/>
              <w:jc w:val="right"/>
            </w:pPr>
            <w:r>
              <w:rPr/>
              <w:t>222.00</w:t>
            </w:r>
          </w:p>
        </w:tc>
        <w:tc>
          <w:tcPr>
            <w:tcW w:type="dxa" w:w="1187"/>
          </w:tcPr>
          <w:p>
            <w:pPr>
              <w:pStyle w:val="null3"/>
              <w:jc w:val="right"/>
            </w:pPr>
            <w:r>
              <w:rPr/>
              <w:t>26,640.00</w:t>
            </w:r>
          </w:p>
        </w:tc>
        <w:tc>
          <w:tcPr>
            <w:tcW w:type="dxa" w:w="1187"/>
          </w:tcPr>
          <w:p>
            <w:pPr>
              <w:pStyle w:val="null3"/>
              <w:jc w:val="both"/>
            </w:pPr>
            <w:r>
              <w:rPr/>
              <w:t>个</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7</w:t>
            </w:r>
          </w:p>
        </w:tc>
        <w:tc>
          <w:tcPr>
            <w:tcW w:type="dxa" w:w="1187"/>
          </w:tcPr>
          <w:p>
            <w:pPr>
              <w:pStyle w:val="null3"/>
              <w:jc w:val="both"/>
            </w:pPr>
            <w:r>
              <w:rPr/>
              <w:t>万兆光模块</w:t>
            </w:r>
          </w:p>
        </w:tc>
        <w:tc>
          <w:tcPr>
            <w:tcW w:type="dxa" w:w="1187"/>
          </w:tcPr>
          <w:p>
            <w:pPr>
              <w:pStyle w:val="null3"/>
              <w:jc w:val="right"/>
            </w:pPr>
            <w:r>
              <w:rPr/>
              <w:t>22.00</w:t>
            </w:r>
          </w:p>
        </w:tc>
        <w:tc>
          <w:tcPr>
            <w:tcW w:type="dxa" w:w="1187"/>
          </w:tcPr>
          <w:p>
            <w:pPr>
              <w:pStyle w:val="null3"/>
              <w:jc w:val="right"/>
            </w:pPr>
            <w:r>
              <w:rPr/>
              <w:t>4,840.00</w:t>
            </w:r>
          </w:p>
        </w:tc>
        <w:tc>
          <w:tcPr>
            <w:tcW w:type="dxa" w:w="1187"/>
          </w:tcPr>
          <w:p>
            <w:pPr>
              <w:pStyle w:val="null3"/>
              <w:jc w:val="both"/>
            </w:pPr>
            <w:r>
              <w:rPr/>
              <w:t>个</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8</w:t>
            </w:r>
          </w:p>
        </w:tc>
        <w:tc>
          <w:tcPr>
            <w:tcW w:type="dxa" w:w="1187"/>
          </w:tcPr>
          <w:p>
            <w:pPr>
              <w:pStyle w:val="null3"/>
              <w:jc w:val="both"/>
            </w:pPr>
            <w:r>
              <w:rPr/>
              <w:t>智能网络管理中心</w:t>
            </w:r>
          </w:p>
        </w:tc>
        <w:tc>
          <w:tcPr>
            <w:tcW w:type="dxa" w:w="1187"/>
          </w:tcPr>
          <w:p>
            <w:pPr>
              <w:pStyle w:val="null3"/>
              <w:jc w:val="right"/>
            </w:pPr>
            <w:r>
              <w:rPr/>
              <w:t>1.00</w:t>
            </w:r>
          </w:p>
        </w:tc>
        <w:tc>
          <w:tcPr>
            <w:tcW w:type="dxa" w:w="1187"/>
          </w:tcPr>
          <w:p>
            <w:pPr>
              <w:pStyle w:val="null3"/>
              <w:jc w:val="right"/>
            </w:pPr>
            <w:r>
              <w:rPr/>
              <w:t>53,430.00</w:t>
            </w:r>
          </w:p>
        </w:tc>
        <w:tc>
          <w:tcPr>
            <w:tcW w:type="dxa" w:w="1187"/>
          </w:tcPr>
          <w:p>
            <w:pPr>
              <w:pStyle w:val="null3"/>
              <w:jc w:val="both"/>
            </w:pPr>
            <w:r>
              <w:rPr/>
              <w:t>台</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9</w:t>
            </w:r>
          </w:p>
        </w:tc>
        <w:tc>
          <w:tcPr>
            <w:tcW w:type="dxa" w:w="1187"/>
          </w:tcPr>
          <w:p>
            <w:pPr>
              <w:pStyle w:val="null3"/>
              <w:jc w:val="both"/>
            </w:pPr>
            <w:r>
              <w:rPr/>
              <w:t>AP接入授权</w:t>
            </w:r>
          </w:p>
        </w:tc>
        <w:tc>
          <w:tcPr>
            <w:tcW w:type="dxa" w:w="1187"/>
          </w:tcPr>
          <w:p>
            <w:pPr>
              <w:pStyle w:val="null3"/>
              <w:jc w:val="right"/>
            </w:pPr>
            <w:r>
              <w:rPr/>
              <w:t>91.00</w:t>
            </w:r>
          </w:p>
        </w:tc>
        <w:tc>
          <w:tcPr>
            <w:tcW w:type="dxa" w:w="1187"/>
          </w:tcPr>
          <w:p>
            <w:pPr>
              <w:pStyle w:val="null3"/>
              <w:jc w:val="right"/>
            </w:pPr>
            <w:r>
              <w:rPr/>
              <w:t>13,650.00</w:t>
            </w:r>
          </w:p>
        </w:tc>
        <w:tc>
          <w:tcPr>
            <w:tcW w:type="dxa" w:w="1187"/>
          </w:tcPr>
          <w:p>
            <w:pPr>
              <w:pStyle w:val="null3"/>
              <w:jc w:val="both"/>
            </w:pPr>
            <w:r>
              <w:rPr/>
              <w:t>套</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10</w:t>
            </w:r>
          </w:p>
        </w:tc>
        <w:tc>
          <w:tcPr>
            <w:tcW w:type="dxa" w:w="1187"/>
          </w:tcPr>
          <w:p>
            <w:pPr>
              <w:pStyle w:val="null3"/>
              <w:jc w:val="both"/>
            </w:pPr>
            <w:r>
              <w:rPr/>
              <w:t>光盒接入授权</w:t>
            </w:r>
          </w:p>
        </w:tc>
        <w:tc>
          <w:tcPr>
            <w:tcW w:type="dxa" w:w="1187"/>
          </w:tcPr>
          <w:p>
            <w:pPr>
              <w:pStyle w:val="null3"/>
              <w:jc w:val="right"/>
            </w:pPr>
            <w:r>
              <w:rPr/>
              <w:t>90.00</w:t>
            </w:r>
          </w:p>
        </w:tc>
        <w:tc>
          <w:tcPr>
            <w:tcW w:type="dxa" w:w="1187"/>
          </w:tcPr>
          <w:p>
            <w:pPr>
              <w:pStyle w:val="null3"/>
              <w:jc w:val="right"/>
            </w:pPr>
            <w:r>
              <w:rPr/>
              <w:t>13,500.00</w:t>
            </w:r>
          </w:p>
        </w:tc>
        <w:tc>
          <w:tcPr>
            <w:tcW w:type="dxa" w:w="1187"/>
          </w:tcPr>
          <w:p>
            <w:pPr>
              <w:pStyle w:val="null3"/>
              <w:jc w:val="both"/>
            </w:pPr>
            <w:r>
              <w:rPr/>
              <w:t>套</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11</w:t>
            </w:r>
          </w:p>
        </w:tc>
        <w:tc>
          <w:tcPr>
            <w:tcW w:type="dxa" w:w="1187"/>
          </w:tcPr>
          <w:p>
            <w:pPr>
              <w:pStyle w:val="null3"/>
              <w:jc w:val="both"/>
            </w:pPr>
            <w:r>
              <w:rPr/>
              <w:t>2芯光纤</w:t>
            </w:r>
          </w:p>
        </w:tc>
        <w:tc>
          <w:tcPr>
            <w:tcW w:type="dxa" w:w="1187"/>
          </w:tcPr>
          <w:p>
            <w:pPr>
              <w:pStyle w:val="null3"/>
              <w:jc w:val="right"/>
            </w:pPr>
            <w:r>
              <w:rPr/>
              <w:t>22,000.00</w:t>
            </w:r>
          </w:p>
        </w:tc>
        <w:tc>
          <w:tcPr>
            <w:tcW w:type="dxa" w:w="1187"/>
          </w:tcPr>
          <w:p>
            <w:pPr>
              <w:pStyle w:val="null3"/>
              <w:jc w:val="right"/>
            </w:pPr>
            <w:r>
              <w:rPr/>
              <w:t>99,000.00</w:t>
            </w:r>
          </w:p>
        </w:tc>
        <w:tc>
          <w:tcPr>
            <w:tcW w:type="dxa" w:w="1187"/>
          </w:tcPr>
          <w:p>
            <w:pPr>
              <w:pStyle w:val="null3"/>
              <w:jc w:val="both"/>
            </w:pPr>
            <w:r>
              <w:rPr/>
              <w:t>米</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12</w:t>
            </w:r>
          </w:p>
        </w:tc>
        <w:tc>
          <w:tcPr>
            <w:tcW w:type="dxa" w:w="1187"/>
          </w:tcPr>
          <w:p>
            <w:pPr>
              <w:pStyle w:val="null3"/>
              <w:jc w:val="both"/>
            </w:pPr>
            <w:r>
              <w:rPr/>
              <w:t>4芯光缆</w:t>
            </w:r>
          </w:p>
        </w:tc>
        <w:tc>
          <w:tcPr>
            <w:tcW w:type="dxa" w:w="1187"/>
          </w:tcPr>
          <w:p>
            <w:pPr>
              <w:pStyle w:val="null3"/>
              <w:jc w:val="right"/>
            </w:pPr>
            <w:r>
              <w:rPr/>
              <w:t>1,900.00</w:t>
            </w:r>
          </w:p>
        </w:tc>
        <w:tc>
          <w:tcPr>
            <w:tcW w:type="dxa" w:w="1187"/>
          </w:tcPr>
          <w:p>
            <w:pPr>
              <w:pStyle w:val="null3"/>
              <w:jc w:val="right"/>
            </w:pPr>
            <w:r>
              <w:rPr/>
              <w:t>9,500.00</w:t>
            </w:r>
          </w:p>
        </w:tc>
        <w:tc>
          <w:tcPr>
            <w:tcW w:type="dxa" w:w="1187"/>
          </w:tcPr>
          <w:p>
            <w:pPr>
              <w:pStyle w:val="null3"/>
              <w:jc w:val="both"/>
            </w:pPr>
            <w:r>
              <w:rPr/>
              <w:t>米</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13</w:t>
            </w:r>
          </w:p>
        </w:tc>
        <w:tc>
          <w:tcPr>
            <w:tcW w:type="dxa" w:w="1187"/>
          </w:tcPr>
          <w:p>
            <w:pPr>
              <w:pStyle w:val="null3"/>
              <w:jc w:val="both"/>
            </w:pPr>
            <w:r>
              <w:rPr/>
              <w:t>12芯光缆</w:t>
            </w:r>
          </w:p>
        </w:tc>
        <w:tc>
          <w:tcPr>
            <w:tcW w:type="dxa" w:w="1187"/>
          </w:tcPr>
          <w:p>
            <w:pPr>
              <w:pStyle w:val="null3"/>
              <w:jc w:val="right"/>
            </w:pPr>
            <w:r>
              <w:rPr/>
              <w:t>1,500.00</w:t>
            </w:r>
          </w:p>
        </w:tc>
        <w:tc>
          <w:tcPr>
            <w:tcW w:type="dxa" w:w="1187"/>
          </w:tcPr>
          <w:p>
            <w:pPr>
              <w:pStyle w:val="null3"/>
              <w:jc w:val="right"/>
            </w:pPr>
            <w:r>
              <w:rPr/>
              <w:t>15,000.00</w:t>
            </w:r>
          </w:p>
        </w:tc>
        <w:tc>
          <w:tcPr>
            <w:tcW w:type="dxa" w:w="1187"/>
          </w:tcPr>
          <w:p>
            <w:pPr>
              <w:pStyle w:val="null3"/>
              <w:jc w:val="both"/>
            </w:pPr>
            <w:r>
              <w:rPr/>
              <w:t>米</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14</w:t>
            </w:r>
          </w:p>
        </w:tc>
        <w:tc>
          <w:tcPr>
            <w:tcW w:type="dxa" w:w="1187"/>
          </w:tcPr>
          <w:p>
            <w:pPr>
              <w:pStyle w:val="null3"/>
              <w:jc w:val="both"/>
            </w:pPr>
            <w:r>
              <w:rPr/>
              <w:t>电源线</w:t>
            </w:r>
          </w:p>
        </w:tc>
        <w:tc>
          <w:tcPr>
            <w:tcW w:type="dxa" w:w="1187"/>
          </w:tcPr>
          <w:p>
            <w:pPr>
              <w:pStyle w:val="null3"/>
              <w:jc w:val="right"/>
            </w:pPr>
            <w:r>
              <w:rPr/>
              <w:t>3,000.00</w:t>
            </w:r>
          </w:p>
        </w:tc>
        <w:tc>
          <w:tcPr>
            <w:tcW w:type="dxa" w:w="1187"/>
          </w:tcPr>
          <w:p>
            <w:pPr>
              <w:pStyle w:val="null3"/>
              <w:jc w:val="right"/>
            </w:pPr>
            <w:r>
              <w:rPr/>
              <w:t>30,000.00</w:t>
            </w:r>
          </w:p>
        </w:tc>
        <w:tc>
          <w:tcPr>
            <w:tcW w:type="dxa" w:w="1187"/>
          </w:tcPr>
          <w:p>
            <w:pPr>
              <w:pStyle w:val="null3"/>
              <w:jc w:val="both"/>
            </w:pPr>
            <w:r>
              <w:rPr/>
              <w:t>米</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15</w:t>
            </w:r>
          </w:p>
        </w:tc>
        <w:tc>
          <w:tcPr>
            <w:tcW w:type="dxa" w:w="1187"/>
          </w:tcPr>
          <w:p>
            <w:pPr>
              <w:pStyle w:val="null3"/>
              <w:jc w:val="both"/>
            </w:pPr>
            <w:r>
              <w:rPr/>
              <w:t>六类网络线</w:t>
            </w:r>
          </w:p>
        </w:tc>
        <w:tc>
          <w:tcPr>
            <w:tcW w:type="dxa" w:w="1187"/>
          </w:tcPr>
          <w:p>
            <w:pPr>
              <w:pStyle w:val="null3"/>
              <w:jc w:val="right"/>
            </w:pPr>
            <w:r>
              <w:rPr/>
              <w:t>15.00</w:t>
            </w:r>
          </w:p>
        </w:tc>
        <w:tc>
          <w:tcPr>
            <w:tcW w:type="dxa" w:w="1187"/>
          </w:tcPr>
          <w:p>
            <w:pPr>
              <w:pStyle w:val="null3"/>
              <w:jc w:val="right"/>
            </w:pPr>
            <w:r>
              <w:rPr/>
              <w:t>14,700.00</w:t>
            </w:r>
          </w:p>
        </w:tc>
        <w:tc>
          <w:tcPr>
            <w:tcW w:type="dxa" w:w="1187"/>
          </w:tcPr>
          <w:p>
            <w:pPr>
              <w:pStyle w:val="null3"/>
              <w:jc w:val="both"/>
            </w:pPr>
            <w:r>
              <w:rPr/>
              <w:t>箱</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16</w:t>
            </w:r>
          </w:p>
        </w:tc>
        <w:tc>
          <w:tcPr>
            <w:tcW w:type="dxa" w:w="1187"/>
          </w:tcPr>
          <w:p>
            <w:pPr>
              <w:pStyle w:val="null3"/>
              <w:jc w:val="both"/>
            </w:pPr>
            <w:r>
              <w:rPr/>
              <w:t>4 口熔接盒</w:t>
            </w:r>
          </w:p>
        </w:tc>
        <w:tc>
          <w:tcPr>
            <w:tcW w:type="dxa" w:w="1187"/>
          </w:tcPr>
          <w:p>
            <w:pPr>
              <w:pStyle w:val="null3"/>
              <w:jc w:val="right"/>
            </w:pPr>
            <w:r>
              <w:rPr/>
              <w:t>111.00</w:t>
            </w:r>
          </w:p>
        </w:tc>
        <w:tc>
          <w:tcPr>
            <w:tcW w:type="dxa" w:w="1187"/>
          </w:tcPr>
          <w:p>
            <w:pPr>
              <w:pStyle w:val="null3"/>
              <w:jc w:val="right"/>
            </w:pPr>
            <w:r>
              <w:rPr/>
              <w:t>2,220.00</w:t>
            </w:r>
          </w:p>
        </w:tc>
        <w:tc>
          <w:tcPr>
            <w:tcW w:type="dxa" w:w="1187"/>
          </w:tcPr>
          <w:p>
            <w:pPr>
              <w:pStyle w:val="null3"/>
              <w:jc w:val="both"/>
            </w:pPr>
            <w:r>
              <w:rPr/>
              <w:t>个</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17</w:t>
            </w:r>
          </w:p>
        </w:tc>
        <w:tc>
          <w:tcPr>
            <w:tcW w:type="dxa" w:w="1187"/>
          </w:tcPr>
          <w:p>
            <w:pPr>
              <w:pStyle w:val="null3"/>
              <w:jc w:val="both"/>
            </w:pPr>
            <w:r>
              <w:rPr/>
              <w:t>24口熔接盒</w:t>
            </w:r>
          </w:p>
        </w:tc>
        <w:tc>
          <w:tcPr>
            <w:tcW w:type="dxa" w:w="1187"/>
          </w:tcPr>
          <w:p>
            <w:pPr>
              <w:pStyle w:val="null3"/>
              <w:jc w:val="right"/>
            </w:pPr>
            <w:r>
              <w:rPr/>
              <w:t>15.00</w:t>
            </w:r>
          </w:p>
        </w:tc>
        <w:tc>
          <w:tcPr>
            <w:tcW w:type="dxa" w:w="1187"/>
          </w:tcPr>
          <w:p>
            <w:pPr>
              <w:pStyle w:val="null3"/>
              <w:jc w:val="right"/>
            </w:pPr>
            <w:r>
              <w:rPr/>
              <w:t>900.00</w:t>
            </w:r>
          </w:p>
        </w:tc>
        <w:tc>
          <w:tcPr>
            <w:tcW w:type="dxa" w:w="1187"/>
          </w:tcPr>
          <w:p>
            <w:pPr>
              <w:pStyle w:val="null3"/>
              <w:jc w:val="both"/>
            </w:pPr>
            <w:r>
              <w:rPr/>
              <w:t>个</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18</w:t>
            </w:r>
          </w:p>
        </w:tc>
        <w:tc>
          <w:tcPr>
            <w:tcW w:type="dxa" w:w="1187"/>
          </w:tcPr>
          <w:p>
            <w:pPr>
              <w:pStyle w:val="null3"/>
              <w:jc w:val="both"/>
            </w:pPr>
            <w:r>
              <w:rPr/>
              <w:t>光纤跳纤</w:t>
            </w:r>
          </w:p>
        </w:tc>
        <w:tc>
          <w:tcPr>
            <w:tcW w:type="dxa" w:w="1187"/>
          </w:tcPr>
          <w:p>
            <w:pPr>
              <w:pStyle w:val="null3"/>
              <w:jc w:val="right"/>
            </w:pPr>
            <w:r>
              <w:rPr/>
              <w:t>258.00</w:t>
            </w:r>
          </w:p>
        </w:tc>
        <w:tc>
          <w:tcPr>
            <w:tcW w:type="dxa" w:w="1187"/>
          </w:tcPr>
          <w:p>
            <w:pPr>
              <w:pStyle w:val="null3"/>
              <w:jc w:val="right"/>
            </w:pPr>
            <w:r>
              <w:rPr/>
              <w:t>3,870.00</w:t>
            </w:r>
          </w:p>
        </w:tc>
        <w:tc>
          <w:tcPr>
            <w:tcW w:type="dxa" w:w="1187"/>
          </w:tcPr>
          <w:p>
            <w:pPr>
              <w:pStyle w:val="null3"/>
              <w:jc w:val="both"/>
            </w:pPr>
            <w:r>
              <w:rPr/>
              <w:t>条</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19</w:t>
            </w:r>
          </w:p>
        </w:tc>
        <w:tc>
          <w:tcPr>
            <w:tcW w:type="dxa" w:w="1187"/>
          </w:tcPr>
          <w:p>
            <w:pPr>
              <w:pStyle w:val="null3"/>
              <w:jc w:val="both"/>
            </w:pPr>
            <w:r>
              <w:rPr/>
              <w:t>尾纤</w:t>
            </w:r>
          </w:p>
        </w:tc>
        <w:tc>
          <w:tcPr>
            <w:tcW w:type="dxa" w:w="1187"/>
          </w:tcPr>
          <w:p>
            <w:pPr>
              <w:pStyle w:val="null3"/>
              <w:jc w:val="right"/>
            </w:pPr>
            <w:r>
              <w:rPr/>
              <w:t>516.00</w:t>
            </w:r>
          </w:p>
        </w:tc>
        <w:tc>
          <w:tcPr>
            <w:tcW w:type="dxa" w:w="1187"/>
          </w:tcPr>
          <w:p>
            <w:pPr>
              <w:pStyle w:val="null3"/>
              <w:jc w:val="right"/>
            </w:pPr>
            <w:r>
              <w:rPr/>
              <w:t>5,160.00</w:t>
            </w:r>
          </w:p>
        </w:tc>
        <w:tc>
          <w:tcPr>
            <w:tcW w:type="dxa" w:w="1187"/>
          </w:tcPr>
          <w:p>
            <w:pPr>
              <w:pStyle w:val="null3"/>
              <w:jc w:val="both"/>
            </w:pPr>
            <w:r>
              <w:rPr/>
              <w:t>条</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20</w:t>
            </w:r>
          </w:p>
        </w:tc>
        <w:tc>
          <w:tcPr>
            <w:tcW w:type="dxa" w:w="1187"/>
          </w:tcPr>
          <w:p>
            <w:pPr>
              <w:pStyle w:val="null3"/>
              <w:jc w:val="both"/>
            </w:pPr>
            <w:r>
              <w:rPr/>
              <w:t>耦合器</w:t>
            </w:r>
          </w:p>
        </w:tc>
        <w:tc>
          <w:tcPr>
            <w:tcW w:type="dxa" w:w="1187"/>
          </w:tcPr>
          <w:p>
            <w:pPr>
              <w:pStyle w:val="null3"/>
              <w:jc w:val="right"/>
            </w:pPr>
            <w:r>
              <w:rPr/>
              <w:t>516.00</w:t>
            </w:r>
          </w:p>
        </w:tc>
        <w:tc>
          <w:tcPr>
            <w:tcW w:type="dxa" w:w="1187"/>
          </w:tcPr>
          <w:p>
            <w:pPr>
              <w:pStyle w:val="null3"/>
              <w:jc w:val="right"/>
            </w:pPr>
            <w:r>
              <w:rPr/>
              <w:t>1,290.00</w:t>
            </w:r>
          </w:p>
        </w:tc>
        <w:tc>
          <w:tcPr>
            <w:tcW w:type="dxa" w:w="1187"/>
          </w:tcPr>
          <w:p>
            <w:pPr>
              <w:pStyle w:val="null3"/>
              <w:jc w:val="both"/>
            </w:pPr>
            <w:r>
              <w:rPr/>
              <w:t>个</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21</w:t>
            </w:r>
          </w:p>
        </w:tc>
        <w:tc>
          <w:tcPr>
            <w:tcW w:type="dxa" w:w="1187"/>
          </w:tcPr>
          <w:p>
            <w:pPr>
              <w:pStyle w:val="null3"/>
              <w:jc w:val="both"/>
            </w:pPr>
            <w:r>
              <w:rPr/>
              <w:t>光纤熔接</w:t>
            </w:r>
          </w:p>
        </w:tc>
        <w:tc>
          <w:tcPr>
            <w:tcW w:type="dxa" w:w="1187"/>
          </w:tcPr>
          <w:p>
            <w:pPr>
              <w:pStyle w:val="null3"/>
              <w:jc w:val="right"/>
            </w:pPr>
            <w:r>
              <w:rPr/>
              <w:t>516.00</w:t>
            </w:r>
          </w:p>
        </w:tc>
        <w:tc>
          <w:tcPr>
            <w:tcW w:type="dxa" w:w="1187"/>
          </w:tcPr>
          <w:p>
            <w:pPr>
              <w:pStyle w:val="null3"/>
              <w:jc w:val="right"/>
            </w:pPr>
            <w:r>
              <w:rPr/>
              <w:t>12,900.00</w:t>
            </w:r>
          </w:p>
        </w:tc>
        <w:tc>
          <w:tcPr>
            <w:tcW w:type="dxa" w:w="1187"/>
          </w:tcPr>
          <w:p>
            <w:pPr>
              <w:pStyle w:val="null3"/>
              <w:jc w:val="both"/>
            </w:pPr>
            <w:r>
              <w:rPr/>
              <w:t>芯</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22</w:t>
            </w:r>
          </w:p>
        </w:tc>
        <w:tc>
          <w:tcPr>
            <w:tcW w:type="dxa" w:w="1187"/>
          </w:tcPr>
          <w:p>
            <w:pPr>
              <w:pStyle w:val="null3"/>
              <w:jc w:val="both"/>
            </w:pPr>
            <w:r>
              <w:rPr/>
              <w:t>汇聚挂箱</w:t>
            </w:r>
          </w:p>
        </w:tc>
        <w:tc>
          <w:tcPr>
            <w:tcW w:type="dxa" w:w="1187"/>
          </w:tcPr>
          <w:p>
            <w:pPr>
              <w:pStyle w:val="null3"/>
              <w:jc w:val="right"/>
            </w:pPr>
            <w:r>
              <w:rPr/>
              <w:t>111.00</w:t>
            </w:r>
          </w:p>
        </w:tc>
        <w:tc>
          <w:tcPr>
            <w:tcW w:type="dxa" w:w="1187"/>
          </w:tcPr>
          <w:p>
            <w:pPr>
              <w:pStyle w:val="null3"/>
              <w:jc w:val="right"/>
            </w:pPr>
            <w:r>
              <w:rPr/>
              <w:t>49,950.00</w:t>
            </w:r>
          </w:p>
        </w:tc>
        <w:tc>
          <w:tcPr>
            <w:tcW w:type="dxa" w:w="1187"/>
          </w:tcPr>
          <w:p>
            <w:pPr>
              <w:pStyle w:val="null3"/>
              <w:jc w:val="both"/>
            </w:pPr>
            <w:r>
              <w:rPr/>
              <w:t>个</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23</w:t>
            </w:r>
          </w:p>
        </w:tc>
        <w:tc>
          <w:tcPr>
            <w:tcW w:type="dxa" w:w="1187"/>
          </w:tcPr>
          <w:p>
            <w:pPr>
              <w:pStyle w:val="null3"/>
              <w:jc w:val="both"/>
            </w:pPr>
            <w:r>
              <w:rPr/>
              <w:t>汇聚机柜</w:t>
            </w:r>
          </w:p>
        </w:tc>
        <w:tc>
          <w:tcPr>
            <w:tcW w:type="dxa" w:w="1187"/>
          </w:tcPr>
          <w:p>
            <w:pPr>
              <w:pStyle w:val="null3"/>
              <w:jc w:val="right"/>
            </w:pPr>
            <w:r>
              <w:rPr/>
              <w:t>2.00</w:t>
            </w:r>
          </w:p>
        </w:tc>
        <w:tc>
          <w:tcPr>
            <w:tcW w:type="dxa" w:w="1187"/>
          </w:tcPr>
          <w:p>
            <w:pPr>
              <w:pStyle w:val="null3"/>
              <w:jc w:val="right"/>
            </w:pPr>
            <w:r>
              <w:rPr/>
              <w:t>3,000.00</w:t>
            </w:r>
          </w:p>
        </w:tc>
        <w:tc>
          <w:tcPr>
            <w:tcW w:type="dxa" w:w="1187"/>
          </w:tcPr>
          <w:p>
            <w:pPr>
              <w:pStyle w:val="null3"/>
              <w:jc w:val="both"/>
            </w:pPr>
            <w:r>
              <w:rPr/>
              <w:t>个</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24</w:t>
            </w:r>
          </w:p>
        </w:tc>
        <w:tc>
          <w:tcPr>
            <w:tcW w:type="dxa" w:w="1187"/>
          </w:tcPr>
          <w:p>
            <w:pPr>
              <w:pStyle w:val="null3"/>
              <w:jc w:val="both"/>
            </w:pPr>
            <w:r>
              <w:rPr/>
              <w:t>电源保护器</w:t>
            </w:r>
          </w:p>
        </w:tc>
        <w:tc>
          <w:tcPr>
            <w:tcW w:type="dxa" w:w="1187"/>
          </w:tcPr>
          <w:p>
            <w:pPr>
              <w:pStyle w:val="null3"/>
              <w:jc w:val="right"/>
            </w:pPr>
            <w:r>
              <w:rPr/>
              <w:t>1.00</w:t>
            </w:r>
          </w:p>
        </w:tc>
        <w:tc>
          <w:tcPr>
            <w:tcW w:type="dxa" w:w="1187"/>
          </w:tcPr>
          <w:p>
            <w:pPr>
              <w:pStyle w:val="null3"/>
              <w:jc w:val="right"/>
            </w:pPr>
            <w:r>
              <w:rPr/>
              <w:t>12,200.00</w:t>
            </w:r>
          </w:p>
        </w:tc>
        <w:tc>
          <w:tcPr>
            <w:tcW w:type="dxa" w:w="1187"/>
          </w:tcPr>
          <w:p>
            <w:pPr>
              <w:pStyle w:val="null3"/>
              <w:jc w:val="both"/>
            </w:pPr>
            <w:r>
              <w:rPr/>
              <w:t>个</w:t>
            </w:r>
          </w:p>
        </w:tc>
        <w:tc>
          <w:tcPr>
            <w:tcW w:type="dxa" w:w="1187"/>
          </w:tcPr>
          <w:p>
            <w:pPr>
              <w:pStyle w:val="null3"/>
              <w:jc w:val="both"/>
            </w:pPr>
            <w:r>
              <w:rPr/>
              <w:t>工业</w:t>
            </w:r>
          </w:p>
        </w:tc>
        <w:tc>
          <w:tcPr>
            <w:tcW w:type="dxa" w:w="1187"/>
          </w:tcPr>
          <w:p>
            <w:pPr>
              <w:pStyle w:val="null3"/>
              <w:jc w:val="both"/>
            </w:pPr>
            <w:r>
              <w:rPr/>
              <w:t>否</w:t>
            </w:r>
          </w:p>
        </w:tc>
      </w:tr>
      <w:tr>
        <w:tc>
          <w:tcPr>
            <w:tcW w:type="dxa" w:w="1187"/>
          </w:tcPr>
          <w:p>
            <w:pPr>
              <w:pStyle w:val="null3"/>
              <w:jc w:val="both"/>
            </w:pPr>
            <w:r>
              <w:rPr/>
              <w:t>25</w:t>
            </w:r>
          </w:p>
        </w:tc>
        <w:tc>
          <w:tcPr>
            <w:tcW w:type="dxa" w:w="1187"/>
          </w:tcPr>
          <w:p>
            <w:pPr>
              <w:pStyle w:val="null3"/>
              <w:jc w:val="both"/>
            </w:pPr>
            <w:r>
              <w:rPr/>
              <w:t>线管及辅料</w:t>
            </w:r>
          </w:p>
        </w:tc>
        <w:tc>
          <w:tcPr>
            <w:tcW w:type="dxa" w:w="1187"/>
          </w:tcPr>
          <w:p>
            <w:pPr>
              <w:pStyle w:val="null3"/>
              <w:jc w:val="right"/>
            </w:pPr>
            <w:r>
              <w:rPr/>
              <w:t>1.00</w:t>
            </w:r>
          </w:p>
        </w:tc>
        <w:tc>
          <w:tcPr>
            <w:tcW w:type="dxa" w:w="1187"/>
          </w:tcPr>
          <w:p>
            <w:pPr>
              <w:pStyle w:val="null3"/>
              <w:jc w:val="right"/>
            </w:pPr>
            <w:r>
              <w:rPr/>
              <w:t>15,900.00</w:t>
            </w:r>
          </w:p>
        </w:tc>
        <w:tc>
          <w:tcPr>
            <w:tcW w:type="dxa" w:w="1187"/>
          </w:tcPr>
          <w:p>
            <w:pPr>
              <w:pStyle w:val="null3"/>
              <w:jc w:val="both"/>
            </w:pPr>
            <w:r>
              <w:rPr/>
              <w:t>项</w:t>
            </w:r>
          </w:p>
        </w:tc>
        <w:tc>
          <w:tcPr>
            <w:tcW w:type="dxa" w:w="1187"/>
          </w:tcPr>
          <w:p>
            <w:pPr>
              <w:pStyle w:val="null3"/>
              <w:jc w:val="both"/>
            </w:pPr>
            <w:r>
              <w:rPr/>
              <w:t>工业</w:t>
            </w:r>
          </w:p>
        </w:tc>
        <w:tc>
          <w:tcPr>
            <w:tcW w:type="dxa" w:w="1187"/>
          </w:tcPr>
          <w:p>
            <w:pPr>
              <w:pStyle w:val="null3"/>
              <w:jc w:val="both"/>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放装AP</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178,350.00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2</w:t>
            </w:r>
          </w:p>
        </w:tc>
        <w:tc>
          <w:tcPr>
            <w:tcW w:type="dxa" w:w="3046"/>
          </w:tcPr>
          <w:p>
            <w:pPr>
              <w:pStyle w:val="null3"/>
              <w:jc w:val="left"/>
            </w:pPr>
            <w:r>
              <w:rPr/>
              <w:t>安视光盒</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267,300.00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3</w:t>
            </w:r>
          </w:p>
        </w:tc>
        <w:tc>
          <w:tcPr>
            <w:tcW w:type="dxa" w:w="3046"/>
          </w:tcPr>
          <w:p>
            <w:pPr>
              <w:pStyle w:val="null3"/>
              <w:jc w:val="left"/>
            </w:pPr>
            <w:r>
              <w:rPr/>
              <w:t>24口光主机</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90,800.00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4</w:t>
            </w:r>
          </w:p>
        </w:tc>
        <w:tc>
          <w:tcPr>
            <w:tcW w:type="dxa" w:w="3046"/>
          </w:tcPr>
          <w:p>
            <w:pPr>
              <w:pStyle w:val="null3"/>
              <w:jc w:val="left"/>
            </w:pPr>
            <w:r>
              <w:rPr/>
              <w:t>楼宇汇聚数据传输单元</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19,500.00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5</w:t>
            </w:r>
          </w:p>
        </w:tc>
        <w:tc>
          <w:tcPr>
            <w:tcW w:type="dxa" w:w="3046"/>
          </w:tcPr>
          <w:p>
            <w:pPr>
              <w:pStyle w:val="null3"/>
              <w:jc w:val="left"/>
            </w:pPr>
            <w:r>
              <w:rPr/>
              <w:t>数据传输光盒</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26,400.00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6</w:t>
            </w:r>
          </w:p>
        </w:tc>
        <w:tc>
          <w:tcPr>
            <w:tcW w:type="dxa" w:w="3046"/>
          </w:tcPr>
          <w:p>
            <w:pPr>
              <w:pStyle w:val="null3"/>
              <w:jc w:val="left"/>
            </w:pPr>
            <w:r>
              <w:rPr/>
              <w:t>千兆光模块</w:t>
            </w:r>
          </w:p>
        </w:tc>
        <w:tc>
          <w:tcPr>
            <w:tcW w:type="dxa" w:w="554"/>
          </w:tcPr>
          <w:p>
            <w:pPr>
              <w:pStyle w:val="null3"/>
              <w:jc w:val="left"/>
            </w:pPr>
            <w:r>
              <w:rPr/>
              <w:t>个</w:t>
            </w:r>
          </w:p>
        </w:tc>
        <w:tc>
          <w:tcPr>
            <w:tcW w:type="dxa" w:w="554"/>
          </w:tcPr>
          <w:p>
            <w:pPr>
              <w:pStyle w:val="null3"/>
              <w:jc w:val="left"/>
            </w:pPr>
            <w:r>
              <w:rPr/>
              <w:t>元</w:t>
            </w:r>
          </w:p>
        </w:tc>
        <w:tc>
          <w:tcPr>
            <w:tcW w:type="dxa" w:w="1384"/>
          </w:tcPr>
          <w:p>
            <w:pPr>
              <w:pStyle w:val="null3"/>
              <w:jc w:val="right"/>
            </w:pPr>
            <w:r>
              <w:rPr/>
              <w:t>26,640.00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7</w:t>
            </w:r>
          </w:p>
        </w:tc>
        <w:tc>
          <w:tcPr>
            <w:tcW w:type="dxa" w:w="3046"/>
          </w:tcPr>
          <w:p>
            <w:pPr>
              <w:pStyle w:val="null3"/>
              <w:jc w:val="left"/>
            </w:pPr>
            <w:r>
              <w:rPr/>
              <w:t>万兆光模块</w:t>
            </w:r>
          </w:p>
        </w:tc>
        <w:tc>
          <w:tcPr>
            <w:tcW w:type="dxa" w:w="554"/>
          </w:tcPr>
          <w:p>
            <w:pPr>
              <w:pStyle w:val="null3"/>
              <w:jc w:val="left"/>
            </w:pPr>
            <w:r>
              <w:rPr/>
              <w:t>个</w:t>
            </w:r>
          </w:p>
        </w:tc>
        <w:tc>
          <w:tcPr>
            <w:tcW w:type="dxa" w:w="554"/>
          </w:tcPr>
          <w:p>
            <w:pPr>
              <w:pStyle w:val="null3"/>
              <w:jc w:val="left"/>
            </w:pPr>
            <w:r>
              <w:rPr/>
              <w:t>元</w:t>
            </w:r>
          </w:p>
        </w:tc>
        <w:tc>
          <w:tcPr>
            <w:tcW w:type="dxa" w:w="1384"/>
          </w:tcPr>
          <w:p>
            <w:pPr>
              <w:pStyle w:val="null3"/>
              <w:jc w:val="right"/>
            </w:pPr>
            <w:r>
              <w:rPr/>
              <w:t>4,840.00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8</w:t>
            </w:r>
          </w:p>
        </w:tc>
        <w:tc>
          <w:tcPr>
            <w:tcW w:type="dxa" w:w="3046"/>
          </w:tcPr>
          <w:p>
            <w:pPr>
              <w:pStyle w:val="null3"/>
              <w:jc w:val="left"/>
            </w:pPr>
            <w:r>
              <w:rPr/>
              <w:t>智能网络管理中心</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53,430.00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9</w:t>
            </w:r>
          </w:p>
        </w:tc>
        <w:tc>
          <w:tcPr>
            <w:tcW w:type="dxa" w:w="3046"/>
          </w:tcPr>
          <w:p>
            <w:pPr>
              <w:pStyle w:val="null3"/>
              <w:jc w:val="left"/>
            </w:pPr>
            <w:r>
              <w:rPr/>
              <w:t>AP接入授权</w:t>
            </w:r>
          </w:p>
        </w:tc>
        <w:tc>
          <w:tcPr>
            <w:tcW w:type="dxa" w:w="554"/>
          </w:tcPr>
          <w:p>
            <w:pPr>
              <w:pStyle w:val="null3"/>
              <w:jc w:val="left"/>
            </w:pPr>
            <w:r>
              <w:rPr/>
              <w:t>套</w:t>
            </w:r>
          </w:p>
        </w:tc>
        <w:tc>
          <w:tcPr>
            <w:tcW w:type="dxa" w:w="554"/>
          </w:tcPr>
          <w:p>
            <w:pPr>
              <w:pStyle w:val="null3"/>
              <w:jc w:val="left"/>
            </w:pPr>
            <w:r>
              <w:rPr/>
              <w:t>元</w:t>
            </w:r>
          </w:p>
        </w:tc>
        <w:tc>
          <w:tcPr>
            <w:tcW w:type="dxa" w:w="1384"/>
          </w:tcPr>
          <w:p>
            <w:pPr>
              <w:pStyle w:val="null3"/>
              <w:jc w:val="right"/>
            </w:pPr>
            <w:r>
              <w:rPr/>
              <w:t>13,650.00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10</w:t>
            </w:r>
          </w:p>
        </w:tc>
        <w:tc>
          <w:tcPr>
            <w:tcW w:type="dxa" w:w="3046"/>
          </w:tcPr>
          <w:p>
            <w:pPr>
              <w:pStyle w:val="null3"/>
              <w:jc w:val="left"/>
            </w:pPr>
            <w:r>
              <w:rPr/>
              <w:t>光盒接入授权</w:t>
            </w:r>
          </w:p>
        </w:tc>
        <w:tc>
          <w:tcPr>
            <w:tcW w:type="dxa" w:w="554"/>
          </w:tcPr>
          <w:p>
            <w:pPr>
              <w:pStyle w:val="null3"/>
              <w:jc w:val="left"/>
            </w:pPr>
            <w:r>
              <w:rPr/>
              <w:t>套</w:t>
            </w:r>
          </w:p>
        </w:tc>
        <w:tc>
          <w:tcPr>
            <w:tcW w:type="dxa" w:w="554"/>
          </w:tcPr>
          <w:p>
            <w:pPr>
              <w:pStyle w:val="null3"/>
              <w:jc w:val="left"/>
            </w:pPr>
            <w:r>
              <w:rPr/>
              <w:t>元</w:t>
            </w:r>
          </w:p>
        </w:tc>
        <w:tc>
          <w:tcPr>
            <w:tcW w:type="dxa" w:w="1384"/>
          </w:tcPr>
          <w:p>
            <w:pPr>
              <w:pStyle w:val="null3"/>
              <w:jc w:val="right"/>
            </w:pPr>
            <w:r>
              <w:rPr/>
              <w:t>13,500.00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11</w:t>
            </w:r>
          </w:p>
        </w:tc>
        <w:tc>
          <w:tcPr>
            <w:tcW w:type="dxa" w:w="3046"/>
          </w:tcPr>
          <w:p>
            <w:pPr>
              <w:pStyle w:val="null3"/>
              <w:jc w:val="left"/>
            </w:pPr>
            <w:r>
              <w:rPr/>
              <w:t>2芯光纤</w:t>
            </w:r>
          </w:p>
        </w:tc>
        <w:tc>
          <w:tcPr>
            <w:tcW w:type="dxa" w:w="554"/>
          </w:tcPr>
          <w:p>
            <w:pPr>
              <w:pStyle w:val="null3"/>
              <w:jc w:val="left"/>
            </w:pPr>
            <w:r>
              <w:rPr/>
              <w:t>米</w:t>
            </w:r>
          </w:p>
        </w:tc>
        <w:tc>
          <w:tcPr>
            <w:tcW w:type="dxa" w:w="554"/>
          </w:tcPr>
          <w:p>
            <w:pPr>
              <w:pStyle w:val="null3"/>
              <w:jc w:val="left"/>
            </w:pPr>
            <w:r>
              <w:rPr/>
              <w:t>元</w:t>
            </w:r>
          </w:p>
        </w:tc>
        <w:tc>
          <w:tcPr>
            <w:tcW w:type="dxa" w:w="1384"/>
          </w:tcPr>
          <w:p>
            <w:pPr>
              <w:pStyle w:val="null3"/>
              <w:jc w:val="right"/>
            </w:pPr>
            <w:r>
              <w:rPr/>
              <w:t>99,000.00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12</w:t>
            </w:r>
          </w:p>
        </w:tc>
        <w:tc>
          <w:tcPr>
            <w:tcW w:type="dxa" w:w="3046"/>
          </w:tcPr>
          <w:p>
            <w:pPr>
              <w:pStyle w:val="null3"/>
              <w:jc w:val="left"/>
            </w:pPr>
            <w:r>
              <w:rPr/>
              <w:t>4芯光缆</w:t>
            </w:r>
          </w:p>
        </w:tc>
        <w:tc>
          <w:tcPr>
            <w:tcW w:type="dxa" w:w="554"/>
          </w:tcPr>
          <w:p>
            <w:pPr>
              <w:pStyle w:val="null3"/>
              <w:jc w:val="left"/>
            </w:pPr>
            <w:r>
              <w:rPr/>
              <w:t>米</w:t>
            </w:r>
          </w:p>
        </w:tc>
        <w:tc>
          <w:tcPr>
            <w:tcW w:type="dxa" w:w="554"/>
          </w:tcPr>
          <w:p>
            <w:pPr>
              <w:pStyle w:val="null3"/>
              <w:jc w:val="left"/>
            </w:pPr>
            <w:r>
              <w:rPr/>
              <w:t>元</w:t>
            </w:r>
          </w:p>
        </w:tc>
        <w:tc>
          <w:tcPr>
            <w:tcW w:type="dxa" w:w="1384"/>
          </w:tcPr>
          <w:p>
            <w:pPr>
              <w:pStyle w:val="null3"/>
              <w:jc w:val="right"/>
            </w:pPr>
            <w:r>
              <w:rPr/>
              <w:t>9,500.00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13</w:t>
            </w:r>
          </w:p>
        </w:tc>
        <w:tc>
          <w:tcPr>
            <w:tcW w:type="dxa" w:w="3046"/>
          </w:tcPr>
          <w:p>
            <w:pPr>
              <w:pStyle w:val="null3"/>
              <w:jc w:val="left"/>
            </w:pPr>
            <w:r>
              <w:rPr/>
              <w:t>12芯光缆</w:t>
            </w:r>
          </w:p>
        </w:tc>
        <w:tc>
          <w:tcPr>
            <w:tcW w:type="dxa" w:w="554"/>
          </w:tcPr>
          <w:p>
            <w:pPr>
              <w:pStyle w:val="null3"/>
              <w:jc w:val="left"/>
            </w:pPr>
            <w:r>
              <w:rPr/>
              <w:t>米</w:t>
            </w:r>
          </w:p>
        </w:tc>
        <w:tc>
          <w:tcPr>
            <w:tcW w:type="dxa" w:w="554"/>
          </w:tcPr>
          <w:p>
            <w:pPr>
              <w:pStyle w:val="null3"/>
              <w:jc w:val="left"/>
            </w:pPr>
            <w:r>
              <w:rPr/>
              <w:t>元</w:t>
            </w:r>
          </w:p>
        </w:tc>
        <w:tc>
          <w:tcPr>
            <w:tcW w:type="dxa" w:w="1384"/>
          </w:tcPr>
          <w:p>
            <w:pPr>
              <w:pStyle w:val="null3"/>
              <w:jc w:val="right"/>
            </w:pPr>
            <w:r>
              <w:rPr/>
              <w:t>15,000.00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14</w:t>
            </w:r>
          </w:p>
        </w:tc>
        <w:tc>
          <w:tcPr>
            <w:tcW w:type="dxa" w:w="3046"/>
          </w:tcPr>
          <w:p>
            <w:pPr>
              <w:pStyle w:val="null3"/>
              <w:jc w:val="left"/>
            </w:pPr>
            <w:r>
              <w:rPr/>
              <w:t>电源线</w:t>
            </w:r>
          </w:p>
        </w:tc>
        <w:tc>
          <w:tcPr>
            <w:tcW w:type="dxa" w:w="554"/>
          </w:tcPr>
          <w:p>
            <w:pPr>
              <w:pStyle w:val="null3"/>
              <w:jc w:val="left"/>
            </w:pPr>
            <w:r>
              <w:rPr/>
              <w:t>米</w:t>
            </w:r>
          </w:p>
        </w:tc>
        <w:tc>
          <w:tcPr>
            <w:tcW w:type="dxa" w:w="554"/>
          </w:tcPr>
          <w:p>
            <w:pPr>
              <w:pStyle w:val="null3"/>
              <w:jc w:val="left"/>
            </w:pPr>
            <w:r>
              <w:rPr/>
              <w:t>元</w:t>
            </w:r>
          </w:p>
        </w:tc>
        <w:tc>
          <w:tcPr>
            <w:tcW w:type="dxa" w:w="1384"/>
          </w:tcPr>
          <w:p>
            <w:pPr>
              <w:pStyle w:val="null3"/>
              <w:jc w:val="right"/>
            </w:pPr>
            <w:r>
              <w:rPr/>
              <w:t>30,000.00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15</w:t>
            </w:r>
          </w:p>
        </w:tc>
        <w:tc>
          <w:tcPr>
            <w:tcW w:type="dxa" w:w="3046"/>
          </w:tcPr>
          <w:p>
            <w:pPr>
              <w:pStyle w:val="null3"/>
              <w:jc w:val="left"/>
            </w:pPr>
            <w:r>
              <w:rPr/>
              <w:t>六类网络线</w:t>
            </w:r>
          </w:p>
        </w:tc>
        <w:tc>
          <w:tcPr>
            <w:tcW w:type="dxa" w:w="554"/>
          </w:tcPr>
          <w:p>
            <w:pPr>
              <w:pStyle w:val="null3"/>
              <w:jc w:val="left"/>
            </w:pPr>
            <w:r>
              <w:rPr/>
              <w:t>箱</w:t>
            </w:r>
          </w:p>
        </w:tc>
        <w:tc>
          <w:tcPr>
            <w:tcW w:type="dxa" w:w="554"/>
          </w:tcPr>
          <w:p>
            <w:pPr>
              <w:pStyle w:val="null3"/>
              <w:jc w:val="left"/>
            </w:pPr>
            <w:r>
              <w:rPr/>
              <w:t>元</w:t>
            </w:r>
          </w:p>
        </w:tc>
        <w:tc>
          <w:tcPr>
            <w:tcW w:type="dxa" w:w="1384"/>
          </w:tcPr>
          <w:p>
            <w:pPr>
              <w:pStyle w:val="null3"/>
              <w:jc w:val="right"/>
            </w:pPr>
            <w:r>
              <w:rPr/>
              <w:t>14,700.00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16</w:t>
            </w:r>
          </w:p>
        </w:tc>
        <w:tc>
          <w:tcPr>
            <w:tcW w:type="dxa" w:w="3046"/>
          </w:tcPr>
          <w:p>
            <w:pPr>
              <w:pStyle w:val="null3"/>
              <w:jc w:val="left"/>
            </w:pPr>
            <w:r>
              <w:rPr/>
              <w:t>4 口熔接盒</w:t>
            </w:r>
          </w:p>
        </w:tc>
        <w:tc>
          <w:tcPr>
            <w:tcW w:type="dxa" w:w="554"/>
          </w:tcPr>
          <w:p>
            <w:pPr>
              <w:pStyle w:val="null3"/>
              <w:jc w:val="left"/>
            </w:pPr>
            <w:r>
              <w:rPr/>
              <w:t>个</w:t>
            </w:r>
          </w:p>
        </w:tc>
        <w:tc>
          <w:tcPr>
            <w:tcW w:type="dxa" w:w="554"/>
          </w:tcPr>
          <w:p>
            <w:pPr>
              <w:pStyle w:val="null3"/>
              <w:jc w:val="left"/>
            </w:pPr>
            <w:r>
              <w:rPr/>
              <w:t>元</w:t>
            </w:r>
          </w:p>
        </w:tc>
        <w:tc>
          <w:tcPr>
            <w:tcW w:type="dxa" w:w="1384"/>
          </w:tcPr>
          <w:p>
            <w:pPr>
              <w:pStyle w:val="null3"/>
              <w:jc w:val="right"/>
            </w:pPr>
            <w:r>
              <w:rPr/>
              <w:t>2,220.00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17</w:t>
            </w:r>
          </w:p>
        </w:tc>
        <w:tc>
          <w:tcPr>
            <w:tcW w:type="dxa" w:w="3046"/>
          </w:tcPr>
          <w:p>
            <w:pPr>
              <w:pStyle w:val="null3"/>
              <w:jc w:val="left"/>
            </w:pPr>
            <w:r>
              <w:rPr/>
              <w:t>24口熔接盒</w:t>
            </w:r>
          </w:p>
        </w:tc>
        <w:tc>
          <w:tcPr>
            <w:tcW w:type="dxa" w:w="554"/>
          </w:tcPr>
          <w:p>
            <w:pPr>
              <w:pStyle w:val="null3"/>
              <w:jc w:val="left"/>
            </w:pPr>
            <w:r>
              <w:rPr/>
              <w:t>个</w:t>
            </w:r>
          </w:p>
        </w:tc>
        <w:tc>
          <w:tcPr>
            <w:tcW w:type="dxa" w:w="554"/>
          </w:tcPr>
          <w:p>
            <w:pPr>
              <w:pStyle w:val="null3"/>
              <w:jc w:val="left"/>
            </w:pPr>
            <w:r>
              <w:rPr/>
              <w:t>元</w:t>
            </w:r>
          </w:p>
        </w:tc>
        <w:tc>
          <w:tcPr>
            <w:tcW w:type="dxa" w:w="1384"/>
          </w:tcPr>
          <w:p>
            <w:pPr>
              <w:pStyle w:val="null3"/>
              <w:jc w:val="right"/>
            </w:pPr>
            <w:r>
              <w:rPr/>
              <w:t>900.00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18</w:t>
            </w:r>
          </w:p>
        </w:tc>
        <w:tc>
          <w:tcPr>
            <w:tcW w:type="dxa" w:w="3046"/>
          </w:tcPr>
          <w:p>
            <w:pPr>
              <w:pStyle w:val="null3"/>
              <w:jc w:val="left"/>
            </w:pPr>
            <w:r>
              <w:rPr/>
              <w:t>光纤跳纤</w:t>
            </w:r>
          </w:p>
        </w:tc>
        <w:tc>
          <w:tcPr>
            <w:tcW w:type="dxa" w:w="554"/>
          </w:tcPr>
          <w:p>
            <w:pPr>
              <w:pStyle w:val="null3"/>
              <w:jc w:val="left"/>
            </w:pPr>
            <w:r>
              <w:rPr/>
              <w:t>条</w:t>
            </w:r>
          </w:p>
        </w:tc>
        <w:tc>
          <w:tcPr>
            <w:tcW w:type="dxa" w:w="554"/>
          </w:tcPr>
          <w:p>
            <w:pPr>
              <w:pStyle w:val="null3"/>
              <w:jc w:val="left"/>
            </w:pPr>
            <w:r>
              <w:rPr/>
              <w:t>元</w:t>
            </w:r>
          </w:p>
        </w:tc>
        <w:tc>
          <w:tcPr>
            <w:tcW w:type="dxa" w:w="1384"/>
          </w:tcPr>
          <w:p>
            <w:pPr>
              <w:pStyle w:val="null3"/>
              <w:jc w:val="right"/>
            </w:pPr>
            <w:r>
              <w:rPr/>
              <w:t>3,870.00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19</w:t>
            </w:r>
          </w:p>
        </w:tc>
        <w:tc>
          <w:tcPr>
            <w:tcW w:type="dxa" w:w="3046"/>
          </w:tcPr>
          <w:p>
            <w:pPr>
              <w:pStyle w:val="null3"/>
              <w:jc w:val="left"/>
            </w:pPr>
            <w:r>
              <w:rPr/>
              <w:t>尾纤</w:t>
            </w:r>
          </w:p>
        </w:tc>
        <w:tc>
          <w:tcPr>
            <w:tcW w:type="dxa" w:w="554"/>
          </w:tcPr>
          <w:p>
            <w:pPr>
              <w:pStyle w:val="null3"/>
              <w:jc w:val="left"/>
            </w:pPr>
            <w:r>
              <w:rPr/>
              <w:t>条</w:t>
            </w:r>
          </w:p>
        </w:tc>
        <w:tc>
          <w:tcPr>
            <w:tcW w:type="dxa" w:w="554"/>
          </w:tcPr>
          <w:p>
            <w:pPr>
              <w:pStyle w:val="null3"/>
              <w:jc w:val="left"/>
            </w:pPr>
            <w:r>
              <w:rPr/>
              <w:t>元</w:t>
            </w:r>
          </w:p>
        </w:tc>
        <w:tc>
          <w:tcPr>
            <w:tcW w:type="dxa" w:w="1384"/>
          </w:tcPr>
          <w:p>
            <w:pPr>
              <w:pStyle w:val="null3"/>
              <w:jc w:val="right"/>
            </w:pPr>
            <w:r>
              <w:rPr/>
              <w:t>5,160.00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20</w:t>
            </w:r>
          </w:p>
        </w:tc>
        <w:tc>
          <w:tcPr>
            <w:tcW w:type="dxa" w:w="3046"/>
          </w:tcPr>
          <w:p>
            <w:pPr>
              <w:pStyle w:val="null3"/>
              <w:jc w:val="left"/>
            </w:pPr>
            <w:r>
              <w:rPr/>
              <w:t>耦合器</w:t>
            </w:r>
          </w:p>
        </w:tc>
        <w:tc>
          <w:tcPr>
            <w:tcW w:type="dxa" w:w="554"/>
          </w:tcPr>
          <w:p>
            <w:pPr>
              <w:pStyle w:val="null3"/>
              <w:jc w:val="left"/>
            </w:pPr>
            <w:r>
              <w:rPr/>
              <w:t>个</w:t>
            </w:r>
          </w:p>
        </w:tc>
        <w:tc>
          <w:tcPr>
            <w:tcW w:type="dxa" w:w="554"/>
          </w:tcPr>
          <w:p>
            <w:pPr>
              <w:pStyle w:val="null3"/>
              <w:jc w:val="left"/>
            </w:pPr>
            <w:r>
              <w:rPr/>
              <w:t>元</w:t>
            </w:r>
          </w:p>
        </w:tc>
        <w:tc>
          <w:tcPr>
            <w:tcW w:type="dxa" w:w="1384"/>
          </w:tcPr>
          <w:p>
            <w:pPr>
              <w:pStyle w:val="null3"/>
              <w:jc w:val="right"/>
            </w:pPr>
            <w:r>
              <w:rPr/>
              <w:t>1,290.00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21</w:t>
            </w:r>
          </w:p>
        </w:tc>
        <w:tc>
          <w:tcPr>
            <w:tcW w:type="dxa" w:w="3046"/>
          </w:tcPr>
          <w:p>
            <w:pPr>
              <w:pStyle w:val="null3"/>
              <w:jc w:val="left"/>
            </w:pPr>
            <w:r>
              <w:rPr/>
              <w:t>光纤熔接</w:t>
            </w:r>
          </w:p>
        </w:tc>
        <w:tc>
          <w:tcPr>
            <w:tcW w:type="dxa" w:w="554"/>
          </w:tcPr>
          <w:p>
            <w:pPr>
              <w:pStyle w:val="null3"/>
              <w:jc w:val="left"/>
            </w:pPr>
            <w:r>
              <w:rPr/>
              <w:t>芯</w:t>
            </w:r>
          </w:p>
        </w:tc>
        <w:tc>
          <w:tcPr>
            <w:tcW w:type="dxa" w:w="554"/>
          </w:tcPr>
          <w:p>
            <w:pPr>
              <w:pStyle w:val="null3"/>
              <w:jc w:val="left"/>
            </w:pPr>
            <w:r>
              <w:rPr/>
              <w:t>元</w:t>
            </w:r>
          </w:p>
        </w:tc>
        <w:tc>
          <w:tcPr>
            <w:tcW w:type="dxa" w:w="1384"/>
          </w:tcPr>
          <w:p>
            <w:pPr>
              <w:pStyle w:val="null3"/>
              <w:jc w:val="right"/>
            </w:pPr>
            <w:r>
              <w:rPr/>
              <w:t>12,900.00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22</w:t>
            </w:r>
          </w:p>
        </w:tc>
        <w:tc>
          <w:tcPr>
            <w:tcW w:type="dxa" w:w="3046"/>
          </w:tcPr>
          <w:p>
            <w:pPr>
              <w:pStyle w:val="null3"/>
              <w:jc w:val="left"/>
            </w:pPr>
            <w:r>
              <w:rPr/>
              <w:t>汇聚挂箱</w:t>
            </w:r>
          </w:p>
        </w:tc>
        <w:tc>
          <w:tcPr>
            <w:tcW w:type="dxa" w:w="554"/>
          </w:tcPr>
          <w:p>
            <w:pPr>
              <w:pStyle w:val="null3"/>
              <w:jc w:val="left"/>
            </w:pPr>
            <w:r>
              <w:rPr/>
              <w:t>个</w:t>
            </w:r>
          </w:p>
        </w:tc>
        <w:tc>
          <w:tcPr>
            <w:tcW w:type="dxa" w:w="554"/>
          </w:tcPr>
          <w:p>
            <w:pPr>
              <w:pStyle w:val="null3"/>
              <w:jc w:val="left"/>
            </w:pPr>
            <w:r>
              <w:rPr/>
              <w:t>元</w:t>
            </w:r>
          </w:p>
        </w:tc>
        <w:tc>
          <w:tcPr>
            <w:tcW w:type="dxa" w:w="1384"/>
          </w:tcPr>
          <w:p>
            <w:pPr>
              <w:pStyle w:val="null3"/>
              <w:jc w:val="right"/>
            </w:pPr>
            <w:r>
              <w:rPr/>
              <w:t>49,950.00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23</w:t>
            </w:r>
          </w:p>
        </w:tc>
        <w:tc>
          <w:tcPr>
            <w:tcW w:type="dxa" w:w="3046"/>
          </w:tcPr>
          <w:p>
            <w:pPr>
              <w:pStyle w:val="null3"/>
              <w:jc w:val="left"/>
            </w:pPr>
            <w:r>
              <w:rPr/>
              <w:t>汇聚机柜</w:t>
            </w:r>
          </w:p>
        </w:tc>
        <w:tc>
          <w:tcPr>
            <w:tcW w:type="dxa" w:w="554"/>
          </w:tcPr>
          <w:p>
            <w:pPr>
              <w:pStyle w:val="null3"/>
              <w:jc w:val="left"/>
            </w:pPr>
            <w:r>
              <w:rPr/>
              <w:t>个</w:t>
            </w:r>
          </w:p>
        </w:tc>
        <w:tc>
          <w:tcPr>
            <w:tcW w:type="dxa" w:w="554"/>
          </w:tcPr>
          <w:p>
            <w:pPr>
              <w:pStyle w:val="null3"/>
              <w:jc w:val="left"/>
            </w:pPr>
            <w:r>
              <w:rPr/>
              <w:t>元</w:t>
            </w:r>
          </w:p>
        </w:tc>
        <w:tc>
          <w:tcPr>
            <w:tcW w:type="dxa" w:w="1384"/>
          </w:tcPr>
          <w:p>
            <w:pPr>
              <w:pStyle w:val="null3"/>
              <w:jc w:val="right"/>
            </w:pPr>
            <w:r>
              <w:rPr/>
              <w:t>3,000.00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24</w:t>
            </w:r>
          </w:p>
        </w:tc>
        <w:tc>
          <w:tcPr>
            <w:tcW w:type="dxa" w:w="3046"/>
          </w:tcPr>
          <w:p>
            <w:pPr>
              <w:pStyle w:val="null3"/>
              <w:jc w:val="left"/>
            </w:pPr>
            <w:r>
              <w:rPr/>
              <w:t>电源保护器</w:t>
            </w:r>
          </w:p>
        </w:tc>
        <w:tc>
          <w:tcPr>
            <w:tcW w:type="dxa" w:w="554"/>
          </w:tcPr>
          <w:p>
            <w:pPr>
              <w:pStyle w:val="null3"/>
              <w:jc w:val="left"/>
            </w:pPr>
            <w:r>
              <w:rPr/>
              <w:t>个</w:t>
            </w:r>
          </w:p>
        </w:tc>
        <w:tc>
          <w:tcPr>
            <w:tcW w:type="dxa" w:w="554"/>
          </w:tcPr>
          <w:p>
            <w:pPr>
              <w:pStyle w:val="null3"/>
              <w:jc w:val="left"/>
            </w:pPr>
            <w:r>
              <w:rPr/>
              <w:t>元</w:t>
            </w:r>
          </w:p>
        </w:tc>
        <w:tc>
          <w:tcPr>
            <w:tcW w:type="dxa" w:w="1384"/>
          </w:tcPr>
          <w:p>
            <w:pPr>
              <w:pStyle w:val="null3"/>
              <w:jc w:val="right"/>
            </w:pPr>
            <w:r>
              <w:rPr/>
              <w:t>12,200.00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25</w:t>
            </w:r>
          </w:p>
        </w:tc>
        <w:tc>
          <w:tcPr>
            <w:tcW w:type="dxa" w:w="3046"/>
          </w:tcPr>
          <w:p>
            <w:pPr>
              <w:pStyle w:val="null3"/>
              <w:jc w:val="left"/>
            </w:pPr>
            <w:r>
              <w:rPr/>
              <w:t>线管及辅料</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15,900.00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放装AP</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放装AP</w:t>
            </w:r>
          </w:p>
        </w:tc>
        <w:tc>
          <w:tcPr>
            <w:tcW w:type="dxa" w:w="2076"/>
          </w:tcPr>
          <w:p>
            <w:pPr>
              <w:pStyle w:val="null3"/>
              <w:jc w:val="left"/>
            </w:pPr>
            <w:r>
              <w:rPr/>
              <w:t>放装AP</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178,350.00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安视光盒</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安视光盒</w:t>
            </w:r>
          </w:p>
        </w:tc>
        <w:tc>
          <w:tcPr>
            <w:tcW w:type="dxa" w:w="2076"/>
          </w:tcPr>
          <w:p>
            <w:pPr>
              <w:pStyle w:val="null3"/>
              <w:jc w:val="left"/>
            </w:pPr>
            <w:r>
              <w:rPr/>
              <w:t>安视光盒</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267,300.00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24口光主机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24口光主机</w:t>
            </w:r>
          </w:p>
        </w:tc>
        <w:tc>
          <w:tcPr>
            <w:tcW w:type="dxa" w:w="2076"/>
          </w:tcPr>
          <w:p>
            <w:pPr>
              <w:pStyle w:val="null3"/>
              <w:jc w:val="left"/>
            </w:pPr>
            <w:r>
              <w:rPr/>
              <w:t>24口光主机</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90,800.00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楼宇汇聚数据传输单元</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楼宇汇聚数据传输单元</w:t>
            </w:r>
          </w:p>
        </w:tc>
        <w:tc>
          <w:tcPr>
            <w:tcW w:type="dxa" w:w="2076"/>
          </w:tcPr>
          <w:p>
            <w:pPr>
              <w:pStyle w:val="null3"/>
              <w:jc w:val="left"/>
            </w:pPr>
            <w:r>
              <w:rPr/>
              <w:t>楼宇汇聚数据传输单元</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19,500.00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数据传输光盒</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数据传输光盒</w:t>
            </w:r>
          </w:p>
        </w:tc>
        <w:tc>
          <w:tcPr>
            <w:tcW w:type="dxa" w:w="2076"/>
          </w:tcPr>
          <w:p>
            <w:pPr>
              <w:pStyle w:val="null3"/>
              <w:jc w:val="left"/>
            </w:pPr>
            <w:r>
              <w:rPr/>
              <w:t>数据传输光盒</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26,400.00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千兆光模块</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千兆光模块</w:t>
            </w:r>
          </w:p>
        </w:tc>
        <w:tc>
          <w:tcPr>
            <w:tcW w:type="dxa" w:w="2076"/>
          </w:tcPr>
          <w:p>
            <w:pPr>
              <w:pStyle w:val="null3"/>
              <w:jc w:val="left"/>
            </w:pPr>
            <w:r>
              <w:rPr/>
              <w:t>千兆光模块</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26,640.00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万兆光模块</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万兆光模块</w:t>
            </w:r>
          </w:p>
        </w:tc>
        <w:tc>
          <w:tcPr>
            <w:tcW w:type="dxa" w:w="2076"/>
          </w:tcPr>
          <w:p>
            <w:pPr>
              <w:pStyle w:val="null3"/>
              <w:jc w:val="left"/>
            </w:pPr>
            <w:r>
              <w:rPr/>
              <w:t>万兆光模块</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4,840.00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智能网络管理中心</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智能网络管理中心</w:t>
            </w:r>
          </w:p>
        </w:tc>
        <w:tc>
          <w:tcPr>
            <w:tcW w:type="dxa" w:w="2076"/>
          </w:tcPr>
          <w:p>
            <w:pPr>
              <w:pStyle w:val="null3"/>
              <w:jc w:val="left"/>
            </w:pPr>
            <w:r>
              <w:rPr/>
              <w:t>智能网络管理中心</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53,430.00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AP接入授权</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AP接入授权</w:t>
            </w:r>
          </w:p>
        </w:tc>
        <w:tc>
          <w:tcPr>
            <w:tcW w:type="dxa" w:w="2076"/>
          </w:tcPr>
          <w:p>
            <w:pPr>
              <w:pStyle w:val="null3"/>
              <w:jc w:val="left"/>
            </w:pPr>
            <w:r>
              <w:rPr/>
              <w:t>AP接入授权</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13,650.00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光盒接入授权</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光盒接入授权</w:t>
            </w:r>
          </w:p>
        </w:tc>
        <w:tc>
          <w:tcPr>
            <w:tcW w:type="dxa" w:w="2076"/>
          </w:tcPr>
          <w:p>
            <w:pPr>
              <w:pStyle w:val="null3"/>
              <w:jc w:val="left"/>
            </w:pPr>
            <w:r>
              <w:rPr/>
              <w:t>光盒接入授权</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13,500.00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2芯光纤</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2芯光纤</w:t>
            </w:r>
          </w:p>
        </w:tc>
        <w:tc>
          <w:tcPr>
            <w:tcW w:type="dxa" w:w="2076"/>
          </w:tcPr>
          <w:p>
            <w:pPr>
              <w:pStyle w:val="null3"/>
              <w:jc w:val="left"/>
            </w:pPr>
            <w:r>
              <w:rPr/>
              <w:t>2芯光纤</w:t>
            </w:r>
          </w:p>
        </w:tc>
        <w:tc>
          <w:tcPr>
            <w:tcW w:type="dxa" w:w="415"/>
          </w:tcPr>
          <w:p>
            <w:pPr>
              <w:pStyle w:val="null3"/>
              <w:jc w:val="left"/>
            </w:pPr>
            <w:r>
              <w:rPr/>
              <w:t>米</w:t>
            </w:r>
          </w:p>
        </w:tc>
        <w:tc>
          <w:tcPr>
            <w:tcW w:type="dxa" w:w="415"/>
          </w:tcPr>
          <w:p>
            <w:pPr>
              <w:pStyle w:val="null3"/>
              <w:jc w:val="left"/>
            </w:pPr>
            <w:r>
              <w:rPr/>
              <w:t>元</w:t>
            </w:r>
          </w:p>
        </w:tc>
        <w:tc>
          <w:tcPr>
            <w:tcW w:type="dxa" w:w="831"/>
          </w:tcPr>
          <w:p>
            <w:pPr>
              <w:pStyle w:val="null3"/>
              <w:jc w:val="right"/>
            </w:pPr>
            <w:r>
              <w:rPr/>
              <w:t>99,000.00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4芯光缆</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4芯光缆</w:t>
            </w:r>
          </w:p>
        </w:tc>
        <w:tc>
          <w:tcPr>
            <w:tcW w:type="dxa" w:w="2076"/>
          </w:tcPr>
          <w:p>
            <w:pPr>
              <w:pStyle w:val="null3"/>
              <w:jc w:val="left"/>
            </w:pPr>
            <w:r>
              <w:rPr/>
              <w:t>4芯光缆</w:t>
            </w:r>
          </w:p>
        </w:tc>
        <w:tc>
          <w:tcPr>
            <w:tcW w:type="dxa" w:w="415"/>
          </w:tcPr>
          <w:p>
            <w:pPr>
              <w:pStyle w:val="null3"/>
              <w:jc w:val="left"/>
            </w:pPr>
            <w:r>
              <w:rPr/>
              <w:t>米</w:t>
            </w:r>
          </w:p>
        </w:tc>
        <w:tc>
          <w:tcPr>
            <w:tcW w:type="dxa" w:w="415"/>
          </w:tcPr>
          <w:p>
            <w:pPr>
              <w:pStyle w:val="null3"/>
              <w:jc w:val="left"/>
            </w:pPr>
            <w:r>
              <w:rPr/>
              <w:t>元</w:t>
            </w:r>
          </w:p>
        </w:tc>
        <w:tc>
          <w:tcPr>
            <w:tcW w:type="dxa" w:w="831"/>
          </w:tcPr>
          <w:p>
            <w:pPr>
              <w:pStyle w:val="null3"/>
              <w:jc w:val="right"/>
            </w:pPr>
            <w:r>
              <w:rPr/>
              <w:t>9,500.00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12芯光缆</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12芯光缆</w:t>
            </w:r>
          </w:p>
        </w:tc>
        <w:tc>
          <w:tcPr>
            <w:tcW w:type="dxa" w:w="2076"/>
          </w:tcPr>
          <w:p>
            <w:pPr>
              <w:pStyle w:val="null3"/>
              <w:jc w:val="left"/>
            </w:pPr>
            <w:r>
              <w:rPr/>
              <w:t>12芯光缆</w:t>
            </w:r>
          </w:p>
        </w:tc>
        <w:tc>
          <w:tcPr>
            <w:tcW w:type="dxa" w:w="415"/>
          </w:tcPr>
          <w:p>
            <w:pPr>
              <w:pStyle w:val="null3"/>
              <w:jc w:val="left"/>
            </w:pPr>
            <w:r>
              <w:rPr/>
              <w:t>米</w:t>
            </w:r>
          </w:p>
        </w:tc>
        <w:tc>
          <w:tcPr>
            <w:tcW w:type="dxa" w:w="415"/>
          </w:tcPr>
          <w:p>
            <w:pPr>
              <w:pStyle w:val="null3"/>
              <w:jc w:val="left"/>
            </w:pPr>
            <w:r>
              <w:rPr/>
              <w:t>元</w:t>
            </w:r>
          </w:p>
        </w:tc>
        <w:tc>
          <w:tcPr>
            <w:tcW w:type="dxa" w:w="831"/>
          </w:tcPr>
          <w:p>
            <w:pPr>
              <w:pStyle w:val="null3"/>
              <w:jc w:val="right"/>
            </w:pPr>
            <w:r>
              <w:rPr/>
              <w:t>15,000.00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电源线</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电源线</w:t>
            </w:r>
          </w:p>
        </w:tc>
        <w:tc>
          <w:tcPr>
            <w:tcW w:type="dxa" w:w="2076"/>
          </w:tcPr>
          <w:p>
            <w:pPr>
              <w:pStyle w:val="null3"/>
              <w:jc w:val="left"/>
            </w:pPr>
            <w:r>
              <w:rPr/>
              <w:t>电源线</w:t>
            </w:r>
          </w:p>
        </w:tc>
        <w:tc>
          <w:tcPr>
            <w:tcW w:type="dxa" w:w="415"/>
          </w:tcPr>
          <w:p>
            <w:pPr>
              <w:pStyle w:val="null3"/>
              <w:jc w:val="left"/>
            </w:pPr>
            <w:r>
              <w:rPr/>
              <w:t>米</w:t>
            </w:r>
          </w:p>
        </w:tc>
        <w:tc>
          <w:tcPr>
            <w:tcW w:type="dxa" w:w="415"/>
          </w:tcPr>
          <w:p>
            <w:pPr>
              <w:pStyle w:val="null3"/>
              <w:jc w:val="left"/>
            </w:pPr>
            <w:r>
              <w:rPr/>
              <w:t>元</w:t>
            </w:r>
          </w:p>
        </w:tc>
        <w:tc>
          <w:tcPr>
            <w:tcW w:type="dxa" w:w="831"/>
          </w:tcPr>
          <w:p>
            <w:pPr>
              <w:pStyle w:val="null3"/>
              <w:jc w:val="right"/>
            </w:pPr>
            <w:r>
              <w:rPr/>
              <w:t>30,000.00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六类网络线</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六类网络线</w:t>
            </w:r>
          </w:p>
        </w:tc>
        <w:tc>
          <w:tcPr>
            <w:tcW w:type="dxa" w:w="2076"/>
          </w:tcPr>
          <w:p>
            <w:pPr>
              <w:pStyle w:val="null3"/>
              <w:jc w:val="left"/>
            </w:pPr>
            <w:r>
              <w:rPr/>
              <w:t>六类网络线</w:t>
            </w:r>
          </w:p>
        </w:tc>
        <w:tc>
          <w:tcPr>
            <w:tcW w:type="dxa" w:w="415"/>
          </w:tcPr>
          <w:p>
            <w:pPr>
              <w:pStyle w:val="null3"/>
              <w:jc w:val="left"/>
            </w:pPr>
            <w:r>
              <w:rPr/>
              <w:t>箱</w:t>
            </w:r>
          </w:p>
        </w:tc>
        <w:tc>
          <w:tcPr>
            <w:tcW w:type="dxa" w:w="415"/>
          </w:tcPr>
          <w:p>
            <w:pPr>
              <w:pStyle w:val="null3"/>
              <w:jc w:val="left"/>
            </w:pPr>
            <w:r>
              <w:rPr/>
              <w:t>元</w:t>
            </w:r>
          </w:p>
        </w:tc>
        <w:tc>
          <w:tcPr>
            <w:tcW w:type="dxa" w:w="831"/>
          </w:tcPr>
          <w:p>
            <w:pPr>
              <w:pStyle w:val="null3"/>
              <w:jc w:val="right"/>
            </w:pPr>
            <w:r>
              <w:rPr/>
              <w:t>14,700.00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4 口熔接盒</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4 口熔接盒</w:t>
            </w:r>
          </w:p>
        </w:tc>
        <w:tc>
          <w:tcPr>
            <w:tcW w:type="dxa" w:w="2076"/>
          </w:tcPr>
          <w:p>
            <w:pPr>
              <w:pStyle w:val="null3"/>
              <w:jc w:val="left"/>
            </w:pPr>
            <w:r>
              <w:rPr/>
              <w:t>4 口熔接盒</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2,220.00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24口熔接盒</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24口熔接盒</w:t>
            </w:r>
          </w:p>
        </w:tc>
        <w:tc>
          <w:tcPr>
            <w:tcW w:type="dxa" w:w="2076"/>
          </w:tcPr>
          <w:p>
            <w:pPr>
              <w:pStyle w:val="null3"/>
              <w:jc w:val="left"/>
            </w:pPr>
            <w:r>
              <w:rPr/>
              <w:t>24口熔接盒</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900.00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光纤跳纤</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光纤跳纤</w:t>
            </w:r>
          </w:p>
        </w:tc>
        <w:tc>
          <w:tcPr>
            <w:tcW w:type="dxa" w:w="2076"/>
          </w:tcPr>
          <w:p>
            <w:pPr>
              <w:pStyle w:val="null3"/>
              <w:jc w:val="left"/>
            </w:pPr>
            <w:r>
              <w:rPr/>
              <w:t>光纤跳纤</w:t>
            </w:r>
          </w:p>
        </w:tc>
        <w:tc>
          <w:tcPr>
            <w:tcW w:type="dxa" w:w="415"/>
          </w:tcPr>
          <w:p>
            <w:pPr>
              <w:pStyle w:val="null3"/>
              <w:jc w:val="left"/>
            </w:pPr>
            <w:r>
              <w:rPr/>
              <w:t>条</w:t>
            </w:r>
          </w:p>
        </w:tc>
        <w:tc>
          <w:tcPr>
            <w:tcW w:type="dxa" w:w="415"/>
          </w:tcPr>
          <w:p>
            <w:pPr>
              <w:pStyle w:val="null3"/>
              <w:jc w:val="left"/>
            </w:pPr>
            <w:r>
              <w:rPr/>
              <w:t>元</w:t>
            </w:r>
          </w:p>
        </w:tc>
        <w:tc>
          <w:tcPr>
            <w:tcW w:type="dxa" w:w="831"/>
          </w:tcPr>
          <w:p>
            <w:pPr>
              <w:pStyle w:val="null3"/>
              <w:jc w:val="right"/>
            </w:pPr>
            <w:r>
              <w:rPr/>
              <w:t>3,870.00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尾纤</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尾纤</w:t>
            </w:r>
          </w:p>
        </w:tc>
        <w:tc>
          <w:tcPr>
            <w:tcW w:type="dxa" w:w="2076"/>
          </w:tcPr>
          <w:p>
            <w:pPr>
              <w:pStyle w:val="null3"/>
              <w:jc w:val="left"/>
            </w:pPr>
            <w:r>
              <w:rPr/>
              <w:t>尾纤</w:t>
            </w:r>
          </w:p>
        </w:tc>
        <w:tc>
          <w:tcPr>
            <w:tcW w:type="dxa" w:w="415"/>
          </w:tcPr>
          <w:p>
            <w:pPr>
              <w:pStyle w:val="null3"/>
              <w:jc w:val="left"/>
            </w:pPr>
            <w:r>
              <w:rPr/>
              <w:t>条</w:t>
            </w:r>
          </w:p>
        </w:tc>
        <w:tc>
          <w:tcPr>
            <w:tcW w:type="dxa" w:w="415"/>
          </w:tcPr>
          <w:p>
            <w:pPr>
              <w:pStyle w:val="null3"/>
              <w:jc w:val="left"/>
            </w:pPr>
            <w:r>
              <w:rPr/>
              <w:t>元</w:t>
            </w:r>
          </w:p>
        </w:tc>
        <w:tc>
          <w:tcPr>
            <w:tcW w:type="dxa" w:w="831"/>
          </w:tcPr>
          <w:p>
            <w:pPr>
              <w:pStyle w:val="null3"/>
              <w:jc w:val="right"/>
            </w:pPr>
            <w:r>
              <w:rPr/>
              <w:t>5,160.00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耦合器</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耦合器</w:t>
            </w:r>
          </w:p>
        </w:tc>
        <w:tc>
          <w:tcPr>
            <w:tcW w:type="dxa" w:w="2076"/>
          </w:tcPr>
          <w:p>
            <w:pPr>
              <w:pStyle w:val="null3"/>
              <w:jc w:val="left"/>
            </w:pPr>
            <w:r>
              <w:rPr/>
              <w:t>耦合器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1,290.00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光纤熔接</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光纤熔接</w:t>
            </w:r>
          </w:p>
        </w:tc>
        <w:tc>
          <w:tcPr>
            <w:tcW w:type="dxa" w:w="2076"/>
          </w:tcPr>
          <w:p>
            <w:pPr>
              <w:pStyle w:val="null3"/>
              <w:jc w:val="left"/>
            </w:pPr>
            <w:r>
              <w:rPr/>
              <w:t>光纤熔接</w:t>
            </w:r>
          </w:p>
        </w:tc>
        <w:tc>
          <w:tcPr>
            <w:tcW w:type="dxa" w:w="415"/>
          </w:tcPr>
          <w:p>
            <w:pPr>
              <w:pStyle w:val="null3"/>
              <w:jc w:val="left"/>
            </w:pPr>
            <w:r>
              <w:rPr/>
              <w:t>芯</w:t>
            </w:r>
          </w:p>
        </w:tc>
        <w:tc>
          <w:tcPr>
            <w:tcW w:type="dxa" w:w="415"/>
          </w:tcPr>
          <w:p>
            <w:pPr>
              <w:pStyle w:val="null3"/>
              <w:jc w:val="left"/>
            </w:pPr>
            <w:r>
              <w:rPr/>
              <w:t>元</w:t>
            </w:r>
          </w:p>
        </w:tc>
        <w:tc>
          <w:tcPr>
            <w:tcW w:type="dxa" w:w="831"/>
          </w:tcPr>
          <w:p>
            <w:pPr>
              <w:pStyle w:val="null3"/>
              <w:jc w:val="right"/>
            </w:pPr>
            <w:r>
              <w:rPr/>
              <w:t>12,900.00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汇聚挂箱</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汇聚挂箱</w:t>
            </w:r>
          </w:p>
        </w:tc>
        <w:tc>
          <w:tcPr>
            <w:tcW w:type="dxa" w:w="2076"/>
          </w:tcPr>
          <w:p>
            <w:pPr>
              <w:pStyle w:val="null3"/>
              <w:jc w:val="left"/>
            </w:pPr>
            <w:r>
              <w:rPr/>
              <w:t>汇聚挂箱</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49,950.00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汇聚机柜</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汇聚机柜</w:t>
            </w:r>
          </w:p>
        </w:tc>
        <w:tc>
          <w:tcPr>
            <w:tcW w:type="dxa" w:w="2076"/>
          </w:tcPr>
          <w:p>
            <w:pPr>
              <w:pStyle w:val="null3"/>
              <w:jc w:val="left"/>
            </w:pPr>
            <w:r>
              <w:rPr/>
              <w:t>汇聚机柜</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3,000.00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电源保护器</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电源保护器</w:t>
            </w:r>
          </w:p>
        </w:tc>
        <w:tc>
          <w:tcPr>
            <w:tcW w:type="dxa" w:w="2076"/>
          </w:tcPr>
          <w:p>
            <w:pPr>
              <w:pStyle w:val="null3"/>
              <w:jc w:val="left"/>
            </w:pPr>
            <w:r>
              <w:rPr/>
              <w:t>电源保护器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12,200.00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线管及辅料</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线管及辅料</w:t>
            </w:r>
          </w:p>
        </w:tc>
        <w:tc>
          <w:tcPr>
            <w:tcW w:type="dxa" w:w="2076"/>
          </w:tcPr>
          <w:p>
            <w:pPr>
              <w:pStyle w:val="null3"/>
              <w:jc w:val="left"/>
            </w:pPr>
            <w:r>
              <w:rPr/>
              <w:t>线管及辅料</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15,900.00</w:t>
            </w:r>
          </w:p>
        </w:tc>
        <w:tc>
          <w:tcPr>
            <w:tcW w:type="dxa" w:w="831"/>
          </w:tcPr>
          <w:p>
            <w:pPr>
              <w:pStyle w:val="null3"/>
              <w:jc w:val="left"/>
            </w:pPr>
            <w:r>
              <w:rPr/>
              <w:t>总价</w:t>
            </w:r>
          </w:p>
        </w:tc>
        <w:tc>
          <w:tcPr>
            <w:tcW w:type="dxa" w:w="1246"/>
          </w:tcPr>
          <w:p>
            <w:pPr>
              <w:pStyle w:val="null3"/>
              <w:jc w:val="left"/>
            </w:pPr>
            <w:r>
              <w:rPr/>
              <w:t>无</w:t>
            </w:r>
          </w:p>
        </w:tc>
      </w:tr>
    </w:tbl>
    <w:p>
      <w:pPr>
        <w:pStyle w:val="null3"/>
        <w:ind w:firstLine="480"/>
        <w:jc w:val="left"/>
        <w:outlineLvl w:val="2"/>
      </w:pPr>
      <w:r>
        <w:rPr>
          <w:sz w:val="28"/>
          <w:b/>
        </w:rPr>
        <w:t>5.采购项目需要落实的政府采购政策：</w:t>
      </w:r>
    </w:p>
    <w:p>
      <w:pPr>
        <w:pStyle w:val="null3"/>
        <w:ind w:firstLine="480"/>
        <w:jc w:val="both"/>
      </w:pPr>
      <w:r>
        <w:rPr/>
        <w:t>进口产品：</w:t>
      </w:r>
      <w:r>
        <w:rPr/>
        <w:t>不适用于本项目采购包1。</w:t>
      </w:r>
    </w:p>
    <w:p>
      <w:pPr>
        <w:pStyle w:val="null3"/>
        <w:ind w:firstLine="480"/>
        <w:jc w:val="both"/>
      </w:pPr>
      <w:r>
        <w:rPr/>
        <w:t>节能产品：</w:t>
      </w:r>
      <w:r>
        <w:rPr/>
        <w:t>适用于采购包1。按照财库[2019]19号文所附品目清单执行。</w:t>
      </w:r>
    </w:p>
    <w:p>
      <w:pPr>
        <w:pStyle w:val="null3"/>
        <w:ind w:firstLine="480"/>
        <w:jc w:val="both"/>
      </w:pPr>
      <w:r>
        <w:rPr/>
        <w:t>环境标志产品：</w:t>
      </w:r>
      <w:r>
        <w:rPr/>
        <w:t>适用于采购包1。按照财库[2019]18号文所附品目清单执行。</w:t>
      </w:r>
    </w:p>
    <w:p>
      <w:pPr>
        <w:pStyle w:val="null3"/>
        <w:ind w:firstLine="480"/>
        <w:jc w:val="both"/>
      </w:pPr>
      <w:r>
        <w:rPr/>
        <w:t>促进中小企业发展的相关政策：</w:t>
      </w:r>
    </w:p>
    <w:p>
      <w:pPr>
        <w:pStyle w:val="null3"/>
        <w:ind w:firstLine="480"/>
        <w:jc w:val="both"/>
      </w:pPr>
      <w:r>
        <w:rPr/>
        <w:t>采购包1：不专门面向中小企业采购</w:t>
      </w:r>
    </w:p>
    <w:p>
      <w:pPr>
        <w:pStyle w:val="null3"/>
        <w:ind w:firstLine="480"/>
        <w:jc w:val="left"/>
        <w:outlineLvl w:val="2"/>
      </w:pPr>
      <w:r>
        <w:rPr>
          <w:sz w:val="28"/>
          <w:b/>
        </w:rPr>
        <w:t>6.供应商的资格要求</w:t>
      </w:r>
    </w:p>
    <w:p>
      <w:pPr>
        <w:pStyle w:val="null3"/>
        <w:ind w:firstLine="960"/>
        <w:jc w:val="both"/>
      </w:pPr>
      <w:r>
        <w:rPr/>
        <w:t>6.1法定条件：符合《中华人民共和国政府采购法》第二十二条第一款规定的条件。</w:t>
      </w:r>
    </w:p>
    <w:p>
      <w:pPr>
        <w:pStyle w:val="null3"/>
        <w:ind w:firstLine="960"/>
        <w:jc w:val="both"/>
      </w:pPr>
      <w:r>
        <w:rPr/>
        <w:t>6.2特定条件：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其他资格证明文件</w:t>
            </w:r>
          </w:p>
        </w:tc>
        <w:tc>
          <w:tcPr>
            <w:tcW w:type="dxa" w:w="4614"/>
          </w:tcPr>
          <w:p>
            <w:pPr>
              <w:pStyle w:val="null3"/>
              <w:jc w:val="both"/>
            </w:pPr>
            <w:r>
              <w:rPr/>
              <w:t>供应商所投产品如属国家强制性要求3C的，供应商须提供所投产品满足国家强制性3C要求的承诺函，并对其真实性负责，承诺函格式自拟，否则视为无效投标。</w:t>
            </w:r>
          </w:p>
        </w:tc>
      </w:tr>
      <w:tr>
        <w:tc>
          <w:tcPr>
            <w:tcW w:type="dxa" w:w="3692"/>
          </w:tcPr>
          <w:p>
            <w:pPr>
              <w:pStyle w:val="null3"/>
              <w:jc w:val="both"/>
            </w:pPr>
            <w:r>
              <w:rPr/>
              <w:t>政府强制采购节能产品（若有）</w:t>
            </w:r>
          </w:p>
        </w:tc>
        <w:tc>
          <w:tcPr>
            <w:tcW w:type="dxa" w:w="4614"/>
          </w:tcPr>
          <w:p>
            <w:pPr>
              <w:pStyle w:val="null3"/>
              <w:jc w:val="both"/>
            </w:pPr>
            <w:r>
              <w:rPr/>
              <w:t>按照财库〔2019〕9号、财库〔2019〕19号规定，台式计算机、便携式计算机、平板式微型计算机、激光打印机、针式打印机、液晶显示器、制冷压缩机（冷水机组、水源热泵机组、溴化锂吸收式冷水机组）、空调机组【多联式空调（热泵）机组（制冷量＞14000W）、单元式空气调节机（制冷量＞14000W）】、专用制冷、空调设备（机房空调）、镇流器（管型荧光灯镇流器）、空调机【房间空气调节器、多联式空调（热泵）机 组（制 冷 量≤14000W）、单元式空气调节机（制冷量≤14000W）】、电热水器、普通照明用双端荧光灯、电视设备【普通电视设备（电视机）】、视频设备（监视器）、便器（坐便器、蹲便器、小便器）、水嘴等品目为政府强制采购产品（具体品目以《节能产品政府采购品目清单》中“★”标注为准）。供应商须提供所投政府强制采购产品由国家确定的认证机构出具的、处于有效期之内的产品认证证书复印件。</w:t>
            </w:r>
          </w:p>
        </w:tc>
      </w:tr>
      <w:tr>
        <w:tc>
          <w:tcPr>
            <w:tcW w:type="dxa" w:w="3692"/>
          </w:tcPr>
          <w:p>
            <w:pPr>
              <w:pStyle w:val="null3"/>
              <w:jc w:val="both"/>
            </w:pPr>
            <w:r>
              <w:rPr/>
              <w:t>供应商资格承诺函</w:t>
            </w:r>
          </w:p>
        </w:tc>
        <w:tc>
          <w:tcPr>
            <w:tcW w:type="dxa" w:w="4614"/>
          </w:tcPr>
          <w:p>
            <w:pPr>
              <w:pStyle w:val="null3"/>
              <w:jc w:val="both"/>
            </w:pPr>
            <w:r>
              <w:rPr/>
              <w:t>根据《福建省财政厅关于印发推行政府采购供应商资格承诺制指导意见的通知》（闽财购(2024)6号）的规定，依法在福建省参与政府采购活动的供应商，可提供《政府采购供应商资格承诺函》(格式见附件)。供应商应对其承诺内容的真实性、合法性、有效性负责。说明：1.供应商可自行选择是否提供资格承诺函，若不提供资格承诺函的，应按招标文件要求提供相应的证明材料。2.若采购文件中有与此处描述不一致的，以此处描述为准。</w:t>
            </w:r>
          </w:p>
        </w:tc>
      </w:tr>
    </w:tbl>
    <w:p>
      <w:pPr>
        <w:pStyle w:val="null3"/>
        <w:ind w:firstLine="960"/>
        <w:jc w:val="both"/>
      </w:pPr>
      <w:r>
        <w:rPr/>
        <w:t>6.3是否接受联合体形式的响应谈判：</w:t>
      </w:r>
    </w:p>
    <w:p>
      <w:pPr>
        <w:pStyle w:val="null3"/>
        <w:ind w:firstLine="480"/>
        <w:jc w:val="both"/>
      </w:pPr>
      <w:r>
        <w:rPr/>
        <w:t>采购包1：不接受</w:t>
      </w:r>
    </w:p>
    <w:p>
      <w:pPr>
        <w:pStyle w:val="null3"/>
        <w:jc w:val="both"/>
      </w:pPr>
      <w:r>
        <w:rPr>
          <w:b/>
        </w:rPr>
        <w:t>※根据上述资格要求，供应商响应文件中应提交的“资格证明文件”相关规定和资料要求，详见竞争性谈判须知前附表和谈判文件第五章。</w:t>
      </w:r>
    </w:p>
    <w:p>
      <w:pPr>
        <w:pStyle w:val="null3"/>
        <w:ind w:firstLine="480"/>
        <w:jc w:val="left"/>
        <w:outlineLvl w:val="2"/>
      </w:pPr>
      <w:r>
        <w:rPr>
          <w:sz w:val="28"/>
          <w:b/>
        </w:rPr>
        <w:t>7.竞争性谈判文件获取期限：</w:t>
      </w:r>
    </w:p>
    <w:p>
      <w:pPr>
        <w:pStyle w:val="null3"/>
        <w:ind w:firstLine="480"/>
        <w:jc w:val="left"/>
      </w:pPr>
      <w:r>
        <w:rPr/>
        <w:t>详见谈判公告或更正公告（若有），若不一致，以更正公告（若有）为准。</w:t>
      </w:r>
    </w:p>
    <w:p>
      <w:pPr>
        <w:pStyle w:val="null3"/>
        <w:ind w:firstLine="960"/>
        <w:jc w:val="both"/>
      </w:pPr>
      <w:r>
        <w:rPr/>
        <w:t>7.1如果采购过程中有发出更正公告，采购人将根据实际情况确定是否延长文件获取期限，则文件获取截止时间以更正公告中的约定为准。</w:t>
      </w:r>
    </w:p>
    <w:p>
      <w:pPr>
        <w:pStyle w:val="null3"/>
        <w:ind w:firstLine="960"/>
        <w:jc w:val="both"/>
      </w:pPr>
      <w:r>
        <w:rPr/>
        <w:t>7.2竞争性谈判文件获取期限内，供应商应通过福建省政府采购网上公开信息系统的注册账号（免费注册）并获取竞争性谈判文件(登陆福建省政府采购网上公开信息系统进行文件获取)，否则报价响应将被拒绝。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960"/>
        <w:jc w:val="both"/>
      </w:pPr>
      <w:r>
        <w:rPr/>
        <w:t>8.1采购文件的提供期限：详见谈判公告或更正公告（若有），若不一致，以更正公告（若有）为准。</w:t>
      </w:r>
    </w:p>
    <w:p>
      <w:pPr>
        <w:pStyle w:val="null3"/>
        <w:ind w:firstLine="960"/>
        <w:jc w:val="both"/>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详见谈判公告或更正公告（若有），若不一致，以更正公告（若有）为准。供应商应在此之前将密封的首次响应文件送达本章第11条载明的地点，逾期送达的或不符合规定的响应文件将被拒绝接收。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11.谈判时间及地点：</w:t>
      </w:r>
    </w:p>
    <w:p>
      <w:pPr>
        <w:pStyle w:val="null3"/>
        <w:ind w:firstLine="480"/>
        <w:jc w:val="left"/>
      </w:pPr>
      <w:r>
        <w:rPr/>
        <w:t>详见谈判公告或更正公告（若有），若不一致，以更正公告（若有）为准。</w:t>
      </w:r>
    </w:p>
    <w:p>
      <w:pPr>
        <w:pStyle w:val="null3"/>
        <w:ind w:firstLine="480"/>
        <w:jc w:val="left"/>
        <w:outlineLvl w:val="2"/>
      </w:pPr>
      <w:r>
        <w:rPr>
          <w:sz w:val="28"/>
          <w:b/>
        </w:rPr>
        <w:t>12.竞争性谈判公告期限：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福州职业技术学院</w:t>
      </w:r>
    </w:p>
    <w:p>
      <w:pPr>
        <w:pStyle w:val="null3"/>
        <w:ind w:firstLine="960"/>
        <w:jc w:val="left"/>
      </w:pPr>
      <w:r>
        <w:rPr/>
        <w:t xml:space="preserve"> 地址： </w:t>
      </w:r>
      <w:r>
        <w:rPr/>
        <w:t>福州市闽侯上街联榕路8号</w:t>
      </w:r>
    </w:p>
    <w:p>
      <w:pPr>
        <w:pStyle w:val="null3"/>
        <w:jc w:val="left"/>
      </w:pPr>
      <w:r>
        <w:rPr/>
        <w:t xml:space="preserve"> 邮编： </w:t>
      </w:r>
      <w:r>
        <w:rPr/>
        <w:t>350108</w:t>
      </w:r>
    </w:p>
    <w:p>
      <w:pPr>
        <w:pStyle w:val="null3"/>
        <w:jc w:val="left"/>
      </w:pPr>
      <w:r>
        <w:rPr/>
        <w:t xml:space="preserve"> 联系人： </w:t>
      </w:r>
      <w:r>
        <w:rPr/>
        <w:t>郑老师</w:t>
      </w:r>
    </w:p>
    <w:p>
      <w:pPr>
        <w:pStyle w:val="null3"/>
        <w:jc w:val="left"/>
      </w:pPr>
      <w:r>
        <w:rPr/>
        <w:t xml:space="preserve"> 联系电话： </w:t>
      </w:r>
      <w:r>
        <w:rPr/>
        <w:t>0591-83760305</w:t>
      </w:r>
    </w:p>
    <w:p>
      <w:pPr>
        <w:pStyle w:val="null3"/>
        <w:ind w:firstLine="480"/>
        <w:jc w:val="left"/>
        <w:outlineLvl w:val="2"/>
      </w:pPr>
      <w:r>
        <w:rPr>
          <w:sz w:val="28"/>
          <w:b/>
        </w:rPr>
        <w:t>14.代理机构</w:t>
      </w:r>
      <w:r>
        <w:rPr>
          <w:sz w:val="28"/>
          <w:b/>
        </w:rPr>
        <w:t>：</w:t>
      </w:r>
      <w:r>
        <w:rPr>
          <w:sz w:val="28"/>
          <w:b/>
        </w:rPr>
        <w:t>福建杰俊招标代理有限公司</w:t>
      </w:r>
    </w:p>
    <w:p>
      <w:pPr>
        <w:pStyle w:val="null3"/>
        <w:ind w:firstLine="960"/>
        <w:jc w:val="left"/>
      </w:pPr>
      <w:r>
        <w:rPr/>
        <w:t xml:space="preserve"> 地址： </w:t>
      </w:r>
      <w:r>
        <w:rPr/>
        <w:t>福建省福州市鼓楼区西洪路528号15号楼303单元</w:t>
      </w:r>
    </w:p>
    <w:p>
      <w:pPr>
        <w:pStyle w:val="null3"/>
        <w:jc w:val="left"/>
      </w:pPr>
      <w:r>
        <w:rPr/>
        <w:t xml:space="preserve"> 邮编： </w:t>
      </w:r>
      <w:r>
        <w:rPr/>
        <w:t>350000</w:t>
      </w:r>
    </w:p>
    <w:p>
      <w:pPr>
        <w:pStyle w:val="null3"/>
        <w:jc w:val="left"/>
      </w:pPr>
      <w:r>
        <w:rPr/>
        <w:t xml:space="preserve"> 联系人： </w:t>
      </w:r>
      <w:r>
        <w:rPr/>
        <w:t>岳红丽、许花</w:t>
      </w:r>
    </w:p>
    <w:p>
      <w:pPr>
        <w:pStyle w:val="null3"/>
        <w:jc w:val="left"/>
      </w:pPr>
      <w:r>
        <w:rPr/>
        <w:t xml:space="preserve"> 联系电话： </w:t>
      </w:r>
      <w:r>
        <w:rPr/>
        <w:t>0591-87279932</w:t>
      </w:r>
    </w:p>
    <w:p>
      <w:pPr>
        <w:pStyle w:val="null3"/>
        <w:ind w:firstLine="480"/>
        <w:jc w:val="left"/>
        <w:outlineLvl w:val="2"/>
      </w:pPr>
      <w:r>
        <w:rPr>
          <w:sz w:val="28"/>
          <w:b/>
        </w:rPr>
        <w:t>附1：提交谈判保证金的银行账户信息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福建杰俊招标代理有限公司</w:t>
            </w:r>
          </w:p>
        </w:tc>
      </w:tr>
      <w:tr>
        <w:tc>
          <w:tcPr>
            <w:tcW w:type="dxa" w:w="8306"/>
          </w:tcPr>
          <w:p>
            <w:pPr>
              <w:pStyle w:val="null3"/>
              <w:jc w:val="left"/>
            </w:pPr>
            <w:r>
              <w:rPr/>
              <w:t>开户银行：由供应商在福建省政府采购网上公开信息系统获取竞争性谈判文件成功后根据系统的提示，自行选择要缴交的保证金托管银行。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1、请供应商务必认真核对账户信息，将谈判保证金款项汇入对应账户，并自行承担因款项汇错而产生的一切后果。 2、请供应商在转账或电汇的凭证上务必按照以下格式注明，以便核对：“（项目编号：***、采购包：***）的谈判保证金”。</w:t>
            </w:r>
          </w:p>
        </w:tc>
      </w:tr>
    </w:tbl>
    <w:p>
      <w:pPr>
        <w:pStyle w:val="null3"/>
      </w:pPr>
      <w:r>
        <w:rPr/>
        <w:t xml:space="preserve"> </w:t>
        <w:br/>
        <w:br w:type="page"/>
      </w:r>
    </w:p>
    <w:p>
      <w:pPr>
        <w:pStyle w:val="null3"/>
        <w:jc w:val="center"/>
        <w:outlineLvl w:val="1"/>
      </w:pPr>
      <w:r>
        <w:rPr>
          <w:sz w:val="36"/>
          <w:b/>
        </w:rPr>
        <w:t>第二章 竞争性谈判须知</w:t>
      </w:r>
    </w:p>
    <w:p>
      <w:pPr>
        <w:pStyle w:val="null3"/>
        <w:jc w:val="center"/>
        <w:outlineLvl w:val="2"/>
      </w:pPr>
      <w:r>
        <w:rPr>
          <w:sz w:val="28"/>
          <w:b/>
        </w:rPr>
        <w:t>第1节 竞争性谈判须知前附表（表1、表2）</w:t>
      </w:r>
    </w:p>
    <w:p>
      <w:pPr>
        <w:pStyle w:val="null3"/>
        <w:jc w:val="center"/>
      </w:pPr>
      <w:r>
        <w:rPr>
          <w:b/>
        </w:rPr>
        <w:t>一、竞争性谈判须知前附表1</w:t>
      </w:r>
    </w:p>
    <w:p>
      <w:pPr>
        <w:pStyle w:val="null3"/>
        <w:ind w:firstLine="480"/>
        <w:jc w:val="both"/>
      </w:pPr>
      <w:r>
        <w:rPr/>
        <w:t>竞争性谈判须知前附表是对竞争性谈判须知的补充和细化，二者如有矛盾，以前附表中的要求和规定为准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供应商的资格要求：见谈判文件第一章“采购公告/采购邀请书”</w:t>
            </w:r>
          </w:p>
          <w:p>
            <w:pPr>
              <w:pStyle w:val="null3"/>
              <w:jc w:val="left"/>
            </w:pPr>
            <w:r>
              <w:rPr/>
              <w:t xml:space="preserve"> 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谈判响应声明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谈判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谈判文件第五章对法定资格条件证明资料已有详细规定和要求，供应商按照第五章要求提供。确因国家政府采购新政策规定或项目特点不能适用的或者需要补充增加的，则在特定资格条件中提出具体要求，但不得违反政府采购法律法规。</w:t>
            </w:r>
          </w:p>
          <w:p>
            <w:pPr>
              <w:pStyle w:val="null3"/>
              <w:jc w:val="left"/>
            </w:pPr>
            <w:r>
              <w:rPr/>
              <w:t xml:space="preserve"> 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其他资格证明文件</w:t>
                  </w:r>
                </w:p>
              </w:tc>
              <w:tc>
                <w:tcPr>
                  <w:tcW w:type="dxa" w:w="1418"/>
                </w:tcPr>
                <w:p>
                  <w:pPr>
                    <w:pStyle w:val="null3"/>
                    <w:jc w:val="left"/>
                  </w:pPr>
                  <w:r>
                    <w:rPr/>
                    <w:t>供应商所投产品如属国家强制性要求3C的，供应商须提供所投产品满足国家强制性3C要求的承诺函，并对其真实性负责，承诺函格式自拟，否则视为无效投标。</w:t>
                  </w:r>
                </w:p>
              </w:tc>
            </w:tr>
            <w:tr>
              <w:tc>
                <w:tcPr>
                  <w:tcW w:type="dxa" w:w="1135"/>
                </w:tcPr>
                <w:p>
                  <w:pPr>
                    <w:pStyle w:val="null3"/>
                    <w:jc w:val="left"/>
                  </w:pPr>
                  <w:r>
                    <w:rPr/>
                    <w:t>政府强制采购节能产品（若有）</w:t>
                  </w:r>
                </w:p>
              </w:tc>
              <w:tc>
                <w:tcPr>
                  <w:tcW w:type="dxa" w:w="1418"/>
                </w:tcPr>
                <w:p>
                  <w:pPr>
                    <w:pStyle w:val="null3"/>
                    <w:jc w:val="left"/>
                  </w:pPr>
                  <w:r>
                    <w:rPr/>
                    <w:t>按照财库〔2019〕9号、财库〔2019〕19号规定，台式计算机、便携式计算机、平板式微型计算机、激光打印机、针式打印机、液晶显示器、制冷压缩机（冷水机组、水源热泵机组、溴化锂吸收式冷水机组）、空调机组【多联式空调（热泵）机组（制冷量＞14000W）、单元式空气调节机（制冷量＞14000W）】、专用制冷、空调设备（机房空调）、镇流器（管型荧光灯镇流器）、空调机【房间空气调节器、多联式空调（热泵）机 组（制 冷 量≤14000W）、单元式空气调节机（制冷量≤14000W）】、电热水器、普通照明用双端荧光灯、电视设备【普通电视设备（电视机）】、视频设备（监视器）、便器（坐便器、蹲便器、小便器）、水嘴等品目为政府强制采购产品（具体品目以《节能产品政府采购品目清单》中“★”标注为准）。供应商须提供所投政府强制采购产品由国家确定的认证机构出具的、处于有效期之内的产品认证证书复印件。</w:t>
                  </w:r>
                </w:p>
              </w:tc>
            </w:tr>
            <w:tr>
              <w:tc>
                <w:tcPr>
                  <w:tcW w:type="dxa" w:w="1135"/>
                </w:tcPr>
                <w:p>
                  <w:pPr>
                    <w:pStyle w:val="null3"/>
                    <w:jc w:val="left"/>
                  </w:pPr>
                  <w:r>
                    <w:rPr/>
                    <w:t>供应商资格承诺函</w:t>
                  </w:r>
                </w:p>
              </w:tc>
              <w:tc>
                <w:tcPr>
                  <w:tcW w:type="dxa" w:w="1418"/>
                </w:tcPr>
                <w:p>
                  <w:pPr>
                    <w:pStyle w:val="null3"/>
                    <w:jc w:val="left"/>
                  </w:pPr>
                  <w:r>
                    <w:rPr/>
                    <w:t>根据《福建省财政厅关于印发推行政府采购供应商资格承诺制指导意见的通知》（闽财购(2024)6号）的规定，依法在福建省参与政府采购活动的供应商，可提供《政府采购供应商资格承诺函》(格式见附件)。供应商应对其承诺内容的真实性、合法性、有效性负责。说明：1.供应商可自行选择是否提供资格承诺函，若不提供资格承诺函的，应按招标文件要求提供相应的证明材料。2.若采购文件中有与此处描述不一致的，以此处描述为准。</w:t>
                  </w:r>
                </w:p>
              </w:tc>
            </w:tr>
          </w:tbl>
          <w:p>
            <w:pPr>
              <w:pStyle w:val="null3"/>
              <w:jc w:val="left"/>
            </w:pPr>
            <w:r>
              <w:rPr/>
              <w:t xml:space="preserve"> （3）谈判保证金</w:t>
            </w:r>
          </w:p>
          <w:p>
            <w:pPr>
              <w:pStyle w:val="null3"/>
              <w:jc w:val="left"/>
            </w:pPr>
            <w:r>
              <w:rPr/>
              <w:t xml:space="preserve"> ※备注说明</w:t>
            </w:r>
          </w:p>
          <w:p>
            <w:pPr>
              <w:pStyle w:val="null3"/>
              <w:jc w:val="left"/>
            </w:pPr>
            <w:r>
              <w:rPr/>
              <w:t xml:space="preserve"> ①供应商应根据自身实际情况提供上述资格要求的证明材料，格式可参考谈判文件第五章提供。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是否接受联合体形式的响应谈判：详见第一章供应商的资格要求的6.3</w:t>
            </w:r>
          </w:p>
        </w:tc>
      </w:tr>
      <w:tr>
        <w:tc>
          <w:tcPr>
            <w:tcW w:type="dxa" w:w="2769"/>
          </w:tcPr>
          <w:p>
            <w:pPr>
              <w:pStyle w:val="null3"/>
              <w:jc w:val="left"/>
            </w:pPr>
            <w:r>
              <w:rPr/>
              <w:t>3</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4</w:t>
            </w:r>
          </w:p>
        </w:tc>
        <w:tc>
          <w:tcPr>
            <w:tcW w:type="dxa" w:w="2769"/>
          </w:tcPr>
          <w:p>
            <w:pPr>
              <w:pStyle w:val="null3"/>
              <w:jc w:val="left"/>
            </w:pPr>
            <w:r>
              <w:rPr/>
              <w:t>10.3.1</w:t>
            </w:r>
          </w:p>
        </w:tc>
        <w:tc>
          <w:tcPr>
            <w:tcW w:type="dxa" w:w="2769"/>
          </w:tcPr>
          <w:p>
            <w:pPr>
              <w:pStyle w:val="null3"/>
              <w:jc w:val="left"/>
            </w:pPr>
            <w:r>
              <w:rPr/>
              <w:t>谈判保证金退还的其它要求：</w:t>
            </w:r>
          </w:p>
          <w:p>
            <w:pPr>
              <w:pStyle w:val="null3"/>
              <w:jc w:val="left"/>
            </w:pPr>
            <w:r>
              <w:rPr/>
              <w:t>无</w:t>
            </w:r>
          </w:p>
        </w:tc>
      </w:tr>
      <w:tr>
        <w:tc>
          <w:tcPr>
            <w:tcW w:type="dxa" w:w="2769"/>
          </w:tcPr>
          <w:p>
            <w:pPr>
              <w:pStyle w:val="null3"/>
              <w:jc w:val="left"/>
            </w:pPr>
            <w:r>
              <w:rPr/>
              <w:t>5</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（2）电子响应文件：详见表2《关于电子竞争性谈判活动的专门规定》</w:t>
            </w:r>
          </w:p>
        </w:tc>
      </w:tr>
      <w:tr>
        <w:tc>
          <w:tcPr>
            <w:tcW w:type="dxa" w:w="2769"/>
          </w:tcPr>
          <w:p>
            <w:pPr>
              <w:pStyle w:val="null3"/>
              <w:jc w:val="left"/>
            </w:pPr>
            <w:r>
              <w:rPr/>
              <w:t>6</w:t>
            </w:r>
          </w:p>
        </w:tc>
        <w:tc>
          <w:tcPr>
            <w:tcW w:type="dxa" w:w="2769"/>
          </w:tcPr>
          <w:p>
            <w:pPr>
              <w:pStyle w:val="null3"/>
              <w:jc w:val="left"/>
            </w:pPr>
            <w:r>
              <w:rPr/>
              <w:t>14.4</w:t>
            </w:r>
          </w:p>
        </w:tc>
        <w:tc>
          <w:tcPr>
            <w:tcW w:type="dxa" w:w="2769"/>
          </w:tcPr>
          <w:p>
            <w:pPr>
              <w:pStyle w:val="null3"/>
              <w:jc w:val="left"/>
            </w:pPr>
            <w:r>
              <w:rPr/>
              <w:t>谈判过程中可能发生实质性变动的内容：</w:t>
            </w:r>
          </w:p>
          <w:p>
            <w:pPr>
              <w:pStyle w:val="null3"/>
              <w:jc w:val="left"/>
            </w:pPr>
            <w:r>
              <w:rPr/>
              <w:t>无</w:t>
            </w:r>
          </w:p>
        </w:tc>
      </w:tr>
      <w:tr>
        <w:tc>
          <w:tcPr>
            <w:tcW w:type="dxa" w:w="2769"/>
          </w:tcPr>
          <w:p>
            <w:pPr>
              <w:pStyle w:val="null3"/>
              <w:jc w:val="left"/>
            </w:pPr>
            <w:r>
              <w:rPr/>
              <w:t>7</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8</w:t>
            </w:r>
          </w:p>
        </w:tc>
        <w:tc>
          <w:tcPr>
            <w:tcW w:type="dxa" w:w="2769"/>
          </w:tcPr>
          <w:p>
            <w:pPr>
              <w:pStyle w:val="null3"/>
              <w:jc w:val="left"/>
            </w:pPr>
            <w:r>
              <w:rPr/>
              <w:t>23.1</w:t>
            </w:r>
          </w:p>
        </w:tc>
        <w:tc>
          <w:tcPr>
            <w:tcW w:type="dxa" w:w="2769"/>
          </w:tcPr>
          <w:p>
            <w:pPr>
              <w:pStyle w:val="null3"/>
              <w:jc w:val="left"/>
            </w:pPr>
            <w:r>
              <w:rPr/>
              <w:t xml:space="preserve">本项目监督管理部门： </w:t>
            </w:r>
            <w:r>
              <w:rPr/>
              <w:t>福州市财政局</w:t>
            </w:r>
          </w:p>
        </w:tc>
      </w:tr>
      <w:tr>
        <w:tc>
          <w:tcPr>
            <w:tcW w:type="dxa" w:w="2769"/>
          </w:tcPr>
          <w:p>
            <w:pPr>
              <w:pStyle w:val="null3"/>
              <w:jc w:val="left"/>
            </w:pPr>
            <w:r>
              <w:rPr/>
              <w:t>9</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①本项目代理服务费按成交金额作为收费的计算基数，按差额定率累进法计算向成交供应商收取。费率标准:100万元（含）以下的按1.5%收取；②代理服务费缴交银行账户：开户名：福建杰俊招标代理有限公司，账 号：117130100100316627，开户银行：兴业银行股份有限公司福州华林支行。</w:t>
            </w:r>
          </w:p>
          <w:p>
            <w:pPr>
              <w:pStyle w:val="null3"/>
              <w:jc w:val="left"/>
            </w:pPr>
            <w:r>
              <w:rPr/>
              <w:t xml:space="preserve"> (2)其他：</w:t>
            </w:r>
          </w:p>
          <w:p>
            <w:pPr>
              <w:pStyle w:val="null3"/>
              <w:jc w:val="left"/>
            </w:pPr>
            <w:r>
              <w:rPr/>
              <w:t>①a、质疑受理的其它要求：质疑人递交质疑函时还应出具质疑人已在福建省政府采购网上公开信息系统上获取谈判文件的证明文件（体现查看时间或获取谈判文件时间）。【查看时间或获取谈判文件时间以福建省政府采购网上公开信息系统记载为准。】在法定质疑期内质疑人须一次性提出针对同一采购程序环节的质疑，二（多）次质疑不予受理。②本项目不要求提交纸质响应文件（包括正本、副本）。同时，竞争性谈判文件中涉及纸质响应文件的要求内容一律取消。本项目可使用远程开标。③a、供应商可远程线上解密（相关操作手册可查看福建省政府采购网首页操作指南），也可以携带CA证书到开标现场进行解密，选择携带CA证书并由代理机构进行解密的应在提交响应文件截止时间前到达开标现场，否则不予接收。供应商选择远程线上解密的，无须将CA证书送至开标地点。谈判文件中关于递交CA证书的表述有不一致的，以本条为准。b.供应商不到开标现场的，请在开标时自行登录采购系统，线上参与开标流程，并按规定在相应时段对响应文件进行远程解密、远程签章。c.供应商应确保自身设施、设备、网络环境状况良好，在操作过程中因供应商自身原因造成无法正常观看开标流程、远程解密或签章的，后果由供应商自行承担。d.在规定的时间内正确提交电子响应文件的供应商在开标时将由系统判定签到情况，供应商应在远程解密开启后在规定时间内使用CA数字证书进行响应文件的解密操作，逾期未解密的视为自行放弃投标。e.开标结束后，供应商应当对开标结果进行签章，并在远程签章开放后的规定时间内完成，逾期未签章的视为认同开标结果。f.远程解密及远程签章的开放起始时间均在开标过程中临时开启，远程解密的时限规定为30分钟，远程签章的的时限规定为10分钟，请供应商务必密切关注实时开标流程，并根据流程在系统内按时操作，否则产生的后果由供应商自行承担。 g、二次报价为线上报价，时限规定为30分钟。（相关操作手册可查看福建省政府采购网首页操作指南）。h、在开标过程中，因系统故障等导致无法继续进行开标的，供应商须配合等待故障处理，待故障解除后继续开标。I、无效投标（响应）条款汇总：采购文件各章节中已列明的无效投标（响应）条款。</w:t>
            </w:r>
          </w:p>
        </w:tc>
      </w:tr>
      <w:tr>
        <w:tc>
          <w:tcPr>
            <w:tcW w:type="dxa" w:w="2769"/>
          </w:tcPr>
          <w:p>
            <w:pPr>
              <w:pStyle w:val="null3"/>
              <w:jc w:val="left"/>
            </w:pPr>
            <w:r>
              <w:rPr/>
              <w:t>10</w:t>
            </w:r>
          </w:p>
        </w:tc>
        <w:tc>
          <w:tcPr>
            <w:tcW w:type="dxa" w:w="2769"/>
          </w:tcP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 xml:space="preserve">合同签订时限： </w:t>
            </w:r>
            <w:r>
              <w:rPr/>
              <w:t>自中标通知书发出之日起30个日历日内。</w:t>
            </w:r>
          </w:p>
        </w:tc>
      </w:tr>
    </w:tbl>
    <w:p>
      <w:pPr>
        <w:pStyle w:val="null3"/>
        <w:jc w:val="center"/>
      </w:pPr>
      <w:r>
        <w:rPr>
          <w:b/>
        </w:rPr>
        <w:t>二、竞争性谈判须知前附表2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t>关于电子竞争性谈判活动的专门规定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（1）电子竞争性谈判活动的专门规定适用于本项目。</w:t>
            </w:r>
          </w:p>
          <w:p>
            <w:pPr>
              <w:pStyle w:val="null3"/>
              <w:jc w:val="left"/>
            </w:pPr>
            <w:r>
              <w:rPr/>
              <w:t>（2）将谈判文件</w:t>
            </w:r>
          </w:p>
          <w:p>
            <w:pPr>
              <w:pStyle w:val="null3"/>
              <w:jc w:val="left"/>
            </w:pPr>
            <w:r>
              <w:rPr/>
              <w:t>无</w:t>
            </w:r>
            <w:r>
              <w:rPr/>
              <w:t xml:space="preserve"> 的内容修正为下列内容：</w:t>
            </w:r>
          </w:p>
          <w:p>
            <w:pPr>
              <w:pStyle w:val="null3"/>
              <w:jc w:val="left"/>
            </w:pPr>
            <w:r>
              <w:rPr/>
              <w:t>无</w:t>
            </w:r>
            <w:r>
              <w:rPr/>
              <w:t xml:space="preserve"> 后适用本项目的电子竞争性谈判活动。</w:t>
            </w:r>
          </w:p>
          <w:p>
            <w:pPr>
              <w:pStyle w:val="null3"/>
              <w:jc w:val="left"/>
            </w:pPr>
            <w:r>
              <w:rPr/>
              <w:t>（3）将下列内容增列为谈判文件的组成部分（以下简称：“增列内容”）适用本项目的电子竞争性谈判活动，若增列内容与谈判文件其他章节内容不一致，应以增列内容为准：</w:t>
            </w:r>
          </w:p>
          <w:p>
            <w:pPr>
              <w:pStyle w:val="null3"/>
              <w:jc w:val="left"/>
            </w:pPr>
            <w:r>
              <w:rPr/>
              <w:t>①电子竞争性谈判活动的具体操作流程以福建省政府采购网上公开信息系统设定的为准。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谈判小组的要求，在谈判过程中以纸质方式签署确认并提交的澄清或说明、解决方案、图纸图表以及最后报价等资料均为补充响应文件，谈判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⑤供应商应按照福建省政府采购网上公开信息系统要求的评审节点编制电子响应文件，否则谈判小组将按照不利于供应商的内容进行认定。</w:t>
            </w:r>
          </w:p>
          <w:p>
            <w:pPr>
              <w:pStyle w:val="null3"/>
              <w:jc w:val="left"/>
            </w:pPr>
            <w:r>
              <w:rPr/>
              <w:t>⑥关于证明材料或资料：</w:t>
            </w:r>
          </w:p>
          <w:p>
            <w:pPr>
              <w:pStyle w:val="null3"/>
              <w:jc w:val="left"/>
            </w:pPr>
            <w:r>
              <w:rPr/>
              <w:t>a.谈判文件要求原件的，供应商在响应文件中可提供复印件（含扫描件），但同时应准备好原件备查（未能在规定时间内提供原件核查的，将按不利于供应商进行评审）；竞争性谈判文件要求复印件的，供应商在响应文件中提供原件、复印件（含扫描件）皆可；竞争性谈判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谈判文件未要求供应商提供原件，供应商提供原件、复印件（含扫描件）均视为满足竞争性谈判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⑧谈判文件接受联合体方式且供应商为联合体的，供应商应以“联合体牵头方”完成电子响应的有关操作（包括但不限于：竞争性谈判文件的获取、提交谈判保证金、编制电子响应文件等）。</w:t>
            </w:r>
          </w:p>
          <w:p>
            <w:pPr>
              <w:pStyle w:val="null3"/>
              <w:jc w:val="left"/>
            </w:pPr>
            <w:r>
              <w:rPr/>
              <w:t>⑨参加谈判活动的供应商代表务必携带供应商的CA证书。供应商的CA证书应能正常、有效使用，否则产生不利后果由供应商承担责任。</w:t>
            </w:r>
          </w:p>
          <w:p>
            <w:pPr>
              <w:pStyle w:val="null3"/>
              <w:jc w:val="left"/>
            </w:pPr>
            <w:r>
              <w:rPr/>
              <w:t>⑩参加谈判活动的供应商代表应当在规定的谈判地点等待，并根据谈判小组的要求和安排配合相应谈判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谈判小组要求参加谈判的，均视同为该供应商自动放弃相应权利并完全认可谈判小组在谈判活动中公布的各项数据、意见和结论，且该供应商将被退出本项目谈判，其提交的响应文件和报价将被否决。供应商的上述行为后果由供应商自行承担且不影响谈判小组依法开展后续相应电子竞争性谈判活动。</w:t>
            </w:r>
          </w:p>
          <w:p>
            <w:pPr>
              <w:pStyle w:val="null3"/>
              <w:jc w:val="left"/>
            </w:pPr>
            <w:r>
              <w:rPr/>
              <w:t>有下列情形之一的，供应商的响应无效，其保证金不予退还或通过保函进行索赔：</w:t>
            </w:r>
          </w:p>
          <w:p>
            <w:pPr>
              <w:pStyle w:val="null3"/>
              <w:jc w:val="left"/>
            </w:pPr>
            <w:r>
              <w:rPr/>
              <w:t>b1不同供应商的电子响应文件具有相同内部识别码；</w:t>
            </w:r>
          </w:p>
          <w:p>
            <w:pPr>
              <w:pStyle w:val="null3"/>
              <w:jc w:val="left"/>
            </w:pPr>
            <w:r>
              <w:rPr/>
              <w:t>b2不同供应商的报价保证金从同一单位或个人的账户转出；</w:t>
            </w:r>
          </w:p>
          <w:p>
            <w:pPr>
              <w:pStyle w:val="null3"/>
              <w:jc w:val="left"/>
            </w:pPr>
            <w:r>
              <w:rPr/>
              <w:t>b3供应商的报价保证金同一合同项下有其他供应商提交的报价保证金。</w:t>
            </w:r>
          </w:p>
          <w:p>
            <w:pPr>
              <w:pStyle w:val="null3"/>
              <w:jc w:val="left"/>
            </w:pPr>
            <w:r>
              <w:rPr/>
              <w:t>(12)其他：</w:t>
            </w:r>
          </w:p>
          <w:p>
            <w:pPr>
              <w:pStyle w:val="null3"/>
              <w:jc w:val="left"/>
            </w:pPr>
            <w:r>
              <w:rPr/>
              <w:t>（1）关于“单位负责人签字或盖章”：在电子响应文件中，涉及“单位负责人签字或盖章”的内容可使用打字录入方式完成；在电子响应文件中，若供应商按照本增列内容第⑦点第b项规定加盖其单位电子印章，则出现单位负责人签字或盖章未签字或盖章等情形，不视为该响应文件无效。</w:t>
            </w:r>
          </w:p>
          <w:p>
            <w:pPr>
              <w:pStyle w:val="null3"/>
              <w:jc w:val="left"/>
            </w:pPr>
            <w:r>
              <w:rPr/>
              <w:t>（与电子竞争性谈判活动有关的其他规定或补充内容可在此处填写）。</w:t>
            </w:r>
          </w:p>
        </w:tc>
      </w:tr>
    </w:tbl>
    <w:p>
      <w:pPr>
        <w:pStyle w:val="null3"/>
        <w:jc w:val="center"/>
        <w:outlineLvl w:val="2"/>
      </w:pPr>
      <w:r>
        <w:rPr>
          <w:sz w:val="28"/>
          <w:b/>
        </w:rPr>
        <w:t>专项附件： 评定成交的标准和方法</w:t>
      </w:r>
    </w:p>
    <w:p>
      <w:pPr>
        <w:pStyle w:val="null3"/>
        <w:jc w:val="center"/>
        <w:outlineLvl w:val="2"/>
      </w:pPr>
      <w:r>
        <w:rPr>
          <w:sz w:val="28"/>
          <w:b/>
        </w:rPr>
        <w:t>一、谈判小组</w:t>
      </w:r>
    </w:p>
    <w:p>
      <w:pPr>
        <w:pStyle w:val="null3"/>
        <w:ind w:firstLine="480"/>
        <w:jc w:val="both"/>
      </w:pPr>
      <w:r>
        <w:rPr/>
        <w:t>1.1采购人根据项目的特点依法组建谈判小组。</w:t>
      </w:r>
    </w:p>
    <w:p>
      <w:pPr>
        <w:pStyle w:val="null3"/>
        <w:ind w:firstLine="480"/>
        <w:jc w:val="both"/>
      </w:pPr>
      <w:r>
        <w:rPr/>
        <w:t>1.2谈判小组</w:t>
      </w:r>
    </w:p>
    <w:p>
      <w:pPr>
        <w:pStyle w:val="null3"/>
        <w:ind w:firstLine="480"/>
        <w:jc w:val="left"/>
      </w:pPr>
      <w:r>
        <w:rPr/>
        <w:t>由采购人代表和评审专家两部分共3人组成，</w:t>
      </w:r>
      <w:r>
        <w:rPr/>
        <w:t>其中由福建省政府采购评审专家库产生的评审专家2人，</w:t>
      </w:r>
      <w:r>
        <w:rPr/>
        <w:t>由采购人派出的采购人代表1人。</w:t>
      </w:r>
      <w:r>
        <w:rPr/>
        <w:t>达到公开招标数额标准的货物或者服务采购项目，或者达到招标规模标准的政府采购工程，竞争性谈判小组应当由5人或以上单数组成。</w:t>
      </w:r>
    </w:p>
    <w:p>
      <w:pPr>
        <w:pStyle w:val="null3"/>
        <w:ind w:firstLine="480"/>
        <w:jc w:val="both"/>
      </w:pPr>
      <w:r>
        <w:rPr/>
        <w:t>1.3谈判小组负责具体谈判和评审事务，并按照下列原则依法独立履行有关职责：</w:t>
      </w:r>
    </w:p>
    <w:p>
      <w:pPr>
        <w:pStyle w:val="null3"/>
        <w:ind w:firstLine="960"/>
        <w:jc w:val="both"/>
      </w:pPr>
      <w:r>
        <w:rPr/>
        <w:t>1.3.1评审应保护国家利益、社会公共利益和各方当事人合法权益，提高采购效益，保证项目质量。</w:t>
      </w:r>
    </w:p>
    <w:p>
      <w:pPr>
        <w:pStyle w:val="null3"/>
        <w:ind w:firstLine="960"/>
        <w:jc w:val="both"/>
      </w:pPr>
      <w:r>
        <w:rPr/>
        <w:t>1.3.2评审应遵循公平、公正、科学、严谨和择优原则。</w:t>
      </w:r>
    </w:p>
    <w:p>
      <w:pPr>
        <w:pStyle w:val="null3"/>
        <w:ind w:firstLine="960"/>
        <w:jc w:val="both"/>
      </w:pPr>
      <w:r>
        <w:rPr/>
        <w:t>1.3.3评审的依据是谈判文件和响应文件，谈判文件中没有规定的评审标准不得作为评审依据。</w:t>
      </w:r>
    </w:p>
    <w:p>
      <w:pPr>
        <w:pStyle w:val="null3"/>
        <w:ind w:firstLine="960"/>
        <w:jc w:val="both"/>
      </w:pPr>
      <w:r>
        <w:rPr/>
        <w:t>1.3.4谈判小组应按照谈判文件规定推荐成交候选供应商或根据采购人的授权确定成交供应商。</w:t>
      </w:r>
    </w:p>
    <w:p>
      <w:pPr>
        <w:pStyle w:val="null3"/>
        <w:ind w:firstLine="960"/>
        <w:jc w:val="both"/>
      </w:pPr>
      <w:r>
        <w:rPr/>
        <w:t>1.3.5评审应遵守下列评审纪律：</w:t>
      </w:r>
    </w:p>
    <w:p>
      <w:pPr>
        <w:pStyle w:val="null3"/>
        <w:ind w:firstLine="960"/>
        <w:jc w:val="both"/>
      </w:pPr>
      <w:r>
        <w:rPr/>
        <w:t>①评审情况不得私自外泄，有关信息由采购人或其委托的代理机构统一对外发布。</w:t>
      </w:r>
    </w:p>
    <w:p>
      <w:pPr>
        <w:pStyle w:val="null3"/>
        <w:ind w:firstLine="960"/>
        <w:jc w:val="both"/>
      </w:pPr>
      <w:r>
        <w:rPr/>
        <w:t>②对采购人或供应商提供的要求保密的资料，不得摘记翻印和外传。</w:t>
      </w:r>
    </w:p>
    <w:p>
      <w:pPr>
        <w:pStyle w:val="null3"/>
        <w:ind w:firstLine="960"/>
        <w:jc w:val="both"/>
      </w:pPr>
      <w:r>
        <w:rPr/>
        <w:t>③不得收受供应商或有关人员的任何礼物，不得串联鼓动其他人袒护某供应商。若与供应商存在利害关系，则应主动声明并回避。</w:t>
      </w:r>
    </w:p>
    <w:p>
      <w:pPr>
        <w:pStyle w:val="null3"/>
        <w:ind w:firstLine="960"/>
        <w:jc w:val="both"/>
      </w:pPr>
      <w:r>
        <w:rPr/>
        <w:t>④全体谈判小组成员应按照谈判文件规定进行评审，一切认定事项应查有实据且不得弄虚作假。</w:t>
      </w:r>
    </w:p>
    <w:p>
      <w:pPr>
        <w:pStyle w:val="null3"/>
        <w:ind w:firstLine="960"/>
        <w:jc w:val="both"/>
      </w:pPr>
      <w:r>
        <w:rPr/>
        <w:t>⑤评审中应充分发扬民主，推荐成交供应商候选人或根据采购人授权确定成交供应商后要服从评审报告。</w:t>
      </w:r>
    </w:p>
    <w:p>
      <w:pPr>
        <w:pStyle w:val="null3"/>
        <w:ind w:firstLine="960"/>
        <w:jc w:val="left"/>
      </w:pPr>
      <w:r>
        <w:rPr>
          <w:b/>
        </w:rPr>
        <w:t>※对违反评审纪律的评委，将取消其评委资格，对评审工作造成严重损失者将予以通报批评乃至追究法律责任。</w:t>
      </w:r>
    </w:p>
    <w:p>
      <w:pPr>
        <w:pStyle w:val="null3"/>
        <w:jc w:val="center"/>
        <w:outlineLvl w:val="2"/>
      </w:pPr>
      <w:r>
        <w:rPr>
          <w:sz w:val="28"/>
          <w:b/>
        </w:rPr>
        <w:t>二、谈判程序</w:t>
      </w:r>
    </w:p>
    <w:p>
      <w:pPr>
        <w:pStyle w:val="null3"/>
        <w:ind w:firstLine="480"/>
        <w:jc w:val="both"/>
      </w:pPr>
      <w:r>
        <w:rPr/>
        <w:t>2.1谈判程序按照谈判文件第二章第2节“竞争性谈判须知”第14条“谈判程序以及评定成交的标准”的相关条款规定执行。</w:t>
      </w:r>
    </w:p>
    <w:p>
      <w:pPr>
        <w:pStyle w:val="null3"/>
        <w:ind w:firstLine="480"/>
        <w:jc w:val="both"/>
      </w:pPr>
      <w:r>
        <w:rPr/>
        <w:t>2.2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left"/>
      </w:pPr>
      <w:r>
        <w:rPr/>
        <w:t>无</w:t>
      </w:r>
    </w:p>
    <w:p>
      <w:pPr>
        <w:pStyle w:val="null3"/>
        <w:ind w:firstLine="480"/>
        <w:jc w:val="both"/>
      </w:pPr>
      <w:r>
        <w:rPr/>
        <w:t>（谈判文件不能详细列明采购标的的技术、服务要求，需经谈判由供应商提供最终设计方案或解决方案的项目，则此文本框中用于填写推荐数量和投票细则等内容，由采购人根据谈判项目实际情况进行具体编制和明确规定）</w:t>
      </w:r>
    </w:p>
    <w:p>
      <w:pPr>
        <w:pStyle w:val="null3"/>
        <w:ind w:firstLine="480"/>
        <w:jc w:val="both"/>
      </w:pPr>
      <w:r>
        <w:rPr/>
        <w:t>2.3只有资格审查和实质性响应审查均合格且按规定提交最后报价的合格供应商才能参加评定成交的最后价格排序和成交候选人推荐。</w:t>
      </w:r>
    </w:p>
    <w:p>
      <w:pPr>
        <w:pStyle w:val="null3"/>
        <w:jc w:val="center"/>
        <w:outlineLvl w:val="2"/>
      </w:pPr>
      <w:r>
        <w:rPr>
          <w:sz w:val="28"/>
          <w:b/>
        </w:rPr>
        <w:t>三、最低评审价法和成交候选人推荐</w:t>
      </w:r>
    </w:p>
    <w:p>
      <w:pPr>
        <w:pStyle w:val="null3"/>
        <w:ind w:firstLine="480"/>
        <w:jc w:val="both"/>
      </w:pPr>
      <w:r>
        <w:rPr/>
        <w:t>3.1谈判小组将采用最低评审价法对提交最后报价的合格供应商的响应文件和最后报价进行评审，并推荐成交候选人。如果谈判项目有多个采购包，则按相应采购包分别进行，具体评审的标准和方法如下：</w:t>
      </w:r>
    </w:p>
    <w:p>
      <w:pPr>
        <w:pStyle w:val="null3"/>
        <w:ind w:firstLine="960"/>
        <w:jc w:val="both"/>
      </w:pPr>
      <w:r>
        <w:rPr/>
        <w:t>3.1.1根据财政部及福建省财政厅等有关政府采购文件规定执行价格评审优惠政策，价格扣除规则如下：</w:t>
      </w:r>
    </w:p>
    <w:p>
      <w:pPr>
        <w:pStyle w:val="null3"/>
        <w:jc w:val="left"/>
      </w:pPr>
      <w:r>
        <w:rPr/>
        <w:t>采购包1：最低评标价法</w:t>
      </w:r>
    </w:p>
    <w:p>
      <w:pPr>
        <w:pStyle w:val="null3"/>
        <w:jc w:val="left"/>
      </w:pPr>
      <w:r>
        <w:rPr/>
        <w:t>响应文件满足谈判文件全部实质性要求，且响应报价最低的供应商为成交候选供应商。</w:t>
      </w:r>
    </w:p>
    <w:p>
      <w:pPr>
        <w:pStyle w:val="null3"/>
        <w:jc w:val="left"/>
      </w:pPr>
      <w:r>
        <w:rPr/>
        <w:t>价格扣除的规则如下：</w:t>
      </w:r>
    </w:p>
    <w:p>
      <w:pPr>
        <w:pStyle w:val="null3"/>
        <w:jc w:val="left"/>
      </w:pPr>
      <w:r>
        <w:rPr/>
        <w:t>小型、微型企业产品</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left"/>
            </w:pPr>
            <w:r>
              <w:rPr/>
              <w:t xml:space="preserve"> 项目</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4153"/>
          </w:tcPr>
          <w:p>
            <w:pPr>
              <w:pStyle w:val="null3"/>
              <w:jc w:val="left"/>
            </w:pPr>
            <w:r>
              <w:rPr/>
              <w:t xml:space="preserve"> 描述</w:t>
            </w:r>
          </w:p>
        </w:tc>
      </w:tr>
      <w:tr>
        <w:tc>
          <w:tcPr>
            <w:tcW w:type="dxa" w:w="1661"/>
          </w:tcPr>
          <w:p>
            <w:pPr>
              <w:pStyle w:val="null3"/>
              <w:jc w:val="left"/>
            </w:pPr>
            <w:r>
              <w:rPr/>
              <w:t>小型、微型企业，监狱企业，残疾人福利性单位</w:t>
            </w:r>
          </w:p>
        </w:tc>
        <w:tc>
          <w:tcPr>
            <w:tcW w:type="dxa" w:w="1661"/>
          </w:tcPr>
          <w:p>
            <w:pPr>
              <w:pStyle w:val="null3"/>
              <w:jc w:val="left"/>
            </w:pPr>
            <w:r>
              <w:rPr/>
              <w:t>投标人或者联合体均为小型、微型企业</w:t>
            </w:r>
          </w:p>
        </w:tc>
        <w:tc>
          <w:tcPr>
            <w:tcW w:type="dxa" w:w="831"/>
          </w:tcPr>
          <w:p>
            <w:pPr>
              <w:pStyle w:val="null3"/>
              <w:jc w:val="right"/>
            </w:pPr>
            <w:r>
              <w:rPr/>
              <w:t>15.0000%</w:t>
            </w:r>
          </w:p>
        </w:tc>
        <w:tc>
          <w:tcPr>
            <w:tcW w:type="dxa" w:w="4153"/>
          </w:tcPr>
          <w:p>
            <w:pPr>
              <w:pStyle w:val="null3"/>
              <w:jc w:val="left"/>
            </w:pPr>
            <w:r>
              <w:rPr/>
              <w:t>本采购包1属于货物类采购项目，供应商须按照《中小企业声明函》货物类格式版本提供声明函。采购标的对应的中小企业划分标准所属行业为“工业”。未按照以上要求提供者不享受价格扣除政策。（1）根据《关于印发政府采购促进中小企业发展管理办法的通知》（财库〔2020〕46号）文件、《关于进一步加大政府采购支持中小企业力度的通知》（财库〔2022〕19号）文件、《福建省财政厅关于进一步加大政府采购支持中小企业力度的通知》（闽财规〔2022〕13号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办法规定的中小企业扶持政策：（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民法典》、《中华人民共和国劳动合同法》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本项目将对符合本办法规定的小微企业报价给予15%（工程项目为3%）的扣除，用扣除后的价格参加评审。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5%（工程项目为1%）的扣除，用扣除后的价格参加评审。中小企业适用价格扣除办法时应提供《中小企业声明函》，否则不予价格扣除。（2）根据财政部、司法部联合印发《关于政府采购支持监狱企业发展有关问题的通知》（财库【2014】68号）文件规定，符合规定的监狱和戒毒企业(以下简称监狱企业)参加政府采购活动视同小型、微型企业，提供由省级以上监狱管理局、戒毒管理局（含新疆生产建设兵团）出具的属于监狱企业的证明文件，其报价享受6%的评审价格扣除优惠。（3）根据《财政部、民政部、中国残疾人联合会关于促进残疾人就业政府采购政策的通知》（财库〔2017〕141号）规定，符合规定的残疾人福利性单位参加政府采购活动视同小型、微型企业，提供《残疾人福利性单位声明函》并对声明的真实性负责，其报价享受15%的评审价格扣除优惠。对残疾人福利性单位与其他组织组成联合体参与政府采购活动的，残疾人福利性单位的协议合同金额占总合同金额30%以上的，给予联合体合同金额5%的价格扣除。残疾人福利性单位属于小型、微型企业的，不重复享受政策，按残疾人福利性单位价格扣除标准执行。残疾人福利性单位参与货物项目的，须在响应文件中写明具体哪些货物是由本单位制造，或者由其他残疾人福利性单位制造（不包括使用非残疾人福利性单位注册商标的货物），并对其进行标注。注：1、依据本办法规定享受扶持政策获得政府采购合同的，小微企业不得将合同分包给大中型企业，中型企业不得将合同分包给大型企业。2、供应商提供声明函内容不实的或提供虚假证明文件的，均属于提供虚假材料谋取中标、成交，一经发现将依照《中华人民共和国政府采购法》等国家有关规定追究相应责任。</w:t>
            </w:r>
          </w:p>
        </w:tc>
      </w:tr>
    </w:tbl>
    <w:p>
      <w:pPr>
        <w:pStyle w:val="null3"/>
        <w:jc w:val="left"/>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left"/>
            </w:pPr>
            <w:r>
              <w:rPr/>
              <w:t xml:space="preserve"> 项目</w:t>
            </w:r>
          </w:p>
        </w:tc>
        <w:tc>
          <w:tcPr>
            <w:tcW w:type="dxa" w:w="1038"/>
          </w:tcPr>
          <w:p>
            <w:pPr>
              <w:pStyle w:val="null3"/>
              <w:jc w:val="left"/>
            </w:pPr>
            <w:r>
              <w:rPr/>
              <w:t xml:space="preserve"> 比例</w:t>
            </w:r>
          </w:p>
        </w:tc>
        <w:tc>
          <w:tcPr>
            <w:tcW w:type="dxa" w:w="5191"/>
          </w:tcPr>
          <w:p>
            <w:pPr>
              <w:pStyle w:val="null3"/>
              <w:jc w:val="left"/>
            </w:pPr>
            <w:r>
              <w:rPr/>
              <w:t xml:space="preserve"> 方法</w:t>
            </w:r>
          </w:p>
        </w:tc>
      </w:tr>
      <w:tr>
        <w:tc>
          <w:tcPr>
            <w:tcW w:type="dxa" w:w="2076"/>
          </w:tcPr>
          <w:p>
            <w:pPr>
              <w:pStyle w:val="null3"/>
              <w:jc w:val="left"/>
            </w:pPr>
            <w:r>
              <w:rPr/>
              <w:t>节能、环境标志产品</w:t>
            </w:r>
          </w:p>
        </w:tc>
        <w:tc>
          <w:tcPr>
            <w:tcW w:type="dxa" w:w="1038"/>
          </w:tcPr>
          <w:p>
            <w:pPr>
              <w:pStyle w:val="null3"/>
              <w:jc w:val="right"/>
            </w:pPr>
            <w:r>
              <w:rPr/>
              <w:t>15.0000%</w:t>
            </w:r>
          </w:p>
        </w:tc>
        <w:tc>
          <w:tcPr>
            <w:tcW w:type="dxa" w:w="5191"/>
          </w:tcPr>
          <w:p>
            <w:pPr>
              <w:pStyle w:val="null3"/>
              <w:jc w:val="left"/>
            </w:pPr>
            <w:r>
              <w:rPr/>
              <w:t>本采购包给予节能、环境标志产品每个单项报价15%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供应商在报价时必须对节能（非强制类产品）、环境标志产品单独分项报价，并于投标文件中提供属于节能（非强制类产品）、环境标志产品的证明资料（国家确定的认证机构出具的、处于有效期之内的产品认证证书复印件）。</w:t>
            </w:r>
          </w:p>
        </w:tc>
      </w:tr>
    </w:tbl>
    <w:p>
      <w:pPr>
        <w:pStyle w:val="null3"/>
        <w:jc w:val="left"/>
      </w:pPr>
      <w:r>
        <w:rPr/>
        <w:t>其他：无</w:t>
      </w:r>
    </w:p>
    <w:p>
      <w:pPr>
        <w:pStyle w:val="null3"/>
        <w:jc w:val="left"/>
      </w:pPr>
      <w:r>
        <w:rPr/>
        <w:t>※除落实政府采购政策需进行的价格扣除情形外，不能对供应商的报价进行任何调整。</w:t>
      </w:r>
    </w:p>
    <w:p>
      <w:pPr>
        <w:pStyle w:val="null3"/>
        <w:jc w:val="left"/>
      </w:pPr>
      <w:r>
        <w:rPr/>
        <w:t>（3）成交候选供应商排列规则顺序如下：</w:t>
      </w:r>
    </w:p>
    <w:p>
      <w:pPr>
        <w:pStyle w:val="null3"/>
        <w:jc w:val="left"/>
      </w:pPr>
      <w:r>
        <w:rPr/>
        <w:t>a.按照评审价（即价格扣除后的响应报价）由低到高顺序排列。</w:t>
      </w:r>
    </w:p>
    <w:p>
      <w:pPr>
        <w:pStyle w:val="null3"/>
        <w:jc w:val="left"/>
      </w:pPr>
      <w:r>
        <w:rPr/>
        <w:t>b.评审价相同的并列。</w:t>
      </w:r>
    </w:p>
    <w:p>
      <w:pPr>
        <w:pStyle w:val="null3"/>
        <w:ind w:firstLine="960"/>
        <w:jc w:val="both"/>
      </w:pPr>
      <w:r>
        <w:rPr/>
        <w:t>c.其他：</w:t>
      </w:r>
    </w:p>
    <w:p>
      <w:pPr>
        <w:pStyle w:val="null3"/>
        <w:jc w:val="both"/>
      </w:pPr>
      <w:r>
        <w:rPr/>
        <w:t>无</w:t>
      </w:r>
    </w:p>
    <w:p>
      <w:pPr>
        <w:pStyle w:val="null3"/>
        <w:ind w:firstLine="960"/>
        <w:jc w:val="both"/>
      </w:pPr>
      <w:r>
        <w:rPr/>
        <w:t>3.1.2合格供应商提交的最后报价按照上文3.1.1款规定的价格扣除规则计算后，得出的价格称为最后报价评审价。</w:t>
      </w:r>
    </w:p>
    <w:p>
      <w:pPr>
        <w:pStyle w:val="null3"/>
        <w:ind w:firstLine="960"/>
        <w:jc w:val="left"/>
      </w:pPr>
      <w:r>
        <w:rPr/>
        <w:t xml:space="preserve">3.1.3 </w:t>
      </w:r>
      <w:r>
        <w:rPr/>
        <w:t>谈判小组将从质量和服务均能满足采购文件实质性响应要求的供应商中，按照最后报价评审价由低到高的顺序提出3名以上成交候选人，并编写评审报告。</w:t>
      </w:r>
      <w:r>
        <w:rPr/>
        <w:t xml:space="preserve"> 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按照以下方式和顺序进行处理：</w:t>
      </w:r>
    </w:p>
    <w:p>
      <w:pPr>
        <w:pStyle w:val="null3"/>
        <w:ind w:firstLine="960"/>
        <w:jc w:val="left"/>
      </w:pPr>
      <w:r>
        <w:rPr/>
        <w:t>（1）谈判文件可以约定出现并列最低评审价情形时的优先顺序规则，具体规则为：</w:t>
      </w:r>
    </w:p>
    <w:p>
      <w:pPr>
        <w:pStyle w:val="null3"/>
        <w:jc w:val="left"/>
      </w:pPr>
      <w:r>
        <w:rPr/>
        <w:t>无</w:t>
      </w:r>
    </w:p>
    <w:p>
      <w:pPr>
        <w:pStyle w:val="null3"/>
        <w:ind w:firstLine="960"/>
        <w:jc w:val="both"/>
      </w:pPr>
      <w:r>
        <w:rPr/>
        <w:t>（2）谈判文件未约定优先顺序规则时，则由谈判小组中的采购人代表从并列最低评审价名单中自行选择确定优先顺序</w:t>
      </w:r>
    </w:p>
    <w:p>
      <w:pPr>
        <w:pStyle w:val="null3"/>
        <w:ind w:firstLine="960"/>
        <w:jc w:val="both"/>
      </w:pPr>
      <w:r>
        <w:rPr/>
        <w:t>（3）采购人代表放弃自行选择确定权利的，则通过随机抽取方式确定优先顺序。</w:t>
      </w:r>
    </w:p>
    <w:p>
      <w:pPr>
        <w:pStyle w:val="null3"/>
        <w:jc w:val="center"/>
        <w:outlineLvl w:val="2"/>
      </w:pPr>
      <w:r>
        <w:rPr>
          <w:sz w:val="28"/>
          <w:b/>
        </w:rPr>
        <w:t>四、评审报告</w:t>
      </w:r>
    </w:p>
    <w:p>
      <w:pPr>
        <w:pStyle w:val="null3"/>
        <w:ind w:firstLine="480"/>
        <w:jc w:val="both"/>
      </w:pPr>
      <w:r>
        <w:rPr/>
        <w:t>4.1谈判小组完成评审后，应当编写评审报告并提交给采购人。</w:t>
      </w:r>
    </w:p>
    <w:p>
      <w:pPr>
        <w:pStyle w:val="null3"/>
        <w:ind w:firstLine="480"/>
        <w:jc w:val="both"/>
      </w:pPr>
      <w:r>
        <w:rPr/>
        <w:t>4.2评审报告应当包括以下主要内容：</w:t>
      </w:r>
    </w:p>
    <w:p>
      <w:pPr>
        <w:pStyle w:val="null3"/>
        <w:ind w:firstLine="480"/>
        <w:jc w:val="both"/>
      </w:pPr>
      <w:r>
        <w:rPr/>
        <w:t>（一）邀请供应商参加采购活动的具体方式和相关情况，以及参加采购活动的供应商名单；</w:t>
      </w:r>
    </w:p>
    <w:p>
      <w:pPr>
        <w:pStyle w:val="null3"/>
        <w:ind w:firstLine="480"/>
        <w:jc w:val="both"/>
      </w:pPr>
      <w:r>
        <w:rPr/>
        <w:t>（二）评审日期和地点，谈判小组成员名单；</w:t>
      </w:r>
    </w:p>
    <w:p>
      <w:pPr>
        <w:pStyle w:val="null3"/>
        <w:ind w:firstLine="480"/>
        <w:jc w:val="both"/>
      </w:pPr>
      <w:r>
        <w:rPr/>
        <w:t>（三）评审情况记录和说明，包括对供应商的资格审查情况、供应商响应文件评审情况、谈判情况、报价情况等；</w:t>
      </w:r>
    </w:p>
    <w:p>
      <w:pPr>
        <w:pStyle w:val="null3"/>
        <w:ind w:firstLine="480"/>
        <w:jc w:val="both"/>
      </w:pPr>
      <w:r>
        <w:rPr/>
        <w:t>（四）提出的成交候选人的名单及理由。</w:t>
      </w:r>
    </w:p>
    <w:p>
      <w:pPr>
        <w:pStyle w:val="null3"/>
        <w:ind w:firstLine="480"/>
        <w:jc w:val="both"/>
      </w:pPr>
      <w:r>
        <w:rPr/>
        <w:t>4.3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both"/>
      </w:pPr>
      <w:r>
        <w:rPr/>
        <w:t>5.1其他规定</w:t>
      </w:r>
    </w:p>
    <w:p>
      <w:pPr>
        <w:pStyle w:val="null3"/>
        <w:ind w:firstLine="960"/>
        <w:jc w:val="both"/>
      </w:pPr>
      <w:r>
        <w:rPr/>
        <w:t>5.1.1评审应全程保密且不得透露给任一供应商或与评审工作无关的人员。</w:t>
      </w:r>
    </w:p>
    <w:p>
      <w:pPr>
        <w:pStyle w:val="null3"/>
        <w:ind w:firstLine="960"/>
        <w:jc w:val="both"/>
      </w:pPr>
      <w:r>
        <w:rPr/>
        <w:t>5.1.2评审将进行全程实时录音录像，录音录像资料随采购文件一并存档。</w:t>
      </w:r>
    </w:p>
    <w:p>
      <w:pPr>
        <w:pStyle w:val="null3"/>
        <w:ind w:firstLine="960"/>
        <w:jc w:val="both"/>
      </w:pPr>
      <w:r>
        <w:rPr/>
        <w:t>5.1.3若供应商有任何试图干扰具体评审事务，影响谈判小组独立履行职责的行为，其响应无效且不予退还谈判保证金或通过保函进行索赔。情节严重的，由财政部门列入不良行为记录。</w:t>
      </w:r>
    </w:p>
    <w:p>
      <w:pPr>
        <w:pStyle w:val="null3"/>
        <w:ind w:firstLine="960"/>
        <w:jc w:val="both"/>
      </w:pPr>
      <w:r>
        <w:rPr/>
        <w:t>5.1.4根据采购项目的特点和需要，需要加以详细说明的其他谈判程序规定、要求等内容：</w:t>
      </w:r>
    </w:p>
    <w:p>
      <w:pPr>
        <w:pStyle w:val="null3"/>
        <w:jc w:val="left"/>
      </w:pPr>
      <w:r>
        <w:rPr/>
        <w:t>无</w:t>
      </w:r>
    </w:p>
    <w:p>
      <w:pPr>
        <w:pStyle w:val="null3"/>
        <w:jc w:val="center"/>
        <w:outlineLvl w:val="2"/>
      </w:pPr>
      <w:r>
        <w:rPr>
          <w:sz w:val="28"/>
          <w:b/>
        </w:rPr>
        <w:t>第2节 竞争性谈判须知</w:t>
      </w:r>
    </w:p>
    <w:p>
      <w:pPr>
        <w:pStyle w:val="null3"/>
        <w:jc w:val="center"/>
        <w:outlineLvl w:val="2"/>
      </w:pPr>
      <w:r>
        <w:rPr>
          <w:sz w:val="28"/>
          <w:b/>
        </w:rPr>
        <w:t>一、总则</w:t>
      </w:r>
    </w:p>
    <w:p>
      <w:pPr>
        <w:pStyle w:val="null3"/>
        <w:jc w:val="both"/>
      </w:pPr>
      <w:r>
        <w:rPr>
          <w:b/>
        </w:rPr>
        <w:t>1.适用范围：</w:t>
      </w:r>
    </w:p>
    <w:p>
      <w:pPr>
        <w:pStyle w:val="null3"/>
        <w:ind w:firstLine="480"/>
        <w:jc w:val="both"/>
      </w:pPr>
      <w:r>
        <w:rPr/>
        <w:t>1.1适用于谈判文件载明项目的采购活动（以下简称：“本次采购活动”）。</w:t>
      </w:r>
    </w:p>
    <w:p>
      <w:pPr>
        <w:pStyle w:val="null3"/>
        <w:jc w:val="both"/>
      </w:pPr>
      <w:r>
        <w:rPr>
          <w:b/>
        </w:rPr>
        <w:t>2.定义及要求：</w:t>
      </w:r>
    </w:p>
    <w:p>
      <w:pPr>
        <w:pStyle w:val="null3"/>
        <w:ind w:firstLine="480"/>
        <w:jc w:val="both"/>
      </w:pPr>
      <w:r>
        <w:rPr/>
        <w:t>2.1“采购标的”指谈判文件载明的需要采购的货物、服务、工程。</w:t>
      </w:r>
    </w:p>
    <w:p>
      <w:pPr>
        <w:pStyle w:val="null3"/>
        <w:ind w:firstLine="480"/>
        <w:jc w:val="both"/>
      </w:pPr>
      <w:r>
        <w:rPr/>
        <w:t>2.2“采购人”指本次采购项目的买方、或业主方、或甲方，具体见谈判文件第一章；“采购代理机构”系指接受采购人委托，组织开展竞争性谈判采购活动的代理机构，具体见谈判文件第一章。</w:t>
      </w:r>
    </w:p>
    <w:p>
      <w:pPr>
        <w:pStyle w:val="null3"/>
        <w:ind w:firstLine="480"/>
        <w:jc w:val="both"/>
      </w:pPr>
      <w:r>
        <w:rPr/>
        <w:t>2.3“潜在供应商”按照谈判文件第一章规定进行获取文件，且有意向参加本项目响应谈判的供应商。</w:t>
      </w:r>
    </w:p>
    <w:p>
      <w:pPr>
        <w:pStyle w:val="null3"/>
        <w:ind w:firstLine="480"/>
        <w:jc w:val="both"/>
      </w:pPr>
      <w:r>
        <w:rPr/>
        <w:t>2.4“供应商”指按照谈判文件第一章规定进行获取文件，且已经提交响应文件的法人或其他组织或自然人。只有适合自然人参与和承接的政府采购项目，供应商才可以是自然人。</w:t>
      </w:r>
    </w:p>
    <w:p>
      <w:pPr>
        <w:pStyle w:val="null3"/>
        <w:ind w:firstLine="480"/>
        <w:jc w:val="both"/>
      </w:pPr>
      <w:r>
        <w:rPr/>
        <w:t>2.5“单位负责人”指单位法定代表人（供应商为法人的）或法律、法规规定代表单位行使职权的主要负责人（供应商为其他组织的）。</w:t>
      </w:r>
    </w:p>
    <w:p>
      <w:pPr>
        <w:pStyle w:val="null3"/>
        <w:ind w:firstLine="480"/>
        <w:jc w:val="both"/>
      </w:pPr>
      <w:r>
        <w:rPr/>
        <w:t>2.6“供应商代表”指供应商（为法人或其他组织的）的单位负责人或由其授权的委托代理人，即单位负责人授权书中载明的接受授权方。供应商为自然人的，由本人签字并附身份证明。</w:t>
      </w:r>
    </w:p>
    <w:p>
      <w:pPr>
        <w:pStyle w:val="null3"/>
        <w:jc w:val="both"/>
      </w:pPr>
      <w:r>
        <w:rPr>
          <w:b/>
        </w:rPr>
        <w:t>3.合格的供应商：</w:t>
      </w:r>
    </w:p>
    <w:p>
      <w:pPr>
        <w:pStyle w:val="null3"/>
        <w:ind w:firstLine="480"/>
        <w:jc w:val="both"/>
      </w:pPr>
      <w:r>
        <w:rPr/>
        <w:t>3.1一般规定</w:t>
      </w:r>
    </w:p>
    <w:p>
      <w:pPr>
        <w:pStyle w:val="null3"/>
        <w:ind w:firstLine="960"/>
        <w:jc w:val="both"/>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both"/>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both"/>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ind w:firstLine="960"/>
        <w:jc w:val="both"/>
      </w:pPr>
      <w:r>
        <w:rPr/>
        <w:t>供应商有责任检查自身情况，在响应文件中对是否违反以上一般规定做出如实声明，否则其响应文件将被否决。</w:t>
      </w:r>
    </w:p>
    <w:p>
      <w:pPr>
        <w:pStyle w:val="null3"/>
        <w:ind w:firstLine="480"/>
        <w:jc w:val="both"/>
      </w:pPr>
      <w:r>
        <w:rPr/>
        <w:t>3.2特别规定</w:t>
      </w:r>
    </w:p>
    <w:p>
      <w:pPr>
        <w:pStyle w:val="null3"/>
        <w:ind w:firstLine="960"/>
        <w:jc w:val="both"/>
      </w:pPr>
      <w:r>
        <w:rPr/>
        <w:t>3.2.1供应商的资格要求：详见竞争性谈判须知前附表第1项。</w:t>
      </w:r>
    </w:p>
    <w:p>
      <w:pPr>
        <w:pStyle w:val="null3"/>
        <w:ind w:firstLine="960"/>
        <w:jc w:val="both"/>
      </w:pPr>
      <w:r>
        <w:rPr/>
        <w:t>3.2.2是否接受联合体形式的响应谈判：详见竞争性谈判须知前附表第2项。若接受联合体形式且供应商为联合体，则联合体各方除了应遵守本章第3.1条规定外，还应遵守下列规定：</w:t>
      </w:r>
    </w:p>
    <w:p>
      <w:pPr>
        <w:pStyle w:val="null3"/>
        <w:ind w:firstLine="960"/>
        <w:jc w:val="both"/>
      </w:pPr>
      <w:r>
        <w:rPr/>
        <w:t>（1）联合体各方应提交联合体协议，联合体协议应符合谈判文件规定。</w:t>
      </w:r>
    </w:p>
    <w:p>
      <w:pPr>
        <w:pStyle w:val="null3"/>
        <w:ind w:firstLine="960"/>
        <w:jc w:val="both"/>
      </w:pPr>
      <w:r>
        <w:rPr/>
        <w:t>（2）联合体各方不得再单独参加或与其他供应商另外组成联合体参加同一合同项下的响应谈判。</w:t>
      </w:r>
    </w:p>
    <w:p>
      <w:pPr>
        <w:pStyle w:val="null3"/>
        <w:ind w:firstLine="960"/>
        <w:jc w:val="both"/>
      </w:pPr>
      <w:r>
        <w:rPr/>
        <w:t>（3）联合体各方应共同与采购人签订政府采购合同，就政府采购合同约定的事项对采购人承担连带责任。</w:t>
      </w:r>
    </w:p>
    <w:p>
      <w:pPr>
        <w:pStyle w:val="null3"/>
        <w:ind w:firstLine="96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both"/>
      </w:pPr>
      <w:r>
        <w:rPr/>
        <w:t>（5）联合体一方放弃成交的，视为联合体整体放弃成交，联合体各方承担连带责任。</w:t>
      </w:r>
    </w:p>
    <w:p>
      <w:pPr>
        <w:pStyle w:val="null3"/>
        <w:ind w:firstLine="960"/>
        <w:jc w:val="both"/>
      </w:pPr>
      <w:r>
        <w:rPr/>
        <w:t>（6）如本项目不接受联合体报价而供应商为联合体的，或者本项目接受联合体报价但供应商组成的联合体不符合本章第3.2条规定的，其报价无效。</w:t>
      </w:r>
    </w:p>
    <w:p>
      <w:pPr>
        <w:pStyle w:val="null3"/>
        <w:ind w:firstLine="960"/>
        <w:jc w:val="both"/>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both"/>
      </w:pPr>
      <w:r>
        <w:rPr>
          <w:b/>
        </w:rPr>
        <w:t>4.参与竞争性谈判费用：</w:t>
      </w:r>
    </w:p>
    <w:p>
      <w:pPr>
        <w:pStyle w:val="null3"/>
        <w:ind w:firstLine="480"/>
        <w:jc w:val="both"/>
      </w:pPr>
      <w:r>
        <w:rPr/>
        <w:t>4.1除法律法规或采购文件另有规定之外，供应商应自行承担其准备与参加竞争性谈判所涉及的一切费用。</w:t>
      </w:r>
    </w:p>
    <w:p>
      <w:pPr>
        <w:pStyle w:val="null3"/>
        <w:jc w:val="center"/>
        <w:outlineLvl w:val="2"/>
      </w:pPr>
      <w:r>
        <w:rPr>
          <w:sz w:val="28"/>
          <w:b/>
        </w:rPr>
        <w:t>二、竞争性谈判文件</w:t>
      </w:r>
    </w:p>
    <w:p>
      <w:pPr>
        <w:pStyle w:val="null3"/>
        <w:jc w:val="both"/>
      </w:pPr>
      <w:r>
        <w:rPr>
          <w:b/>
        </w:rPr>
        <w:t>5.竞争性谈判文件的组成：</w:t>
      </w:r>
    </w:p>
    <w:p>
      <w:pPr>
        <w:pStyle w:val="null3"/>
        <w:ind w:firstLine="480"/>
        <w:jc w:val="both"/>
      </w:pPr>
      <w:r>
        <w:rPr/>
        <w:t>5.1竞争性谈判文件由下述部分组成：</w:t>
      </w:r>
    </w:p>
    <w:p>
      <w:pPr>
        <w:pStyle w:val="null3"/>
        <w:ind w:firstLine="480"/>
        <w:jc w:val="both"/>
      </w:pPr>
      <w:r>
        <w:rPr/>
        <w:t>第一章 采购公告（或采购邀请书）</w:t>
      </w:r>
    </w:p>
    <w:p>
      <w:pPr>
        <w:pStyle w:val="null3"/>
        <w:ind w:firstLine="480"/>
        <w:jc w:val="both"/>
      </w:pPr>
      <w:r>
        <w:rPr/>
        <w:t>第二章 竞争性谈判须知</w:t>
      </w:r>
    </w:p>
    <w:p>
      <w:pPr>
        <w:pStyle w:val="null3"/>
        <w:ind w:firstLine="480"/>
        <w:jc w:val="both"/>
      </w:pPr>
      <w:r>
        <w:rPr/>
        <w:t>第三章 采购内容及要求</w:t>
      </w:r>
    </w:p>
    <w:p>
      <w:pPr>
        <w:pStyle w:val="null3"/>
        <w:ind w:firstLine="480"/>
        <w:jc w:val="both"/>
      </w:pPr>
      <w:r>
        <w:rPr/>
        <w:t>第四章 合同主要条款及格式</w:t>
      </w:r>
    </w:p>
    <w:p>
      <w:pPr>
        <w:pStyle w:val="null3"/>
        <w:ind w:firstLine="480"/>
        <w:jc w:val="both"/>
      </w:pPr>
      <w:r>
        <w:rPr/>
        <w:t>第五章 首次响应文件格式</w:t>
      </w:r>
    </w:p>
    <w:p>
      <w:pPr>
        <w:pStyle w:val="null3"/>
        <w:ind w:firstLine="480"/>
        <w:jc w:val="both"/>
      </w:pPr>
      <w:r>
        <w:rPr/>
        <w:t>5.2除上述内容以外，采购人、采购代理机构或者谈判小组在采购过程期间对谈判文件所作的澄清、修改或补充，均构成谈判文件的组成部分，对采购人和供应商具有约束力。</w:t>
      </w:r>
    </w:p>
    <w:p>
      <w:pPr>
        <w:pStyle w:val="null3"/>
        <w:jc w:val="both"/>
      </w:pPr>
      <w:r>
        <w:rPr>
          <w:b/>
        </w:rPr>
        <w:t>6.竞争性谈判文件的澄清、补充或修改：</w:t>
      </w:r>
    </w:p>
    <w:p>
      <w:pPr>
        <w:pStyle w:val="null3"/>
        <w:ind w:firstLine="480"/>
        <w:jc w:val="both"/>
      </w:pPr>
      <w:r>
        <w:rPr/>
        <w:t>6.1提交首次响应文件截止之日前，采购人、采购代理机构或者谈判小组可以对已发出的谈判文件进行必要的澄清、补充或者修改，澄清、补充或者修改的内容作为谈判文件的组成部分。澄清、补充或者修改的内容可能影响响应文件编制的，采购人、采购代理机构或者谈判小组将在提交首次响应文件截止时间3个工作日前，以书面形式通知所有获取谈判文件的潜在供应商，不足3个工作日的，采购人、采购代理机构或谈判小组将顺延提交首次响应文件的截止时间。</w:t>
      </w:r>
    </w:p>
    <w:p>
      <w:pPr>
        <w:pStyle w:val="null3"/>
        <w:ind w:firstLine="480"/>
        <w:jc w:val="both"/>
      </w:pPr>
      <w:r>
        <w:rPr/>
        <w:t>6.2提交首次响应文件截止时间前，若采购人发布更正公告，则更正公告及其所发布的内容或信息（包括但不限于竞争性谈判文件的澄清、补充或修改等）作为谈判文件组成部分，对采购人和供应商具有约束力。更正公告作为采购人、采购代理机构或谈判小组通知所有潜在供应商的书面形式，潜在供应商务必随时关注谈判文件中载明的指定媒体，以免遗漏。</w:t>
      </w:r>
    </w:p>
    <w:p>
      <w:pPr>
        <w:pStyle w:val="null3"/>
        <w:jc w:val="center"/>
        <w:outlineLvl w:val="2"/>
      </w:pPr>
      <w:r>
        <w:rPr>
          <w:sz w:val="28"/>
          <w:b/>
        </w:rPr>
        <w:t>三、响应文件编制</w:t>
      </w:r>
    </w:p>
    <w:p>
      <w:pPr>
        <w:pStyle w:val="null3"/>
        <w:jc w:val="both"/>
      </w:pPr>
      <w:r>
        <w:rPr>
          <w:b/>
        </w:rPr>
        <w:t>7.应标要求</w:t>
      </w:r>
    </w:p>
    <w:p>
      <w:pPr>
        <w:pStyle w:val="null3"/>
        <w:ind w:firstLine="480"/>
        <w:jc w:val="both"/>
      </w:pPr>
      <w:r>
        <w:rPr/>
        <w:t>7.1供应商可按照采购包号，对竞争性谈判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both"/>
      </w:pPr>
      <w:r>
        <w:rPr/>
        <w:t>7.2供应商代表在同一个合同项下只能接受一个供应商的委托参加响应谈判，否则其响应文件将被否决。</w:t>
      </w:r>
    </w:p>
    <w:p>
      <w:pPr>
        <w:pStyle w:val="null3"/>
        <w:ind w:firstLine="480"/>
        <w:jc w:val="both"/>
      </w:pPr>
      <w:r>
        <w:rPr/>
        <w:t>7.3供应商应仔细阅读谈判文件的所有内容和要求，按谈判文件的规定提供响应文件，并对其所提供的全部资料、承诺和声明的真实性、合法性和准确性负责。</w:t>
      </w:r>
    </w:p>
    <w:p>
      <w:pPr>
        <w:pStyle w:val="null3"/>
        <w:ind w:firstLine="480"/>
        <w:jc w:val="both"/>
      </w:pPr>
      <w:r>
        <w:rPr/>
        <w:t>7.4除非竞争性谈判须知前附表另有规定外，供应商提供的响应文件应使用中文文本，若有不同文字文本，以中文文本为准。</w:t>
      </w:r>
    </w:p>
    <w:p>
      <w:pPr>
        <w:pStyle w:val="null3"/>
        <w:ind w:firstLine="480"/>
        <w:jc w:val="both"/>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7.6除非竞争性谈判须知前附表另有规定外，供应商承诺的报价应以人民币进行报价，合同实施结算时亦以人民币支付；所有计量均采用中华人民共和国法定计量单位。</w:t>
      </w:r>
    </w:p>
    <w:p>
      <w:pPr>
        <w:pStyle w:val="null3"/>
        <w:jc w:val="both"/>
      </w:pPr>
      <w:r>
        <w:rPr>
          <w:b/>
        </w:rPr>
        <w:t>8.首次响应文件的组成：</w:t>
      </w:r>
    </w:p>
    <w:p>
      <w:pPr>
        <w:pStyle w:val="null3"/>
        <w:ind w:firstLine="480"/>
        <w:jc w:val="both"/>
      </w:pPr>
      <w:r>
        <w:rPr/>
        <w:t>8.1首次响应文件包括但不限于下列部分：</w:t>
      </w:r>
    </w:p>
    <w:p>
      <w:pPr>
        <w:pStyle w:val="null3"/>
        <w:ind w:firstLine="480"/>
        <w:jc w:val="both"/>
      </w:pPr>
      <w:r>
        <w:rPr/>
        <w:t>（1）谈判响应声明</w:t>
      </w:r>
    </w:p>
    <w:p>
      <w:pPr>
        <w:pStyle w:val="null3"/>
        <w:ind w:firstLine="480"/>
        <w:jc w:val="both"/>
      </w:pPr>
      <w:r>
        <w:rPr/>
        <w:t>（2）开标（报价）一览表（含投标（响应）报价明细表）</w:t>
      </w:r>
    </w:p>
    <w:p>
      <w:pPr>
        <w:pStyle w:val="null3"/>
        <w:ind w:firstLine="480"/>
        <w:jc w:val="both"/>
      </w:pPr>
      <w:r>
        <w:rPr/>
        <w:t>（3）资格证明文件</w:t>
      </w:r>
    </w:p>
    <w:p>
      <w:pPr>
        <w:pStyle w:val="null3"/>
        <w:ind w:firstLine="480"/>
        <w:jc w:val="both"/>
      </w:pPr>
      <w:r>
        <w:rPr/>
        <w:t>（4）谈判保证金凭证</w:t>
      </w:r>
    </w:p>
    <w:p>
      <w:pPr>
        <w:pStyle w:val="null3"/>
        <w:ind w:firstLine="480"/>
        <w:jc w:val="both"/>
      </w:pPr>
      <w:r>
        <w:rPr/>
        <w:t>（5）技术和商务偏离表</w:t>
      </w:r>
    </w:p>
    <w:p>
      <w:pPr>
        <w:pStyle w:val="null3"/>
        <w:ind w:firstLine="480"/>
        <w:jc w:val="both"/>
      </w:pPr>
      <w:r>
        <w:rPr/>
        <w:t>（6）相关技术、商务、服务响应承诺及资料</w:t>
      </w:r>
    </w:p>
    <w:p>
      <w:pPr>
        <w:pStyle w:val="null3"/>
        <w:ind w:firstLine="480"/>
        <w:jc w:val="both"/>
      </w:pPr>
      <w:r>
        <w:rPr/>
        <w:t>（7）供应商提交符合政府采购政策的证明材料</w:t>
      </w:r>
    </w:p>
    <w:p>
      <w:pPr>
        <w:pStyle w:val="null3"/>
        <w:ind w:firstLine="480"/>
        <w:jc w:val="both"/>
      </w:pPr>
      <w:r>
        <w:rPr/>
        <w:t>（8）要求作为响应文件组成部分的其他内容（若有）</w:t>
      </w:r>
    </w:p>
    <w:p>
      <w:pPr>
        <w:pStyle w:val="null3"/>
        <w:jc w:val="both"/>
      </w:pPr>
      <w:r>
        <w:rPr>
          <w:b/>
        </w:rPr>
        <w:t>9.响应文件有效期：</w:t>
      </w:r>
    </w:p>
    <w:p>
      <w:pPr>
        <w:pStyle w:val="null3"/>
        <w:ind w:firstLine="480"/>
        <w:jc w:val="both"/>
      </w:pPr>
      <w:r>
        <w:rPr/>
        <w:t>9.1响应文件有效期见竞争性谈判须知前附表第3项，响应文件承诺的有效期不得少于谈判文件载明的有效期，否则其响应文件将被否决。</w:t>
      </w:r>
    </w:p>
    <w:p>
      <w:pPr>
        <w:pStyle w:val="null3"/>
        <w:ind w:firstLine="480"/>
        <w:jc w:val="both"/>
      </w:pPr>
      <w:r>
        <w:rPr/>
        <w:t>9.2特殊情况下采购人可于响应文件有效期满之前要求供应商同意延长有效期，要求与答复均应为书面形式。供应商可以拒绝延长有效期，且其谈判保证金可以退还，但其供应商资格将被取消。同意延长有效期的供应商，不需要也不允许修改其响应文件及谈判承诺，但将要求其相应延长谈判保证金有效期，有关退还和不予退还谈判保证金的规定在有效期延长期内继续有效。</w:t>
      </w:r>
    </w:p>
    <w:p>
      <w:pPr>
        <w:pStyle w:val="null3"/>
        <w:jc w:val="both"/>
      </w:pPr>
      <w:r>
        <w:rPr>
          <w:b/>
        </w:rPr>
        <w:t>10.谈判保证金：</w:t>
      </w:r>
    </w:p>
    <w:p>
      <w:pPr>
        <w:pStyle w:val="null3"/>
        <w:ind w:firstLine="480"/>
        <w:jc w:val="both"/>
      </w:pPr>
      <w:r>
        <w:rPr/>
        <w:t>10.1供应商应按竞争性谈判文件规定的金额、形式等要求提交谈判保证金。谈判文件若接受联合体形式且供应商为联合体的，则由联合体中的牵头方负责提交谈判保证金，其提交的谈判保证金对联合体各方均具有约束力。</w:t>
      </w:r>
    </w:p>
    <w:p>
      <w:pPr>
        <w:pStyle w:val="null3"/>
        <w:ind w:firstLine="480"/>
        <w:jc w:val="left"/>
      </w:pPr>
      <w:r>
        <w:rPr/>
        <w:t>10.1.1供应商以汇款形式缴纳谈判保证金的，应从其银行账户（基本存款账户）按照下列方式：公对公转账方式向谈判文件载明的谈判保证金账户提交谈判保证金。谈判保证金应于首次响应文件递交截止时间前到达谈判文件载明的谈判保证金账户，否则视为谈判保证金未提交。</w:t>
      </w:r>
    </w:p>
    <w:p>
      <w:pPr>
        <w:pStyle w:val="null3"/>
        <w:ind w:firstLine="480"/>
        <w:jc w:val="left"/>
      </w:pPr>
      <w:r>
        <w:rPr/>
        <w:t>10.1.2供应商以电子保函形式提交谈判保证金的，可在谈判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谈判保证金。保函的有效期应等于或长于电子响应文件承诺的有效期，否则其响应文件将被否决。</w:t>
      </w:r>
    </w:p>
    <w:p>
      <w:pPr>
        <w:pStyle w:val="null3"/>
        <w:ind w:firstLine="480"/>
        <w:jc w:val="left"/>
      </w:pPr>
      <w:r>
        <w:rPr/>
        <w:t>10.1.3其他形式：</w:t>
      </w:r>
    </w:p>
    <w:p>
      <w:pPr>
        <w:pStyle w:val="null3"/>
        <w:jc w:val="left"/>
      </w:pPr>
      <w:r>
        <w:rPr/>
        <w:t>无</w:t>
      </w:r>
    </w:p>
    <w:p>
      <w:pPr>
        <w:pStyle w:val="null3"/>
        <w:ind w:firstLine="480"/>
        <w:jc w:val="both"/>
      </w:pPr>
      <w:r>
        <w:rPr/>
        <w:t>10.2谈判保证金为响应文件的重要组成部分之一。谈判保证金用于保护本次谈判活动免受供应商的违约或失信行为而引起的风险。未按规定提交谈判保证金的，其响应文件将被否决。</w:t>
      </w:r>
    </w:p>
    <w:p>
      <w:pPr>
        <w:pStyle w:val="null3"/>
        <w:ind w:firstLine="480"/>
        <w:jc w:val="both"/>
      </w:pPr>
      <w:r>
        <w:rPr/>
        <w:t>10.3谈判保证金退还：</w:t>
      </w:r>
    </w:p>
    <w:p>
      <w:pPr>
        <w:pStyle w:val="null3"/>
        <w:ind w:firstLine="960"/>
        <w:jc w:val="both"/>
      </w:pPr>
      <w:r>
        <w:rPr/>
        <w:t>10.3.1采购人或者采购代理机构将在采购活动结束后及时退还供应商的保证金，但因供应商自身原因导致无法及时退还的除外（比如：采购人委托代理机构组织谈判采购，成交的供应商未向采购代理机构出具已签订合同证明材料，造成谈判保证金退还时间延误的结果，由成交的供应商自行承担和谅解等）。未成交供应商的保证金将在成交通知书发出后5个工作日内退还，成交供应商的保证金将在采购合同签订后5个工作日内退还。关于谈判保证金退还的其它要求见竞争性谈判须知前附表第4项。</w:t>
      </w:r>
    </w:p>
    <w:p>
      <w:pPr>
        <w:pStyle w:val="null3"/>
        <w:ind w:firstLine="960"/>
        <w:jc w:val="both"/>
      </w:pPr>
      <w:r>
        <w:rPr/>
        <w:t>10.3.2质疑或投诉涉及的供应商，若其谈判保证金尚未退还，则待质疑或投诉处理完毕后，且没有发生法律法规或者谈判文件规定的不予退还谈判保证金情形，则由采购人或采购代理机构给予及时退还。</w:t>
      </w:r>
    </w:p>
    <w:p>
      <w:pPr>
        <w:pStyle w:val="null3"/>
        <w:ind w:firstLine="480"/>
        <w:jc w:val="both"/>
      </w:pPr>
      <w:r>
        <w:rPr/>
        <w:t>10.4如果供应商发生以下任何一种情况时，其谈判保证金将被不予退还或通过保函进行索赔：</w:t>
      </w:r>
    </w:p>
    <w:p>
      <w:pPr>
        <w:pStyle w:val="null3"/>
        <w:ind w:firstLine="480"/>
        <w:jc w:val="both"/>
      </w:pPr>
      <w:r>
        <w:rPr/>
        <w:t>(1)供应商在提交响应文件截止时间后撤回响应文件的；</w:t>
      </w:r>
    </w:p>
    <w:p>
      <w:pPr>
        <w:pStyle w:val="null3"/>
        <w:ind w:firstLine="480"/>
        <w:jc w:val="both"/>
      </w:pPr>
      <w:r>
        <w:rPr/>
        <w:t>(2)供应商在响应文件中提供虚假材料的；</w:t>
      </w:r>
    </w:p>
    <w:p>
      <w:pPr>
        <w:pStyle w:val="null3"/>
        <w:ind w:firstLine="480"/>
        <w:jc w:val="both"/>
      </w:pPr>
      <w:r>
        <w:rPr/>
        <w:t>(3)除因不可抗力或谈判文件认可的情形以外，成交供应商不与采购人签订合同的；</w:t>
      </w:r>
    </w:p>
    <w:p>
      <w:pPr>
        <w:pStyle w:val="null3"/>
        <w:ind w:firstLine="480"/>
        <w:jc w:val="both"/>
      </w:pPr>
      <w:r>
        <w:rPr/>
        <w:t>(4)供应商与采购人、其他供应商或者采购代理机构恶意串通的；</w:t>
      </w:r>
    </w:p>
    <w:p>
      <w:pPr>
        <w:pStyle w:val="null3"/>
        <w:ind w:firstLine="480"/>
        <w:jc w:val="both"/>
      </w:pPr>
      <w:r>
        <w:rPr/>
        <w:t>(5)供应商在提交最后报价后要求退出谈判的；</w:t>
      </w:r>
    </w:p>
    <w:p>
      <w:pPr>
        <w:pStyle w:val="null3"/>
        <w:ind w:firstLine="480"/>
        <w:jc w:val="both"/>
      </w:pPr>
      <w:r>
        <w:rPr/>
        <w:t>(6)供应商假借以他人名义参加谈判或者以其他方式弄虚作假，骗取成交；</w:t>
      </w:r>
    </w:p>
    <w:p>
      <w:pPr>
        <w:pStyle w:val="null3"/>
        <w:ind w:firstLine="480"/>
        <w:jc w:val="both"/>
      </w:pPr>
      <w:r>
        <w:rPr/>
        <w:t>(7)国家法律法规以及谈判文件中规定的其他谈判保证金不予退还的情形。</w:t>
      </w:r>
    </w:p>
    <w:p>
      <w:pPr>
        <w:pStyle w:val="null3"/>
        <w:ind w:firstLine="480"/>
        <w:jc w:val="both"/>
      </w:pPr>
      <w:r>
        <w:rPr/>
        <w:t>上述不予退还谈判保证金的情况不能抵偿给采购人或采购代理机构造成损失的，供应商还要承担赔偿责任。</w:t>
      </w:r>
    </w:p>
    <w:p>
      <w:pPr>
        <w:pStyle w:val="null3"/>
        <w:jc w:val="both"/>
      </w:pPr>
      <w:r>
        <w:rPr>
          <w:b/>
        </w:rPr>
        <w:t>11.纸质响应文件基本编制要求：</w:t>
      </w:r>
    </w:p>
    <w:p>
      <w:pPr>
        <w:pStyle w:val="null3"/>
        <w:ind w:firstLine="480"/>
        <w:jc w:val="both"/>
      </w:pPr>
      <w:r>
        <w:rPr/>
        <w:t>11.1供应商须编制由本须知规定组成的响应文件正副本份数详见竞争性谈判须知前附表第5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both"/>
      </w:pPr>
      <w:r>
        <w:rPr/>
        <w:t>11.2响应文件应由供应商代表签字并加盖公章。供应商代表如果不是竞争性谈判须知中定义的“单位负责人”，则其响应文件中还必须提供“单位负责人授权书”。</w:t>
      </w:r>
    </w:p>
    <w:p>
      <w:pPr>
        <w:pStyle w:val="null3"/>
        <w:ind w:firstLine="480"/>
        <w:jc w:val="both"/>
      </w:pPr>
      <w:r>
        <w:rPr/>
        <w:t>11.3响应文件应尽量避免涂改、行间插字或删除。如果出现上述情况，改动之处应加盖供应商单位公章或由供应商代表签字确认。</w:t>
      </w:r>
    </w:p>
    <w:p>
      <w:pPr>
        <w:pStyle w:val="null3"/>
        <w:ind w:firstLine="480"/>
        <w:jc w:val="both"/>
      </w:pPr>
      <w:r>
        <w:rPr/>
        <w:t>11.4供应商应提交证明其拟提供货物、服务或工程符合谈判文件要求的技术和商务响应文件，该文件可以是文字资料、图纸和数据，并对拟提供的货物、服务或工程的主要内容进行详细描述。</w:t>
      </w:r>
    </w:p>
    <w:p>
      <w:pPr>
        <w:pStyle w:val="null3"/>
        <w:jc w:val="both"/>
      </w:pPr>
      <w:r>
        <w:rPr>
          <w:b/>
        </w:rPr>
        <w:t>12.纸质响应文件的密封、标识、签署和提交（除谈判文件相应章节已有规定之外，电子竞争性谈判活动的具体操作流程以福建省政府采购网上公开信息系统设定的为准。）</w:t>
      </w:r>
    </w:p>
    <w:p>
      <w:pPr>
        <w:pStyle w:val="null3"/>
        <w:ind w:firstLine="480"/>
        <w:jc w:val="both"/>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both"/>
      </w:pPr>
      <w:r>
        <w:rPr/>
        <w:t>12.2供应商应当在谈判文件规定的提交响应文件截止时间前，将首次响应文件密封送达谈判文件规定的指定地点。在截止时间后送达的首次响应文件为无效文件，采购人、采购代理机构或者谈判小组将不予接收。</w:t>
      </w:r>
    </w:p>
    <w:p>
      <w:pPr>
        <w:pStyle w:val="null3"/>
        <w:ind w:firstLine="480"/>
        <w:jc w:val="both"/>
      </w:pPr>
      <w:r>
        <w:rPr/>
        <w:t>12.3供应商在首次响应文件递交截止时间前，可以对其所提交的响应文件进行补充、修改或者撤回，并书面通知采购人、采购代理机构或谈判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谈判须知中定义的“单位负责人”，则还必须提供“单位负责人授权书”），或者加盖供应商单位公章方可生效，否则采购人、采购代理机构或谈判小组将视为无效补充、修改或者撤回。采购人、采购代理机构或谈判小组不接受供应商口头、电话、传真或电子邮件形式提交的补充、修改或者撤回。</w:t>
      </w:r>
    </w:p>
    <w:p>
      <w:pPr>
        <w:pStyle w:val="null3"/>
        <w:ind w:firstLine="480"/>
        <w:jc w:val="both"/>
      </w:pPr>
      <w:r>
        <w:rPr/>
        <w:t>12.4供应商在谈判过程中根据谈判小组要求，提交的有关澄清、说明、补充、更正响应文件以及最后报价响应文件等资料，均应由供应商代表签署（供应商代表如果不是竞争性谈判须知中定义的“单位负责人”，则还必须提供“单位负责人授权书”），或者加盖供应商单位公章。</w:t>
      </w:r>
    </w:p>
    <w:p>
      <w:pPr>
        <w:pStyle w:val="null3"/>
        <w:ind w:firstLine="480"/>
        <w:jc w:val="both"/>
      </w:pPr>
      <w:r>
        <w:rPr/>
        <w:t>12.5除《政府采购非招标采购方式管理办法》等相关法律法规及财政部门颁布的规范性文件允许的两家供应商进行竞争性谈判采购情形外，首次响应文件递交截止时间后，提交响应文件的供应商不足三家的，本次竞争性谈判活动终止，除采购任务取消情形外，采购人将依法重新组织采购或者采取其他方式采购。</w:t>
      </w:r>
    </w:p>
    <w:p>
      <w:pPr>
        <w:pStyle w:val="null3"/>
        <w:jc w:val="center"/>
        <w:outlineLvl w:val="2"/>
      </w:pPr>
      <w:r>
        <w:rPr>
          <w:sz w:val="28"/>
          <w:b/>
        </w:rPr>
        <w:t>四、竞争性谈判</w:t>
      </w:r>
    </w:p>
    <w:p>
      <w:pPr>
        <w:pStyle w:val="null3"/>
        <w:jc w:val="both"/>
      </w:pPr>
      <w:r>
        <w:rPr>
          <w:b/>
        </w:rPr>
        <w:t>13.评审和谈判基本准则</w:t>
      </w:r>
    </w:p>
    <w:p>
      <w:pPr>
        <w:pStyle w:val="null3"/>
        <w:ind w:firstLine="480"/>
        <w:jc w:val="both"/>
      </w:pPr>
      <w:r>
        <w:rPr/>
        <w:t>13.1对所有供应商的评审和谈判，都采用相同的程序和标准。</w:t>
      </w:r>
    </w:p>
    <w:p>
      <w:pPr>
        <w:pStyle w:val="null3"/>
        <w:ind w:firstLine="480"/>
        <w:jc w:val="both"/>
      </w:pPr>
      <w:r>
        <w:rPr/>
        <w:t>13.2谈判及评审过程将严格按照谈判文件的要求和条件进行，谈判小组将根据供应商的响应文件，按谈判文件规定的谈判程序和评定成交标准进行评审和谈判，并推荐成交候选人。</w:t>
      </w:r>
    </w:p>
    <w:p>
      <w:pPr>
        <w:pStyle w:val="null3"/>
        <w:jc w:val="both"/>
      </w:pPr>
      <w:r>
        <w:rPr>
          <w:b/>
        </w:rPr>
        <w:t>14.谈判程序以及评定成交标准</w:t>
      </w:r>
    </w:p>
    <w:p>
      <w:pPr>
        <w:pStyle w:val="null3"/>
        <w:ind w:firstLine="480"/>
        <w:jc w:val="both"/>
      </w:pPr>
      <w:r>
        <w:rPr/>
        <w:t>14.1采购人将根据项目的特点依法组建谈判小组。谈判小组将根据谈判文件规定的程序、评定成交标准等内容对供应商进行评审、谈判。</w:t>
      </w:r>
    </w:p>
    <w:p>
      <w:pPr>
        <w:pStyle w:val="null3"/>
        <w:ind w:firstLine="480"/>
        <w:jc w:val="both"/>
      </w:pPr>
      <w:r>
        <w:rPr/>
        <w:t>14.2 在进入谈判阶段之前，谈判小组将对供应商提交的首次响应文件中资格证明文件以及其他响应文件是否对谈判文件的要求作出实质性响应进行审查。如果供应商资格审查和实质性响应审查不合格，则其响应文件将被谈判小组否决，按无效处理，不进入谈判阶段，谈判小组将告知有关供应商。</w:t>
      </w:r>
    </w:p>
    <w:p>
      <w:pPr>
        <w:pStyle w:val="null3"/>
        <w:ind w:firstLine="960"/>
        <w:jc w:val="both"/>
      </w:pPr>
      <w:r>
        <w:rPr/>
        <w:t>14.2.1供应商有下列情况之一者，其提交的响应文件将被视为未实质性响应谈判文件要求，谈判小组将否决其响应文件，按无效处理：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响应文件未按谈判文件规定由供应商代表签字，或未按谈判文件规定加盖供应商单位公章的；或供应商代表未获得有效授权的；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供应商未按谈判文件规定提交谈判保证金的；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响应文件有效期不满足谈判文件要求的；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响应内容与谈判采购内容及要求有重大偏离或保留的，限制了采购人的权利或者减少成交供应商合同项下的义务；（由于谈判项目本身特点，不能详细列明采购标的的技术、服务要求的除外）；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不符合谈判文件中规定的其它实质性条款（比如：报价超过了谈判文件规定的最高限价）。</w:t>
            </w:r>
          </w:p>
        </w:tc>
      </w:tr>
    </w:tbl>
    <w:p>
      <w:pPr>
        <w:pStyle w:val="null3"/>
        <w:ind w:firstLine="480"/>
        <w:jc w:val="both"/>
      </w:pPr>
      <w:r>
        <w:rPr/>
        <w:t>谈判小组决定供应商的响应性只根据响应文件本身的内容，而不寻求其他的外部证据。</w:t>
      </w:r>
    </w:p>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情形1</w:t>
            </w:r>
          </w:p>
        </w:tc>
        <w:tc>
          <w:tcPr>
            <w:tcW w:type="dxa" w:w="4614"/>
          </w:tcPr>
          <w:p>
            <w:pPr>
              <w:pStyle w:val="null3"/>
              <w:jc w:val="left"/>
            </w:pPr>
            <w:r>
              <w:rPr/>
              <w:t>第三章《采购内容及要求》中“二、技术和服务要求”有任一项负偏离的，符合性审查不合格，响应文件按无效处理。</w:t>
            </w:r>
          </w:p>
        </w:tc>
      </w:tr>
      <w:tr>
        <w:tc>
          <w:tcPr>
            <w:tcW w:type="dxa" w:w="3692"/>
          </w:tcPr>
          <w:p>
            <w:pPr>
              <w:pStyle w:val="null3"/>
              <w:jc w:val="left"/>
            </w:pPr>
            <w:r>
              <w:rPr/>
              <w:t>情形2</w:t>
            </w:r>
          </w:p>
        </w:tc>
        <w:tc>
          <w:tcPr>
            <w:tcW w:type="dxa" w:w="4614"/>
          </w:tcPr>
          <w:p>
            <w:pPr>
              <w:pStyle w:val="null3"/>
              <w:jc w:val="left"/>
            </w:pPr>
            <w:r>
              <w:rPr/>
              <w:t>响应文件中附有采购人无法接受的条件的。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情形1</w:t>
            </w:r>
          </w:p>
        </w:tc>
        <w:tc>
          <w:tcPr>
            <w:tcW w:type="dxa" w:w="4614"/>
          </w:tcPr>
          <w:p>
            <w:pPr>
              <w:pStyle w:val="null3"/>
              <w:jc w:val="left"/>
            </w:pPr>
            <w:r>
              <w:rPr/>
              <w:t>第三章《采购内容及要求》中“三、商务条件”有任一项负偏离的，符合性审查不合格，响应文件按无效处理。</w:t>
            </w:r>
          </w:p>
        </w:tc>
      </w:tr>
      <w:tr>
        <w:tc>
          <w:tcPr>
            <w:tcW w:type="dxa" w:w="3692"/>
          </w:tcPr>
          <w:p>
            <w:pPr>
              <w:pStyle w:val="null3"/>
              <w:jc w:val="left"/>
            </w:pPr>
            <w:r>
              <w:rPr/>
              <w:t>情形2</w:t>
            </w:r>
          </w:p>
        </w:tc>
        <w:tc>
          <w:tcPr>
            <w:tcW w:type="dxa" w:w="4614"/>
          </w:tcPr>
          <w:p>
            <w:pPr>
              <w:pStyle w:val="null3"/>
              <w:jc w:val="left"/>
            </w:pPr>
            <w:r>
              <w:rPr/>
              <w:t>响应文件中附有采购人无法接受的条件的。</w:t>
            </w:r>
          </w:p>
        </w:tc>
      </w:tr>
    </w:tbl>
    <w:p>
      <w:pPr>
        <w:pStyle w:val="null3"/>
        <w:jc w:val="left"/>
      </w:pPr>
      <w:r>
        <w:rPr/>
        <w:t>价格符合性：无</w:t>
      </w:r>
    </w:p>
    <w:p>
      <w:pPr>
        <w:pStyle w:val="null3"/>
        <w:ind w:firstLine="480"/>
        <w:jc w:val="both"/>
      </w:pPr>
      <w:r>
        <w:rPr/>
        <w:t>14.3谈判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谈判小组要求供应商澄清、说明或者更正响应文件应当以书面形式作出。</w:t>
      </w:r>
    </w:p>
    <w:p>
      <w:pPr>
        <w:pStyle w:val="null3"/>
        <w:ind w:firstLine="480"/>
        <w:jc w:val="both"/>
      </w:pPr>
      <w:r>
        <w:rPr/>
        <w:t>14.4只有资格审查和实质性响应审查合格的供应商才能进入谈判阶段。谈判小组所有成员将集中与单一供应商分别进行谈判，并给予所有参加谈判的合格供应商平等的谈判机会。谈判过程中，谈判小组可以根据谈判文件和谈判情况实质性变动采购需求中的技术、服务要求以及合同草案条款，但不得变动竞争性谈判文件中的其他内容。实质性变动的内容，须经采购人代表确认。谈判过程中对谈判文件作出的实质性变动是谈判文件的有效组成部分，谈判小组将及时以书面形式同时通知所有参加谈判的供应商。根据采购项目的特点和需要，在谈判过程中可能发生实质性变动的内容详见竞争性谈判须知前附表第6项。</w:t>
      </w:r>
    </w:p>
    <w:p>
      <w:pPr>
        <w:pStyle w:val="null3"/>
        <w:ind w:firstLine="480"/>
        <w:jc w:val="both"/>
      </w:pPr>
      <w:r>
        <w:rPr/>
        <w:t>14.5合格供应商应当按照谈判文件的变动情况和谈判小组的要求提交补充响应文件（首次响应文件中已经提交过的如资格证明文件等资料，不用重新提供），并由供应商代表签字或加盖供应商单位公章。供应商代表如果不是竞争性谈判须知中定义的“单位负责人”，则还必须提供“单位负责人授权书”。供应商为自然人的，应当由本人签字并附身份证明。</w:t>
      </w:r>
    </w:p>
    <w:p>
      <w:pPr>
        <w:pStyle w:val="null3"/>
        <w:ind w:firstLine="480"/>
        <w:jc w:val="both"/>
      </w:pPr>
      <w:r>
        <w:rPr/>
        <w:t>14.6谈判文件能够详细列明采购标的的技术、服务要求的，谈判结束后，谈判小组应当要求所有继续参加谈判的供应商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both"/>
      </w:pPr>
      <w:r>
        <w:rPr/>
        <w:t>14.7谈判文件不能详细列明采购标的的技术、服务要求，需经谈判由供应商提供最终设计方案或解决方案的，谈判结束后，谈判小组应当按照少数服从多数的原则投票推荐3家以上供应商的设计方案或者解决方案，具体推荐数量和投票细则等内容按照“竞争性谈判须知前附表”中专项附件：“评定成交的标准和方法”的相关条款规定执行，并要求其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both"/>
      </w:pPr>
      <w:r>
        <w:rPr/>
        <w:t>14.8最后报价是供应商响应文件的有效组成部分。如果供应商的最后报价明显低于其他最后报价，使得其最后报价有可能影响商品或服务质量或者不能诚信履约的，供应商应当按照谈判小组要求，在规定时间内作出书面说明，必要时提交相关证明材料；供应商不能合理说明其报价合理性的，谈判小组可以做无效响应文件和无效报价处理。</w:t>
      </w:r>
    </w:p>
    <w:p>
      <w:pPr>
        <w:pStyle w:val="null3"/>
        <w:ind w:firstLine="480"/>
        <w:jc w:val="both"/>
      </w:pPr>
      <w:r>
        <w:rPr/>
        <w:t>14.9谈判小组将从质量和服务均能满足采购文件实质性响应要求的供应商中，按照评审价由低到高的顺序提出3名以上成交候选人，并编写评审报告。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相应处理方式按照“竞争性谈判须知前附表”中专项附件：“评定成交的标准和方法”的相关条款规定执行。</w:t>
      </w:r>
    </w:p>
    <w:p>
      <w:pPr>
        <w:pStyle w:val="null3"/>
        <w:ind w:firstLine="480"/>
        <w:jc w:val="both"/>
      </w:pPr>
      <w:r>
        <w:rPr/>
        <w:t>14.10供应商提交的响应文件和资料将给予保密，但不退回（有关证件或证照的原件除外）。</w:t>
      </w:r>
    </w:p>
    <w:p>
      <w:pPr>
        <w:pStyle w:val="null3"/>
        <w:jc w:val="left"/>
        <w:outlineLvl w:val="2"/>
      </w:pPr>
      <w:r>
        <w:rPr>
          <w:sz w:val="28"/>
          <w:b/>
        </w:rPr>
        <w:t>五、合同授予</w:t>
      </w:r>
    </w:p>
    <w:p>
      <w:pPr>
        <w:pStyle w:val="null3"/>
        <w:jc w:val="center"/>
      </w:pPr>
      <w:r>
        <w:rPr/>
        <w:t>参考文本</w:t>
      </w:r>
    </w:p>
    <w:p>
      <w:pPr>
        <w:pStyle w:val="null3"/>
        <w:jc w:val="both"/>
      </w:pPr>
      <w:r>
        <w:rPr>
          <w:b/>
        </w:rPr>
        <w:t>15.授予合同的准则：</w:t>
      </w:r>
    </w:p>
    <w:p>
      <w:pPr>
        <w:pStyle w:val="null3"/>
        <w:ind w:firstLine="480"/>
        <w:jc w:val="both"/>
      </w:pPr>
      <w:r>
        <w:rPr/>
        <w:t>15.1除不可抗力等因素外，合同将授予响应文件符合竞争性谈判文件要求，能够圆满地履行合同，且被谈判小组推</w:t>
      </w:r>
      <w:r>
        <w:br/>
      </w:r>
      <w:r>
        <w:rPr/>
        <w:t xml:space="preserve"> 荐为第一成交候选人的供应商。</w:t>
      </w:r>
    </w:p>
    <w:p>
      <w:pPr>
        <w:pStyle w:val="null3"/>
        <w:ind w:firstLine="480"/>
        <w:jc w:val="both"/>
      </w:pPr>
      <w:r>
        <w:rPr/>
        <w:t>15.2 政府采购合同履行中，采购人需追加与合同标的相同的货物、工程或者服务的，在不改变合同其他条款的前提下，可以与成交供应商协商签订补充合同，但所有补充合同的采购金额不得超过原合同采购金额的百分之十。</w:t>
      </w:r>
    </w:p>
    <w:p>
      <w:pPr>
        <w:pStyle w:val="null3"/>
        <w:ind w:firstLine="480"/>
        <w:jc w:val="both"/>
      </w:pPr>
      <w:r>
        <w:rPr/>
        <w:t>15.3为维护国家利益和社会公共利益，最低报价不是被授予合同的绝对保证。</w:t>
      </w:r>
    </w:p>
    <w:p>
      <w:pPr>
        <w:pStyle w:val="null3"/>
        <w:jc w:val="both"/>
      </w:pPr>
      <w:r>
        <w:rPr>
          <w:b/>
        </w:rPr>
        <w:t>16.确定成交供应商：</w:t>
      </w:r>
    </w:p>
    <w:p>
      <w:pPr>
        <w:pStyle w:val="null3"/>
        <w:ind w:firstLine="480"/>
        <w:jc w:val="both"/>
      </w:pPr>
      <w:r>
        <w:rPr/>
        <w:t>16.1采购人委托代理机构组织竞争性谈判采购活动的，采购代理机构在评审结束后2个工作日内将评审报告送采购人确认。</w:t>
      </w:r>
    </w:p>
    <w:p>
      <w:pPr>
        <w:pStyle w:val="null3"/>
        <w:ind w:firstLine="480"/>
        <w:jc w:val="both"/>
      </w:pPr>
      <w:r>
        <w:rPr/>
        <w:t>16.2采购人在收到评审报告后5个工作日内，从评审报告提出的成交候选人中，根据质量和服务均能满足采购文件实质性响应要求且最后报价评审价最低的原则确定成交供应商，也可以书面授权谈判小组直接确定成交供应商。采购人逾期未确定成交供应商且不提出异议的，视为确定评审报告提出的最后报价评审价最低的供应商为成交供应商。</w:t>
      </w:r>
    </w:p>
    <w:p>
      <w:pPr>
        <w:pStyle w:val="null3"/>
        <w:jc w:val="both"/>
      </w:pPr>
      <w:r>
        <w:rPr>
          <w:b/>
        </w:rPr>
        <w:t>17.成交通知:</w:t>
      </w:r>
    </w:p>
    <w:p>
      <w:pPr>
        <w:pStyle w:val="null3"/>
        <w:ind w:firstLine="480"/>
        <w:jc w:val="both"/>
      </w:pPr>
      <w:r>
        <w:rPr/>
        <w:t>17.1采购人或者采购代理机构在成交供应商确定后2个工作日内，在省级以上财政部门指定的媒体上公告成交结果，同时向成交供应商发出成交通知书。采用书面推荐供应商参加采购活动的，还将公告采购人和评审专家的推荐意见。</w:t>
      </w:r>
    </w:p>
    <w:p>
      <w:pPr>
        <w:pStyle w:val="null3"/>
        <w:ind w:firstLine="480"/>
        <w:jc w:val="both"/>
      </w:pPr>
      <w:r>
        <w:rPr/>
        <w:t>17.2成交通知书对采购人和成交供应商具有同等法律效力。除不可抗力因素或政策原因外，成交通知书发出后，采购人改变成交结果，或者成交供应商拒绝签订政府采购合同的，均应当承担相应的法律责任。未成交供应商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both"/>
      </w:pPr>
      <w:r>
        <w:rPr>
          <w:b/>
        </w:rPr>
        <w:t>18.签订合同：</w:t>
      </w:r>
    </w:p>
    <w:p>
      <w:pPr>
        <w:pStyle w:val="null3"/>
        <w:ind w:firstLine="480"/>
        <w:jc w:val="both"/>
      </w:pPr>
      <w:r>
        <w:rPr/>
        <w:t>18.1采购人与成交供应商应详见须知前附表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供应商应当按照成交通知书的规定和要求，及时与采购人签订合同。</w:t>
      </w:r>
    </w:p>
    <w:p>
      <w:pPr>
        <w:pStyle w:val="null3"/>
        <w:ind w:firstLine="480"/>
        <w:jc w:val="both"/>
      </w:pPr>
      <w:r>
        <w:rPr/>
        <w:t>18.2竞争性谈判文件、成交供应商的响应文件及其有关澄清承诺文件等，均为签订政府采购合同的依据和组成部分。</w:t>
      </w:r>
    </w:p>
    <w:p>
      <w:pPr>
        <w:pStyle w:val="null3"/>
        <w:ind w:firstLine="480"/>
        <w:jc w:val="both"/>
      </w:pPr>
      <w:r>
        <w:rPr/>
        <w:t>18.3采购人不得向成交供应商提出超出竞争性谈判文件以外的任何要求作为签订合同的条件，不得与成交供应商订立背离竞争性谈判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both"/>
      </w:pPr>
      <w:r>
        <w:rPr>
          <w:b/>
        </w:rPr>
        <w:t>19.询问</w:t>
      </w:r>
    </w:p>
    <w:p>
      <w:pPr>
        <w:pStyle w:val="null3"/>
        <w:ind w:firstLine="480"/>
        <w:jc w:val="both"/>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both"/>
      </w:pPr>
      <w:r>
        <w:rPr>
          <w:b/>
        </w:rPr>
        <w:t>20.质疑</w:t>
      </w:r>
    </w:p>
    <w:p>
      <w:pPr>
        <w:pStyle w:val="null3"/>
        <w:ind w:firstLine="480"/>
        <w:jc w:val="both"/>
      </w:pPr>
      <w:r>
        <w:rPr/>
        <w:t>20.1质疑应在政府采购法及实施条例规定的时效内提出，并符合下列条件：</w:t>
      </w:r>
    </w:p>
    <w:p>
      <w:pPr>
        <w:pStyle w:val="null3"/>
        <w:ind w:firstLine="960"/>
        <w:jc w:val="both"/>
      </w:pPr>
      <w:r>
        <w:rPr/>
        <w:t>20.1.1对谈判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both"/>
      </w:pPr>
      <w:r>
        <w:rPr/>
        <w:t>20.1.2质疑人应提交质疑函原件。</w:t>
      </w:r>
    </w:p>
    <w:p>
      <w:pPr>
        <w:pStyle w:val="null3"/>
        <w:ind w:firstLine="960"/>
        <w:jc w:val="both"/>
      </w:pPr>
      <w:r>
        <w:rPr/>
        <w:t>20.1.3质疑函应包括下列主要内容：</w:t>
      </w:r>
    </w:p>
    <w:p>
      <w:pPr>
        <w:pStyle w:val="null3"/>
        <w:ind w:firstLine="960"/>
        <w:jc w:val="both"/>
      </w:pPr>
      <w:r>
        <w:rPr/>
        <w:t>①质疑人的基本信息，至少包括：全称、地址、邮政编码、联系人及联系电话等；适合自然人参加谈判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both"/>
      </w:pPr>
      <w:r>
        <w:rPr/>
        <w:t>②所质疑项目的基本信息，至少包括：项目编号、项目名称等；</w:t>
      </w:r>
    </w:p>
    <w:p>
      <w:pPr>
        <w:pStyle w:val="null3"/>
        <w:ind w:firstLine="960"/>
        <w:jc w:val="both"/>
      </w:pPr>
      <w:r>
        <w:rPr/>
        <w:t>③所质疑的具体事项（以下简称：“质疑事项”）；</w:t>
      </w:r>
    </w:p>
    <w:p>
      <w:pPr>
        <w:pStyle w:val="null3"/>
        <w:ind w:firstLine="960"/>
        <w:jc w:val="both"/>
      </w:pPr>
      <w:r>
        <w:rPr/>
        <w:t>④质疑人自身权益受到损害的事实依据和证明材料，至少包括：</w:t>
      </w:r>
    </w:p>
    <w:p>
      <w:pPr>
        <w:pStyle w:val="null3"/>
        <w:ind w:firstLine="960"/>
        <w:jc w:val="both"/>
      </w:pPr>
      <w:r>
        <w:rPr/>
        <w:t>a1所质疑的具体事项事实存在的证明材料；</w:t>
      </w:r>
    </w:p>
    <w:p>
      <w:pPr>
        <w:pStyle w:val="null3"/>
        <w:ind w:firstLine="960"/>
        <w:jc w:val="both"/>
      </w:pPr>
      <w:r>
        <w:rPr/>
        <w:t>a2所质疑的具体事项事实导致质疑人自身权益受到损害的证明材料，如：采购文件、采购过程或成交结果违法违规，损害自已合法权益等证明材料；</w:t>
      </w:r>
    </w:p>
    <w:p>
      <w:pPr>
        <w:pStyle w:val="null3"/>
        <w:ind w:firstLine="960"/>
        <w:jc w:val="both"/>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p>
    <w:p>
      <w:pPr>
        <w:pStyle w:val="null3"/>
        <w:ind w:firstLine="960"/>
        <w:jc w:val="both"/>
      </w:pPr>
      <w:r>
        <w:rPr/>
        <w:t>⑤针对质疑事项提出的明确请求和法律依据，</w:t>
      </w:r>
    </w:p>
    <w:p>
      <w:pPr>
        <w:pStyle w:val="null3"/>
        <w:ind w:firstLine="960"/>
        <w:jc w:val="both"/>
      </w:pPr>
      <w:r>
        <w:rPr/>
        <w:t>前述明确请求指质疑人提出质疑的目的、希望采购人或采购代理机构对其质疑作出的处理结果，如：暂停采购活动、修改谈判文件、停止或纠正违法违规行为、成交结果无效、废标、重新采购等，质疑人提出质疑请求还应当对相应的法律依据进行说明。</w:t>
      </w:r>
    </w:p>
    <w:p>
      <w:pPr>
        <w:pStyle w:val="null3"/>
        <w:ind w:firstLine="960"/>
        <w:jc w:val="both"/>
      </w:pPr>
      <w:r>
        <w:rPr/>
        <w:t>⑥提出质疑的日期以及质疑人代表联系方式，至少包括：姓名、手机、电子信箱、邮寄地址等。</w:t>
      </w:r>
    </w:p>
    <w:p>
      <w:pPr>
        <w:pStyle w:val="null3"/>
        <w:ind w:firstLine="480"/>
        <w:jc w:val="both"/>
      </w:pPr>
      <w:r>
        <w:rPr/>
        <w:t>20.2对不符合前文第20.1条规定的质疑，采购人或采购代理机构将按照下列规定进行处理：</w:t>
      </w:r>
    </w:p>
    <w:p>
      <w:pPr>
        <w:pStyle w:val="null3"/>
        <w:ind w:firstLine="960"/>
        <w:jc w:val="both"/>
      </w:pPr>
      <w:r>
        <w:rPr/>
        <w:t>20.2.1超过质疑时效提交的或者质疑人不是参与所质疑项目采购活动的供应商，书面告知质疑人其质疑不成立的原因和理由。</w:t>
      </w:r>
    </w:p>
    <w:p>
      <w:pPr>
        <w:pStyle w:val="null3"/>
        <w:ind w:firstLine="960"/>
        <w:jc w:val="both"/>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both"/>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both"/>
      </w:pPr>
      <w:r>
        <w:rPr/>
        <w:t>20.3对符合前文第20.1条规定的质疑，采购人或采购代理机构将按照政府采购法及实施条例的有关规定进行答复。</w:t>
      </w:r>
    </w:p>
    <w:p>
      <w:pPr>
        <w:pStyle w:val="null3"/>
        <w:jc w:val="both"/>
      </w:pPr>
      <w:r>
        <w:rPr>
          <w:b/>
        </w:rPr>
        <w:t>21.投诉</w:t>
      </w:r>
    </w:p>
    <w:p>
      <w:pPr>
        <w:pStyle w:val="null3"/>
        <w:ind w:firstLine="480"/>
        <w:jc w:val="both"/>
      </w:pPr>
      <w:r>
        <w:rPr/>
        <w:t>21.1若对质疑答复不满意或质疑答复未在答复期限内作出，质疑人可在答复期限届满之日起15个工作日内向谈判文件中载明的监督管理部门投诉。</w:t>
      </w:r>
    </w:p>
    <w:p>
      <w:pPr>
        <w:pStyle w:val="null3"/>
        <w:ind w:firstLine="480"/>
        <w:jc w:val="both"/>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both"/>
      </w:pPr>
      <w:r>
        <w:rPr>
          <w:b/>
        </w:rPr>
        <w:t>22.政府采购信息公告媒体</w:t>
      </w:r>
    </w:p>
    <w:p>
      <w:pPr>
        <w:pStyle w:val="null3"/>
        <w:ind w:firstLine="480"/>
        <w:jc w:val="both"/>
      </w:pPr>
      <w:r>
        <w:rPr/>
        <w:t>22.1本项目的有关信息，包括但不限于采购公告、更正公告（若有）、谈判文件、谈判文件的澄清或修改（若有）、成交公告、终止公告（若有）、废标公告（若有）等都将在谈判文件载明的指定媒体发布。潜在供应商或供应商务必随时关注，以免遗漏。</w:t>
      </w:r>
    </w:p>
    <w:p>
      <w:pPr>
        <w:pStyle w:val="null3"/>
        <w:ind w:firstLine="480"/>
        <w:jc w:val="both"/>
      </w:pPr>
      <w:r>
        <w:rPr/>
        <w:t>22.2信息公告指定媒体：详见竞争性谈判须知前附表第7项。</w:t>
      </w:r>
    </w:p>
    <w:p>
      <w:pPr>
        <w:pStyle w:val="null3"/>
        <w:jc w:val="both"/>
      </w:pPr>
      <w:r>
        <w:rPr>
          <w:b/>
        </w:rPr>
        <w:t>23.监督管理部门</w:t>
      </w:r>
    </w:p>
    <w:p>
      <w:pPr>
        <w:pStyle w:val="null3"/>
        <w:ind w:firstLine="480"/>
        <w:jc w:val="both"/>
      </w:pPr>
      <w:r>
        <w:rPr/>
        <w:t>23.1谈判采购活动的监督管理部门详见竞争性谈判须知前附表第8项。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both"/>
      </w:pPr>
      <w:r>
        <w:rPr/>
        <w:t>24.1进口产品指通过中国海关报关验放进入中国境内且产自关境外的产品，其中：</w:t>
      </w:r>
    </w:p>
    <w:p>
      <w:pPr>
        <w:pStyle w:val="null3"/>
        <w:ind w:firstLine="96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960"/>
        <w:jc w:val="both"/>
      </w:pPr>
      <w:r>
        <w:rPr/>
        <w:t>（2）凡在海关特殊监管区域内企业生产或加工（包括从境外进口料件）销往境内其他地区的产品，不作为政府采购项下进口产品。</w:t>
      </w:r>
    </w:p>
    <w:p>
      <w:pPr>
        <w:pStyle w:val="null3"/>
        <w:ind w:firstLine="960"/>
        <w:jc w:val="both"/>
      </w:pPr>
      <w:r>
        <w:rPr/>
        <w:t>（3）对从境外进入海关特殊监管区域，再经办理报关手续后从海关特殊监管区进入境内其他地区的产品，认定为进口产品。</w:t>
      </w:r>
    </w:p>
    <w:p>
      <w:pPr>
        <w:pStyle w:val="null3"/>
        <w:ind w:firstLine="960"/>
        <w:jc w:val="both"/>
      </w:pPr>
      <w:r>
        <w:rPr/>
        <w:t>（4）谈判文件列明不允许或未列明允许进口产品参加报价的，均视为拒绝进口产品参加报价。</w:t>
      </w:r>
    </w:p>
    <w:p>
      <w:pPr>
        <w:pStyle w:val="null3"/>
        <w:ind w:firstLine="480"/>
        <w:jc w:val="both"/>
      </w:pPr>
      <w:r>
        <w:rPr/>
        <w:t xml:space="preserve">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 </w:t>
      </w:r>
    </w:p>
    <w:p>
      <w:pPr>
        <w:pStyle w:val="null3"/>
        <w:ind w:firstLine="480"/>
        <w:jc w:val="both"/>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960"/>
        <w:jc w:val="both"/>
      </w:pPr>
      <w:r>
        <w:rPr/>
        <w:t>（1）中小企业指符合下列条件的中型、小型、微型企业：</w:t>
      </w:r>
    </w:p>
    <w:p>
      <w:pPr>
        <w:pStyle w:val="null3"/>
        <w:ind w:firstLine="96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960"/>
        <w:jc w:val="both"/>
      </w:pPr>
      <w:r>
        <w:rPr/>
        <w:t>②符合中小企业划分标准的个体工商户，在政府采购活动中视同中小企业。</w:t>
      </w:r>
    </w:p>
    <w:p>
      <w:pPr>
        <w:pStyle w:val="null3"/>
        <w:ind w:firstLine="960"/>
        <w:jc w:val="both"/>
      </w:pPr>
      <w:r>
        <w:rPr/>
        <w:t>（2）在政府采购活动中，供应商提供的货物、工程或者服务符合下列情形的，享受本办法规定的中小企业扶持政策：</w:t>
      </w:r>
    </w:p>
    <w:p>
      <w:pPr>
        <w:pStyle w:val="null3"/>
        <w:ind w:firstLine="960"/>
        <w:jc w:val="both"/>
      </w:pPr>
      <w:r>
        <w:rPr/>
        <w:t>①在货物采购项目中，货物由中小企业制造，即货物由中小企业生产且使用该中小企业商号或者注册商标；</w:t>
      </w:r>
    </w:p>
    <w:p>
      <w:pPr>
        <w:pStyle w:val="null3"/>
        <w:ind w:firstLine="960"/>
        <w:jc w:val="both"/>
      </w:pPr>
      <w:r>
        <w:rPr/>
        <w:t>②在工程采购项目中，工程由中小企业承建，即工程施工单位为中小企业；</w:t>
      </w:r>
    </w:p>
    <w:p>
      <w:pPr>
        <w:pStyle w:val="null3"/>
        <w:ind w:firstLine="960"/>
        <w:jc w:val="both"/>
      </w:pPr>
      <w:r>
        <w:rPr/>
        <w:t>③在服务采购项目中，服务由中小企业承接，即提供服务的人员为中小企业依照《中华人民共和国劳动合同法》 订立劳动合同的从业人员。</w:t>
      </w:r>
    </w:p>
    <w:p>
      <w:pPr>
        <w:pStyle w:val="null3"/>
        <w:ind w:firstLine="960"/>
        <w:jc w:val="both"/>
      </w:pPr>
      <w:r>
        <w:rPr/>
        <w:t>在货物采购项目中，供应商提供的货物既有中小企业制造货物，也有大型企业制造货物的，不享受本办法规定的中小企业扶持政策。</w:t>
      </w:r>
    </w:p>
    <w:p>
      <w:pPr>
        <w:pStyle w:val="null3"/>
        <w:ind w:firstLine="960"/>
        <w:jc w:val="both"/>
      </w:pPr>
      <w:r>
        <w:rPr/>
        <w:t>以联合体形式参加政府采购活动，联合体各方均为中小企业的，联合体视同中小企业。其中，联合体各方均为小微企业的，联合体视同小微企业。</w:t>
      </w:r>
    </w:p>
    <w:p>
      <w:pPr>
        <w:pStyle w:val="null3"/>
        <w:ind w:firstLine="960"/>
        <w:jc w:val="both"/>
      </w:pPr>
      <w:r>
        <w:rPr/>
        <w:t>（3）供应商应当按照谈判文件明确的采购标的对应行业的划分标准出具中小企业声明函。</w:t>
      </w:r>
    </w:p>
    <w:p>
      <w:pPr>
        <w:pStyle w:val="null3"/>
        <w:ind w:firstLine="96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96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960"/>
        <w:jc w:val="both"/>
      </w:pPr>
      <w:r>
        <w:rPr/>
        <w:t>①监狱企业参加采购活动时，应提供由省级以上监狱管理局、戒毒管理局（含新疆生产建设兵团）出具的属于监狱企业的证明文件。</w:t>
      </w:r>
    </w:p>
    <w:p>
      <w:pPr>
        <w:pStyle w:val="null3"/>
        <w:ind w:firstLine="960"/>
        <w:jc w:val="both"/>
      </w:pPr>
      <w:r>
        <w:rPr/>
        <w:t>②监狱企业视同小型、微型企业。</w:t>
      </w:r>
    </w:p>
    <w:p>
      <w:pPr>
        <w:pStyle w:val="null3"/>
        <w:ind w:firstLine="960"/>
        <w:jc w:val="both"/>
      </w:pPr>
      <w:r>
        <w:rPr/>
        <w:t>（5）残疾人福利性单位指同时符合下列条件的单位：</w:t>
      </w:r>
    </w:p>
    <w:p>
      <w:pPr>
        <w:pStyle w:val="null3"/>
        <w:ind w:firstLine="960"/>
        <w:jc w:val="both"/>
      </w:pPr>
      <w:r>
        <w:rPr/>
        <w:t>①安置的残疾人占本单位在职职工人数的比例不低于25%（含25%），并且安置的残疾人人数不少于10人（含10人）；</w:t>
      </w:r>
    </w:p>
    <w:p>
      <w:pPr>
        <w:pStyle w:val="null3"/>
        <w:ind w:firstLine="960"/>
        <w:jc w:val="both"/>
      </w:pPr>
      <w:r>
        <w:rPr/>
        <w:t>②依法与安置的每位残疾人签订了一年以上（含一年）的劳动合同或服务协议；</w:t>
      </w:r>
    </w:p>
    <w:p>
      <w:pPr>
        <w:pStyle w:val="null3"/>
        <w:ind w:firstLine="960"/>
        <w:jc w:val="both"/>
      </w:pPr>
      <w:r>
        <w:rPr/>
        <w:t>③为安置的每位残疾人按月足额缴纳了基本养老保险、基本医疗保险、失业保险、工伤保险和生育保险等社会保险费；</w:t>
      </w:r>
    </w:p>
    <w:p>
      <w:pPr>
        <w:pStyle w:val="null3"/>
        <w:ind w:firstLine="960"/>
        <w:jc w:val="both"/>
      </w:pPr>
      <w:r>
        <w:rPr/>
        <w:t>④通过银行等金融机构向安置的每位残疾人，按月支付了不低于单位所在区县适用的经省级人民政府批准的月最低工资标准的工资；</w:t>
      </w:r>
    </w:p>
    <w:p>
      <w:pPr>
        <w:pStyle w:val="null3"/>
        <w:ind w:firstLine="960"/>
        <w:jc w:val="both"/>
      </w:pPr>
      <w:r>
        <w:rPr/>
        <w:t>⑤提供本单位制造的货物、承担的工程或服务，或提供其他残疾人福利性单位制造的货物（不包括使用非残疾人福利性单位注册商标的货物）。</w:t>
      </w:r>
    </w:p>
    <w:p>
      <w:pPr>
        <w:pStyle w:val="null3"/>
        <w:ind w:firstLine="96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960"/>
        <w:jc w:val="both"/>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both"/>
      </w:pPr>
      <w:r>
        <w:rPr/>
        <w:t>25.履约保证金</w:t>
      </w:r>
    </w:p>
    <w:p>
      <w:pPr>
        <w:pStyle w:val="null3"/>
        <w:ind w:firstLine="480"/>
        <w:jc w:val="both"/>
      </w:pPr>
      <w:r>
        <w:rPr/>
        <w:t>25.1采购人可以根据项目特点和需要，确定是否要求成交供应商在合同签订前，按照谈判文件规定的时间、形式、金额提交履约保证金，履约保证金的数额不超过中标合同金额的10%。</w:t>
      </w:r>
    </w:p>
    <w:p>
      <w:pPr>
        <w:pStyle w:val="null3"/>
        <w:ind w:firstLine="480"/>
        <w:jc w:val="both"/>
      </w:pPr>
      <w:r>
        <w:rPr/>
        <w:t>25.2谈判文件要求在合同签订前提交履约保证金，如果成交供应商无故拖延或者拒不提交履约保证金的，则视为成交供应商拒绝与采购人签订合同，该成交供应商将承担违法行为的法律责任。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26.1根据采购项目特点或政策需要补充的其他新增内容详见竞争性谈判须知前附表第9项。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both"/>
        <w:outlineLvl w:val="2"/>
      </w:pPr>
      <w:r>
        <w:rPr>
          <w:sz w:val="28"/>
          <w:b/>
        </w:rPr>
        <w:t>一、（根据本项目实际情况，填写“采购标的”或“项目概况”）</w:t>
      </w:r>
    </w:p>
    <w:p>
      <w:pPr>
        <w:pStyle w:val="null3"/>
        <w:jc w:val="left"/>
      </w:pPr>
      <w:r>
        <w:rPr>
          <w:rFonts w:ascii="宋体" w:hAnsi="宋体" w:cs="宋体" w:eastAsia="宋体"/>
          <w:sz w:val="24"/>
          <w:shd w:fill="FFFFFF" w:val="clear"/>
        </w:rPr>
        <w:t>1、本项目为福州职业技术学院匠心楼网络建设项目，</w:t>
      </w:r>
      <w:r>
        <w:rPr>
          <w:rFonts w:ascii="宋体" w:hAnsi="宋体" w:cs="宋体" w:eastAsia="宋体"/>
          <w:sz w:val="24"/>
          <w:shd w:fill="FFFFFF" w:val="clear"/>
        </w:rPr>
        <w:t>供应商</w:t>
      </w:r>
      <w:r>
        <w:rPr>
          <w:rFonts w:ascii="宋体" w:hAnsi="宋体" w:cs="宋体" w:eastAsia="宋体"/>
          <w:sz w:val="24"/>
          <w:shd w:fill="FFFFFF" w:val="clear"/>
        </w:rPr>
        <w:t>为本次项目提供的货物必须通过合法渠道获得，具有在中国境内的合法使用权和用户保护权，且要求货物所配模块及配件为原厂配件，货物的制造标准及技术规范等有关资料必须符合相关标准、规范要求。</w:t>
      </w:r>
    </w:p>
    <w:p>
      <w:pPr>
        <w:pStyle w:val="null3"/>
        <w:ind w:firstLine="480"/>
        <w:jc w:val="left"/>
      </w:pPr>
      <w:r>
        <w:rPr>
          <w:rFonts w:ascii="宋体" w:hAnsi="宋体" w:cs="宋体" w:eastAsia="宋体"/>
          <w:sz w:val="24"/>
          <w:shd w:fill="FFFFFF" w:val="clear"/>
        </w:rPr>
        <w:t>2、</w:t>
      </w:r>
      <w:r>
        <w:rPr>
          <w:rFonts w:ascii="宋体" w:hAnsi="宋体" w:cs="宋体" w:eastAsia="宋体"/>
          <w:sz w:val="24"/>
          <w:shd w:fill="FFFFFF" w:val="clear"/>
        </w:rPr>
        <w:t>供应商</w:t>
      </w:r>
      <w:r>
        <w:rPr>
          <w:rFonts w:ascii="宋体" w:hAnsi="宋体" w:cs="宋体" w:eastAsia="宋体"/>
          <w:sz w:val="24"/>
          <w:shd w:fill="FFFFFF" w:val="clear"/>
        </w:rPr>
        <w:t>可按采购包投标，对同一采购包内所有品目号内容投标时必须完整。评审与授标以包为单位。</w:t>
      </w:r>
    </w:p>
    <w:p>
      <w:pPr>
        <w:pStyle w:val="null3"/>
        <w:ind w:firstLine="480"/>
        <w:jc w:val="left"/>
      </w:pPr>
      <w:r>
        <w:rPr>
          <w:rFonts w:ascii="宋体" w:hAnsi="宋体" w:cs="宋体" w:eastAsia="宋体"/>
          <w:sz w:val="24"/>
          <w:shd w:fill="FFFFFF" w:val="clear"/>
        </w:rPr>
        <w:t>3、</w:t>
      </w:r>
      <w:r>
        <w:rPr>
          <w:rFonts w:ascii="宋体" w:hAnsi="宋体" w:cs="宋体" w:eastAsia="宋体"/>
          <w:sz w:val="24"/>
          <w:shd w:fill="FFFFFF" w:val="clear"/>
        </w:rPr>
        <w:t>供应商</w:t>
      </w:r>
      <w:r>
        <w:rPr>
          <w:rFonts w:ascii="宋体" w:hAnsi="宋体" w:cs="宋体" w:eastAsia="宋体"/>
          <w:sz w:val="24"/>
          <w:shd w:fill="FFFFFF" w:val="clear"/>
        </w:rPr>
        <w:t>的投标报价应包含货物的主机、附件、零备件等货物部分，还要包括可能的运输、安装、调试、培训等伴随服务。还要考虑到合同中可能出现的索赔和变更。</w:t>
      </w:r>
    </w:p>
    <w:p>
      <w:pPr>
        <w:pStyle w:val="null3"/>
        <w:ind w:firstLine="480"/>
        <w:jc w:val="both"/>
      </w:pPr>
      <w:r>
        <w:rPr>
          <w:rFonts w:ascii="宋体" w:hAnsi="宋体" w:cs="宋体" w:eastAsia="宋体"/>
          <w:sz w:val="24"/>
          <w:shd w:fill="FFFFFF" w:val="clear"/>
        </w:rPr>
        <w:t>4、本项目的核心产品为</w:t>
      </w:r>
      <w:r>
        <w:rPr>
          <w:rFonts w:ascii="宋体" w:hAnsi="宋体" w:cs="宋体" w:eastAsia="宋体"/>
          <w:sz w:val="24"/>
          <w:b/>
          <w:shd w:fill="FFFFFF" w:val="clear"/>
        </w:rPr>
        <w:t>“序号1</w:t>
      </w:r>
      <w:r>
        <w:rPr>
          <w:rFonts w:ascii="宋体" w:hAnsi="宋体" w:cs="宋体" w:eastAsia="宋体"/>
          <w:sz w:val="24"/>
          <w:b/>
        </w:rPr>
        <w:t>放装</w:t>
      </w:r>
      <w:r>
        <w:rPr>
          <w:rFonts w:ascii="宋体" w:hAnsi="宋体" w:cs="宋体" w:eastAsia="宋体"/>
          <w:sz w:val="24"/>
          <w:b/>
        </w:rPr>
        <w:t>AP”。</w:t>
      </w:r>
    </w:p>
    <w:p>
      <w:pPr>
        <w:pStyle w:val="null3"/>
        <w:jc w:val="both"/>
        <w:outlineLvl w:val="2"/>
      </w:pPr>
      <w:r>
        <w:rPr>
          <w:sz w:val="28"/>
          <w:b/>
        </w:rPr>
        <w:t>二、技术和服务要求</w:t>
      </w:r>
    </w:p>
    <w:p>
      <w:pPr>
        <w:pStyle w:val="null3"/>
        <w:jc w:val="left"/>
      </w:pPr>
      <w:r>
        <w:rPr>
          <w:rFonts w:ascii="宋体" w:hAnsi="宋体" w:cs="宋体" w:eastAsia="宋体"/>
          <w:sz w:val="24"/>
          <w:b/>
        </w:rPr>
        <w:t>1、安全性、可靠性、经济性要求</w:t>
      </w:r>
    </w:p>
    <w:p>
      <w:pPr>
        <w:pStyle w:val="null3"/>
        <w:ind w:firstLine="480"/>
        <w:jc w:val="left"/>
      </w:pPr>
      <w:r>
        <w:rPr>
          <w:rFonts w:ascii="宋体" w:hAnsi="宋体" w:cs="宋体" w:eastAsia="宋体"/>
          <w:sz w:val="24"/>
        </w:rPr>
        <w:t>1.1要求提供硬件（无线AP、接入交换机、汇聚交换机、AC控制器等）更新服务、软件版本的升级服务、接口开放对接。</w:t>
      </w:r>
    </w:p>
    <w:p>
      <w:pPr>
        <w:pStyle w:val="null3"/>
        <w:ind w:firstLine="480"/>
        <w:jc w:val="left"/>
      </w:pPr>
      <w:r>
        <w:rPr>
          <w:rFonts w:ascii="宋体" w:hAnsi="宋体" w:cs="宋体" w:eastAsia="宋体"/>
          <w:sz w:val="24"/>
        </w:rPr>
        <w:t>1.2项目建设包含利旧内容时，</w:t>
      </w:r>
      <w:r>
        <w:rPr>
          <w:rFonts w:ascii="宋体" w:hAnsi="宋体" w:cs="宋体" w:eastAsia="宋体"/>
          <w:sz w:val="24"/>
        </w:rPr>
        <w:t>供应商</w:t>
      </w:r>
      <w:r>
        <w:rPr>
          <w:rFonts w:ascii="宋体" w:hAnsi="宋体" w:cs="宋体" w:eastAsia="宋体"/>
          <w:sz w:val="24"/>
        </w:rPr>
        <w:t>必须按照采购人的意愿，对旧器件负责迁移、整合、拆除、整理、搬迁入库；对既有系统的数据负责导入、调试等工作。</w:t>
      </w:r>
    </w:p>
    <w:p>
      <w:pPr>
        <w:pStyle w:val="null3"/>
        <w:ind w:firstLine="480"/>
        <w:jc w:val="left"/>
      </w:pPr>
      <w:r>
        <w:rPr>
          <w:rFonts w:ascii="宋体" w:hAnsi="宋体" w:cs="宋体" w:eastAsia="宋体"/>
          <w:sz w:val="24"/>
        </w:rPr>
        <w:t>1.3</w:t>
      </w:r>
      <w:r>
        <w:rPr>
          <w:rFonts w:ascii="宋体" w:hAnsi="宋体" w:cs="宋体" w:eastAsia="宋体"/>
          <w:sz w:val="24"/>
        </w:rPr>
        <w:t>供应商</w:t>
      </w:r>
      <w:r>
        <w:rPr>
          <w:rFonts w:ascii="宋体" w:hAnsi="宋体" w:cs="宋体" w:eastAsia="宋体"/>
          <w:sz w:val="24"/>
        </w:rPr>
        <w:t>应承担对采购人的保密义务，包括但不限于对系统架构、部署情况、数据、策略、参数等的保密义务；</w:t>
      </w:r>
    </w:p>
    <w:p>
      <w:pPr>
        <w:pStyle w:val="null3"/>
        <w:ind w:firstLine="480"/>
        <w:jc w:val="left"/>
      </w:pPr>
      <w:r>
        <w:rPr>
          <w:rFonts w:ascii="宋体" w:hAnsi="宋体" w:cs="宋体" w:eastAsia="宋体"/>
          <w:sz w:val="24"/>
        </w:rPr>
        <w:t>1.4</w:t>
      </w:r>
      <w:r>
        <w:rPr>
          <w:rFonts w:ascii="宋体" w:hAnsi="宋体" w:cs="宋体" w:eastAsia="宋体"/>
          <w:sz w:val="24"/>
        </w:rPr>
        <w:t>供应商</w:t>
      </w:r>
      <w:r>
        <w:rPr>
          <w:rFonts w:ascii="宋体" w:hAnsi="宋体" w:cs="宋体" w:eastAsia="宋体"/>
          <w:sz w:val="24"/>
        </w:rPr>
        <w:t>应规范操作用户方数据，不得越权或越界操作；未经授权不得查询、获取、存储、传输用户方数据，不得向第三方泄露用户方数据；个人信息收集、管理和使用应遵循《个人信息保护法》的个人信息处理基本原则。</w:t>
      </w:r>
    </w:p>
    <w:p>
      <w:pPr>
        <w:pStyle w:val="null3"/>
        <w:ind w:firstLine="241"/>
        <w:jc w:val="left"/>
      </w:pPr>
      <w:r>
        <w:rPr>
          <w:rFonts w:ascii="宋体" w:hAnsi="宋体" w:cs="宋体" w:eastAsia="宋体"/>
          <w:sz w:val="24"/>
          <w:b/>
        </w:rPr>
        <w:t>2、兼容对接要求</w:t>
      </w:r>
    </w:p>
    <w:p>
      <w:pPr>
        <w:pStyle w:val="null3"/>
        <w:ind w:firstLine="480"/>
        <w:jc w:val="left"/>
      </w:pPr>
      <w:r>
        <w:rPr>
          <w:rFonts w:ascii="宋体" w:hAnsi="宋体" w:cs="宋体" w:eastAsia="宋体"/>
          <w:sz w:val="24"/>
        </w:rPr>
        <w:t>2.1升级改造项目必须与现有系统兼容对接、不变动原有系统硬件配置的方案；</w:t>
      </w:r>
    </w:p>
    <w:p>
      <w:pPr>
        <w:pStyle w:val="null3"/>
        <w:ind w:firstLine="480"/>
        <w:jc w:val="left"/>
      </w:pPr>
      <w:r>
        <w:rPr>
          <w:rFonts w:ascii="宋体" w:hAnsi="宋体" w:cs="宋体" w:eastAsia="宋体"/>
          <w:sz w:val="24"/>
        </w:rPr>
        <w:t>2.2所有数据接口无条件免费向采购人开放使用；</w:t>
      </w:r>
    </w:p>
    <w:p>
      <w:pPr>
        <w:pStyle w:val="null3"/>
        <w:ind w:firstLine="480"/>
        <w:jc w:val="left"/>
      </w:pPr>
      <w:r>
        <w:rPr>
          <w:rFonts w:ascii="宋体" w:hAnsi="宋体" w:cs="宋体" w:eastAsia="宋体"/>
          <w:sz w:val="24"/>
        </w:rPr>
        <w:t>2.3项目建设包含利旧内容时，</w:t>
      </w:r>
      <w:r>
        <w:rPr>
          <w:rFonts w:ascii="宋体" w:hAnsi="宋体" w:cs="宋体" w:eastAsia="宋体"/>
          <w:sz w:val="24"/>
        </w:rPr>
        <w:t>供应商</w:t>
      </w:r>
      <w:r>
        <w:rPr>
          <w:rFonts w:ascii="宋体" w:hAnsi="宋体" w:cs="宋体" w:eastAsia="宋体"/>
          <w:sz w:val="24"/>
        </w:rPr>
        <w:t>必须按照采购人的意愿，对旧的场地负责进行规整、垃圾清运、损坏场地的外观修补；对旧器件负责迁移、整合、拆除、整理、搬迁入库。</w:t>
      </w:r>
    </w:p>
    <w:p>
      <w:pPr>
        <w:pStyle w:val="null3"/>
        <w:jc w:val="both"/>
      </w:pPr>
      <w:r>
        <w:rPr>
          <w:rFonts w:ascii="宋体" w:hAnsi="宋体" w:cs="宋体" w:eastAsia="宋体"/>
          <w:sz w:val="24"/>
          <w:b/>
        </w:rPr>
        <w:t>3、采购清单</w:t>
      </w:r>
    </w:p>
    <w:p>
      <w:pPr>
        <w:pStyle w:val="null3"/>
        <w:jc w:val="both"/>
      </w:pPr>
      <w:r>
        <w:rPr>
          <w:rFonts w:ascii="宋体" w:hAnsi="宋体" w:cs="宋体" w:eastAsia="宋体"/>
          <w:sz w:val="24"/>
          <w:b/>
          <w:shd w:fill="FFFFFF" w:val="clear"/>
        </w:rPr>
        <w:t>以下所有产品规格、尺寸、重量相关的均允许正负偏离</w:t>
      </w:r>
      <w:r>
        <w:rPr>
          <w:rFonts w:ascii="宋体" w:hAnsi="宋体" w:cs="宋体" w:eastAsia="宋体"/>
          <w:sz w:val="24"/>
          <w:b/>
          <w:shd w:fill="FFFFFF" w:val="clear"/>
        </w:rPr>
        <w:t>2%，技术参数中另有规定的从其规定。</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389"/>
        <w:gridCol w:w="1166"/>
        <w:gridCol w:w="3900"/>
        <w:gridCol w:w="713"/>
        <w:gridCol w:w="557"/>
        <w:gridCol w:w="777"/>
        <w:gridCol w:w="803"/>
      </w:tblGrid>
      <w:tr>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序号</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品目名称</w:t>
            </w:r>
          </w:p>
        </w:tc>
        <w:tc>
          <w:tcPr>
            <w:tcW w:type="dxa" w:w="3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技术参数</w:t>
            </w:r>
          </w:p>
        </w:tc>
        <w:tc>
          <w:tcPr>
            <w:tcW w:type="dxa" w:w="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数量</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单位</w:t>
            </w:r>
          </w:p>
        </w:tc>
        <w:tc>
          <w:tcPr>
            <w:tcW w:type="dxa" w:w="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单价（元）</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总价（元）</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放装</w:t>
            </w:r>
            <w:r>
              <w:rPr>
                <w:rFonts w:ascii="宋体" w:hAnsi="宋体" w:cs="宋体" w:eastAsia="宋体"/>
                <w:sz w:val="24"/>
                <w:color w:val="000000"/>
              </w:rPr>
              <w:t>AP</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1.最高支持802.11ax协议，兼容802.11a/b/g/n/ac协议；</w:t>
            </w:r>
          </w:p>
          <w:p>
            <w:pPr>
              <w:pStyle w:val="null3"/>
              <w:jc w:val="left"/>
            </w:pPr>
            <w:r>
              <w:rPr>
                <w:rFonts w:ascii="宋体" w:hAnsi="宋体" w:cs="宋体" w:eastAsia="宋体"/>
                <w:sz w:val="24"/>
                <w:color w:val="000000"/>
              </w:rPr>
              <w:t>2.整机采用三射频设计，Radio1最大传输速率≥574Mbps，Radio2最大传输速率≥2402Mbps，Radio3最大传输速率≥150Mbps，整机最大传输速率≥3.126Gbps；</w:t>
            </w:r>
          </w:p>
          <w:p>
            <w:pPr>
              <w:pStyle w:val="null3"/>
              <w:jc w:val="left"/>
            </w:pPr>
            <w:r>
              <w:rPr>
                <w:rFonts w:ascii="宋体" w:hAnsi="宋体" w:cs="宋体" w:eastAsia="宋体"/>
                <w:sz w:val="24"/>
                <w:color w:val="000000"/>
              </w:rPr>
              <w:t>3.内置智能天线；千兆以太网口≥1个，并需提供≥1个RJ-45 Console管理口；</w:t>
            </w:r>
          </w:p>
          <w:p>
            <w:pPr>
              <w:pStyle w:val="null3"/>
              <w:jc w:val="left"/>
            </w:pPr>
            <w:r>
              <w:rPr>
                <w:rFonts w:ascii="宋体" w:hAnsi="宋体" w:cs="宋体" w:eastAsia="宋体"/>
                <w:sz w:val="24"/>
                <w:color w:val="000000"/>
              </w:rPr>
              <w:t>4.支持802.3at标准的PoE供电和本地电源适配器供电两种方式；AP满负荷工作功耗≤20W；</w:t>
            </w:r>
          </w:p>
          <w:p>
            <w:pPr>
              <w:pStyle w:val="null3"/>
              <w:jc w:val="left"/>
            </w:pPr>
            <w:r>
              <w:rPr>
                <w:rFonts w:ascii="宋体" w:hAnsi="宋体" w:cs="宋体" w:eastAsia="宋体"/>
                <w:sz w:val="24"/>
                <w:color w:val="000000"/>
              </w:rPr>
              <w:t>5.AP发射功率≤20dBm（最大不超过100mw），且功率可调节（调节粒度为1dBm，调节范围为1dBm~20dBm）；</w:t>
            </w:r>
          </w:p>
          <w:p>
            <w:pPr>
              <w:pStyle w:val="null3"/>
              <w:jc w:val="left"/>
            </w:pPr>
            <w:r>
              <w:rPr>
                <w:rFonts w:ascii="宋体" w:hAnsi="宋体" w:cs="宋体" w:eastAsia="宋体"/>
                <w:sz w:val="24"/>
                <w:color w:val="000000"/>
              </w:rPr>
              <w:t>6.工作温度：-10~50℃；工作湿度（非凝结）：5%~95%；</w:t>
            </w:r>
          </w:p>
          <w:p>
            <w:pPr>
              <w:pStyle w:val="null3"/>
              <w:jc w:val="left"/>
            </w:pPr>
            <w:r>
              <w:rPr>
                <w:rFonts w:ascii="宋体" w:hAnsi="宋体" w:cs="宋体" w:eastAsia="宋体"/>
                <w:sz w:val="24"/>
                <w:color w:val="000000"/>
              </w:rPr>
              <w:t>7.单射频接入人数最高支持≥128，整机最大接入人数≥240；支持虚拟AP技术，单射频SSID数量最高支持≥16，整机≥32；</w:t>
            </w:r>
          </w:p>
          <w:p>
            <w:pPr>
              <w:pStyle w:val="null3"/>
              <w:jc w:val="left"/>
            </w:pPr>
            <w:r>
              <w:rPr>
                <w:rFonts w:ascii="宋体" w:hAnsi="宋体" w:cs="宋体" w:eastAsia="宋体"/>
                <w:sz w:val="24"/>
                <w:color w:val="000000"/>
              </w:rPr>
              <w:t>8.支持Fat和Fit两种工作模式，根据网络规划的需要，可以灵活地在Fat和Fit两种工作模式中切换，同时可以根据应用需求，选择工作模式；</w:t>
            </w:r>
          </w:p>
          <w:p>
            <w:pPr>
              <w:pStyle w:val="null3"/>
              <w:jc w:val="left"/>
            </w:pPr>
            <w:r>
              <w:rPr>
                <w:rFonts w:ascii="宋体" w:hAnsi="宋体" w:cs="宋体" w:eastAsia="宋体"/>
                <w:sz w:val="24"/>
                <w:color w:val="000000"/>
              </w:rPr>
              <w:t>9.支持AP零配置，支持二三层发现、DHCP Option43、DNS域名等多种AC自动发现机制；</w:t>
            </w:r>
          </w:p>
          <w:p>
            <w:pPr>
              <w:pStyle w:val="null3"/>
              <w:jc w:val="left"/>
            </w:pPr>
            <w:r>
              <w:rPr>
                <w:rFonts w:ascii="宋体" w:hAnsi="宋体" w:cs="宋体" w:eastAsia="宋体"/>
                <w:sz w:val="24"/>
                <w:color w:val="000000"/>
              </w:rPr>
              <w:t>10.结合802.1X、Web认证方式接入无线网络功能，以实现多用户认证可靠、安全且高效的认证管理，支持二维码等多种方式认证；</w:t>
            </w:r>
          </w:p>
          <w:p>
            <w:pPr>
              <w:pStyle w:val="null3"/>
              <w:jc w:val="left"/>
            </w:pPr>
            <w:r>
              <w:rPr>
                <w:rFonts w:ascii="宋体" w:hAnsi="宋体" w:cs="宋体" w:eastAsia="宋体"/>
                <w:sz w:val="24"/>
                <w:color w:val="000000"/>
              </w:rPr>
              <w:t>11.支持逃生模式，AP与控制器连接中断后，原有用户在线、新用户正常接入，业务不中断。</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123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1450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178350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安视光盒</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1.千兆电口≥8个（其中支持POE电口≥4个），千兆光口≥2个；Console口≥1个；</w:t>
            </w:r>
          </w:p>
          <w:p>
            <w:pPr>
              <w:pStyle w:val="null3"/>
              <w:jc w:val="left"/>
            </w:pPr>
            <w:r>
              <w:rPr>
                <w:rFonts w:ascii="宋体" w:hAnsi="宋体" w:cs="宋体" w:eastAsia="宋体"/>
                <w:sz w:val="24"/>
                <w:color w:val="000000"/>
              </w:rPr>
              <w:t>2.交换容量≥336Gbps，包转发率≥68Mpps；</w:t>
            </w:r>
          </w:p>
          <w:p>
            <w:pPr>
              <w:pStyle w:val="null3"/>
              <w:jc w:val="left"/>
            </w:pPr>
            <w:r>
              <w:rPr>
                <w:rFonts w:ascii="宋体" w:hAnsi="宋体" w:cs="宋体" w:eastAsia="宋体"/>
                <w:sz w:val="24"/>
                <w:color w:val="000000"/>
              </w:rPr>
              <w:t>3.支持IEEE802.3af/at供电标准，整机最大输出功率≥80W；支持挂壁、吊顶、机柜、平放等安装方式，方便管理，交流电源电源插座需前置；</w:t>
            </w:r>
          </w:p>
          <w:p>
            <w:pPr>
              <w:pStyle w:val="null3"/>
              <w:jc w:val="left"/>
            </w:pPr>
            <w:r>
              <w:rPr>
                <w:rFonts w:ascii="宋体" w:hAnsi="宋体" w:cs="宋体" w:eastAsia="宋体"/>
                <w:sz w:val="24"/>
                <w:color w:val="000000"/>
              </w:rPr>
              <w:t>4.三层功能支持静态路由、DHCP Server；二层功能支持MAC地址≥16K，支持MAC地址自动学习；支持源MAC地址过滤；支持接口MAC地址学习个数限制；支持≥4K个VLAN；支持IGMPv1/v2/v3 Snooping；支持STP、RSTP、MSTP协议；支持端口聚合，支持手工和静态LACP；</w:t>
            </w:r>
          </w:p>
          <w:p>
            <w:pPr>
              <w:pStyle w:val="null3"/>
              <w:jc w:val="left"/>
            </w:pPr>
            <w:r>
              <w:rPr>
                <w:rFonts w:ascii="宋体" w:hAnsi="宋体" w:cs="宋体" w:eastAsia="宋体"/>
                <w:sz w:val="24"/>
                <w:color w:val="000000"/>
              </w:rPr>
              <w:t>5.支持智能交换机和普通交换机两种工作模式，可以根据不同的组网需要，随时灵活的进行切换；</w:t>
            </w:r>
          </w:p>
          <w:p>
            <w:pPr>
              <w:pStyle w:val="null3"/>
              <w:jc w:val="left"/>
            </w:pPr>
            <w:r>
              <w:rPr>
                <w:rFonts w:ascii="宋体" w:hAnsi="宋体" w:cs="宋体" w:eastAsia="宋体"/>
                <w:sz w:val="24"/>
                <w:color w:val="000000"/>
              </w:rPr>
              <w:t>6.支持通过网管中心平台的终端类型库，实现基于指纹自动识别PC、路由器、摄像头设备、无线AP、打印机设备等，并且可以基于终端类型自动识别结果，禁止非法终端(例如私接路由器)接入；</w:t>
            </w:r>
          </w:p>
          <w:p>
            <w:pPr>
              <w:pStyle w:val="null3"/>
              <w:jc w:val="left"/>
            </w:pPr>
            <w:r>
              <w:rPr>
                <w:rFonts w:ascii="宋体" w:hAnsi="宋体" w:cs="宋体" w:eastAsia="宋体"/>
                <w:sz w:val="24"/>
                <w:color w:val="000000"/>
              </w:rPr>
              <w:t>7.支持通过网管中心平台，实现一键替换按钮即可完成故障设备替换；</w:t>
            </w:r>
          </w:p>
          <w:p>
            <w:pPr>
              <w:pStyle w:val="null3"/>
              <w:jc w:val="left"/>
            </w:pPr>
            <w:r>
              <w:rPr>
                <w:rFonts w:ascii="宋体" w:hAnsi="宋体" w:cs="宋体" w:eastAsia="宋体"/>
                <w:sz w:val="24"/>
                <w:color w:val="000000"/>
              </w:rPr>
              <w:t>8.支持M-LAG技术，跨设备链路聚合（非堆叠技术实现），要求配对的设备有独立的控制平面；</w:t>
            </w:r>
          </w:p>
          <w:p>
            <w:pPr>
              <w:pStyle w:val="null3"/>
              <w:jc w:val="left"/>
            </w:pPr>
            <w:r>
              <w:rPr>
                <w:rFonts w:ascii="宋体" w:hAnsi="宋体" w:cs="宋体" w:eastAsia="宋体"/>
                <w:sz w:val="24"/>
                <w:color w:val="000000"/>
              </w:rPr>
              <w:t>9.支持通过静态IP地址、DHCP Option43、DNS域名等方式发现网管中心平台</w:t>
            </w:r>
            <w:r>
              <w:rPr>
                <w:rFonts w:ascii="宋体" w:hAnsi="宋体" w:cs="宋体" w:eastAsia="宋体"/>
                <w:sz w:val="24"/>
                <w:b/>
                <w:color w:val="000000"/>
              </w:rPr>
              <w:t>，须提供后台功能截图证明及具有</w:t>
            </w:r>
            <w:r>
              <w:rPr>
                <w:rFonts w:ascii="宋体" w:hAnsi="宋体" w:cs="宋体" w:eastAsia="宋体"/>
                <w:sz w:val="24"/>
                <w:b/>
                <w:color w:val="000000"/>
              </w:rPr>
              <w:t>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10.支持通过移动APP进行远程管理及修改交换机网络配置，例如远程查看端口状态、查看交换机供电情况、远程重启交换机端口等</w:t>
            </w:r>
            <w:r>
              <w:rPr>
                <w:rFonts w:ascii="宋体" w:hAnsi="宋体" w:cs="宋体" w:eastAsia="宋体"/>
                <w:sz w:val="24"/>
                <w:b/>
                <w:color w:val="000000"/>
              </w:rPr>
              <w:t>，须提供</w:t>
            </w:r>
            <w:r>
              <w:rPr>
                <w:rFonts w:ascii="宋体" w:hAnsi="宋体" w:cs="宋体" w:eastAsia="宋体"/>
                <w:sz w:val="24"/>
                <w:b/>
                <w:color w:val="000000"/>
              </w:rPr>
              <w:t>APP软件功能截图证明及具有CMA或CNAS资质的第三方检测机构出具的检测报告关键页证明复印件，至少包含报告首页及对应功能测试页；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11.支持通过网管中心平台，实现查看终端在交换机端口的离线次数、闲置时间、离线趋势、迁移次数，查看终端类型异常、终端地址异常等安全事件记录</w:t>
            </w:r>
            <w:r>
              <w:rPr>
                <w:rFonts w:ascii="宋体" w:hAnsi="宋体" w:cs="宋体" w:eastAsia="宋体"/>
                <w:sz w:val="24"/>
                <w:b/>
                <w:color w:val="000000"/>
              </w:rPr>
              <w:t>，须提供后台功能截图证明及具有</w:t>
            </w:r>
            <w:r>
              <w:rPr>
                <w:rFonts w:ascii="宋体" w:hAnsi="宋体" w:cs="宋体" w:eastAsia="宋体"/>
                <w:sz w:val="24"/>
                <w:b/>
                <w:color w:val="000000"/>
              </w:rPr>
              <w:t>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12.支持通过网管中心平台，在交换机上创建东西向安全策略，实现全网安全风险拦截；并支持各区域流量互访记录并呈现，可通过日志查看各终端之间的互访记录；并可查看到可视化的互访图显示，可查看到观察区域和保护区域的数量、安全访问、风险访问次数、拦截次数、攻击终端数量等</w:t>
            </w:r>
            <w:r>
              <w:rPr>
                <w:rFonts w:ascii="宋体" w:hAnsi="宋体" w:cs="宋体" w:eastAsia="宋体"/>
                <w:sz w:val="24"/>
                <w:b/>
                <w:color w:val="000000"/>
              </w:rPr>
              <w:t>，须提供后台功能截图证明及具有</w:t>
            </w:r>
            <w:r>
              <w:rPr>
                <w:rFonts w:ascii="宋体" w:hAnsi="宋体" w:cs="宋体" w:eastAsia="宋体"/>
                <w:sz w:val="24"/>
                <w:b/>
                <w:color w:val="000000"/>
              </w:rPr>
              <w:t>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13.支持通过网管中心平台，实现交换机拓扑自动生成和编辑、删除，支持在线、离线、待激活、待修复等状态显示，支持拓扑对象按名称、IP、MAC等查找等操作</w:t>
            </w:r>
            <w:r>
              <w:rPr>
                <w:rFonts w:ascii="宋体" w:hAnsi="宋体" w:cs="宋体" w:eastAsia="宋体"/>
                <w:sz w:val="24"/>
                <w:b/>
                <w:color w:val="000000"/>
              </w:rPr>
              <w:t>，须提供后台功能截图证明及具有</w:t>
            </w:r>
            <w:r>
              <w:rPr>
                <w:rFonts w:ascii="宋体" w:hAnsi="宋体" w:cs="宋体" w:eastAsia="宋体"/>
                <w:sz w:val="24"/>
                <w:b/>
                <w:color w:val="000000"/>
              </w:rPr>
              <w:t>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14.支持通过网管中心平台，实现对接外部服务器认证，实现Radius、阿里钉钉认证等</w:t>
            </w:r>
            <w:r>
              <w:rPr>
                <w:rFonts w:ascii="宋体" w:hAnsi="宋体" w:cs="宋体" w:eastAsia="宋体"/>
                <w:sz w:val="24"/>
                <w:b/>
                <w:color w:val="000000"/>
              </w:rPr>
              <w:t>，须提供后台功能截图证明及具有</w:t>
            </w:r>
            <w:r>
              <w:rPr>
                <w:rFonts w:ascii="宋体" w:hAnsi="宋体" w:cs="宋体" w:eastAsia="宋体"/>
                <w:sz w:val="24"/>
                <w:b/>
                <w:color w:val="000000"/>
              </w:rPr>
              <w:t>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15.为保证设备在受到外界机械碰撞时能够正常运行，要求所投交换机IK防护测试级别至少达到IK06</w:t>
            </w:r>
            <w:r>
              <w:rPr>
                <w:rFonts w:ascii="宋体" w:hAnsi="宋体" w:cs="宋体" w:eastAsia="宋体"/>
                <w:sz w:val="24"/>
                <w:b/>
                <w:color w:val="000000"/>
              </w:rPr>
              <w:t>，须提供具有</w:t>
            </w:r>
            <w:r>
              <w:rPr>
                <w:rFonts w:ascii="宋体" w:hAnsi="宋体" w:cs="宋体" w:eastAsia="宋体"/>
                <w:sz w:val="24"/>
                <w:b/>
                <w:color w:val="000000"/>
              </w:rPr>
              <w:t>CMA或CNAS资质的第三方检测机构出具的检测报告关键页证明复印件，至少包含报告首页及对应功能测试页。</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99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2700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267300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24口光主机</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1.千兆光口≥24个，千兆combo电口≥4个（可与前面的24个光口中的4个复用），万兆SFP+光口≥4个，Console口≥1个；</w:t>
            </w:r>
          </w:p>
          <w:p>
            <w:pPr>
              <w:pStyle w:val="null3"/>
              <w:jc w:val="left"/>
            </w:pPr>
            <w:r>
              <w:rPr>
                <w:rFonts w:ascii="宋体" w:hAnsi="宋体" w:cs="宋体" w:eastAsia="宋体"/>
                <w:sz w:val="24"/>
                <w:color w:val="000000"/>
              </w:rPr>
              <w:t>2.交换容量≥432Gbps，包转发率≥156Mpps；</w:t>
            </w:r>
          </w:p>
          <w:p>
            <w:pPr>
              <w:pStyle w:val="null3"/>
              <w:jc w:val="left"/>
            </w:pPr>
            <w:r>
              <w:rPr>
                <w:rFonts w:ascii="宋体" w:hAnsi="宋体" w:cs="宋体" w:eastAsia="宋体"/>
                <w:sz w:val="24"/>
                <w:color w:val="000000"/>
              </w:rPr>
              <w:t>3.三层功能支持静态路由、DHCP Server；二层功能支持MAC地址≥16K，支持MAC地址自动学习；支持源MAC地址过滤；支持接口MAC地址学习个数限制；支持≥4K个VLAN；支持IGMP v1/v2/v3 Snooping；支持STP、RSTP、MSTP协议；支持端口聚合，支持手工和静态LACP；</w:t>
            </w:r>
          </w:p>
          <w:p>
            <w:pPr>
              <w:pStyle w:val="null3"/>
              <w:jc w:val="left"/>
            </w:pPr>
            <w:r>
              <w:rPr>
                <w:rFonts w:ascii="宋体" w:hAnsi="宋体" w:cs="宋体" w:eastAsia="宋体"/>
                <w:sz w:val="24"/>
                <w:color w:val="000000"/>
              </w:rPr>
              <w:t>4.支持智能交换机和普通交换机两种工作模式，可以根据不同的组网需要，随时灵活的进行切换；</w:t>
            </w:r>
          </w:p>
          <w:p>
            <w:pPr>
              <w:pStyle w:val="null3"/>
              <w:jc w:val="left"/>
            </w:pPr>
            <w:r>
              <w:rPr>
                <w:rFonts w:ascii="宋体" w:hAnsi="宋体" w:cs="宋体" w:eastAsia="宋体"/>
                <w:sz w:val="24"/>
                <w:color w:val="000000"/>
              </w:rPr>
              <w:t>5.支持通过网管中心平台，实现一键替换按钮即可完成故障设备替换；</w:t>
            </w:r>
          </w:p>
          <w:p>
            <w:pPr>
              <w:pStyle w:val="null3"/>
              <w:jc w:val="left"/>
            </w:pPr>
            <w:r>
              <w:rPr>
                <w:rFonts w:ascii="宋体" w:hAnsi="宋体" w:cs="宋体" w:eastAsia="宋体"/>
                <w:sz w:val="24"/>
                <w:color w:val="000000"/>
              </w:rPr>
              <w:t>6.支持防网关ARP欺骗，支持端口保护、隔离、防止ARP泛洪攻击功能；</w:t>
            </w:r>
          </w:p>
          <w:p>
            <w:pPr>
              <w:pStyle w:val="null3"/>
              <w:jc w:val="left"/>
            </w:pPr>
            <w:r>
              <w:rPr>
                <w:rFonts w:ascii="宋体" w:hAnsi="宋体" w:cs="宋体" w:eastAsia="宋体"/>
                <w:sz w:val="24"/>
                <w:color w:val="000000"/>
              </w:rPr>
              <w:t>7.支持DHCP Snooping，支持交换机端口设置为信任端口或非信任端口，非信任端口也可设置白名单响应DHCP报文；</w:t>
            </w:r>
          </w:p>
          <w:p>
            <w:pPr>
              <w:pStyle w:val="null3"/>
              <w:jc w:val="left"/>
            </w:pPr>
            <w:r>
              <w:rPr>
                <w:rFonts w:ascii="宋体" w:hAnsi="宋体" w:cs="宋体" w:eastAsia="宋体"/>
                <w:sz w:val="24"/>
                <w:color w:val="000000"/>
              </w:rPr>
              <w:t>8.支持M-LAG技术，跨设备链路聚合（非堆叠技术实现），要求配对的设备有独立的控制平面；</w:t>
            </w:r>
          </w:p>
          <w:p>
            <w:pPr>
              <w:pStyle w:val="null3"/>
              <w:jc w:val="left"/>
            </w:pPr>
            <w:r>
              <w:rPr>
                <w:rFonts w:ascii="宋体" w:hAnsi="宋体" w:cs="宋体" w:eastAsia="宋体"/>
                <w:sz w:val="24"/>
                <w:color w:val="000000"/>
              </w:rPr>
              <w:t>9.支持通过静态IP地址、DHCP Option43、DNS域名等方式发现网管中心平台</w:t>
            </w:r>
            <w:r>
              <w:rPr>
                <w:rFonts w:ascii="宋体" w:hAnsi="宋体" w:cs="宋体" w:eastAsia="宋体"/>
                <w:sz w:val="24"/>
                <w:b/>
                <w:color w:val="000000"/>
              </w:rPr>
              <w:t>，须提供后台功能截图证明及具有</w:t>
            </w:r>
            <w:r>
              <w:rPr>
                <w:rFonts w:ascii="宋体" w:hAnsi="宋体" w:cs="宋体" w:eastAsia="宋体"/>
                <w:sz w:val="24"/>
                <w:b/>
                <w:color w:val="000000"/>
              </w:rPr>
              <w:t>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10.支持通过移动APP进行远程管理及修改交换机网络配置，例如远程查看端口状态、查看交换机供电情况、远程重启交换机端口等</w:t>
            </w:r>
            <w:r>
              <w:rPr>
                <w:rFonts w:ascii="宋体" w:hAnsi="宋体" w:cs="宋体" w:eastAsia="宋体"/>
                <w:sz w:val="24"/>
                <w:b/>
                <w:color w:val="000000"/>
              </w:rPr>
              <w:t>，须提供</w:t>
            </w:r>
            <w:r>
              <w:rPr>
                <w:rFonts w:ascii="宋体" w:hAnsi="宋体" w:cs="宋体" w:eastAsia="宋体"/>
                <w:sz w:val="24"/>
                <w:b/>
                <w:color w:val="000000"/>
              </w:rPr>
              <w:t>APP软件功能截图证明及具有CMA或CNAS资质的第三方检测机构出具的检测报告关键页证明复印件，至少包含报告首页及对应功能测试页；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11.支持通过网管中心平台，在交换机上创建东西向安全策略，实现全网安全风险拦截；并支持各区域流量互访记录并呈现，可通过日志查看各终端之间的互访记录；并可查看到可视化的互访图显示，可查看到观察区域和保护区域的数量、安全访问、风险访问次数、拦截次数、攻击终端数量等</w:t>
            </w:r>
            <w:r>
              <w:rPr>
                <w:rFonts w:ascii="宋体" w:hAnsi="宋体" w:cs="宋体" w:eastAsia="宋体"/>
                <w:sz w:val="24"/>
                <w:b/>
                <w:color w:val="000000"/>
              </w:rPr>
              <w:t>，须提供后台功能截图证明及具有</w:t>
            </w:r>
            <w:r>
              <w:rPr>
                <w:rFonts w:ascii="宋体" w:hAnsi="宋体" w:cs="宋体" w:eastAsia="宋体"/>
                <w:sz w:val="24"/>
                <w:b/>
                <w:color w:val="000000"/>
              </w:rPr>
              <w:t>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12.支持通过网管中心平台，实现交换机拓扑自动生成和编辑、删除，支持在线、离线、待激活、待修复等状态显示，支持拓扑对象按名称、IP、MAC等查找等操作</w:t>
            </w:r>
            <w:r>
              <w:rPr>
                <w:rFonts w:ascii="宋体" w:hAnsi="宋体" w:cs="宋体" w:eastAsia="宋体"/>
                <w:sz w:val="24"/>
                <w:b/>
                <w:color w:val="000000"/>
              </w:rPr>
              <w:t>，须提供后台功能截图证明及具有</w:t>
            </w:r>
            <w:r>
              <w:rPr>
                <w:rFonts w:ascii="宋体" w:hAnsi="宋体" w:cs="宋体" w:eastAsia="宋体"/>
                <w:sz w:val="24"/>
                <w:b/>
                <w:color w:val="000000"/>
              </w:rPr>
              <w:t>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13.为保证设备在受到外界机械碰撞时能够正常运行，要求所投交换机IK防护测试级别至少达到IK06</w:t>
            </w:r>
            <w:r>
              <w:rPr>
                <w:rFonts w:ascii="宋体" w:hAnsi="宋体" w:cs="宋体" w:eastAsia="宋体"/>
                <w:sz w:val="24"/>
                <w:b/>
                <w:color w:val="000000"/>
              </w:rPr>
              <w:t>，须提供具有</w:t>
            </w:r>
            <w:r>
              <w:rPr>
                <w:rFonts w:ascii="宋体" w:hAnsi="宋体" w:cs="宋体" w:eastAsia="宋体"/>
                <w:sz w:val="24"/>
                <w:b/>
                <w:color w:val="000000"/>
              </w:rPr>
              <w:t>CMA或CNAS资质的第三方检测机构出具的检测报告关键页证明复印件，至少包含报告首页及对应功能测试页。</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9080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90800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楼宇汇聚数据传输单元</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1.万兆SFP+光口≥24个；40G QSFP+光口≥2个，Console口≥1个；</w:t>
            </w:r>
          </w:p>
          <w:p>
            <w:pPr>
              <w:pStyle w:val="null3"/>
              <w:jc w:val="left"/>
            </w:pPr>
            <w:r>
              <w:rPr>
                <w:rFonts w:ascii="宋体" w:hAnsi="宋体" w:cs="宋体" w:eastAsia="宋体"/>
                <w:sz w:val="24"/>
                <w:color w:val="000000"/>
              </w:rPr>
              <w:t>2.交换容量≥2.56Tbps，包转发率≥720Mpps，支持双交流电源模块1+1冗余（热插拔），本次至少适配≥1个电源模块；</w:t>
            </w:r>
          </w:p>
          <w:p>
            <w:pPr>
              <w:pStyle w:val="null3"/>
              <w:jc w:val="left"/>
            </w:pPr>
            <w:r>
              <w:rPr>
                <w:rFonts w:ascii="宋体" w:hAnsi="宋体" w:cs="宋体" w:eastAsia="宋体"/>
                <w:sz w:val="24"/>
                <w:color w:val="000000"/>
              </w:rPr>
              <w:t>3.三层功能支持静态路由、DHCP Server；二层功能支持MAC地址≥32K，支持MAC地址自动学习；支持源MAC地址过滤；支持接口MAC地址学习个数限制；支持≥4K个VLAN；支持IGMP v1/v2/v3 Snooping；支持STP、RSTP、MSTP协议；支持端口聚合，支持手工和静态LACP；</w:t>
            </w:r>
          </w:p>
          <w:p>
            <w:pPr>
              <w:pStyle w:val="null3"/>
              <w:jc w:val="left"/>
            </w:pPr>
            <w:r>
              <w:rPr>
                <w:rFonts w:ascii="宋体" w:hAnsi="宋体" w:cs="宋体" w:eastAsia="宋体"/>
                <w:sz w:val="24"/>
                <w:color w:val="000000"/>
              </w:rPr>
              <w:t>4.支持智能交换机和普通交换机两种工作模式，可以根据不同的组网需要，随时灵活的进行切换；</w:t>
            </w:r>
          </w:p>
          <w:p>
            <w:pPr>
              <w:pStyle w:val="null3"/>
              <w:jc w:val="left"/>
            </w:pPr>
            <w:r>
              <w:rPr>
                <w:rFonts w:ascii="宋体" w:hAnsi="宋体" w:cs="宋体" w:eastAsia="宋体"/>
                <w:sz w:val="24"/>
                <w:color w:val="000000"/>
              </w:rPr>
              <w:t>5.支持通过网管中心平台，实现一键替换按钮即可完成故障设备替换；</w:t>
            </w:r>
          </w:p>
          <w:p>
            <w:pPr>
              <w:pStyle w:val="null3"/>
              <w:jc w:val="left"/>
            </w:pPr>
            <w:r>
              <w:rPr>
                <w:rFonts w:ascii="宋体" w:hAnsi="宋体" w:cs="宋体" w:eastAsia="宋体"/>
                <w:sz w:val="24"/>
                <w:color w:val="000000"/>
              </w:rPr>
              <w:t>6.支持防网关ARP欺骗，支持端口保护、隔离、防止ARP泛洪攻击功能；</w:t>
            </w:r>
          </w:p>
          <w:p>
            <w:pPr>
              <w:pStyle w:val="null3"/>
              <w:jc w:val="left"/>
            </w:pPr>
            <w:r>
              <w:rPr>
                <w:rFonts w:ascii="宋体" w:hAnsi="宋体" w:cs="宋体" w:eastAsia="宋体"/>
                <w:sz w:val="24"/>
                <w:color w:val="000000"/>
              </w:rPr>
              <w:t>7.支持DHCP Snooping，支持交换机端口设置为信任端口或非信任端口，非信任端口也可设置白名单响应DHCP报文；</w:t>
            </w:r>
          </w:p>
          <w:p>
            <w:pPr>
              <w:pStyle w:val="null3"/>
              <w:jc w:val="left"/>
            </w:pPr>
            <w:r>
              <w:rPr>
                <w:rFonts w:ascii="宋体" w:hAnsi="宋体" w:cs="宋体" w:eastAsia="宋体"/>
                <w:sz w:val="24"/>
                <w:color w:val="000000"/>
              </w:rPr>
              <w:t>8.支持M-LAG技术，跨设备链路聚合（非堆叠技术实现），要求配对的设备有独立的控制平面；</w:t>
            </w:r>
          </w:p>
          <w:p>
            <w:pPr>
              <w:pStyle w:val="null3"/>
              <w:jc w:val="left"/>
            </w:pPr>
            <w:r>
              <w:rPr>
                <w:rFonts w:ascii="宋体" w:hAnsi="宋体" w:cs="宋体" w:eastAsia="宋体"/>
                <w:sz w:val="24"/>
                <w:color w:val="000000"/>
              </w:rPr>
              <w:t>9.支持通过静态IP地址、DHCP Option43、DNS域名等方式发现网管中心平台</w:t>
            </w:r>
            <w:r>
              <w:rPr>
                <w:rFonts w:ascii="宋体" w:hAnsi="宋体" w:cs="宋体" w:eastAsia="宋体"/>
                <w:sz w:val="24"/>
                <w:b/>
                <w:color w:val="000000"/>
              </w:rPr>
              <w:t>，须提供后台功能截图证明及具有</w:t>
            </w:r>
            <w:r>
              <w:rPr>
                <w:rFonts w:ascii="宋体" w:hAnsi="宋体" w:cs="宋体" w:eastAsia="宋体"/>
                <w:sz w:val="24"/>
                <w:b/>
                <w:color w:val="000000"/>
              </w:rPr>
              <w:t>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10.支持通过移动APP进行远程管理及修改交换机网络配置，例如远程查看端口状态、查看交换机供电情况、远程重启交换机端口等</w:t>
            </w:r>
            <w:r>
              <w:rPr>
                <w:rFonts w:ascii="宋体" w:hAnsi="宋体" w:cs="宋体" w:eastAsia="宋体"/>
                <w:sz w:val="24"/>
                <w:b/>
                <w:color w:val="000000"/>
              </w:rPr>
              <w:t>，须提供</w:t>
            </w:r>
            <w:r>
              <w:rPr>
                <w:rFonts w:ascii="宋体" w:hAnsi="宋体" w:cs="宋体" w:eastAsia="宋体"/>
                <w:sz w:val="24"/>
                <w:b/>
                <w:color w:val="000000"/>
              </w:rPr>
              <w:t>APP软件功能截图证明及具有CMA或CNAS资质的第三方检测机构出具的检测报告关键页证明复印件，至少包含报告首页及对应功能测试页；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11.支持通过网管中心平台，在交换机上创建东西向安全策略，实现全网安全风险拦截；并支持各区域流量互访记录并呈现，可通过日志查看各终端之间的互访记录；并可查看到可视化的互访图显示，可查看到观察区域和保护区域的数量、安全访问、风险访问次数、拦截次数、攻击终端数量等</w:t>
            </w:r>
            <w:r>
              <w:rPr>
                <w:rFonts w:ascii="宋体" w:hAnsi="宋体" w:cs="宋体" w:eastAsia="宋体"/>
                <w:sz w:val="24"/>
                <w:b/>
                <w:color w:val="000000"/>
              </w:rPr>
              <w:t>，须提供后台功能截图证明及具有</w:t>
            </w:r>
            <w:r>
              <w:rPr>
                <w:rFonts w:ascii="宋体" w:hAnsi="宋体" w:cs="宋体" w:eastAsia="宋体"/>
                <w:sz w:val="24"/>
                <w:b/>
                <w:color w:val="000000"/>
              </w:rPr>
              <w:t>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12.支持通过网管中心平台，实现交换机拓扑自动生成和编辑、删除，支持在线、离线、待激活、待修复等状态显示，支持拓扑对象按名称、IP、MAC等查找等操作</w:t>
            </w:r>
            <w:r>
              <w:rPr>
                <w:rFonts w:ascii="宋体" w:hAnsi="宋体" w:cs="宋体" w:eastAsia="宋体"/>
                <w:sz w:val="24"/>
                <w:b/>
                <w:color w:val="000000"/>
              </w:rPr>
              <w:t>，须提供后台功能截图证明及具有</w:t>
            </w:r>
            <w:r>
              <w:rPr>
                <w:rFonts w:ascii="宋体" w:hAnsi="宋体" w:cs="宋体" w:eastAsia="宋体"/>
                <w:sz w:val="24"/>
                <w:b/>
                <w:color w:val="000000"/>
              </w:rPr>
              <w:t>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13.为保证设备在受到外界机械碰撞时能够正常运行，要求所投交换机IK防护测试级别至少达到IK06</w:t>
            </w:r>
            <w:r>
              <w:rPr>
                <w:rFonts w:ascii="宋体" w:hAnsi="宋体" w:cs="宋体" w:eastAsia="宋体"/>
                <w:sz w:val="24"/>
                <w:b/>
                <w:color w:val="000000"/>
              </w:rPr>
              <w:t>，须提供具有</w:t>
            </w:r>
            <w:r>
              <w:rPr>
                <w:rFonts w:ascii="宋体" w:hAnsi="宋体" w:cs="宋体" w:eastAsia="宋体"/>
                <w:sz w:val="24"/>
                <w:b/>
                <w:color w:val="000000"/>
              </w:rPr>
              <w:t>CMA或CNAS资质的第三方检测机构出具的检测报告关键页证明复印件，至少包含报告首页及对应功能测试页。</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19500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19500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数据传输光盒</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1.千兆POE电口数≥8个，千兆光口≥2个；Console口≥1个；</w:t>
            </w:r>
          </w:p>
          <w:p>
            <w:pPr>
              <w:pStyle w:val="null3"/>
              <w:jc w:val="left"/>
            </w:pPr>
            <w:r>
              <w:rPr>
                <w:rFonts w:ascii="宋体" w:hAnsi="宋体" w:cs="宋体" w:eastAsia="宋体"/>
                <w:sz w:val="24"/>
                <w:color w:val="000000"/>
              </w:rPr>
              <w:t>2.交换容量≥300Gbps,包转发率≥25Mpps；</w:t>
            </w:r>
          </w:p>
          <w:p>
            <w:pPr>
              <w:pStyle w:val="null3"/>
              <w:jc w:val="left"/>
            </w:pPr>
            <w:r>
              <w:rPr>
                <w:rFonts w:ascii="宋体" w:hAnsi="宋体" w:cs="宋体" w:eastAsia="宋体"/>
                <w:sz w:val="24"/>
                <w:color w:val="000000"/>
              </w:rPr>
              <w:t>3.支持IEEE 802.3af/at供电标准，整机最大输出功率≥120W；</w:t>
            </w:r>
          </w:p>
          <w:p>
            <w:pPr>
              <w:pStyle w:val="null3"/>
              <w:jc w:val="left"/>
            </w:pPr>
            <w:r>
              <w:rPr>
                <w:rFonts w:ascii="宋体" w:hAnsi="宋体" w:cs="宋体" w:eastAsia="宋体"/>
                <w:sz w:val="24"/>
                <w:color w:val="000000"/>
              </w:rPr>
              <w:t>4.三层功能支持静态路由、DHCP Server；二层功能支持MAC地址≥16K，支持MAC地址自动学习；支持源MAC地址过滤；支持接口MAC地址学习个数限制；支持≥4K个VLAN；支持IGMP v1/v2/v3 Snooping；支持STP、RSTP、MSTP协议；支持端口聚合，支持手工和静态LACP；</w:t>
            </w:r>
          </w:p>
          <w:p>
            <w:pPr>
              <w:pStyle w:val="null3"/>
              <w:jc w:val="left"/>
            </w:pPr>
            <w:r>
              <w:rPr>
                <w:rFonts w:ascii="宋体" w:hAnsi="宋体" w:cs="宋体" w:eastAsia="宋体"/>
                <w:sz w:val="24"/>
                <w:color w:val="000000"/>
              </w:rPr>
              <w:t>5.支持通过静态IP地址、DHCP Option43、DNS域名等多种方式发现控制器管理平台；</w:t>
            </w:r>
          </w:p>
          <w:p>
            <w:pPr>
              <w:pStyle w:val="null3"/>
              <w:jc w:val="left"/>
            </w:pPr>
            <w:r>
              <w:rPr>
                <w:rFonts w:ascii="宋体" w:hAnsi="宋体" w:cs="宋体" w:eastAsia="宋体"/>
                <w:sz w:val="24"/>
                <w:color w:val="000000"/>
              </w:rPr>
              <w:t>6.支持搭配控制器管理平台，实现 “一键替换”按钮即可完成故障设备替换；</w:t>
            </w:r>
          </w:p>
          <w:p>
            <w:pPr>
              <w:pStyle w:val="null3"/>
              <w:jc w:val="left"/>
            </w:pPr>
            <w:r>
              <w:rPr>
                <w:rFonts w:ascii="宋体" w:hAnsi="宋体" w:cs="宋体" w:eastAsia="宋体"/>
                <w:sz w:val="24"/>
                <w:color w:val="000000"/>
              </w:rPr>
              <w:t>7.支持搭配控制器管理平台，实现通过移动APP远程查看端口状态，查看交换机供电情况，远程重启交换机端口等；</w:t>
            </w:r>
          </w:p>
          <w:p>
            <w:pPr>
              <w:pStyle w:val="null3"/>
              <w:jc w:val="left"/>
            </w:pPr>
            <w:r>
              <w:rPr>
                <w:rFonts w:ascii="宋体" w:hAnsi="宋体" w:cs="宋体" w:eastAsia="宋体"/>
                <w:sz w:val="24"/>
                <w:color w:val="000000"/>
              </w:rPr>
              <w:t>8.支持通过在网管中心平台的Web页面对交换机进行可视化管理查看，包括交换机的端口状态及配置、vlan信息；</w:t>
            </w:r>
          </w:p>
          <w:p>
            <w:pPr>
              <w:pStyle w:val="null3"/>
              <w:jc w:val="left"/>
            </w:pPr>
            <w:r>
              <w:rPr>
                <w:rFonts w:ascii="宋体" w:hAnsi="宋体" w:cs="宋体" w:eastAsia="宋体"/>
                <w:sz w:val="24"/>
                <w:color w:val="000000"/>
              </w:rPr>
              <w:t>9.支持通过网管中心平台查看交换机面板端口工作状态，通过端口颜色显示状态即可判断端口是否在线工作</w:t>
            </w:r>
            <w:r>
              <w:rPr>
                <w:rFonts w:ascii="宋体" w:hAnsi="宋体" w:cs="宋体" w:eastAsia="宋体"/>
                <w:sz w:val="24"/>
                <w:b/>
                <w:color w:val="000000"/>
              </w:rPr>
              <w:t>，须提供后台功能截图证明</w:t>
            </w:r>
            <w:r>
              <w:rPr>
                <w:rFonts w:ascii="宋体" w:hAnsi="宋体" w:cs="宋体" w:eastAsia="宋体"/>
                <w:sz w:val="24"/>
                <w:color w:val="000000"/>
              </w:rPr>
              <w:t>；</w:t>
            </w:r>
          </w:p>
          <w:p>
            <w:pPr>
              <w:pStyle w:val="null3"/>
              <w:jc w:val="left"/>
            </w:pPr>
            <w:r>
              <w:rPr>
                <w:rFonts w:ascii="宋体" w:hAnsi="宋体" w:cs="宋体" w:eastAsia="宋体"/>
                <w:sz w:val="24"/>
                <w:color w:val="000000"/>
              </w:rPr>
              <w:t>10.支持通过网管中心平台查看交换机处于工作端口的发送与接收的流量趋势</w:t>
            </w:r>
            <w:r>
              <w:rPr>
                <w:rFonts w:ascii="宋体" w:hAnsi="宋体" w:cs="宋体" w:eastAsia="宋体"/>
                <w:sz w:val="24"/>
                <w:b/>
                <w:color w:val="000000"/>
              </w:rPr>
              <w:t>，须提供后台功能截图证明。</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2200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26400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千兆光模块</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SFP千兆单模光模块，单模≥1310nm，最大传输距离≥10km，接头类型：LC。</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222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120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26640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万兆光模块</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SFP+万兆单模光模块，单模，1310nm，最大传输距离≥10km，接头类型：LC。</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220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4840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智能网络管理中心</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1.千兆以太网口数≥5，并需提供1个RJ-45Console管理口，USB接口数≥2，用于外接硬件设备；</w:t>
            </w:r>
          </w:p>
          <w:p>
            <w:pPr>
              <w:pStyle w:val="null3"/>
              <w:jc w:val="left"/>
            </w:pPr>
            <w:r>
              <w:rPr>
                <w:rFonts w:ascii="宋体" w:hAnsi="宋体" w:cs="宋体" w:eastAsia="宋体"/>
                <w:sz w:val="24"/>
                <w:color w:val="000000"/>
              </w:rPr>
              <w:t>2.最大可支持管理AP数≥720颗；最大可支持管理交换机数≥180台；最大可支持管理网关数≥360台；本次项目实际配置≥123个APlicense、≥122个交换机license；</w:t>
            </w:r>
          </w:p>
          <w:p>
            <w:pPr>
              <w:pStyle w:val="null3"/>
              <w:jc w:val="left"/>
            </w:pPr>
            <w:r>
              <w:rPr>
                <w:rFonts w:ascii="宋体" w:hAnsi="宋体" w:cs="宋体" w:eastAsia="宋体"/>
                <w:sz w:val="24"/>
                <w:color w:val="000000"/>
              </w:rPr>
              <w:t>3.管理平台须具备≥128G SSD固态硬盘或1T HDD机械硬盘的数据存储能力。</w:t>
            </w:r>
          </w:p>
          <w:p>
            <w:pPr>
              <w:pStyle w:val="null3"/>
              <w:jc w:val="left"/>
            </w:pPr>
            <w:r>
              <w:rPr>
                <w:rFonts w:ascii="宋体" w:hAnsi="宋体" w:cs="宋体" w:eastAsia="宋体"/>
                <w:sz w:val="24"/>
                <w:color w:val="000000"/>
              </w:rPr>
              <w:t>4.支持跨互联网进行远程部署，通过控制器平台可以对所有AP、交换机进行统一集中管理，包括统一配置和统一查看AP、交换机等设备的在线情况；</w:t>
            </w:r>
          </w:p>
          <w:p>
            <w:pPr>
              <w:pStyle w:val="null3"/>
              <w:jc w:val="left"/>
            </w:pPr>
            <w:r>
              <w:rPr>
                <w:rFonts w:ascii="宋体" w:hAnsi="宋体" w:cs="宋体" w:eastAsia="宋体"/>
                <w:sz w:val="24"/>
                <w:color w:val="000000"/>
              </w:rPr>
              <w:t>5.支持通过导入AP、交换机的MAC地址或者SN码，AP、交换机联网后无需任何配置即可发现对应的控制平台；</w:t>
            </w:r>
          </w:p>
          <w:p>
            <w:pPr>
              <w:pStyle w:val="null3"/>
              <w:jc w:val="left"/>
            </w:pPr>
            <w:r>
              <w:rPr>
                <w:rFonts w:ascii="宋体" w:hAnsi="宋体" w:cs="宋体" w:eastAsia="宋体"/>
                <w:sz w:val="24"/>
                <w:color w:val="000000"/>
              </w:rPr>
              <w:t>6.支持查看AP CPU和内存占用率，支持统计每一个AP在一段时间内的接入用户数和上网流量及趋势变化；根据用户数、流量查看繁忙AP和空闲AP TOPN；支持基于用户数、信号强度、信道利用率的智能负载均衡，自动平衡各AP之间的接入压力；</w:t>
            </w:r>
          </w:p>
          <w:p>
            <w:pPr>
              <w:pStyle w:val="null3"/>
              <w:jc w:val="left"/>
            </w:pPr>
            <w:r>
              <w:rPr>
                <w:rFonts w:ascii="宋体" w:hAnsi="宋体" w:cs="宋体" w:eastAsia="宋体"/>
                <w:sz w:val="24"/>
                <w:color w:val="000000"/>
              </w:rPr>
              <w:t>7.支持802.1x、Portal、MAC地址、CA证书、802.1X WEP等企业认证，智能PSK、生物识别等个性认证方式，以及二维码认证、短信认证、临时访客账号等外来访客认证方式；</w:t>
            </w:r>
          </w:p>
          <w:p>
            <w:pPr>
              <w:pStyle w:val="null3"/>
              <w:jc w:val="left"/>
            </w:pPr>
            <w:r>
              <w:rPr>
                <w:rFonts w:ascii="宋体" w:hAnsi="宋体" w:cs="宋体" w:eastAsia="宋体"/>
                <w:sz w:val="24"/>
                <w:color w:val="000000"/>
              </w:rPr>
              <w:t>8.支持对接LDAP、Radius、Oracle、Mssql、Mysql等外部系统结合802.1X、Web认证方式接入无线网络功能，以实现多用户认证可靠、安全且高效的认证管理</w:t>
            </w:r>
            <w:r>
              <w:rPr>
                <w:rFonts w:ascii="宋体" w:hAnsi="宋体" w:cs="宋体" w:eastAsia="宋体"/>
                <w:sz w:val="24"/>
                <w:b/>
                <w:color w:val="000000"/>
              </w:rPr>
              <w:t>，须提供后台截图及具有</w:t>
            </w:r>
            <w:r>
              <w:rPr>
                <w:rFonts w:ascii="宋体" w:hAnsi="宋体" w:cs="宋体" w:eastAsia="宋体"/>
                <w:sz w:val="24"/>
                <w:b/>
                <w:color w:val="000000"/>
              </w:rPr>
              <w:t>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9.支持对接钉钉、企业微信等做用户身份认证；</w:t>
            </w:r>
          </w:p>
          <w:p>
            <w:pPr>
              <w:pStyle w:val="null3"/>
              <w:jc w:val="left"/>
            </w:pPr>
            <w:r>
              <w:rPr>
                <w:rFonts w:ascii="宋体" w:hAnsi="宋体" w:cs="宋体" w:eastAsia="宋体"/>
                <w:sz w:val="24"/>
                <w:color w:val="000000"/>
              </w:rPr>
              <w:t>10.支持对接新华三、深信服、飞鱼星、迈普、迪普、腾达、天融信、思科、TP-LINK、UBNT、网件、水星等厂商(品牌)设备做认证对接，实现全网统一身份认证</w:t>
            </w:r>
            <w:r>
              <w:rPr>
                <w:rFonts w:ascii="宋体" w:hAnsi="宋体" w:cs="宋体" w:eastAsia="宋体"/>
                <w:sz w:val="24"/>
                <w:b/>
                <w:color w:val="000000"/>
              </w:rPr>
              <w:t>，须提供具有</w:t>
            </w:r>
            <w:r>
              <w:rPr>
                <w:rFonts w:ascii="宋体" w:hAnsi="宋体" w:cs="宋体" w:eastAsia="宋体"/>
                <w:sz w:val="24"/>
                <w:b/>
                <w:color w:val="000000"/>
              </w:rPr>
              <w:t>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11.支持灵活的设置Portal认证页面内容，可基于接入位置、终端类型、MAC地址、用户名、运营商等信息呈现不同的Portal认证页面</w:t>
            </w:r>
            <w:r>
              <w:rPr>
                <w:rFonts w:ascii="宋体" w:hAnsi="宋体" w:cs="宋体" w:eastAsia="宋体"/>
                <w:sz w:val="24"/>
                <w:b/>
                <w:color w:val="000000"/>
              </w:rPr>
              <w:t>，须提供具有</w:t>
            </w:r>
            <w:r>
              <w:rPr>
                <w:rFonts w:ascii="宋体" w:hAnsi="宋体" w:cs="宋体" w:eastAsia="宋体"/>
                <w:sz w:val="24"/>
                <w:b/>
                <w:color w:val="000000"/>
              </w:rPr>
              <w:t>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12.可以查看到可视化的互访图显示，可以查看到观察区域和保护区域的数量、安全访问、风险访问次数、拦截次数、攻击终端数量等</w:t>
            </w:r>
            <w:r>
              <w:rPr>
                <w:rFonts w:ascii="宋体" w:hAnsi="宋体" w:cs="宋体" w:eastAsia="宋体"/>
                <w:sz w:val="24"/>
                <w:b/>
                <w:color w:val="000000"/>
              </w:rPr>
              <w:t>，须提供后台截图及具有</w:t>
            </w:r>
            <w:r>
              <w:rPr>
                <w:rFonts w:ascii="宋体" w:hAnsi="宋体" w:cs="宋体" w:eastAsia="宋体"/>
                <w:sz w:val="24"/>
                <w:b/>
                <w:color w:val="000000"/>
              </w:rPr>
              <w:t>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13.支持管理无线AP和交换机可以实现记录内网终端流量访问路径、识别异常终端访问行为、呈现全网异常访问趋势、下发策略阻断风险终端访问动作的全周期东西向流量安全可视化管控</w:t>
            </w:r>
            <w:r>
              <w:rPr>
                <w:rFonts w:ascii="宋体" w:hAnsi="宋体" w:cs="宋体" w:eastAsia="宋体"/>
                <w:sz w:val="24"/>
                <w:b/>
                <w:color w:val="000000"/>
              </w:rPr>
              <w:t>，须提供具有</w:t>
            </w:r>
            <w:r>
              <w:rPr>
                <w:rFonts w:ascii="宋体" w:hAnsi="宋体" w:cs="宋体" w:eastAsia="宋体"/>
                <w:sz w:val="24"/>
                <w:b/>
                <w:color w:val="000000"/>
              </w:rPr>
              <w:t>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14.支持应用识别，能识别≥5000种的网络应用，能识别邮件、游戏、P2P流媒体、WEB流媒体、金融交易、办公OA、移动终端应用等主流应用；</w:t>
            </w:r>
          </w:p>
          <w:p>
            <w:pPr>
              <w:pStyle w:val="null3"/>
              <w:jc w:val="left"/>
            </w:pPr>
            <w:r>
              <w:rPr>
                <w:rFonts w:ascii="宋体" w:hAnsi="宋体" w:cs="宋体" w:eastAsia="宋体"/>
                <w:sz w:val="24"/>
                <w:color w:val="000000"/>
              </w:rPr>
              <w:t>15.支持上网行为审计，可审计用户访问的URL、网络应用、邮件、HTTP外发的内容、FTP上传和下载的文件名、TELNET执行的命令等；</w:t>
            </w:r>
          </w:p>
          <w:p>
            <w:pPr>
              <w:pStyle w:val="null3"/>
              <w:jc w:val="left"/>
            </w:pPr>
            <w:r>
              <w:rPr>
                <w:rFonts w:ascii="宋体" w:hAnsi="宋体" w:cs="宋体" w:eastAsia="宋体"/>
                <w:sz w:val="24"/>
                <w:color w:val="000000"/>
              </w:rPr>
              <w:t>16.支持对无线网络服务进行检测，包括网络接入、DHCP、网关、DNS、网络地址等阶段的时延和质量检测，并以时光轴的方式进行展示具体时间点的检测情况，可以≥24小时周期性检测并第一时间告警运维人员，可以引导运维人员怎么排查故障到最终解决问题</w:t>
            </w:r>
            <w:r>
              <w:rPr>
                <w:rFonts w:ascii="宋体" w:hAnsi="宋体" w:cs="宋体" w:eastAsia="宋体"/>
                <w:sz w:val="24"/>
                <w:b/>
                <w:color w:val="000000"/>
              </w:rPr>
              <w:t>，须提供具有</w:t>
            </w:r>
            <w:r>
              <w:rPr>
                <w:rFonts w:ascii="宋体" w:hAnsi="宋体" w:cs="宋体" w:eastAsia="宋体"/>
                <w:sz w:val="24"/>
                <w:b/>
                <w:color w:val="000000"/>
              </w:rPr>
              <w:t>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17.支持移动APP运维，支持呈现AP接入点状态、接入点管理、无线网络、交换机状态、交换机管理、安全状态、本地用户、二维码审核、角色授权等，</w:t>
            </w:r>
            <w:r>
              <w:rPr>
                <w:rFonts w:ascii="宋体" w:hAnsi="宋体" w:cs="宋体" w:eastAsia="宋体"/>
                <w:sz w:val="24"/>
                <w:b/>
                <w:color w:val="000000"/>
              </w:rPr>
              <w:t>须提供</w:t>
            </w:r>
            <w:r>
              <w:rPr>
                <w:rFonts w:ascii="宋体" w:hAnsi="宋体" w:cs="宋体" w:eastAsia="宋体"/>
                <w:sz w:val="24"/>
                <w:b/>
                <w:color w:val="000000"/>
              </w:rPr>
              <w:t>APP软件功能截图证明及具有CMA或CNAS资质的第三方检测机构出具的检测报告关键页证明复印件，至少包含报告首页及对应功能测试页；</w:t>
            </w:r>
          </w:p>
          <w:p>
            <w:pPr>
              <w:pStyle w:val="null3"/>
              <w:jc w:val="left"/>
            </w:pPr>
            <w:r>
              <w:rPr>
                <w:rFonts w:ascii="宋体" w:hAnsi="宋体" w:cs="宋体" w:eastAsia="宋体"/>
                <w:sz w:val="24"/>
                <w:color w:val="000000"/>
              </w:rPr>
              <w:t>18.支持WebGUI中英文图形化界面管理，支持CLI、Telnet、SSH等；支持SNMP v1/v2/v3，SNMP Traps，支持MIB库。</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53430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53430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AP接入授权</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APlicense数量，每增加一个AP则增加一个AP接入管理授权数量。</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91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150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13650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10</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光盒接入授权</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交换机</w:t>
            </w:r>
            <w:r>
              <w:rPr>
                <w:rFonts w:ascii="宋体" w:hAnsi="宋体" w:cs="宋体" w:eastAsia="宋体"/>
                <w:sz w:val="24"/>
                <w:color w:val="000000"/>
              </w:rPr>
              <w:t>license数量，每增加一个交换机则增加一个交换机接入管理授权数量。</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90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150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13500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2芯光纤</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2芯皮线光缆。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22000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米</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4.5</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99000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4芯光缆</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4芯铠装光缆。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1900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米</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9500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12芯光缆</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12芯电信级铠装光缆.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1500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米</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15000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电源线</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RVV3*1.5.</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3000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米</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30000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六类网络线</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1.中心PE十字骨架，最大程度上保证安装过程中不破坏双绞线绞距，具有高抗电磁干扰性，使传输信号的误码率降至最低程度。</w:t>
            </w:r>
          </w:p>
          <w:p>
            <w:pPr>
              <w:pStyle w:val="null3"/>
              <w:jc w:val="left"/>
            </w:pPr>
            <w:r>
              <w:rPr>
                <w:rFonts w:ascii="宋体" w:hAnsi="宋体" w:cs="宋体" w:eastAsia="宋体"/>
                <w:sz w:val="24"/>
                <w:color w:val="000000"/>
              </w:rPr>
              <w:t>2.绝缘层材料为高密度聚乙烯（HDPE），外护套材料为PVC。</w:t>
            </w:r>
          </w:p>
          <w:p>
            <w:pPr>
              <w:pStyle w:val="null3"/>
              <w:jc w:val="left"/>
            </w:pPr>
            <w:r>
              <w:rPr>
                <w:rFonts w:ascii="宋体" w:hAnsi="宋体" w:cs="宋体" w:eastAsia="宋体"/>
                <w:sz w:val="24"/>
                <w:color w:val="000000"/>
              </w:rPr>
              <w:t>3.电气性能：工作电容：≤5.6nF/100米；线对对地电容不平衡：≤330pF/100米；额定传输速率（NVP)：65%；线对时延差：≤45ns/100米；最大导体直流电阻：7.32Ω/100米(23AWG)；线对直流不平衡电阻：≤2%；绝缘电阻最小值(MΩ/Km)≥5000。</w:t>
            </w:r>
          </w:p>
          <w:p>
            <w:pPr>
              <w:pStyle w:val="null3"/>
              <w:jc w:val="left"/>
            </w:pPr>
            <w:r>
              <w:rPr>
                <w:rFonts w:ascii="宋体" w:hAnsi="宋体" w:cs="宋体" w:eastAsia="宋体"/>
                <w:sz w:val="24"/>
                <w:color w:val="000000"/>
              </w:rPr>
              <w:t>4.物理特性：传输带宽</w:t>
            </w:r>
            <w:r>
              <w:rPr>
                <w:rFonts w:ascii="宋体" w:hAnsi="宋体" w:cs="宋体" w:eastAsia="宋体"/>
                <w:sz w:val="24"/>
                <w:color w:val="000000"/>
              </w:rPr>
              <w:t>＞</w:t>
            </w:r>
            <w:r>
              <w:rPr>
                <w:rFonts w:ascii="宋体" w:hAnsi="宋体" w:cs="宋体" w:eastAsia="宋体"/>
                <w:sz w:val="24"/>
                <w:color w:val="000000"/>
              </w:rPr>
              <w:t>250MHz；23AWG。</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箱</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980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14700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4口熔接盒</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1.适用于光纤接入网中的光纤终端点，具有光缆的配线和熔接功能，可以实现光缆纤芯的灵活跳线及存储，兼容ST、SC、FC及LC光纤藕合器接口。</w:t>
            </w:r>
          </w:p>
          <w:p>
            <w:pPr>
              <w:pStyle w:val="null3"/>
              <w:jc w:val="left"/>
            </w:pPr>
            <w:r>
              <w:rPr>
                <w:rFonts w:ascii="宋体" w:hAnsi="宋体" w:cs="宋体" w:eastAsia="宋体"/>
                <w:sz w:val="24"/>
                <w:color w:val="000000"/>
              </w:rPr>
              <w:t>2.箱体采用优质冷轧钢板材料，表面环氧静电喷塑处理，外形美观。</w:t>
            </w:r>
          </w:p>
          <w:p>
            <w:pPr>
              <w:pStyle w:val="null3"/>
              <w:jc w:val="left"/>
            </w:pPr>
            <w:r>
              <w:rPr>
                <w:rFonts w:ascii="宋体" w:hAnsi="宋体" w:cs="宋体" w:eastAsia="宋体"/>
                <w:sz w:val="24"/>
                <w:color w:val="000000"/>
              </w:rPr>
              <w:t>3.19英寸标准网络机柜安装，尾纤收容设置于机架内，用于纤熔接或研磨处理。</w:t>
            </w:r>
          </w:p>
          <w:p>
            <w:pPr>
              <w:pStyle w:val="null3"/>
              <w:jc w:val="left"/>
            </w:pPr>
            <w:r>
              <w:rPr>
                <w:rFonts w:ascii="宋体" w:hAnsi="宋体" w:cs="宋体" w:eastAsia="宋体"/>
                <w:sz w:val="24"/>
                <w:color w:val="000000"/>
              </w:rPr>
              <w:t>4.配线架的开启方式为免工具设计，易于维护和管理。</w:t>
            </w:r>
          </w:p>
          <w:p>
            <w:pPr>
              <w:pStyle w:val="null3"/>
              <w:jc w:val="left"/>
            </w:pPr>
            <w:r>
              <w:rPr>
                <w:rFonts w:ascii="宋体" w:hAnsi="宋体" w:cs="宋体" w:eastAsia="宋体"/>
                <w:sz w:val="24"/>
                <w:color w:val="000000"/>
              </w:rPr>
              <w:t>5.全封闭式结构，光纤跳线不外露，外观整洁有序，防尘效果好。</w:t>
            </w:r>
          </w:p>
          <w:p>
            <w:pPr>
              <w:pStyle w:val="null3"/>
              <w:jc w:val="left"/>
            </w:pPr>
            <w:r>
              <w:rPr>
                <w:rFonts w:ascii="宋体" w:hAnsi="宋体" w:cs="宋体" w:eastAsia="宋体"/>
                <w:sz w:val="24"/>
                <w:color w:val="000000"/>
              </w:rPr>
              <w:t>6.藕合器为30°卡接式安装设计，既保证了跳线的弯曲曲率半径，又可避免激光灼伤人眼。</w:t>
            </w:r>
          </w:p>
          <w:p>
            <w:pPr>
              <w:pStyle w:val="null3"/>
              <w:jc w:val="left"/>
            </w:pPr>
            <w:r>
              <w:rPr>
                <w:rFonts w:ascii="宋体" w:hAnsi="宋体" w:cs="宋体" w:eastAsia="宋体"/>
                <w:sz w:val="24"/>
                <w:color w:val="000000"/>
              </w:rPr>
              <w:t>7.走线通道带有橡胶保护套，防止损伤跳线外护套。</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111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2220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24口熔接盒</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1.适用于光纤接入网中的光纤终端点，具有光缆的配线和熔接功能，可以实现光缆纤芯的灵活跳线及存储，兼容ST、SC、FC及LC光纤藕合器接口。</w:t>
            </w:r>
          </w:p>
          <w:p>
            <w:pPr>
              <w:pStyle w:val="null3"/>
              <w:jc w:val="left"/>
            </w:pPr>
            <w:r>
              <w:rPr>
                <w:rFonts w:ascii="宋体" w:hAnsi="宋体" w:cs="宋体" w:eastAsia="宋体"/>
                <w:sz w:val="24"/>
                <w:color w:val="000000"/>
              </w:rPr>
              <w:t>2.箱体采用优质冷轧钢板材料，表面环氧静电喷塑处理，外形美观。</w:t>
            </w:r>
          </w:p>
          <w:p>
            <w:pPr>
              <w:pStyle w:val="null3"/>
              <w:jc w:val="left"/>
            </w:pPr>
            <w:r>
              <w:rPr>
                <w:rFonts w:ascii="宋体" w:hAnsi="宋体" w:cs="宋体" w:eastAsia="宋体"/>
                <w:sz w:val="24"/>
                <w:color w:val="000000"/>
              </w:rPr>
              <w:t>3.</w:t>
            </w:r>
            <w:r>
              <w:rPr>
                <w:rFonts w:ascii="宋体" w:hAnsi="宋体" w:cs="宋体" w:eastAsia="宋体"/>
                <w:sz w:val="24"/>
                <w:color w:val="000000"/>
              </w:rPr>
              <w:t>≥</w:t>
            </w:r>
            <w:r>
              <w:rPr>
                <w:rFonts w:ascii="宋体" w:hAnsi="宋体" w:cs="宋体" w:eastAsia="宋体"/>
                <w:sz w:val="24"/>
                <w:color w:val="000000"/>
              </w:rPr>
              <w:t>19英寸标准网络机柜安装，尾纤收容设置于机架内，用于纤熔接或研磨处理。</w:t>
            </w:r>
          </w:p>
          <w:p>
            <w:pPr>
              <w:pStyle w:val="null3"/>
              <w:jc w:val="left"/>
            </w:pPr>
            <w:r>
              <w:rPr>
                <w:rFonts w:ascii="宋体" w:hAnsi="宋体" w:cs="宋体" w:eastAsia="宋体"/>
                <w:sz w:val="24"/>
                <w:color w:val="000000"/>
              </w:rPr>
              <w:t>4.配线架的开启方式为免工具设计，易于维护和管理。</w:t>
            </w:r>
          </w:p>
          <w:p>
            <w:pPr>
              <w:pStyle w:val="null3"/>
              <w:jc w:val="left"/>
            </w:pPr>
            <w:r>
              <w:rPr>
                <w:rFonts w:ascii="宋体" w:hAnsi="宋体" w:cs="宋体" w:eastAsia="宋体"/>
                <w:sz w:val="24"/>
                <w:color w:val="000000"/>
              </w:rPr>
              <w:t>5.全封闭式结构，光纤跳线不外露。</w:t>
            </w:r>
          </w:p>
          <w:p>
            <w:pPr>
              <w:pStyle w:val="null3"/>
              <w:jc w:val="left"/>
            </w:pPr>
            <w:r>
              <w:rPr>
                <w:rFonts w:ascii="宋体" w:hAnsi="宋体" w:cs="宋体" w:eastAsia="宋体"/>
                <w:sz w:val="24"/>
                <w:color w:val="000000"/>
              </w:rPr>
              <w:t>6.藕合器为30°卡接式安装设计，既保证了跳线的弯曲曲率半径。</w:t>
            </w:r>
          </w:p>
          <w:p>
            <w:pPr>
              <w:pStyle w:val="null3"/>
              <w:jc w:val="left"/>
            </w:pPr>
            <w:r>
              <w:rPr>
                <w:rFonts w:ascii="宋体" w:hAnsi="宋体" w:cs="宋体" w:eastAsia="宋体"/>
                <w:sz w:val="24"/>
                <w:color w:val="000000"/>
              </w:rPr>
              <w:t>7.走线通道带有橡胶保护套，防止损伤跳线外护套。</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60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900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光纤跳纤</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1.单模9/125；插入损耗≤0.2db；温度范围-40℃~+85℃；重复性≤0.2db；互换性≤0.2db；回波损耗≥45db。</w:t>
            </w:r>
          </w:p>
          <w:p>
            <w:pPr>
              <w:pStyle w:val="null3"/>
              <w:jc w:val="left"/>
            </w:pPr>
            <w:r>
              <w:rPr>
                <w:rFonts w:ascii="宋体" w:hAnsi="宋体" w:cs="宋体" w:eastAsia="宋体"/>
                <w:sz w:val="24"/>
                <w:color w:val="000000"/>
              </w:rPr>
              <w:t>2.采用低插入损耗和反射的材质，具有光学性能，连续插拔试验插损小。</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258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条</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15</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3870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尾纤</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1.单模9/125；插入损耗≤0.2db；温度范围-40℃~+85℃；重复性≤0.2db；互换性≤0.2db；回波损耗≥45db。</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516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条</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5160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20</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耦合器</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1.接头，插入损耗&lt;0.2dB，反射损耗&gt;55dB，温度范围-40~+85摄氏度，耐久性1000次，变化≤0.2dB。</w:t>
            </w:r>
          </w:p>
          <w:p>
            <w:pPr>
              <w:pStyle w:val="null3"/>
              <w:jc w:val="left"/>
            </w:pPr>
            <w:r>
              <w:rPr>
                <w:rFonts w:ascii="宋体" w:hAnsi="宋体" w:cs="宋体" w:eastAsia="宋体"/>
                <w:sz w:val="24"/>
                <w:color w:val="000000"/>
              </w:rPr>
              <w:t>2.陶瓷（氧化锆）套管，该部件采用高精度机床加工，产品光洁度高，精确轴心定位，保证产品同轴度及同圆度精确系数。</w:t>
            </w:r>
          </w:p>
          <w:p>
            <w:pPr>
              <w:pStyle w:val="null3"/>
              <w:jc w:val="left"/>
            </w:pPr>
            <w:r>
              <w:rPr>
                <w:rFonts w:ascii="宋体" w:hAnsi="宋体" w:cs="宋体" w:eastAsia="宋体"/>
                <w:sz w:val="24"/>
                <w:color w:val="000000"/>
              </w:rPr>
              <w:t>3.一体化的内部结构独特设计，结构更简单，使用更轻松，易于装配，提高效率。良好的稳定性能，连续插拔试验插损小。</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516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2.5</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1290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光纤熔接</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定制。</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516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芯</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25</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12900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汇聚挂箱</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1.兼容≥19 英寸国标标准、公制标准和 ETSI标准，符合GB/T50312-2016标准；</w:t>
            </w:r>
          </w:p>
          <w:p>
            <w:pPr>
              <w:pStyle w:val="null3"/>
              <w:jc w:val="left"/>
            </w:pPr>
            <w:r>
              <w:rPr>
                <w:rFonts w:ascii="宋体" w:hAnsi="宋体" w:cs="宋体" w:eastAsia="宋体"/>
                <w:sz w:val="24"/>
                <w:color w:val="000000"/>
              </w:rPr>
              <w:t>2.电脑灰，前门为钢化玻璃门，宽度600mm，深度≥450mm，高度≥367mm，钢板厚度：方孔条≥1.5mm，灰色钢化玻璃≥5mm，其他≥1.2mm。</w:t>
            </w:r>
          </w:p>
          <w:p>
            <w:pPr>
              <w:pStyle w:val="null3"/>
              <w:jc w:val="left"/>
            </w:pPr>
            <w:r>
              <w:rPr>
                <w:rFonts w:ascii="宋体" w:hAnsi="宋体" w:cs="宋体" w:eastAsia="宋体"/>
                <w:sz w:val="24"/>
                <w:color w:val="000000"/>
              </w:rPr>
              <w:t>3.最大承载达60Kg。</w:t>
            </w:r>
          </w:p>
          <w:p>
            <w:pPr>
              <w:pStyle w:val="null3"/>
              <w:jc w:val="left"/>
            </w:pPr>
            <w:r>
              <w:rPr>
                <w:rFonts w:ascii="宋体" w:hAnsi="宋体" w:cs="宋体" w:eastAsia="宋体"/>
                <w:sz w:val="24"/>
                <w:color w:val="000000"/>
              </w:rPr>
              <w:t>4.兼容顶盖、底部多种进线方式，方便施工。</w:t>
            </w:r>
          </w:p>
          <w:p>
            <w:pPr>
              <w:pStyle w:val="null3"/>
              <w:jc w:val="left"/>
            </w:pPr>
            <w:r>
              <w:rPr>
                <w:rFonts w:ascii="宋体" w:hAnsi="宋体" w:cs="宋体" w:eastAsia="宋体"/>
                <w:sz w:val="24"/>
                <w:color w:val="000000"/>
              </w:rPr>
              <w:t>5.侧门可带锁。</w:t>
            </w:r>
          </w:p>
          <w:p>
            <w:pPr>
              <w:pStyle w:val="null3"/>
              <w:jc w:val="left"/>
            </w:pPr>
            <w:r>
              <w:rPr>
                <w:rFonts w:ascii="宋体" w:hAnsi="宋体" w:cs="宋体" w:eastAsia="宋体"/>
                <w:sz w:val="24"/>
                <w:color w:val="000000"/>
              </w:rPr>
              <w:t>6.齐全的可选配件，配置L型导轨一付。</w:t>
            </w:r>
          </w:p>
          <w:p>
            <w:pPr>
              <w:pStyle w:val="null3"/>
              <w:jc w:val="left"/>
            </w:pPr>
            <w:r>
              <w:rPr>
                <w:rFonts w:ascii="宋体" w:hAnsi="宋体" w:cs="宋体" w:eastAsia="宋体"/>
                <w:sz w:val="24"/>
                <w:color w:val="000000"/>
              </w:rPr>
              <w:t>7.全部选用优质冷轧钢板 制作，板材通过严格的脱脂、酸洗、防锈磷化、纯水清洗后，再进行静电喷塑。</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111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450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49950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汇聚机柜</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1.符合GB/T50312-2016标准，兼容≥19英寸国标标准、公制标准。</w:t>
            </w:r>
          </w:p>
          <w:p>
            <w:pPr>
              <w:pStyle w:val="null3"/>
              <w:jc w:val="left"/>
            </w:pPr>
            <w:r>
              <w:rPr>
                <w:rFonts w:ascii="宋体" w:hAnsi="宋体" w:cs="宋体" w:eastAsia="宋体"/>
                <w:sz w:val="24"/>
                <w:color w:val="000000"/>
              </w:rPr>
              <w:t>2.黑色，前门为钢化玻璃门，后门为全钢门，宽度≥600mm，深度≥600mm，高度≥1200mm，厚度：方孔条≥1.2mm，灰色钢化玻璃≥5mm，其他≥0.8mm。</w:t>
            </w:r>
          </w:p>
          <w:p>
            <w:pPr>
              <w:pStyle w:val="null3"/>
              <w:jc w:val="left"/>
            </w:pPr>
            <w:r>
              <w:rPr>
                <w:rFonts w:ascii="宋体" w:hAnsi="宋体" w:cs="宋体" w:eastAsia="宋体"/>
                <w:sz w:val="24"/>
                <w:color w:val="000000"/>
              </w:rPr>
              <w:t>3.最大静载达500Kg。</w:t>
            </w:r>
          </w:p>
          <w:p>
            <w:pPr>
              <w:pStyle w:val="null3"/>
              <w:jc w:val="left"/>
            </w:pPr>
            <w:r>
              <w:rPr>
                <w:rFonts w:ascii="宋体" w:hAnsi="宋体" w:cs="宋体" w:eastAsia="宋体"/>
                <w:sz w:val="24"/>
                <w:color w:val="000000"/>
              </w:rPr>
              <w:t>4.可关闭的上部、下部多处走线通道，底部大走线孔尺寸可按需调整。</w:t>
            </w:r>
          </w:p>
          <w:p>
            <w:pPr>
              <w:pStyle w:val="null3"/>
              <w:jc w:val="left"/>
            </w:pPr>
            <w:r>
              <w:rPr>
                <w:rFonts w:ascii="宋体" w:hAnsi="宋体" w:cs="宋体" w:eastAsia="宋体"/>
                <w:sz w:val="24"/>
                <w:color w:val="000000"/>
              </w:rPr>
              <w:t>5.可方便拆卸的左右侧门和前后门，全方位操作，多方位察看，高效坚固的 并柜连接方式。可同时安装脚轮和支撑脚，结构坚固，配高级旋把门锁。</w:t>
            </w:r>
          </w:p>
          <w:p>
            <w:pPr>
              <w:pStyle w:val="null3"/>
              <w:jc w:val="left"/>
            </w:pPr>
            <w:r>
              <w:rPr>
                <w:rFonts w:ascii="宋体" w:hAnsi="宋体" w:cs="宋体" w:eastAsia="宋体"/>
                <w:sz w:val="24"/>
                <w:color w:val="000000"/>
              </w:rPr>
              <w:t>6.全部选用优质冷轧钢板 制作，脱脂、酸洗、防锈 磷化、纯水清洗、静电喷 塑。</w:t>
            </w:r>
          </w:p>
          <w:p>
            <w:pPr>
              <w:pStyle w:val="null3"/>
              <w:jc w:val="left"/>
            </w:pPr>
            <w:r>
              <w:rPr>
                <w:rFonts w:ascii="宋体" w:hAnsi="宋体" w:cs="宋体" w:eastAsia="宋体"/>
                <w:sz w:val="24"/>
                <w:color w:val="000000"/>
              </w:rPr>
              <w:t>7.可拆卸式设计，机柜可以任意拆开，方便调试安装。</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1500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3000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电源保护器</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1.具备≥13路电源输出，包含前面板具备不少于五路常开直通电源输出接口（两路5孔插座+两路USB+1路Type-C）和后面板≥8路独立大功率受控电源输出（5孔插座）；</w:t>
            </w:r>
          </w:p>
          <w:p>
            <w:pPr>
              <w:pStyle w:val="null3"/>
              <w:jc w:val="left"/>
            </w:pPr>
            <w:r>
              <w:rPr>
                <w:rFonts w:ascii="宋体" w:hAnsi="宋体" w:cs="宋体" w:eastAsia="宋体"/>
                <w:sz w:val="24"/>
                <w:color w:val="000000"/>
              </w:rPr>
              <w:t>2.前面板配备指针电压表，实时显示当前电压状态，可更加直观查看设备所处地点的工作电压；</w:t>
            </w:r>
          </w:p>
          <w:p>
            <w:pPr>
              <w:pStyle w:val="null3"/>
              <w:jc w:val="left"/>
            </w:pPr>
            <w:r>
              <w:rPr>
                <w:rFonts w:ascii="宋体" w:hAnsi="宋体" w:cs="宋体" w:eastAsia="宋体"/>
                <w:sz w:val="24"/>
                <w:color w:val="000000"/>
              </w:rPr>
              <w:t>3.具有欠压、超压检测报警功能，可对欠压、超压状态进行蜂鸣声警报；</w:t>
            </w:r>
          </w:p>
          <w:p>
            <w:pPr>
              <w:pStyle w:val="null3"/>
              <w:jc w:val="left"/>
            </w:pPr>
            <w:r>
              <w:rPr>
                <w:rFonts w:ascii="宋体" w:hAnsi="宋体" w:cs="宋体" w:eastAsia="宋体"/>
                <w:sz w:val="24"/>
                <w:color w:val="000000"/>
              </w:rPr>
              <w:t>4.独立电源具有独立电源指示和独立电源开关控制，支持顺开逆关功能，每路动作延时1秒；</w:t>
            </w:r>
          </w:p>
          <w:p>
            <w:pPr>
              <w:pStyle w:val="null3"/>
              <w:jc w:val="left"/>
            </w:pPr>
            <w:r>
              <w:rPr>
                <w:rFonts w:ascii="宋体" w:hAnsi="宋体" w:cs="宋体" w:eastAsia="宋体"/>
                <w:sz w:val="24"/>
                <w:color w:val="000000"/>
              </w:rPr>
              <w:t>5.具有RS232接口，支持中控指令配置设备ID，实现顺开逆关、受控单通道独立开关、模式调用、模式保存、波特率设置、设置级联、初始化等操作功能；</w:t>
            </w:r>
          </w:p>
          <w:p>
            <w:pPr>
              <w:pStyle w:val="null3"/>
              <w:jc w:val="left"/>
            </w:pPr>
            <w:r>
              <w:rPr>
                <w:rFonts w:ascii="宋体" w:hAnsi="宋体" w:cs="宋体" w:eastAsia="宋体"/>
                <w:sz w:val="24"/>
                <w:color w:val="000000"/>
              </w:rPr>
              <w:t>6.支持短路信号和RS-485协议进行级联控制，RS-485协议级联后从机可自动检测主控机的业务操作指令，执行相同的业务操作指令，RS-485协议方式最大级联设备≥8台；</w:t>
            </w:r>
          </w:p>
          <w:p>
            <w:pPr>
              <w:pStyle w:val="null3"/>
              <w:jc w:val="left"/>
            </w:pPr>
            <w:r>
              <w:rPr>
                <w:rFonts w:ascii="宋体" w:hAnsi="宋体" w:cs="宋体" w:eastAsia="宋体"/>
                <w:sz w:val="24"/>
                <w:color w:val="000000"/>
              </w:rPr>
              <w:t>7.支持≥8组设备开关场景数据保存与调用；</w:t>
            </w:r>
          </w:p>
          <w:p>
            <w:pPr>
              <w:pStyle w:val="null3"/>
              <w:jc w:val="left"/>
            </w:pPr>
            <w:r>
              <w:rPr>
                <w:rFonts w:ascii="宋体" w:hAnsi="宋体" w:cs="宋体" w:eastAsia="宋体"/>
                <w:sz w:val="24"/>
                <w:color w:val="000000"/>
              </w:rPr>
              <w:t>8.最大功率≥6600W，单路最大电流≥10A；</w:t>
            </w:r>
          </w:p>
          <w:p>
            <w:pPr>
              <w:pStyle w:val="null3"/>
              <w:jc w:val="left"/>
            </w:pPr>
            <w:r>
              <w:rPr>
                <w:rFonts w:ascii="宋体" w:hAnsi="宋体" w:cs="宋体" w:eastAsia="宋体"/>
                <w:sz w:val="24"/>
                <w:color w:val="000000"/>
              </w:rPr>
              <w:t>9.额定输出电压：交流100V240V50Hz；</w:t>
            </w:r>
          </w:p>
          <w:p>
            <w:pPr>
              <w:pStyle w:val="null3"/>
              <w:jc w:val="left"/>
            </w:pPr>
            <w:r>
              <w:rPr>
                <w:rFonts w:ascii="宋体" w:hAnsi="宋体" w:cs="宋体" w:eastAsia="宋体"/>
                <w:sz w:val="24"/>
                <w:color w:val="000000"/>
              </w:rPr>
              <w:t>10.内置电源滤波器，有效抑制电磁噪声，实现电源净化功能，提供更纯净的电源。</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12200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12200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线管及辅料</w:t>
            </w:r>
          </w:p>
        </w:tc>
        <w:tc>
          <w:tcPr>
            <w:tcW w:type="dxa" w:w="3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线管及其他辅料</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项</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15900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15900</w:t>
            </w:r>
          </w:p>
        </w:tc>
      </w:tr>
    </w:tbl>
    <w:p>
      <w:pPr>
        <w:pStyle w:val="null3"/>
        <w:ind w:firstLine="482"/>
        <w:jc w:val="both"/>
      </w:pPr>
      <w:r>
        <w:rPr>
          <w:rFonts w:ascii="宋体" w:hAnsi="宋体" w:cs="宋体" w:eastAsia="宋体"/>
          <w:sz w:val="24"/>
          <w:b/>
        </w:rPr>
        <w:t>4、消防要求</w:t>
      </w:r>
    </w:p>
    <w:p>
      <w:pPr>
        <w:pStyle w:val="null3"/>
        <w:ind w:firstLine="480"/>
        <w:jc w:val="both"/>
      </w:pPr>
      <w:r>
        <w:rPr>
          <w:rFonts w:ascii="宋体" w:hAnsi="宋体" w:cs="宋体" w:eastAsia="宋体"/>
          <w:sz w:val="24"/>
          <w:color w:val="000000"/>
        </w:rPr>
        <w:t>4.1必须符合消防安全条件，并按照国家法律法规和建筑工程消防技术规范标准设计，且按设计图纸建设施工。</w:t>
      </w:r>
    </w:p>
    <w:p>
      <w:pPr>
        <w:pStyle w:val="null3"/>
        <w:ind w:firstLine="480"/>
        <w:jc w:val="both"/>
      </w:pPr>
      <w:r>
        <w:rPr>
          <w:rFonts w:ascii="宋体" w:hAnsi="宋体" w:cs="宋体" w:eastAsia="宋体"/>
          <w:sz w:val="24"/>
          <w:color w:val="000000"/>
        </w:rPr>
        <w:t>4.2不得损坏、挪用或者拆除、停用原建筑消防设施、器材，不得埋压、圈占、遮挡消火栓或者占用防火间距，不得占用、堵塞、封闭疏散通道、安全出口、消防车通道。</w:t>
      </w:r>
    </w:p>
    <w:p>
      <w:pPr>
        <w:pStyle w:val="null3"/>
        <w:ind w:firstLine="480"/>
        <w:jc w:val="both"/>
      </w:pPr>
      <w:r>
        <w:rPr>
          <w:rFonts w:ascii="宋体" w:hAnsi="宋体" w:cs="宋体" w:eastAsia="宋体"/>
          <w:sz w:val="24"/>
          <w:color w:val="000000"/>
        </w:rPr>
        <w:t>4.3原建筑架空层“消防栓”周边至少保持1m以上无有碍消防的障碍构筑物，按消防标准规范设置安全逃生通道宽度。</w:t>
      </w:r>
    </w:p>
    <w:p>
      <w:pPr>
        <w:pStyle w:val="null3"/>
        <w:ind w:firstLine="480"/>
        <w:jc w:val="both"/>
      </w:pPr>
      <w:r>
        <w:rPr>
          <w:rFonts w:ascii="宋体" w:hAnsi="宋体" w:cs="宋体" w:eastAsia="宋体"/>
          <w:sz w:val="24"/>
          <w:color w:val="000000"/>
        </w:rPr>
        <w:t>4.4不得私自封闭建筑消防管道控水阀门，仪器仪表，烟感喷淋装置。</w:t>
      </w:r>
    </w:p>
    <w:p>
      <w:pPr>
        <w:pStyle w:val="null3"/>
        <w:ind w:firstLine="480"/>
        <w:jc w:val="both"/>
      </w:pPr>
      <w:r>
        <w:rPr>
          <w:rFonts w:ascii="宋体" w:hAnsi="宋体" w:cs="宋体" w:eastAsia="宋体"/>
          <w:sz w:val="24"/>
          <w:color w:val="000000"/>
        </w:rPr>
        <w:t>4.5隔断装修装饰的建筑材料、窗帘布、电源插排，以及电源线路敷设要符合消防和环保标准。</w:t>
      </w:r>
    </w:p>
    <w:p>
      <w:pPr>
        <w:pStyle w:val="null3"/>
        <w:ind w:firstLine="480"/>
        <w:jc w:val="both"/>
      </w:pPr>
      <w:r>
        <w:rPr>
          <w:rFonts w:ascii="宋体" w:hAnsi="宋体" w:cs="宋体" w:eastAsia="宋体"/>
          <w:sz w:val="24"/>
          <w:color w:val="000000"/>
        </w:rPr>
        <w:t>4.6强弱电混合管理间布线应规整，集束线路应用铁皮或桥架遮盖，不得有未经保护处理的裸漏线头出现。</w:t>
      </w:r>
    </w:p>
    <w:p>
      <w:pPr>
        <w:pStyle w:val="null3"/>
        <w:ind w:firstLine="480"/>
        <w:jc w:val="both"/>
      </w:pPr>
      <w:r>
        <w:rPr>
          <w:rFonts w:ascii="宋体" w:hAnsi="宋体" w:cs="宋体" w:eastAsia="宋体"/>
          <w:sz w:val="24"/>
          <w:color w:val="000000"/>
        </w:rPr>
        <w:t>4.7安全门、疏散通道需设置常亮的“安全出口”逃生指示标志，并按消防标准配置消防“应急灯”。</w:t>
      </w:r>
    </w:p>
    <w:p>
      <w:pPr>
        <w:pStyle w:val="null3"/>
        <w:ind w:firstLine="480"/>
        <w:jc w:val="both"/>
      </w:pPr>
      <w:r>
        <w:rPr>
          <w:rFonts w:ascii="宋体" w:hAnsi="宋体" w:cs="宋体" w:eastAsia="宋体"/>
          <w:sz w:val="24"/>
          <w:color w:val="000000"/>
        </w:rPr>
        <w:t>4.8“配电箱面板”需设置用电“安全警示”标志，并安装启闭“手把”装置。</w:t>
      </w:r>
    </w:p>
    <w:p>
      <w:pPr>
        <w:pStyle w:val="null3"/>
        <w:ind w:firstLine="480"/>
        <w:jc w:val="both"/>
      </w:pPr>
      <w:r>
        <w:rPr>
          <w:rFonts w:ascii="宋体" w:hAnsi="宋体" w:cs="宋体" w:eastAsia="宋体"/>
          <w:sz w:val="24"/>
          <w:color w:val="000000"/>
        </w:rPr>
        <w:t>4.9强弱电混合管理间施工过程中，若有穿墙孔洞，应使用“防火泥”封堵密实。</w:t>
      </w:r>
    </w:p>
    <w:p>
      <w:pPr>
        <w:pStyle w:val="null3"/>
        <w:ind w:firstLine="480"/>
        <w:jc w:val="both"/>
      </w:pPr>
      <w:r>
        <w:rPr>
          <w:rFonts w:ascii="宋体" w:hAnsi="宋体" w:cs="宋体" w:eastAsia="宋体"/>
          <w:sz w:val="24"/>
          <w:color w:val="000000"/>
        </w:rPr>
        <w:t>4.10施工离场前需接受学校验收，包括且不限于设计、材料、功能、环境、原有消防设备的完好，新增消防设备的合规以及对相邻区域的影响，方可离场。</w:t>
      </w:r>
    </w:p>
    <w:p>
      <w:pPr>
        <w:pStyle w:val="null3"/>
        <w:ind w:firstLine="480"/>
        <w:jc w:val="both"/>
      </w:pPr>
      <w:r>
        <w:rPr>
          <w:rFonts w:ascii="宋体" w:hAnsi="宋体" w:cs="宋体" w:eastAsia="宋体"/>
          <w:sz w:val="24"/>
          <w:color w:val="000000"/>
        </w:rPr>
        <w:t>4.11施工后的</w:t>
      </w:r>
      <w:r>
        <w:rPr>
          <w:rFonts w:ascii="宋体" w:hAnsi="宋体" w:cs="宋体" w:eastAsia="宋体"/>
          <w:sz w:val="24"/>
          <w:color w:val="333333"/>
        </w:rPr>
        <w:t>质量保证期内</w:t>
      </w:r>
      <w:r>
        <w:rPr>
          <w:rFonts w:ascii="宋体" w:hAnsi="宋体" w:cs="宋体" w:eastAsia="宋体"/>
          <w:sz w:val="24"/>
          <w:color w:val="000000"/>
        </w:rPr>
        <w:t>，对于涉及</w:t>
      </w:r>
      <w:r>
        <w:rPr>
          <w:rFonts w:ascii="宋体" w:hAnsi="宋体" w:cs="宋体" w:eastAsia="宋体"/>
          <w:sz w:val="24"/>
          <w:color w:val="000000"/>
        </w:rPr>
        <w:t>成交供应商</w:t>
      </w:r>
      <w:r>
        <w:rPr>
          <w:rFonts w:ascii="宋体" w:hAnsi="宋体" w:cs="宋体" w:eastAsia="宋体"/>
          <w:sz w:val="24"/>
          <w:color w:val="000000"/>
        </w:rPr>
        <w:t>原因产生的问题，</w:t>
      </w:r>
      <w:r>
        <w:rPr>
          <w:rFonts w:ascii="宋体" w:hAnsi="宋体" w:cs="宋体" w:eastAsia="宋体"/>
          <w:sz w:val="24"/>
          <w:color w:val="000000"/>
        </w:rPr>
        <w:t>成交供应商</w:t>
      </w:r>
      <w:r>
        <w:rPr>
          <w:rFonts w:ascii="宋体" w:hAnsi="宋体" w:cs="宋体" w:eastAsia="宋体"/>
          <w:sz w:val="24"/>
          <w:color w:val="000000"/>
        </w:rPr>
        <w:t>应及时响应并及时处理。</w:t>
      </w:r>
    </w:p>
    <w:p>
      <w:pPr>
        <w:pStyle w:val="null3"/>
        <w:jc w:val="both"/>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自合同签订之日起40日内交货。</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福州市闽侯大学城联榕路8号。</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全部货物交货经安装调试，并经验收合格。</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1、期次1，说明：针对工程（不仅限于强弱电、隐蔽工程等）进行验收。全面验收：货到安装、调试完成，并通过试运行。具体详见“三、商务条件”中的“8、验收及安装调试”。</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1、全部货物交货经安装调试，并经验收合格后，采购人凭收讫货物的验收凭证和货物验收合格文件等材料，达到付款条件起7日内，支付合同总金额的100.00%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缴纳</w:t>
            </w:r>
            <w:r>
              <w:rPr/>
              <w:t>, 本采购包履约保证金为合同金额的5.0%</w:t>
            </w:r>
          </w:p>
          <w:p>
            <w:pPr>
              <w:pStyle w:val="null3"/>
            </w:pPr>
            <w:r>
              <w:rPr/>
              <w:t>说明：成交供应商在合同签订前以银行转账等非现金形式向采购人提交履约保证金，履约保证金金额为合同金额的5%，该保证金在本项目合同履行完毕后经成交供应商申请，无未了事宜5个工作日内无息退还。若成交供应商违约，采购人没收该保证金；若该保证金不足以赔付违约责任的，按本项目合同相应条款约定赔付，从未支付的货款中抵扣。</w:t>
            </w:r>
          </w:p>
        </w:tc>
      </w:tr>
    </w:tbl>
    <w:p>
      <w:pPr>
        <w:pStyle w:val="null3"/>
        <w:jc w:val="left"/>
      </w:pPr>
      <w:r>
        <w:rPr/>
        <w:t>其他商务要求：</w:t>
      </w:r>
    </w:p>
    <w:p>
      <w:pPr>
        <w:pStyle w:val="null3"/>
        <w:ind w:firstLine="480"/>
        <w:jc w:val="left"/>
      </w:pPr>
      <w:r>
        <w:rPr>
          <w:rFonts w:ascii="宋体" w:hAnsi="宋体" w:cs="宋体" w:eastAsia="宋体"/>
          <w:sz w:val="24"/>
          <w:b/>
          <w:color w:val="000000"/>
        </w:rPr>
        <w:t>8、验收及安装调试：</w:t>
      </w:r>
    </w:p>
    <w:p>
      <w:pPr>
        <w:pStyle w:val="null3"/>
        <w:ind w:firstLine="480"/>
        <w:jc w:val="both"/>
      </w:pPr>
      <w:r>
        <w:rPr>
          <w:rFonts w:ascii="宋体" w:hAnsi="宋体" w:cs="宋体" w:eastAsia="宋体"/>
          <w:sz w:val="24"/>
          <w:color w:val="333333"/>
        </w:rPr>
        <w:t>8.1到货验收：货物送至</w:t>
      </w:r>
      <w:r>
        <w:rPr>
          <w:rFonts w:ascii="宋体" w:hAnsi="宋体" w:cs="宋体" w:eastAsia="宋体"/>
          <w:sz w:val="24"/>
          <w:color w:val="333333"/>
        </w:rPr>
        <w:t>采购人</w:t>
      </w:r>
      <w:r>
        <w:rPr>
          <w:rFonts w:ascii="宋体" w:hAnsi="宋体" w:cs="宋体" w:eastAsia="宋体"/>
          <w:sz w:val="24"/>
          <w:color w:val="333333"/>
        </w:rPr>
        <w:t>安装现场后，</w:t>
      </w:r>
      <w:r>
        <w:rPr>
          <w:rFonts w:ascii="宋体" w:hAnsi="宋体" w:cs="宋体" w:eastAsia="宋体"/>
          <w:sz w:val="24"/>
          <w:color w:val="333333"/>
        </w:rPr>
        <w:t>成交供应商</w:t>
      </w:r>
      <w:r>
        <w:rPr>
          <w:rFonts w:ascii="宋体" w:hAnsi="宋体" w:cs="宋体" w:eastAsia="宋体"/>
          <w:sz w:val="24"/>
          <w:color w:val="333333"/>
        </w:rPr>
        <w:t>和采购人一同拆箱，对其全部货物、零件、配件的型号、规格、数量、外型、外观、包装进行到货验收。</w:t>
      </w:r>
      <w:r>
        <w:rPr>
          <w:rFonts w:ascii="宋体" w:hAnsi="宋体" w:cs="宋体" w:eastAsia="宋体"/>
          <w:sz w:val="24"/>
          <w:color w:val="333333"/>
        </w:rPr>
        <w:t>成交供应商</w:t>
      </w:r>
      <w:r>
        <w:rPr>
          <w:rFonts w:ascii="宋体" w:hAnsi="宋体" w:cs="宋体" w:eastAsia="宋体"/>
          <w:sz w:val="24"/>
          <w:color w:val="333333"/>
        </w:rPr>
        <w:t>应负责在项目验收时将系统的全部有关技术文件、资料、及安装、测试报告等文档汇集成册交付项目单位。如采购人因为基建施工等原因影响</w:t>
      </w:r>
      <w:r>
        <w:rPr>
          <w:rFonts w:ascii="宋体" w:hAnsi="宋体" w:cs="宋体" w:eastAsia="宋体"/>
          <w:sz w:val="24"/>
          <w:color w:val="333333"/>
        </w:rPr>
        <w:t>成交供应商</w:t>
      </w:r>
      <w:r>
        <w:rPr>
          <w:rFonts w:ascii="宋体" w:hAnsi="宋体" w:cs="宋体" w:eastAsia="宋体"/>
          <w:sz w:val="24"/>
          <w:color w:val="333333"/>
        </w:rPr>
        <w:t>进场安装，采购人应及时通知</w:t>
      </w:r>
      <w:r>
        <w:rPr>
          <w:rFonts w:ascii="宋体" w:hAnsi="宋体" w:cs="宋体" w:eastAsia="宋体"/>
          <w:sz w:val="24"/>
          <w:color w:val="333333"/>
        </w:rPr>
        <w:t>成交供应商</w:t>
      </w:r>
      <w:r>
        <w:rPr>
          <w:rFonts w:ascii="宋体" w:hAnsi="宋体" w:cs="宋体" w:eastAsia="宋体"/>
          <w:sz w:val="24"/>
          <w:color w:val="333333"/>
        </w:rPr>
        <w:t>，完工期可适当顺延。</w:t>
      </w:r>
    </w:p>
    <w:p>
      <w:pPr>
        <w:pStyle w:val="null3"/>
        <w:ind w:firstLine="480"/>
        <w:jc w:val="both"/>
      </w:pPr>
      <w:r>
        <w:rPr>
          <w:rFonts w:ascii="宋体" w:hAnsi="宋体" w:cs="宋体" w:eastAsia="宋体"/>
          <w:sz w:val="24"/>
          <w:color w:val="333333"/>
        </w:rPr>
        <w:t>8.2试运行：</w:t>
      </w:r>
      <w:r>
        <w:rPr>
          <w:rFonts w:ascii="宋体" w:hAnsi="宋体" w:cs="宋体" w:eastAsia="宋体"/>
          <w:sz w:val="24"/>
          <w:color w:val="333333"/>
        </w:rPr>
        <w:t>成交供应商</w:t>
      </w:r>
      <w:r>
        <w:rPr>
          <w:rFonts w:ascii="宋体" w:hAnsi="宋体" w:cs="宋体" w:eastAsia="宋体"/>
          <w:sz w:val="24"/>
          <w:color w:val="333333"/>
        </w:rPr>
        <w:t>应对货物的整体性能和功能进行自检，自检结果必须符合招标文件要求及合同中的相关条款，自检合格后，转入为期</w:t>
      </w:r>
      <w:r>
        <w:rPr>
          <w:rFonts w:ascii="宋体" w:hAnsi="宋体" w:cs="宋体" w:eastAsia="宋体"/>
          <w:sz w:val="24"/>
          <w:color w:val="333333"/>
        </w:rPr>
        <w:t>7天的试运行。试运行结束后，</w:t>
      </w:r>
      <w:r>
        <w:rPr>
          <w:rFonts w:ascii="宋体" w:hAnsi="宋体" w:cs="宋体" w:eastAsia="宋体"/>
          <w:sz w:val="24"/>
          <w:color w:val="333333"/>
        </w:rPr>
        <w:t>成交供应商</w:t>
      </w:r>
      <w:r>
        <w:rPr>
          <w:rFonts w:ascii="宋体" w:hAnsi="宋体" w:cs="宋体" w:eastAsia="宋体"/>
          <w:sz w:val="24"/>
          <w:color w:val="333333"/>
        </w:rPr>
        <w:t>应向采购人提交自检记录和试运行记录，并提出验收申请。</w:t>
      </w:r>
    </w:p>
    <w:p>
      <w:pPr>
        <w:pStyle w:val="null3"/>
        <w:ind w:firstLine="480"/>
        <w:jc w:val="both"/>
      </w:pPr>
      <w:r>
        <w:rPr>
          <w:rFonts w:ascii="宋体" w:hAnsi="宋体" w:cs="宋体" w:eastAsia="宋体"/>
          <w:sz w:val="24"/>
          <w:color w:val="333333"/>
        </w:rPr>
        <w:t>8.3最终验收：采购人在收到</w:t>
      </w:r>
      <w:r>
        <w:rPr>
          <w:rFonts w:ascii="宋体" w:hAnsi="宋体" w:cs="宋体" w:eastAsia="宋体"/>
          <w:sz w:val="24"/>
          <w:color w:val="333333"/>
        </w:rPr>
        <w:t>成交供应商</w:t>
      </w:r>
      <w:r>
        <w:rPr>
          <w:rFonts w:ascii="宋体" w:hAnsi="宋体" w:cs="宋体" w:eastAsia="宋体"/>
          <w:sz w:val="24"/>
          <w:color w:val="333333"/>
        </w:rPr>
        <w:t>的验收申请后</w:t>
      </w:r>
      <w:r>
        <w:rPr>
          <w:rFonts w:ascii="宋体" w:hAnsi="宋体" w:cs="宋体" w:eastAsia="宋体"/>
          <w:sz w:val="24"/>
          <w:color w:val="333333"/>
        </w:rPr>
        <w:t>15个工作日内，采购人和</w:t>
      </w:r>
      <w:r>
        <w:rPr>
          <w:rFonts w:ascii="宋体" w:hAnsi="宋体" w:cs="宋体" w:eastAsia="宋体"/>
          <w:sz w:val="24"/>
          <w:color w:val="333333"/>
        </w:rPr>
        <w:t>成交供应商</w:t>
      </w:r>
      <w:r>
        <w:rPr>
          <w:rFonts w:ascii="宋体" w:hAnsi="宋体" w:cs="宋体" w:eastAsia="宋体"/>
          <w:sz w:val="24"/>
          <w:color w:val="333333"/>
        </w:rPr>
        <w:t>共同进行设备的验收。采购人将成立项目验收小组，成员由采购人申购部门、使用部门、职能部门、资产部门、监督人员等相关人员组成。相关验收程序如下：</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1）验收准备。按照具体时间、地点开验收工作准备会，明确验收内容和人员分工。</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2）实地验收。根据准备会明确的分工和验收内容，按照采购合同的约定对每一项技术、服务、安全标准的履约情况开展核对工作。现场查看设备的完好程度，核对实物型号、规格、数量等相关信息是否一致，视实际条件抽测主要技术参数；同类设备数量众多时，可抽取不低于10%的样本进行查验，同时检验有关人员掌握仪器设备使用的情况。</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3）验收总结。验收工作完成后，召开验收总结会，由验收小组成员汇报验收情况，认真填写《福州职业技术学院货物和服务项目验收报告》，验收结果经双方确认后，双方代表必须按规定的验收交接单上的项目对照本合同填好验收结果并签名盖章。验收过程中，若发现货物质量有问题</w:t>
      </w:r>
      <w:r>
        <w:rPr>
          <w:rFonts w:ascii="宋体" w:hAnsi="宋体" w:cs="宋体" w:eastAsia="宋体"/>
          <w:sz w:val="24"/>
          <w:color w:val="333333"/>
        </w:rPr>
        <w:t>成交供应商</w:t>
      </w:r>
      <w:r>
        <w:rPr>
          <w:rFonts w:ascii="宋体" w:hAnsi="宋体" w:cs="宋体" w:eastAsia="宋体"/>
          <w:sz w:val="24"/>
          <w:color w:val="333333"/>
        </w:rPr>
        <w:t>应无条件于</w:t>
      </w:r>
      <w:r>
        <w:rPr>
          <w:rFonts w:ascii="宋体" w:hAnsi="宋体" w:cs="宋体" w:eastAsia="宋体"/>
          <w:sz w:val="24"/>
          <w:color w:val="333333"/>
        </w:rPr>
        <w:t>7天内免费更换，重新检测并调试清楚后重新提交验收申请。在此期间，</w:t>
      </w:r>
      <w:r>
        <w:rPr>
          <w:rFonts w:ascii="宋体" w:hAnsi="宋体" w:cs="宋体" w:eastAsia="宋体"/>
          <w:sz w:val="24"/>
          <w:color w:val="333333"/>
        </w:rPr>
        <w:t>成交供应商</w:t>
      </w:r>
      <w:r>
        <w:rPr>
          <w:rFonts w:ascii="宋体" w:hAnsi="宋体" w:cs="宋体" w:eastAsia="宋体"/>
          <w:sz w:val="24"/>
          <w:color w:val="333333"/>
        </w:rPr>
        <w:t>在采购人现场进行安装、调试、集成、试运行直至验收所发生的一切费用由</w:t>
      </w:r>
      <w:r>
        <w:rPr>
          <w:rFonts w:ascii="宋体" w:hAnsi="宋体" w:cs="宋体" w:eastAsia="宋体"/>
          <w:sz w:val="24"/>
          <w:color w:val="333333"/>
        </w:rPr>
        <w:t>成交供应商</w:t>
      </w:r>
      <w:r>
        <w:rPr>
          <w:rFonts w:ascii="宋体" w:hAnsi="宋体" w:cs="宋体" w:eastAsia="宋体"/>
          <w:sz w:val="24"/>
          <w:color w:val="333333"/>
        </w:rPr>
        <w:t>承担且已含在投标总价中。</w:t>
      </w:r>
    </w:p>
    <w:p>
      <w:pPr>
        <w:pStyle w:val="null3"/>
        <w:ind w:left="240" w:firstLine="240"/>
        <w:jc w:val="both"/>
      </w:pPr>
      <w:r>
        <w:rPr>
          <w:rFonts w:ascii="宋体" w:hAnsi="宋体" w:cs="宋体" w:eastAsia="宋体"/>
          <w:sz w:val="24"/>
          <w:color w:val="333333"/>
        </w:rPr>
        <w:t>8.4履约验收内容:根据中标文件及采购合同清单进行验收，验收内容包括：</w:t>
      </w:r>
      <w:r>
        <w:br/>
      </w:r>
      <w:r>
        <w:rPr>
          <w:rFonts w:ascii="宋体" w:hAnsi="宋体" w:cs="宋体" w:eastAsia="宋体"/>
          <w:sz w:val="24"/>
          <w:color w:val="333333"/>
        </w:rPr>
        <w:t>(1)设备品牌、型号、数量、设备参数核对及检测验收。</w:t>
      </w:r>
      <w:r>
        <w:br/>
      </w:r>
      <w:r>
        <w:rPr>
          <w:rFonts w:ascii="宋体" w:hAnsi="宋体" w:cs="宋体" w:eastAsia="宋体"/>
          <w:sz w:val="24"/>
          <w:color w:val="333333"/>
        </w:rPr>
        <w:t>(2)检测对应设备安装到位情况，设备功能实现效果检测验收。</w:t>
      </w:r>
      <w:r>
        <w:br/>
      </w:r>
      <w:r>
        <w:rPr>
          <w:rFonts w:ascii="宋体" w:hAnsi="宋体" w:cs="宋体" w:eastAsia="宋体"/>
          <w:sz w:val="24"/>
          <w:color w:val="333333"/>
        </w:rPr>
        <w:t>(3)软件功能实现效果结合软件功能清单进行验收。</w:t>
      </w:r>
      <w:r>
        <w:br/>
      </w:r>
      <w:r>
        <w:rPr>
          <w:rFonts w:ascii="宋体" w:hAnsi="宋体" w:cs="宋体" w:eastAsia="宋体"/>
          <w:sz w:val="24"/>
          <w:color w:val="333333"/>
        </w:rPr>
        <w:t>(4)设备清单中要求的设备配套使用文档及操作视频</w:t>
      </w:r>
      <w:r>
        <w:br/>
      </w:r>
      <w:r>
        <w:rPr>
          <w:rFonts w:ascii="宋体" w:hAnsi="宋体" w:cs="宋体" w:eastAsia="宋体"/>
          <w:sz w:val="24"/>
          <w:color w:val="333333"/>
        </w:rPr>
        <w:t>(5)合同中对应项目人员培训执行清单。</w:t>
      </w:r>
    </w:p>
    <w:p>
      <w:pPr>
        <w:pStyle w:val="null3"/>
        <w:ind w:firstLine="480"/>
        <w:jc w:val="both"/>
      </w:pPr>
      <w:r>
        <w:rPr>
          <w:rFonts w:ascii="宋体" w:hAnsi="宋体" w:cs="宋体" w:eastAsia="宋体"/>
          <w:sz w:val="24"/>
          <w:color w:val="333333"/>
        </w:rPr>
        <w:t>8.5履约验收标准：安装调试应按照招标文件、投标人投标文件的规定或约定进行，具体如下：</w:t>
      </w:r>
    </w:p>
    <w:p>
      <w:pPr>
        <w:pStyle w:val="null3"/>
        <w:ind w:firstLine="480"/>
        <w:jc w:val="left"/>
      </w:pPr>
      <w:r>
        <w:rPr>
          <w:rFonts w:ascii="宋体" w:hAnsi="宋体" w:cs="宋体" w:eastAsia="宋体"/>
          <w:sz w:val="24"/>
        </w:rPr>
        <w:t>(1)</w:t>
      </w:r>
      <w:r>
        <w:rPr>
          <w:rFonts w:ascii="宋体" w:hAnsi="宋体" w:cs="宋体" w:eastAsia="宋体"/>
          <w:sz w:val="24"/>
        </w:rPr>
        <w:t>成交供应商</w:t>
      </w:r>
      <w:r>
        <w:rPr>
          <w:rFonts w:ascii="宋体" w:hAnsi="宋体" w:cs="宋体" w:eastAsia="宋体"/>
          <w:sz w:val="24"/>
        </w:rPr>
        <w:t>所提供的货物是原厂原装、全新的正品，符合国家的有关标准。标准：本合同所指的货物及服务符合合同的技术规格所述的标准，如果没有提及适用标准，则符合中华人民共和国国家标准或行业标准；如果中华人民共和国没有相关标准的，则采用货物来源国适用的官方标准。这些标准是有关机构发布的最新版本的标准。</w:t>
      </w:r>
    </w:p>
    <w:p>
      <w:pPr>
        <w:pStyle w:val="null3"/>
        <w:ind w:firstLine="480"/>
        <w:jc w:val="left"/>
      </w:pPr>
      <w:r>
        <w:rPr>
          <w:rFonts w:ascii="宋体" w:hAnsi="宋体" w:cs="宋体" w:eastAsia="宋体"/>
          <w:sz w:val="24"/>
        </w:rPr>
        <w:t>（</w:t>
      </w:r>
      <w:r>
        <w:rPr>
          <w:rFonts w:ascii="宋体" w:hAnsi="宋体" w:cs="宋体" w:eastAsia="宋体"/>
          <w:sz w:val="24"/>
        </w:rPr>
        <w:t>2）所提供的货物按相应的国家标准及其特殊要求包装。内外包装的标志编号清晰，标签内容完整（包括产品名称、生产批号、生产日期、有效期、使用说明、商标、注意事项、生产企业名称、地址、电话等）。</w:t>
      </w:r>
    </w:p>
    <w:p>
      <w:pPr>
        <w:pStyle w:val="null3"/>
        <w:ind w:firstLine="480"/>
        <w:jc w:val="left"/>
      </w:pPr>
      <w:r>
        <w:rPr>
          <w:rFonts w:ascii="宋体" w:hAnsi="宋体" w:cs="宋体" w:eastAsia="宋体"/>
          <w:sz w:val="24"/>
        </w:rPr>
        <w:t>（</w:t>
      </w:r>
      <w:r>
        <w:rPr>
          <w:rFonts w:ascii="宋体" w:hAnsi="宋体" w:cs="宋体" w:eastAsia="宋体"/>
          <w:sz w:val="24"/>
        </w:rPr>
        <w:t>3）</w:t>
      </w:r>
      <w:r>
        <w:rPr>
          <w:rFonts w:ascii="宋体" w:hAnsi="宋体" w:cs="宋体" w:eastAsia="宋体"/>
          <w:sz w:val="24"/>
        </w:rPr>
        <w:t>成交供应商</w:t>
      </w:r>
      <w:r>
        <w:rPr>
          <w:rFonts w:ascii="宋体" w:hAnsi="宋体" w:cs="宋体" w:eastAsia="宋体"/>
          <w:sz w:val="24"/>
        </w:rPr>
        <w:t>所提供的货物均免费送货至采购人指定的交货地点。</w:t>
      </w:r>
    </w:p>
    <w:p>
      <w:pPr>
        <w:pStyle w:val="null3"/>
        <w:ind w:firstLine="480"/>
        <w:jc w:val="left"/>
      </w:pPr>
      <w:r>
        <w:rPr>
          <w:rFonts w:ascii="宋体" w:hAnsi="宋体" w:cs="宋体" w:eastAsia="宋体"/>
          <w:sz w:val="24"/>
        </w:rPr>
        <w:t>（</w:t>
      </w:r>
      <w:r>
        <w:rPr>
          <w:rFonts w:ascii="宋体" w:hAnsi="宋体" w:cs="宋体" w:eastAsia="宋体"/>
          <w:sz w:val="24"/>
        </w:rPr>
        <w:t>4）运输过程中造成的货物损坏、丢失或其它质量问题，其责任和损失由</w:t>
      </w:r>
      <w:r>
        <w:rPr>
          <w:rFonts w:ascii="宋体" w:hAnsi="宋体" w:cs="宋体" w:eastAsia="宋体"/>
          <w:sz w:val="24"/>
        </w:rPr>
        <w:t>成交供应商</w:t>
      </w:r>
      <w:r>
        <w:rPr>
          <w:rFonts w:ascii="宋体" w:hAnsi="宋体" w:cs="宋体" w:eastAsia="宋体"/>
          <w:sz w:val="24"/>
        </w:rPr>
        <w:t>负担。</w:t>
      </w:r>
    </w:p>
    <w:p>
      <w:pPr>
        <w:pStyle w:val="null3"/>
        <w:ind w:firstLine="480"/>
        <w:jc w:val="left"/>
      </w:pPr>
      <w:r>
        <w:rPr>
          <w:rFonts w:ascii="宋体" w:hAnsi="宋体" w:cs="宋体" w:eastAsia="宋体"/>
          <w:sz w:val="24"/>
        </w:rPr>
        <w:t>（</w:t>
      </w:r>
      <w:r>
        <w:rPr>
          <w:rFonts w:ascii="宋体" w:hAnsi="宋体" w:cs="宋体" w:eastAsia="宋体"/>
          <w:sz w:val="24"/>
        </w:rPr>
        <w:t>5）本合同价为固定价，不受时间、物价升降等因素的影响，</w:t>
      </w:r>
      <w:r>
        <w:rPr>
          <w:rFonts w:ascii="宋体" w:hAnsi="宋体" w:cs="宋体" w:eastAsia="宋体"/>
          <w:sz w:val="24"/>
        </w:rPr>
        <w:t>成交供应商</w:t>
      </w:r>
      <w:r>
        <w:rPr>
          <w:rFonts w:ascii="宋体" w:hAnsi="宋体" w:cs="宋体" w:eastAsia="宋体"/>
          <w:sz w:val="24"/>
        </w:rPr>
        <w:t>按所报清单上所列品种送货，不以其它同类型代替。</w:t>
      </w:r>
    </w:p>
    <w:p>
      <w:pPr>
        <w:pStyle w:val="null3"/>
        <w:ind w:firstLine="480"/>
        <w:jc w:val="left"/>
      </w:pPr>
      <w:r>
        <w:rPr>
          <w:rFonts w:ascii="宋体" w:hAnsi="宋体" w:cs="宋体" w:eastAsia="宋体"/>
          <w:sz w:val="24"/>
        </w:rPr>
        <w:t>（</w:t>
      </w:r>
      <w:r>
        <w:rPr>
          <w:rFonts w:ascii="宋体" w:hAnsi="宋体" w:cs="宋体" w:eastAsia="宋体"/>
          <w:sz w:val="24"/>
        </w:rPr>
        <w:t>6）</w:t>
      </w:r>
      <w:r>
        <w:rPr>
          <w:rFonts w:ascii="宋体" w:hAnsi="宋体" w:cs="宋体" w:eastAsia="宋体"/>
          <w:sz w:val="24"/>
        </w:rPr>
        <w:t>成交供应商</w:t>
      </w:r>
      <w:r>
        <w:rPr>
          <w:rFonts w:ascii="宋体" w:hAnsi="宋体" w:cs="宋体" w:eastAsia="宋体"/>
          <w:sz w:val="24"/>
        </w:rPr>
        <w:t>应在供货同时向采购人提供所有有关本合同执行的技术文件。如果项目必需但合同又未作规定的要</w:t>
      </w:r>
      <w:r>
        <w:rPr>
          <w:rFonts w:ascii="宋体" w:hAnsi="宋体" w:cs="宋体" w:eastAsia="宋体"/>
          <w:sz w:val="24"/>
        </w:rPr>
        <w:t>成交供应商</w:t>
      </w:r>
      <w:r>
        <w:rPr>
          <w:rFonts w:ascii="宋体" w:hAnsi="宋体" w:cs="宋体" w:eastAsia="宋体"/>
          <w:sz w:val="24"/>
        </w:rPr>
        <w:t>才能提供的技术文件，</w:t>
      </w:r>
      <w:r>
        <w:rPr>
          <w:rFonts w:ascii="宋体" w:hAnsi="宋体" w:cs="宋体" w:eastAsia="宋体"/>
          <w:sz w:val="24"/>
        </w:rPr>
        <w:t>成交供应商</w:t>
      </w:r>
      <w:r>
        <w:rPr>
          <w:rFonts w:ascii="宋体" w:hAnsi="宋体" w:cs="宋体" w:eastAsia="宋体"/>
          <w:sz w:val="24"/>
        </w:rPr>
        <w:t>应及时向采购人提供。技术文件可以是手册、说明、其他形式的文件资料。</w:t>
      </w:r>
    </w:p>
    <w:p>
      <w:pPr>
        <w:pStyle w:val="null3"/>
        <w:ind w:firstLine="480"/>
        <w:jc w:val="left"/>
      </w:pPr>
      <w:r>
        <w:rPr>
          <w:rFonts w:ascii="宋体" w:hAnsi="宋体" w:cs="宋体" w:eastAsia="宋体"/>
          <w:sz w:val="24"/>
        </w:rPr>
        <w:t>（</w:t>
      </w:r>
      <w:r>
        <w:rPr>
          <w:rFonts w:ascii="宋体" w:hAnsi="宋体" w:cs="宋体" w:eastAsia="宋体"/>
          <w:sz w:val="24"/>
        </w:rPr>
        <w:t>7）上述技术文件包含保证采购人能够正确进行使用、检查、测试、验收的需要的所有内容。所有</w:t>
      </w:r>
      <w:r>
        <w:rPr>
          <w:rFonts w:ascii="宋体" w:hAnsi="宋体" w:cs="宋体" w:eastAsia="宋体"/>
          <w:sz w:val="24"/>
        </w:rPr>
        <w:t>成交供应商</w:t>
      </w:r>
      <w:r>
        <w:rPr>
          <w:rFonts w:ascii="宋体" w:hAnsi="宋体" w:cs="宋体" w:eastAsia="宋体"/>
          <w:sz w:val="24"/>
        </w:rPr>
        <w:t>提供的技术文件的全部费用已包含在合同总价中。</w:t>
      </w:r>
    </w:p>
    <w:p>
      <w:pPr>
        <w:pStyle w:val="null3"/>
        <w:ind w:firstLine="480"/>
        <w:jc w:val="left"/>
      </w:pPr>
      <w:r>
        <w:rPr>
          <w:rFonts w:ascii="宋体" w:hAnsi="宋体" w:cs="宋体" w:eastAsia="宋体"/>
          <w:sz w:val="24"/>
        </w:rPr>
        <w:t>（</w:t>
      </w:r>
      <w:r>
        <w:rPr>
          <w:rFonts w:ascii="宋体" w:hAnsi="宋体" w:cs="宋体" w:eastAsia="宋体"/>
          <w:sz w:val="24"/>
        </w:rPr>
        <w:t>8）所有未列明交付时间的</w:t>
      </w:r>
      <w:r>
        <w:rPr>
          <w:rFonts w:ascii="宋体" w:hAnsi="宋体" w:cs="宋体" w:eastAsia="宋体"/>
          <w:sz w:val="24"/>
        </w:rPr>
        <w:t>成交供应商</w:t>
      </w:r>
      <w:r>
        <w:rPr>
          <w:rFonts w:ascii="宋体" w:hAnsi="宋体" w:cs="宋体" w:eastAsia="宋体"/>
          <w:sz w:val="24"/>
        </w:rPr>
        <w:t>提供的技术文件，单独包装伴随货物按货物交付时间交付给采购人。技术文件未提供给采购人的，视为</w:t>
      </w:r>
      <w:r>
        <w:rPr>
          <w:rFonts w:ascii="宋体" w:hAnsi="宋体" w:cs="宋体" w:eastAsia="宋体"/>
          <w:sz w:val="24"/>
        </w:rPr>
        <w:t>成交供应商</w:t>
      </w:r>
      <w:r>
        <w:rPr>
          <w:rFonts w:ascii="宋体" w:hAnsi="宋体" w:cs="宋体" w:eastAsia="宋体"/>
          <w:sz w:val="24"/>
        </w:rPr>
        <w:t>未完全履行交付义务。</w:t>
      </w:r>
    </w:p>
    <w:p>
      <w:pPr>
        <w:pStyle w:val="null3"/>
        <w:ind w:firstLine="480"/>
        <w:jc w:val="left"/>
      </w:pPr>
      <w:r>
        <w:rPr>
          <w:rFonts w:ascii="宋体" w:hAnsi="宋体" w:cs="宋体" w:eastAsia="宋体"/>
          <w:sz w:val="24"/>
        </w:rPr>
        <w:t>（</w:t>
      </w:r>
      <w:r>
        <w:rPr>
          <w:rFonts w:ascii="宋体" w:hAnsi="宋体" w:cs="宋体" w:eastAsia="宋体"/>
          <w:sz w:val="24"/>
        </w:rPr>
        <w:t>9）到货后采购人如发现</w:t>
      </w:r>
      <w:r>
        <w:rPr>
          <w:rFonts w:ascii="宋体" w:hAnsi="宋体" w:cs="宋体" w:eastAsia="宋体"/>
          <w:sz w:val="24"/>
        </w:rPr>
        <w:t>成交供应商</w:t>
      </w:r>
      <w:r>
        <w:rPr>
          <w:rFonts w:ascii="宋体" w:hAnsi="宋体" w:cs="宋体" w:eastAsia="宋体"/>
          <w:sz w:val="24"/>
        </w:rPr>
        <w:t>未提供有关文件，可以推迟付款，直至</w:t>
      </w:r>
      <w:r>
        <w:rPr>
          <w:rFonts w:ascii="宋体" w:hAnsi="宋体" w:cs="宋体" w:eastAsia="宋体"/>
          <w:sz w:val="24"/>
        </w:rPr>
        <w:t>成交供应商</w:t>
      </w:r>
      <w:r>
        <w:rPr>
          <w:rFonts w:ascii="宋体" w:hAnsi="宋体" w:cs="宋体" w:eastAsia="宋体"/>
          <w:sz w:val="24"/>
        </w:rPr>
        <w:t>补齐有关文件。</w:t>
      </w:r>
    </w:p>
    <w:p>
      <w:pPr>
        <w:pStyle w:val="null3"/>
        <w:ind w:firstLine="480"/>
        <w:jc w:val="both"/>
      </w:pPr>
      <w:r>
        <w:rPr>
          <w:rFonts w:ascii="宋体" w:hAnsi="宋体" w:cs="宋体" w:eastAsia="宋体"/>
          <w:sz w:val="24"/>
        </w:rPr>
        <w:t>8.6履约验收其他事项</w:t>
      </w:r>
    </w:p>
    <w:p>
      <w:pPr>
        <w:pStyle w:val="null3"/>
        <w:ind w:firstLine="480"/>
        <w:jc w:val="both"/>
      </w:pPr>
      <w:r>
        <w:rPr>
          <w:rFonts w:ascii="宋体" w:hAnsi="宋体" w:cs="宋体" w:eastAsia="宋体"/>
          <w:sz w:val="24"/>
        </w:rPr>
        <w:t>(1)交货时，</w:t>
      </w:r>
      <w:r>
        <w:rPr>
          <w:rFonts w:ascii="宋体" w:hAnsi="宋体" w:cs="宋体" w:eastAsia="宋体"/>
          <w:sz w:val="24"/>
        </w:rPr>
        <w:t>成交供应商</w:t>
      </w:r>
      <w:r>
        <w:rPr>
          <w:rFonts w:ascii="宋体" w:hAnsi="宋体" w:cs="宋体" w:eastAsia="宋体"/>
          <w:sz w:val="24"/>
        </w:rPr>
        <w:t>应就制造商货物的质量、规格、性能、数量和重量等进行详细而全面的检验。</w:t>
      </w:r>
      <w:r>
        <w:br/>
      </w:r>
      <w:r>
        <w:rPr/>
        <w:t xml:space="preserve">    </w:t>
      </w:r>
      <w:r>
        <w:rPr>
          <w:rFonts w:ascii="宋体" w:hAnsi="宋体" w:cs="宋体" w:eastAsia="宋体"/>
          <w:sz w:val="24"/>
        </w:rPr>
        <w:t>(2)采购人或其代表有权检验和测试货物，以确认货物是否符合要求，由此产生的费用由</w:t>
      </w:r>
      <w:r>
        <w:rPr>
          <w:rFonts w:ascii="宋体" w:hAnsi="宋体" w:cs="宋体" w:eastAsia="宋体"/>
          <w:sz w:val="24"/>
        </w:rPr>
        <w:t>成交供应商</w:t>
      </w:r>
      <w:r>
        <w:rPr>
          <w:rFonts w:ascii="宋体" w:hAnsi="宋体" w:cs="宋体" w:eastAsia="宋体"/>
          <w:sz w:val="24"/>
        </w:rPr>
        <w:t>承担。检验和测试的内容、时间与地点由采购人确定，采购人将及时以书面形式把进行检验和测试的内容、时间、地点以及采购人代表的身份通知</w:t>
      </w:r>
      <w:r>
        <w:rPr>
          <w:rFonts w:ascii="宋体" w:hAnsi="宋体" w:cs="宋体" w:eastAsia="宋体"/>
          <w:sz w:val="24"/>
        </w:rPr>
        <w:t>成交供应商</w:t>
      </w:r>
      <w:r>
        <w:rPr>
          <w:rFonts w:ascii="宋体" w:hAnsi="宋体" w:cs="宋体" w:eastAsia="宋体"/>
          <w:sz w:val="24"/>
        </w:rPr>
        <w:t>。</w:t>
      </w:r>
      <w:r>
        <w:br/>
      </w:r>
      <w:r>
        <w:rPr/>
        <w:t xml:space="preserve">   </w:t>
      </w:r>
      <w:r>
        <w:rPr>
          <w:rFonts w:ascii="宋体" w:hAnsi="宋体" w:cs="宋体" w:eastAsia="宋体"/>
          <w:sz w:val="24"/>
        </w:rPr>
        <w:t>(3)如果任何被检验或测试的货物不能满足要求，采购人可以拒绝接受该货物，</w:t>
      </w:r>
      <w:r>
        <w:rPr>
          <w:rFonts w:ascii="宋体" w:hAnsi="宋体" w:cs="宋体" w:eastAsia="宋体"/>
          <w:sz w:val="24"/>
        </w:rPr>
        <w:t>成交供应商</w:t>
      </w:r>
      <w:r>
        <w:rPr>
          <w:rFonts w:ascii="宋体" w:hAnsi="宋体" w:cs="宋体" w:eastAsia="宋体"/>
          <w:sz w:val="24"/>
        </w:rPr>
        <w:t>应更换被拒绝的货物，以满足要求。</w:t>
      </w:r>
      <w:r>
        <w:br/>
      </w:r>
      <w:r>
        <w:rPr/>
        <w:t xml:space="preserve">   </w:t>
      </w:r>
      <w:r>
        <w:rPr>
          <w:rFonts w:ascii="宋体" w:hAnsi="宋体" w:cs="宋体" w:eastAsia="宋体"/>
          <w:sz w:val="24"/>
        </w:rPr>
        <w:t>8.7邀请专家</w:t>
      </w:r>
      <w:r>
        <w:br/>
      </w:r>
      <w:r>
        <w:rPr/>
        <w:t xml:space="preserve">    </w:t>
      </w:r>
      <w:r>
        <w:rPr>
          <w:rFonts w:ascii="宋体" w:hAnsi="宋体" w:cs="宋体" w:eastAsia="宋体"/>
          <w:sz w:val="24"/>
        </w:rPr>
        <w:t>本项目邀请</w:t>
      </w:r>
      <w:r>
        <w:rPr>
          <w:rFonts w:ascii="宋体" w:hAnsi="宋体" w:cs="宋体" w:eastAsia="宋体"/>
          <w:sz w:val="24"/>
          <w:u w:val="single"/>
        </w:rPr>
        <w:t>3</w:t>
      </w:r>
      <w:r>
        <w:rPr>
          <w:rFonts w:ascii="宋体" w:hAnsi="宋体" w:cs="宋体" w:eastAsia="宋体"/>
          <w:sz w:val="24"/>
        </w:rPr>
        <w:t>名专家参与验收，专家费用由</w:t>
      </w:r>
      <w:r>
        <w:rPr>
          <w:rFonts w:ascii="宋体" w:hAnsi="宋体" w:cs="宋体" w:eastAsia="宋体"/>
          <w:sz w:val="24"/>
        </w:rPr>
        <w:t>成交供应商</w:t>
      </w:r>
      <w:r>
        <w:rPr>
          <w:rFonts w:ascii="宋体" w:hAnsi="宋体" w:cs="宋体" w:eastAsia="宋体"/>
          <w:sz w:val="24"/>
        </w:rPr>
        <w:t>支付。专家费用根据《关于规范福建省政府采购评审专家劳务报酬标准的通知》（闽财购函〔</w:t>
      </w:r>
      <w:r>
        <w:rPr>
          <w:rFonts w:ascii="宋体" w:hAnsi="宋体" w:cs="宋体" w:eastAsia="宋体"/>
          <w:sz w:val="24"/>
        </w:rPr>
        <w:t>2017〕64号）文件执行：“验收专家工作时间3小时以内的，支付劳务报酬300元/人次；3小时以上每小时增加100元/人次；超出时间不足30分钟的，支付劳务报酬50元；超出时间30分钟以上不足1小时的，按照1小时计算”。</w:t>
      </w:r>
      <w:r>
        <w:br/>
      </w:r>
      <w:r>
        <w:rPr/>
        <w:t xml:space="preserve">     </w:t>
      </w:r>
      <w:r>
        <w:rPr>
          <w:rFonts w:ascii="宋体" w:hAnsi="宋体" w:cs="宋体" w:eastAsia="宋体"/>
          <w:sz w:val="24"/>
        </w:rPr>
        <w:t>8.8本条款不能免除</w:t>
      </w:r>
      <w:r>
        <w:rPr>
          <w:rFonts w:ascii="宋体" w:hAnsi="宋体" w:cs="宋体" w:eastAsia="宋体"/>
          <w:sz w:val="24"/>
        </w:rPr>
        <w:t>成交供应商</w:t>
      </w:r>
      <w:r>
        <w:rPr>
          <w:rFonts w:ascii="宋体" w:hAnsi="宋体" w:cs="宋体" w:eastAsia="宋体"/>
          <w:sz w:val="24"/>
        </w:rPr>
        <w:t>在本合同项下的保证义务或其它义务。</w:t>
      </w:r>
    </w:p>
    <w:p>
      <w:pPr>
        <w:pStyle w:val="null3"/>
        <w:ind w:firstLine="480"/>
        <w:jc w:val="left"/>
      </w:pPr>
      <w:r>
        <w:rPr>
          <w:rFonts w:ascii="宋体" w:hAnsi="宋体" w:cs="宋体" w:eastAsia="宋体"/>
          <w:sz w:val="24"/>
          <w:b/>
          <w:color w:val="000000"/>
        </w:rPr>
        <w:t>9、违约责任：</w:t>
      </w:r>
    </w:p>
    <w:p>
      <w:pPr>
        <w:pStyle w:val="null3"/>
        <w:ind w:firstLine="480"/>
        <w:jc w:val="both"/>
      </w:pPr>
      <w:r>
        <w:rPr>
          <w:rFonts w:ascii="宋体" w:hAnsi="宋体" w:cs="宋体" w:eastAsia="宋体"/>
          <w:sz w:val="24"/>
          <w:b/>
          <w:color w:val="333333"/>
        </w:rPr>
        <w:t>9.1采购人违约责任</w:t>
      </w:r>
    </w:p>
    <w:p>
      <w:pPr>
        <w:pStyle w:val="null3"/>
        <w:ind w:firstLine="480"/>
        <w:jc w:val="both"/>
      </w:pPr>
      <w:r>
        <w:rPr>
          <w:rFonts w:ascii="宋体" w:hAnsi="宋体" w:cs="宋体" w:eastAsia="宋体"/>
          <w:sz w:val="24"/>
          <w:color w:val="333333"/>
        </w:rPr>
        <w:t>9.1.1采购人无正当理由拒收</w:t>
      </w:r>
      <w:r>
        <w:rPr>
          <w:rFonts w:ascii="宋体" w:hAnsi="宋体" w:cs="宋体" w:eastAsia="宋体"/>
          <w:sz w:val="24"/>
          <w:color w:val="333333"/>
        </w:rPr>
        <w:t>成交供应商</w:t>
      </w:r>
      <w:r>
        <w:rPr>
          <w:rFonts w:ascii="宋体" w:hAnsi="宋体" w:cs="宋体" w:eastAsia="宋体"/>
          <w:sz w:val="24"/>
          <w:color w:val="333333"/>
        </w:rPr>
        <w:t>交付的合格产品的，采购人向</w:t>
      </w:r>
      <w:r>
        <w:rPr>
          <w:rFonts w:ascii="宋体" w:hAnsi="宋体" w:cs="宋体" w:eastAsia="宋体"/>
          <w:sz w:val="24"/>
          <w:color w:val="333333"/>
        </w:rPr>
        <w:t>成交供应商</w:t>
      </w:r>
      <w:r>
        <w:rPr>
          <w:rFonts w:ascii="宋体" w:hAnsi="宋体" w:cs="宋体" w:eastAsia="宋体"/>
          <w:sz w:val="24"/>
          <w:color w:val="333333"/>
        </w:rPr>
        <w:t>偿付拒收货款总值</w:t>
      </w:r>
      <w:r>
        <w:rPr>
          <w:rFonts w:ascii="宋体" w:hAnsi="宋体" w:cs="宋体" w:eastAsia="宋体"/>
          <w:sz w:val="24"/>
          <w:color w:val="333333"/>
        </w:rPr>
        <w:t>5%的违约金；</w:t>
      </w:r>
    </w:p>
    <w:p>
      <w:pPr>
        <w:pStyle w:val="null3"/>
        <w:ind w:firstLine="480"/>
        <w:jc w:val="both"/>
      </w:pPr>
      <w:r>
        <w:rPr>
          <w:rFonts w:ascii="宋体" w:hAnsi="宋体" w:cs="宋体" w:eastAsia="宋体"/>
          <w:sz w:val="24"/>
          <w:color w:val="333333"/>
        </w:rPr>
        <w:t>9.1.2采购人无故逾期验收和办理合同款项支付手续的,采购人应按逾期付款总额每日0.5%向</w:t>
      </w:r>
      <w:r>
        <w:rPr>
          <w:rFonts w:ascii="宋体" w:hAnsi="宋体" w:cs="宋体" w:eastAsia="宋体"/>
          <w:sz w:val="24"/>
          <w:color w:val="333333"/>
        </w:rPr>
        <w:t>成交供应商</w:t>
      </w:r>
      <w:r>
        <w:rPr>
          <w:rFonts w:ascii="宋体" w:hAnsi="宋体" w:cs="宋体" w:eastAsia="宋体"/>
          <w:sz w:val="24"/>
          <w:color w:val="333333"/>
        </w:rPr>
        <w:t>支付违约金。</w:t>
      </w:r>
    </w:p>
    <w:p>
      <w:pPr>
        <w:pStyle w:val="null3"/>
        <w:ind w:firstLine="480"/>
        <w:jc w:val="both"/>
      </w:pPr>
      <w:r>
        <w:rPr>
          <w:rFonts w:ascii="宋体" w:hAnsi="宋体" w:cs="宋体" w:eastAsia="宋体"/>
          <w:sz w:val="24"/>
          <w:color w:val="333333"/>
        </w:rPr>
        <w:t>9.1.3其他违约情形：无</w:t>
      </w:r>
    </w:p>
    <w:p>
      <w:pPr>
        <w:pStyle w:val="null3"/>
        <w:ind w:firstLine="480"/>
        <w:jc w:val="both"/>
      </w:pPr>
      <w:r>
        <w:rPr>
          <w:rFonts w:ascii="宋体" w:hAnsi="宋体" w:cs="宋体" w:eastAsia="宋体"/>
          <w:sz w:val="24"/>
          <w:b/>
          <w:color w:val="333333"/>
        </w:rPr>
        <w:t>9.2</w:t>
      </w:r>
      <w:r>
        <w:rPr>
          <w:rFonts w:ascii="宋体" w:hAnsi="宋体" w:cs="宋体" w:eastAsia="宋体"/>
          <w:sz w:val="24"/>
          <w:b/>
          <w:color w:val="333333"/>
        </w:rPr>
        <w:t>成交供应商</w:t>
      </w:r>
      <w:r>
        <w:rPr>
          <w:rFonts w:ascii="宋体" w:hAnsi="宋体" w:cs="宋体" w:eastAsia="宋体"/>
          <w:sz w:val="24"/>
          <w:b/>
          <w:color w:val="333333"/>
        </w:rPr>
        <w:t>违约责任</w:t>
      </w:r>
    </w:p>
    <w:p>
      <w:pPr>
        <w:pStyle w:val="null3"/>
        <w:ind w:firstLine="480"/>
        <w:jc w:val="both"/>
      </w:pPr>
      <w:r>
        <w:rPr>
          <w:rFonts w:ascii="宋体" w:hAnsi="宋体" w:cs="宋体" w:eastAsia="宋体"/>
          <w:sz w:val="24"/>
          <w:color w:val="333333"/>
        </w:rPr>
        <w:t>9.2.1</w:t>
      </w:r>
      <w:r>
        <w:rPr>
          <w:rFonts w:ascii="宋体" w:hAnsi="宋体" w:cs="宋体" w:eastAsia="宋体"/>
          <w:sz w:val="24"/>
          <w:color w:val="333333"/>
        </w:rPr>
        <w:t>成交供应商</w:t>
      </w:r>
      <w:r>
        <w:rPr>
          <w:rFonts w:ascii="宋体" w:hAnsi="宋体" w:cs="宋体" w:eastAsia="宋体"/>
          <w:sz w:val="24"/>
          <w:color w:val="333333"/>
        </w:rPr>
        <w:t>逾期履行服务的，</w:t>
      </w:r>
      <w:r>
        <w:rPr>
          <w:rFonts w:ascii="宋体" w:hAnsi="宋体" w:cs="宋体" w:eastAsia="宋体"/>
          <w:sz w:val="24"/>
          <w:color w:val="333333"/>
        </w:rPr>
        <w:t>成交供应商</w:t>
      </w:r>
      <w:r>
        <w:rPr>
          <w:rFonts w:ascii="宋体" w:hAnsi="宋体" w:cs="宋体" w:eastAsia="宋体"/>
          <w:sz w:val="24"/>
          <w:color w:val="333333"/>
        </w:rPr>
        <w:t>应按逾期交付总额每日</w:t>
      </w:r>
      <w:r>
        <w:rPr>
          <w:rFonts w:ascii="宋体" w:hAnsi="宋体" w:cs="宋体" w:eastAsia="宋体"/>
          <w:sz w:val="24"/>
          <w:color w:val="333333"/>
        </w:rPr>
        <w:t>2%向采购人支付违约金，由采购人从待付货款中扣除。</w:t>
      </w:r>
      <w:r>
        <w:rPr>
          <w:rFonts w:ascii="宋体" w:hAnsi="宋体" w:cs="宋体" w:eastAsia="宋体"/>
          <w:sz w:val="24"/>
          <w:color w:val="333333"/>
        </w:rPr>
        <w:t>成交供应商</w:t>
      </w:r>
      <w:r>
        <w:rPr>
          <w:rFonts w:ascii="宋体" w:hAnsi="宋体" w:cs="宋体" w:eastAsia="宋体"/>
          <w:sz w:val="24"/>
          <w:color w:val="333333"/>
        </w:rPr>
        <w:t>无正当理由逾期超过约定日期</w:t>
      </w:r>
      <w:r>
        <w:rPr>
          <w:rFonts w:ascii="宋体" w:hAnsi="宋体" w:cs="宋体" w:eastAsia="宋体"/>
          <w:sz w:val="24"/>
          <w:color w:val="333333"/>
        </w:rPr>
        <w:t>30天仍不能交付的，视为“</w:t>
      </w:r>
      <w:r>
        <w:rPr>
          <w:rFonts w:ascii="宋体" w:hAnsi="宋体" w:cs="宋体" w:eastAsia="宋体"/>
          <w:sz w:val="24"/>
          <w:color w:val="333333"/>
        </w:rPr>
        <w:t>成交供应商</w:t>
      </w:r>
      <w:r>
        <w:rPr>
          <w:rFonts w:ascii="宋体" w:hAnsi="宋体" w:cs="宋体" w:eastAsia="宋体"/>
          <w:sz w:val="24"/>
          <w:color w:val="333333"/>
        </w:rPr>
        <w:t>不按合同约定履约</w:t>
      </w:r>
      <w:r>
        <w:rPr>
          <w:rFonts w:ascii="宋体" w:hAnsi="宋体" w:cs="宋体" w:eastAsia="宋体"/>
          <w:sz w:val="24"/>
          <w:color w:val="333333"/>
        </w:rPr>
        <w:t>”；</w:t>
      </w:r>
    </w:p>
    <w:p>
      <w:pPr>
        <w:pStyle w:val="null3"/>
        <w:ind w:firstLine="480"/>
        <w:jc w:val="both"/>
      </w:pPr>
      <w:r>
        <w:rPr>
          <w:rFonts w:ascii="宋体" w:hAnsi="宋体" w:cs="宋体" w:eastAsia="宋体"/>
          <w:sz w:val="24"/>
          <w:color w:val="333333"/>
        </w:rPr>
        <w:t>9</w:t>
      </w:r>
      <w:r>
        <w:rPr>
          <w:rFonts w:ascii="宋体" w:hAnsi="宋体" w:cs="宋体" w:eastAsia="宋体"/>
          <w:sz w:val="24"/>
          <w:color w:val="333333"/>
        </w:rPr>
        <w:t>.2.2</w:t>
      </w:r>
      <w:r>
        <w:rPr>
          <w:rFonts w:ascii="宋体" w:hAnsi="宋体" w:cs="宋体" w:eastAsia="宋体"/>
          <w:sz w:val="24"/>
          <w:color w:val="333333"/>
        </w:rPr>
        <w:t>成交供应商</w:t>
      </w:r>
      <w:r>
        <w:rPr>
          <w:rFonts w:ascii="宋体" w:hAnsi="宋体" w:cs="宋体" w:eastAsia="宋体"/>
          <w:sz w:val="24"/>
          <w:color w:val="333333"/>
        </w:rPr>
        <w:t>所交付的产品不符合合同规定及《招标文件》规定标准的，采购人有权拒</w:t>
      </w:r>
    </w:p>
    <w:p>
      <w:pPr>
        <w:pStyle w:val="null3"/>
        <w:ind w:firstLine="480"/>
        <w:jc w:val="both"/>
      </w:pPr>
      <w:r>
        <w:rPr>
          <w:rFonts w:ascii="宋体" w:hAnsi="宋体" w:cs="宋体" w:eastAsia="宋体"/>
          <w:sz w:val="24"/>
          <w:color w:val="333333"/>
        </w:rPr>
        <w:t>收，</w:t>
      </w:r>
      <w:r>
        <w:rPr>
          <w:rFonts w:ascii="宋体" w:hAnsi="宋体" w:cs="宋体" w:eastAsia="宋体"/>
          <w:sz w:val="24"/>
          <w:color w:val="333333"/>
        </w:rPr>
        <w:t>成交供应商</w:t>
      </w:r>
      <w:r>
        <w:rPr>
          <w:rFonts w:ascii="宋体" w:hAnsi="宋体" w:cs="宋体" w:eastAsia="宋体"/>
          <w:sz w:val="24"/>
          <w:color w:val="333333"/>
        </w:rPr>
        <w:t>愿意更换产品但逾期交货的，按</w:t>
      </w:r>
      <w:r>
        <w:rPr>
          <w:rFonts w:ascii="宋体" w:hAnsi="宋体" w:cs="宋体" w:eastAsia="宋体"/>
          <w:sz w:val="24"/>
          <w:color w:val="333333"/>
        </w:rPr>
        <w:t>成交供应商</w:t>
      </w:r>
      <w:r>
        <w:rPr>
          <w:rFonts w:ascii="宋体" w:hAnsi="宋体" w:cs="宋体" w:eastAsia="宋体"/>
          <w:sz w:val="24"/>
          <w:color w:val="333333"/>
        </w:rPr>
        <w:t>逾期交货处理。</w:t>
      </w:r>
      <w:r>
        <w:rPr>
          <w:rFonts w:ascii="宋体" w:hAnsi="宋体" w:cs="宋体" w:eastAsia="宋体"/>
          <w:sz w:val="24"/>
          <w:color w:val="333333"/>
        </w:rPr>
        <w:t>成交供应商</w:t>
      </w:r>
      <w:r>
        <w:rPr>
          <w:rFonts w:ascii="宋体" w:hAnsi="宋体" w:cs="宋体" w:eastAsia="宋体"/>
          <w:sz w:val="24"/>
          <w:color w:val="333333"/>
        </w:rPr>
        <w:t>拒绝更换产品的，</w:t>
      </w:r>
    </w:p>
    <w:p>
      <w:pPr>
        <w:pStyle w:val="null3"/>
        <w:ind w:firstLine="480"/>
        <w:jc w:val="both"/>
      </w:pPr>
      <w:r>
        <w:rPr>
          <w:rFonts w:ascii="宋体" w:hAnsi="宋体" w:cs="宋体" w:eastAsia="宋体"/>
          <w:sz w:val="24"/>
          <w:color w:val="333333"/>
        </w:rPr>
        <w:t>视为</w:t>
      </w:r>
      <w:r>
        <w:rPr>
          <w:rFonts w:ascii="宋体" w:hAnsi="宋体" w:cs="宋体" w:eastAsia="宋体"/>
          <w:sz w:val="24"/>
          <w:color w:val="333333"/>
        </w:rPr>
        <w:t>“</w:t>
      </w:r>
      <w:r>
        <w:rPr>
          <w:rFonts w:ascii="宋体" w:hAnsi="宋体" w:cs="宋体" w:eastAsia="宋体"/>
          <w:sz w:val="24"/>
          <w:color w:val="333333"/>
        </w:rPr>
        <w:t>成交供应商</w:t>
      </w:r>
      <w:r>
        <w:rPr>
          <w:rFonts w:ascii="宋体" w:hAnsi="宋体" w:cs="宋体" w:eastAsia="宋体"/>
          <w:sz w:val="24"/>
          <w:color w:val="333333"/>
        </w:rPr>
        <w:t>不按合同约定履约</w:t>
      </w:r>
      <w:r>
        <w:rPr>
          <w:rFonts w:ascii="宋体" w:hAnsi="宋体" w:cs="宋体" w:eastAsia="宋体"/>
          <w:sz w:val="24"/>
          <w:color w:val="333333"/>
        </w:rPr>
        <w:t>”；</w:t>
      </w:r>
    </w:p>
    <w:p>
      <w:pPr>
        <w:pStyle w:val="null3"/>
        <w:ind w:firstLine="480"/>
        <w:jc w:val="both"/>
      </w:pPr>
      <w:r>
        <w:rPr>
          <w:rFonts w:ascii="宋体" w:hAnsi="宋体" w:cs="宋体" w:eastAsia="宋体"/>
          <w:sz w:val="24"/>
          <w:color w:val="333333"/>
        </w:rPr>
        <w:t>9.2.3</w:t>
      </w:r>
      <w:r>
        <w:rPr>
          <w:rFonts w:ascii="宋体" w:hAnsi="宋体" w:cs="宋体" w:eastAsia="宋体"/>
          <w:sz w:val="24"/>
          <w:color w:val="333333"/>
        </w:rPr>
        <w:t>成交供应商</w:t>
      </w:r>
      <w:r>
        <w:rPr>
          <w:rFonts w:ascii="宋体" w:hAnsi="宋体" w:cs="宋体" w:eastAsia="宋体"/>
          <w:sz w:val="24"/>
          <w:color w:val="333333"/>
        </w:rPr>
        <w:t>不按合同约定履约的，采购人可以解除采购合同，并对</w:t>
      </w:r>
      <w:r>
        <w:rPr>
          <w:rFonts w:ascii="宋体" w:hAnsi="宋体" w:cs="宋体" w:eastAsia="宋体"/>
          <w:sz w:val="24"/>
          <w:color w:val="333333"/>
        </w:rPr>
        <w:t>成交供应商</w:t>
      </w:r>
      <w:r>
        <w:rPr>
          <w:rFonts w:ascii="宋体" w:hAnsi="宋体" w:cs="宋体" w:eastAsia="宋体"/>
          <w:sz w:val="24"/>
          <w:color w:val="333333"/>
        </w:rPr>
        <w:t>已缴纳的履约保证金作</w:t>
      </w:r>
      <w:r>
        <w:rPr>
          <w:rFonts w:ascii="宋体" w:hAnsi="宋体" w:cs="宋体" w:eastAsia="宋体"/>
          <w:sz w:val="24"/>
          <w:color w:val="333333"/>
        </w:rPr>
        <w:t>“不予退还”处理。同时，</w:t>
      </w:r>
      <w:r>
        <w:rPr>
          <w:rFonts w:ascii="宋体" w:hAnsi="宋体" w:cs="宋体" w:eastAsia="宋体"/>
          <w:sz w:val="24"/>
          <w:color w:val="333333"/>
        </w:rPr>
        <w:t>成交供应商</w:t>
      </w:r>
      <w:r>
        <w:rPr>
          <w:rFonts w:ascii="宋体" w:hAnsi="宋体" w:cs="宋体" w:eastAsia="宋体"/>
          <w:sz w:val="24"/>
          <w:color w:val="333333"/>
        </w:rPr>
        <w:t>还须按向采购人支付违约金：</w:t>
      </w:r>
    </w:p>
    <w:p>
      <w:pPr>
        <w:pStyle w:val="null3"/>
        <w:ind w:firstLine="480"/>
        <w:jc w:val="both"/>
      </w:pPr>
      <w:r>
        <w:rPr>
          <w:rFonts w:ascii="宋体" w:hAnsi="宋体" w:cs="宋体" w:eastAsia="宋体"/>
          <w:sz w:val="24"/>
          <w:b/>
          <w:color w:val="333333"/>
        </w:rPr>
        <w:t>9.3其他违约情形</w:t>
      </w:r>
    </w:p>
    <w:p>
      <w:pPr>
        <w:pStyle w:val="null3"/>
        <w:ind w:firstLine="480"/>
        <w:jc w:val="both"/>
      </w:pPr>
      <w:r>
        <w:rPr>
          <w:rFonts w:ascii="宋体" w:hAnsi="宋体" w:cs="宋体" w:eastAsia="宋体"/>
          <w:sz w:val="24"/>
          <w:color w:val="333333"/>
        </w:rPr>
        <w:t>9.3.1交货不符合约定或存在缺陷的</w:t>
      </w:r>
    </w:p>
    <w:p>
      <w:pPr>
        <w:pStyle w:val="null3"/>
        <w:ind w:firstLine="480"/>
        <w:jc w:val="both"/>
      </w:pPr>
      <w:r>
        <w:rPr>
          <w:rFonts w:ascii="宋体" w:hAnsi="宋体" w:cs="宋体" w:eastAsia="宋体"/>
          <w:sz w:val="24"/>
          <w:color w:val="333333"/>
        </w:rPr>
        <w:t>成交供应商</w:t>
      </w:r>
      <w:r>
        <w:rPr>
          <w:rFonts w:ascii="宋体" w:hAnsi="宋体" w:cs="宋体" w:eastAsia="宋体"/>
          <w:sz w:val="24"/>
          <w:color w:val="333333"/>
        </w:rPr>
        <w:t>对所供货物与合同要求不符负有责任，如经检验证实不符或缺陷存在的，包括潜在的缺陷或使用不合适的原料等，采购人可根据本合同有关质量保证或检验、验收的规定，选择下述一种或多种结合的方法解决索赔事宜：</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1）采购人要求退货并解除合同的，</w:t>
      </w:r>
      <w:r>
        <w:rPr>
          <w:rFonts w:ascii="宋体" w:hAnsi="宋体" w:cs="宋体" w:eastAsia="宋体"/>
          <w:sz w:val="24"/>
          <w:color w:val="333333"/>
        </w:rPr>
        <w:t>成交供应商</w:t>
      </w:r>
      <w:r>
        <w:rPr>
          <w:rFonts w:ascii="宋体" w:hAnsi="宋体" w:cs="宋体" w:eastAsia="宋体"/>
          <w:sz w:val="24"/>
          <w:color w:val="333333"/>
        </w:rPr>
        <w:t>承担因退货而发生的一切损失和费用，包括利息、银行手续费、运费、保险费、检验费、仓储费、装卸费以及为保管、维护和退回被拒收货物所发生的其它必要费用，且还向采购人支付合同金额</w:t>
      </w:r>
      <w:r>
        <w:rPr>
          <w:rFonts w:ascii="宋体" w:hAnsi="宋体" w:cs="宋体" w:eastAsia="宋体"/>
          <w:sz w:val="24"/>
          <w:color w:val="333333"/>
        </w:rPr>
        <w:t>5%的违约金。</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2）</w:t>
      </w:r>
      <w:r>
        <w:rPr>
          <w:rFonts w:ascii="宋体" w:hAnsi="宋体" w:cs="宋体" w:eastAsia="宋体"/>
          <w:sz w:val="24"/>
          <w:color w:val="333333"/>
        </w:rPr>
        <w:t>成交供应商</w:t>
      </w:r>
      <w:r>
        <w:rPr>
          <w:rFonts w:ascii="宋体" w:hAnsi="宋体" w:cs="宋体" w:eastAsia="宋体"/>
          <w:sz w:val="24"/>
          <w:color w:val="333333"/>
        </w:rPr>
        <w:t>收到采购人书面索赔通知后</w:t>
      </w:r>
      <w:r>
        <w:rPr>
          <w:rFonts w:ascii="宋体" w:hAnsi="宋体" w:cs="宋体" w:eastAsia="宋体"/>
          <w:sz w:val="24"/>
          <w:color w:val="333333"/>
        </w:rPr>
        <w:t>7天内，未给采购人答复的，视为索赔已被</w:t>
      </w:r>
      <w:r>
        <w:rPr>
          <w:rFonts w:ascii="宋体" w:hAnsi="宋体" w:cs="宋体" w:eastAsia="宋体"/>
          <w:sz w:val="24"/>
          <w:color w:val="333333"/>
        </w:rPr>
        <w:t>成交供应商</w:t>
      </w:r>
      <w:r>
        <w:rPr>
          <w:rFonts w:ascii="宋体" w:hAnsi="宋体" w:cs="宋体" w:eastAsia="宋体"/>
          <w:sz w:val="24"/>
          <w:color w:val="333333"/>
        </w:rPr>
        <w:t>接受，采购人将有权从</w:t>
      </w:r>
      <w:r>
        <w:rPr>
          <w:rFonts w:ascii="宋体" w:hAnsi="宋体" w:cs="宋体" w:eastAsia="宋体"/>
          <w:sz w:val="24"/>
          <w:color w:val="333333"/>
        </w:rPr>
        <w:t>成交供应商</w:t>
      </w:r>
      <w:r>
        <w:rPr>
          <w:rFonts w:ascii="宋体" w:hAnsi="宋体" w:cs="宋体" w:eastAsia="宋体"/>
          <w:sz w:val="24"/>
          <w:color w:val="333333"/>
        </w:rPr>
        <w:t>履约保证金中扣除相关索赔金额，同时保留进一步要求索赔</w:t>
      </w:r>
    </w:p>
    <w:p>
      <w:pPr>
        <w:pStyle w:val="null3"/>
        <w:ind w:firstLine="480"/>
        <w:jc w:val="both"/>
      </w:pPr>
      <w:r>
        <w:rPr>
          <w:rFonts w:ascii="宋体" w:hAnsi="宋体" w:cs="宋体" w:eastAsia="宋体"/>
          <w:sz w:val="24"/>
          <w:color w:val="333333"/>
        </w:rPr>
        <w:t>的权利。</w:t>
      </w:r>
    </w:p>
    <w:p>
      <w:pPr>
        <w:pStyle w:val="null3"/>
        <w:ind w:firstLine="480"/>
        <w:jc w:val="both"/>
      </w:pPr>
      <w:r>
        <w:rPr>
          <w:rFonts w:ascii="宋体" w:hAnsi="宋体" w:cs="宋体" w:eastAsia="宋体"/>
          <w:sz w:val="24"/>
          <w:color w:val="333333"/>
        </w:rPr>
        <w:t>9.3.2逾期交货及逾期付款的赔偿</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1）除不可抗力因素外，如果</w:t>
      </w:r>
      <w:r>
        <w:rPr>
          <w:rFonts w:ascii="宋体" w:hAnsi="宋体" w:cs="宋体" w:eastAsia="宋体"/>
          <w:sz w:val="24"/>
          <w:color w:val="333333"/>
        </w:rPr>
        <w:t>成交供应商</w:t>
      </w:r>
      <w:r>
        <w:rPr>
          <w:rFonts w:ascii="宋体" w:hAnsi="宋体" w:cs="宋体" w:eastAsia="宋体"/>
          <w:sz w:val="24"/>
          <w:color w:val="333333"/>
        </w:rPr>
        <w:t>不能按照合同规定的时间交付和提供服务，及时以书面形式将逾期的事实、可能逾期的时间和原因通知采购人。采购人收到</w:t>
      </w:r>
      <w:r>
        <w:rPr>
          <w:rFonts w:ascii="宋体" w:hAnsi="宋体" w:cs="宋体" w:eastAsia="宋体"/>
          <w:sz w:val="24"/>
          <w:color w:val="333333"/>
        </w:rPr>
        <w:t>成交供应商</w:t>
      </w:r>
      <w:r>
        <w:rPr>
          <w:rFonts w:ascii="宋体" w:hAnsi="宋体" w:cs="宋体" w:eastAsia="宋体"/>
          <w:sz w:val="24"/>
          <w:color w:val="333333"/>
        </w:rPr>
        <w:t>通知后，将尽快作出评价，决定是否同意延长交货期及收取逾期赔偿费，逾期赔偿费的金额为采购人所遭受的所有损失。采购人在不影响合同项下的其它补救措施情况下，可从合同未付款中扣除逾期违约金，违约金按未交付货物价款的</w:t>
      </w:r>
      <w:r>
        <w:rPr>
          <w:rFonts w:ascii="宋体" w:hAnsi="宋体" w:cs="宋体" w:eastAsia="宋体"/>
          <w:sz w:val="24"/>
          <w:color w:val="333333"/>
        </w:rPr>
        <w:t>2%/天计算，逾期期限一旦达到30天，采购人有权解除合同，且</w:t>
      </w:r>
      <w:r>
        <w:rPr>
          <w:rFonts w:ascii="宋体" w:hAnsi="宋体" w:cs="宋体" w:eastAsia="宋体"/>
          <w:sz w:val="24"/>
          <w:color w:val="333333"/>
        </w:rPr>
        <w:t>成交供应商</w:t>
      </w:r>
      <w:r>
        <w:rPr>
          <w:rFonts w:ascii="宋体" w:hAnsi="宋体" w:cs="宋体" w:eastAsia="宋体"/>
          <w:sz w:val="24"/>
          <w:color w:val="333333"/>
        </w:rPr>
        <w:t>仍按合同约定支付违约金。违约金的支付不影响采购人向</w:t>
      </w:r>
      <w:r>
        <w:rPr>
          <w:rFonts w:ascii="宋体" w:hAnsi="宋体" w:cs="宋体" w:eastAsia="宋体"/>
          <w:sz w:val="24"/>
          <w:color w:val="333333"/>
        </w:rPr>
        <w:t>成交供应商</w:t>
      </w:r>
      <w:r>
        <w:rPr>
          <w:rFonts w:ascii="宋体" w:hAnsi="宋体" w:cs="宋体" w:eastAsia="宋体"/>
          <w:sz w:val="24"/>
          <w:color w:val="333333"/>
        </w:rPr>
        <w:t>要求损害赔偿。</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2）采购人未按约定提供售后服务、购买保险或给第三方造成损害的，如果</w:t>
      </w:r>
      <w:r>
        <w:rPr>
          <w:rFonts w:ascii="宋体" w:hAnsi="宋体" w:cs="宋体" w:eastAsia="宋体"/>
          <w:sz w:val="24"/>
          <w:color w:val="333333"/>
        </w:rPr>
        <w:t>成交供应商</w:t>
      </w:r>
      <w:r>
        <w:rPr>
          <w:rFonts w:ascii="宋体" w:hAnsi="宋体" w:cs="宋体" w:eastAsia="宋体"/>
          <w:sz w:val="24"/>
          <w:color w:val="333333"/>
        </w:rPr>
        <w:t>未能按照合同约定的时间提供售后服务的，每逾期</w:t>
      </w:r>
      <w:r>
        <w:rPr>
          <w:rFonts w:ascii="宋体" w:hAnsi="宋体" w:cs="宋体" w:eastAsia="宋体"/>
          <w:sz w:val="24"/>
          <w:color w:val="333333"/>
        </w:rPr>
        <w:t>1天，</w:t>
      </w:r>
      <w:r>
        <w:rPr>
          <w:rFonts w:ascii="宋体" w:hAnsi="宋体" w:cs="宋体" w:eastAsia="宋体"/>
          <w:sz w:val="24"/>
          <w:color w:val="333333"/>
        </w:rPr>
        <w:t>成交供应商</w:t>
      </w:r>
      <w:r>
        <w:rPr>
          <w:rFonts w:ascii="宋体" w:hAnsi="宋体" w:cs="宋体" w:eastAsia="宋体"/>
          <w:sz w:val="24"/>
          <w:color w:val="333333"/>
        </w:rPr>
        <w:t>向采购人支付合同总额</w:t>
      </w:r>
      <w:r>
        <w:rPr>
          <w:rFonts w:ascii="宋体" w:hAnsi="宋体" w:cs="宋体" w:eastAsia="宋体"/>
          <w:sz w:val="24"/>
          <w:color w:val="333333"/>
        </w:rPr>
        <w:t>2％的违约金，若因此给采购人造成损失的，</w:t>
      </w:r>
      <w:r>
        <w:rPr>
          <w:rFonts w:ascii="宋体" w:hAnsi="宋体" w:cs="宋体" w:eastAsia="宋体"/>
          <w:sz w:val="24"/>
          <w:color w:val="333333"/>
        </w:rPr>
        <w:t>成交供应商</w:t>
      </w:r>
      <w:r>
        <w:rPr>
          <w:rFonts w:ascii="宋体" w:hAnsi="宋体" w:cs="宋体" w:eastAsia="宋体"/>
          <w:sz w:val="24"/>
          <w:color w:val="333333"/>
        </w:rPr>
        <w:t>还赔偿采购人所受的损失。保修期内，</w:t>
      </w:r>
      <w:r>
        <w:rPr>
          <w:rFonts w:ascii="宋体" w:hAnsi="宋体" w:cs="宋体" w:eastAsia="宋体"/>
          <w:sz w:val="24"/>
          <w:color w:val="333333"/>
        </w:rPr>
        <w:t>成交供应商</w:t>
      </w:r>
      <w:r>
        <w:rPr>
          <w:rFonts w:ascii="宋体" w:hAnsi="宋体" w:cs="宋体" w:eastAsia="宋体"/>
          <w:sz w:val="24"/>
          <w:color w:val="333333"/>
        </w:rPr>
        <w:t>未尽保修义务的，采购人可自行寻求解决，</w:t>
      </w:r>
      <w:r>
        <w:rPr>
          <w:rFonts w:ascii="宋体" w:hAnsi="宋体" w:cs="宋体" w:eastAsia="宋体"/>
          <w:sz w:val="24"/>
        </w:rPr>
        <w:t>费用</w:t>
      </w:r>
      <w:r>
        <w:rPr>
          <w:rFonts w:ascii="宋体" w:hAnsi="宋体" w:cs="宋体" w:eastAsia="宋体"/>
          <w:sz w:val="24"/>
          <w:color w:val="333333"/>
        </w:rPr>
        <w:t>由</w:t>
      </w:r>
      <w:r>
        <w:rPr>
          <w:rFonts w:ascii="宋体" w:hAnsi="宋体" w:cs="宋体" w:eastAsia="宋体"/>
          <w:sz w:val="24"/>
          <w:color w:val="333333"/>
        </w:rPr>
        <w:t>成交供应商</w:t>
      </w:r>
      <w:r>
        <w:rPr>
          <w:rFonts w:ascii="宋体" w:hAnsi="宋体" w:cs="宋体" w:eastAsia="宋体"/>
          <w:sz w:val="24"/>
          <w:color w:val="333333"/>
        </w:rPr>
        <w:t>承担。</w:t>
      </w:r>
    </w:p>
    <w:p>
      <w:pPr>
        <w:pStyle w:val="null3"/>
        <w:ind w:firstLine="480"/>
        <w:jc w:val="both"/>
      </w:pPr>
      <w:r>
        <w:rPr>
          <w:rFonts w:ascii="宋体" w:hAnsi="宋体" w:cs="宋体" w:eastAsia="宋体"/>
          <w:sz w:val="24"/>
          <w:color w:val="333333"/>
        </w:rPr>
        <w:t>9.3.3如果</w:t>
      </w:r>
      <w:r>
        <w:rPr>
          <w:rFonts w:ascii="宋体" w:hAnsi="宋体" w:cs="宋体" w:eastAsia="宋体"/>
          <w:sz w:val="24"/>
          <w:color w:val="333333"/>
        </w:rPr>
        <w:t>成交供应商</w:t>
      </w:r>
      <w:r>
        <w:rPr>
          <w:rFonts w:ascii="宋体" w:hAnsi="宋体" w:cs="宋体" w:eastAsia="宋体"/>
          <w:sz w:val="24"/>
          <w:color w:val="333333"/>
        </w:rPr>
        <w:t>未按约定购买保险的，除继续履行购买保险的义务外，还按照本合同总额的</w:t>
      </w:r>
      <w:r>
        <w:rPr>
          <w:rFonts w:ascii="宋体" w:hAnsi="宋体" w:cs="宋体" w:eastAsia="宋体"/>
          <w:sz w:val="24"/>
          <w:color w:val="333333"/>
        </w:rPr>
        <w:t>5%支付违约金。</w:t>
      </w:r>
    </w:p>
    <w:p>
      <w:pPr>
        <w:pStyle w:val="null3"/>
        <w:ind w:firstLine="480"/>
        <w:jc w:val="both"/>
      </w:pPr>
      <w:r>
        <w:rPr>
          <w:rFonts w:ascii="宋体" w:hAnsi="宋体" w:cs="宋体" w:eastAsia="宋体"/>
          <w:sz w:val="24"/>
          <w:color w:val="333333"/>
        </w:rPr>
        <w:t>9.3.4采购人逾期付款的（有正当拒付理由的除外）按照逾期金额的每日0.5%支付逾期付款违约金。</w:t>
      </w:r>
    </w:p>
    <w:p>
      <w:pPr>
        <w:pStyle w:val="null3"/>
        <w:ind w:firstLine="480"/>
        <w:jc w:val="both"/>
      </w:pPr>
      <w:r>
        <w:rPr>
          <w:rFonts w:ascii="宋体" w:hAnsi="宋体" w:cs="宋体" w:eastAsia="宋体"/>
          <w:sz w:val="24"/>
          <w:color w:val="333333"/>
        </w:rPr>
        <w:t>9.3.5因</w:t>
      </w:r>
      <w:r>
        <w:rPr>
          <w:rFonts w:ascii="宋体" w:hAnsi="宋体" w:cs="宋体" w:eastAsia="宋体"/>
          <w:sz w:val="24"/>
          <w:color w:val="333333"/>
        </w:rPr>
        <w:t>成交供应商</w:t>
      </w:r>
      <w:r>
        <w:rPr>
          <w:rFonts w:ascii="宋体" w:hAnsi="宋体" w:cs="宋体" w:eastAsia="宋体"/>
          <w:sz w:val="24"/>
          <w:color w:val="333333"/>
        </w:rPr>
        <w:t>管理不当，致使货物的生产、包装、仓储、运输、装卸、安装、调试及验收过程中导致第三方权益受损的（如安全事故），</w:t>
      </w:r>
      <w:r>
        <w:rPr>
          <w:rFonts w:ascii="宋体" w:hAnsi="宋体" w:cs="宋体" w:eastAsia="宋体"/>
          <w:sz w:val="24"/>
          <w:color w:val="333333"/>
        </w:rPr>
        <w:t>成交供应商</w:t>
      </w:r>
      <w:r>
        <w:rPr>
          <w:rFonts w:ascii="宋体" w:hAnsi="宋体" w:cs="宋体" w:eastAsia="宋体"/>
          <w:sz w:val="24"/>
          <w:color w:val="333333"/>
        </w:rPr>
        <w:t>除赔偿第三方相应的损失外，还向采购人支付本合同总额</w:t>
      </w:r>
      <w:r>
        <w:rPr>
          <w:rFonts w:ascii="宋体" w:hAnsi="宋体" w:cs="宋体" w:eastAsia="宋体"/>
          <w:sz w:val="24"/>
          <w:color w:val="333333"/>
        </w:rPr>
        <w:t>5%的违约金。</w:t>
      </w:r>
    </w:p>
    <w:p>
      <w:pPr>
        <w:pStyle w:val="null3"/>
        <w:ind w:firstLine="480"/>
        <w:jc w:val="both"/>
      </w:pPr>
      <w:r>
        <w:rPr>
          <w:rFonts w:ascii="宋体" w:hAnsi="宋体" w:cs="宋体" w:eastAsia="宋体"/>
          <w:sz w:val="24"/>
          <w:color w:val="333333"/>
        </w:rPr>
        <w:t>9.3.6产品在安装及后续运行过程中，若因为产品质量问题导致人员受伤，相关责任由</w:t>
      </w:r>
      <w:r>
        <w:rPr>
          <w:rFonts w:ascii="宋体" w:hAnsi="宋体" w:cs="宋体" w:eastAsia="宋体"/>
          <w:sz w:val="24"/>
          <w:color w:val="333333"/>
        </w:rPr>
        <w:t>成交供应商</w:t>
      </w:r>
      <w:r>
        <w:rPr>
          <w:rFonts w:ascii="宋体" w:hAnsi="宋体" w:cs="宋体" w:eastAsia="宋体"/>
          <w:sz w:val="24"/>
          <w:color w:val="333333"/>
        </w:rPr>
        <w:t>承担，若因此造成采购人损失的，采购人有权向</w:t>
      </w:r>
      <w:r>
        <w:rPr>
          <w:rFonts w:ascii="宋体" w:hAnsi="宋体" w:cs="宋体" w:eastAsia="宋体"/>
          <w:sz w:val="24"/>
          <w:color w:val="333333"/>
        </w:rPr>
        <w:t>成交供应商</w:t>
      </w:r>
      <w:r>
        <w:rPr>
          <w:rFonts w:ascii="宋体" w:hAnsi="宋体" w:cs="宋体" w:eastAsia="宋体"/>
          <w:sz w:val="24"/>
          <w:color w:val="333333"/>
        </w:rPr>
        <w:t>要求赔偿（包括但不限于赔偿损失、诉讼费、律师费等）。</w:t>
      </w:r>
    </w:p>
    <w:p>
      <w:pPr>
        <w:pStyle w:val="null3"/>
        <w:ind w:firstLine="480"/>
        <w:jc w:val="both"/>
      </w:pPr>
      <w:r>
        <w:rPr>
          <w:rFonts w:ascii="宋体" w:hAnsi="宋体" w:cs="宋体" w:eastAsia="宋体"/>
          <w:sz w:val="24"/>
          <w:b/>
          <w:color w:val="333333"/>
        </w:rPr>
        <w:t>10、质量标准及要求：</w:t>
      </w:r>
    </w:p>
    <w:p>
      <w:pPr>
        <w:pStyle w:val="null3"/>
        <w:ind w:firstLine="480"/>
        <w:jc w:val="both"/>
      </w:pPr>
      <w:r>
        <w:rPr>
          <w:rFonts w:ascii="宋体" w:hAnsi="宋体" w:cs="宋体" w:eastAsia="宋体"/>
          <w:sz w:val="24"/>
          <w:color w:val="333333"/>
        </w:rPr>
        <w:t>10.1质量标准及要求</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1）</w:t>
      </w:r>
      <w:r>
        <w:rPr>
          <w:rFonts w:ascii="宋体" w:hAnsi="宋体" w:cs="宋体" w:eastAsia="宋体"/>
          <w:sz w:val="24"/>
          <w:color w:val="333333"/>
        </w:rPr>
        <w:t>成交供应商</w:t>
      </w:r>
      <w:r>
        <w:rPr>
          <w:rFonts w:ascii="宋体" w:hAnsi="宋体" w:cs="宋体" w:eastAsia="宋体"/>
          <w:sz w:val="24"/>
          <w:color w:val="333333"/>
        </w:rPr>
        <w:t>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pPr>
        <w:pStyle w:val="null3"/>
        <w:ind w:firstLine="480"/>
        <w:jc w:val="both"/>
      </w:pPr>
      <w:r>
        <w:rPr>
          <w:rFonts w:ascii="宋体" w:hAnsi="宋体" w:cs="宋体" w:eastAsia="宋体"/>
          <w:sz w:val="24"/>
          <w:color w:val="333333"/>
        </w:rPr>
        <w:t>10.2质量保证范围、质量保证期及售后服务</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1）质量保证范围：</w:t>
      </w:r>
      <w:r>
        <w:rPr>
          <w:rFonts w:ascii="宋体" w:hAnsi="宋体" w:cs="宋体" w:eastAsia="宋体"/>
          <w:sz w:val="24"/>
          <w:color w:val="333333"/>
        </w:rPr>
        <w:t>成交供应商</w:t>
      </w:r>
      <w:r>
        <w:rPr>
          <w:rFonts w:ascii="宋体" w:hAnsi="宋体" w:cs="宋体" w:eastAsia="宋体"/>
          <w:sz w:val="24"/>
          <w:color w:val="333333"/>
        </w:rPr>
        <w:t>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2）本合同</w:t>
      </w:r>
      <w:r>
        <w:rPr>
          <w:rFonts w:ascii="宋体" w:hAnsi="宋体" w:cs="宋体" w:eastAsia="宋体"/>
          <w:sz w:val="24"/>
          <w:color w:val="333333"/>
        </w:rPr>
        <w:t>成交供应商</w:t>
      </w:r>
      <w:r>
        <w:rPr>
          <w:rFonts w:ascii="宋体" w:hAnsi="宋体" w:cs="宋体" w:eastAsia="宋体"/>
          <w:sz w:val="24"/>
          <w:color w:val="333333"/>
        </w:rPr>
        <w:t>所供应的货物质量保证期自验收合格之日起</w:t>
      </w:r>
      <w:r>
        <w:rPr>
          <w:rFonts w:ascii="宋体" w:hAnsi="宋体" w:cs="宋体" w:eastAsia="宋体"/>
          <w:sz w:val="24"/>
          <w:color w:val="333333"/>
        </w:rPr>
        <w:t>72个月。</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3）售后服务应按法律法规和招标文件约定执行，具体如下：所有项目均包含年质量保</w:t>
      </w:r>
    </w:p>
    <w:p>
      <w:pPr>
        <w:pStyle w:val="null3"/>
        <w:ind w:firstLine="480"/>
        <w:jc w:val="both"/>
      </w:pPr>
      <w:r>
        <w:rPr>
          <w:rFonts w:ascii="宋体" w:hAnsi="宋体" w:cs="宋体" w:eastAsia="宋体"/>
          <w:sz w:val="24"/>
          <w:color w:val="333333"/>
        </w:rPr>
        <w:t>证期（主要设备及核心软件为原厂质保），货物质量保证期要求均为货物经最终验收合格后（除技术参数中另行规定的除外），涉及版本更新、质量保证期内业务的随时定制和修订、</w:t>
      </w:r>
      <w:r>
        <w:rPr>
          <w:rFonts w:ascii="宋体" w:hAnsi="宋体" w:cs="宋体" w:eastAsia="宋体"/>
          <w:sz w:val="24"/>
          <w:color w:val="333333"/>
        </w:rPr>
        <w:t>BUG消除、产品安全应急响应、业务流程的重新适配等相关服务，终身维修、维护、软件终身免费维护及升级。在质量保证期内设备运行发生故障时，</w:t>
      </w:r>
      <w:r>
        <w:rPr>
          <w:rFonts w:ascii="宋体" w:hAnsi="宋体" w:cs="宋体" w:eastAsia="宋体"/>
          <w:sz w:val="24"/>
          <w:color w:val="333333"/>
        </w:rPr>
        <w:t>成交供应商</w:t>
      </w:r>
      <w:r>
        <w:rPr>
          <w:rFonts w:ascii="宋体" w:hAnsi="宋体" w:cs="宋体" w:eastAsia="宋体"/>
          <w:sz w:val="24"/>
          <w:color w:val="333333"/>
        </w:rPr>
        <w:t>在接到采购人故障通知后</w:t>
      </w:r>
      <w:r>
        <w:rPr>
          <w:rFonts w:ascii="宋体" w:hAnsi="宋体" w:cs="宋体" w:eastAsia="宋体"/>
          <w:sz w:val="24"/>
          <w:color w:val="333333"/>
        </w:rPr>
        <w:t>2小时内应委派专业技术人员到现场免费提供咨询、维修和更换零部件等服务，并及时填写维修报告（包括故障原因、处理情况及采购人意见等）报采购人备案，若24小时内无法排除故障，则应先提供同档次备用产品供采购人使用，其中发生一切费用由</w:t>
      </w:r>
      <w:r>
        <w:rPr>
          <w:rFonts w:ascii="宋体" w:hAnsi="宋体" w:cs="宋体" w:eastAsia="宋体"/>
          <w:sz w:val="24"/>
          <w:color w:val="333333"/>
        </w:rPr>
        <w:t>成交供应商</w:t>
      </w:r>
      <w:r>
        <w:rPr>
          <w:rFonts w:ascii="宋体" w:hAnsi="宋体" w:cs="宋体" w:eastAsia="宋体"/>
          <w:sz w:val="24"/>
          <w:color w:val="333333"/>
        </w:rPr>
        <w:t>承担。质量保证期内</w:t>
      </w:r>
      <w:r>
        <w:rPr>
          <w:rFonts w:ascii="宋体" w:hAnsi="宋体" w:cs="宋体" w:eastAsia="宋体"/>
          <w:sz w:val="24"/>
          <w:color w:val="333333"/>
        </w:rPr>
        <w:t>成交供应商</w:t>
      </w:r>
      <w:r>
        <w:rPr>
          <w:rFonts w:ascii="宋体" w:hAnsi="宋体" w:cs="宋体" w:eastAsia="宋体"/>
          <w:sz w:val="24"/>
          <w:color w:val="333333"/>
        </w:rPr>
        <w:t>有责任对设备进行不定期的巡查检修，且</w:t>
      </w:r>
      <w:r>
        <w:rPr>
          <w:rFonts w:ascii="宋体" w:hAnsi="宋体" w:cs="宋体" w:eastAsia="宋体"/>
          <w:sz w:val="24"/>
          <w:color w:val="333333"/>
        </w:rPr>
        <w:t>成交供应商</w:t>
      </w:r>
      <w:r>
        <w:rPr>
          <w:rFonts w:ascii="宋体" w:hAnsi="宋体" w:cs="宋体" w:eastAsia="宋体"/>
          <w:sz w:val="24"/>
          <w:color w:val="333333"/>
        </w:rPr>
        <w:t>需每年为采购人机修人员免费进行至少一次的维修技术培训，质量保证期结束前一个月内</w:t>
      </w:r>
      <w:r>
        <w:rPr>
          <w:rFonts w:ascii="宋体" w:hAnsi="宋体" w:cs="宋体" w:eastAsia="宋体"/>
          <w:sz w:val="24"/>
          <w:color w:val="333333"/>
        </w:rPr>
        <w:t>成交供应商</w:t>
      </w:r>
      <w:r>
        <w:rPr>
          <w:rFonts w:ascii="宋体" w:hAnsi="宋体" w:cs="宋体" w:eastAsia="宋体"/>
          <w:sz w:val="24"/>
          <w:color w:val="333333"/>
        </w:rPr>
        <w:t>应负责对货物进行一次免费全面检查，如发现潜在问题，应负责排除，保证货物的正常运行。质量保证期外重复出现质量保证期出现的故障属免费保修范围。</w:t>
      </w:r>
    </w:p>
    <w:p>
      <w:pPr>
        <w:pStyle w:val="null3"/>
        <w:ind w:firstLine="480"/>
        <w:jc w:val="both"/>
      </w:pPr>
      <w:r>
        <w:rPr>
          <w:rFonts w:ascii="宋体" w:hAnsi="宋体" w:cs="宋体" w:eastAsia="宋体"/>
          <w:sz w:val="24"/>
          <w:color w:val="333333"/>
        </w:rPr>
        <w:t>(4)</w:t>
      </w:r>
      <w:r>
        <w:rPr>
          <w:rFonts w:ascii="宋体" w:hAnsi="宋体" w:cs="宋体" w:eastAsia="宋体"/>
          <w:sz w:val="24"/>
          <w:color w:val="333333"/>
        </w:rPr>
        <w:t>成交供应商</w:t>
      </w:r>
      <w:r>
        <w:rPr>
          <w:rFonts w:ascii="宋体" w:hAnsi="宋体" w:cs="宋体" w:eastAsia="宋体"/>
          <w:sz w:val="24"/>
          <w:color w:val="333333"/>
        </w:rPr>
        <w:t>应提供</w:t>
      </w:r>
      <w:r>
        <w:rPr>
          <w:rFonts w:ascii="宋体" w:hAnsi="宋体" w:cs="宋体" w:eastAsia="宋体"/>
          <w:sz w:val="24"/>
          <w:color w:val="333333"/>
        </w:rPr>
        <w:t>7*24小时电话响应服务。质量保证期内</w:t>
      </w:r>
      <w:r>
        <w:rPr>
          <w:rFonts w:ascii="宋体" w:hAnsi="宋体" w:cs="宋体" w:eastAsia="宋体"/>
          <w:sz w:val="24"/>
          <w:color w:val="333333"/>
        </w:rPr>
        <w:t>成交供应商</w:t>
      </w:r>
      <w:r>
        <w:rPr>
          <w:rFonts w:ascii="宋体" w:hAnsi="宋体" w:cs="宋体" w:eastAsia="宋体"/>
          <w:sz w:val="24"/>
          <w:color w:val="333333"/>
        </w:rPr>
        <w:t>有责任对设备进行不定期的巡查检修。</w:t>
      </w:r>
    </w:p>
    <w:p>
      <w:pPr>
        <w:pStyle w:val="null3"/>
        <w:ind w:firstLine="480"/>
        <w:jc w:val="both"/>
      </w:pPr>
      <w:r>
        <w:rPr>
          <w:rFonts w:ascii="宋体" w:hAnsi="宋体" w:cs="宋体" w:eastAsia="宋体"/>
          <w:sz w:val="24"/>
          <w:color w:val="333333"/>
        </w:rPr>
        <w:t>(5)在质量保证期内，</w:t>
      </w:r>
      <w:r>
        <w:rPr>
          <w:rFonts w:ascii="宋体" w:hAnsi="宋体" w:cs="宋体" w:eastAsia="宋体"/>
          <w:sz w:val="24"/>
          <w:color w:val="333333"/>
        </w:rPr>
        <w:t>成交供应商</w:t>
      </w:r>
      <w:r>
        <w:rPr>
          <w:rFonts w:ascii="宋体" w:hAnsi="宋体" w:cs="宋体" w:eastAsia="宋体"/>
          <w:sz w:val="24"/>
          <w:color w:val="333333"/>
        </w:rPr>
        <w:t>应结合设备安装、调试等阶段，同步地免费对采购人的技术人员就有关系统安装、维护、操作使用等方面进行现场技术培训，培训人数根据采购人提供的名单进行培训，使受训人员能熟练掌握所有的安装测试和维护方法以及操作命令的使用。</w:t>
      </w:r>
      <w:r>
        <w:rPr>
          <w:rFonts w:ascii="宋体" w:hAnsi="宋体" w:cs="宋体" w:eastAsia="宋体"/>
          <w:sz w:val="24"/>
          <w:color w:val="333333"/>
        </w:rPr>
        <w:t>成交供应商</w:t>
      </w:r>
      <w:r>
        <w:rPr>
          <w:rFonts w:ascii="宋体" w:hAnsi="宋体" w:cs="宋体" w:eastAsia="宋体"/>
          <w:sz w:val="24"/>
          <w:color w:val="333333"/>
        </w:rPr>
        <w:t>提供培训的，</w:t>
      </w:r>
      <w:r>
        <w:rPr>
          <w:rFonts w:ascii="宋体" w:hAnsi="宋体" w:cs="宋体" w:eastAsia="宋体"/>
          <w:sz w:val="24"/>
          <w:color w:val="333333"/>
        </w:rPr>
        <w:t>成交供应商</w:t>
      </w:r>
      <w:r>
        <w:rPr>
          <w:rFonts w:ascii="宋体" w:hAnsi="宋体" w:cs="宋体" w:eastAsia="宋体"/>
          <w:sz w:val="24"/>
          <w:color w:val="333333"/>
        </w:rPr>
        <w:t>应于货物安装、调试完毕</w:t>
      </w:r>
      <w:r>
        <w:rPr>
          <w:rFonts w:ascii="宋体" w:hAnsi="宋体" w:cs="宋体" w:eastAsia="宋体"/>
          <w:sz w:val="24"/>
          <w:color w:val="333333"/>
        </w:rPr>
        <w:t>5日内，提供现场操作、维护培训服务，按采购人提供的名单每月进行次培训，达到全校专职教师熟练操作为止，</w:t>
      </w:r>
      <w:r>
        <w:rPr>
          <w:rFonts w:ascii="宋体" w:hAnsi="宋体" w:cs="宋体" w:eastAsia="宋体"/>
          <w:sz w:val="24"/>
          <w:color w:val="333333"/>
        </w:rPr>
        <w:t>成交供应商</w:t>
      </w:r>
      <w:r>
        <w:rPr>
          <w:rFonts w:ascii="宋体" w:hAnsi="宋体" w:cs="宋体" w:eastAsia="宋体"/>
          <w:sz w:val="24"/>
          <w:color w:val="333333"/>
        </w:rPr>
        <w:t>要安排</w:t>
      </w:r>
      <w:r>
        <w:rPr>
          <w:rFonts w:ascii="宋体" w:hAnsi="宋体" w:cs="宋体" w:eastAsia="宋体"/>
          <w:sz w:val="24"/>
          <w:color w:val="333333"/>
        </w:rPr>
        <w:t>1名技术培训人员进驻校内维护及解决教师使用出现的问题。</w:t>
      </w:r>
      <w:r>
        <w:rPr>
          <w:rFonts w:ascii="宋体" w:hAnsi="宋体" w:cs="宋体" w:eastAsia="宋体"/>
          <w:sz w:val="24"/>
          <w:color w:val="333333"/>
        </w:rPr>
        <w:t>成交供应商</w:t>
      </w:r>
      <w:r>
        <w:rPr>
          <w:rFonts w:ascii="宋体" w:hAnsi="宋体" w:cs="宋体" w:eastAsia="宋体"/>
          <w:sz w:val="24"/>
          <w:color w:val="333333"/>
        </w:rPr>
        <w:t>需要制定详细的教师使用操作手册，后期新入职教师可以根据操作手册快速掌握智慧教室功能使用。</w:t>
      </w:r>
    </w:p>
    <w:p>
      <w:pPr>
        <w:pStyle w:val="null3"/>
        <w:ind w:firstLine="480"/>
        <w:jc w:val="both"/>
      </w:pPr>
      <w:r>
        <w:rPr>
          <w:rFonts w:ascii="宋体" w:hAnsi="宋体" w:cs="宋体" w:eastAsia="宋体"/>
          <w:sz w:val="24"/>
          <w:color w:val="333333"/>
        </w:rPr>
        <w:t>(6)在质量保证期内所有设备的检定或校准费用均由</w:t>
      </w:r>
      <w:r>
        <w:rPr>
          <w:rFonts w:ascii="宋体" w:hAnsi="宋体" w:cs="宋体" w:eastAsia="宋体"/>
          <w:sz w:val="24"/>
          <w:color w:val="333333"/>
        </w:rPr>
        <w:t>成交供应商</w:t>
      </w:r>
      <w:r>
        <w:rPr>
          <w:rFonts w:ascii="宋体" w:hAnsi="宋体" w:cs="宋体" w:eastAsia="宋体"/>
          <w:sz w:val="24"/>
          <w:color w:val="333333"/>
        </w:rPr>
        <w:t>承担。</w:t>
      </w:r>
    </w:p>
    <w:p>
      <w:pPr>
        <w:pStyle w:val="null3"/>
        <w:ind w:firstLine="480"/>
        <w:jc w:val="both"/>
      </w:pPr>
      <w:r>
        <w:rPr>
          <w:rFonts w:ascii="宋体" w:hAnsi="宋体" w:cs="宋体" w:eastAsia="宋体"/>
          <w:sz w:val="24"/>
          <w:color w:val="333333"/>
        </w:rPr>
        <w:t>(7)</w:t>
      </w:r>
      <w:r>
        <w:rPr>
          <w:rFonts w:ascii="宋体" w:hAnsi="宋体" w:cs="宋体" w:eastAsia="宋体"/>
          <w:sz w:val="24"/>
          <w:color w:val="333333"/>
        </w:rPr>
        <w:t>成交供应商</w:t>
      </w:r>
      <w:r>
        <w:rPr>
          <w:rFonts w:ascii="宋体" w:hAnsi="宋体" w:cs="宋体" w:eastAsia="宋体"/>
          <w:sz w:val="24"/>
          <w:color w:val="333333"/>
        </w:rPr>
        <w:t>长期储备和提供必要的备品配件，以满足售后要求：若</w:t>
      </w:r>
      <w:r>
        <w:rPr>
          <w:rFonts w:ascii="宋体" w:hAnsi="宋体" w:cs="宋体" w:eastAsia="宋体"/>
          <w:sz w:val="24"/>
          <w:color w:val="333333"/>
        </w:rPr>
        <w:t>24小时内无法排除故障，则先提供同档次备用产品供采购人使用。</w:t>
      </w:r>
    </w:p>
    <w:p>
      <w:pPr>
        <w:pStyle w:val="null3"/>
        <w:ind w:firstLine="480"/>
        <w:jc w:val="both"/>
      </w:pPr>
      <w:r>
        <w:rPr>
          <w:rFonts w:ascii="宋体" w:hAnsi="宋体" w:cs="宋体" w:eastAsia="宋体"/>
          <w:sz w:val="24"/>
          <w:color w:val="333333"/>
        </w:rPr>
        <w:t>10.3商品安全责任</w:t>
      </w:r>
    </w:p>
    <w:p>
      <w:pPr>
        <w:pStyle w:val="null3"/>
        <w:ind w:firstLine="480"/>
        <w:jc w:val="both"/>
      </w:pPr>
      <w:r>
        <w:rPr>
          <w:rFonts w:ascii="宋体" w:hAnsi="宋体" w:cs="宋体" w:eastAsia="宋体"/>
          <w:sz w:val="24"/>
          <w:color w:val="333333"/>
        </w:rPr>
        <w:t>商品安全责任应按照法律法规和招标文件的规定执行。</w:t>
      </w:r>
    </w:p>
    <w:p>
      <w:pPr>
        <w:pStyle w:val="null3"/>
        <w:ind w:firstLine="480"/>
        <w:jc w:val="left"/>
      </w:pPr>
      <w:r>
        <w:rPr>
          <w:rFonts w:ascii="宋体" w:hAnsi="宋体" w:cs="宋体" w:eastAsia="宋体"/>
          <w:sz w:val="24"/>
          <w:b/>
          <w:color w:val="000000"/>
        </w:rPr>
        <w:t>11、不可抗力：</w:t>
      </w:r>
    </w:p>
    <w:p>
      <w:pPr>
        <w:pStyle w:val="null3"/>
        <w:ind w:firstLine="480"/>
        <w:jc w:val="both"/>
      </w:pPr>
      <w:r>
        <w:rPr>
          <w:rFonts w:ascii="宋体" w:hAnsi="宋体" w:cs="宋体" w:eastAsia="宋体"/>
          <w:sz w:val="24"/>
          <w:color w:val="333333"/>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ind w:firstLine="480"/>
        <w:jc w:val="left"/>
      </w:pPr>
      <w:r>
        <w:rPr>
          <w:rFonts w:ascii="宋体" w:hAnsi="宋体" w:cs="宋体" w:eastAsia="宋体"/>
          <w:sz w:val="24"/>
          <w:b/>
          <w:color w:val="000000"/>
        </w:rPr>
        <w:t>12、保密条款：</w:t>
      </w:r>
    </w:p>
    <w:p>
      <w:pPr>
        <w:pStyle w:val="null3"/>
        <w:ind w:firstLine="480"/>
        <w:jc w:val="both"/>
      </w:pPr>
      <w:r>
        <w:rPr>
          <w:rFonts w:ascii="宋体" w:hAnsi="宋体" w:cs="宋体" w:eastAsia="宋体"/>
          <w:sz w:val="24"/>
          <w:color w:val="333333"/>
        </w:rPr>
        <w:t>12.1对于在采购和合同履行过程中所获悉的属于保密的内容，双方均负有保密义务。</w:t>
      </w:r>
    </w:p>
    <w:p>
      <w:pPr>
        <w:pStyle w:val="null3"/>
        <w:ind w:firstLine="480"/>
        <w:jc w:val="both"/>
      </w:pPr>
      <w:r>
        <w:rPr>
          <w:rFonts w:ascii="宋体" w:hAnsi="宋体" w:cs="宋体" w:eastAsia="宋体"/>
          <w:sz w:val="24"/>
          <w:color w:val="333333"/>
        </w:rPr>
        <w:t>12.2其他</w:t>
      </w:r>
    </w:p>
    <w:p>
      <w:pPr>
        <w:pStyle w:val="null3"/>
        <w:ind w:firstLine="480"/>
        <w:jc w:val="both"/>
      </w:pPr>
      <w:r>
        <w:rPr>
          <w:rFonts w:ascii="宋体" w:hAnsi="宋体" w:cs="宋体" w:eastAsia="宋体"/>
          <w:sz w:val="24"/>
          <w:color w:val="333333"/>
        </w:rPr>
        <w:t>12.2.1未经采购人事先书面同意，</w:t>
      </w:r>
      <w:r>
        <w:rPr>
          <w:rFonts w:ascii="宋体" w:hAnsi="宋体" w:cs="宋体" w:eastAsia="宋体"/>
          <w:sz w:val="24"/>
          <w:color w:val="333333"/>
        </w:rPr>
        <w:t>成交供应商</w:t>
      </w:r>
      <w:r>
        <w:rPr>
          <w:rFonts w:ascii="宋体" w:hAnsi="宋体" w:cs="宋体" w:eastAsia="宋体"/>
          <w:sz w:val="24"/>
          <w:color w:val="333333"/>
        </w:rPr>
        <w:t>不得将由采购人为本合同提供的条文、规格、计划、资料提供给与本合同无关的任何第三方，不得将其用于履行本合同之外的其它用途。即使向与履行本合同有关的人员提供，也应注意保密并限于履行合同所必需的范围。</w:t>
      </w:r>
    </w:p>
    <w:p>
      <w:pPr>
        <w:pStyle w:val="null3"/>
        <w:ind w:firstLine="480"/>
        <w:jc w:val="both"/>
      </w:pPr>
      <w:r>
        <w:rPr>
          <w:rFonts w:ascii="宋体" w:hAnsi="宋体" w:cs="宋体" w:eastAsia="宋体"/>
          <w:sz w:val="24"/>
          <w:color w:val="333333"/>
        </w:rPr>
        <w:t>12.2.2除了合同本身之外，上款所列举的任何物件均是采购人的财产。如果采购人有要求，</w:t>
      </w:r>
      <w:r>
        <w:rPr>
          <w:rFonts w:ascii="宋体" w:hAnsi="宋体" w:cs="宋体" w:eastAsia="宋体"/>
          <w:sz w:val="24"/>
          <w:color w:val="333333"/>
        </w:rPr>
        <w:t>成交供应商</w:t>
      </w:r>
      <w:r>
        <w:rPr>
          <w:rFonts w:ascii="宋体" w:hAnsi="宋体" w:cs="宋体" w:eastAsia="宋体"/>
          <w:sz w:val="24"/>
          <w:color w:val="333333"/>
        </w:rPr>
        <w:t>在收到采购人的要求后</w:t>
      </w:r>
      <w:r>
        <w:rPr>
          <w:rFonts w:ascii="宋体" w:hAnsi="宋体" w:cs="宋体" w:eastAsia="宋体"/>
          <w:sz w:val="24"/>
          <w:color w:val="333333"/>
        </w:rPr>
        <w:t>10日内应将这些物件及全部复制件还给采购人，不得留存任何备份。</w:t>
      </w:r>
    </w:p>
    <w:p>
      <w:pPr>
        <w:pStyle w:val="null3"/>
        <w:ind w:firstLine="480"/>
        <w:jc w:val="both"/>
      </w:pPr>
      <w:r>
        <w:rPr>
          <w:rFonts w:ascii="宋体" w:hAnsi="宋体" w:cs="宋体" w:eastAsia="宋体"/>
          <w:sz w:val="24"/>
          <w:color w:val="333333"/>
        </w:rPr>
        <w:t>12.2.3</w:t>
      </w:r>
      <w:r>
        <w:rPr>
          <w:rFonts w:ascii="宋体" w:hAnsi="宋体" w:cs="宋体" w:eastAsia="宋体"/>
          <w:sz w:val="24"/>
          <w:color w:val="333333"/>
        </w:rPr>
        <w:t>成交供应商</w:t>
      </w:r>
      <w:r>
        <w:rPr>
          <w:rFonts w:ascii="宋体" w:hAnsi="宋体" w:cs="宋体" w:eastAsia="宋体"/>
          <w:sz w:val="24"/>
          <w:color w:val="333333"/>
        </w:rPr>
        <w:t>违反本保密条款的，应支付合同总金额</w:t>
      </w:r>
      <w:r>
        <w:rPr>
          <w:rFonts w:ascii="宋体" w:hAnsi="宋体" w:cs="宋体" w:eastAsia="宋体"/>
          <w:sz w:val="24"/>
          <w:color w:val="333333"/>
        </w:rPr>
        <w:t>5%的违约金，并赔偿由此给采购人造成的任何损失。本条款在本合同履行期间至履行结束后均有效。</w:t>
      </w:r>
    </w:p>
    <w:p>
      <w:pPr>
        <w:pStyle w:val="null3"/>
        <w:ind w:firstLine="480"/>
        <w:jc w:val="left"/>
      </w:pPr>
      <w:r>
        <w:rPr>
          <w:rFonts w:ascii="宋体" w:hAnsi="宋体" w:cs="宋体" w:eastAsia="宋体"/>
          <w:sz w:val="24"/>
          <w:b/>
          <w:color w:val="000000"/>
        </w:rPr>
        <w:t>13、专利权及知识产权：</w:t>
      </w:r>
    </w:p>
    <w:p>
      <w:pPr>
        <w:pStyle w:val="null3"/>
        <w:ind w:firstLine="480"/>
        <w:jc w:val="left"/>
      </w:pPr>
      <w:r>
        <w:rPr>
          <w:rFonts w:ascii="宋体" w:hAnsi="宋体" w:cs="宋体" w:eastAsia="宋体"/>
          <w:sz w:val="24"/>
          <w:color w:val="000000"/>
        </w:rPr>
        <w:t>成交供应商</w:t>
      </w:r>
      <w:r>
        <w:rPr>
          <w:rFonts w:ascii="宋体" w:hAnsi="宋体" w:cs="宋体" w:eastAsia="宋体"/>
          <w:sz w:val="24"/>
          <w:color w:val="000000"/>
        </w:rPr>
        <w:t>须保障采购人在使用该服务或其任何一部分时不受到第三方关于侵犯专利权、商标权或工业设计权等知识产权的指控。如果任何第三方提出侵权指控与采购人无关，</w:t>
      </w:r>
      <w:r>
        <w:rPr>
          <w:rFonts w:ascii="宋体" w:hAnsi="宋体" w:cs="宋体" w:eastAsia="宋体"/>
          <w:sz w:val="24"/>
          <w:color w:val="000000"/>
        </w:rPr>
        <w:t>成交供应商</w:t>
      </w:r>
      <w:r>
        <w:rPr>
          <w:rFonts w:ascii="宋体" w:hAnsi="宋体" w:cs="宋体" w:eastAsia="宋体"/>
          <w:sz w:val="24"/>
          <w:color w:val="000000"/>
        </w:rPr>
        <w:t>须与第三方交涉并承担可能发生的责任与一切费用。如采购人因此而遭致损失的，</w:t>
      </w:r>
      <w:r>
        <w:rPr>
          <w:rFonts w:ascii="宋体" w:hAnsi="宋体" w:cs="宋体" w:eastAsia="宋体"/>
          <w:sz w:val="24"/>
          <w:color w:val="000000"/>
        </w:rPr>
        <w:t>成交供应商</w:t>
      </w:r>
      <w:r>
        <w:rPr>
          <w:rFonts w:ascii="宋体" w:hAnsi="宋体" w:cs="宋体" w:eastAsia="宋体"/>
          <w:sz w:val="24"/>
          <w:color w:val="000000"/>
        </w:rPr>
        <w:t>应赔偿该损失。</w:t>
      </w:r>
    </w:p>
    <w:p>
      <w:pPr>
        <w:pStyle w:val="null3"/>
        <w:ind w:firstLine="480"/>
        <w:jc w:val="both"/>
      </w:pPr>
      <w:r>
        <w:rPr>
          <w:rFonts w:ascii="宋体" w:hAnsi="宋体" w:cs="宋体" w:eastAsia="宋体"/>
          <w:sz w:val="24"/>
          <w:b/>
          <w:color w:val="333333"/>
        </w:rPr>
        <w:t>14、合同其他条款：</w:t>
      </w:r>
    </w:p>
    <w:p>
      <w:pPr>
        <w:pStyle w:val="null3"/>
        <w:ind w:firstLine="480"/>
        <w:jc w:val="both"/>
      </w:pPr>
      <w:r>
        <w:rPr>
          <w:rFonts w:ascii="宋体" w:hAnsi="宋体" w:cs="宋体" w:eastAsia="宋体"/>
          <w:sz w:val="24"/>
          <w:color w:val="333333"/>
        </w:rPr>
        <w:t>14.1产权与风险转移合同标的产权与风险转移遵守如下约定：</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1）</w:t>
      </w:r>
      <w:r>
        <w:rPr>
          <w:rFonts w:ascii="宋体" w:hAnsi="宋体" w:cs="宋体" w:eastAsia="宋体"/>
          <w:sz w:val="24"/>
          <w:color w:val="333333"/>
        </w:rPr>
        <w:t>成交供应商</w:t>
      </w:r>
      <w:r>
        <w:rPr>
          <w:rFonts w:ascii="宋体" w:hAnsi="宋体" w:cs="宋体" w:eastAsia="宋体"/>
          <w:sz w:val="24"/>
          <w:color w:val="333333"/>
        </w:rPr>
        <w:t>交由承运人运输的在途货物，毁损、灭失的风险由</w:t>
      </w:r>
      <w:r>
        <w:rPr>
          <w:rFonts w:ascii="宋体" w:hAnsi="宋体" w:cs="宋体" w:eastAsia="宋体"/>
          <w:sz w:val="24"/>
          <w:color w:val="333333"/>
        </w:rPr>
        <w:t>成交供应商</w:t>
      </w:r>
      <w:r>
        <w:rPr>
          <w:rFonts w:ascii="宋体" w:hAnsi="宋体" w:cs="宋体" w:eastAsia="宋体"/>
          <w:sz w:val="24"/>
          <w:color w:val="333333"/>
        </w:rPr>
        <w:t>承担。</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2）货物的产权以及损坏、灭失的风险在货物通过验收并交付使用前归属于</w:t>
      </w:r>
      <w:r>
        <w:rPr>
          <w:rFonts w:ascii="宋体" w:hAnsi="宋体" w:cs="宋体" w:eastAsia="宋体"/>
          <w:sz w:val="24"/>
          <w:color w:val="333333"/>
        </w:rPr>
        <w:t>成交供应商</w:t>
      </w:r>
      <w:r>
        <w:rPr>
          <w:rFonts w:ascii="宋体" w:hAnsi="宋体" w:cs="宋体" w:eastAsia="宋体"/>
          <w:sz w:val="24"/>
          <w:color w:val="333333"/>
        </w:rPr>
        <w:t>，在货物通过验收并交付使用时起由</w:t>
      </w:r>
      <w:r>
        <w:rPr>
          <w:rFonts w:ascii="宋体" w:hAnsi="宋体" w:cs="宋体" w:eastAsia="宋体"/>
          <w:sz w:val="24"/>
          <w:color w:val="333333"/>
        </w:rPr>
        <w:t>成交供应商</w:t>
      </w:r>
      <w:r>
        <w:rPr>
          <w:rFonts w:ascii="宋体" w:hAnsi="宋体" w:cs="宋体" w:eastAsia="宋体"/>
          <w:sz w:val="24"/>
          <w:color w:val="333333"/>
        </w:rPr>
        <w:t>转移至采购人。</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3）产权和风险的转移，不影响因</w:t>
      </w:r>
      <w:r>
        <w:rPr>
          <w:rFonts w:ascii="宋体" w:hAnsi="宋体" w:cs="宋体" w:eastAsia="宋体"/>
          <w:sz w:val="24"/>
          <w:color w:val="333333"/>
        </w:rPr>
        <w:t>成交供应商</w:t>
      </w:r>
      <w:r>
        <w:rPr>
          <w:rFonts w:ascii="宋体" w:hAnsi="宋体" w:cs="宋体" w:eastAsia="宋体"/>
          <w:sz w:val="24"/>
          <w:color w:val="333333"/>
        </w:rPr>
        <w:t>履行义务不符合约定，采购人要求其承担违约责任的权利。</w:t>
      </w:r>
    </w:p>
    <w:p>
      <w:pPr>
        <w:pStyle w:val="null3"/>
        <w:ind w:firstLine="480"/>
        <w:jc w:val="both"/>
      </w:pPr>
      <w:r>
        <w:rPr>
          <w:rFonts w:ascii="宋体" w:hAnsi="宋体" w:cs="宋体" w:eastAsia="宋体"/>
          <w:sz w:val="24"/>
          <w:color w:val="333333"/>
        </w:rPr>
        <w:t>14.2保险:</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1）合同终止</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2）合同自然终止</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3）甲乙双方各自完成合同规定的责任和义务，合同自然终止。</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4）产品发生重大质量事故。</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5）产品批准文号被吊销。</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6）财政部门款项不到位。</w:t>
      </w:r>
    </w:p>
    <w:p>
      <w:pPr>
        <w:pStyle w:val="null3"/>
        <w:ind w:firstLine="480"/>
        <w:jc w:val="both"/>
      </w:pPr>
      <w:r>
        <w:rPr>
          <w:rFonts w:ascii="宋体" w:hAnsi="宋体" w:cs="宋体" w:eastAsia="宋体"/>
          <w:sz w:val="24"/>
          <w:color w:val="333333"/>
        </w:rPr>
        <w:t>（</w:t>
      </w:r>
      <w:r>
        <w:rPr>
          <w:rFonts w:ascii="宋体" w:hAnsi="宋体" w:cs="宋体" w:eastAsia="宋体"/>
          <w:sz w:val="24"/>
          <w:color w:val="333333"/>
        </w:rPr>
        <w:t>7）国家政策发生改变。</w:t>
      </w:r>
    </w:p>
    <w:p>
      <w:pPr>
        <w:pStyle w:val="null3"/>
        <w:ind w:firstLine="480"/>
        <w:jc w:val="both"/>
      </w:pPr>
      <w:r>
        <w:rPr>
          <w:rFonts w:ascii="宋体" w:hAnsi="宋体" w:cs="宋体" w:eastAsia="宋体"/>
          <w:sz w:val="24"/>
          <w:color w:val="333333"/>
        </w:rPr>
        <w:t>因上述（</w:t>
      </w:r>
      <w:r>
        <w:rPr>
          <w:rFonts w:ascii="宋体" w:hAnsi="宋体" w:cs="宋体" w:eastAsia="宋体"/>
          <w:sz w:val="24"/>
          <w:color w:val="333333"/>
        </w:rPr>
        <w:t>4）、（5）款致使合同终止的，</w:t>
      </w:r>
      <w:r>
        <w:rPr>
          <w:rFonts w:ascii="宋体" w:hAnsi="宋体" w:cs="宋体" w:eastAsia="宋体"/>
          <w:sz w:val="24"/>
          <w:color w:val="333333"/>
        </w:rPr>
        <w:t>成交供应商</w:t>
      </w:r>
      <w:r>
        <w:rPr>
          <w:rFonts w:ascii="宋体" w:hAnsi="宋体" w:cs="宋体" w:eastAsia="宋体"/>
          <w:sz w:val="24"/>
          <w:color w:val="333333"/>
        </w:rPr>
        <w:t>应承担相应责任。因上述（</w:t>
      </w:r>
      <w:r>
        <w:rPr>
          <w:rFonts w:ascii="宋体" w:hAnsi="宋体" w:cs="宋体" w:eastAsia="宋体"/>
          <w:sz w:val="24"/>
          <w:color w:val="333333"/>
        </w:rPr>
        <w:t>6）、（7）款致使合同终止的，双方均不负任何责任。</w:t>
      </w:r>
    </w:p>
    <w:p>
      <w:pPr>
        <w:pStyle w:val="null3"/>
        <w:ind w:firstLine="480"/>
        <w:jc w:val="both"/>
      </w:pPr>
      <w:r>
        <w:rPr>
          <w:rFonts w:ascii="宋体" w:hAnsi="宋体" w:cs="宋体" w:eastAsia="宋体"/>
          <w:sz w:val="24"/>
          <w:color w:val="333333"/>
        </w:rPr>
        <w:t>14.3违约违规终止合同</w:t>
      </w:r>
    </w:p>
    <w:p>
      <w:pPr>
        <w:pStyle w:val="null3"/>
        <w:ind w:firstLine="480"/>
        <w:jc w:val="both"/>
      </w:pPr>
      <w:r>
        <w:rPr>
          <w:rFonts w:ascii="宋体" w:hAnsi="宋体" w:cs="宋体" w:eastAsia="宋体"/>
          <w:sz w:val="24"/>
          <w:color w:val="333333"/>
        </w:rPr>
        <w:t>若</w:t>
      </w:r>
      <w:r>
        <w:rPr>
          <w:rFonts w:ascii="宋体" w:hAnsi="宋体" w:cs="宋体" w:eastAsia="宋体"/>
          <w:sz w:val="24"/>
          <w:color w:val="333333"/>
        </w:rPr>
        <w:t>成交供应商</w:t>
      </w:r>
      <w:r>
        <w:rPr>
          <w:rFonts w:ascii="宋体" w:hAnsi="宋体" w:cs="宋体" w:eastAsia="宋体"/>
          <w:sz w:val="24"/>
          <w:color w:val="333333"/>
        </w:rPr>
        <w:t>存在下列违约情形，在采购人对</w:t>
      </w:r>
      <w:r>
        <w:rPr>
          <w:rFonts w:ascii="宋体" w:hAnsi="宋体" w:cs="宋体" w:eastAsia="宋体"/>
          <w:sz w:val="24"/>
          <w:color w:val="333333"/>
        </w:rPr>
        <w:t>成交供应商</w:t>
      </w:r>
      <w:r>
        <w:rPr>
          <w:rFonts w:ascii="宋体" w:hAnsi="宋体" w:cs="宋体" w:eastAsia="宋体"/>
          <w:sz w:val="24"/>
          <w:color w:val="333333"/>
        </w:rPr>
        <w:t>违约而采取的任何补救措施不受影响的情况下，采购人还可向</w:t>
      </w:r>
      <w:r>
        <w:rPr>
          <w:rFonts w:ascii="宋体" w:hAnsi="宋体" w:cs="宋体" w:eastAsia="宋体"/>
          <w:sz w:val="24"/>
          <w:color w:val="333333"/>
        </w:rPr>
        <w:t>成交供应商</w:t>
      </w:r>
      <w:r>
        <w:rPr>
          <w:rFonts w:ascii="宋体" w:hAnsi="宋体" w:cs="宋体" w:eastAsia="宋体"/>
          <w:sz w:val="24"/>
          <w:color w:val="333333"/>
        </w:rPr>
        <w:t>发出书面的违约通知书，单方终止部分或全部合同：</w:t>
      </w:r>
    </w:p>
    <w:p>
      <w:pPr>
        <w:pStyle w:val="null3"/>
        <w:ind w:firstLine="480"/>
        <w:jc w:val="both"/>
      </w:pPr>
      <w:r>
        <w:rPr>
          <w:rFonts w:ascii="宋体" w:hAnsi="宋体" w:cs="宋体" w:eastAsia="宋体"/>
          <w:sz w:val="24"/>
          <w:color w:val="333333"/>
        </w:rPr>
        <w:t>(1）如果</w:t>
      </w:r>
      <w:r>
        <w:rPr>
          <w:rFonts w:ascii="宋体" w:hAnsi="宋体" w:cs="宋体" w:eastAsia="宋体"/>
          <w:sz w:val="24"/>
          <w:color w:val="333333"/>
        </w:rPr>
        <w:t>成交供应商</w:t>
      </w:r>
      <w:r>
        <w:rPr>
          <w:rFonts w:ascii="宋体" w:hAnsi="宋体" w:cs="宋体" w:eastAsia="宋体"/>
          <w:sz w:val="24"/>
          <w:color w:val="333333"/>
        </w:rPr>
        <w:t>未能在合同规定的期限内提供货物（参见有关逾期交货的条款）；</w:t>
      </w:r>
    </w:p>
    <w:p>
      <w:pPr>
        <w:pStyle w:val="null3"/>
        <w:ind w:firstLine="480"/>
        <w:jc w:val="both"/>
      </w:pPr>
      <w:r>
        <w:rPr>
          <w:rFonts w:ascii="宋体" w:hAnsi="宋体" w:cs="宋体" w:eastAsia="宋体"/>
          <w:sz w:val="24"/>
          <w:color w:val="333333"/>
        </w:rPr>
        <w:t>(2)如果</w:t>
      </w:r>
      <w:r>
        <w:rPr>
          <w:rFonts w:ascii="宋体" w:hAnsi="宋体" w:cs="宋体" w:eastAsia="宋体"/>
          <w:sz w:val="24"/>
          <w:color w:val="333333"/>
        </w:rPr>
        <w:t>成交供应商</w:t>
      </w:r>
      <w:r>
        <w:rPr>
          <w:rFonts w:ascii="宋体" w:hAnsi="宋体" w:cs="宋体" w:eastAsia="宋体"/>
          <w:sz w:val="24"/>
          <w:color w:val="333333"/>
        </w:rPr>
        <w:t>未能履行合同规定的其它任何义务，经一次书面催告后</w:t>
      </w:r>
      <w:r>
        <w:rPr>
          <w:rFonts w:ascii="宋体" w:hAnsi="宋体" w:cs="宋体" w:eastAsia="宋体"/>
          <w:sz w:val="24"/>
          <w:color w:val="333333"/>
        </w:rPr>
        <w:t>5天内还是未能履行的；</w:t>
      </w:r>
    </w:p>
    <w:p>
      <w:pPr>
        <w:pStyle w:val="null3"/>
        <w:ind w:firstLine="480"/>
        <w:jc w:val="both"/>
      </w:pPr>
      <w:r>
        <w:rPr>
          <w:rFonts w:ascii="宋体" w:hAnsi="宋体" w:cs="宋体" w:eastAsia="宋体"/>
          <w:sz w:val="24"/>
          <w:color w:val="333333"/>
        </w:rPr>
        <w:t>(3)因产品质量原因导致合同无法继续履行（参见有关质量缺陷条款）。</w:t>
      </w:r>
    </w:p>
    <w:p>
      <w:pPr>
        <w:pStyle w:val="null3"/>
        <w:ind w:firstLine="480"/>
        <w:jc w:val="both"/>
      </w:pPr>
      <w:r>
        <w:rPr>
          <w:rFonts w:ascii="宋体" w:hAnsi="宋体" w:cs="宋体" w:eastAsia="宋体"/>
          <w:sz w:val="24"/>
          <w:color w:val="333333"/>
        </w:rPr>
        <w:t>14.4如果</w:t>
      </w:r>
      <w:r>
        <w:rPr>
          <w:rFonts w:ascii="宋体" w:hAnsi="宋体" w:cs="宋体" w:eastAsia="宋体"/>
          <w:sz w:val="24"/>
          <w:color w:val="333333"/>
        </w:rPr>
        <w:t>成交供应商</w:t>
      </w:r>
      <w:r>
        <w:rPr>
          <w:rFonts w:ascii="宋体" w:hAnsi="宋体" w:cs="宋体" w:eastAsia="宋体"/>
          <w:sz w:val="24"/>
          <w:color w:val="333333"/>
        </w:rPr>
        <w:t>在本合同的投标竞争和实施过程中有违反有关政府采购的法律、法规，用不正当手段影响采购人采购过程，包括谎报或隐瞒事实、损害采购人利益、干扰采购人、评委、采购人的招标、评标等行为的，本合同无效，给采购人造成损失的，应承担损害赔偿责任。</w:t>
      </w:r>
      <w:r>
        <w:rPr>
          <w:rFonts w:ascii="宋体" w:hAnsi="宋体" w:cs="宋体" w:eastAsia="宋体"/>
          <w:sz w:val="24"/>
          <w:color w:val="333333"/>
        </w:rPr>
        <w:t xml:space="preserve">  </w:t>
      </w:r>
    </w:p>
    <w:p>
      <w:pPr>
        <w:pStyle w:val="null3"/>
        <w:ind w:firstLine="480"/>
        <w:jc w:val="both"/>
      </w:pPr>
      <w:r>
        <w:rPr>
          <w:rFonts w:ascii="宋体" w:hAnsi="宋体" w:cs="宋体" w:eastAsia="宋体"/>
          <w:sz w:val="24"/>
          <w:color w:val="333333"/>
        </w:rPr>
        <w:t>14.5因</w:t>
      </w:r>
      <w:r>
        <w:rPr>
          <w:rFonts w:ascii="宋体" w:hAnsi="宋体" w:cs="宋体" w:eastAsia="宋体"/>
          <w:sz w:val="24"/>
          <w:color w:val="333333"/>
        </w:rPr>
        <w:t>成交供应商</w:t>
      </w:r>
      <w:r>
        <w:rPr>
          <w:rFonts w:ascii="宋体" w:hAnsi="宋体" w:cs="宋体" w:eastAsia="宋体"/>
          <w:sz w:val="24"/>
          <w:color w:val="333333"/>
        </w:rPr>
        <w:t>破产而终止合同</w:t>
      </w:r>
    </w:p>
    <w:p>
      <w:pPr>
        <w:pStyle w:val="null3"/>
        <w:ind w:firstLine="480"/>
        <w:jc w:val="both"/>
      </w:pPr>
      <w:r>
        <w:rPr>
          <w:rFonts w:ascii="宋体" w:hAnsi="宋体" w:cs="宋体" w:eastAsia="宋体"/>
          <w:sz w:val="24"/>
          <w:color w:val="333333"/>
        </w:rPr>
        <w:t>如果</w:t>
      </w:r>
      <w:r>
        <w:rPr>
          <w:rFonts w:ascii="宋体" w:hAnsi="宋体" w:cs="宋体" w:eastAsia="宋体"/>
          <w:sz w:val="24"/>
          <w:color w:val="333333"/>
        </w:rPr>
        <w:t>成交供应商</w:t>
      </w:r>
      <w:r>
        <w:rPr>
          <w:rFonts w:ascii="宋体" w:hAnsi="宋体" w:cs="宋体" w:eastAsia="宋体"/>
          <w:sz w:val="24"/>
          <w:color w:val="333333"/>
        </w:rPr>
        <w:t>破产或无清偿能力，采购人可在任何时候以书面形式通知</w:t>
      </w:r>
      <w:r>
        <w:rPr>
          <w:rFonts w:ascii="宋体" w:hAnsi="宋体" w:cs="宋体" w:eastAsia="宋体"/>
          <w:sz w:val="24"/>
          <w:color w:val="333333"/>
        </w:rPr>
        <w:t>成交供应商</w:t>
      </w:r>
      <w:r>
        <w:rPr>
          <w:rFonts w:ascii="宋体" w:hAnsi="宋体" w:cs="宋体" w:eastAsia="宋体"/>
          <w:sz w:val="24"/>
          <w:color w:val="333333"/>
        </w:rPr>
        <w:t>，提出终止合同而不给</w:t>
      </w:r>
      <w:r>
        <w:rPr>
          <w:rFonts w:ascii="宋体" w:hAnsi="宋体" w:cs="宋体" w:eastAsia="宋体"/>
          <w:sz w:val="24"/>
          <w:color w:val="333333"/>
        </w:rPr>
        <w:t>成交供应商</w:t>
      </w:r>
      <w:r>
        <w:rPr>
          <w:rFonts w:ascii="宋体" w:hAnsi="宋体" w:cs="宋体" w:eastAsia="宋体"/>
          <w:sz w:val="24"/>
          <w:color w:val="333333"/>
        </w:rPr>
        <w:t>补偿。该合同的终止将不损害或影响采购人已经采取或将要采取的任何行动或补救措施的权力。</w:t>
      </w:r>
    </w:p>
    <w:p>
      <w:pPr>
        <w:pStyle w:val="null3"/>
        <w:ind w:firstLine="480"/>
        <w:jc w:val="left"/>
      </w:pPr>
      <w:r>
        <w:rPr>
          <w:rFonts w:ascii="宋体" w:hAnsi="宋体" w:cs="宋体" w:eastAsia="宋体"/>
          <w:sz w:val="24"/>
          <w:b/>
        </w:rPr>
        <w:t>1</w:t>
      </w:r>
      <w:r>
        <w:rPr>
          <w:rFonts w:ascii="宋体" w:hAnsi="宋体" w:cs="宋体" w:eastAsia="宋体"/>
          <w:sz w:val="24"/>
          <w:b/>
        </w:rPr>
        <w:t>5</w:t>
      </w:r>
      <w:r>
        <w:rPr>
          <w:rFonts w:ascii="宋体" w:hAnsi="宋体" w:cs="宋体" w:eastAsia="宋体"/>
          <w:sz w:val="24"/>
          <w:b/>
        </w:rPr>
        <w:t>、解决争议的方法：</w:t>
      </w:r>
    </w:p>
    <w:p>
      <w:pPr>
        <w:pStyle w:val="null3"/>
        <w:ind w:firstLine="480"/>
        <w:jc w:val="both"/>
      </w:pPr>
      <w:r>
        <w:rPr>
          <w:rFonts w:ascii="宋体" w:hAnsi="宋体" w:cs="宋体" w:eastAsia="宋体"/>
          <w:sz w:val="24"/>
          <w:color w:val="333333"/>
        </w:rPr>
        <w:t>15.1双方协商解决；</w:t>
      </w:r>
    </w:p>
    <w:p>
      <w:pPr>
        <w:pStyle w:val="null3"/>
        <w:ind w:firstLine="480"/>
        <w:jc w:val="both"/>
      </w:pPr>
      <w:r>
        <w:rPr>
          <w:rFonts w:ascii="宋体" w:hAnsi="宋体" w:cs="宋体" w:eastAsia="宋体"/>
          <w:sz w:val="24"/>
          <w:color w:val="333333"/>
        </w:rPr>
        <w:t>15.2若协商解决不成，双方明确按以下第2种方式解决：</w:t>
      </w:r>
    </w:p>
    <w:p>
      <w:pPr>
        <w:pStyle w:val="null3"/>
        <w:ind w:firstLine="480"/>
        <w:jc w:val="both"/>
      </w:pPr>
      <w:r>
        <w:rPr>
          <w:rFonts w:ascii="宋体" w:hAnsi="宋体" w:cs="宋体" w:eastAsia="宋体"/>
          <w:sz w:val="24"/>
          <w:color w:val="333333"/>
        </w:rPr>
        <w:t>(1)提交仲裁委员会仲裁，具体如下：</w:t>
      </w:r>
    </w:p>
    <w:p>
      <w:pPr>
        <w:pStyle w:val="null3"/>
        <w:ind w:firstLine="480"/>
        <w:jc w:val="both"/>
      </w:pPr>
      <w:r>
        <w:rPr>
          <w:rFonts w:ascii="宋体" w:hAnsi="宋体" w:cs="宋体" w:eastAsia="宋体"/>
          <w:sz w:val="24"/>
          <w:color w:val="333333"/>
        </w:rPr>
        <w:t>(2)向人民法院提起诉讼。</w:t>
      </w:r>
    </w:p>
    <w:p>
      <w:pPr>
        <w:pStyle w:val="null3"/>
        <w:jc w:val="both"/>
        <w:outlineLvl w:val="2"/>
      </w:pPr>
      <w:r>
        <w:rPr>
          <w:sz w:val="28"/>
          <w:b/>
        </w:rPr>
        <w:t>四、其他事项</w:t>
      </w:r>
    </w:p>
    <w:p>
      <w:pPr>
        <w:pStyle w:val="null3"/>
        <w:jc w:val="left"/>
      </w:pPr>
      <w:r>
        <w:rPr/>
        <w:t>1、除谈判文件另有规定外，若出现有关法律、法规和规章有强制性规定但谈判文件未列明的情形，则供应商应按照有关法律、法规和规章强制性规定执行。</w:t>
      </w:r>
    </w:p>
    <w:p>
      <w:pPr>
        <w:pStyle w:val="null3"/>
      </w:pPr>
      <w:r>
        <w:rPr/>
        <w:t xml:space="preserve"> </w:t>
        <w:br/>
        <w:br w:type="page"/>
      </w:r>
    </w:p>
    <w:p>
      <w:pPr>
        <w:pStyle w:val="null3"/>
        <w:jc w:val="center"/>
        <w:outlineLvl w:val="1"/>
      </w:pPr>
      <w:r>
        <w:rPr>
          <w:sz w:val="36"/>
          <w:b/>
        </w:rPr>
        <w:t>第四章 合同主要条款及格式</w:t>
      </w:r>
    </w:p>
    <w:p>
      <w:pPr>
        <w:pStyle w:val="null3"/>
        <w:jc w:val="center"/>
      </w:pPr>
      <w:r>
        <w:rPr/>
        <w:t>编制说明</w:t>
      </w:r>
    </w:p>
    <w:p>
      <w:pPr>
        <w:pStyle w:val="null3"/>
        <w:jc w:val="left"/>
      </w:pPr>
      <w:r>
        <w:rPr/>
        <w:t>1、签订合同应遵守《中华人民共和国政府采购法》、《中华人民共和国民法典》。</w:t>
      </w:r>
    </w:p>
    <w:p>
      <w:pPr>
        <w:pStyle w:val="null3"/>
        <w:jc w:val="left"/>
      </w:pPr>
      <w:r>
        <w:rPr/>
        <w:t>2、签订合同时，采购人与成交供应商应结合谈判文件第三章规定填列相应内容。如果双方使用谈判文件第四章已有规定的条款及格式，双方均不得对规定进行变更或调整；谈判文件第四章未作规定的条款及格式，双方可通过友好协商进行约定。</w:t>
      </w:r>
    </w:p>
    <w:p>
      <w:pPr>
        <w:pStyle w:val="null3"/>
        <w:jc w:val="left"/>
      </w:pPr>
      <w:r>
        <w:rPr/>
        <w:t>3.本章节所附的合同主要条款及格式为参考文本，如果因为项目实际特点不能适用，则可由甲乙双方在合同签订阶段可通过友好协商进行约定。</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both"/>
      </w:pPr>
      <w:r>
        <w:rPr/>
        <w:t>1、本附件所有格式为响应文件的组成部分，供采购人或代理机构编制谈判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1"/>
      </w:pPr>
      <w:r>
        <w:rPr>
          <w:sz w:val="36"/>
          <w:b/>
        </w:rPr>
        <w:t>福建省政府采购项目竞争性谈判</w:t>
      </w:r>
    </w:p>
    <w:p>
      <w:pPr>
        <w:pStyle w:val="null3"/>
        <w:jc w:val="center"/>
        <w:outlineLvl w:val="2"/>
      </w:pPr>
      <w:r>
        <w:rPr>
          <w:sz w:val="28"/>
          <w:b/>
        </w:rPr>
        <w:t>响应文件</w:t>
      </w:r>
    </w:p>
    <w:p>
      <w:pPr>
        <w:pStyle w:val="null3"/>
        <w:jc w:val="center"/>
        <w:outlineLvl w:val="2"/>
      </w:pPr>
      <w:r>
        <w:rPr>
          <w:sz w:val="28"/>
          <w:b/>
        </w:rPr>
        <w:t>（首次）</w:t>
      </w:r>
      <w:r>
        <w:br/>
      </w:r>
      <w:r>
        <w:br/>
      </w:r>
      <w:r>
        <w:br/>
      </w:r>
    </w:p>
    <w:p>
      <w:pPr>
        <w:pStyle w:val="null3"/>
        <w:jc w:val="center"/>
        <w:outlineLvl w:val="2"/>
      </w:pPr>
      <w:r>
        <w:rPr>
          <w:sz w:val="28"/>
          <w:b/>
        </w:rPr>
        <w:t>项目名称：</w:t>
      </w:r>
    </w:p>
    <w:p>
      <w:pPr>
        <w:pStyle w:val="null3"/>
        <w:jc w:val="center"/>
        <w:outlineLvl w:val="2"/>
      </w:pPr>
      <w:r>
        <w:rPr>
          <w:sz w:val="28"/>
          <w:b/>
        </w:rPr>
        <w:t>项目编号：</w:t>
      </w:r>
    </w:p>
    <w:p>
      <w:pPr>
        <w:pStyle w:val="null3"/>
        <w:jc w:val="center"/>
        <w:outlineLvl w:val="2"/>
      </w:pPr>
      <w:r>
        <w:rPr>
          <w:sz w:val="28"/>
          <w:b/>
        </w:rPr>
        <w:t>采购包:</w:t>
      </w:r>
      <w:r>
        <w:br/>
      </w:r>
      <w:r>
        <w:br/>
      </w:r>
      <w:r>
        <w:br/>
      </w:r>
    </w:p>
    <w:p>
      <w:pPr>
        <w:pStyle w:val="null3"/>
        <w:jc w:val="center"/>
        <w:outlineLvl w:val="2"/>
      </w:pPr>
      <w:r>
        <w:rPr>
          <w:sz w:val="28"/>
          <w:b/>
        </w:rPr>
        <w:t>供应商名称：</w:t>
      </w:r>
    </w:p>
    <w:p>
      <w:pPr>
        <w:pStyle w:val="null3"/>
        <w:jc w:val="center"/>
        <w:outlineLvl w:val="2"/>
      </w:pPr>
      <w:r>
        <w:rPr>
          <w:sz w:val="28"/>
          <w:b/>
        </w:rPr>
        <w:t>日 期：</w:t>
      </w:r>
    </w:p>
    <w:p>
      <w:pPr>
        <w:pStyle w:val="null3"/>
      </w:pPr>
      <w:r>
        <w:rPr/>
        <w:t xml:space="preserve"> </w:t>
        <w:br/>
        <w:br w:type="page"/>
      </w:r>
    </w:p>
    <w:p>
      <w:pPr>
        <w:pStyle w:val="null3"/>
        <w:jc w:val="center"/>
        <w:outlineLvl w:val="2"/>
      </w:pPr>
      <w:r>
        <w:rPr>
          <w:sz w:val="28"/>
          <w:b/>
        </w:rPr>
        <w:t>目录</w:t>
      </w:r>
    </w:p>
    <w:p>
      <w:pPr>
        <w:pStyle w:val="null3"/>
        <w:ind w:firstLine="480"/>
        <w:jc w:val="left"/>
      </w:pPr>
      <w:r>
        <w:rPr/>
        <w:t>附件1：谈判响应声明</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附件4：谈判保证金凭证</w:t>
      </w:r>
    </w:p>
    <w:p>
      <w:pPr>
        <w:pStyle w:val="null3"/>
        <w:ind w:firstLine="480"/>
        <w:jc w:val="left"/>
      </w:pPr>
      <w:r>
        <w:rPr/>
        <w:t>附件5：技术、服务和商务响应表</w:t>
      </w:r>
    </w:p>
    <w:p>
      <w:pPr>
        <w:pStyle w:val="null3"/>
        <w:ind w:firstLine="480"/>
        <w:jc w:val="left"/>
      </w:pPr>
      <w:r>
        <w:rPr/>
        <w:t>附件6：相关技术、商务、服务响应承诺及资料</w:t>
      </w:r>
    </w:p>
    <w:p>
      <w:pPr>
        <w:pStyle w:val="null3"/>
        <w:ind w:firstLine="480"/>
        <w:jc w:val="left"/>
      </w:pPr>
      <w:r>
        <w:rPr/>
        <w:t>附件7：供应商提交符合政府采购政策的证明材料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谈判响应声明</w:t>
      </w:r>
    </w:p>
    <w:p>
      <w:pPr>
        <w:pStyle w:val="null3"/>
        <w:ind w:firstLine="480"/>
        <w:jc w:val="left"/>
      </w:pPr>
      <w:r>
        <w:rPr/>
        <w:t>致：(采购人或采购代理机构)</w:t>
      </w:r>
    </w:p>
    <w:p>
      <w:pPr>
        <w:pStyle w:val="null3"/>
        <w:ind w:firstLine="480"/>
        <w:jc w:val="left"/>
      </w:pPr>
      <w:r>
        <w:rPr/>
        <w:t>1.根据贵方为</w:t>
      </w:r>
      <w:r>
        <w:rPr/>
        <w:t xml:space="preserve"> 项目（项目编号）:</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t>套，副本</w:t>
      </w:r>
      <w:r>
        <w:rPr/>
        <w:t>套及电子文档</w:t>
      </w:r>
      <w:r>
        <w:rPr/>
        <w:t>套。</w:t>
      </w:r>
    </w:p>
    <w:p>
      <w:pPr>
        <w:pStyle w:val="null3"/>
        <w:ind w:firstLine="480"/>
        <w:jc w:val="left"/>
      </w:pPr>
      <w:r>
        <w:rPr/>
        <w:t>（1）谈判响应声明</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（4）谈判保证金凭证</w:t>
      </w:r>
    </w:p>
    <w:p>
      <w:pPr>
        <w:pStyle w:val="null3"/>
        <w:ind w:firstLine="480"/>
        <w:jc w:val="left"/>
      </w:pPr>
      <w:r>
        <w:rPr/>
        <w:t>（5）技术、服务和商务响应表</w:t>
      </w:r>
    </w:p>
    <w:p>
      <w:pPr>
        <w:pStyle w:val="null3"/>
        <w:ind w:firstLine="480"/>
        <w:jc w:val="left"/>
      </w:pPr>
      <w:r>
        <w:rPr/>
        <w:t>（6）相关技术、商务、服务响应承诺及资料</w:t>
      </w:r>
    </w:p>
    <w:p>
      <w:pPr>
        <w:pStyle w:val="null3"/>
        <w:ind w:firstLine="480"/>
        <w:jc w:val="left"/>
      </w:pPr>
      <w:r>
        <w:rPr/>
        <w:t>（7）供应商提交符合政府采购政策的证明材料</w:t>
      </w:r>
    </w:p>
    <w:p>
      <w:pPr>
        <w:pStyle w:val="null3"/>
        <w:ind w:firstLine="480"/>
        <w:jc w:val="left"/>
      </w:pPr>
      <w:r>
        <w:rPr/>
        <w:t>（8）按照谈判文件规定，要求作为响应文件组成部分的其他内容（若有）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谈判文件，包括澄清、修改、补充或更正文件（如有的话）和有关附件，我方完全熟悉和理解其中的要求、条款和条件，且无任何异议。除了我方已在技术和商务偏离表中列出的负偏差和不响应外，我方承诺将按竞争性谈判文件的各项规定履行合同责任和义务。竞争性谈判文件及其附件资料如果有涉及应当保密的内容，我方将严格遵守规定，不将应当保密的内容泄密给第三方或另作它用，如有违反，采购人可依法追究我方的法律责任。</w:t>
      </w:r>
    </w:p>
    <w:p>
      <w:pPr>
        <w:pStyle w:val="null3"/>
        <w:ind w:firstLine="480"/>
        <w:jc w:val="left"/>
      </w:pPr>
      <w:r>
        <w:rPr/>
        <w:t>2.2一旦我方获得成交，我方将按照竞争性谈判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谈判文件的要求，并在规定的期限内与采购人签订合同。</w:t>
      </w:r>
    </w:p>
    <w:p>
      <w:pPr>
        <w:pStyle w:val="null3"/>
        <w:ind w:firstLine="480"/>
        <w:jc w:val="left"/>
      </w:pPr>
      <w:r>
        <w:rPr/>
        <w:t>2.3我方承诺：递交的所有响应文件（包括首次响应文件、补充澄清、最后报价等响应文件）在竞争性谈判须知前附表第3项规定的响应文件有效期内始终保持有效，我方将受此约束。我方对响应文件中的所有承诺、声明、数据和资料的真实性、准确性、合法性、有效性负责；我方响应文件中有关复印件或扫描件资料均与原件一致。如有违反，我方将承担法律责任和后果。</w:t>
      </w:r>
    </w:p>
    <w:p>
      <w:pPr>
        <w:pStyle w:val="null3"/>
        <w:ind w:firstLine="480"/>
        <w:jc w:val="left"/>
      </w:pPr>
      <w:r>
        <w:rPr/>
        <w:t>2.4我方已经按照谈判文件要求提交谈判保证金。我方如果发生任何竞争性谈判文件中所述不予退还谈判保证金的情况，则我方的谈判保证金将被贵方不予退还，我方对此无异议。谈判保证金或保函有效期与响应文件有效期保持一致</w:t>
      </w:r>
    </w:p>
    <w:p>
      <w:pPr>
        <w:pStyle w:val="null3"/>
        <w:ind w:firstLine="480"/>
        <w:jc w:val="left"/>
      </w:pPr>
      <w:r>
        <w:rPr/>
        <w:t>2.5我方愿意向贵方提供任何与本项目谈判采购有关的数据或资料。若贵方需要，我方愿意提供我方作出的一切承诺的证明材料。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谈判活动有关的一切往来信息或通知（包括补充、澄清和成交通知等），我方自行承担信息错误、通讯设备故障或延误查收信息给我方带来的后果和责任。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2.8我方承诺响应文件所提供的全部资料真实可靠，并接受谈判小组、采购人、采购代理机构、监管部门进一步审查其中任何资料真实性的要求。</w:t>
      </w:r>
    </w:p>
    <w:p>
      <w:pPr>
        <w:pStyle w:val="null3"/>
        <w:ind w:firstLine="480"/>
        <w:jc w:val="left"/>
      </w:pPr>
      <w:r>
        <w:rPr/>
        <w:t>通信地址:</w:t>
      </w:r>
    </w:p>
    <w:p>
      <w:pPr>
        <w:pStyle w:val="null3"/>
        <w:ind w:firstLine="480"/>
        <w:jc w:val="left"/>
      </w:pPr>
      <w:r>
        <w:rPr/>
        <w:t>邮编：</w:t>
      </w:r>
      <w:r>
        <w:rPr/>
        <w:t xml:space="preserve"> 传真号：</w:t>
      </w:r>
    </w:p>
    <w:p>
      <w:pPr>
        <w:pStyle w:val="null3"/>
        <w:ind w:firstLine="480"/>
        <w:jc w:val="left"/>
      </w:pPr>
      <w:r>
        <w:rPr/>
        <w:t>联系电话（固定电话和移动电话）：</w:t>
      </w:r>
    </w:p>
    <w:p>
      <w:pPr>
        <w:pStyle w:val="null3"/>
        <w:ind w:firstLine="480"/>
        <w:jc w:val="left"/>
      </w:pPr>
      <w:r>
        <w:rPr/>
        <w:t>供应商代表：</w:t>
      </w:r>
      <w:r>
        <w:rPr>
          <w:u w:val="single"/>
        </w:rPr>
        <w:t>（签字）</w:t>
      </w:r>
    </w:p>
    <w:p>
      <w:pPr>
        <w:pStyle w:val="null3"/>
        <w:ind w:firstLine="480"/>
        <w:jc w:val="left"/>
      </w:pPr>
      <w:r>
        <w:rPr/>
        <w:t>供应商代表电子信箱：</w:t>
      </w:r>
    </w:p>
    <w:p>
      <w:pPr>
        <w:pStyle w:val="null3"/>
        <w:ind w:firstLine="480"/>
        <w:jc w:val="left"/>
      </w:pPr>
      <w:r>
        <w:rPr/>
        <w:t>供应商：</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[350101]JJZB[TP]2024004</w:t>
      </w:r>
    </w:p>
    <w:p>
      <w:pPr>
        <w:pStyle w:val="null3"/>
        <w:jc w:val="left"/>
      </w:pPr>
      <w:r>
        <w:rPr/>
        <w:t>项目名称：</w:t>
      </w:r>
      <w:r>
        <w:rPr/>
        <w:t>福州职业技术学院匠心楼网络建设项目(二次)</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福州职业技术学院匠心楼网络建设项目</w:t>
            </w:r>
          </w:p>
        </w:tc>
        <w:tc>
          <w:tcPr>
            <w:tcW w:type="dxa" w:w="1661"/>
          </w:tcPr>
          <w:p>
            <w:pPr>
              <w:pStyle w:val="null3"/>
              <w:jc w:val="left"/>
            </w:pPr>
            <w:r>
              <w:rPr/>
              <w:t xml:space="preserve"> 970000.0000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[350101]JJZB[TP]2024004</w:t>
      </w:r>
    </w:p>
    <w:p>
      <w:pPr>
        <w:pStyle w:val="null3"/>
        <w:jc w:val="left"/>
      </w:pPr>
      <w:r>
        <w:rPr/>
        <w:t>项目名称：</w:t>
      </w:r>
      <w:r>
        <w:rPr/>
        <w:t>福州职业技术学院匠心楼网络建设项目(二次)</w:t>
      </w:r>
    </w:p>
    <w:p>
      <w:pPr>
        <w:pStyle w:val="null3"/>
        <w:jc w:val="left"/>
      </w:pPr>
      <w:r>
        <w:rPr/>
        <w:t xml:space="preserve"> 放装AP</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放装AP</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178350.0000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123.0000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安视光盒</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安视光盒</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267300.0000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99.0000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24口光主机</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24口光主机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90800.0000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楼宇汇聚数据传输单元</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楼宇汇聚数据传输单元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19500.0000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数据传输光盒</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数据传输光盒</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26400.0000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12.0000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千兆光模块</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千兆光模块</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26640.0000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222.0000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万兆光模块</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万兆光模块</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4840.0000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智能网络管理中心</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智能网络管理中心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53430.0000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AP接入授权</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AP接入授权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13650.0000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91.0000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光盒接入授权</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光盒接入授权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13500.0000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90.0000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2芯光纤</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2芯光纤</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99000.0000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22000.0000</w:t>
            </w:r>
          </w:p>
        </w:tc>
        <w:tc>
          <w:tcPr>
            <w:tcW w:type="dxa" w:w="639"/>
          </w:tcPr>
          <w:p>
            <w:pPr>
              <w:pStyle w:val="null3"/>
              <w:jc w:val="left"/>
            </w:pPr>
            <w:r>
              <w:rPr/>
              <w:t xml:space="preserve"> 米</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4芯光缆</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4芯光缆</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9500.0000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1900.0000</w:t>
            </w:r>
          </w:p>
        </w:tc>
        <w:tc>
          <w:tcPr>
            <w:tcW w:type="dxa" w:w="639"/>
          </w:tcPr>
          <w:p>
            <w:pPr>
              <w:pStyle w:val="null3"/>
              <w:jc w:val="left"/>
            </w:pPr>
            <w:r>
              <w:rPr/>
              <w:t xml:space="preserve"> 米</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12芯光缆</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12芯光缆</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15000.0000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1500.0000</w:t>
            </w:r>
          </w:p>
        </w:tc>
        <w:tc>
          <w:tcPr>
            <w:tcW w:type="dxa" w:w="639"/>
          </w:tcPr>
          <w:p>
            <w:pPr>
              <w:pStyle w:val="null3"/>
              <w:jc w:val="left"/>
            </w:pPr>
            <w:r>
              <w:rPr/>
              <w:t xml:space="preserve"> 米</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电源线</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电源线</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30000.0000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3000.0000</w:t>
            </w:r>
          </w:p>
        </w:tc>
        <w:tc>
          <w:tcPr>
            <w:tcW w:type="dxa" w:w="639"/>
          </w:tcPr>
          <w:p>
            <w:pPr>
              <w:pStyle w:val="null3"/>
              <w:jc w:val="left"/>
            </w:pPr>
            <w:r>
              <w:rPr/>
              <w:t xml:space="preserve"> 米</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六类网络线</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六类网络线</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14700.0000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15.0000</w:t>
            </w:r>
          </w:p>
        </w:tc>
        <w:tc>
          <w:tcPr>
            <w:tcW w:type="dxa" w:w="639"/>
          </w:tcPr>
          <w:p>
            <w:pPr>
              <w:pStyle w:val="null3"/>
              <w:jc w:val="left"/>
            </w:pPr>
            <w:r>
              <w:rPr/>
              <w:t xml:space="preserve"> 箱</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4 口熔接盒</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4 口熔接盒</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2220.0000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111.0000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24口熔接盒</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24口熔接盒</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900.0000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15.0000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光纤跳纤</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光纤跳纤</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3870.0000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258.0000</w:t>
            </w:r>
          </w:p>
        </w:tc>
        <w:tc>
          <w:tcPr>
            <w:tcW w:type="dxa" w:w="639"/>
          </w:tcPr>
          <w:p>
            <w:pPr>
              <w:pStyle w:val="null3"/>
              <w:jc w:val="left"/>
            </w:pPr>
            <w:r>
              <w:rPr/>
              <w:t xml:space="preserve"> 条</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尾纤</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尾纤</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5160.0000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516.0000</w:t>
            </w:r>
          </w:p>
        </w:tc>
        <w:tc>
          <w:tcPr>
            <w:tcW w:type="dxa" w:w="639"/>
          </w:tcPr>
          <w:p>
            <w:pPr>
              <w:pStyle w:val="null3"/>
              <w:jc w:val="left"/>
            </w:pPr>
            <w:r>
              <w:rPr/>
              <w:t xml:space="preserve"> 条</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耦合器</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耦合器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1290.0000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516.0000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光纤熔接</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光纤熔接</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12900.0000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516.0000</w:t>
            </w:r>
          </w:p>
        </w:tc>
        <w:tc>
          <w:tcPr>
            <w:tcW w:type="dxa" w:w="639"/>
          </w:tcPr>
          <w:p>
            <w:pPr>
              <w:pStyle w:val="null3"/>
              <w:jc w:val="left"/>
            </w:pPr>
            <w:r>
              <w:rPr/>
              <w:t xml:space="preserve"> 芯</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汇聚挂箱</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汇聚挂箱</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49950.0000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111.0000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汇聚机柜</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汇聚机柜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3000.0000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电源保护器</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电源保护器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12200.0000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线管及辅料</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线管及辅料</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15900.0000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项</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附件3 资格证明文件</w:t>
      </w:r>
    </w:p>
    <w:p>
      <w:pPr>
        <w:pStyle w:val="null3"/>
        <w:jc w:val="center"/>
        <w:outlineLvl w:val="2"/>
      </w:pPr>
      <w:r>
        <w:rPr>
          <w:sz w:val="28"/>
          <w:b/>
        </w:rPr>
        <w:t xml:space="preserve">附件3-1 参加竞争性谈判的声明函 </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xml:space="preserve">  </w:t>
      </w:r>
      <w:r>
        <w:rPr/>
        <w:t>年</w:t>
      </w:r>
      <w:r>
        <w:rPr>
          <w:u w:val="single"/>
        </w:rPr>
        <w:t xml:space="preserve">  </w:t>
      </w:r>
      <w:r>
        <w:rPr/>
        <w:t>月</w:t>
      </w:r>
      <w:r>
        <w:rPr>
          <w:u w:val="single"/>
        </w:rPr>
        <w:t xml:space="preserve">  </w:t>
      </w:r>
      <w:r>
        <w:rPr/>
        <w:t>日</w:t>
      </w:r>
      <w:r>
        <w:rPr>
          <w:u w:val="single"/>
        </w:rPr>
        <w:t xml:space="preserve">    </w:t>
      </w:r>
      <w:r>
        <w:rPr/>
        <w:t>项目（项目编号:</w:t>
      </w:r>
      <w:r>
        <w:rPr>
          <w:u w:val="single"/>
        </w:rPr>
        <w:t xml:space="preserve">  </w:t>
      </w:r>
      <w:r>
        <w:rPr/>
        <w:t>）的采购公告（或采购邀请），本签字人代表供应商参加竞争性谈判，我方提供竞争性谈判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p>
    <w:p>
      <w:pPr>
        <w:pStyle w:val="null3"/>
        <w:ind w:firstLine="480"/>
        <w:jc w:val="left"/>
      </w:pPr>
      <w:r>
        <w:rPr/>
        <w:t>2.2注册地址：</w:t>
      </w:r>
      <w:r>
        <w:rPr>
          <w:u w:val="single"/>
        </w:rPr>
        <w:t xml:space="preserve">           </w:t>
      </w:r>
    </w:p>
    <w:p>
      <w:pPr>
        <w:pStyle w:val="null3"/>
        <w:ind w:firstLine="480"/>
        <w:jc w:val="left"/>
      </w:pPr>
      <w:r>
        <w:rPr/>
        <w:t>2.3单位负责人姓名：</w:t>
      </w:r>
      <w:r>
        <w:rPr>
          <w:u w:val="single"/>
        </w:rPr>
        <w:t xml:space="preserve">  </w:t>
      </w:r>
      <w:r>
        <w:rPr/>
        <w:t>性别：</w:t>
      </w:r>
      <w:r>
        <w:rPr>
          <w:u w:val="single"/>
        </w:rPr>
        <w:t xml:space="preserve">  </w:t>
      </w:r>
      <w:r>
        <w:rPr/>
        <w:t>年龄：</w:t>
      </w:r>
      <w:r>
        <w:rPr>
          <w:u w:val="single"/>
        </w:rPr>
        <w:t xml:space="preserve">  </w:t>
      </w:r>
      <w:r>
        <w:rPr/>
        <w:t>职务：</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对于接受联合体形式的谈判且供应商是联合体的，则联合体各成员都应当提交本资格证明文件。</w:t>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1、我方已知晓竞争性谈判文件要求并认真审核自身情况，在此郑重声明，我方具备并满足下列各项条款的规定。本声明如有虚假或不实之处，我方将失去合格供应商资格且我方的谈判保证金将不予退还。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谈判文件对合格供应商的一般规定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2、我方对上述声明的真实性、合法性、准确性、有效性负责，并愿意根据谈判文件和谈判过程中贵方要求提供全部现有资料、数据、文件等予以证实。</w:t>
      </w:r>
    </w:p>
    <w:p>
      <w:pPr>
        <w:pStyle w:val="null3"/>
        <w:ind w:firstLine="480"/>
        <w:jc w:val="left"/>
      </w:pPr>
      <w:r>
        <w:rPr/>
        <w:t>备注：对于接受联合体形式的谈判且供应商是联合体的，则联合体各成员都应当提交本资格证明文件。</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xml:space="preserve">  </w:t>
      </w:r>
      <w:r>
        <w:rPr/>
        <w:t>）的响应谈判，全权代表我方处理响应谈判过程的一切事宜，包括但不限于：递交响应文件、参与谈判、澄清、签约等工作。供应商代表在响应谈判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xml:space="preserve">   </w:t>
      </w:r>
      <w:r>
        <w:rPr/>
        <w:t xml:space="preserve"> 身份证号：</w:t>
      </w:r>
      <w:r>
        <w:rPr>
          <w:u w:val="single"/>
        </w:rPr>
        <w:t xml:space="preserve">   </w:t>
      </w:r>
      <w:r>
        <w:rPr/>
        <w:t>手机：</w:t>
      </w:r>
      <w:r>
        <w:rPr>
          <w:u w:val="single"/>
        </w:rPr>
        <w:t xml:space="preserve">   </w:t>
      </w:r>
    </w:p>
    <w:p>
      <w:pPr>
        <w:pStyle w:val="null3"/>
        <w:ind w:firstLine="480"/>
        <w:jc w:val="left"/>
      </w:pPr>
      <w:r>
        <w:rPr/>
        <w:t>供应商代表：</w:t>
      </w:r>
      <w:r>
        <w:rPr>
          <w:u w:val="single"/>
        </w:rPr>
        <w:t xml:space="preserve">   </w:t>
      </w:r>
      <w:r>
        <w:rPr/>
        <w:t xml:space="preserve"> 身份证号：</w:t>
      </w:r>
      <w:r>
        <w:rPr>
          <w:u w:val="single"/>
        </w:rPr>
        <w:t xml:space="preserve">   </w:t>
      </w:r>
      <w:r>
        <w:rPr/>
        <w:t>手机：</w:t>
      </w:r>
      <w:r>
        <w:rPr>
          <w:u w:val="single"/>
        </w:rPr>
        <w:t xml:space="preserve">   </w:t>
      </w:r>
      <w:r>
        <w:br/>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xml:space="preserve">   </w:t>
      </w:r>
      <w:r>
        <w:br/>
      </w:r>
      <w:r>
        <w:br/>
      </w:r>
    </w:p>
    <w:p>
      <w:pPr>
        <w:pStyle w:val="null3"/>
        <w:ind w:firstLine="480"/>
        <w:jc w:val="left"/>
      </w:pPr>
      <w:r>
        <w:rPr/>
        <w:t>接受授权方</w:t>
      </w:r>
    </w:p>
    <w:p>
      <w:pPr>
        <w:pStyle w:val="null3"/>
        <w:ind w:firstLine="480"/>
        <w:jc w:val="left"/>
      </w:pPr>
      <w:r>
        <w:rPr/>
        <w:t>供应商代表签字：</w:t>
      </w:r>
      <w:r>
        <w:rPr>
          <w:u w:val="single"/>
        </w:rPr>
        <w:t xml:space="preserve">   </w:t>
      </w:r>
    </w:p>
    <w:p>
      <w:pPr>
        <w:pStyle w:val="null3"/>
        <w:ind w:firstLine="480"/>
        <w:jc w:val="left"/>
      </w:pPr>
      <w:r>
        <w:rPr/>
        <w:t>签署日期：</w:t>
      </w:r>
      <w:r>
        <w:rPr>
          <w:u w:val="single"/>
        </w:rPr>
        <w:t xml:space="preserve">  </w:t>
      </w:r>
      <w:r>
        <w:rPr/>
        <w:t>年</w:t>
      </w:r>
      <w:r>
        <w:rPr>
          <w:u w:val="single"/>
        </w:rPr>
        <w:t xml:space="preserve">  </w:t>
      </w:r>
      <w:r>
        <w:rPr/>
        <w:t>月</w:t>
      </w:r>
      <w:r>
        <w:rPr>
          <w:u w:val="single"/>
        </w:rPr>
        <w:t xml:space="preserve">  </w:t>
      </w:r>
      <w:r>
        <w:rPr/>
        <w:t>日</w:t>
      </w:r>
    </w:p>
    <w:p>
      <w:pPr>
        <w:pStyle w:val="null3"/>
        <w:ind w:firstLine="480"/>
        <w:jc w:val="left"/>
      </w:pPr>
      <w:r>
        <w:rPr/>
        <w:t>附：单位负责人、供应商代表的身份证正反面复印件</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b/>
              </w:rPr>
              <w:t>要求：真实、有效、清晰</w:t>
            </w:r>
          </w:p>
        </w:tc>
      </w:tr>
    </w:tbl>
    <w:p>
      <w:pPr>
        <w:pStyle w:val="null3"/>
        <w:ind w:firstLine="480"/>
        <w:jc w:val="left"/>
      </w:pPr>
      <w:r>
        <w:rPr/>
        <w:t>※注意：</w:t>
      </w:r>
    </w:p>
    <w:p>
      <w:pPr>
        <w:pStyle w:val="null3"/>
        <w:jc w:val="center"/>
      </w:pPr>
      <w:r>
        <w:rPr/>
        <w:t>1、企业（银行、保险、石油石化、电力、电信等行业除外）、事业单位和社会团体法人的“单位负责人”指法定代表人，即与实际提交的“营业执照等证明文件”载明的一致。</w:t>
      </w:r>
    </w:p>
    <w:p>
      <w:pPr>
        <w:pStyle w:val="null3"/>
        <w:jc w:val="center"/>
      </w:pPr>
      <w:r>
        <w:rPr/>
        <w:t>2、银行、保险、石油石化、电力、电信等行业：以法人身份参加谈判的，“单位负责人”指法定代表人，即与实际提交的“营业执照等证明文件”载明的一致；以非法人身份参加谈判的，“单位负责人”指代表单位行使职权的主要负责人，即与实际提交的“营业执照等证明文件”载明的一致。</w:t>
      </w:r>
    </w:p>
    <w:p>
      <w:pPr>
        <w:pStyle w:val="null3"/>
        <w:jc w:val="center"/>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jc w:val="center"/>
      </w:pPr>
      <w:r>
        <w:rPr/>
        <w:t>4、对于接受联合体形式的谈判且供应商是联合体的，则只需要联合体的牵头方提交本授权书，在纸质响应文件正本中的本授权书应为原件。</w:t>
      </w:r>
    </w:p>
    <w:p>
      <w:pPr>
        <w:pStyle w:val="null3"/>
      </w:pPr>
      <w:r>
        <w:rPr/>
        <w:t xml:space="preserve"> </w:t>
        <w:br/>
        <w:br w:type="page"/>
      </w:r>
    </w:p>
    <w:p>
      <w:pPr>
        <w:pStyle w:val="null3"/>
        <w:jc w:val="center"/>
        <w:outlineLvl w:val="2"/>
      </w:pPr>
      <w:r>
        <w:rPr>
          <w:sz w:val="28"/>
          <w:b/>
        </w:rPr>
        <w:t>附件3-4 营业执照等证明文件</w:t>
      </w:r>
    </w:p>
    <w:p>
      <w:pPr>
        <w:pStyle w:val="null3"/>
        <w:ind w:firstLine="480"/>
        <w:jc w:val="left"/>
      </w:pPr>
      <w:r>
        <w:rPr/>
        <w:t>致：</w:t>
      </w:r>
      <w:r>
        <w:rPr>
          <w:u w:val="single"/>
        </w:rPr>
        <w:t>(采购人或采购代理机构)</w:t>
      </w:r>
    </w:p>
    <w:p>
      <w:pPr>
        <w:pStyle w:val="null3"/>
        <w:ind w:firstLine="480"/>
        <w:jc w:val="left"/>
      </w:pPr>
      <w:r>
        <w:rPr/>
        <w:t>（）供应商为法人（包括企业、事业单位和社会团体）的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3、对于接受联合体形式的谈判且供应商是联合体的，则联合体各成员都应当提交本资格证明文件。</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附件3-5 财务状况报告</w:t>
      </w:r>
    </w:p>
    <w:p>
      <w:pPr>
        <w:pStyle w:val="null3"/>
        <w:ind w:firstLine="480"/>
        <w:jc w:val="left"/>
      </w:pPr>
      <w:r>
        <w:rPr/>
        <w:t>致：</w:t>
      </w:r>
      <w:r>
        <w:rPr>
          <w:u w:val="single"/>
        </w:rPr>
        <w:t>(采购人或采购代理机构)</w:t>
      </w:r>
    </w:p>
    <w:p>
      <w:pPr>
        <w:pStyle w:val="null3"/>
        <w:ind w:firstLine="480"/>
        <w:jc w:val="left"/>
      </w:pPr>
      <w:r>
        <w:rPr/>
        <w:t>（）供应商提供财务报告的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（）供应商提供谈判担保函的</w:t>
      </w:r>
    </w:p>
    <w:p>
      <w:pPr>
        <w:pStyle w:val="null3"/>
        <w:ind w:firstLine="480"/>
        <w:jc w:val="left"/>
      </w:pPr>
      <w:r>
        <w:rPr/>
        <w:t>现附上由财政部门认可的政府采购专业担保机构：</w:t>
      </w:r>
      <w:r>
        <w:rPr>
          <w:u w:val="single"/>
        </w:rPr>
        <w:t>（填写“担保机构全称”）</w:t>
      </w:r>
      <w:r>
        <w:rPr/>
        <w:t>出具的谈判担保函复印件，上述证明材料真实有效，否则我方负全部责任。</w:t>
      </w:r>
    </w:p>
    <w:p>
      <w:pPr>
        <w:pStyle w:val="null3"/>
        <w:ind w:firstLine="480"/>
        <w:jc w:val="left"/>
      </w:pPr>
      <w:r>
        <w:rPr/>
        <w:t>※注意事项：</w:t>
      </w:r>
    </w:p>
    <w:p>
      <w:pPr>
        <w:pStyle w:val="null3"/>
        <w:ind w:firstLine="480"/>
        <w:jc w:val="left"/>
      </w:pPr>
      <w:r>
        <w:rPr/>
        <w:t>1、上文提供财务报告、资信证明、担保函共三大类型，请供应商按照自身实际情况编制填写，在其中相应的（）中打“√”并选择相应的“□”（若有）后，再按照本格式的要求提供相应证明材料的复印件即可。即供应商符合上述三大类型其中一种，并按要求提供相应证明资料即为满足。</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b/>
        </w:rPr>
        <w:t>※无法按照本格式注意事项第2.1、2.2条规定提供财务报告复印件的供应商，应按照本格式注意事项的要求选择提供资信证明复印件或谈判担保函复印件。</w:t>
      </w:r>
    </w:p>
    <w:p>
      <w:pPr>
        <w:pStyle w:val="null3"/>
        <w:ind w:firstLine="480"/>
        <w:jc w:val="left"/>
      </w:pPr>
      <w:r>
        <w:rPr/>
        <w:t>3、供应商提供的相应证明材料复印件均应符合：内容完整、清晰、整洁，并由供应商加盖其单位公章。</w:t>
      </w:r>
    </w:p>
    <w:p>
      <w:pPr>
        <w:pStyle w:val="null3"/>
        <w:ind w:firstLine="480"/>
        <w:jc w:val="left"/>
      </w:pPr>
      <w:r>
        <w:rPr/>
        <w:t>5、对于接受联合体形式的谈判且供应商是联合体的，则联合体各成员都应当提交本资格证明文件。</w:t>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（）法人（包括企业、事业单位和社会团体）的</w:t>
      </w:r>
    </w:p>
    <w:p>
      <w:pPr>
        <w:pStyle w:val="null3"/>
        <w:ind w:firstLine="480"/>
        <w:jc w:val="left"/>
      </w:pPr>
      <w:r>
        <w:rPr/>
        <w:t xml:space="preserve">现附上自 </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（）非法人（包括其他组织、自然人）的</w:t>
      </w:r>
    </w:p>
    <w:p>
      <w:pPr>
        <w:pStyle w:val="null3"/>
        <w:ind w:firstLine="480"/>
        <w:jc w:val="left"/>
      </w:pPr>
      <w:r>
        <w:rPr/>
        <w:t>现附上自</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（）法人（包括企业、事业单位和社会团体）的</w:t>
      </w:r>
    </w:p>
    <w:p>
      <w:pPr>
        <w:pStyle w:val="null3"/>
        <w:ind w:firstLine="480"/>
        <w:jc w:val="left"/>
      </w:pPr>
      <w:r>
        <w:rPr/>
        <w:t>现附上自</w:t>
      </w:r>
      <w:r>
        <w:rPr/>
        <w:t>年</w:t>
      </w:r>
      <w:r>
        <w:rPr/>
        <w:t>月</w:t>
      </w:r>
      <w:r>
        <w:rPr/>
        <w:t>日至</w:t>
      </w:r>
      <w:r>
        <w:rPr/>
        <w:t>年</w:t>
      </w:r>
      <w:r>
        <w:rPr/>
        <w:t>月</w:t>
      </w:r>
      <w:r>
        <w:rPr/>
        <w:t xml:space="preserve"> 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（）非法人（包括其他组织、自然人）的</w:t>
      </w:r>
    </w:p>
    <w:p>
      <w:pPr>
        <w:pStyle w:val="null3"/>
        <w:ind w:firstLine="480"/>
        <w:jc w:val="left"/>
      </w:pPr>
      <w:r>
        <w:rPr/>
        <w:t>自</w:t>
      </w:r>
      <w:r>
        <w:rPr/>
        <w:t>年</w:t>
      </w:r>
      <w:r>
        <w:rPr/>
        <w:t>月</w:t>
      </w:r>
      <w:r>
        <w:rPr/>
        <w:t>日至</w:t>
      </w:r>
      <w:r>
        <w:rPr/>
        <w:t>年</w:t>
      </w:r>
      <w:r>
        <w:rPr/>
        <w:t>月</w:t>
      </w:r>
      <w:r>
        <w:rPr/>
        <w:t>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附件3-8 具备履行合同所必需设备和专业技术能力证明材料</w:t>
      </w:r>
    </w:p>
    <w:p>
      <w:pPr>
        <w:pStyle w:val="null3"/>
        <w:jc w:val="center"/>
        <w:outlineLvl w:val="1"/>
      </w:pPr>
      <w:r>
        <w:rPr>
          <w:sz w:val="36"/>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jc w:val="left"/>
      </w:pPr>
      <w:r>
        <w:rPr>
          <w:b/>
        </w:rPr>
        <w:t>1.谈判文件“供应商的资格”中特定资格条件如果没有特别规定，则由供应商在响应文件中按上述格式提供其具备履行合同所必需的设备和专业技术能力的声明即可，声明函应加盖供应商单位公章。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谈判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3.对于接受联合体形式的谈判且供应商是联合体的，则联合体各成员都应当提交本资格证明文件。</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附件3-9 信用记录查询结果</w:t>
      </w:r>
    </w:p>
    <w:p>
      <w:pPr>
        <w:pStyle w:val="null3"/>
        <w:ind w:firstLine="480"/>
        <w:jc w:val="left"/>
      </w:pPr>
      <w:r>
        <w:rPr/>
        <w:t>1、由谈判小组通过网站查询并打印供应商的信用记录。</w:t>
      </w:r>
    </w:p>
    <w:p>
      <w:pPr>
        <w:pStyle w:val="null3"/>
        <w:ind w:firstLine="480"/>
        <w:jc w:val="left"/>
      </w:pPr>
      <w:r>
        <w:rPr/>
        <w:t>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pPr>
      <w:r>
        <w:rPr/>
        <w:t xml:space="preserve"> </w:t>
        <w:br/>
        <w:br w:type="page"/>
      </w:r>
    </w:p>
    <w:p>
      <w:pPr>
        <w:pStyle w:val="null3"/>
        <w:jc w:val="center"/>
        <w:outlineLvl w:val="2"/>
      </w:pPr>
      <w:r>
        <w:rPr>
          <w:sz w:val="28"/>
          <w:b/>
        </w:rPr>
        <w:t>附件3-10 联合体协议</w:t>
      </w:r>
    </w:p>
    <w:p>
      <w:pPr>
        <w:pStyle w:val="null3"/>
        <w:jc w:val="center"/>
      </w:pPr>
      <w:r>
        <w:rPr>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自愿组成联合体，共同参加（填写</w:t>
      </w:r>
      <w:r>
        <w:rPr>
          <w:u w:val="single"/>
        </w:rPr>
        <w:t>(项目名称)</w:t>
      </w:r>
      <w:r>
        <w:rPr/>
        <w:t>项目（项目编号：</w:t>
      </w:r>
      <w:r>
        <w:rPr>
          <w:u w:val="single"/>
        </w:rPr>
        <w:t>（填写“项目编号”）</w:t>
      </w:r>
      <w:r>
        <w:rPr/>
        <w:t>）的响应。现就联合体参加本项目响应谈判的有关事宜达成下列协议：</w:t>
      </w:r>
    </w:p>
    <w:p>
      <w:pPr>
        <w:pStyle w:val="null3"/>
        <w:ind w:firstLine="480"/>
        <w:jc w:val="left"/>
      </w:pPr>
      <w:r>
        <w:rPr/>
        <w:t>一、联合体各方应承担的工作和义务具体如下：</w:t>
      </w:r>
    </w:p>
    <w:p>
      <w:pPr>
        <w:pStyle w:val="null3"/>
        <w:ind w:firstLine="480"/>
        <w:jc w:val="left"/>
      </w:pPr>
      <w:r>
        <w:rPr/>
        <w:t>1、牵头方单位名称：</w:t>
      </w:r>
      <w:r>
        <w:rPr>
          <w:u w:val="single"/>
        </w:rPr>
        <w:t>（填写“工作及义务的具体内容”）</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1、牵头方单位名称：</w:t>
      </w:r>
      <w:r>
        <w:rPr>
          <w:u w:val="single"/>
        </w:rPr>
        <w:t>（填写“工作及义务的具体内容”）</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w:t>
      </w:r>
      <w:r>
        <w:rPr/>
        <w:t>代表联合体办理参加本项目响应谈判的有关事宜（包括但不限于：派出供应商代表、提交响应文件及参加谈判、澄清等工作），在此过程中，供应商代表签署的一切文件和处理结果，联合体各方均予以认可并对此承担责任。</w:t>
      </w:r>
    </w:p>
    <w:p>
      <w:pPr>
        <w:pStyle w:val="null3"/>
        <w:ind w:firstLine="480"/>
        <w:jc w:val="left"/>
      </w:pPr>
      <w:r>
        <w:rPr/>
        <w:t>2、联合体各方约定由（填写“牵头方的全称”）代表联合体办理谈判保证金事宜。</w:t>
      </w:r>
    </w:p>
    <w:p>
      <w:pPr>
        <w:pStyle w:val="null3"/>
        <w:ind w:firstLine="480"/>
        <w:jc w:val="left"/>
      </w:pPr>
      <w:r>
        <w:rPr/>
        <w:t>四、若成交，牵头方将代表联合体与采购人就合同签订事宜进行协商；若协商一致，则联合体各方将共同与采购人签订政府采购合同，并就政府采购合同约定的事项对采购人承担连带责任。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份，联合体各方各执一份，响应文件中提交一份。</w:t>
      </w:r>
    </w:p>
    <w:p>
      <w:pPr>
        <w:pStyle w:val="null3"/>
        <w:ind w:firstLine="480"/>
        <w:jc w:val="left"/>
      </w:pPr>
      <w:r>
        <w:rPr/>
        <w:t>（以下无正文）</w:t>
      </w:r>
      <w:r>
        <w:br/>
      </w:r>
      <w:r>
        <w:br/>
      </w:r>
    </w:p>
    <w:p>
      <w:pPr>
        <w:pStyle w:val="null3"/>
        <w:ind w:firstLine="480"/>
        <w:jc w:val="left"/>
      </w:pPr>
      <w:r>
        <w:rPr/>
        <w:t>牵头方：</w:t>
      </w:r>
      <w:r>
        <w:rPr>
          <w:u w:val="single"/>
        </w:rPr>
        <w:t>（全称并加盖单位公章）</w:t>
      </w:r>
    </w:p>
    <w:p>
      <w:pPr>
        <w:pStyle w:val="null3"/>
        <w:ind w:firstLine="480"/>
        <w:jc w:val="left"/>
      </w:pPr>
      <w:r>
        <w:rPr/>
        <w:t>供应商代表：</w:t>
      </w:r>
      <w:r>
        <w:rPr>
          <w:u w:val="single"/>
        </w:rPr>
        <w:t>（签字或盖章）</w:t>
      </w:r>
    </w:p>
    <w:p>
      <w:pPr>
        <w:pStyle w:val="null3"/>
        <w:ind w:firstLine="480"/>
        <w:jc w:val="left"/>
      </w:pPr>
      <w:r>
        <w:rPr/>
        <w:t>成员一：</w:t>
      </w:r>
      <w:r>
        <w:rPr>
          <w:u w:val="single"/>
        </w:rPr>
        <w:t>（全称并加盖成员一的单位公章）</w:t>
      </w:r>
    </w:p>
    <w:p>
      <w:pPr>
        <w:pStyle w:val="null3"/>
        <w:ind w:firstLine="480"/>
        <w:jc w:val="left"/>
      </w:pPr>
      <w:r>
        <w:rPr/>
        <w:t>供应商代表：</w:t>
      </w:r>
      <w:r>
        <w:rPr>
          <w:u w:val="single"/>
        </w:rPr>
        <w:t>（签字或盖章）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供应商代表：</w:t>
      </w:r>
      <w:r>
        <w:rPr>
          <w:u w:val="single"/>
        </w:rPr>
        <w:t>（签字或盖章）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p>
    <w:p>
      <w:pPr>
        <w:pStyle w:val="null3"/>
        <w:ind w:firstLine="480"/>
        <w:jc w:val="left"/>
      </w:pPr>
      <w:r>
        <w:rPr/>
        <w:t>※注意：</w:t>
      </w:r>
    </w:p>
    <w:p>
      <w:pPr>
        <w:pStyle w:val="null3"/>
        <w:ind w:firstLine="480"/>
        <w:jc w:val="left"/>
      </w:pPr>
      <w:r>
        <w:rPr/>
        <w:t>1、若谈判文件规定接受联合体形式且供应商为联合体的，则供应商应提供本协议；否则无须提供。</w:t>
      </w:r>
    </w:p>
    <w:p>
      <w:pPr>
        <w:pStyle w:val="null3"/>
        <w:ind w:firstLine="480"/>
        <w:jc w:val="left"/>
      </w:pPr>
      <w:r>
        <w:rPr/>
        <w:t>2、本协议中的供应商代表如果不是竞争性谈判须知中定义的“单位负责人”，则还必须提供“单位负责人授权书”。</w:t>
      </w:r>
    </w:p>
    <w:p>
      <w:pPr>
        <w:pStyle w:val="null3"/>
        <w:ind w:firstLine="480"/>
        <w:jc w:val="left"/>
      </w:pPr>
      <w:r>
        <w:rPr/>
        <w:t>3、在以联合体形式落实中小企业预留份额项目中，供应商除了要提供《中小企业声明函》，还需提供本协议。</w:t>
      </w:r>
    </w:p>
    <w:p>
      <w:pPr>
        <w:pStyle w:val="null3"/>
      </w:pPr>
      <w:r>
        <w:rPr/>
        <w:t xml:space="preserve"> </w:t>
        <w:br/>
        <w:br w:type="page"/>
      </w:r>
    </w:p>
    <w:p>
      <w:pPr>
        <w:pStyle w:val="null3"/>
        <w:jc w:val="center"/>
        <w:outlineLvl w:val="2"/>
      </w:pPr>
      <w:r>
        <w:rPr>
          <w:sz w:val="28"/>
          <w:b/>
        </w:rPr>
        <w:t>附件3-11分包意向协议（若有）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1.谈判文件接受合同分包且供应商拟将合同分包的，应提供本协议；否则无须提供。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pPr>
      <w:r>
        <w:rPr/>
        <w:t xml:space="preserve"> </w:t>
        <w:br/>
        <w:br w:type="page"/>
      </w:r>
    </w:p>
    <w:p>
      <w:pPr>
        <w:pStyle w:val="null3"/>
        <w:jc w:val="center"/>
        <w:outlineLvl w:val="2"/>
      </w:pPr>
      <w:r>
        <w:rPr>
          <w:sz w:val="28"/>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480"/>
        <w:jc w:val="left"/>
      </w:pPr>
      <w:r>
        <w:rPr/>
        <w:t>特此声明。</w:t>
      </w:r>
      <w:r>
        <w:br/>
      </w:r>
      <w:r>
        <w:br/>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w:t>
      </w:r>
    </w:p>
    <w:p>
      <w:pPr>
        <w:pStyle w:val="null3"/>
        <w:ind w:firstLine="480"/>
        <w:jc w:val="left"/>
      </w:pPr>
      <w:r>
        <w:rPr/>
        <w:t>2、请供应商根据实际情况如实声明，否则视为提供虚假材料。</w:t>
      </w:r>
    </w:p>
    <w:p>
      <w:pPr>
        <w:pStyle w:val="null3"/>
      </w:pPr>
      <w:r>
        <w:rPr/>
        <w:t xml:space="preserve"> </w:t>
        <w:br/>
        <w:br w:type="page"/>
      </w:r>
    </w:p>
    <w:p>
      <w:pPr>
        <w:pStyle w:val="null3"/>
        <w:jc w:val="center"/>
        <w:outlineLvl w:val="2"/>
      </w:pPr>
      <w:r>
        <w:rPr>
          <w:sz w:val="28"/>
          <w:b/>
        </w:rPr>
        <w:t>附件3-13 其它资格证明文件</w:t>
      </w:r>
    </w:p>
    <w:p>
      <w:pPr>
        <w:pStyle w:val="null3"/>
        <w:jc w:val="center"/>
        <w:outlineLvl w:val="1"/>
      </w:pPr>
      <w:r>
        <w:rPr>
          <w:sz w:val="36"/>
          <w:b/>
        </w:rPr>
        <w:t>（若有）</w:t>
      </w:r>
    </w:p>
    <w:p>
      <w:pPr>
        <w:pStyle w:val="null3"/>
        <w:ind w:firstLine="480"/>
        <w:jc w:val="left"/>
      </w:pPr>
      <w:r>
        <w:rPr/>
        <w:t>说明：1、采购人或采购代理机构可以根据项目的特点和需要，在谈判文件“供应商的资格”中特定资格条件，对其它资格证明文件进行具体规定，供应商应按照谈判文件要求，在此项下提供相关证明材料，并加盖供应商单位公章。</w:t>
      </w:r>
    </w:p>
    <w:p>
      <w:pPr>
        <w:pStyle w:val="null3"/>
        <w:ind w:firstLine="480"/>
        <w:jc w:val="left"/>
      </w:pPr>
      <w:r>
        <w:rPr/>
        <w:t>2、若谈判文件规定接受联合体形式且供应商为联合体的，涉及联合体成员的其它资格证明文件在此处提供相关证明材料，并加盖供应商单位公章。</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附件4 谈判保证金凭证</w:t>
      </w:r>
    </w:p>
    <w:p>
      <w:pPr>
        <w:pStyle w:val="null3"/>
        <w:jc w:val="center"/>
      </w:pPr>
      <w:r>
        <w:rPr/>
        <w:t>编制说明</w:t>
      </w:r>
    </w:p>
    <w:p>
      <w:pPr>
        <w:pStyle w:val="null3"/>
        <w:ind w:firstLine="480"/>
        <w:jc w:val="left"/>
      </w:pPr>
      <w:r>
        <w:rPr/>
        <w:t>1、在此项下提交的“谈判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2、谈判保证金是否已提交按照谈判文件规定执行。</w:t>
      </w:r>
    </w:p>
    <w:p>
      <w:pPr>
        <w:pStyle w:val="null3"/>
      </w:pPr>
      <w:r>
        <w:rPr/>
        <w:t xml:space="preserve"> </w:t>
        <w:br/>
        <w:br w:type="page"/>
      </w:r>
    </w:p>
    <w:p>
      <w:pPr>
        <w:pStyle w:val="null3"/>
        <w:jc w:val="center"/>
        <w:outlineLvl w:val="2"/>
      </w:pPr>
      <w:r>
        <w:rPr>
          <w:sz w:val="28"/>
          <w:b/>
        </w:rPr>
        <w:t>附件5：技术、服务和商务响应表</w:t>
      </w:r>
    </w:p>
    <w:p>
      <w:pPr>
        <w:pStyle w:val="null3"/>
        <w:jc w:val="center"/>
        <w:outlineLvl w:val="2"/>
      </w:pPr>
      <w:r>
        <w:rPr>
          <w:sz w:val="28"/>
          <w:b/>
        </w:rPr>
        <w:t>附件5-1：技术和服务要求响应表</w:t>
      </w:r>
    </w:p>
    <w:p>
      <w:pPr>
        <w:pStyle w:val="null3"/>
        <w:ind w:firstLine="480"/>
        <w:jc w:val="left"/>
      </w:pPr>
      <w:r>
        <w:rPr/>
        <w:t>供应商名称：</w:t>
      </w:r>
      <w:r>
        <w:rPr>
          <w:u w:val="single"/>
        </w:rPr>
        <w:t>（全称加盖单位公章）</w:t>
      </w:r>
      <w:r>
        <w:rPr/>
        <w:t>项目编号∶</w:t>
      </w:r>
      <w:r>
        <w:rPr>
          <w:u w:val="single"/>
        </w:rPr>
        <w:t xml:space="preserve">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竞争性谈判文件规定的技术和服务要求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谈判保证金（如果未签订合同）将不予退还，给采购人和采购代理机构造成损失的，还必须进行赔偿并负相关责任。</w:t>
      </w:r>
    </w:p>
    <w:p>
      <w:pPr>
        <w:pStyle w:val="null3"/>
        <w:jc w:val="left"/>
      </w:pPr>
      <w:r>
        <w:rPr>
          <w:b/>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xml:space="preserve">    </w:t>
      </w:r>
    </w:p>
    <w:p>
      <w:pPr>
        <w:pStyle w:val="null3"/>
      </w:pPr>
      <w:r>
        <w:rPr/>
        <w:t xml:space="preserve"> </w:t>
        <w:br/>
        <w:br w:type="page"/>
      </w:r>
    </w:p>
    <w:p>
      <w:pPr>
        <w:pStyle w:val="null3"/>
        <w:jc w:val="center"/>
        <w:outlineLvl w:val="2"/>
      </w:pPr>
      <w:r>
        <w:rPr>
          <w:sz w:val="28"/>
          <w:b/>
        </w:rPr>
        <w:t xml:space="preserve">附件5-2 商务条件和其它事项响应表 </w:t>
      </w:r>
    </w:p>
    <w:p>
      <w:pPr>
        <w:pStyle w:val="null3"/>
        <w:ind w:firstLine="480"/>
        <w:jc w:val="left"/>
      </w:pPr>
      <w:r>
        <w:rPr/>
        <w:t>供应商名称：</w:t>
      </w:r>
      <w:r>
        <w:rPr>
          <w:u w:val="single"/>
        </w:rPr>
        <w:t>（全称加盖单位公章）</w:t>
      </w:r>
      <w:r>
        <w:rPr/>
        <w:t>项目编号∶</w:t>
      </w:r>
      <w:r>
        <w:rPr>
          <w:u w:val="single"/>
        </w:rPr>
        <w:t xml:space="preserve">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竞争性谈判文件规定的商务条件要求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谈判保证金（如果未签订合同）将不予退还，给采购人和采购代理机构造成损失的，还必须进行赔偿并负相关责任。</w:t>
      </w:r>
    </w:p>
    <w:p>
      <w:pPr>
        <w:pStyle w:val="null3"/>
        <w:jc w:val="left"/>
      </w:pPr>
      <w:r>
        <w:rPr>
          <w:b/>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xml:space="preserve">    </w:t>
      </w:r>
    </w:p>
    <w:p>
      <w:pPr>
        <w:pStyle w:val="null3"/>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谈判文件中对供应商需要提供的相关技术、商务、服务响应承诺及资料进行具体规定或附表格式，供应商应按照谈判文件要求提供相关承诺及材料，并加盖供应商单位公章。</w:t>
      </w:r>
    </w:p>
    <w:p>
      <w:pPr>
        <w:pStyle w:val="null3"/>
        <w:ind w:firstLine="480"/>
        <w:jc w:val="left"/>
      </w:pPr>
      <w:r>
        <w:rPr/>
        <w:t>2.如果没有特别要求的，供应商根据谈判文件的要求以及特点，提供相关技术、商务、服务响应承诺及资料，格式自拟。</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2"/>
      </w:pPr>
      <w:r>
        <w:rPr>
          <w:sz w:val="28"/>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p>
    <w:p>
      <w:pPr>
        <w:pStyle w:val="null3"/>
        <w:ind w:firstLine="480"/>
        <w:jc w:val="left"/>
      </w:pPr>
      <w:r>
        <w:rPr/>
        <w:t xml:space="preserve"> ※注意：</w:t>
      </w:r>
    </w:p>
    <w:p>
      <w:pPr>
        <w:pStyle w:val="null3"/>
        <w:ind w:firstLine="480"/>
        <w:jc w:val="left"/>
      </w:pPr>
      <w:r>
        <w:rPr/>
        <w:t xml:space="preserve"> 1、从业人员、营业收入、资产总额填报上一年度数据，无上一年度数据的新成立企业可不填报。</w:t>
      </w:r>
    </w:p>
    <w:p>
      <w:pPr>
        <w:pStyle w:val="null3"/>
        <w:ind w:firstLine="480"/>
        <w:jc w:val="left"/>
      </w:pPr>
      <w:r>
        <w:rPr/>
        <w:t xml:space="preserve"> 2、供应商须按谈判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 xml:space="preserve"> 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r>
        <w:rPr/>
        <w:t xml:space="preserve"> </w:t>
        <w:br/>
        <w:br w:type="page"/>
      </w:r>
    </w:p>
    <w:p>
      <w:pPr>
        <w:pStyle w:val="null3"/>
        <w:ind w:firstLine="480"/>
        <w:jc w:val="center"/>
      </w:pPr>
      <w:r>
        <w:rPr/>
        <w:t>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谈判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r>
        <w:rPr/>
        <w:t xml:space="preserve"> </w:t>
        <w:br/>
        <w:br w:type="page"/>
      </w:r>
    </w:p>
    <w:p>
      <w:pPr>
        <w:pStyle w:val="null3"/>
        <w:jc w:val="center"/>
        <w:outlineLvl w:val="2"/>
      </w:pPr>
      <w:r>
        <w:rPr>
          <w:sz w:val="28"/>
          <w:b/>
        </w:rPr>
        <w:t>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（）提供本供应商制造的</w:t>
      </w:r>
      <w:r>
        <w:rPr>
          <w:u w:val="single"/>
        </w:rPr>
        <w:t>（填写“所投采购包、品目号”）</w:t>
      </w:r>
      <w:r>
        <w:rPr/>
        <w:t>货物，或提供其他残疾人福利性单位制造的</w:t>
      </w:r>
      <w:r>
        <w:rPr>
          <w:u w:val="single"/>
        </w:rPr>
        <w:t>（不包括使用非残疾人福利性单位注册商标的货物）</w:t>
      </w:r>
      <w:r>
        <w:rPr/>
        <w:t>货物。（说明：只有部分货物由残疾人福利企业制造的，在该货物后标★）</w:t>
      </w:r>
    </w:p>
    <w:p>
      <w:pPr>
        <w:pStyle w:val="null3"/>
        <w:ind w:firstLine="480"/>
        <w:jc w:val="left"/>
      </w:pPr>
      <w:r>
        <w:rPr/>
        <w:t>（）由本供应商承建的</w:t>
      </w:r>
      <w:r>
        <w:rPr>
          <w:u w:val="single"/>
        </w:rPr>
        <w:t>（填写“所投采购包、品目号”）</w:t>
      </w:r>
      <w:r>
        <w:rPr/>
        <w:t>工程</w:t>
      </w:r>
    </w:p>
    <w:p>
      <w:pPr>
        <w:pStyle w:val="null3"/>
        <w:ind w:firstLine="480"/>
        <w:jc w:val="left"/>
      </w:pPr>
      <w:r>
        <w:rPr/>
        <w:t>（）由本供应商承接的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jc w:val="center"/>
      </w:pPr>
      <w:r>
        <w:rPr/>
        <w:t>备注：（1）若供应商不符合残疾人福利性单位，不用提供本声明函，否则视为提供虚假材料。供应商在提交最后报价前，如果已向谈判小组提交上述声明函，视同为供应商符合残疾人福利性单位，享受价格扣除的优惠政策。</w:t>
      </w:r>
    </w:p>
    <w:p>
      <w:pPr>
        <w:pStyle w:val="null3"/>
        <w:jc w:val="center"/>
      </w:pPr>
      <w:r>
        <w:rPr/>
        <w:t>（2）请供应商按照实际情况编制填写本声明函，并在相应的（）中打“√”。</w:t>
      </w:r>
    </w:p>
    <w:p>
      <w:pPr>
        <w:pStyle w:val="null3"/>
        <w:jc w:val="center"/>
      </w:pPr>
      <w:r>
        <w:rPr/>
        <w:t>（3）纸质响应文件正本中的本声明函（若有）应为原件。</w:t>
      </w:r>
    </w:p>
    <w:p>
      <w:pPr>
        <w:pStyle w:val="null3"/>
        <w:jc w:val="center"/>
      </w:pPr>
      <w:r>
        <w:rPr/>
        <w:t>（4）若《残疾人福利性单位声明函》内容不真实，视为提供虚假材料。</w:t>
      </w:r>
    </w:p>
    <w:p>
      <w:pPr>
        <w:pStyle w:val="null3"/>
      </w:pPr>
      <w:r>
        <w:rPr/>
        <w:t xml:space="preserve"> </w:t>
        <w:br/>
        <w:br w:type="page"/>
      </w:r>
    </w:p>
    <w:p>
      <w:pPr>
        <w:pStyle w:val="null3"/>
        <w:jc w:val="center"/>
        <w:outlineLvl w:val="2"/>
      </w:pPr>
      <w:r>
        <w:rPr>
          <w:sz w:val="28"/>
          <w:b/>
        </w:rPr>
        <w:t>附件7-1-3 监狱企业证明材料</w:t>
      </w:r>
      <w:r>
        <w:rPr/>
        <w:t>供应商为监狱企业，提供本单位制造的货物（承接的服务），并在响应文件中提供省级以上监狱管理局、戒毒管理局（含新疆生产建设兵团）出具的属于监狱企业的证明文件。</w:t>
      </w:r>
    </w:p>
    <w:p>
      <w:pPr>
        <w:pStyle w:val="null3"/>
      </w:pPr>
      <w:r>
        <w:rPr/>
        <w:t xml:space="preserve"> </w:t>
        <w:br/>
        <w:br w:type="page"/>
      </w:r>
    </w:p>
    <w:p>
      <w:pPr>
        <w:pStyle w:val="null3"/>
        <w:jc w:val="center"/>
        <w:outlineLvl w:val="2"/>
      </w:pPr>
      <w:r>
        <w:rPr>
          <w:sz w:val="28"/>
          <w:b/>
        </w:rPr>
        <w:t>附件7-2优先类节能产品、环境标志产品价格扣除证明材料（若有）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谈判文件中对要求作为响应文件组成部分的其他内容进行具体规定或附表格式，供应商应按照谈判文件要求提供相关承诺及材料，并加盖供应商单位公章。</w:t>
      </w:r>
    </w:p>
    <w:p>
      <w:pPr>
        <w:pStyle w:val="null3"/>
        <w:ind w:firstLine="480"/>
        <w:jc w:val="left"/>
      </w:pPr>
      <w:r>
        <w:rPr/>
        <w:t>2、供应商根据自身实际情况编写有关资料包括如供应商单位简介、竞争性谈判文件要求提供或供应商自已认为体现自身优势，需要补充说明的其它资料，格式自拟。</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