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1CC72">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left="0" w:leftChars="0" w:right="0" w:rightChars="0" w:firstLine="0" w:firstLineChars="0"/>
        <w:jc w:val="both"/>
        <w:textAlignment w:val="auto"/>
        <w:outlineLvl w:val="1"/>
        <w:rPr>
          <w:rFonts w:hint="eastAsia" w:ascii="仿宋" w:hAnsi="仿宋" w:eastAsia="仿宋" w:cs="仿宋"/>
          <w:color w:val="auto"/>
          <w:sz w:val="24"/>
          <w:szCs w:val="24"/>
          <w:highlight w:val="none"/>
          <w:lang w:val="en-US" w:eastAsia="zh-CN"/>
        </w:rPr>
      </w:pPr>
    </w:p>
    <w:p w14:paraId="3A812E12">
      <w:pPr>
        <w:bidi w:val="0"/>
        <w:jc w:val="center"/>
        <w:rPr>
          <w:rFonts w:hint="eastAsia"/>
          <w:b/>
          <w:bCs/>
          <w:highlight w:val="none"/>
          <w:lang w:val="en-US" w:eastAsia="zh-CN"/>
        </w:rPr>
      </w:pPr>
      <w:r>
        <w:rPr>
          <w:rFonts w:hint="eastAsia"/>
          <w:b/>
          <w:bCs/>
          <w:highlight w:val="none"/>
          <w:lang w:val="en-US" w:eastAsia="zh-CN"/>
        </w:rPr>
        <w:t>采购合同</w:t>
      </w:r>
    </w:p>
    <w:p w14:paraId="3A839CB3">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0"/>
          <w:sz w:val="24"/>
          <w:szCs w:val="24"/>
          <w:highlight w:val="none"/>
          <w:lang w:val="en-US" w:eastAsia="zh-CN" w:bidi="ar"/>
        </w:rPr>
        <w:t xml:space="preserve">合同编号：N5101142026000225 </w:t>
      </w:r>
    </w:p>
    <w:p w14:paraId="5193F781">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0"/>
          <w:sz w:val="24"/>
          <w:szCs w:val="24"/>
          <w:highlight w:val="none"/>
          <w:lang w:val="en-US" w:eastAsia="zh-CN" w:bidi="ar"/>
        </w:rPr>
        <w:t>签订地点：</w:t>
      </w:r>
    </w:p>
    <w:p w14:paraId="1CC3F768">
      <w:pPr>
        <w:keepNext w:val="0"/>
        <w:keepLines w:val="0"/>
        <w:widowControl w:val="0"/>
        <w:suppressLineNumbers w:val="0"/>
        <w:shd w:val="clear" w:color="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0"/>
          <w:sz w:val="24"/>
          <w:szCs w:val="24"/>
          <w:highlight w:val="none"/>
          <w:lang w:val="en-US" w:eastAsia="zh-CN" w:bidi="ar"/>
        </w:rPr>
        <w:t>签订时间：   年  月  日</w:t>
      </w:r>
    </w:p>
    <w:p w14:paraId="1E5263BC">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0"/>
          <w:sz w:val="24"/>
          <w:szCs w:val="24"/>
          <w:highlight w:val="none"/>
          <w:lang w:val="en-US" w:eastAsia="zh-CN" w:bidi="ar"/>
        </w:rPr>
        <w:t>采购人（甲方）：</w:t>
      </w:r>
      <w:r>
        <w:rPr>
          <w:rFonts w:hint="eastAsia" w:ascii="仿宋" w:hAnsi="仿宋" w:eastAsia="仿宋" w:cs="仿宋"/>
          <w:color w:val="auto"/>
          <w:kern w:val="0"/>
          <w:sz w:val="24"/>
          <w:szCs w:val="24"/>
          <w:highlight w:val="none"/>
          <w:u w:val="single"/>
          <w:lang w:val="en-US" w:eastAsia="zh-CN" w:bidi="ar"/>
        </w:rPr>
        <w:t xml:space="preserve">                       </w:t>
      </w:r>
    </w:p>
    <w:p w14:paraId="6812DD92">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0"/>
          <w:sz w:val="24"/>
          <w:szCs w:val="24"/>
          <w:highlight w:val="none"/>
          <w:lang w:val="en-US" w:eastAsia="zh-CN" w:bidi="ar"/>
        </w:rPr>
        <w:t>供应商（乙方）：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 xml:space="preserve"> </w:t>
      </w:r>
    </w:p>
    <w:p w14:paraId="15BB14BB">
      <w:pPr>
        <w:keepNext w:val="0"/>
        <w:keepLines w:val="0"/>
        <w:widowControl w:val="0"/>
        <w:suppressLineNumbers w:val="0"/>
        <w:shd w:val="clear" w:color="auto" w:fill="auto"/>
        <w:wordWrap w:val="0"/>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0"/>
          <w:sz w:val="24"/>
          <w:szCs w:val="24"/>
          <w:highlight w:val="none"/>
          <w:lang w:val="en-US" w:eastAsia="zh-CN" w:bidi="ar"/>
        </w:rPr>
        <w:t>根据《中华人民共和国政府采购法》《中华人民共和国民法典》及“成都市新都区城市管理和综合行政执法局2026年食堂食材采购”（项目编号：N5101142026000225 ）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14:paraId="36E951E1">
      <w:pPr>
        <w:pStyle w:val="2"/>
        <w:keepNext/>
        <w:keepLines/>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第一条 项目基本情况</w:t>
      </w:r>
    </w:p>
    <w:p w14:paraId="7856D5EC">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甲方选择乙方提供</w:t>
      </w:r>
      <w:r>
        <w:rPr>
          <w:rFonts w:hint="eastAsia" w:ascii="仿宋" w:hAnsi="仿宋" w:eastAsia="仿宋" w:cs="仿宋"/>
          <w:color w:val="auto"/>
          <w:kern w:val="0"/>
          <w:sz w:val="24"/>
          <w:szCs w:val="24"/>
          <w:highlight w:val="none"/>
          <w:lang w:val="en-US" w:eastAsia="zh-CN" w:bidi="ar"/>
        </w:rPr>
        <w:t>食堂食材</w:t>
      </w:r>
      <w:r>
        <w:rPr>
          <w:rFonts w:hint="eastAsia" w:ascii="仿宋" w:hAnsi="仿宋" w:eastAsia="仿宋" w:cs="仿宋"/>
          <w:color w:val="auto"/>
          <w:kern w:val="2"/>
          <w:sz w:val="24"/>
          <w:szCs w:val="24"/>
          <w:highlight w:val="none"/>
          <w:lang w:val="en-US" w:eastAsia="zh-CN" w:bidi="ar"/>
        </w:rPr>
        <w:t>。</w:t>
      </w:r>
    </w:p>
    <w:p w14:paraId="5202476B">
      <w:pPr>
        <w:pStyle w:val="2"/>
        <w:keepNext/>
        <w:keepLines/>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第二条 合同期限</w:t>
      </w:r>
    </w:p>
    <w:p w14:paraId="0A947684">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lang w:val="en-US" w:eastAsia="zh-CN" w:bidi="ar"/>
        </w:rPr>
      </w:pPr>
      <w:r>
        <w:rPr>
          <w:rFonts w:ascii="仿宋_GB2312" w:hAnsi="仿宋_GB2312" w:eastAsia="仿宋_GB2312" w:cs="仿宋_GB2312"/>
          <w:sz w:val="24"/>
          <w:highlight w:val="none"/>
        </w:rPr>
        <w:t>一年，自合同签订之日起算。</w:t>
      </w:r>
      <w:r>
        <w:rPr>
          <w:rFonts w:hint="eastAsia" w:ascii="仿宋" w:hAnsi="仿宋" w:eastAsia="仿宋" w:cs="仿宋"/>
          <w:color w:val="auto"/>
          <w:kern w:val="2"/>
          <w:sz w:val="24"/>
          <w:szCs w:val="24"/>
          <w:highlight w:val="none"/>
          <w:lang w:val="en-US" w:eastAsia="zh-CN" w:bidi="ar"/>
        </w:rPr>
        <w:t>自2026年</w:t>
      </w:r>
      <w:r>
        <w:rPr>
          <w:rFonts w:hint="eastAsia" w:ascii="仿宋" w:hAnsi="仿宋" w:eastAsia="仿宋" w:cs="仿宋"/>
          <w:color w:val="auto"/>
          <w:kern w:val="2"/>
          <w:sz w:val="24"/>
          <w:szCs w:val="24"/>
          <w:highlight w:val="none"/>
          <w:u w:val="single"/>
          <w:lang w:val="en-US" w:eastAsia="zh-CN" w:bidi="ar"/>
        </w:rPr>
        <w:t xml:space="preserve">   </w:t>
      </w:r>
      <w:r>
        <w:rPr>
          <w:rFonts w:hint="eastAsia" w:ascii="仿宋" w:hAnsi="仿宋" w:eastAsia="仿宋" w:cs="仿宋"/>
          <w:color w:val="auto"/>
          <w:kern w:val="2"/>
          <w:sz w:val="24"/>
          <w:szCs w:val="24"/>
          <w:highlight w:val="none"/>
          <w:lang w:val="en-US" w:eastAsia="zh-CN" w:bidi="ar"/>
        </w:rPr>
        <w:t>月</w:t>
      </w:r>
      <w:r>
        <w:rPr>
          <w:rFonts w:hint="eastAsia" w:ascii="仿宋" w:hAnsi="仿宋" w:eastAsia="仿宋" w:cs="仿宋"/>
          <w:color w:val="auto"/>
          <w:kern w:val="2"/>
          <w:sz w:val="24"/>
          <w:szCs w:val="24"/>
          <w:highlight w:val="none"/>
          <w:u w:val="single"/>
          <w:lang w:val="en-US" w:eastAsia="zh-CN" w:bidi="ar"/>
        </w:rPr>
        <w:t xml:space="preserve">   </w:t>
      </w:r>
      <w:r>
        <w:rPr>
          <w:rFonts w:hint="eastAsia" w:ascii="仿宋" w:hAnsi="仿宋" w:eastAsia="仿宋" w:cs="仿宋"/>
          <w:color w:val="auto"/>
          <w:kern w:val="2"/>
          <w:sz w:val="24"/>
          <w:szCs w:val="24"/>
          <w:highlight w:val="none"/>
          <w:lang w:val="en-US" w:eastAsia="zh-CN" w:bidi="ar"/>
        </w:rPr>
        <w:t>日至2027年</w:t>
      </w:r>
      <w:r>
        <w:rPr>
          <w:rFonts w:hint="eastAsia" w:ascii="仿宋" w:hAnsi="仿宋" w:eastAsia="仿宋" w:cs="仿宋"/>
          <w:color w:val="auto"/>
          <w:kern w:val="2"/>
          <w:sz w:val="24"/>
          <w:szCs w:val="24"/>
          <w:highlight w:val="none"/>
          <w:u w:val="single"/>
          <w:lang w:val="en-US" w:eastAsia="zh-CN" w:bidi="ar"/>
        </w:rPr>
        <w:t xml:space="preserve">   </w:t>
      </w:r>
      <w:r>
        <w:rPr>
          <w:rFonts w:hint="eastAsia" w:ascii="仿宋" w:hAnsi="仿宋" w:eastAsia="仿宋" w:cs="仿宋"/>
          <w:color w:val="auto"/>
          <w:kern w:val="2"/>
          <w:sz w:val="24"/>
          <w:szCs w:val="24"/>
          <w:highlight w:val="none"/>
          <w:lang w:val="en-US" w:eastAsia="zh-CN" w:bidi="ar"/>
        </w:rPr>
        <w:t>月</w:t>
      </w:r>
      <w:r>
        <w:rPr>
          <w:rFonts w:hint="eastAsia" w:ascii="仿宋" w:hAnsi="仿宋" w:eastAsia="仿宋" w:cs="仿宋"/>
          <w:color w:val="auto"/>
          <w:kern w:val="2"/>
          <w:sz w:val="24"/>
          <w:szCs w:val="24"/>
          <w:highlight w:val="none"/>
          <w:u w:val="single"/>
          <w:lang w:val="en-US" w:eastAsia="zh-CN" w:bidi="ar"/>
        </w:rPr>
        <w:t xml:space="preserve">   </w:t>
      </w:r>
      <w:r>
        <w:rPr>
          <w:rFonts w:hint="eastAsia" w:ascii="仿宋" w:hAnsi="仿宋" w:eastAsia="仿宋" w:cs="仿宋"/>
          <w:color w:val="auto"/>
          <w:kern w:val="2"/>
          <w:sz w:val="24"/>
          <w:szCs w:val="24"/>
          <w:highlight w:val="none"/>
          <w:lang w:val="en-US" w:eastAsia="zh-CN" w:bidi="ar"/>
        </w:rPr>
        <w:t>日。如在合同期限届满之前，采购合同金额已经达到本项目预算限额，则本合同即行终止。</w:t>
      </w:r>
    </w:p>
    <w:p w14:paraId="7B32F194">
      <w:pPr>
        <w:pStyle w:val="2"/>
        <w:keepNext/>
        <w:keepLines/>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第三条 合同内容及要求</w:t>
      </w:r>
    </w:p>
    <w:p w14:paraId="622D0417">
      <w:pPr>
        <w:pStyle w:val="3"/>
        <w:widowControl/>
        <w:shd w:val="clear" w:color="auto" w:fill="auto"/>
        <w:spacing w:before="0" w:beforeAutospacing="0" w:after="0" w:afterAutospacing="0" w:line="360" w:lineRule="auto"/>
        <w:ind w:left="0" w:firstLine="482" w:firstLineChars="200"/>
        <w:rPr>
          <w:rFonts w:hint="eastAsia" w:ascii="仿宋" w:hAnsi="仿宋" w:eastAsia="仿宋" w:cs="仿宋"/>
          <w:b/>
          <w:bCs/>
          <w:color w:val="auto"/>
          <w:sz w:val="24"/>
          <w:szCs w:val="24"/>
          <w:highlight w:val="none"/>
        </w:rPr>
      </w:pPr>
      <w:bookmarkStart w:id="0" w:name="_GoBack"/>
      <w:bookmarkEnd w:id="0"/>
      <w:r>
        <w:rPr>
          <w:rFonts w:hint="eastAsia" w:ascii="仿宋" w:hAnsi="仿宋" w:eastAsia="仿宋" w:cs="仿宋"/>
          <w:b/>
          <w:bCs/>
          <w:color w:val="auto"/>
          <w:sz w:val="24"/>
          <w:szCs w:val="24"/>
          <w:highlight w:val="none"/>
        </w:rPr>
        <w:t>（一）食材采购清单及要求</w:t>
      </w:r>
    </w:p>
    <w:tbl>
      <w:tblPr>
        <w:tblStyle w:val="6"/>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148"/>
        <w:gridCol w:w="5624"/>
        <w:gridCol w:w="964"/>
        <w:gridCol w:w="582"/>
        <w:gridCol w:w="662"/>
      </w:tblGrid>
      <w:tr w14:paraId="7E463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656" w:type="dxa"/>
            <w:noWrap w:val="0"/>
            <w:tcMar>
              <w:top w:w="0" w:type="dxa"/>
              <w:left w:w="105" w:type="dxa"/>
              <w:bottom w:w="0" w:type="dxa"/>
              <w:right w:w="105" w:type="dxa"/>
            </w:tcMar>
            <w:vAlign w:val="center"/>
          </w:tcPr>
          <w:p w14:paraId="0D95A174">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148" w:type="dxa"/>
            <w:noWrap w:val="0"/>
            <w:tcMar>
              <w:top w:w="0" w:type="dxa"/>
              <w:left w:w="105" w:type="dxa"/>
              <w:bottom w:w="0" w:type="dxa"/>
              <w:right w:w="105" w:type="dxa"/>
            </w:tcMar>
            <w:vAlign w:val="center"/>
          </w:tcPr>
          <w:p w14:paraId="16F3E397">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标的</w:t>
            </w:r>
          </w:p>
          <w:p w14:paraId="12FA02BB">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名称</w:t>
            </w:r>
          </w:p>
        </w:tc>
        <w:tc>
          <w:tcPr>
            <w:tcW w:w="5624" w:type="dxa"/>
            <w:noWrap w:val="0"/>
            <w:tcMar>
              <w:top w:w="0" w:type="dxa"/>
              <w:left w:w="105" w:type="dxa"/>
              <w:bottom w:w="0" w:type="dxa"/>
              <w:right w:w="105" w:type="dxa"/>
            </w:tcMar>
            <w:vAlign w:val="center"/>
          </w:tcPr>
          <w:p w14:paraId="7682ADFE">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食材要求</w:t>
            </w:r>
          </w:p>
        </w:tc>
        <w:tc>
          <w:tcPr>
            <w:tcW w:w="964" w:type="dxa"/>
            <w:noWrap w:val="0"/>
            <w:tcMar>
              <w:top w:w="0" w:type="dxa"/>
              <w:left w:w="105" w:type="dxa"/>
              <w:bottom w:w="0" w:type="dxa"/>
              <w:right w:w="105" w:type="dxa"/>
            </w:tcMar>
            <w:vAlign w:val="center"/>
          </w:tcPr>
          <w:p w14:paraId="541731A6">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品牌/产品制造商</w:t>
            </w:r>
          </w:p>
        </w:tc>
        <w:tc>
          <w:tcPr>
            <w:tcW w:w="582" w:type="dxa"/>
            <w:noWrap w:val="0"/>
            <w:tcMar>
              <w:top w:w="0" w:type="dxa"/>
              <w:left w:w="105" w:type="dxa"/>
              <w:bottom w:w="0" w:type="dxa"/>
              <w:right w:w="105" w:type="dxa"/>
            </w:tcMar>
            <w:vAlign w:val="center"/>
          </w:tcPr>
          <w:p w14:paraId="3F6B4773">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产地</w:t>
            </w:r>
          </w:p>
        </w:tc>
        <w:tc>
          <w:tcPr>
            <w:tcW w:w="662" w:type="dxa"/>
            <w:noWrap w:val="0"/>
            <w:tcMar>
              <w:top w:w="0" w:type="dxa"/>
              <w:left w:w="105" w:type="dxa"/>
              <w:bottom w:w="0" w:type="dxa"/>
              <w:right w:w="105" w:type="dxa"/>
            </w:tcMar>
            <w:vAlign w:val="center"/>
          </w:tcPr>
          <w:p w14:paraId="4977B331">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备注</w:t>
            </w:r>
          </w:p>
        </w:tc>
      </w:tr>
      <w:tr w14:paraId="25E18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1" w:hRule="atLeast"/>
          <w:jc w:val="center"/>
        </w:trPr>
        <w:tc>
          <w:tcPr>
            <w:tcW w:w="656" w:type="dxa"/>
            <w:noWrap w:val="0"/>
            <w:tcMar>
              <w:top w:w="0" w:type="dxa"/>
              <w:left w:w="105" w:type="dxa"/>
              <w:bottom w:w="0" w:type="dxa"/>
              <w:right w:w="105" w:type="dxa"/>
            </w:tcMar>
            <w:vAlign w:val="center"/>
          </w:tcPr>
          <w:p w14:paraId="40B24628">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1</w:t>
            </w:r>
          </w:p>
        </w:tc>
        <w:tc>
          <w:tcPr>
            <w:tcW w:w="1148" w:type="dxa"/>
            <w:noWrap w:val="0"/>
            <w:tcMar>
              <w:top w:w="0" w:type="dxa"/>
              <w:left w:w="105" w:type="dxa"/>
              <w:bottom w:w="0" w:type="dxa"/>
              <w:right w:w="105" w:type="dxa"/>
            </w:tcMar>
            <w:vAlign w:val="center"/>
          </w:tcPr>
          <w:p w14:paraId="48BCE7EE">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面粉及面制品</w:t>
            </w:r>
          </w:p>
        </w:tc>
        <w:tc>
          <w:tcPr>
            <w:tcW w:w="5624" w:type="dxa"/>
            <w:noWrap w:val="0"/>
            <w:tcMar>
              <w:top w:w="0" w:type="dxa"/>
              <w:left w:w="105" w:type="dxa"/>
              <w:bottom w:w="0" w:type="dxa"/>
              <w:right w:w="105" w:type="dxa"/>
            </w:tcMar>
            <w:vAlign w:val="center"/>
          </w:tcPr>
          <w:p w14:paraId="58FA27F0">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1.气味、口味正常。</w:t>
            </w:r>
          </w:p>
          <w:p w14:paraId="2667D8E5">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2.面粉色泽呈乳白色或淡黄色，不发暗，无杂质，无粗粒感，流散性好，不结块，有自然的麦香味。</w:t>
            </w:r>
          </w:p>
          <w:p w14:paraId="742D1AED">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3.面粉及面制品均符合GB 2761-2017《食品安全国家标准食品中真菌毒素限量》、GB 2762-2022/XG1-2025《食品安全国家标准 食品中污染物限量（含第1号修改单）》标准及GB 7718-2011《食品安全国家标准 预包装食品标签通则》等国家标准，且有最新标准时按最新标准执行。</w:t>
            </w:r>
          </w:p>
          <w:p w14:paraId="6C55D25A">
            <w:pPr>
              <w:pStyle w:val="9"/>
              <w:shd w:val="clear" w:color="auto" w:fill="auto"/>
              <w:spacing w:before="32" w:line="213" w:lineRule="auto"/>
              <w:jc w:val="left"/>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4.面粉产品质量符合GB/T 1355-2021《小麦粉》标准，食品安全符合GB 2715-2016《食品安全国家标准 粮食》标准，面粉产品中有毒有害菌类指标、真菌毒素限量指标、重金属含量指标、农药残留等相关指标及食品添加剂指标均符合国家现行标准，且有最新标准时按最新标准执行。</w:t>
            </w:r>
          </w:p>
        </w:tc>
        <w:tc>
          <w:tcPr>
            <w:tcW w:w="964" w:type="dxa"/>
            <w:noWrap w:val="0"/>
            <w:tcMar>
              <w:top w:w="0" w:type="dxa"/>
              <w:left w:w="105" w:type="dxa"/>
              <w:bottom w:w="0" w:type="dxa"/>
              <w:right w:w="105" w:type="dxa"/>
            </w:tcMar>
            <w:vAlign w:val="top"/>
          </w:tcPr>
          <w:p w14:paraId="406D4DB4">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582" w:type="dxa"/>
            <w:noWrap w:val="0"/>
            <w:tcMar>
              <w:top w:w="0" w:type="dxa"/>
              <w:left w:w="105" w:type="dxa"/>
              <w:bottom w:w="0" w:type="dxa"/>
              <w:right w:w="105" w:type="dxa"/>
            </w:tcMar>
            <w:vAlign w:val="top"/>
          </w:tcPr>
          <w:p w14:paraId="77B60834">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662" w:type="dxa"/>
            <w:noWrap w:val="0"/>
            <w:tcMar>
              <w:top w:w="0" w:type="dxa"/>
              <w:left w:w="105" w:type="dxa"/>
              <w:bottom w:w="0" w:type="dxa"/>
              <w:right w:w="105" w:type="dxa"/>
            </w:tcMar>
            <w:vAlign w:val="top"/>
          </w:tcPr>
          <w:p w14:paraId="08BC5B1F">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r>
      <w:tr w14:paraId="79602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656" w:type="dxa"/>
            <w:noWrap w:val="0"/>
            <w:tcMar>
              <w:top w:w="0" w:type="dxa"/>
              <w:left w:w="105" w:type="dxa"/>
              <w:bottom w:w="0" w:type="dxa"/>
              <w:right w:w="105" w:type="dxa"/>
            </w:tcMar>
            <w:vAlign w:val="center"/>
          </w:tcPr>
          <w:p w14:paraId="71350CD8">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2</w:t>
            </w:r>
          </w:p>
        </w:tc>
        <w:tc>
          <w:tcPr>
            <w:tcW w:w="1148" w:type="dxa"/>
            <w:noWrap w:val="0"/>
            <w:tcMar>
              <w:top w:w="0" w:type="dxa"/>
              <w:left w:w="105" w:type="dxa"/>
              <w:bottom w:w="0" w:type="dxa"/>
              <w:right w:w="105" w:type="dxa"/>
            </w:tcMar>
            <w:vAlign w:val="center"/>
          </w:tcPr>
          <w:p w14:paraId="3269B264">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禽蛋</w:t>
            </w:r>
          </w:p>
        </w:tc>
        <w:tc>
          <w:tcPr>
            <w:tcW w:w="5624" w:type="dxa"/>
            <w:noWrap w:val="0"/>
            <w:tcMar>
              <w:top w:w="0" w:type="dxa"/>
              <w:left w:w="105" w:type="dxa"/>
              <w:bottom w:w="0" w:type="dxa"/>
              <w:right w:w="105" w:type="dxa"/>
            </w:tcMar>
            <w:vAlign w:val="center"/>
          </w:tcPr>
          <w:p w14:paraId="79B724D2">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1.禽蛋各项指标依据国家相关标准控制在安全范围，须保证新鲜、安全、卫生。具有禽蛋固有的色泽，蛋壳清洁、无破裂，打开后蛋黄凸起、完整、有韧性，蛋白澄清透明、稀稠分明，具有产品固有的气味，无异味。无杂质，内容物不得有血块或其他禽类组织异物。</w:t>
            </w:r>
          </w:p>
          <w:p w14:paraId="3B451F4E">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2.应符合GB 2749-2015《食品安全国家标准 蛋与蛋制品》、GB 31650-2019《食品安全国家标准食品中兽药最大残留限量》标准，如有最新标准时按最新标准执行。</w:t>
            </w:r>
          </w:p>
          <w:p w14:paraId="346609C9">
            <w:pPr>
              <w:pStyle w:val="9"/>
              <w:shd w:val="clear" w:color="auto" w:fill="auto"/>
              <w:spacing w:before="32" w:line="213" w:lineRule="auto"/>
              <w:jc w:val="left"/>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3.</w:t>
            </w:r>
            <w:r>
              <w:rPr>
                <w:rFonts w:hint="eastAsia" w:ascii="仿宋" w:hAnsi="仿宋" w:eastAsia="仿宋" w:cs="仿宋"/>
                <w:color w:val="auto"/>
                <w:sz w:val="24"/>
                <w:szCs w:val="24"/>
                <w:highlight w:val="none"/>
              </w:rPr>
              <w:t>配送时须有产品检疫合格证明，外地禽蛋须提供其所在地农业部门的检疫合格证明或检疫验讫标识</w:t>
            </w:r>
            <w:r>
              <w:rPr>
                <w:rFonts w:hint="eastAsia" w:ascii="仿宋" w:hAnsi="仿宋" w:eastAsia="仿宋" w:cs="仿宋"/>
                <w:color w:val="auto"/>
                <w:spacing w:val="8"/>
                <w:sz w:val="24"/>
                <w:szCs w:val="24"/>
                <w:highlight w:val="none"/>
                <w:lang w:val="en-US" w:eastAsia="zh-CN"/>
              </w:rPr>
              <w:t>。</w:t>
            </w:r>
          </w:p>
        </w:tc>
        <w:tc>
          <w:tcPr>
            <w:tcW w:w="964" w:type="dxa"/>
            <w:noWrap w:val="0"/>
            <w:tcMar>
              <w:top w:w="0" w:type="dxa"/>
              <w:left w:w="105" w:type="dxa"/>
              <w:bottom w:w="0" w:type="dxa"/>
              <w:right w:w="105" w:type="dxa"/>
            </w:tcMar>
            <w:vAlign w:val="top"/>
          </w:tcPr>
          <w:p w14:paraId="57BB9FD8">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582" w:type="dxa"/>
            <w:noWrap w:val="0"/>
            <w:tcMar>
              <w:top w:w="0" w:type="dxa"/>
              <w:left w:w="105" w:type="dxa"/>
              <w:bottom w:w="0" w:type="dxa"/>
              <w:right w:w="105" w:type="dxa"/>
            </w:tcMar>
            <w:vAlign w:val="top"/>
          </w:tcPr>
          <w:p w14:paraId="33496D40">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662" w:type="dxa"/>
            <w:noWrap w:val="0"/>
            <w:tcMar>
              <w:top w:w="0" w:type="dxa"/>
              <w:left w:w="105" w:type="dxa"/>
              <w:bottom w:w="0" w:type="dxa"/>
              <w:right w:w="105" w:type="dxa"/>
            </w:tcMar>
            <w:vAlign w:val="top"/>
          </w:tcPr>
          <w:p w14:paraId="19F49466">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r>
      <w:tr w14:paraId="23198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5" w:hRule="atLeast"/>
          <w:jc w:val="center"/>
        </w:trPr>
        <w:tc>
          <w:tcPr>
            <w:tcW w:w="656" w:type="dxa"/>
            <w:noWrap w:val="0"/>
            <w:tcMar>
              <w:top w:w="0" w:type="dxa"/>
              <w:left w:w="105" w:type="dxa"/>
              <w:bottom w:w="0" w:type="dxa"/>
              <w:right w:w="105" w:type="dxa"/>
            </w:tcMar>
            <w:vAlign w:val="center"/>
          </w:tcPr>
          <w:p w14:paraId="66A72872">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3</w:t>
            </w:r>
          </w:p>
        </w:tc>
        <w:tc>
          <w:tcPr>
            <w:tcW w:w="1148" w:type="dxa"/>
            <w:noWrap w:val="0"/>
            <w:tcMar>
              <w:top w:w="0" w:type="dxa"/>
              <w:left w:w="105" w:type="dxa"/>
              <w:bottom w:w="0" w:type="dxa"/>
              <w:right w:w="105" w:type="dxa"/>
            </w:tcMar>
            <w:vAlign w:val="center"/>
          </w:tcPr>
          <w:p w14:paraId="12909B52">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奶及奶制品</w:t>
            </w:r>
          </w:p>
        </w:tc>
        <w:tc>
          <w:tcPr>
            <w:tcW w:w="5624" w:type="dxa"/>
            <w:noWrap w:val="0"/>
            <w:tcMar>
              <w:top w:w="0" w:type="dxa"/>
              <w:left w:w="105" w:type="dxa"/>
              <w:bottom w:w="0" w:type="dxa"/>
              <w:right w:w="105" w:type="dxa"/>
            </w:tcMar>
            <w:vAlign w:val="center"/>
          </w:tcPr>
          <w:p w14:paraId="033378E3">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1.</w:t>
            </w:r>
            <w:r>
              <w:rPr>
                <w:rFonts w:ascii="仿宋" w:hAnsi="仿宋" w:eastAsia="仿宋" w:cs="仿宋"/>
                <w:sz w:val="24"/>
                <w:szCs w:val="24"/>
              </w:rPr>
              <w:t>牛奶按照GB 25190-2010/XG1-2025/XG2-2025《食品安全国家标准灭菌乳（含第1、2号修改单）》执行</w:t>
            </w:r>
            <w:r>
              <w:rPr>
                <w:rFonts w:hint="eastAsia" w:ascii="仿宋" w:hAnsi="仿宋" w:eastAsia="仿宋" w:cs="仿宋"/>
                <w:color w:val="auto"/>
                <w:spacing w:val="8"/>
                <w:sz w:val="24"/>
                <w:szCs w:val="24"/>
                <w:highlight w:val="none"/>
                <w:lang w:val="en-US" w:eastAsia="zh-CN"/>
              </w:rPr>
              <w:t>；酸奶按照GB 19302-2025《食品安全国家标准发酵乳》执行。符合GB 28050-2011《食品安全国家标准 预包装食品营养标签通则》、GB 2760-2024《食品安全国家标准 食品添加剂使用标准》标准，如有最新标准时按最新标准执行。</w:t>
            </w:r>
          </w:p>
          <w:p w14:paraId="1B2555E4">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2.奶及奶制品均符合国家最新质量标准及食品安全标准。</w:t>
            </w:r>
          </w:p>
          <w:p w14:paraId="6B65847D">
            <w:pPr>
              <w:pStyle w:val="9"/>
              <w:shd w:val="clear" w:color="auto" w:fill="auto"/>
              <w:spacing w:before="32" w:line="213" w:lineRule="auto"/>
              <w:jc w:val="left"/>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3.新鲜、口感好，具有固有的滋味和气味，无异味。</w:t>
            </w:r>
          </w:p>
        </w:tc>
        <w:tc>
          <w:tcPr>
            <w:tcW w:w="964" w:type="dxa"/>
            <w:noWrap w:val="0"/>
            <w:tcMar>
              <w:top w:w="0" w:type="dxa"/>
              <w:left w:w="105" w:type="dxa"/>
              <w:bottom w:w="0" w:type="dxa"/>
              <w:right w:w="105" w:type="dxa"/>
            </w:tcMar>
            <w:vAlign w:val="top"/>
          </w:tcPr>
          <w:p w14:paraId="4939C953">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582" w:type="dxa"/>
            <w:noWrap w:val="0"/>
            <w:tcMar>
              <w:top w:w="0" w:type="dxa"/>
              <w:left w:w="105" w:type="dxa"/>
              <w:bottom w:w="0" w:type="dxa"/>
              <w:right w:w="105" w:type="dxa"/>
            </w:tcMar>
            <w:vAlign w:val="top"/>
          </w:tcPr>
          <w:p w14:paraId="00640AAA">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662" w:type="dxa"/>
            <w:noWrap w:val="0"/>
            <w:tcMar>
              <w:top w:w="0" w:type="dxa"/>
              <w:left w:w="105" w:type="dxa"/>
              <w:bottom w:w="0" w:type="dxa"/>
              <w:right w:w="105" w:type="dxa"/>
            </w:tcMar>
            <w:vAlign w:val="top"/>
          </w:tcPr>
          <w:p w14:paraId="5FB8A5AF">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r>
      <w:tr w14:paraId="6D5C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656" w:type="dxa"/>
            <w:noWrap w:val="0"/>
            <w:tcMar>
              <w:top w:w="0" w:type="dxa"/>
              <w:left w:w="105" w:type="dxa"/>
              <w:bottom w:w="0" w:type="dxa"/>
              <w:right w:w="105" w:type="dxa"/>
            </w:tcMar>
            <w:vAlign w:val="center"/>
          </w:tcPr>
          <w:p w14:paraId="7E87D929">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4</w:t>
            </w:r>
          </w:p>
        </w:tc>
        <w:tc>
          <w:tcPr>
            <w:tcW w:w="1148" w:type="dxa"/>
            <w:noWrap w:val="0"/>
            <w:tcMar>
              <w:top w:w="0" w:type="dxa"/>
              <w:left w:w="105" w:type="dxa"/>
              <w:bottom w:w="0" w:type="dxa"/>
              <w:right w:w="105" w:type="dxa"/>
            </w:tcMar>
            <w:vAlign w:val="center"/>
          </w:tcPr>
          <w:p w14:paraId="62EBC933">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水果</w:t>
            </w:r>
          </w:p>
        </w:tc>
        <w:tc>
          <w:tcPr>
            <w:tcW w:w="5624" w:type="dxa"/>
            <w:noWrap w:val="0"/>
            <w:tcMar>
              <w:top w:w="0" w:type="dxa"/>
              <w:left w:w="105" w:type="dxa"/>
              <w:bottom w:w="0" w:type="dxa"/>
              <w:right w:w="105" w:type="dxa"/>
            </w:tcMar>
            <w:vAlign w:val="center"/>
          </w:tcPr>
          <w:p w14:paraId="634D3146">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1.感官要求：</w:t>
            </w:r>
          </w:p>
          <w:p w14:paraId="62439960">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①新鲜度要求：水量充足，无空壳、皱皮、干涩现象；色泽新鲜、光亮不变色；硬度饱满、充实、软硬适中。</w:t>
            </w:r>
          </w:p>
          <w:p w14:paraId="5DB778F2">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②机械伤：无外力造成的伤害。如挤伤、压伤、碰伤、切口、裂伤。</w:t>
            </w:r>
          </w:p>
          <w:p w14:paraId="41840857">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③病虫害：无不良病虫害，表面、中间无虫卵遗留，无虫眼。</w:t>
            </w:r>
          </w:p>
          <w:p w14:paraId="7D864078">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④成熟度：适中，无过熟、未熟现象。新鲜，正常色泽，果质优良，气味正常；无腐烂及虫蛀，无发霉，无失水枯萎。</w:t>
            </w:r>
          </w:p>
          <w:p w14:paraId="7C05C941">
            <w:pPr>
              <w:pStyle w:val="9"/>
              <w:shd w:val="clear" w:color="auto" w:fill="auto"/>
              <w:spacing w:before="32" w:line="213" w:lineRule="auto"/>
              <w:jc w:val="left"/>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2.符合GB 2763-2026《食品安全国家标准 食品中农药最大残留限量》、GB 2762-2022/XG1-2025《食品安全国家标准 食品中污染物限量（含第1号修改单）》及其他国家相关标准。如有最新标准时按最新标准执行。农药残留及重金属不得超标，不得含有国家全面禁止使用的农药成份。</w:t>
            </w:r>
          </w:p>
        </w:tc>
        <w:tc>
          <w:tcPr>
            <w:tcW w:w="964" w:type="dxa"/>
            <w:noWrap w:val="0"/>
            <w:tcMar>
              <w:top w:w="0" w:type="dxa"/>
              <w:left w:w="105" w:type="dxa"/>
              <w:bottom w:w="0" w:type="dxa"/>
              <w:right w:w="105" w:type="dxa"/>
            </w:tcMar>
            <w:vAlign w:val="top"/>
          </w:tcPr>
          <w:p w14:paraId="5CC1DBBA">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582" w:type="dxa"/>
            <w:noWrap w:val="0"/>
            <w:tcMar>
              <w:top w:w="0" w:type="dxa"/>
              <w:left w:w="105" w:type="dxa"/>
              <w:bottom w:w="0" w:type="dxa"/>
              <w:right w:w="105" w:type="dxa"/>
            </w:tcMar>
            <w:vAlign w:val="top"/>
          </w:tcPr>
          <w:p w14:paraId="4CC6A768">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662" w:type="dxa"/>
            <w:noWrap w:val="0"/>
            <w:tcMar>
              <w:top w:w="0" w:type="dxa"/>
              <w:left w:w="105" w:type="dxa"/>
              <w:bottom w:w="0" w:type="dxa"/>
              <w:right w:w="105" w:type="dxa"/>
            </w:tcMar>
            <w:vAlign w:val="top"/>
          </w:tcPr>
          <w:p w14:paraId="52361C5D">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r>
      <w:tr w14:paraId="0765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656" w:type="dxa"/>
            <w:noWrap w:val="0"/>
            <w:tcMar>
              <w:top w:w="0" w:type="dxa"/>
              <w:left w:w="105" w:type="dxa"/>
              <w:bottom w:w="0" w:type="dxa"/>
              <w:right w:w="105" w:type="dxa"/>
            </w:tcMar>
            <w:vAlign w:val="center"/>
          </w:tcPr>
          <w:p w14:paraId="29DFD567">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5</w:t>
            </w:r>
          </w:p>
        </w:tc>
        <w:tc>
          <w:tcPr>
            <w:tcW w:w="1148" w:type="dxa"/>
            <w:noWrap w:val="0"/>
            <w:tcMar>
              <w:top w:w="0" w:type="dxa"/>
              <w:left w:w="105" w:type="dxa"/>
              <w:bottom w:w="0" w:type="dxa"/>
              <w:right w:w="105" w:type="dxa"/>
            </w:tcMar>
            <w:vAlign w:val="center"/>
          </w:tcPr>
          <w:p w14:paraId="49224127">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油</w:t>
            </w:r>
          </w:p>
        </w:tc>
        <w:tc>
          <w:tcPr>
            <w:tcW w:w="5624" w:type="dxa"/>
            <w:noWrap w:val="0"/>
            <w:tcMar>
              <w:top w:w="0" w:type="dxa"/>
              <w:left w:w="105" w:type="dxa"/>
              <w:bottom w:w="0" w:type="dxa"/>
              <w:right w:w="105" w:type="dxa"/>
            </w:tcMar>
            <w:vAlign w:val="center"/>
          </w:tcPr>
          <w:p w14:paraId="672CCDC6">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1.符合GB/T 1536-2021/XG1-2023《菜籽油（含第1号修改单）》质量标准、GB 2716-2018《食品安全国家标准 植物油》及GB 7718-2011《预包装食品标签通则》等国家相关标准，且有最新标准时按最新标准执行。</w:t>
            </w:r>
          </w:p>
          <w:p w14:paraId="127AB623">
            <w:pPr>
              <w:pStyle w:val="9"/>
              <w:shd w:val="clear" w:color="auto" w:fill="auto"/>
              <w:spacing w:before="32" w:line="213" w:lineRule="auto"/>
              <w:jc w:val="left"/>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2.具有食用油固有的气味和滋味，无异味。</w:t>
            </w:r>
          </w:p>
        </w:tc>
        <w:tc>
          <w:tcPr>
            <w:tcW w:w="964" w:type="dxa"/>
            <w:noWrap w:val="0"/>
            <w:tcMar>
              <w:top w:w="0" w:type="dxa"/>
              <w:left w:w="105" w:type="dxa"/>
              <w:bottom w:w="0" w:type="dxa"/>
              <w:right w:w="105" w:type="dxa"/>
            </w:tcMar>
            <w:vAlign w:val="top"/>
          </w:tcPr>
          <w:p w14:paraId="27C0887A">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582" w:type="dxa"/>
            <w:noWrap w:val="0"/>
            <w:tcMar>
              <w:top w:w="0" w:type="dxa"/>
              <w:left w:w="105" w:type="dxa"/>
              <w:bottom w:w="0" w:type="dxa"/>
              <w:right w:w="105" w:type="dxa"/>
            </w:tcMar>
            <w:vAlign w:val="top"/>
          </w:tcPr>
          <w:p w14:paraId="06E5FE19">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662" w:type="dxa"/>
            <w:noWrap w:val="0"/>
            <w:tcMar>
              <w:top w:w="0" w:type="dxa"/>
              <w:left w:w="105" w:type="dxa"/>
              <w:bottom w:w="0" w:type="dxa"/>
              <w:right w:w="105" w:type="dxa"/>
            </w:tcMar>
            <w:vAlign w:val="top"/>
          </w:tcPr>
          <w:p w14:paraId="26D0DBA6">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r>
      <w:tr w14:paraId="4BE8A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7" w:hRule="atLeast"/>
          <w:jc w:val="center"/>
        </w:trPr>
        <w:tc>
          <w:tcPr>
            <w:tcW w:w="656" w:type="dxa"/>
            <w:noWrap w:val="0"/>
            <w:tcMar>
              <w:top w:w="0" w:type="dxa"/>
              <w:left w:w="105" w:type="dxa"/>
              <w:bottom w:w="0" w:type="dxa"/>
              <w:right w:w="105" w:type="dxa"/>
            </w:tcMar>
            <w:vAlign w:val="center"/>
          </w:tcPr>
          <w:p w14:paraId="36D2C2DA">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6</w:t>
            </w:r>
          </w:p>
        </w:tc>
        <w:tc>
          <w:tcPr>
            <w:tcW w:w="1148" w:type="dxa"/>
            <w:noWrap w:val="0"/>
            <w:tcMar>
              <w:top w:w="0" w:type="dxa"/>
              <w:left w:w="105" w:type="dxa"/>
              <w:bottom w:w="0" w:type="dxa"/>
              <w:right w:w="105" w:type="dxa"/>
            </w:tcMar>
            <w:vAlign w:val="center"/>
          </w:tcPr>
          <w:p w14:paraId="4BC19B07">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大米</w:t>
            </w:r>
          </w:p>
        </w:tc>
        <w:tc>
          <w:tcPr>
            <w:tcW w:w="5624" w:type="dxa"/>
            <w:noWrap w:val="0"/>
            <w:tcMar>
              <w:top w:w="0" w:type="dxa"/>
              <w:left w:w="105" w:type="dxa"/>
              <w:bottom w:w="0" w:type="dxa"/>
              <w:right w:w="105" w:type="dxa"/>
            </w:tcMar>
            <w:vAlign w:val="center"/>
          </w:tcPr>
          <w:p w14:paraId="623C9C04">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1.符合GB/T 1354-2018《大米》标准及GB 7718-2011《食品安全国家标准 预包装食品标签通则》标准，食品安全标准符合GB 2761-2017《食品安全国家标准 食品中真菌毒素限量》、GB 2762-2022/XG1-2025《食品安全国家标准 食品中污染物限量（含第1号修改单）》标准，且有最新标准时按最新标准执行。</w:t>
            </w:r>
          </w:p>
          <w:p w14:paraId="0EEA80B6">
            <w:pPr>
              <w:pStyle w:val="9"/>
              <w:shd w:val="clear" w:color="auto" w:fill="auto"/>
              <w:spacing w:before="32" w:line="213" w:lineRule="auto"/>
              <w:jc w:val="left"/>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2.背沟无皮，或有皮不成线，米胚和粒面皮层去净的占90%以上；无异常色泽和气味。</w:t>
            </w:r>
          </w:p>
        </w:tc>
        <w:tc>
          <w:tcPr>
            <w:tcW w:w="964" w:type="dxa"/>
            <w:noWrap w:val="0"/>
            <w:tcMar>
              <w:top w:w="0" w:type="dxa"/>
              <w:left w:w="105" w:type="dxa"/>
              <w:bottom w:w="0" w:type="dxa"/>
              <w:right w:w="105" w:type="dxa"/>
            </w:tcMar>
            <w:vAlign w:val="top"/>
          </w:tcPr>
          <w:p w14:paraId="021F6276">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582" w:type="dxa"/>
            <w:noWrap w:val="0"/>
            <w:tcMar>
              <w:top w:w="0" w:type="dxa"/>
              <w:left w:w="105" w:type="dxa"/>
              <w:bottom w:w="0" w:type="dxa"/>
              <w:right w:w="105" w:type="dxa"/>
            </w:tcMar>
            <w:vAlign w:val="top"/>
          </w:tcPr>
          <w:p w14:paraId="6E89F9FB">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662" w:type="dxa"/>
            <w:noWrap w:val="0"/>
            <w:tcMar>
              <w:top w:w="0" w:type="dxa"/>
              <w:left w:w="105" w:type="dxa"/>
              <w:bottom w:w="0" w:type="dxa"/>
              <w:right w:w="105" w:type="dxa"/>
            </w:tcMar>
            <w:vAlign w:val="top"/>
          </w:tcPr>
          <w:p w14:paraId="5D8CB7A0">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r>
      <w:tr w14:paraId="36276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656" w:type="dxa"/>
            <w:noWrap w:val="0"/>
            <w:tcMar>
              <w:top w:w="0" w:type="dxa"/>
              <w:left w:w="105" w:type="dxa"/>
              <w:bottom w:w="0" w:type="dxa"/>
              <w:right w:w="105" w:type="dxa"/>
            </w:tcMar>
            <w:vAlign w:val="center"/>
          </w:tcPr>
          <w:p w14:paraId="025A25C5">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7</w:t>
            </w:r>
          </w:p>
        </w:tc>
        <w:tc>
          <w:tcPr>
            <w:tcW w:w="1148" w:type="dxa"/>
            <w:noWrap w:val="0"/>
            <w:tcMar>
              <w:top w:w="0" w:type="dxa"/>
              <w:left w:w="105" w:type="dxa"/>
              <w:bottom w:w="0" w:type="dxa"/>
              <w:right w:w="105" w:type="dxa"/>
            </w:tcMar>
            <w:vAlign w:val="center"/>
          </w:tcPr>
          <w:p w14:paraId="38D95765">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蔬菜</w:t>
            </w:r>
          </w:p>
        </w:tc>
        <w:tc>
          <w:tcPr>
            <w:tcW w:w="5624" w:type="dxa"/>
            <w:noWrap w:val="0"/>
            <w:tcMar>
              <w:top w:w="0" w:type="dxa"/>
              <w:left w:w="105" w:type="dxa"/>
              <w:bottom w:w="0" w:type="dxa"/>
              <w:right w:w="105" w:type="dxa"/>
            </w:tcMar>
            <w:vAlign w:val="center"/>
          </w:tcPr>
          <w:p w14:paraId="5C336C36">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1.叶菜类：鲜嫩，无枯黄叶，无花斑叶，无烂叶；叶茎完整无折断，基部不老化，干爽无水；无裂口损伤，表面无泥土及其它杂物，无农药残留。</w:t>
            </w:r>
          </w:p>
          <w:p w14:paraId="36D743AA">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2.根茎类：个体均匀，根形完整，无畸形，无泥土，无虫蛀和机械伤，无腐烂，无断折断裂，不萎蔫变软，不发芽，不变绿，不空心，不糠心，不黑心，弹击有实心感，无农药残留。</w:t>
            </w:r>
          </w:p>
          <w:p w14:paraId="07FE8516">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3.芽苗类：鲜嫩、无老叶、无花斑黄叶，根部切口新鲜，茎叶完整，无腐烂现象，无农药残留。</w:t>
            </w:r>
          </w:p>
          <w:p w14:paraId="7C0947A3">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4.菌类：色泽与其品种相适应，气味正常；无腐烂及虫蛀株，无发霉，无失水枯萎，朵片完整，手轻捏不能有水渗出为宜。</w:t>
            </w:r>
          </w:p>
          <w:p w14:paraId="39E4E74F">
            <w:pPr>
              <w:pStyle w:val="9"/>
              <w:shd w:val="clear" w:color="auto" w:fill="auto"/>
              <w:spacing w:before="32" w:line="213" w:lineRule="auto"/>
              <w:jc w:val="left"/>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5.符合GB 2763-2026《食品安全国家标准 食品中农药最大残留限量》、GB 2762-2022/XG1-2025《食品安全国家标准 食品中污染物限量（含第1号修改单）》等国家标准，且有最新标准时按最新标准执行。农药残留及重金属不得超标，不得含有国家全面禁止使用的农药成分。</w:t>
            </w:r>
          </w:p>
        </w:tc>
        <w:tc>
          <w:tcPr>
            <w:tcW w:w="964" w:type="dxa"/>
            <w:noWrap w:val="0"/>
            <w:tcMar>
              <w:top w:w="0" w:type="dxa"/>
              <w:left w:w="105" w:type="dxa"/>
              <w:bottom w:w="0" w:type="dxa"/>
              <w:right w:w="105" w:type="dxa"/>
            </w:tcMar>
            <w:vAlign w:val="top"/>
          </w:tcPr>
          <w:p w14:paraId="3D3D8100">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582" w:type="dxa"/>
            <w:noWrap w:val="0"/>
            <w:tcMar>
              <w:top w:w="0" w:type="dxa"/>
              <w:left w:w="105" w:type="dxa"/>
              <w:bottom w:w="0" w:type="dxa"/>
              <w:right w:w="105" w:type="dxa"/>
            </w:tcMar>
            <w:vAlign w:val="top"/>
          </w:tcPr>
          <w:p w14:paraId="0F13F977">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662" w:type="dxa"/>
            <w:noWrap w:val="0"/>
            <w:tcMar>
              <w:top w:w="0" w:type="dxa"/>
              <w:left w:w="105" w:type="dxa"/>
              <w:bottom w:w="0" w:type="dxa"/>
              <w:right w:w="105" w:type="dxa"/>
            </w:tcMar>
            <w:vAlign w:val="top"/>
          </w:tcPr>
          <w:p w14:paraId="21814012">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r>
      <w:tr w14:paraId="587A7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656" w:type="dxa"/>
            <w:noWrap w:val="0"/>
            <w:tcMar>
              <w:top w:w="0" w:type="dxa"/>
              <w:left w:w="105" w:type="dxa"/>
              <w:bottom w:w="0" w:type="dxa"/>
              <w:right w:w="105" w:type="dxa"/>
            </w:tcMar>
            <w:vAlign w:val="center"/>
          </w:tcPr>
          <w:p w14:paraId="36B4C89A">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8</w:t>
            </w:r>
          </w:p>
        </w:tc>
        <w:tc>
          <w:tcPr>
            <w:tcW w:w="1148" w:type="dxa"/>
            <w:noWrap w:val="0"/>
            <w:tcMar>
              <w:top w:w="0" w:type="dxa"/>
              <w:left w:w="105" w:type="dxa"/>
              <w:bottom w:w="0" w:type="dxa"/>
              <w:right w:w="105" w:type="dxa"/>
            </w:tcMar>
            <w:vAlign w:val="center"/>
          </w:tcPr>
          <w:p w14:paraId="6AFF9D4D">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干杂调料</w:t>
            </w:r>
          </w:p>
        </w:tc>
        <w:tc>
          <w:tcPr>
            <w:tcW w:w="5624" w:type="dxa"/>
            <w:noWrap w:val="0"/>
            <w:tcMar>
              <w:top w:w="0" w:type="dxa"/>
              <w:left w:w="105" w:type="dxa"/>
              <w:bottom w:w="0" w:type="dxa"/>
              <w:right w:w="105" w:type="dxa"/>
            </w:tcMar>
            <w:vAlign w:val="center"/>
          </w:tcPr>
          <w:p w14:paraId="13FE0EE2">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1.外观无霉变、无斑点、无腐烂变质，有该物品独有的气味、无异味。</w:t>
            </w:r>
          </w:p>
          <w:p w14:paraId="6F27DC4D">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2.符合GB 2762-2022/XG1-2025《食品安全国家标准 食品中污染物限量（含第1号修改单）》等国家最新标准要求。</w:t>
            </w:r>
          </w:p>
          <w:p w14:paraId="2EB6054C">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3.食品原料的食品安全指标应符合相应食品安全国家标准的规定。符合GB 2761-2017《食品安全国家标准 食品中真菌毒素限量》标准。</w:t>
            </w:r>
          </w:p>
          <w:p w14:paraId="3DD155D4">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4.酱油符合GB2717-2018《食品安全国家标准酱油》相关标准。</w:t>
            </w:r>
          </w:p>
          <w:p w14:paraId="1BB09F98">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5.食醋符合GB2719-2018《食品安全国家标准食醋》相关标准。</w:t>
            </w:r>
          </w:p>
          <w:p w14:paraId="5E096756">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6.香辛料符合GB/T15691—2008《香辛料调味品通用技术条件》的规定要求；不得含有二氧化硫及重金属元素和非法使用添加剂；定型包装类的包装应符合国家和行业的有关规定。</w:t>
            </w:r>
          </w:p>
          <w:p w14:paraId="6F1E0F05">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7.如有最新标准时按最新标准执行。</w:t>
            </w:r>
          </w:p>
          <w:p w14:paraId="6326B015">
            <w:pPr>
              <w:pStyle w:val="9"/>
              <w:shd w:val="clear" w:color="auto" w:fill="auto"/>
              <w:spacing w:before="32" w:line="213" w:lineRule="auto"/>
              <w:jc w:val="left"/>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8.产品符合国家质量安全检验标准、随货有该批次产品质量检测合格证、包装完好无损、外观无霉变、无斑点、无腐烂变质，无异味，无异物，无虫害、无杂质。须保证配送种类、需求等级、品牌、规格、质量完全符合甲方要求，可溯源、新鲜、清洁卫生。包装完整、无任何破损、无挤压、无破碎、无异味、无任何表面附着物或衍生物。具有相关产品检验报告，具有在保质期内SC标识。</w:t>
            </w:r>
          </w:p>
        </w:tc>
        <w:tc>
          <w:tcPr>
            <w:tcW w:w="964" w:type="dxa"/>
            <w:noWrap w:val="0"/>
            <w:tcMar>
              <w:top w:w="0" w:type="dxa"/>
              <w:left w:w="105" w:type="dxa"/>
              <w:bottom w:w="0" w:type="dxa"/>
              <w:right w:w="105" w:type="dxa"/>
            </w:tcMar>
            <w:vAlign w:val="top"/>
          </w:tcPr>
          <w:p w14:paraId="36578495">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582" w:type="dxa"/>
            <w:noWrap w:val="0"/>
            <w:tcMar>
              <w:top w:w="0" w:type="dxa"/>
              <w:left w:w="105" w:type="dxa"/>
              <w:bottom w:w="0" w:type="dxa"/>
              <w:right w:w="105" w:type="dxa"/>
            </w:tcMar>
            <w:vAlign w:val="top"/>
          </w:tcPr>
          <w:p w14:paraId="6748933F">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662" w:type="dxa"/>
            <w:noWrap w:val="0"/>
            <w:tcMar>
              <w:top w:w="0" w:type="dxa"/>
              <w:left w:w="105" w:type="dxa"/>
              <w:bottom w:w="0" w:type="dxa"/>
              <w:right w:w="105" w:type="dxa"/>
            </w:tcMar>
            <w:vAlign w:val="top"/>
          </w:tcPr>
          <w:p w14:paraId="6E37DAD4">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r>
      <w:tr w14:paraId="292D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656" w:type="dxa"/>
            <w:noWrap w:val="0"/>
            <w:tcMar>
              <w:top w:w="0" w:type="dxa"/>
              <w:left w:w="105" w:type="dxa"/>
              <w:bottom w:w="0" w:type="dxa"/>
              <w:right w:w="105" w:type="dxa"/>
            </w:tcMar>
            <w:vAlign w:val="center"/>
          </w:tcPr>
          <w:p w14:paraId="3A9A070E">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9</w:t>
            </w:r>
          </w:p>
        </w:tc>
        <w:tc>
          <w:tcPr>
            <w:tcW w:w="1148" w:type="dxa"/>
            <w:noWrap w:val="0"/>
            <w:tcMar>
              <w:top w:w="0" w:type="dxa"/>
              <w:left w:w="105" w:type="dxa"/>
              <w:bottom w:w="0" w:type="dxa"/>
              <w:right w:w="105" w:type="dxa"/>
            </w:tcMar>
            <w:vAlign w:val="center"/>
          </w:tcPr>
          <w:p w14:paraId="0AB89251">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肉类</w:t>
            </w:r>
          </w:p>
        </w:tc>
        <w:tc>
          <w:tcPr>
            <w:tcW w:w="5624" w:type="dxa"/>
            <w:noWrap w:val="0"/>
            <w:tcMar>
              <w:top w:w="0" w:type="dxa"/>
              <w:left w:w="105" w:type="dxa"/>
              <w:bottom w:w="0" w:type="dxa"/>
              <w:right w:w="105" w:type="dxa"/>
            </w:tcMar>
            <w:vAlign w:val="center"/>
          </w:tcPr>
          <w:p w14:paraId="081A29D5">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1.包括猪肉、羊肉、牛肉、鸡肉、鸭肉、鹅肉及其他畜禽肉类，根据甲方实际需要品种、数量提供，应为非预包装类的生鲜或冷鲜肉。</w:t>
            </w:r>
          </w:p>
          <w:p w14:paraId="6697FB1F">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2.猪肉符合GB/T 40466-2021《畜禽肉分割技术规程猪肉》、GB/T 40467-2021《畜禽肉品质检测近红外法通则》等标准，符合GB 2707-2016《食品安全国家标准鲜（冻）畜、禽产品》、GB 2762-2022/XG1-2025《食品安全国家标准 食品中污染物限量（含第1号修改单）》等现行国家标准或国家卫生、食品安全最新标准。所供肉类不得检出国务院食品安全委员会办公室《“瘦肉精”专项整治方案》规定的“瘦肉精”品种目录。符合GB 31650-2019《食品安全国家标准 食品中兽药最大残留限量》要求。如有最新标准时按最新标准执行。应符合成都市生猪溯源体系的要求并有由检疫部门当批次出具的动物产品合格证明和动物产品检疫合格验讫印章以及生猪定点屠宰厂生猪定点屠宰证和动物防疫条件合格证、肉品品质检验合格证明、肉品品质检验合格验讫印章。</w:t>
            </w:r>
          </w:p>
          <w:p w14:paraId="3D6FD275">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3.牛肉符合GB/T 40467-2021《畜禽肉品质检测近红外法通则》标准，符合GB 2707-2016《食品安全国家标准鲜（冻）畜、禽产品》、符合GB 31650-2019《食品安全国家标准 食品中兽药最大残留限量》、GB 2762-2022/XG1-2025《食品安全国家标准 食品中污染物限量（含第1号修改单）》等现行国家标准或国家卫生、食品安全最新标准。所供肉类不得检出国务院食品安全委员会办公室《“瘦肉精”专项整治方案》规定的“瘦肉精”品种目录。如有最新标准时按最新标准执行。乙方应提供当批次的动物检疫合格证明。符合GB/T 28640-2012《畜禽肉冷链运输管理技术规范》要求。</w:t>
            </w:r>
          </w:p>
          <w:p w14:paraId="3FEC481F">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4.羊肉符合GB/T 40467-2021《畜禽肉品质检测近红外法通则》标准，符合GB 2707-2016《食品安全国家标准鲜（冻）畜、禽产品》、符合GB 31650-2019《食品安全国家标准 食品中兽药最大残留限量》、GB 2762-2022/XG1-2025《食品安全国家标准 食品中污染物限量（含第1号修改单）》等现行国家标准或国家卫生、食品安全最新标准。所供肉类不得检出国务院食品安全委员会办公室《“瘦肉精”专项整治方案》规定的“瘦肉精”品种目录。如有最新标准时按最新标准执行。乙方应提供当批次的动物检疫合格证明。符合GB/T 28640-2012《畜禽肉冷链运输管理技术规范》要求。</w:t>
            </w:r>
          </w:p>
          <w:p w14:paraId="3E02DA96">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5.鸡肉、鸭肉、鹅肉及其他畜禽肉类符合GB/T 40467-2021《畜禽肉品质检测 近红外法通则》、符合GB 2707-2016《食品安全国家标准鲜（冻）畜、禽产品》、GB 2762-2022/XG1-2025《食品安全国家标准 食品中污染物限量（含第1号修改单）》现行国家标准或国家卫生、食品安全最新标准。符合GB 31650-2019《食品安全国家标准食品中兽药最大残留限量》要求。如有最新标准时按最新标准执行。乙方应提供当批次的动物检疫合格证明。符合GB/T 28640-2012《畜禽肉冷链运输管理技术规范》要求。</w:t>
            </w:r>
          </w:p>
          <w:p w14:paraId="0498641D">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6.鲜畜肉类：应无槽头肉和血刀肉；甲状腺、肾上腺、病变淋巴摘除干净；无残留毛绒；不带浮毛、凝血块、胆污、粪污及其他污染物，并具有鲜肉的正常气味。</w:t>
            </w:r>
          </w:p>
          <w:p w14:paraId="265D746E">
            <w:pPr>
              <w:pStyle w:val="9"/>
              <w:shd w:val="clear" w:color="auto" w:fill="auto"/>
              <w:spacing w:before="32" w:line="213" w:lineRule="auto"/>
              <w:jc w:val="left"/>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7.鲜禽肉类：家禽鲜活原料应体壮、无病，肉质色泽正常、无内脏、无异物。</w:t>
            </w:r>
          </w:p>
        </w:tc>
        <w:tc>
          <w:tcPr>
            <w:tcW w:w="964" w:type="dxa"/>
            <w:noWrap w:val="0"/>
            <w:tcMar>
              <w:top w:w="0" w:type="dxa"/>
              <w:left w:w="105" w:type="dxa"/>
              <w:bottom w:w="0" w:type="dxa"/>
              <w:right w:w="105" w:type="dxa"/>
            </w:tcMar>
            <w:vAlign w:val="top"/>
          </w:tcPr>
          <w:p w14:paraId="7D0F1F76">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582" w:type="dxa"/>
            <w:noWrap w:val="0"/>
            <w:tcMar>
              <w:top w:w="0" w:type="dxa"/>
              <w:left w:w="105" w:type="dxa"/>
              <w:bottom w:w="0" w:type="dxa"/>
              <w:right w:w="105" w:type="dxa"/>
            </w:tcMar>
            <w:vAlign w:val="top"/>
          </w:tcPr>
          <w:p w14:paraId="71753530">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662" w:type="dxa"/>
            <w:noWrap w:val="0"/>
            <w:tcMar>
              <w:top w:w="0" w:type="dxa"/>
              <w:left w:w="105" w:type="dxa"/>
              <w:bottom w:w="0" w:type="dxa"/>
              <w:right w:w="105" w:type="dxa"/>
            </w:tcMar>
            <w:vAlign w:val="top"/>
          </w:tcPr>
          <w:p w14:paraId="1E9BB938">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r>
      <w:tr w14:paraId="1433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656" w:type="dxa"/>
            <w:noWrap w:val="0"/>
            <w:tcMar>
              <w:top w:w="0" w:type="dxa"/>
              <w:left w:w="105" w:type="dxa"/>
              <w:bottom w:w="0" w:type="dxa"/>
              <w:right w:w="105" w:type="dxa"/>
            </w:tcMar>
            <w:vAlign w:val="center"/>
          </w:tcPr>
          <w:p w14:paraId="365E5B75">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10</w:t>
            </w:r>
          </w:p>
        </w:tc>
        <w:tc>
          <w:tcPr>
            <w:tcW w:w="1148" w:type="dxa"/>
            <w:noWrap w:val="0"/>
            <w:tcMar>
              <w:top w:w="0" w:type="dxa"/>
              <w:left w:w="105" w:type="dxa"/>
              <w:bottom w:w="0" w:type="dxa"/>
              <w:right w:w="105" w:type="dxa"/>
            </w:tcMar>
            <w:vAlign w:val="center"/>
          </w:tcPr>
          <w:p w14:paraId="2C3F9019">
            <w:pPr>
              <w:pStyle w:val="9"/>
              <w:shd w:val="clear" w:color="auto" w:fill="auto"/>
              <w:spacing w:before="32" w:line="213" w:lineRule="auto"/>
              <w:jc w:val="center"/>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水产品</w:t>
            </w:r>
          </w:p>
        </w:tc>
        <w:tc>
          <w:tcPr>
            <w:tcW w:w="5624" w:type="dxa"/>
            <w:noWrap w:val="0"/>
            <w:tcMar>
              <w:top w:w="0" w:type="dxa"/>
              <w:left w:w="105" w:type="dxa"/>
              <w:bottom w:w="0" w:type="dxa"/>
              <w:right w:w="105" w:type="dxa"/>
            </w:tcMar>
            <w:vAlign w:val="center"/>
          </w:tcPr>
          <w:p w14:paraId="2D849411">
            <w:pPr>
              <w:pStyle w:val="9"/>
              <w:shd w:val="clear" w:color="auto" w:fill="auto"/>
              <w:spacing w:before="32" w:line="213" w:lineRule="auto"/>
              <w:jc w:val="left"/>
              <w:rPr>
                <w:rFonts w:hint="eastAsia" w:ascii="仿宋" w:hAnsi="仿宋" w:eastAsia="仿宋" w:cs="仿宋"/>
                <w:color w:val="auto"/>
                <w:spacing w:val="8"/>
                <w:sz w:val="24"/>
                <w:szCs w:val="24"/>
                <w:highlight w:val="none"/>
                <w:lang w:val="en-US" w:eastAsia="zh-CN"/>
              </w:rPr>
            </w:pPr>
            <w:r>
              <w:rPr>
                <w:rFonts w:hint="eastAsia" w:ascii="仿宋" w:hAnsi="仿宋" w:eastAsia="仿宋" w:cs="仿宋"/>
                <w:color w:val="auto"/>
                <w:spacing w:val="8"/>
                <w:sz w:val="24"/>
                <w:szCs w:val="24"/>
                <w:highlight w:val="none"/>
                <w:lang w:val="en-US" w:eastAsia="zh-CN"/>
              </w:rPr>
              <w:t>1.至少包括养殖生产的鱼、虾、蟹、贝、蛙类鲜活品。水产须保证鲜活、当批次送货的同类产品大小基本统一。为非预包装类产品。</w:t>
            </w:r>
          </w:p>
          <w:p w14:paraId="73144C7E">
            <w:pPr>
              <w:pStyle w:val="9"/>
              <w:shd w:val="clear" w:color="auto" w:fill="auto"/>
              <w:spacing w:before="32" w:line="213" w:lineRule="auto"/>
              <w:jc w:val="left"/>
              <w:rPr>
                <w:rFonts w:hint="eastAsia" w:ascii="仿宋" w:hAnsi="仿宋" w:eastAsia="仿宋" w:cs="仿宋"/>
                <w:color w:val="auto"/>
                <w:sz w:val="24"/>
                <w:szCs w:val="24"/>
                <w:highlight w:val="none"/>
              </w:rPr>
            </w:pPr>
            <w:r>
              <w:rPr>
                <w:rFonts w:hint="eastAsia" w:ascii="仿宋" w:hAnsi="仿宋" w:eastAsia="仿宋" w:cs="仿宋"/>
                <w:color w:val="auto"/>
                <w:spacing w:val="8"/>
                <w:sz w:val="24"/>
                <w:szCs w:val="24"/>
                <w:highlight w:val="none"/>
                <w:lang w:val="en-US" w:eastAsia="zh-CN"/>
              </w:rPr>
              <w:t>2.鲜水产品符合现行GB 2733-2015《食品安全国家标准 鲜、冻动物性水产品》标准。符合GB 2762-2022/XG1-2025《食品安全国家标准 食品中污染物限量（含第1号修改单）》、GB 31650-2019《食品安全国家标准食品中兽药最大残留限量》标准。如有最新标准时按最新标准执行。</w:t>
            </w:r>
          </w:p>
        </w:tc>
        <w:tc>
          <w:tcPr>
            <w:tcW w:w="964" w:type="dxa"/>
            <w:noWrap w:val="0"/>
            <w:tcMar>
              <w:top w:w="0" w:type="dxa"/>
              <w:left w:w="105" w:type="dxa"/>
              <w:bottom w:w="0" w:type="dxa"/>
              <w:right w:w="105" w:type="dxa"/>
            </w:tcMar>
            <w:vAlign w:val="top"/>
          </w:tcPr>
          <w:p w14:paraId="20B71819">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582" w:type="dxa"/>
            <w:noWrap w:val="0"/>
            <w:tcMar>
              <w:top w:w="0" w:type="dxa"/>
              <w:left w:w="105" w:type="dxa"/>
              <w:bottom w:w="0" w:type="dxa"/>
              <w:right w:w="105" w:type="dxa"/>
            </w:tcMar>
            <w:vAlign w:val="top"/>
          </w:tcPr>
          <w:p w14:paraId="0F56CFDC">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c>
          <w:tcPr>
            <w:tcW w:w="662" w:type="dxa"/>
            <w:noWrap w:val="0"/>
            <w:tcMar>
              <w:top w:w="0" w:type="dxa"/>
              <w:left w:w="105" w:type="dxa"/>
              <w:bottom w:w="0" w:type="dxa"/>
              <w:right w:w="105" w:type="dxa"/>
            </w:tcMar>
            <w:vAlign w:val="top"/>
          </w:tcPr>
          <w:p w14:paraId="443016A5">
            <w:pPr>
              <w:pStyle w:val="8"/>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p>
        </w:tc>
      </w:tr>
    </w:tbl>
    <w:p w14:paraId="10D0BA5C">
      <w:pPr>
        <w:pStyle w:val="3"/>
        <w:widowControl/>
        <w:shd w:val="clear" w:color="auto" w:fill="auto"/>
        <w:spacing w:before="0" w:beforeAutospacing="0" w:after="0" w:afterAutospacing="0" w:line="360" w:lineRule="auto"/>
        <w:ind w:left="0" w:firstLine="482"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产品配送要求</w:t>
      </w:r>
    </w:p>
    <w:p w14:paraId="7632A3CD">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1.日常食材的配送具体品种和数量按照甲方要求执行。配送的所有食材均须符合国家、行业最新强制性质量标准及食品安全标准。产品标准如国家有调整的，应以调整后的最新标准为准。提供的食材不得为转基因食材。应保证所有产品通过正规渠道获取。</w:t>
      </w:r>
    </w:p>
    <w:p w14:paraId="64962421">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2.如产品涉及预包装，包装及标注均应符合国家最新食品包装及标注的要求。要求包装完整、无渗漏、无破损。否则，甲方有权拒收。</w:t>
      </w:r>
    </w:p>
    <w:p w14:paraId="4578EEEF">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3.甲方将于需配送前一日告知乙方具体配送清单，乙方收到通知后按甲方要求的具体时间段将所需食材送达甲方指定地点。如遇应急配送，乙方接到通知后须负责完成配送。食材送出前，应完成食品安全自检。乙方安排的配送人员数量由乙方根据当日出车数量及供货量综合考虑。</w:t>
      </w:r>
    </w:p>
    <w:p w14:paraId="7124B201">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乙方建立食品溯源体系。配送时乙方自身保留样品和检验报告的同时须向甲方提供当批次质量检验合格证明。如接到甲方反映质量问题的通知，必须立即做出响应，到达现场进行处理。不得向甲方配送携带病毒的食材。如发现不合格食材，乙方须负责销毁。</w:t>
      </w:r>
    </w:p>
    <w:p w14:paraId="798D2046">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配送其他畜肉类、禽肉类时应向甲方提供当日动物检疫合格证明或其他有效检疫合格证明。否则甲方有权拒收产品。</w:t>
      </w:r>
    </w:p>
    <w:p w14:paraId="5D723554">
      <w:pPr>
        <w:pStyle w:val="8"/>
        <w:shd w:val="clear" w:color="auto" w:fill="auto"/>
        <w:spacing w:line="360" w:lineRule="auto"/>
        <w:ind w:firstLine="480"/>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6.乙方</w:t>
      </w:r>
      <w:r>
        <w:rPr>
          <w:rFonts w:hint="eastAsia" w:ascii="仿宋" w:hAnsi="仿宋" w:eastAsia="仿宋" w:cs="仿宋"/>
          <w:color w:val="auto"/>
          <w:sz w:val="24"/>
          <w:szCs w:val="24"/>
          <w:highlight w:val="none"/>
          <w:lang w:eastAsia="zh-CN"/>
        </w:rPr>
        <w:t>针对本项目至少配备两辆配送车辆，车辆为厢式货车或其他封闭式车辆，且其中至少包括一辆冷藏车辆。如因实际配送量导致配送车辆数量不足时由</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lang w:eastAsia="zh-CN"/>
        </w:rPr>
        <w:t>自行增加配送车辆。</w:t>
      </w:r>
    </w:p>
    <w:p w14:paraId="386BC920">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乙方应定期对配送车辆进行清洁、消毒，符合相关卫生要求，并做好消毒记录，车辆采用专人管理。食材禁止与有毒、有害、有异味的物品混装运输。</w:t>
      </w:r>
    </w:p>
    <w:p w14:paraId="488C48F6">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项目食材配送人员应无犯罪、吸毒史，且定期体检、身体健康。</w:t>
      </w:r>
    </w:p>
    <w:p w14:paraId="6CBDD3AC">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lang w:eastAsia="zh-CN"/>
        </w:rPr>
        <w:t>乙方在配送过程中的安全事故责任由乙方自行承担，与甲方无关。因配送食材质量原因发生的食品安全事故，由乙方自行承担全部损失赔偿和法律责任。</w:t>
      </w:r>
    </w:p>
    <w:p w14:paraId="5032A8BF">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lang w:eastAsia="zh-CN"/>
        </w:rPr>
        <w:t>乙方应购买食品安全责任险。</w:t>
      </w:r>
    </w:p>
    <w:p w14:paraId="348F9851">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11.</w:t>
      </w:r>
      <w:r>
        <w:rPr>
          <w:rFonts w:hint="eastAsia" w:ascii="仿宋" w:hAnsi="仿宋" w:eastAsia="仿宋" w:cs="仿宋"/>
          <w:color w:val="auto"/>
          <w:sz w:val="24"/>
          <w:szCs w:val="24"/>
          <w:highlight w:val="none"/>
          <w:lang w:eastAsia="zh-CN"/>
        </w:rPr>
        <w:t>如遇定期或不定期的相关职能部门抽样检验，乙方应按要求提供有关材料。</w:t>
      </w:r>
    </w:p>
    <w:p w14:paraId="5923DBF2">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lang w:eastAsia="zh-CN"/>
        </w:rPr>
        <w:t>因乙方原因导致发生甲方拒绝收货的，乙方应于甲方拒收货物后1小时内完成产品更换或完成交货所缺资料的补充。</w:t>
      </w:r>
    </w:p>
    <w:p w14:paraId="15539404">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lang w:eastAsia="zh-CN"/>
        </w:rPr>
        <w:t>收货时甲方发现乙方未按甲方要求的品类、数量进行食材配送的，乙方应于接到甲方通知后1小时内对配送食材进行补正。</w:t>
      </w:r>
    </w:p>
    <w:p w14:paraId="791BEF2A">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lang w:eastAsia="zh-CN"/>
        </w:rPr>
        <w:t>需确定专人联络配送事宜，如需变更应提前3个工作日告知甲方。</w:t>
      </w:r>
    </w:p>
    <w:p w14:paraId="5553DC1D">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lang w:eastAsia="zh-CN"/>
        </w:rPr>
        <w:t>配送人员应着工作服开展配送工作。</w:t>
      </w:r>
    </w:p>
    <w:p w14:paraId="5978ADAC">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16.</w:t>
      </w:r>
      <w:r>
        <w:rPr>
          <w:rFonts w:hint="eastAsia" w:ascii="仿宋" w:hAnsi="仿宋" w:eastAsia="仿宋" w:cs="仿宋"/>
          <w:color w:val="auto"/>
          <w:sz w:val="24"/>
          <w:szCs w:val="24"/>
          <w:highlight w:val="none"/>
          <w:lang w:eastAsia="zh-CN"/>
        </w:rPr>
        <w:t>应急配送应在30分钟内响应，2个小时以内送达。</w:t>
      </w:r>
    </w:p>
    <w:p w14:paraId="6FD616E8">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17.</w:t>
      </w:r>
      <w:r>
        <w:rPr>
          <w:rFonts w:hint="eastAsia" w:ascii="仿宋" w:hAnsi="仿宋" w:eastAsia="仿宋" w:cs="仿宋"/>
          <w:color w:val="auto"/>
          <w:sz w:val="24"/>
          <w:szCs w:val="24"/>
          <w:highlight w:val="none"/>
          <w:lang w:eastAsia="zh-CN"/>
        </w:rPr>
        <w:t>甲方如对乙方配送的某批次食材质量存在异议，有权单方将可能存在质量问题的食材提交相关专业检测单位进行抽样检测。如经检测存在食材质量问题的，检测费用由乙方承担。</w:t>
      </w:r>
    </w:p>
    <w:p w14:paraId="22325C80">
      <w:pPr>
        <w:pageBreakBefore w:val="0"/>
        <w:shd w:val="clear" w:color="auto" w:fill="auto"/>
        <w:kinsoku/>
        <w:wordWrap/>
        <w:overflowPunct/>
        <w:topLinePunct w:val="0"/>
        <w:autoSpaceDE/>
        <w:autoSpaceDN/>
        <w:bidi w:val="0"/>
        <w:adjustRightInd/>
        <w:snapToGrid/>
        <w:spacing w:line="360" w:lineRule="auto"/>
        <w:ind w:firstLine="482" w:firstLineChars="200"/>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（三）产品质保要求</w:t>
      </w:r>
    </w:p>
    <w:p w14:paraId="09648751">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存在保质期的产品：保质期总天数≤3天的，必须是送货当天生产的货品；3天＜保质期总天数≤7天的，送货日不超过生产日两日；保质期总天数＞7天的，送货日至保质期到期日的天数必须大于保质期总天数的三分之二。</w:t>
      </w:r>
    </w:p>
    <w:p w14:paraId="3401AE62">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2.不</w:t>
      </w:r>
      <w:r>
        <w:rPr>
          <w:rFonts w:hint="eastAsia" w:ascii="仿宋" w:hAnsi="仿宋" w:eastAsia="仿宋" w:cs="仿宋"/>
          <w:color w:val="auto"/>
          <w:sz w:val="24"/>
          <w:szCs w:val="24"/>
          <w:highlight w:val="none"/>
          <w:lang w:eastAsia="zh-CN"/>
        </w:rPr>
        <w:t>能直接反映保质期的食材须保证食材新鲜无变质。否则，甲方有权拒收。</w:t>
      </w:r>
    </w:p>
    <w:p w14:paraId="33867163">
      <w:pPr>
        <w:pageBreakBefore w:val="0"/>
        <w:shd w:val="clear" w:color="auto" w:fill="auto"/>
        <w:kinsoku/>
        <w:wordWrap/>
        <w:overflowPunct/>
        <w:topLinePunct w:val="0"/>
        <w:autoSpaceDE/>
        <w:autoSpaceDN/>
        <w:bidi w:val="0"/>
        <w:adjustRightInd/>
        <w:snapToGrid/>
        <w:spacing w:line="360" w:lineRule="auto"/>
        <w:ind w:firstLine="482" w:firstLineChars="200"/>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w:t>
      </w:r>
      <w:r>
        <w:rPr>
          <w:rFonts w:hint="eastAsia" w:ascii="仿宋" w:hAnsi="仿宋" w:eastAsia="仿宋" w:cs="仿宋"/>
          <w:b/>
          <w:bCs/>
          <w:color w:val="auto"/>
          <w:sz w:val="24"/>
          <w:szCs w:val="24"/>
          <w:highlight w:val="none"/>
          <w:lang w:eastAsia="zh-CN"/>
        </w:rPr>
        <w:t>包装运输</w:t>
      </w:r>
      <w:r>
        <w:rPr>
          <w:rFonts w:hint="eastAsia" w:ascii="仿宋" w:hAnsi="仿宋" w:eastAsia="仿宋" w:cs="仿宋"/>
          <w:b/>
          <w:bCs/>
          <w:color w:val="auto"/>
          <w:sz w:val="24"/>
          <w:szCs w:val="24"/>
          <w:highlight w:val="none"/>
          <w:lang w:val="en-US" w:eastAsia="zh-CN"/>
        </w:rPr>
        <w:t>要求</w:t>
      </w:r>
    </w:p>
    <w:p w14:paraId="3B26086B">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涉及商品包装和快递包装的，均应符合《商品包装政府采购需求标准（试行）》《快递包装政府采购需求标准（试行）》的要求，包装应适应于远距离运输、防潮、防震、防锈和防野蛮装卸，以确保货物安全无损运抵指定地点。</w:t>
      </w:r>
    </w:p>
    <w:p w14:paraId="1A65C175">
      <w:pPr>
        <w:pStyle w:val="2"/>
        <w:keepNext/>
        <w:keepLines/>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第四条 项目费用及支付方式</w:t>
      </w:r>
    </w:p>
    <w:p w14:paraId="0F6AF328">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u w:val="none"/>
          <w:lang w:val="en-US" w:eastAsia="zh-CN"/>
        </w:rPr>
      </w:pPr>
      <w:r>
        <w:rPr>
          <w:rFonts w:hint="eastAsia" w:ascii="仿宋" w:hAnsi="仿宋" w:eastAsia="仿宋" w:cs="仿宋"/>
          <w:color w:val="auto"/>
          <w:sz w:val="24"/>
          <w:szCs w:val="24"/>
          <w:highlight w:val="none"/>
          <w:lang w:val="en-US" w:eastAsia="zh-CN"/>
        </w:rPr>
        <w:t>1.本项目采购合同金额（即项目预算）人民币</w:t>
      </w:r>
      <w:r>
        <w:rPr>
          <w:rFonts w:hint="eastAsia" w:ascii="仿宋" w:hAnsi="仿宋" w:eastAsia="仿宋" w:cs="仿宋"/>
          <w:color w:val="auto"/>
          <w:sz w:val="24"/>
          <w:szCs w:val="24"/>
          <w:highlight w:val="none"/>
          <w:u w:val="single"/>
          <w:lang w:val="en-US" w:eastAsia="zh-CN"/>
        </w:rPr>
        <w:t>1500000.00</w:t>
      </w:r>
      <w:r>
        <w:rPr>
          <w:rFonts w:hint="eastAsia" w:ascii="仿宋" w:hAnsi="仿宋" w:eastAsia="仿宋" w:cs="仿宋"/>
          <w:color w:val="auto"/>
          <w:sz w:val="24"/>
          <w:szCs w:val="24"/>
          <w:highlight w:val="none"/>
          <w:lang w:val="en-US" w:eastAsia="zh-CN"/>
        </w:rPr>
        <w:t>元，合同中标折扣</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w:t>
      </w:r>
    </w:p>
    <w:p w14:paraId="20E787A5">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.付款方式：分期付款。</w:t>
      </w:r>
    </w:p>
    <w:p w14:paraId="1493B740">
      <w:pPr>
        <w:pageBreakBefore w:val="0"/>
        <w:shd w:val="clear" w:color="auto" w:fill="auto"/>
        <w:kinsoku/>
        <w:wordWrap/>
        <w:overflowPunct/>
        <w:topLinePunct w:val="0"/>
        <w:autoSpaceDE/>
        <w:autoSpaceDN/>
        <w:bidi w:val="0"/>
        <w:adjustRightInd/>
        <w:snapToGrid/>
        <w:spacing w:line="360" w:lineRule="auto"/>
        <w:ind w:firstLine="240" w:firstLineChars="1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）合同签订且乙方向甲方提交有效发票，</w:t>
      </w:r>
      <w:r>
        <w:rPr>
          <w:rFonts w:hint="eastAsia" w:ascii="仿宋" w:hAnsi="仿宋" w:eastAsia="仿宋" w:cs="仿宋"/>
          <w:color w:val="auto"/>
          <w:sz w:val="24"/>
          <w:szCs w:val="24"/>
          <w:highlight w:val="none"/>
          <w:lang w:val="en-US" w:eastAsia="zh-CN"/>
        </w:rPr>
        <w:t>甲方在</w:t>
      </w:r>
      <w:r>
        <w:rPr>
          <w:rFonts w:hint="eastAsia" w:ascii="仿宋" w:hAnsi="仿宋" w:eastAsia="仿宋" w:cs="仿宋"/>
          <w:color w:val="auto"/>
          <w:sz w:val="24"/>
          <w:szCs w:val="24"/>
          <w:highlight w:val="none"/>
          <w:lang w:eastAsia="zh-CN"/>
        </w:rPr>
        <w:t>达到付款条件</w:t>
      </w:r>
      <w:r>
        <w:rPr>
          <w:rFonts w:hint="eastAsia" w:ascii="仿宋" w:hAnsi="仿宋" w:eastAsia="仿宋" w:cs="仿宋"/>
          <w:color w:val="auto"/>
          <w:sz w:val="24"/>
          <w:szCs w:val="24"/>
          <w:highlight w:val="none"/>
          <w:lang w:val="en-US" w:eastAsia="zh-CN"/>
        </w:rPr>
        <w:t>后</w:t>
      </w:r>
      <w:r>
        <w:rPr>
          <w:rFonts w:hint="eastAsia" w:ascii="仿宋" w:hAnsi="仿宋" w:eastAsia="仿宋" w:cs="仿宋"/>
          <w:color w:val="auto"/>
          <w:sz w:val="24"/>
          <w:szCs w:val="24"/>
          <w:highlight w:val="none"/>
          <w:lang w:eastAsia="zh-CN"/>
        </w:rPr>
        <w:t>10日内，支付</w:t>
      </w:r>
      <w:r>
        <w:rPr>
          <w:rFonts w:hint="eastAsia" w:ascii="仿宋" w:hAnsi="仿宋" w:eastAsia="仿宋" w:cs="仿宋"/>
          <w:color w:val="auto"/>
          <w:sz w:val="24"/>
          <w:szCs w:val="24"/>
          <w:highlight w:val="none"/>
          <w:lang w:val="en-US" w:eastAsia="zh-CN"/>
        </w:rPr>
        <w:t>乙方</w:t>
      </w:r>
      <w:r>
        <w:rPr>
          <w:rFonts w:hint="eastAsia" w:ascii="仿宋" w:hAnsi="仿宋" w:eastAsia="仿宋" w:cs="仿宋"/>
          <w:color w:val="auto"/>
          <w:sz w:val="24"/>
          <w:szCs w:val="24"/>
          <w:highlight w:val="none"/>
          <w:lang w:eastAsia="zh-CN"/>
        </w:rPr>
        <w:t>合同金额的40%作为预付款。</w:t>
      </w:r>
    </w:p>
    <w:p w14:paraId="60FA3A4E">
      <w:pPr>
        <w:pageBreakBefore w:val="0"/>
        <w:shd w:val="clear" w:color="auto" w:fill="auto"/>
        <w:kinsoku/>
        <w:wordWrap/>
        <w:overflowPunct/>
        <w:topLinePunct w:val="0"/>
        <w:autoSpaceDE/>
        <w:autoSpaceDN/>
        <w:bidi w:val="0"/>
        <w:adjustRightInd/>
        <w:snapToGrid/>
        <w:spacing w:line="360" w:lineRule="auto"/>
        <w:ind w:firstLine="240" w:firstLineChars="1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甲方按月支付乙方月结算金额。乙方每月5日前，向甲方提交上个月的费用结算申请表及相应结算凭证，经甲方确认结算金额后，支付上个月结算费用。甲方每次付款前，乙方应向甲方提供等额有效发票，甲方在达到付款条件后10日内进行费用支付。结算金额=基准价×折扣×实际配送量。</w:t>
      </w:r>
      <w:r>
        <w:rPr>
          <w:rFonts w:hint="eastAsia" w:ascii="仿宋" w:hAnsi="仿宋" w:eastAsia="仿宋" w:cs="仿宋"/>
          <w:color w:val="auto"/>
          <w:sz w:val="24"/>
          <w:szCs w:val="24"/>
          <w:highlight w:val="none"/>
          <w:lang w:val="en-US" w:eastAsia="zh-CN"/>
        </w:rPr>
        <w:t>甲方已</w:t>
      </w:r>
      <w:r>
        <w:rPr>
          <w:rFonts w:hint="eastAsia" w:ascii="仿宋" w:hAnsi="仿宋" w:eastAsia="仿宋" w:cs="仿宋"/>
          <w:color w:val="auto"/>
          <w:sz w:val="24"/>
          <w:szCs w:val="24"/>
          <w:highlight w:val="none"/>
          <w:lang w:eastAsia="zh-CN"/>
        </w:rPr>
        <w:t>支付的预付款</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先行扣回，即：月结算费用先从已支付的预付款中抵扣，预付款全部抵扣完后正常支付月结算金额。</w:t>
      </w:r>
    </w:p>
    <w:p w14:paraId="51C66D04">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.本项目费用结算方式（各类配送的食材均分别按以下方式结算）：</w:t>
      </w:r>
    </w:p>
    <w:p w14:paraId="65CC16DF">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结算金额=基准价×折扣×实际配送量，</w:t>
      </w:r>
      <w:r>
        <w:rPr>
          <w:rFonts w:ascii="仿宋_GB2312" w:hAnsi="仿宋_GB2312" w:eastAsia="仿宋_GB2312" w:cs="仿宋_GB2312"/>
          <w:color w:val="auto"/>
          <w:sz w:val="24"/>
          <w:highlight w:val="none"/>
        </w:rPr>
        <w:t>结算价计算方式说明如下：若某项产品</w:t>
      </w:r>
      <w:r>
        <w:rPr>
          <w:rFonts w:hint="eastAsia" w:ascii="仿宋_GB2312" w:hAnsi="仿宋_GB2312" w:eastAsia="仿宋_GB2312" w:cs="仿宋_GB2312"/>
          <w:color w:val="auto"/>
          <w:sz w:val="24"/>
          <w:highlight w:val="none"/>
          <w:lang w:val="en-US" w:eastAsia="zh-CN"/>
        </w:rPr>
        <w:t>基准价</w:t>
      </w:r>
      <w:r>
        <w:rPr>
          <w:rFonts w:ascii="仿宋_GB2312" w:hAnsi="仿宋_GB2312" w:eastAsia="仿宋_GB2312" w:cs="仿宋_GB2312"/>
          <w:color w:val="auto"/>
          <w:sz w:val="24"/>
          <w:highlight w:val="none"/>
        </w:rPr>
        <w:t>100元，数量为1，</w:t>
      </w:r>
      <w:r>
        <w:rPr>
          <w:rFonts w:hint="eastAsia" w:ascii="仿宋_GB2312" w:hAnsi="仿宋_GB2312" w:eastAsia="仿宋_GB2312" w:cs="仿宋_GB2312"/>
          <w:color w:val="auto"/>
          <w:sz w:val="24"/>
          <w:highlight w:val="none"/>
          <w:lang w:eastAsia="zh-CN"/>
        </w:rPr>
        <w:t>乙方</w:t>
      </w:r>
      <w:r>
        <w:rPr>
          <w:rFonts w:ascii="仿宋_GB2312" w:hAnsi="仿宋_GB2312" w:eastAsia="仿宋_GB2312" w:cs="仿宋_GB2312"/>
          <w:color w:val="auto"/>
          <w:sz w:val="24"/>
          <w:highlight w:val="none"/>
        </w:rPr>
        <w:t>填报折扣为99%，则</w:t>
      </w:r>
      <w:r>
        <w:rPr>
          <w:rFonts w:hint="eastAsia" w:ascii="仿宋_GB2312" w:hAnsi="仿宋_GB2312" w:eastAsia="仿宋_GB2312" w:cs="仿宋_GB2312"/>
          <w:color w:val="auto"/>
          <w:sz w:val="24"/>
          <w:highlight w:val="none"/>
          <w:lang w:eastAsia="zh-CN"/>
        </w:rPr>
        <w:t>甲方</w:t>
      </w:r>
      <w:r>
        <w:rPr>
          <w:rFonts w:ascii="仿宋_GB2312" w:hAnsi="仿宋_GB2312" w:eastAsia="仿宋_GB2312" w:cs="仿宋_GB2312"/>
          <w:color w:val="auto"/>
          <w:sz w:val="24"/>
          <w:highlight w:val="none"/>
        </w:rPr>
        <w:t>的结算价为：100×99%×</w:t>
      </w:r>
      <w:r>
        <w:rPr>
          <w:rFonts w:hint="eastAsia" w:ascii="仿宋_GB2312" w:hAnsi="仿宋_GB2312" w:eastAsia="仿宋_GB2312" w:cs="仿宋_GB2312"/>
          <w:color w:val="auto"/>
          <w:sz w:val="24"/>
          <w:highlight w:val="none"/>
          <w:lang w:val="en-US" w:eastAsia="zh-CN"/>
        </w:rPr>
        <w:t>1</w:t>
      </w:r>
      <w:r>
        <w:rPr>
          <w:rFonts w:ascii="仿宋_GB2312" w:hAnsi="仿宋_GB2312" w:eastAsia="仿宋_GB2312" w:cs="仿宋_GB2312"/>
          <w:color w:val="auto"/>
          <w:sz w:val="24"/>
          <w:highlight w:val="none"/>
        </w:rPr>
        <w:t>=99元。</w:t>
      </w:r>
    </w:p>
    <w:p w14:paraId="1E5F2DB2">
      <w:pPr>
        <w:pageBreakBefore w:val="0"/>
        <w:shd w:val="clear" w:color="auto" w:fill="auto"/>
        <w:kinsoku/>
        <w:wordWrap/>
        <w:overflowPunct/>
        <w:topLinePunct w:val="0"/>
        <w:autoSpaceDE/>
        <w:autoSpaceDN/>
        <w:bidi w:val="0"/>
        <w:adjustRightInd/>
        <w:snapToGrid/>
        <w:spacing w:line="360" w:lineRule="auto"/>
        <w:ind w:firstLine="480" w:firstLineChars="200"/>
        <w:rPr>
          <w:color w:val="auto"/>
          <w:highlight w:val="none"/>
        </w:rPr>
      </w:pPr>
      <w:r>
        <w:rPr>
          <w:rFonts w:hint="eastAsia" w:ascii="仿宋" w:hAnsi="仿宋" w:eastAsia="仿宋" w:cs="仿宋"/>
          <w:color w:val="auto"/>
          <w:sz w:val="24"/>
          <w:szCs w:val="24"/>
          <w:highlight w:val="none"/>
          <w:lang w:eastAsia="zh-CN"/>
        </w:rPr>
        <w:t>基准价的确定方式：甲方和乙方共同参与询价，每月询价两次，每次询价不低于三家食材市场或超市，询价结果交由甲方留存，以询价的平均价作为基准价。当月1号至15号的结算价为：上月25号至上月月底最后一天之间任意一天组织到市场询价一次后的平均价×折扣。当月16号至月底最后一天的结算价为：当月10号至15号之间任意一天组织到市场询价一次后的平均价×折扣。合同签订后乙方第一次送货至当月月底最后一天的结算价为：合同签订之日至第一次送货前任意一天组织到市场询价一次后的平均价×折扣。</w:t>
      </w:r>
    </w:p>
    <w:p w14:paraId="00860950">
      <w:pPr>
        <w:pStyle w:val="2"/>
        <w:keepNext/>
        <w:keepLines/>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第五条 交货及验收</w:t>
      </w:r>
    </w:p>
    <w:p w14:paraId="5C5A41AF">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i w:val="0"/>
          <w:iCs w:val="0"/>
          <w:color w:val="auto"/>
          <w:sz w:val="24"/>
          <w:szCs w:val="24"/>
          <w:highlight w:val="none"/>
          <w:lang w:val="en-US" w:eastAsia="zh-CN"/>
        </w:rPr>
        <w:t>1.</w:t>
      </w:r>
      <w:r>
        <w:rPr>
          <w:rFonts w:hint="eastAsia" w:ascii="仿宋" w:hAnsi="仿宋" w:eastAsia="仿宋" w:cs="仿宋"/>
          <w:i w:val="0"/>
          <w:iCs w:val="0"/>
          <w:color w:val="auto"/>
          <w:sz w:val="24"/>
          <w:szCs w:val="24"/>
          <w:highlight w:val="none"/>
        </w:rPr>
        <w:t>交货地点</w:t>
      </w:r>
      <w:r>
        <w:rPr>
          <w:rFonts w:hint="eastAsia" w:ascii="仿宋" w:hAnsi="仿宋" w:eastAsia="仿宋" w:cs="仿宋"/>
          <w:i w:val="0"/>
          <w:iCs w:val="0"/>
          <w:color w:val="auto"/>
          <w:sz w:val="24"/>
          <w:szCs w:val="24"/>
          <w:highlight w:val="none"/>
          <w:lang w:eastAsia="zh-CN"/>
        </w:rPr>
        <w:t>：</w:t>
      </w:r>
      <w:r>
        <w:rPr>
          <w:rFonts w:hint="eastAsia" w:ascii="仿宋" w:hAnsi="仿宋" w:eastAsia="仿宋" w:cs="仿宋"/>
          <w:color w:val="auto"/>
          <w:sz w:val="24"/>
          <w:szCs w:val="24"/>
          <w:highlight w:val="none"/>
          <w:lang w:eastAsia="zh-CN"/>
        </w:rPr>
        <w:t>成都市新都区城市管理和综合行政执法局食堂及新都区范围内</w:t>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lang w:eastAsia="zh-CN"/>
        </w:rPr>
        <w:t>指定的其他地点。</w:t>
      </w:r>
    </w:p>
    <w:p w14:paraId="2401FC91">
      <w:pPr>
        <w:pStyle w:val="5"/>
        <w:keepNext w:val="0"/>
        <w:keepLines w:val="0"/>
        <w:widowControl w:val="0"/>
        <w:suppressLineNumbers w:val="0"/>
        <w:shd w:val="clear" w:color="auto" w:fill="auto"/>
        <w:autoSpaceDE w:val="0"/>
        <w:autoSpaceDN/>
        <w:spacing w:before="0" w:beforeAutospacing="0" w:after="0" w:afterAutospacing="0" w:line="360" w:lineRule="auto"/>
        <w:ind w:left="0" w:right="0" w:firstLine="480" w:firstLineChars="200"/>
        <w:jc w:val="left"/>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2.验收：</w:t>
      </w:r>
    </w:p>
    <w:p w14:paraId="07FCBEAD">
      <w:pPr>
        <w:pStyle w:val="5"/>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left"/>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（1）验收主体：甲方</w:t>
      </w:r>
      <w:r>
        <w:rPr>
          <w:rFonts w:hint="eastAsia" w:ascii="仿宋" w:hAnsi="仿宋" w:eastAsia="仿宋" w:cs="仿宋"/>
          <w:color w:val="auto"/>
          <w:sz w:val="24"/>
          <w:szCs w:val="24"/>
          <w:highlight w:val="none"/>
          <w:lang w:val="en-US" w:eastAsia="zh-CN"/>
        </w:rPr>
        <w:t>；</w:t>
      </w:r>
    </w:p>
    <w:p w14:paraId="22D64AED">
      <w:pPr>
        <w:pStyle w:val="5"/>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left"/>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（2）验收方式：</w:t>
      </w:r>
      <w:r>
        <w:rPr>
          <w:rFonts w:hint="eastAsia" w:ascii="仿宋" w:hAnsi="仿宋" w:eastAsia="仿宋" w:cs="仿宋"/>
          <w:color w:val="auto"/>
          <w:sz w:val="24"/>
          <w:szCs w:val="24"/>
          <w:highlight w:val="none"/>
          <w:lang w:val="en-US" w:eastAsia="zh-CN"/>
        </w:rPr>
        <w:t>甲方单位内部验收</w:t>
      </w:r>
      <w:r>
        <w:rPr>
          <w:rFonts w:hint="eastAsia" w:ascii="仿宋" w:hAnsi="仿宋" w:eastAsia="仿宋" w:cs="仿宋"/>
          <w:color w:val="auto"/>
          <w:kern w:val="2"/>
          <w:sz w:val="24"/>
          <w:szCs w:val="24"/>
          <w:highlight w:val="none"/>
          <w:lang w:val="en-US" w:eastAsia="zh-CN" w:bidi="ar"/>
        </w:rPr>
        <w:t>，</w:t>
      </w:r>
      <w:r>
        <w:rPr>
          <w:rFonts w:hint="eastAsia" w:ascii="仿宋" w:hAnsi="仿宋" w:eastAsia="仿宋" w:cs="仿宋"/>
          <w:color w:val="auto"/>
          <w:sz w:val="24"/>
          <w:szCs w:val="24"/>
          <w:highlight w:val="none"/>
          <w:lang w:val="en-US" w:eastAsia="zh-CN"/>
        </w:rPr>
        <w:t>验收应在甲、乙双方共同参加下进行；</w:t>
      </w:r>
    </w:p>
    <w:p w14:paraId="0C45BEBA">
      <w:pPr>
        <w:pStyle w:val="5"/>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left"/>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（3）验收程序：分期验收；</w:t>
      </w:r>
    </w:p>
    <w:p w14:paraId="41F58143">
      <w:pPr>
        <w:pStyle w:val="5"/>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left"/>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（4）验收时间：乙方提出验收申请，达到验收条件后10日内甲方组织验收。</w:t>
      </w:r>
    </w:p>
    <w:p w14:paraId="470A6EA4">
      <w:pPr>
        <w:pStyle w:val="8"/>
        <w:shd w:val="clear" w:color="auto" w:fill="auto"/>
        <w:spacing w:line="360" w:lineRule="auto"/>
        <w:ind w:firstLine="480"/>
        <w:jc w:val="both"/>
        <w:rPr>
          <w:color w:val="auto"/>
          <w:highlight w:val="none"/>
        </w:rPr>
      </w:pPr>
      <w:r>
        <w:rPr>
          <w:rFonts w:hint="eastAsia" w:ascii="仿宋_GB2312" w:hAnsi="仿宋_GB2312" w:eastAsia="仿宋_GB2312" w:cs="仿宋_GB2312"/>
          <w:color w:val="auto"/>
          <w:sz w:val="24"/>
          <w:highlight w:val="none"/>
          <w:lang w:val="en-US" w:eastAsia="zh-CN"/>
        </w:rPr>
        <w:t>3.</w:t>
      </w:r>
      <w:r>
        <w:rPr>
          <w:rFonts w:ascii="仿宋_GB2312" w:hAnsi="仿宋_GB2312" w:eastAsia="仿宋_GB2312" w:cs="仿宋_GB2312"/>
          <w:color w:val="auto"/>
          <w:sz w:val="24"/>
          <w:highlight w:val="none"/>
        </w:rPr>
        <w:t>验收办法：</w:t>
      </w:r>
      <w:r>
        <w:rPr>
          <w:rFonts w:hint="eastAsia" w:ascii="仿宋_GB2312" w:hAnsi="仿宋_GB2312" w:eastAsia="仿宋_GB2312" w:cs="仿宋_GB2312"/>
          <w:color w:val="auto"/>
          <w:sz w:val="24"/>
          <w:highlight w:val="none"/>
          <w:lang w:val="en-US" w:eastAsia="zh-CN"/>
        </w:rPr>
        <w:t>乙方</w:t>
      </w:r>
      <w:r>
        <w:rPr>
          <w:rFonts w:ascii="仿宋_GB2312" w:hAnsi="仿宋_GB2312" w:eastAsia="仿宋_GB2312" w:cs="仿宋_GB2312"/>
          <w:color w:val="auto"/>
          <w:sz w:val="24"/>
          <w:highlight w:val="none"/>
        </w:rPr>
        <w:t>与</w:t>
      </w:r>
      <w:r>
        <w:rPr>
          <w:rFonts w:hint="eastAsia" w:ascii="仿宋_GB2312" w:hAnsi="仿宋_GB2312" w:eastAsia="仿宋_GB2312" w:cs="仿宋_GB2312"/>
          <w:color w:val="auto"/>
          <w:sz w:val="24"/>
          <w:highlight w:val="none"/>
          <w:lang w:val="en-US" w:eastAsia="zh-CN"/>
        </w:rPr>
        <w:t>甲方</w:t>
      </w:r>
      <w:r>
        <w:rPr>
          <w:rFonts w:ascii="仿宋_GB2312" w:hAnsi="仿宋_GB2312" w:eastAsia="仿宋_GB2312" w:cs="仿宋_GB2312"/>
          <w:color w:val="auto"/>
          <w:sz w:val="24"/>
          <w:highlight w:val="none"/>
        </w:rPr>
        <w:t>应按照《财政部关于进一步加强政府采购需求和履约验收管理的指导意见》（财库〔2016〕205号）</w:t>
      </w:r>
      <w:r>
        <w:rPr>
          <w:rFonts w:hint="eastAsia" w:ascii="仿宋_GB2312" w:hAnsi="仿宋_GB2312" w:eastAsia="仿宋_GB2312" w:cs="仿宋_GB2312"/>
          <w:color w:val="auto"/>
          <w:sz w:val="24"/>
          <w:highlight w:val="none"/>
          <w:lang w:eastAsia="zh-CN"/>
        </w:rPr>
        <w:t>、《成都市新都区财政局关于印发</w:t>
      </w:r>
      <w:r>
        <w:rPr>
          <w:rFonts w:hint="eastAsia" w:ascii="仿宋_GB2312" w:hAnsi="仿宋_GB2312" w:eastAsia="仿宋_GB2312" w:cs="仿宋_GB2312"/>
          <w:color w:val="auto"/>
          <w:sz w:val="24"/>
          <w:highlight w:val="none"/>
          <w:lang w:val="en-US" w:eastAsia="zh-CN"/>
        </w:rPr>
        <w:t>〈</w:t>
      </w:r>
      <w:r>
        <w:rPr>
          <w:rFonts w:hint="eastAsia" w:ascii="仿宋_GB2312" w:hAnsi="仿宋_GB2312" w:eastAsia="仿宋_GB2312" w:cs="仿宋_GB2312"/>
          <w:color w:val="auto"/>
          <w:sz w:val="24"/>
          <w:highlight w:val="none"/>
          <w:lang w:eastAsia="zh-CN"/>
        </w:rPr>
        <w:t>成都市新都区采购项目履约验收实施细则（试行）</w:t>
      </w:r>
      <w:r>
        <w:rPr>
          <w:rFonts w:hint="eastAsia" w:ascii="仿宋_GB2312" w:hAnsi="仿宋_GB2312" w:eastAsia="仿宋_GB2312" w:cs="仿宋_GB2312"/>
          <w:color w:val="auto"/>
          <w:sz w:val="24"/>
          <w:highlight w:val="none"/>
          <w:lang w:val="en-US" w:eastAsia="zh-CN"/>
        </w:rPr>
        <w:t>〉</w:t>
      </w:r>
      <w:r>
        <w:rPr>
          <w:rFonts w:hint="eastAsia" w:ascii="仿宋_GB2312" w:hAnsi="仿宋_GB2312" w:eastAsia="仿宋_GB2312" w:cs="仿宋_GB2312"/>
          <w:color w:val="auto"/>
          <w:sz w:val="24"/>
          <w:highlight w:val="none"/>
          <w:lang w:eastAsia="zh-CN"/>
        </w:rPr>
        <w:t>的通知》（新都财采</w:t>
      </w:r>
      <w:r>
        <w:rPr>
          <w:rFonts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eastAsia="zh-CN"/>
        </w:rPr>
        <w:t>2026</w:t>
      </w:r>
      <w:r>
        <w:rPr>
          <w:rFonts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eastAsia="zh-CN"/>
        </w:rPr>
        <w:t>121号）</w:t>
      </w:r>
      <w:r>
        <w:rPr>
          <w:rFonts w:ascii="仿宋_GB2312" w:hAnsi="仿宋_GB2312" w:eastAsia="仿宋_GB2312" w:cs="仿宋_GB2312"/>
          <w:color w:val="auto"/>
          <w:sz w:val="24"/>
          <w:highlight w:val="none"/>
        </w:rPr>
        <w:t>的要求进行验收。</w:t>
      </w:r>
    </w:p>
    <w:p w14:paraId="0B9FBC20">
      <w:pPr>
        <w:pStyle w:val="8"/>
        <w:shd w:val="clear" w:color="auto" w:fill="auto"/>
        <w:spacing w:line="360" w:lineRule="auto"/>
        <w:ind w:firstLine="480"/>
        <w:jc w:val="both"/>
        <w:rPr>
          <w:color w:val="auto"/>
          <w:highlight w:val="none"/>
        </w:rPr>
      </w:pPr>
      <w:r>
        <w:rPr>
          <w:rFonts w:hint="eastAsia" w:ascii="仿宋_GB2312" w:hAnsi="仿宋_GB2312" w:eastAsia="仿宋_GB2312" w:cs="仿宋_GB2312"/>
          <w:color w:val="auto"/>
          <w:sz w:val="24"/>
          <w:highlight w:val="none"/>
          <w:lang w:val="en-US" w:eastAsia="zh-CN"/>
        </w:rPr>
        <w:t>4.</w:t>
      </w:r>
      <w:r>
        <w:rPr>
          <w:rFonts w:ascii="仿宋_GB2312" w:hAnsi="仿宋_GB2312" w:eastAsia="仿宋_GB2312" w:cs="仿宋_GB2312"/>
          <w:color w:val="auto"/>
          <w:sz w:val="24"/>
          <w:highlight w:val="none"/>
        </w:rPr>
        <w:t>验收标准：按招标文件的</w:t>
      </w:r>
      <w:r>
        <w:rPr>
          <w:rFonts w:hint="eastAsia" w:ascii="仿宋_GB2312" w:hAnsi="仿宋_GB2312" w:eastAsia="仿宋_GB2312" w:cs="仿宋_GB2312"/>
          <w:color w:val="auto"/>
          <w:sz w:val="24"/>
          <w:highlight w:val="none"/>
          <w:lang w:val="en-US" w:eastAsia="zh-CN"/>
        </w:rPr>
        <w:t>要求</w:t>
      </w:r>
      <w:r>
        <w:rPr>
          <w:rFonts w:ascii="仿宋_GB2312" w:hAnsi="仿宋_GB2312" w:eastAsia="仿宋_GB2312" w:cs="仿宋_GB2312"/>
          <w:color w:val="auto"/>
          <w:sz w:val="24"/>
          <w:highlight w:val="none"/>
        </w:rPr>
        <w:t>、</w:t>
      </w:r>
      <w:r>
        <w:rPr>
          <w:rFonts w:hint="eastAsia" w:ascii="仿宋_GB2312" w:hAnsi="仿宋_GB2312" w:eastAsia="仿宋_GB2312" w:cs="仿宋_GB2312"/>
          <w:color w:val="auto"/>
          <w:sz w:val="24"/>
          <w:highlight w:val="none"/>
          <w:lang w:val="en-US" w:eastAsia="zh-CN"/>
        </w:rPr>
        <w:t>乙方</w:t>
      </w:r>
      <w:r>
        <w:rPr>
          <w:rFonts w:ascii="仿宋_GB2312" w:hAnsi="仿宋_GB2312" w:eastAsia="仿宋_GB2312" w:cs="仿宋_GB2312"/>
          <w:color w:val="auto"/>
          <w:sz w:val="24"/>
          <w:highlight w:val="none"/>
        </w:rPr>
        <w:t>的投标文件及合同约定标准进行验收。</w:t>
      </w:r>
    </w:p>
    <w:p w14:paraId="158B7A47">
      <w:pPr>
        <w:pageBreakBefore w:val="0"/>
        <w:shd w:val="clear" w:color="auto" w:fill="auto"/>
        <w:kinsoku/>
        <w:wordWrap/>
        <w:overflowPunct/>
        <w:topLinePunct w:val="0"/>
        <w:autoSpaceDE/>
        <w:autoSpaceDN/>
        <w:bidi w:val="0"/>
        <w:adjustRightInd/>
        <w:snapToGrid/>
        <w:spacing w:line="360" w:lineRule="auto"/>
        <w:ind w:firstLine="480" w:firstLineChars="200"/>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5.乙方</w:t>
      </w:r>
      <w:r>
        <w:rPr>
          <w:rFonts w:hint="eastAsia" w:ascii="仿宋" w:hAnsi="仿宋" w:eastAsia="仿宋" w:cs="仿宋"/>
          <w:b w:val="0"/>
          <w:bCs w:val="0"/>
          <w:color w:val="auto"/>
          <w:sz w:val="24"/>
          <w:szCs w:val="24"/>
          <w:highlight w:val="none"/>
        </w:rPr>
        <w:t>应按</w:t>
      </w:r>
      <w:r>
        <w:rPr>
          <w:rFonts w:hint="eastAsia" w:ascii="仿宋" w:hAnsi="仿宋" w:eastAsia="仿宋" w:cs="仿宋"/>
          <w:b w:val="0"/>
          <w:bCs w:val="0"/>
          <w:color w:val="auto"/>
          <w:sz w:val="24"/>
          <w:szCs w:val="24"/>
          <w:highlight w:val="none"/>
          <w:lang w:eastAsia="zh-CN"/>
        </w:rPr>
        <w:t>甲方</w:t>
      </w:r>
      <w:r>
        <w:rPr>
          <w:rFonts w:hint="eastAsia" w:ascii="仿宋" w:hAnsi="仿宋" w:eastAsia="仿宋" w:cs="仿宋"/>
          <w:b w:val="0"/>
          <w:bCs w:val="0"/>
          <w:color w:val="auto"/>
          <w:sz w:val="24"/>
          <w:szCs w:val="24"/>
          <w:highlight w:val="none"/>
        </w:rPr>
        <w:t>要求配送，且随货提供</w:t>
      </w:r>
      <w:r>
        <w:rPr>
          <w:rFonts w:hint="eastAsia" w:ascii="仿宋" w:hAnsi="仿宋" w:eastAsia="仿宋" w:cs="仿宋"/>
          <w:b w:val="0"/>
          <w:bCs w:val="0"/>
          <w:color w:val="auto"/>
          <w:sz w:val="24"/>
          <w:szCs w:val="24"/>
          <w:highlight w:val="none"/>
          <w:lang w:val="en-US" w:eastAsia="zh-CN"/>
        </w:rPr>
        <w:t>甲方</w:t>
      </w:r>
      <w:r>
        <w:rPr>
          <w:rFonts w:hint="eastAsia" w:ascii="仿宋" w:hAnsi="仿宋" w:eastAsia="仿宋" w:cs="仿宋"/>
          <w:b w:val="0"/>
          <w:bCs w:val="0"/>
          <w:color w:val="auto"/>
          <w:sz w:val="24"/>
          <w:szCs w:val="24"/>
          <w:highlight w:val="none"/>
        </w:rPr>
        <w:t>要求的相关材料。由双方共同验收、签字确认完善交接手续，作为结算依据。未按照</w:t>
      </w:r>
      <w:r>
        <w:rPr>
          <w:rFonts w:hint="eastAsia" w:ascii="仿宋" w:hAnsi="仿宋" w:eastAsia="仿宋" w:cs="仿宋"/>
          <w:b w:val="0"/>
          <w:bCs w:val="0"/>
          <w:color w:val="auto"/>
          <w:sz w:val="24"/>
          <w:szCs w:val="24"/>
          <w:highlight w:val="none"/>
          <w:lang w:val="en-US" w:eastAsia="zh-CN"/>
        </w:rPr>
        <w:t>甲方</w:t>
      </w:r>
      <w:r>
        <w:rPr>
          <w:rFonts w:hint="eastAsia" w:ascii="仿宋" w:hAnsi="仿宋" w:eastAsia="仿宋" w:cs="仿宋"/>
          <w:b w:val="0"/>
          <w:bCs w:val="0"/>
          <w:color w:val="auto"/>
          <w:sz w:val="24"/>
          <w:szCs w:val="24"/>
          <w:highlight w:val="none"/>
        </w:rPr>
        <w:t>要求配送和未按要求提供相应材料的，</w:t>
      </w:r>
      <w:r>
        <w:rPr>
          <w:rFonts w:hint="eastAsia" w:ascii="仿宋" w:hAnsi="仿宋" w:eastAsia="仿宋" w:cs="仿宋"/>
          <w:b w:val="0"/>
          <w:bCs w:val="0"/>
          <w:color w:val="auto"/>
          <w:sz w:val="24"/>
          <w:szCs w:val="24"/>
          <w:highlight w:val="none"/>
          <w:lang w:val="en-US" w:eastAsia="zh-CN"/>
        </w:rPr>
        <w:t>甲方</w:t>
      </w:r>
      <w:r>
        <w:rPr>
          <w:rFonts w:hint="eastAsia" w:ascii="仿宋" w:hAnsi="仿宋" w:eastAsia="仿宋" w:cs="仿宋"/>
          <w:b w:val="0"/>
          <w:bCs w:val="0"/>
          <w:color w:val="auto"/>
          <w:sz w:val="24"/>
          <w:szCs w:val="24"/>
          <w:highlight w:val="none"/>
        </w:rPr>
        <w:t>有权拒收。</w:t>
      </w:r>
    </w:p>
    <w:p w14:paraId="56C0B85F">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kern w:val="2"/>
          <w:sz w:val="24"/>
          <w:szCs w:val="24"/>
          <w:highlight w:val="none"/>
          <w:lang w:val="en-US" w:eastAsia="zh-CN" w:bidi="ar"/>
        </w:rPr>
        <w:t>6.其他未尽事宜严格按照政府采购相关法律法规以及《财政部关于进一步加强政府采购需求和履约验收管理的指导意见》（财库〔2016〕205号）和《成都市新都区财政局关于印发〈成都市新都区采购项目履约验收实施细则（试行）〉的通知》（新都财采〔2026〕121号）的要求执行。</w:t>
      </w:r>
    </w:p>
    <w:p w14:paraId="44997843">
      <w:pPr>
        <w:pStyle w:val="2"/>
        <w:keepNext/>
        <w:keepLines/>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textAlignment w:val="auto"/>
        <w:rPr>
          <w:rFonts w:hint="default"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第六条 知识产权</w:t>
      </w:r>
    </w:p>
    <w:p w14:paraId="13E3FAAD">
      <w:pPr>
        <w:pageBreakBefore w:val="0"/>
        <w:shd w:val="clear" w:color="auto" w:fill="auto"/>
        <w:kinsoku/>
        <w:wordWrap/>
        <w:overflowPunct/>
        <w:topLinePunct w:val="0"/>
        <w:autoSpaceDE/>
        <w:autoSpaceDN/>
        <w:bidi w:val="0"/>
        <w:adjustRightInd/>
        <w:snapToGrid/>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乙方保证所提供货物或其任何一部分均不会侵犯任何第三方的专利权、商标权、著作权，如因第三方提出甲方使用产品侵犯其知识产权的，由乙方承担所有相关法律责任，由此给甲方造成的经济损失，乙方应负责全额赔偿。</w:t>
      </w:r>
    </w:p>
    <w:p w14:paraId="3BA0FB37">
      <w:pPr>
        <w:pStyle w:val="2"/>
        <w:keepNext/>
        <w:keepLines/>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第七条 违约责任</w:t>
      </w:r>
    </w:p>
    <w:p w14:paraId="6548AFED">
      <w:pPr>
        <w:pageBreakBefore w:val="0"/>
        <w:shd w:val="clear" w:color="auto" w:fill="auto"/>
        <w:kinsoku/>
        <w:wordWrap/>
        <w:overflowPunct/>
        <w:topLinePunct w:val="0"/>
        <w:autoSpaceDE/>
        <w:autoSpaceDN/>
        <w:bidi w:val="0"/>
        <w:adjustRightInd/>
        <w:snapToGrid/>
        <w:spacing w:line="360" w:lineRule="auto"/>
        <w:ind w:firstLine="480" w:firstLineChars="200"/>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sz w:val="24"/>
          <w:szCs w:val="24"/>
          <w:highlight w:val="none"/>
          <w:lang w:val="en-US" w:eastAsia="zh-CN"/>
        </w:rPr>
        <w:t>双方应严格遵守本合同并执行合同中的各项规定，保证本合同的正常履行。除合同另有约定外，守约方有权要求违约方全额赔偿损失。</w:t>
      </w:r>
    </w:p>
    <w:p w14:paraId="2AA7247A">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1.甲方违约责任</w:t>
      </w:r>
    </w:p>
    <w:p w14:paraId="2CE0779B">
      <w:pPr>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（1）甲方无正当理由拒收货物的，甲方应偿付合同金额3%的违约金。</w:t>
      </w:r>
    </w:p>
    <w:p w14:paraId="0114B2B5">
      <w:pPr>
        <w:pStyle w:val="8"/>
        <w:keepNext w:val="0"/>
        <w:keepLines w:val="0"/>
        <w:pageBreakBefore w:val="0"/>
        <w:widowControl/>
        <w:shd w:val="clear" w:color="auto" w:fill="auto"/>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（2）甲方逾期支付货款的，除应及时付足货款外，应向乙方偿付欠款总额万分之三/天的违约金；逾期付款超过30天的，乙方有权解除本合同。</w:t>
      </w:r>
      <w:r>
        <w:rPr>
          <w:rFonts w:hint="eastAsia" w:ascii="仿宋" w:hAnsi="仿宋" w:eastAsia="仿宋" w:cs="仿宋"/>
          <w:color w:val="auto"/>
          <w:sz w:val="24"/>
          <w:highlight w:val="none"/>
          <w:lang w:val="en-US" w:eastAsia="zh-CN"/>
        </w:rPr>
        <w:t>若因财政年终决算关账或财政资金未下达等客观原因导致甲方未按合同约定支付相应款项的，不视为甲方违约，甲方不承担任何违约责任。同时，乙方不得以甲方未支付资金为由拒绝或延迟履行合同义务。</w:t>
      </w:r>
    </w:p>
    <w:p w14:paraId="6B9D0162">
      <w:pPr>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（3）甲方偿付的违约金不足以弥补乙方损失的，还应按乙方损失尚未弥补的部分，支付赔偿金给乙方。</w:t>
      </w:r>
    </w:p>
    <w:p w14:paraId="54DC36EF">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2.乙方违约责任</w:t>
      </w:r>
    </w:p>
    <w:p w14:paraId="237A502D">
      <w:pPr>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因乙方原因导致甲方拒绝收货的，乙方应于甲方拒收货物后1小时内完成产品更换或完成交货所缺资料的补充。收货时发现乙方未按甲方要求的品类、数量进行食材配送的，乙方应于接到甲方通知后1小时内对配送食材进行补正。乙方配送食材过程中，违反本条任一情况的，应按次向甲方支付500元/次的违约金。</w:t>
      </w:r>
    </w:p>
    <w:p w14:paraId="2039F586">
      <w:pPr>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2）因乙方原因导致的甲方拒绝收货，或未按时送货，或未按采购人要求品类、数量进行食材配送等任一情况，如30天内累计发生次数达到3次以上（含本数）的，视乙方严重违约，甲方有权单方解除本合同，取消乙方配送资格，同时有权要求乙方按合同金额的10%支付违约金。</w:t>
      </w:r>
    </w:p>
    <w:p w14:paraId="1E798B74">
      <w:pPr>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因乙方配送食材质量原因发生食品安全事故的，乙方应自行承担全部损失赔偿和法律责任，甲方有权单方解除本合同，取消乙方配送资格，同时有权要求乙方按合同金额的10%支付违约金，如由此造成甲方经济损失的，乙方应全额赔偿甲方经济损失。</w:t>
      </w:r>
    </w:p>
    <w:p w14:paraId="648A8398">
      <w:pPr>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4）甲方如对乙方配送的某批次食材质量存在异议，有权单方将可能存在质量问题的食材提交相关专业检测单位进行抽样检测。如经检测存在食材质量问题的，视乙方严重违约，检测费用由乙方承担，甲方有权单方解除本合同，取消乙方配送资格，不予支付乙方该批次货物费用，同时有权要求乙方支付当批次货物金额10%的违约金。</w:t>
      </w:r>
    </w:p>
    <w:p w14:paraId="70296CA9">
      <w:pPr>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5）如经有关职能部门抽检发现乙方配送的任意一批次食材存在质量问题的，视乙方严重违约，甲方有权单方解除本合同，取消乙方配送资格，不予支付乙方该批次货物费用，同时有权要求乙方支付当批次货物金额10%的违约金。</w:t>
      </w:r>
    </w:p>
    <w:p w14:paraId="3C4F46FD">
      <w:pPr>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6）甲方下达整改通知要求乙方限期整改，乙方拒不整改或经两次整改仍达不到甲方要求或本合同约定标准的，视乙方严重违约，甲方有权单方解除本合同，取消乙方配送资格，同时有权要求乙方支付合同金额10%的违约金。</w:t>
      </w:r>
    </w:p>
    <w:p w14:paraId="60656D7A">
      <w:pPr>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7）如因乙方及乙方工作人员在履行职务过程中的疏忽、失职、过错等故意或者过失原因给甲方造成损失或侵害，包括但不限于甲方本身的财产损失、由此而导致的甲方对任何第三方的法律责任等，乙方对此均应承担全部赔偿责任。</w:t>
      </w:r>
    </w:p>
    <w:p w14:paraId="0DD531C6">
      <w:pPr>
        <w:keepNext w:val="0"/>
        <w:keepLines w:val="0"/>
        <w:widowControl w:val="0"/>
        <w:suppressLineNumbers w:val="0"/>
        <w:shd w:val="clear" w:color="auto" w:fill="auto"/>
        <w:autoSpaceDE w:val="0"/>
        <w:autoSpaceDN/>
        <w:spacing w:before="0" w:beforeAutospacing="0" w:after="0" w:afterAutospacing="0" w:line="360" w:lineRule="auto"/>
        <w:ind w:right="0" w:firstLine="240" w:firstLineChars="1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（8）乙方偿付的违约金不足以弥补甲方损失的，还应按甲方损失尚未弥补的部分，支付赔偿金给甲方。</w:t>
      </w:r>
    </w:p>
    <w:p w14:paraId="4E875A4C">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3.违约方应赔偿守约方的经济损失，包括但不限于守约方直接遭受的经济损失、代违约方赔偿（或支付）第三方的全部款项，以及因维权支出的诉讼费、仲裁费、律师费、鉴定费、公证费、保全费、执行费等全部费用。</w:t>
      </w:r>
    </w:p>
    <w:p w14:paraId="5D226930">
      <w:pPr>
        <w:pStyle w:val="2"/>
        <w:keepNext/>
        <w:keepLines/>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第八条 不可抗力事件处理</w:t>
      </w:r>
    </w:p>
    <w:p w14:paraId="46909933">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1.在合同有效期内，任何一方因不可抗力事件导致不能履行合同，则合同履行期可延长，其延长期与不可抗力影响期相同。</w:t>
      </w:r>
    </w:p>
    <w:p w14:paraId="677B7A43">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2.不可抗力事件发生后，应立即通知对方，并寄送有关权威机构出具的证明。</w:t>
      </w:r>
    </w:p>
    <w:p w14:paraId="5CD8C204">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3.不可抗力事件延续15天以上，双方应通过友好协商，确定是否继续履行合同。</w:t>
      </w:r>
    </w:p>
    <w:p w14:paraId="6175FFDF">
      <w:pPr>
        <w:pStyle w:val="2"/>
        <w:keepNext/>
        <w:keepLines/>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第九条 解决合同纠纷的方式</w:t>
      </w:r>
    </w:p>
    <w:p w14:paraId="0B356B21">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1.因货物的质量问题发生争议，由质量技术监督部门或其指定的质量鉴定机构进行质量鉴定。货物符合标准的，鉴定费由甲方承担；货物不符合质量标准的，鉴定费由乙方承担。</w:t>
      </w:r>
    </w:p>
    <w:p w14:paraId="1E58D324">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2.因合同履行发生争议，双方友好协商解决；协商不成的，有权向合同履行地成都市新都区人民法院诉讼解决。</w:t>
      </w:r>
    </w:p>
    <w:p w14:paraId="6BCB3637">
      <w:pPr>
        <w:pStyle w:val="2"/>
        <w:keepNext/>
        <w:keepLines/>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第十条 合同生效及其他</w:t>
      </w:r>
    </w:p>
    <w:p w14:paraId="1A4CEAD3">
      <w:pPr>
        <w:pStyle w:val="5"/>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1.合同经甲乙双方法定代表人或授权委托代理人签字并加盖单位公章后生效。</w:t>
      </w:r>
    </w:p>
    <w:p w14:paraId="430F583B">
      <w:pPr>
        <w:pStyle w:val="5"/>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2.合同执行中涉及采购资金和采购内容修改或补充的，须经政府采购监管部门审批，并签书面补充协议报政府采购监督管理部门备案，方可作为主合同不可分割的一部分。</w:t>
      </w:r>
    </w:p>
    <w:p w14:paraId="4BC27CC9">
      <w:pPr>
        <w:pStyle w:val="5"/>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3.本合同壹式肆份，甲方壹份，乙方壹份，政府采购代理机构壹份，同级财政部门备案壹份，具有同等法律效力。</w:t>
      </w:r>
    </w:p>
    <w:p w14:paraId="2B8104E3">
      <w:pPr>
        <w:pStyle w:val="2"/>
        <w:keepNext/>
        <w:keepLines/>
        <w:pageBreakBefore w:val="0"/>
        <w:widowControl w:val="0"/>
        <w:shd w:val="clear" w:color="auto" w:fill="auto"/>
        <w:kinsoku/>
        <w:wordWrap/>
        <w:overflowPunct/>
        <w:topLinePunct w:val="0"/>
        <w:autoSpaceDE/>
        <w:autoSpaceDN/>
        <w:bidi w:val="0"/>
        <w:adjustRightInd/>
        <w:snapToGrid/>
        <w:spacing w:before="0" w:after="0" w:line="360" w:lineRule="auto"/>
        <w:ind w:firstLine="482" w:firstLineChars="20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第十一条 附件</w:t>
      </w:r>
    </w:p>
    <w:p w14:paraId="5573236F">
      <w:pPr>
        <w:pStyle w:val="5"/>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中标通知书</w:t>
      </w:r>
    </w:p>
    <w:p w14:paraId="056244E5">
      <w:pPr>
        <w:pStyle w:val="5"/>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 xml:space="preserve"> </w:t>
      </w:r>
    </w:p>
    <w:p w14:paraId="4E9357BB">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甲方：（盖章）                  乙方：（盖章）</w:t>
      </w:r>
    </w:p>
    <w:p w14:paraId="23D449A7">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en-US" w:eastAsia="zh-CN" w:bidi="ar"/>
        </w:rPr>
        <w:t>法定代表人（授权代表）：        法定代表人（授权代表）：</w:t>
      </w:r>
    </w:p>
    <w:p w14:paraId="716092B7">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地    址：                      地    址：</w:t>
      </w:r>
    </w:p>
    <w:p w14:paraId="640C9F7A">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开户银行：                      开户银行：</w:t>
      </w:r>
    </w:p>
    <w:p w14:paraId="52BA4CF8">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账    号：                      账    号：</w:t>
      </w:r>
    </w:p>
    <w:p w14:paraId="5FD4EBF0">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电    话：                      电    话：</w:t>
      </w:r>
    </w:p>
    <w:p w14:paraId="3D4E350C">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传    真：                      传    真：</w:t>
      </w:r>
    </w:p>
    <w:p w14:paraId="39A45478">
      <w:pPr>
        <w:keepNext w:val="0"/>
        <w:keepLines w:val="0"/>
        <w:widowControl w:val="0"/>
        <w:suppressLineNumbers w:val="0"/>
        <w:shd w:val="clear" w:color="auto" w:fill="auto"/>
        <w:autoSpaceDE w:val="0"/>
        <w:autoSpaceDN/>
        <w:spacing w:before="0" w:beforeAutospacing="0" w:after="0" w:afterAutospacing="0" w:line="360" w:lineRule="auto"/>
        <w:ind w:left="0" w:leftChars="0" w:right="0" w:firstLine="480" w:firstLineChars="200"/>
        <w:jc w:val="both"/>
        <w:rPr>
          <w:rFonts w:hint="eastAsia" w:ascii="仿宋" w:hAnsi="仿宋" w:eastAsia="仿宋" w:cs="仿宋"/>
          <w:color w:val="auto"/>
          <w:kern w:val="2"/>
          <w:sz w:val="24"/>
          <w:szCs w:val="24"/>
          <w:highlight w:val="none"/>
          <w:lang w:val="en-US" w:eastAsia="zh-CN" w:bidi="ar"/>
        </w:rPr>
      </w:pPr>
      <w:r>
        <w:rPr>
          <w:rFonts w:hint="eastAsia" w:ascii="仿宋" w:hAnsi="仿宋" w:eastAsia="仿宋" w:cs="仿宋"/>
          <w:color w:val="auto"/>
          <w:kern w:val="2"/>
          <w:sz w:val="24"/>
          <w:szCs w:val="24"/>
          <w:highlight w:val="none"/>
          <w:lang w:val="en-US" w:eastAsia="zh-CN" w:bidi="ar"/>
        </w:rPr>
        <w:t xml:space="preserve">签约日期：  年  月  日 </w:t>
      </w:r>
      <w:r>
        <w:rPr>
          <w:rFonts w:hint="eastAsia" w:ascii="仿宋" w:hAnsi="仿宋" w:eastAsia="仿宋" w:cs="仿宋"/>
          <w:color w:val="auto"/>
          <w:kern w:val="2"/>
          <w:sz w:val="24"/>
          <w:szCs w:val="24"/>
          <w:highlight w:val="none"/>
          <w:lang w:val="en-US" w:eastAsia="zh-CN" w:bidi="ar"/>
        </w:rPr>
        <w:tab/>
      </w:r>
      <w:r>
        <w:rPr>
          <w:rFonts w:hint="eastAsia" w:ascii="仿宋" w:hAnsi="仿宋" w:eastAsia="仿宋" w:cs="仿宋"/>
          <w:color w:val="auto"/>
          <w:kern w:val="2"/>
          <w:sz w:val="24"/>
          <w:szCs w:val="24"/>
          <w:highlight w:val="none"/>
          <w:lang w:val="en-US" w:eastAsia="zh-CN" w:bidi="ar"/>
        </w:rPr>
        <w:t xml:space="preserve">        签约日期：  年  月  日</w:t>
      </w:r>
    </w:p>
    <w:p w14:paraId="42C0B4E5">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28504C"/>
    <w:rsid w:val="01F77248"/>
    <w:rsid w:val="02F56D74"/>
    <w:rsid w:val="0BC27E92"/>
    <w:rsid w:val="1828504C"/>
    <w:rsid w:val="37256F21"/>
    <w:rsid w:val="5C59709C"/>
    <w:rsid w:val="5D915B8E"/>
    <w:rsid w:val="717E7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paragraph" w:styleId="2">
    <w:name w:val="heading 1"/>
    <w:basedOn w:val="1"/>
    <w:next w:val="1"/>
    <w:qFormat/>
    <w:uiPriority w:val="0"/>
    <w:pPr>
      <w:keepNext/>
      <w:keepLines/>
      <w:spacing w:before="340" w:after="330" w:line="576" w:lineRule="auto"/>
      <w:ind w:firstLine="200" w:firstLineChars="200"/>
      <w:outlineLvl w:val="0"/>
    </w:pPr>
    <w:rPr>
      <w:rFonts w:ascii="Calibri" w:hAnsi="Calibri" w:eastAsia="黑体"/>
      <w:b/>
      <w:kern w:val="44"/>
      <w:sz w:val="32"/>
      <w:szCs w:val="22"/>
    </w:rPr>
  </w:style>
  <w:style w:type="paragraph" w:styleId="3">
    <w:name w:val="heading 2"/>
    <w:basedOn w:val="1"/>
    <w:next w:val="1"/>
    <w:qFormat/>
    <w:uiPriority w:val="0"/>
    <w:pPr>
      <w:keepNext/>
      <w:keepLines/>
      <w:spacing w:before="260" w:after="260" w:line="413" w:lineRule="auto"/>
      <w:ind w:firstLine="200" w:firstLineChars="200"/>
      <w:outlineLvl w:val="1"/>
    </w:pPr>
    <w:rPr>
      <w:rFonts w:ascii="Arial" w:hAnsi="Arial" w:eastAsia="黑体"/>
      <w:b/>
      <w:szCs w:val="2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Normal (Web)"/>
    <w:basedOn w:val="1"/>
    <w:qFormat/>
    <w:uiPriority w:val="0"/>
    <w:pPr>
      <w:spacing w:before="100" w:beforeAutospacing="1" w:after="100" w:afterAutospacing="1"/>
      <w:jc w:val="left"/>
    </w:pPr>
    <w:rPr>
      <w:rFonts w:ascii="Calibri" w:hAnsi="Calibri"/>
      <w:kern w:val="0"/>
      <w:szCs w:val="32"/>
    </w:rPr>
  </w:style>
  <w:style w:type="paragraph" w:customStyle="1" w:styleId="8">
    <w:name w:val="null3"/>
    <w:qFormat/>
    <w:uiPriority w:val="0"/>
    <w:rPr>
      <w:rFonts w:hint="eastAsia" w:ascii="Calibri" w:hAnsi="Calibri" w:eastAsia="宋体" w:cs="Times New Roman"/>
      <w:lang w:val="en-US" w:eastAsia="zh-Hans"/>
    </w:rPr>
  </w:style>
  <w:style w:type="paragraph" w:customStyle="1" w:styleId="9">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7966</Words>
  <Characters>8773</Characters>
  <Lines>0</Lines>
  <Paragraphs>0</Paragraphs>
  <TotalTime>1</TotalTime>
  <ScaleCrop>false</ScaleCrop>
  <LinksUpToDate>false</LinksUpToDate>
  <CharactersWithSpaces>9120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2026-07-03T08:21:00Z</dcterms:created>
  <dc:creator>Administrator</dc:creator>
  <cp:lastModifiedBy>Administrator</cp:lastModifiedBy>
  <dcterms:modified xsi:type="dcterms:W3CDTF">2026-07-07T07:51:35Z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AF62CB2D7EB64808AF4FCBA967047B8C_11</vt:lpwstr>
  </property>
  <property fmtid="{D5CDD505-2E9C-101B-9397-08002B2CF9AE}" pid="4" name="KSOTemplateDocerSaveRecord">
    <vt:lpwstr>eyJoZGlkIjoiNWFhODFmNGJmZGMzZjcxNTEwYzMwMzJkNzg4ODgwYzgiLCJ1c2VySWQiOiIxOTEwODE3NDQifQ==</vt:lpwstr>
  </property>
</Properties>
</file>