
<file path=[Content_Types].xml><?xml version="1.0" encoding="utf-8"?>
<Types xmlns="http://schemas.openxmlformats.org/package/2006/content-types">
  <Default Extension="gif" ContentType="image/gif"/>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firstLineChars="0"/>
        <w:jc w:val="left"/>
        <w:textAlignment w:val="auto"/>
        <w:outlineLvl w:val="1"/>
        <w:rPr>
          <w:rFonts w:hint="eastAsia" w:ascii="仿宋" w:hAnsi="仿宋" w:eastAsia="仿宋" w:cs="仿宋"/>
          <w:b/>
          <w:i w:val="0"/>
          <w:caps w:val="0"/>
          <w:color w:val="auto"/>
          <w:spacing w:val="0"/>
          <w:kern w:val="44"/>
          <w:sz w:val="24"/>
          <w:szCs w:val="24"/>
          <w:highlight w:val="none"/>
          <w:lang w:val="en-US" w:eastAsia="zh-CN" w:bidi="ar"/>
        </w:rPr>
      </w:pPr>
      <w:r>
        <w:rPr>
          <w:rFonts w:hint="eastAsia" w:ascii="仿宋" w:hAnsi="仿宋" w:eastAsia="仿宋" w:cs="仿宋"/>
          <w:b/>
          <w:i w:val="0"/>
          <w:caps w:val="0"/>
          <w:color w:val="auto"/>
          <w:spacing w:val="0"/>
          <w:kern w:val="44"/>
          <w:sz w:val="24"/>
          <w:szCs w:val="24"/>
          <w:highlight w:val="none"/>
          <w:lang w:val="en-US" w:eastAsia="zh-CN" w:bidi="ar"/>
        </w:rPr>
        <w:t>附件一</w:t>
      </w:r>
    </w:p>
    <w:p>
      <w:pPr>
        <w:keepNext w:val="0"/>
        <w:keepLines w:val="0"/>
        <w:pageBreakBefore w:val="0"/>
        <w:widowControl w:val="0"/>
        <w:kinsoku/>
        <w:wordWrap/>
        <w:overflowPunct/>
        <w:topLinePunct w:val="0"/>
        <w:autoSpaceDE/>
        <w:autoSpaceDN/>
        <w:bidi w:val="0"/>
        <w:adjustRightInd/>
        <w:snapToGrid/>
        <w:spacing w:beforeAutospacing="0" w:afterAutospacing="0"/>
        <w:ind w:firstLine="0" w:firstLineChars="0"/>
        <w:jc w:val="center"/>
        <w:textAlignment w:val="auto"/>
        <w:rPr>
          <w:rFonts w:hint="eastAsia" w:ascii="仿宋" w:hAnsi="仿宋" w:eastAsia="仿宋" w:cs="仿宋"/>
          <w:b/>
          <w:color w:val="auto"/>
          <w:kern w:val="44"/>
          <w:sz w:val="24"/>
          <w:szCs w:val="24"/>
          <w:highlight w:val="none"/>
          <w:lang w:val="en-US" w:eastAsia="zh-CN" w:bidi="ar"/>
        </w:rPr>
      </w:pPr>
      <w:r>
        <w:rPr>
          <w:rFonts w:hint="eastAsia" w:ascii="仿宋" w:hAnsi="仿宋" w:eastAsia="仿宋" w:cs="仿宋"/>
          <w:b/>
          <w:color w:val="auto"/>
          <w:kern w:val="44"/>
          <w:sz w:val="24"/>
          <w:szCs w:val="24"/>
          <w:highlight w:val="none"/>
          <w:lang w:val="en-US" w:eastAsia="zh-CN" w:bidi="ar"/>
        </w:rPr>
        <w:t>《四川省财政厅关于推进四川省政府采购供应商信用融资工作的通知》（川财采〔2018〕123号）</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5" w:lineRule="atLeast"/>
        <w:ind w:left="0" w:right="0" w:firstLine="0"/>
        <w:jc w:val="left"/>
        <w:rPr>
          <w:rFonts w:hint="eastAsia" w:ascii="仿宋" w:hAnsi="仿宋" w:eastAsia="仿宋" w:cs="仿宋"/>
          <w:i w:val="0"/>
          <w:caps w:val="0"/>
          <w:color w:val="auto"/>
          <w:spacing w:val="0"/>
          <w:kern w:val="0"/>
          <w:sz w:val="24"/>
          <w:szCs w:val="24"/>
          <w:highlight w:val="none"/>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各市（州）、扩权县（市）财政局，各省直机关、事业单位、团体组织，各金融机构，各采购代理机构，各政府采购供应商：</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为贯彻落实党的十九大精神、国务院“放管服”改革决策部署、省委十一届三次全会“大力推进创新驱动发展战略”精神，助力解决政府采购中标、成交供应商资金不足、融资难、融资贵的困难，促进供应商依法诚信参加政府采购活动，根据《中华人民共和国政府采购法》、《四川省人民政府关于印发进一步规范政府采购监管和执行若干规定的通知》（川府发〔2018〕14号）等有关规定，现就推进四川省政府采购供应商信用融资工作有关事项通知如下。</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一、融资概念</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政府采购供应商信用融资（以下简称“政采贷”），是指银行以政府采购供应商信用审查和政府采购信誉为基础，依托政府采购合同，按优于一般企业的贷款程序和利率，直接向申请贷款的供应商发放无财产抵押贷款的一种融资模式。</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right="0"/>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二、基本原则</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（一）财政引导，市场运行</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财政部门推进“政采贷”，银行和供应商按照自愿原则参与。供应商自愿选择是否申请“政采贷”，银行依据其内部审查制度和决策程序决定是否为供应商提供融资，自担风险。</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（二）建立机制，服务银企</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财政部门与银行建立“政采贷”工作机制，推动政府采购政策功能和金融资源的有机结合，拓宽银行的融资业务，助力解决政府采购中标、成交供应商资金不足、融资难、融资贵的困难，促进企业健康发展。</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（三）优质优惠，加强扶持</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银行按优于同期一般企业的贷款利率，向政府采购供应商提供信用贷款，贷款额度由银行根据政府采购合同的具体情况确定，不要求申请融资的供应商提供财产抵押或第三方担保，不收取融资利息之外的额外费用。</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三、基本条件</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（一）银行暨“政采贷”金融产品</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1.征集。</w:t>
      </w:r>
      <w:r>
        <w:rPr>
          <w:rFonts w:hint="eastAsia" w:ascii="仿宋" w:hAnsi="仿宋" w:eastAsia="仿宋" w:cs="仿宋"/>
          <w:i w:val="0"/>
          <w:caps w:val="0"/>
          <w:color w:val="auto"/>
          <w:spacing w:val="0"/>
          <w:kern w:val="0"/>
          <w:sz w:val="24"/>
          <w:szCs w:val="24"/>
          <w:highlight w:val="none"/>
          <w:lang w:val="en-US" w:eastAsia="zh-CN" w:bidi="ar"/>
        </w:rPr>
        <w:t>在四川省行政区域内，有意向开展“政采贷”工作的银行，可以于2018年12月21日前，直接向四川省财政厅（政府采购监督管理处）提交书面申请。四川省财政厅可以根据情况每年征集一次有意向开展“政采贷”工作的银行。</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申请材料应当包括银行基本情况、“政采贷”产品名称、申请贷款条件、申请贷款方式、申请贷款程序、贷款审查流程、贷款额度、发放贷款时间、收款方式及其他优质服务和优惠承诺等。</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银行提供的“政采贷”产品应当满足“无抵押担保、程序简便、利率优惠、放款及时”的基本条件以及本通知其他相关规定。</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银行申请材料中应当载明其自愿提供“政采贷”产品，自担风险，不得要求或者变相要求财政部门和采购人为其提供风险担保、承诺。</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2.公示。</w:t>
      </w:r>
      <w:r>
        <w:rPr>
          <w:rFonts w:hint="eastAsia" w:ascii="仿宋" w:hAnsi="仿宋" w:eastAsia="仿宋" w:cs="仿宋"/>
          <w:i w:val="0"/>
          <w:caps w:val="0"/>
          <w:color w:val="auto"/>
          <w:spacing w:val="0"/>
          <w:kern w:val="0"/>
          <w:sz w:val="24"/>
          <w:szCs w:val="24"/>
          <w:highlight w:val="none"/>
          <w:lang w:val="en-US" w:eastAsia="zh-CN" w:bidi="ar"/>
        </w:rPr>
        <w:t>四川省财政厅收到银行提交的书面申请后，对满足本通知要求的银行及其“政采贷”产品具体信息，及时在四川政府采购网向社会公示。银行申请材料中提供的“政采贷”产品不满足本通知要求的，四川省财政厅将退回申请，并告知理由。</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（二）供应商</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政府采购供应商向银行申请“政采贷”，应当满足下列基本条件：</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1.</w:t>
      </w:r>
      <w:r>
        <w:rPr>
          <w:rFonts w:hint="eastAsia" w:ascii="仿宋" w:hAnsi="仿宋" w:eastAsia="仿宋" w:cs="仿宋"/>
          <w:i w:val="0"/>
          <w:caps w:val="0"/>
          <w:color w:val="auto"/>
          <w:spacing w:val="0"/>
          <w:kern w:val="0"/>
          <w:sz w:val="24"/>
          <w:szCs w:val="24"/>
          <w:highlight w:val="none"/>
          <w:lang w:val="en-US" w:eastAsia="zh-CN" w:bidi="ar"/>
        </w:rPr>
        <w:t>具有依法承担民事责任的能力；</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2.</w:t>
      </w:r>
      <w:r>
        <w:rPr>
          <w:rFonts w:hint="eastAsia" w:ascii="仿宋" w:hAnsi="仿宋" w:eastAsia="仿宋" w:cs="仿宋"/>
          <w:i w:val="0"/>
          <w:caps w:val="0"/>
          <w:color w:val="auto"/>
          <w:spacing w:val="0"/>
          <w:kern w:val="0"/>
          <w:sz w:val="24"/>
          <w:szCs w:val="24"/>
          <w:highlight w:val="none"/>
          <w:lang w:val="en-US" w:eastAsia="zh-CN" w:bidi="ar"/>
        </w:rPr>
        <w:t>具有依法履行政府采购合同的能力；</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3.</w:t>
      </w:r>
      <w:r>
        <w:rPr>
          <w:rFonts w:hint="eastAsia" w:ascii="仿宋" w:hAnsi="仿宋" w:eastAsia="仿宋" w:cs="仿宋"/>
          <w:i w:val="0"/>
          <w:caps w:val="0"/>
          <w:color w:val="auto"/>
          <w:spacing w:val="0"/>
          <w:kern w:val="0"/>
          <w:sz w:val="24"/>
          <w:szCs w:val="24"/>
          <w:highlight w:val="none"/>
          <w:lang w:val="en-US" w:eastAsia="zh-CN" w:bidi="ar"/>
        </w:rPr>
        <w:t>参加的政府采购活动未被财政部门依法暂停、责令重新开展或者认定中标、成交无效；</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4.</w:t>
      </w:r>
      <w:r>
        <w:rPr>
          <w:rFonts w:hint="eastAsia" w:ascii="仿宋" w:hAnsi="仿宋" w:eastAsia="仿宋" w:cs="仿宋"/>
          <w:i w:val="0"/>
          <w:caps w:val="0"/>
          <w:color w:val="auto"/>
          <w:spacing w:val="0"/>
          <w:kern w:val="0"/>
          <w:sz w:val="24"/>
          <w:szCs w:val="24"/>
          <w:highlight w:val="none"/>
          <w:lang w:val="en-US" w:eastAsia="zh-CN" w:bidi="ar"/>
        </w:rPr>
        <w:t>无《政府采购法》第二十二条第一款第（五）项所称的重大违法记录；</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5.</w:t>
      </w:r>
      <w:r>
        <w:rPr>
          <w:rFonts w:hint="eastAsia" w:ascii="仿宋" w:hAnsi="仿宋" w:eastAsia="仿宋" w:cs="仿宋"/>
          <w:i w:val="0"/>
          <w:caps w:val="0"/>
          <w:color w:val="auto"/>
          <w:spacing w:val="0"/>
          <w:kern w:val="0"/>
          <w:sz w:val="24"/>
          <w:szCs w:val="24"/>
          <w:highlight w:val="none"/>
          <w:lang w:val="en-US" w:eastAsia="zh-CN" w:bidi="ar"/>
        </w:rPr>
        <w:t>未被法院、市场监管、税务、银行等部门单位纳入失信名单且在有效期内；</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6.</w:t>
      </w:r>
      <w:r>
        <w:rPr>
          <w:rFonts w:hint="eastAsia" w:ascii="仿宋" w:hAnsi="仿宋" w:eastAsia="仿宋" w:cs="仿宋"/>
          <w:i w:val="0"/>
          <w:caps w:val="0"/>
          <w:color w:val="auto"/>
          <w:spacing w:val="0"/>
          <w:kern w:val="0"/>
          <w:sz w:val="24"/>
          <w:szCs w:val="24"/>
          <w:highlight w:val="none"/>
          <w:lang w:val="en-US" w:eastAsia="zh-CN" w:bidi="ar"/>
        </w:rPr>
        <w:t>在一定期限内的（银行可以具体确定）政府采购合同履约过程中或者其他经营活动履约过程中，无不依法履约被有关行政部门行政处罚的或者产生法律纠纷被法院、仲裁机构判决、裁决败诉的；</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7.</w:t>
      </w:r>
      <w:r>
        <w:rPr>
          <w:rFonts w:hint="eastAsia" w:ascii="仿宋" w:hAnsi="仿宋" w:eastAsia="仿宋" w:cs="仿宋"/>
          <w:i w:val="0"/>
          <w:caps w:val="0"/>
          <w:color w:val="auto"/>
          <w:spacing w:val="0"/>
          <w:kern w:val="0"/>
          <w:sz w:val="24"/>
          <w:szCs w:val="24"/>
          <w:highlight w:val="none"/>
          <w:lang w:val="en-US" w:eastAsia="zh-CN" w:bidi="ar"/>
        </w:rPr>
        <w:t>其他银行要求的不属于提供财产抵押或第三方担保的条件。</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四、构建平台</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四川省财政厅将在四川政府采购网统一构建四川省“政采贷”信息化服务平台，推进四川省“政采贷”工作信息化建设。</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五、财金互动</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各级财政部门应当按照《四川省政府采购促进中小企业发展的若干规定》（川财采〔2016〕35号）等有关规定，对金融机构向小微企业提供“政采贷”贷款产生的损失，纳入财政金融互动政策范围给予风险补贴。</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六、基本流程</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（一）意向申请</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有融资需求的供应商可根据四川政府采购网公示的银行及其“政采贷”产品，自行选择符合自身情况的“政采贷”银行及其产品，凭中标（成交）通知书向银行提出贷款意向申请。银行应及时按照有关规定完成对供应商的信用审查以及开设账户等相关工作。           </w:t>
      </w:r>
      <w:r>
        <w:rPr>
          <w:rFonts w:hint="eastAsia" w:ascii="仿宋" w:hAnsi="仿宋" w:eastAsia="仿宋" w:cs="仿宋"/>
          <w:b/>
          <w:i w:val="0"/>
          <w:caps w:val="0"/>
          <w:color w:val="auto"/>
          <w:spacing w:val="0"/>
          <w:kern w:val="0"/>
          <w:sz w:val="24"/>
          <w:szCs w:val="24"/>
          <w:highlight w:val="none"/>
          <w:lang w:val="en-US" w:eastAsia="zh-CN" w:bidi="ar"/>
        </w:rPr>
        <w:t>                                                                                                                    （二）正式申请</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供应商与采购人在法定时间依法签订政府采购合同（政府采购合同签订后，应当依法在7个工作日内向同级财政部门备案，2个工作日内在四川政府采购网公告）后，可凭政府采购合同向银行提出“政采贷”正式申请。</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对拟用于“政采贷”的政府采购合同，应在合同中注明贷款银行名称及账号，作为供应商本次采购的唯一收款账号。因发生特殊情况需要在还款前变更收款账号的，供应商应当事前书面告知采购人和放款银行，并获得采购人和放款银行同意。采购人和放款银行同意后，采购人与供应商应当就该条款重新签订政府采购合同或者签订补充协议作为原政府采购合同的一部分，并在签订后依法在7个工作日内向同级财政部门备案，2个工作日内在四川政府采购网公告。</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2"/>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（三）贷款审查</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银行按规定对申请“政采贷”的供应商及其提供的政府采购合同等信息进行审查。审查过程中，银行认为有必要的，可以到采购人、采购代理机构或者财政部门对该政府采购合同的书面信息与备案信息进行核实，有关单位应当配合。银行审查通过后，应当按照其在四川政府采购网公示的“政采贷”产品服务承诺事项及时放款。</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（四）信息报送</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银行完成放款后，应当通过四川省“政采贷”信息化服务平台，填写《四川省“政采贷”信息统计表》（详见附件），每季度终了5个工作日内，向四川省财政厅（政府采购监督管理处）报送，以便相关部门及时掌握和分析“政采贷”信息，不断推进“政采贷”工作。</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（五）资金支付</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政府采购资金支付时，采购人必须将采购资金支付到政府采购合同中注明的贷款银行名称及账号，以保障贷款资金的安全回收。采购人不得将采购资金支付在政府采购合同约定以外的收款账号。</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政府采购资金支付过程中，银行需要查询采购资金支付进程有关信息的，财政部门和采购人应当支持。</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七、职责要求</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2"/>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（一）</w:t>
      </w:r>
      <w:r>
        <w:rPr>
          <w:rFonts w:hint="eastAsia" w:ascii="仿宋" w:hAnsi="仿宋" w:eastAsia="仿宋" w:cs="仿宋"/>
          <w:i w:val="0"/>
          <w:caps w:val="0"/>
          <w:color w:val="auto"/>
          <w:spacing w:val="0"/>
          <w:kern w:val="0"/>
          <w:sz w:val="24"/>
          <w:szCs w:val="24"/>
          <w:highlight w:val="none"/>
          <w:lang w:val="en-US" w:eastAsia="zh-CN" w:bidi="ar"/>
        </w:rPr>
        <w:t>各级财政部门应当高度重视“政采贷”工作，提高认识，充分发挥自身职能作用。不断完善政策措施，加强对“政采贷”采购项目的跟踪监督，对于银行向采购人、采购代理机构核实或者获取合法范围内的相关政府采购信息有困难的，可以积极进行协调。财政部门不得为“政采贷”提供任何形式的担保和承诺。</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2"/>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（二）</w:t>
      </w:r>
      <w:r>
        <w:rPr>
          <w:rFonts w:hint="eastAsia" w:ascii="仿宋" w:hAnsi="仿宋" w:eastAsia="仿宋" w:cs="仿宋"/>
          <w:i w:val="0"/>
          <w:caps w:val="0"/>
          <w:color w:val="auto"/>
          <w:spacing w:val="0"/>
          <w:kern w:val="0"/>
          <w:sz w:val="24"/>
          <w:szCs w:val="24"/>
          <w:highlight w:val="none"/>
          <w:lang w:val="en-US" w:eastAsia="zh-CN" w:bidi="ar"/>
        </w:rPr>
        <w:t>银行应当切实转变注重抵押担保的传统信贷理念，积极服务经济社会发展的大局，不断完善“政采贷”产品，优化贷款审查流程，简化贷款审查手续，提供更多优质服务，同时做好风险防控工作。银行对于供应商是否如期还款情况及未如期还款的主要原因等信息，应当及时向财政部门反馈。</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（三）</w:t>
      </w:r>
      <w:r>
        <w:rPr>
          <w:rFonts w:hint="eastAsia" w:ascii="仿宋" w:hAnsi="仿宋" w:eastAsia="仿宋" w:cs="仿宋"/>
          <w:i w:val="0"/>
          <w:caps w:val="0"/>
          <w:color w:val="auto"/>
          <w:spacing w:val="0"/>
          <w:kern w:val="0"/>
          <w:sz w:val="24"/>
          <w:szCs w:val="24"/>
          <w:highlight w:val="none"/>
          <w:lang w:val="en-US" w:eastAsia="zh-CN" w:bidi="ar"/>
        </w:rPr>
        <w:t>采购人应当积极支持“政采贷”工作，对于银行、供应商提出的合理需求，应当支持。对于已融资采购项目，供应商履约完成后，要及时开展履约验收工作，及时支付采购资金，不得无故拖延和拒付采购资金。</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2"/>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（四）</w:t>
      </w:r>
      <w:r>
        <w:rPr>
          <w:rFonts w:hint="eastAsia" w:ascii="仿宋" w:hAnsi="仿宋" w:eastAsia="仿宋" w:cs="仿宋"/>
          <w:i w:val="0"/>
          <w:caps w:val="0"/>
          <w:color w:val="auto"/>
          <w:spacing w:val="0"/>
          <w:kern w:val="0"/>
          <w:sz w:val="24"/>
          <w:szCs w:val="24"/>
          <w:highlight w:val="none"/>
          <w:lang w:val="en-US" w:eastAsia="zh-CN" w:bidi="ar"/>
        </w:rPr>
        <w:t>采购代理机构在组织实施政府采购活动中，应当采取有效方式，向供应商宣传“政采贷”政策。银行需要借用采购代理机构的场所直接向供应商介绍其“政采贷”产品的，采购代理机构应当支持。</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（五）</w:t>
      </w:r>
      <w:r>
        <w:rPr>
          <w:rFonts w:hint="eastAsia" w:ascii="仿宋" w:hAnsi="仿宋" w:eastAsia="仿宋" w:cs="仿宋"/>
          <w:i w:val="0"/>
          <w:caps w:val="0"/>
          <w:color w:val="auto"/>
          <w:spacing w:val="0"/>
          <w:kern w:val="0"/>
          <w:sz w:val="24"/>
          <w:szCs w:val="24"/>
          <w:highlight w:val="none"/>
          <w:lang w:val="en-US" w:eastAsia="zh-CN" w:bidi="ar"/>
        </w:rPr>
        <w:t>供应商应当依法参加政府采购活动，公平竞争，诚实守信，严格按照政府采购合同履约，严格按照借款合同偿还债务。</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（六）</w:t>
      </w:r>
      <w:r>
        <w:rPr>
          <w:rFonts w:hint="eastAsia" w:ascii="仿宋" w:hAnsi="仿宋" w:eastAsia="仿宋" w:cs="仿宋"/>
          <w:i w:val="0"/>
          <w:caps w:val="0"/>
          <w:color w:val="auto"/>
          <w:spacing w:val="0"/>
          <w:kern w:val="0"/>
          <w:sz w:val="24"/>
          <w:szCs w:val="24"/>
          <w:highlight w:val="none"/>
          <w:lang w:val="en-US" w:eastAsia="zh-CN" w:bidi="ar"/>
        </w:rPr>
        <w:t>财政部门、采购人、采购代理机构及其他有关单位和个人不得违规干预供应商选择“政采贷”银行及其产品，也不得违规干预银行向供应商进行贷款。</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（七）</w:t>
      </w:r>
      <w:r>
        <w:rPr>
          <w:rFonts w:hint="eastAsia" w:ascii="仿宋" w:hAnsi="仿宋" w:eastAsia="仿宋" w:cs="仿宋"/>
          <w:i w:val="0"/>
          <w:caps w:val="0"/>
          <w:color w:val="auto"/>
          <w:spacing w:val="0"/>
          <w:kern w:val="0"/>
          <w:sz w:val="24"/>
          <w:szCs w:val="24"/>
          <w:highlight w:val="none"/>
          <w:lang w:val="en-US" w:eastAsia="zh-CN" w:bidi="ar"/>
        </w:rPr>
        <w:t>相关单位和个人在开展“政采贷”工作过程中，发现新问题、新情况或者有意见建议的，请及时向四川省财政厅反馈。</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八、违规处理</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（一）银行违规处理</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银行不按照其在四川政府采购网公示的“政采贷”产品服务承诺事项办理供应商信用融资贷款申请的，由四川省财政厅进行约谈，责令限期整改；拒不整改或者变相拒不整改的，撤销其在四川政府采购网的公示信息，取消其资格，并在1-3年内拒绝接收其再次申请。</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（二）供应商违规处理</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供应商以政府采购合同造假或者其他造假方式违规申请信用融资的，或者违反有关规定或者约定，导致无法偿还信用融资贷款的，或者拒绝或无故拖延还款付息的，由有关部门单位依法处理，纳入“不具备《中华人民共和国政府采购法》第二十二条第一款第（二）项规定的具有良好的商业信誉条件”名单，并在四川政府采购网公示。</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b/>
          <w:i w:val="0"/>
          <w:caps w:val="0"/>
          <w:color w:val="auto"/>
          <w:spacing w:val="0"/>
          <w:kern w:val="0"/>
          <w:sz w:val="24"/>
          <w:szCs w:val="24"/>
          <w:highlight w:val="none"/>
          <w:lang w:val="en-US" w:eastAsia="zh-CN" w:bidi="ar"/>
        </w:rPr>
        <w:t>（三）其他违规处理</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采购人无正当理由拖延和拒付采购资金的，或者采购代理机构拒绝支持银行借用场所向供应商介绍其“政采贷”产品的，或者有关单位或个人违规干预供应商选择“政采贷”银行及其产品的，或者有关单位或个人违规干预银行向供应商进行贷款的，由采购项目同级财政部门进行约谈，责令限期整改；拒不整改或者变相拒不整改的，按照有关规定依法处理。</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580" w:lineRule="atLeast"/>
        <w:ind w:left="0" w:right="0" w:firstLine="628"/>
        <w:jc w:val="left"/>
        <w:rPr>
          <w:rFonts w:hint="eastAsia" w:ascii="仿宋" w:hAnsi="仿宋" w:eastAsia="仿宋" w:cs="仿宋"/>
          <w:i w:val="0"/>
          <w:caps w:val="0"/>
          <w:color w:val="auto"/>
          <w:spacing w:val="0"/>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t>附件：四川省“政采贷”信息统计表</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5" w:lineRule="atLeast"/>
        <w:ind w:left="0" w:right="0" w:firstLine="0"/>
        <w:jc w:val="right"/>
        <w:rPr>
          <w:rFonts w:hint="eastAsia" w:ascii="仿宋" w:hAnsi="仿宋" w:eastAsia="仿宋" w:cs="仿宋"/>
          <w:i w:val="0"/>
          <w:caps w:val="0"/>
          <w:color w:val="auto"/>
          <w:spacing w:val="0"/>
          <w:kern w:val="0"/>
          <w:sz w:val="24"/>
          <w:szCs w:val="24"/>
          <w:highlight w:val="none"/>
          <w:lang w:val="en-US" w:eastAsia="zh-CN" w:bidi="ar"/>
        </w:rPr>
      </w:pPr>
      <w:r>
        <w:rPr>
          <w:rFonts w:hint="eastAsia" w:ascii="仿宋" w:hAnsi="仿宋" w:eastAsia="仿宋" w:cs="仿宋"/>
          <w:i w:val="0"/>
          <w:caps w:val="0"/>
          <w:color w:val="auto"/>
          <w:spacing w:val="0"/>
          <w:kern w:val="0"/>
          <w:sz w:val="24"/>
          <w:szCs w:val="24"/>
          <w:highlight w:val="none"/>
          <w:lang w:val="en-US" w:eastAsia="zh-CN" w:bidi="ar"/>
        </w:rPr>
        <w:fldChar w:fldCharType="begin"/>
      </w:r>
      <w:r>
        <w:rPr>
          <w:rFonts w:hint="eastAsia" w:ascii="仿宋" w:hAnsi="仿宋" w:eastAsia="仿宋" w:cs="仿宋"/>
          <w:i w:val="0"/>
          <w:caps w:val="0"/>
          <w:color w:val="auto"/>
          <w:spacing w:val="0"/>
          <w:kern w:val="0"/>
          <w:sz w:val="24"/>
          <w:szCs w:val="24"/>
          <w:highlight w:val="none"/>
          <w:lang w:val="en-US" w:eastAsia="zh-CN" w:bidi="ar"/>
        </w:rPr>
        <w:instrText xml:space="preserve">INCLUDEPICTURE \d "http://www.ccgp-sichuan.gov.cn/ewebeditor/uploadfile/20181120144019719001.gif" \* MERGEFORMATINET </w:instrText>
      </w:r>
      <w:r>
        <w:rPr>
          <w:rFonts w:hint="eastAsia" w:ascii="仿宋" w:hAnsi="仿宋" w:eastAsia="仿宋" w:cs="仿宋"/>
          <w:i w:val="0"/>
          <w:caps w:val="0"/>
          <w:color w:val="auto"/>
          <w:spacing w:val="0"/>
          <w:kern w:val="0"/>
          <w:sz w:val="24"/>
          <w:szCs w:val="24"/>
          <w:highlight w:val="none"/>
          <w:lang w:val="en-US" w:eastAsia="zh-CN" w:bidi="ar"/>
        </w:rPr>
        <w:fldChar w:fldCharType="separate"/>
      </w:r>
      <w:r>
        <w:rPr>
          <w:rFonts w:hint="eastAsia" w:ascii="仿宋" w:hAnsi="仿宋" w:eastAsia="仿宋" w:cs="仿宋"/>
          <w:i w:val="0"/>
          <w:caps w:val="0"/>
          <w:color w:val="auto"/>
          <w:spacing w:val="0"/>
          <w:kern w:val="0"/>
          <w:sz w:val="24"/>
          <w:szCs w:val="24"/>
          <w:highlight w:val="none"/>
          <w:lang w:val="en-US" w:eastAsia="zh-CN" w:bidi="ar"/>
        </w:rPr>
        <w:drawing>
          <wp:inline distT="0" distB="0" distL="114300" distR="114300">
            <wp:extent cx="1771650" cy="1781175"/>
            <wp:effectExtent l="0" t="0" r="0" b="9525"/>
            <wp:docPr id="2" name="图片 1"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7"/>
                    <pic:cNvPicPr>
                      <a:picLocks noChangeAspect="1"/>
                    </pic:cNvPicPr>
                  </pic:nvPicPr>
                  <pic:blipFill>
                    <a:blip r:embed="rId12"/>
                    <a:stretch>
                      <a:fillRect/>
                    </a:stretch>
                  </pic:blipFill>
                  <pic:spPr>
                    <a:xfrm>
                      <a:off x="0" y="0"/>
                      <a:ext cx="1771650" cy="1781175"/>
                    </a:xfrm>
                    <a:prstGeom prst="rect">
                      <a:avLst/>
                    </a:prstGeom>
                    <a:noFill/>
                    <a:ln>
                      <a:noFill/>
                    </a:ln>
                  </pic:spPr>
                </pic:pic>
              </a:graphicData>
            </a:graphic>
          </wp:inline>
        </w:drawing>
      </w:r>
      <w:r>
        <w:rPr>
          <w:rFonts w:hint="eastAsia" w:ascii="仿宋" w:hAnsi="仿宋" w:eastAsia="仿宋" w:cs="仿宋"/>
          <w:i w:val="0"/>
          <w:caps w:val="0"/>
          <w:color w:val="auto"/>
          <w:spacing w:val="0"/>
          <w:kern w:val="0"/>
          <w:sz w:val="24"/>
          <w:szCs w:val="24"/>
          <w:highlight w:val="none"/>
          <w:lang w:val="en-US" w:eastAsia="zh-CN" w:bidi="ar"/>
        </w:rPr>
        <w:fldChar w:fldCharType="end"/>
      </w:r>
    </w:p>
    <w:p>
      <w:pPr>
        <w:ind w:left="0" w:leftChars="0" w:firstLine="0" w:firstLineChars="0"/>
        <w:rPr>
          <w:rFonts w:hint="eastAsia" w:ascii="仿宋" w:hAnsi="仿宋" w:eastAsia="仿宋" w:cs="仿宋"/>
          <w:b/>
          <w:bCs/>
          <w:color w:val="auto"/>
          <w:kern w:val="0"/>
          <w:sz w:val="24"/>
          <w:szCs w:val="24"/>
          <w:highlight w:val="none"/>
          <w:lang w:val="en-US" w:eastAsia="zh-CN" w:bidi="ar"/>
        </w:rPr>
      </w:pP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0" w:firstLineChars="0"/>
        <w:jc w:val="left"/>
        <w:textAlignment w:val="auto"/>
        <w:outlineLvl w:val="1"/>
        <w:rPr>
          <w:rFonts w:hint="eastAsia" w:ascii="仿宋" w:hAnsi="仿宋" w:eastAsia="仿宋" w:cs="仿宋"/>
          <w:b/>
          <w:bCs/>
          <w:color w:val="auto"/>
          <w:kern w:val="0"/>
          <w:sz w:val="24"/>
          <w:szCs w:val="24"/>
          <w:highlight w:val="none"/>
          <w:lang w:val="en-US" w:eastAsia="zh-CN" w:bidi="ar"/>
        </w:rPr>
      </w:pPr>
      <w:r>
        <w:rPr>
          <w:rFonts w:hint="eastAsia" w:ascii="仿宋" w:hAnsi="仿宋" w:eastAsia="仿宋" w:cs="仿宋"/>
          <w:b/>
          <w:bCs/>
          <w:color w:val="auto"/>
          <w:kern w:val="0"/>
          <w:sz w:val="24"/>
          <w:szCs w:val="24"/>
          <w:highlight w:val="none"/>
          <w:lang w:val="en-US" w:eastAsia="zh-CN" w:bidi="ar"/>
        </w:rPr>
        <w:br w:type="page"/>
      </w:r>
      <w:r>
        <w:rPr>
          <w:rFonts w:hint="eastAsia" w:ascii="仿宋" w:hAnsi="仿宋" w:eastAsia="仿宋" w:cs="仿宋"/>
          <w:b/>
          <w:bCs/>
          <w:color w:val="auto"/>
          <w:kern w:val="0"/>
          <w:sz w:val="24"/>
          <w:szCs w:val="24"/>
          <w:highlight w:val="none"/>
          <w:lang w:val="en-US" w:eastAsia="zh-CN" w:bidi="ar"/>
        </w:rPr>
        <w:t>附件二</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0" w:firstLineChars="0"/>
        <w:jc w:val="center"/>
        <w:textAlignment w:val="auto"/>
        <w:rPr>
          <w:rFonts w:hint="eastAsia" w:ascii="仿宋" w:hAnsi="仿宋" w:eastAsia="仿宋" w:cs="仿宋"/>
          <w:b/>
          <w:bCs/>
          <w:color w:val="auto"/>
          <w:kern w:val="0"/>
          <w:sz w:val="24"/>
          <w:szCs w:val="24"/>
          <w:highlight w:val="none"/>
          <w:lang w:val="en-US" w:eastAsia="zh-CN" w:bidi="ar"/>
        </w:rPr>
      </w:pPr>
      <w:r>
        <w:rPr>
          <w:rFonts w:hint="eastAsia" w:ascii="仿宋" w:hAnsi="仿宋" w:eastAsia="仿宋" w:cs="仿宋"/>
          <w:b/>
          <w:bCs/>
          <w:color w:val="auto"/>
          <w:kern w:val="0"/>
          <w:sz w:val="24"/>
          <w:szCs w:val="24"/>
          <w:highlight w:val="none"/>
          <w:lang w:val="en-US" w:eastAsia="zh-CN" w:bidi="ar"/>
        </w:rPr>
        <w:t>成都市财政局 中国人民银行成都分行营业管理部关于印发《成都市中小企业政府采购信用融资暂行办法》和《成都市级支持中小企业政府采购信用融资实施方案》的通知 （成财采〔2019〕17号） </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成都天府新区、高新区财政金融局，各区（市）县财政局，市级各部门、单位，各银行业金融机构：</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为深入贯彻落实中央、省、市关于支持民营经济健康发展有关精神，进一步发挥政府采购在促进中小企业发展中的政策引导作用，有效缓解中小企业融资难、融资贵问题，市财政局、中国人民银行成都分行营业管理部制定了《成都市中小企业政府采购信用融资暂行办法》和《成都市级支持中小企业政府采购信用融资实施方案》（以下简称《暂行办法》和《实施方案》），现印发给你们，请按要求贯彻执行。</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一、高度重视、迅速行动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政府采购信用融资是缓解中小企业资金短缺压力，优化中小企业发展环境，促进经济发展的重要举措，各相关单位要统一思想，充分认识政府采购信用融资工作的重要意义，结合政府采购工作实际精心组织、周密部署，赓即推进政府采购信用融资工作，支持有融资需求、符合条件的中小微企业实现高效融资。</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二、明确责任、压茬推进</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市级各部门、单位即日起严格按照《暂行办法》和《实施方案》相关规定和工作要求，结合职能职责认真抓好贯彻执行。各区（市）县财政部门要根据《暂行办法》，结合本地实际制定具体实施方案，在涵盖市级确定的融资机构基础上明确融资机构名单，并于2019年6月30日前全面推进政府采购信用融资工作。</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三、优化服务、营造氛围</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各相关单位要充分发挥市场在资源配置中的决定性作用，强化宣传引导、优化工作机制、加强跟踪问效，积极创造条件主动服务，为融资双方提供优质高效的服务，让政府采购信用融资政策惠及更多中小微企业，并将工作落实的经验做法及时形成信息反馈市财政局，为推动中小微企业高质量发展营造法治化、国际化、便利化的营商环境。 </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附件：1．成都市中小企业政府采购信用融资暂行办法</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480" w:firstLineChars="20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2．成都市级支持中小企业政府采购信用融资实施方案</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2400" w:firstLineChars="100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成都市财政局         中国人民银行成都分行营业管理部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460" w:lineRule="exact"/>
        <w:ind w:left="0" w:right="630" w:firstLine="5130"/>
        <w:jc w:val="right"/>
        <w:textAlignment w:val="auto"/>
        <w:rPr>
          <w:rFonts w:hint="default"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 xml:space="preserve">2019年2月26日           </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br w:type="page"/>
      </w:r>
      <w:r>
        <w:rPr>
          <w:rFonts w:hint="eastAsia" w:ascii="仿宋" w:hAnsi="仿宋" w:eastAsia="仿宋" w:cs="仿宋"/>
          <w:color w:val="auto"/>
          <w:kern w:val="0"/>
          <w:sz w:val="24"/>
          <w:szCs w:val="24"/>
          <w:highlight w:val="none"/>
          <w:lang w:val="en-US" w:eastAsia="zh-CN" w:bidi="ar"/>
        </w:rPr>
        <w:t>附件1</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960" w:firstLineChars="400"/>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成都市中小企业政府采购信用融资暂行办法</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第一章  总  则</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第一条（政策依据）</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为进一步贯彻落实国务院、四川省、成都市关于支持和促进中小企业发展的政策措施，充分发挥政府采购政策导向作用，有效缓解中小企业融资难、融资贵问题，支持中小企业参与政府采购活动，根据《政府采购法》《四川省政府采购促进中小企业发展的若干规定》（川财采〔2016〕35号）和《四川省财政厅关于推进四川省政府采购供应商信用融资工作的通知》（川财采〔2018〕123号）有关精神，结合我市实际，制定本办法。</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第二条（适用范围）</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成都市行政区域内政府采购信用融资适用本办法。</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第三条（术语定义）</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本办法所称政府采购信用融资，是指融资机构以信用审查为基础，依据政府采购合同，按相应的优惠政策向申请融资的中小企业（以下简称供应商）提供资金支持的融资模式。</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本办法所称融资机构，是指在成都市属地注册或设立分支机构，有意向按照本办法开展政府采购信用融资业务，经同级财政部门确定的银行机构。</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本办法所称中小企业，包括中型、小型及微型企业，其划型标准按照国家相关规定执行。</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第四条（基本原则）</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政府采购信用融资工作坚持政府引导、市场主导，自愿选择、自担风险，诚实信用、互惠共赢的原则，切实发挥市场在资源配置中的决定性作用。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第二章  融资优惠</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第五条（融资方式）</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供应商无需提供财产抵押或第三方担保，凭借政府采购合同向融资机构申请融资，融资机构根据其授信政策为供应商提供信用贷款。</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第六条（融资额度）</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融资额度原则上不超过政府采购合同金额。</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第七条（融资利率）</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融资机构向供应商提供融资的利率应低于同期一般中小企业的贷款利率。融资利率上浮比例原则上不超过中国人民银行公布的同期贷款基准利率的30%。</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第八条（融资期限）</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融资期限原则上与政府采购合同履行期限一致。</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第九条（融资效率）</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融资机构应当建立政府采购信用融资绿色通道，配备专业人员定向服务，简化融资审批程序。对申报材料齐全完备的供应商，原则上应在5个工作日内完成审批，对审批通过且具备放款条件的供应商，原则上应在5个工作日内完成放款。</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第十条（融资业务升级）</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对履约记录良好、诚信资质高的供应商，融资机构应当在授信额度、融资审查、融资利率等方面给予更大支持，促进供应商依法诚信经营。</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第十一条（贷款风险补贴）</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对银行业金融机构向小微企业发放的贷款（无需抵押、质押或担保的贷款）损失，财政部门按最高不超过年度新增损失类贷款额的60%予以风险补贴，具体分担比例由各地根据金融机构小微企业贷款发放总量、损失情况、财力状况等因素综合确定。</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第三章  融资流程</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 第十二条（融资流程）</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（一）信息发布。采购人应当在发布的采购公告和采购文件中载明采购项目可提供信用融资的信息。</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（二）融资申请。有融资需求的供应商自主选择提供政府采购信用融资服务的融资机构及产品，并按要求提供申请资料。</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（三）融资审查。融资机构对供应商的融资申请进行审查，并向供应商反馈审查及融资额度等情况。</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（四）账户确认。供应商须在合作融资机构开立结算账户，并与采购人在政府采购合同中或通过签订补充协议的方式约定唯一收款账户，融资机构对唯一收款账户进行确认和锁定。</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（五）放款。融资机构对政府采购合同及融资相关信息进行确认，并向供应商提供相应的融资产品。</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（六）贷款归还。采购人按相关规定和合同约定将合同资金支付至约定的唯一收款账户。</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第四章  职责分工</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 第十三条（财政部门职责）</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牵头政府采购信用融资工作，做好政策引导和支持协调，为开展政府采购信用融资提供便利。向融资机构提供相关必要信息，推进政府采购中标（成交）信息、合同信息、融资信息和信用信息等信息资源共享。适时调整开展政府采购信用融资业务的融资机构名单。但在政府采购信用融资工作中，财政部门不得提供任何形式的担保和承诺。</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第十四条（融资机构主管部门职责）</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引导融资机构依法依规开展政府采购信用融资。推动成都市政府采购监督管理系统与中征应收账款融资服务平台直联，实现政府采购信用融资线上办理，加强与财政部门的信息共享。</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第十五条（采购人职责）</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执行并宣传政府采购信用融资政策，在采购公告和采购文件中载明政府采购信用融资政策。在采购代理机构委托协议中明确政府采购信用融资工作相关要求。畅通银企对接渠道，支持供应商开展政府采购信用融资。依法及时公开政府采购合同信息，协助融资机构确认或更改合同支付信息。及时开展履约验收和资金支付工作，不得无故拖延和拒付采购资金。</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第十六条（融资机构职责）</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宣传和推广政府采购信用融资政策，开发符合政府采购信用融资政策的产品。在做好授信调查的基础上合理确定授信额度。做好融资业务与政府采购业务的系统对接。制定业务管理规范，做好相关风险防控工作。定期向同级财政部门反馈业务开展情况。</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第十七条（供应商职责）</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依法诚信参与政府采购活动，严格遵守国家法律、法规和政府采购合同约定，对投标（响应）文件的真实性和相关承诺承担法律责任。真实、完整、准确地向融资机构提供信用融资审查所需相关资料。遵照融资约定及时还本付息。</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第五章 监督管理</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第十八条（采购人监管）</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采购人不执行政府采购信用融资政策，或不正当干预供应商选择合作融资机构，或无故拖延和拒付采购资金的，财政部门视情节进行约谈、通报直至暂停拨付财政资金。</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第十九条（融资机构监管）</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融资机构违反规定开展政府采购信用融资业务，对政府采购造成负面影响的，财政部门视情节取消其参与政府采购信用融资的业务权限。</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第二十条（供应商监管）</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供应商弄虚作假或以伪造政府采购合同等方式违规获取政府采购信用融资，或不按约定按时还款付息的，融资机构依法追究相关责任。财政部门将其纳入“不具备《政府采购法》第二十二条第一款第（二）项规定的具有良好的商业信誉条件”名单并予以公示。</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第二十一条（相关单位及工作人员监管）</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各相关单位及其工作人员在履行职责中存在滥用职权、玩忽职守、徇私舞弊等违法违纪行为的，依照有关规定处理，涉嫌犯罪的，移送司法机关处理。</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第六章  附  则</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第二十二条（解释相关）</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本办法由市财政局会同中国人民银行成都分行营业管理部负责解释。</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第二十三条（施行相关）</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本办法自印发之日起施行。市财政局、市金融办2013年12月9日印发的《关于开展中小企业政府采购信用担保及融资试点工作的通知》（成财采〔2013〕200号）同时废止。 </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附件2</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成都市级支持中小企业政府采购信用融资实施方案</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为贯彻落实中央、省、市关于支持民营经济健康发展相关精神和政府采购支持中小企业发展政策，有效缓解中小企业融资难、融资贵问题，支持中小企业参与政府采购活动，促进中小企业发展，根据《成都市中小企业政府采购信用融资暂行办法》（以下简称《暂行办法》），制定本实施方案（以下简称《实施方案》）。</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一、目标任务</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全面贯彻落实国务院、四川省、成都市关于支持中小企业发展精神，充分发挥政府采购扶持中小企业发展的政策功能，持续推进和完善政府采购诚信体系建设，引导融资机构扩大对政府采购中标（成交）中小企业供应商（以下简称供应商）的融资规模，积极营造良好的营商环境，促进中小企业高质量发展。</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二、适用范围</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480" w:firstLineChars="20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本《实施方案》适用于成都市本级政府采购信用融资工作。</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三、基本原则</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一）政府引导、市场主导。坚持政采搭台、市场运作，市财政局、中国人民银行成都分行营业管理部牵头组织并指导市级政府采购信用融资工作，但不参与政府采购信用融资具体业务。融资机构和供应商通过市场化运作的方式开展政府采购信用融资工作。</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二）自愿选择、自担风险。融资机构自愿选择是否开展政府采购信用融资业务。供应商自主决定是否享受政府采购信用融资政策，并自由选择信用融资合作方。融资机构与供应商自行承担政府采购信用融资的业务风险。</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三）诚实信用、互惠共赢。引导供应商树立“诚信创造价值”的理念，通过政府采购信用融资支持供应商依法、诚信经营。利用信息化技术搭建信息互通平台，在诚实信用、互惠互利基础上，促进供应商与融资机构实现良性互动、合作共赢。</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四、组织实施</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（一）宣传动员</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相关部门和单位采取多种方式积极宣传《暂行办法》和《实施方案》，落实财政部门、融资机构主管部门、采购人、融资机构等职责任务，明确各项工作目标任务，确保成都市级政府采购信用融资工作有序推进。</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（二）融资机构选择</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1．报名。有意向按照《暂行办法》和《实施方案》开展政府采购信用融资业务的融资机构，由其在蓉最高机构或在蓉最高机构指定的分支机构在市财政局政府采购监督管理处报名。报名需提供以下材料：</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（1）融资机构基本情况；</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（2）政府采购信用融资实施方案（包括授信政策、融资产品、贷款利率及其他优惠措施、业务流程及各环节办结时间、联系方式等）；</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（3）关于遵照《暂行办法》和《实施方案》开展政府采购信用融资业务的承诺；</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（4）关于政府采购信用融资业务风险及系统对接研发费用自行承担的承诺。</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2．系统对接。融资机构成功报名后，须按要求完成政府采购信用融资业务与成都市政府采购监督管理系统的技术对接。</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3．确定融资机构。市财政局将完成系统对接的融资机构确定为我市开展政府采购信用融资业务的融资机构，并在成都市政府采购监督管理系统集中展示，为供应商开展融资提供指引。</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（三）其他事项</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成都市级政府采购信用融资工作通过成都市政府采购监督管理系统实行全流程在线管理。成都市政府采购监督管理系统启用前或升级维护期间，市级政府采购信用融资业务按照《暂行办法》相关规定进行离线办理，并在系统正常运行后上传相关信息。</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五、相关要求</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一）加强组织领导。政府采购信用融资是缓解中小企业资金短缺压力，优化中小企业发展环境，促进我市经济发展的重要举措。市级各部门、单位要统一思想，充分认识此项工作的重要意义，认真抓好政策落实，全面、有序、科学推进政府采购信用融资工作。</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jc w:val="left"/>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二）注重协调配合。市财政局、中国人民银行成都分行营业管理部及采购人等有关单位要根据职责任务，及时协调解决工作中遇到的困难和问题，积极创造条件主动服务，帮助有融资需求、符合条件的供应商实现政府采购信用融资，促进中小企业又好又快发展。</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60" w:lineRule="exact"/>
        <w:ind w:left="0" w:right="0" w:firstLine="630"/>
        <w:textAlignment w:val="auto"/>
        <w:rPr>
          <w:rFonts w:hint="eastAsia" w:ascii="仿宋" w:hAnsi="仿宋" w:eastAsia="仿宋" w:cs="仿宋"/>
          <w:color w:val="auto"/>
          <w:sz w:val="24"/>
          <w:szCs w:val="24"/>
          <w:highlight w:val="none"/>
          <w:lang w:eastAsia="zh-CN"/>
        </w:rPr>
        <w:sectPr>
          <w:pgSz w:w="11906" w:h="16838"/>
          <w:pgMar w:top="1440" w:right="1440" w:bottom="1440" w:left="1440" w:header="850" w:footer="992"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仿宋" w:hAnsi="仿宋" w:eastAsia="仿宋" w:cs="仿宋"/>
          <w:color w:val="auto"/>
          <w:kern w:val="0"/>
          <w:sz w:val="24"/>
          <w:szCs w:val="24"/>
          <w:highlight w:val="none"/>
          <w:lang w:val="en-US" w:eastAsia="zh-CN" w:bidi="ar"/>
        </w:rPr>
        <w:t>（三）强化宣传引导。各相关部门、单位要不断优化工作机制，为中小企业供应商提供优质服务。强化宣传引导，不断扩大政府采购信用融资政策的知晓度。加强跟踪问效，让政府采购信用融资惠及更多中小企业，积极营造良好的营商环境。</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0" w:firstLineChars="0"/>
        <w:jc w:val="left"/>
        <w:textAlignment w:val="auto"/>
        <w:outlineLvl w:val="1"/>
        <w:rPr>
          <w:rFonts w:hint="eastAsia" w:ascii="仿宋" w:hAnsi="仿宋" w:eastAsia="仿宋" w:cs="仿宋"/>
          <w:b/>
          <w:i w:val="0"/>
          <w:caps w:val="0"/>
          <w:color w:val="auto"/>
          <w:spacing w:val="0"/>
          <w:kern w:val="44"/>
          <w:sz w:val="24"/>
          <w:szCs w:val="24"/>
          <w:highlight w:val="none"/>
          <w:lang w:val="en-US" w:eastAsia="zh-CN" w:bidi="ar"/>
        </w:rPr>
      </w:pPr>
      <w:bookmarkStart w:id="0" w:name="_Toc4986"/>
      <w:r>
        <w:rPr>
          <w:rFonts w:hint="default" w:ascii="仿宋" w:hAnsi="仿宋" w:eastAsia="仿宋" w:cs="仿宋"/>
          <w:b/>
          <w:i w:val="0"/>
          <w:caps w:val="0"/>
          <w:color w:val="auto"/>
          <w:spacing w:val="0"/>
          <w:kern w:val="44"/>
          <w:sz w:val="24"/>
          <w:szCs w:val="24"/>
          <w:highlight w:val="none"/>
          <w:lang w:val="en-US" w:eastAsia="zh-CN" w:bidi="ar"/>
        </w:rPr>
        <w:drawing>
          <wp:anchor distT="0" distB="0" distL="114300" distR="114300" simplePos="0" relativeHeight="251659264" behindDoc="0" locked="0" layoutInCell="1" allowOverlap="1">
            <wp:simplePos x="0" y="0"/>
            <wp:positionH relativeFrom="column">
              <wp:posOffset>-46355</wp:posOffset>
            </wp:positionH>
            <wp:positionV relativeFrom="paragraph">
              <wp:posOffset>1600835</wp:posOffset>
            </wp:positionV>
            <wp:extent cx="5665470" cy="3812540"/>
            <wp:effectExtent l="0" t="0" r="11430" b="16510"/>
            <wp:wrapTopAndBottom/>
            <wp:docPr id="3"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7"/>
                    <pic:cNvPicPr>
                      <a:picLocks noChangeAspect="1"/>
                    </pic:cNvPicPr>
                  </pic:nvPicPr>
                  <pic:blipFill>
                    <a:blip r:embed="rId13"/>
                    <a:srcRect l="7594" t="7687" r="7045" b="9308"/>
                    <a:stretch>
                      <a:fillRect/>
                    </a:stretch>
                  </pic:blipFill>
                  <pic:spPr>
                    <a:xfrm>
                      <a:off x="0" y="0"/>
                      <a:ext cx="5665470" cy="3812540"/>
                    </a:xfrm>
                    <a:prstGeom prst="rect">
                      <a:avLst/>
                    </a:prstGeom>
                    <a:noFill/>
                    <a:ln>
                      <a:noFill/>
                    </a:ln>
                  </pic:spPr>
                </pic:pic>
              </a:graphicData>
            </a:graphic>
          </wp:anchor>
        </w:drawing>
      </w:r>
      <w:r>
        <w:rPr>
          <w:rFonts w:hint="eastAsia" w:ascii="仿宋" w:hAnsi="仿宋" w:eastAsia="仿宋" w:cs="仿宋"/>
          <w:b/>
          <w:i w:val="0"/>
          <w:caps w:val="0"/>
          <w:color w:val="auto"/>
          <w:spacing w:val="0"/>
          <w:kern w:val="44"/>
          <w:sz w:val="24"/>
          <w:szCs w:val="24"/>
          <w:highlight w:val="none"/>
          <w:lang w:val="en-US" w:eastAsia="zh-CN" w:bidi="ar"/>
        </w:rPr>
        <w:t>附件三：“政采贷”业务联系人一览表</w:t>
      </w:r>
      <w:bookmarkEnd w:id="0"/>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leftChars="0" w:right="0" w:firstLine="0" w:firstLineChars="0"/>
        <w:jc w:val="both"/>
        <w:textAlignment w:val="auto"/>
        <w:outlineLvl w:val="1"/>
        <w:rPr>
          <w:rFonts w:hint="eastAsia" w:ascii="方正仿宋_GBK" w:hAnsi="方正仿宋_GBK" w:eastAsia="方正仿宋_GBK" w:cs="方正仿宋_GBK"/>
          <w:b/>
          <w:i w:val="0"/>
          <w:caps w:val="0"/>
          <w:color w:val="auto"/>
          <w:spacing w:val="0"/>
          <w:kern w:val="44"/>
          <w:sz w:val="24"/>
          <w:szCs w:val="24"/>
          <w:highlight w:val="none"/>
          <w:lang w:eastAsia="zh-CN"/>
        </w:rPr>
      </w:pPr>
      <w:r>
        <w:rPr>
          <w:rFonts w:hint="eastAsia" w:ascii="方正仿宋_GBK" w:hAnsi="方正仿宋_GBK" w:eastAsia="方正仿宋_GBK" w:cs="方正仿宋_GBK"/>
          <w:b/>
          <w:i w:val="0"/>
          <w:caps w:val="0"/>
          <w:color w:val="auto"/>
          <w:spacing w:val="0"/>
          <w:kern w:val="44"/>
          <w:sz w:val="24"/>
          <w:szCs w:val="24"/>
          <w:highlight w:val="none"/>
        </w:rPr>
        <w:br w:type="page"/>
      </w:r>
      <w:bookmarkStart w:id="1" w:name="_Toc23885"/>
      <w:bookmarkStart w:id="2" w:name="_Toc24735"/>
      <w:bookmarkStart w:id="3" w:name="_Toc16322"/>
      <w:r>
        <w:rPr>
          <w:rFonts w:hint="eastAsia"/>
          <w:color w:val="auto"/>
          <w:highlight w:val="none"/>
          <w:lang w:val="en-US" w:eastAsia="zh-CN"/>
        </w:rPr>
        <w:drawing>
          <wp:anchor distT="0" distB="0" distL="114300" distR="114300" simplePos="0" relativeHeight="251660288" behindDoc="0" locked="0" layoutInCell="1" allowOverlap="1">
            <wp:simplePos x="0" y="0"/>
            <wp:positionH relativeFrom="page">
              <wp:posOffset>830580</wp:posOffset>
            </wp:positionH>
            <wp:positionV relativeFrom="page">
              <wp:posOffset>1690370</wp:posOffset>
            </wp:positionV>
            <wp:extent cx="5792470" cy="6808470"/>
            <wp:effectExtent l="0" t="0" r="17780" b="11430"/>
            <wp:wrapSquare wrapText="bothSides"/>
            <wp:docPr id="9" name="图片 1" descr="7.22　关于公布新都区开展政府采购信用融资业务金额机构名单的通知（新都财采〔2021〕160号）（以此件为准）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7.22　关于公布新都区开展政府采购信用融资业务金额机构名单的通知（新都财采〔2021〕160号）（以此件为准）_00"/>
                    <pic:cNvPicPr>
                      <a:picLocks noChangeAspect="1"/>
                    </pic:cNvPicPr>
                  </pic:nvPicPr>
                  <pic:blipFill>
                    <a:blip r:embed="rId14"/>
                    <a:srcRect t="16882"/>
                    <a:stretch>
                      <a:fillRect/>
                    </a:stretch>
                  </pic:blipFill>
                  <pic:spPr>
                    <a:xfrm>
                      <a:off x="0" y="0"/>
                      <a:ext cx="5792470" cy="6808470"/>
                    </a:xfrm>
                    <a:prstGeom prst="rect">
                      <a:avLst/>
                    </a:prstGeom>
                    <a:noFill/>
                    <a:ln>
                      <a:noFill/>
                    </a:ln>
                  </pic:spPr>
                </pic:pic>
              </a:graphicData>
            </a:graphic>
          </wp:anchor>
        </w:drawing>
      </w:r>
      <w:bookmarkEnd w:id="1"/>
      <w:bookmarkEnd w:id="2"/>
      <w:r>
        <w:rPr>
          <w:rFonts w:hint="eastAsia" w:ascii="仿宋" w:hAnsi="仿宋" w:eastAsia="仿宋" w:cs="仿宋"/>
          <w:b/>
          <w:bCs w:val="0"/>
          <w:i w:val="0"/>
          <w:caps w:val="0"/>
          <w:color w:val="auto"/>
          <w:spacing w:val="0"/>
          <w:kern w:val="44"/>
          <w:sz w:val="24"/>
          <w:szCs w:val="24"/>
          <w:highlight w:val="none"/>
          <w:lang w:val="en-US" w:eastAsia="zh-CN" w:bidi="ar"/>
        </w:rPr>
        <w:t>附件四：《成都市新都区财政局关于公布新都区开展政府采购信用融资业务金融机构名单的通知》（新都财采〔2021〕160号）</w:t>
      </w:r>
      <w:bookmarkEnd w:id="3"/>
    </w:p>
    <w:p>
      <w:pPr>
        <w:bidi w:val="0"/>
        <w:rPr>
          <w:rFonts w:hint="eastAsia"/>
          <w:color w:val="auto"/>
          <w:highlight w:val="none"/>
          <w:lang w:val="en-US" w:eastAsia="zh-CN"/>
        </w:rPr>
      </w:pPr>
    </w:p>
    <w:p>
      <w:pPr>
        <w:rPr>
          <w:rFonts w:hint="eastAsia"/>
          <w:color w:val="auto"/>
          <w:highlight w:val="none"/>
          <w:lang w:val="en-US" w:eastAsia="zh-CN"/>
        </w:rPr>
      </w:pPr>
    </w:p>
    <w:p>
      <w:pPr>
        <w:spacing w:line="240" w:lineRule="auto"/>
        <w:ind w:left="0" w:leftChars="0" w:firstLine="0" w:firstLineChars="0"/>
        <w:jc w:val="both"/>
        <w:rPr>
          <w:rFonts w:hint="eastAsia"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drawing>
          <wp:inline distT="0" distB="0" distL="114300" distR="114300">
            <wp:extent cx="5467350" cy="7731760"/>
            <wp:effectExtent l="0" t="0" r="0" b="2540"/>
            <wp:docPr id="4"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图片1"/>
                    <pic:cNvPicPr>
                      <a:picLocks noChangeAspect="1"/>
                    </pic:cNvPicPr>
                  </pic:nvPicPr>
                  <pic:blipFill>
                    <a:blip r:embed="rId15"/>
                    <a:stretch>
                      <a:fillRect/>
                    </a:stretch>
                  </pic:blipFill>
                  <pic:spPr>
                    <a:xfrm>
                      <a:off x="0" y="0"/>
                      <a:ext cx="5467350" cy="7731760"/>
                    </a:xfrm>
                    <a:prstGeom prst="rect">
                      <a:avLst/>
                    </a:prstGeom>
                    <a:noFill/>
                    <a:ln>
                      <a:noFill/>
                    </a:ln>
                  </pic:spPr>
                </pic:pic>
              </a:graphicData>
            </a:graphic>
          </wp:inline>
        </w:drawing>
      </w:r>
    </w:p>
    <w:p>
      <w:pPr>
        <w:pStyle w:val="4"/>
        <w:rPr>
          <w:rFonts w:hint="eastAsia" w:ascii="仿宋" w:hAnsi="仿宋" w:eastAsia="仿宋" w:cs="仿宋"/>
          <w:b/>
          <w:bCs/>
          <w:color w:val="auto"/>
          <w:sz w:val="28"/>
          <w:szCs w:val="28"/>
          <w:highlight w:val="none"/>
          <w:lang w:val="en-US" w:eastAsia="zh-CN"/>
        </w:rPr>
      </w:pPr>
    </w:p>
    <w:p>
      <w:pPr>
        <w:rPr>
          <w:rFonts w:hint="eastAsia" w:ascii="仿宋" w:hAnsi="仿宋" w:eastAsia="仿宋" w:cs="仿宋"/>
          <w:b/>
          <w:bCs/>
          <w:color w:val="auto"/>
          <w:sz w:val="28"/>
          <w:szCs w:val="28"/>
          <w:highlight w:val="none"/>
          <w:lang w:val="en-US" w:eastAsia="zh-CN"/>
        </w:rPr>
      </w:pPr>
    </w:p>
    <w:p>
      <w:pPr>
        <w:pStyle w:val="4"/>
        <w:spacing w:line="240" w:lineRule="auto"/>
        <w:ind w:left="0" w:leftChars="0" w:firstLine="0" w:firstLineChars="0"/>
        <w:rPr>
          <w:rFonts w:hint="eastAsia"/>
          <w:color w:val="auto"/>
          <w:highlight w:val="none"/>
          <w:lang w:val="en-US" w:eastAsia="zh-CN"/>
        </w:rPr>
      </w:pPr>
    </w:p>
    <w:p>
      <w:pPr>
        <w:pStyle w:val="4"/>
        <w:spacing w:line="240" w:lineRule="auto"/>
        <w:ind w:left="0" w:leftChars="0" w:firstLine="0" w:firstLineChars="0"/>
        <w:rPr>
          <w:rFonts w:hint="eastAsia"/>
          <w:color w:val="auto"/>
          <w:highlight w:val="none"/>
          <w:lang w:val="en-US" w:eastAsia="zh-CN"/>
        </w:rPr>
      </w:pPr>
      <w:r>
        <w:rPr>
          <w:rFonts w:hint="eastAsia"/>
          <w:color w:val="auto"/>
          <w:highlight w:val="none"/>
          <w:lang w:val="en-US" w:eastAsia="zh-CN"/>
        </w:rPr>
        <w:drawing>
          <wp:inline distT="0" distB="0" distL="114300" distR="114300">
            <wp:extent cx="5467350" cy="7731760"/>
            <wp:effectExtent l="0" t="0" r="0" b="2540"/>
            <wp:docPr id="1" name="图片 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图片2"/>
                    <pic:cNvPicPr>
                      <a:picLocks noChangeAspect="1"/>
                    </pic:cNvPicPr>
                  </pic:nvPicPr>
                  <pic:blipFill>
                    <a:blip r:embed="rId16"/>
                    <a:stretch>
                      <a:fillRect/>
                    </a:stretch>
                  </pic:blipFill>
                  <pic:spPr>
                    <a:xfrm>
                      <a:off x="0" y="0"/>
                      <a:ext cx="5467350" cy="7731760"/>
                    </a:xfrm>
                    <a:prstGeom prst="rect">
                      <a:avLst/>
                    </a:prstGeom>
                    <a:noFill/>
                    <a:ln>
                      <a:noFill/>
                    </a:ln>
                  </pic:spPr>
                </pic:pic>
              </a:graphicData>
            </a:graphic>
          </wp:inline>
        </w:drawing>
      </w:r>
    </w:p>
    <w:p>
      <w:pPr>
        <w:rPr>
          <w:rFonts w:hint="eastAsia"/>
          <w:color w:val="auto"/>
          <w:highlight w:val="none"/>
          <w:lang w:val="en-US" w:eastAsia="zh-CN"/>
        </w:rPr>
      </w:pPr>
    </w:p>
    <w:p>
      <w:pPr>
        <w:ind w:left="0" w:leftChars="0" w:firstLine="0" w:firstLineChars="0"/>
      </w:pPr>
      <w:bookmarkStart w:id="4" w:name="_GoBack"/>
      <w:bookmarkEnd w:id="4"/>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modern"/>
    <w:pitch w:val="default"/>
    <w:sig w:usb0="800002BF" w:usb1="38CF7CFA" w:usb2="00000016" w:usb3="00000000" w:csb0="00040001" w:csb1="00000000"/>
  </w:font>
  <w:font w:name="方正仿宋_GBK">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Q1MTUyZmVjMjgzNzNmZDUwODk1MTdmODRhYWI3N2UifQ=="/>
  </w:docVars>
  <w:rsids>
    <w:rsidRoot w:val="00000000"/>
    <w:rsid w:val="7A6C71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460" w:lineRule="exact"/>
      <w:ind w:firstLine="643" w:firstLineChars="200"/>
      <w:jc w:val="both"/>
    </w:pPr>
    <w:rPr>
      <w:rFonts w:ascii="Calibri" w:hAnsi="Calibri" w:eastAsia="宋体" w:cs="Times New Roman"/>
      <w:kern w:val="2"/>
      <w:sz w:val="24"/>
      <w:szCs w:val="24"/>
      <w:lang w:val="en-US" w:eastAsia="zh-CN" w:bidi="ar-SA"/>
    </w:rPr>
  </w:style>
  <w:style w:type="paragraph" w:styleId="3">
    <w:name w:val="heading 2"/>
    <w:basedOn w:val="1"/>
    <w:next w:val="1"/>
    <w:qFormat/>
    <w:uiPriority w:val="0"/>
    <w:pPr>
      <w:keepNext/>
      <w:keepLines/>
      <w:spacing w:before="260" w:after="260" w:line="415" w:lineRule="auto"/>
      <w:outlineLvl w:val="1"/>
    </w:pPr>
    <w:rPr>
      <w:rFonts w:ascii="Arial" w:hAnsi="Arial" w:eastAsia="黑体"/>
      <w:b/>
      <w:bCs/>
      <w:sz w:val="32"/>
      <w:szCs w:val="32"/>
    </w:rPr>
  </w:style>
  <w:style w:type="character" w:default="1" w:styleId="7">
    <w:name w:val="Default Paragraph Font"/>
    <w:semiHidden/>
    <w:qFormat/>
    <w:uiPriority w:val="0"/>
  </w:style>
  <w:style w:type="table" w:default="1" w:styleId="6">
    <w:name w:val="Normal Table"/>
    <w:semiHidden/>
    <w:uiPriority w:val="0"/>
    <w:tblPr>
      <w:tblCellMar>
        <w:top w:w="0" w:type="dxa"/>
        <w:left w:w="108" w:type="dxa"/>
        <w:bottom w:w="0" w:type="dxa"/>
        <w:right w:w="108" w:type="dxa"/>
      </w:tblCellMar>
    </w:tblPr>
  </w:style>
  <w:style w:type="paragraph" w:styleId="2">
    <w:name w:val="header"/>
    <w:basedOn w:val="1"/>
    <w:next w:val="1"/>
    <w:qFormat/>
    <w:uiPriority w:val="0"/>
    <w:pPr>
      <w:pBdr>
        <w:bottom w:val="single" w:color="auto" w:sz="6" w:space="1"/>
      </w:pBdr>
      <w:tabs>
        <w:tab w:val="center" w:pos="4153"/>
        <w:tab w:val="right" w:pos="8306"/>
      </w:tabs>
      <w:snapToGrid w:val="0"/>
      <w:jc w:val="center"/>
    </w:pPr>
    <w:rPr>
      <w:sz w:val="18"/>
      <w:szCs w:val="20"/>
    </w:rPr>
  </w:style>
  <w:style w:type="paragraph" w:styleId="4">
    <w:name w:val="Body Text"/>
    <w:basedOn w:val="1"/>
    <w:next w:val="1"/>
    <w:qFormat/>
    <w:uiPriority w:val="0"/>
    <w:pPr>
      <w:spacing w:after="120"/>
    </w:pPr>
    <w:rPr>
      <w:rFonts w:ascii="Times New Roman" w:hAnsi="Times New Roman"/>
    </w:rPr>
  </w:style>
  <w:style w:type="paragraph" w:styleId="5">
    <w:name w:val="footer"/>
    <w:basedOn w:val="1"/>
    <w:qFormat/>
    <w:uiPriority w:val="0"/>
    <w:pPr>
      <w:tabs>
        <w:tab w:val="center" w:pos="4153"/>
        <w:tab w:val="right" w:pos="8306"/>
      </w:tabs>
      <w:snapToGrid w:val="0"/>
      <w:spacing w:line="240" w:lineRule="atLeast"/>
      <w:jc w:val="left"/>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GIF"/><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2023-07-05T08:36:18Z</dcterms:created>
  <dc:creator>Administrator</dc:creator>
  <cp:lastModifiedBy>潘思敏</cp:lastModifiedBy>
  <dcterms:modified xsi:type="dcterms:W3CDTF">2023-07-05T08:36:58Z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21107301697E42BDB4395EAF974D2C57_12</vt:lpwstr>
  </property>
</Properties>
</file>