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版本号：N511722202600004020260512001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长滩河宣汉县段防洪治理工程勘察设计服务项目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N5117222026000040</w:t>
      </w:r>
    </w:p>
    <w:p>
      <w:pPr>
        <w:pStyle w:val="null3"/>
        <w:jc w:val="left"/>
        <w:outlineLvl w:val="2"/>
      </w:pPr>
      <w:r>
        <w:rPr>
          <w:rFonts w:ascii="仿宋_GB2312" w:hAnsi="仿宋_GB2312" w:cs="仿宋_GB2312" w:eastAsia="仿宋_GB2312"/>
          <w:sz w:val="28"/>
          <w:b/>
        </w:rPr>
        <w:t>宣汉县水务局</w:t>
      </w:r>
    </w:p>
    <w:p>
      <w:pPr>
        <w:pStyle w:val="null3"/>
        <w:jc w:val="center"/>
        <w:outlineLvl w:val="2"/>
      </w:pPr>
      <w:r>
        <w:rPr>
          <w:rFonts w:ascii="仿宋_GB2312" w:hAnsi="仿宋_GB2312" w:cs="仿宋_GB2312" w:eastAsia="仿宋_GB2312"/>
          <w:sz w:val="28"/>
          <w:b/>
        </w:rPr>
        <w:t>四川亚信工程项目管理有限公司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四川亚信工程项目管理有限公司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宣汉县水务局</w:t>
      </w:r>
      <w:r>
        <w:rPr>
          <w:rFonts w:ascii="仿宋_GB2312" w:hAnsi="仿宋_GB2312" w:cs="仿宋_GB2312" w:eastAsia="仿宋_GB2312"/>
        </w:rPr>
        <w:t xml:space="preserve"> 委托，拟对 </w:t>
      </w:r>
      <w:r>
        <w:rPr>
          <w:rFonts w:ascii="仿宋_GB2312" w:hAnsi="仿宋_GB2312" w:cs="仿宋_GB2312" w:eastAsia="仿宋_GB2312"/>
        </w:rPr>
        <w:t>长滩河宣汉县段防洪治理工程勘察设计服务项目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达州市宣汉县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N5117222026000040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长滩河宣汉县段防洪治理工程勘察设计服务项目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本项目拟开展长滩河宣汉县段防洪治理工程勘察设计服务项目采购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供应商以联合体形式参加本采购包的，联合体各方均应当为小微企业。组成联合体的小微企业与联合体内其他企业之间不得存在直接控股、管理关系。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1、根据本项目特殊要求设置的特定条件（描述：供应商具备国家行政主管部门颁发的工程设计水利行业丙级及以上资质和工程勘察岩土工程专业（岩土工程勘察）丙级及以上资质）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宣汉县水务局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宣汉县东乡镇解放中路454号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0818-5230000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四川亚信工程项目管理有限公司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四川省成都市青羊区日月大道1501号万和中心1栋508号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13018207167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代理服务费收费标准：本项目招标代理服务费根据中标金额按照国家计委关于印发《招标代理服务收费管理暂行办法》的通知（计价格（2002）1980号）文件收取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宣汉县水务局</w:t>
      </w:r>
      <w:r>
        <w:rPr>
          <w:rFonts w:ascii="仿宋_GB2312" w:hAnsi="仿宋_GB2312" w:cs="仿宋_GB2312" w:eastAsia="仿宋_GB2312"/>
        </w:rPr>
        <w:t xml:space="preserve"> 和 </w:t>
      </w:r>
      <w:r>
        <w:rPr>
          <w:rFonts w:ascii="仿宋_GB2312" w:hAnsi="仿宋_GB2312" w:cs="仿宋_GB2312" w:eastAsia="仿宋_GB2312"/>
        </w:rPr>
        <w:t>四川亚信工程项目管理有限公司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宣汉县水务局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四川亚信工程项目管理有限公司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全部工程完工后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按合同规定执行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结合本项目采购文件的质量要求和技术指标、供应商的投标(响应)文件、合同约定标准等进行验收。如出现未在采购文件中明确规定的，以行业相关标准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结合本项目采购文件的质量要求和技术指标、供应商的投标(响应)文件、合同约定标准等进行验收。如出现未在采购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结合本项目采购文件的质量要求和技术指标、供应商的投标(响应)文件、合同约定标准等进行验收。如出现未在采购文件中明确规定的，以行业相关标准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宣汉县水务局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四川亚信工程项目管理有限公司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四川亚信工程项目管理有限公司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联系电话：0818-5230000</w:t>
      </w:r>
    </w:p>
    <w:p>
      <w:pPr>
        <w:pStyle w:val="null3"/>
        <w:jc w:val="left"/>
      </w:pPr>
      <w:r>
        <w:rPr>
          <w:rFonts w:ascii="仿宋_GB2312" w:hAnsi="仿宋_GB2312" w:cs="仿宋_GB2312" w:eastAsia="仿宋_GB2312"/>
        </w:rPr>
        <w:t>地址：宣汉县东乡镇解放中路454号</w:t>
      </w:r>
    </w:p>
    <w:p>
      <w:pPr>
        <w:pStyle w:val="null3"/>
        <w:jc w:val="left"/>
      </w:pPr>
      <w:r>
        <w:rPr>
          <w:rFonts w:ascii="仿宋_GB2312" w:hAnsi="仿宋_GB2312" w:cs="仿宋_GB2312" w:eastAsia="仿宋_GB2312"/>
        </w:rPr>
        <w:t>邮编：636150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联系人：周先生</w:t>
      </w:r>
    </w:p>
    <w:p>
      <w:pPr>
        <w:pStyle w:val="null3"/>
        <w:jc w:val="left"/>
      </w:pPr>
      <w:r>
        <w:rPr>
          <w:rFonts w:ascii="仿宋_GB2312" w:hAnsi="仿宋_GB2312" w:cs="仿宋_GB2312" w:eastAsia="仿宋_GB2312"/>
        </w:rPr>
        <w:t>联系电话：13018207167</w:t>
      </w:r>
    </w:p>
    <w:p>
      <w:pPr>
        <w:pStyle w:val="null3"/>
        <w:jc w:val="left"/>
      </w:pPr>
      <w:r>
        <w:rPr>
          <w:rFonts w:ascii="仿宋_GB2312" w:hAnsi="仿宋_GB2312" w:cs="仿宋_GB2312" w:eastAsia="仿宋_GB2312"/>
        </w:rPr>
        <w:t>地址：四川省成都市青羊区日月大道1501号万和中心1栋508号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长滩河宣汉县段防洪治理工程勘察设计服务项目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长滩河宣汉县段防洪治理工程勘察设计服务项目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标的名称：长滩河宣汉县段防洪治理工程勘察设计服务项目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240"/>
              <w:jc w:val="both"/>
            </w:pPr>
            <w:r>
              <w:rPr>
                <w:rFonts w:ascii="仿宋_GB2312" w:hAnsi="仿宋_GB2312" w:cs="仿宋_GB2312" w:eastAsia="仿宋_GB2312"/>
                <w:sz w:val="24"/>
              </w:rPr>
              <w:t>1、包括本项目勘察、设计、施工图及预算编制和后续服务工作；保证设计深度和设计文件质量，保证工程设计通过有关部门的审核；</w:t>
            </w:r>
          </w:p>
          <w:p>
            <w:pPr>
              <w:pStyle w:val="null3"/>
              <w:ind w:firstLine="240"/>
              <w:jc w:val="both"/>
            </w:pPr>
            <w:r>
              <w:rPr>
                <w:rFonts w:ascii="仿宋_GB2312" w:hAnsi="仿宋_GB2312" w:cs="仿宋_GB2312" w:eastAsia="仿宋_GB2312"/>
                <w:sz w:val="24"/>
              </w:rPr>
              <w:t>2、收集本工程已有资料、现场踏勘、制订勘察纲要；</w:t>
            </w:r>
          </w:p>
          <w:p>
            <w:pPr>
              <w:pStyle w:val="null3"/>
              <w:ind w:firstLine="240"/>
              <w:jc w:val="both"/>
            </w:pPr>
            <w:r>
              <w:rPr>
                <w:rFonts w:ascii="仿宋_GB2312" w:hAnsi="仿宋_GB2312" w:cs="仿宋_GB2312" w:eastAsia="仿宋_GB2312"/>
                <w:sz w:val="24"/>
              </w:rPr>
              <w:t>3、进行本工程测绘以及必要的钻探、试验等勘察作业；</w:t>
            </w:r>
          </w:p>
          <w:p>
            <w:pPr>
              <w:pStyle w:val="null3"/>
              <w:ind w:firstLine="240"/>
              <w:jc w:val="both"/>
            </w:pPr>
            <w:r>
              <w:rPr>
                <w:rFonts w:ascii="仿宋_GB2312" w:hAnsi="仿宋_GB2312" w:cs="仿宋_GB2312" w:eastAsia="仿宋_GB2312"/>
                <w:sz w:val="24"/>
              </w:rPr>
              <w:t>4、编制本工程地质勘察报告；</w:t>
            </w:r>
          </w:p>
          <w:p>
            <w:pPr>
              <w:pStyle w:val="null3"/>
              <w:ind w:firstLine="240"/>
              <w:jc w:val="both"/>
            </w:pPr>
            <w:r>
              <w:rPr>
                <w:rFonts w:ascii="仿宋_GB2312" w:hAnsi="仿宋_GB2312" w:cs="仿宋_GB2312" w:eastAsia="仿宋_GB2312"/>
                <w:sz w:val="24"/>
              </w:rPr>
              <w:t>5、解决设计和施工中的工程勘察技术问题；</w:t>
            </w:r>
          </w:p>
          <w:p>
            <w:pPr>
              <w:pStyle w:val="null3"/>
              <w:ind w:firstLine="240"/>
              <w:jc w:val="both"/>
            </w:pPr>
            <w:r>
              <w:rPr>
                <w:rFonts w:ascii="仿宋_GB2312" w:hAnsi="仿宋_GB2312" w:cs="仿宋_GB2312" w:eastAsia="仿宋_GB2312"/>
                <w:sz w:val="24"/>
              </w:rPr>
              <w:t>6、具有完成项目的设计所需的设备；</w:t>
            </w:r>
          </w:p>
          <w:p>
            <w:pPr>
              <w:pStyle w:val="null3"/>
              <w:ind w:firstLine="240"/>
              <w:jc w:val="both"/>
            </w:pPr>
            <w:r>
              <w:rPr>
                <w:rFonts w:ascii="仿宋_GB2312" w:hAnsi="仿宋_GB2312" w:cs="仿宋_GB2312" w:eastAsia="仿宋_GB2312"/>
                <w:sz w:val="24"/>
              </w:rPr>
              <w:t>7、编制本工程初步设计文件；</w:t>
            </w:r>
          </w:p>
          <w:p>
            <w:pPr>
              <w:pStyle w:val="null3"/>
              <w:ind w:firstLine="240"/>
              <w:jc w:val="both"/>
            </w:pPr>
            <w:r>
              <w:rPr>
                <w:rFonts w:ascii="仿宋_GB2312" w:hAnsi="仿宋_GB2312" w:cs="仿宋_GB2312" w:eastAsia="仿宋_GB2312"/>
                <w:sz w:val="24"/>
              </w:rPr>
              <w:t>8、编制本工程施工图设计文件及施工图预算书；</w:t>
            </w:r>
          </w:p>
          <w:p>
            <w:pPr>
              <w:pStyle w:val="null3"/>
              <w:ind w:firstLine="240"/>
              <w:jc w:val="both"/>
            </w:pPr>
            <w:r>
              <w:rPr>
                <w:rFonts w:ascii="仿宋_GB2312" w:hAnsi="仿宋_GB2312" w:cs="仿宋_GB2312" w:eastAsia="仿宋_GB2312"/>
                <w:sz w:val="24"/>
              </w:rPr>
              <w:t>9、本项目的勘察设计编制过程和成果必须符合国家有关工程建设标准强制性条文、中华人民共和国国家标准和建设、水利部门及其他部委颁布的有关建筑工程勘察设计等方面现行的标准、规范、规程、定额、办法、示例，以及建设部、水利部、四川省建设厅、水利厅下发的有关建设工程勘察设计方面的文件和规定。初步设计必须通过相关职能部门审查。在编制过程中，如果国家或有关部委颁发了新的技术标准或规范，则供应商应釆用新的标准或规范进行编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服务成果要求</w:t>
            </w:r>
          </w:p>
        </w:tc>
        <w:tc>
          <w:tcPr>
            <w:tcW w:type="dxa" w:w="5814"/>
          </w:tcPr>
          <w:p>
            <w:pPr>
              <w:pStyle w:val="null3"/>
              <w:ind w:firstLine="480"/>
              <w:jc w:val="both"/>
            </w:pPr>
            <w:r>
              <w:rPr>
                <w:rFonts w:ascii="仿宋_GB2312" w:hAnsi="仿宋_GB2312" w:cs="仿宋_GB2312" w:eastAsia="仿宋_GB2312"/>
                <w:sz w:val="24"/>
              </w:rPr>
              <w:t>1、所有成果提交时包括地勘资料、设计资料、纸质文档相应附图8套及可编辑电子文档一份，供应商对提交成果的准确性和可靠性负责。</w:t>
            </w:r>
          </w:p>
          <w:p>
            <w:pPr>
              <w:pStyle w:val="null3"/>
              <w:ind w:firstLine="480"/>
              <w:jc w:val="both"/>
            </w:pPr>
            <w:r>
              <w:rPr>
                <w:rFonts w:ascii="仿宋_GB2312" w:hAnsi="仿宋_GB2312" w:cs="仿宋_GB2312" w:eastAsia="仿宋_GB2312"/>
                <w:sz w:val="24"/>
              </w:rPr>
              <w:t>2、成果要求：审查合格的初步设计报告、施工图设计成果以及施工图预算书。</w:t>
            </w:r>
          </w:p>
          <w:p>
            <w:pPr>
              <w:pStyle w:val="null3"/>
              <w:ind w:firstLine="480"/>
              <w:jc w:val="both"/>
            </w:pPr>
            <w:r>
              <w:rPr>
                <w:rFonts w:ascii="仿宋_GB2312" w:hAnsi="仿宋_GB2312" w:cs="仿宋_GB2312" w:eastAsia="仿宋_GB2312"/>
                <w:sz w:val="24"/>
              </w:rPr>
              <w:t>3、所有提交给采购人资料的最后文本，均属于采购人的财产，未经采购人的书面同意，成交供应商不得将上述资料用于该项目勘察设计服务项目之外的任何项目。所有成果文件深度满足施工需要，并满足相关标准、规范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60日历天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达州市宣汉县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结合本项目采购文件的质量要求和技术指标、供应商的投标(响应)文件、合同约定标准等进行验收。如出现未在采购文件中明确规定的，以行业相关标准为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1、进度款，初步设计批复下达后 ，达到付款条件起7日内，支付合同总金额的50.00%</w:t>
            </w:r>
          </w:p>
          <w:p>
            <w:pPr>
              <w:pStyle w:val="null3"/>
              <w:jc w:val="left"/>
            </w:pPr>
            <w:r>
              <w:rPr>
                <w:rFonts w:ascii="仿宋_GB2312" w:hAnsi="仿宋_GB2312" w:cs="仿宋_GB2312" w:eastAsia="仿宋_GB2312"/>
              </w:rPr>
              <w:t>2、进度款，提交施工图和施工图预算 ，达到付款条件起7日内，支付合同总金额的40.00%</w:t>
            </w:r>
          </w:p>
          <w:p>
            <w:pPr>
              <w:pStyle w:val="null3"/>
              <w:jc w:val="left"/>
            </w:pPr>
            <w:r>
              <w:rPr>
                <w:rFonts w:ascii="仿宋_GB2312" w:hAnsi="仿宋_GB2312" w:cs="仿宋_GB2312" w:eastAsia="仿宋_GB2312"/>
              </w:rPr>
              <w:t>3、尾款，工程完工验收合格后 ，达到付款条件起7日内，支付合同总金额的10.00%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供应商需在使⽤投标(响应)客⼾端编制响应⽂件时，按要求填写《投标（响应）函》完成承诺 并进⾏电⼦签章。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根据本项目特殊要求设置的特定条件</w:t>
            </w:r>
          </w:p>
        </w:tc>
        <w:tc>
          <w:tcPr>
            <w:tcW w:type="dxa" w:w="3322"/>
          </w:tcPr>
          <w:p>
            <w:pPr>
              <w:pStyle w:val="null3"/>
              <w:jc w:val="left"/>
            </w:pPr>
            <w:r>
              <w:rPr>
                <w:rFonts w:ascii="仿宋_GB2312" w:hAnsi="仿宋_GB2312" w:cs="仿宋_GB2312" w:eastAsia="仿宋_GB2312"/>
              </w:rPr>
              <w:t>供应商具备国家行政主管部门颁发的工程设计水利行业丙级及以上资质和工程勘察岩土工程专业（岩土工程勘察）丙级及以上资质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项目实施方案和后期服务措施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项目实施方案和后期服务措施</w:t>
            </w:r>
          </w:p>
        </w:tc>
        <w:tc>
          <w:tcPr>
            <w:tcW w:type="dxa" w:w="2575"/>
          </w:tcPr>
          <w:p>
            <w:pPr>
              <w:pStyle w:val="null3"/>
              <w:jc w:val="left"/>
            </w:pPr>
            <w:r>
              <w:rPr>
                <w:rFonts w:ascii="仿宋_GB2312" w:hAnsi="仿宋_GB2312" w:cs="仿宋_GB2312" w:eastAsia="仿宋_GB2312"/>
              </w:rPr>
              <w:t>1.总体工作方案和总体设计思路，内容包含：①项目背景及基本情况分析；②项目区域现状分析；③项目实施目标；④具体工作内容；⑤ 重难点分析。以上五项内容要素完全满足采购要求得15分。每缺少一项内容的扣3分；每有一处内容有缺陷扣1.5分，扣完为止。 2.质量保障措施，内容包含：①质量目标；②质量保障内容；③质量保障组织机构；④质量控制方法；⑤质量保障体系。以上五项内容要素完全满足采购要求得15分。每缺少一项内容的扣3分；每有一处内容有缺陷扣1.5分，扣完为止。 3.工作进度计划及其保障措施，内容包含：①工作目标；②具体实施内容；③进度安排；④安全及保障措施。以上四项内容要素完全满足采购要求得12分。每缺少一项内容的扣3分；每有一处内容有缺陷扣1.5分，扣完为止。 4、后期服务措施，内容包含：①服务承诺；②后期服务内容；③后期服务人员安排；④后期服务保障措施；以上四项内容要素完全满足采购要求得8分。每缺少一项内容的扣2分；每有一处内容缺陷扣1分，扣完为止。 注：内容有缺陷是指：内容脱离项目实际情况或与项目无关的或与项目不匹配 或项目名称、实施地点、涉及的规范、技术服务标准要求与本项目不一致、内容前后不一致、凭空编造，虽有内容但不完整、编写的内容和标准与本项目需求和特点不符 等情形</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项目团队人员</w:t>
            </w:r>
          </w:p>
        </w:tc>
        <w:tc>
          <w:tcPr>
            <w:tcW w:type="dxa" w:w="2575"/>
          </w:tcPr>
          <w:p>
            <w:pPr>
              <w:pStyle w:val="null3"/>
              <w:jc w:val="left"/>
            </w:pPr>
            <w:r>
              <w:rPr>
                <w:rFonts w:ascii="仿宋_GB2312" w:hAnsi="仿宋_GB2312" w:cs="仿宋_GB2312" w:eastAsia="仿宋_GB2312"/>
              </w:rPr>
              <w:t>1.项目负责人（1人）：具有水利水电类中级职称得1.5分；具有水利水电类高级及以上职称得3分。本项最高得3分。不提供不得分。 2.设计专业负责人（1人）：具有水利水电类中级职称得1.5分；具有水利水电类高级及以上职称得3分。本项最高得3分。不提供不得分。 3.勘察专业负责人（1人）：具有岩土或地质类中级职称得1.5分；具有岩土或地质类专业类高级及以上职称得3分。 本项最高得3分。不提供不得分。 4.造价专业负责人：具有工程造价类专业中级职称得1.5分，具有工程造价类专业高级及以上职称得3分。 本项最高得3分。不提供不得分。 注：以上人员不重复计分。提供人员相关职称证书复印件并加盖供应商鲜章。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供应商本项目管理、技术、其他人员情况表.docx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2023年1月1日（以合同签订时间为准）以来，供应商提供一个类似业绩的得4分；每增加一个类似业绩加2分，本项最高得8分。 注：须提供中标通知书或合同协议书复印件或扫描件为证明材料。</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详见附件：供应商本项目管理、技术、其他人员情况表.docx</w:t>
      </w:r>
    </w:p>
    <w:p>
      <w:pPr>
        <w:pStyle w:val="null3"/>
        <w:ind w:firstLine="960"/>
        <w:jc w:val="left"/>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