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76DF8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具有健全的财务会计制度</w:t>
      </w:r>
    </w:p>
    <w:p w14:paraId="2FA10C75">
      <w:pPr>
        <w:rPr>
          <w:rFonts w:hint="eastAsia"/>
        </w:rPr>
      </w:pPr>
    </w:p>
    <w:p w14:paraId="578B3E51">
      <w:pPr>
        <w:rPr>
          <w:rFonts w:hint="eastAsia"/>
        </w:rPr>
      </w:pPr>
    </w:p>
    <w:p w14:paraId="709E1021">
      <w:r>
        <w:rPr>
          <w:rFonts w:hint="eastAsia"/>
        </w:rPr>
        <w:t>供应商提供截⾄响应⽂件提交截⽌之⽇前⼀年内，经审计的财务报告（包含审计报告和审计报告中所涉及的财务报表和报表附注）或者银⾏出具的资信证明。未经审计的提供财务报告（包括资产负债表、利润表、现⾦流量表、所有者权益变动表及其附注）。也可提供具有健全的财务会计制度承诺函。供应商注册时间截⾄响应⽂件提交截⽌之⽇前不⾜⼀年的，也可提供在相关主管部⻔备案的公司章程，也可提供具有健全的财务会计制度承诺函等证明材料 。供应商需在使⽤投标(响应)客⼾端编制响应⽂件时，按要求上传相应证明材料并进⾏电⼦签章。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E3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2026-05-07T07:26:14Z</dcterms:created>
  <dc:creator>Administrator</dc:creator>
  <cp:lastModifiedBy>ZXX</cp:lastModifiedBy>
  <dcterms:modified xsi:type="dcterms:W3CDTF">2026-05-07T07:26:50Z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eyJoZGlkIjoiZjhmZjQzYTVkZGVmNzRmOGJmYjEyZmYyNjhkZTBhNjIiLCJ1c2VySWQiOiI4MzI0MTMzMjAifQ==</vt:lpwstr>
  </property>
  <property fmtid="{D5CDD505-2E9C-101B-9397-08002B2CF9AE}" pid="4" name="ICV">
    <vt:lpwstr>F45DC328EE4A495086935A54D8E9CCBA_12</vt:lpwstr>
  </property>
</Properties>
</file>