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（货物类）</w:t>
      </w:r>
    </w:p>
    <w:p>
      <w:pPr>
        <w:pStyle w:val="null3"/>
        <w:jc w:val="center"/>
        <w:outlineLvl w:val="2"/>
      </w:pPr>
      <w:r>
        <w:rPr>
          <w:sz w:val="28"/>
          <w:b/>
        </w:rPr>
        <w:t>项目名称：</w:t>
      </w:r>
      <w:r>
        <w:rPr>
          <w:sz w:val="28"/>
          <w:b/>
        </w:rPr>
        <w:t>政和县佛子山度假区旅游基础设施建设项目-外屯乡X893外屯至湖屯段旅游公路改造（通信设施提升改造）</w:t>
      </w:r>
    </w:p>
    <w:p>
      <w:pPr>
        <w:pStyle w:val="null3"/>
        <w:jc w:val="center"/>
        <w:outlineLvl w:val="2"/>
      </w:pPr>
      <w:r>
        <w:rPr>
          <w:sz w:val="28"/>
          <w:b/>
        </w:rPr>
        <w:t>备案编号：</w:t>
      </w:r>
      <w:r>
        <w:rPr>
          <w:sz w:val="28"/>
          <w:b/>
        </w:rPr>
        <w:t>CGXM-2024-350725-00567[2024]00464</w:t>
      </w:r>
    </w:p>
    <w:p>
      <w:pPr>
        <w:pStyle w:val="null3"/>
        <w:jc w:val="center"/>
        <w:outlineLvl w:val="2"/>
      </w:pPr>
      <w:r>
        <w:rPr>
          <w:sz w:val="28"/>
          <w:b/>
        </w:rPr>
        <w:t>项目编号：</w:t>
      </w:r>
      <w:r>
        <w:rPr>
          <w:sz w:val="28"/>
          <w:b/>
        </w:rPr>
        <w:t>[350725]ZHONGJIN[CS]2024009</w:t>
      </w:r>
    </w:p>
    <w:p>
      <w:pPr>
        <w:pStyle w:val="null3"/>
        <w:jc w:val="center"/>
        <w:outlineLvl w:val="2"/>
      </w:pPr>
      <w:r>
        <w:rPr>
          <w:sz w:val="28"/>
          <w:b/>
        </w:rPr>
        <w:t>采购人：</w:t>
      </w:r>
      <w:r>
        <w:rPr>
          <w:sz w:val="28"/>
          <w:b/>
        </w:rPr>
        <w:t>政和县外屯乡人民政府</w:t>
      </w:r>
    </w:p>
    <w:p>
      <w:pPr>
        <w:pStyle w:val="null3"/>
        <w:jc w:val="center"/>
        <w:outlineLvl w:val="2"/>
      </w:pPr>
      <w:r>
        <w:rPr>
          <w:sz w:val="28"/>
          <w:b/>
        </w:rPr>
        <w:t>代理机构：</w:t>
      </w:r>
      <w:r>
        <w:rPr>
          <w:sz w:val="28"/>
          <w:b/>
        </w:rPr>
        <w:t>中晋工程项目管理有限公司</w:t>
      </w:r>
    </w:p>
    <w:p>
      <w:pPr>
        <w:pStyle w:val="null3"/>
        <w:jc w:val="center"/>
        <w:outlineLvl w:val="2"/>
      </w:pPr>
      <w:r>
        <w:rPr>
          <w:sz w:val="28"/>
          <w:b/>
        </w:rPr>
        <w:t>编制时间</w:t>
      </w:r>
      <w:r>
        <w:rPr>
          <w:sz w:val="28"/>
          <w:b/>
        </w:rPr>
        <w:t>：</w:t>
      </w:r>
      <w:r>
        <w:rPr>
          <w:sz w:val="28"/>
          <w:b/>
        </w:rPr>
        <w:t>2024年10月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政和县外屯乡人民政府</w:t>
      </w:r>
      <w:r>
        <w:rPr/>
        <w:t xml:space="preserve"> 已根据政府采购相关法律法规，经相应程序确定采用 竞争性磋商 方式组织 </w:t>
      </w:r>
      <w:r>
        <w:rPr/>
        <w:t>政和县佛子山度假区旅游基础设施建设项目-外屯乡X893外屯至湖屯段旅游公路改造（通信设施提升改造）</w:t>
      </w:r>
      <w:r>
        <w:rPr/>
        <w:t xml:space="preserve"> 项目（以下简称：“本项目”）的政府采购活动， </w:t>
      </w:r>
      <w:r>
        <w:rPr/>
        <w:t>现欢迎国内合格的供应商前来参加。</w:t>
      </w:r>
      <w:r>
        <w:rPr/>
        <w:t xml:space="preserve"> 本项目由采购人委托 </w:t>
      </w:r>
      <w:r>
        <w:rPr/>
        <w:t>中晋工程项目管理有限公司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政和县佛子山度假区旅游基础设施建设项目-外屯乡X893外屯至湖屯段旅游公路改造（通信设施提升改造）</w:t>
      </w:r>
    </w:p>
    <w:p>
      <w:pPr>
        <w:pStyle w:val="null3"/>
        <w:ind w:firstLine="480"/>
        <w:jc w:val="left"/>
        <w:outlineLvl w:val="2"/>
      </w:pPr>
      <w:r>
        <w:rPr>
          <w:sz w:val="28"/>
          <w:b/>
        </w:rPr>
        <w:t>2.备案编号</w:t>
      </w:r>
      <w:r>
        <w:rPr>
          <w:sz w:val="28"/>
          <w:b/>
        </w:rPr>
        <w:t xml:space="preserve">： </w:t>
      </w:r>
      <w:r>
        <w:rPr>
          <w:sz w:val="28"/>
          <w:b/>
        </w:rPr>
        <w:t>CGXM-2024-350725-00567[2024]00464</w:t>
      </w:r>
    </w:p>
    <w:p>
      <w:pPr>
        <w:pStyle w:val="null3"/>
        <w:ind w:firstLine="480"/>
        <w:jc w:val="left"/>
        <w:outlineLvl w:val="2"/>
      </w:pPr>
      <w:r>
        <w:rPr>
          <w:sz w:val="28"/>
          <w:b/>
        </w:rPr>
        <w:t>3.项目编号</w:t>
      </w:r>
      <w:r>
        <w:rPr>
          <w:sz w:val="28"/>
          <w:b/>
        </w:rPr>
        <w:t xml:space="preserve">： </w:t>
      </w:r>
      <w:r>
        <w:rPr>
          <w:sz w:val="28"/>
          <w:b/>
        </w:rPr>
        <w:t>[350725]ZHONGJIN[CS]2024009</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1,600,869.97</w:t>
      </w:r>
    </w:p>
    <w:p>
      <w:pPr>
        <w:pStyle w:val="null3"/>
        <w:jc w:val="left"/>
      </w:pPr>
      <w:r>
        <w:rPr/>
        <w:t>采购包最高限价（元）: 1,408,765.00</w:t>
      </w:r>
    </w:p>
    <w:p>
      <w:pPr>
        <w:pStyle w:val="null3"/>
        <w:jc w:val="left"/>
      </w:pPr>
      <w:r>
        <w:rPr/>
        <w:t>采购包保证金金额（元）: 16,008.00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政和县佛子山度假区旅游基础设施建设项目-外屯乡X893外屯至湖屯段旅游公路改造（通信设施提升改造）</w:t>
            </w:r>
          </w:p>
        </w:tc>
        <w:tc>
          <w:tcPr>
            <w:tcW w:type="dxa" w:w="1187"/>
          </w:tcPr>
          <w:p>
            <w:pPr>
              <w:pStyle w:val="null3"/>
              <w:jc w:val="right"/>
            </w:pPr>
            <w:r>
              <w:rPr/>
              <w:t>1.00</w:t>
            </w:r>
          </w:p>
        </w:tc>
        <w:tc>
          <w:tcPr>
            <w:tcW w:type="dxa" w:w="1187"/>
          </w:tcPr>
          <w:p>
            <w:pPr>
              <w:pStyle w:val="null3"/>
              <w:jc w:val="right"/>
            </w:pPr>
            <w:r>
              <w:rPr/>
              <w:t>1,600,869.97</w:t>
            </w:r>
          </w:p>
        </w:tc>
        <w:tc>
          <w:tcPr>
            <w:tcW w:type="dxa" w:w="1187"/>
          </w:tcPr>
          <w:p>
            <w:pPr>
              <w:pStyle w:val="null3"/>
              <w:jc w:val="left"/>
            </w:pPr>
            <w:r>
              <w:rPr/>
              <w:t>项</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政和县佛子山度假区旅游基础设施建设项目-外屯乡X893外屯至湖屯段旅游公路改造（通信设施提升改造）</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1,408,765.00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政和县佛子山度假区旅游基础设施建设项目-外屯乡X893外屯至湖屯段旅游公路改造（通信设施提升改造）</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网络摄像机</w:t>
            </w:r>
          </w:p>
        </w:tc>
        <w:tc>
          <w:tcPr>
            <w:tcW w:type="dxa" w:w="2076"/>
          </w:tcPr>
          <w:p>
            <w:pPr>
              <w:pStyle w:val="null3"/>
              <w:jc w:val="left"/>
            </w:pPr>
            <w:r>
              <w:rPr/>
              <w:t>网络摄像机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w:t>
            </w:r>
          </w:p>
        </w:tc>
        <w:tc>
          <w:tcPr>
            <w:tcW w:type="dxa" w:w="2076"/>
          </w:tcPr>
          <w:p>
            <w:pPr>
              <w:pStyle w:val="null3"/>
              <w:jc w:val="left"/>
            </w:pPr>
            <w:r>
              <w:rPr/>
              <w:t>图像型火灾探测器</w:t>
            </w:r>
          </w:p>
        </w:tc>
        <w:tc>
          <w:tcPr>
            <w:tcW w:type="dxa" w:w="2076"/>
          </w:tcPr>
          <w:p>
            <w:pPr>
              <w:pStyle w:val="null3"/>
              <w:jc w:val="left"/>
            </w:pPr>
            <w:r>
              <w:rPr/>
              <w:t>图像型火灾探测器</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w:t>
            </w:r>
          </w:p>
        </w:tc>
        <w:tc>
          <w:tcPr>
            <w:tcW w:type="dxa" w:w="2076"/>
          </w:tcPr>
          <w:p>
            <w:pPr>
              <w:pStyle w:val="null3"/>
              <w:jc w:val="left"/>
            </w:pPr>
            <w:r>
              <w:rPr/>
              <w:t>网络硬盘录像机</w:t>
            </w:r>
          </w:p>
        </w:tc>
        <w:tc>
          <w:tcPr>
            <w:tcW w:type="dxa" w:w="2076"/>
          </w:tcPr>
          <w:p>
            <w:pPr>
              <w:pStyle w:val="null3"/>
              <w:jc w:val="left"/>
            </w:pPr>
            <w:r>
              <w:rPr/>
              <w:t>网络硬盘录像机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w:t>
            </w:r>
          </w:p>
        </w:tc>
        <w:tc>
          <w:tcPr>
            <w:tcW w:type="dxa" w:w="2076"/>
          </w:tcPr>
          <w:p>
            <w:pPr>
              <w:pStyle w:val="null3"/>
              <w:jc w:val="left"/>
            </w:pPr>
            <w:r>
              <w:rPr/>
              <w:t>云服务器</w:t>
            </w:r>
          </w:p>
        </w:tc>
        <w:tc>
          <w:tcPr>
            <w:tcW w:type="dxa" w:w="2076"/>
          </w:tcPr>
          <w:p>
            <w:pPr>
              <w:pStyle w:val="null3"/>
              <w:jc w:val="left"/>
            </w:pPr>
            <w:r>
              <w:rPr/>
              <w:t>云服务器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w:t>
            </w:r>
          </w:p>
        </w:tc>
        <w:tc>
          <w:tcPr>
            <w:tcW w:type="dxa" w:w="2076"/>
          </w:tcPr>
          <w:p>
            <w:pPr>
              <w:pStyle w:val="null3"/>
              <w:jc w:val="left"/>
            </w:pPr>
            <w:r>
              <w:rPr/>
              <w:t>5G网关</w:t>
            </w:r>
          </w:p>
        </w:tc>
        <w:tc>
          <w:tcPr>
            <w:tcW w:type="dxa" w:w="2076"/>
          </w:tcPr>
          <w:p>
            <w:pPr>
              <w:pStyle w:val="null3"/>
              <w:jc w:val="left"/>
            </w:pPr>
            <w:r>
              <w:rPr/>
              <w:t>5G网关</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w:t>
            </w:r>
          </w:p>
        </w:tc>
        <w:tc>
          <w:tcPr>
            <w:tcW w:type="dxa" w:w="2076"/>
          </w:tcPr>
          <w:p>
            <w:pPr>
              <w:pStyle w:val="null3"/>
              <w:jc w:val="left"/>
            </w:pPr>
            <w:r>
              <w:rPr/>
              <w:t>定位盒</w:t>
            </w:r>
          </w:p>
        </w:tc>
        <w:tc>
          <w:tcPr>
            <w:tcW w:type="dxa" w:w="2076"/>
          </w:tcPr>
          <w:p>
            <w:pPr>
              <w:pStyle w:val="null3"/>
              <w:jc w:val="left"/>
            </w:pPr>
            <w:r>
              <w:rPr/>
              <w:t>定位盒</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w:t>
            </w:r>
          </w:p>
        </w:tc>
        <w:tc>
          <w:tcPr>
            <w:tcW w:type="dxa" w:w="2076"/>
          </w:tcPr>
          <w:p>
            <w:pPr>
              <w:pStyle w:val="null3"/>
              <w:jc w:val="left"/>
            </w:pPr>
            <w:r>
              <w:rPr/>
              <w:t>GYTS光缆</w:t>
            </w:r>
          </w:p>
        </w:tc>
        <w:tc>
          <w:tcPr>
            <w:tcW w:type="dxa" w:w="2076"/>
          </w:tcPr>
          <w:p>
            <w:pPr>
              <w:pStyle w:val="null3"/>
              <w:jc w:val="left"/>
            </w:pPr>
            <w:r>
              <w:rPr/>
              <w:t>GYTS光缆</w:t>
            </w:r>
          </w:p>
        </w:tc>
        <w:tc>
          <w:tcPr>
            <w:tcW w:type="dxa" w:w="415"/>
          </w:tcPr>
          <w:p>
            <w:pPr>
              <w:pStyle w:val="null3"/>
              <w:jc w:val="left"/>
            </w:pPr>
            <w:r>
              <w:rPr/>
              <w:t>米</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w:t>
            </w:r>
          </w:p>
        </w:tc>
        <w:tc>
          <w:tcPr>
            <w:tcW w:type="dxa" w:w="2076"/>
          </w:tcPr>
          <w:p>
            <w:pPr>
              <w:pStyle w:val="null3"/>
              <w:jc w:val="left"/>
            </w:pPr>
            <w:r>
              <w:rPr/>
              <w:t>球墨井盖</w:t>
            </w:r>
          </w:p>
        </w:tc>
        <w:tc>
          <w:tcPr>
            <w:tcW w:type="dxa" w:w="2076"/>
          </w:tcPr>
          <w:p>
            <w:pPr>
              <w:pStyle w:val="null3"/>
              <w:jc w:val="left"/>
            </w:pPr>
            <w:r>
              <w:rPr/>
              <w:t>球墨井盖</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w:t>
            </w:r>
          </w:p>
        </w:tc>
        <w:tc>
          <w:tcPr>
            <w:tcW w:type="dxa" w:w="2076"/>
          </w:tcPr>
          <w:p>
            <w:pPr>
              <w:pStyle w:val="null3"/>
              <w:jc w:val="left"/>
            </w:pPr>
            <w:r>
              <w:rPr/>
              <w:t>镀锌钢管</w:t>
            </w:r>
          </w:p>
        </w:tc>
        <w:tc>
          <w:tcPr>
            <w:tcW w:type="dxa" w:w="2076"/>
          </w:tcPr>
          <w:p>
            <w:pPr>
              <w:pStyle w:val="null3"/>
              <w:jc w:val="left"/>
            </w:pPr>
            <w:r>
              <w:rPr/>
              <w:t>镀锌钢管</w:t>
            </w:r>
          </w:p>
        </w:tc>
        <w:tc>
          <w:tcPr>
            <w:tcW w:type="dxa" w:w="415"/>
          </w:tcPr>
          <w:p>
            <w:pPr>
              <w:pStyle w:val="null3"/>
              <w:jc w:val="left"/>
            </w:pPr>
            <w:r>
              <w:rPr/>
              <w:t>米</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w:t>
            </w:r>
          </w:p>
        </w:tc>
        <w:tc>
          <w:tcPr>
            <w:tcW w:type="dxa" w:w="2076"/>
          </w:tcPr>
          <w:p>
            <w:pPr>
              <w:pStyle w:val="null3"/>
              <w:jc w:val="left"/>
            </w:pPr>
            <w:r>
              <w:rPr/>
              <w:t>塑料硅管</w:t>
            </w:r>
          </w:p>
        </w:tc>
        <w:tc>
          <w:tcPr>
            <w:tcW w:type="dxa" w:w="2076"/>
          </w:tcPr>
          <w:p>
            <w:pPr>
              <w:pStyle w:val="null3"/>
              <w:jc w:val="left"/>
            </w:pPr>
            <w:r>
              <w:rPr/>
              <w:t>塑料硅管</w:t>
            </w:r>
          </w:p>
        </w:tc>
        <w:tc>
          <w:tcPr>
            <w:tcW w:type="dxa" w:w="415"/>
          </w:tcPr>
          <w:p>
            <w:pPr>
              <w:pStyle w:val="null3"/>
              <w:jc w:val="left"/>
            </w:pPr>
            <w:r>
              <w:rPr/>
              <w:t>米</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w:t>
            </w:r>
          </w:p>
        </w:tc>
        <w:tc>
          <w:tcPr>
            <w:tcW w:type="dxa" w:w="2076"/>
          </w:tcPr>
          <w:p>
            <w:pPr>
              <w:pStyle w:val="null3"/>
              <w:jc w:val="left"/>
            </w:pPr>
            <w:r>
              <w:rPr/>
              <w:t>水泥杆</w:t>
            </w:r>
          </w:p>
        </w:tc>
        <w:tc>
          <w:tcPr>
            <w:tcW w:type="dxa" w:w="2076"/>
          </w:tcPr>
          <w:p>
            <w:pPr>
              <w:pStyle w:val="null3"/>
              <w:jc w:val="left"/>
            </w:pPr>
            <w:r>
              <w:rPr/>
              <w:t>水泥杆</w:t>
            </w:r>
          </w:p>
        </w:tc>
        <w:tc>
          <w:tcPr>
            <w:tcW w:type="dxa" w:w="415"/>
          </w:tcPr>
          <w:p>
            <w:pPr>
              <w:pStyle w:val="null3"/>
              <w:jc w:val="left"/>
            </w:pPr>
            <w:r>
              <w:rPr/>
              <w:t>根</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w:t>
            </w:r>
          </w:p>
        </w:tc>
        <w:tc>
          <w:tcPr>
            <w:tcW w:type="dxa" w:w="2076"/>
          </w:tcPr>
          <w:p>
            <w:pPr>
              <w:pStyle w:val="null3"/>
              <w:jc w:val="left"/>
            </w:pPr>
            <w:r>
              <w:rPr/>
              <w:t>镀锌钢绞线</w:t>
            </w:r>
          </w:p>
        </w:tc>
        <w:tc>
          <w:tcPr>
            <w:tcW w:type="dxa" w:w="2076"/>
          </w:tcPr>
          <w:p>
            <w:pPr>
              <w:pStyle w:val="null3"/>
              <w:jc w:val="left"/>
            </w:pPr>
            <w:r>
              <w:rPr/>
              <w:t>镀锌钢绞线</w:t>
            </w:r>
          </w:p>
        </w:tc>
        <w:tc>
          <w:tcPr>
            <w:tcW w:type="dxa" w:w="415"/>
          </w:tcPr>
          <w:p>
            <w:pPr>
              <w:pStyle w:val="null3"/>
              <w:jc w:val="left"/>
            </w:pPr>
            <w:r>
              <w:rPr/>
              <w:t>千克</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w:t>
            </w:r>
          </w:p>
        </w:tc>
        <w:tc>
          <w:tcPr>
            <w:tcW w:type="dxa" w:w="2076"/>
          </w:tcPr>
          <w:p>
            <w:pPr>
              <w:pStyle w:val="null3"/>
              <w:jc w:val="left"/>
            </w:pPr>
            <w:r>
              <w:rPr/>
              <w:t>光缆接头盒</w:t>
            </w:r>
          </w:p>
        </w:tc>
        <w:tc>
          <w:tcPr>
            <w:tcW w:type="dxa" w:w="2076"/>
          </w:tcPr>
          <w:p>
            <w:pPr>
              <w:pStyle w:val="null3"/>
              <w:jc w:val="left"/>
            </w:pPr>
            <w:r>
              <w:rPr/>
              <w:t>光缆接头盒</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w:t>
            </w:r>
          </w:p>
        </w:tc>
        <w:tc>
          <w:tcPr>
            <w:tcW w:type="dxa" w:w="2076"/>
          </w:tcPr>
          <w:p>
            <w:pPr>
              <w:pStyle w:val="null3"/>
              <w:jc w:val="left"/>
            </w:pPr>
            <w:r>
              <w:rPr/>
              <w:t>分光器</w:t>
            </w:r>
          </w:p>
        </w:tc>
        <w:tc>
          <w:tcPr>
            <w:tcW w:type="dxa" w:w="2076"/>
          </w:tcPr>
          <w:p>
            <w:pPr>
              <w:pStyle w:val="null3"/>
              <w:jc w:val="left"/>
            </w:pPr>
            <w:r>
              <w:rPr/>
              <w:t>分光器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w:t>
            </w:r>
          </w:p>
        </w:tc>
        <w:tc>
          <w:tcPr>
            <w:tcW w:type="dxa" w:w="2076"/>
          </w:tcPr>
          <w:p>
            <w:pPr>
              <w:pStyle w:val="null3"/>
              <w:jc w:val="left"/>
            </w:pPr>
            <w:r>
              <w:rPr/>
              <w:t>辅材</w:t>
            </w:r>
          </w:p>
        </w:tc>
        <w:tc>
          <w:tcPr>
            <w:tcW w:type="dxa" w:w="2076"/>
          </w:tcPr>
          <w:p>
            <w:pPr>
              <w:pStyle w:val="null3"/>
              <w:jc w:val="left"/>
            </w:pPr>
            <w:r>
              <w:rPr/>
              <w:t>辅材</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w:t>
            </w:r>
          </w:p>
        </w:tc>
        <w:tc>
          <w:tcPr>
            <w:tcW w:type="dxa" w:w="2076"/>
          </w:tcPr>
          <w:p>
            <w:pPr>
              <w:pStyle w:val="null3"/>
              <w:jc w:val="left"/>
            </w:pPr>
            <w:r>
              <w:rPr/>
              <w:t>运营商链路</w:t>
            </w:r>
          </w:p>
        </w:tc>
        <w:tc>
          <w:tcPr>
            <w:tcW w:type="dxa" w:w="2076"/>
          </w:tcPr>
          <w:p>
            <w:pPr>
              <w:pStyle w:val="null3"/>
              <w:jc w:val="left"/>
            </w:pPr>
            <w:r>
              <w:rPr/>
              <w:t>运营商链路</w:t>
            </w:r>
          </w:p>
        </w:tc>
        <w:tc>
          <w:tcPr>
            <w:tcW w:type="dxa" w:w="415"/>
          </w:tcPr>
          <w:p>
            <w:pPr>
              <w:pStyle w:val="null3"/>
              <w:jc w:val="left"/>
            </w:pPr>
            <w:r>
              <w:rPr/>
              <w:t>条</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w:t>
            </w:r>
          </w:p>
        </w:tc>
        <w:tc>
          <w:tcPr>
            <w:tcW w:type="dxa" w:w="2076"/>
          </w:tcPr>
          <w:p>
            <w:pPr>
              <w:pStyle w:val="null3"/>
              <w:jc w:val="left"/>
            </w:pPr>
            <w:r>
              <w:rPr/>
              <w:t>施工及集成安装服务</w:t>
            </w:r>
          </w:p>
        </w:tc>
        <w:tc>
          <w:tcPr>
            <w:tcW w:type="dxa" w:w="2076"/>
          </w:tcPr>
          <w:p>
            <w:pPr>
              <w:pStyle w:val="null3"/>
              <w:jc w:val="left"/>
            </w:pPr>
            <w:r>
              <w:rPr/>
              <w:t>施工及集成安装服务</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w:t>
            </w:r>
          </w:p>
        </w:tc>
        <w:tc>
          <w:tcPr>
            <w:tcW w:type="dxa" w:w="2076"/>
          </w:tcPr>
          <w:p>
            <w:pPr>
              <w:pStyle w:val="null3"/>
              <w:jc w:val="left"/>
            </w:pPr>
            <w:r>
              <w:rPr/>
              <w:t>系统集成服务</w:t>
            </w:r>
          </w:p>
        </w:tc>
        <w:tc>
          <w:tcPr>
            <w:tcW w:type="dxa" w:w="2076"/>
          </w:tcPr>
          <w:p>
            <w:pPr>
              <w:pStyle w:val="null3"/>
              <w:jc w:val="left"/>
            </w:pPr>
            <w:r>
              <w:rPr/>
              <w:t>系统集成服务</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适用于本项目采购包，按照《财政部 发展改革委关于印发节能产品政府采购品目清单的通知》财库〔2019〕19号等规定执行</w:t>
      </w:r>
    </w:p>
    <w:p>
      <w:pPr>
        <w:pStyle w:val="null3"/>
        <w:ind w:firstLine="960"/>
        <w:jc w:val="left"/>
      </w:pPr>
      <w:r>
        <w:rPr/>
        <w:t>环境标志产品：</w:t>
      </w:r>
      <w:r>
        <w:rPr/>
        <w:t>适用于本项目采购包，按照《财政部 生态环境部关于印发环境标志产品政府采购品目清单通知》财库〔2019〕18号等规定执行</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采用资格承诺制的供应商，须根据投标(响应)格式文件要求提供资格承诺函，否则，视为未按照采购文件规定提交供应商的资格及资信文件，按资格审查不合格处理。</w:t>
            </w:r>
          </w:p>
        </w:tc>
      </w:tr>
      <w:tr>
        <w:tc>
          <w:tcPr>
            <w:tcW w:type="dxa" w:w="3692"/>
          </w:tcPr>
          <w:p>
            <w:pPr>
              <w:pStyle w:val="null3"/>
              <w:jc w:val="left"/>
            </w:pPr>
            <w:r>
              <w:rPr/>
              <w:t>其他资格（若有）</w:t>
            </w:r>
          </w:p>
        </w:tc>
        <w:tc>
          <w:tcPr>
            <w:tcW w:type="dxa" w:w="4614"/>
          </w:tcPr>
          <w:p>
            <w:pPr>
              <w:pStyle w:val="null3"/>
              <w:jc w:val="left"/>
            </w:pPr>
            <w:r>
              <w:rPr/>
              <w:t>本项目允许具有国家工业和信息化部颁发的基础电信业务经营许可证或广播电视行政主管部门颁发的广播电视节目传送业务经营许可证的投标人以分支机构名义参与本项目投标（上述投标人以分支机构名义参与投标则需额外提供基础电信业务经营许可证或广播电视节目传送业务经营许可证复印件，如未提供则视为未响应；另投标人非分支机构的，则本条款默认通过），以分支机构名义参与本项目投标的可提供上级公司的财务报告和社保证明材料。</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政和县外屯乡人民政府</w:t>
      </w:r>
    </w:p>
    <w:p>
      <w:pPr>
        <w:pStyle w:val="null3"/>
        <w:ind w:firstLine="960"/>
        <w:jc w:val="left"/>
      </w:pPr>
      <w:r>
        <w:rPr/>
        <w:t xml:space="preserve"> 地址： </w:t>
      </w:r>
      <w:r>
        <w:rPr/>
        <w:t>政和县外屯乡北兴路60号</w:t>
      </w:r>
    </w:p>
    <w:p>
      <w:pPr>
        <w:pStyle w:val="null3"/>
        <w:jc w:val="left"/>
      </w:pPr>
      <w:r>
        <w:rPr/>
        <w:t xml:space="preserve"> 邮编： </w:t>
      </w:r>
      <w:r>
        <w:rPr/>
        <w:t>353603</w:t>
      </w:r>
    </w:p>
    <w:p>
      <w:pPr>
        <w:pStyle w:val="null3"/>
        <w:jc w:val="left"/>
      </w:pPr>
      <w:r>
        <w:rPr/>
        <w:t xml:space="preserve"> 联系人： </w:t>
      </w:r>
      <w:r>
        <w:rPr/>
        <w:t>邱先生</w:t>
      </w:r>
    </w:p>
    <w:p>
      <w:pPr>
        <w:pStyle w:val="null3"/>
        <w:jc w:val="left"/>
      </w:pPr>
      <w:r>
        <w:rPr/>
        <w:t xml:space="preserve"> 联系电话： </w:t>
      </w:r>
      <w:r>
        <w:rPr/>
        <w:t>17689309906</w:t>
      </w:r>
    </w:p>
    <w:p>
      <w:pPr>
        <w:pStyle w:val="null3"/>
        <w:ind w:firstLine="480"/>
        <w:jc w:val="left"/>
        <w:outlineLvl w:val="2"/>
      </w:pPr>
      <w:r>
        <w:rPr>
          <w:sz w:val="28"/>
          <w:b/>
        </w:rPr>
        <w:t>14、代理机构</w:t>
      </w:r>
      <w:r>
        <w:rPr>
          <w:sz w:val="28"/>
          <w:b/>
        </w:rPr>
        <w:t>：</w:t>
      </w:r>
      <w:r>
        <w:rPr>
          <w:sz w:val="28"/>
          <w:b/>
        </w:rPr>
        <w:t>中晋工程项目管理有限公司</w:t>
      </w:r>
    </w:p>
    <w:p>
      <w:pPr>
        <w:pStyle w:val="null3"/>
        <w:ind w:firstLine="960"/>
        <w:jc w:val="left"/>
      </w:pPr>
      <w:r>
        <w:rPr/>
        <w:t xml:space="preserve"> 地址： </w:t>
      </w:r>
      <w:r>
        <w:rPr/>
        <w:t>政和县胜利街56号</w:t>
      </w:r>
    </w:p>
    <w:p>
      <w:pPr>
        <w:pStyle w:val="null3"/>
        <w:jc w:val="left"/>
      </w:pPr>
      <w:r>
        <w:rPr/>
        <w:t xml:space="preserve"> 邮编： </w:t>
      </w:r>
      <w:r>
        <w:rPr/>
        <w:t>353600</w:t>
      </w:r>
    </w:p>
    <w:p>
      <w:pPr>
        <w:pStyle w:val="null3"/>
        <w:jc w:val="left"/>
      </w:pPr>
      <w:r>
        <w:rPr/>
        <w:t xml:space="preserve"> 联系人： </w:t>
      </w:r>
      <w:r>
        <w:rPr/>
        <w:t>小兰</w:t>
      </w:r>
    </w:p>
    <w:p>
      <w:pPr>
        <w:pStyle w:val="null3"/>
        <w:jc w:val="left"/>
      </w:pPr>
      <w:r>
        <w:rPr/>
        <w:t xml:space="preserve"> 联系电话： </w:t>
      </w:r>
      <w:r>
        <w:rPr/>
        <w:t>13515261910</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中晋工程项目管理有限公司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资格承诺函</w:t>
                  </w:r>
                </w:p>
              </w:tc>
              <w:tc>
                <w:tcPr>
                  <w:tcW w:type="dxa" w:w="1418"/>
                </w:tcPr>
                <w:p>
                  <w:pPr>
                    <w:pStyle w:val="null3"/>
                    <w:jc w:val="left"/>
                  </w:pPr>
                  <w:r>
                    <w:rPr/>
                    <w:t>采用资格承诺制的供应商，须根据投标(响应)格式文件要求提供资格承诺函，否则，视为未按照采购文件规定提交供应商的资格及资信文件，按资格审查不合格处理。</w:t>
                  </w:r>
                </w:p>
              </w:tc>
            </w:tr>
            <w:tr>
              <w:tc>
                <w:tcPr>
                  <w:tcW w:type="dxa" w:w="1135"/>
                </w:tcPr>
                <w:p>
                  <w:pPr>
                    <w:pStyle w:val="null3"/>
                    <w:jc w:val="left"/>
                  </w:pPr>
                  <w:r>
                    <w:rPr/>
                    <w:t>其他资格（若有）</w:t>
                  </w:r>
                </w:p>
              </w:tc>
              <w:tc>
                <w:tcPr>
                  <w:tcW w:type="dxa" w:w="1418"/>
                </w:tcPr>
                <w:p>
                  <w:pPr>
                    <w:pStyle w:val="null3"/>
                    <w:jc w:val="left"/>
                  </w:pPr>
                  <w:r>
                    <w:rPr/>
                    <w:t>本项目允许具有国家工业和信息化部颁发的基础电信业务经营许可证或广播电视行政主管部门颁发的广播电视节目传送业务经营许可证的投标人以分支机构名义参与本项目投标（上述投标人以分支机构名义参与投标则需额外提供基础电信业务经营许可证或广播电视节目传送业务经营许可证复印件，如未提供则视为未响应；另投标人非分支机构的，则本条款默认通过），以分支机构名义参与本项目投标的可提供上级公司的财务报告和社保证明材料。</w:t>
                  </w:r>
                </w:p>
              </w:tc>
            </w:tr>
          </w:tbl>
          <w:p>
            <w:pPr>
              <w:pStyle w:val="null3"/>
              <w:jc w:val="left"/>
            </w:pPr>
            <w:r>
              <w:rPr/>
              <w:t>（3）磋商保证金</w:t>
            </w:r>
          </w:p>
          <w:p>
            <w:pPr>
              <w:pStyle w:val="null3"/>
              <w:jc w:val="left"/>
            </w:pPr>
            <w:r>
              <w:rPr/>
              <w:t>※备注说明</w:t>
            </w:r>
          </w:p>
          <w:p>
            <w:pPr>
              <w:pStyle w:val="null3"/>
              <w:jc w:val="left"/>
            </w:pPr>
            <w:r>
              <w:rPr/>
              <w:t>①供应商应根据自身实际情况提供上述资格要求的证明材料，格式可参考磋商文件第五章提供。</w:t>
            </w:r>
          </w:p>
          <w:p>
            <w:pPr>
              <w:pStyle w:val="null3"/>
              <w:jc w:val="left"/>
            </w:pPr>
            <w:r>
              <w:rPr/>
              <w:t>②供应商提供的相应证明材料复印件均应符合：内容完整、清晰、整洁，并由供应商加盖其单位公章。</w:t>
            </w:r>
          </w:p>
          <w:p>
            <w:pPr>
              <w:pStyle w:val="null3"/>
              <w:jc w:val="left"/>
            </w:pPr>
            <w:r>
              <w:rPr/>
              <w:t>③根据采购文件须知前附表1第1项号的“（2）特定资格条件”要求，允许供应商采用资格承诺制的并提供符合要求的资格承诺函，视为满足采购文件的资格要求。</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1</w:t>
            </w:r>
            <w:r>
              <w:rPr/>
              <w:t xml:space="preserve"> 份：将上传至福建省政府采购网上公开信息系统的电子响应文件在可读介质中另存 </w:t>
            </w:r>
            <w:r>
              <w:rPr/>
              <w:t>1</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在磋商过程中，磋商小组可以根据磋商文件和磋商情况实质性变动采购需求中的技术、服务要求以及合同草案条款，但不得变动磋商文件中的其他内容。</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政和县财政局政府采购监督管理办公室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代理服务费收费标准：(1)-1本项目的采购代理服务费(成交服务费)向成交供应商收取，成交供应商按差额定率累进法计算，向采购代理机构交纳采购代理服务费(成交服务费)。 ①以成交通知书规定的成交金额作为收费的计算基数。 ②采购代理服务收费的标准：按差额定率累进法计算，100(万元)以下收费费率标准：1.5%；100-500万的收费费率标准：1.1%。 (1)-2采购代理服务费收取方式： ①成交供应商应在领取成交通知书的同时按规定的标准一次性向采购代理机构缴清采购代理服务费。采购代理服务费以银行转账、电汇、汇票或现金等付款方式。</w:t>
            </w:r>
          </w:p>
          <w:p>
            <w:pPr>
              <w:pStyle w:val="null3"/>
              <w:jc w:val="left"/>
            </w:pPr>
            <w:r>
              <w:rPr/>
              <w:t xml:space="preserve"> (2)其他：</w:t>
            </w:r>
          </w:p>
          <w:p>
            <w:pPr>
              <w:pStyle w:val="null3"/>
              <w:jc w:val="left"/>
            </w:pPr>
            <w:r>
              <w:rPr/>
              <w:t>(2)-1最高限价：供应商超过最高限价的报价为无效报价。 (2)-2实质性要求和条件： (2)-2.1本次采购所投产品如有属政府强制采购节能产品的，供应商所投产品必须符合《关于印发节能产品政府采购品目清单的通知》(财库〔2019〕19号)附件中《节能产品政府采购品目清单》规定，供应商须提供国家确定的认证机构出具的、处于有效期之内的节能产品认证证书复印件（若有附件，应至少提供附件中可体现所投产品页面的复印件），认证证书中的产品标准须符合《节能产品政府采购品目清单》中对应品目的依据的标准，否则响应无效。 (2)-2.2本项目采购的产品未经过进口产品论证，采购的货物为国内产品，不接受进口产品(组件、零配件除外)响应。(2)-3根据《政府采购质疑和投诉办法》(财政部令第94号)第十六条的规定：对采购过程、中标或者成交结果提出的质疑，合格供应商符合法定数量时，可以从合格的中标或者成交候选人中另行确定中标、成交供应商的，应当依法另行确定中标、成交供应商；否则应当重新开展采购活动。 (2)-4质疑与投诉 (2)-4.1质疑 (2)-4.1.1根据《政府采购质疑和投诉办法》(财政部令第94号)第十条规定，供应商认为采购文件、采购过程、中标或者成交结果使自己的权益受到损害的，可以在知道或者应知其权益受到损害之日起7个工作日内，以书面形式向采购人、采购代理机构提出质疑。根据《中华人民共和国政府采购法实施条例》第五十三条规定，政府采购法第五十二条规定的供应商应知其权益受到损害之日，是指： ①对可以质疑的采购文件提出质疑的，为收到采购文件之日； ②对采购过程提出质疑的，为各采购程序环节结束之日； ③对成交结果提出质疑的，为成交结果公告期限届满之日。④质疑人递交质疑函时还应出具质疑人已在福建省政府采购网上公开信息系统上已对本项目进行报名的证明文件（体现报名时间），否则将不被认定为潜在供应商，其质疑将不予受理。⑤质疑人为法人或其他组织的，质疑函需加盖质疑人单位公章；质疑人为自然人的，质疑函需质疑人本人逐页签名。否则质疑将不予受理。(2)-4.1.2①、根据中华人民共和国财政部令第94号《政府采购质疑和投诉办法》第十条“采购文件可以要求供应商在法定质疑期内一次性提出针对同一采购程序环节的质疑”的规定。本项目在法定质疑期内质疑人须一次性提出针对同一采购程序环节的质疑，二（多）次质疑不予受理。采购代理机构或采购人只针对第一次有效质疑进行答复。②、投标人对本项目招标文件有任何疑议或不认同之处，需在法定时间内按规定以书面方式提出质疑，否则视为投标人接受招标文件的规定。③、财政部出台的政府采购供应商质疑函范本下载网址为：http://gks.mof.gov.cn/zhengfucaigouguanli/201802/t20180201_2804589.html。 (2)-4.1.3接收质疑函的方式、联系部门、联系电话 ①接收质疑函的方式：现场方式（政和县胜利街56号）； ②联系部门：中晋工程项目管理有限公司；③联系电话：13515261910 (2)-4.2投诉 (2)-4.2.1根据《政府采购质疑和投诉办法》(财政部令第94号)第十八条规定，“投诉人投诉时,应当提交投诉书和必要的证明材料，并按照被投诉采购人、采购代理机构和与投诉事项有关的供应商数量提供投诉书的副本”。根据《政府采购质疑和投诉办法》(财政部令第94号)第二十条规定，“供应商投诉的事项不得超出已质疑事项的范围，但基于质疑答复内容提出的投诉事项除外。” (2)-5、开标后，如个别供应商开标报价明显低于其它供应商报价的，根据系统自动预警提示，评标时，评委会将会对价格合理性进行评估，根据《政府采购货物和服务招标投标管理办法》87号令第六十条的规定要求投标人在评标现场合理的时间内（一般在接到通知的半小时内）提供书面说明，必要时还应要求其一并提交有关证明材料；投标人不能证明其报价合理性的，评标委员会应将其作为投标无效处理。建议投标人提前评估其报价的合理性，提早准备相应材料，以便出现上述情形时能在规定时间内提供。</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⑪关于首次响应文件递交截止时间过后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⑫其他：</w:t>
            </w:r>
          </w:p>
          <w:p>
            <w:pPr>
              <w:pStyle w:val="null3"/>
              <w:jc w:val="left"/>
            </w:pPr>
            <w:r>
              <w:rPr/>
              <w:t>(12)-1. a.根据《福建省财政厅关于印发推行政府采购供应商资格承诺制指导意见的通知》文件要求，本项目基本资格条件，改为采取“承诺制”，投标人在投标文件中提供资格承诺函（格式见《福建省财政厅关于印发推行政府采购供应商资格承诺制指导意见的通知》 b.投标人应当遵循诚实信用原则，不得作虚假承诺。投标人承诺不实的，属于提供虚假材料谋取中标、成交，应依法承担相应的法律责任。c.投标人可自行选择是否提供资格承诺函，若不提供资格承诺函的，应按采购文件要求提供相应的证明材料。 (12)-2 电子响应文件的投标报价、投标客户端填写的投标报价应保持一致，并以投标客户端填写的投标报价为准。(12)-3 a.招标文件如有要求提供电子介质文件的，供应商应在投标截止时间前将电子投标文件送达开标指定地点。b.供应商应确保自身设施、设备、网络环境状况良好，在操作过程中因供应商自身原因造成无法正常观看开标流程、远程解密或签章的，后果由供应商自行承担。c.在规定的时间内正确提交电子投标文件的供应商在开标时将由系统判定签到情况，供应商应在远程解密开启后在规定时间内使用CA数字证书进行投标文件的解密操作，逾期未解密的视为自行放弃投标。d.开标结束后，供应商应当对开标结果进行签章，并在远程签章开放后的规定时间内完成，逾期未签章的视为认同开标结果。e.远程解密及远程签章的开放起始时间均在开标过程中临时开启，请供应商务必密切关注实时开标流程，并根据流程在系统内按时操作，否则产生的后果由供应商自行承担。f.本项目采用在线提交最后报价，供应商须自行关注最后报价系统开放时限。供应商现场最后报价的，须自备电脑、电子印章。如果不能按照磋商小组要求参加磋商的，均视同为该供应商自动放弃相应权利并完全认可磋商小组在磋商活动中公布的各项数据、意见和结论，且该供应商将被退出本项目磋商，其提交的响应文件和报价将被否决。</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2.2.1已提交响应文件的供应商，在提交最后报价之前，可以根据磋商情况退出磋商，以提交书面函为准。 2.2.2响应文件报价、最后报价出现前后不一致的，按照下列规定修正： (1)响应文件中报价一览表内容(或最后报价表)与响应文件中相应内容不一致的，以报价一览表(或最后报价表)为准； (2)大写金额和小写金额不一致的，以大写金额为准； (3)单价金额小数点或者百分比有明显错位的，以报价一览表的总价为准，并修改单价； (4)总价金额与按单价汇总金额不一致的，以单价金额计算结果为准。 同时出现两种以上不一致的，按照前款规定的顺序修正。修正后的报价按照第2节“竞争性磋商须知”第14.3条的规定经供应商确认后产生约束力，供应商不确认的，其响应无效。</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满分为30.0000分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r>
        <w:tc>
          <w:tcPr>
            <w:tcW w:type="dxa" w:w="1661"/>
          </w:tcPr>
          <w:p>
            <w:pPr>
              <w:pStyle w:val="null3"/>
              <w:jc w:val="left"/>
            </w:pPr>
            <w:r>
              <w:rPr/>
              <w:t>小型、微型企业，监狱企业，残疾人福利性单位</w:t>
            </w:r>
          </w:p>
        </w:tc>
        <w:tc>
          <w:tcPr>
            <w:tcW w:type="dxa" w:w="1661"/>
          </w:tcPr>
          <w:p>
            <w:pPr>
              <w:pStyle w:val="null3"/>
              <w:jc w:val="left"/>
            </w:pPr>
            <w:r>
              <w:rPr/>
              <w:t>投标人或者联合体均为小型、微型企业</w:t>
            </w:r>
          </w:p>
        </w:tc>
        <w:tc>
          <w:tcPr>
            <w:tcW w:type="dxa" w:w="831"/>
          </w:tcPr>
          <w:p>
            <w:pPr>
              <w:pStyle w:val="null3"/>
              <w:jc w:val="right"/>
            </w:pPr>
            <w:r>
              <w:rPr/>
              <w:t>15.0000%</w:t>
            </w:r>
          </w:p>
        </w:tc>
        <w:tc>
          <w:tcPr>
            <w:tcW w:type="dxa" w:w="4153"/>
          </w:tcPr>
          <w:p>
            <w:pPr>
              <w:pStyle w:val="null3"/>
              <w:jc w:val="left"/>
            </w:pPr>
            <w:r>
              <w:rPr/>
              <w:t>1、对小、微企业报价给予 15%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3"/>
        <w:jc w:val="left"/>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left"/>
            </w:pPr>
            <w:r>
              <w:rPr/>
              <w:t xml:space="preserve"> 项目</w:t>
            </w:r>
          </w:p>
        </w:tc>
        <w:tc>
          <w:tcPr>
            <w:tcW w:type="dxa" w:w="1038"/>
          </w:tcPr>
          <w:p>
            <w:pPr>
              <w:pStyle w:val="null3"/>
              <w:jc w:val="left"/>
            </w:pPr>
            <w:r>
              <w:rPr/>
              <w:t xml:space="preserve"> 比例</w:t>
            </w:r>
          </w:p>
        </w:tc>
        <w:tc>
          <w:tcPr>
            <w:tcW w:type="dxa" w:w="5191"/>
          </w:tcPr>
          <w:p>
            <w:pPr>
              <w:pStyle w:val="null3"/>
              <w:jc w:val="left"/>
            </w:pPr>
            <w:r>
              <w:rPr/>
              <w:t xml:space="preserve"> 方法</w:t>
            </w:r>
          </w:p>
        </w:tc>
      </w:tr>
      <w:tr>
        <w:tc>
          <w:tcPr>
            <w:tcW w:type="dxa" w:w="2076"/>
          </w:tcPr>
          <w:p>
            <w:pPr>
              <w:pStyle w:val="null3"/>
              <w:jc w:val="left"/>
            </w:pPr>
            <w:r>
              <w:rPr/>
              <w:t>节能、环境标志产品</w:t>
            </w:r>
          </w:p>
        </w:tc>
        <w:tc>
          <w:tcPr>
            <w:tcW w:type="dxa" w:w="1038"/>
          </w:tcPr>
          <w:p>
            <w:pPr>
              <w:pStyle w:val="null3"/>
              <w:jc w:val="right"/>
            </w:pPr>
            <w:r>
              <w:rPr/>
              <w:t>10.0000%</w:t>
            </w:r>
          </w:p>
        </w:tc>
        <w:tc>
          <w:tcPr>
            <w:tcW w:type="dxa" w:w="5191"/>
          </w:tcPr>
          <w:p>
            <w:pPr>
              <w:pStyle w:val="null3"/>
              <w:jc w:val="left"/>
            </w:pPr>
            <w:r>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left"/>
      </w:pPr>
      <w:r>
        <w:rPr/>
        <w:t>其他：无</w:t>
      </w:r>
    </w:p>
    <w:p>
      <w:pPr>
        <w:pStyle w:val="null3"/>
        <w:jc w:val="left"/>
      </w:pPr>
      <w:r>
        <w:rPr/>
        <w:t>技术部分评分PT 满分为55.0000分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技术响应情况</w:t>
            </w:r>
          </w:p>
        </w:tc>
        <w:tc>
          <w:tcPr>
            <w:tcW w:type="dxa" w:w="831"/>
          </w:tcPr>
          <w:p>
            <w:pPr>
              <w:pStyle w:val="null3"/>
              <w:jc w:val="right"/>
            </w:pPr>
            <w:r>
              <w:rPr/>
              <w:t>52.0000</w:t>
            </w:r>
          </w:p>
        </w:tc>
        <w:tc>
          <w:tcPr>
            <w:tcW w:type="dxa" w:w="4153"/>
          </w:tcPr>
          <w:p>
            <w:pPr>
              <w:pStyle w:val="null3"/>
              <w:jc w:val="left"/>
            </w:pPr>
            <w:r>
              <w:rPr/>
              <w:t>根据各投标人对招标文件第五章“招标和服务要求”的响应情况进行打分，完全满足的得52分；带“▲”号的为关键技术指标（共13项），每负偏离一项扣3分扣完为止，非▲条款每缺少或负偏离一项扣1分，扣完为止。正偏离不加分。评委将按照上述评分标准计算投标人的技术指标得分。（满分52分）重要说明：投标人须承诺所提供的本次投标涉及的所有证明材料为真实有效(本次投标涉及的所有证明材料以证明材料颁发时间起至本次项目公告发布之日止为准)，评标过程中若发现虚假材料的，其投标无效，若在中标后和执行合同过程中发现其提供虚假资料的，采购人有权终止合同，给采购人造成损失的，还需另行支付相应的赔偿并负相关责任。评标过程中无论是否有对原件进行核实，投标人都必须对其提供各种资料、说明的真实性负责。</w:t>
            </w:r>
          </w:p>
        </w:tc>
      </w:tr>
      <w:tr>
        <w:tc>
          <w:tcPr>
            <w:tcW w:type="dxa" w:w="3322"/>
          </w:tcPr>
          <w:p>
            <w:pPr>
              <w:pStyle w:val="null3"/>
              <w:jc w:val="left"/>
            </w:pPr>
            <w:r>
              <w:rPr/>
              <w:t>安装调试方案</w:t>
            </w:r>
          </w:p>
        </w:tc>
        <w:tc>
          <w:tcPr>
            <w:tcW w:type="dxa" w:w="831"/>
          </w:tcPr>
          <w:p>
            <w:pPr>
              <w:pStyle w:val="null3"/>
              <w:jc w:val="right"/>
            </w:pPr>
            <w:r>
              <w:rPr/>
              <w:t>3.0000</w:t>
            </w:r>
          </w:p>
        </w:tc>
        <w:tc>
          <w:tcPr>
            <w:tcW w:type="dxa" w:w="4153"/>
          </w:tcPr>
          <w:p>
            <w:pPr>
              <w:pStyle w:val="null3"/>
              <w:jc w:val="left"/>
            </w:pPr>
            <w:r>
              <w:rPr/>
              <w:t>各投标人应根据本项目实际情况编制安装调试方案，方案需包含针对网络摄像机、图像型火灾探测器、网络硬盘录像机、云服务器、定位盒、光缆的安装调试内容。由评委进行综合评价并按以下标准打分：包含的要点齐全无缺漏项、内容与要点相符、每个要点均有展开详细的阐述、整体思路结构清晰、逻辑性强，内容描述科学合理，细节考虑周全且能够适用于本项目的得3分；包含的要点齐全、内容与要点相符、每个要点均有展开阐述、整体思路结构较清晰、逻辑性较强，内容描述较科学合理，细节考虑较周全且基本能够适用于本项目的得2分；包含的内容与要点相符但仅有纲要、内容简略，未展开详细阐述但基本能够适用于本项目的得1分；有缺漏项或未提供或内容存在明显错误、内容明显不适用于本项目需求的均不得分。</w:t>
            </w:r>
          </w:p>
        </w:tc>
      </w:tr>
    </w:tbl>
    <w:p>
      <w:pPr>
        <w:pStyle w:val="null3"/>
        <w:jc w:val="left"/>
      </w:pPr>
      <w:r>
        <w:rPr/>
        <w:t>商务部分评分PB 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隐私管理体系认证</w:t>
            </w:r>
          </w:p>
        </w:tc>
        <w:tc>
          <w:tcPr>
            <w:tcW w:type="dxa" w:w="831"/>
          </w:tcPr>
          <w:p>
            <w:pPr>
              <w:pStyle w:val="null3"/>
              <w:jc w:val="right"/>
            </w:pPr>
            <w:r>
              <w:rPr/>
              <w:t>3.0000</w:t>
            </w:r>
          </w:p>
        </w:tc>
        <w:tc>
          <w:tcPr>
            <w:tcW w:type="dxa" w:w="4153"/>
          </w:tcPr>
          <w:p>
            <w:pPr>
              <w:pStyle w:val="null3"/>
              <w:jc w:val="left"/>
            </w:pPr>
            <w:r>
              <w:rPr/>
              <w:t>投标人或其上级公司具有隐私管理体系认证，需提供认证证书复印件及在全国认证认可信息公共服务平台对体系证书的信息查询截图材料并加盖投标人公章得3分，未提供的不得分。</w:t>
            </w:r>
          </w:p>
        </w:tc>
      </w:tr>
      <w:tr>
        <w:tc>
          <w:tcPr>
            <w:tcW w:type="dxa" w:w="3322"/>
          </w:tcPr>
          <w:p>
            <w:pPr>
              <w:pStyle w:val="null3"/>
              <w:jc w:val="left"/>
            </w:pPr>
            <w:r>
              <w:rPr/>
              <w:t>合规管理体系认证</w:t>
            </w:r>
          </w:p>
        </w:tc>
        <w:tc>
          <w:tcPr>
            <w:tcW w:type="dxa" w:w="831"/>
          </w:tcPr>
          <w:p>
            <w:pPr>
              <w:pStyle w:val="null3"/>
              <w:jc w:val="right"/>
            </w:pPr>
            <w:r>
              <w:rPr/>
              <w:t>3.0000</w:t>
            </w:r>
          </w:p>
        </w:tc>
        <w:tc>
          <w:tcPr>
            <w:tcW w:type="dxa" w:w="4153"/>
          </w:tcPr>
          <w:p>
            <w:pPr>
              <w:pStyle w:val="null3"/>
              <w:jc w:val="left"/>
            </w:pPr>
            <w:r>
              <w:rPr/>
              <w:t>投标人或其上级公司具有合规管理体系认证，覆盖范围满足：信息和数据安全相关的合规管理活动，需提供认证证书复印件及在全国认证认可信息公共服务平台对体系证书的信息查询截图材料并加盖投标人公章得3分，未提供的不得分。</w:t>
            </w:r>
          </w:p>
        </w:tc>
      </w:tr>
      <w:tr>
        <w:tc>
          <w:tcPr>
            <w:tcW w:type="dxa" w:w="3322"/>
          </w:tcPr>
          <w:p>
            <w:pPr>
              <w:pStyle w:val="null3"/>
              <w:jc w:val="left"/>
            </w:pPr>
            <w:r>
              <w:rPr/>
              <w:t>项目负责人</w:t>
            </w:r>
          </w:p>
        </w:tc>
        <w:tc>
          <w:tcPr>
            <w:tcW w:type="dxa" w:w="831"/>
          </w:tcPr>
          <w:p>
            <w:pPr>
              <w:pStyle w:val="null3"/>
              <w:jc w:val="right"/>
            </w:pPr>
            <w:r>
              <w:rPr/>
              <w:t>3.0000</w:t>
            </w:r>
          </w:p>
        </w:tc>
        <w:tc>
          <w:tcPr>
            <w:tcW w:type="dxa" w:w="4153"/>
          </w:tcPr>
          <w:p>
            <w:pPr>
              <w:pStyle w:val="null3"/>
              <w:jc w:val="left"/>
            </w:pPr>
            <w:r>
              <w:rPr/>
              <w:t>投标人或其上级公司拟投入本项目负责人具备：（1）信息系统项目管理师（高级）认证证书；（2）通信工程师（互联网技术）认证证书；（3）数据分析师（CPDA）认证证书；（4）网络视频监控维护工程师认证证书；（5）项目管理专业人士认证（PMP）证书；（6）敏捷管理专业人士认证（PMI-ACP）证书； 同时具备以上认证证书的得3分，每少1个证书扣1分，未提供不得分。（须提供有效期内的证书以及投标人或其上级公司为其缴纳投标截止时间前（不含投标当月）6个月中任意一个月的社保证明材料复印件并加盖投标人公章，未提供或提供不全的不得分）注：项目负责人与项目经理不得为同一人。</w:t>
            </w:r>
          </w:p>
        </w:tc>
      </w:tr>
      <w:tr>
        <w:tc>
          <w:tcPr>
            <w:tcW w:type="dxa" w:w="3322"/>
          </w:tcPr>
          <w:p>
            <w:pPr>
              <w:pStyle w:val="null3"/>
              <w:jc w:val="left"/>
            </w:pPr>
            <w:r>
              <w:rPr/>
              <w:t>项目经理</w:t>
            </w:r>
          </w:p>
        </w:tc>
        <w:tc>
          <w:tcPr>
            <w:tcW w:type="dxa" w:w="831"/>
          </w:tcPr>
          <w:p>
            <w:pPr>
              <w:pStyle w:val="null3"/>
              <w:jc w:val="right"/>
            </w:pPr>
            <w:r>
              <w:rPr/>
              <w:t>3.0000</w:t>
            </w:r>
          </w:p>
        </w:tc>
        <w:tc>
          <w:tcPr>
            <w:tcW w:type="dxa" w:w="4153"/>
          </w:tcPr>
          <w:p>
            <w:pPr>
              <w:pStyle w:val="null3"/>
              <w:jc w:val="left"/>
            </w:pPr>
            <w:r>
              <w:rPr/>
              <w:t>投标人或其上级公司拟投入本项目现场经理具备：①信息系统项目管理师证书和信息安全工程师证书；②云计算工程师证书和数据分析师（高级）证书；③5G通信高级工程师证书和网络安全工程师（高级）证书； 每满足1项得1分，共3分。（须提供有效期内的证书以及供应商或其上级公司为其缴纳投标截止时间前（不含投标当月）6个月中任意一个月的社保证明材料复印件并加盖供应商公章，未提供或提供不全的不得分）注：项目负责人与项目经理不得为同一人。</w:t>
            </w:r>
          </w:p>
        </w:tc>
      </w:tr>
      <w:tr>
        <w:tc>
          <w:tcPr>
            <w:tcW w:type="dxa" w:w="3322"/>
          </w:tcPr>
          <w:p>
            <w:pPr>
              <w:pStyle w:val="null3"/>
              <w:jc w:val="left"/>
            </w:pPr>
            <w:r>
              <w:rPr/>
              <w:t>项目实施团队</w:t>
            </w:r>
          </w:p>
        </w:tc>
        <w:tc>
          <w:tcPr>
            <w:tcW w:type="dxa" w:w="831"/>
          </w:tcPr>
          <w:p>
            <w:pPr>
              <w:pStyle w:val="null3"/>
              <w:jc w:val="right"/>
            </w:pPr>
            <w:r>
              <w:rPr/>
              <w:t>3.0000</w:t>
            </w:r>
          </w:p>
        </w:tc>
        <w:tc>
          <w:tcPr>
            <w:tcW w:type="dxa" w:w="4153"/>
          </w:tcPr>
          <w:p>
            <w:pPr>
              <w:pStyle w:val="null3"/>
              <w:jc w:val="left"/>
            </w:pPr>
            <w:r>
              <w:rPr/>
              <w:t>投标人或其上级公司拟投入本项目的实施团队技术人员具有通信高级工程师证书的，每提供1人得1分，满分3分。（须提供有效期内的证书以及供应商或其上级公司为其缴纳投标截止时间前（不含投标当月）6个月中任意一个月的社保证明材料复印件并加盖供应商公章，未提供或提供不全的不得分）(本项配备人员不得与评分项中其余持证人员重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供应商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不满足磋商文件第三章《采购内容及要求》第二条技术要求中带★号条款的；（2）磋商文件规定的其它响应文件将被否决的情形。（3）属于磋商文件规定评标委员会应否决其投标的情形；(4)技术部分最终得分低于技术部分总分50%的投标人，视为未实质性响应招标文件要求，为无效投标。</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磋商文件第三章《采购内容及要求》第三条商务条件所有内容均为不允许负偏离的实质性要求，对第三章第三条商务条件有负偏离的。（2）磋商文件规定的其它响应文件将被否决的情形。（3）、属于磋商文件规定评标委员会应否决其投标的情形；</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报价超过了招标文件规定的最高限价的，按无效报价处理。（2）最后报价是供应商响应文件的有效组成部分。如果供应商的最后报价明显低于其他最后报价，使得其最后报价有可能影响商品或服务质量或者不能诚信履约的，供应商应当按照评委小组要求，在规定时间内作出书面说明，必要时提交相关证明材料；供应商不能合理说明其报价合理性的，评委会将按无效投标处理。</w:t>
            </w:r>
          </w:p>
        </w:tc>
      </w:tr>
    </w:tbl>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直接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rPr>
        <w:t>1、</w:t>
      </w:r>
      <w:r>
        <w:rPr>
          <w:rFonts w:ascii="宋体" w:hAnsi="宋体" w:cs="宋体" w:eastAsia="宋体"/>
          <w:sz w:val="24"/>
        </w:rPr>
        <w:t>采购包预算金额</w:t>
      </w:r>
      <w:r>
        <w:rPr>
          <w:rFonts w:ascii="宋体" w:hAnsi="宋体" w:cs="宋体" w:eastAsia="宋体"/>
          <w:sz w:val="24"/>
        </w:rPr>
        <w:t xml:space="preserve">: </w:t>
      </w:r>
      <w:r>
        <w:rPr>
          <w:rFonts w:ascii="宋体" w:hAnsi="宋体" w:cs="宋体" w:eastAsia="宋体"/>
          <w:sz w:val="24"/>
        </w:rPr>
        <w:t>1600869.97</w:t>
      </w:r>
      <w:r>
        <w:rPr>
          <w:rFonts w:ascii="宋体" w:hAnsi="宋体" w:cs="宋体" w:eastAsia="宋体"/>
          <w:sz w:val="24"/>
        </w:rPr>
        <w:t>元，采购包最高限价</w:t>
      </w:r>
      <w:r>
        <w:rPr>
          <w:rFonts w:ascii="宋体" w:hAnsi="宋体" w:cs="宋体" w:eastAsia="宋体"/>
          <w:sz w:val="24"/>
        </w:rPr>
        <w:t>:</w:t>
      </w:r>
      <w:r>
        <w:rPr>
          <w:rFonts w:ascii="宋体" w:hAnsi="宋体" w:cs="宋体" w:eastAsia="宋体"/>
          <w:sz w:val="24"/>
        </w:rPr>
        <w:t>1408765</w:t>
      </w:r>
      <w:r>
        <w:rPr>
          <w:rFonts w:ascii="宋体" w:hAnsi="宋体" w:cs="宋体" w:eastAsia="宋体"/>
          <w:sz w:val="24"/>
        </w:rPr>
        <w:t>元，超过最高限价为无效报价。</w:t>
      </w:r>
    </w:p>
    <w:p>
      <w:pPr>
        <w:pStyle w:val="null3"/>
        <w:jc w:val="left"/>
      </w:pPr>
      <w:r>
        <w:rPr>
          <w:rFonts w:ascii="宋体" w:hAnsi="宋体" w:cs="宋体" w:eastAsia="宋体"/>
          <w:sz w:val="24"/>
        </w:rPr>
        <w:t>2</w:t>
      </w:r>
      <w:r>
        <w:rPr>
          <w:rFonts w:ascii="宋体" w:hAnsi="宋体" w:cs="宋体" w:eastAsia="宋体"/>
          <w:sz w:val="24"/>
        </w:rPr>
        <w:t>、本项目核心产品</w:t>
      </w:r>
    </w:p>
    <w:p>
      <w:pPr>
        <w:pStyle w:val="null3"/>
        <w:spacing w:before="105" w:after="105"/>
        <w:ind w:firstLine="480"/>
        <w:jc w:val="left"/>
      </w:pPr>
      <w:r>
        <w:rPr>
          <w:rFonts w:ascii="宋体" w:hAnsi="宋体" w:cs="宋体" w:eastAsia="宋体"/>
          <w:sz w:val="24"/>
        </w:rPr>
        <w:t>核心产品为标识</w:t>
      </w:r>
      <w:r>
        <w:rPr>
          <w:rFonts w:ascii="宋体" w:hAnsi="宋体" w:cs="宋体" w:eastAsia="宋体"/>
          <w:sz w:val="24"/>
        </w:rPr>
        <w:t>◆产品</w:t>
      </w:r>
    </w:p>
    <w:p>
      <w:pPr>
        <w:pStyle w:val="null3"/>
        <w:spacing w:before="105" w:after="105"/>
        <w:ind w:firstLine="480"/>
        <w:jc w:val="left"/>
      </w:pPr>
      <w:r>
        <w:rPr>
          <w:rFonts w:ascii="宋体" w:hAnsi="宋体" w:cs="宋体" w:eastAsia="宋体"/>
          <w:sz w:val="24"/>
        </w:rPr>
        <w:t>若提供相同品牌核心产品且通过资格审查、符合性审查的不同供应商参加同一合同项下投标的，按一家投标人计算，评审后得分最高的同品牌供应商作为成交候选人推荐；评审得分相同的，由磋商小组按照竞争性磋商文件规定确定一家供应商作为成交候选人推荐。</w:t>
      </w:r>
    </w:p>
    <w:p>
      <w:pPr>
        <w:pStyle w:val="null3"/>
        <w:jc w:val="left"/>
        <w:outlineLvl w:val="2"/>
      </w:pPr>
      <w:r>
        <w:rPr>
          <w:sz w:val="28"/>
          <w:b/>
        </w:rPr>
        <w:t>二、技术要求</w:t>
      </w:r>
    </w:p>
    <w:p>
      <w:pPr>
        <w:pStyle w:val="null3"/>
        <w:jc w:val="left"/>
      </w:pPr>
      <w:r>
        <w:rPr>
          <w:rFonts w:ascii="calibri" w:hAnsi="calibri" w:cs="calibri" w:eastAsia="calibri"/>
          <w:sz w:val="21"/>
          <w:b/>
        </w:rPr>
        <w:t xml:space="preserve"> </w:t>
      </w:r>
      <w:r>
        <w:rPr>
          <w:rFonts w:ascii="宋体" w:hAnsi="宋体" w:cs="宋体" w:eastAsia="宋体"/>
          <w:sz w:val="24"/>
          <w:b/>
        </w:rPr>
        <w:t>项目清单与要求：</w:t>
      </w:r>
      <w:r>
        <w:rPr>
          <w:b/>
        </w:rPr>
        <w:t xml:space="preserve"> </w:t>
      </w:r>
      <w:r>
        <w:rPr>
          <w:rFonts w:ascii="宋体" w:hAnsi="宋体" w:cs="宋体" w:eastAsia="宋体"/>
          <w:sz w:val="24"/>
          <w:shd w:fill="FFFFFF" w:val="clear"/>
        </w:rPr>
        <w:t>本</w:t>
      </w:r>
      <w:r>
        <w:rPr>
          <w:rFonts w:ascii="宋体" w:hAnsi="宋体" w:cs="宋体" w:eastAsia="宋体"/>
          <w:sz w:val="24"/>
          <w:shd w:fill="FFFFFF" w:val="clear"/>
        </w:rPr>
        <w:t>项目核心产品为序</w:t>
      </w:r>
      <w:r>
        <w:rPr>
          <w:rFonts w:ascii="宋体" w:hAnsi="宋体" w:cs="宋体" w:eastAsia="宋体"/>
          <w:sz w:val="24"/>
          <w:shd w:fill="FFFFFF" w:val="clear"/>
        </w:rPr>
        <w:t>号</w:t>
      </w:r>
      <w:r>
        <w:rPr>
          <w:rFonts w:ascii="宋体" w:hAnsi="宋体" w:cs="宋体" w:eastAsia="宋体"/>
          <w:sz w:val="24"/>
          <w:shd w:fill="FFFFFF" w:val="clear"/>
        </w:rPr>
        <w:t>7</w:t>
      </w:r>
      <w:r>
        <w:rPr>
          <w:rFonts w:ascii="宋体" w:hAnsi="宋体" w:cs="宋体" w:eastAsia="宋体"/>
          <w:sz w:val="24"/>
          <w:shd w:fill="FFFFFF" w:val="clear"/>
        </w:rPr>
        <w:t>◆</w:t>
      </w:r>
      <w:r>
        <w:rPr>
          <w:rFonts w:ascii="宋体" w:hAnsi="宋体" w:cs="宋体" w:eastAsia="宋体"/>
          <w:sz w:val="24"/>
          <w:shd w:fill="FFFFFF" w:val="clear"/>
        </w:rPr>
        <w:t>GYTS光缆</w:t>
      </w:r>
      <w:r>
        <w:rPr>
          <w:rFonts w:ascii="宋体" w:hAnsi="宋体" w:cs="宋体" w:eastAsia="宋体"/>
          <w:sz w:val="24"/>
          <w:shd w:fill="FFFFF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612"/>
        <w:gridCol w:w="1082"/>
        <w:gridCol w:w="5124"/>
        <w:gridCol w:w="599"/>
        <w:gridCol w:w="860"/>
      </w:tblGrid>
      <w:tr>
        <w:tc>
          <w:tcPr>
            <w:tcW w:type="dxa" w:w="6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序号</w:t>
            </w:r>
          </w:p>
        </w:tc>
        <w:tc>
          <w:tcPr>
            <w:tcW w:type="dxa" w:w="10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品目名称</w:t>
            </w:r>
          </w:p>
        </w:tc>
        <w:tc>
          <w:tcPr>
            <w:tcW w:type="dxa" w:w="51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主要技术参数要求</w:t>
            </w:r>
          </w:p>
        </w:tc>
        <w:tc>
          <w:tcPr>
            <w:tcW w:type="dxa" w:w="5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单位</w:t>
            </w:r>
          </w:p>
        </w:tc>
        <w:tc>
          <w:tcPr>
            <w:tcW w:type="dxa" w:w="8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数量</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网络摄像机</w:t>
            </w:r>
          </w:p>
        </w:tc>
        <w:tc>
          <w:tcPr>
            <w:tcW w:type="dxa" w:w="5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1、分辨率：≥400万</w:t>
            </w:r>
            <w:r>
              <w:br/>
            </w:r>
            <w:r>
              <w:rPr>
                <w:rFonts w:ascii="宋体" w:hAnsi="宋体" w:cs="宋体" w:eastAsia="宋体"/>
                <w:sz w:val="24"/>
                <w:color w:val="000000"/>
              </w:rPr>
              <w:t>2、传感器类型：≥1/1.8" Progressive Scan CMOS</w:t>
            </w:r>
            <w:r>
              <w:br/>
            </w:r>
            <w:r>
              <w:rPr>
                <w:rFonts w:ascii="宋体" w:hAnsi="宋体" w:cs="宋体" w:eastAsia="宋体"/>
                <w:sz w:val="24"/>
                <w:color w:val="000000"/>
              </w:rPr>
              <w:t>3、最低照度：彩色：0.002 Lux @（F1.2，AGC ON），0 Lux with Light</w:t>
            </w:r>
            <w:r>
              <w:br/>
            </w:r>
            <w:r>
              <w:rPr>
                <w:rFonts w:ascii="宋体" w:hAnsi="宋体" w:cs="宋体" w:eastAsia="宋体"/>
                <w:sz w:val="24"/>
                <w:color w:val="000000"/>
              </w:rPr>
              <w:t>黑白：</w:t>
            </w:r>
            <w:r>
              <w:rPr>
                <w:rFonts w:ascii="宋体" w:hAnsi="宋体" w:cs="宋体" w:eastAsia="宋体"/>
                <w:sz w:val="24"/>
                <w:color w:val="000000"/>
              </w:rPr>
              <w:t>0.0002 Lux @（F1.2，AGC ON），0 Lux with IR</w:t>
            </w:r>
            <w:r>
              <w:br/>
            </w:r>
            <w:r>
              <w:rPr>
                <w:rFonts w:ascii="宋体" w:hAnsi="宋体" w:cs="宋体" w:eastAsia="宋体"/>
                <w:sz w:val="24"/>
                <w:color w:val="000000"/>
              </w:rPr>
              <w:t>4、补光距离：白光：普通监控：最远可达30 m，人脸抓拍/识别：最远可达≥5 m</w:t>
            </w:r>
            <w:r>
              <w:br/>
            </w:r>
            <w:r>
              <w:rPr>
                <w:rFonts w:ascii="宋体" w:hAnsi="宋体" w:cs="宋体" w:eastAsia="宋体"/>
                <w:sz w:val="24"/>
                <w:color w:val="000000"/>
              </w:rPr>
              <w:t>5、最大图像尺寸：2560 × 1440</w:t>
            </w:r>
            <w:r>
              <w:br/>
            </w:r>
            <w:r>
              <w:rPr>
                <w:rFonts w:ascii="宋体" w:hAnsi="宋体" w:cs="宋体" w:eastAsia="宋体"/>
                <w:sz w:val="24"/>
                <w:color w:val="000000"/>
              </w:rPr>
              <w:t>6、移动通信类型：4G/5G</w:t>
            </w:r>
            <w:r>
              <w:br/>
            </w:r>
            <w:r>
              <w:rPr>
                <w:rFonts w:ascii="宋体" w:hAnsi="宋体" w:cs="宋体" w:eastAsia="宋体"/>
                <w:sz w:val="24"/>
                <w:color w:val="000000"/>
              </w:rPr>
              <w:t>7、▲支持抓拍报警统计、报警质量统计、设备重启和布防动态报警数据感知与记录功能。（提供招标公告发布前生效的公安部授权检测机构出具的有效检验报告复印件并加盖投标人公章做为依据，原件备查）</w:t>
            </w:r>
            <w:r>
              <w:br/>
            </w:r>
            <w:r>
              <w:rPr>
                <w:rFonts w:ascii="宋体" w:hAnsi="宋体" w:cs="宋体" w:eastAsia="宋体"/>
                <w:sz w:val="24"/>
                <w:color w:val="000000"/>
              </w:rPr>
              <w:t>8、▲灯珠朝向与样机照射方向不同，补光灯开启后正面不可见补光灯灯珠。补光灯开启后灯光均匀无波纹、麻点状、条纹状和不规则亮斑（提供招标公告发布前生效的公安部授权检测机构出具的有效检验报告复印件并加盖投标人公章做为依据，原件备查）</w:t>
            </w:r>
            <w:r>
              <w:br/>
            </w:r>
            <w:r>
              <w:rPr>
                <w:rFonts w:ascii="宋体" w:hAnsi="宋体" w:cs="宋体" w:eastAsia="宋体"/>
                <w:sz w:val="24"/>
                <w:color w:val="000000"/>
              </w:rPr>
              <w:t>9、当进入区域、离开区域、越界侦测或区域入侵报警产生时，可在报警布防时间内联动声音报警和/或白光灯闪烁。</w:t>
            </w:r>
            <w:r>
              <w:br/>
            </w:r>
            <w:r>
              <w:rPr>
                <w:rFonts w:ascii="宋体" w:hAnsi="宋体" w:cs="宋体" w:eastAsia="宋体"/>
                <w:sz w:val="24"/>
                <w:color w:val="000000"/>
              </w:rPr>
              <w:t>10、支持侧脸过滤功能，可过滤上下、左右倾斜角度超过预设值的人脸。</w:t>
            </w:r>
            <w:r>
              <w:br/>
            </w:r>
            <w:r>
              <w:rPr>
                <w:rFonts w:ascii="宋体" w:hAnsi="宋体" w:cs="宋体" w:eastAsia="宋体"/>
                <w:sz w:val="24"/>
                <w:color w:val="000000"/>
              </w:rPr>
              <w:t>11、支持检出两眼瞳距40像素点以上的人脸图片。</w:t>
            </w:r>
            <w:r>
              <w:br/>
            </w:r>
            <w:r>
              <w:rPr>
                <w:rFonts w:ascii="宋体" w:hAnsi="宋体" w:cs="宋体" w:eastAsia="宋体"/>
                <w:sz w:val="24"/>
                <w:color w:val="000000"/>
              </w:rPr>
              <w:t>12、内置GPU芯片</w:t>
            </w:r>
            <w:r>
              <w:br/>
            </w:r>
            <w:r>
              <w:rPr>
                <w:rFonts w:ascii="宋体" w:hAnsi="宋体" w:cs="宋体" w:eastAsia="宋体"/>
                <w:sz w:val="24"/>
                <w:color w:val="000000"/>
              </w:rPr>
              <w:t>13、支持有线光纤/5G无线物联网网络传输</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r>
      <w:tr>
        <w:tc>
          <w:tcPr>
            <w:tcW w:type="dxa" w:w="61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108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图像型火灾探测器</w:t>
            </w:r>
          </w:p>
        </w:tc>
        <w:tc>
          <w:tcPr>
            <w:tcW w:type="dxa" w:w="5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1、可见光最大图像尺寸 ≥2592 × 1944</w:t>
            </w:r>
            <w:r>
              <w:br/>
            </w:r>
            <w:r>
              <w:rPr>
                <w:rFonts w:ascii="宋体" w:hAnsi="宋体" w:cs="宋体" w:eastAsia="宋体"/>
                <w:sz w:val="24"/>
                <w:color w:val="000000"/>
              </w:rPr>
              <w:t>2、传感器类型 ≥1/2.7" CMOS</w:t>
            </w:r>
            <w:r>
              <w:br/>
            </w:r>
            <w:r>
              <w:rPr>
                <w:rFonts w:ascii="宋体" w:hAnsi="宋体" w:cs="宋体" w:eastAsia="宋体"/>
                <w:sz w:val="24"/>
                <w:color w:val="000000"/>
              </w:rPr>
              <w:t>3、可见光视场角 50°×37°</w:t>
            </w:r>
            <w:r>
              <w:br/>
            </w:r>
            <w:r>
              <w:rPr>
                <w:rFonts w:ascii="宋体" w:hAnsi="宋体" w:cs="宋体" w:eastAsia="宋体"/>
                <w:sz w:val="24"/>
                <w:color w:val="000000"/>
              </w:rPr>
              <w:t>4、热成像最大图像尺寸 160 × 120</w:t>
            </w:r>
            <w:r>
              <w:br/>
            </w:r>
            <w:r>
              <w:rPr>
                <w:rFonts w:ascii="宋体" w:hAnsi="宋体" w:cs="宋体" w:eastAsia="宋体"/>
                <w:sz w:val="24"/>
                <w:color w:val="000000"/>
              </w:rPr>
              <w:t>5、热成像视场角 ≥50°×37.2°</w:t>
            </w:r>
            <w:r>
              <w:br/>
            </w:r>
            <w:r>
              <w:rPr>
                <w:rFonts w:ascii="宋体" w:hAnsi="宋体" w:cs="宋体" w:eastAsia="宋体"/>
                <w:sz w:val="24"/>
                <w:color w:val="000000"/>
              </w:rPr>
              <w:t>6、测温范围 0 °C~400 °C</w:t>
            </w:r>
            <w:r>
              <w:br/>
            </w:r>
            <w:r>
              <w:rPr>
                <w:rFonts w:ascii="宋体" w:hAnsi="宋体" w:cs="宋体" w:eastAsia="宋体"/>
                <w:sz w:val="24"/>
                <w:color w:val="000000"/>
              </w:rPr>
              <w:t>7、▲热成像视频图像中可显示设定区域的最高温度、最低温度与平均温度值。（提供招标公告发布前生效的公安部授权检测机构出具的有效检验报告复印件并加盖投标人公章做为依据，原件备查）</w:t>
            </w:r>
            <w:r>
              <w:br/>
            </w:r>
            <w:r>
              <w:rPr>
                <w:rFonts w:ascii="宋体" w:hAnsi="宋体" w:cs="宋体" w:eastAsia="宋体"/>
                <w:sz w:val="24"/>
                <w:color w:val="000000"/>
              </w:rPr>
              <w:t>8、火灾报警信号传输功能：发生火灾时，探测器可将报警信息通过输入模块传输到火灾报警主机中，并通过报警主机显示该报警信息。</w:t>
            </w:r>
            <w:r>
              <w:br/>
            </w:r>
            <w:r>
              <w:rPr>
                <w:rFonts w:ascii="宋体" w:hAnsi="宋体" w:cs="宋体" w:eastAsia="宋体"/>
                <w:sz w:val="24"/>
                <w:color w:val="000000"/>
              </w:rPr>
              <w:t>9、▲联动触发火灾声光报警功能：当探测范围内出现高温、火焰、烟雾等情况时，探测器可联动触发声光报警，使被连接的火灾声光报警器发出声、光报警信号。（提供招标公告发布前生效的公安部授权检测机构出具的有效检验报告复印件并加盖投标人公章做为依据，原件备查）</w:t>
            </w:r>
            <w:r>
              <w:br/>
            </w:r>
            <w:r>
              <w:rPr>
                <w:rFonts w:ascii="宋体" w:hAnsi="宋体" w:cs="宋体" w:eastAsia="宋体"/>
                <w:sz w:val="24"/>
                <w:color w:val="000000"/>
              </w:rPr>
              <w:t>10、灯光联动报警功能：可对测温超过阈值、出现高温点、出现烟火报警等进行检测并进行灯光闪烁报警。</w:t>
            </w:r>
            <w:r>
              <w:br/>
            </w:r>
            <w:r>
              <w:rPr>
                <w:rFonts w:ascii="宋体" w:hAnsi="宋体" w:cs="宋体" w:eastAsia="宋体"/>
                <w:sz w:val="24"/>
                <w:color w:val="000000"/>
              </w:rPr>
              <w:t>11、支持有线光纤/5G无线物联网网络传输</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r>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网络硬盘录像机</w:t>
            </w:r>
          </w:p>
        </w:tc>
        <w:tc>
          <w:tcPr>
            <w:tcW w:type="dxa" w:w="5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1、存储接口：≥16个SATA接口</w:t>
            </w:r>
            <w:r>
              <w:br/>
            </w:r>
            <w:r>
              <w:rPr>
                <w:rFonts w:ascii="宋体" w:hAnsi="宋体" w:cs="宋体" w:eastAsia="宋体"/>
                <w:sz w:val="24"/>
                <w:color w:val="000000"/>
              </w:rPr>
              <w:t>2、视频接口：≥2×HDMI，≥2×VGA</w:t>
            </w:r>
            <w:r>
              <w:br/>
            </w:r>
            <w:r>
              <w:rPr>
                <w:rFonts w:ascii="宋体" w:hAnsi="宋体" w:cs="宋体" w:eastAsia="宋体"/>
                <w:sz w:val="24"/>
                <w:color w:val="000000"/>
              </w:rPr>
              <w:t>3、网络接口：≥2×RJ45 10/100/1000Mbps自适应以太网口</w:t>
            </w:r>
            <w:r>
              <w:br/>
            </w:r>
            <w:r>
              <w:rPr>
                <w:rFonts w:ascii="宋体" w:hAnsi="宋体" w:cs="宋体" w:eastAsia="宋体"/>
                <w:sz w:val="24"/>
                <w:color w:val="000000"/>
              </w:rPr>
              <w:t>4、输入带宽：≥320Mbps</w:t>
            </w:r>
            <w:r>
              <w:br/>
            </w:r>
            <w:r>
              <w:rPr>
                <w:rFonts w:ascii="宋体" w:hAnsi="宋体" w:cs="宋体" w:eastAsia="宋体"/>
                <w:sz w:val="24"/>
                <w:color w:val="000000"/>
              </w:rPr>
              <w:t>5、输出带宽：≥256Mbps</w:t>
            </w:r>
            <w:r>
              <w:br/>
            </w:r>
            <w:r>
              <w:rPr>
                <w:rFonts w:ascii="宋体" w:hAnsi="宋体" w:cs="宋体" w:eastAsia="宋体"/>
                <w:sz w:val="24"/>
                <w:color w:val="000000"/>
              </w:rPr>
              <w:t>6、接入能力：≥32路H.264、H.265格式高清码流接入</w:t>
            </w:r>
            <w:r>
              <w:br/>
            </w:r>
            <w:r>
              <w:rPr>
                <w:rFonts w:ascii="宋体" w:hAnsi="宋体" w:cs="宋体" w:eastAsia="宋体"/>
                <w:sz w:val="24"/>
                <w:color w:val="000000"/>
              </w:rPr>
              <w:t>7、可接入 1T、2T、3T、4T、6T、8T、10T、12TB、14TB、16TB、18TB、20TB 容量的 SATA接口硬盘；</w:t>
            </w:r>
            <w:r>
              <w:br/>
            </w:r>
            <w:r>
              <w:rPr>
                <w:rFonts w:ascii="宋体" w:hAnsi="宋体" w:cs="宋体" w:eastAsia="宋体"/>
                <w:sz w:val="24"/>
                <w:color w:val="000000"/>
              </w:rPr>
              <w:t>8、在专家模式下，支持高空抛物摄像机按视野进行区域划分，并支持轮巡预览。</w:t>
            </w:r>
            <w:r>
              <w:br/>
            </w:r>
            <w:r>
              <w:rPr>
                <w:rFonts w:ascii="宋体" w:hAnsi="宋体" w:cs="宋体" w:eastAsia="宋体"/>
                <w:sz w:val="24"/>
                <w:color w:val="000000"/>
              </w:rPr>
              <w:t>9、▲支持预览时对实时视频流进行手动打标签，通过标签检索可以检索到相关的录像片段。（提供招标公告发布前生效的公安部授权检测机构出具的有效检验报告复印件并加盖投标人公章做为依据，原件备查）</w:t>
            </w:r>
            <w:r>
              <w:br/>
            </w:r>
            <w:r>
              <w:rPr>
                <w:rFonts w:ascii="宋体" w:hAnsi="宋体" w:cs="宋体" w:eastAsia="宋体"/>
                <w:sz w:val="24"/>
                <w:color w:val="000000"/>
              </w:rPr>
              <w:t>10、▲支持预览的单窗口轮巡，设备支持在多画面的固定窗口上进行轮巡预览，其他预览窗口不轮巡。（提供招标公告发布前生效的公安部授权检测机构出具的有效检验报告复印件并加盖投标人公章做为依据，原件备查）</w:t>
            </w:r>
            <w:r>
              <w:br/>
            </w:r>
            <w:r>
              <w:rPr>
                <w:rFonts w:ascii="宋体" w:hAnsi="宋体" w:cs="宋体" w:eastAsia="宋体"/>
                <w:sz w:val="24"/>
                <w:color w:val="000000"/>
              </w:rPr>
              <w:t>11、▲支持查看在线用户信息，包括用户名、用户类型、IP地址和用户最后操作时间等维护信息（提供招标公告发布前生效的公安部授权检测机构出具的有效检验报告复印件并加盖投标人公章做为依据，原件备查）</w:t>
            </w:r>
            <w:r>
              <w:br/>
            </w:r>
            <w:r>
              <w:rPr>
                <w:rFonts w:ascii="宋体" w:hAnsi="宋体" w:cs="宋体" w:eastAsia="宋体"/>
                <w:sz w:val="24"/>
                <w:color w:val="000000"/>
              </w:rPr>
              <w:t>11、切片回放功能，支持按月、日、小时维度进行切片展示，按月最大支持30个切片，按日最大支持24个切片，按时最大支持60个切片</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云服务器</w:t>
            </w:r>
          </w:p>
        </w:tc>
        <w:tc>
          <w:tcPr>
            <w:tcW w:type="dxa" w:w="5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云主机：</w:t>
            </w:r>
            <w:r>
              <w:rPr>
                <w:rFonts w:ascii="宋体" w:hAnsi="宋体" w:cs="宋体" w:eastAsia="宋体"/>
                <w:sz w:val="24"/>
                <w:color w:val="000000"/>
              </w:rPr>
              <w:t>8核16G，CPU主频≥2.2GHz、系统盘windows</w:t>
            </w:r>
            <w:r>
              <w:br/>
            </w:r>
            <w:r>
              <w:rPr>
                <w:rFonts w:ascii="宋体" w:hAnsi="宋体" w:cs="宋体" w:eastAsia="宋体"/>
                <w:sz w:val="24"/>
                <w:color w:val="000000"/>
              </w:rPr>
              <w:t>云安全（抗</w:t>
            </w:r>
            <w:r>
              <w:rPr>
                <w:rFonts w:ascii="宋体" w:hAnsi="宋体" w:cs="宋体" w:eastAsia="宋体"/>
                <w:sz w:val="24"/>
                <w:color w:val="000000"/>
              </w:rPr>
              <w:t>DDOS云防护）：</w:t>
            </w:r>
            <w:r>
              <w:br/>
            </w:r>
            <w:r>
              <w:rPr>
                <w:rFonts w:ascii="宋体" w:hAnsi="宋体" w:cs="宋体" w:eastAsia="宋体"/>
                <w:sz w:val="24"/>
                <w:color w:val="000000"/>
              </w:rPr>
              <w:t>1.支持在攻击发生并对客户业务产生影响时，启动流量清洗流程（人工或授权），清洗后的流量按原路径回注给客户网络。</w:t>
            </w:r>
            <w:r>
              <w:br/>
            </w:r>
            <w:r>
              <w:rPr>
                <w:rFonts w:ascii="宋体" w:hAnsi="宋体" w:cs="宋体" w:eastAsia="宋体"/>
                <w:sz w:val="24"/>
                <w:color w:val="000000"/>
              </w:rPr>
              <w:t>▲2.支持应具备近源清洗的能力。</w:t>
            </w:r>
            <w:r>
              <w:br/>
            </w:r>
            <w:r>
              <w:rPr>
                <w:rFonts w:ascii="宋体" w:hAnsi="宋体" w:cs="宋体" w:eastAsia="宋体"/>
                <w:sz w:val="24"/>
                <w:color w:val="000000"/>
              </w:rPr>
              <w:t>▲3.防护中心数量不少于35个。</w:t>
            </w:r>
            <w:r>
              <w:br/>
            </w:r>
            <w:r>
              <w:rPr>
                <w:rFonts w:ascii="宋体" w:hAnsi="宋体" w:cs="宋体" w:eastAsia="宋体"/>
                <w:sz w:val="24"/>
                <w:color w:val="000000"/>
              </w:rPr>
              <w:t>▲4.系统能够识别出SYN Flood、UDP Flood、NTP Amplification、SSDP Amplification、DNS Amplification、Memcached、HTTP Flood、ICMP Flood等超40种攻击类型，同时支持自定义攻击特征识别。</w:t>
            </w:r>
            <w:r>
              <w:br/>
            </w:r>
            <w:r>
              <w:rPr>
                <w:rFonts w:ascii="宋体" w:hAnsi="宋体" w:cs="宋体" w:eastAsia="宋体"/>
                <w:sz w:val="24"/>
                <w:color w:val="000000"/>
              </w:rPr>
              <w:t>（投标人需提供第三方机构出具的抗</w:t>
            </w:r>
            <w:r>
              <w:rPr>
                <w:rFonts w:ascii="宋体" w:hAnsi="宋体" w:cs="宋体" w:eastAsia="宋体"/>
                <w:sz w:val="24"/>
                <w:color w:val="000000"/>
              </w:rPr>
              <w:t>DDoS云防护产品技术验证报告并加盖投标人公章）</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r>
      <w:tr>
        <w:tc>
          <w:tcPr>
            <w:tcW w:type="dxa" w:w="61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5G网关</w:t>
            </w:r>
          </w:p>
        </w:tc>
        <w:tc>
          <w:tcPr>
            <w:tcW w:type="dxa" w:w="5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5G网关需采用贴片卡的方式。提供管理平台和小程序，管理平台和小程序共用一个账号密码，管理平台和小程序的功能如下:</w:t>
            </w:r>
            <w:r>
              <w:br/>
            </w:r>
            <w:r>
              <w:rPr>
                <w:rFonts w:ascii="宋体" w:hAnsi="宋体" w:cs="宋体" w:eastAsia="宋体"/>
                <w:sz w:val="24"/>
                <w:color w:val="000000"/>
              </w:rPr>
              <w:t>(1)管理平台:5G网关管理:能够查看5G网关在线状态、IMEI、ICCID、IMSI等信息，具备对5G网关WiFi远程配置的功能和基干MAC地址的黑白名单功能，支持远程重启信号强度监控，设备列表导出，支持固件升级，具备DNN远程配置功能，能够查询流量使用情况。5G卡管理:能够查看5G卡的卡状态、激活时间、本月流量详情，能够操作5G卡的状态变更(例如激活)。</w:t>
            </w:r>
            <w:r>
              <w:br/>
            </w:r>
            <w:r>
              <w:rPr>
                <w:rFonts w:ascii="宋体" w:hAnsi="宋体" w:cs="宋体" w:eastAsia="宋体"/>
                <w:sz w:val="24"/>
                <w:color w:val="000000"/>
              </w:rPr>
              <w:t>(2)小程序:5G网关信息:能够查看配套5G网关的ICCID、MSISDN、当前网络制式、设备型号、设备状态、流量使用情况、信号强度等信息，能够通过扫配套5G网关的IMEI条码来快速查询该设备相关信息。5G卡信息:能够查看5G卡的卡状态、激活时间、本月流量详情。</w:t>
            </w:r>
            <w:r>
              <w:br/>
            </w:r>
            <w:r>
              <w:rPr>
                <w:rFonts w:ascii="宋体" w:hAnsi="宋体" w:cs="宋体" w:eastAsia="宋体"/>
                <w:sz w:val="24"/>
                <w:color w:val="000000"/>
              </w:rPr>
              <w:t>5G网关配套的物联网，流量大于等于300G/月。</w:t>
            </w:r>
            <w:r>
              <w:br/>
            </w:r>
            <w:r>
              <w:rPr>
                <w:rFonts w:ascii="宋体" w:hAnsi="宋体" w:cs="宋体" w:eastAsia="宋体"/>
                <w:sz w:val="24"/>
                <w:color w:val="000000"/>
              </w:rPr>
              <w:t>5G网关具有CNAS或CMA标识的第三方测试机构出具的检测报告</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r>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定位盒</w:t>
            </w:r>
          </w:p>
        </w:tc>
        <w:tc>
          <w:tcPr>
            <w:tcW w:type="dxa" w:w="5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操作系统：</w:t>
            </w:r>
            <w:r>
              <w:rPr>
                <w:rFonts w:ascii="宋体" w:hAnsi="宋体" w:cs="宋体" w:eastAsia="宋体"/>
                <w:sz w:val="24"/>
                <w:color w:val="000000"/>
              </w:rPr>
              <w:t>RTOS</w:t>
            </w:r>
            <w:r>
              <w:br/>
            </w:r>
            <w:r>
              <w:rPr>
                <w:rFonts w:ascii="宋体" w:hAnsi="宋体" w:cs="宋体" w:eastAsia="宋体"/>
                <w:sz w:val="24"/>
                <w:color w:val="000000"/>
              </w:rPr>
              <w:t>处理器：双处理器</w:t>
            </w:r>
            <w:r>
              <w:br/>
            </w:r>
            <w:r>
              <w:rPr>
                <w:rFonts w:ascii="宋体" w:hAnsi="宋体" w:cs="宋体" w:eastAsia="宋体"/>
                <w:sz w:val="24"/>
                <w:color w:val="000000"/>
              </w:rPr>
              <w:t>RAM：512K</w:t>
            </w:r>
            <w:r>
              <w:br/>
            </w:r>
            <w:r>
              <w:rPr>
                <w:rFonts w:ascii="宋体" w:hAnsi="宋体" w:cs="宋体" w:eastAsia="宋体"/>
                <w:sz w:val="24"/>
                <w:color w:val="000000"/>
              </w:rPr>
              <w:t>数据存储：</w:t>
            </w:r>
            <w:r>
              <w:rPr>
                <w:rFonts w:ascii="宋体" w:hAnsi="宋体" w:cs="宋体" w:eastAsia="宋体"/>
                <w:sz w:val="24"/>
                <w:color w:val="000000"/>
              </w:rPr>
              <w:t>4MB</w:t>
            </w:r>
            <w:r>
              <w:br/>
            </w:r>
            <w:r>
              <w:rPr>
                <w:rFonts w:ascii="宋体" w:hAnsi="宋体" w:cs="宋体" w:eastAsia="宋体"/>
                <w:sz w:val="24"/>
                <w:color w:val="000000"/>
              </w:rPr>
              <w:t>定位技术：北斗</w:t>
            </w:r>
            <w:r>
              <w:rPr>
                <w:rFonts w:ascii="宋体" w:hAnsi="宋体" w:cs="宋体" w:eastAsia="宋体"/>
                <w:sz w:val="24"/>
                <w:color w:val="000000"/>
              </w:rPr>
              <w:t>+GLONASS+Galileo+GPS</w:t>
            </w:r>
            <w:r>
              <w:br/>
            </w:r>
            <w:r>
              <w:rPr>
                <w:rFonts w:ascii="宋体" w:hAnsi="宋体" w:cs="宋体" w:eastAsia="宋体"/>
                <w:sz w:val="24"/>
                <w:color w:val="000000"/>
              </w:rPr>
              <w:t>首次定位时间：首次定位时间</w:t>
            </w:r>
            <w:r>
              <w:rPr>
                <w:rFonts w:ascii="宋体" w:hAnsi="宋体" w:cs="宋体" w:eastAsia="宋体"/>
                <w:sz w:val="24"/>
                <w:color w:val="000000"/>
              </w:rPr>
              <w:t>40秒以内</w:t>
            </w:r>
            <w:r>
              <w:br/>
            </w:r>
            <w:r>
              <w:rPr>
                <w:rFonts w:ascii="宋体" w:hAnsi="宋体" w:cs="宋体" w:eastAsia="宋体"/>
                <w:sz w:val="24"/>
                <w:color w:val="000000"/>
              </w:rPr>
              <w:t>单点定位精度：</w:t>
            </w:r>
            <w:r>
              <w:rPr>
                <w:rFonts w:ascii="宋体" w:hAnsi="宋体" w:cs="宋体" w:eastAsia="宋体"/>
                <w:sz w:val="24"/>
                <w:color w:val="000000"/>
              </w:rPr>
              <w:t>3米</w:t>
            </w:r>
            <w:r>
              <w:br/>
            </w:r>
            <w:r>
              <w:rPr>
                <w:rFonts w:ascii="宋体" w:hAnsi="宋体" w:cs="宋体" w:eastAsia="宋体"/>
                <w:sz w:val="24"/>
                <w:color w:val="000000"/>
              </w:rPr>
              <w:t>SBAS定位精度：1米</w:t>
            </w:r>
            <w:r>
              <w:br/>
            </w:r>
            <w:r>
              <w:rPr>
                <w:rFonts w:ascii="宋体" w:hAnsi="宋体" w:cs="宋体" w:eastAsia="宋体"/>
                <w:sz w:val="24"/>
                <w:color w:val="000000"/>
              </w:rPr>
              <w:t>北斗地基增强精度：实时精度</w:t>
            </w:r>
            <w:r>
              <w:rPr>
                <w:rFonts w:ascii="宋体" w:hAnsi="宋体" w:cs="宋体" w:eastAsia="宋体"/>
                <w:sz w:val="24"/>
                <w:color w:val="000000"/>
              </w:rPr>
              <w:t>≤0.02米</w:t>
            </w:r>
            <w:r>
              <w:br/>
            </w:r>
            <w:r>
              <w:rPr>
                <w:rFonts w:ascii="宋体" w:hAnsi="宋体" w:cs="宋体" w:eastAsia="宋体"/>
                <w:sz w:val="24"/>
                <w:color w:val="000000"/>
              </w:rPr>
              <w:t>通讯：支持</w:t>
            </w:r>
            <w:r>
              <w:rPr>
                <w:rFonts w:ascii="宋体" w:hAnsi="宋体" w:cs="宋体" w:eastAsia="宋体"/>
                <w:sz w:val="24"/>
                <w:color w:val="000000"/>
              </w:rPr>
              <w:t>4G/5G（移动，联通，电信）、CAT1、IEEE 802.11b/g/n、BlueTooth 4.0、支持BLE</w:t>
            </w:r>
            <w:r>
              <w:br/>
            </w:r>
            <w:r>
              <w:rPr>
                <w:rFonts w:ascii="宋体" w:hAnsi="宋体" w:cs="宋体" w:eastAsia="宋体"/>
                <w:sz w:val="24"/>
                <w:color w:val="000000"/>
              </w:rPr>
              <w:t>电池：</w:t>
            </w:r>
            <w:r>
              <w:rPr>
                <w:rFonts w:ascii="宋体" w:hAnsi="宋体" w:cs="宋体" w:eastAsia="宋体"/>
                <w:sz w:val="24"/>
                <w:color w:val="000000"/>
              </w:rPr>
              <w:t>2800mAh锂电池，连续工作10小时</w:t>
            </w:r>
            <w:r>
              <w:br/>
            </w:r>
            <w:r>
              <w:rPr>
                <w:rFonts w:ascii="宋体" w:hAnsi="宋体" w:cs="宋体" w:eastAsia="宋体"/>
                <w:sz w:val="24"/>
                <w:color w:val="000000"/>
              </w:rPr>
              <w:t>充电模式：支持磁吸充电</w:t>
            </w:r>
            <w:r>
              <w:rPr>
                <w:rFonts w:ascii="宋体" w:hAnsi="宋体" w:cs="宋体" w:eastAsia="宋体"/>
                <w:sz w:val="24"/>
                <w:color w:val="000000"/>
              </w:rPr>
              <w:t>/无线充电，充电时间3小时</w:t>
            </w:r>
            <w:r>
              <w:br/>
            </w:r>
            <w:r>
              <w:rPr>
                <w:rFonts w:ascii="宋体" w:hAnsi="宋体" w:cs="宋体" w:eastAsia="宋体"/>
                <w:sz w:val="24"/>
                <w:color w:val="000000"/>
              </w:rPr>
              <w:t>行业扩展：支持声音播放、支持中文和数字的</w:t>
            </w:r>
            <w:r>
              <w:rPr>
                <w:rFonts w:ascii="宋体" w:hAnsi="宋体" w:cs="宋体" w:eastAsia="宋体"/>
                <w:sz w:val="24"/>
                <w:color w:val="000000"/>
              </w:rPr>
              <w:t>TTS语音功能</w:t>
            </w:r>
            <w:r>
              <w:br/>
            </w:r>
            <w:r>
              <w:rPr>
                <w:rFonts w:ascii="宋体" w:hAnsi="宋体" w:cs="宋体" w:eastAsia="宋体"/>
                <w:sz w:val="24"/>
                <w:color w:val="000000"/>
              </w:rPr>
              <w:t>工作温度：</w:t>
            </w:r>
            <w:r>
              <w:rPr>
                <w:rFonts w:ascii="宋体" w:hAnsi="宋体" w:cs="宋体" w:eastAsia="宋体"/>
                <w:sz w:val="24"/>
                <w:color w:val="000000"/>
              </w:rPr>
              <w:t>-30℃～+60℃</w:t>
            </w:r>
            <w:r>
              <w:br/>
            </w:r>
            <w:r>
              <w:rPr>
                <w:rFonts w:ascii="宋体" w:hAnsi="宋体" w:cs="宋体" w:eastAsia="宋体"/>
                <w:sz w:val="24"/>
                <w:color w:val="000000"/>
              </w:rPr>
              <w:t>存储温度：</w:t>
            </w:r>
            <w:r>
              <w:rPr>
                <w:rFonts w:ascii="宋体" w:hAnsi="宋体" w:cs="宋体" w:eastAsia="宋体"/>
                <w:sz w:val="24"/>
                <w:color w:val="000000"/>
              </w:rPr>
              <w:t>-40℃～+80℃</w:t>
            </w:r>
            <w:r>
              <w:br/>
            </w:r>
            <w:r>
              <w:rPr>
                <w:rFonts w:ascii="宋体" w:hAnsi="宋体" w:cs="宋体" w:eastAsia="宋体"/>
                <w:sz w:val="24"/>
                <w:color w:val="000000"/>
              </w:rPr>
              <w:t>防尘防水：设备应具备</w:t>
            </w:r>
            <w:r>
              <w:rPr>
                <w:rFonts w:ascii="宋体" w:hAnsi="宋体" w:cs="宋体" w:eastAsia="宋体"/>
                <w:sz w:val="24"/>
                <w:color w:val="000000"/>
              </w:rPr>
              <w:t>IP65级别以上的防水防尘等级并出具检定证书</w:t>
            </w:r>
            <w:r>
              <w:br/>
            </w:r>
            <w:r>
              <w:rPr>
                <w:rFonts w:ascii="宋体" w:hAnsi="宋体" w:cs="宋体" w:eastAsia="宋体"/>
                <w:sz w:val="24"/>
                <w:color w:val="000000"/>
              </w:rPr>
              <w:t>▲认证：需通过1.2米跌落测试并出具相关证书</w:t>
            </w:r>
            <w:r>
              <w:br/>
            </w:r>
            <w:r>
              <w:rPr>
                <w:rFonts w:ascii="宋体" w:hAnsi="宋体" w:cs="宋体" w:eastAsia="宋体"/>
                <w:sz w:val="24"/>
                <w:color w:val="000000"/>
              </w:rPr>
              <w:t>▲扩展功能：随硬件产品提供每套基于GIS平台（如ArcGIS、SuperMap、HiMap或PIE-Map）开发的专业地理信息分析GIS平台软件，提供设备厂商的技术参数资料、软件著作权证书作为佐证材料并加盖投标人公章。</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7</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shd w:fill="FFFFFF" w:val="clear"/>
              </w:rPr>
              <w:t>◆</w:t>
            </w:r>
            <w:r>
              <w:rPr>
                <w:rFonts w:ascii="宋体" w:hAnsi="宋体" w:cs="宋体" w:eastAsia="宋体"/>
                <w:sz w:val="24"/>
                <w:color w:val="000000"/>
              </w:rPr>
              <w:t>GYTS光缆</w:t>
            </w:r>
          </w:p>
        </w:tc>
        <w:tc>
          <w:tcPr>
            <w:tcW w:type="dxa" w:w="5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（12芯、24芯、36芯、48芯、72芯、96芯、144芯）</w:t>
            </w:r>
          </w:p>
          <w:p>
            <w:pPr>
              <w:pStyle w:val="null3"/>
              <w:jc w:val="left"/>
            </w:pPr>
            <w:r>
              <w:rPr>
                <w:rFonts w:ascii="宋体" w:hAnsi="宋体" w:cs="宋体" w:eastAsia="宋体"/>
                <w:sz w:val="24"/>
                <w:color w:val="000000"/>
              </w:rPr>
              <w:t>1、光缆标志：牢固、完整、可识别；</w:t>
            </w:r>
            <w:r>
              <w:br/>
            </w:r>
            <w:r>
              <w:rPr>
                <w:rFonts w:ascii="宋体" w:hAnsi="宋体" w:cs="宋体" w:eastAsia="宋体"/>
                <w:sz w:val="24"/>
                <w:color w:val="000000"/>
              </w:rPr>
              <w:t>2、外径/壁厚：17.1/1.9；</w:t>
            </w:r>
            <w:r>
              <w:br/>
            </w:r>
            <w:r>
              <w:rPr>
                <w:rFonts w:ascii="宋体" w:hAnsi="宋体" w:cs="宋体" w:eastAsia="宋体"/>
                <w:sz w:val="24"/>
                <w:color w:val="000000"/>
              </w:rPr>
              <w:t>3、包层直径：125±1 μm；</w:t>
            </w:r>
            <w:r>
              <w:br/>
            </w:r>
            <w:r>
              <w:rPr>
                <w:rFonts w:ascii="宋体" w:hAnsi="宋体" w:cs="宋体" w:eastAsia="宋体"/>
                <w:sz w:val="24"/>
                <w:color w:val="000000"/>
              </w:rPr>
              <w:t>4、同心度误差：≤0.6微米；</w:t>
            </w:r>
            <w:r>
              <w:br/>
            </w:r>
            <w:r>
              <w:rPr>
                <w:rFonts w:ascii="宋体" w:hAnsi="宋体" w:cs="宋体" w:eastAsia="宋体"/>
                <w:sz w:val="24"/>
                <w:color w:val="000000"/>
              </w:rPr>
              <w:t>5、包层不圆度：≤1%</w:t>
            </w:r>
            <w:r>
              <w:br/>
            </w:r>
            <w:r>
              <w:rPr>
                <w:rFonts w:ascii="宋体" w:hAnsi="宋体" w:cs="宋体" w:eastAsia="宋体"/>
                <w:sz w:val="24"/>
                <w:color w:val="000000"/>
              </w:rPr>
              <w:t>6、截止波长：≤1250nm</w:t>
            </w:r>
            <w:r>
              <w:br/>
            </w:r>
            <w:r>
              <w:rPr>
                <w:rFonts w:ascii="宋体" w:hAnsi="宋体" w:cs="宋体" w:eastAsia="宋体"/>
                <w:sz w:val="24"/>
                <w:color w:val="000000"/>
              </w:rPr>
              <w:t>7、光纤色散值（1288-1339nm):≤3.5PS/nm*km</w:t>
            </w:r>
            <w:r>
              <w:br/>
            </w:r>
            <w:r>
              <w:rPr>
                <w:rFonts w:ascii="宋体" w:hAnsi="宋体" w:cs="宋体" w:eastAsia="宋体"/>
                <w:sz w:val="24"/>
                <w:color w:val="000000"/>
              </w:rPr>
              <w:t>8、光纤色散值（1550nm):≤20PS/nm*km</w:t>
            </w:r>
            <w:r>
              <w:br/>
            </w:r>
            <w:r>
              <w:rPr>
                <w:rFonts w:ascii="宋体" w:hAnsi="宋体" w:cs="宋体" w:eastAsia="宋体"/>
                <w:sz w:val="24"/>
                <w:color w:val="000000"/>
              </w:rPr>
              <w:t>9、模场直径：9.20±0.500μm</w:t>
            </w:r>
            <w:r>
              <w:br/>
            </w:r>
            <w:r>
              <w:rPr>
                <w:rFonts w:ascii="宋体" w:hAnsi="宋体" w:cs="宋体" w:eastAsia="宋体"/>
                <w:sz w:val="24"/>
                <w:color w:val="000000"/>
              </w:rPr>
              <w:t>10、衰减不均匀性：≤0.05dB</w:t>
            </w:r>
            <w:r>
              <w:br/>
            </w:r>
            <w:r>
              <w:rPr>
                <w:rFonts w:ascii="宋体" w:hAnsi="宋体" w:cs="宋体" w:eastAsia="宋体"/>
                <w:sz w:val="24"/>
                <w:color w:val="000000"/>
              </w:rPr>
              <w:t>▲11、光缆中光纤温度特性：-40-70℃≤0.05dB/km</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米</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10730</w:t>
            </w:r>
          </w:p>
        </w:tc>
      </w:tr>
      <w:tr>
        <w:tc>
          <w:tcPr>
            <w:tcW w:type="dxa" w:w="61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球墨井盖</w:t>
            </w:r>
          </w:p>
        </w:tc>
        <w:tc>
          <w:tcPr>
            <w:tcW w:type="dxa" w:w="5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1、试验载荷:重型400KN，承重80吨。</w:t>
            </w:r>
            <w:r>
              <w:br/>
            </w:r>
            <w:r>
              <w:rPr>
                <w:rFonts w:ascii="宋体" w:hAnsi="宋体" w:cs="宋体" w:eastAsia="宋体"/>
                <w:sz w:val="24"/>
                <w:color w:val="000000"/>
              </w:rPr>
              <w:t>2、弯曲强度:平均值22MPa冲击强度:平均值10J/m2</w:t>
            </w:r>
            <w:r>
              <w:br/>
            </w:r>
            <w:r>
              <w:rPr>
                <w:rFonts w:ascii="宋体" w:hAnsi="宋体" w:cs="宋体" w:eastAsia="宋体"/>
                <w:sz w:val="24"/>
                <w:color w:val="000000"/>
              </w:rPr>
              <w:t>3、吸 水 率:1%</w:t>
            </w:r>
            <w:r>
              <w:br/>
            </w:r>
            <w:r>
              <w:rPr>
                <w:rFonts w:ascii="宋体" w:hAnsi="宋体" w:cs="宋体" w:eastAsia="宋体"/>
                <w:sz w:val="24"/>
                <w:color w:val="000000"/>
              </w:rPr>
              <w:t>4、耐 酸 性:试样在20%</w:t>
            </w:r>
            <w:r>
              <w:br/>
            </w:r>
            <w:r>
              <w:rPr>
                <w:rFonts w:ascii="宋体" w:hAnsi="宋体" w:cs="宋体" w:eastAsia="宋体"/>
                <w:sz w:val="24"/>
                <w:color w:val="000000"/>
              </w:rPr>
              <w:t>5、硫酸溶液中浸泡48h</w:t>
            </w:r>
            <w:r>
              <w:br/>
            </w:r>
            <w:r>
              <w:rPr>
                <w:rFonts w:ascii="宋体" w:hAnsi="宋体" w:cs="宋体" w:eastAsia="宋体"/>
                <w:sz w:val="24"/>
                <w:color w:val="000000"/>
              </w:rPr>
              <w:t>6、表面无腐蚀，质量损失1%</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18</w:t>
            </w:r>
          </w:p>
        </w:tc>
      </w:tr>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镀锌钢管</w:t>
            </w:r>
          </w:p>
        </w:tc>
        <w:tc>
          <w:tcPr>
            <w:tcW w:type="dxa" w:w="5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1.DN110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米</w:t>
            </w:r>
          </w:p>
        </w:tc>
        <w:tc>
          <w:tcPr>
            <w:tcW w:type="dxa" w:w="8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60</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塑料硅管</w:t>
            </w:r>
          </w:p>
        </w:tc>
        <w:tc>
          <w:tcPr>
            <w:tcW w:type="dxa" w:w="5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1、通信硅管PE80（mm）</w:t>
            </w:r>
          </w:p>
        </w:tc>
        <w:tc>
          <w:tcPr>
            <w:tcW w:type="dxa" w:w="5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米</w:t>
            </w:r>
          </w:p>
        </w:tc>
        <w:tc>
          <w:tcPr>
            <w:tcW w:type="dxa" w:w="8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1800</w:t>
            </w:r>
          </w:p>
        </w:tc>
      </w:tr>
      <w:tr>
        <w:tc>
          <w:tcPr>
            <w:tcW w:type="dxa" w:w="61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11</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水泥杆</w:t>
            </w:r>
          </w:p>
        </w:tc>
        <w:tc>
          <w:tcPr>
            <w:tcW w:type="dxa" w:w="5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8米—9米</w:t>
            </w:r>
          </w:p>
        </w:tc>
        <w:tc>
          <w:tcPr>
            <w:tcW w:type="dxa" w:w="5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根</w:t>
            </w:r>
          </w:p>
        </w:tc>
        <w:tc>
          <w:tcPr>
            <w:tcW w:type="dxa" w:w="8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45</w:t>
            </w:r>
          </w:p>
        </w:tc>
      </w:tr>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镀锌钢绞线</w:t>
            </w:r>
          </w:p>
        </w:tc>
        <w:tc>
          <w:tcPr>
            <w:tcW w:type="dxa" w:w="5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7/2.2</w:t>
            </w:r>
          </w:p>
        </w:tc>
        <w:tc>
          <w:tcPr>
            <w:tcW w:type="dxa" w:w="5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千克</w:t>
            </w:r>
          </w:p>
        </w:tc>
        <w:tc>
          <w:tcPr>
            <w:tcW w:type="dxa" w:w="8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1350</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13</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光缆接头盒</w:t>
            </w:r>
          </w:p>
        </w:tc>
        <w:tc>
          <w:tcPr>
            <w:tcW w:type="dxa" w:w="5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光纤曲率半径：</w:t>
            </w:r>
            <w:r>
              <w:rPr>
                <w:rFonts w:ascii="宋体" w:hAnsi="宋体" w:cs="宋体" w:eastAsia="宋体"/>
                <w:sz w:val="24"/>
                <w:color w:val="000000"/>
              </w:rPr>
              <w:t>50；</w:t>
            </w:r>
            <w:r>
              <w:br/>
            </w:r>
            <w:r>
              <w:rPr>
                <w:rFonts w:ascii="宋体" w:hAnsi="宋体" w:cs="宋体" w:eastAsia="宋体"/>
                <w:sz w:val="24"/>
                <w:color w:val="000000"/>
              </w:rPr>
              <w:t>附件损耗：</w:t>
            </w:r>
            <w:r>
              <w:rPr>
                <w:rFonts w:ascii="宋体" w:hAnsi="宋体" w:cs="宋体" w:eastAsia="宋体"/>
                <w:sz w:val="24"/>
                <w:color w:val="000000"/>
              </w:rPr>
              <w:t>0.2；</w:t>
            </w:r>
            <w:r>
              <w:br/>
            </w:r>
            <w:r>
              <w:rPr>
                <w:rFonts w:ascii="宋体" w:hAnsi="宋体" w:cs="宋体" w:eastAsia="宋体"/>
                <w:sz w:val="24"/>
                <w:color w:val="000000"/>
              </w:rPr>
              <w:t>盘留光纤长度：</w:t>
            </w:r>
            <w:r>
              <w:rPr>
                <w:rFonts w:ascii="宋体" w:hAnsi="宋体" w:cs="宋体" w:eastAsia="宋体"/>
                <w:sz w:val="24"/>
                <w:color w:val="000000"/>
              </w:rPr>
              <w:t>1；</w:t>
            </w:r>
            <w:r>
              <w:br/>
            </w:r>
            <w:r>
              <w:rPr>
                <w:rFonts w:ascii="宋体" w:hAnsi="宋体" w:cs="宋体" w:eastAsia="宋体"/>
                <w:sz w:val="24"/>
                <w:color w:val="000000"/>
              </w:rPr>
              <w:t>光纤最大容量：多款选择；</w:t>
            </w:r>
            <w:r>
              <w:br/>
            </w:r>
            <w:r>
              <w:rPr>
                <w:rFonts w:ascii="宋体" w:hAnsi="宋体" w:cs="宋体" w:eastAsia="宋体"/>
                <w:sz w:val="24"/>
                <w:color w:val="000000"/>
              </w:rPr>
              <w:t>耐电压强度：</w:t>
            </w:r>
            <w:r>
              <w:rPr>
                <w:rFonts w:ascii="宋体" w:hAnsi="宋体" w:cs="宋体" w:eastAsia="宋体"/>
                <w:sz w:val="24"/>
                <w:color w:val="000000"/>
              </w:rPr>
              <w:t>15；</w:t>
            </w:r>
            <w:r>
              <w:br/>
            </w:r>
            <w:r>
              <w:rPr>
                <w:rFonts w:ascii="宋体" w:hAnsi="宋体" w:cs="宋体" w:eastAsia="宋体"/>
                <w:sz w:val="24"/>
                <w:color w:val="000000"/>
              </w:rPr>
              <w:t>适用范围：</w:t>
            </w:r>
            <w:r>
              <w:rPr>
                <w:rFonts w:ascii="宋体" w:hAnsi="宋体" w:cs="宋体" w:eastAsia="宋体"/>
                <w:sz w:val="24"/>
                <w:color w:val="000000"/>
              </w:rPr>
              <w:t>FTTH塔/杆两用、管道、隧道、架空、地埋；</w:t>
            </w:r>
            <w:r>
              <w:br/>
            </w:r>
            <w:r>
              <w:rPr>
                <w:rFonts w:ascii="宋体" w:hAnsi="宋体" w:cs="宋体" w:eastAsia="宋体"/>
                <w:sz w:val="24"/>
                <w:color w:val="000000"/>
              </w:rPr>
              <w:t>芯数：</w:t>
            </w:r>
            <w:r>
              <w:rPr>
                <w:rFonts w:ascii="宋体" w:hAnsi="宋体" w:cs="宋体" w:eastAsia="宋体"/>
                <w:sz w:val="24"/>
                <w:color w:val="000000"/>
              </w:rPr>
              <w:t>12/24芯 二进二出，48芯二进二出，72芯二进二出，96芯二进二出；</w:t>
            </w:r>
            <w:r>
              <w:br/>
            </w:r>
            <w:r>
              <w:rPr>
                <w:rFonts w:ascii="宋体" w:hAnsi="宋体" w:cs="宋体" w:eastAsia="宋体"/>
                <w:sz w:val="24"/>
                <w:color w:val="000000"/>
              </w:rPr>
              <w:t>材质：</w:t>
            </w:r>
            <w:r>
              <w:rPr>
                <w:rFonts w:ascii="宋体" w:hAnsi="宋体" w:cs="宋体" w:eastAsia="宋体"/>
                <w:sz w:val="24"/>
                <w:color w:val="000000"/>
              </w:rPr>
              <w:t>PP料</w:t>
            </w:r>
          </w:p>
        </w:tc>
        <w:tc>
          <w:tcPr>
            <w:tcW w:type="dxa" w:w="5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8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52</w:t>
            </w:r>
          </w:p>
        </w:tc>
      </w:tr>
      <w:tr>
        <w:tc>
          <w:tcPr>
            <w:tcW w:type="dxa" w:w="61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14</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分光器</w:t>
            </w:r>
          </w:p>
        </w:tc>
        <w:tc>
          <w:tcPr>
            <w:tcW w:type="dxa" w:w="5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插入损耗：</w:t>
            </w:r>
            <w:r>
              <w:rPr>
                <w:rFonts w:ascii="宋体" w:hAnsi="宋体" w:cs="宋体" w:eastAsia="宋体"/>
                <w:sz w:val="24"/>
                <w:color w:val="000000"/>
              </w:rPr>
              <w:t>10.5(dB)、回破损耗：55dB,插拔次数：1000</w:t>
            </w:r>
          </w:p>
        </w:tc>
        <w:tc>
          <w:tcPr>
            <w:tcW w:type="dxa" w:w="5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8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12</w:t>
            </w:r>
          </w:p>
        </w:tc>
      </w:tr>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辅材</w:t>
            </w:r>
          </w:p>
        </w:tc>
        <w:tc>
          <w:tcPr>
            <w:tcW w:type="dxa" w:w="5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项目实施过程中所需的辅助材料</w:t>
            </w:r>
            <w:r>
              <w:rPr>
                <w:rFonts w:ascii="宋体" w:hAnsi="宋体" w:cs="宋体" w:eastAsia="宋体"/>
                <w:sz w:val="24"/>
                <w:color w:val="000000"/>
              </w:rPr>
              <w:t>(吊线抱箍、拉线棒、地锚块、铁线、夹板、拉线抱箍、扎线、砖块、砂石料、水泥相关材料)</w:t>
            </w:r>
          </w:p>
        </w:tc>
        <w:tc>
          <w:tcPr>
            <w:tcW w:type="dxa" w:w="5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项</w:t>
            </w:r>
          </w:p>
        </w:tc>
        <w:tc>
          <w:tcPr>
            <w:tcW w:type="dxa" w:w="8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16</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运营商链路</w:t>
            </w:r>
          </w:p>
        </w:tc>
        <w:tc>
          <w:tcPr>
            <w:tcW w:type="dxa" w:w="5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运营商宽带，带宽</w:t>
            </w:r>
            <w:r>
              <w:rPr>
                <w:rFonts w:ascii="宋体" w:hAnsi="宋体" w:cs="宋体" w:eastAsia="宋体"/>
                <w:sz w:val="24"/>
                <w:color w:val="000000"/>
              </w:rPr>
              <w:t>100M，12个月</w:t>
            </w:r>
          </w:p>
        </w:tc>
        <w:tc>
          <w:tcPr>
            <w:tcW w:type="dxa" w:w="5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条</w:t>
            </w:r>
          </w:p>
        </w:tc>
        <w:tc>
          <w:tcPr>
            <w:tcW w:type="dxa" w:w="8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r>
      <w:tr>
        <w:tc>
          <w:tcPr>
            <w:tcW w:type="dxa" w:w="61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17</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施工及集成安装服务</w:t>
            </w:r>
          </w:p>
        </w:tc>
        <w:tc>
          <w:tcPr>
            <w:tcW w:type="dxa" w:w="5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1、完成本期项目所需光缆架设、熔接</w:t>
            </w:r>
            <w:r>
              <w:br/>
            </w:r>
            <w:r>
              <w:rPr>
                <w:rFonts w:ascii="宋体" w:hAnsi="宋体" w:cs="宋体" w:eastAsia="宋体"/>
                <w:sz w:val="24"/>
                <w:color w:val="000000"/>
              </w:rPr>
              <w:t>2、完成本期项目所需分纤箱、光交安装</w:t>
            </w:r>
            <w:r>
              <w:br/>
            </w:r>
            <w:r>
              <w:rPr>
                <w:rFonts w:ascii="宋体" w:hAnsi="宋体" w:cs="宋体" w:eastAsia="宋体"/>
                <w:sz w:val="24"/>
                <w:color w:val="000000"/>
              </w:rPr>
              <w:t>3、完成本期项目所需管道与光缆的对接安装。</w:t>
            </w:r>
            <w:r>
              <w:br/>
            </w:r>
            <w:r>
              <w:rPr>
                <w:rFonts w:ascii="宋体" w:hAnsi="宋体" w:cs="宋体" w:eastAsia="宋体"/>
                <w:sz w:val="24"/>
                <w:color w:val="000000"/>
              </w:rPr>
              <w:t>4、完成本期项目所需通信杆路拆除工作。</w:t>
            </w:r>
            <w:r>
              <w:br/>
            </w:r>
            <w:r>
              <w:rPr>
                <w:rFonts w:ascii="宋体" w:hAnsi="宋体" w:cs="宋体" w:eastAsia="宋体"/>
                <w:sz w:val="24"/>
                <w:color w:val="000000"/>
              </w:rPr>
              <w:t>5、基于高精度定位的硬件设备安装调试服务</w:t>
            </w:r>
          </w:p>
        </w:tc>
        <w:tc>
          <w:tcPr>
            <w:tcW w:type="dxa" w:w="5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项</w:t>
            </w:r>
          </w:p>
        </w:tc>
        <w:tc>
          <w:tcPr>
            <w:tcW w:type="dxa" w:w="8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r>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18</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系统集成服务</w:t>
            </w:r>
          </w:p>
        </w:tc>
        <w:tc>
          <w:tcPr>
            <w:tcW w:type="dxa" w:w="5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1、基于大规模数采能力的监控系统调测服务、数据配置、软件升级等安全服务，监控数据接入服务管理系统，提供客户端对接入设备统一管理服务。</w:t>
            </w:r>
            <w:r>
              <w:br/>
            </w:r>
            <w:r>
              <w:rPr>
                <w:rFonts w:ascii="宋体" w:hAnsi="宋体" w:cs="宋体" w:eastAsia="宋体"/>
                <w:sz w:val="24"/>
                <w:color w:val="000000"/>
              </w:rPr>
              <w:t>2、光缆的光路信号损益测试服务，及沿途5G网络优化及所需5G无线网络的安全服务。</w:t>
            </w:r>
            <w:r>
              <w:br/>
            </w:r>
            <w:r>
              <w:rPr>
                <w:rFonts w:ascii="宋体" w:hAnsi="宋体" w:cs="宋体" w:eastAsia="宋体"/>
                <w:sz w:val="24"/>
                <w:color w:val="000000"/>
              </w:rPr>
              <w:t>3、云服务器的部署调测服务、数据配置、云安全策略配置服务</w:t>
            </w:r>
          </w:p>
        </w:tc>
        <w:tc>
          <w:tcPr>
            <w:tcW w:type="dxa" w:w="5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项</w:t>
            </w:r>
          </w:p>
        </w:tc>
        <w:tc>
          <w:tcPr>
            <w:tcW w:type="dxa" w:w="8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r>
    </w:tbl>
    <w:p>
      <w:pPr>
        <w:pStyle w:val="null3"/>
        <w:jc w:val="left"/>
      </w:pPr>
      <w:r>
        <w:rPr>
          <w:rFonts w:ascii="宋体" w:hAnsi="宋体" w:cs="宋体" w:eastAsia="宋体"/>
          <w:sz w:val="24"/>
          <w:color w:val="000000"/>
        </w:rPr>
        <w:t>参数中如重量、尺寸等设置为固定数徝的允许偏差</w:t>
      </w:r>
      <w:r>
        <w:rPr>
          <w:rFonts w:ascii="宋体" w:hAnsi="宋体" w:cs="宋体" w:eastAsia="宋体"/>
          <w:sz w:val="24"/>
          <w:color w:val="000000"/>
        </w:rPr>
        <w:t>±2%。</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自合同签订之日起45日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采购人指定交货地点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符合国家或行业有关验收标准、规范及本项目招标文件规定的技术要求。</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1、期次1，说明：符合国家、行业有关验收标准、规范及本项目的招投标文件及合同的规定执行</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1、采购人在合同生效以及具备实施条件且收到成交供应商提供的发票后，达到付款条件起15日内，支付合同总金额的30.00%</w:t>
            </w:r>
          </w:p>
          <w:p>
            <w:pPr>
              <w:pStyle w:val="null3"/>
            </w:pPr>
            <w:r>
              <w:rPr/>
              <w:t>2、成交供应商对货品进行全部安装、调试完成，经采购人确认且收到成交供应商提供的发票后，达到付款条件起15日内，支付合同总金额的50.00%</w:t>
            </w:r>
          </w:p>
          <w:p>
            <w:pPr>
              <w:pStyle w:val="null3"/>
            </w:pPr>
            <w:r>
              <w:rPr/>
              <w:t>3、项目经采购人验收合格后且收到成交供应商提供的发票后，达到付款条件起30日内，支付合同总金额的20.00%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缴纳</w:t>
            </w:r>
            <w:r>
              <w:rPr/>
              <w:t>, 本采购包履约保证金为合同金额的5.0%</w:t>
            </w:r>
          </w:p>
          <w:p>
            <w:pPr>
              <w:pStyle w:val="null3"/>
            </w:pPr>
            <w:r>
              <w:rPr/>
              <w:t>说明：a、成交供应商应在签订合同前向采购人提交履约保证金。履约保证金在竣工验收合格后15天内无息退还。b、履约保证金提交方式：现金、银行转账、银行保函、建设工程保证保险、工程担保公司出具的担保保函等的方式提交。</w:t>
            </w:r>
          </w:p>
        </w:tc>
      </w:tr>
    </w:tbl>
    <w:p>
      <w:pPr>
        <w:pStyle w:val="null3"/>
        <w:jc w:val="left"/>
      </w:pPr>
      <w:r>
        <w:rPr/>
        <w:t>其他商务要求：</w:t>
      </w:r>
    </w:p>
    <w:p>
      <w:pPr>
        <w:pStyle w:val="null3"/>
        <w:jc w:val="left"/>
      </w:pPr>
      <w:r>
        <w:rPr>
          <w:rFonts w:ascii="宋体" w:hAnsi="宋体" w:cs="宋体" w:eastAsia="宋体"/>
        </w:rPr>
        <w:t>★</w:t>
      </w:r>
      <w:r>
        <w:rPr>
          <w:rFonts w:ascii="宋体" w:hAnsi="宋体" w:cs="宋体" w:eastAsia="宋体"/>
          <w:sz w:val="24"/>
          <w:b/>
        </w:rPr>
        <w:t>其他相关要求</w:t>
      </w:r>
    </w:p>
    <w:p>
      <w:pPr>
        <w:pStyle w:val="null3"/>
        <w:jc w:val="left"/>
      </w:pPr>
      <w:r>
        <w:rPr>
          <w:rFonts w:ascii="宋体" w:hAnsi="宋体" w:cs="宋体" w:eastAsia="宋体"/>
        </w:rPr>
        <w:t>★</w:t>
      </w:r>
      <w:r>
        <w:rPr>
          <w:rFonts w:ascii="宋体" w:hAnsi="宋体" w:cs="宋体" w:eastAsia="宋体"/>
          <w:sz w:val="24"/>
          <w:b/>
        </w:rPr>
        <w:t>8、报价要求</w:t>
      </w:r>
    </w:p>
    <w:p>
      <w:pPr>
        <w:pStyle w:val="null3"/>
        <w:jc w:val="both"/>
      </w:pPr>
      <w:r>
        <w:rPr>
          <w:rFonts w:ascii="宋体" w:hAnsi="宋体" w:cs="宋体" w:eastAsia="宋体"/>
          <w:sz w:val="21"/>
        </w:rPr>
        <w:t>8.1投标报价应包含投标货物所涉及的所有费用，包括货物制造、包装、运输、装卸、税金、保险、安装、搬运、调试、验收、培训、检验、保修、本项目采购代理服务费等一切相关费用。</w:t>
      </w:r>
    </w:p>
    <w:p>
      <w:pPr>
        <w:pStyle w:val="null3"/>
        <w:jc w:val="left"/>
      </w:pPr>
      <w:r>
        <w:rPr>
          <w:rFonts w:ascii="宋体" w:hAnsi="宋体" w:cs="宋体" w:eastAsia="宋体"/>
          <w:sz w:val="21"/>
        </w:rPr>
        <w:t>8.2报价以人民币为货币单位，应分单价、小计和总价。</w:t>
      </w:r>
    </w:p>
    <w:p>
      <w:pPr>
        <w:pStyle w:val="null3"/>
        <w:jc w:val="left"/>
      </w:pPr>
      <w:r>
        <w:rPr>
          <w:rFonts w:ascii="宋体" w:hAnsi="宋体" w:cs="宋体" w:eastAsia="宋体"/>
          <w:sz w:val="21"/>
        </w:rPr>
        <w:t>8.3供应商漏报的单价或每单价报价中漏报、少报的费用，视为此项费用已隐含在投标报价中，成交后不得再向采购人收取任何费用。</w:t>
      </w:r>
    </w:p>
    <w:p>
      <w:pPr>
        <w:pStyle w:val="null3"/>
        <w:jc w:val="left"/>
      </w:pPr>
      <w:r>
        <w:rPr>
          <w:rFonts w:ascii="宋体" w:hAnsi="宋体" w:cs="宋体" w:eastAsia="宋体"/>
          <w:sz w:val="21"/>
        </w:rPr>
        <w:t>8.4.供应商对本项目只能有一个报价，采购人不接受有选择的报价。</w:t>
      </w:r>
    </w:p>
    <w:p>
      <w:pPr>
        <w:pStyle w:val="null3"/>
        <w:jc w:val="left"/>
      </w:pPr>
      <w:r>
        <w:rPr>
          <w:rFonts w:ascii="宋体" w:hAnsi="宋体" w:cs="宋体" w:eastAsia="宋体"/>
        </w:rPr>
        <w:t>★</w:t>
      </w:r>
      <w:r>
        <w:rPr>
          <w:rFonts w:ascii="宋体" w:hAnsi="宋体" w:cs="宋体" w:eastAsia="宋体"/>
          <w:sz w:val="24"/>
          <w:b/>
        </w:rPr>
        <w:t>9、质保期及售后服务要求：</w:t>
      </w:r>
    </w:p>
    <w:p>
      <w:pPr>
        <w:pStyle w:val="null3"/>
      </w:pPr>
      <w:r>
        <w:rPr>
          <w:rFonts w:ascii="宋体" w:hAnsi="宋体" w:cs="宋体" w:eastAsia="宋体"/>
          <w:sz w:val="21"/>
        </w:rPr>
        <w:t>9.1本次采购货物须为同生产厂家原装全新产品并检验合格，供应商不得以次充好；产品来源渠道合法，同时应根据国家有关规定、厂家服务承诺及采购单位的要求做好售后服务工作。供应商提供的货物制造标准、安装标准及技术规范等，必须符合最新国家标准的要求。各项技术标准应当符合国家强制性标准。货物交货时应按国家有关标准要求进行包装。</w:t>
      </w:r>
      <w:r>
        <w:rPr>
          <w:rFonts w:ascii="宋体" w:hAnsi="宋体" w:cs="宋体" w:eastAsia="宋体"/>
          <w:sz w:val="21"/>
        </w:rPr>
        <w:t>(</w:t>
      </w:r>
      <w:r>
        <w:rPr>
          <w:rFonts w:ascii="宋体" w:hAnsi="宋体" w:cs="宋体" w:eastAsia="宋体"/>
          <w:sz w:val="21"/>
        </w:rPr>
        <w:t>注：包装应足以承受整个过程中的运输、转运、装卸、储存等，充分考虑到运输途中的各种情况</w:t>
      </w:r>
      <w:r>
        <w:rPr>
          <w:rFonts w:ascii="宋体" w:hAnsi="宋体" w:cs="宋体" w:eastAsia="宋体"/>
          <w:sz w:val="21"/>
        </w:rPr>
        <w:t>(如暴露于恶劣气候等)和项目所在地的气候特点，以及露天存放的需要。</w:t>
      </w:r>
      <w:r>
        <w:rPr>
          <w:rFonts w:ascii="宋体" w:hAnsi="宋体" w:cs="宋体" w:eastAsia="宋体"/>
          <w:sz w:val="21"/>
        </w:rPr>
        <w:t>)</w:t>
      </w:r>
    </w:p>
    <w:p>
      <w:pPr>
        <w:pStyle w:val="null3"/>
        <w:jc w:val="left"/>
      </w:pPr>
      <w:r>
        <w:rPr>
          <w:rFonts w:ascii="宋体" w:hAnsi="宋体" w:cs="宋体" w:eastAsia="宋体"/>
          <w:sz w:val="21"/>
        </w:rPr>
        <w:t>9.2质保期：</w:t>
      </w:r>
    </w:p>
    <w:p>
      <w:pPr>
        <w:pStyle w:val="null3"/>
        <w:ind w:firstLine="420"/>
        <w:jc w:val="left"/>
      </w:pPr>
      <w:r>
        <w:rPr>
          <w:rFonts w:ascii="宋体" w:hAnsi="宋体" w:cs="宋体" w:eastAsia="宋体"/>
          <w:sz w:val="21"/>
        </w:rPr>
        <w:t>本次采购所有货物的质量保证期为</w:t>
      </w:r>
      <w:r>
        <w:rPr>
          <w:rFonts w:ascii="宋体" w:hAnsi="宋体" w:cs="宋体" w:eastAsia="宋体"/>
          <w:sz w:val="21"/>
        </w:rPr>
        <w:t>1</w:t>
      </w:r>
      <w:r>
        <w:rPr>
          <w:rFonts w:ascii="宋体" w:hAnsi="宋体" w:cs="宋体" w:eastAsia="宋体"/>
          <w:sz w:val="21"/>
        </w:rPr>
        <w:t>年（厂家或国家有更长质量保证期限规定的从其规定），从正式验收合格交付使用之日算起；在质保期内出现故障，成交供应商应免费提供咨询、更换损坏的零件和维修服务。若质量无法达到要求，应返工并重新计算质保期限。</w:t>
      </w:r>
    </w:p>
    <w:p>
      <w:pPr>
        <w:pStyle w:val="null3"/>
        <w:ind w:firstLine="480"/>
        <w:jc w:val="both"/>
      </w:pPr>
      <w:r>
        <w:rPr>
          <w:rFonts w:ascii="宋体" w:hAnsi="宋体" w:cs="宋体" w:eastAsia="宋体"/>
          <w:sz w:val="21"/>
        </w:rPr>
        <w:t>货物运行发生故障时，成交供应商在接到采购人故障通知后须在</w:t>
      </w:r>
      <w:r>
        <w:rPr>
          <w:rFonts w:ascii="宋体" w:hAnsi="宋体" w:cs="宋体" w:eastAsia="宋体"/>
          <w:sz w:val="21"/>
        </w:rPr>
        <w:t>2小时内回复处理方法。如无法及时排除，24小时内应委派专业工程师到现场维修。如一时无法修复，成交供应商则应提供备品供采购人临时使用。</w:t>
      </w:r>
    </w:p>
    <w:p>
      <w:pPr>
        <w:pStyle w:val="null3"/>
        <w:jc w:val="left"/>
      </w:pPr>
      <w:r>
        <w:rPr>
          <w:rFonts w:ascii="宋体" w:hAnsi="宋体" w:cs="宋体" w:eastAsia="宋体"/>
        </w:rPr>
        <w:t>★</w:t>
      </w:r>
      <w:r>
        <w:rPr>
          <w:rFonts w:ascii="宋体" w:hAnsi="宋体" w:cs="宋体" w:eastAsia="宋体"/>
          <w:sz w:val="24"/>
          <w:b/>
        </w:rPr>
        <w:t>10、知识产权</w:t>
      </w:r>
    </w:p>
    <w:p>
      <w:pPr>
        <w:pStyle w:val="null3"/>
        <w:jc w:val="left"/>
      </w:pPr>
      <w:r>
        <w:rPr>
          <w:rFonts w:ascii="宋体" w:hAnsi="宋体" w:cs="宋体" w:eastAsia="宋体"/>
          <w:sz w:val="21"/>
        </w:rPr>
        <w:t>10.1成交供应商提供的采购标的应符合国家知识产权法律、法规的规定且非假冒伪劣品；成交供应商还应保证采购人不受到第三方关于侵犯知识产权及专利权、商标权或工业设计权等知识产权方面的指控，若任何第三方提出此方面指控均与采购人无关，成交供应商应与第三方交涉，并承担可能发生的一切法律责任、费用和后果；若采购人因此而遭致损失，则成交供应商应赔偿该损失。</w:t>
      </w:r>
    </w:p>
    <w:p>
      <w:pPr>
        <w:pStyle w:val="null3"/>
        <w:jc w:val="left"/>
      </w:pPr>
      <w:r>
        <w:rPr>
          <w:rFonts w:ascii="宋体" w:hAnsi="宋体" w:cs="宋体" w:eastAsia="宋体"/>
          <w:sz w:val="21"/>
        </w:rPr>
        <w:t>10.2若成交供应商提供的采购标的不符合国家知识产权法律、法规的规定或被有关主管机关认定为假冒伪劣品，则成交供应商成交资格将被取消；采购人还将按照有关法律、法规和规章的规定进行处理。</w:t>
      </w:r>
    </w:p>
    <w:p>
      <w:pPr>
        <w:pStyle w:val="null3"/>
        <w:jc w:val="left"/>
      </w:pPr>
      <w:r>
        <w:rPr>
          <w:rFonts w:ascii="宋体" w:hAnsi="宋体" w:cs="宋体" w:eastAsia="宋体"/>
        </w:rPr>
        <w:t>★</w:t>
      </w:r>
      <w:r>
        <w:rPr>
          <w:rFonts w:ascii="宋体" w:hAnsi="宋体" w:cs="宋体" w:eastAsia="宋体"/>
          <w:sz w:val="24"/>
          <w:b/>
        </w:rPr>
        <w:t>11、安装和调试：</w:t>
      </w:r>
    </w:p>
    <w:p>
      <w:pPr>
        <w:pStyle w:val="null3"/>
        <w:jc w:val="both"/>
      </w:pPr>
      <w:r>
        <w:rPr>
          <w:rFonts w:ascii="calibri" w:hAnsi="calibri" w:cs="calibri" w:eastAsia="calibri"/>
          <w:sz w:val="21"/>
        </w:rPr>
        <w:t>11.1</w:t>
      </w:r>
      <w:r>
        <w:rPr>
          <w:rFonts w:ascii="宋体" w:hAnsi="宋体" w:cs="宋体" w:eastAsia="宋体"/>
          <w:sz w:val="21"/>
        </w:rPr>
        <w:t>货物必须达到以上招标文件要求的技术指标，实现采购人要求，保证货物的正常运行。</w:t>
      </w:r>
    </w:p>
    <w:p>
      <w:pPr>
        <w:pStyle w:val="null3"/>
        <w:jc w:val="both"/>
      </w:pPr>
      <w:r>
        <w:rPr>
          <w:rFonts w:ascii="calibri" w:hAnsi="calibri" w:cs="calibri" w:eastAsia="calibri"/>
          <w:sz w:val="21"/>
        </w:rPr>
        <w:t>11.2</w:t>
      </w:r>
      <w:r>
        <w:rPr>
          <w:rFonts w:ascii="宋体" w:hAnsi="宋体" w:cs="宋体" w:eastAsia="宋体"/>
          <w:sz w:val="21"/>
        </w:rPr>
        <w:t>中标人应负责按所签订合同的具体要求、具体数量、具体地点将货物运送到采购人指定地点并负责安装，安装并经最终验收合格后，交付采购人使用，中标人须在投标中详细列明所需各项费用。安装、调试所需工具、仪表及安装材料等均由中标人负责提供。</w:t>
      </w:r>
    </w:p>
    <w:p>
      <w:pPr>
        <w:pStyle w:val="null3"/>
        <w:jc w:val="both"/>
      </w:pPr>
      <w:r>
        <w:rPr>
          <w:rFonts w:ascii="calibri" w:hAnsi="calibri" w:cs="calibri" w:eastAsia="calibri"/>
          <w:sz w:val="21"/>
        </w:rPr>
        <w:t>11.3</w:t>
      </w:r>
      <w:r>
        <w:rPr>
          <w:rFonts w:ascii="宋体" w:hAnsi="宋体" w:cs="宋体" w:eastAsia="宋体"/>
          <w:sz w:val="21"/>
        </w:rPr>
        <w:t>中标人负责组织专业技术人员进行货物安装，采购人应提供必须的基本条件和专人配合，保证各项安装工作顺利进行。</w:t>
      </w:r>
    </w:p>
    <w:p>
      <w:pPr>
        <w:pStyle w:val="null3"/>
        <w:jc w:val="both"/>
      </w:pPr>
      <w:r>
        <w:rPr>
          <w:rFonts w:ascii="calibri" w:hAnsi="calibri" w:cs="calibri" w:eastAsia="calibri"/>
          <w:sz w:val="21"/>
        </w:rPr>
        <w:t>11.4</w:t>
      </w:r>
      <w:r>
        <w:rPr>
          <w:rFonts w:ascii="宋体" w:hAnsi="宋体" w:cs="宋体" w:eastAsia="宋体"/>
          <w:sz w:val="21"/>
        </w:rPr>
        <w:t>安装到位后的货物由中标人及采购人共同进行质量验收签字。</w:t>
      </w:r>
    </w:p>
    <w:p>
      <w:pPr>
        <w:pStyle w:val="null3"/>
        <w:jc w:val="both"/>
      </w:pPr>
      <w:r>
        <w:rPr>
          <w:rFonts w:ascii="calibri" w:hAnsi="calibri" w:cs="calibri" w:eastAsia="calibri"/>
          <w:sz w:val="21"/>
        </w:rPr>
        <w:t>11.5</w:t>
      </w:r>
      <w:r>
        <w:rPr>
          <w:rFonts w:ascii="宋体" w:hAnsi="宋体" w:cs="宋体" w:eastAsia="宋体"/>
          <w:sz w:val="21"/>
        </w:rPr>
        <w:t>货物验收前，中标人须提供完整的技术资料。</w:t>
      </w:r>
    </w:p>
    <w:p>
      <w:pPr>
        <w:pStyle w:val="null3"/>
        <w:jc w:val="both"/>
      </w:pPr>
      <w:r>
        <w:rPr>
          <w:rFonts w:ascii="calibri" w:hAnsi="calibri" w:cs="calibri" w:eastAsia="calibri"/>
          <w:sz w:val="21"/>
        </w:rPr>
        <w:t>11.6</w:t>
      </w:r>
      <w:r>
        <w:rPr>
          <w:rFonts w:ascii="宋体" w:hAnsi="宋体" w:cs="宋体" w:eastAsia="宋体"/>
          <w:sz w:val="21"/>
        </w:rPr>
        <w:t>中标人向采购人提供安装和维护所需特殊专用的工具、备件及清单和中文说明书，其费用包括在投标价格内。</w:t>
      </w:r>
    </w:p>
    <w:p>
      <w:pPr>
        <w:pStyle w:val="null3"/>
        <w:jc w:val="both"/>
      </w:pPr>
      <w:r>
        <w:rPr>
          <w:rFonts w:ascii="calibri" w:hAnsi="calibri" w:cs="calibri" w:eastAsia="calibri"/>
          <w:sz w:val="21"/>
        </w:rPr>
        <w:t>11.7</w:t>
      </w:r>
      <w:r>
        <w:rPr>
          <w:rFonts w:ascii="宋体" w:hAnsi="宋体" w:cs="宋体" w:eastAsia="宋体"/>
          <w:sz w:val="21"/>
        </w:rPr>
        <w:t>中标人在采购人安装现场进行最终验收所发生的一切费用由中标人承担。</w:t>
      </w:r>
    </w:p>
    <w:p>
      <w:pPr>
        <w:pStyle w:val="null3"/>
        <w:jc w:val="both"/>
      </w:pPr>
      <w:r>
        <w:rPr>
          <w:rFonts w:ascii="calibri" w:hAnsi="calibri" w:cs="calibri" w:eastAsia="calibri"/>
          <w:sz w:val="21"/>
        </w:rPr>
        <w:t>11.8</w:t>
      </w:r>
      <w:r>
        <w:rPr>
          <w:rFonts w:ascii="宋体" w:hAnsi="宋体" w:cs="宋体" w:eastAsia="宋体"/>
          <w:sz w:val="21"/>
        </w:rPr>
        <w:t>中标人应提供货物使用免费培训和技术服务。</w:t>
      </w:r>
    </w:p>
    <w:p>
      <w:pPr>
        <w:pStyle w:val="null3"/>
        <w:jc w:val="left"/>
      </w:pPr>
      <w:r>
        <w:rPr>
          <w:rFonts w:ascii="宋体" w:hAnsi="宋体" w:cs="宋体" w:eastAsia="宋体"/>
          <w:sz w:val="24"/>
          <w:b/>
        </w:rPr>
        <w:t>★12、服务要求</w:t>
      </w:r>
    </w:p>
    <w:p>
      <w:pPr>
        <w:pStyle w:val="null3"/>
        <w:jc w:val="both"/>
      </w:pPr>
      <w:r>
        <w:rPr>
          <w:rFonts w:ascii="calibri" w:hAnsi="calibri" w:cs="calibri" w:eastAsia="calibri"/>
          <w:sz w:val="21"/>
        </w:rPr>
        <w:t>12.1</w:t>
      </w:r>
      <w:r>
        <w:rPr>
          <w:rFonts w:ascii="宋体" w:hAnsi="宋体" w:cs="宋体" w:eastAsia="宋体"/>
          <w:sz w:val="21"/>
        </w:rPr>
        <w:t>中标单位日常维护保障需在</w:t>
      </w:r>
      <w:r>
        <w:rPr>
          <w:rFonts w:ascii="calibri" w:hAnsi="calibri" w:cs="calibri" w:eastAsia="calibri"/>
          <w:sz w:val="21"/>
        </w:rPr>
        <w:t>48</w:t>
      </w:r>
      <w:r>
        <w:rPr>
          <w:rFonts w:ascii="宋体" w:hAnsi="宋体" w:cs="宋体" w:eastAsia="宋体"/>
          <w:sz w:val="21"/>
        </w:rPr>
        <w:t>小时完成，特殊时期需在</w:t>
      </w:r>
      <w:r>
        <w:rPr>
          <w:rFonts w:ascii="calibri" w:hAnsi="calibri" w:cs="calibri" w:eastAsia="calibri"/>
          <w:sz w:val="21"/>
        </w:rPr>
        <w:t>24</w:t>
      </w:r>
      <w:r>
        <w:rPr>
          <w:rFonts w:ascii="宋体" w:hAnsi="宋体" w:cs="宋体" w:eastAsia="宋体"/>
          <w:sz w:val="21"/>
        </w:rPr>
        <w:t>小时内完成。</w:t>
      </w:r>
    </w:p>
    <w:p>
      <w:pPr>
        <w:pStyle w:val="null3"/>
        <w:jc w:val="left"/>
      </w:pPr>
      <w:r>
        <w:rPr>
          <w:rFonts w:ascii="宋体" w:hAnsi="宋体" w:cs="宋体" w:eastAsia="宋体"/>
          <w:sz w:val="21"/>
        </w:rPr>
        <w:t>12.2</w:t>
      </w:r>
      <w:r>
        <w:rPr>
          <w:rFonts w:ascii="宋体" w:hAnsi="宋体" w:cs="宋体" w:eastAsia="宋体"/>
          <w:sz w:val="21"/>
        </w:rPr>
        <w:t>中标人应积极配合项目采购方完成建设合同签订阶段、实施阶段、验收阶段的全过程，合理听取对项目建设合同的签订和建设中提供的咨询意见。如建设过程中发生需求变更时，应积极配合监理采购方进行总体把握和评估，以确保满足业主使用要求。项目申请验收后，积极配合采购人做好验收工作。</w:t>
      </w:r>
    </w:p>
    <w:p>
      <w:pPr>
        <w:pStyle w:val="null3"/>
        <w:jc w:val="both"/>
      </w:pPr>
      <w:r>
        <w:rPr>
          <w:rFonts w:ascii="宋体" w:hAnsi="宋体" w:cs="宋体" w:eastAsia="宋体"/>
          <w:sz w:val="24"/>
          <w:b/>
        </w:rPr>
        <w:t>★13、项目验收</w:t>
      </w:r>
      <w:r>
        <w:rPr>
          <w:b/>
        </w:rPr>
        <w:t xml:space="preserve"> </w:t>
      </w:r>
      <w:r>
        <w:rPr>
          <w:b/>
        </w:rPr>
        <w:t xml:space="preserve"> </w:t>
      </w:r>
    </w:p>
    <w:p>
      <w:pPr>
        <w:pStyle w:val="null3"/>
        <w:jc w:val="both"/>
      </w:pPr>
      <w:r>
        <w:rPr>
          <w:rFonts w:ascii="calibri" w:hAnsi="calibri" w:cs="calibri" w:eastAsia="calibri"/>
          <w:sz w:val="21"/>
        </w:rPr>
        <w:t>13.1</w:t>
      </w:r>
      <w:r>
        <w:rPr/>
        <w:t xml:space="preserve"> </w:t>
      </w:r>
      <w:r>
        <w:rPr>
          <w:rFonts w:ascii="calibri" w:hAnsi="calibri" w:cs="calibri" w:eastAsia="calibri"/>
          <w:sz w:val="21"/>
        </w:rPr>
        <w:t>供应商所提供的设备必须是制造厂家生产原包装设备。提供的所有货物应符合国家或行业或地方标准（以其中标准较高者为准），并按采购文件、成交人响应文件、合同等要求进行验收。供应商选定的投标货物技术性能必须符合或优于采购文件的技术性能要求，产品质量不低于评审因素中有关检测报告的检测结果。</w:t>
      </w:r>
    </w:p>
    <w:p>
      <w:pPr>
        <w:pStyle w:val="null3"/>
        <w:jc w:val="both"/>
      </w:pPr>
      <w:r>
        <w:rPr>
          <w:rFonts w:ascii="calibri" w:hAnsi="calibri" w:cs="calibri" w:eastAsia="calibri"/>
          <w:sz w:val="21"/>
        </w:rPr>
        <w:t>13.2成交人在与采购人签订合同后，采购人有权要求成交人无偿提供该产品供采购人检测或由采购人委托的国家主管部门认可的专业检测机构检测；检测产品不符合采购文件要求，其第三方检测费用由成交人承担，采购人有权退货且终止合同。由此所造成的损失由成交人负责。</w:t>
      </w:r>
    </w:p>
    <w:p>
      <w:pPr>
        <w:pStyle w:val="null3"/>
        <w:jc w:val="both"/>
      </w:pPr>
      <w:r>
        <w:rPr>
          <w:rFonts w:ascii="calibri" w:hAnsi="calibri" w:cs="calibri" w:eastAsia="calibri"/>
          <w:sz w:val="21"/>
        </w:rPr>
        <w:t>13.3</w:t>
      </w:r>
      <w:r>
        <w:rPr/>
        <w:t xml:space="preserve"> </w:t>
      </w:r>
      <w:r>
        <w:rPr>
          <w:rFonts w:ascii="calibri" w:hAnsi="calibri" w:cs="calibri" w:eastAsia="calibri"/>
          <w:sz w:val="21"/>
        </w:rPr>
        <w:t>到货验收</w:t>
      </w:r>
    </w:p>
    <w:p>
      <w:pPr>
        <w:pStyle w:val="null3"/>
        <w:jc w:val="both"/>
      </w:pPr>
      <w:r>
        <w:rPr>
          <w:rFonts w:ascii="calibri" w:hAnsi="calibri" w:cs="calibri" w:eastAsia="calibri"/>
          <w:sz w:val="21"/>
        </w:rPr>
        <w:t>货物送至采购人指定地点后，中标人和采购人一同拆箱，对其货物、型号、规格、数量、外观、包装进行现场到货验收，并对现场到货验收结果进行签字确认。</w:t>
      </w:r>
    </w:p>
    <w:p>
      <w:pPr>
        <w:pStyle w:val="null3"/>
        <w:jc w:val="both"/>
      </w:pPr>
      <w:r>
        <w:rPr>
          <w:rFonts w:ascii="calibri" w:hAnsi="calibri" w:cs="calibri" w:eastAsia="calibri"/>
          <w:sz w:val="21"/>
        </w:rPr>
        <w:t>13.4最终验收</w:t>
      </w:r>
    </w:p>
    <w:p>
      <w:pPr>
        <w:pStyle w:val="null3"/>
        <w:jc w:val="both"/>
      </w:pPr>
      <w:r>
        <w:rPr>
          <w:rFonts w:ascii="calibri" w:hAnsi="calibri" w:cs="calibri" w:eastAsia="calibri"/>
          <w:sz w:val="21"/>
        </w:rPr>
        <w:t>安装完毕后，成交人需派有产品调试经验的技术人员对产品进行调试，按验收指标逐项测试，直至全部达到要求。货物经安装完毕后，采购人将按照合同规定的技术、服务、安全标准组织对供应商履约情况进行验收，验收结果应符合采购人使用要求并填写货物验收表。验收结果经验收确认后，双方代表必须按规定的验收交接单上的项目对照本合同填好验收结果并签名盖章。招标人出具的验收合格结果将成为付款的必要条件。</w:t>
      </w:r>
      <w:r>
        <w:rPr>
          <w:rFonts w:ascii="calibri" w:hAnsi="calibri" w:cs="calibri" w:eastAsia="calibri"/>
          <w:sz w:val="21"/>
        </w:rPr>
        <w:t>采购人有权对货物进行随机抽取并送国家认可的质量检测机构检测，检测结果不符合谈判文件要求的视为货物质量不合格。产品安装调试的费用由成交人承担，须计入报价中。若成交人提供产品一直无法通过采购人最终验收，采购人有权终止合同。成交人在采购人安装现场进行最终验收所发生的一切费用均由成交人承担（含在报价内）。</w:t>
      </w:r>
    </w:p>
    <w:p>
      <w:pPr>
        <w:pStyle w:val="null3"/>
        <w:jc w:val="both"/>
      </w:pPr>
      <w:r>
        <w:rPr>
          <w:rFonts w:ascii="calibri" w:hAnsi="calibri" w:cs="calibri" w:eastAsia="calibri"/>
          <w:sz w:val="21"/>
        </w:rPr>
        <w:t>13.5验收所发生的一切费用由成交人承担。</w:t>
      </w:r>
    </w:p>
    <w:p>
      <w:pPr>
        <w:pStyle w:val="null3"/>
        <w:jc w:val="both"/>
      </w:pPr>
      <w:r>
        <w:rPr>
          <w:rFonts w:ascii="宋体" w:hAnsi="宋体" w:cs="宋体" w:eastAsia="宋体"/>
          <w:sz w:val="24"/>
          <w:b/>
        </w:rPr>
        <w:t>★</w:t>
      </w:r>
      <w:r>
        <w:rPr>
          <w:rFonts w:ascii="宋体" w:hAnsi="宋体" w:cs="宋体" w:eastAsia="宋体"/>
          <w:sz w:val="24"/>
          <w:b/>
        </w:rPr>
        <w:t>14、违约责任</w:t>
      </w:r>
    </w:p>
    <w:p>
      <w:pPr>
        <w:pStyle w:val="null3"/>
        <w:jc w:val="both"/>
      </w:pPr>
      <w:r>
        <w:rPr>
          <w:rFonts w:ascii="calibri" w:hAnsi="calibri" w:cs="calibri" w:eastAsia="calibri"/>
          <w:sz w:val="21"/>
        </w:rPr>
        <w:t>14.</w:t>
      </w:r>
      <w:r>
        <w:rPr>
          <w:rFonts w:ascii="calibri" w:hAnsi="calibri" w:cs="calibri" w:eastAsia="calibri"/>
          <w:sz w:val="21"/>
        </w:rPr>
        <w:t>1.中标人未能履行合同项下的任何义务的，采购人有权单方面解除合同并要求中标人按合同约定支付违约金并赔偿损失。</w:t>
      </w:r>
    </w:p>
    <w:p>
      <w:pPr>
        <w:pStyle w:val="null3"/>
        <w:jc w:val="both"/>
      </w:pPr>
      <w:r>
        <w:rPr>
          <w:rFonts w:ascii="calibri" w:hAnsi="calibri" w:cs="calibri" w:eastAsia="calibri"/>
          <w:sz w:val="21"/>
        </w:rPr>
        <w:t>14.</w:t>
      </w:r>
      <w:r>
        <w:rPr>
          <w:rFonts w:ascii="calibri" w:hAnsi="calibri" w:cs="calibri" w:eastAsia="calibri"/>
          <w:sz w:val="21"/>
        </w:rPr>
        <w:t>2.如果中标人未能按合同约定的时间按时足额交货，采购人有权要求中标人支付延期交货违约金；延期交货违约金为每迟交1天，按迟交货物合同金额的千分之一计算，采购人有权从未付的合同货款中予以扣除延期交货违约金。</w:t>
      </w:r>
    </w:p>
    <w:p>
      <w:pPr>
        <w:pStyle w:val="null3"/>
        <w:jc w:val="both"/>
      </w:pPr>
      <w:r>
        <w:rPr>
          <w:rFonts w:ascii="calibri" w:hAnsi="calibri" w:cs="calibri" w:eastAsia="calibri"/>
          <w:sz w:val="21"/>
        </w:rPr>
        <w:t>14.</w:t>
      </w:r>
      <w:r>
        <w:rPr>
          <w:rFonts w:ascii="calibri" w:hAnsi="calibri" w:cs="calibri" w:eastAsia="calibri"/>
          <w:sz w:val="21"/>
        </w:rPr>
        <w:t>3. 自合同约定的交货期限截止次日起，逾期交货超过50天（不含50天）视为不能交货；若中标人不能交货或交货不合格从而影响采购人正常使用的，中标人仍应按上述</w:t>
      </w:r>
      <w:r>
        <w:rPr>
          <w:rFonts w:ascii="calibri" w:hAnsi="calibri" w:cs="calibri" w:eastAsia="calibri"/>
          <w:sz w:val="21"/>
        </w:rPr>
        <w:t>14.</w:t>
      </w:r>
      <w:r>
        <w:rPr>
          <w:rFonts w:ascii="calibri" w:hAnsi="calibri" w:cs="calibri" w:eastAsia="calibri"/>
          <w:sz w:val="21"/>
        </w:rPr>
        <w:t>2.条款约定支付延期交货违约金，且中标人还应向采购人偿付不能交货部分货款的5％的违约金；违约金不足以补偿损失的，采购人有权要求中标人赔偿损失，且采购人有权从履约保证金中扣除上述费用。</w:t>
      </w:r>
    </w:p>
    <w:p>
      <w:pPr>
        <w:pStyle w:val="null3"/>
        <w:jc w:val="both"/>
      </w:pPr>
      <w:r>
        <w:rPr>
          <w:rFonts w:ascii="calibri" w:hAnsi="calibri" w:cs="calibri" w:eastAsia="calibri"/>
          <w:sz w:val="21"/>
        </w:rPr>
        <w:t>14.</w:t>
      </w:r>
      <w:r>
        <w:rPr>
          <w:rFonts w:ascii="calibri" w:hAnsi="calibri" w:cs="calibri" w:eastAsia="calibri"/>
          <w:sz w:val="21"/>
        </w:rPr>
        <w:t>4</w:t>
      </w:r>
      <w:r>
        <w:rPr>
          <w:rFonts w:ascii="calibri" w:hAnsi="calibri" w:cs="calibri" w:eastAsia="calibri"/>
          <w:sz w:val="21"/>
        </w:rPr>
        <w:t>.</w:t>
      </w:r>
      <w:r>
        <w:rPr/>
        <w:t xml:space="preserve"> </w:t>
      </w:r>
      <w:r>
        <w:rPr>
          <w:rFonts w:ascii="calibri" w:hAnsi="calibri" w:cs="calibri" w:eastAsia="calibri"/>
          <w:sz w:val="21"/>
        </w:rPr>
        <w:t>因以下原因造成工期延误，经采购人确认，工期相应顺延：</w:t>
      </w:r>
    </w:p>
    <w:p>
      <w:pPr>
        <w:pStyle w:val="null3"/>
        <w:jc w:val="both"/>
      </w:pPr>
      <w:r>
        <w:rPr>
          <w:rFonts w:ascii="calibri" w:hAnsi="calibri" w:cs="calibri" w:eastAsia="calibri"/>
          <w:sz w:val="21"/>
        </w:rPr>
        <w:t>（</w:t>
      </w:r>
      <w:r>
        <w:rPr>
          <w:rFonts w:ascii="calibri" w:hAnsi="calibri" w:cs="calibri" w:eastAsia="calibri"/>
          <w:sz w:val="21"/>
        </w:rPr>
        <w:t>1）采购人未能按合同条款的约定提供开工条件；</w:t>
      </w:r>
    </w:p>
    <w:p>
      <w:pPr>
        <w:pStyle w:val="null3"/>
        <w:jc w:val="both"/>
      </w:pPr>
      <w:r>
        <w:rPr>
          <w:rFonts w:ascii="calibri" w:hAnsi="calibri" w:cs="calibri" w:eastAsia="calibri"/>
          <w:sz w:val="21"/>
        </w:rPr>
        <w:t>（</w:t>
      </w:r>
      <w:r>
        <w:rPr>
          <w:rFonts w:ascii="calibri" w:hAnsi="calibri" w:cs="calibri" w:eastAsia="calibri"/>
          <w:sz w:val="21"/>
        </w:rPr>
        <w:t>2</w:t>
      </w:r>
      <w:r>
        <w:rPr>
          <w:rFonts w:ascii="calibri" w:hAnsi="calibri" w:cs="calibri" w:eastAsia="calibri"/>
          <w:sz w:val="21"/>
        </w:rPr>
        <w:t>）采购人未按合同约定提供所需指令、批准等，致使施工不能正常进行；</w:t>
      </w:r>
    </w:p>
    <w:p>
      <w:pPr>
        <w:pStyle w:val="null3"/>
        <w:jc w:val="both"/>
      </w:pPr>
      <w:r>
        <w:rPr>
          <w:rFonts w:ascii="calibri" w:hAnsi="calibri" w:cs="calibri" w:eastAsia="calibri"/>
          <w:sz w:val="21"/>
        </w:rPr>
        <w:t>（</w:t>
      </w:r>
      <w:r>
        <w:rPr>
          <w:rFonts w:ascii="calibri" w:hAnsi="calibri" w:cs="calibri" w:eastAsia="calibri"/>
          <w:sz w:val="21"/>
        </w:rPr>
        <w:t>3</w:t>
      </w:r>
      <w:r>
        <w:rPr>
          <w:rFonts w:ascii="calibri" w:hAnsi="calibri" w:cs="calibri" w:eastAsia="calibri"/>
          <w:sz w:val="21"/>
        </w:rPr>
        <w:t>）不可抗力；</w:t>
      </w:r>
    </w:p>
    <w:p>
      <w:pPr>
        <w:pStyle w:val="null3"/>
        <w:jc w:val="both"/>
      </w:pPr>
      <w:r>
        <w:rPr>
          <w:rFonts w:ascii="calibri" w:hAnsi="calibri" w:cs="calibri" w:eastAsia="calibri"/>
          <w:sz w:val="21"/>
        </w:rPr>
        <w:t>（</w:t>
      </w:r>
      <w:r>
        <w:rPr>
          <w:rFonts w:ascii="calibri" w:hAnsi="calibri" w:cs="calibri" w:eastAsia="calibri"/>
          <w:sz w:val="21"/>
        </w:rPr>
        <w:t>4</w:t>
      </w:r>
      <w:r>
        <w:rPr>
          <w:rFonts w:ascii="calibri" w:hAnsi="calibri" w:cs="calibri" w:eastAsia="calibri"/>
          <w:sz w:val="21"/>
        </w:rPr>
        <w:t>）采购人同意工期顺延的其他情况。</w:t>
      </w:r>
    </w:p>
    <w:p>
      <w:pPr>
        <w:pStyle w:val="null3"/>
        <w:jc w:val="left"/>
        <w:outlineLvl w:val="2"/>
      </w:pPr>
      <w:r>
        <w:rPr>
          <w:sz w:val="28"/>
          <w:b/>
        </w:rPr>
        <w:t>四、其他事项</w:t>
      </w:r>
    </w:p>
    <w:p>
      <w:pPr>
        <w:pStyle w:val="null3"/>
        <w:jc w:val="left"/>
      </w:pPr>
      <w:r>
        <w:rPr/>
        <w:t>1、除磋商文件另有规定外，若出现有关法律、法规和规章有强制性规定但磋商文件未列明的情形，则供应商应按照有关法律、法规和规章强制性规定执行。 2、其他： 2.1、本项目不允许成交供应商以任何名义和理由在成交后将成交项目的主体、非主体、关键性工作、非关键性工作进行转包、分包。在履行合同过程中如有发现，采购人有权单方终止合同，并没收履约保证金。视为成交供应商违约，成交供应商违约对采购人造成的损失的，需另行支付相应的赔偿，并追究相关法律责任。 2.2、本磋商文件未明确的其它约定事项或条款，待采购人与成交供应商签订合同时，由双方协商订立。</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[350725]ZHONGJIN[CS]2024009</w:t>
      </w:r>
    </w:p>
    <w:p>
      <w:pPr>
        <w:pStyle w:val="null3"/>
        <w:jc w:val="left"/>
      </w:pPr>
      <w:r>
        <w:rPr/>
        <w:t>项目名称：</w:t>
      </w:r>
      <w:r>
        <w:rPr/>
        <w:t>政和县佛子山度假区旅游基础设施建设项目-外屯乡X893外屯至湖屯段旅游公路改造（通信设施提升改造）</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政和县佛子山度假区旅游基础设施建设项目-外屯乡X893外屯至湖屯段旅游公路改造（通信设施提升改造）</w:t>
            </w:r>
          </w:p>
        </w:tc>
        <w:tc>
          <w:tcPr>
            <w:tcW w:type="dxa" w:w="1661"/>
          </w:tcPr>
          <w:p>
            <w:pPr>
              <w:pStyle w:val="null3"/>
              <w:jc w:val="left"/>
            </w:pPr>
            <w:r>
              <w:rPr/>
              <w:t xml:space="preserve"> 1408765.0000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[350725]ZHONGJIN[CS]2024009</w:t>
      </w:r>
    </w:p>
    <w:p>
      <w:pPr>
        <w:pStyle w:val="null3"/>
        <w:jc w:val="left"/>
      </w:pPr>
      <w:r>
        <w:rPr/>
        <w:t>项目名称：</w:t>
      </w:r>
      <w:r>
        <w:rPr/>
        <w:t>政和县佛子山度假区旅游基础设施建设项目-外屯乡X893外屯至湖屯段旅游公路改造（通信设施提升改造）</w:t>
      </w:r>
    </w:p>
    <w:p>
      <w:pPr>
        <w:pStyle w:val="null3"/>
        <w:jc w:val="left"/>
      </w:pPr>
      <w:r>
        <w:rPr/>
        <w:t xml:space="preserve"> 政和县佛子山度假区旅游基础设施建设项目-外屯乡X893外屯至湖屯段旅游公路改造（通信设施提升改造）</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网络摄像机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w:t>
            </w:r>
          </w:p>
        </w:tc>
        <w:tc>
          <w:tcPr>
            <w:tcW w:type="dxa" w:w="639"/>
          </w:tcPr>
          <w:p>
            <w:pPr>
              <w:pStyle w:val="null3"/>
              <w:jc w:val="left"/>
            </w:pPr>
            <w:r>
              <w:rPr/>
              <w:t xml:space="preserve"> 图像型火灾探测器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w:t>
            </w:r>
          </w:p>
        </w:tc>
        <w:tc>
          <w:tcPr>
            <w:tcW w:type="dxa" w:w="639"/>
          </w:tcPr>
          <w:p>
            <w:pPr>
              <w:pStyle w:val="null3"/>
              <w:jc w:val="left"/>
            </w:pPr>
            <w:r>
              <w:rPr/>
              <w:t xml:space="preserve"> 网络硬盘录像机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w:t>
            </w:r>
          </w:p>
        </w:tc>
        <w:tc>
          <w:tcPr>
            <w:tcW w:type="dxa" w:w="639"/>
          </w:tcPr>
          <w:p>
            <w:pPr>
              <w:pStyle w:val="null3"/>
              <w:jc w:val="left"/>
            </w:pPr>
            <w:r>
              <w:rPr/>
              <w:t xml:space="preserve"> 云服务器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w:t>
            </w:r>
          </w:p>
        </w:tc>
        <w:tc>
          <w:tcPr>
            <w:tcW w:type="dxa" w:w="639"/>
          </w:tcPr>
          <w:p>
            <w:pPr>
              <w:pStyle w:val="null3"/>
              <w:jc w:val="left"/>
            </w:pPr>
            <w:r>
              <w:rPr/>
              <w:t xml:space="preserve"> 5G网关</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w:t>
            </w:r>
          </w:p>
        </w:tc>
        <w:tc>
          <w:tcPr>
            <w:tcW w:type="dxa" w:w="639"/>
          </w:tcPr>
          <w:p>
            <w:pPr>
              <w:pStyle w:val="null3"/>
              <w:jc w:val="left"/>
            </w:pPr>
            <w:r>
              <w:rPr/>
              <w:t xml:space="preserve"> 定位盒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w:t>
            </w:r>
          </w:p>
        </w:tc>
        <w:tc>
          <w:tcPr>
            <w:tcW w:type="dxa" w:w="639"/>
          </w:tcPr>
          <w:p>
            <w:pPr>
              <w:pStyle w:val="null3"/>
              <w:jc w:val="left"/>
            </w:pPr>
            <w:r>
              <w:rPr/>
              <w:t xml:space="preserve"> GYTS光缆</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10730.0000</w:t>
            </w:r>
          </w:p>
        </w:tc>
        <w:tc>
          <w:tcPr>
            <w:tcW w:type="dxa" w:w="639"/>
          </w:tcPr>
          <w:p>
            <w:pPr>
              <w:pStyle w:val="null3"/>
              <w:jc w:val="left"/>
            </w:pPr>
            <w:r>
              <w:rPr/>
              <w:t xml:space="preserve"> 米</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w:t>
            </w:r>
          </w:p>
        </w:tc>
        <w:tc>
          <w:tcPr>
            <w:tcW w:type="dxa" w:w="639"/>
          </w:tcPr>
          <w:p>
            <w:pPr>
              <w:pStyle w:val="null3"/>
              <w:jc w:val="left"/>
            </w:pPr>
            <w:r>
              <w:rPr/>
              <w:t xml:space="preserve"> 球墨井盖</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18.0000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w:t>
            </w:r>
          </w:p>
        </w:tc>
        <w:tc>
          <w:tcPr>
            <w:tcW w:type="dxa" w:w="639"/>
          </w:tcPr>
          <w:p>
            <w:pPr>
              <w:pStyle w:val="null3"/>
              <w:jc w:val="left"/>
            </w:pPr>
            <w:r>
              <w:rPr/>
              <w:t xml:space="preserve"> 镀锌钢管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60.0000</w:t>
            </w:r>
          </w:p>
        </w:tc>
        <w:tc>
          <w:tcPr>
            <w:tcW w:type="dxa" w:w="639"/>
          </w:tcPr>
          <w:p>
            <w:pPr>
              <w:pStyle w:val="null3"/>
              <w:jc w:val="left"/>
            </w:pPr>
            <w:r>
              <w:rPr/>
              <w:t xml:space="preserve"> 米</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w:t>
            </w:r>
          </w:p>
        </w:tc>
        <w:tc>
          <w:tcPr>
            <w:tcW w:type="dxa" w:w="639"/>
          </w:tcPr>
          <w:p>
            <w:pPr>
              <w:pStyle w:val="null3"/>
              <w:jc w:val="left"/>
            </w:pPr>
            <w:r>
              <w:rPr/>
              <w:t xml:space="preserve"> 塑料硅管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1800.0000</w:t>
            </w:r>
          </w:p>
        </w:tc>
        <w:tc>
          <w:tcPr>
            <w:tcW w:type="dxa" w:w="639"/>
          </w:tcPr>
          <w:p>
            <w:pPr>
              <w:pStyle w:val="null3"/>
              <w:jc w:val="left"/>
            </w:pPr>
            <w:r>
              <w:rPr/>
              <w:t xml:space="preserve"> 米</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w:t>
            </w:r>
          </w:p>
        </w:tc>
        <w:tc>
          <w:tcPr>
            <w:tcW w:type="dxa" w:w="639"/>
          </w:tcPr>
          <w:p>
            <w:pPr>
              <w:pStyle w:val="null3"/>
              <w:jc w:val="left"/>
            </w:pPr>
            <w:r>
              <w:rPr/>
              <w:t xml:space="preserve"> 水泥杆</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45.0000</w:t>
            </w:r>
          </w:p>
        </w:tc>
        <w:tc>
          <w:tcPr>
            <w:tcW w:type="dxa" w:w="639"/>
          </w:tcPr>
          <w:p>
            <w:pPr>
              <w:pStyle w:val="null3"/>
              <w:jc w:val="left"/>
            </w:pPr>
            <w:r>
              <w:rPr/>
              <w:t xml:space="preserve"> 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w:t>
            </w:r>
          </w:p>
        </w:tc>
        <w:tc>
          <w:tcPr>
            <w:tcW w:type="dxa" w:w="639"/>
          </w:tcPr>
          <w:p>
            <w:pPr>
              <w:pStyle w:val="null3"/>
              <w:jc w:val="left"/>
            </w:pPr>
            <w:r>
              <w:rPr/>
              <w:t xml:space="preserve"> 镀锌钢绞线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1350.0000</w:t>
            </w:r>
          </w:p>
        </w:tc>
        <w:tc>
          <w:tcPr>
            <w:tcW w:type="dxa" w:w="639"/>
          </w:tcPr>
          <w:p>
            <w:pPr>
              <w:pStyle w:val="null3"/>
              <w:jc w:val="left"/>
            </w:pPr>
            <w:r>
              <w:rPr/>
              <w:t xml:space="preserve"> 千克</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w:t>
            </w:r>
          </w:p>
        </w:tc>
        <w:tc>
          <w:tcPr>
            <w:tcW w:type="dxa" w:w="639"/>
          </w:tcPr>
          <w:p>
            <w:pPr>
              <w:pStyle w:val="null3"/>
              <w:jc w:val="left"/>
            </w:pPr>
            <w:r>
              <w:rPr/>
              <w:t xml:space="preserve"> 光缆接头盒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52.0000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w:t>
            </w:r>
          </w:p>
        </w:tc>
        <w:tc>
          <w:tcPr>
            <w:tcW w:type="dxa" w:w="639"/>
          </w:tcPr>
          <w:p>
            <w:pPr>
              <w:pStyle w:val="null3"/>
              <w:jc w:val="left"/>
            </w:pPr>
            <w:r>
              <w:rPr/>
              <w:t xml:space="preserve"> 分光器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w:t>
            </w:r>
          </w:p>
        </w:tc>
        <w:tc>
          <w:tcPr>
            <w:tcW w:type="dxa" w:w="639"/>
          </w:tcPr>
          <w:p>
            <w:pPr>
              <w:pStyle w:val="null3"/>
              <w:jc w:val="left"/>
            </w:pPr>
            <w:r>
              <w:rPr/>
              <w:t xml:space="preserve"> 辅材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w:t>
            </w:r>
          </w:p>
        </w:tc>
        <w:tc>
          <w:tcPr>
            <w:tcW w:type="dxa" w:w="639"/>
          </w:tcPr>
          <w:p>
            <w:pPr>
              <w:pStyle w:val="null3"/>
              <w:jc w:val="left"/>
            </w:pPr>
            <w:r>
              <w:rPr/>
              <w:t xml:space="preserve"> 运营商链路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5.0000</w:t>
            </w:r>
          </w:p>
        </w:tc>
        <w:tc>
          <w:tcPr>
            <w:tcW w:type="dxa" w:w="639"/>
          </w:tcPr>
          <w:p>
            <w:pPr>
              <w:pStyle w:val="null3"/>
              <w:jc w:val="left"/>
            </w:pPr>
            <w:r>
              <w:rPr/>
              <w:t xml:space="preserve"> 条</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w:t>
            </w:r>
          </w:p>
        </w:tc>
        <w:tc>
          <w:tcPr>
            <w:tcW w:type="dxa" w:w="639"/>
          </w:tcPr>
          <w:p>
            <w:pPr>
              <w:pStyle w:val="null3"/>
              <w:jc w:val="left"/>
            </w:pPr>
            <w:r>
              <w:rPr/>
              <w:t xml:space="preserve"> 施工及集成安装服务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w:t>
            </w:r>
          </w:p>
        </w:tc>
        <w:tc>
          <w:tcPr>
            <w:tcW w:type="dxa" w:w="639"/>
          </w:tcPr>
          <w:p>
            <w:pPr>
              <w:pStyle w:val="null3"/>
              <w:jc w:val="left"/>
            </w:pPr>
            <w:r>
              <w:rPr/>
              <w:t xml:space="preserve"> 系统集成服务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2"/>
      </w:pPr>
      <w:r>
        <w:rPr>
          <w:sz w:val="28"/>
          <w:b/>
        </w:rPr>
        <w:t>附件3-4 证明材料</w:t>
      </w:r>
    </w:p>
    <w:p>
      <w:pPr>
        <w:pStyle w:val="null3"/>
        <w:ind w:firstLine="480"/>
        <w:jc w:val="left"/>
      </w:pPr>
      <w:r>
        <w:rPr/>
        <w:t>注：根据采购文件须知前附表1第1项号的“（2）特定资格条件”要求，允许供应商采用资格承诺制的，可提供符合要求的3-4-1资格承诺函，视为满足采购文件的资格要求，供应商根据响应文件格式3-4-1、3-4-2提供其中一种证明材料，若重复提供导致的不利后果，由供应商自行负责。</w:t>
      </w:r>
    </w:p>
    <w:p>
      <w:pPr>
        <w:pStyle w:val="null3"/>
        <w:jc w:val="center"/>
        <w:outlineLvl w:val="2"/>
      </w:pPr>
      <w:r>
        <w:rPr>
          <w:sz w:val="28"/>
          <w:b/>
        </w:rPr>
        <w:t>附件3-4-1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jc w:val="center"/>
        <w:outlineLvl w:val="2"/>
      </w:pPr>
      <w:r>
        <w:rPr>
          <w:sz w:val="28"/>
          <w:b/>
        </w:rPr>
        <w:t>附件3-4-2 证明材料</w:t>
      </w:r>
    </w:p>
    <w:p>
      <w:pPr>
        <w:pStyle w:val="null3"/>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 xml:space="preserve">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r>
        <w:br/>
      </w:r>
      <w:r>
        <w:br/>
      </w:r>
    </w:p>
    <w:p>
      <w:pPr>
        <w:pStyle w:val="null3"/>
        <w:ind w:firstLine="480"/>
        <w:jc w:val="left"/>
      </w:pPr>
      <w:r>
        <w:rPr/>
        <w:t>※注意事项：</w:t>
      </w:r>
    </w:p>
    <w:p>
      <w:pPr>
        <w:pStyle w:val="null3"/>
        <w:ind w:firstLine="480"/>
        <w:jc w:val="left"/>
      </w:pPr>
      <w:r>
        <w:rPr/>
        <w:t>1、上文提供财务报告、资信证明、担保函共三大类型，请供应商按照自身实际情况编制填写，在其中相应的（）中打“√”并选择相应的“□”（若有）后，再按照本格式的要求提供相应证明材料的复印件即可。即供应商符合上述三大类型其中一种，并按要求提供相应证明资料即为满足。</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b/>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pPr>
      <w:r>
        <w:rPr/>
        <w:t xml:space="preserve"> </w:t>
        <w:br/>
        <w:br w:type="page"/>
      </w:r>
    </w:p>
    <w:p>
      <w:pPr>
        <w:pStyle w:val="null3"/>
        <w:jc w:val="center"/>
        <w:outlineLvl w:val="3"/>
      </w:pPr>
      <w:r>
        <w:rPr>
          <w:sz w:val="24"/>
          <w:b/>
        </w:rPr>
        <w:t>附件3-5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附件3-6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附件3-7分包意向协议（若有）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附件3-8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