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900AA">
      <w:pPr>
        <w:pStyle w:val="3"/>
        <w:jc w:val="center"/>
        <w:rPr>
          <w:rFonts w:ascii="宋体" w:hAnsi="宋体" w:eastAsia="宋体"/>
          <w:color w:val="000000" w:themeColor="text1"/>
          <w:sz w:val="44"/>
          <w:szCs w:val="44"/>
          <w14:textFill>
            <w14:solidFill>
              <w14:schemeClr w14:val="tx1"/>
            </w14:solidFill>
          </w14:textFill>
        </w:rPr>
      </w:pPr>
      <w:r>
        <w:rPr>
          <w:rFonts w:ascii="宋体" w:hAnsi="宋体" w:eastAsia="宋体"/>
          <w:color w:val="000000" w:themeColor="text1"/>
          <w:sz w:val="44"/>
          <w:szCs w:val="44"/>
          <w14:textFill>
            <w14:solidFill>
              <w14:schemeClr w14:val="tx1"/>
            </w14:solidFill>
          </w14:textFill>
        </w:rPr>
        <w:t>项目需求</w:t>
      </w:r>
    </w:p>
    <w:p w14:paraId="35B8A3F0">
      <w:pPr>
        <w:pStyle w:val="4"/>
        <w:spacing w:before="0" w:after="0" w:line="360" w:lineRule="auto"/>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一、标的</w:t>
      </w:r>
      <w:r>
        <w:rPr>
          <w:rFonts w:hint="eastAsia" w:ascii="宋体" w:hAnsi="宋体" w:eastAsia="宋体"/>
          <w:color w:val="000000" w:themeColor="text1"/>
          <w:sz w:val="21"/>
          <w:szCs w:val="21"/>
          <w:lang w:eastAsia="zh-CN"/>
          <w14:textFill>
            <w14:solidFill>
              <w14:schemeClr w14:val="tx1"/>
            </w14:solidFill>
          </w14:textFill>
        </w:rPr>
        <w:t>（</w:t>
      </w:r>
      <w:r>
        <w:rPr>
          <w:rFonts w:hint="eastAsia" w:ascii="宋体" w:hAnsi="宋体" w:eastAsia="宋体"/>
          <w:color w:val="000000" w:themeColor="text1"/>
          <w:sz w:val="21"/>
          <w:szCs w:val="21"/>
          <w14:textFill>
            <w14:solidFill>
              <w14:schemeClr w14:val="tx1"/>
            </w14:solidFill>
          </w14:textFill>
        </w:rPr>
        <w:t>货物</w:t>
      </w:r>
      <w:r>
        <w:rPr>
          <w:rFonts w:hint="eastAsia" w:ascii="宋体" w:hAnsi="宋体" w:eastAsia="宋体"/>
          <w:color w:val="000000" w:themeColor="text1"/>
          <w:sz w:val="21"/>
          <w:szCs w:val="21"/>
          <w:lang w:eastAsia="zh-CN"/>
          <w14:textFill>
            <w14:solidFill>
              <w14:schemeClr w14:val="tx1"/>
            </w14:solidFill>
          </w14:textFill>
        </w:rPr>
        <w:t>）</w:t>
      </w:r>
      <w:r>
        <w:rPr>
          <w:rFonts w:hint="eastAsia" w:ascii="宋体" w:hAnsi="宋体" w:eastAsia="宋体"/>
          <w:color w:val="000000" w:themeColor="text1"/>
          <w:sz w:val="21"/>
          <w:szCs w:val="21"/>
          <w14:textFill>
            <w14:solidFill>
              <w14:schemeClr w14:val="tx1"/>
            </w14:solidFill>
          </w14:textFill>
        </w:rPr>
        <w:t>内容</w:t>
      </w:r>
    </w:p>
    <w:p w14:paraId="0D971607">
      <w:pPr>
        <w:adjustRightInd w:val="0"/>
        <w:snapToGrid w:val="0"/>
        <w:spacing w:line="360" w:lineRule="exact"/>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1、项目名称：盐城经济技术开发区消防救援大队九华山专职队新能源动力电池火灾实验室建设项目</w:t>
      </w:r>
    </w:p>
    <w:p w14:paraId="09C83C66">
      <w:pPr>
        <w:adjustRightInd w:val="0"/>
        <w:snapToGrid w:val="0"/>
        <w:spacing w:line="360" w:lineRule="exact"/>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2、预算：</w:t>
      </w:r>
      <w:r>
        <w:rPr>
          <w:color w:val="000000" w:themeColor="text1"/>
          <w14:textFill>
            <w14:solidFill>
              <w14:schemeClr w14:val="tx1"/>
            </w14:solidFill>
          </w14:textFill>
        </w:rPr>
        <w:t>98</w:t>
      </w:r>
      <w:r>
        <w:rPr>
          <w:rFonts w:hint="eastAsia"/>
          <w:color w:val="000000" w:themeColor="text1"/>
          <w14:textFill>
            <w14:solidFill>
              <w14:schemeClr w14:val="tx1"/>
            </w14:solidFill>
          </w14:textFill>
        </w:rPr>
        <w:t>万元。</w:t>
      </w:r>
    </w:p>
    <w:p w14:paraId="3482D73D">
      <w:pPr>
        <w:adjustRightInd w:val="0"/>
        <w:snapToGrid w:val="0"/>
        <w:spacing w:line="360" w:lineRule="exact"/>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3、建设地点：盐城经济技术开发区消防救援大队采购人指定位置</w:t>
      </w:r>
    </w:p>
    <w:p w14:paraId="0A99613D">
      <w:pPr>
        <w:adjustRightInd w:val="0"/>
        <w:snapToGrid w:val="0"/>
        <w:spacing w:line="360" w:lineRule="exact"/>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4、供货期要求：</w:t>
      </w:r>
      <w:r>
        <w:rPr>
          <w:rFonts w:hint="eastAsia" w:ascii="宋体" w:hAnsi="宋体"/>
          <w:color w:val="000000" w:themeColor="text1"/>
          <w:szCs w:val="21"/>
          <w:u w:val="single"/>
          <w14:textFill>
            <w14:solidFill>
              <w14:schemeClr w14:val="tx1"/>
            </w14:solidFill>
          </w14:textFill>
        </w:rPr>
        <w:t>合同签订后20日历天完成实验室建设的所有内容（其中深化设计方案须经采购人最终确认后方可实施）。</w:t>
      </w:r>
    </w:p>
    <w:p w14:paraId="2EED3A81">
      <w:pPr>
        <w:adjustRightInd w:val="0"/>
        <w:snapToGrid w:val="0"/>
        <w:spacing w:line="360" w:lineRule="exact"/>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5、质量标准：国家合格标准。</w:t>
      </w:r>
    </w:p>
    <w:p w14:paraId="2CEED08E">
      <w:pPr>
        <w:adjustRightInd w:val="0"/>
        <w:snapToGrid w:val="0"/>
        <w:spacing w:line="360" w:lineRule="exact"/>
        <w:ind w:firstLine="42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6、发包范围：详见采购清单。采购人保留对工作量进行变更或增减的权利。</w:t>
      </w:r>
    </w:p>
    <w:p w14:paraId="261BD8DA">
      <w:pPr>
        <w:adjustRightInd w:val="0"/>
        <w:snapToGrid w:val="0"/>
        <w:spacing w:line="360" w:lineRule="exact"/>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7、标段划分：本次招标为一个标段。</w:t>
      </w:r>
    </w:p>
    <w:p w14:paraId="7C499699">
      <w:pPr>
        <w:pStyle w:val="4"/>
        <w:spacing w:before="0" w:after="0" w:line="360" w:lineRule="auto"/>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二、采购清单</w:t>
      </w:r>
    </w:p>
    <w:tbl>
      <w:tblPr>
        <w:tblStyle w:val="7"/>
        <w:tblW w:w="9228" w:type="dxa"/>
        <w:jc w:val="center"/>
        <w:tblLayout w:type="fixed"/>
        <w:tblCellMar>
          <w:top w:w="0" w:type="dxa"/>
          <w:left w:w="108" w:type="dxa"/>
          <w:bottom w:w="0" w:type="dxa"/>
          <w:right w:w="108" w:type="dxa"/>
        </w:tblCellMar>
      </w:tblPr>
      <w:tblGrid>
        <w:gridCol w:w="473"/>
        <w:gridCol w:w="1111"/>
        <w:gridCol w:w="865"/>
        <w:gridCol w:w="531"/>
        <w:gridCol w:w="642"/>
        <w:gridCol w:w="4636"/>
        <w:gridCol w:w="970"/>
      </w:tblGrid>
      <w:tr w14:paraId="43D664DB">
        <w:tblPrEx>
          <w:tblCellMar>
            <w:top w:w="0" w:type="dxa"/>
            <w:left w:w="108" w:type="dxa"/>
            <w:bottom w:w="0" w:type="dxa"/>
            <w:right w:w="108" w:type="dxa"/>
          </w:tblCellMar>
        </w:tblPrEx>
        <w:trPr>
          <w:trHeight w:val="1345"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32CC7DC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序号</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185449B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项目</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35130E4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规格</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71A3DA7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单位</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413E60E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数量</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5978AF07">
            <w:pPr>
              <w:widowControl/>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kern w:val="0"/>
                <w:szCs w:val="21"/>
                <w:highlight w:val="none"/>
                <w:lang w:bidi="ar"/>
                <w14:textFill>
                  <w14:solidFill>
                    <w14:schemeClr w14:val="tx1"/>
                  </w14:solidFill>
                </w14:textFill>
              </w:rPr>
              <w:t>备注</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7930A57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参考或相当于品牌</w:t>
            </w:r>
          </w:p>
        </w:tc>
      </w:tr>
      <w:tr w14:paraId="44FC5C3C">
        <w:tblPrEx>
          <w:tblCellMar>
            <w:top w:w="0" w:type="dxa"/>
            <w:left w:w="108" w:type="dxa"/>
            <w:bottom w:w="0" w:type="dxa"/>
            <w:right w:w="108" w:type="dxa"/>
          </w:tblCellMar>
        </w:tblPrEx>
        <w:trPr>
          <w:trHeight w:val="70"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4DC8606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451A1E6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沙盘底座</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4C8B592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6.9m*4m</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557B438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5085888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27.6</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3900C72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18mm多层板十字龙骨，间距不大于40cm。面层9mm多层板。</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67F246D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4D5BB82D">
        <w:tblPrEx>
          <w:tblCellMar>
            <w:top w:w="0" w:type="dxa"/>
            <w:left w:w="108" w:type="dxa"/>
            <w:bottom w:w="0" w:type="dxa"/>
            <w:right w:w="108" w:type="dxa"/>
          </w:tblCellMar>
        </w:tblPrEx>
        <w:trPr>
          <w:trHeight w:val="70"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0986715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62E2A6A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建筑模型</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352D7B4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6.9m*4m</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761FC4B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5411EDE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27.6</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6175CCB1">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按辖区现状自</w:t>
            </w:r>
            <w:bookmarkStart w:id="0" w:name="_GoBack"/>
            <w:bookmarkEnd w:id="0"/>
            <w:r>
              <w:rPr>
                <w:rFonts w:hint="eastAsia"/>
                <w:color w:val="000000" w:themeColor="text1"/>
                <w:sz w:val="20"/>
                <w:szCs w:val="20"/>
                <w:highlight w:val="none"/>
                <w14:textFill>
                  <w14:solidFill>
                    <w14:schemeClr w14:val="tx1"/>
                  </w14:solidFill>
                </w14:textFill>
              </w:rPr>
              <w:t xml:space="preserve">行数据采集设计，1-3mmABS用于建筑墙体等；1mm镀膜玻璃制作玻璃幕、窗户等。数控雕刻、激光雕切割3d打印等，人工拼装打磨上色。      </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623E507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01D21FB1">
        <w:tblPrEx>
          <w:tblCellMar>
            <w:top w:w="0" w:type="dxa"/>
            <w:left w:w="108" w:type="dxa"/>
            <w:bottom w:w="0" w:type="dxa"/>
            <w:right w:w="108" w:type="dxa"/>
          </w:tblCellMar>
        </w:tblPrEx>
        <w:trPr>
          <w:trHeight w:val="464"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7EDFF19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3</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10FFEE5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环境路网</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750F42D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6.9m*4m</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4ED39FC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7247B2E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27.6</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124BB1CC">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按辖区现状自行数据采集设计，1-3mmABS用于路网等制作；5mm亚克力水面。数控雕刻、激光雕切割3d打印等，人工拼装打磨上色。   </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2ADEA45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143C8385">
        <w:tblPrEx>
          <w:tblCellMar>
            <w:top w:w="0" w:type="dxa"/>
            <w:left w:w="108" w:type="dxa"/>
            <w:bottom w:w="0" w:type="dxa"/>
            <w:right w:w="108" w:type="dxa"/>
          </w:tblCellMar>
        </w:tblPrEx>
        <w:trPr>
          <w:trHeight w:val="3392"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4C602F0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4</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39D693A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投影机</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73E7503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激光工程机</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530DE45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台</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488C925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6</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1C747BCC">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1.★投影系统/芯片尺寸：DLP®芯片×1,DLP、0.67"DMD/S600HB。</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2.光源类型：MCL激光二极管模组。光源使用寿命：标准模式：20000 小时，节能模式：30000小时。</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3.★亮度≥6700lm（中心亮度），≥6500（ISO21118标准）。</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4.分辨率：≥1920×1200兼容4096x2160，3840x2160，1920×1080，1280×800，1024×768。</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5.对比度：300,0000:1动态。</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6.▲显示模式：中国红、标准、高光 、明亮 、影院 、HDR 、护眼 、DICOM SIM、 融合、 3D 、2D高速、用户。</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7.显示模式支持护眼模式，显示画面减少蓝色光输出可缓解对眼睛的疲劳或伤害。</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8.显示比例：Auto、4:3、16:9、16:10、16:6、2.35:1、LBX、Native。</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9.镜头支持电动位移/聚焦/变焦功能，支持5种位置记忆及镜头锁定功能，镜头位移范围：V: +/-110% ,H: +/-50% 。镜头移位精度：每步 0.5 像素。</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10.输入接口：HDMI V2.0兼容4K支持HDCP x2、HDBaseTx1、3D-Syncx1 、Audiox1 (3.5mm端口</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、Wired IRx1  (3.5mm端口用于有线遥控器</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、RJ45×1（用于网络控制）、RS232(D-sub 9pin)x1。输出接口：3D-Sync x1、USB-Ax1(DC5V)、12V 触发器  (3.5mm端口</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x1。</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11.HDMI2.0接口支持4K 60Hz信号输入，HDMI接口兼容HDCP协议保护。动态范围配置高动态范围</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HDR</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功能设置，适用于显示高动态范围</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HDR) 内容。HDMI端口支持声音传输，扬声器输出功率10Wx1。</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12.▲产品内置多点几何校正功能。（可提供相关著作权证书）</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13.▲色彩匹配/色彩调整：通过调整图像的各个颜色分量来改变投影图像的颜色。色温调整功能，用于多台拼接融合后的色温一致性调整。</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14.DLPLink模式：支持开关（启动3D模式后选择关闭可优化画面比度）。</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15.智能关机（自定义关机时间）、通电后直接开机、信号源激活开机运行。</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16.机械快门遮光设计，支持一键启动和唤醒。</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17.720度安装</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支持垂直安装，7*24小时不间断连续工作。</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18.▲支持租赁模式可自定义授权时间。</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19.▲光学系统防尘等级IP6X，整机防尘IP5X。</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20.HDBaseT接口支持RS232控制协议、IR控制，串行端口控制路径支持RS232&amp;HDBaseT通道。</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21.▲HDbaseT端口可实现信号/控制传输，一根网线完成终端显控。</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22.网络集中控制支持AMX、Crestron、PJ-Link协议、Telnet、HTTP。</w:t>
            </w: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17F3C283">
            <w:pPr>
              <w:widowControl/>
              <w:jc w:val="center"/>
              <w:textAlignment w:val="center"/>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索诺克</w:t>
            </w:r>
          </w:p>
          <w:p w14:paraId="56F4ED75">
            <w:pPr>
              <w:widowControl/>
              <w:jc w:val="center"/>
              <w:textAlignment w:val="center"/>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松下</w:t>
            </w:r>
          </w:p>
          <w:p w14:paraId="5D98853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丽讯、爱普生、希帕、视美乐</w:t>
            </w:r>
          </w:p>
        </w:tc>
      </w:tr>
      <w:tr w14:paraId="5057884A">
        <w:tblPrEx>
          <w:tblCellMar>
            <w:top w:w="0" w:type="dxa"/>
            <w:left w:w="108" w:type="dxa"/>
            <w:bottom w:w="0" w:type="dxa"/>
            <w:right w:w="108" w:type="dxa"/>
          </w:tblCellMar>
        </w:tblPrEx>
        <w:trPr>
          <w:trHeight w:val="70"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63C75BA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5</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21288B5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短焦镜头</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6A3A684B">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7324ABC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台</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29F8913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6</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378E6F67">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投射比0.7-1.2:1</w:t>
            </w: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22EC57E4">
            <w:pPr>
              <w:widowControl/>
              <w:jc w:val="center"/>
              <w:textAlignment w:val="center"/>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索诺克</w:t>
            </w:r>
          </w:p>
          <w:p w14:paraId="7B6ECC71">
            <w:pPr>
              <w:widowControl/>
              <w:jc w:val="center"/>
              <w:textAlignment w:val="center"/>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松下</w:t>
            </w:r>
          </w:p>
          <w:p w14:paraId="68E743C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丽讯、爱普生、希帕、视美乐</w:t>
            </w:r>
          </w:p>
        </w:tc>
      </w:tr>
      <w:tr w14:paraId="02FD99E2">
        <w:tblPrEx>
          <w:tblCellMar>
            <w:top w:w="0" w:type="dxa"/>
            <w:left w:w="108" w:type="dxa"/>
            <w:bottom w:w="0" w:type="dxa"/>
            <w:right w:w="108" w:type="dxa"/>
          </w:tblCellMar>
        </w:tblPrEx>
        <w:trPr>
          <w:trHeight w:val="841"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2AC64E6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6</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0C77CEE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投影融合软件</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7A337B23">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6581CD2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通道</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57F10AB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6</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327A178A">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支持自动产生叠加带像素羽化边缘融合；更有独特的断点保护处理技术，确保了意外断电不会进入自修复模式；从而更加提高了系统的稳定性；支持任意曲面几何校正，达到40*40的网格精准调整显示（包括曲面几何校正和球面几何校正）；</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73164A51">
            <w:pPr>
              <w:jc w:val="center"/>
              <w:rPr>
                <w:rFonts w:hint="eastAsia" w:ascii="宋体" w:hAnsi="宋体" w:cs="宋体"/>
                <w:color w:val="000000" w:themeColor="text1"/>
                <w:szCs w:val="21"/>
                <w:highlight w:val="none"/>
                <w14:textFill>
                  <w14:solidFill>
                    <w14:schemeClr w14:val="tx1"/>
                  </w14:solidFill>
                </w14:textFill>
              </w:rPr>
            </w:pPr>
          </w:p>
        </w:tc>
      </w:tr>
      <w:tr w14:paraId="068A596B">
        <w:tblPrEx>
          <w:tblCellMar>
            <w:top w:w="0" w:type="dxa"/>
            <w:left w:w="108" w:type="dxa"/>
            <w:bottom w:w="0" w:type="dxa"/>
            <w:right w:w="108" w:type="dxa"/>
          </w:tblCellMar>
        </w:tblPrEx>
        <w:trPr>
          <w:trHeight w:val="572"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7B3FFFF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7</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427E47B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多屏保</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5C0619B0">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45E67DA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套</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5431DFC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2D31A0D3">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输入分辨率3840*1200，输出分辨率两路1920*1200</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031FB3B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大视、比特视讯</w:t>
            </w:r>
          </w:p>
        </w:tc>
      </w:tr>
      <w:tr w14:paraId="76D410B7">
        <w:tblPrEx>
          <w:tblCellMar>
            <w:top w:w="0" w:type="dxa"/>
            <w:left w:w="108" w:type="dxa"/>
            <w:bottom w:w="0" w:type="dxa"/>
            <w:right w:w="108" w:type="dxa"/>
          </w:tblCellMar>
        </w:tblPrEx>
        <w:trPr>
          <w:trHeight w:val="1833"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5128BCD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8</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341E4AD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视频动画</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52A7F00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3套预案（根据甲方</w:t>
            </w:r>
            <w:r>
              <w:rPr>
                <w:rFonts w:hint="eastAsia"/>
                <w:color w:val="000000" w:themeColor="text1"/>
                <w:highlight w:val="none"/>
                <w14:textFill>
                  <w14:solidFill>
                    <w14:schemeClr w14:val="tx1"/>
                  </w14:solidFill>
                </w14:textFill>
              </w:rPr>
              <w:br w:type="textWrapping"/>
            </w:r>
            <w:r>
              <w:rPr>
                <w:rFonts w:hint="eastAsia"/>
                <w:color w:val="000000" w:themeColor="text1"/>
                <w:highlight w:val="none"/>
                <w14:textFill>
                  <w14:solidFill>
                    <w14:schemeClr w14:val="tx1"/>
                  </w14:solidFill>
                </w14:textFill>
              </w:rPr>
              <w:t>要求制作）</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688F081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秒</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64C3B83D">
            <w:pPr>
              <w:widowControl/>
              <w:jc w:val="center"/>
              <w:textAlignment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500</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19AF110D">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帧速率30FPS，码率50Mbps以上</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1.资料收集、策划设计、影片解说制作、分镜脚本制作</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2.三维建模、场景制作、场景渲染、补充三维制作、</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3.影片校色、样片粗剪、样片剪辑</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4.背景音乐音效制作、特效制作、分层渲染</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5.将渲染环节提供的分层图片通过后期软件进行合成、成片输出及二次渲染。特种车型、消防员等素材按实际场景建模。 通过三维建模软件，将三套方案的三维场景复原，需要针对性</w:t>
            </w:r>
            <w:r>
              <w:rPr>
                <w:rFonts w:hint="eastAsia"/>
                <w:color w:val="000000" w:themeColor="text1"/>
                <w:sz w:val="20"/>
                <w:szCs w:val="20"/>
                <w:highlight w:val="none"/>
                <w:lang w:eastAsia="zh-CN"/>
                <w14:textFill>
                  <w14:solidFill>
                    <w14:schemeClr w14:val="tx1"/>
                  </w14:solidFill>
                </w14:textFill>
              </w:rPr>
              <w:t>地</w:t>
            </w:r>
            <w:r>
              <w:rPr>
                <w:rFonts w:hint="eastAsia"/>
                <w:color w:val="000000" w:themeColor="text1"/>
                <w:sz w:val="20"/>
                <w:szCs w:val="20"/>
                <w:highlight w:val="none"/>
                <w14:textFill>
                  <w14:solidFill>
                    <w14:schemeClr w14:val="tx1"/>
                  </w14:solidFill>
                </w14:textFill>
              </w:rPr>
              <w:t>匹配沙盘效果建模渲染。4k以上分辨率。</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0CE4B8F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798539AB">
        <w:tblPrEx>
          <w:tblCellMar>
            <w:top w:w="0" w:type="dxa"/>
            <w:left w:w="108" w:type="dxa"/>
            <w:bottom w:w="0" w:type="dxa"/>
            <w:right w:w="108" w:type="dxa"/>
          </w:tblCellMar>
        </w:tblPrEx>
        <w:trPr>
          <w:trHeight w:val="2817"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1C77FE6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9</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2332605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交互软件</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3B5600BB">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473A952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套</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30B8F07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43267EFF">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1、多媒体内容触发控制，包括动画触发、页面切换功能等</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2、视频内容嵌入播放，设置视频框大小和播放位置以及弹窗效果等</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3、TCP通讯，指令接收、响应，信号解析处理、通讯协议设计开发，通过pad或大屏控制动画播放和切换</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4、软件基于 unity 开发，UI 设计，ux 设计，动态效果视屏演绎，并 结合 unity 美术，最终用三维融入效果</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4CC134A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7A99671A">
        <w:tblPrEx>
          <w:tblCellMar>
            <w:top w:w="0" w:type="dxa"/>
            <w:left w:w="108" w:type="dxa"/>
            <w:bottom w:w="0" w:type="dxa"/>
            <w:right w:w="108" w:type="dxa"/>
          </w:tblCellMar>
        </w:tblPrEx>
        <w:trPr>
          <w:trHeight w:val="1694"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234A62C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10</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0A0A81F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吸顶音响</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3294D595">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11D970E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套</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483123C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2</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39D67F38">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喇叭口径 6.5″×1 2″×1            额定功率50W</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最大功率100W                       负载阻抗</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8Ω</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灵敏度86dB                        频响范围45Hz-20kHz</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77325FC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惠威、JBL、BOSE、EV、ITC、迪士普</w:t>
            </w:r>
          </w:p>
        </w:tc>
      </w:tr>
      <w:tr w14:paraId="7C3D6451">
        <w:tblPrEx>
          <w:tblCellMar>
            <w:top w:w="0" w:type="dxa"/>
            <w:left w:w="108" w:type="dxa"/>
            <w:bottom w:w="0" w:type="dxa"/>
            <w:right w:w="108" w:type="dxa"/>
          </w:tblCellMar>
        </w:tblPrEx>
        <w:trPr>
          <w:trHeight w:val="2014"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77D7F6D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11</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4A57894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定压功放</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593E5808">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7C7062C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套</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2EC53D6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786A7E70">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输出功率</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2X60W</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信噪比：音乐≥80dB(A计权</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；话筒</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≥55dB(A计权</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频率响应:音乐：20Hz-30kHz/100Hz-30kHz(+1/-3dB)</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供电电源</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AC 220V±10%</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整机功耗</w:t>
            </w:r>
            <w:r>
              <w:rPr>
                <w:rFonts w:hint="eastAsia"/>
                <w:color w:val="000000" w:themeColor="text1"/>
                <w:sz w:val="20"/>
                <w:szCs w:val="20"/>
                <w:highlight w:val="none"/>
                <w:lang w:eastAsia="zh-CN"/>
                <w14:textFill>
                  <w14:solidFill>
                    <w14:schemeClr w14:val="tx1"/>
                  </w14:solidFill>
                </w14:textFill>
              </w:rPr>
              <w:t>：</w:t>
            </w:r>
            <w:r>
              <w:rPr>
                <w:rFonts w:hint="eastAsia"/>
                <w:color w:val="000000" w:themeColor="text1"/>
                <w:sz w:val="20"/>
                <w:szCs w:val="20"/>
                <w:highlight w:val="none"/>
                <w14:textFill>
                  <w14:solidFill>
                    <w14:schemeClr w14:val="tx1"/>
                  </w14:solidFill>
                </w14:textFill>
              </w:rPr>
              <w:t>&lt;170W</w:t>
            </w: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5712302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惠威、SONIC-PRO、SE Audiotechnik、EV、ITC、迪士普</w:t>
            </w:r>
          </w:p>
        </w:tc>
      </w:tr>
      <w:tr w14:paraId="1E1CC20F">
        <w:tblPrEx>
          <w:tblCellMar>
            <w:top w:w="0" w:type="dxa"/>
            <w:left w:w="108" w:type="dxa"/>
            <w:bottom w:w="0" w:type="dxa"/>
            <w:right w:w="108" w:type="dxa"/>
          </w:tblCellMar>
        </w:tblPrEx>
        <w:trPr>
          <w:trHeight w:val="678"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E21A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12</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6026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触摸一体机</w:t>
            </w:r>
          </w:p>
        </w:tc>
        <w:tc>
          <w:tcPr>
            <w:tcW w:w="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DF69A">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D324A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台</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093EFBA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60AAC829">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1080P触摸显示器，I5 CPU/8G内存/240G固态硬盘</w:t>
            </w: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5613FB1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皓万恒、恒贺、数字视界、中银、杜派、ColorTouch、亚显</w:t>
            </w:r>
          </w:p>
        </w:tc>
      </w:tr>
      <w:tr w14:paraId="425F0E92">
        <w:tblPrEx>
          <w:tblCellMar>
            <w:top w:w="0" w:type="dxa"/>
            <w:left w:w="108" w:type="dxa"/>
            <w:bottom w:w="0" w:type="dxa"/>
            <w:right w:w="108" w:type="dxa"/>
          </w:tblCellMar>
        </w:tblPrEx>
        <w:trPr>
          <w:trHeight w:val="572"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5808ADB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13</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3162CD9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播放主机</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5B2A8AF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定制</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05A1AAF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台</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3A35861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624D4B67">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I7-13700 CPU/32GDD4内存/512固态硬盘/4070显卡</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7D26AB6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联想、DELL、惠普</w:t>
            </w:r>
          </w:p>
        </w:tc>
      </w:tr>
      <w:tr w14:paraId="1A736F6C">
        <w:tblPrEx>
          <w:tblCellMar>
            <w:top w:w="0" w:type="dxa"/>
            <w:left w:w="108" w:type="dxa"/>
            <w:bottom w:w="0" w:type="dxa"/>
            <w:right w:w="108" w:type="dxa"/>
          </w:tblCellMar>
        </w:tblPrEx>
        <w:trPr>
          <w:trHeight w:val="852"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1FA475D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14</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675F469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无线网络系统</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1DF63191">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09E0FFB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台</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1CEDE20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69525161">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千兆无线路由、支持网络远程控制，含路由器、交换机等网络设备。</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7418EC2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华为、中兴、H3C、海康</w:t>
            </w:r>
          </w:p>
        </w:tc>
      </w:tr>
      <w:tr w14:paraId="5E93E84C">
        <w:tblPrEx>
          <w:tblCellMar>
            <w:top w:w="0" w:type="dxa"/>
            <w:left w:w="108" w:type="dxa"/>
            <w:bottom w:w="0" w:type="dxa"/>
            <w:right w:w="108" w:type="dxa"/>
          </w:tblCellMar>
        </w:tblPrEx>
        <w:trPr>
          <w:trHeight w:val="1108"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18795F7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15</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54BD637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软件中控</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400A7DA6">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0EBB7B9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套</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4FB92F2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42B9322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图形化操作界面</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独立多媒体展项状态综合控制</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灯光独立控制</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计算机开/关控制（不含中控主机）</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投影机开/关控制</w:t>
            </w:r>
            <w:r>
              <w:rPr>
                <w:rFonts w:hint="eastAsia"/>
                <w:color w:val="000000" w:themeColor="text1"/>
                <w:sz w:val="20"/>
                <w:szCs w:val="20"/>
                <w:highlight w:val="none"/>
                <w14:textFill>
                  <w14:solidFill>
                    <w14:schemeClr w14:val="tx1"/>
                  </w14:solidFill>
                </w14:textFill>
              </w:rPr>
              <w:br w:type="textWrapping"/>
            </w:r>
            <w:r>
              <w:rPr>
                <w:rFonts w:hint="eastAsia"/>
                <w:color w:val="000000" w:themeColor="text1"/>
                <w:sz w:val="20"/>
                <w:szCs w:val="20"/>
                <w:highlight w:val="none"/>
                <w14:textFill>
                  <w14:solidFill>
                    <w14:schemeClr w14:val="tx1"/>
                  </w14:solidFill>
                </w14:textFill>
              </w:rPr>
              <w:t>与移动终端实时闭环通讯</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364411F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194424BA">
        <w:tblPrEx>
          <w:tblCellMar>
            <w:top w:w="0" w:type="dxa"/>
            <w:left w:w="108" w:type="dxa"/>
            <w:bottom w:w="0" w:type="dxa"/>
            <w:right w:w="108" w:type="dxa"/>
          </w:tblCellMar>
        </w:tblPrEx>
        <w:trPr>
          <w:trHeight w:val="340"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04DC972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16</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781D3E7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机柜</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63B956ED">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7F23839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套</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5C35EDC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49FFDC9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22U机柜，600*600*1200mm</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691DB93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图腾、康普、一舟、跃图、大唐卫士</w:t>
            </w:r>
          </w:p>
        </w:tc>
      </w:tr>
      <w:tr w14:paraId="63FABF4E">
        <w:tblPrEx>
          <w:tblCellMar>
            <w:top w:w="0" w:type="dxa"/>
            <w:left w:w="108" w:type="dxa"/>
            <w:bottom w:w="0" w:type="dxa"/>
            <w:right w:w="108" w:type="dxa"/>
          </w:tblCellMar>
        </w:tblPrEx>
        <w:trPr>
          <w:trHeight w:val="572"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585AF88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17</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454B69B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辅材吊架等</w:t>
            </w:r>
          </w:p>
        </w:tc>
        <w:tc>
          <w:tcPr>
            <w:tcW w:w="865" w:type="dxa"/>
            <w:tcBorders>
              <w:top w:val="single" w:color="000000" w:sz="4" w:space="0"/>
              <w:left w:val="single" w:color="000000" w:sz="4" w:space="0"/>
              <w:bottom w:val="single" w:color="000000" w:sz="4" w:space="0"/>
              <w:right w:val="single" w:color="000000" w:sz="4" w:space="0"/>
            </w:tcBorders>
            <w:noWrap/>
            <w:vAlign w:val="center"/>
          </w:tcPr>
          <w:p w14:paraId="665E3B7B">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531" w:type="dxa"/>
            <w:tcBorders>
              <w:top w:val="single" w:color="000000" w:sz="4" w:space="0"/>
              <w:left w:val="single" w:color="000000" w:sz="4" w:space="0"/>
              <w:bottom w:val="single" w:color="000000" w:sz="4" w:space="0"/>
              <w:right w:val="single" w:color="000000" w:sz="4" w:space="0"/>
            </w:tcBorders>
            <w:noWrap/>
            <w:vAlign w:val="center"/>
          </w:tcPr>
          <w:p w14:paraId="299C4B0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批</w:t>
            </w:r>
          </w:p>
        </w:tc>
        <w:tc>
          <w:tcPr>
            <w:tcW w:w="642" w:type="dxa"/>
            <w:tcBorders>
              <w:top w:val="single" w:color="000000" w:sz="4" w:space="0"/>
              <w:left w:val="single" w:color="000000" w:sz="4" w:space="0"/>
              <w:bottom w:val="single" w:color="000000" w:sz="4" w:space="0"/>
              <w:right w:val="single" w:color="000000" w:sz="4" w:space="0"/>
            </w:tcBorders>
            <w:noWrap/>
            <w:vAlign w:val="center"/>
          </w:tcPr>
          <w:p w14:paraId="502CF4C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1F54332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投影机吊架、HDMI线、音响线、网线、接插件等</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41F4C37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天诚、一舟、江南、上上</w:t>
            </w:r>
          </w:p>
        </w:tc>
      </w:tr>
      <w:tr w14:paraId="320C53B6">
        <w:tblPrEx>
          <w:tblCellMar>
            <w:top w:w="0" w:type="dxa"/>
            <w:left w:w="108" w:type="dxa"/>
            <w:bottom w:w="0" w:type="dxa"/>
            <w:right w:w="108" w:type="dxa"/>
          </w:tblCellMar>
        </w:tblPrEx>
        <w:trPr>
          <w:trHeight w:val="678"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0A1547E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18</w:t>
            </w:r>
          </w:p>
        </w:tc>
        <w:tc>
          <w:tcPr>
            <w:tcW w:w="1111" w:type="dxa"/>
            <w:tcBorders>
              <w:top w:val="single" w:color="000000" w:sz="4" w:space="0"/>
              <w:left w:val="single" w:color="000000" w:sz="4" w:space="0"/>
              <w:bottom w:val="single" w:color="000000" w:sz="4" w:space="0"/>
              <w:right w:val="single" w:color="000000" w:sz="4" w:space="0"/>
            </w:tcBorders>
            <w:noWrap w:val="0"/>
            <w:vAlign w:val="center"/>
          </w:tcPr>
          <w:p w14:paraId="5D81EDE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封窗户</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7169CC48">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窗户整体封</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1DCC4E7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m²</w:t>
            </w:r>
          </w:p>
        </w:tc>
        <w:tc>
          <w:tcPr>
            <w:tcW w:w="642" w:type="dxa"/>
            <w:tcBorders>
              <w:top w:val="single" w:color="000000" w:sz="4" w:space="0"/>
              <w:left w:val="single" w:color="000000" w:sz="4" w:space="0"/>
              <w:bottom w:val="single" w:color="000000" w:sz="4" w:space="0"/>
              <w:right w:val="single" w:color="000000" w:sz="4" w:space="0"/>
            </w:tcBorders>
            <w:noWrap w:val="0"/>
            <w:vAlign w:val="center"/>
          </w:tcPr>
          <w:p w14:paraId="1BDAF40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19</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76FAD04E">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2BCB6FF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4C8FD11D">
        <w:tblPrEx>
          <w:tblCellMar>
            <w:top w:w="0" w:type="dxa"/>
            <w:left w:w="108" w:type="dxa"/>
            <w:bottom w:w="0" w:type="dxa"/>
            <w:right w:w="108" w:type="dxa"/>
          </w:tblCellMar>
        </w:tblPrEx>
        <w:trPr>
          <w:trHeight w:val="617"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301333C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19</w:t>
            </w:r>
          </w:p>
        </w:tc>
        <w:tc>
          <w:tcPr>
            <w:tcW w:w="1111" w:type="dxa"/>
            <w:tcBorders>
              <w:top w:val="single" w:color="000000" w:sz="4" w:space="0"/>
              <w:left w:val="single" w:color="000000" w:sz="4" w:space="0"/>
              <w:bottom w:val="single" w:color="000000" w:sz="4" w:space="0"/>
              <w:right w:val="single" w:color="000000" w:sz="4" w:space="0"/>
            </w:tcBorders>
            <w:noWrap w:val="0"/>
            <w:vAlign w:val="center"/>
          </w:tcPr>
          <w:p w14:paraId="38CD4F6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机房改造</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511DD1F2">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砌墙建设一间机房（轻隔砖）（10公分厚）</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677094A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m²</w:t>
            </w:r>
          </w:p>
        </w:tc>
        <w:tc>
          <w:tcPr>
            <w:tcW w:w="642" w:type="dxa"/>
            <w:tcBorders>
              <w:top w:val="single" w:color="000000" w:sz="4" w:space="0"/>
              <w:left w:val="single" w:color="000000" w:sz="4" w:space="0"/>
              <w:bottom w:val="single" w:color="000000" w:sz="4" w:space="0"/>
              <w:right w:val="single" w:color="000000" w:sz="4" w:space="0"/>
            </w:tcBorders>
            <w:noWrap w:val="0"/>
            <w:vAlign w:val="center"/>
          </w:tcPr>
          <w:p w14:paraId="4EB925F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13</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72F39EAA">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08FE325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565EB179">
        <w:tblPrEx>
          <w:tblCellMar>
            <w:top w:w="0" w:type="dxa"/>
            <w:left w:w="108" w:type="dxa"/>
            <w:bottom w:w="0" w:type="dxa"/>
            <w:right w:w="108" w:type="dxa"/>
          </w:tblCellMar>
        </w:tblPrEx>
        <w:trPr>
          <w:trHeight w:val="678"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7011B8F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20</w:t>
            </w:r>
          </w:p>
        </w:tc>
        <w:tc>
          <w:tcPr>
            <w:tcW w:w="1111" w:type="dxa"/>
            <w:tcBorders>
              <w:top w:val="single" w:color="000000" w:sz="4" w:space="0"/>
              <w:left w:val="single" w:color="000000" w:sz="4" w:space="0"/>
              <w:bottom w:val="single" w:color="000000" w:sz="4" w:space="0"/>
              <w:right w:val="single" w:color="000000" w:sz="4" w:space="0"/>
            </w:tcBorders>
            <w:noWrap w:val="0"/>
            <w:vAlign w:val="center"/>
          </w:tcPr>
          <w:p w14:paraId="6B1D867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机房木门</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6088FE42">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实木木门</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4B13474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套</w:t>
            </w:r>
          </w:p>
        </w:tc>
        <w:tc>
          <w:tcPr>
            <w:tcW w:w="642" w:type="dxa"/>
            <w:tcBorders>
              <w:top w:val="single" w:color="000000" w:sz="4" w:space="0"/>
              <w:left w:val="single" w:color="000000" w:sz="4" w:space="0"/>
              <w:bottom w:val="single" w:color="000000" w:sz="4" w:space="0"/>
              <w:right w:val="single" w:color="000000" w:sz="4" w:space="0"/>
            </w:tcBorders>
            <w:noWrap w:val="0"/>
            <w:vAlign w:val="center"/>
          </w:tcPr>
          <w:p w14:paraId="2F2FC6E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7CA68E10">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3588F59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292DBF25">
        <w:tblPrEx>
          <w:tblCellMar>
            <w:top w:w="0" w:type="dxa"/>
            <w:left w:w="108" w:type="dxa"/>
            <w:bottom w:w="0" w:type="dxa"/>
            <w:right w:w="108" w:type="dxa"/>
          </w:tblCellMar>
        </w:tblPrEx>
        <w:trPr>
          <w:trHeight w:val="678"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078BC81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21</w:t>
            </w:r>
          </w:p>
        </w:tc>
        <w:tc>
          <w:tcPr>
            <w:tcW w:w="1111" w:type="dxa"/>
            <w:tcBorders>
              <w:top w:val="single" w:color="000000" w:sz="4" w:space="0"/>
              <w:left w:val="single" w:color="000000" w:sz="4" w:space="0"/>
              <w:bottom w:val="single" w:color="000000" w:sz="4" w:space="0"/>
              <w:right w:val="single" w:color="000000" w:sz="4" w:space="0"/>
            </w:tcBorders>
            <w:noWrap w:val="0"/>
            <w:vAlign w:val="center"/>
          </w:tcPr>
          <w:p w14:paraId="76594C0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拆除原先吊顶</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0F12076E">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人工机械等</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7941FC5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m²</w:t>
            </w:r>
          </w:p>
        </w:tc>
        <w:tc>
          <w:tcPr>
            <w:tcW w:w="642" w:type="dxa"/>
            <w:tcBorders>
              <w:top w:val="single" w:color="000000" w:sz="4" w:space="0"/>
              <w:left w:val="single" w:color="000000" w:sz="4" w:space="0"/>
              <w:bottom w:val="single" w:color="000000" w:sz="4" w:space="0"/>
              <w:right w:val="single" w:color="000000" w:sz="4" w:space="0"/>
            </w:tcBorders>
            <w:noWrap w:val="0"/>
            <w:vAlign w:val="center"/>
          </w:tcPr>
          <w:p w14:paraId="5DCF776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71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6C5638B7">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5BD4365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084C118B">
        <w:tblPrEx>
          <w:tblCellMar>
            <w:top w:w="0" w:type="dxa"/>
            <w:left w:w="108" w:type="dxa"/>
            <w:bottom w:w="0" w:type="dxa"/>
            <w:right w:w="108" w:type="dxa"/>
          </w:tblCellMar>
        </w:tblPrEx>
        <w:trPr>
          <w:trHeight w:val="678"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0031BB7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22</w:t>
            </w:r>
          </w:p>
        </w:tc>
        <w:tc>
          <w:tcPr>
            <w:tcW w:w="1111" w:type="dxa"/>
            <w:tcBorders>
              <w:top w:val="single" w:color="000000" w:sz="4" w:space="0"/>
              <w:left w:val="single" w:color="000000" w:sz="4" w:space="0"/>
              <w:bottom w:val="single" w:color="000000" w:sz="4" w:space="0"/>
              <w:right w:val="single" w:color="000000" w:sz="4" w:space="0"/>
            </w:tcBorders>
            <w:noWrap w:val="0"/>
            <w:vAlign w:val="center"/>
          </w:tcPr>
          <w:p w14:paraId="3850052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拆除原先地板</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281FCF91">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人工机械等</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4F205DB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m²</w:t>
            </w:r>
          </w:p>
        </w:tc>
        <w:tc>
          <w:tcPr>
            <w:tcW w:w="642" w:type="dxa"/>
            <w:tcBorders>
              <w:top w:val="single" w:color="000000" w:sz="4" w:space="0"/>
              <w:left w:val="single" w:color="000000" w:sz="4" w:space="0"/>
              <w:bottom w:val="single" w:color="000000" w:sz="4" w:space="0"/>
              <w:right w:val="single" w:color="000000" w:sz="4" w:space="0"/>
            </w:tcBorders>
            <w:noWrap w:val="0"/>
            <w:vAlign w:val="center"/>
          </w:tcPr>
          <w:p w14:paraId="703E319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71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65A63685">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3379EC8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31B12C30">
        <w:tblPrEx>
          <w:tblCellMar>
            <w:top w:w="0" w:type="dxa"/>
            <w:left w:w="108" w:type="dxa"/>
            <w:bottom w:w="0" w:type="dxa"/>
            <w:right w:w="108" w:type="dxa"/>
          </w:tblCellMar>
        </w:tblPrEx>
        <w:trPr>
          <w:trHeight w:val="1011"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2D1ADEA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23</w:t>
            </w:r>
          </w:p>
        </w:tc>
        <w:tc>
          <w:tcPr>
            <w:tcW w:w="1111" w:type="dxa"/>
            <w:tcBorders>
              <w:top w:val="single" w:color="000000" w:sz="4" w:space="0"/>
              <w:left w:val="single" w:color="000000" w:sz="4" w:space="0"/>
              <w:bottom w:val="single" w:color="000000" w:sz="4" w:space="0"/>
              <w:right w:val="single" w:color="000000" w:sz="4" w:space="0"/>
            </w:tcBorders>
            <w:noWrap w:val="0"/>
            <w:vAlign w:val="center"/>
          </w:tcPr>
          <w:p w14:paraId="0C5B02A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石膏板吊顶安装</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6CDF9371">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石膏板吊顶改造</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73EDC36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m²</w:t>
            </w:r>
          </w:p>
        </w:tc>
        <w:tc>
          <w:tcPr>
            <w:tcW w:w="642" w:type="dxa"/>
            <w:tcBorders>
              <w:top w:val="single" w:color="000000" w:sz="4" w:space="0"/>
              <w:left w:val="single" w:color="000000" w:sz="4" w:space="0"/>
              <w:bottom w:val="single" w:color="000000" w:sz="4" w:space="0"/>
              <w:right w:val="single" w:color="000000" w:sz="4" w:space="0"/>
            </w:tcBorders>
            <w:noWrap w:val="0"/>
            <w:vAlign w:val="center"/>
          </w:tcPr>
          <w:p w14:paraId="6CC12B3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71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4D0157F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吊架 石膏板及其他辅材等</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4A39EB7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26CDDC36">
        <w:tblPrEx>
          <w:tblCellMar>
            <w:top w:w="0" w:type="dxa"/>
            <w:left w:w="108" w:type="dxa"/>
            <w:bottom w:w="0" w:type="dxa"/>
            <w:right w:w="108" w:type="dxa"/>
          </w:tblCellMar>
        </w:tblPrEx>
        <w:trPr>
          <w:trHeight w:val="678"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4816A1A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24</w:t>
            </w:r>
          </w:p>
        </w:tc>
        <w:tc>
          <w:tcPr>
            <w:tcW w:w="1111" w:type="dxa"/>
            <w:tcBorders>
              <w:top w:val="single" w:color="000000" w:sz="4" w:space="0"/>
              <w:left w:val="single" w:color="000000" w:sz="4" w:space="0"/>
              <w:bottom w:val="single" w:color="000000" w:sz="4" w:space="0"/>
              <w:right w:val="single" w:color="000000" w:sz="4" w:space="0"/>
            </w:tcBorders>
            <w:noWrap w:val="0"/>
            <w:vAlign w:val="center"/>
          </w:tcPr>
          <w:p w14:paraId="0B12229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地面找平处理</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704313E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地面找平处理</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18ED364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m²</w:t>
            </w:r>
          </w:p>
        </w:tc>
        <w:tc>
          <w:tcPr>
            <w:tcW w:w="642" w:type="dxa"/>
            <w:tcBorders>
              <w:top w:val="single" w:color="000000" w:sz="4" w:space="0"/>
              <w:left w:val="single" w:color="000000" w:sz="4" w:space="0"/>
              <w:bottom w:val="single" w:color="000000" w:sz="4" w:space="0"/>
              <w:right w:val="single" w:color="000000" w:sz="4" w:space="0"/>
            </w:tcBorders>
            <w:noWrap w:val="0"/>
            <w:vAlign w:val="center"/>
          </w:tcPr>
          <w:p w14:paraId="0A579E3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71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7C7618B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自流平找平</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6A70DF1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5C9C76AB">
        <w:tblPrEx>
          <w:tblCellMar>
            <w:top w:w="0" w:type="dxa"/>
            <w:left w:w="108" w:type="dxa"/>
            <w:bottom w:w="0" w:type="dxa"/>
            <w:right w:w="108" w:type="dxa"/>
          </w:tblCellMar>
        </w:tblPrEx>
        <w:trPr>
          <w:trHeight w:val="70"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53386A4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25</w:t>
            </w:r>
          </w:p>
        </w:tc>
        <w:tc>
          <w:tcPr>
            <w:tcW w:w="1111" w:type="dxa"/>
            <w:tcBorders>
              <w:top w:val="single" w:color="000000" w:sz="4" w:space="0"/>
              <w:left w:val="single" w:color="000000" w:sz="4" w:space="0"/>
              <w:bottom w:val="single" w:color="000000" w:sz="4" w:space="0"/>
              <w:right w:val="single" w:color="000000" w:sz="4" w:space="0"/>
            </w:tcBorders>
            <w:noWrap w:val="0"/>
            <w:vAlign w:val="center"/>
          </w:tcPr>
          <w:p w14:paraId="35E4A7C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地胶安装</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1868E47C">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地板更换地胶2mm厚</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46A6105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m²</w:t>
            </w:r>
          </w:p>
        </w:tc>
        <w:tc>
          <w:tcPr>
            <w:tcW w:w="642" w:type="dxa"/>
            <w:tcBorders>
              <w:top w:val="single" w:color="000000" w:sz="4" w:space="0"/>
              <w:left w:val="single" w:color="000000" w:sz="4" w:space="0"/>
              <w:bottom w:val="single" w:color="000000" w:sz="4" w:space="0"/>
              <w:right w:val="single" w:color="000000" w:sz="4" w:space="0"/>
            </w:tcBorders>
            <w:noWrap w:val="0"/>
            <w:vAlign w:val="center"/>
          </w:tcPr>
          <w:p w14:paraId="6273682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71</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760F7BB3">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684679D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264BFE64">
        <w:tblPrEx>
          <w:tblCellMar>
            <w:top w:w="0" w:type="dxa"/>
            <w:left w:w="108" w:type="dxa"/>
            <w:bottom w:w="0" w:type="dxa"/>
            <w:right w:w="108" w:type="dxa"/>
          </w:tblCellMar>
        </w:tblPrEx>
        <w:trPr>
          <w:trHeight w:val="73"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5C2101C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26</w:t>
            </w:r>
          </w:p>
        </w:tc>
        <w:tc>
          <w:tcPr>
            <w:tcW w:w="1111" w:type="dxa"/>
            <w:tcBorders>
              <w:top w:val="single" w:color="000000" w:sz="4" w:space="0"/>
              <w:left w:val="single" w:color="000000" w:sz="4" w:space="0"/>
              <w:bottom w:val="single" w:color="000000" w:sz="4" w:space="0"/>
              <w:right w:val="single" w:color="000000" w:sz="4" w:space="0"/>
            </w:tcBorders>
            <w:noWrap w:val="0"/>
            <w:vAlign w:val="center"/>
          </w:tcPr>
          <w:p w14:paraId="51249D4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墙面整体粉刷</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794C3E84">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刮腻子整体粉刷3遍</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3ABD751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m²</w:t>
            </w:r>
          </w:p>
        </w:tc>
        <w:tc>
          <w:tcPr>
            <w:tcW w:w="642" w:type="dxa"/>
            <w:tcBorders>
              <w:top w:val="single" w:color="000000" w:sz="4" w:space="0"/>
              <w:left w:val="single" w:color="000000" w:sz="4" w:space="0"/>
              <w:bottom w:val="single" w:color="000000" w:sz="4" w:space="0"/>
              <w:right w:val="single" w:color="000000" w:sz="4" w:space="0"/>
            </w:tcBorders>
            <w:noWrap w:val="0"/>
            <w:vAlign w:val="center"/>
          </w:tcPr>
          <w:p w14:paraId="7D20243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137</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55E8198A">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37FE265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r w14:paraId="07A4633A">
        <w:tblPrEx>
          <w:tblCellMar>
            <w:top w:w="0" w:type="dxa"/>
            <w:left w:w="108" w:type="dxa"/>
            <w:bottom w:w="0" w:type="dxa"/>
            <w:right w:w="108" w:type="dxa"/>
          </w:tblCellMar>
        </w:tblPrEx>
        <w:trPr>
          <w:trHeight w:val="492" w:hRule="atLeast"/>
          <w:jc w:val="center"/>
        </w:trPr>
        <w:tc>
          <w:tcPr>
            <w:tcW w:w="473" w:type="dxa"/>
            <w:tcBorders>
              <w:top w:val="single" w:color="000000" w:sz="4" w:space="0"/>
              <w:left w:val="single" w:color="000000" w:sz="4" w:space="0"/>
              <w:bottom w:val="single" w:color="000000" w:sz="4" w:space="0"/>
              <w:right w:val="single" w:color="000000" w:sz="4" w:space="0"/>
            </w:tcBorders>
            <w:noWrap/>
            <w:vAlign w:val="center"/>
          </w:tcPr>
          <w:p w14:paraId="624B432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27</w:t>
            </w:r>
          </w:p>
        </w:tc>
        <w:tc>
          <w:tcPr>
            <w:tcW w:w="1111" w:type="dxa"/>
            <w:tcBorders>
              <w:top w:val="single" w:color="000000" w:sz="4" w:space="0"/>
              <w:left w:val="single" w:color="000000" w:sz="4" w:space="0"/>
              <w:bottom w:val="single" w:color="000000" w:sz="4" w:space="0"/>
              <w:right w:val="single" w:color="000000" w:sz="4" w:space="0"/>
            </w:tcBorders>
            <w:noWrap w:val="0"/>
            <w:vAlign w:val="center"/>
          </w:tcPr>
          <w:p w14:paraId="2CD07EC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沙盘钢化玻璃护栏</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71B9AB02">
            <w:pPr>
              <w:widowControl/>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沙盘钢化玻璃护栏</w:t>
            </w:r>
          </w:p>
        </w:tc>
        <w:tc>
          <w:tcPr>
            <w:tcW w:w="531" w:type="dxa"/>
            <w:tcBorders>
              <w:top w:val="single" w:color="000000" w:sz="4" w:space="0"/>
              <w:left w:val="single" w:color="000000" w:sz="4" w:space="0"/>
              <w:bottom w:val="single" w:color="000000" w:sz="4" w:space="0"/>
              <w:right w:val="single" w:color="000000" w:sz="4" w:space="0"/>
            </w:tcBorders>
            <w:noWrap w:val="0"/>
            <w:vAlign w:val="center"/>
          </w:tcPr>
          <w:p w14:paraId="1B98E71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米</w:t>
            </w:r>
          </w:p>
        </w:tc>
        <w:tc>
          <w:tcPr>
            <w:tcW w:w="642" w:type="dxa"/>
            <w:tcBorders>
              <w:top w:val="single" w:color="000000" w:sz="4" w:space="0"/>
              <w:left w:val="single" w:color="000000" w:sz="4" w:space="0"/>
              <w:bottom w:val="single" w:color="000000" w:sz="4" w:space="0"/>
              <w:right w:val="single" w:color="000000" w:sz="4" w:space="0"/>
            </w:tcBorders>
            <w:noWrap w:val="0"/>
            <w:vAlign w:val="center"/>
          </w:tcPr>
          <w:p w14:paraId="356ECFA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t>8.9</w:t>
            </w:r>
          </w:p>
        </w:tc>
        <w:tc>
          <w:tcPr>
            <w:tcW w:w="4636" w:type="dxa"/>
            <w:tcBorders>
              <w:top w:val="single" w:color="000000" w:sz="4" w:space="0"/>
              <w:left w:val="single" w:color="000000" w:sz="4" w:space="0"/>
              <w:bottom w:val="single" w:color="000000" w:sz="4" w:space="0"/>
              <w:right w:val="single" w:color="000000" w:sz="4" w:space="0"/>
            </w:tcBorders>
            <w:noWrap w:val="0"/>
            <w:vAlign w:val="center"/>
          </w:tcPr>
          <w:p w14:paraId="54F1811E">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tc>
        <w:tc>
          <w:tcPr>
            <w:tcW w:w="970" w:type="dxa"/>
            <w:tcBorders>
              <w:top w:val="single" w:color="000000" w:sz="4" w:space="0"/>
              <w:left w:val="single" w:color="000000" w:sz="4" w:space="0"/>
              <w:bottom w:val="single" w:color="000000" w:sz="4" w:space="0"/>
              <w:right w:val="single" w:color="000000" w:sz="4" w:space="0"/>
            </w:tcBorders>
            <w:noWrap/>
            <w:vAlign w:val="center"/>
          </w:tcPr>
          <w:p w14:paraId="6EA5572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定制</w:t>
            </w:r>
          </w:p>
        </w:tc>
      </w:tr>
    </w:tbl>
    <w:p w14:paraId="32E46C80">
      <w:pPr>
        <w:pStyle w:val="4"/>
        <w:spacing w:before="0" w:after="0" w:line="360" w:lineRule="auto"/>
        <w:jc w:val="lef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本项目核心产品为：投影机。</w:t>
      </w:r>
    </w:p>
    <w:p w14:paraId="6EB3E641">
      <w:pPr>
        <w:pStyle w:val="4"/>
        <w:spacing w:before="0" w:after="0" w:line="360" w:lineRule="auto"/>
        <w:jc w:val="left"/>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三</w:t>
      </w:r>
      <w:r>
        <w:rPr>
          <w:rFonts w:ascii="宋体" w:hAnsi="宋体" w:eastAsia="宋体"/>
          <w:color w:val="000000" w:themeColor="text1"/>
          <w:sz w:val="21"/>
          <w:szCs w:val="21"/>
          <w14:textFill>
            <w14:solidFill>
              <w14:schemeClr w14:val="tx1"/>
            </w14:solidFill>
          </w14:textFill>
        </w:rPr>
        <w:t>、售后技术服务要求</w:t>
      </w:r>
    </w:p>
    <w:p w14:paraId="5EC48323">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t>1.安装要求：</w:t>
      </w:r>
    </w:p>
    <w:p w14:paraId="52606862">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1</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中标人应遵守现场的一切规章制度，文明安装；出现任何安全事故，责任由乙方自行承担；</w:t>
      </w:r>
    </w:p>
    <w:p w14:paraId="7162E303">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2</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中标人负责保管、看护进场的设备及附配件直至完成安装调试，验收合格后交付需方；中标人负责设备、安装设备</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工具</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等提供适当的保护、包装或覆盖等处理，直至验收合格，以免受损；</w:t>
      </w:r>
    </w:p>
    <w:p w14:paraId="147C0F93">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3</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中标人施工工人在运输装卸途中对其他工程及邻近设备、管线等造成损坏；对空间设施、墙面、顶面和地面等破损应由中标人负责修复回原样及承担一切费用；</w:t>
      </w:r>
    </w:p>
    <w:p w14:paraId="5B341626">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4</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无论安装、调试期间或保修过程中，中标人负责及时清理垃圾。并将所有垃圾带离学校；</w:t>
      </w:r>
    </w:p>
    <w:p w14:paraId="646639C5">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5</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中标人将货物交付使用方使用前发生的风险和施工安全责任均需中标人负责；中标人在货物配送、安装过程中必须无条件满足采购人安全使用的要求，否则因此产生的问题由中标人负责，因整改产生的费用由中标人承担。</w:t>
      </w:r>
    </w:p>
    <w:p w14:paraId="1011FD65">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t>2.验收要求：</w:t>
      </w:r>
    </w:p>
    <w:p w14:paraId="2396EA17">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t>标准：按照最新建设规范等相关国家、地方标准及要求执行，安装调试过程的资料齐全完整；系统运行良好，全部达到招标文件的功能和相关标准要求。</w:t>
      </w:r>
    </w:p>
    <w:p w14:paraId="0943F388">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1</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产品配置必须原厂出厂时全部自带，所有设备外包装箱不得自行拆封，包装箱上所有标签等不得涂改或撕毁，否则采购单位有权拒绝验收；</w:t>
      </w:r>
    </w:p>
    <w:p w14:paraId="1D5E7BB2">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2</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标的物交付使用前，中标人应及时向采购人提供完善的竣工资料和培训服务</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包含空调管控系统操作</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，并在得到采购人认可后方可进行项目验收。</w:t>
      </w:r>
    </w:p>
    <w:p w14:paraId="4C124C3E">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3</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本项目成交单位的报价包含了采购人现有场地条件下，进行成交设备的安装调试达到可使用状态，并验收合格前的所有费用及现场所有的配套管理费用。</w:t>
      </w:r>
    </w:p>
    <w:p w14:paraId="603B1BD9">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t>3.售后服务要求：</w:t>
      </w:r>
    </w:p>
    <w:p w14:paraId="11D330C8">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t>经双方验收合格之日起为质保期、保修期开始，质保期为2年，保修期为3年，乙方应上门保修，对项目货物及服务在质保期内实行包修等服务。在质保期内如有货物</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设备</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或部件不能使用需更换，则该部分货物</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设备</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或部件质保期相应延长。质保期内所产生的一切费用均由乙方承担。保修期过后，由乙方长期提供维修，在维修过程中只收取更换的零配件费用，乙方在接到维修电话后8小时内必须赶到现场维修。</w:t>
      </w:r>
    </w:p>
    <w:p w14:paraId="7387A5B1">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t>5.技术服务等要求：</w:t>
      </w:r>
    </w:p>
    <w:p w14:paraId="05C639BA">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1</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所有设备、附</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配</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件应具备该类产品的功能要求，无瑕疵和缺陷，质量为合格产品， 同时有明确的生产厂商或制造厂商；</w:t>
      </w:r>
    </w:p>
    <w:p w14:paraId="066ECA48">
      <w:pPr>
        <w:pStyle w:val="6"/>
        <w:adjustRightInd w:val="0"/>
        <w:snapToGrid w:val="0"/>
        <w:spacing w:line="360" w:lineRule="exact"/>
        <w:ind w:firstLine="302" w:firstLineChars="144"/>
        <w:rPr>
          <w:rFonts w:hint="default" w:ascii="Calibri" w:hAnsi="Calibri"/>
          <w:color w:val="000000" w:themeColor="text1"/>
          <w:szCs w:val="24"/>
          <w14:textFill>
            <w14:solidFill>
              <w14:schemeClr w14:val="tx1"/>
            </w14:solidFill>
          </w14:textFill>
        </w:rPr>
      </w:pP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2</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对于出卖的标的物，乙方应当拥有完整物权，并且乙方负有保证第三人不得向甲方主张任何权利</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包括知识产权</w:t>
      </w:r>
      <w:r>
        <w:rPr>
          <w:rFonts w:hint="eastAsia" w:ascii="Calibri" w:hAnsi="Calibri"/>
          <w:color w:val="000000" w:themeColor="text1"/>
          <w:szCs w:val="24"/>
          <w:lang w:eastAsia="zh-CN"/>
          <w14:textFill>
            <w14:solidFill>
              <w14:schemeClr w14:val="tx1"/>
            </w14:solidFill>
          </w14:textFill>
        </w:rPr>
        <w:t>）</w:t>
      </w:r>
      <w:r>
        <w:rPr>
          <w:rFonts w:ascii="Calibri" w:hAnsi="Calibri"/>
          <w:color w:val="000000" w:themeColor="text1"/>
          <w:szCs w:val="24"/>
          <w14:textFill>
            <w14:solidFill>
              <w14:schemeClr w14:val="tx1"/>
            </w14:solidFill>
          </w14:textFill>
        </w:rPr>
        <w:t>的义务。</w:t>
      </w:r>
    </w:p>
    <w:p w14:paraId="2A8E8FCB">
      <w:pPr>
        <w:pStyle w:val="6"/>
        <w:adjustRightInd w:val="0"/>
        <w:snapToGrid w:val="0"/>
        <w:spacing w:line="360" w:lineRule="exact"/>
        <w:ind w:firstLine="302" w:firstLineChars="144"/>
        <w:rPr>
          <w:rFonts w:hint="default" w:ascii="Calibri" w:hAnsi="Calibri"/>
          <w:color w:val="000000" w:themeColor="text1"/>
          <w:szCs w:val="24"/>
          <w14:textFill>
            <w14:solidFill>
              <w14:schemeClr w14:val="tx1"/>
            </w14:solidFill>
          </w14:textFill>
        </w:rPr>
      </w:pPr>
      <w:r>
        <w:rPr>
          <w:rFonts w:ascii="Calibri" w:hAnsi="Calibri"/>
          <w:color w:val="000000" w:themeColor="text1"/>
          <w:szCs w:val="24"/>
          <w14:textFill>
            <w14:solidFill>
              <w14:schemeClr w14:val="tx1"/>
            </w14:solidFill>
          </w14:textFill>
        </w:rPr>
        <w:t>（</w:t>
      </w:r>
      <w:r>
        <w:rPr>
          <w:rFonts w:hint="default" w:ascii="Calibri" w:hAnsi="Calibri"/>
          <w:color w:val="000000" w:themeColor="text1"/>
          <w:szCs w:val="24"/>
          <w14:textFill>
            <w14:solidFill>
              <w14:schemeClr w14:val="tx1"/>
            </w14:solidFill>
          </w14:textFill>
        </w:rPr>
        <w:t>3</w:t>
      </w:r>
      <w:r>
        <w:rPr>
          <w:rFonts w:ascii="Calibri" w:hAnsi="Calibri"/>
          <w:color w:val="000000" w:themeColor="text1"/>
          <w:szCs w:val="24"/>
          <w14:textFill>
            <w14:solidFill>
              <w14:schemeClr w14:val="tx1"/>
            </w14:solidFill>
          </w14:textFill>
        </w:rPr>
        <w:t>）承包人要接到采购人处理问题通知后随喊随到。在服务期内，一旦甲方需要乙方进行服务，乙方保证在接到通知2小时内响应，4小时内赶到现场进行对接。如乙方在接到通知后2小时内没有答复，则视为乙方未响应甲方需求，每有一次罚款500元，服务期内超过3次未响应甲方需求，甲方有权单方解除合同，且采购人采取其他补救措施，其补救费用由中标人承担。</w:t>
      </w:r>
    </w:p>
    <w:p w14:paraId="07696E12">
      <w:pPr>
        <w:pStyle w:val="6"/>
        <w:adjustRightInd w:val="0"/>
        <w:snapToGrid w:val="0"/>
        <w:spacing w:line="360" w:lineRule="exact"/>
        <w:ind w:firstLine="302" w:firstLineChars="144"/>
        <w:rPr>
          <w:rFonts w:ascii="Calibri" w:hAnsi="Calibri"/>
          <w:color w:val="000000" w:themeColor="text1"/>
          <w:szCs w:val="24"/>
          <w14:textFill>
            <w14:solidFill>
              <w14:schemeClr w14:val="tx1"/>
            </w14:solidFill>
          </w14:textFill>
        </w:rPr>
      </w:pPr>
      <w:r>
        <w:rPr>
          <w:rFonts w:hint="default" w:ascii="Calibri" w:hAnsi="Calibri"/>
          <w:color w:val="000000" w:themeColor="text1"/>
          <w:szCs w:val="24"/>
          <w14:textFill>
            <w14:solidFill>
              <w14:schemeClr w14:val="tx1"/>
            </w14:solidFill>
          </w14:textFill>
        </w:rPr>
        <w:t>6.</w:t>
      </w:r>
      <w:r>
        <w:rPr>
          <w:rFonts w:ascii="Calibri" w:hAnsi="Calibri"/>
          <w:color w:val="000000" w:themeColor="text1"/>
          <w:szCs w:val="24"/>
          <w14:textFill>
            <w14:solidFill>
              <w14:schemeClr w14:val="tx1"/>
            </w14:solidFill>
          </w14:textFill>
        </w:rPr>
        <w:t>采购标的的所属行业为</w:t>
      </w:r>
      <w:r>
        <w:rPr>
          <w:rFonts w:ascii="Calibri" w:hAnsi="Calibri"/>
          <w:color w:val="000000" w:themeColor="text1"/>
          <w:szCs w:val="24"/>
          <w:u w:val="single"/>
          <w14:textFill>
            <w14:solidFill>
              <w14:schemeClr w14:val="tx1"/>
            </w14:solidFill>
          </w14:textFill>
        </w:rPr>
        <w:t>工业</w:t>
      </w:r>
      <w:r>
        <w:rPr>
          <w:rFonts w:ascii="Calibri" w:hAnsi="Calibri"/>
          <w:color w:val="000000" w:themeColor="text1"/>
          <w:szCs w:val="24"/>
          <w14:textFill>
            <w14:solidFill>
              <w14:schemeClr w14:val="tx1"/>
            </w14:solidFill>
          </w14:textFill>
        </w:rPr>
        <w:t>。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p>
    <w:p w14:paraId="18FF1A62">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2312">
    <w:altName w:val="宋体"/>
    <w:panose1 w:val="02000000000000000000"/>
    <w:charset w:val="86"/>
    <w:family w:val="auto"/>
    <w:pitch w:val="default"/>
    <w:sig w:usb0="00000000" w:usb1="00000000" w:usb2="00000012" w:usb3="00000000" w:csb0="00040001"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xYTZiMTQ4MDI4ZGY0MzQ3YWU2NTY5MmJmOWM2OWUifQ=="/>
  </w:docVars>
  <w:rsids>
    <w:rsidRoot w:val="00000000"/>
    <w:rsid w:val="4A9E3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outlineLvl w:val="0"/>
    </w:pPr>
    <w:rPr>
      <w:rFonts w:ascii="方正楷体_GB2312" w:hAnsi="Times New Roman" w:eastAsia="方正楷体_GB2312" w:cs="Times New Roman"/>
      <w:sz w:val="28"/>
      <w:szCs w:val="20"/>
    </w:rPr>
  </w:style>
  <w:style w:type="paragraph" w:styleId="4">
    <w:name w:val="heading 2"/>
    <w:basedOn w:val="1"/>
    <w:next w:val="5"/>
    <w:qFormat/>
    <w:uiPriority w:val="0"/>
    <w:pPr>
      <w:keepNext/>
      <w:keepLines/>
      <w:spacing w:before="260" w:after="260" w:line="416" w:lineRule="auto"/>
      <w:jc w:val="center"/>
      <w:outlineLvl w:val="1"/>
    </w:pPr>
    <w:rPr>
      <w:rFonts w:ascii="Arial" w:hAnsi="Arial" w:eastAsia="幼圆" w:cs="Times New Roman"/>
      <w:b/>
      <w:sz w:val="44"/>
      <w:szCs w:val="20"/>
    </w:rPr>
  </w:style>
  <w:style w:type="paragraph" w:styleId="2">
    <w:name w:val="heading 4"/>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5">
    <w:name w:val="Normal Indent"/>
    <w:basedOn w:val="1"/>
    <w:uiPriority w:val="0"/>
    <w:pPr>
      <w:ind w:firstLine="420"/>
    </w:pPr>
    <w:rPr>
      <w:rFonts w:ascii="Times New Roman" w:hAnsi="Times New Roman" w:eastAsia="宋体" w:cs="Times New Roman"/>
      <w:szCs w:val="20"/>
    </w:rPr>
  </w:style>
  <w:style w:type="paragraph" w:styleId="6">
    <w:name w:val="Plain Text"/>
    <w:basedOn w:val="1"/>
    <w:uiPriority w:val="0"/>
    <w:rPr>
      <w:rFonts w:hint="eastAsia" w:ascii="宋体" w:hAnsi="Courier New" w:eastAsia="宋体" w:cs="Times New Roman"/>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2024-10-22T15:25:45Z</dcterms:created>
  <dc:creator>86139</dc:creator>
  <cp:lastModifiedBy>陈小乙</cp:lastModifiedBy>
  <dcterms:modified xsi:type="dcterms:W3CDTF">2024-10-22T15:26:24Z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614EE1241E8740ADA85A1FB8B3590BAF_12</vt:lpwstr>
  </property>
</Properties>
</file>