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7E6863">
      <w:pPr>
        <w:pStyle w:val="4"/>
        <w:jc w:val="center"/>
        <w:outlineLvl w:val="3"/>
        <w:rPr>
          <w:rFonts w:hint="default"/>
        </w:rPr>
      </w:pPr>
      <w:r>
        <w:rPr>
          <w:b/>
          <w:sz w:val="24"/>
        </w:rPr>
        <w:t>实质性响应一览表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3"/>
        <w:gridCol w:w="4806"/>
        <w:gridCol w:w="1739"/>
        <w:gridCol w:w="1076"/>
      </w:tblGrid>
      <w:tr w14:paraId="67FB58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3" w:type="dxa"/>
            <w:noWrap w:val="0"/>
            <w:vAlign w:val="top"/>
          </w:tcPr>
          <w:p w14:paraId="36CD4A3A">
            <w:pPr>
              <w:pStyle w:val="4"/>
              <w:rPr>
                <w:rFonts w:hint="default"/>
              </w:rPr>
            </w:pPr>
            <w:r>
              <w:t>序号</w:t>
            </w:r>
          </w:p>
        </w:tc>
        <w:tc>
          <w:tcPr>
            <w:tcW w:w="4806" w:type="dxa"/>
            <w:noWrap w:val="0"/>
            <w:vAlign w:val="top"/>
          </w:tcPr>
          <w:p w14:paraId="065FF2A5">
            <w:pPr>
              <w:pStyle w:val="4"/>
              <w:rPr>
                <w:rFonts w:hint="default"/>
              </w:rPr>
            </w:pPr>
            <w:r>
              <w:t>实质性响应条款</w:t>
            </w:r>
          </w:p>
        </w:tc>
        <w:tc>
          <w:tcPr>
            <w:tcW w:w="1739" w:type="dxa"/>
            <w:noWrap w:val="0"/>
            <w:vAlign w:val="top"/>
          </w:tcPr>
          <w:p w14:paraId="6FEA6D5A">
            <w:pPr>
              <w:pStyle w:val="4"/>
              <w:rPr>
                <w:rFonts w:hint="default"/>
              </w:rPr>
            </w:pPr>
            <w:r>
              <w:t>投标人响应情况</w:t>
            </w:r>
          </w:p>
        </w:tc>
        <w:tc>
          <w:tcPr>
            <w:tcW w:w="1076" w:type="dxa"/>
            <w:noWrap w:val="0"/>
            <w:vAlign w:val="top"/>
          </w:tcPr>
          <w:p w14:paraId="7468384A">
            <w:pPr>
              <w:pStyle w:val="4"/>
              <w:rPr>
                <w:rFonts w:hint="default"/>
              </w:rPr>
            </w:pPr>
            <w:r>
              <w:t>差异</w:t>
            </w:r>
          </w:p>
        </w:tc>
      </w:tr>
      <w:tr w14:paraId="0210DE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3" w:type="dxa"/>
            <w:noWrap w:val="0"/>
            <w:vAlign w:val="top"/>
          </w:tcPr>
          <w:p w14:paraId="2F2BBF82">
            <w:pPr>
              <w:pStyle w:val="4"/>
              <w:rPr>
                <w:rFonts w:hint="default"/>
              </w:rPr>
            </w:pPr>
            <w:r>
              <w:t>1</w:t>
            </w:r>
          </w:p>
        </w:tc>
        <w:tc>
          <w:tcPr>
            <w:tcW w:w="4806" w:type="dxa"/>
            <w:noWrap w:val="0"/>
            <w:vAlign w:val="top"/>
          </w:tcPr>
          <w:p w14:paraId="15651522">
            <w:pPr>
              <w:rPr>
                <w:rFonts w:hint="eastAsia"/>
                <w:sz w:val="20"/>
                <w:szCs w:val="20"/>
              </w:rPr>
            </w:pPr>
            <w:r>
              <w:rPr>
                <w:rFonts w:hint="eastAsia" w:ascii="仿宋_GB2312" w:hAnsi="仿宋_GB2312" w:eastAsia="仿宋_GB2312" w:cs="仿宋_GB2312"/>
                <w:sz w:val="20"/>
                <w:szCs w:val="20"/>
              </w:rPr>
              <w:t>★项目经理作为本项目安全管理的第一责任人，对项目的电梯、安全、应急管理具有监督管理的重要职责，要求驻场项目经理具有</w:t>
            </w:r>
            <w:r>
              <w:rPr>
                <w:rFonts w:hint="eastAsia" w:ascii="仿宋_GB2312" w:hAnsi="仿宋_GB2312" w:eastAsia="仿宋_GB2312" w:cs="仿宋_GB2312"/>
                <w:sz w:val="20"/>
                <w:szCs w:val="20"/>
                <w:lang w:val="en-US" w:eastAsia="zh-CN"/>
              </w:rPr>
              <w:t>人社部门或消防部门颁发的</w:t>
            </w:r>
            <w:r>
              <w:rPr>
                <w:rFonts w:hint="eastAsia" w:ascii="仿宋_GB2312" w:hAnsi="仿宋_GB2312" w:eastAsia="仿宋_GB2312" w:cs="仿宋_GB2312"/>
                <w:sz w:val="20"/>
                <w:szCs w:val="20"/>
              </w:rPr>
              <w:t>《建（构）筑物消防员》证书（或消防设施操作员职业资格（技能等级）证书）（投标时提供证书扫描件</w:t>
            </w:r>
            <w:r>
              <w:rPr>
                <w:rFonts w:hint="eastAsia" w:ascii="仿宋_GB2312" w:hAnsi="仿宋_GB2312" w:eastAsia="仿宋_GB2312" w:cs="仿宋_GB2312"/>
                <w:sz w:val="20"/>
                <w:szCs w:val="20"/>
                <w:lang w:val="en-US" w:eastAsia="zh-CN"/>
              </w:rPr>
              <w:t>并</w:t>
            </w:r>
            <w:r>
              <w:rPr>
                <w:rFonts w:hint="eastAsia" w:ascii="仿宋_GB2312" w:hAnsi="仿宋_GB2312" w:eastAsia="仿宋_GB2312" w:cs="仿宋_GB2312"/>
                <w:sz w:val="20"/>
                <w:szCs w:val="20"/>
              </w:rPr>
              <w:t>承诺中标(成交)后配备</w:t>
            </w:r>
            <w:r>
              <w:rPr>
                <w:rFonts w:hint="eastAsia" w:ascii="仿宋_GB2312" w:hAnsi="仿宋_GB2312" w:eastAsia="仿宋_GB2312" w:cs="仿宋_GB2312"/>
                <w:sz w:val="20"/>
                <w:szCs w:val="20"/>
                <w:lang w:eastAsia="zh-CN"/>
              </w:rPr>
              <w:t>（</w:t>
            </w:r>
            <w:r>
              <w:rPr>
                <w:rFonts w:hint="eastAsia" w:ascii="仿宋_GB2312" w:hAnsi="仿宋_GB2312" w:eastAsia="仿宋_GB2312" w:cs="仿宋_GB2312"/>
                <w:sz w:val="20"/>
                <w:szCs w:val="20"/>
                <w:lang w:val="en-US" w:eastAsia="zh-CN"/>
              </w:rPr>
              <w:t>格式自拟</w:t>
            </w:r>
            <w:r>
              <w:rPr>
                <w:rFonts w:hint="eastAsia" w:ascii="仿宋_GB2312" w:hAnsi="仿宋_GB2312" w:eastAsia="仿宋_GB2312" w:cs="仿宋_GB2312"/>
                <w:sz w:val="20"/>
                <w:szCs w:val="20"/>
                <w:lang w:eastAsia="zh-CN"/>
              </w:rPr>
              <w:t>）</w:t>
            </w:r>
            <w:r>
              <w:rPr>
                <w:rFonts w:hint="eastAsia" w:ascii="仿宋_GB2312" w:hAnsi="仿宋_GB2312" w:eastAsia="仿宋_GB2312" w:cs="仿宋_GB2312"/>
                <w:sz w:val="20"/>
                <w:szCs w:val="20"/>
              </w:rPr>
              <w:t>）以及有效期内的政府部门颁发的特种设备安全管理和作业人员证书（作业项目：特种设备安全管理，项目代号：A）。（投标时提供证书扫描件</w:t>
            </w:r>
            <w:r>
              <w:rPr>
                <w:rFonts w:hint="eastAsia" w:ascii="仿宋_GB2312" w:hAnsi="仿宋_GB2312" w:eastAsia="仿宋_GB2312" w:cs="仿宋_GB2312"/>
                <w:sz w:val="20"/>
                <w:szCs w:val="20"/>
                <w:lang w:val="en-US" w:eastAsia="zh-CN"/>
              </w:rPr>
              <w:t>并</w:t>
            </w:r>
            <w:r>
              <w:rPr>
                <w:rFonts w:hint="eastAsia" w:ascii="仿宋_GB2312" w:hAnsi="仿宋_GB2312" w:eastAsia="仿宋_GB2312" w:cs="仿宋_GB2312"/>
                <w:sz w:val="20"/>
                <w:szCs w:val="20"/>
              </w:rPr>
              <w:t>承诺中标(成交)后配备</w:t>
            </w:r>
            <w:r>
              <w:rPr>
                <w:rFonts w:hint="eastAsia" w:ascii="仿宋_GB2312" w:hAnsi="仿宋_GB2312" w:eastAsia="仿宋_GB2312" w:cs="仿宋_GB2312"/>
                <w:sz w:val="20"/>
                <w:szCs w:val="20"/>
                <w:lang w:eastAsia="zh-CN"/>
              </w:rPr>
              <w:t>（</w:t>
            </w:r>
            <w:r>
              <w:rPr>
                <w:rFonts w:hint="eastAsia" w:ascii="仿宋_GB2312" w:hAnsi="仿宋_GB2312" w:eastAsia="仿宋_GB2312" w:cs="仿宋_GB2312"/>
                <w:sz w:val="20"/>
                <w:szCs w:val="20"/>
                <w:lang w:val="en-US" w:eastAsia="zh-CN"/>
              </w:rPr>
              <w:t>格式自拟</w:t>
            </w:r>
            <w:r>
              <w:rPr>
                <w:rFonts w:hint="eastAsia" w:ascii="仿宋_GB2312" w:hAnsi="仿宋_GB2312" w:eastAsia="仿宋_GB2312" w:cs="仿宋_GB2312"/>
                <w:sz w:val="20"/>
                <w:szCs w:val="20"/>
                <w:lang w:eastAsia="zh-CN"/>
              </w:rPr>
              <w:t>）</w:t>
            </w:r>
            <w:r>
              <w:rPr>
                <w:rFonts w:hint="eastAsia" w:ascii="仿宋_GB2312" w:hAnsi="仿宋_GB2312" w:eastAsia="仿宋_GB2312" w:cs="仿宋_GB2312"/>
                <w:sz w:val="20"/>
                <w:szCs w:val="20"/>
              </w:rPr>
              <w:t>）</w:t>
            </w:r>
          </w:p>
        </w:tc>
        <w:tc>
          <w:tcPr>
            <w:tcW w:w="1739" w:type="dxa"/>
            <w:noWrap w:val="0"/>
            <w:vAlign w:val="top"/>
          </w:tcPr>
          <w:p w14:paraId="4967FB95">
            <w:pPr>
              <w:rPr>
                <w:rFonts w:hint="eastAsia"/>
              </w:rPr>
            </w:pPr>
          </w:p>
        </w:tc>
        <w:tc>
          <w:tcPr>
            <w:tcW w:w="1076" w:type="dxa"/>
            <w:noWrap w:val="0"/>
            <w:vAlign w:val="top"/>
          </w:tcPr>
          <w:p w14:paraId="43139C2B">
            <w:pPr>
              <w:rPr>
                <w:rFonts w:hint="eastAsia"/>
              </w:rPr>
            </w:pPr>
          </w:p>
        </w:tc>
      </w:tr>
      <w:tr w14:paraId="7468BB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3" w:type="dxa"/>
            <w:noWrap w:val="0"/>
            <w:vAlign w:val="top"/>
          </w:tcPr>
          <w:p w14:paraId="37ECA2FA">
            <w:pPr>
              <w:pStyle w:val="4"/>
              <w:rPr>
                <w:rFonts w:hint="default"/>
              </w:rPr>
            </w:pPr>
            <w:r>
              <w:t xml:space="preserve"> 2</w:t>
            </w:r>
          </w:p>
        </w:tc>
        <w:tc>
          <w:tcPr>
            <w:tcW w:w="4806" w:type="dxa"/>
            <w:noWrap w:val="0"/>
            <w:vAlign w:val="top"/>
          </w:tcPr>
          <w:p w14:paraId="78736F22">
            <w:pPr>
              <w:pStyle w:val="4"/>
              <w:jc w:val="both"/>
              <w:rPr>
                <w:rFonts w:hint="eastAsia" w:ascii="仿宋_GB2312" w:hAnsi="仿宋_GB2312" w:eastAsia="仿宋_GB2312" w:cs="仿宋_GB2312"/>
                <w:kern w:val="2"/>
                <w:sz w:val="20"/>
                <w:szCs w:val="20"/>
                <w:lang w:val="en-US" w:eastAsia="zh-CN" w:bidi="ar-SA"/>
              </w:rPr>
            </w:pPr>
            <w:r>
              <w:rPr>
                <w:rFonts w:hint="eastAsia" w:ascii="仿宋_GB2312" w:hAnsi="仿宋_GB2312" w:eastAsia="仿宋_GB2312" w:cs="仿宋_GB2312"/>
                <w:kern w:val="2"/>
                <w:sz w:val="20"/>
                <w:szCs w:val="20"/>
                <w:lang w:val="en-US" w:eastAsia="zh-CN" w:bidi="ar-SA"/>
              </w:rPr>
              <w:t>★作为本项目技术总工，对高压系统、空调系统等重要设备具有监督管理的重要职责，要求项目技术总工具有政府应急管理部门颁发的特种作业操作证（操作项目：高压或低压电工作业）。（投标时提供证书扫描件并承诺中标(成交)后配备（格式自拟））</w:t>
            </w:r>
          </w:p>
        </w:tc>
        <w:tc>
          <w:tcPr>
            <w:tcW w:w="1739" w:type="dxa"/>
            <w:noWrap w:val="0"/>
            <w:vAlign w:val="top"/>
          </w:tcPr>
          <w:p w14:paraId="5572EE7D">
            <w:pPr>
              <w:rPr>
                <w:rFonts w:hint="eastAsia"/>
              </w:rPr>
            </w:pPr>
          </w:p>
        </w:tc>
        <w:tc>
          <w:tcPr>
            <w:tcW w:w="1076" w:type="dxa"/>
            <w:noWrap w:val="0"/>
            <w:vAlign w:val="top"/>
          </w:tcPr>
          <w:p w14:paraId="3CB5A578">
            <w:pPr>
              <w:rPr>
                <w:rFonts w:hint="eastAsia"/>
              </w:rPr>
            </w:pPr>
          </w:p>
        </w:tc>
      </w:tr>
      <w:tr w14:paraId="768A92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3" w:type="dxa"/>
            <w:noWrap w:val="0"/>
            <w:vAlign w:val="top"/>
          </w:tcPr>
          <w:p w14:paraId="47FB2E35">
            <w:pPr>
              <w:pStyle w:val="4"/>
              <w:rPr>
                <w:rFonts w:hint="eastAsia" w:eastAsia="宋体"/>
                <w:lang w:val="en-US" w:eastAsia="zh-CN"/>
              </w:rPr>
            </w:pPr>
            <w:r>
              <w:rPr>
                <w:rFonts w:hint="eastAsia"/>
                <w:lang w:val="en-US" w:eastAsia="zh-CN"/>
              </w:rPr>
              <w:t>3</w:t>
            </w:r>
          </w:p>
        </w:tc>
        <w:tc>
          <w:tcPr>
            <w:tcW w:w="4806" w:type="dxa"/>
            <w:noWrap w:val="0"/>
            <w:vAlign w:val="top"/>
          </w:tcPr>
          <w:p w14:paraId="2C06558B">
            <w:pPr>
              <w:pStyle w:val="4"/>
              <w:jc w:val="both"/>
              <w:rPr>
                <w:rFonts w:hint="eastAsia" w:ascii="仿宋_GB2312" w:hAnsi="仿宋_GB2312" w:eastAsia="仿宋_GB2312" w:cs="仿宋_GB2312"/>
                <w:kern w:val="2"/>
                <w:sz w:val="20"/>
                <w:szCs w:val="20"/>
                <w:lang w:val="en-US" w:eastAsia="zh-CN" w:bidi="ar-SA"/>
              </w:rPr>
            </w:pPr>
            <w:r>
              <w:rPr>
                <w:rFonts w:hint="eastAsia" w:ascii="仿宋_GB2312" w:hAnsi="仿宋_GB2312" w:eastAsia="仿宋_GB2312" w:cs="仿宋_GB2312"/>
                <w:kern w:val="2"/>
                <w:sz w:val="20"/>
                <w:szCs w:val="20"/>
                <w:lang w:val="en-US" w:eastAsia="zh-CN" w:bidi="ar-SA"/>
              </w:rPr>
              <w:t>★具有特种作业操作证（操作项目：高压或低压电工作业），特种设备安全管理和作业人员证（特种设备安全管理A 证及电梯修理T证）。（投标时提供证书扫描件并承诺中标(成交)后配备（格式自拟））。</w:t>
            </w:r>
            <w:bookmarkStart w:id="0" w:name="_GoBack"/>
            <w:bookmarkEnd w:id="0"/>
          </w:p>
        </w:tc>
        <w:tc>
          <w:tcPr>
            <w:tcW w:w="1739" w:type="dxa"/>
            <w:noWrap w:val="0"/>
            <w:vAlign w:val="top"/>
          </w:tcPr>
          <w:p w14:paraId="5EB6F463">
            <w:pPr>
              <w:rPr>
                <w:rFonts w:hint="eastAsia"/>
              </w:rPr>
            </w:pPr>
          </w:p>
        </w:tc>
        <w:tc>
          <w:tcPr>
            <w:tcW w:w="1076" w:type="dxa"/>
            <w:noWrap w:val="0"/>
            <w:vAlign w:val="top"/>
          </w:tcPr>
          <w:p w14:paraId="78623896">
            <w:pPr>
              <w:rPr>
                <w:rFonts w:hint="eastAsia"/>
              </w:rPr>
            </w:pPr>
          </w:p>
        </w:tc>
      </w:tr>
      <w:tr w14:paraId="03FDAD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3" w:type="dxa"/>
            <w:noWrap w:val="0"/>
            <w:vAlign w:val="top"/>
          </w:tcPr>
          <w:p w14:paraId="12883539">
            <w:pPr>
              <w:pStyle w:val="4"/>
              <w:rPr>
                <w:rFonts w:hint="default"/>
                <w:lang w:val="en-US" w:eastAsia="zh-CN"/>
              </w:rPr>
            </w:pPr>
            <w:r>
              <w:rPr>
                <w:rFonts w:hint="eastAsia"/>
                <w:lang w:val="en-US" w:eastAsia="zh-CN"/>
              </w:rPr>
              <w:t>4</w:t>
            </w:r>
          </w:p>
        </w:tc>
        <w:tc>
          <w:tcPr>
            <w:tcW w:w="4806" w:type="dxa"/>
            <w:noWrap w:val="0"/>
            <w:vAlign w:val="top"/>
          </w:tcPr>
          <w:p w14:paraId="71CB4D93">
            <w:pPr>
              <w:pStyle w:val="4"/>
              <w:jc w:val="both"/>
              <w:rPr>
                <w:rFonts w:hint="eastAsia" w:ascii="仿宋_GB2312" w:hAnsi="仿宋_GB2312" w:eastAsia="仿宋_GB2312" w:cs="仿宋_GB2312"/>
                <w:kern w:val="2"/>
                <w:sz w:val="20"/>
                <w:szCs w:val="20"/>
                <w:lang w:val="en-US" w:eastAsia="zh-CN" w:bidi="ar-SA"/>
              </w:rPr>
            </w:pPr>
            <w:r>
              <w:rPr>
                <w:rFonts w:hint="eastAsia" w:ascii="仿宋_GB2312" w:hAnsi="仿宋_GB2312" w:eastAsia="仿宋_GB2312" w:cs="仿宋_GB2312"/>
                <w:kern w:val="2"/>
                <w:sz w:val="20"/>
                <w:szCs w:val="20"/>
                <w:lang w:val="en-US" w:eastAsia="zh-CN" w:bidi="ar-SA"/>
              </w:rPr>
              <w:t>★8．水电维修工专业技术人员（除工程主管以外)：至少2名需要熟练电工安全规范，可独立开展带电、停电检修作业（包含高压及低压）；至少1名熟练掌握焊机等设备结构，熟练掌握手工电弧焊、气焊、气割基础操作；至少1名熟练使用登高工具，掌握室外高处全流程作业。其中持有特种作业操作证（准操作项目：同时具有低压电工和高压电工证至少2名（或具有高压电工证至少4名），熔化焊接与热切割作业证至少1名，1人可持多证）,身体健康，无重大疾病和传染性疾病。（投标时提供证书扫描件并承诺中标(成交)后配备（格式自拟））</w:t>
            </w:r>
          </w:p>
        </w:tc>
        <w:tc>
          <w:tcPr>
            <w:tcW w:w="1739" w:type="dxa"/>
            <w:noWrap w:val="0"/>
            <w:vAlign w:val="top"/>
          </w:tcPr>
          <w:p w14:paraId="091AE2E9">
            <w:pPr>
              <w:rPr>
                <w:rFonts w:hint="eastAsia"/>
              </w:rPr>
            </w:pPr>
          </w:p>
        </w:tc>
        <w:tc>
          <w:tcPr>
            <w:tcW w:w="1076" w:type="dxa"/>
            <w:noWrap w:val="0"/>
            <w:vAlign w:val="top"/>
          </w:tcPr>
          <w:p w14:paraId="73D012EA">
            <w:pPr>
              <w:rPr>
                <w:rFonts w:hint="eastAsia"/>
              </w:rPr>
            </w:pPr>
          </w:p>
        </w:tc>
      </w:tr>
      <w:tr w14:paraId="641E09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3" w:type="dxa"/>
            <w:noWrap w:val="0"/>
            <w:vAlign w:val="top"/>
          </w:tcPr>
          <w:p w14:paraId="2C6F0F22">
            <w:pPr>
              <w:pStyle w:val="4"/>
              <w:rPr>
                <w:rFonts w:hint="default"/>
                <w:lang w:val="en-US" w:eastAsia="zh-CN"/>
              </w:rPr>
            </w:pPr>
            <w:r>
              <w:rPr>
                <w:rFonts w:hint="eastAsia"/>
                <w:lang w:val="en-US" w:eastAsia="zh-CN"/>
              </w:rPr>
              <w:t>5</w:t>
            </w:r>
          </w:p>
        </w:tc>
        <w:tc>
          <w:tcPr>
            <w:tcW w:w="4806" w:type="dxa"/>
            <w:noWrap w:val="0"/>
            <w:vAlign w:val="top"/>
          </w:tcPr>
          <w:p w14:paraId="7FF70819">
            <w:pPr>
              <w:pStyle w:val="4"/>
              <w:jc w:val="both"/>
              <w:rPr>
                <w:rFonts w:hint="eastAsia" w:ascii="仿宋_GB2312" w:hAnsi="仿宋_GB2312" w:eastAsia="仿宋_GB2312" w:cs="仿宋_GB2312"/>
                <w:kern w:val="2"/>
                <w:sz w:val="20"/>
                <w:szCs w:val="20"/>
                <w:lang w:val="en-US" w:eastAsia="zh-CN" w:bidi="ar-SA"/>
              </w:rPr>
            </w:pPr>
            <w:r>
              <w:rPr>
                <w:rFonts w:hint="eastAsia" w:ascii="仿宋_GB2312" w:hAnsi="仿宋_GB2312" w:eastAsia="仿宋_GB2312" w:cs="仿宋_GB2312"/>
                <w:kern w:val="2"/>
                <w:sz w:val="20"/>
                <w:szCs w:val="20"/>
                <w:lang w:val="en-US" w:eastAsia="zh-CN" w:bidi="ar-SA"/>
              </w:rPr>
              <w:t>★投标人应依法用工，中标人应按照《中华人民共和国劳动法》的相关规定发放工资，服务人员工资不得低于广州市企业职工最低工资标准（工资不含按国家规定供应商必须支付的社会保险及其他应付费用）,中标人应按照《中华人民共和国社会保险法》和《住房公积金管理条例》的相关规定，支付国家规定必须购买的社会保险费用和缴存住房公积金。（投标时提供承诺函加盖投标人公章，格式自拟）</w:t>
            </w:r>
          </w:p>
        </w:tc>
        <w:tc>
          <w:tcPr>
            <w:tcW w:w="1739" w:type="dxa"/>
            <w:noWrap w:val="0"/>
            <w:vAlign w:val="top"/>
          </w:tcPr>
          <w:p w14:paraId="19C02CC8">
            <w:pPr>
              <w:rPr>
                <w:rFonts w:hint="eastAsia"/>
              </w:rPr>
            </w:pPr>
          </w:p>
        </w:tc>
        <w:tc>
          <w:tcPr>
            <w:tcW w:w="1076" w:type="dxa"/>
            <w:noWrap w:val="0"/>
            <w:vAlign w:val="top"/>
          </w:tcPr>
          <w:p w14:paraId="6D3ADE44">
            <w:pPr>
              <w:rPr>
                <w:rFonts w:hint="eastAsia"/>
              </w:rPr>
            </w:pPr>
          </w:p>
        </w:tc>
      </w:tr>
      <w:tr w14:paraId="424E9E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3" w:type="dxa"/>
            <w:noWrap w:val="0"/>
            <w:vAlign w:val="top"/>
          </w:tcPr>
          <w:p w14:paraId="05C64ABD">
            <w:pPr>
              <w:pStyle w:val="4"/>
              <w:rPr>
                <w:rFonts w:hint="default"/>
                <w:lang w:val="en-US" w:eastAsia="zh-CN"/>
              </w:rPr>
            </w:pPr>
            <w:r>
              <w:rPr>
                <w:rFonts w:hint="eastAsia"/>
                <w:lang w:val="en-US" w:eastAsia="zh-CN"/>
              </w:rPr>
              <w:t>6</w:t>
            </w:r>
          </w:p>
        </w:tc>
        <w:tc>
          <w:tcPr>
            <w:tcW w:w="4806" w:type="dxa"/>
            <w:noWrap w:val="0"/>
            <w:vAlign w:val="top"/>
          </w:tcPr>
          <w:p w14:paraId="0124D6F0">
            <w:pPr>
              <w:rPr>
                <w:rFonts w:hint="eastAsia" w:ascii="仿宋_GB2312" w:hAnsi="仿宋_GB2312" w:eastAsia="仿宋_GB2312" w:cs="仿宋_GB2312"/>
                <w:kern w:val="2"/>
                <w:sz w:val="20"/>
                <w:szCs w:val="20"/>
                <w:lang w:val="en-US" w:eastAsia="zh-CN" w:bidi="ar-SA"/>
              </w:rPr>
            </w:pPr>
            <w:r>
              <w:rPr>
                <w:rFonts w:hint="eastAsia" w:ascii="仿宋_GB2312" w:hAnsi="仿宋_GB2312" w:eastAsia="仿宋_GB2312" w:cs="仿宋_GB2312"/>
                <w:kern w:val="2"/>
                <w:sz w:val="20"/>
                <w:szCs w:val="20"/>
                <w:lang w:val="en-US" w:eastAsia="zh-CN" w:bidi="ar-SA"/>
              </w:rPr>
              <w:t>★投标人须承诺：用于投标本项目的投标文件中所用的资料（包括但不限于合同、评价、证明、证书、证件等）扫描件与原件相符，且真实合法有效。产生异议时，采购人有权申请相关部门核查上述资料原件的真实合法性，如有虚假，依法处理。（投标时提供承诺函加盖投标人公章，格式自拟）</w:t>
            </w:r>
          </w:p>
        </w:tc>
        <w:tc>
          <w:tcPr>
            <w:tcW w:w="1739" w:type="dxa"/>
            <w:noWrap w:val="0"/>
            <w:vAlign w:val="top"/>
          </w:tcPr>
          <w:p w14:paraId="5E44516B">
            <w:pPr>
              <w:rPr>
                <w:rFonts w:hint="eastAsia"/>
              </w:rPr>
            </w:pPr>
          </w:p>
        </w:tc>
        <w:tc>
          <w:tcPr>
            <w:tcW w:w="1076" w:type="dxa"/>
            <w:noWrap w:val="0"/>
            <w:vAlign w:val="top"/>
          </w:tcPr>
          <w:p w14:paraId="5B3EF8D5">
            <w:pPr>
              <w:rPr>
                <w:rFonts w:hint="eastAsia"/>
              </w:rPr>
            </w:pPr>
          </w:p>
        </w:tc>
      </w:tr>
      <w:tr w14:paraId="127B3C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3" w:type="dxa"/>
            <w:noWrap w:val="0"/>
            <w:vAlign w:val="top"/>
          </w:tcPr>
          <w:p w14:paraId="7372AED2">
            <w:pPr>
              <w:pStyle w:val="4"/>
              <w:rPr>
                <w:rFonts w:hint="default"/>
                <w:lang w:val="en-US" w:eastAsia="zh-CN"/>
              </w:rPr>
            </w:pPr>
            <w:r>
              <w:rPr>
                <w:rFonts w:hint="eastAsia"/>
                <w:lang w:val="en-US" w:eastAsia="zh-CN"/>
              </w:rPr>
              <w:t>7</w:t>
            </w:r>
          </w:p>
        </w:tc>
        <w:tc>
          <w:tcPr>
            <w:tcW w:w="4806" w:type="dxa"/>
            <w:noWrap w:val="0"/>
            <w:vAlign w:val="top"/>
          </w:tcPr>
          <w:p w14:paraId="5F60BAA4">
            <w:pPr>
              <w:rPr>
                <w:rFonts w:hint="eastAsia" w:ascii="仿宋_GB2312" w:hAnsi="仿宋_GB2312" w:eastAsia="仿宋_GB2312" w:cs="仿宋_GB2312"/>
                <w:kern w:val="2"/>
                <w:sz w:val="20"/>
                <w:szCs w:val="20"/>
                <w:lang w:val="en-US" w:eastAsia="zh-CN" w:bidi="ar-SA"/>
              </w:rPr>
            </w:pPr>
            <w:r>
              <w:rPr>
                <w:rFonts w:hint="eastAsia" w:ascii="仿宋_GB2312" w:hAnsi="仿宋_GB2312" w:eastAsia="仿宋_GB2312" w:cs="仿宋_GB2312"/>
                <w:kern w:val="2"/>
                <w:sz w:val="20"/>
                <w:szCs w:val="20"/>
                <w:lang w:val="en-US" w:eastAsia="zh-CN" w:bidi="ar-SA"/>
              </w:rPr>
              <w:t>★投标人需根据当地环卫部门、学校相关管理部门要求做好垃圾分类工作，将校内生活垃圾收集点的垃圾（除餐厨垃圾、建筑垃圾、废旧家具等杂物之外的所有垃圾）按当地垃圾分类要求收集整理并清运至校外，负责运输到属地政府环卫部门规定的垃圾填埋场处理。中标人对校内垃圾的压缩处理和运输须符合校内及环卫部门的相关要求和规定，可自备车辆运输（必须具有承运增城区生活垃圾进入垃圾填埋场的能力及承办入场IC卡的车辆、资质），也可委托街道或有承运增城区生活垃圾进入垃圾填埋场资格的专业公司清运。所有垃圾清运及处理费用均包含在本次投标总价内，所有垃圾清运及处理应符合当地政府的有关法律、行政法规及主管部门的规范性文件的规定。投标时须提供相关承诺。上述车辆、人工、油料等所有费用均包含在本次投标总报价内，采购人不再额外支付其它费用。（投标时提供承诺函加盖投标人公章，格式自拟）</w:t>
            </w:r>
          </w:p>
        </w:tc>
        <w:tc>
          <w:tcPr>
            <w:tcW w:w="1739" w:type="dxa"/>
            <w:noWrap w:val="0"/>
            <w:vAlign w:val="top"/>
          </w:tcPr>
          <w:p w14:paraId="6D89CA9E">
            <w:pPr>
              <w:rPr>
                <w:rFonts w:hint="eastAsia"/>
              </w:rPr>
            </w:pPr>
          </w:p>
        </w:tc>
        <w:tc>
          <w:tcPr>
            <w:tcW w:w="1076" w:type="dxa"/>
            <w:noWrap w:val="0"/>
            <w:vAlign w:val="top"/>
          </w:tcPr>
          <w:p w14:paraId="34850F95">
            <w:pPr>
              <w:rPr>
                <w:rFonts w:hint="eastAsia"/>
              </w:rPr>
            </w:pPr>
          </w:p>
        </w:tc>
      </w:tr>
      <w:tr w14:paraId="407148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3" w:type="dxa"/>
            <w:noWrap w:val="0"/>
            <w:vAlign w:val="top"/>
          </w:tcPr>
          <w:p w14:paraId="2DC4A8C0">
            <w:pPr>
              <w:pStyle w:val="4"/>
              <w:rPr>
                <w:rFonts w:hint="default"/>
                <w:lang w:val="en-US" w:eastAsia="zh-CN"/>
              </w:rPr>
            </w:pPr>
            <w:r>
              <w:rPr>
                <w:rFonts w:hint="eastAsia"/>
                <w:lang w:val="en-US" w:eastAsia="zh-CN"/>
              </w:rPr>
              <w:t>8</w:t>
            </w:r>
          </w:p>
        </w:tc>
        <w:tc>
          <w:tcPr>
            <w:tcW w:w="4806" w:type="dxa"/>
            <w:noWrap w:val="0"/>
            <w:vAlign w:val="top"/>
          </w:tcPr>
          <w:p w14:paraId="45B85572">
            <w:pPr>
              <w:pStyle w:val="4"/>
              <w:jc w:val="both"/>
              <w:rPr>
                <w:rFonts w:hint="eastAsia" w:ascii="仿宋_GB2312" w:hAnsi="仿宋_GB2312" w:eastAsia="仿宋_GB2312" w:cs="仿宋_GB2312"/>
                <w:kern w:val="2"/>
                <w:sz w:val="20"/>
                <w:szCs w:val="20"/>
                <w:lang w:val="en-US" w:eastAsia="zh-CN" w:bidi="ar-SA"/>
              </w:rPr>
            </w:pPr>
            <w:r>
              <w:rPr>
                <w:rFonts w:hint="eastAsia" w:ascii="仿宋_GB2312" w:hAnsi="仿宋_GB2312" w:eastAsia="仿宋_GB2312" w:cs="仿宋_GB2312"/>
                <w:kern w:val="2"/>
                <w:sz w:val="20"/>
                <w:szCs w:val="20"/>
                <w:lang w:val="en-US" w:eastAsia="zh-CN" w:bidi="ar-SA"/>
              </w:rPr>
              <w:t>★①本项目主要现场人员是指：项目经理1人、项目技术总工1人、工程主管1人、水电维修工15人，共计18人。投标人需承诺主要现场人员是投标人员工（提供承诺函，承诺函中需要包含主要现场人员的岗位名称，格式自拟）并提供劳动合同和投标截止日之前六个月以内任意月份为主要现场人员缴纳社会保险（至少包括养老、失业和工伤）的证明材料；因有政策另外规定，允许投标人不需为主要现场人员统一缴纳社会保险的，除需要提供养老、医疗[含生育保险]、失业、工伤等任一社会保险缴纳证明外，还需提供相关政策文件作为佐证材料。②通用/劳力岗（清洁工54人、绿化技工1人+绿化杂工5人、清洁主管1人、绿化主管1人、会务主管1人+会务员1人、综合事务兼安全助理1人）：需承诺中标后配备且以上人员是投标人员工，进场前提供劳动合同即可。（提供承诺函，格式自拟）</w:t>
            </w:r>
          </w:p>
        </w:tc>
        <w:tc>
          <w:tcPr>
            <w:tcW w:w="1739" w:type="dxa"/>
            <w:noWrap w:val="0"/>
            <w:vAlign w:val="top"/>
          </w:tcPr>
          <w:p w14:paraId="24AD9301">
            <w:pPr>
              <w:rPr>
                <w:rFonts w:hint="eastAsia"/>
              </w:rPr>
            </w:pPr>
          </w:p>
        </w:tc>
        <w:tc>
          <w:tcPr>
            <w:tcW w:w="1076" w:type="dxa"/>
            <w:noWrap w:val="0"/>
            <w:vAlign w:val="top"/>
          </w:tcPr>
          <w:p w14:paraId="7C6A9B6D">
            <w:pPr>
              <w:rPr>
                <w:rFonts w:hint="eastAsia"/>
              </w:rPr>
            </w:pPr>
          </w:p>
        </w:tc>
      </w:tr>
    </w:tbl>
    <w:p w14:paraId="7F41015E">
      <w:pPr>
        <w:pStyle w:val="4"/>
        <w:ind w:firstLine="480"/>
        <w:rPr>
          <w:rFonts w:hint="default"/>
        </w:rPr>
      </w:pPr>
      <w:r>
        <w:t>说明：</w:t>
      </w:r>
    </w:p>
    <w:p w14:paraId="07AF8F86">
      <w:pPr>
        <w:pStyle w:val="4"/>
        <w:ind w:firstLine="480"/>
        <w:rPr>
          <w:rFonts w:hint="default"/>
        </w:rPr>
      </w:pPr>
      <w:r>
        <w:t>1.实质性响应条款一览表后续内容请根据第二章采购需求★号条款详细列举</w:t>
      </w:r>
    </w:p>
    <w:p w14:paraId="6C0E22F7">
      <w:pPr>
        <w:pStyle w:val="4"/>
        <w:ind w:firstLine="480"/>
        <w:rPr>
          <w:rFonts w:hint="default"/>
        </w:rPr>
      </w:pPr>
      <w:r>
        <w:t>2.本表所列条款必须一一予以响应，“投标人响应情况”一栏应填写具体的响应内容，有差异的要具体说明。</w:t>
      </w:r>
    </w:p>
    <w:p w14:paraId="512757A5">
      <w:pPr>
        <w:pStyle w:val="4"/>
        <w:ind w:firstLine="480"/>
        <w:rPr>
          <w:rFonts w:hint="default"/>
        </w:rPr>
      </w:pPr>
      <w:r>
        <w:t>3.请投标人认真填写本表内容，如填写错误将可能导致投标无效。</w:t>
      </w:r>
    </w:p>
    <w:p w14:paraId="2575E6E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7E0CB0"/>
    <w:rsid w:val="092F31F9"/>
    <w:rsid w:val="1EE24A39"/>
    <w:rsid w:val="2184133F"/>
    <w:rsid w:val="22745BC3"/>
    <w:rsid w:val="2D3227EF"/>
    <w:rsid w:val="3C8A61A4"/>
    <w:rsid w:val="421309EA"/>
    <w:rsid w:val="45585438"/>
    <w:rsid w:val="4D265A75"/>
    <w:rsid w:val="5F9E76ED"/>
    <w:rsid w:val="687E0CB0"/>
    <w:rsid w:val="6B2C2407"/>
    <w:rsid w:val="6BB6056B"/>
    <w:rsid w:val="6CF272CA"/>
    <w:rsid w:val="7B9854E0"/>
    <w:rsid w:val="7C1D72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1842</Words>
  <Characters>1849</Characters>
  <Lines>0</Lines>
  <Paragraphs>0</Paragraphs>
  <TotalTime>0</TotalTime>
  <ScaleCrop>false</ScaleCrop>
  <LinksUpToDate>false</LinksUpToDate>
  <CharactersWithSpaces>1850</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2026-04-23T09:33:00Z</dcterms:created>
  <dc:creator>曾颖妍</dc:creator>
  <cp:lastModifiedBy>cierra wong</cp:lastModifiedBy>
  <dcterms:modified xsi:type="dcterms:W3CDTF">2026-07-31T01:03:15Z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7EB50972507E4EEDA9126BA666DEF137_11</vt:lpwstr>
  </property>
  <property fmtid="{D5CDD505-2E9C-101B-9397-08002B2CF9AE}" pid="4" name="KSOTemplateDocerSaveRecord">
    <vt:lpwstr>eyJoZGlkIjoiMjA3YWEzNTE5NmViMzE2OGIyYWM3YjAyNTcxYTI4MjkiLCJ1c2VySWQiOiI2NjA5Mjc0MDEifQ==</vt:lpwstr>
  </property>
</Properties>
</file>