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版本号：N510116202600012520260408001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成都市双流区征地补偿安置实施办法修订服务项目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N5101162026000125</w:t>
      </w:r>
    </w:p>
    <w:p>
      <w:pPr>
        <w:pStyle w:val="null3"/>
        <w:jc w:val="left"/>
        <w:outlineLvl w:val="2"/>
      </w:pPr>
      <w:r>
        <w:rPr>
          <w:rFonts w:ascii="仿宋_GB2312" w:hAnsi="仿宋_GB2312" w:cs="仿宋_GB2312" w:eastAsia="仿宋_GB2312"/>
          <w:sz w:val="28"/>
          <w:b/>
        </w:rPr>
        <w:t>成都市双流区规划和自然资源局</w:t>
      </w:r>
    </w:p>
    <w:p>
      <w:pPr>
        <w:pStyle w:val="null3"/>
        <w:jc w:val="center"/>
        <w:outlineLvl w:val="2"/>
      </w:pPr>
      <w:r>
        <w:rPr>
          <w:rFonts w:ascii="仿宋_GB2312" w:hAnsi="仿宋_GB2312" w:cs="仿宋_GB2312" w:eastAsia="仿宋_GB2312"/>
          <w:sz w:val="28"/>
          <w:b/>
        </w:rPr>
        <w:t>四川远丰工程管理有限公司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四川远丰工程管理有限公司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成都市双流区规划和自然资源局</w:t>
      </w:r>
      <w:r>
        <w:rPr>
          <w:rFonts w:ascii="仿宋_GB2312" w:hAnsi="仿宋_GB2312" w:cs="仿宋_GB2312" w:eastAsia="仿宋_GB2312"/>
        </w:rPr>
        <w:t xml:space="preserve"> 委托，拟对 </w:t>
      </w:r>
      <w:r>
        <w:rPr>
          <w:rFonts w:ascii="仿宋_GB2312" w:hAnsi="仿宋_GB2312" w:cs="仿宋_GB2312" w:eastAsia="仿宋_GB2312"/>
        </w:rPr>
        <w:t>成都市双流区征地补偿安置实施办法修订服务项目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成都市双流区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N5101162026000125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成都市双流区征地补偿安置实施办法修订服务项目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保障双流区征地补偿安置工作顺利进行，切实维护被征地单位和个人的合法权益，按照《成都市征地补偿安置办法》（市政府令第224号）要求，结合双流区实际制定实施细则，对《双流县人民政府关于印发〈双流县征地补偿安置实施办法〉的通知》（双府发〔2009〕30号）进行修订，确保征地补偿安置政策的科学性、延续性和可操作性，更好地服务于当前集体土地征收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成都市双流区规划和自然资源局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成都市双流区东升街道棠湖西路一段163号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028-85822687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四川远丰工程管理有限公司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四川省成都市青羊区中铁西城写字楼4栋413</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028-86666253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采购包1：260,000.00元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代理服务费收费标准：以成本加合理利润为原则，固定收取3000元。</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成都市双流区规划和自然资源局</w:t>
      </w:r>
      <w:r>
        <w:rPr>
          <w:rFonts w:ascii="仿宋_GB2312" w:hAnsi="仿宋_GB2312" w:cs="仿宋_GB2312" w:eastAsia="仿宋_GB2312"/>
        </w:rPr>
        <w:t xml:space="preserve"> 和 </w:t>
      </w:r>
      <w:r>
        <w:rPr>
          <w:rFonts w:ascii="仿宋_GB2312" w:hAnsi="仿宋_GB2312" w:cs="仿宋_GB2312" w:eastAsia="仿宋_GB2312"/>
        </w:rPr>
        <w:t>四川远丰工程管理有限公司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成都市双流区规划和自然资源局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四川远丰工程管理有限公司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成果交付并审核通过后 </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按照本项目采购文件中“技术、服务要求”及投标人的响应文件进行验收。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按照本项目采购文件中“商务要求”及投标人的响应文件进行验收。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按照政府采购相关法律法规及《财政部关于进一步加强政府采购需求和履约验收管理的指导意见》（财库〔2016〕205号）等相关规定的要求、招标文件的要求、中标人的投标文件及承诺、合同约定的标准以及采购人提出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成都市双流区规划和自然资源局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四川远丰工程管理有限公司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四川远丰工程管理有限公司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联系电话：028-85822687</w:t>
      </w:r>
    </w:p>
    <w:p>
      <w:pPr>
        <w:pStyle w:val="null3"/>
        <w:jc w:val="left"/>
      </w:pPr>
      <w:r>
        <w:rPr>
          <w:rFonts w:ascii="仿宋_GB2312" w:hAnsi="仿宋_GB2312" w:cs="仿宋_GB2312" w:eastAsia="仿宋_GB2312"/>
        </w:rPr>
        <w:t>地址：成都市双流区东升街道棠湖西路一段163号</w:t>
      </w:r>
    </w:p>
    <w:p>
      <w:pPr>
        <w:pStyle w:val="null3"/>
        <w:jc w:val="left"/>
      </w:pPr>
      <w:r>
        <w:rPr>
          <w:rFonts w:ascii="仿宋_GB2312" w:hAnsi="仿宋_GB2312" w:cs="仿宋_GB2312" w:eastAsia="仿宋_GB2312"/>
        </w:rPr>
        <w:t>邮编：610200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联系电话：028-86666253</w:t>
      </w:r>
    </w:p>
    <w:p>
      <w:pPr>
        <w:pStyle w:val="null3"/>
        <w:jc w:val="left"/>
      </w:pPr>
      <w:r>
        <w:rPr>
          <w:rFonts w:ascii="仿宋_GB2312" w:hAnsi="仿宋_GB2312" w:cs="仿宋_GB2312" w:eastAsia="仿宋_GB2312"/>
        </w:rPr>
        <w:t>地址：四川省成都市青羊区中铁西城写字楼4栋413</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260,000.00</w:t>
      </w:r>
    </w:p>
    <w:p>
      <w:pPr>
        <w:pStyle w:val="null3"/>
        <w:jc w:val="left"/>
      </w:pPr>
      <w:r>
        <w:rPr>
          <w:rFonts w:ascii="仿宋_GB2312" w:hAnsi="仿宋_GB2312" w:cs="仿宋_GB2312" w:eastAsia="仿宋_GB2312"/>
        </w:rPr>
        <w:t>采购包最高限价（元）: 260,000.00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C16060000 测试评估认证服务</w:t>
            </w:r>
          </w:p>
        </w:tc>
        <w:tc>
          <w:tcPr>
            <w:tcW w:type="dxa" w:w="821"/>
          </w:tcPr>
          <w:p>
            <w:pPr>
              <w:pStyle w:val="null3"/>
              <w:jc w:val="left"/>
            </w:pPr>
            <w:r>
              <w:rPr>
                <w:rFonts w:ascii="仿宋_GB2312" w:hAnsi="仿宋_GB2312" w:cs="仿宋_GB2312" w:eastAsia="仿宋_GB2312"/>
              </w:rPr>
              <w:t>成都市双流区征地补偿安置实施办法修订服务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260,000.00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成都市双流区征地补偿安置实施办法修订服务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标的名称：成都市双流区征地补偿安置实施办法修订服务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left="225" w:right="120" w:firstLine="480"/>
              <w:jc w:val="both"/>
            </w:pPr>
            <w:r>
              <w:rPr>
                <w:rFonts w:ascii="仿宋_GB2312" w:hAnsi="仿宋_GB2312" w:cs="仿宋_GB2312" w:eastAsia="仿宋_GB2312"/>
                <w:sz w:val="24"/>
              </w:rPr>
              <w:t>本项目严格按照有关标准、规范、规定开展工作，包括但不限于以下规范和标准，以下规范和标准如有变化，以最新发布的为准。如果采购文件或者合同约定的标准低于国家和行业标准的，以国家和行业标准为准。</w:t>
            </w:r>
          </w:p>
          <w:p>
            <w:pPr>
              <w:pStyle w:val="null3"/>
              <w:ind w:firstLine="482"/>
              <w:jc w:val="both"/>
            </w:pPr>
            <w:r>
              <w:rPr>
                <w:rFonts w:ascii="仿宋_GB2312" w:hAnsi="仿宋_GB2312" w:cs="仿宋_GB2312" w:eastAsia="仿宋_GB2312"/>
                <w:sz w:val="24"/>
                <w:b/>
              </w:rPr>
              <w:t>（一）项目基本情况</w:t>
            </w:r>
          </w:p>
          <w:p>
            <w:pPr>
              <w:pStyle w:val="null3"/>
              <w:ind w:left="225" w:right="120" w:firstLine="480"/>
              <w:jc w:val="both"/>
            </w:pPr>
            <w:r>
              <w:rPr>
                <w:rFonts w:ascii="仿宋_GB2312" w:hAnsi="仿宋_GB2312" w:cs="仿宋_GB2312" w:eastAsia="仿宋_GB2312"/>
                <w:sz w:val="24"/>
              </w:rPr>
              <w:t>为保障双流区征地补偿安置工作顺利进行，切实维护被征地单位和个人的合法权益，按照《成都市征地补偿安置办法》（市政府令第</w:t>
            </w:r>
            <w:r>
              <w:rPr>
                <w:rFonts w:ascii="仿宋_GB2312" w:hAnsi="仿宋_GB2312" w:cs="仿宋_GB2312" w:eastAsia="仿宋_GB2312"/>
                <w:sz w:val="24"/>
              </w:rPr>
              <w:t>224号）要求，结合双流区实际制定实施细则，对《双流县人民政府关于印发〈双流县征地补偿安置实施办法〉的通知》（双府发〔2009〕30号）进行修订，确保征地补偿安置政策的科学性、延续性和可操作性，更好地服务于当前集体土地征收工作。</w:t>
            </w:r>
          </w:p>
          <w:p>
            <w:pPr>
              <w:pStyle w:val="null3"/>
              <w:ind w:left="225" w:right="120" w:firstLine="482"/>
              <w:jc w:val="both"/>
            </w:pPr>
            <w:r>
              <w:rPr>
                <w:rFonts w:ascii="仿宋_GB2312" w:hAnsi="仿宋_GB2312" w:cs="仿宋_GB2312" w:eastAsia="仿宋_GB2312"/>
                <w:sz w:val="24"/>
                <w:b/>
              </w:rPr>
              <w:t>（二）服务要求</w:t>
            </w:r>
          </w:p>
          <w:p>
            <w:pPr>
              <w:pStyle w:val="null3"/>
              <w:ind w:left="225" w:right="120" w:firstLine="482"/>
              <w:jc w:val="both"/>
            </w:pPr>
            <w:r>
              <w:rPr>
                <w:rFonts w:ascii="仿宋_GB2312" w:hAnsi="仿宋_GB2312" w:cs="仿宋_GB2312" w:eastAsia="仿宋_GB2312"/>
                <w:sz w:val="24"/>
                <w:b/>
              </w:rPr>
              <w:t>1.工作背景</w:t>
            </w:r>
          </w:p>
          <w:p>
            <w:pPr>
              <w:pStyle w:val="null3"/>
              <w:ind w:left="225" w:right="120" w:firstLine="480"/>
              <w:jc w:val="both"/>
            </w:pPr>
            <w:r>
              <w:rPr>
                <w:rFonts w:ascii="仿宋_GB2312" w:hAnsi="仿宋_GB2312" w:cs="仿宋_GB2312" w:eastAsia="仿宋_GB2312"/>
                <w:sz w:val="24"/>
              </w:rPr>
              <w:t>2024年7月3日，《成都市征地补偿安置办法》（市政府令第224号）（以下简称“224号令”）印发，自2024年10月1日起施行。224号令要求，各区（市）县政府应结合实际制定实施细则。双流区现行征地补偿安置政策为《双流县人民政府关于印发〈双流县征地补偿安置实施办法〉的通知》（双府发〔2009〕30号）（以下简称“30号文”），距今已十余年，已不能适应新形势下的征地补偿工作，据此，应及时启动对30号文的修订工作。</w:t>
            </w:r>
          </w:p>
          <w:p>
            <w:pPr>
              <w:pStyle w:val="null3"/>
              <w:ind w:left="225" w:right="120" w:firstLine="482"/>
              <w:jc w:val="both"/>
            </w:pPr>
            <w:r>
              <w:rPr>
                <w:rFonts w:ascii="仿宋_GB2312" w:hAnsi="仿宋_GB2312" w:cs="仿宋_GB2312" w:eastAsia="仿宋_GB2312"/>
                <w:sz w:val="24"/>
                <w:b/>
              </w:rPr>
              <w:t>2.工作内容及要求</w:t>
            </w:r>
          </w:p>
          <w:p>
            <w:pPr>
              <w:pStyle w:val="null3"/>
              <w:ind w:left="225" w:right="120" w:firstLine="480"/>
              <w:jc w:val="both"/>
            </w:pPr>
            <w:r>
              <w:rPr>
                <w:rFonts w:ascii="仿宋_GB2312" w:hAnsi="仿宋_GB2312" w:cs="仿宋_GB2312" w:eastAsia="仿宋_GB2312"/>
                <w:sz w:val="24"/>
              </w:rPr>
              <w:t>本项目核心任务是对现行</w:t>
            </w:r>
            <w:r>
              <w:rPr>
                <w:rFonts w:ascii="仿宋_GB2312" w:hAnsi="仿宋_GB2312" w:cs="仿宋_GB2312" w:eastAsia="仿宋_GB2312"/>
                <w:sz w:val="24"/>
              </w:rPr>
              <w:t>30号文进行全面修订，确保修订后的《办法》合法合规、贴合双流区实际、具备可操作性，具体服务内容包括但不限于：</w:t>
            </w:r>
          </w:p>
          <w:p>
            <w:pPr>
              <w:pStyle w:val="null3"/>
              <w:ind w:left="225" w:right="120" w:firstLine="480"/>
              <w:jc w:val="both"/>
            </w:pPr>
            <w:r>
              <w:rPr>
                <w:rFonts w:ascii="仿宋_GB2312" w:hAnsi="仿宋_GB2312" w:cs="仿宋_GB2312" w:eastAsia="仿宋_GB2312"/>
                <w:sz w:val="24"/>
              </w:rPr>
              <w:t>（</w:t>
            </w:r>
            <w:r>
              <w:rPr>
                <w:rFonts w:ascii="仿宋_GB2312" w:hAnsi="仿宋_GB2312" w:cs="仿宋_GB2312" w:eastAsia="仿宋_GB2312"/>
                <w:sz w:val="24"/>
              </w:rPr>
              <w:t>1）前期调研与梳理</w:t>
            </w:r>
          </w:p>
          <w:p>
            <w:pPr>
              <w:pStyle w:val="null3"/>
              <w:ind w:left="225" w:right="120" w:firstLine="480"/>
              <w:jc w:val="both"/>
            </w:pPr>
            <w:r>
              <w:rPr>
                <w:rFonts w:ascii="仿宋_GB2312" w:hAnsi="仿宋_GB2312" w:cs="仿宋_GB2312" w:eastAsia="仿宋_GB2312"/>
                <w:sz w:val="24"/>
              </w:rPr>
              <w:t>系统梳理《中华人民共和国土地管理法》《中华人民共和国土地管理法实施条例》《四川省〈中华人民共和国土地管理法〉实施办法》《四川省人民政府办公厅关于进一步做好征地工作的通知》（川办发〔</w:t>
            </w:r>
            <w:r>
              <w:rPr>
                <w:rFonts w:ascii="仿宋_GB2312" w:hAnsi="仿宋_GB2312" w:cs="仿宋_GB2312" w:eastAsia="仿宋_GB2312"/>
                <w:sz w:val="24"/>
              </w:rPr>
              <w:t>2024〕18号）、《成都市征地补偿安置办法》（成都市人民政府令第224号）等上位法律法规及政策文件，明确修订的法律依据和政策导向，确保修订内容与上位规定保持一致、有效衔接。</w:t>
            </w:r>
          </w:p>
          <w:p>
            <w:pPr>
              <w:pStyle w:val="null3"/>
              <w:ind w:left="225" w:right="120" w:firstLine="480"/>
              <w:jc w:val="both"/>
            </w:pPr>
            <w:r>
              <w:rPr>
                <w:rFonts w:ascii="仿宋_GB2312" w:hAnsi="仿宋_GB2312" w:cs="仿宋_GB2312" w:eastAsia="仿宋_GB2312"/>
                <w:sz w:val="24"/>
              </w:rPr>
              <w:t>深入调研双流区各镇（街道）征地补偿安置工作现状，梳理现行《办法》在实际执行中存在的堵点、难点问题，收集基层执行部门、农村集体经济组织、被征地群众的意见建议，了解区域内土地资源禀赋、经济发展水平、房价水平等实际情况。</w:t>
            </w:r>
          </w:p>
          <w:p>
            <w:pPr>
              <w:pStyle w:val="null3"/>
              <w:ind w:left="225" w:right="120" w:firstLine="480"/>
              <w:jc w:val="both"/>
            </w:pPr>
            <w:r>
              <w:rPr>
                <w:rFonts w:ascii="仿宋_GB2312" w:hAnsi="仿宋_GB2312" w:cs="仿宋_GB2312" w:eastAsia="仿宋_GB2312"/>
                <w:sz w:val="24"/>
              </w:rPr>
              <w:t>调研周边区（市）县征地补偿安置办法修订先进经验，结合双流区发展定位，提出符合区域实际的修订思路和重点方向。</w:t>
            </w:r>
          </w:p>
          <w:p>
            <w:pPr>
              <w:pStyle w:val="null3"/>
              <w:ind w:left="225" w:right="120" w:firstLine="480"/>
              <w:jc w:val="both"/>
            </w:pPr>
            <w:r>
              <w:rPr>
                <w:rFonts w:ascii="仿宋_GB2312" w:hAnsi="仿宋_GB2312" w:cs="仿宋_GB2312" w:eastAsia="仿宋_GB2312"/>
                <w:sz w:val="24"/>
              </w:rPr>
              <w:t>（</w:t>
            </w:r>
            <w:r>
              <w:rPr>
                <w:rFonts w:ascii="仿宋_GB2312" w:hAnsi="仿宋_GB2312" w:cs="仿宋_GB2312" w:eastAsia="仿宋_GB2312"/>
                <w:sz w:val="24"/>
              </w:rPr>
              <w:t>2）修订起草与完善</w:t>
            </w:r>
          </w:p>
          <w:p>
            <w:pPr>
              <w:pStyle w:val="null3"/>
              <w:ind w:left="225" w:right="120" w:firstLine="480"/>
              <w:jc w:val="both"/>
            </w:pPr>
            <w:r>
              <w:rPr>
                <w:rFonts w:ascii="仿宋_GB2312" w:hAnsi="仿宋_GB2312" w:cs="仿宋_GB2312" w:eastAsia="仿宋_GB2312"/>
                <w:sz w:val="24"/>
              </w:rPr>
              <w:t>按照合法合理、公开公正、以人为本的原则，结合前期调研成果，开展《办法》修订起草工作，重点完善征收土地程序、征地补偿标准、人员安置范围、住房安置方式及标准、补偿费用支付、过渡费标准、货币化补偿标准等核心内容，确保修订后的《办法》能够保障被征地群众原有生活水平不降低、长远生计有保障。</w:t>
            </w:r>
          </w:p>
          <w:p>
            <w:pPr>
              <w:pStyle w:val="null3"/>
              <w:ind w:left="225" w:right="120" w:firstLine="480"/>
              <w:jc w:val="both"/>
            </w:pPr>
            <w:r>
              <w:rPr>
                <w:rFonts w:ascii="仿宋_GB2312" w:hAnsi="仿宋_GB2312" w:cs="仿宋_GB2312" w:eastAsia="仿宋_GB2312"/>
                <w:sz w:val="24"/>
              </w:rPr>
              <w:t>修订内容需涵盖总则、征地程序、土地补偿、人员安置、住房安置、地上附着物及青苗补偿、奖励与补助、监督管理、法律责任、附则等完整章节，明确各相关部门、镇（街道）、农村集体经济组织的职责分工，细化操作流程。</w:t>
            </w:r>
          </w:p>
          <w:p>
            <w:pPr>
              <w:pStyle w:val="null3"/>
              <w:ind w:left="225" w:right="120" w:firstLine="480"/>
              <w:jc w:val="both"/>
            </w:pPr>
            <w:r>
              <w:rPr>
                <w:rFonts w:ascii="仿宋_GB2312" w:hAnsi="仿宋_GB2312" w:cs="仿宋_GB2312" w:eastAsia="仿宋_GB2312"/>
                <w:sz w:val="24"/>
              </w:rPr>
              <w:t>（</w:t>
            </w:r>
            <w:r>
              <w:rPr>
                <w:rFonts w:ascii="仿宋_GB2312" w:hAnsi="仿宋_GB2312" w:cs="仿宋_GB2312" w:eastAsia="仿宋_GB2312"/>
                <w:sz w:val="24"/>
              </w:rPr>
              <w:t>3）意见征求。</w:t>
            </w:r>
          </w:p>
          <w:p>
            <w:pPr>
              <w:pStyle w:val="null3"/>
              <w:ind w:left="225" w:right="120" w:firstLine="480"/>
              <w:jc w:val="both"/>
            </w:pPr>
            <w:r>
              <w:rPr>
                <w:rFonts w:ascii="仿宋_GB2312" w:hAnsi="仿宋_GB2312" w:cs="仿宋_GB2312" w:eastAsia="仿宋_GB2312"/>
                <w:sz w:val="24"/>
              </w:rPr>
              <w:t>配合双流区规划和自然资源局将办法初步修订稿征求农业农村、民政、统计、发改、社保、镇（街道）等部门单位意见，并综合各单位合理性意见、当前经济社会发展水平等因素进行修改完善，形成《办法（修订草案）》。</w:t>
            </w:r>
          </w:p>
          <w:p>
            <w:pPr>
              <w:pStyle w:val="null3"/>
              <w:ind w:left="225" w:right="120" w:firstLine="480"/>
              <w:jc w:val="both"/>
            </w:pPr>
            <w:r>
              <w:rPr>
                <w:rFonts w:ascii="仿宋_GB2312" w:hAnsi="仿宋_GB2312" w:cs="仿宋_GB2312" w:eastAsia="仿宋_GB2312"/>
                <w:sz w:val="24"/>
              </w:rPr>
              <w:t>（</w:t>
            </w:r>
            <w:r>
              <w:rPr>
                <w:rFonts w:ascii="仿宋_GB2312" w:hAnsi="仿宋_GB2312" w:cs="仿宋_GB2312" w:eastAsia="仿宋_GB2312"/>
                <w:sz w:val="24"/>
              </w:rPr>
              <w:t>4）草案论证与优化</w:t>
            </w:r>
          </w:p>
          <w:p>
            <w:pPr>
              <w:pStyle w:val="null3"/>
              <w:ind w:left="225" w:right="120" w:firstLine="480"/>
              <w:jc w:val="both"/>
            </w:pPr>
            <w:r>
              <w:rPr>
                <w:rFonts w:ascii="仿宋_GB2312" w:hAnsi="仿宋_GB2312" w:cs="仿宋_GB2312" w:eastAsia="仿宋_GB2312"/>
                <w:sz w:val="24"/>
              </w:rPr>
              <w:t>组织土地管理、法学、征地安置实务等领域的专家，召开《办法（修订草案）》专家论证会，从合法性、合理性、实操性、前瞻性等维度对草案进行全面论证，形成专家论证意见报告。</w:t>
            </w:r>
          </w:p>
          <w:p>
            <w:pPr>
              <w:pStyle w:val="null3"/>
              <w:ind w:left="225" w:right="120" w:firstLine="480"/>
              <w:jc w:val="both"/>
            </w:pPr>
            <w:r>
              <w:rPr>
                <w:rFonts w:ascii="仿宋_GB2312" w:hAnsi="仿宋_GB2312" w:cs="仿宋_GB2312" w:eastAsia="仿宋_GB2312"/>
                <w:sz w:val="24"/>
              </w:rPr>
              <w:t>结合专家论证意见，对《办法（修订草案）》进行进一步修改优化，解决草案中存在的专业性、技术性问题，确保草案内容符合双流区发展实际，兼顾政策的稳定性和创新性。</w:t>
            </w:r>
          </w:p>
          <w:p>
            <w:pPr>
              <w:pStyle w:val="null3"/>
              <w:ind w:left="225" w:right="120" w:firstLine="480"/>
              <w:jc w:val="both"/>
            </w:pPr>
            <w:r>
              <w:rPr>
                <w:rFonts w:ascii="仿宋_GB2312" w:hAnsi="仿宋_GB2312" w:cs="仿宋_GB2312" w:eastAsia="仿宋_GB2312"/>
                <w:sz w:val="24"/>
              </w:rPr>
              <w:t>（</w:t>
            </w:r>
            <w:r>
              <w:rPr>
                <w:rFonts w:ascii="仿宋_GB2312" w:hAnsi="仿宋_GB2312" w:cs="仿宋_GB2312" w:eastAsia="仿宋_GB2312"/>
                <w:sz w:val="24"/>
              </w:rPr>
              <w:t>5）完成风险评估</w:t>
            </w:r>
          </w:p>
          <w:p>
            <w:pPr>
              <w:pStyle w:val="null3"/>
              <w:ind w:left="225" w:right="165"/>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围绕《办法（修订草案）》开展社会稳定风险评估工作，梳理草案实施过程中可能存在的社会稳定、政策执行、利益分配等各类风险点，分析风险发生概率、影响范围及危害程度；制定风险防范措施和应急处置预案，整理风险评估相关佐证材料，形成完整的《成都市双流区征地补偿安置实施办法修订项目社会稳定风险评估报告》并通过备案，为草案合规实施提供风险防控依据。</w:t>
            </w:r>
          </w:p>
          <w:p>
            <w:pPr>
              <w:pStyle w:val="null3"/>
              <w:ind w:left="225" w:right="120" w:firstLine="480"/>
              <w:jc w:val="both"/>
            </w:pPr>
            <w:r>
              <w:rPr>
                <w:rFonts w:ascii="仿宋_GB2312" w:hAnsi="仿宋_GB2312" w:cs="仿宋_GB2312" w:eastAsia="仿宋_GB2312"/>
                <w:sz w:val="24"/>
              </w:rPr>
              <w:t>（</w:t>
            </w:r>
            <w:r>
              <w:rPr>
                <w:rFonts w:ascii="仿宋_GB2312" w:hAnsi="仿宋_GB2312" w:cs="仿宋_GB2312" w:eastAsia="仿宋_GB2312"/>
                <w:sz w:val="24"/>
              </w:rPr>
              <w:t>6）听证与合规审查协助</w:t>
            </w:r>
          </w:p>
          <w:p>
            <w:pPr>
              <w:pStyle w:val="null3"/>
              <w:ind w:left="225" w:right="120" w:firstLine="480"/>
              <w:jc w:val="both"/>
            </w:pPr>
            <w:r>
              <w:rPr>
                <w:rFonts w:ascii="仿宋_GB2312" w:hAnsi="仿宋_GB2312" w:cs="仿宋_GB2312" w:eastAsia="仿宋_GB2312"/>
                <w:sz w:val="24"/>
              </w:rPr>
              <w:t>协助采购单位组织开展《办法（修订草案）》听证工作，梳理听证意见，根据听证情况对草案进行修改完善，确保修订过程符合公众参与原则。</w:t>
            </w:r>
          </w:p>
          <w:p>
            <w:pPr>
              <w:pStyle w:val="null3"/>
              <w:ind w:left="225" w:right="120" w:firstLine="480"/>
              <w:jc w:val="both"/>
            </w:pPr>
            <w:r>
              <w:rPr>
                <w:rFonts w:ascii="仿宋_GB2312" w:hAnsi="仿宋_GB2312" w:cs="仿宋_GB2312" w:eastAsia="仿宋_GB2312"/>
                <w:sz w:val="24"/>
              </w:rPr>
              <w:t>协助采购单位完成《办法（修订草案）》的</w:t>
            </w:r>
            <w:r>
              <w:rPr>
                <w:rFonts w:ascii="仿宋_GB2312" w:hAnsi="仿宋_GB2312" w:cs="仿宋_GB2312" w:eastAsia="仿宋_GB2312"/>
                <w:sz w:val="24"/>
              </w:rPr>
              <w:t>合法性审查、宏观政策取向一致性评估和公平竞争审查等相关工作</w:t>
            </w:r>
            <w:r>
              <w:rPr>
                <w:rFonts w:ascii="仿宋_GB2312" w:hAnsi="仿宋_GB2312" w:cs="仿宋_GB2312" w:eastAsia="仿宋_GB2312"/>
                <w:sz w:val="24"/>
              </w:rPr>
              <w:t>，提供必要的技术支持和材料整理服务。</w:t>
            </w:r>
          </w:p>
          <w:p>
            <w:pPr>
              <w:pStyle w:val="null3"/>
              <w:ind w:left="225" w:right="120" w:firstLine="442"/>
              <w:jc w:val="both"/>
            </w:pPr>
            <w:r>
              <w:rPr>
                <w:rFonts w:ascii="仿宋_GB2312" w:hAnsi="仿宋_GB2312" w:cs="仿宋_GB2312" w:eastAsia="仿宋_GB2312"/>
                <w:sz w:val="22"/>
                <w:b/>
              </w:rPr>
              <w:t>★</w:t>
            </w:r>
            <w:r>
              <w:rPr>
                <w:rFonts w:ascii="仿宋_GB2312" w:hAnsi="仿宋_GB2312" w:cs="仿宋_GB2312" w:eastAsia="仿宋_GB2312"/>
                <w:sz w:val="24"/>
                <w:b/>
              </w:rPr>
              <w:t>3.主要成果</w:t>
            </w:r>
          </w:p>
          <w:p>
            <w:pPr>
              <w:pStyle w:val="null3"/>
              <w:ind w:left="225" w:right="120" w:firstLine="480"/>
              <w:jc w:val="both"/>
            </w:pPr>
            <w:r>
              <w:rPr>
                <w:rFonts w:ascii="仿宋_GB2312" w:hAnsi="仿宋_GB2312" w:cs="仿宋_GB2312" w:eastAsia="仿宋_GB2312"/>
                <w:sz w:val="24"/>
              </w:rPr>
              <w:t>完成全部修订工作后，提交以下成果资料（均需纸质版</w:t>
            </w:r>
            <w:r>
              <w:rPr>
                <w:rFonts w:ascii="仿宋_GB2312" w:hAnsi="仿宋_GB2312" w:cs="仿宋_GB2312" w:eastAsia="仿宋_GB2312"/>
                <w:sz w:val="24"/>
              </w:rPr>
              <w:t>1份、电子版1份，纸质版需加盖供投标人公章）：</w:t>
            </w:r>
          </w:p>
          <w:p>
            <w:pPr>
              <w:pStyle w:val="null3"/>
              <w:ind w:left="225" w:right="120" w:firstLine="480"/>
              <w:jc w:val="both"/>
            </w:pPr>
            <w:r>
              <w:rPr>
                <w:rFonts w:ascii="仿宋_GB2312" w:hAnsi="仿宋_GB2312" w:cs="仿宋_GB2312" w:eastAsia="仿宋_GB2312"/>
                <w:sz w:val="24"/>
              </w:rPr>
              <w:t>（</w:t>
            </w:r>
            <w:r>
              <w:rPr>
                <w:rFonts w:ascii="仿宋_GB2312" w:hAnsi="仿宋_GB2312" w:cs="仿宋_GB2312" w:eastAsia="仿宋_GB2312"/>
                <w:sz w:val="24"/>
              </w:rPr>
              <w:t>1）办法（修订草案），同时做好新旧政策对比说明；</w:t>
            </w:r>
          </w:p>
          <w:p>
            <w:pPr>
              <w:pStyle w:val="null3"/>
              <w:ind w:left="225" w:right="120" w:firstLine="480"/>
              <w:jc w:val="both"/>
            </w:pPr>
            <w:r>
              <w:rPr>
                <w:rFonts w:ascii="仿宋_GB2312" w:hAnsi="仿宋_GB2312" w:cs="仿宋_GB2312" w:eastAsia="仿宋_GB2312"/>
                <w:sz w:val="24"/>
              </w:rPr>
              <w:t>（</w:t>
            </w:r>
            <w:r>
              <w:rPr>
                <w:rFonts w:ascii="仿宋_GB2312" w:hAnsi="仿宋_GB2312" w:cs="仿宋_GB2312" w:eastAsia="仿宋_GB2312"/>
                <w:sz w:val="24"/>
              </w:rPr>
              <w:t>2）修订说明（含修订背景、修订依据、修订重点、征求意见及采纳情况等）；</w:t>
            </w:r>
          </w:p>
          <w:p>
            <w:pPr>
              <w:pStyle w:val="null3"/>
              <w:ind w:left="225" w:right="120" w:firstLine="480"/>
              <w:jc w:val="both"/>
            </w:pPr>
            <w:r>
              <w:rPr>
                <w:rFonts w:ascii="仿宋_GB2312" w:hAnsi="仿宋_GB2312" w:cs="仿宋_GB2312" w:eastAsia="仿宋_GB2312"/>
                <w:sz w:val="24"/>
              </w:rPr>
              <w:t>（</w:t>
            </w:r>
            <w:r>
              <w:rPr>
                <w:rFonts w:ascii="仿宋_GB2312" w:hAnsi="仿宋_GB2312" w:cs="仿宋_GB2312" w:eastAsia="仿宋_GB2312"/>
                <w:sz w:val="24"/>
              </w:rPr>
              <w:t>3）《办法（修订草案）》专家论证材料.pdf；</w:t>
            </w:r>
          </w:p>
          <w:p>
            <w:pPr>
              <w:pStyle w:val="null3"/>
              <w:ind w:left="225" w:right="120" w:firstLine="480"/>
              <w:jc w:val="both"/>
            </w:pPr>
            <w:r>
              <w:rPr>
                <w:rFonts w:ascii="仿宋_GB2312" w:hAnsi="仿宋_GB2312" w:cs="仿宋_GB2312" w:eastAsia="仿宋_GB2312"/>
                <w:sz w:val="24"/>
              </w:rPr>
              <w:t>（</w:t>
            </w:r>
            <w:r>
              <w:rPr>
                <w:rFonts w:ascii="仿宋_GB2312" w:hAnsi="仿宋_GB2312" w:cs="仿宋_GB2312" w:eastAsia="仿宋_GB2312"/>
                <w:sz w:val="24"/>
              </w:rPr>
              <w:t>4）《办法（修订草案）》社会稳定风险评估材料.pdf</w:t>
            </w:r>
          </w:p>
          <w:p>
            <w:pPr>
              <w:pStyle w:val="null3"/>
              <w:ind w:left="225" w:right="120" w:firstLine="480"/>
              <w:jc w:val="both"/>
            </w:pPr>
            <w:r>
              <w:rPr>
                <w:rFonts w:ascii="仿宋_GB2312" w:hAnsi="仿宋_GB2312" w:cs="仿宋_GB2312" w:eastAsia="仿宋_GB2312"/>
                <w:sz w:val="24"/>
              </w:rPr>
              <w:t>（</w:t>
            </w:r>
            <w:r>
              <w:rPr>
                <w:rFonts w:ascii="仿宋_GB2312" w:hAnsi="仿宋_GB2312" w:cs="仿宋_GB2312" w:eastAsia="仿宋_GB2312"/>
                <w:sz w:val="24"/>
              </w:rPr>
              <w:t>5）相关佐证材料（含法律法规汇编、调研记录、意见征求函及反馈意见等）；</w:t>
            </w:r>
          </w:p>
          <w:p>
            <w:pPr>
              <w:pStyle w:val="null3"/>
              <w:ind w:left="225" w:right="120" w:firstLine="480"/>
              <w:jc w:val="both"/>
            </w:pPr>
            <w:r>
              <w:rPr>
                <w:rFonts w:ascii="仿宋_GB2312" w:hAnsi="仿宋_GB2312" w:cs="仿宋_GB2312" w:eastAsia="仿宋_GB2312"/>
                <w:sz w:val="24"/>
              </w:rPr>
              <w:t>（</w:t>
            </w:r>
            <w:r>
              <w:rPr>
                <w:rFonts w:ascii="仿宋_GB2312" w:hAnsi="仿宋_GB2312" w:cs="仿宋_GB2312" w:eastAsia="仿宋_GB2312"/>
                <w:sz w:val="24"/>
              </w:rPr>
              <w:t>6）采购单位要求提交的其他相关资料。</w:t>
            </w:r>
          </w:p>
          <w:p>
            <w:pPr>
              <w:pStyle w:val="null3"/>
              <w:ind w:left="225" w:right="120" w:firstLine="482"/>
              <w:jc w:val="both"/>
            </w:pPr>
            <w:r>
              <w:rPr>
                <w:rFonts w:ascii="仿宋_GB2312" w:hAnsi="仿宋_GB2312" w:cs="仿宋_GB2312" w:eastAsia="仿宋_GB2312"/>
                <w:sz w:val="24"/>
                <w:b/>
              </w:rPr>
              <w:t>4.其他要求</w:t>
            </w:r>
          </w:p>
          <w:p>
            <w:pPr>
              <w:pStyle w:val="null3"/>
              <w:ind w:left="225" w:right="120" w:firstLine="480"/>
              <w:jc w:val="both"/>
            </w:pPr>
            <w:r>
              <w:rPr>
                <w:rFonts w:ascii="仿宋_GB2312" w:hAnsi="仿宋_GB2312" w:cs="仿宋_GB2312" w:eastAsia="仿宋_GB2312"/>
                <w:sz w:val="24"/>
              </w:rPr>
              <w:t>（</w:t>
            </w:r>
            <w:r>
              <w:rPr>
                <w:rFonts w:ascii="仿宋_GB2312" w:hAnsi="仿宋_GB2312" w:cs="仿宋_GB2312" w:eastAsia="仿宋_GB2312"/>
                <w:sz w:val="24"/>
              </w:rPr>
              <w:t>1）供应商需成立专项服务团队，团队核心成员需具备土地管理、土地评估、房地产评估、法律、政策研究、城市规划与设计、测绘测量等相关专业背景；供应商具有类似政策修订服务经验，能够确保服务质量和效率。</w:t>
            </w:r>
          </w:p>
          <w:p>
            <w:pPr>
              <w:pStyle w:val="null3"/>
              <w:ind w:left="225" w:right="120" w:firstLine="480"/>
              <w:jc w:val="both"/>
            </w:pPr>
            <w:r>
              <w:rPr>
                <w:rFonts w:ascii="仿宋_GB2312" w:hAnsi="仿宋_GB2312" w:cs="仿宋_GB2312" w:eastAsia="仿宋_GB2312"/>
                <w:sz w:val="24"/>
              </w:rPr>
              <w:t>（</w:t>
            </w:r>
            <w:r>
              <w:rPr>
                <w:rFonts w:ascii="仿宋_GB2312" w:hAnsi="仿宋_GB2312" w:cs="仿宋_GB2312" w:eastAsia="仿宋_GB2312"/>
                <w:sz w:val="24"/>
              </w:rPr>
              <w:t>2）服务过程中，需积极配合采购单位及相关部门的沟通协调工作，及时响应需求，根据要求调整修订内容。</w:t>
            </w:r>
          </w:p>
          <w:p>
            <w:pPr>
              <w:pStyle w:val="null3"/>
              <w:ind w:left="225" w:right="120" w:firstLine="480"/>
              <w:jc w:val="both"/>
            </w:pPr>
            <w:r>
              <w:rPr>
                <w:rFonts w:ascii="仿宋_GB2312" w:hAnsi="仿宋_GB2312" w:cs="仿宋_GB2312" w:eastAsia="仿宋_GB2312"/>
                <w:sz w:val="24"/>
              </w:rPr>
              <w:t>（</w:t>
            </w:r>
            <w:r>
              <w:rPr>
                <w:rFonts w:ascii="仿宋_GB2312" w:hAnsi="仿宋_GB2312" w:cs="仿宋_GB2312" w:eastAsia="仿宋_GB2312"/>
                <w:sz w:val="24"/>
              </w:rPr>
              <w:t>3）修订成果需符合行政规范性文件制定要求，通过采购单位及相关部门的审核，确保可依法发布实施。</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4）严格遵守保密规定，对服务过程中获取的涉密信息、调研数据、工作资料等严格保密，不得泄露给第三方，保密义务期限至该信息成为公开信息。</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180天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政府采购相关法律法规及《财政部关于进一步加强政府采购需求和履约验收管理的指导意见》（财库〔2016〕205号）等相关规定的要求、招标文件的要求、中标投标人的响应文件及承诺、合同约定的标准以及采购人提出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1、合同签订后，修订成果经采购人验收通过并公布实施，采购人收到供应商增值税发票后，达到付款条件起15日内，支付合同总金额的100.00%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甲乙双方必须遵守本合同并执行合同中的各项规定，保证本合同的正常履行。②如因乙方工作人员在履行职务过程中的疏忽、失职、过错等故意或者过失原因给甲方造成损失或侵害，包括但不限于未按要求提交成果、甲方本身的财产损失、由此而导致的甲方对任何第三方的法律责任等均由乙方承担，并且向甲方支付合同总额5%的违约金。③本合同或与本合同履行有关方面发生纠纷，由双方友好协商解决，协商不成，提交甲方所在地人民法院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1.（1）投标人针对本项目的实际情况制定详细的工作方案，内容包含但不限于：①项目理解；②背景分析；③项目周期安排等。 （2）投标人针对本项目的实际情况制定详细的实施方案，内容包含但不限于：①项目资料收集及存档；②工作重难点分析；③进度计划安排等。 （3）投标人针对本项目的实际情况制定详细的质量保证方案，内容包含但不限于：①质量控制措施②进度保障措施；③应急预案；④保密措施等。 （4）投标人针对本项目的实际情况制定详细的后续服务方案，内容包含但不限于：①后续服务保障措施和计划；②后续服务响应措施等。 （5）投标人具有2023年1月1日（含）起至响应截止之日止的类似项目业绩。    （6）投标人为本项目配备工作人员。 注：本项仅作为评审因素，投标人根据评审标准提供相关证明材料，具体评审标准详见“评审细则及标准”表。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4项材料投标人根据自身情况任选其一即可，均提供复印件或扫描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投标（响应）函,实质性要求响应表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投标人按要求响应技术、服务要求应答表。</w:t>
            </w:r>
          </w:p>
        </w:tc>
        <w:tc>
          <w:tcPr>
            <w:tcW w:type="dxa" w:w="3322"/>
          </w:tcPr>
          <w:p>
            <w:pPr>
              <w:pStyle w:val="null3"/>
              <w:jc w:val="left"/>
            </w:pPr>
            <w:r>
              <w:rPr>
                <w:rFonts w:ascii="仿宋_GB2312" w:hAnsi="仿宋_GB2312" w:cs="仿宋_GB2312" w:eastAsia="仿宋_GB2312"/>
              </w:rPr>
              <w:t>投标人按要求响应技术、服务要求应答表并进行电子签章。</w:t>
            </w:r>
          </w:p>
        </w:tc>
        <w:tc>
          <w:tcPr>
            <w:tcW w:type="dxa" w:w="1661"/>
          </w:tcPr>
          <w:p>
            <w:pPr>
              <w:pStyle w:val="null3"/>
              <w:jc w:val="left"/>
            </w:pPr>
            <w:r>
              <w:rPr>
                <w:rFonts w:ascii="仿宋_GB2312" w:hAnsi="仿宋_GB2312" w:cs="仿宋_GB2312" w:eastAsia="仿宋_GB2312"/>
              </w:rPr>
              <w:t>技术、服务应答表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投标人按要求响应商务应答表。</w:t>
            </w:r>
          </w:p>
        </w:tc>
        <w:tc>
          <w:tcPr>
            <w:tcW w:type="dxa" w:w="3322"/>
          </w:tcPr>
          <w:p>
            <w:pPr>
              <w:pStyle w:val="null3"/>
              <w:jc w:val="left"/>
            </w:pPr>
            <w:r>
              <w:rPr>
                <w:rFonts w:ascii="仿宋_GB2312" w:hAnsi="仿宋_GB2312" w:cs="仿宋_GB2312" w:eastAsia="仿宋_GB2312"/>
              </w:rPr>
              <w:t>投标人按要求响应商务应答表并进行电子签章。</w:t>
            </w:r>
          </w:p>
        </w:tc>
        <w:tc>
          <w:tcPr>
            <w:tcW w:type="dxa" w:w="1661"/>
          </w:tcPr>
          <w:p>
            <w:pPr>
              <w:pStyle w:val="null3"/>
              <w:jc w:val="left"/>
            </w:pPr>
            <w:r>
              <w:rPr>
                <w:rFonts w:ascii="仿宋_GB2312" w:hAnsi="仿宋_GB2312" w:cs="仿宋_GB2312" w:eastAsia="仿宋_GB2312"/>
              </w:rPr>
              <w:t>商务要求应答表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工作方案</w:t>
            </w:r>
          </w:p>
        </w:tc>
        <w:tc>
          <w:tcPr>
            <w:tcW w:type="dxa" w:w="2575"/>
          </w:tcPr>
          <w:p>
            <w:pPr>
              <w:pStyle w:val="null3"/>
              <w:jc w:val="left"/>
            </w:pPr>
            <w:r>
              <w:rPr>
                <w:rFonts w:ascii="仿宋_GB2312" w:hAnsi="仿宋_GB2312" w:cs="仿宋_GB2312" w:eastAsia="仿宋_GB2312"/>
              </w:rPr>
              <w:t>投标人针对本项目的实际情况制定详细的工作方案，内容包含但不限于：①项目理解；②背景分析；③项目周期安排。以上内容完全满足项目采购需求及没有缺失缺陷或错误的得15分，每有一项缺失的扣5分，每有一项内容存在错误或有缺陷的扣2.5分，扣完为止。注：错误或缺陷是指存在项目名称错误、地点区域错误、内容与本项目需求无关、仅有框架或标题、适用的标准（方法）错误、引用法律法规、规范、标准或其他规范性文件存在失效或错误、复制或套用其他项目内容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针对本项目的实际情况制定详细的实施方案，内容包含但不限于：①项目资料收集及存档；②工作重难点分析；③进度计划安排。以上内容完全满足项目采购需求及没有缺失缺陷或错误的得12分，每有一项缺失的扣4分，每有一项内容存在错误或有缺陷的扣2分，扣完为止。注：错误或缺陷是指存在项目名称错误、地点区域错误、内容与本项目需求无关、仅有框架或标题、适用的标准（方法）错误引用法律法规、规范、标准或其他规范性文件存在失效或错误、复制或套用其他项目内容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jc w:val="left"/>
            </w:pPr>
            <w:r>
              <w:rPr>
                <w:rFonts w:ascii="仿宋_GB2312" w:hAnsi="仿宋_GB2312" w:cs="仿宋_GB2312" w:eastAsia="仿宋_GB2312"/>
              </w:rPr>
              <w:t>质量保证方案</w:t>
            </w:r>
          </w:p>
        </w:tc>
        <w:tc>
          <w:tcPr>
            <w:tcW w:type="dxa" w:w="2575"/>
          </w:tcPr>
          <w:p>
            <w:pPr>
              <w:pStyle w:val="null3"/>
              <w:jc w:val="left"/>
            </w:pPr>
            <w:r>
              <w:rPr>
                <w:rFonts w:ascii="仿宋_GB2312" w:hAnsi="仿宋_GB2312" w:cs="仿宋_GB2312" w:eastAsia="仿宋_GB2312"/>
              </w:rPr>
              <w:t>投标人针对本项目的实际情况制定详细的质量保证方案，内容包含但不限于：①质量控制措施；②进度保障措施；③应急预案；④保密措施等。以上内容完全满足项目采购需求及没有缺失缺陷或错误的得24分，每有一项缺失的扣6分，每有一项内容存在错误或有缺陷的扣3分，扣完为止。注：错误或缺陷是指存在项目名称错误、地点区域错误、内容与本项目需求无关、仅有框架或标题、适用的标准（方法）错误引用法律法规、规范、标准或其他规范性文件存在失效或错误、复制或套用其他项目内容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投标人针对本项目的实际情况制定详细的后续服务方案，内容包含但不限于：①后续服务保障措施和计划；②后续服务响应措施等。以上内容完全满足项目采购需求及没有缺失缺陷或错误的得9分，每有一项缺失的扣4.5分，每有一项内容存在错误或有缺陷的扣2.5分，扣完为止。注：错误或缺陷是指存在项目名称错误、地点区域错误、内容与本项目需求无关、仅有框架或标题、适用的标准（方法）错误引用法律法规、规范、标准或其他规范性文件存在失效或错误、复制或套用其他项目内容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jc w:val="left"/>
            </w:pPr>
            <w:r>
              <w:rPr>
                <w:rFonts w:ascii="仿宋_GB2312" w:hAnsi="仿宋_GB2312" w:cs="仿宋_GB2312" w:eastAsia="仿宋_GB2312"/>
              </w:rPr>
              <w:t>人员</w:t>
            </w:r>
          </w:p>
        </w:tc>
        <w:tc>
          <w:tcPr>
            <w:tcW w:type="dxa" w:w="2575"/>
          </w:tcPr>
          <w:p>
            <w:pPr>
              <w:pStyle w:val="null3"/>
              <w:jc w:val="left"/>
            </w:pPr>
            <w:r>
              <w:rPr>
                <w:rFonts w:ascii="仿宋_GB2312" w:hAnsi="仿宋_GB2312" w:cs="仿宋_GB2312" w:eastAsia="仿宋_GB2312"/>
              </w:rPr>
              <w:t>1.项目负责人（1人）：具有房地产估价师资格的得4分，同时具有土地估价师资格的加3分，本项最高得7分； 2.技术负责人（1人）：具有房地产估价师资格的得4分，同时具有测绘类中级及以上职称的加2分，本项最高得6分； 3.其他技术人员（4人）：每有一个测绘类中级及以上职称的得3分，本项最高得12分。 注：1.以上人员均不重复计分；2.上述服务于本项目的人员须提供就职于本单位的证明材料和有效的证书（或相关证明材料）复印件并加盖印章。</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投标人认为需要提供的其他资料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投标人具有2023年1月1日（含）起至响应截止之日止，每具有一个类似项目业绩（类似业绩是指政策修订类业绩）得5分，本项最多得5分。 注：提供中标（成交）通知书或合同复印件并加盖公章，日期以合同签订或中标日期为准。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投标人认为需要提供的其他资料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详见附件：投标人认为需要提供的其他资料</w:t>
      </w:r>
    </w:p>
    <w:p>
      <w:pPr>
        <w:pStyle w:val="null3"/>
        <w:ind w:firstLine="960"/>
        <w:jc w:val="left"/>
      </w:pPr>
      <w:r>
        <w:rPr>
          <w:rFonts w:ascii="仿宋_GB2312" w:hAnsi="仿宋_GB2312" w:cs="仿宋_GB2312" w:eastAsia="仿宋_GB2312"/>
        </w:rPr>
        <w:t>详见附件：技术、服务应答表</w:t>
      </w:r>
    </w:p>
    <w:p>
      <w:pPr>
        <w:pStyle w:val="null3"/>
        <w:ind w:firstLine="960"/>
        <w:jc w:val="left"/>
      </w:pPr>
      <w:r>
        <w:rPr>
          <w:rFonts w:ascii="仿宋_GB2312" w:hAnsi="仿宋_GB2312" w:cs="仿宋_GB2312" w:eastAsia="仿宋_GB2312"/>
        </w:rPr>
        <w:t>详见附件：商务要求应答表</w:t>
      </w:r>
    </w:p>
    <w:p>
      <w:pPr>
        <w:pStyle w:val="null3"/>
        <w:ind w:firstLine="960"/>
        <w:jc w:val="left"/>
      </w:pPr>
      <w:r>
        <w:rPr>
          <w:rFonts w:ascii="仿宋_GB2312" w:hAnsi="仿宋_GB2312" w:cs="仿宋_GB2312" w:eastAsia="仿宋_GB2312"/>
        </w:rPr>
        <w:t>详见附件：实质性要求响应表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