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版本号：N510903202600000720260206002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第三人民医院病房改造提升项目追加建设面积和内容采购项目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N5109032026000007</w:t>
      </w:r>
    </w:p>
    <w:p>
      <w:pPr>
        <w:pStyle w:val="null3"/>
        <w:jc w:val="center"/>
        <w:outlineLvl w:val="2"/>
      </w:pPr>
      <w:r>
        <w:rPr>
          <w:rFonts w:ascii="仿宋_GB2312" w:hAnsi="仿宋_GB2312" w:cs="仿宋_GB2312" w:eastAsia="仿宋_GB2312"/>
          <w:sz w:val="28"/>
          <w:b/>
        </w:rPr>
        <w:t>遂宁市第三人民医院</w:t>
      </w:r>
    </w:p>
    <w:p>
      <w:pPr>
        <w:pStyle w:val="null3"/>
        <w:jc w:val="center"/>
        <w:outlineLvl w:val="2"/>
      </w:pPr>
      <w:r>
        <w:rPr>
          <w:rFonts w:ascii="仿宋_GB2312" w:hAnsi="仿宋_GB2312" w:cs="仿宋_GB2312" w:eastAsia="仿宋_GB2312"/>
          <w:sz w:val="28"/>
          <w:b/>
        </w:rPr>
        <w:t>遂宁市船山区政府采购中心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2026年01月26日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遂宁市船山区政府采购中心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遂宁市第三人民医院</w:t>
      </w:r>
      <w:r>
        <w:rPr>
          <w:rFonts w:ascii="仿宋_GB2312" w:hAnsi="仿宋_GB2312" w:cs="仿宋_GB2312" w:eastAsia="仿宋_GB2312"/>
        </w:rPr>
        <w:t xml:space="preserve"> 委托，拟对 </w:t>
      </w:r>
      <w:r>
        <w:rPr>
          <w:rFonts w:ascii="仿宋_GB2312" w:hAnsi="仿宋_GB2312" w:cs="仿宋_GB2312" w:eastAsia="仿宋_GB2312"/>
        </w:rPr>
        <w:t>第三人民医院病房改造提升项目追加建设面积和内容采购项目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遂宁市船山区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N5109032026000007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第三人民医院病房改造提升项目追加建设面积和内容采购项目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本工程为遂宁市第三人民医院病房改造提升项目追加建设面积和内容，建设地点为四川省遂宁市，本项目主要建设内容详见施工图纸及招标（控制价）工程量清单。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建筑装修装饰工程专业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2、供应商应具备机电安装工程专业承包三级及以上资质（描述：供应商应具备机电安装工程专业承包三级及以上资质）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遂宁市第三人民医院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遂宁市船山区遂州中路162号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欧阳青亮</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0825-2235291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遂宁市船山区政府采购中心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四川省遂宁市船山区嘉禾东路55号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0825-5818185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采购包1：1,974,280.91元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合同款中扣除,保函/保险</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遂宁市第三人民医院</w:t>
      </w:r>
      <w:r>
        <w:rPr>
          <w:rFonts w:ascii="仿宋_GB2312" w:hAnsi="仿宋_GB2312" w:cs="仿宋_GB2312" w:eastAsia="仿宋_GB2312"/>
        </w:rPr>
        <w:t xml:space="preserve"> 和 </w:t>
      </w:r>
      <w:r>
        <w:rPr>
          <w:rFonts w:ascii="仿宋_GB2312" w:hAnsi="仿宋_GB2312" w:cs="仿宋_GB2312" w:eastAsia="仿宋_GB2312"/>
        </w:rPr>
        <w:t>遂宁市船山区政府采购中心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遂宁市第三人民医院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遂宁市船山区政府采购中心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供应商完成合同约定的所有施工内容，工程资料齐全</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在采购合同中约定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工程量清单及项目设计施工图纸</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根据采购文件的商务要求以及供应商的响应文件进行验收。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针对本项目的施工，必须达到国家及行业现行技术规范标准，符合国家及行业验收合格标准；成交供应商与项目实施单位应严格按照工程量清单、图纸要求、国家现行有关行业规定、技术规范和要求、参照《关于进一步加强政府采购需求和履约验收管理的指导意见》（财库[2016]205号）、磋商文件的质量要求和技术指标、成交供应商的响应文件及承诺与采购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在采购合同中约定</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遂宁市第三人民医院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遂宁市船山区政府采购中心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遂宁市船山区政府采购中心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联系人：欧阳青亮</w:t>
      </w:r>
    </w:p>
    <w:p>
      <w:pPr>
        <w:pStyle w:val="null3"/>
        <w:jc w:val="left"/>
      </w:pPr>
      <w:r>
        <w:rPr>
          <w:rFonts w:ascii="仿宋_GB2312" w:hAnsi="仿宋_GB2312" w:cs="仿宋_GB2312" w:eastAsia="仿宋_GB2312"/>
        </w:rPr>
        <w:t>联系电话：0825-2235291</w:t>
      </w:r>
    </w:p>
    <w:p>
      <w:pPr>
        <w:pStyle w:val="null3"/>
        <w:jc w:val="left"/>
      </w:pPr>
      <w:r>
        <w:rPr>
          <w:rFonts w:ascii="仿宋_GB2312" w:hAnsi="仿宋_GB2312" w:cs="仿宋_GB2312" w:eastAsia="仿宋_GB2312"/>
        </w:rPr>
        <w:t>地址： 遂宁市船山区遂州中路162号</w:t>
      </w:r>
    </w:p>
    <w:p>
      <w:pPr>
        <w:pStyle w:val="null3"/>
        <w:jc w:val="left"/>
      </w:pPr>
      <w:r>
        <w:rPr>
          <w:rFonts w:ascii="仿宋_GB2312" w:hAnsi="仿宋_GB2312" w:cs="仿宋_GB2312" w:eastAsia="仿宋_GB2312"/>
        </w:rPr>
        <w:t>邮编：629000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联系电话：0825-5818185</w:t>
      </w:r>
    </w:p>
    <w:p>
      <w:pPr>
        <w:pStyle w:val="null3"/>
        <w:jc w:val="left"/>
      </w:pPr>
      <w:r>
        <w:rPr>
          <w:rFonts w:ascii="仿宋_GB2312" w:hAnsi="仿宋_GB2312" w:cs="仿宋_GB2312" w:eastAsia="仿宋_GB2312"/>
        </w:rPr>
        <w:t>地址： 遂宁市船山区嘉禾东路55号</w:t>
      </w:r>
    </w:p>
    <w:p>
      <w:pPr>
        <w:pStyle w:val="null3"/>
        <w:jc w:val="left"/>
      </w:pPr>
      <w:r>
        <w:rPr>
          <w:rFonts w:ascii="仿宋_GB2312" w:hAnsi="仿宋_GB2312" w:cs="仿宋_GB2312" w:eastAsia="仿宋_GB2312"/>
        </w:rPr>
        <w:t>邮编：629000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1,974,280.91</w:t>
      </w:r>
    </w:p>
    <w:p>
      <w:pPr>
        <w:pStyle w:val="null3"/>
        <w:jc w:val="left"/>
      </w:pPr>
      <w:r>
        <w:rPr>
          <w:rFonts w:ascii="仿宋_GB2312" w:hAnsi="仿宋_GB2312" w:cs="仿宋_GB2312" w:eastAsia="仿宋_GB2312"/>
        </w:rPr>
        <w:t>采购包最高限价（元）: 1,974,280.91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B07000000 装修工程</w:t>
            </w:r>
          </w:p>
        </w:tc>
        <w:tc>
          <w:tcPr>
            <w:tcW w:type="dxa" w:w="821"/>
          </w:tcPr>
          <w:p>
            <w:pPr>
              <w:pStyle w:val="null3"/>
              <w:jc w:val="left"/>
            </w:pPr>
            <w:r>
              <w:rPr>
                <w:rFonts w:ascii="仿宋_GB2312" w:hAnsi="仿宋_GB2312" w:cs="仿宋_GB2312" w:eastAsia="仿宋_GB2312"/>
              </w:rPr>
              <w:t>医院病房改造提升项目追加建设面积和内容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1,974,280.91</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医院病房改造提升项目追加建设面积和内容</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1,974,280.91</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供应商应按磋商文件及工程量清单编制要求，编制已标价工程量清单，作为响应文件响应报价的组成明细。</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B07000000 装修工程</w:t>
            </w:r>
          </w:p>
        </w:tc>
        <w:tc>
          <w:tcPr>
            <w:tcW w:type="dxa" w:w="2492"/>
          </w:tcPr>
          <w:p>
            <w:pPr>
              <w:pStyle w:val="null3"/>
              <w:jc w:val="left"/>
            </w:pPr>
            <w:r>
              <w:rPr>
                <w:rFonts w:ascii="仿宋_GB2312" w:hAnsi="仿宋_GB2312" w:cs="仿宋_GB2312" w:eastAsia="仿宋_GB2312"/>
              </w:rPr>
              <w:t>医院病房改造提升项目追加建设面积和内容</w:t>
            </w:r>
          </w:p>
        </w:tc>
        <w:tc>
          <w:tcPr>
            <w:tcW w:type="dxa" w:w="2492"/>
          </w:tcPr>
          <w:p>
            <w:pPr>
              <w:pStyle w:val="null3"/>
              <w:jc w:val="left"/>
            </w:pPr>
            <w:r>
              <w:rPr>
                <w:rFonts w:ascii="仿宋_GB2312" w:hAnsi="仿宋_GB2312" w:cs="仿宋_GB2312" w:eastAsia="仿宋_GB2312"/>
              </w:rPr>
              <w:t>嵌入式四面出风天花室内机 制冷2.8KW；超薄净化型风管机 制冷2.8KW；嵌入式四面出风天花室内机 制冷3.6KW；嵌入式四面出风天花室内机 制冷5.0KW；净化机组室外机 制冷量25.2kW；单管荧光灯 1×36W；监控显示器 32寸；洗衣机水龙头</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B07000000 装修工程</w:t>
            </w:r>
          </w:p>
        </w:tc>
        <w:tc>
          <w:tcPr>
            <w:tcW w:type="dxa" w:w="2492"/>
          </w:tcPr>
          <w:p>
            <w:pPr>
              <w:pStyle w:val="null3"/>
              <w:jc w:val="left"/>
            </w:pPr>
            <w:r>
              <w:rPr>
                <w:rFonts w:ascii="仿宋_GB2312" w:hAnsi="仿宋_GB2312" w:cs="仿宋_GB2312" w:eastAsia="仿宋_GB2312"/>
              </w:rPr>
              <w:t>医院病房改造提升项目追加建设面积和内容</w:t>
            </w:r>
          </w:p>
        </w:tc>
        <w:tc>
          <w:tcPr>
            <w:tcW w:type="dxa" w:w="2492"/>
          </w:tcPr>
          <w:p>
            <w:pPr>
              <w:pStyle w:val="null3"/>
              <w:jc w:val="left"/>
            </w:pPr>
            <w:r>
              <w:rPr>
                <w:rFonts w:ascii="仿宋_GB2312" w:hAnsi="仿宋_GB2312" w:cs="仿宋_GB2312" w:eastAsia="仿宋_GB2312"/>
              </w:rPr>
              <w:t>医用净化平板灯 300*600；医用净化平板灯 300*900；医用净化平板灯 600*600；医用净化平板灯 300*1200；医用净化平板灯(带蓄电池) 600*600；医用净化平板灯(带蓄电池) 300*600；医用净化平板灯(带蓄电池) 300*900；医用净化平板灯(带蓄电池) 300*1200；夹层照明灯 AC24V,15W(节能灯)；变频多联机1室外机；变频多联机2-3室外机；变频多联机4室外机</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B07000000 装修工程</w:t>
            </w:r>
          </w:p>
        </w:tc>
        <w:tc>
          <w:tcPr>
            <w:tcW w:type="dxa" w:w="2492"/>
          </w:tcPr>
          <w:p>
            <w:pPr>
              <w:pStyle w:val="null3"/>
              <w:jc w:val="left"/>
            </w:pPr>
            <w:r>
              <w:rPr>
                <w:rFonts w:ascii="仿宋_GB2312" w:hAnsi="仿宋_GB2312" w:cs="仿宋_GB2312" w:eastAsia="仿宋_GB2312"/>
              </w:rPr>
              <w:t>医院病房改造提升项目追加建设面积和内容</w:t>
            </w:r>
          </w:p>
        </w:tc>
        <w:tc>
          <w:tcPr>
            <w:tcW w:type="dxa" w:w="2492"/>
          </w:tcPr>
          <w:p>
            <w:pPr>
              <w:pStyle w:val="null3"/>
              <w:jc w:val="left"/>
            </w:pPr>
            <w:r>
              <w:rPr>
                <w:rFonts w:ascii="仿宋_GB2312" w:hAnsi="仿宋_GB2312" w:cs="仿宋_GB2312" w:eastAsia="仿宋_GB2312"/>
              </w:rPr>
              <w:t>超薄净化型风管机 制冷2.8KW；嵌入式四面出风天花室内机 制冷3.6KW、5.0KW；净化机组室外机 制冷量25.2kW；冷凝水管UPVC DN25、DN32、DN40、DN50；塑料管PPR DN50；医用净化平板灯 300*600、300*900、600*600、300*1200；医用净化平板灯(带蓄电池) 300*600、300*900、600*600、300*1200；夹层照明灯 AC24V,15W(节能灯)；24U网络机柜 1200*600*600；监控显示器 32寸；PPR给水管 DN15、DN20、DN25、DN32、DN50；洗衣机水龙头 ；陶瓷洗手盆</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标的名称：医院病房改造提升项目追加建设面积和内容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76"/>
              <w:gridCol w:w="389"/>
              <w:gridCol w:w="1006"/>
              <w:gridCol w:w="3927"/>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符号标识</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技术要求名称</w:t>
                  </w:r>
                </w:p>
              </w:tc>
              <w:tc>
                <w:tcPr>
                  <w:tcW w:type="dxa" w:w="3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工程技术要求</w:t>
                  </w:r>
                </w:p>
              </w:tc>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详见附件：工程量清单</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技术负责人</w:t>
                  </w:r>
                </w:p>
              </w:tc>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具备工程类相关专业中级或以上职称（项目经理和技术负责人不为同一人）。</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缺陷责任期</w:t>
                  </w:r>
                </w:p>
              </w:tc>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12个月</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分包</w:t>
                  </w:r>
                </w:p>
              </w:tc>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不允许</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价格调整</w:t>
                  </w:r>
                </w:p>
              </w:tc>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不允许</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履约保证金</w:t>
                  </w:r>
                </w:p>
              </w:tc>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不收取</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工程内容</w:t>
                  </w:r>
                </w:p>
              </w:tc>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具体详见施工图及工程量清单</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后续资料要求</w:t>
                  </w:r>
                </w:p>
              </w:tc>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验收合格后提供四套完整的《竣工验收资料》给予采购人备案，若有图纸资料还须提供纸质版和电子版。</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质量要求</w:t>
                  </w:r>
                </w:p>
              </w:tc>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供应商针对本项目的施工，必须达到国家及行业现行技术规范标准，符合国家及行业验收合格标准。</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0</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其它要求</w:t>
                  </w:r>
                </w:p>
              </w:tc>
              <w:tc>
                <w:tcPr>
                  <w:tcW w:type="dxa" w:w="3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工程质量、材料、施工等的说明</w:t>
                  </w:r>
                </w:p>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1）工程质量要求：达到现行施工质量验收规范中的合格标准，投标承诺的质量高于国家标准的，执行投标承诺标准。结算时，除合同另有约定外，不再增加费用。</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2）主要建筑材料要求：符合设计图纸及施工规范要求，材料的各项指标应符合现行国家相关规范及标准的合格产品，本工程所使用材料必须符合环保要求。</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3）施工要求：符合现行施工规范及验收标准的相关要求。</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4）安全责任：本项目实施中一切工程安全责任（含事故）及关联关系形成的一切安全责任（含事故）由成交供应商全部承担，与采购人无关。成交供应商在进场后须 严格按照国家和地方相关安全文明施工规范、规定的要求进行施工，并接受行业主管部门、建设单位或委托的监理单位的监督和管理，并合理的接受相关单位提出的科学、规范的整改意见。</w:t>
                  </w:r>
                </w:p>
                <w:p>
                  <w:pPr>
                    <w:pStyle w:val="null3"/>
                    <w:jc w:val="left"/>
                  </w:pPr>
                  <w:r>
                    <w:rPr>
                      <w:rFonts w:ascii="仿宋_GB2312" w:hAnsi="仿宋_GB2312" w:cs="仿宋_GB2312" w:eastAsia="仿宋_GB2312"/>
                      <w:sz w:val="19"/>
                    </w:rPr>
                    <w:t>2.项目管理机构人员要求：</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1）在工程施工期间，为加强管理和认真履行合同义务，供应商拟任项目负责人、技术负责人须压证施工，待项目主体验收合格后方可取回。供应商应委派响应文件 中所附的拟派本项目负责人、项目技术负责人和相关管理人员进驻施工现场，应保证履 职到位并常驻现场进行对本合同工程的管理，并保持其岗位的 相对稳定。未经建设单位或总监理工程师的批准，这些人员不应无故不到位或被替换。若确实无法到位或需替换，需经建设单位或总监理工程师批准，用同等资质和经验的人员替换。</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建设单位或委派的监理单位有权清退、替换不具备合格上岗证件的人员和履职不到位的项目管理人员，供应商须无条件接受，替换的项目管理人员供应商须用同等资质和经验的人员代替，并经建设单位或总监理工程师批准。</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3）供应商须承诺拟任项目负责人及其他主要人员在本次采购活动中没有在尚未完工的建设项目中担任项目负责人或主要管理人员的情形，成交后至本项目完工前也不得在其他项目担任项目负责人。（提供承诺函）</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4）项目技术负责人： 具备工程类相关专业中级或以上职称。（提供相关有效证书复印件并加盖单位公章）</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5）供应商所配备的项目经理必须与一体化系统抽中的项目经理保持一致。(供应商提供承诺函，格式自拟)。</w:t>
                  </w:r>
                </w:p>
                <w:p>
                  <w:pPr>
                    <w:pStyle w:val="null3"/>
                    <w:jc w:val="left"/>
                  </w:pPr>
                  <w:r>
                    <w:rPr>
                      <w:rFonts w:ascii="仿宋_GB2312" w:hAnsi="仿宋_GB2312" w:cs="仿宋_GB2312" w:eastAsia="仿宋_GB2312"/>
                      <w:sz w:val="19"/>
                    </w:rPr>
                    <w:t>3.材料为合格产品，必须符合设计要求及持有相关部门颁发的《产品合格证书》，所有材料进场前经入场检验合格后，方可进入现场施工。</w:t>
                  </w:r>
                </w:p>
                <w:p>
                  <w:pPr>
                    <w:pStyle w:val="null3"/>
                    <w:jc w:val="left"/>
                  </w:pPr>
                  <w:r>
                    <w:rPr>
                      <w:rFonts w:ascii="仿宋_GB2312" w:hAnsi="仿宋_GB2312" w:cs="仿宋_GB2312" w:eastAsia="仿宋_GB2312"/>
                      <w:sz w:val="19"/>
                    </w:rPr>
                    <w:t>4.施工时必须按供应商响应文件的施工组织设计进行施工。</w:t>
                  </w:r>
                </w:p>
                <w:p>
                  <w:pPr>
                    <w:pStyle w:val="null3"/>
                    <w:jc w:val="left"/>
                  </w:pPr>
                  <w:r>
                    <w:rPr>
                      <w:rFonts w:ascii="仿宋_GB2312" w:hAnsi="仿宋_GB2312" w:cs="仿宋_GB2312" w:eastAsia="仿宋_GB2312"/>
                      <w:sz w:val="19"/>
                    </w:rPr>
                    <w:t>5.成交供应商(施工单位)在施工过程中无条件接受监理单位的监督、检查、审核和技术指导，施工单位应完成采购人提出的与本项目施工相关的增加内容(费用以造价 清单或审核依据为准)。</w:t>
                  </w:r>
                </w:p>
                <w:p>
                  <w:pPr>
                    <w:pStyle w:val="null3"/>
                    <w:jc w:val="left"/>
                  </w:pPr>
                  <w:r>
                    <w:rPr>
                      <w:rFonts w:ascii="仿宋_GB2312" w:hAnsi="仿宋_GB2312" w:cs="仿宋_GB2312" w:eastAsia="仿宋_GB2312"/>
                      <w:sz w:val="19"/>
                    </w:rPr>
                    <w:t>6.资料要求：验收合格后提供四套完整的《竣工验收资料》给予采购人备案,若 图纸资料还须提供纸质及电子版。</w:t>
                  </w:r>
                </w:p>
                <w:p>
                  <w:pPr>
                    <w:pStyle w:val="null3"/>
                    <w:jc w:val="left"/>
                  </w:pPr>
                  <w:r>
                    <w:rPr>
                      <w:rFonts w:ascii="仿宋_GB2312" w:hAnsi="仿宋_GB2312" w:cs="仿宋_GB2312" w:eastAsia="仿宋_GB2312"/>
                      <w:sz w:val="19"/>
                    </w:rPr>
                    <w:t>7.民工保证金：按照国家、省、市相关规定支付民工保证金。（单独提供承诺函）</w:t>
                  </w:r>
                </w:p>
                <w:p>
                  <w:pPr>
                    <w:pStyle w:val="null3"/>
                    <w:jc w:val="both"/>
                  </w:pPr>
                  <w:r>
                    <w:rPr>
                      <w:rFonts w:ascii="仿宋_GB2312" w:hAnsi="仿宋_GB2312" w:cs="仿宋_GB2312" w:eastAsia="仿宋_GB2312"/>
                      <w:sz w:val="21"/>
                    </w:rPr>
                    <w:t>8.其余未明确的内容以工程量清单及图纸为准。</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1"/>
              </w:rPr>
              <w:t>具体要求详见</w:t>
            </w:r>
            <w:r>
              <w:rPr>
                <w:rFonts w:ascii="仿宋_GB2312" w:hAnsi="仿宋_GB2312" w:cs="仿宋_GB2312" w:eastAsia="仿宋_GB2312"/>
                <w:sz w:val="21"/>
              </w:rPr>
              <w:t>3.2技术要求内容。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60</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 预付款：签订合同后30日历内，合同金额（扣除暂列金后），达到付款条件起15日内，支付合同总金额的30.00%</w:t>
            </w:r>
          </w:p>
          <w:p>
            <w:pPr>
              <w:pStyle w:val="null3"/>
              <w:jc w:val="left"/>
            </w:pPr>
            <w:r>
              <w:rPr>
                <w:rFonts w:ascii="仿宋_GB2312" w:hAnsi="仿宋_GB2312" w:cs="仿宋_GB2312" w:eastAsia="仿宋_GB2312"/>
              </w:rPr>
              <w:t>2、承包人编制的月进度产值报告经发包人委托的造价咨询机构审核后，由发包人按审核结论的80%支付工程款。，达到付款条件起15日内，支付合同总金额的50.00%</w:t>
            </w:r>
          </w:p>
          <w:p>
            <w:pPr>
              <w:pStyle w:val="null3"/>
              <w:jc w:val="left"/>
            </w:pPr>
            <w:r>
              <w:rPr>
                <w:rFonts w:ascii="仿宋_GB2312" w:hAnsi="仿宋_GB2312" w:cs="仿宋_GB2312" w:eastAsia="仿宋_GB2312"/>
              </w:rPr>
              <w:t>3、竣工验收时，支付至合同价款（扣除招标人部分），达到付款条件起15日内，支付合同总金额的10.00%</w:t>
            </w:r>
          </w:p>
          <w:p>
            <w:pPr>
              <w:pStyle w:val="null3"/>
              <w:jc w:val="left"/>
            </w:pPr>
            <w:r>
              <w:rPr>
                <w:rFonts w:ascii="仿宋_GB2312" w:hAnsi="仿宋_GB2312" w:cs="仿宋_GB2312" w:eastAsia="仿宋_GB2312"/>
              </w:rPr>
              <w:t>4、竣工结算经主管部门结算审查后，竣工决算经相关部门批复后支付至结算价款的97%，达到付款条件起15日内，支付合同总金额的7.00%</w:t>
            </w:r>
          </w:p>
          <w:p>
            <w:pPr>
              <w:pStyle w:val="null3"/>
              <w:jc w:val="left"/>
            </w:pPr>
            <w:r>
              <w:rPr>
                <w:rFonts w:ascii="仿宋_GB2312" w:hAnsi="仿宋_GB2312" w:cs="仿宋_GB2312" w:eastAsia="仿宋_GB2312"/>
              </w:rPr>
              <w:t>5、质量缺陷责任期满后经发包人批准后一次性退还3%质量缺陷责任保修金，达到付款条件起15日内，支付合同总金额的3.00%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供应商针对本项目的施工，必须达到国家及行业现行技术规范标准，符合国家及行业验收合格标准；成交供应商与项目实施单位应严格按照工程量清单、图纸要求、国家现行有关行业规定、技术规范和要求、参照《关于进一步加强政府采购需求和履约验收管理的指导意见》（财库[2016]205号）、磋商文件的质量要求和技术指标、成交供应商的响应文件及承诺与采购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违约责任和解决争议的方法等适用《中华人民共和国民法典》</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供应商应仔细阅读，理解磋商文件的所有内容，谨慎决策。对于工程量清单中存在的漏项、错项等所有问题，各供应商应在投标截止时间7个工作日前提出异议，由招标人根据具体情况及时处理并进行回复。未提出异议的，结算时不再予以调整。如有设计变更，按照各行业规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具体要求详见3.2技术要求内容。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333333"/>
          <w:shd w:fill="FFFFFF" w:val="clear"/>
        </w:rPr>
        <w:t>本项目第三章</w:t>
      </w:r>
      <w:r>
        <w:rPr>
          <w:rFonts w:ascii="仿宋_GB2312" w:hAnsi="仿宋_GB2312" w:cs="仿宋_GB2312" w:eastAsia="仿宋_GB2312"/>
          <w:sz w:val="19"/>
          <w:color w:val="333333"/>
          <w:shd w:fill="FFFFFF" w:val="clear"/>
        </w:rPr>
        <w:t>“技术、服务及其他要求”中“3.2.技术要求”，“3.3.服务要求”中内容均为可实质性变动的内容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color w:val="333333"/>
          <w:shd w:fill="FFFFFF" w:val="clear"/>
        </w:rPr>
        <w:t>本项目第七章</w:t>
      </w:r>
      <w:r>
        <w:rPr>
          <w:rFonts w:ascii="仿宋_GB2312" w:hAnsi="仿宋_GB2312" w:cs="仿宋_GB2312" w:eastAsia="仿宋_GB2312"/>
          <w:sz w:val="19"/>
          <w:color w:val="333333"/>
          <w:shd w:fill="FFFFFF" w:val="clear"/>
        </w:rPr>
        <w:t>“拟签订采购合同文本”中内容均为可实质性变动的内容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 供应商应当提供项目负责人的行业主管部门颁发的且在有效期内的房屋建筑和市政基础设施工程安全生产考核合格证书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建筑装修装饰工程专业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投标（响应）函,企业资质信息表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供应商应具备机电安装工程专业承包三级及以上资质</w:t>
            </w:r>
          </w:p>
        </w:tc>
        <w:tc>
          <w:tcPr>
            <w:tcW w:type="dxa" w:w="3322"/>
          </w:tcPr>
          <w:p>
            <w:pPr>
              <w:pStyle w:val="null3"/>
              <w:jc w:val="left"/>
            </w:pPr>
            <w:r>
              <w:rPr>
                <w:rFonts w:ascii="仿宋_GB2312" w:hAnsi="仿宋_GB2312" w:cs="仿宋_GB2312" w:eastAsia="仿宋_GB2312"/>
              </w:rPr>
              <w:t>供应商应具备机电安装工程专业承包三级及以上资质</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tc>
        <w:tc>
          <w:tcPr>
            <w:tcW w:type="dxa" w:w="1661"/>
          </w:tcPr>
          <w:p>
            <w:pPr>
              <w:pStyle w:val="null3"/>
              <w:jc w:val="left"/>
            </w:pPr>
            <w:r>
              <w:rPr>
                <w:rFonts w:ascii="仿宋_GB2312" w:hAnsi="仿宋_GB2312" w:cs="仿宋_GB2312" w:eastAsia="仿宋_GB2312"/>
              </w:rPr>
              <w:t>已标价工程量清单,报价表,投标（响应）函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服务要求及商务要求应答</w:t>
            </w:r>
          </w:p>
        </w:tc>
        <w:tc>
          <w:tcPr>
            <w:tcW w:type="dxa" w:w="3322"/>
          </w:tcPr>
          <w:p>
            <w:pPr>
              <w:pStyle w:val="null3"/>
              <w:jc w:val="left"/>
            </w:pPr>
            <w:r>
              <w:rPr>
                <w:rFonts w:ascii="仿宋_GB2312" w:hAnsi="仿宋_GB2312" w:cs="仿宋_GB2312" w:eastAsia="仿宋_GB2312"/>
              </w:rPr>
              <w:t>按磋商文件要求进行评审</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安全保障措施、环保文明措施、应急预案、工程进度计划等</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安全保障措施</w:t>
            </w:r>
          </w:p>
        </w:tc>
        <w:tc>
          <w:tcPr>
            <w:tcW w:type="dxa" w:w="2575"/>
          </w:tcPr>
          <w:p>
            <w:pPr>
              <w:pStyle w:val="null3"/>
              <w:jc w:val="left"/>
            </w:pPr>
            <w:r>
              <w:rPr>
                <w:rFonts w:ascii="仿宋_GB2312" w:hAnsi="仿宋_GB2312" w:cs="仿宋_GB2312" w:eastAsia="仿宋_GB2312"/>
              </w:rPr>
              <w:t>供应商编制的安全保证措施至少应包含以下内容：（1）安全目标、（2）安全管理体系、（3）安全教育培训、（4）安全管理措施、（5）安全事故应急预案。注：以 上每缺少一项内容或有一项内容存在缺陷或不足（内容存在缺陷或不足是指内容不满 足项目要求或与项目无关的或与项目不匹配或项目名称、实施地点、涉及的规范、技 术服务标准要求与本项目不一致的情形。）的，每缺少一项内容扣4分，每有一项内容存在缺陷或不足扣2分，扣完为止。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环保文明措施</w:t>
            </w:r>
          </w:p>
        </w:tc>
        <w:tc>
          <w:tcPr>
            <w:tcW w:type="dxa" w:w="2575"/>
          </w:tcPr>
          <w:p>
            <w:pPr>
              <w:pStyle w:val="null3"/>
              <w:jc w:val="left"/>
            </w:pPr>
            <w:r>
              <w:rPr>
                <w:rFonts w:ascii="仿宋_GB2312" w:hAnsi="仿宋_GB2312" w:cs="仿宋_GB2312" w:eastAsia="仿宋_GB2312"/>
              </w:rPr>
              <w:t>供应商编制的环保文明措施至少应包含以下内容：（1）环境管理体系、（2）环境管理制度、（3）环境控制措施、（4）文明施工制度、（5）施工现场文明施工措施 。注：以上每缺少一项内容或有一项内容存在缺陷或不足（内容存在缺陷或不足是指 内容不满足项目要求或与项目无关的或与项目不匹配或项目名称、实施地点、涉及的 规范、技术服务标准要求与本项目不一致的情形。）的，每缺少一项内容扣4分，每有一项内容存在缺陷或不足扣2分，扣完为止。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供应商编制的应急预案至少应包含以下内容：（1）应急组织机构及职责、（2）预防应急机制（3）应急响应（4）应急保障（5）监督管理。注：以上每缺少一项内容 或有一项内容存在缺陷或不足（内容存在缺陷或不足是指内容不满足项目要求或与项 目无关的或与项目不匹配或项目名称、实施地点、涉及的规范、技术服务标准要求与 本项目不一致的情形。）的，每缺少一项内容扣4分，每有一项内容存在缺陷或不足 扣2分，扣完为止。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工程进度计划</w:t>
            </w:r>
          </w:p>
        </w:tc>
        <w:tc>
          <w:tcPr>
            <w:tcW w:type="dxa" w:w="2575"/>
          </w:tcPr>
          <w:p>
            <w:pPr>
              <w:pStyle w:val="null3"/>
              <w:jc w:val="left"/>
            </w:pPr>
            <w:r>
              <w:rPr>
                <w:rFonts w:ascii="仿宋_GB2312" w:hAnsi="仿宋_GB2312" w:cs="仿宋_GB2312" w:eastAsia="仿宋_GB2312"/>
              </w:rPr>
              <w:t>供应商编制的工程进度计划至少应包含以下内容：（1）工期目标、（2）工期进度 安排、（3）工期组织保证措施、（4）工期技术保证措施、（5）进度网络图及逻辑关系。 注：以上每缺少一项内容或有一项内容存在缺陷或不足（内容存在缺陷或不 足是指内容不满足项目要求或与项目无关的或与项目不匹配或项目名称、实施地点、涉及的规范、技术服务标准要求与本项目不一致的情形。）的，每缺少一项内容扣4分，每有一项内容存在缺陷或不足扣2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供应商提供一个已完成的类似本项目业绩得5分，每增加一个类似本项目业绩加5分 , 本项最多得10分。 注：提供施工合同扫描件和竣工验收证明扫描件。</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