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0"/>
        <w:jc w:val="center"/>
        <w:rPr>
          <w:rFonts w:hint="eastAsia" w:hAnsi="宋体" w:eastAsia="宋体"/>
          <w:b/>
          <w:color w:val="auto"/>
          <w:sz w:val="48"/>
          <w:szCs w:val="48"/>
          <w:highlight w:val="none"/>
          <w:lang w:eastAsia="zh-CN"/>
        </w:rPr>
      </w:pPr>
      <w:r>
        <w:rPr>
          <w:rFonts w:hint="eastAsia" w:hAnsi="宋体"/>
          <w:b/>
          <w:bCs/>
          <w:color w:val="auto"/>
          <w:sz w:val="48"/>
          <w:szCs w:val="48"/>
          <w:highlight w:val="none"/>
          <w:lang w:eastAsia="zh-CN"/>
        </w:rPr>
        <w:t>2025年异龙湖流域环境水质检测检验执法监管项目</w:t>
      </w:r>
    </w:p>
    <w:p>
      <w:pPr>
        <w:pStyle w:val="20"/>
        <w:spacing w:line="360" w:lineRule="auto"/>
        <w:jc w:val="center"/>
        <w:rPr>
          <w:rFonts w:hint="eastAsia" w:hAnsi="宋体"/>
          <w:b/>
          <w:color w:val="auto"/>
          <w:sz w:val="44"/>
          <w:szCs w:val="44"/>
          <w:highlight w:val="none"/>
        </w:rPr>
      </w:pPr>
    </w:p>
    <w:p>
      <w:pPr>
        <w:pStyle w:val="20"/>
        <w:spacing w:line="360" w:lineRule="auto"/>
        <w:jc w:val="center"/>
        <w:rPr>
          <w:rFonts w:hint="eastAsia" w:hAnsi="宋体"/>
          <w:b/>
          <w:color w:val="auto"/>
          <w:sz w:val="44"/>
          <w:szCs w:val="44"/>
          <w:highlight w:val="none"/>
        </w:rPr>
      </w:pPr>
    </w:p>
    <w:p>
      <w:pPr>
        <w:pStyle w:val="20"/>
        <w:spacing w:line="360" w:lineRule="auto"/>
        <w:jc w:val="center"/>
        <w:rPr>
          <w:rFonts w:hint="eastAsia" w:hAnsi="宋体"/>
          <w:b/>
          <w:color w:val="auto"/>
          <w:sz w:val="44"/>
          <w:szCs w:val="44"/>
          <w:highlight w:val="none"/>
        </w:rPr>
      </w:pPr>
    </w:p>
    <w:p>
      <w:pPr>
        <w:pStyle w:val="20"/>
        <w:jc w:val="center"/>
        <w:rPr>
          <w:rFonts w:hint="eastAsia" w:hAnsi="宋体"/>
          <w:b/>
          <w:bCs/>
          <w:color w:val="auto"/>
          <w:sz w:val="84"/>
          <w:szCs w:val="84"/>
          <w:highlight w:val="none"/>
        </w:rPr>
      </w:pPr>
      <w:r>
        <w:rPr>
          <w:rFonts w:hint="eastAsia" w:hAnsi="宋体"/>
          <w:b/>
          <w:bCs/>
          <w:color w:val="auto"/>
          <w:sz w:val="84"/>
          <w:szCs w:val="84"/>
          <w:highlight w:val="none"/>
        </w:rPr>
        <w:t>招标文件</w:t>
      </w:r>
    </w:p>
    <w:p>
      <w:pPr>
        <w:pStyle w:val="20"/>
        <w:spacing w:line="360" w:lineRule="auto"/>
        <w:rPr>
          <w:rFonts w:hint="eastAsia" w:hAnsi="宋体"/>
          <w:color w:val="auto"/>
          <w:highlight w:val="none"/>
        </w:rPr>
      </w:pPr>
    </w:p>
    <w:p>
      <w:pPr>
        <w:pStyle w:val="20"/>
        <w:spacing w:line="360" w:lineRule="auto"/>
        <w:jc w:val="center"/>
        <w:rPr>
          <w:rFonts w:hint="eastAsia" w:hAnsi="宋体" w:eastAsia="宋体"/>
          <w:color w:val="auto"/>
          <w:highlight w:val="none"/>
          <w:lang w:eastAsia="zh-CN"/>
        </w:rPr>
      </w:pPr>
      <w:r>
        <w:rPr>
          <w:rFonts w:hint="eastAsia" w:hAnsi="宋体" w:cs="宋体"/>
          <w:b/>
          <w:color w:val="auto"/>
          <w:sz w:val="28"/>
          <w:highlight w:val="none"/>
        </w:rPr>
        <w:t>项目</w:t>
      </w:r>
      <w:r>
        <w:rPr>
          <w:rFonts w:hint="eastAsia" w:hAnsi="宋体" w:cs="宋体"/>
          <w:b/>
          <w:color w:val="auto"/>
          <w:spacing w:val="-3"/>
          <w:sz w:val="28"/>
          <w:highlight w:val="none"/>
        </w:rPr>
        <w:t>编</w:t>
      </w:r>
      <w:r>
        <w:rPr>
          <w:rFonts w:hint="eastAsia" w:hAnsi="宋体" w:cs="宋体"/>
          <w:b/>
          <w:color w:val="auto"/>
          <w:sz w:val="28"/>
          <w:highlight w:val="none"/>
        </w:rPr>
        <w:t>号：</w:t>
      </w:r>
      <w:r>
        <w:rPr>
          <w:rFonts w:hint="eastAsia" w:hAnsi="宋体" w:cs="宋体"/>
          <w:b/>
          <w:color w:val="auto"/>
          <w:sz w:val="28"/>
          <w:highlight w:val="none"/>
          <w:lang w:eastAsia="zh-CN"/>
        </w:rPr>
        <w:t>ZYZB-2025-012</w:t>
      </w:r>
    </w:p>
    <w:p>
      <w:pPr>
        <w:pStyle w:val="20"/>
        <w:spacing w:line="360" w:lineRule="auto"/>
        <w:rPr>
          <w:rFonts w:hint="eastAsia" w:hAnsi="宋体"/>
          <w:color w:val="auto"/>
          <w:highlight w:val="none"/>
        </w:rPr>
      </w:pPr>
    </w:p>
    <w:p>
      <w:pPr>
        <w:pStyle w:val="20"/>
        <w:spacing w:line="360" w:lineRule="auto"/>
        <w:rPr>
          <w:rFonts w:hint="eastAsia" w:hAnsi="宋体"/>
          <w:color w:val="auto"/>
          <w:highlight w:val="none"/>
        </w:rPr>
      </w:pPr>
    </w:p>
    <w:p>
      <w:pPr>
        <w:pStyle w:val="20"/>
        <w:spacing w:line="360" w:lineRule="auto"/>
        <w:rPr>
          <w:rFonts w:hint="eastAsia" w:hAnsi="宋体"/>
          <w:color w:val="auto"/>
          <w:highlight w:val="none"/>
        </w:rPr>
      </w:pPr>
    </w:p>
    <w:p>
      <w:pPr>
        <w:pStyle w:val="11"/>
        <w:ind w:firstLine="0"/>
        <w:rPr>
          <w:rFonts w:hint="eastAsia" w:hAnsi="宋体"/>
          <w:b/>
          <w:bCs/>
          <w:color w:val="auto"/>
          <w:sz w:val="32"/>
          <w:highlight w:val="none"/>
        </w:rPr>
      </w:pPr>
    </w:p>
    <w:p>
      <w:pPr>
        <w:pStyle w:val="11"/>
        <w:rPr>
          <w:rFonts w:hint="eastAsia" w:hAnsi="宋体"/>
          <w:b/>
          <w:bCs/>
          <w:color w:val="auto"/>
          <w:sz w:val="32"/>
          <w:highlight w:val="none"/>
        </w:rPr>
      </w:pPr>
    </w:p>
    <w:p>
      <w:pPr>
        <w:pStyle w:val="11"/>
        <w:rPr>
          <w:rFonts w:hint="eastAsia" w:hAnsi="宋体"/>
          <w:b/>
          <w:bCs/>
          <w:color w:val="auto"/>
          <w:sz w:val="32"/>
          <w:highlight w:val="none"/>
        </w:rPr>
      </w:pPr>
    </w:p>
    <w:p>
      <w:pPr>
        <w:rPr>
          <w:rFonts w:hint="eastAsia" w:hAnsi="宋体"/>
          <w:b/>
          <w:bCs/>
          <w:color w:val="auto"/>
          <w:sz w:val="32"/>
          <w:highlight w:val="none"/>
        </w:rPr>
      </w:pPr>
    </w:p>
    <w:p>
      <w:pPr>
        <w:rPr>
          <w:rFonts w:hint="eastAsia" w:hAnsi="宋体"/>
          <w:b/>
          <w:bCs/>
          <w:color w:val="auto"/>
          <w:sz w:val="32"/>
          <w:highlight w:val="none"/>
        </w:rPr>
      </w:pPr>
    </w:p>
    <w:p>
      <w:pPr>
        <w:rPr>
          <w:rFonts w:hint="eastAsia" w:hAnsi="宋体"/>
          <w:b/>
          <w:bCs/>
          <w:color w:val="auto"/>
          <w:sz w:val="32"/>
          <w:highlight w:val="none"/>
        </w:rPr>
      </w:pPr>
    </w:p>
    <w:p>
      <w:pPr>
        <w:pStyle w:val="11"/>
        <w:rPr>
          <w:rFonts w:hint="eastAsia" w:hAnsi="宋体"/>
          <w:b/>
          <w:bCs/>
          <w:color w:val="auto"/>
          <w:sz w:val="32"/>
          <w:highlight w:val="none"/>
        </w:rPr>
      </w:pPr>
    </w:p>
    <w:p>
      <w:pPr>
        <w:pStyle w:val="11"/>
        <w:rPr>
          <w:rFonts w:hint="eastAsia" w:hAnsi="宋体"/>
          <w:b/>
          <w:bCs/>
          <w:color w:val="auto"/>
          <w:sz w:val="32"/>
          <w:highlight w:val="none"/>
        </w:rPr>
      </w:pPr>
    </w:p>
    <w:p>
      <w:pPr>
        <w:spacing w:line="480" w:lineRule="auto"/>
        <w:rPr>
          <w:rFonts w:hint="eastAsia" w:ascii="宋体" w:hAnsi="宋体" w:eastAsia="宋体"/>
          <w:b/>
          <w:color w:val="auto"/>
          <w:sz w:val="32"/>
          <w:szCs w:val="32"/>
          <w:highlight w:val="none"/>
          <w:lang w:eastAsia="zh-CN"/>
        </w:rPr>
      </w:pPr>
      <w:r>
        <w:rPr>
          <w:rFonts w:hint="eastAsia" w:ascii="宋体" w:hAnsi="宋体"/>
          <w:b/>
          <w:color w:val="auto"/>
          <w:sz w:val="32"/>
          <w:szCs w:val="32"/>
          <w:highlight w:val="none"/>
        </w:rPr>
        <w:t>采   购   人：</w:t>
      </w:r>
      <w:r>
        <w:rPr>
          <w:rFonts w:hint="eastAsia" w:ascii="宋体" w:hAnsi="宋体"/>
          <w:b/>
          <w:color w:val="auto"/>
          <w:sz w:val="32"/>
          <w:szCs w:val="32"/>
          <w:highlight w:val="none"/>
          <w:lang w:eastAsia="zh-CN"/>
        </w:rPr>
        <w:t>红河哈尼族彝族自治州生态环境局石屏分局</w:t>
      </w:r>
    </w:p>
    <w:p>
      <w:pPr>
        <w:spacing w:line="480" w:lineRule="auto"/>
        <w:jc w:val="both"/>
        <w:rPr>
          <w:rFonts w:hint="eastAsia" w:ascii="宋体" w:hAnsi="宋体" w:eastAsia="宋体"/>
          <w:b/>
          <w:color w:val="auto"/>
          <w:sz w:val="32"/>
          <w:szCs w:val="32"/>
          <w:highlight w:val="none"/>
          <w:lang w:eastAsia="zh-CN"/>
        </w:rPr>
      </w:pPr>
      <w:r>
        <w:rPr>
          <w:rFonts w:hint="eastAsia" w:ascii="宋体" w:hAnsi="宋体"/>
          <w:b/>
          <w:color w:val="auto"/>
          <w:sz w:val="32"/>
          <w:szCs w:val="32"/>
          <w:highlight w:val="none"/>
        </w:rPr>
        <w:t>采购代理机构：</w:t>
      </w:r>
      <w:r>
        <w:rPr>
          <w:rFonts w:hint="eastAsia" w:ascii="宋体" w:hAnsi="宋体"/>
          <w:b/>
          <w:color w:val="auto"/>
          <w:sz w:val="32"/>
          <w:szCs w:val="32"/>
          <w:highlight w:val="none"/>
          <w:lang w:eastAsia="zh-CN"/>
        </w:rPr>
        <w:t>云南智扬工程项目管理有限公司</w:t>
      </w:r>
    </w:p>
    <w:p>
      <w:pPr>
        <w:spacing w:line="480" w:lineRule="auto"/>
        <w:rPr>
          <w:rFonts w:hint="default" w:ascii="宋体" w:hAnsi="宋体" w:eastAsia="宋体"/>
          <w:b/>
          <w:color w:val="auto"/>
          <w:sz w:val="32"/>
          <w:szCs w:val="32"/>
          <w:highlight w:val="none"/>
          <w:lang w:val="en-US" w:eastAsia="zh-CN"/>
        </w:rPr>
        <w:sectPr>
          <w:headerReference r:id="rId3" w:type="default"/>
          <w:footerReference r:id="rId4" w:type="default"/>
          <w:footerReference r:id="rId5" w:type="even"/>
          <w:pgSz w:w="11906" w:h="16838"/>
          <w:pgMar w:top="1134" w:right="1304" w:bottom="1134" w:left="1304" w:header="851" w:footer="851" w:gutter="0"/>
          <w:pgNumType w:start="0"/>
          <w:cols w:space="720" w:num="1"/>
          <w:titlePg/>
          <w:docGrid w:linePitch="331" w:charSpace="0"/>
        </w:sectPr>
      </w:pPr>
      <w:r>
        <w:rPr>
          <w:rFonts w:hint="eastAsia" w:ascii="宋体" w:hAnsi="宋体"/>
          <w:b/>
          <w:color w:val="auto"/>
          <w:sz w:val="32"/>
          <w:szCs w:val="32"/>
          <w:highlight w:val="none"/>
        </w:rPr>
        <w:t>日        期：</w:t>
      </w:r>
      <w:r>
        <w:rPr>
          <w:rFonts w:hint="eastAsia" w:ascii="宋体" w:hAnsi="宋体"/>
          <w:b/>
          <w:color w:val="auto"/>
          <w:sz w:val="32"/>
          <w:szCs w:val="32"/>
          <w:highlight w:val="none"/>
          <w:lang w:val="en-US" w:eastAsia="zh-CN"/>
        </w:rPr>
        <w:t>2025年2月</w:t>
      </w:r>
    </w:p>
    <w:p>
      <w:pPr>
        <w:pStyle w:val="20"/>
        <w:spacing w:line="360" w:lineRule="auto"/>
        <w:jc w:val="center"/>
        <w:rPr>
          <w:rFonts w:hint="eastAsia" w:hAnsi="宋体"/>
          <w:b/>
          <w:color w:val="auto"/>
          <w:sz w:val="28"/>
          <w:szCs w:val="28"/>
          <w:highlight w:val="none"/>
        </w:rPr>
      </w:pPr>
    </w:p>
    <w:p>
      <w:pPr>
        <w:pStyle w:val="20"/>
        <w:spacing w:line="360" w:lineRule="auto"/>
        <w:jc w:val="center"/>
        <w:rPr>
          <w:rFonts w:hint="eastAsia" w:hAnsi="宋体"/>
          <w:b/>
          <w:color w:val="auto"/>
          <w:sz w:val="28"/>
          <w:szCs w:val="28"/>
          <w:highlight w:val="none"/>
        </w:rPr>
      </w:pPr>
      <w:r>
        <w:rPr>
          <w:rFonts w:hint="eastAsia" w:hAnsi="宋体"/>
          <w:b/>
          <w:color w:val="auto"/>
          <w:sz w:val="28"/>
          <w:szCs w:val="28"/>
          <w:highlight w:val="none"/>
        </w:rPr>
        <w:t>目  录</w:t>
      </w:r>
    </w:p>
    <w:p>
      <w:pPr>
        <w:pStyle w:val="26"/>
        <w:tabs>
          <w:tab w:val="right" w:leader="dot" w:pos="9288"/>
        </w:tabs>
        <w:rPr>
          <w:rFonts w:asciiTheme="minorHAnsi" w:hAnsiTheme="minorHAnsi" w:eastAsiaTheme="minorEastAsia" w:cstheme="minorBidi"/>
          <w:color w:val="auto"/>
          <w:szCs w:val="22"/>
          <w:highlight w:val="none"/>
        </w:rPr>
      </w:pPr>
      <w:r>
        <w:rPr>
          <w:rFonts w:ascii="宋体" w:hAnsi="宋体"/>
          <w:bCs/>
          <w:caps/>
          <w:color w:val="auto"/>
          <w:highlight w:val="none"/>
        </w:rPr>
        <w:fldChar w:fldCharType="begin"/>
      </w:r>
      <w:r>
        <w:rPr>
          <w:rFonts w:ascii="宋体" w:hAnsi="宋体"/>
          <w:bCs/>
          <w:caps/>
          <w:color w:val="auto"/>
          <w:highlight w:val="none"/>
        </w:rPr>
        <w:instrText xml:space="preserve"> TOC \o "1-2" \h \z \u </w:instrText>
      </w:r>
      <w:r>
        <w:rPr>
          <w:rFonts w:ascii="宋体" w:hAnsi="宋体"/>
          <w:bCs/>
          <w:caps/>
          <w:color w:val="auto"/>
          <w:highlight w:val="none"/>
        </w:rPr>
        <w:fldChar w:fldCharType="separate"/>
      </w:r>
      <w:r>
        <w:rPr>
          <w:color w:val="auto"/>
          <w:highlight w:val="none"/>
        </w:rPr>
        <w:fldChar w:fldCharType="begin"/>
      </w:r>
      <w:r>
        <w:rPr>
          <w:color w:val="auto"/>
          <w:highlight w:val="none"/>
        </w:rPr>
        <w:instrText xml:space="preserve"> HYPERLINK \l "_Toc118109499" </w:instrText>
      </w:r>
      <w:r>
        <w:rPr>
          <w:color w:val="auto"/>
          <w:highlight w:val="none"/>
        </w:rPr>
        <w:fldChar w:fldCharType="separate"/>
      </w:r>
      <w:r>
        <w:rPr>
          <w:rStyle w:val="43"/>
          <w:rFonts w:ascii="宋体" w:hAnsi="宋体"/>
          <w:color w:val="auto"/>
          <w:highlight w:val="none"/>
        </w:rPr>
        <w:t>第一章  招标公告</w:t>
      </w:r>
      <w:r>
        <w:rPr>
          <w:color w:val="auto"/>
          <w:highlight w:val="none"/>
        </w:rPr>
        <w:tab/>
      </w:r>
      <w:r>
        <w:rPr>
          <w:color w:val="auto"/>
          <w:highlight w:val="none"/>
        </w:rPr>
        <w:fldChar w:fldCharType="begin"/>
      </w:r>
      <w:r>
        <w:rPr>
          <w:color w:val="auto"/>
          <w:highlight w:val="none"/>
        </w:rPr>
        <w:instrText xml:space="preserve"> PAGEREF _Toc118109499 \h </w:instrText>
      </w:r>
      <w:r>
        <w:rPr>
          <w:color w:val="auto"/>
          <w:highlight w:val="none"/>
        </w:rPr>
        <w:fldChar w:fldCharType="separate"/>
      </w:r>
      <w:r>
        <w:rPr>
          <w:color w:val="auto"/>
          <w:highlight w:val="none"/>
        </w:rPr>
        <w:t>2</w:t>
      </w:r>
      <w:r>
        <w:rPr>
          <w:color w:val="auto"/>
          <w:highlight w:val="none"/>
        </w:rPr>
        <w:fldChar w:fldCharType="end"/>
      </w:r>
      <w:r>
        <w:rPr>
          <w:color w:val="auto"/>
          <w:highlight w:val="none"/>
        </w:rPr>
        <w:fldChar w:fldCharType="end"/>
      </w:r>
    </w:p>
    <w:p>
      <w:pPr>
        <w:pStyle w:val="26"/>
        <w:tabs>
          <w:tab w:val="right" w:leader="dot" w:pos="9288"/>
        </w:tabs>
        <w:rPr>
          <w:rFonts w:asciiTheme="minorHAnsi" w:hAnsiTheme="minorHAnsi" w:eastAsiaTheme="minorEastAsia" w:cstheme="minorBidi"/>
          <w:color w:val="auto"/>
          <w:szCs w:val="22"/>
          <w:highlight w:val="none"/>
        </w:rPr>
      </w:pPr>
      <w:r>
        <w:rPr>
          <w:color w:val="auto"/>
          <w:highlight w:val="none"/>
        </w:rPr>
        <w:fldChar w:fldCharType="begin"/>
      </w:r>
      <w:r>
        <w:rPr>
          <w:color w:val="auto"/>
          <w:highlight w:val="none"/>
        </w:rPr>
        <w:instrText xml:space="preserve"> HYPERLINK \l "_Toc118109500" </w:instrText>
      </w:r>
      <w:r>
        <w:rPr>
          <w:color w:val="auto"/>
          <w:highlight w:val="none"/>
        </w:rPr>
        <w:fldChar w:fldCharType="separate"/>
      </w:r>
      <w:r>
        <w:rPr>
          <w:rStyle w:val="43"/>
          <w:rFonts w:ascii="宋体" w:hAnsi="宋体"/>
          <w:color w:val="auto"/>
          <w:highlight w:val="none"/>
        </w:rPr>
        <w:t>第二章  投标人须知</w:t>
      </w:r>
      <w:r>
        <w:rPr>
          <w:color w:val="auto"/>
          <w:highlight w:val="none"/>
        </w:rPr>
        <w:tab/>
      </w:r>
      <w:r>
        <w:rPr>
          <w:color w:val="auto"/>
          <w:highlight w:val="none"/>
        </w:rPr>
        <w:fldChar w:fldCharType="begin"/>
      </w:r>
      <w:r>
        <w:rPr>
          <w:color w:val="auto"/>
          <w:highlight w:val="none"/>
        </w:rPr>
        <w:instrText xml:space="preserve"> PAGEREF _Toc118109500 \h </w:instrText>
      </w:r>
      <w:r>
        <w:rPr>
          <w:color w:val="auto"/>
          <w:highlight w:val="none"/>
        </w:rPr>
        <w:fldChar w:fldCharType="separate"/>
      </w:r>
      <w:r>
        <w:rPr>
          <w:color w:val="auto"/>
          <w:highlight w:val="none"/>
        </w:rPr>
        <w:t>7</w:t>
      </w:r>
      <w:r>
        <w:rPr>
          <w:color w:val="auto"/>
          <w:highlight w:val="none"/>
        </w:rPr>
        <w:fldChar w:fldCharType="end"/>
      </w:r>
      <w:r>
        <w:rPr>
          <w:color w:val="auto"/>
          <w:highlight w:val="none"/>
        </w:rPr>
        <w:fldChar w:fldCharType="end"/>
      </w:r>
    </w:p>
    <w:p>
      <w:pPr>
        <w:pStyle w:val="30"/>
        <w:tabs>
          <w:tab w:val="right" w:leader="dot" w:pos="9288"/>
        </w:tabs>
        <w:ind w:left="420"/>
        <w:rPr>
          <w:rFonts w:asciiTheme="minorHAnsi" w:hAnsiTheme="minorHAnsi" w:cstheme="minorBidi"/>
          <w:color w:val="auto"/>
          <w:szCs w:val="22"/>
          <w:highlight w:val="none"/>
        </w:rPr>
      </w:pPr>
      <w:r>
        <w:rPr>
          <w:color w:val="auto"/>
          <w:highlight w:val="none"/>
        </w:rPr>
        <w:fldChar w:fldCharType="begin"/>
      </w:r>
      <w:r>
        <w:rPr>
          <w:color w:val="auto"/>
          <w:highlight w:val="none"/>
        </w:rPr>
        <w:instrText xml:space="preserve"> HYPERLINK \l "_Toc118109501" </w:instrText>
      </w:r>
      <w:r>
        <w:rPr>
          <w:color w:val="auto"/>
          <w:highlight w:val="none"/>
        </w:rPr>
        <w:fldChar w:fldCharType="separate"/>
      </w:r>
      <w:r>
        <w:rPr>
          <w:rStyle w:val="43"/>
          <w:rFonts w:ascii="宋体" w:hAnsi="宋体"/>
          <w:color w:val="auto"/>
          <w:highlight w:val="none"/>
        </w:rPr>
        <w:t>投标人须知前附表</w:t>
      </w:r>
      <w:r>
        <w:rPr>
          <w:color w:val="auto"/>
          <w:highlight w:val="none"/>
        </w:rPr>
        <w:tab/>
      </w:r>
      <w:r>
        <w:rPr>
          <w:rFonts w:hint="eastAsia"/>
          <w:color w:val="auto"/>
          <w:highlight w:val="none"/>
        </w:rPr>
        <w:t>1</w:t>
      </w:r>
      <w:r>
        <w:rPr>
          <w:rFonts w:hint="eastAsia"/>
          <w:color w:val="auto"/>
          <w:highlight w:val="none"/>
        </w:rPr>
        <w:fldChar w:fldCharType="end"/>
      </w:r>
      <w:r>
        <w:rPr>
          <w:rFonts w:hint="eastAsia"/>
          <w:color w:val="auto"/>
          <w:highlight w:val="none"/>
        </w:rPr>
        <w:t>2</w:t>
      </w:r>
    </w:p>
    <w:p>
      <w:pPr>
        <w:pStyle w:val="30"/>
        <w:tabs>
          <w:tab w:val="right" w:leader="dot" w:pos="9288"/>
        </w:tabs>
        <w:ind w:left="420"/>
        <w:rPr>
          <w:rFonts w:asciiTheme="minorHAnsi" w:hAnsiTheme="minorHAnsi" w:cstheme="minorBidi"/>
          <w:color w:val="auto"/>
          <w:szCs w:val="22"/>
          <w:highlight w:val="none"/>
        </w:rPr>
      </w:pPr>
      <w:r>
        <w:rPr>
          <w:color w:val="auto"/>
          <w:highlight w:val="none"/>
        </w:rPr>
        <w:fldChar w:fldCharType="begin"/>
      </w:r>
      <w:r>
        <w:rPr>
          <w:color w:val="auto"/>
          <w:highlight w:val="none"/>
        </w:rPr>
        <w:instrText xml:space="preserve"> HYPERLINK \l "_Toc118109502" </w:instrText>
      </w:r>
      <w:r>
        <w:rPr>
          <w:color w:val="auto"/>
          <w:highlight w:val="none"/>
        </w:rPr>
        <w:fldChar w:fldCharType="separate"/>
      </w:r>
      <w:r>
        <w:rPr>
          <w:rStyle w:val="43"/>
          <w:rFonts w:ascii="宋体" w:hAnsi="宋体"/>
          <w:color w:val="auto"/>
          <w:highlight w:val="none"/>
        </w:rPr>
        <w:t>一、总  则</w:t>
      </w:r>
      <w:r>
        <w:rPr>
          <w:color w:val="auto"/>
          <w:highlight w:val="none"/>
        </w:rPr>
        <w:tab/>
      </w:r>
      <w:r>
        <w:rPr>
          <w:rFonts w:hint="eastAsia"/>
          <w:color w:val="auto"/>
          <w:highlight w:val="none"/>
        </w:rPr>
        <w:t>1</w:t>
      </w:r>
      <w:r>
        <w:rPr>
          <w:rFonts w:hint="eastAsia"/>
          <w:color w:val="auto"/>
          <w:highlight w:val="none"/>
        </w:rPr>
        <w:fldChar w:fldCharType="end"/>
      </w:r>
      <w:r>
        <w:rPr>
          <w:rFonts w:hint="eastAsia"/>
          <w:color w:val="auto"/>
          <w:highlight w:val="none"/>
        </w:rPr>
        <w:t>2</w:t>
      </w:r>
    </w:p>
    <w:p>
      <w:pPr>
        <w:pStyle w:val="30"/>
        <w:tabs>
          <w:tab w:val="right" w:leader="dot" w:pos="9288"/>
        </w:tabs>
        <w:ind w:left="420"/>
        <w:rPr>
          <w:rFonts w:asciiTheme="minorHAnsi" w:hAnsiTheme="minorHAnsi" w:eastAsiaTheme="minorEastAsia" w:cstheme="minorBidi"/>
          <w:color w:val="auto"/>
          <w:szCs w:val="22"/>
          <w:highlight w:val="none"/>
        </w:rPr>
      </w:pPr>
      <w:r>
        <w:rPr>
          <w:color w:val="auto"/>
          <w:highlight w:val="none"/>
        </w:rPr>
        <w:fldChar w:fldCharType="begin"/>
      </w:r>
      <w:r>
        <w:rPr>
          <w:color w:val="auto"/>
          <w:highlight w:val="none"/>
        </w:rPr>
        <w:instrText xml:space="preserve"> HYPERLINK \l "_Toc118109503" </w:instrText>
      </w:r>
      <w:r>
        <w:rPr>
          <w:color w:val="auto"/>
          <w:highlight w:val="none"/>
        </w:rPr>
        <w:fldChar w:fldCharType="separate"/>
      </w:r>
      <w:r>
        <w:rPr>
          <w:rStyle w:val="43"/>
          <w:rFonts w:ascii="宋体" w:hAnsi="宋体"/>
          <w:color w:val="auto"/>
          <w:highlight w:val="none"/>
        </w:rPr>
        <w:t>二、招标文件</w:t>
      </w:r>
      <w:r>
        <w:rPr>
          <w:color w:val="auto"/>
          <w:highlight w:val="none"/>
        </w:rPr>
        <w:tab/>
      </w:r>
      <w:r>
        <w:rPr>
          <w:color w:val="auto"/>
          <w:highlight w:val="none"/>
        </w:rPr>
        <w:fldChar w:fldCharType="begin"/>
      </w:r>
      <w:r>
        <w:rPr>
          <w:color w:val="auto"/>
          <w:highlight w:val="none"/>
        </w:rPr>
        <w:instrText xml:space="preserve"> PAGEREF _Toc118109503 \h </w:instrText>
      </w:r>
      <w:r>
        <w:rPr>
          <w:color w:val="auto"/>
          <w:highlight w:val="none"/>
        </w:rPr>
        <w:fldChar w:fldCharType="separate"/>
      </w:r>
      <w:r>
        <w:rPr>
          <w:color w:val="auto"/>
          <w:highlight w:val="none"/>
        </w:rPr>
        <w:t>15</w:t>
      </w:r>
      <w:r>
        <w:rPr>
          <w:color w:val="auto"/>
          <w:highlight w:val="none"/>
        </w:rPr>
        <w:fldChar w:fldCharType="end"/>
      </w:r>
      <w:r>
        <w:rPr>
          <w:color w:val="auto"/>
          <w:highlight w:val="none"/>
        </w:rPr>
        <w:fldChar w:fldCharType="end"/>
      </w:r>
    </w:p>
    <w:p>
      <w:pPr>
        <w:pStyle w:val="30"/>
        <w:tabs>
          <w:tab w:val="right" w:leader="dot" w:pos="9288"/>
        </w:tabs>
        <w:ind w:left="420"/>
        <w:rPr>
          <w:rFonts w:asciiTheme="minorHAnsi" w:hAnsiTheme="minorHAnsi" w:eastAsiaTheme="minorEastAsia" w:cstheme="minorBidi"/>
          <w:color w:val="auto"/>
          <w:szCs w:val="22"/>
          <w:highlight w:val="none"/>
        </w:rPr>
      </w:pPr>
      <w:r>
        <w:rPr>
          <w:color w:val="auto"/>
          <w:highlight w:val="none"/>
        </w:rPr>
        <w:fldChar w:fldCharType="begin"/>
      </w:r>
      <w:r>
        <w:rPr>
          <w:color w:val="auto"/>
          <w:highlight w:val="none"/>
        </w:rPr>
        <w:instrText xml:space="preserve"> HYPERLINK \l "_Toc118109504" </w:instrText>
      </w:r>
      <w:r>
        <w:rPr>
          <w:color w:val="auto"/>
          <w:highlight w:val="none"/>
        </w:rPr>
        <w:fldChar w:fldCharType="separate"/>
      </w:r>
      <w:r>
        <w:rPr>
          <w:rStyle w:val="43"/>
          <w:rFonts w:ascii="宋体" w:hAnsi="宋体"/>
          <w:color w:val="auto"/>
          <w:highlight w:val="none"/>
        </w:rPr>
        <w:t>三、投标文件的编制</w:t>
      </w:r>
      <w:r>
        <w:rPr>
          <w:color w:val="auto"/>
          <w:highlight w:val="none"/>
        </w:rPr>
        <w:tab/>
      </w:r>
      <w:r>
        <w:rPr>
          <w:color w:val="auto"/>
          <w:highlight w:val="none"/>
        </w:rPr>
        <w:fldChar w:fldCharType="begin"/>
      </w:r>
      <w:r>
        <w:rPr>
          <w:color w:val="auto"/>
          <w:highlight w:val="none"/>
        </w:rPr>
        <w:instrText xml:space="preserve"> PAGEREF _Toc118109504 \h </w:instrText>
      </w:r>
      <w:r>
        <w:rPr>
          <w:color w:val="auto"/>
          <w:highlight w:val="none"/>
        </w:rPr>
        <w:fldChar w:fldCharType="separate"/>
      </w:r>
      <w:r>
        <w:rPr>
          <w:color w:val="auto"/>
          <w:highlight w:val="none"/>
        </w:rPr>
        <w:t>16</w:t>
      </w:r>
      <w:r>
        <w:rPr>
          <w:color w:val="auto"/>
          <w:highlight w:val="none"/>
        </w:rPr>
        <w:fldChar w:fldCharType="end"/>
      </w:r>
      <w:r>
        <w:rPr>
          <w:color w:val="auto"/>
          <w:highlight w:val="none"/>
        </w:rPr>
        <w:fldChar w:fldCharType="end"/>
      </w:r>
    </w:p>
    <w:p>
      <w:pPr>
        <w:pStyle w:val="30"/>
        <w:tabs>
          <w:tab w:val="right" w:leader="dot" w:pos="9288"/>
        </w:tabs>
        <w:ind w:left="420"/>
        <w:rPr>
          <w:rFonts w:asciiTheme="minorHAnsi" w:hAnsiTheme="minorHAnsi" w:cstheme="minorBidi"/>
          <w:color w:val="auto"/>
          <w:szCs w:val="22"/>
          <w:highlight w:val="none"/>
        </w:rPr>
      </w:pPr>
      <w:r>
        <w:rPr>
          <w:color w:val="auto"/>
          <w:highlight w:val="none"/>
        </w:rPr>
        <w:fldChar w:fldCharType="begin"/>
      </w:r>
      <w:r>
        <w:rPr>
          <w:color w:val="auto"/>
          <w:highlight w:val="none"/>
        </w:rPr>
        <w:instrText xml:space="preserve"> HYPERLINK \l "_Toc118109505" </w:instrText>
      </w:r>
      <w:r>
        <w:rPr>
          <w:color w:val="auto"/>
          <w:highlight w:val="none"/>
        </w:rPr>
        <w:fldChar w:fldCharType="separate"/>
      </w:r>
      <w:r>
        <w:rPr>
          <w:rStyle w:val="43"/>
          <w:rFonts w:ascii="宋体" w:hAnsi="宋体"/>
          <w:color w:val="auto"/>
          <w:highlight w:val="none"/>
        </w:rPr>
        <w:t>四、投标文件的提交</w:t>
      </w:r>
      <w:r>
        <w:rPr>
          <w:color w:val="auto"/>
          <w:highlight w:val="none"/>
        </w:rPr>
        <w:tab/>
      </w:r>
      <w:r>
        <w:rPr>
          <w:rFonts w:hint="eastAsia"/>
          <w:color w:val="auto"/>
          <w:highlight w:val="none"/>
        </w:rPr>
        <w:t>1</w:t>
      </w:r>
      <w:r>
        <w:rPr>
          <w:rFonts w:hint="eastAsia"/>
          <w:color w:val="auto"/>
          <w:highlight w:val="none"/>
        </w:rPr>
        <w:fldChar w:fldCharType="end"/>
      </w:r>
      <w:r>
        <w:rPr>
          <w:rFonts w:hint="eastAsia"/>
          <w:color w:val="auto"/>
          <w:highlight w:val="none"/>
        </w:rPr>
        <w:t>6</w:t>
      </w:r>
    </w:p>
    <w:p>
      <w:pPr>
        <w:pStyle w:val="30"/>
        <w:tabs>
          <w:tab w:val="right" w:leader="dot" w:pos="9288"/>
        </w:tabs>
        <w:ind w:left="420"/>
        <w:rPr>
          <w:rFonts w:asciiTheme="minorHAnsi" w:hAnsiTheme="minorHAnsi" w:eastAsiaTheme="minorEastAsia" w:cstheme="minorBidi"/>
          <w:color w:val="auto"/>
          <w:szCs w:val="22"/>
          <w:highlight w:val="none"/>
        </w:rPr>
      </w:pPr>
      <w:r>
        <w:rPr>
          <w:color w:val="auto"/>
          <w:highlight w:val="none"/>
        </w:rPr>
        <w:fldChar w:fldCharType="begin"/>
      </w:r>
      <w:r>
        <w:rPr>
          <w:color w:val="auto"/>
          <w:highlight w:val="none"/>
        </w:rPr>
        <w:instrText xml:space="preserve"> HYPERLINK \l "_Toc118109506" </w:instrText>
      </w:r>
      <w:r>
        <w:rPr>
          <w:color w:val="auto"/>
          <w:highlight w:val="none"/>
        </w:rPr>
        <w:fldChar w:fldCharType="separate"/>
      </w:r>
      <w:r>
        <w:rPr>
          <w:rStyle w:val="43"/>
          <w:rFonts w:ascii="宋体" w:hAnsi="宋体"/>
          <w:color w:val="auto"/>
          <w:highlight w:val="none"/>
        </w:rPr>
        <w:t>五、开标与评标</w:t>
      </w:r>
      <w:r>
        <w:rPr>
          <w:color w:val="auto"/>
          <w:highlight w:val="none"/>
        </w:rPr>
        <w:tab/>
      </w:r>
      <w:r>
        <w:rPr>
          <w:color w:val="auto"/>
          <w:highlight w:val="none"/>
        </w:rPr>
        <w:fldChar w:fldCharType="begin"/>
      </w:r>
      <w:r>
        <w:rPr>
          <w:color w:val="auto"/>
          <w:highlight w:val="none"/>
        </w:rPr>
        <w:instrText xml:space="preserve"> PAGEREF _Toc118109506 \h </w:instrText>
      </w:r>
      <w:r>
        <w:rPr>
          <w:color w:val="auto"/>
          <w:highlight w:val="none"/>
        </w:rPr>
        <w:fldChar w:fldCharType="separate"/>
      </w:r>
      <w:r>
        <w:rPr>
          <w:color w:val="auto"/>
          <w:highlight w:val="none"/>
        </w:rPr>
        <w:t>18</w:t>
      </w:r>
      <w:r>
        <w:rPr>
          <w:color w:val="auto"/>
          <w:highlight w:val="none"/>
        </w:rPr>
        <w:fldChar w:fldCharType="end"/>
      </w:r>
      <w:r>
        <w:rPr>
          <w:color w:val="auto"/>
          <w:highlight w:val="none"/>
        </w:rPr>
        <w:fldChar w:fldCharType="end"/>
      </w:r>
    </w:p>
    <w:p>
      <w:pPr>
        <w:pStyle w:val="30"/>
        <w:tabs>
          <w:tab w:val="right" w:leader="dot" w:pos="9288"/>
        </w:tabs>
        <w:ind w:left="420"/>
        <w:rPr>
          <w:rFonts w:asciiTheme="minorHAnsi" w:hAnsiTheme="minorHAnsi" w:eastAsiaTheme="minorEastAsia" w:cstheme="minorBidi"/>
          <w:color w:val="auto"/>
          <w:szCs w:val="22"/>
          <w:highlight w:val="none"/>
        </w:rPr>
      </w:pPr>
      <w:r>
        <w:rPr>
          <w:color w:val="auto"/>
          <w:highlight w:val="none"/>
        </w:rPr>
        <w:fldChar w:fldCharType="begin"/>
      </w:r>
      <w:r>
        <w:rPr>
          <w:color w:val="auto"/>
          <w:highlight w:val="none"/>
        </w:rPr>
        <w:instrText xml:space="preserve"> HYPERLINK \l "_Toc118109507" </w:instrText>
      </w:r>
      <w:r>
        <w:rPr>
          <w:color w:val="auto"/>
          <w:highlight w:val="none"/>
        </w:rPr>
        <w:fldChar w:fldCharType="separate"/>
      </w:r>
      <w:r>
        <w:rPr>
          <w:rStyle w:val="43"/>
          <w:rFonts w:ascii="宋体" w:hAnsi="宋体"/>
          <w:color w:val="auto"/>
          <w:highlight w:val="none"/>
        </w:rPr>
        <w:t>六、中标结果</w:t>
      </w:r>
      <w:r>
        <w:rPr>
          <w:color w:val="auto"/>
          <w:highlight w:val="none"/>
        </w:rPr>
        <w:tab/>
      </w:r>
      <w:r>
        <w:rPr>
          <w:color w:val="auto"/>
          <w:highlight w:val="none"/>
        </w:rPr>
        <w:fldChar w:fldCharType="begin"/>
      </w:r>
      <w:r>
        <w:rPr>
          <w:color w:val="auto"/>
          <w:highlight w:val="none"/>
        </w:rPr>
        <w:instrText xml:space="preserve"> PAGEREF _Toc118109507 \h </w:instrText>
      </w:r>
      <w:r>
        <w:rPr>
          <w:color w:val="auto"/>
          <w:highlight w:val="none"/>
        </w:rPr>
        <w:fldChar w:fldCharType="separate"/>
      </w:r>
      <w:r>
        <w:rPr>
          <w:color w:val="auto"/>
          <w:highlight w:val="none"/>
        </w:rPr>
        <w:t>19</w:t>
      </w:r>
      <w:r>
        <w:rPr>
          <w:color w:val="auto"/>
          <w:highlight w:val="none"/>
        </w:rPr>
        <w:fldChar w:fldCharType="end"/>
      </w:r>
      <w:r>
        <w:rPr>
          <w:color w:val="auto"/>
          <w:highlight w:val="none"/>
        </w:rPr>
        <w:fldChar w:fldCharType="end"/>
      </w:r>
    </w:p>
    <w:p>
      <w:pPr>
        <w:pStyle w:val="30"/>
        <w:tabs>
          <w:tab w:val="right" w:leader="dot" w:pos="9288"/>
        </w:tabs>
        <w:ind w:left="420"/>
        <w:rPr>
          <w:rFonts w:asciiTheme="minorHAnsi" w:hAnsiTheme="minorHAnsi" w:eastAsiaTheme="minorEastAsia" w:cstheme="minorBidi"/>
          <w:color w:val="auto"/>
          <w:szCs w:val="22"/>
          <w:highlight w:val="none"/>
        </w:rPr>
      </w:pPr>
      <w:r>
        <w:rPr>
          <w:color w:val="auto"/>
          <w:highlight w:val="none"/>
        </w:rPr>
        <w:fldChar w:fldCharType="begin"/>
      </w:r>
      <w:r>
        <w:rPr>
          <w:color w:val="auto"/>
          <w:highlight w:val="none"/>
        </w:rPr>
        <w:instrText xml:space="preserve"> HYPERLINK \l "_Toc118109508" </w:instrText>
      </w:r>
      <w:r>
        <w:rPr>
          <w:color w:val="auto"/>
          <w:highlight w:val="none"/>
        </w:rPr>
        <w:fldChar w:fldCharType="separate"/>
      </w:r>
      <w:r>
        <w:rPr>
          <w:rStyle w:val="43"/>
          <w:rFonts w:ascii="宋体" w:hAnsi="宋体"/>
          <w:color w:val="auto"/>
          <w:highlight w:val="none"/>
        </w:rPr>
        <w:t>七、其他事项</w:t>
      </w:r>
      <w:r>
        <w:rPr>
          <w:color w:val="auto"/>
          <w:highlight w:val="none"/>
        </w:rPr>
        <w:tab/>
      </w:r>
      <w:r>
        <w:rPr>
          <w:color w:val="auto"/>
          <w:highlight w:val="none"/>
        </w:rPr>
        <w:fldChar w:fldCharType="begin"/>
      </w:r>
      <w:r>
        <w:rPr>
          <w:color w:val="auto"/>
          <w:highlight w:val="none"/>
        </w:rPr>
        <w:instrText xml:space="preserve"> PAGEREF _Toc118109508 \h </w:instrText>
      </w:r>
      <w:r>
        <w:rPr>
          <w:color w:val="auto"/>
          <w:highlight w:val="none"/>
        </w:rPr>
        <w:fldChar w:fldCharType="separate"/>
      </w:r>
      <w:r>
        <w:rPr>
          <w:color w:val="auto"/>
          <w:highlight w:val="none"/>
        </w:rPr>
        <w:t>20</w:t>
      </w:r>
      <w:r>
        <w:rPr>
          <w:color w:val="auto"/>
          <w:highlight w:val="none"/>
        </w:rPr>
        <w:fldChar w:fldCharType="end"/>
      </w:r>
      <w:r>
        <w:rPr>
          <w:color w:val="auto"/>
          <w:highlight w:val="none"/>
        </w:rPr>
        <w:fldChar w:fldCharType="end"/>
      </w:r>
    </w:p>
    <w:p>
      <w:pPr>
        <w:pStyle w:val="26"/>
        <w:tabs>
          <w:tab w:val="right" w:leader="dot" w:pos="9288"/>
        </w:tabs>
        <w:rPr>
          <w:rFonts w:asciiTheme="minorHAnsi" w:hAnsiTheme="minorHAnsi" w:cstheme="minorBidi"/>
          <w:color w:val="auto"/>
          <w:szCs w:val="22"/>
          <w:highlight w:val="none"/>
        </w:rPr>
      </w:pPr>
      <w:r>
        <w:rPr>
          <w:color w:val="auto"/>
          <w:highlight w:val="none"/>
        </w:rPr>
        <w:fldChar w:fldCharType="begin"/>
      </w:r>
      <w:r>
        <w:rPr>
          <w:color w:val="auto"/>
          <w:highlight w:val="none"/>
        </w:rPr>
        <w:instrText xml:space="preserve"> HYPERLINK \l "_Toc118109509" </w:instrText>
      </w:r>
      <w:r>
        <w:rPr>
          <w:color w:val="auto"/>
          <w:highlight w:val="none"/>
        </w:rPr>
        <w:fldChar w:fldCharType="separate"/>
      </w:r>
      <w:r>
        <w:rPr>
          <w:rStyle w:val="43"/>
          <w:rFonts w:ascii="宋体" w:hAnsi="宋体"/>
          <w:color w:val="auto"/>
          <w:highlight w:val="none"/>
        </w:rPr>
        <w:t>第三章  合同书样式及主要条款</w:t>
      </w:r>
      <w:r>
        <w:rPr>
          <w:color w:val="auto"/>
          <w:highlight w:val="none"/>
        </w:rPr>
        <w:tab/>
      </w:r>
      <w:r>
        <w:rPr>
          <w:rFonts w:hint="eastAsia"/>
          <w:color w:val="auto"/>
          <w:highlight w:val="none"/>
        </w:rPr>
        <w:t>2</w:t>
      </w:r>
      <w:r>
        <w:rPr>
          <w:rFonts w:hint="eastAsia"/>
          <w:color w:val="auto"/>
          <w:highlight w:val="none"/>
        </w:rPr>
        <w:fldChar w:fldCharType="end"/>
      </w:r>
      <w:r>
        <w:rPr>
          <w:rFonts w:hint="eastAsia"/>
          <w:color w:val="auto"/>
          <w:highlight w:val="none"/>
        </w:rPr>
        <w:t>0</w:t>
      </w:r>
    </w:p>
    <w:p>
      <w:pPr>
        <w:pStyle w:val="30"/>
        <w:tabs>
          <w:tab w:val="right" w:leader="dot" w:pos="9288"/>
        </w:tabs>
        <w:ind w:left="420"/>
        <w:rPr>
          <w:rFonts w:asciiTheme="minorHAnsi" w:hAnsiTheme="minorHAnsi" w:cstheme="minorBidi"/>
          <w:color w:val="auto"/>
          <w:szCs w:val="22"/>
          <w:highlight w:val="none"/>
        </w:rPr>
      </w:pPr>
      <w:r>
        <w:rPr>
          <w:color w:val="auto"/>
          <w:highlight w:val="none"/>
        </w:rPr>
        <w:fldChar w:fldCharType="begin"/>
      </w:r>
      <w:r>
        <w:rPr>
          <w:color w:val="auto"/>
          <w:highlight w:val="none"/>
        </w:rPr>
        <w:instrText xml:space="preserve"> HYPERLINK \l "_Toc118109510" </w:instrText>
      </w:r>
      <w:r>
        <w:rPr>
          <w:color w:val="auto"/>
          <w:highlight w:val="none"/>
        </w:rPr>
        <w:fldChar w:fldCharType="separate"/>
      </w:r>
      <w:r>
        <w:rPr>
          <w:rStyle w:val="43"/>
          <w:rFonts w:ascii="宋体" w:hAnsi="宋体"/>
          <w:color w:val="auto"/>
          <w:highlight w:val="none"/>
        </w:rPr>
        <w:t>第一部分 合同协议书</w:t>
      </w:r>
      <w:r>
        <w:rPr>
          <w:color w:val="auto"/>
          <w:highlight w:val="none"/>
        </w:rPr>
        <w:tab/>
      </w:r>
      <w:r>
        <w:rPr>
          <w:rFonts w:hint="eastAsia"/>
          <w:color w:val="auto"/>
          <w:highlight w:val="none"/>
        </w:rPr>
        <w:t>2</w:t>
      </w:r>
      <w:r>
        <w:rPr>
          <w:rFonts w:hint="eastAsia"/>
          <w:color w:val="auto"/>
          <w:highlight w:val="none"/>
        </w:rPr>
        <w:fldChar w:fldCharType="end"/>
      </w:r>
      <w:r>
        <w:rPr>
          <w:rFonts w:hint="eastAsia"/>
          <w:color w:val="auto"/>
          <w:highlight w:val="none"/>
        </w:rPr>
        <w:t>2</w:t>
      </w:r>
    </w:p>
    <w:p>
      <w:pPr>
        <w:pStyle w:val="26"/>
        <w:tabs>
          <w:tab w:val="right" w:leader="dot" w:pos="9288"/>
        </w:tabs>
        <w:rPr>
          <w:rFonts w:asciiTheme="minorHAnsi" w:hAnsiTheme="minorHAnsi" w:eastAsiaTheme="minorEastAsia" w:cstheme="minorBidi"/>
          <w:color w:val="auto"/>
          <w:szCs w:val="22"/>
          <w:highlight w:val="none"/>
        </w:rPr>
      </w:pPr>
      <w:r>
        <w:rPr>
          <w:color w:val="auto"/>
          <w:highlight w:val="none"/>
        </w:rPr>
        <w:fldChar w:fldCharType="begin"/>
      </w:r>
      <w:r>
        <w:rPr>
          <w:color w:val="auto"/>
          <w:highlight w:val="none"/>
        </w:rPr>
        <w:instrText xml:space="preserve"> HYPERLINK \l "_Toc118109511" </w:instrText>
      </w:r>
      <w:r>
        <w:rPr>
          <w:color w:val="auto"/>
          <w:highlight w:val="none"/>
        </w:rPr>
        <w:fldChar w:fldCharType="separate"/>
      </w:r>
      <w:r>
        <w:rPr>
          <w:rStyle w:val="43"/>
          <w:rFonts w:ascii="宋体" w:hAnsi="宋体"/>
          <w:color w:val="auto"/>
          <w:highlight w:val="none"/>
        </w:rPr>
        <w:t>第四章  投标文件格式</w:t>
      </w:r>
      <w:r>
        <w:rPr>
          <w:color w:val="auto"/>
          <w:highlight w:val="none"/>
        </w:rPr>
        <w:tab/>
      </w:r>
      <w:r>
        <w:rPr>
          <w:color w:val="auto"/>
          <w:highlight w:val="none"/>
        </w:rPr>
        <w:fldChar w:fldCharType="begin"/>
      </w:r>
      <w:r>
        <w:rPr>
          <w:color w:val="auto"/>
          <w:highlight w:val="none"/>
        </w:rPr>
        <w:instrText xml:space="preserve"> PAGEREF _Toc118109511 \h </w:instrText>
      </w:r>
      <w:r>
        <w:rPr>
          <w:color w:val="auto"/>
          <w:highlight w:val="none"/>
        </w:rPr>
        <w:fldChar w:fldCharType="separate"/>
      </w:r>
      <w:r>
        <w:rPr>
          <w:color w:val="auto"/>
          <w:highlight w:val="none"/>
        </w:rPr>
        <w:t>21</w:t>
      </w:r>
      <w:r>
        <w:rPr>
          <w:color w:val="auto"/>
          <w:highlight w:val="none"/>
        </w:rPr>
        <w:fldChar w:fldCharType="end"/>
      </w:r>
      <w:r>
        <w:rPr>
          <w:color w:val="auto"/>
          <w:highlight w:val="none"/>
        </w:rPr>
        <w:fldChar w:fldCharType="end"/>
      </w:r>
    </w:p>
    <w:p>
      <w:pPr>
        <w:pStyle w:val="26"/>
        <w:tabs>
          <w:tab w:val="right" w:leader="dot" w:pos="9288"/>
        </w:tabs>
        <w:rPr>
          <w:rFonts w:asciiTheme="minorHAnsi" w:hAnsiTheme="minorHAnsi" w:eastAsiaTheme="minorEastAsia" w:cstheme="minorBidi"/>
          <w:color w:val="auto"/>
          <w:szCs w:val="22"/>
          <w:highlight w:val="none"/>
        </w:rPr>
      </w:pPr>
      <w:r>
        <w:rPr>
          <w:color w:val="auto"/>
          <w:highlight w:val="none"/>
        </w:rPr>
        <w:fldChar w:fldCharType="begin"/>
      </w:r>
      <w:r>
        <w:rPr>
          <w:color w:val="auto"/>
          <w:highlight w:val="none"/>
        </w:rPr>
        <w:instrText xml:space="preserve"> HYPERLINK \l "_Toc118109512" </w:instrText>
      </w:r>
      <w:r>
        <w:rPr>
          <w:color w:val="auto"/>
          <w:highlight w:val="none"/>
        </w:rPr>
        <w:fldChar w:fldCharType="separate"/>
      </w:r>
      <w:r>
        <w:rPr>
          <w:rStyle w:val="43"/>
          <w:rFonts w:ascii="宋体" w:hAnsi="宋体"/>
          <w:color w:val="auto"/>
          <w:highlight w:val="none"/>
        </w:rPr>
        <w:t>第五章  采购内容</w:t>
      </w:r>
      <w:r>
        <w:rPr>
          <w:color w:val="auto"/>
          <w:highlight w:val="none"/>
        </w:rPr>
        <w:tab/>
      </w:r>
      <w:r>
        <w:rPr>
          <w:color w:val="auto"/>
          <w:highlight w:val="none"/>
        </w:rPr>
        <w:fldChar w:fldCharType="begin"/>
      </w:r>
      <w:r>
        <w:rPr>
          <w:color w:val="auto"/>
          <w:highlight w:val="none"/>
        </w:rPr>
        <w:instrText xml:space="preserve"> PAGEREF _Toc118109512 \h </w:instrText>
      </w:r>
      <w:r>
        <w:rPr>
          <w:color w:val="auto"/>
          <w:highlight w:val="none"/>
        </w:rPr>
        <w:fldChar w:fldCharType="separate"/>
      </w:r>
      <w:r>
        <w:rPr>
          <w:color w:val="auto"/>
          <w:highlight w:val="none"/>
        </w:rPr>
        <w:t>42</w:t>
      </w:r>
      <w:r>
        <w:rPr>
          <w:color w:val="auto"/>
          <w:highlight w:val="none"/>
        </w:rPr>
        <w:fldChar w:fldCharType="end"/>
      </w:r>
      <w:r>
        <w:rPr>
          <w:color w:val="auto"/>
          <w:highlight w:val="none"/>
        </w:rPr>
        <w:fldChar w:fldCharType="end"/>
      </w:r>
    </w:p>
    <w:p>
      <w:pPr>
        <w:pStyle w:val="26"/>
        <w:tabs>
          <w:tab w:val="right" w:leader="dot" w:pos="9288"/>
        </w:tabs>
        <w:rPr>
          <w:rFonts w:asciiTheme="minorHAnsi" w:hAnsiTheme="minorHAnsi" w:eastAsiaTheme="minorEastAsia" w:cstheme="minorBidi"/>
          <w:color w:val="auto"/>
          <w:szCs w:val="22"/>
          <w:highlight w:val="none"/>
        </w:rPr>
      </w:pPr>
      <w:r>
        <w:rPr>
          <w:color w:val="auto"/>
          <w:highlight w:val="none"/>
        </w:rPr>
        <w:fldChar w:fldCharType="begin"/>
      </w:r>
      <w:r>
        <w:rPr>
          <w:color w:val="auto"/>
          <w:highlight w:val="none"/>
        </w:rPr>
        <w:instrText xml:space="preserve"> HYPERLINK \l "_Toc118109513" </w:instrText>
      </w:r>
      <w:r>
        <w:rPr>
          <w:color w:val="auto"/>
          <w:highlight w:val="none"/>
        </w:rPr>
        <w:fldChar w:fldCharType="separate"/>
      </w:r>
      <w:r>
        <w:rPr>
          <w:rStyle w:val="43"/>
          <w:rFonts w:ascii="宋体" w:hAnsi="宋体"/>
          <w:color w:val="auto"/>
          <w:highlight w:val="none"/>
        </w:rPr>
        <w:t>第六章  资格审查</w:t>
      </w:r>
      <w:r>
        <w:rPr>
          <w:color w:val="auto"/>
          <w:highlight w:val="none"/>
        </w:rPr>
        <w:tab/>
      </w:r>
      <w:r>
        <w:rPr>
          <w:color w:val="auto"/>
          <w:highlight w:val="none"/>
        </w:rPr>
        <w:fldChar w:fldCharType="begin"/>
      </w:r>
      <w:r>
        <w:rPr>
          <w:color w:val="auto"/>
          <w:highlight w:val="none"/>
        </w:rPr>
        <w:instrText xml:space="preserve"> PAGEREF _Toc118109513 \h </w:instrText>
      </w:r>
      <w:r>
        <w:rPr>
          <w:color w:val="auto"/>
          <w:highlight w:val="none"/>
        </w:rPr>
        <w:fldChar w:fldCharType="separate"/>
      </w:r>
      <w:r>
        <w:rPr>
          <w:color w:val="auto"/>
          <w:highlight w:val="none"/>
        </w:rPr>
        <w:t>44</w:t>
      </w:r>
      <w:r>
        <w:rPr>
          <w:color w:val="auto"/>
          <w:highlight w:val="none"/>
        </w:rPr>
        <w:fldChar w:fldCharType="end"/>
      </w:r>
      <w:r>
        <w:rPr>
          <w:color w:val="auto"/>
          <w:highlight w:val="none"/>
        </w:rPr>
        <w:fldChar w:fldCharType="end"/>
      </w:r>
    </w:p>
    <w:p>
      <w:pPr>
        <w:pStyle w:val="30"/>
        <w:tabs>
          <w:tab w:val="right" w:leader="dot" w:pos="9288"/>
        </w:tabs>
        <w:ind w:left="420"/>
        <w:rPr>
          <w:rFonts w:asciiTheme="minorHAnsi" w:hAnsiTheme="minorHAnsi" w:eastAsiaTheme="minorEastAsia" w:cstheme="minorBidi"/>
          <w:color w:val="auto"/>
          <w:szCs w:val="22"/>
          <w:highlight w:val="none"/>
        </w:rPr>
      </w:pPr>
      <w:r>
        <w:rPr>
          <w:color w:val="auto"/>
          <w:highlight w:val="none"/>
        </w:rPr>
        <w:fldChar w:fldCharType="begin"/>
      </w:r>
      <w:r>
        <w:rPr>
          <w:color w:val="auto"/>
          <w:highlight w:val="none"/>
        </w:rPr>
        <w:instrText xml:space="preserve"> HYPERLINK \l "_Toc118109514" </w:instrText>
      </w:r>
      <w:r>
        <w:rPr>
          <w:color w:val="auto"/>
          <w:highlight w:val="none"/>
        </w:rPr>
        <w:fldChar w:fldCharType="separate"/>
      </w:r>
      <w:r>
        <w:rPr>
          <w:rStyle w:val="43"/>
          <w:rFonts w:ascii="宋体" w:hAnsi="宋体"/>
          <w:color w:val="auto"/>
          <w:highlight w:val="none"/>
        </w:rPr>
        <w:t>资格审查前附表</w:t>
      </w:r>
      <w:r>
        <w:rPr>
          <w:color w:val="auto"/>
          <w:highlight w:val="none"/>
        </w:rPr>
        <w:tab/>
      </w:r>
      <w:r>
        <w:rPr>
          <w:color w:val="auto"/>
          <w:highlight w:val="none"/>
        </w:rPr>
        <w:fldChar w:fldCharType="begin"/>
      </w:r>
      <w:r>
        <w:rPr>
          <w:color w:val="auto"/>
          <w:highlight w:val="none"/>
        </w:rPr>
        <w:instrText xml:space="preserve"> PAGEREF _Toc118109514 \h </w:instrText>
      </w:r>
      <w:r>
        <w:rPr>
          <w:color w:val="auto"/>
          <w:highlight w:val="none"/>
        </w:rPr>
        <w:fldChar w:fldCharType="separate"/>
      </w:r>
      <w:r>
        <w:rPr>
          <w:color w:val="auto"/>
          <w:highlight w:val="none"/>
        </w:rPr>
        <w:t>44</w:t>
      </w:r>
      <w:r>
        <w:rPr>
          <w:color w:val="auto"/>
          <w:highlight w:val="none"/>
        </w:rPr>
        <w:fldChar w:fldCharType="end"/>
      </w:r>
      <w:r>
        <w:rPr>
          <w:color w:val="auto"/>
          <w:highlight w:val="none"/>
        </w:rPr>
        <w:fldChar w:fldCharType="end"/>
      </w:r>
    </w:p>
    <w:p>
      <w:pPr>
        <w:pStyle w:val="30"/>
        <w:tabs>
          <w:tab w:val="right" w:leader="dot" w:pos="9288"/>
        </w:tabs>
        <w:ind w:left="420"/>
        <w:rPr>
          <w:rFonts w:asciiTheme="minorHAnsi" w:hAnsiTheme="minorHAnsi" w:eastAsiaTheme="minorEastAsia" w:cstheme="minorBidi"/>
          <w:color w:val="auto"/>
          <w:szCs w:val="22"/>
          <w:highlight w:val="none"/>
        </w:rPr>
      </w:pPr>
      <w:r>
        <w:rPr>
          <w:color w:val="auto"/>
          <w:highlight w:val="none"/>
        </w:rPr>
        <w:fldChar w:fldCharType="begin"/>
      </w:r>
      <w:r>
        <w:rPr>
          <w:color w:val="auto"/>
          <w:highlight w:val="none"/>
        </w:rPr>
        <w:instrText xml:space="preserve"> HYPERLINK \l "_Toc118109515" </w:instrText>
      </w:r>
      <w:r>
        <w:rPr>
          <w:color w:val="auto"/>
          <w:highlight w:val="none"/>
        </w:rPr>
        <w:fldChar w:fldCharType="separate"/>
      </w:r>
      <w:r>
        <w:rPr>
          <w:rStyle w:val="43"/>
          <w:rFonts w:ascii="宋体" w:hAnsi="宋体"/>
          <w:color w:val="auto"/>
          <w:highlight w:val="none"/>
        </w:rPr>
        <w:t>1.资格审查</w:t>
      </w:r>
      <w:r>
        <w:rPr>
          <w:color w:val="auto"/>
          <w:highlight w:val="none"/>
        </w:rPr>
        <w:tab/>
      </w:r>
      <w:r>
        <w:rPr>
          <w:color w:val="auto"/>
          <w:highlight w:val="none"/>
        </w:rPr>
        <w:fldChar w:fldCharType="begin"/>
      </w:r>
      <w:r>
        <w:rPr>
          <w:color w:val="auto"/>
          <w:highlight w:val="none"/>
        </w:rPr>
        <w:instrText xml:space="preserve"> PAGEREF _Toc118109515 \h </w:instrText>
      </w:r>
      <w:r>
        <w:rPr>
          <w:color w:val="auto"/>
          <w:highlight w:val="none"/>
        </w:rPr>
        <w:fldChar w:fldCharType="separate"/>
      </w:r>
      <w:r>
        <w:rPr>
          <w:color w:val="auto"/>
          <w:highlight w:val="none"/>
        </w:rPr>
        <w:t>45</w:t>
      </w:r>
      <w:r>
        <w:rPr>
          <w:color w:val="auto"/>
          <w:highlight w:val="none"/>
        </w:rPr>
        <w:fldChar w:fldCharType="end"/>
      </w:r>
      <w:r>
        <w:rPr>
          <w:color w:val="auto"/>
          <w:highlight w:val="none"/>
        </w:rPr>
        <w:fldChar w:fldCharType="end"/>
      </w:r>
    </w:p>
    <w:p>
      <w:pPr>
        <w:pStyle w:val="30"/>
        <w:tabs>
          <w:tab w:val="right" w:leader="dot" w:pos="9288"/>
        </w:tabs>
        <w:ind w:left="420"/>
        <w:rPr>
          <w:rFonts w:asciiTheme="minorHAnsi" w:hAnsiTheme="minorHAnsi" w:eastAsiaTheme="minorEastAsia" w:cstheme="minorBidi"/>
          <w:color w:val="auto"/>
          <w:szCs w:val="22"/>
          <w:highlight w:val="none"/>
        </w:rPr>
      </w:pPr>
      <w:r>
        <w:rPr>
          <w:color w:val="auto"/>
          <w:highlight w:val="none"/>
        </w:rPr>
        <w:fldChar w:fldCharType="begin"/>
      </w:r>
      <w:r>
        <w:rPr>
          <w:color w:val="auto"/>
          <w:highlight w:val="none"/>
        </w:rPr>
        <w:instrText xml:space="preserve"> HYPERLINK \l "_Toc118109516" </w:instrText>
      </w:r>
      <w:r>
        <w:rPr>
          <w:color w:val="auto"/>
          <w:highlight w:val="none"/>
        </w:rPr>
        <w:fldChar w:fldCharType="separate"/>
      </w:r>
      <w:r>
        <w:rPr>
          <w:rStyle w:val="43"/>
          <w:rFonts w:ascii="宋体" w:hAnsi="宋体"/>
          <w:color w:val="auto"/>
          <w:highlight w:val="none"/>
        </w:rPr>
        <w:t>2.资格审查标准</w:t>
      </w:r>
      <w:r>
        <w:rPr>
          <w:color w:val="auto"/>
          <w:highlight w:val="none"/>
        </w:rPr>
        <w:tab/>
      </w:r>
      <w:r>
        <w:rPr>
          <w:color w:val="auto"/>
          <w:highlight w:val="none"/>
        </w:rPr>
        <w:fldChar w:fldCharType="begin"/>
      </w:r>
      <w:r>
        <w:rPr>
          <w:color w:val="auto"/>
          <w:highlight w:val="none"/>
        </w:rPr>
        <w:instrText xml:space="preserve"> PAGEREF _Toc118109516 \h </w:instrText>
      </w:r>
      <w:r>
        <w:rPr>
          <w:color w:val="auto"/>
          <w:highlight w:val="none"/>
        </w:rPr>
        <w:fldChar w:fldCharType="separate"/>
      </w:r>
      <w:r>
        <w:rPr>
          <w:color w:val="auto"/>
          <w:highlight w:val="none"/>
        </w:rPr>
        <w:t>45</w:t>
      </w:r>
      <w:r>
        <w:rPr>
          <w:color w:val="auto"/>
          <w:highlight w:val="none"/>
        </w:rPr>
        <w:fldChar w:fldCharType="end"/>
      </w:r>
      <w:r>
        <w:rPr>
          <w:color w:val="auto"/>
          <w:highlight w:val="none"/>
        </w:rPr>
        <w:fldChar w:fldCharType="end"/>
      </w:r>
    </w:p>
    <w:p>
      <w:pPr>
        <w:pStyle w:val="30"/>
        <w:tabs>
          <w:tab w:val="right" w:leader="dot" w:pos="9288"/>
        </w:tabs>
        <w:ind w:left="420"/>
        <w:rPr>
          <w:rFonts w:asciiTheme="minorHAnsi" w:hAnsiTheme="minorHAnsi" w:eastAsiaTheme="minorEastAsia" w:cstheme="minorBidi"/>
          <w:color w:val="auto"/>
          <w:szCs w:val="22"/>
          <w:highlight w:val="none"/>
        </w:rPr>
      </w:pPr>
      <w:r>
        <w:rPr>
          <w:color w:val="auto"/>
          <w:highlight w:val="none"/>
        </w:rPr>
        <w:fldChar w:fldCharType="begin"/>
      </w:r>
      <w:r>
        <w:rPr>
          <w:color w:val="auto"/>
          <w:highlight w:val="none"/>
        </w:rPr>
        <w:instrText xml:space="preserve"> HYPERLINK \l "_Toc118109517" </w:instrText>
      </w:r>
      <w:r>
        <w:rPr>
          <w:color w:val="auto"/>
          <w:highlight w:val="none"/>
        </w:rPr>
        <w:fldChar w:fldCharType="separate"/>
      </w:r>
      <w:r>
        <w:rPr>
          <w:rStyle w:val="43"/>
          <w:rFonts w:ascii="宋体" w:hAnsi="宋体"/>
          <w:color w:val="auto"/>
          <w:highlight w:val="none"/>
        </w:rPr>
        <w:t>3.资格审查程序</w:t>
      </w:r>
      <w:r>
        <w:rPr>
          <w:color w:val="auto"/>
          <w:highlight w:val="none"/>
        </w:rPr>
        <w:tab/>
      </w:r>
      <w:r>
        <w:rPr>
          <w:color w:val="auto"/>
          <w:highlight w:val="none"/>
        </w:rPr>
        <w:fldChar w:fldCharType="begin"/>
      </w:r>
      <w:r>
        <w:rPr>
          <w:color w:val="auto"/>
          <w:highlight w:val="none"/>
        </w:rPr>
        <w:instrText xml:space="preserve"> PAGEREF _Toc118109517 \h </w:instrText>
      </w:r>
      <w:r>
        <w:rPr>
          <w:color w:val="auto"/>
          <w:highlight w:val="none"/>
        </w:rPr>
        <w:fldChar w:fldCharType="separate"/>
      </w:r>
      <w:r>
        <w:rPr>
          <w:color w:val="auto"/>
          <w:highlight w:val="none"/>
        </w:rPr>
        <w:t>45</w:t>
      </w:r>
      <w:r>
        <w:rPr>
          <w:color w:val="auto"/>
          <w:highlight w:val="none"/>
        </w:rPr>
        <w:fldChar w:fldCharType="end"/>
      </w:r>
      <w:r>
        <w:rPr>
          <w:color w:val="auto"/>
          <w:highlight w:val="none"/>
        </w:rPr>
        <w:fldChar w:fldCharType="end"/>
      </w:r>
    </w:p>
    <w:p>
      <w:pPr>
        <w:pStyle w:val="26"/>
        <w:tabs>
          <w:tab w:val="right" w:leader="dot" w:pos="9288"/>
        </w:tabs>
        <w:rPr>
          <w:rFonts w:asciiTheme="minorHAnsi" w:hAnsiTheme="minorHAnsi" w:eastAsiaTheme="minorEastAsia" w:cstheme="minorBidi"/>
          <w:color w:val="auto"/>
          <w:szCs w:val="22"/>
          <w:highlight w:val="none"/>
        </w:rPr>
      </w:pPr>
      <w:r>
        <w:rPr>
          <w:color w:val="auto"/>
          <w:highlight w:val="none"/>
        </w:rPr>
        <w:fldChar w:fldCharType="begin"/>
      </w:r>
      <w:r>
        <w:rPr>
          <w:color w:val="auto"/>
          <w:highlight w:val="none"/>
        </w:rPr>
        <w:instrText xml:space="preserve"> HYPERLINK \l "_Toc118109518" </w:instrText>
      </w:r>
      <w:r>
        <w:rPr>
          <w:color w:val="auto"/>
          <w:highlight w:val="none"/>
        </w:rPr>
        <w:fldChar w:fldCharType="separate"/>
      </w:r>
      <w:r>
        <w:rPr>
          <w:rStyle w:val="43"/>
          <w:rFonts w:ascii="宋体" w:hAnsi="宋体"/>
          <w:color w:val="auto"/>
          <w:highlight w:val="none"/>
        </w:rPr>
        <w:t>第七章  评标办法（综合评分法）</w:t>
      </w:r>
      <w:r>
        <w:rPr>
          <w:color w:val="auto"/>
          <w:highlight w:val="none"/>
        </w:rPr>
        <w:tab/>
      </w:r>
      <w:r>
        <w:rPr>
          <w:color w:val="auto"/>
          <w:highlight w:val="none"/>
        </w:rPr>
        <w:fldChar w:fldCharType="begin"/>
      </w:r>
      <w:r>
        <w:rPr>
          <w:color w:val="auto"/>
          <w:highlight w:val="none"/>
        </w:rPr>
        <w:instrText xml:space="preserve"> PAGEREF _Toc118109518 \h </w:instrText>
      </w:r>
      <w:r>
        <w:rPr>
          <w:color w:val="auto"/>
          <w:highlight w:val="none"/>
        </w:rPr>
        <w:fldChar w:fldCharType="separate"/>
      </w:r>
      <w:r>
        <w:rPr>
          <w:color w:val="auto"/>
          <w:highlight w:val="none"/>
        </w:rPr>
        <w:t>46</w:t>
      </w:r>
      <w:r>
        <w:rPr>
          <w:color w:val="auto"/>
          <w:highlight w:val="none"/>
        </w:rPr>
        <w:fldChar w:fldCharType="end"/>
      </w:r>
      <w:r>
        <w:rPr>
          <w:color w:val="auto"/>
          <w:highlight w:val="none"/>
        </w:rPr>
        <w:fldChar w:fldCharType="end"/>
      </w:r>
    </w:p>
    <w:p>
      <w:pPr>
        <w:pStyle w:val="30"/>
        <w:tabs>
          <w:tab w:val="right" w:leader="dot" w:pos="9288"/>
        </w:tabs>
        <w:ind w:left="420"/>
        <w:rPr>
          <w:rFonts w:asciiTheme="minorHAnsi" w:hAnsiTheme="minorHAnsi" w:eastAsiaTheme="minorEastAsia" w:cstheme="minorBidi"/>
          <w:color w:val="auto"/>
          <w:szCs w:val="22"/>
          <w:highlight w:val="none"/>
        </w:rPr>
      </w:pPr>
      <w:r>
        <w:rPr>
          <w:color w:val="auto"/>
          <w:highlight w:val="none"/>
        </w:rPr>
        <w:fldChar w:fldCharType="begin"/>
      </w:r>
      <w:r>
        <w:rPr>
          <w:color w:val="auto"/>
          <w:highlight w:val="none"/>
        </w:rPr>
        <w:instrText xml:space="preserve"> HYPERLINK \l "_Toc118109519" </w:instrText>
      </w:r>
      <w:r>
        <w:rPr>
          <w:color w:val="auto"/>
          <w:highlight w:val="none"/>
        </w:rPr>
        <w:fldChar w:fldCharType="separate"/>
      </w:r>
      <w:r>
        <w:rPr>
          <w:rStyle w:val="43"/>
          <w:rFonts w:ascii="宋体" w:hAnsi="宋体"/>
          <w:color w:val="auto"/>
          <w:highlight w:val="none"/>
        </w:rPr>
        <w:t>评标办法前附表</w:t>
      </w:r>
      <w:r>
        <w:rPr>
          <w:color w:val="auto"/>
          <w:highlight w:val="none"/>
        </w:rPr>
        <w:tab/>
      </w:r>
      <w:r>
        <w:rPr>
          <w:color w:val="auto"/>
          <w:highlight w:val="none"/>
        </w:rPr>
        <w:fldChar w:fldCharType="begin"/>
      </w:r>
      <w:r>
        <w:rPr>
          <w:color w:val="auto"/>
          <w:highlight w:val="none"/>
        </w:rPr>
        <w:instrText xml:space="preserve"> PAGEREF _Toc118109519 \h </w:instrText>
      </w:r>
      <w:r>
        <w:rPr>
          <w:color w:val="auto"/>
          <w:highlight w:val="none"/>
        </w:rPr>
        <w:fldChar w:fldCharType="separate"/>
      </w:r>
      <w:r>
        <w:rPr>
          <w:color w:val="auto"/>
          <w:highlight w:val="none"/>
        </w:rPr>
        <w:t>46</w:t>
      </w:r>
      <w:r>
        <w:rPr>
          <w:color w:val="auto"/>
          <w:highlight w:val="none"/>
        </w:rPr>
        <w:fldChar w:fldCharType="end"/>
      </w:r>
      <w:r>
        <w:rPr>
          <w:color w:val="auto"/>
          <w:highlight w:val="none"/>
        </w:rPr>
        <w:fldChar w:fldCharType="end"/>
      </w:r>
    </w:p>
    <w:p>
      <w:pPr>
        <w:pStyle w:val="30"/>
        <w:tabs>
          <w:tab w:val="right" w:leader="dot" w:pos="9288"/>
        </w:tabs>
        <w:ind w:left="420"/>
        <w:rPr>
          <w:rFonts w:asciiTheme="minorHAnsi" w:hAnsiTheme="minorHAnsi" w:eastAsiaTheme="minorEastAsia" w:cstheme="minorBidi"/>
          <w:color w:val="auto"/>
          <w:szCs w:val="22"/>
          <w:highlight w:val="none"/>
        </w:rPr>
      </w:pPr>
      <w:r>
        <w:rPr>
          <w:color w:val="auto"/>
          <w:highlight w:val="none"/>
        </w:rPr>
        <w:fldChar w:fldCharType="begin"/>
      </w:r>
      <w:r>
        <w:rPr>
          <w:color w:val="auto"/>
          <w:highlight w:val="none"/>
        </w:rPr>
        <w:instrText xml:space="preserve"> HYPERLINK \l "_Toc118109520" </w:instrText>
      </w:r>
      <w:r>
        <w:rPr>
          <w:color w:val="auto"/>
          <w:highlight w:val="none"/>
        </w:rPr>
        <w:fldChar w:fldCharType="separate"/>
      </w:r>
      <w:r>
        <w:rPr>
          <w:rStyle w:val="43"/>
          <w:rFonts w:ascii="宋体" w:hAnsi="宋体"/>
          <w:color w:val="auto"/>
          <w:highlight w:val="none"/>
        </w:rPr>
        <w:t>1.评标方法</w:t>
      </w:r>
      <w:r>
        <w:rPr>
          <w:color w:val="auto"/>
          <w:highlight w:val="none"/>
        </w:rPr>
        <w:tab/>
      </w:r>
      <w:r>
        <w:rPr>
          <w:color w:val="auto"/>
          <w:highlight w:val="none"/>
        </w:rPr>
        <w:fldChar w:fldCharType="begin"/>
      </w:r>
      <w:r>
        <w:rPr>
          <w:color w:val="auto"/>
          <w:highlight w:val="none"/>
        </w:rPr>
        <w:instrText xml:space="preserve"> PAGEREF _Toc118109520 \h </w:instrText>
      </w:r>
      <w:r>
        <w:rPr>
          <w:color w:val="auto"/>
          <w:highlight w:val="none"/>
        </w:rPr>
        <w:fldChar w:fldCharType="separate"/>
      </w:r>
      <w:r>
        <w:rPr>
          <w:color w:val="auto"/>
          <w:highlight w:val="none"/>
        </w:rPr>
        <w:t>51</w:t>
      </w:r>
      <w:r>
        <w:rPr>
          <w:color w:val="auto"/>
          <w:highlight w:val="none"/>
        </w:rPr>
        <w:fldChar w:fldCharType="end"/>
      </w:r>
      <w:r>
        <w:rPr>
          <w:color w:val="auto"/>
          <w:highlight w:val="none"/>
        </w:rPr>
        <w:fldChar w:fldCharType="end"/>
      </w:r>
    </w:p>
    <w:p>
      <w:pPr>
        <w:pStyle w:val="30"/>
        <w:tabs>
          <w:tab w:val="right" w:leader="dot" w:pos="9288"/>
        </w:tabs>
        <w:ind w:left="420"/>
        <w:rPr>
          <w:rFonts w:asciiTheme="minorHAnsi" w:hAnsiTheme="minorHAnsi" w:eastAsiaTheme="minorEastAsia" w:cstheme="minorBidi"/>
          <w:color w:val="auto"/>
          <w:szCs w:val="22"/>
          <w:highlight w:val="none"/>
        </w:rPr>
      </w:pPr>
      <w:r>
        <w:rPr>
          <w:color w:val="auto"/>
          <w:highlight w:val="none"/>
        </w:rPr>
        <w:fldChar w:fldCharType="begin"/>
      </w:r>
      <w:r>
        <w:rPr>
          <w:color w:val="auto"/>
          <w:highlight w:val="none"/>
        </w:rPr>
        <w:instrText xml:space="preserve"> HYPERLINK \l "_Toc118109521" </w:instrText>
      </w:r>
      <w:r>
        <w:rPr>
          <w:color w:val="auto"/>
          <w:highlight w:val="none"/>
        </w:rPr>
        <w:fldChar w:fldCharType="separate"/>
      </w:r>
      <w:r>
        <w:rPr>
          <w:rStyle w:val="43"/>
          <w:rFonts w:ascii="宋体" w:hAnsi="宋体"/>
          <w:color w:val="auto"/>
          <w:highlight w:val="none"/>
        </w:rPr>
        <w:t>2.评审标准</w:t>
      </w:r>
      <w:r>
        <w:rPr>
          <w:color w:val="auto"/>
          <w:highlight w:val="none"/>
        </w:rPr>
        <w:tab/>
      </w:r>
      <w:r>
        <w:rPr>
          <w:color w:val="auto"/>
          <w:highlight w:val="none"/>
        </w:rPr>
        <w:fldChar w:fldCharType="begin"/>
      </w:r>
      <w:r>
        <w:rPr>
          <w:color w:val="auto"/>
          <w:highlight w:val="none"/>
        </w:rPr>
        <w:instrText xml:space="preserve"> PAGEREF _Toc118109521 \h </w:instrText>
      </w:r>
      <w:r>
        <w:rPr>
          <w:color w:val="auto"/>
          <w:highlight w:val="none"/>
        </w:rPr>
        <w:fldChar w:fldCharType="separate"/>
      </w:r>
      <w:r>
        <w:rPr>
          <w:color w:val="auto"/>
          <w:highlight w:val="none"/>
        </w:rPr>
        <w:t>51</w:t>
      </w:r>
      <w:r>
        <w:rPr>
          <w:color w:val="auto"/>
          <w:highlight w:val="none"/>
        </w:rPr>
        <w:fldChar w:fldCharType="end"/>
      </w:r>
      <w:r>
        <w:rPr>
          <w:color w:val="auto"/>
          <w:highlight w:val="none"/>
        </w:rPr>
        <w:fldChar w:fldCharType="end"/>
      </w:r>
    </w:p>
    <w:p>
      <w:pPr>
        <w:pStyle w:val="30"/>
        <w:tabs>
          <w:tab w:val="right" w:leader="dot" w:pos="9288"/>
        </w:tabs>
        <w:ind w:left="420"/>
        <w:rPr>
          <w:rFonts w:asciiTheme="minorHAnsi" w:hAnsiTheme="minorHAnsi" w:eastAsiaTheme="minorEastAsia" w:cstheme="minorBidi"/>
          <w:color w:val="auto"/>
          <w:szCs w:val="22"/>
          <w:highlight w:val="none"/>
        </w:rPr>
      </w:pPr>
      <w:r>
        <w:rPr>
          <w:color w:val="auto"/>
          <w:highlight w:val="none"/>
        </w:rPr>
        <w:fldChar w:fldCharType="begin"/>
      </w:r>
      <w:r>
        <w:rPr>
          <w:color w:val="auto"/>
          <w:highlight w:val="none"/>
        </w:rPr>
        <w:instrText xml:space="preserve"> HYPERLINK \l "_Toc118109522" </w:instrText>
      </w:r>
      <w:r>
        <w:rPr>
          <w:color w:val="auto"/>
          <w:highlight w:val="none"/>
        </w:rPr>
        <w:fldChar w:fldCharType="separate"/>
      </w:r>
      <w:r>
        <w:rPr>
          <w:rStyle w:val="43"/>
          <w:rFonts w:ascii="宋体" w:hAnsi="宋体"/>
          <w:color w:val="auto"/>
          <w:highlight w:val="none"/>
        </w:rPr>
        <w:t>3.评标程序</w:t>
      </w:r>
      <w:r>
        <w:rPr>
          <w:color w:val="auto"/>
          <w:highlight w:val="none"/>
        </w:rPr>
        <w:tab/>
      </w:r>
      <w:r>
        <w:rPr>
          <w:color w:val="auto"/>
          <w:highlight w:val="none"/>
        </w:rPr>
        <w:fldChar w:fldCharType="begin"/>
      </w:r>
      <w:r>
        <w:rPr>
          <w:color w:val="auto"/>
          <w:highlight w:val="none"/>
        </w:rPr>
        <w:instrText xml:space="preserve"> PAGEREF _Toc118109522 \h </w:instrText>
      </w:r>
      <w:r>
        <w:rPr>
          <w:color w:val="auto"/>
          <w:highlight w:val="none"/>
        </w:rPr>
        <w:fldChar w:fldCharType="separate"/>
      </w:r>
      <w:r>
        <w:rPr>
          <w:color w:val="auto"/>
          <w:highlight w:val="none"/>
        </w:rPr>
        <w:t>52</w:t>
      </w:r>
      <w:r>
        <w:rPr>
          <w:color w:val="auto"/>
          <w:highlight w:val="none"/>
        </w:rPr>
        <w:fldChar w:fldCharType="end"/>
      </w:r>
      <w:r>
        <w:rPr>
          <w:color w:val="auto"/>
          <w:highlight w:val="none"/>
        </w:rPr>
        <w:fldChar w:fldCharType="end"/>
      </w:r>
    </w:p>
    <w:p>
      <w:pPr>
        <w:pStyle w:val="47"/>
        <w:tabs>
          <w:tab w:val="right" w:leader="dot" w:pos="9353"/>
        </w:tabs>
        <w:snapToGrid w:val="0"/>
        <w:spacing w:line="300" w:lineRule="exact"/>
        <w:ind w:left="0" w:leftChars="0"/>
        <w:rPr>
          <w:rFonts w:hint="eastAsia" w:ascii="宋体" w:hAnsi="宋体"/>
          <w:iCs w:val="0"/>
          <w:color w:val="auto"/>
          <w:highlight w:val="none"/>
        </w:rPr>
        <w:sectPr>
          <w:headerReference r:id="rId6" w:type="default"/>
          <w:pgSz w:w="11906" w:h="16838"/>
          <w:pgMar w:top="1134" w:right="1304" w:bottom="1134" w:left="1304" w:header="851" w:footer="851" w:gutter="0"/>
          <w:pgNumType w:start="1"/>
          <w:cols w:space="720" w:num="1"/>
          <w:docGrid w:linePitch="331" w:charSpace="0"/>
        </w:sectPr>
      </w:pPr>
      <w:r>
        <w:rPr>
          <w:rFonts w:ascii="宋体" w:hAnsi="宋体"/>
          <w:bCs/>
          <w:iCs w:val="0"/>
          <w:caps/>
          <w:color w:val="auto"/>
          <w:szCs w:val="24"/>
          <w:highlight w:val="none"/>
        </w:rPr>
        <w:fldChar w:fldCharType="end"/>
      </w:r>
    </w:p>
    <w:p>
      <w:pPr>
        <w:pStyle w:val="2"/>
        <w:keepNext w:val="0"/>
        <w:keepLines w:val="0"/>
        <w:pageBreakBefore w:val="0"/>
        <w:rPr>
          <w:rFonts w:hint="eastAsia" w:ascii="宋体" w:hAnsi="宋体"/>
          <w:color w:val="auto"/>
          <w:highlight w:val="none"/>
        </w:rPr>
      </w:pPr>
      <w:bookmarkStart w:id="0" w:name="_Toc118109499"/>
      <w:r>
        <w:rPr>
          <w:rFonts w:hint="eastAsia" w:ascii="宋体" w:hAnsi="宋体"/>
          <w:color w:val="auto"/>
          <w:highlight w:val="none"/>
        </w:rPr>
        <w:t>第一章  招标公告</w:t>
      </w:r>
      <w:bookmarkEnd w:id="0"/>
    </w:p>
    <w:p>
      <w:pPr>
        <w:spacing w:line="360" w:lineRule="auto"/>
        <w:jc w:val="center"/>
        <w:rPr>
          <w:rFonts w:hint="eastAsia" w:ascii="宋体" w:hAnsi="宋体" w:eastAsia="宋体" w:cs="宋体"/>
          <w:b/>
          <w:bCs/>
          <w:color w:val="auto"/>
          <w:sz w:val="32"/>
          <w:szCs w:val="32"/>
          <w:highlight w:val="none"/>
          <w:lang w:eastAsia="zh-CN"/>
        </w:rPr>
      </w:pPr>
      <w:bookmarkStart w:id="1" w:name="_Hlk106607654"/>
      <w:r>
        <w:rPr>
          <w:rFonts w:hint="eastAsia" w:ascii="宋体" w:hAnsi="宋体" w:cs="宋体"/>
          <w:b/>
          <w:bCs/>
          <w:color w:val="auto"/>
          <w:sz w:val="32"/>
          <w:szCs w:val="32"/>
          <w:highlight w:val="none"/>
          <w:lang w:eastAsia="zh-CN"/>
        </w:rPr>
        <w:t>2025年异龙湖流域环境水质检测检验执法监管项目</w:t>
      </w:r>
    </w:p>
    <w:p>
      <w:pPr>
        <w:spacing w:line="360" w:lineRule="auto"/>
        <w:jc w:val="center"/>
        <w:rPr>
          <w:rFonts w:hint="eastAsia" w:ascii="宋体" w:hAnsi="宋体"/>
          <w:b/>
          <w:bCs/>
          <w:color w:val="auto"/>
          <w:sz w:val="32"/>
          <w:szCs w:val="32"/>
          <w:highlight w:val="none"/>
        </w:rPr>
      </w:pPr>
      <w:r>
        <w:rPr>
          <w:rFonts w:hint="eastAsia" w:ascii="宋体" w:hAnsi="宋体" w:cs="宋体"/>
          <w:b/>
          <w:bCs/>
          <w:color w:val="auto"/>
          <w:sz w:val="32"/>
          <w:szCs w:val="32"/>
          <w:highlight w:val="none"/>
        </w:rPr>
        <w:t>招标公告</w:t>
      </w:r>
    </w:p>
    <w:p>
      <w:pPr>
        <w:pBdr>
          <w:top w:val="single" w:color="auto" w:sz="4" w:space="1"/>
          <w:left w:val="single" w:color="auto" w:sz="4" w:space="1"/>
          <w:bottom w:val="single" w:color="auto" w:sz="4" w:space="0"/>
          <w:right w:val="single" w:color="auto" w:sz="4" w:space="4"/>
        </w:pBd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项目概况</w:t>
      </w:r>
    </w:p>
    <w:p>
      <w:pPr>
        <w:pBdr>
          <w:top w:val="single" w:color="auto" w:sz="4" w:space="1"/>
          <w:left w:val="single" w:color="auto" w:sz="4" w:space="1"/>
          <w:bottom w:val="single" w:color="auto" w:sz="4" w:space="0"/>
          <w:right w:val="single" w:color="auto" w:sz="4" w:space="4"/>
        </w:pBdr>
        <w:spacing w:line="360" w:lineRule="auto"/>
        <w:ind w:firstLine="422" w:firstLineChars="200"/>
        <w:rPr>
          <w:rFonts w:hint="eastAsia" w:ascii="宋体" w:hAnsi="宋体" w:cs="宋体"/>
          <w:bCs/>
          <w:color w:val="auto"/>
          <w:szCs w:val="21"/>
          <w:highlight w:val="none"/>
          <w:u w:val="single"/>
        </w:rPr>
      </w:pPr>
      <w:r>
        <w:rPr>
          <w:rFonts w:hint="eastAsia" w:ascii="宋体" w:hAnsi="宋体" w:cs="宋体"/>
          <w:b/>
          <w:color w:val="auto"/>
          <w:szCs w:val="21"/>
          <w:highlight w:val="none"/>
          <w:u w:val="single"/>
          <w:lang w:eastAsia="zh-CN"/>
        </w:rPr>
        <w:t>2025年异龙湖流域环境水质检测检验执法监管项目</w:t>
      </w:r>
      <w:r>
        <w:rPr>
          <w:rFonts w:hint="eastAsia" w:ascii="宋体" w:hAnsi="宋体" w:cs="宋体"/>
          <w:bCs/>
          <w:color w:val="auto"/>
          <w:szCs w:val="21"/>
          <w:highlight w:val="none"/>
          <w:u w:val="single"/>
        </w:rPr>
        <w:t>招标项目的潜在投标人应在政采云平台（https://www.zcygov.cn/）获取采购文件，并于202</w:t>
      </w:r>
      <w:r>
        <w:rPr>
          <w:rFonts w:hint="eastAsia" w:ascii="宋体" w:hAnsi="宋体" w:cs="宋体"/>
          <w:bCs/>
          <w:color w:val="auto"/>
          <w:szCs w:val="21"/>
          <w:highlight w:val="none"/>
          <w:u w:val="single"/>
          <w:lang w:val="en-US" w:eastAsia="zh-CN"/>
        </w:rPr>
        <w:t>5</w:t>
      </w:r>
      <w:r>
        <w:rPr>
          <w:rFonts w:hint="eastAsia" w:ascii="宋体" w:hAnsi="宋体" w:cs="宋体"/>
          <w:bCs/>
          <w:color w:val="auto"/>
          <w:szCs w:val="21"/>
          <w:highlight w:val="none"/>
          <w:u w:val="single"/>
        </w:rPr>
        <w:t>年</w:t>
      </w:r>
      <w:r>
        <w:rPr>
          <w:rFonts w:hint="eastAsia" w:ascii="宋体" w:hAnsi="宋体" w:cs="宋体"/>
          <w:bCs/>
          <w:color w:val="auto"/>
          <w:szCs w:val="21"/>
          <w:highlight w:val="none"/>
          <w:u w:val="single"/>
          <w:lang w:val="en-US" w:eastAsia="zh-CN"/>
        </w:rPr>
        <w:t>02月28日</w:t>
      </w:r>
      <w:r>
        <w:rPr>
          <w:rFonts w:hint="eastAsia" w:ascii="宋体" w:hAnsi="宋体" w:cs="宋体"/>
          <w:bCs/>
          <w:color w:val="auto"/>
          <w:szCs w:val="21"/>
          <w:highlight w:val="none"/>
          <w:u w:val="single"/>
        </w:rPr>
        <w:t>09时00分（北京时间）前递交投标文件。</w:t>
      </w:r>
    </w:p>
    <w:p>
      <w:pPr>
        <w:spacing w:line="480" w:lineRule="auto"/>
        <w:rPr>
          <w:rFonts w:hint="eastAsia" w:ascii="宋体" w:hAnsi="宋体"/>
          <w:b/>
          <w:bCs/>
          <w:color w:val="auto"/>
          <w:highlight w:val="none"/>
        </w:rPr>
      </w:pPr>
      <w:bookmarkStart w:id="2" w:name="_Toc28359002"/>
      <w:bookmarkStart w:id="3" w:name="_Toc28359079"/>
      <w:bookmarkStart w:id="4" w:name="_Toc35393790"/>
      <w:bookmarkStart w:id="5" w:name="_Toc35393621"/>
      <w:bookmarkStart w:id="6" w:name="_Hlk24379207"/>
      <w:r>
        <w:rPr>
          <w:rFonts w:hint="eastAsia" w:ascii="宋体" w:hAnsi="宋体"/>
          <w:b/>
          <w:bCs/>
          <w:color w:val="auto"/>
          <w:highlight w:val="none"/>
        </w:rPr>
        <w:t>一、项目基本情况</w:t>
      </w:r>
      <w:bookmarkEnd w:id="2"/>
      <w:bookmarkEnd w:id="3"/>
      <w:bookmarkEnd w:id="4"/>
      <w:bookmarkEnd w:id="5"/>
    </w:p>
    <w:p>
      <w:pPr>
        <w:spacing w:line="480" w:lineRule="auto"/>
        <w:ind w:firstLine="420" w:firstLineChars="200"/>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1、项目名称：</w:t>
      </w:r>
      <w:r>
        <w:rPr>
          <w:rFonts w:hint="eastAsia" w:ascii="宋体" w:hAnsi="宋体" w:cs="宋体"/>
          <w:color w:val="auto"/>
          <w:szCs w:val="21"/>
          <w:highlight w:val="none"/>
          <w:lang w:eastAsia="zh-CN"/>
        </w:rPr>
        <w:t>2025年异龙湖流域环境水质检测检验执法监管项目</w:t>
      </w:r>
    </w:p>
    <w:bookmarkEnd w:id="6"/>
    <w:p>
      <w:pPr>
        <w:spacing w:line="480" w:lineRule="auto"/>
        <w:ind w:firstLine="420" w:firstLineChars="200"/>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2、项目</w:t>
      </w:r>
      <w:r>
        <w:rPr>
          <w:rFonts w:ascii="宋体" w:hAnsi="宋体" w:cs="宋体"/>
          <w:color w:val="auto"/>
          <w:szCs w:val="21"/>
          <w:highlight w:val="none"/>
        </w:rPr>
        <w:t>编号：</w:t>
      </w:r>
      <w:r>
        <w:rPr>
          <w:rFonts w:hint="eastAsia" w:ascii="宋体" w:hAnsi="宋体" w:cs="宋体"/>
          <w:color w:val="auto"/>
          <w:szCs w:val="21"/>
          <w:highlight w:val="none"/>
          <w:lang w:eastAsia="zh-CN"/>
        </w:rPr>
        <w:t>ZYZB-2025-012</w:t>
      </w:r>
    </w:p>
    <w:p>
      <w:pPr>
        <w:spacing w:line="480" w:lineRule="auto"/>
        <w:ind w:firstLine="420" w:firstLineChars="200"/>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3、</w:t>
      </w:r>
      <w:r>
        <w:rPr>
          <w:rFonts w:ascii="宋体" w:hAnsi="宋体" w:cs="宋体"/>
          <w:color w:val="auto"/>
          <w:szCs w:val="21"/>
          <w:highlight w:val="none"/>
        </w:rPr>
        <w:t>资金来源：</w:t>
      </w:r>
      <w:r>
        <w:rPr>
          <w:rFonts w:hint="eastAsia" w:ascii="宋体" w:hAnsi="宋体" w:cs="宋体"/>
          <w:color w:val="auto"/>
          <w:szCs w:val="21"/>
          <w:highlight w:val="none"/>
          <w:lang w:eastAsia="zh-CN"/>
        </w:rPr>
        <w:t>上级财政资金</w:t>
      </w:r>
    </w:p>
    <w:p>
      <w:pPr>
        <w:spacing w:line="480" w:lineRule="auto"/>
        <w:ind w:firstLine="420" w:firstLineChars="200"/>
        <w:rPr>
          <w:rFonts w:hint="default" w:ascii="宋体" w:hAnsi="宋体" w:cs="宋体"/>
          <w:color w:val="auto"/>
          <w:szCs w:val="21"/>
          <w:highlight w:val="none"/>
          <w:lang w:val="en-US" w:eastAsia="zh-CN"/>
        </w:rPr>
      </w:pPr>
      <w:r>
        <w:rPr>
          <w:rFonts w:hint="eastAsia" w:ascii="宋体" w:hAnsi="宋体" w:cs="宋体"/>
          <w:color w:val="auto"/>
          <w:szCs w:val="21"/>
          <w:highlight w:val="none"/>
        </w:rPr>
        <w:t>4、采购内容：</w:t>
      </w:r>
      <w:r>
        <w:rPr>
          <w:rFonts w:hint="eastAsia" w:ascii="宋体" w:hAnsi="宋体" w:cs="宋体"/>
          <w:color w:val="auto"/>
          <w:szCs w:val="21"/>
          <w:highlight w:val="none"/>
          <w:lang w:val="en-US" w:eastAsia="zh-CN"/>
        </w:rPr>
        <w:t>2025年异龙湖流域环境监测及执法监管，具体内容详见“第五章 采购内容”</w:t>
      </w:r>
    </w:p>
    <w:p>
      <w:pPr>
        <w:spacing w:line="48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5、采购预算金额</w:t>
      </w:r>
      <w:r>
        <w:rPr>
          <w:rFonts w:ascii="宋体" w:hAnsi="宋体" w:cs="宋体"/>
          <w:color w:val="auto"/>
          <w:szCs w:val="21"/>
          <w:highlight w:val="none"/>
        </w:rPr>
        <w:t>：</w:t>
      </w:r>
      <w:r>
        <w:rPr>
          <w:rFonts w:hint="eastAsia" w:ascii="宋体" w:hAnsi="宋体" w:cs="宋体"/>
          <w:color w:val="auto"/>
          <w:szCs w:val="21"/>
          <w:highlight w:val="none"/>
          <w:lang w:val="en-US" w:eastAsia="zh-CN"/>
        </w:rPr>
        <w:t>150万元，本项目共一个标段</w:t>
      </w:r>
      <w:r>
        <w:rPr>
          <w:rFonts w:hint="eastAsia" w:ascii="宋体" w:hAnsi="宋体" w:cs="宋体"/>
          <w:color w:val="auto"/>
          <w:szCs w:val="21"/>
          <w:highlight w:val="none"/>
        </w:rPr>
        <w:t>；</w:t>
      </w:r>
    </w:p>
    <w:p>
      <w:pPr>
        <w:spacing w:line="48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6、服务地点：</w:t>
      </w:r>
      <w:r>
        <w:rPr>
          <w:rFonts w:hint="eastAsia" w:ascii="宋体" w:hAnsi="宋体" w:cs="宋体"/>
          <w:color w:val="auto"/>
          <w:szCs w:val="21"/>
          <w:highlight w:val="none"/>
          <w:lang w:eastAsia="zh-CN"/>
        </w:rPr>
        <w:t>石屏县境内</w:t>
      </w:r>
      <w:r>
        <w:rPr>
          <w:rFonts w:hint="eastAsia" w:ascii="宋体" w:hAnsi="宋体" w:cs="宋体"/>
          <w:color w:val="auto"/>
          <w:szCs w:val="21"/>
          <w:highlight w:val="none"/>
        </w:rPr>
        <w:t>；</w:t>
      </w:r>
    </w:p>
    <w:p>
      <w:pPr>
        <w:spacing w:line="480" w:lineRule="auto"/>
        <w:ind w:firstLine="420" w:firstLineChars="200"/>
        <w:rPr>
          <w:rFonts w:hint="eastAsia" w:ascii="宋体" w:hAnsi="宋体" w:cs="宋体"/>
          <w:bCs/>
          <w:color w:val="auto"/>
          <w:szCs w:val="21"/>
          <w:highlight w:val="none"/>
        </w:rPr>
      </w:pPr>
      <w:r>
        <w:rPr>
          <w:rFonts w:hint="eastAsia" w:ascii="宋体" w:hAnsi="宋体" w:cs="宋体"/>
          <w:bCs/>
          <w:color w:val="auto"/>
          <w:szCs w:val="21"/>
          <w:highlight w:val="none"/>
        </w:rPr>
        <w:t>7、服务期限：</w:t>
      </w:r>
      <w:r>
        <w:rPr>
          <w:rFonts w:hint="eastAsia" w:ascii="宋体" w:hAnsi="宋体" w:cs="宋体"/>
          <w:bCs/>
          <w:color w:val="auto"/>
          <w:szCs w:val="21"/>
          <w:highlight w:val="none"/>
          <w:lang w:eastAsia="zh-CN"/>
        </w:rPr>
        <w:t>服务周期自合同签订一年</w:t>
      </w:r>
      <w:r>
        <w:rPr>
          <w:rFonts w:hint="eastAsia" w:ascii="宋体" w:hAnsi="宋体" w:cs="宋体"/>
          <w:bCs/>
          <w:color w:val="auto"/>
          <w:szCs w:val="21"/>
          <w:highlight w:val="none"/>
        </w:rPr>
        <w:t>；</w:t>
      </w:r>
    </w:p>
    <w:p>
      <w:pPr>
        <w:spacing w:line="480" w:lineRule="auto"/>
        <w:ind w:firstLine="420" w:firstLineChars="200"/>
        <w:rPr>
          <w:rFonts w:hint="eastAsia" w:ascii="宋体" w:hAnsi="宋体" w:cs="宋体"/>
          <w:bCs/>
          <w:color w:val="auto"/>
          <w:szCs w:val="21"/>
          <w:highlight w:val="none"/>
        </w:rPr>
      </w:pPr>
      <w:r>
        <w:rPr>
          <w:rFonts w:hint="eastAsia" w:ascii="宋体" w:hAnsi="宋体" w:cs="宋体"/>
          <w:color w:val="auto"/>
          <w:szCs w:val="21"/>
          <w:highlight w:val="none"/>
        </w:rPr>
        <w:t>8、质量要求：</w:t>
      </w:r>
      <w:r>
        <w:rPr>
          <w:rFonts w:hint="eastAsia" w:ascii="宋体" w:hAnsi="宋体" w:cs="宋体"/>
          <w:bCs/>
          <w:color w:val="auto"/>
          <w:szCs w:val="21"/>
          <w:highlight w:val="none"/>
          <w:lang w:eastAsia="zh-CN"/>
        </w:rPr>
        <w:t>符合国家和行业现行相关规定，满足采购人要求</w:t>
      </w:r>
      <w:r>
        <w:rPr>
          <w:rFonts w:hint="eastAsia" w:ascii="宋体" w:hAnsi="宋体" w:cs="宋体"/>
          <w:bCs/>
          <w:color w:val="auto"/>
          <w:szCs w:val="21"/>
          <w:highlight w:val="none"/>
        </w:rPr>
        <w:t>；</w:t>
      </w:r>
    </w:p>
    <w:p>
      <w:pPr>
        <w:tabs>
          <w:tab w:val="left" w:pos="5670"/>
        </w:tabs>
        <w:spacing w:line="48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9、本项目</w:t>
      </w:r>
      <w:r>
        <w:rPr>
          <w:rFonts w:hint="eastAsia" w:ascii="宋体" w:hAnsi="宋体" w:cs="宋体"/>
          <w:color w:val="auto"/>
          <w:szCs w:val="21"/>
          <w:highlight w:val="none"/>
          <w:lang w:val="en-US" w:eastAsia="zh-CN"/>
        </w:rPr>
        <w:t>不</w:t>
      </w:r>
      <w:r>
        <w:rPr>
          <w:rFonts w:hint="eastAsia" w:ascii="宋体" w:hAnsi="宋体" w:cs="宋体"/>
          <w:color w:val="auto"/>
          <w:szCs w:val="21"/>
          <w:highlight w:val="none"/>
        </w:rPr>
        <w:t>接受联合体投标。</w:t>
      </w:r>
    </w:p>
    <w:p>
      <w:pPr>
        <w:spacing w:line="480" w:lineRule="auto"/>
        <w:rPr>
          <w:rFonts w:hint="eastAsia" w:ascii="宋体" w:hAnsi="宋体"/>
          <w:b/>
          <w:bCs/>
          <w:color w:val="auto"/>
          <w:highlight w:val="none"/>
        </w:rPr>
      </w:pPr>
      <w:bookmarkStart w:id="7" w:name="_Toc35393791"/>
      <w:bookmarkStart w:id="8" w:name="_Toc35393622"/>
      <w:bookmarkStart w:id="9" w:name="_Toc28359080"/>
      <w:bookmarkStart w:id="10" w:name="_Toc28359003"/>
      <w:r>
        <w:rPr>
          <w:rFonts w:hint="eastAsia" w:ascii="宋体" w:hAnsi="宋体"/>
          <w:b/>
          <w:bCs/>
          <w:color w:val="auto"/>
          <w:highlight w:val="none"/>
        </w:rPr>
        <w:t>二、投标人的资格要求：</w:t>
      </w:r>
      <w:bookmarkEnd w:id="7"/>
      <w:bookmarkEnd w:id="8"/>
      <w:bookmarkEnd w:id="9"/>
      <w:bookmarkEnd w:id="10"/>
    </w:p>
    <w:p>
      <w:pPr>
        <w:spacing w:line="48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1.满足《中华人民共和国政府采购法》第二十二条规定：</w:t>
      </w:r>
    </w:p>
    <w:p>
      <w:pPr>
        <w:spacing w:line="480" w:lineRule="auto"/>
        <w:ind w:firstLine="420" w:firstLineChars="200"/>
        <w:rPr>
          <w:rFonts w:hint="eastAsia" w:ascii="宋体" w:hAnsi="宋体"/>
          <w:bCs/>
          <w:color w:val="auto"/>
          <w:szCs w:val="21"/>
          <w:highlight w:val="none"/>
        </w:rPr>
      </w:pPr>
      <w:r>
        <w:rPr>
          <w:rFonts w:hint="eastAsia" w:ascii="宋体" w:hAnsi="宋体"/>
          <w:bCs/>
          <w:color w:val="auto"/>
          <w:szCs w:val="21"/>
          <w:highlight w:val="none"/>
        </w:rPr>
        <w:t>（1）具有独立承担民事责任的能力；</w:t>
      </w:r>
    </w:p>
    <w:p>
      <w:pPr>
        <w:spacing w:line="480" w:lineRule="auto"/>
        <w:ind w:firstLine="420" w:firstLineChars="200"/>
        <w:rPr>
          <w:rFonts w:hint="eastAsia" w:ascii="宋体" w:hAnsi="宋体"/>
          <w:bCs/>
          <w:color w:val="auto"/>
          <w:szCs w:val="21"/>
          <w:highlight w:val="none"/>
        </w:rPr>
      </w:pPr>
      <w:r>
        <w:rPr>
          <w:rFonts w:hint="eastAsia" w:ascii="宋体" w:hAnsi="宋体"/>
          <w:bCs/>
          <w:color w:val="auto"/>
          <w:szCs w:val="21"/>
          <w:highlight w:val="none"/>
        </w:rPr>
        <w:t>（2）具有良好的商业信誉和健全的财务会计制度（提供2021年度至2023年度任意一年度经审计的财务报告或财务报表，成立不满1年的，提供自成立至今财务报表。刚成立的新公司，提供银行资信证明材料）；</w:t>
      </w:r>
    </w:p>
    <w:p>
      <w:pPr>
        <w:spacing w:line="480" w:lineRule="auto"/>
        <w:ind w:firstLine="420" w:firstLineChars="200"/>
        <w:rPr>
          <w:rFonts w:hint="eastAsia" w:ascii="宋体" w:hAnsi="宋体"/>
          <w:bCs/>
          <w:color w:val="auto"/>
          <w:szCs w:val="21"/>
          <w:highlight w:val="none"/>
        </w:rPr>
      </w:pPr>
      <w:r>
        <w:rPr>
          <w:rFonts w:hint="eastAsia" w:ascii="宋体" w:hAnsi="宋体"/>
          <w:bCs/>
          <w:color w:val="auto"/>
          <w:szCs w:val="21"/>
          <w:highlight w:val="none"/>
        </w:rPr>
        <w:t>（3）提供具有履行合同所必需的设备和专业技术能力的相关证明材料；</w:t>
      </w:r>
    </w:p>
    <w:p>
      <w:pPr>
        <w:spacing w:line="480" w:lineRule="auto"/>
        <w:ind w:firstLine="420" w:firstLineChars="200"/>
        <w:rPr>
          <w:rFonts w:hint="eastAsia" w:ascii="宋体" w:hAnsi="宋体"/>
          <w:bCs/>
          <w:color w:val="auto"/>
          <w:szCs w:val="21"/>
          <w:highlight w:val="none"/>
        </w:rPr>
      </w:pPr>
      <w:r>
        <w:rPr>
          <w:rFonts w:hint="eastAsia" w:ascii="宋体" w:hAnsi="宋体"/>
          <w:bCs/>
          <w:color w:val="auto"/>
          <w:szCs w:val="21"/>
          <w:highlight w:val="none"/>
        </w:rPr>
        <w:t>（4）具有依法缴纳税收的良好记录（投标人</w:t>
      </w:r>
      <w:r>
        <w:rPr>
          <w:rFonts w:hint="eastAsia" w:ascii="宋体" w:hAnsi="宋体"/>
          <w:bCs/>
          <w:color w:val="auto"/>
          <w:szCs w:val="21"/>
          <w:highlight w:val="none"/>
          <w:lang w:eastAsia="zh-CN"/>
        </w:rPr>
        <w:t>2024年1月至今</w:t>
      </w:r>
      <w:r>
        <w:rPr>
          <w:rFonts w:hint="eastAsia" w:ascii="宋体" w:hAnsi="宋体"/>
          <w:bCs/>
          <w:color w:val="auto"/>
          <w:szCs w:val="21"/>
          <w:highlight w:val="none"/>
        </w:rPr>
        <w:t>期间（税款所属时期）任意3个月的税务局税收通用缴款书复印件或银行电子缴税（费）凭证复印件或税务局出具纳税情况的相关证明复印件。成立未满3个月的提供成立以来的税收缴纳凭证或相关情况说明；依法免税的投标人，应提供相应文件证明其依法免税）；</w:t>
      </w:r>
    </w:p>
    <w:p>
      <w:pPr>
        <w:spacing w:line="480" w:lineRule="auto"/>
        <w:ind w:firstLine="420" w:firstLineChars="200"/>
        <w:rPr>
          <w:rFonts w:hint="eastAsia" w:ascii="宋体" w:hAnsi="宋体"/>
          <w:bCs/>
          <w:color w:val="auto"/>
          <w:szCs w:val="21"/>
          <w:highlight w:val="none"/>
        </w:rPr>
      </w:pPr>
      <w:r>
        <w:rPr>
          <w:rFonts w:hint="eastAsia" w:ascii="宋体" w:hAnsi="宋体"/>
          <w:bCs/>
          <w:color w:val="auto"/>
          <w:szCs w:val="21"/>
          <w:highlight w:val="none"/>
        </w:rPr>
        <w:t>（5）具有依法缴纳社会保障资金的良好记录（投标人</w:t>
      </w:r>
      <w:r>
        <w:rPr>
          <w:rFonts w:hint="eastAsia" w:ascii="宋体" w:hAnsi="宋体"/>
          <w:bCs/>
          <w:color w:val="auto"/>
          <w:szCs w:val="21"/>
          <w:highlight w:val="none"/>
          <w:lang w:eastAsia="zh-CN"/>
        </w:rPr>
        <w:t>2024年1月至今</w:t>
      </w:r>
      <w:r>
        <w:rPr>
          <w:rFonts w:hint="eastAsia" w:ascii="宋体" w:hAnsi="宋体"/>
          <w:bCs/>
          <w:color w:val="auto"/>
          <w:szCs w:val="21"/>
          <w:highlight w:val="none"/>
        </w:rPr>
        <w:t>期间（费款所属时期）任意3个月的社会保险费缴款书复印件或银行电子缴税（费）凭证复印件或社保管理部门出具的有效的缴款证明复印件。成立未满3个月的提供成立以来的社会保障资金缴纳凭证或相关情况说明；依法不需要缴纳社会保障资金的投标人，应提供相应文件证明其依法不需要缴纳社会保障资金）；</w:t>
      </w:r>
    </w:p>
    <w:p>
      <w:pPr>
        <w:spacing w:line="480" w:lineRule="auto"/>
        <w:ind w:firstLine="420" w:firstLineChars="200"/>
        <w:rPr>
          <w:rFonts w:hint="eastAsia" w:ascii="宋体" w:hAnsi="宋体"/>
          <w:bCs/>
          <w:color w:val="auto"/>
          <w:szCs w:val="21"/>
          <w:highlight w:val="none"/>
        </w:rPr>
      </w:pPr>
      <w:r>
        <w:rPr>
          <w:rFonts w:hint="eastAsia" w:ascii="宋体" w:hAnsi="宋体"/>
          <w:bCs/>
          <w:color w:val="auto"/>
          <w:szCs w:val="21"/>
          <w:highlight w:val="none"/>
        </w:rPr>
        <w:t>（6）参加本次采购活动前三年内，在经营活动中没有重大违法违规记录（提供声明函或其他证明材料）；</w:t>
      </w:r>
    </w:p>
    <w:p>
      <w:pPr>
        <w:spacing w:line="480" w:lineRule="auto"/>
        <w:ind w:firstLine="420" w:firstLineChars="200"/>
        <w:rPr>
          <w:rFonts w:hint="eastAsia" w:ascii="宋体" w:hAnsi="宋体"/>
          <w:bCs/>
          <w:color w:val="auto"/>
          <w:szCs w:val="21"/>
          <w:highlight w:val="none"/>
        </w:rPr>
      </w:pPr>
      <w:r>
        <w:rPr>
          <w:rFonts w:hint="eastAsia" w:ascii="宋体" w:hAnsi="宋体"/>
          <w:bCs/>
          <w:color w:val="auto"/>
          <w:szCs w:val="21"/>
          <w:highlight w:val="none"/>
        </w:rPr>
        <w:t>（7）具备法律、行政法规规定的其他条件的证明材料。</w:t>
      </w:r>
    </w:p>
    <w:p>
      <w:pPr>
        <w:spacing w:line="480" w:lineRule="auto"/>
        <w:ind w:firstLine="420" w:firstLineChars="200"/>
        <w:rPr>
          <w:rFonts w:hint="eastAsia" w:ascii="宋体" w:hAnsi="宋体" w:cs="宋体"/>
          <w:color w:val="auto"/>
          <w:highlight w:val="none"/>
        </w:rPr>
      </w:pPr>
      <w:bookmarkStart w:id="11" w:name="_Toc28359004"/>
      <w:bookmarkStart w:id="12" w:name="_Toc28359081"/>
      <w:r>
        <w:rPr>
          <w:rFonts w:ascii="宋体" w:hAnsi="宋体" w:cs="宋体"/>
          <w:color w:val="auto"/>
          <w:szCs w:val="21"/>
          <w:highlight w:val="none"/>
        </w:rPr>
        <w:t>2</w:t>
      </w:r>
      <w:r>
        <w:rPr>
          <w:rFonts w:hint="eastAsia" w:ascii="宋体" w:hAnsi="宋体" w:cs="宋体"/>
          <w:color w:val="auto"/>
          <w:szCs w:val="21"/>
          <w:highlight w:val="none"/>
        </w:rPr>
        <w:t>.落实政府采购政策需满足的资格要求：本项目</w:t>
      </w:r>
      <w:r>
        <w:rPr>
          <w:rFonts w:hint="eastAsia" w:ascii="宋体" w:hAnsi="宋体" w:cs="宋体"/>
          <w:color w:val="auto"/>
          <w:szCs w:val="21"/>
          <w:highlight w:val="none"/>
          <w:lang w:eastAsia="zh-CN"/>
        </w:rPr>
        <w:t>属于专门面向</w:t>
      </w:r>
      <w:r>
        <w:rPr>
          <w:rFonts w:hint="eastAsia" w:ascii="宋体" w:hAnsi="宋体" w:cs="宋体"/>
          <w:color w:val="auto"/>
          <w:szCs w:val="21"/>
          <w:highlight w:val="none"/>
        </w:rPr>
        <w:t>中小企业采购的项目。</w:t>
      </w:r>
    </w:p>
    <w:p>
      <w:pPr>
        <w:spacing w:line="48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3.本项目的特定资格要求：</w:t>
      </w:r>
    </w:p>
    <w:p>
      <w:pPr>
        <w:spacing w:line="48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3.1需为经国家市场监督管理部门登记注册的企业（事业）法人或其它组织，具有有效的营业执照；</w:t>
      </w:r>
    </w:p>
    <w:p>
      <w:pPr>
        <w:spacing w:line="480" w:lineRule="auto"/>
        <w:ind w:firstLine="420" w:firstLineChars="200"/>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rPr>
        <w:t>3.2投标人须具备</w:t>
      </w:r>
      <w:r>
        <w:rPr>
          <w:rFonts w:hint="eastAsia" w:ascii="宋体" w:hAnsi="宋体" w:cs="宋体"/>
          <w:color w:val="auto"/>
          <w:szCs w:val="21"/>
          <w:highlight w:val="none"/>
          <w:lang w:val="en-US" w:eastAsia="zh-CN"/>
        </w:rPr>
        <w:t>:</w:t>
      </w:r>
      <w:r>
        <w:rPr>
          <w:rFonts w:hint="eastAsia" w:ascii="宋体" w:hAnsi="宋体" w:cs="宋体"/>
          <w:color w:val="auto"/>
          <w:szCs w:val="21"/>
          <w:highlight w:val="none"/>
        </w:rPr>
        <w:t>检验检测机构资质认定证书（以下简称“CMA证书”）或中国合格评定国家认可委员会实验室认可证书（以下简称“CNAS证书”）（提供“CMA证书”或“CNAS证书”</w:t>
      </w:r>
      <w:r>
        <w:rPr>
          <w:rFonts w:hint="eastAsia" w:ascii="宋体" w:hAnsi="宋体" w:cs="宋体"/>
          <w:color w:val="auto"/>
          <w:szCs w:val="21"/>
          <w:highlight w:val="none"/>
          <w:lang w:eastAsia="zh-CN"/>
        </w:rPr>
        <w:t>；</w:t>
      </w:r>
    </w:p>
    <w:p>
      <w:pPr>
        <w:spacing w:line="48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3.3项目负责人</w:t>
      </w:r>
      <w:r>
        <w:rPr>
          <w:rFonts w:hint="eastAsia" w:ascii="宋体" w:hAnsi="宋体" w:cs="宋体"/>
          <w:color w:val="auto"/>
          <w:szCs w:val="21"/>
          <w:highlight w:val="none"/>
          <w:lang w:eastAsia="zh-CN"/>
        </w:rPr>
        <w:t>拟担任本项目的项目负责人须具有环境类专业中级及以上技术职称，且为本单位在职人员，提供劳动合同及社保证明材料</w:t>
      </w:r>
      <w:r>
        <w:rPr>
          <w:rFonts w:hint="eastAsia" w:ascii="宋体" w:hAnsi="宋体" w:cs="宋体"/>
          <w:color w:val="auto"/>
          <w:szCs w:val="21"/>
          <w:highlight w:val="none"/>
        </w:rPr>
        <w:t>；</w:t>
      </w:r>
    </w:p>
    <w:p>
      <w:pPr>
        <w:spacing w:line="48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3.4投标人未被列入“信用中国”网站（https://www.creditchina.gov.cn）失信被执行人、重大税收违法案件当事人名单和政府采购严重违法失信名单，未被列入中国政府采购网（http://www.ccgp.gov.cn）政府采购严重违法失信行为记录名单（处罚期限尚未届满的）；</w:t>
      </w:r>
    </w:p>
    <w:p>
      <w:pPr>
        <w:spacing w:line="48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3.5投标人须提供“参加本项目投标活动前3年内在经营活动中没有重大违法记录的书面声明”（重大违法记录是指：因违法经营受到刑事处罚或者责令停产停业、吊销许可证或者执照、较大数额罚款等行政处罚）；</w:t>
      </w:r>
    </w:p>
    <w:p>
      <w:pPr>
        <w:spacing w:line="48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3.6单位负责人为同一人或者存在直接控股、管理关系的不同投标人，不得参加同一招标项目包的政府采购活动</w:t>
      </w:r>
      <w:r>
        <w:rPr>
          <w:rFonts w:hint="eastAsia"/>
          <w:color w:val="auto"/>
          <w:szCs w:val="21"/>
          <w:highlight w:val="none"/>
        </w:rPr>
        <w:t>（</w:t>
      </w:r>
      <w:r>
        <w:rPr>
          <w:rFonts w:hint="eastAsia" w:ascii="宋体" w:hAnsi="宋体" w:cs="宋体"/>
          <w:color w:val="auto"/>
          <w:szCs w:val="21"/>
          <w:highlight w:val="none"/>
        </w:rPr>
        <w:t>提供书面声明或承诺函</w:t>
      </w:r>
      <w:r>
        <w:rPr>
          <w:rFonts w:hint="eastAsia"/>
          <w:color w:val="auto"/>
          <w:szCs w:val="21"/>
          <w:highlight w:val="none"/>
        </w:rPr>
        <w:t>）</w:t>
      </w:r>
      <w:r>
        <w:rPr>
          <w:rFonts w:hint="eastAsia" w:ascii="宋体" w:hAnsi="宋体" w:cs="宋体"/>
          <w:color w:val="auto"/>
          <w:szCs w:val="21"/>
          <w:highlight w:val="none"/>
        </w:rPr>
        <w:t>。</w:t>
      </w:r>
    </w:p>
    <w:p>
      <w:pPr>
        <w:spacing w:line="480" w:lineRule="auto"/>
        <w:rPr>
          <w:rFonts w:hint="eastAsia" w:ascii="宋体" w:hAnsi="宋体" w:cs="宋体"/>
          <w:b/>
          <w:bCs/>
          <w:color w:val="auto"/>
          <w:szCs w:val="21"/>
          <w:highlight w:val="none"/>
        </w:rPr>
      </w:pPr>
      <w:r>
        <w:rPr>
          <w:rFonts w:hint="eastAsia" w:ascii="宋体" w:hAnsi="宋体" w:cs="宋体"/>
          <w:b/>
          <w:bCs/>
          <w:color w:val="auto"/>
          <w:szCs w:val="21"/>
          <w:highlight w:val="none"/>
        </w:rPr>
        <w:t>三、资格审查方式：资格后审</w:t>
      </w:r>
    </w:p>
    <w:p>
      <w:pPr>
        <w:spacing w:line="480" w:lineRule="auto"/>
        <w:rPr>
          <w:rFonts w:hint="eastAsia" w:ascii="宋体" w:hAnsi="宋体"/>
          <w:b/>
          <w:bCs/>
          <w:color w:val="auto"/>
          <w:highlight w:val="none"/>
        </w:rPr>
      </w:pPr>
      <w:bookmarkStart w:id="13" w:name="_Toc35393792"/>
      <w:bookmarkStart w:id="14" w:name="_Toc35393623"/>
      <w:r>
        <w:rPr>
          <w:rFonts w:hint="eastAsia" w:ascii="宋体" w:hAnsi="宋体"/>
          <w:b/>
          <w:bCs/>
          <w:color w:val="auto"/>
          <w:highlight w:val="none"/>
        </w:rPr>
        <w:t>四、获取招标文件</w:t>
      </w:r>
      <w:bookmarkEnd w:id="11"/>
      <w:bookmarkEnd w:id="12"/>
      <w:bookmarkEnd w:id="13"/>
      <w:bookmarkEnd w:id="14"/>
    </w:p>
    <w:p>
      <w:pPr>
        <w:spacing w:line="480" w:lineRule="auto"/>
        <w:ind w:firstLine="420" w:firstLineChars="200"/>
        <w:rPr>
          <w:rFonts w:hint="eastAsia" w:ascii="宋体" w:hAnsi="宋体" w:cs="宋体"/>
          <w:color w:val="auto"/>
          <w:szCs w:val="21"/>
          <w:highlight w:val="none"/>
        </w:rPr>
      </w:pPr>
      <w:bookmarkStart w:id="15" w:name="_Toc35393794"/>
      <w:bookmarkStart w:id="16" w:name="_Toc35393625"/>
      <w:bookmarkStart w:id="17" w:name="_Toc28359084"/>
      <w:bookmarkStart w:id="18" w:name="_Toc28359007"/>
      <w:r>
        <w:rPr>
          <w:rFonts w:hint="eastAsia" w:ascii="宋体" w:hAnsi="宋体" w:cs="宋体"/>
          <w:color w:val="auto"/>
          <w:szCs w:val="21"/>
          <w:highlight w:val="none"/>
        </w:rPr>
        <w:t>1、时间：202</w:t>
      </w:r>
      <w:r>
        <w:rPr>
          <w:rFonts w:hint="eastAsia" w:ascii="宋体" w:hAnsi="宋体" w:cs="宋体"/>
          <w:color w:val="auto"/>
          <w:szCs w:val="21"/>
          <w:highlight w:val="none"/>
          <w:lang w:val="en-US" w:eastAsia="zh-CN"/>
        </w:rPr>
        <w:t>5</w:t>
      </w:r>
      <w:r>
        <w:rPr>
          <w:rFonts w:hint="eastAsia" w:ascii="宋体" w:hAnsi="宋体" w:cs="宋体"/>
          <w:color w:val="auto"/>
          <w:szCs w:val="21"/>
          <w:highlight w:val="none"/>
        </w:rPr>
        <w:t>年</w:t>
      </w:r>
      <w:r>
        <w:rPr>
          <w:rFonts w:hint="eastAsia" w:ascii="宋体" w:hAnsi="宋体" w:cs="宋体"/>
          <w:color w:val="auto"/>
          <w:szCs w:val="21"/>
          <w:highlight w:val="none"/>
          <w:lang w:val="en-US" w:eastAsia="zh-CN"/>
        </w:rPr>
        <w:t>02</w:t>
      </w:r>
      <w:r>
        <w:rPr>
          <w:rFonts w:hint="eastAsia" w:ascii="宋体" w:hAnsi="宋体" w:cs="宋体"/>
          <w:color w:val="auto"/>
          <w:szCs w:val="21"/>
          <w:highlight w:val="none"/>
        </w:rPr>
        <w:t>月</w:t>
      </w:r>
      <w:r>
        <w:rPr>
          <w:rFonts w:hint="eastAsia" w:ascii="宋体" w:hAnsi="宋体" w:cs="宋体"/>
          <w:color w:val="auto"/>
          <w:szCs w:val="21"/>
          <w:highlight w:val="none"/>
          <w:lang w:val="en-US" w:eastAsia="zh-CN"/>
        </w:rPr>
        <w:t>07</w:t>
      </w:r>
      <w:r>
        <w:rPr>
          <w:rFonts w:hint="eastAsia" w:ascii="宋体" w:hAnsi="宋体" w:cs="宋体"/>
          <w:color w:val="auto"/>
          <w:szCs w:val="21"/>
          <w:highlight w:val="none"/>
        </w:rPr>
        <w:t>日</w:t>
      </w:r>
      <w:r>
        <w:rPr>
          <w:rFonts w:hint="eastAsia" w:ascii="宋体" w:hAnsi="宋体" w:cs="宋体"/>
          <w:color w:val="auto"/>
          <w:szCs w:val="21"/>
          <w:highlight w:val="none"/>
          <w:lang w:val="en-US" w:eastAsia="zh-CN"/>
        </w:rPr>
        <w:t>06</w:t>
      </w:r>
      <w:r>
        <w:rPr>
          <w:rFonts w:hint="eastAsia" w:ascii="宋体" w:hAnsi="宋体" w:cs="宋体"/>
          <w:color w:val="auto"/>
          <w:szCs w:val="21"/>
          <w:highlight w:val="none"/>
        </w:rPr>
        <w:t>:</w:t>
      </w:r>
      <w:r>
        <w:rPr>
          <w:rFonts w:hint="eastAsia" w:ascii="宋体" w:hAnsi="宋体" w:cs="宋体"/>
          <w:color w:val="auto"/>
          <w:szCs w:val="21"/>
          <w:highlight w:val="none"/>
          <w:lang w:val="en-US" w:eastAsia="zh-CN"/>
        </w:rPr>
        <w:t>00</w:t>
      </w:r>
      <w:r>
        <w:rPr>
          <w:rFonts w:hint="eastAsia" w:ascii="宋体" w:hAnsi="宋体" w:cs="宋体"/>
          <w:color w:val="auto"/>
          <w:szCs w:val="21"/>
          <w:highlight w:val="none"/>
        </w:rPr>
        <w:t>时至202</w:t>
      </w:r>
      <w:r>
        <w:rPr>
          <w:rFonts w:hint="eastAsia" w:ascii="宋体" w:hAnsi="宋体" w:cs="宋体"/>
          <w:color w:val="auto"/>
          <w:szCs w:val="21"/>
          <w:highlight w:val="none"/>
          <w:lang w:val="en-US" w:eastAsia="zh-CN"/>
        </w:rPr>
        <w:t>5</w:t>
      </w:r>
      <w:r>
        <w:rPr>
          <w:rFonts w:hint="eastAsia" w:ascii="宋体" w:hAnsi="宋体" w:cs="宋体"/>
          <w:color w:val="auto"/>
          <w:szCs w:val="21"/>
          <w:highlight w:val="none"/>
        </w:rPr>
        <w:t>年</w:t>
      </w:r>
      <w:r>
        <w:rPr>
          <w:rFonts w:hint="eastAsia" w:ascii="宋体" w:hAnsi="宋体" w:cs="宋体"/>
          <w:color w:val="auto"/>
          <w:szCs w:val="21"/>
          <w:highlight w:val="none"/>
          <w:lang w:val="en-US" w:eastAsia="zh-CN"/>
        </w:rPr>
        <w:t>02</w:t>
      </w:r>
      <w:r>
        <w:rPr>
          <w:rFonts w:hint="eastAsia" w:ascii="宋体" w:hAnsi="宋体" w:cs="宋体"/>
          <w:color w:val="auto"/>
          <w:szCs w:val="21"/>
          <w:highlight w:val="none"/>
        </w:rPr>
        <w:t>月</w:t>
      </w:r>
      <w:r>
        <w:rPr>
          <w:rFonts w:hint="eastAsia" w:ascii="宋体" w:hAnsi="宋体" w:cs="宋体"/>
          <w:color w:val="auto"/>
          <w:szCs w:val="21"/>
          <w:highlight w:val="none"/>
          <w:lang w:val="en-US" w:eastAsia="zh-CN"/>
        </w:rPr>
        <w:t>13</w:t>
      </w:r>
      <w:r>
        <w:rPr>
          <w:rFonts w:hint="eastAsia" w:ascii="宋体" w:hAnsi="宋体" w:cs="宋体"/>
          <w:color w:val="auto"/>
          <w:szCs w:val="21"/>
          <w:highlight w:val="none"/>
        </w:rPr>
        <w:t>日</w:t>
      </w:r>
      <w:r>
        <w:rPr>
          <w:rFonts w:hint="eastAsia" w:ascii="宋体" w:hAnsi="宋体" w:cs="宋体"/>
          <w:color w:val="auto"/>
          <w:szCs w:val="21"/>
          <w:highlight w:val="none"/>
          <w:lang w:val="en-US" w:eastAsia="zh-CN"/>
        </w:rPr>
        <w:t>23</w:t>
      </w:r>
      <w:r>
        <w:rPr>
          <w:rFonts w:hint="eastAsia" w:ascii="宋体" w:hAnsi="宋体" w:cs="宋体"/>
          <w:color w:val="auto"/>
          <w:szCs w:val="21"/>
          <w:highlight w:val="none"/>
        </w:rPr>
        <w:t>:</w:t>
      </w:r>
      <w:r>
        <w:rPr>
          <w:rFonts w:hint="eastAsia" w:ascii="宋体" w:hAnsi="宋体" w:cs="宋体"/>
          <w:color w:val="auto"/>
          <w:szCs w:val="21"/>
          <w:highlight w:val="none"/>
          <w:lang w:val="en-US" w:eastAsia="zh-CN"/>
        </w:rPr>
        <w:t>59</w:t>
      </w:r>
      <w:r>
        <w:rPr>
          <w:rFonts w:hint="eastAsia" w:ascii="宋体" w:hAnsi="宋体" w:cs="宋体"/>
          <w:color w:val="auto"/>
          <w:szCs w:val="21"/>
          <w:highlight w:val="none"/>
        </w:rPr>
        <w:t>时，（北京时间，法定节假日除外 ）。</w:t>
      </w:r>
    </w:p>
    <w:p>
      <w:pPr>
        <w:spacing w:line="48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2、地点：投标人可自行在“政采云”平台（http：//www.zcygov.cn）下载采购文件（操作路径：登录“政采云”平台-项目采购-获取采购文件-找到本项目-点击“申请获取采购文件”），电子响应文件制作需要基于“政采云”平台（http：//www.zcygov.cn）获取的采购文件编制。</w:t>
      </w:r>
    </w:p>
    <w:p>
      <w:pPr>
        <w:spacing w:line="48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3、方式：</w:t>
      </w:r>
    </w:p>
    <w:p>
      <w:pPr>
        <w:spacing w:line="48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（1）凡有意参加投标者，须注册政采云平台账号并登录办理数字证书（CA），CA申领链接：</w:t>
      </w:r>
      <w:r>
        <w:rPr>
          <w:color w:val="auto"/>
          <w:highlight w:val="none"/>
        </w:rPr>
        <w:fldChar w:fldCharType="begin"/>
      </w:r>
      <w:r>
        <w:rPr>
          <w:color w:val="auto"/>
          <w:highlight w:val="none"/>
        </w:rPr>
        <w:instrText xml:space="preserve"> HYPERLINK "http://yzt.ynsmartcert.cn/cms/ca0103.html" </w:instrText>
      </w:r>
      <w:r>
        <w:rPr>
          <w:color w:val="auto"/>
          <w:highlight w:val="none"/>
        </w:rPr>
        <w:fldChar w:fldCharType="separate"/>
      </w:r>
      <w:r>
        <w:rPr>
          <w:rFonts w:hint="eastAsia" w:ascii="宋体" w:hAnsi="宋体" w:cs="宋体"/>
          <w:color w:val="auto"/>
          <w:szCs w:val="21"/>
          <w:highlight w:val="none"/>
        </w:rPr>
        <w:t>http://yzt.ynsmartcert.cn/</w:t>
      </w:r>
      <w:r>
        <w:rPr>
          <w:rFonts w:hint="eastAsia" w:ascii="宋体" w:hAnsi="宋体" w:cs="宋体"/>
          <w:color w:val="auto"/>
          <w:szCs w:val="21"/>
          <w:highlight w:val="none"/>
        </w:rPr>
        <w:fldChar w:fldCharType="end"/>
      </w:r>
      <w:r>
        <w:rPr>
          <w:color w:val="auto"/>
          <w:highlight w:val="none"/>
        </w:rPr>
        <w:fldChar w:fldCharType="begin"/>
      </w:r>
      <w:r>
        <w:rPr>
          <w:color w:val="auto"/>
          <w:highlight w:val="none"/>
        </w:rPr>
        <w:instrText xml:space="preserve"> HYPERLINK "http://yzt.ynsmartcert.cn/cms/yztbnxj16.html" </w:instrText>
      </w:r>
      <w:r>
        <w:rPr>
          <w:color w:val="auto"/>
          <w:highlight w:val="none"/>
        </w:rPr>
        <w:fldChar w:fldCharType="separate"/>
      </w:r>
      <w:r>
        <w:rPr>
          <w:color w:val="auto"/>
          <w:highlight w:val="none"/>
        </w:rPr>
        <w:fldChar w:fldCharType="end"/>
      </w:r>
      <w:r>
        <w:rPr>
          <w:rFonts w:hint="eastAsia" w:ascii="宋体" w:hAnsi="宋体" w:cs="宋体"/>
          <w:color w:val="auto"/>
          <w:szCs w:val="21"/>
          <w:highlight w:val="none"/>
        </w:rPr>
        <w:t>云南壹证通CA 可支持线上、线下两种办理方式，并提供7*24小时全天候客户服务支持，客服热线400-004-0628。（紧急CA办理电话：19988166369）。政府采购云平台支持多家CA服务商，投标人可自行选择。</w:t>
      </w:r>
    </w:p>
    <w:p>
      <w:pPr>
        <w:spacing w:line="48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（2）数字证书（CA）申领完成之后进入政采云平台，企业账号与CA进行绑定，凭CA进行项目报名并免费下载采购文件。</w:t>
      </w:r>
    </w:p>
    <w:p>
      <w:pPr>
        <w:spacing w:line="48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（3）按上述要求获取文件的投标人视为已合法获取本项目采购文件，具备本项目的投标资格。</w:t>
      </w:r>
    </w:p>
    <w:p>
      <w:pPr>
        <w:spacing w:line="480" w:lineRule="auto"/>
        <w:ind w:firstLine="420" w:firstLineChars="200"/>
        <w:rPr>
          <w:rFonts w:hint="eastAsia" w:ascii="宋体" w:hAnsi="宋体" w:cs="宋体"/>
          <w:bCs/>
          <w:color w:val="auto"/>
          <w:szCs w:val="21"/>
          <w:highlight w:val="none"/>
        </w:rPr>
      </w:pPr>
      <w:r>
        <w:rPr>
          <w:rFonts w:hint="eastAsia" w:ascii="宋体" w:hAnsi="宋体" w:cs="宋体"/>
          <w:color w:val="auto"/>
          <w:szCs w:val="21"/>
          <w:highlight w:val="none"/>
        </w:rPr>
        <w:t>（4）</w:t>
      </w:r>
      <w:r>
        <w:rPr>
          <w:rFonts w:hint="eastAsia" w:ascii="宋体" w:hAnsi="宋体" w:cs="宋体"/>
          <w:bCs/>
          <w:color w:val="auto"/>
          <w:szCs w:val="21"/>
          <w:highlight w:val="none"/>
        </w:rPr>
        <w:t>如有问题可拨打政采云客户服务热线95763进行咨询，数字证书（CA）问题可咨询24小时技术支持热线400-004-0628（紧急办理可拨：19988166369）。</w:t>
      </w:r>
    </w:p>
    <w:p>
      <w:pPr>
        <w:spacing w:line="480" w:lineRule="auto"/>
        <w:ind w:firstLine="420" w:firstLineChars="200"/>
        <w:rPr>
          <w:rFonts w:hint="eastAsia" w:ascii="宋体" w:hAnsi="宋体" w:cs="宋体"/>
          <w:bCs/>
          <w:color w:val="auto"/>
          <w:szCs w:val="21"/>
          <w:highlight w:val="none"/>
        </w:rPr>
      </w:pPr>
      <w:r>
        <w:rPr>
          <w:rFonts w:hint="eastAsia" w:ascii="宋体" w:hAnsi="宋体" w:cs="宋体"/>
          <w:bCs/>
          <w:color w:val="auto"/>
          <w:szCs w:val="21"/>
          <w:highlight w:val="none"/>
        </w:rPr>
        <w:t>注：云南省外供应商在政采云平台办理的其他CA可直接使用，无需重复办理。</w:t>
      </w:r>
    </w:p>
    <w:bookmarkEnd w:id="15"/>
    <w:bookmarkEnd w:id="16"/>
    <w:bookmarkEnd w:id="17"/>
    <w:bookmarkEnd w:id="18"/>
    <w:p>
      <w:pPr>
        <w:spacing w:line="480" w:lineRule="auto"/>
        <w:rPr>
          <w:rFonts w:hint="eastAsia" w:ascii="宋体" w:hAnsi="宋体" w:cs="宋体"/>
          <w:b/>
          <w:color w:val="auto"/>
          <w:szCs w:val="21"/>
          <w:highlight w:val="none"/>
        </w:rPr>
      </w:pPr>
      <w:bookmarkStart w:id="19" w:name="_Toc45029069"/>
      <w:bookmarkStart w:id="20" w:name="_Toc67562375"/>
      <w:bookmarkStart w:id="21" w:name="_Toc67562523"/>
      <w:bookmarkStart w:id="22" w:name="_Toc35393795"/>
      <w:bookmarkStart w:id="23" w:name="_Toc35393626"/>
      <w:r>
        <w:rPr>
          <w:rFonts w:hint="eastAsia" w:ascii="宋体" w:hAnsi="宋体" w:cs="宋体"/>
          <w:b/>
          <w:color w:val="auto"/>
          <w:szCs w:val="21"/>
          <w:highlight w:val="none"/>
        </w:rPr>
        <w:t>五、投标文件上传截止时间、方式、开标时间和地点：</w:t>
      </w:r>
      <w:bookmarkEnd w:id="19"/>
      <w:bookmarkEnd w:id="20"/>
      <w:bookmarkEnd w:id="21"/>
    </w:p>
    <w:p>
      <w:pPr>
        <w:spacing w:line="480" w:lineRule="auto"/>
        <w:ind w:firstLine="420" w:firstLineChars="200"/>
        <w:rPr>
          <w:rFonts w:hint="eastAsia" w:ascii="宋体" w:hAnsi="宋体" w:cs="宋体"/>
          <w:bCs/>
          <w:color w:val="auto"/>
          <w:szCs w:val="21"/>
          <w:highlight w:val="none"/>
        </w:rPr>
      </w:pPr>
      <w:r>
        <w:rPr>
          <w:rFonts w:ascii="宋体" w:hAnsi="宋体" w:cs="宋体"/>
          <w:bCs/>
          <w:color w:val="auto"/>
          <w:szCs w:val="21"/>
          <w:highlight w:val="none"/>
        </w:rPr>
        <w:t>5</w:t>
      </w:r>
      <w:r>
        <w:rPr>
          <w:rFonts w:hint="eastAsia" w:ascii="宋体" w:hAnsi="宋体" w:cs="宋体"/>
          <w:bCs/>
          <w:color w:val="auto"/>
          <w:szCs w:val="21"/>
          <w:highlight w:val="none"/>
        </w:rPr>
        <w:t>.1投标文件上传的截止时间：202</w:t>
      </w:r>
      <w:r>
        <w:rPr>
          <w:rFonts w:hint="eastAsia" w:ascii="宋体" w:hAnsi="宋体" w:cs="宋体"/>
          <w:bCs/>
          <w:color w:val="auto"/>
          <w:szCs w:val="21"/>
          <w:highlight w:val="none"/>
          <w:lang w:val="en-US" w:eastAsia="zh-CN"/>
        </w:rPr>
        <w:t>5</w:t>
      </w:r>
      <w:r>
        <w:rPr>
          <w:rFonts w:hint="eastAsia" w:ascii="宋体" w:hAnsi="宋体" w:cs="宋体"/>
          <w:bCs/>
          <w:color w:val="auto"/>
          <w:szCs w:val="21"/>
          <w:highlight w:val="none"/>
        </w:rPr>
        <w:t>年02月28日09时00分（北京时间）。</w:t>
      </w:r>
    </w:p>
    <w:p>
      <w:pPr>
        <w:spacing w:line="480" w:lineRule="auto"/>
        <w:ind w:firstLine="420" w:firstLineChars="200"/>
        <w:rPr>
          <w:rFonts w:hint="eastAsia" w:ascii="宋体" w:hAnsi="宋体" w:cs="宋体"/>
          <w:bCs/>
          <w:color w:val="auto"/>
          <w:szCs w:val="21"/>
          <w:highlight w:val="none"/>
        </w:rPr>
      </w:pPr>
      <w:r>
        <w:rPr>
          <w:rFonts w:ascii="宋体" w:hAnsi="宋体" w:cs="宋体"/>
          <w:bCs/>
          <w:color w:val="auto"/>
          <w:szCs w:val="21"/>
          <w:highlight w:val="none"/>
        </w:rPr>
        <w:t>5</w:t>
      </w:r>
      <w:r>
        <w:rPr>
          <w:rFonts w:hint="eastAsia" w:ascii="宋体" w:hAnsi="宋体" w:cs="宋体"/>
          <w:bCs/>
          <w:color w:val="auto"/>
          <w:szCs w:val="21"/>
          <w:highlight w:val="none"/>
        </w:rPr>
        <w:t>.2电子投标文件递交方式：网上递交</w:t>
      </w:r>
    </w:p>
    <w:p>
      <w:pPr>
        <w:spacing w:line="480" w:lineRule="auto"/>
        <w:ind w:firstLine="420" w:firstLineChars="200"/>
        <w:rPr>
          <w:rFonts w:hint="eastAsia" w:ascii="宋体" w:hAnsi="宋体" w:cs="宋体"/>
          <w:bCs/>
          <w:color w:val="auto"/>
          <w:szCs w:val="21"/>
          <w:highlight w:val="none"/>
        </w:rPr>
      </w:pPr>
      <w:r>
        <w:rPr>
          <w:rFonts w:hint="eastAsia" w:ascii="宋体" w:hAnsi="宋体" w:cs="宋体"/>
          <w:bCs/>
          <w:color w:val="auto"/>
          <w:szCs w:val="21"/>
          <w:highlight w:val="none"/>
        </w:rPr>
        <w:t>网上递交网址为：http：//www.zcygov.cn。</w:t>
      </w:r>
    </w:p>
    <w:p>
      <w:pPr>
        <w:spacing w:line="480" w:lineRule="auto"/>
        <w:ind w:firstLine="420" w:firstLineChars="200"/>
        <w:rPr>
          <w:rFonts w:hint="eastAsia" w:ascii="宋体" w:hAnsi="宋体" w:cs="宋体"/>
          <w:bCs/>
          <w:color w:val="auto"/>
          <w:szCs w:val="21"/>
          <w:highlight w:val="none"/>
        </w:rPr>
      </w:pPr>
      <w:r>
        <w:rPr>
          <w:rFonts w:ascii="宋体" w:hAnsi="宋体" w:cs="宋体"/>
          <w:bCs/>
          <w:color w:val="auto"/>
          <w:szCs w:val="21"/>
          <w:highlight w:val="none"/>
        </w:rPr>
        <w:t>5.3</w:t>
      </w:r>
      <w:r>
        <w:rPr>
          <w:rFonts w:hint="eastAsia" w:ascii="宋体" w:hAnsi="宋体" w:cs="宋体"/>
          <w:bCs/>
          <w:color w:val="auto"/>
          <w:szCs w:val="21"/>
          <w:highlight w:val="none"/>
        </w:rPr>
        <w:t>开标时间：202</w:t>
      </w:r>
      <w:r>
        <w:rPr>
          <w:rFonts w:hint="eastAsia" w:ascii="宋体" w:hAnsi="宋体" w:cs="宋体"/>
          <w:bCs/>
          <w:color w:val="auto"/>
          <w:szCs w:val="21"/>
          <w:highlight w:val="none"/>
          <w:lang w:val="en-US" w:eastAsia="zh-CN"/>
        </w:rPr>
        <w:t>5</w:t>
      </w:r>
      <w:r>
        <w:rPr>
          <w:rFonts w:hint="eastAsia" w:ascii="宋体" w:hAnsi="宋体" w:cs="宋体"/>
          <w:bCs/>
          <w:color w:val="auto"/>
          <w:szCs w:val="21"/>
          <w:highlight w:val="none"/>
        </w:rPr>
        <w:t>年02月28日09时00分（北京时间）</w:t>
      </w:r>
    </w:p>
    <w:p>
      <w:pPr>
        <w:spacing w:line="480" w:lineRule="auto"/>
        <w:ind w:firstLine="420" w:firstLineChars="200"/>
        <w:rPr>
          <w:rFonts w:hint="eastAsia" w:ascii="宋体" w:hAnsi="宋体"/>
          <w:color w:val="auto"/>
          <w:highlight w:val="none"/>
        </w:rPr>
      </w:pPr>
      <w:r>
        <w:rPr>
          <w:rFonts w:ascii="宋体" w:hAnsi="宋体"/>
          <w:color w:val="auto"/>
          <w:highlight w:val="none"/>
        </w:rPr>
        <w:t>5.4</w:t>
      </w:r>
      <w:r>
        <w:rPr>
          <w:rFonts w:hint="eastAsia" w:ascii="宋体" w:hAnsi="宋体"/>
          <w:color w:val="auto"/>
          <w:highlight w:val="none"/>
        </w:rPr>
        <w:t>开标地点：政采云平台开标厅（</w:t>
      </w:r>
      <w:r>
        <w:rPr>
          <w:rFonts w:hint="eastAsia" w:ascii="宋体" w:hAnsi="宋体"/>
          <w:color w:val="auto"/>
          <w:highlight w:val="none"/>
          <w:lang w:val="en-US" w:eastAsia="zh-CN"/>
        </w:rPr>
        <w:t>石屏开标室新天地小区B12商铺</w:t>
      </w:r>
      <w:r>
        <w:rPr>
          <w:rFonts w:hint="eastAsia" w:ascii="宋体" w:hAnsi="宋体"/>
          <w:color w:val="auto"/>
          <w:highlight w:val="none"/>
        </w:rPr>
        <w:t>）</w:t>
      </w:r>
    </w:p>
    <w:p>
      <w:pPr>
        <w:spacing w:line="480" w:lineRule="auto"/>
        <w:rPr>
          <w:rFonts w:hint="eastAsia" w:ascii="宋体" w:hAnsi="宋体"/>
          <w:b/>
          <w:bCs/>
          <w:color w:val="auto"/>
          <w:highlight w:val="none"/>
        </w:rPr>
      </w:pPr>
      <w:bookmarkStart w:id="24" w:name="_Toc13503"/>
      <w:bookmarkStart w:id="25" w:name="_Toc17724"/>
      <w:r>
        <w:rPr>
          <w:rFonts w:hint="eastAsia" w:ascii="宋体" w:hAnsi="宋体"/>
          <w:b/>
          <w:bCs/>
          <w:color w:val="auto"/>
          <w:highlight w:val="none"/>
        </w:rPr>
        <w:t>六、公告期限</w:t>
      </w:r>
      <w:bookmarkEnd w:id="24"/>
      <w:bookmarkEnd w:id="25"/>
    </w:p>
    <w:p>
      <w:pPr>
        <w:spacing w:line="480" w:lineRule="auto"/>
        <w:ind w:firstLine="420" w:firstLineChars="200"/>
        <w:rPr>
          <w:rFonts w:hint="eastAsia" w:ascii="宋体" w:hAnsi="宋体"/>
          <w:color w:val="auto"/>
          <w:highlight w:val="none"/>
        </w:rPr>
      </w:pPr>
      <w:r>
        <w:rPr>
          <w:rFonts w:hint="eastAsia" w:ascii="宋体" w:hAnsi="宋体"/>
          <w:color w:val="auto"/>
          <w:highlight w:val="none"/>
        </w:rPr>
        <w:t>自本公告发布之日起5个工作日。</w:t>
      </w:r>
    </w:p>
    <w:p>
      <w:pPr>
        <w:spacing w:line="480" w:lineRule="auto"/>
        <w:rPr>
          <w:rFonts w:hint="eastAsia" w:ascii="宋体" w:hAnsi="宋体"/>
          <w:b/>
          <w:bCs/>
          <w:color w:val="auto"/>
          <w:highlight w:val="none"/>
        </w:rPr>
      </w:pPr>
      <w:r>
        <w:rPr>
          <w:rFonts w:hint="eastAsia" w:ascii="宋体" w:hAnsi="宋体"/>
          <w:b/>
          <w:bCs/>
          <w:color w:val="auto"/>
          <w:highlight w:val="none"/>
        </w:rPr>
        <w:t>七、其他补充事宜</w:t>
      </w:r>
      <w:bookmarkEnd w:id="22"/>
      <w:bookmarkEnd w:id="23"/>
    </w:p>
    <w:p>
      <w:pPr>
        <w:spacing w:line="480" w:lineRule="auto"/>
        <w:ind w:firstLine="420" w:firstLineChars="200"/>
        <w:rPr>
          <w:rFonts w:hint="eastAsia" w:ascii="宋体" w:hAnsi="宋体"/>
          <w:color w:val="auto"/>
          <w:highlight w:val="none"/>
        </w:rPr>
      </w:pPr>
      <w:r>
        <w:rPr>
          <w:rFonts w:hint="eastAsia" w:ascii="宋体" w:hAnsi="宋体"/>
          <w:color w:val="auto"/>
          <w:highlight w:val="none"/>
        </w:rPr>
        <w:t>1、本项目招标公告在“云南省政府采购网、政府采购云平台”上发布，采购人及采购代理机构对其他网站或媒体转载的公告及公告内容不承担任何责任。</w:t>
      </w:r>
    </w:p>
    <w:p>
      <w:pPr>
        <w:spacing w:line="480" w:lineRule="auto"/>
        <w:ind w:firstLine="420" w:firstLineChars="200"/>
        <w:rPr>
          <w:rFonts w:hint="eastAsia" w:ascii="宋体" w:hAnsi="宋体"/>
          <w:color w:val="auto"/>
          <w:highlight w:val="none"/>
        </w:rPr>
      </w:pPr>
      <w:bookmarkStart w:id="26" w:name="_Toc35393796"/>
      <w:bookmarkStart w:id="27" w:name="_Toc28359008"/>
      <w:bookmarkStart w:id="28" w:name="_Toc28359085"/>
      <w:bookmarkStart w:id="29" w:name="_Toc35393627"/>
      <w:r>
        <w:rPr>
          <w:rFonts w:hint="eastAsia" w:ascii="宋体" w:hAnsi="宋体"/>
          <w:color w:val="auto"/>
          <w:highlight w:val="none"/>
        </w:rPr>
        <w:t>2.本项目采用网上智能远程开标，投标人无需到现场开标。</w:t>
      </w:r>
    </w:p>
    <w:p>
      <w:pPr>
        <w:spacing w:line="480" w:lineRule="auto"/>
        <w:ind w:firstLine="420" w:firstLineChars="200"/>
        <w:rPr>
          <w:rFonts w:hint="eastAsia" w:ascii="宋体" w:hAnsi="宋体"/>
          <w:color w:val="auto"/>
          <w:highlight w:val="none"/>
        </w:rPr>
      </w:pPr>
      <w:r>
        <w:rPr>
          <w:rFonts w:hint="eastAsia" w:ascii="宋体" w:hAnsi="宋体"/>
          <w:color w:val="auto"/>
          <w:highlight w:val="none"/>
        </w:rPr>
        <w:t>3.投标人将政采云电子交易客户端下载、安装完成后，可通过账号密码或CA登录客户端进行投标文件的制作。在使用政采云投标客户端时，建议使用WIN7（64位）及以上操作系统。客户端请至政采云公司网站（https://edu.zcygov.cn/luban/yunnan-dzjy-gys）进行查看下载，如有问题可拨打政采云客户服务热线400-881-7190或5763进行咨询。如因投标人自身原因导致在规定时间内无法正常解密的（如：浏览器故障、未安装相关驱动、网络故障、加密CA与解密CA不一致等），代理机构不予异常处理，视为投标人自动弃标。各投标人应确保在开标前成为政采云平台投标人，并完成CA数字证书申领，因未注册入库、未办理CA数字证书等原因造成无法投标或投标失败等后果由投标人自行承担。</w:t>
      </w:r>
    </w:p>
    <w:p>
      <w:pPr>
        <w:spacing w:line="480" w:lineRule="auto"/>
        <w:ind w:firstLine="420" w:firstLineChars="200"/>
        <w:rPr>
          <w:rFonts w:hint="eastAsia" w:ascii="宋体" w:hAnsi="宋体"/>
          <w:color w:val="auto"/>
          <w:highlight w:val="none"/>
        </w:rPr>
      </w:pPr>
      <w:r>
        <w:rPr>
          <w:rFonts w:hint="eastAsia" w:ascii="宋体" w:hAnsi="宋体"/>
          <w:color w:val="auto"/>
          <w:highlight w:val="none"/>
        </w:rPr>
        <w:t>4.投标人应按照本项目采购文件和"政采云"平台的要求编制、加密后在投标文件提交截止时间前上传至"政采云"平台，投标文件提交截止时间前未完成投标文件上传的，视为撤回投标文件。投标人在“政采云"平台提交电子版投标文件时，请填写参加远程采购活动经办人联系方式。</w:t>
      </w:r>
    </w:p>
    <w:p>
      <w:pPr>
        <w:spacing w:line="480" w:lineRule="auto"/>
        <w:rPr>
          <w:rFonts w:hint="eastAsia" w:ascii="宋体" w:hAnsi="宋体"/>
          <w:b/>
          <w:bCs/>
          <w:color w:val="auto"/>
          <w:highlight w:val="none"/>
        </w:rPr>
      </w:pPr>
      <w:r>
        <w:rPr>
          <w:rFonts w:hint="eastAsia" w:ascii="宋体" w:hAnsi="宋体"/>
          <w:b/>
          <w:bCs/>
          <w:color w:val="auto"/>
          <w:highlight w:val="none"/>
        </w:rPr>
        <w:t>八、对本次采购提出询问，请按</w:t>
      </w:r>
      <w:r>
        <w:rPr>
          <w:rFonts w:ascii="宋体" w:hAnsi="宋体"/>
          <w:b/>
          <w:bCs/>
          <w:color w:val="auto"/>
          <w:highlight w:val="none"/>
        </w:rPr>
        <w:t>以下方式</w:t>
      </w:r>
      <w:r>
        <w:rPr>
          <w:rFonts w:hint="eastAsia" w:ascii="宋体" w:hAnsi="宋体"/>
          <w:b/>
          <w:bCs/>
          <w:color w:val="auto"/>
          <w:highlight w:val="none"/>
        </w:rPr>
        <w:t>联系。</w:t>
      </w:r>
      <w:bookmarkEnd w:id="26"/>
      <w:bookmarkEnd w:id="27"/>
      <w:bookmarkEnd w:id="28"/>
      <w:bookmarkEnd w:id="29"/>
    </w:p>
    <w:p>
      <w:pPr>
        <w:spacing w:line="480" w:lineRule="auto"/>
        <w:ind w:firstLine="420" w:firstLineChars="200"/>
        <w:rPr>
          <w:rFonts w:hint="eastAsia" w:ascii="宋体" w:hAnsi="宋体"/>
          <w:color w:val="auto"/>
          <w:szCs w:val="21"/>
          <w:highlight w:val="none"/>
        </w:rPr>
      </w:pPr>
      <w:r>
        <w:rPr>
          <w:rFonts w:hint="eastAsia" w:ascii="宋体" w:hAnsi="宋体" w:cs="宋体"/>
          <w:color w:val="auto"/>
          <w:szCs w:val="21"/>
          <w:highlight w:val="none"/>
        </w:rPr>
        <w:t>1.采购人信息</w:t>
      </w:r>
    </w:p>
    <w:p>
      <w:pPr>
        <w:spacing w:line="480" w:lineRule="auto"/>
        <w:ind w:firstLine="420" w:firstLineChars="200"/>
        <w:rPr>
          <w:rFonts w:hint="eastAsia" w:ascii="宋体" w:hAnsi="宋体" w:eastAsia="宋体" w:cs="宋体"/>
          <w:color w:val="auto"/>
          <w:szCs w:val="21"/>
          <w:highlight w:val="none"/>
          <w:lang w:eastAsia="zh-CN"/>
        </w:rPr>
      </w:pPr>
      <w:bookmarkStart w:id="30" w:name="_Toc28359009"/>
      <w:bookmarkStart w:id="31" w:name="_Toc28359086"/>
      <w:r>
        <w:rPr>
          <w:rFonts w:hint="eastAsia" w:ascii="宋体" w:hAnsi="宋体" w:cs="宋体"/>
          <w:color w:val="auto"/>
          <w:szCs w:val="21"/>
          <w:highlight w:val="none"/>
        </w:rPr>
        <w:t>名 称：</w:t>
      </w:r>
      <w:r>
        <w:rPr>
          <w:rFonts w:hint="eastAsia" w:ascii="宋体" w:hAnsi="宋体" w:cs="宋体"/>
          <w:color w:val="auto"/>
          <w:szCs w:val="21"/>
          <w:highlight w:val="none"/>
          <w:lang w:eastAsia="zh-CN"/>
        </w:rPr>
        <w:t>红河哈尼族彝族自治州生态环境局石屏分局</w:t>
      </w:r>
    </w:p>
    <w:p>
      <w:pPr>
        <w:spacing w:line="480" w:lineRule="auto"/>
        <w:ind w:firstLine="420" w:firstLineChars="200"/>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地 址：</w:t>
      </w:r>
      <w:r>
        <w:rPr>
          <w:rFonts w:hint="eastAsia" w:ascii="宋体" w:hAnsi="宋体" w:cs="宋体"/>
          <w:color w:val="auto"/>
          <w:szCs w:val="21"/>
          <w:highlight w:val="none"/>
          <w:lang w:eastAsia="zh-CN"/>
        </w:rPr>
        <w:t>石屏县白马庙段与朱家寨段交叉口西北40米</w:t>
      </w:r>
    </w:p>
    <w:p>
      <w:pPr>
        <w:spacing w:line="48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 xml:space="preserve">联系人： </w:t>
      </w:r>
      <w:r>
        <w:rPr>
          <w:rFonts w:hint="eastAsia" w:ascii="宋体" w:hAnsi="宋体" w:cs="宋体"/>
          <w:color w:val="auto"/>
          <w:szCs w:val="21"/>
          <w:highlight w:val="none"/>
          <w:lang w:eastAsia="zh-CN"/>
        </w:rPr>
        <w:t>吴师</w:t>
      </w:r>
      <w:r>
        <w:rPr>
          <w:rFonts w:hint="eastAsia" w:ascii="宋体" w:hAnsi="宋体" w:cs="宋体"/>
          <w:color w:val="auto"/>
          <w:szCs w:val="21"/>
          <w:highlight w:val="none"/>
        </w:rPr>
        <w:t xml:space="preserve">      联系方式：</w:t>
      </w:r>
      <w:r>
        <w:rPr>
          <w:rFonts w:hint="eastAsia" w:ascii="宋体" w:hAnsi="宋体" w:cs="宋体"/>
          <w:color w:val="auto"/>
          <w:szCs w:val="21"/>
          <w:highlight w:val="none"/>
          <w:lang w:eastAsia="zh-CN"/>
        </w:rPr>
        <w:t>0873-4857589</w:t>
      </w:r>
      <w:r>
        <w:rPr>
          <w:rFonts w:hint="eastAsia" w:ascii="宋体" w:hAnsi="宋体" w:cs="宋体"/>
          <w:color w:val="auto"/>
          <w:szCs w:val="21"/>
          <w:highlight w:val="none"/>
        </w:rPr>
        <w:t xml:space="preserve"> </w:t>
      </w:r>
    </w:p>
    <w:p>
      <w:pPr>
        <w:spacing w:line="480" w:lineRule="auto"/>
        <w:ind w:firstLine="420" w:firstLineChars="200"/>
        <w:rPr>
          <w:rFonts w:hint="eastAsia" w:ascii="宋体" w:hAnsi="宋体"/>
          <w:color w:val="auto"/>
          <w:szCs w:val="21"/>
          <w:highlight w:val="none"/>
        </w:rPr>
      </w:pPr>
      <w:r>
        <w:rPr>
          <w:rFonts w:hint="eastAsia" w:ascii="宋体" w:hAnsi="宋体" w:cs="宋体"/>
          <w:color w:val="auto"/>
          <w:szCs w:val="21"/>
          <w:highlight w:val="none"/>
        </w:rPr>
        <w:t>2.采购代理机构信息</w:t>
      </w:r>
      <w:bookmarkEnd w:id="30"/>
      <w:bookmarkEnd w:id="31"/>
    </w:p>
    <w:p>
      <w:pPr>
        <w:spacing w:line="480" w:lineRule="auto"/>
        <w:ind w:firstLine="420" w:firstLineChars="200"/>
        <w:rPr>
          <w:rFonts w:hint="eastAsia" w:ascii="宋体" w:hAnsi="宋体" w:eastAsia="宋体" w:cs="宋体"/>
          <w:color w:val="auto"/>
          <w:szCs w:val="21"/>
          <w:highlight w:val="none"/>
          <w:lang w:eastAsia="zh-CN"/>
        </w:rPr>
      </w:pPr>
      <w:bookmarkStart w:id="32" w:name="_Toc28359087"/>
      <w:bookmarkStart w:id="33" w:name="_Toc28359010"/>
      <w:r>
        <w:rPr>
          <w:rFonts w:hint="eastAsia" w:ascii="宋体" w:hAnsi="宋体" w:cs="宋体"/>
          <w:color w:val="auto"/>
          <w:szCs w:val="21"/>
          <w:highlight w:val="none"/>
        </w:rPr>
        <w:t>名 称：</w:t>
      </w:r>
      <w:r>
        <w:rPr>
          <w:rFonts w:hint="eastAsia" w:ascii="宋体" w:hAnsi="宋体" w:cs="宋体"/>
          <w:color w:val="auto"/>
          <w:szCs w:val="21"/>
          <w:highlight w:val="none"/>
          <w:lang w:eastAsia="zh-CN"/>
        </w:rPr>
        <w:t>云南智扬工程项目管理有限公司</w:t>
      </w:r>
    </w:p>
    <w:p>
      <w:pPr>
        <w:spacing w:line="480" w:lineRule="auto"/>
        <w:ind w:firstLine="420" w:firstLineChars="200"/>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地址：</w:t>
      </w:r>
      <w:r>
        <w:rPr>
          <w:rFonts w:hint="eastAsia" w:ascii="宋体" w:hAnsi="宋体" w:cs="宋体"/>
          <w:color w:val="auto"/>
          <w:szCs w:val="21"/>
          <w:highlight w:val="none"/>
          <w:lang w:eastAsia="zh-CN"/>
        </w:rPr>
        <w:t>云南省昆明市白云路 168 号瑞鼎城商务中心 A 栋 11 楼</w:t>
      </w:r>
    </w:p>
    <w:p>
      <w:pPr>
        <w:spacing w:line="480" w:lineRule="auto"/>
        <w:ind w:firstLine="420" w:firstLineChars="200"/>
        <w:rPr>
          <w:rFonts w:hint="eastAsia" w:ascii="宋体" w:hAnsi="宋体" w:eastAsia="宋体" w:cs="宋体"/>
          <w:color w:val="auto"/>
          <w:szCs w:val="21"/>
          <w:highlight w:val="none"/>
          <w:lang w:eastAsia="zh-CN"/>
        </w:rPr>
        <w:sectPr>
          <w:pgSz w:w="11906" w:h="16838"/>
          <w:pgMar w:top="1134" w:right="1304" w:bottom="1134" w:left="1304" w:header="851" w:footer="851" w:gutter="0"/>
          <w:cols w:space="720" w:num="1"/>
          <w:docGrid w:linePitch="286" w:charSpace="0"/>
        </w:sectPr>
      </w:pPr>
      <w:r>
        <w:rPr>
          <w:rFonts w:hint="eastAsia" w:ascii="宋体" w:hAnsi="宋体" w:cs="宋体"/>
          <w:color w:val="auto"/>
          <w:szCs w:val="21"/>
          <w:highlight w:val="none"/>
        </w:rPr>
        <w:t>联系人：</w:t>
      </w:r>
      <w:r>
        <w:rPr>
          <w:rFonts w:hint="eastAsia" w:ascii="宋体" w:hAnsi="宋体" w:cs="宋体"/>
          <w:color w:val="auto"/>
          <w:szCs w:val="21"/>
          <w:highlight w:val="none"/>
          <w:lang w:eastAsia="zh-CN"/>
        </w:rPr>
        <w:t>羊振</w:t>
      </w:r>
      <w:r>
        <w:rPr>
          <w:rFonts w:hint="eastAsia" w:ascii="宋体" w:hAnsi="宋体" w:cs="宋体"/>
          <w:color w:val="auto"/>
          <w:szCs w:val="21"/>
          <w:highlight w:val="none"/>
        </w:rPr>
        <w:t xml:space="preserve">     联系方式：</w:t>
      </w:r>
      <w:bookmarkEnd w:id="1"/>
      <w:bookmarkEnd w:id="32"/>
      <w:bookmarkEnd w:id="33"/>
      <w:r>
        <w:rPr>
          <w:rFonts w:hint="eastAsia" w:ascii="宋体" w:hAnsi="宋体" w:cs="宋体"/>
          <w:color w:val="auto"/>
          <w:szCs w:val="21"/>
          <w:highlight w:val="none"/>
          <w:lang w:eastAsia="zh-CN"/>
        </w:rPr>
        <w:t>19948736538</w:t>
      </w:r>
    </w:p>
    <w:p>
      <w:pPr>
        <w:pStyle w:val="33"/>
        <w:rPr>
          <w:rFonts w:hint="eastAsia" w:ascii="宋体" w:hAnsi="宋体"/>
          <w:color w:val="auto"/>
          <w:sz w:val="36"/>
          <w:highlight w:val="none"/>
        </w:rPr>
      </w:pPr>
      <w:bookmarkStart w:id="34" w:name="_Toc118109500"/>
      <w:r>
        <w:rPr>
          <w:rFonts w:hint="eastAsia" w:ascii="宋体" w:hAnsi="宋体"/>
          <w:color w:val="auto"/>
          <w:highlight w:val="none"/>
        </w:rPr>
        <w:t>第二章  投标人须知</w:t>
      </w:r>
      <w:bookmarkEnd w:id="34"/>
    </w:p>
    <w:p>
      <w:pPr>
        <w:pStyle w:val="3"/>
        <w:rPr>
          <w:rFonts w:hint="eastAsia" w:ascii="宋体" w:hAnsi="宋体"/>
          <w:color w:val="auto"/>
          <w:highlight w:val="none"/>
        </w:rPr>
      </w:pPr>
      <w:bookmarkStart w:id="35" w:name="_Toc118109501"/>
      <w:r>
        <w:rPr>
          <w:rFonts w:hint="eastAsia" w:ascii="宋体" w:hAnsi="宋体"/>
          <w:color w:val="auto"/>
          <w:highlight w:val="none"/>
        </w:rPr>
        <w:t>投标人须知前附表</w:t>
      </w:r>
      <w:bookmarkEnd w:id="35"/>
    </w:p>
    <w:tbl>
      <w:tblPr>
        <w:tblStyle w:val="37"/>
        <w:tblW w:w="545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410"/>
        <w:gridCol w:w="2062"/>
        <w:gridCol w:w="67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72" w:hRule="atLeast"/>
          <w:jc w:val="center"/>
        </w:trPr>
        <w:tc>
          <w:tcPr>
            <w:tcW w:w="1410" w:type="dxa"/>
            <w:shd w:val="clear" w:color="auto" w:fill="D8D8D8" w:themeFill="background1" w:themeFillShade="D9"/>
            <w:noWrap/>
            <w:tcMar>
              <w:left w:w="57" w:type="dxa"/>
              <w:right w:w="57" w:type="dxa"/>
            </w:tcMar>
            <w:vAlign w:val="center"/>
          </w:tcPr>
          <w:p>
            <w:pPr>
              <w:pStyle w:val="20"/>
              <w:spacing w:line="380" w:lineRule="exact"/>
              <w:jc w:val="center"/>
              <w:rPr>
                <w:rFonts w:hint="eastAsia" w:hAnsi="宋体"/>
                <w:b/>
                <w:color w:val="auto"/>
                <w:sz w:val="24"/>
                <w:szCs w:val="24"/>
                <w:highlight w:val="none"/>
              </w:rPr>
            </w:pPr>
            <w:r>
              <w:rPr>
                <w:rFonts w:hint="eastAsia" w:hAnsi="宋体"/>
                <w:b/>
                <w:color w:val="auto"/>
                <w:sz w:val="24"/>
                <w:szCs w:val="24"/>
                <w:highlight w:val="none"/>
              </w:rPr>
              <w:t>条款号</w:t>
            </w:r>
          </w:p>
        </w:tc>
        <w:tc>
          <w:tcPr>
            <w:tcW w:w="2062" w:type="dxa"/>
            <w:shd w:val="clear" w:color="auto" w:fill="D8D8D8" w:themeFill="background1" w:themeFillShade="D9"/>
            <w:noWrap/>
            <w:tcMar>
              <w:left w:w="57" w:type="dxa"/>
              <w:right w:w="57" w:type="dxa"/>
            </w:tcMar>
            <w:vAlign w:val="center"/>
          </w:tcPr>
          <w:p>
            <w:pPr>
              <w:pStyle w:val="20"/>
              <w:spacing w:line="380" w:lineRule="exact"/>
              <w:jc w:val="center"/>
              <w:rPr>
                <w:rFonts w:hint="eastAsia" w:hAnsi="宋体"/>
                <w:b/>
                <w:color w:val="auto"/>
                <w:sz w:val="24"/>
                <w:szCs w:val="24"/>
                <w:highlight w:val="none"/>
              </w:rPr>
            </w:pPr>
            <w:r>
              <w:rPr>
                <w:rFonts w:hint="eastAsia" w:hAnsi="宋体"/>
                <w:b/>
                <w:color w:val="auto"/>
                <w:sz w:val="24"/>
                <w:szCs w:val="24"/>
                <w:highlight w:val="none"/>
              </w:rPr>
              <w:t>条 款 名 称</w:t>
            </w:r>
          </w:p>
        </w:tc>
        <w:tc>
          <w:tcPr>
            <w:tcW w:w="6795" w:type="dxa"/>
            <w:shd w:val="clear" w:color="auto" w:fill="D8D8D8" w:themeFill="background1" w:themeFillShade="D9"/>
            <w:noWrap/>
            <w:tcMar>
              <w:left w:w="57" w:type="dxa"/>
              <w:right w:w="57" w:type="dxa"/>
            </w:tcMar>
            <w:vAlign w:val="center"/>
          </w:tcPr>
          <w:p>
            <w:pPr>
              <w:pStyle w:val="20"/>
              <w:spacing w:line="380" w:lineRule="exact"/>
              <w:jc w:val="center"/>
              <w:rPr>
                <w:rFonts w:hint="eastAsia" w:hAnsi="宋体"/>
                <w:b/>
                <w:color w:val="auto"/>
                <w:sz w:val="24"/>
                <w:szCs w:val="24"/>
                <w:highlight w:val="none"/>
              </w:rPr>
            </w:pPr>
            <w:r>
              <w:rPr>
                <w:rFonts w:hint="eastAsia" w:hAnsi="宋体"/>
                <w:b/>
                <w:color w:val="auto"/>
                <w:sz w:val="24"/>
                <w:szCs w:val="24"/>
                <w:highlight w:val="none"/>
              </w:rPr>
              <w:t>编 列 内 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459" w:hRule="atLeast"/>
          <w:jc w:val="center"/>
        </w:trPr>
        <w:tc>
          <w:tcPr>
            <w:tcW w:w="1410" w:type="dxa"/>
            <w:noWrap/>
            <w:tcMar>
              <w:left w:w="57" w:type="dxa"/>
              <w:right w:w="57" w:type="dxa"/>
            </w:tcMar>
            <w:vAlign w:val="center"/>
          </w:tcPr>
          <w:p>
            <w:pPr>
              <w:pStyle w:val="20"/>
              <w:spacing w:line="380" w:lineRule="exact"/>
              <w:jc w:val="center"/>
              <w:rPr>
                <w:rFonts w:hint="eastAsia" w:hAnsi="宋体"/>
                <w:color w:val="auto"/>
                <w:szCs w:val="21"/>
                <w:highlight w:val="none"/>
              </w:rPr>
            </w:pPr>
            <w:r>
              <w:rPr>
                <w:rFonts w:hint="eastAsia" w:hAnsi="宋体"/>
                <w:color w:val="auto"/>
                <w:szCs w:val="21"/>
                <w:highlight w:val="none"/>
              </w:rPr>
              <w:t>1.1</w:t>
            </w:r>
          </w:p>
        </w:tc>
        <w:tc>
          <w:tcPr>
            <w:tcW w:w="2062" w:type="dxa"/>
            <w:noWrap/>
            <w:tcMar>
              <w:left w:w="57" w:type="dxa"/>
              <w:right w:w="57" w:type="dxa"/>
            </w:tcMar>
            <w:vAlign w:val="center"/>
          </w:tcPr>
          <w:p>
            <w:pPr>
              <w:pStyle w:val="20"/>
              <w:spacing w:line="380" w:lineRule="exact"/>
              <w:jc w:val="center"/>
              <w:rPr>
                <w:rFonts w:hint="eastAsia" w:hAnsi="宋体"/>
                <w:color w:val="auto"/>
                <w:szCs w:val="21"/>
                <w:highlight w:val="none"/>
              </w:rPr>
            </w:pPr>
            <w:r>
              <w:rPr>
                <w:rFonts w:hint="eastAsia" w:hAnsi="宋体"/>
                <w:bCs/>
                <w:color w:val="auto"/>
                <w:szCs w:val="21"/>
                <w:highlight w:val="none"/>
              </w:rPr>
              <w:t>采购人</w:t>
            </w:r>
          </w:p>
        </w:tc>
        <w:tc>
          <w:tcPr>
            <w:tcW w:w="6795" w:type="dxa"/>
            <w:noWrap/>
            <w:tcMar>
              <w:left w:w="57" w:type="dxa"/>
              <w:right w:w="57" w:type="dxa"/>
            </w:tcMar>
            <w:vAlign w:val="center"/>
          </w:tcPr>
          <w:p>
            <w:pPr>
              <w:pStyle w:val="20"/>
              <w:spacing w:line="380" w:lineRule="exact"/>
              <w:rPr>
                <w:rFonts w:hint="eastAsia" w:hAnsi="宋体" w:eastAsia="宋体"/>
                <w:color w:val="auto"/>
                <w:szCs w:val="21"/>
                <w:highlight w:val="none"/>
                <w:lang w:eastAsia="zh-CN"/>
              </w:rPr>
            </w:pPr>
            <w:r>
              <w:rPr>
                <w:rFonts w:hint="eastAsia" w:hAnsi="宋体"/>
                <w:color w:val="auto"/>
                <w:szCs w:val="21"/>
                <w:highlight w:val="none"/>
              </w:rPr>
              <w:t xml:space="preserve">名 </w:t>
            </w:r>
            <w:r>
              <w:rPr>
                <w:rFonts w:hAnsi="宋体"/>
                <w:color w:val="auto"/>
                <w:szCs w:val="21"/>
                <w:highlight w:val="none"/>
              </w:rPr>
              <w:t xml:space="preserve"> </w:t>
            </w:r>
            <w:r>
              <w:rPr>
                <w:rFonts w:hint="eastAsia" w:hAnsi="宋体"/>
                <w:color w:val="auto"/>
                <w:szCs w:val="21"/>
                <w:highlight w:val="none"/>
              </w:rPr>
              <w:t>称：</w:t>
            </w:r>
            <w:r>
              <w:rPr>
                <w:rFonts w:hint="eastAsia" w:hAnsi="宋体"/>
                <w:color w:val="auto"/>
                <w:szCs w:val="21"/>
                <w:highlight w:val="none"/>
                <w:lang w:eastAsia="zh-CN"/>
              </w:rPr>
              <w:t>红河哈尼族彝族自治州生态环境局石屏分局</w:t>
            </w:r>
          </w:p>
          <w:p>
            <w:pPr>
              <w:pStyle w:val="20"/>
              <w:spacing w:line="380" w:lineRule="exact"/>
              <w:rPr>
                <w:rFonts w:hint="eastAsia" w:hAnsi="宋体" w:eastAsia="宋体"/>
                <w:color w:val="auto"/>
                <w:szCs w:val="21"/>
                <w:highlight w:val="none"/>
                <w:lang w:eastAsia="zh-CN"/>
              </w:rPr>
            </w:pPr>
            <w:r>
              <w:rPr>
                <w:rFonts w:hAnsi="宋体"/>
                <w:color w:val="auto"/>
                <w:szCs w:val="21"/>
                <w:highlight w:val="none"/>
              </w:rPr>
              <w:t>地 址：</w:t>
            </w:r>
            <w:r>
              <w:rPr>
                <w:rFonts w:hint="eastAsia" w:hAnsi="宋体"/>
                <w:color w:val="auto"/>
                <w:szCs w:val="21"/>
                <w:highlight w:val="none"/>
                <w:lang w:eastAsia="zh-CN"/>
              </w:rPr>
              <w:t>石屏县白马庙段与朱家寨段交叉口西北40米</w:t>
            </w:r>
          </w:p>
          <w:p>
            <w:pPr>
              <w:pStyle w:val="20"/>
              <w:spacing w:line="380" w:lineRule="exact"/>
              <w:rPr>
                <w:rFonts w:hint="eastAsia" w:hAnsi="宋体"/>
                <w:color w:val="auto"/>
                <w:szCs w:val="21"/>
                <w:highlight w:val="none"/>
              </w:rPr>
            </w:pPr>
            <w:r>
              <w:rPr>
                <w:rFonts w:hAnsi="宋体"/>
                <w:color w:val="auto"/>
                <w:szCs w:val="21"/>
                <w:highlight w:val="none"/>
              </w:rPr>
              <w:t>联系人：</w:t>
            </w:r>
            <w:r>
              <w:rPr>
                <w:rFonts w:hint="eastAsia" w:hAnsi="宋体"/>
                <w:color w:val="auto"/>
                <w:szCs w:val="21"/>
                <w:highlight w:val="none"/>
                <w:lang w:eastAsia="zh-CN"/>
              </w:rPr>
              <w:t>吴师</w:t>
            </w:r>
            <w:r>
              <w:rPr>
                <w:rFonts w:hAnsi="宋体"/>
                <w:color w:val="auto"/>
                <w:szCs w:val="21"/>
                <w:highlight w:val="none"/>
              </w:rPr>
              <w:t xml:space="preserve"> </w:t>
            </w:r>
          </w:p>
          <w:p>
            <w:pPr>
              <w:pStyle w:val="20"/>
              <w:spacing w:line="380" w:lineRule="exact"/>
              <w:rPr>
                <w:rFonts w:hint="eastAsia" w:hAnsi="宋体" w:eastAsia="宋体"/>
                <w:color w:val="auto"/>
                <w:szCs w:val="21"/>
                <w:highlight w:val="none"/>
                <w:lang w:eastAsia="zh-CN"/>
              </w:rPr>
            </w:pPr>
            <w:r>
              <w:rPr>
                <w:rFonts w:hAnsi="宋体"/>
                <w:color w:val="auto"/>
                <w:szCs w:val="21"/>
                <w:highlight w:val="none"/>
              </w:rPr>
              <w:t>联系方式：</w:t>
            </w:r>
            <w:r>
              <w:rPr>
                <w:rFonts w:hint="eastAsia" w:hAnsi="宋体"/>
                <w:color w:val="auto"/>
                <w:szCs w:val="21"/>
                <w:highlight w:val="none"/>
                <w:lang w:eastAsia="zh-CN"/>
              </w:rPr>
              <w:t>0873-4857589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459" w:hRule="atLeast"/>
          <w:jc w:val="center"/>
        </w:trPr>
        <w:tc>
          <w:tcPr>
            <w:tcW w:w="1410" w:type="dxa"/>
            <w:noWrap/>
            <w:tcMar>
              <w:left w:w="57" w:type="dxa"/>
              <w:right w:w="57" w:type="dxa"/>
            </w:tcMar>
            <w:vAlign w:val="center"/>
          </w:tcPr>
          <w:p>
            <w:pPr>
              <w:pStyle w:val="20"/>
              <w:spacing w:line="380" w:lineRule="exact"/>
              <w:jc w:val="center"/>
              <w:rPr>
                <w:rFonts w:hint="eastAsia" w:hAnsi="宋体"/>
                <w:color w:val="auto"/>
                <w:szCs w:val="21"/>
                <w:highlight w:val="none"/>
              </w:rPr>
            </w:pPr>
            <w:r>
              <w:rPr>
                <w:rFonts w:hint="eastAsia" w:hAnsi="宋体"/>
                <w:color w:val="auto"/>
                <w:szCs w:val="21"/>
                <w:highlight w:val="none"/>
              </w:rPr>
              <w:t>1.2</w:t>
            </w:r>
          </w:p>
        </w:tc>
        <w:tc>
          <w:tcPr>
            <w:tcW w:w="2062" w:type="dxa"/>
            <w:noWrap/>
            <w:tcMar>
              <w:left w:w="57" w:type="dxa"/>
              <w:right w:w="57" w:type="dxa"/>
            </w:tcMar>
            <w:vAlign w:val="center"/>
          </w:tcPr>
          <w:p>
            <w:pPr>
              <w:pStyle w:val="20"/>
              <w:spacing w:line="380" w:lineRule="exact"/>
              <w:jc w:val="center"/>
              <w:rPr>
                <w:rFonts w:hint="eastAsia" w:hAnsi="宋体"/>
                <w:bCs/>
                <w:color w:val="auto"/>
                <w:szCs w:val="21"/>
                <w:highlight w:val="none"/>
              </w:rPr>
            </w:pPr>
            <w:r>
              <w:rPr>
                <w:rFonts w:hint="eastAsia" w:hAnsi="宋体"/>
                <w:bCs/>
                <w:color w:val="auto"/>
                <w:szCs w:val="21"/>
                <w:highlight w:val="none"/>
              </w:rPr>
              <w:t>采购代理机构</w:t>
            </w:r>
          </w:p>
        </w:tc>
        <w:tc>
          <w:tcPr>
            <w:tcW w:w="6795" w:type="dxa"/>
            <w:noWrap/>
            <w:tcMar>
              <w:left w:w="57" w:type="dxa"/>
              <w:right w:w="57" w:type="dxa"/>
            </w:tcMar>
            <w:vAlign w:val="center"/>
          </w:tcPr>
          <w:p>
            <w:pPr>
              <w:pStyle w:val="20"/>
              <w:spacing w:line="380" w:lineRule="exact"/>
              <w:rPr>
                <w:rFonts w:hint="eastAsia" w:hAnsi="宋体" w:eastAsia="宋体"/>
                <w:color w:val="auto"/>
                <w:szCs w:val="21"/>
                <w:highlight w:val="none"/>
                <w:lang w:eastAsia="zh-CN"/>
              </w:rPr>
            </w:pPr>
            <w:r>
              <w:rPr>
                <w:rFonts w:hAnsi="宋体"/>
                <w:color w:val="auto"/>
                <w:szCs w:val="21"/>
                <w:highlight w:val="none"/>
              </w:rPr>
              <w:t>名 称：</w:t>
            </w:r>
            <w:r>
              <w:rPr>
                <w:rFonts w:hint="eastAsia" w:hAnsi="宋体"/>
                <w:color w:val="auto"/>
                <w:szCs w:val="21"/>
                <w:highlight w:val="none"/>
                <w:lang w:eastAsia="zh-CN"/>
              </w:rPr>
              <w:t>云南智扬工程项目管理有限公司</w:t>
            </w:r>
          </w:p>
          <w:p>
            <w:pPr>
              <w:pStyle w:val="20"/>
              <w:spacing w:line="380" w:lineRule="exact"/>
              <w:rPr>
                <w:rFonts w:hint="eastAsia" w:hAnsi="宋体" w:eastAsia="宋体"/>
                <w:color w:val="auto"/>
                <w:szCs w:val="21"/>
                <w:highlight w:val="none"/>
                <w:lang w:eastAsia="zh-CN"/>
              </w:rPr>
            </w:pPr>
            <w:r>
              <w:rPr>
                <w:rFonts w:hAnsi="宋体"/>
                <w:color w:val="auto"/>
                <w:szCs w:val="21"/>
                <w:highlight w:val="none"/>
              </w:rPr>
              <w:t>地址：</w:t>
            </w:r>
            <w:r>
              <w:rPr>
                <w:rFonts w:hint="eastAsia" w:hAnsi="宋体"/>
                <w:color w:val="auto"/>
                <w:szCs w:val="21"/>
                <w:highlight w:val="none"/>
                <w:lang w:eastAsia="zh-CN"/>
              </w:rPr>
              <w:t>云南省昆明市白云路 168 号瑞鼎城商务中心 A 栋 11 楼</w:t>
            </w:r>
          </w:p>
          <w:p>
            <w:pPr>
              <w:pStyle w:val="20"/>
              <w:spacing w:line="380" w:lineRule="exact"/>
              <w:rPr>
                <w:rFonts w:hint="eastAsia" w:hAnsi="宋体" w:eastAsia="宋体"/>
                <w:color w:val="auto"/>
                <w:szCs w:val="21"/>
                <w:highlight w:val="none"/>
                <w:lang w:eastAsia="zh-CN"/>
              </w:rPr>
            </w:pPr>
            <w:r>
              <w:rPr>
                <w:rFonts w:hint="eastAsia" w:hAnsi="宋体"/>
                <w:color w:val="auto"/>
                <w:szCs w:val="21"/>
                <w:highlight w:val="none"/>
              </w:rPr>
              <w:t>联系人：</w:t>
            </w:r>
            <w:r>
              <w:rPr>
                <w:rFonts w:hint="eastAsia" w:hAnsi="宋体"/>
                <w:color w:val="auto"/>
                <w:szCs w:val="21"/>
                <w:highlight w:val="none"/>
                <w:lang w:eastAsia="zh-CN"/>
              </w:rPr>
              <w:t>羊振</w:t>
            </w:r>
          </w:p>
          <w:p>
            <w:pPr>
              <w:pStyle w:val="20"/>
              <w:spacing w:line="380" w:lineRule="exact"/>
              <w:rPr>
                <w:rFonts w:hint="eastAsia" w:hAnsi="宋体" w:eastAsia="宋体"/>
                <w:color w:val="auto"/>
                <w:szCs w:val="21"/>
                <w:highlight w:val="none"/>
                <w:lang w:eastAsia="zh-CN"/>
              </w:rPr>
            </w:pPr>
            <w:r>
              <w:rPr>
                <w:rFonts w:hint="eastAsia" w:hAnsi="宋体"/>
                <w:color w:val="auto"/>
                <w:szCs w:val="21"/>
                <w:highlight w:val="none"/>
              </w:rPr>
              <w:t>联系方式：</w:t>
            </w:r>
            <w:r>
              <w:rPr>
                <w:rFonts w:hint="eastAsia" w:hAnsi="宋体"/>
                <w:color w:val="auto"/>
                <w:szCs w:val="21"/>
                <w:highlight w:val="none"/>
                <w:lang w:eastAsia="zh-CN"/>
              </w:rPr>
              <w:t>19948736538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72" w:hRule="atLeast"/>
          <w:jc w:val="center"/>
        </w:trPr>
        <w:tc>
          <w:tcPr>
            <w:tcW w:w="1410" w:type="dxa"/>
            <w:noWrap/>
            <w:tcMar>
              <w:left w:w="57" w:type="dxa"/>
              <w:right w:w="57" w:type="dxa"/>
            </w:tcMar>
            <w:vAlign w:val="center"/>
          </w:tcPr>
          <w:p>
            <w:pPr>
              <w:pStyle w:val="20"/>
              <w:spacing w:line="380" w:lineRule="exact"/>
              <w:jc w:val="center"/>
              <w:rPr>
                <w:rFonts w:hint="eastAsia" w:hAnsi="宋体"/>
                <w:color w:val="auto"/>
                <w:szCs w:val="21"/>
                <w:highlight w:val="none"/>
              </w:rPr>
            </w:pPr>
            <w:r>
              <w:rPr>
                <w:rFonts w:hint="eastAsia" w:hAnsi="宋体"/>
                <w:color w:val="auto"/>
                <w:szCs w:val="21"/>
                <w:highlight w:val="none"/>
              </w:rPr>
              <w:t>1.3</w:t>
            </w:r>
          </w:p>
        </w:tc>
        <w:tc>
          <w:tcPr>
            <w:tcW w:w="2062" w:type="dxa"/>
            <w:noWrap/>
            <w:tcMar>
              <w:left w:w="57" w:type="dxa"/>
              <w:right w:w="57" w:type="dxa"/>
            </w:tcMar>
            <w:vAlign w:val="center"/>
          </w:tcPr>
          <w:p>
            <w:pPr>
              <w:pStyle w:val="20"/>
              <w:spacing w:line="380" w:lineRule="exact"/>
              <w:jc w:val="center"/>
              <w:rPr>
                <w:rFonts w:hint="eastAsia" w:hAnsi="宋体"/>
                <w:bCs/>
                <w:color w:val="auto"/>
                <w:szCs w:val="21"/>
                <w:highlight w:val="none"/>
              </w:rPr>
            </w:pPr>
            <w:r>
              <w:rPr>
                <w:rFonts w:hint="eastAsia" w:hAnsi="宋体"/>
                <w:bCs/>
                <w:color w:val="auto"/>
                <w:szCs w:val="21"/>
                <w:highlight w:val="none"/>
              </w:rPr>
              <w:t>项目名称</w:t>
            </w:r>
          </w:p>
        </w:tc>
        <w:tc>
          <w:tcPr>
            <w:tcW w:w="6795" w:type="dxa"/>
            <w:noWrap/>
            <w:tcMar>
              <w:left w:w="57" w:type="dxa"/>
              <w:right w:w="57" w:type="dxa"/>
            </w:tcMar>
            <w:vAlign w:val="center"/>
          </w:tcPr>
          <w:p>
            <w:pPr>
              <w:pStyle w:val="20"/>
              <w:spacing w:line="380" w:lineRule="exact"/>
              <w:rPr>
                <w:rFonts w:hint="eastAsia" w:hAnsi="宋体" w:eastAsia="宋体"/>
                <w:color w:val="auto"/>
                <w:szCs w:val="21"/>
                <w:highlight w:val="none"/>
                <w:lang w:eastAsia="zh-CN"/>
              </w:rPr>
            </w:pPr>
            <w:r>
              <w:rPr>
                <w:rFonts w:hint="eastAsia" w:hAnsi="宋体" w:cs="宋体"/>
                <w:color w:val="auto"/>
                <w:szCs w:val="21"/>
                <w:highlight w:val="none"/>
                <w:lang w:eastAsia="zh-CN"/>
              </w:rPr>
              <w:t>2025年异龙湖流域环境水质检测检验执法监管项目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04" w:hRule="atLeast"/>
          <w:jc w:val="center"/>
        </w:trPr>
        <w:tc>
          <w:tcPr>
            <w:tcW w:w="1410" w:type="dxa"/>
            <w:noWrap/>
            <w:tcMar>
              <w:left w:w="57" w:type="dxa"/>
              <w:right w:w="57" w:type="dxa"/>
            </w:tcMar>
            <w:vAlign w:val="center"/>
          </w:tcPr>
          <w:p>
            <w:pPr>
              <w:pStyle w:val="20"/>
              <w:spacing w:line="380" w:lineRule="exact"/>
              <w:jc w:val="center"/>
              <w:rPr>
                <w:rFonts w:hint="eastAsia" w:hAnsi="宋体"/>
                <w:color w:val="auto"/>
                <w:szCs w:val="21"/>
                <w:highlight w:val="none"/>
              </w:rPr>
            </w:pPr>
            <w:r>
              <w:rPr>
                <w:rFonts w:hint="eastAsia" w:hAnsi="宋体"/>
                <w:color w:val="auto"/>
                <w:szCs w:val="21"/>
                <w:highlight w:val="none"/>
              </w:rPr>
              <w:t>1.4</w:t>
            </w:r>
          </w:p>
        </w:tc>
        <w:tc>
          <w:tcPr>
            <w:tcW w:w="2062" w:type="dxa"/>
            <w:noWrap/>
            <w:tcMar>
              <w:left w:w="57" w:type="dxa"/>
              <w:right w:w="57" w:type="dxa"/>
            </w:tcMar>
            <w:vAlign w:val="center"/>
          </w:tcPr>
          <w:p>
            <w:pPr>
              <w:pStyle w:val="20"/>
              <w:spacing w:line="380" w:lineRule="exact"/>
              <w:jc w:val="center"/>
              <w:rPr>
                <w:rFonts w:hint="eastAsia" w:hAnsi="宋体"/>
                <w:bCs/>
                <w:color w:val="auto"/>
                <w:szCs w:val="21"/>
                <w:highlight w:val="none"/>
              </w:rPr>
            </w:pPr>
            <w:r>
              <w:rPr>
                <w:rFonts w:hint="eastAsia" w:hAnsi="宋体" w:cs="宋体"/>
                <w:color w:val="auto"/>
                <w:szCs w:val="21"/>
                <w:highlight w:val="none"/>
              </w:rPr>
              <w:t>服务地点</w:t>
            </w:r>
          </w:p>
        </w:tc>
        <w:tc>
          <w:tcPr>
            <w:tcW w:w="6795" w:type="dxa"/>
            <w:noWrap/>
            <w:tcMar>
              <w:left w:w="57" w:type="dxa"/>
              <w:right w:w="57" w:type="dxa"/>
            </w:tcMar>
            <w:vAlign w:val="center"/>
          </w:tcPr>
          <w:p>
            <w:pPr>
              <w:pStyle w:val="20"/>
              <w:spacing w:line="380" w:lineRule="exact"/>
              <w:rPr>
                <w:rFonts w:hint="eastAsia" w:hAnsi="宋体" w:eastAsia="宋体"/>
                <w:bCs/>
                <w:color w:val="auto"/>
                <w:szCs w:val="21"/>
                <w:highlight w:val="none"/>
                <w:lang w:eastAsia="zh-CN"/>
              </w:rPr>
            </w:pPr>
            <w:r>
              <w:rPr>
                <w:rFonts w:hint="eastAsia" w:hAnsi="宋体" w:cs="宋体"/>
                <w:color w:val="auto"/>
                <w:szCs w:val="21"/>
                <w:highlight w:val="none"/>
                <w:lang w:eastAsia="zh-CN"/>
              </w:rPr>
              <w:t>石屏县境内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6" w:hRule="atLeast"/>
          <w:jc w:val="center"/>
        </w:trPr>
        <w:tc>
          <w:tcPr>
            <w:tcW w:w="1410" w:type="dxa"/>
            <w:noWrap/>
            <w:tcMar>
              <w:left w:w="57" w:type="dxa"/>
              <w:right w:w="57" w:type="dxa"/>
            </w:tcMar>
            <w:vAlign w:val="center"/>
          </w:tcPr>
          <w:p>
            <w:pPr>
              <w:pStyle w:val="20"/>
              <w:spacing w:line="380" w:lineRule="exact"/>
              <w:jc w:val="center"/>
              <w:rPr>
                <w:rFonts w:hint="eastAsia" w:hAnsi="宋体"/>
                <w:color w:val="auto"/>
                <w:szCs w:val="21"/>
                <w:highlight w:val="none"/>
              </w:rPr>
            </w:pPr>
            <w:r>
              <w:rPr>
                <w:rFonts w:hint="eastAsia" w:hAnsi="宋体"/>
                <w:color w:val="auto"/>
                <w:szCs w:val="21"/>
                <w:highlight w:val="none"/>
              </w:rPr>
              <w:t>2.1</w:t>
            </w:r>
          </w:p>
        </w:tc>
        <w:tc>
          <w:tcPr>
            <w:tcW w:w="2062" w:type="dxa"/>
            <w:noWrap/>
            <w:tcMar>
              <w:left w:w="57" w:type="dxa"/>
              <w:right w:w="57" w:type="dxa"/>
            </w:tcMar>
            <w:vAlign w:val="center"/>
          </w:tcPr>
          <w:p>
            <w:pPr>
              <w:pStyle w:val="20"/>
              <w:spacing w:line="380" w:lineRule="exact"/>
              <w:jc w:val="center"/>
              <w:rPr>
                <w:rFonts w:hint="eastAsia" w:hAnsi="宋体"/>
                <w:color w:val="auto"/>
                <w:szCs w:val="21"/>
                <w:highlight w:val="none"/>
              </w:rPr>
            </w:pPr>
            <w:r>
              <w:rPr>
                <w:rFonts w:hint="eastAsia" w:hAnsi="宋体"/>
                <w:color w:val="auto"/>
                <w:szCs w:val="21"/>
                <w:highlight w:val="none"/>
              </w:rPr>
              <w:t>资金来源</w:t>
            </w:r>
          </w:p>
        </w:tc>
        <w:tc>
          <w:tcPr>
            <w:tcW w:w="6795" w:type="dxa"/>
            <w:noWrap/>
            <w:tcMar>
              <w:left w:w="57" w:type="dxa"/>
              <w:right w:w="57" w:type="dxa"/>
            </w:tcMar>
            <w:vAlign w:val="center"/>
          </w:tcPr>
          <w:p>
            <w:pPr>
              <w:pStyle w:val="20"/>
              <w:spacing w:line="380" w:lineRule="exact"/>
              <w:rPr>
                <w:rFonts w:hint="eastAsia" w:hAnsi="宋体"/>
                <w:bCs/>
                <w:color w:val="auto"/>
                <w:szCs w:val="21"/>
                <w:highlight w:val="none"/>
              </w:rPr>
            </w:pPr>
            <w:r>
              <w:rPr>
                <w:rFonts w:hint="eastAsia" w:hAnsi="宋体"/>
                <w:bCs/>
                <w:color w:val="auto"/>
                <w:szCs w:val="21"/>
                <w:highlight w:val="none"/>
                <w:lang w:eastAsia="zh-CN"/>
              </w:rPr>
              <w:t>上级财政资金。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6" w:hRule="atLeast"/>
          <w:jc w:val="center"/>
        </w:trPr>
        <w:tc>
          <w:tcPr>
            <w:tcW w:w="1410" w:type="dxa"/>
            <w:noWrap/>
            <w:tcMar>
              <w:left w:w="57" w:type="dxa"/>
              <w:right w:w="57" w:type="dxa"/>
            </w:tcMar>
            <w:vAlign w:val="center"/>
          </w:tcPr>
          <w:p>
            <w:pPr>
              <w:pStyle w:val="20"/>
              <w:spacing w:line="380" w:lineRule="exact"/>
              <w:jc w:val="center"/>
              <w:rPr>
                <w:rFonts w:hint="eastAsia" w:hAnsi="宋体"/>
                <w:color w:val="auto"/>
                <w:szCs w:val="21"/>
                <w:highlight w:val="none"/>
              </w:rPr>
            </w:pPr>
            <w:r>
              <w:rPr>
                <w:rFonts w:hint="eastAsia" w:hAnsi="宋体"/>
                <w:color w:val="auto"/>
                <w:szCs w:val="21"/>
                <w:highlight w:val="none"/>
              </w:rPr>
              <w:t>2.2</w:t>
            </w:r>
          </w:p>
        </w:tc>
        <w:tc>
          <w:tcPr>
            <w:tcW w:w="2062" w:type="dxa"/>
            <w:noWrap/>
            <w:tcMar>
              <w:left w:w="57" w:type="dxa"/>
              <w:right w:w="57" w:type="dxa"/>
            </w:tcMar>
            <w:vAlign w:val="center"/>
          </w:tcPr>
          <w:p>
            <w:pPr>
              <w:pStyle w:val="20"/>
              <w:spacing w:line="380" w:lineRule="exact"/>
              <w:jc w:val="center"/>
              <w:rPr>
                <w:rFonts w:hint="eastAsia" w:hAnsi="宋体"/>
                <w:color w:val="auto"/>
                <w:szCs w:val="21"/>
                <w:highlight w:val="none"/>
              </w:rPr>
            </w:pPr>
            <w:r>
              <w:rPr>
                <w:rFonts w:hint="eastAsia" w:hAnsi="宋体"/>
                <w:color w:val="auto"/>
                <w:szCs w:val="21"/>
                <w:highlight w:val="none"/>
              </w:rPr>
              <w:t>资金落实情况</w:t>
            </w:r>
          </w:p>
        </w:tc>
        <w:tc>
          <w:tcPr>
            <w:tcW w:w="6795" w:type="dxa"/>
            <w:noWrap/>
            <w:tcMar>
              <w:left w:w="57" w:type="dxa"/>
              <w:right w:w="57" w:type="dxa"/>
            </w:tcMar>
            <w:vAlign w:val="center"/>
          </w:tcPr>
          <w:p>
            <w:pPr>
              <w:pStyle w:val="20"/>
              <w:spacing w:line="380" w:lineRule="exact"/>
              <w:rPr>
                <w:rFonts w:hint="eastAsia" w:hAnsi="宋体"/>
                <w:bCs/>
                <w:color w:val="auto"/>
                <w:szCs w:val="21"/>
                <w:highlight w:val="none"/>
              </w:rPr>
            </w:pPr>
            <w:r>
              <w:rPr>
                <w:rFonts w:hint="eastAsia" w:hAnsi="宋体"/>
                <w:bCs/>
                <w:color w:val="auto"/>
                <w:szCs w:val="21"/>
                <w:highlight w:val="none"/>
              </w:rPr>
              <w:t>已落实</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35" w:hRule="atLeast"/>
          <w:jc w:val="center"/>
        </w:trPr>
        <w:tc>
          <w:tcPr>
            <w:tcW w:w="1410" w:type="dxa"/>
            <w:noWrap/>
            <w:tcMar>
              <w:left w:w="57" w:type="dxa"/>
              <w:right w:w="57" w:type="dxa"/>
            </w:tcMar>
            <w:vAlign w:val="center"/>
          </w:tcPr>
          <w:p>
            <w:pPr>
              <w:pStyle w:val="20"/>
              <w:spacing w:line="380" w:lineRule="exact"/>
              <w:jc w:val="center"/>
              <w:rPr>
                <w:rFonts w:hint="eastAsia" w:hAnsi="宋体"/>
                <w:color w:val="auto"/>
                <w:szCs w:val="21"/>
                <w:highlight w:val="none"/>
              </w:rPr>
            </w:pPr>
            <w:r>
              <w:rPr>
                <w:rFonts w:hint="eastAsia" w:hAnsi="宋体"/>
                <w:color w:val="auto"/>
                <w:szCs w:val="21"/>
                <w:highlight w:val="none"/>
              </w:rPr>
              <w:t>3.1</w:t>
            </w:r>
          </w:p>
        </w:tc>
        <w:tc>
          <w:tcPr>
            <w:tcW w:w="2062" w:type="dxa"/>
            <w:noWrap/>
            <w:tcMar>
              <w:left w:w="57" w:type="dxa"/>
              <w:right w:w="57" w:type="dxa"/>
            </w:tcMar>
            <w:vAlign w:val="center"/>
          </w:tcPr>
          <w:p>
            <w:pPr>
              <w:pStyle w:val="20"/>
              <w:spacing w:line="380" w:lineRule="exact"/>
              <w:jc w:val="center"/>
              <w:rPr>
                <w:rFonts w:hint="eastAsia" w:hAnsi="宋体"/>
                <w:color w:val="auto"/>
                <w:szCs w:val="21"/>
                <w:highlight w:val="none"/>
              </w:rPr>
            </w:pPr>
            <w:r>
              <w:rPr>
                <w:rFonts w:hint="eastAsia" w:hAnsi="宋体"/>
                <w:color w:val="auto"/>
                <w:szCs w:val="21"/>
                <w:highlight w:val="none"/>
              </w:rPr>
              <w:t>采购内容</w:t>
            </w:r>
          </w:p>
        </w:tc>
        <w:tc>
          <w:tcPr>
            <w:tcW w:w="6795" w:type="dxa"/>
            <w:noWrap/>
            <w:tcMar>
              <w:left w:w="57" w:type="dxa"/>
              <w:right w:w="57" w:type="dxa"/>
            </w:tcMar>
            <w:vAlign w:val="center"/>
          </w:tcPr>
          <w:p>
            <w:pPr>
              <w:spacing w:line="380" w:lineRule="exact"/>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2025年异龙湖流域环境监测及执法监管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57" w:hRule="atLeast"/>
          <w:jc w:val="center"/>
        </w:trPr>
        <w:tc>
          <w:tcPr>
            <w:tcW w:w="1410" w:type="dxa"/>
            <w:noWrap/>
            <w:tcMar>
              <w:left w:w="57" w:type="dxa"/>
              <w:right w:w="57" w:type="dxa"/>
            </w:tcMar>
            <w:vAlign w:val="center"/>
          </w:tcPr>
          <w:p>
            <w:pPr>
              <w:pStyle w:val="20"/>
              <w:spacing w:line="380" w:lineRule="exact"/>
              <w:jc w:val="center"/>
              <w:rPr>
                <w:rFonts w:hint="eastAsia" w:hAnsi="宋体"/>
                <w:color w:val="auto"/>
                <w:szCs w:val="21"/>
                <w:highlight w:val="none"/>
              </w:rPr>
            </w:pPr>
            <w:r>
              <w:rPr>
                <w:rFonts w:hint="eastAsia" w:hAnsi="宋体"/>
                <w:color w:val="auto"/>
                <w:szCs w:val="21"/>
                <w:highlight w:val="none"/>
              </w:rPr>
              <w:t>3.2</w:t>
            </w:r>
          </w:p>
        </w:tc>
        <w:tc>
          <w:tcPr>
            <w:tcW w:w="2062" w:type="dxa"/>
            <w:noWrap/>
            <w:tcMar>
              <w:left w:w="57" w:type="dxa"/>
              <w:right w:w="57" w:type="dxa"/>
            </w:tcMar>
            <w:vAlign w:val="center"/>
          </w:tcPr>
          <w:p>
            <w:pPr>
              <w:pStyle w:val="20"/>
              <w:spacing w:line="380" w:lineRule="exact"/>
              <w:jc w:val="center"/>
              <w:rPr>
                <w:rFonts w:hint="eastAsia" w:hAnsi="宋体"/>
                <w:color w:val="auto"/>
                <w:szCs w:val="21"/>
                <w:highlight w:val="none"/>
              </w:rPr>
            </w:pPr>
            <w:r>
              <w:rPr>
                <w:rFonts w:hint="eastAsia" w:hAnsi="宋体"/>
                <w:color w:val="auto"/>
                <w:szCs w:val="21"/>
                <w:highlight w:val="none"/>
              </w:rPr>
              <w:t>项目预算及最高限价</w:t>
            </w:r>
          </w:p>
        </w:tc>
        <w:tc>
          <w:tcPr>
            <w:tcW w:w="6795" w:type="dxa"/>
            <w:noWrap/>
            <w:tcMar>
              <w:left w:w="57" w:type="dxa"/>
              <w:right w:w="57" w:type="dxa"/>
            </w:tcMar>
            <w:vAlign w:val="center"/>
          </w:tcPr>
          <w:p>
            <w:pPr>
              <w:pStyle w:val="20"/>
              <w:spacing w:line="380" w:lineRule="exact"/>
              <w:jc w:val="left"/>
              <w:rPr>
                <w:color w:val="auto"/>
                <w:highlight w:val="none"/>
              </w:rPr>
            </w:pPr>
            <w:r>
              <w:rPr>
                <w:rFonts w:hint="eastAsia" w:hAnsi="宋体" w:cs="宋体"/>
                <w:color w:val="auto"/>
                <w:szCs w:val="21"/>
                <w:highlight w:val="none"/>
                <w:lang w:val="en-US" w:eastAsia="zh-CN"/>
              </w:rPr>
              <w:t>150万元，本项目共一个标段</w:t>
            </w:r>
            <w:r>
              <w:rPr>
                <w:rFonts w:hint="eastAsia"/>
                <w:color w:val="auto"/>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30" w:hRule="atLeast"/>
          <w:jc w:val="center"/>
        </w:trPr>
        <w:tc>
          <w:tcPr>
            <w:tcW w:w="1410" w:type="dxa"/>
            <w:noWrap/>
            <w:tcMar>
              <w:left w:w="57" w:type="dxa"/>
              <w:right w:w="57" w:type="dxa"/>
            </w:tcMar>
            <w:vAlign w:val="center"/>
          </w:tcPr>
          <w:p>
            <w:pPr>
              <w:pStyle w:val="20"/>
              <w:spacing w:line="380" w:lineRule="exact"/>
              <w:jc w:val="center"/>
              <w:rPr>
                <w:rFonts w:hint="eastAsia" w:hAnsi="宋体"/>
                <w:color w:val="auto"/>
                <w:szCs w:val="21"/>
                <w:highlight w:val="none"/>
              </w:rPr>
            </w:pPr>
            <w:r>
              <w:rPr>
                <w:rFonts w:hint="eastAsia" w:hAnsi="宋体"/>
                <w:color w:val="auto"/>
                <w:szCs w:val="21"/>
                <w:highlight w:val="none"/>
              </w:rPr>
              <w:t>3.3</w:t>
            </w:r>
          </w:p>
        </w:tc>
        <w:tc>
          <w:tcPr>
            <w:tcW w:w="2062" w:type="dxa"/>
            <w:noWrap/>
            <w:tcMar>
              <w:left w:w="57" w:type="dxa"/>
              <w:right w:w="57" w:type="dxa"/>
            </w:tcMar>
            <w:vAlign w:val="center"/>
          </w:tcPr>
          <w:p>
            <w:pPr>
              <w:pStyle w:val="20"/>
              <w:spacing w:line="380" w:lineRule="exact"/>
              <w:jc w:val="center"/>
              <w:rPr>
                <w:rFonts w:hint="eastAsia" w:hAnsi="宋体"/>
                <w:color w:val="auto"/>
                <w:szCs w:val="21"/>
                <w:highlight w:val="none"/>
              </w:rPr>
            </w:pPr>
            <w:r>
              <w:rPr>
                <w:rFonts w:hint="eastAsia" w:hAnsi="宋体"/>
                <w:bCs/>
                <w:color w:val="auto"/>
                <w:szCs w:val="21"/>
                <w:highlight w:val="none"/>
              </w:rPr>
              <w:t>服务期限</w:t>
            </w:r>
          </w:p>
        </w:tc>
        <w:tc>
          <w:tcPr>
            <w:tcW w:w="6795" w:type="dxa"/>
            <w:noWrap/>
            <w:tcMar>
              <w:left w:w="57" w:type="dxa"/>
              <w:right w:w="57" w:type="dxa"/>
            </w:tcMar>
            <w:vAlign w:val="center"/>
          </w:tcPr>
          <w:p>
            <w:pPr>
              <w:spacing w:line="380" w:lineRule="exact"/>
              <w:rPr>
                <w:rFonts w:hint="eastAsia" w:ascii="宋体" w:hAnsi="宋体"/>
                <w:bCs/>
                <w:color w:val="auto"/>
                <w:szCs w:val="21"/>
                <w:highlight w:val="none"/>
              </w:rPr>
            </w:pPr>
            <w:r>
              <w:rPr>
                <w:rFonts w:hint="eastAsia" w:ascii="宋体" w:hAnsi="宋体"/>
                <w:color w:val="auto"/>
                <w:szCs w:val="21"/>
                <w:highlight w:val="none"/>
                <w:lang w:eastAsia="zh-CN"/>
              </w:rPr>
              <w:t>服务周期自合同签订一年</w:t>
            </w:r>
            <w:r>
              <w:rPr>
                <w:rFonts w:hint="eastAsia" w:ascii="宋体" w:hAnsi="宋体"/>
                <w:color w:val="auto"/>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35" w:hRule="atLeast"/>
          <w:jc w:val="center"/>
        </w:trPr>
        <w:tc>
          <w:tcPr>
            <w:tcW w:w="1410" w:type="dxa"/>
            <w:noWrap/>
            <w:tcMar>
              <w:left w:w="57" w:type="dxa"/>
              <w:right w:w="57" w:type="dxa"/>
            </w:tcMar>
            <w:vAlign w:val="center"/>
          </w:tcPr>
          <w:p>
            <w:pPr>
              <w:pStyle w:val="20"/>
              <w:spacing w:line="380" w:lineRule="exact"/>
              <w:jc w:val="center"/>
              <w:rPr>
                <w:rFonts w:hint="eastAsia" w:hAnsi="宋体"/>
                <w:color w:val="auto"/>
                <w:szCs w:val="21"/>
                <w:highlight w:val="none"/>
              </w:rPr>
            </w:pPr>
            <w:r>
              <w:rPr>
                <w:rFonts w:hint="eastAsia" w:hAnsi="宋体"/>
                <w:color w:val="auto"/>
                <w:szCs w:val="21"/>
                <w:highlight w:val="none"/>
              </w:rPr>
              <w:t>3.4</w:t>
            </w:r>
          </w:p>
        </w:tc>
        <w:tc>
          <w:tcPr>
            <w:tcW w:w="2062" w:type="dxa"/>
            <w:noWrap/>
            <w:tcMar>
              <w:left w:w="57" w:type="dxa"/>
              <w:right w:w="57" w:type="dxa"/>
            </w:tcMar>
            <w:vAlign w:val="center"/>
          </w:tcPr>
          <w:p>
            <w:pPr>
              <w:pStyle w:val="20"/>
              <w:spacing w:line="380" w:lineRule="exact"/>
              <w:jc w:val="center"/>
              <w:rPr>
                <w:rFonts w:hint="eastAsia" w:hAnsi="宋体"/>
                <w:color w:val="auto"/>
                <w:szCs w:val="21"/>
                <w:highlight w:val="none"/>
              </w:rPr>
            </w:pPr>
            <w:r>
              <w:rPr>
                <w:rFonts w:hint="eastAsia" w:hAnsi="宋体"/>
                <w:color w:val="auto"/>
                <w:szCs w:val="21"/>
                <w:highlight w:val="none"/>
              </w:rPr>
              <w:t>质量要求</w:t>
            </w:r>
          </w:p>
        </w:tc>
        <w:tc>
          <w:tcPr>
            <w:tcW w:w="6795" w:type="dxa"/>
            <w:noWrap/>
            <w:tcMar>
              <w:left w:w="57" w:type="dxa"/>
              <w:right w:w="57" w:type="dxa"/>
            </w:tcMar>
            <w:vAlign w:val="center"/>
          </w:tcPr>
          <w:p>
            <w:pPr>
              <w:spacing w:line="380" w:lineRule="exact"/>
              <w:rPr>
                <w:rFonts w:hint="eastAsia" w:ascii="宋体" w:hAnsi="宋体"/>
                <w:bCs/>
                <w:color w:val="auto"/>
                <w:szCs w:val="21"/>
                <w:highlight w:val="none"/>
              </w:rPr>
            </w:pPr>
            <w:r>
              <w:rPr>
                <w:rFonts w:hint="eastAsia" w:ascii="宋体" w:hAnsi="宋体"/>
                <w:bCs/>
                <w:color w:val="auto"/>
                <w:szCs w:val="21"/>
                <w:highlight w:val="none"/>
                <w:lang w:eastAsia="zh-CN"/>
              </w:rPr>
              <w:t>符合国家和行业现行相关规定，满足采购人要求</w:t>
            </w:r>
            <w:r>
              <w:rPr>
                <w:rFonts w:hint="eastAsia" w:ascii="宋体" w:hAnsi="宋体"/>
                <w:bCs/>
                <w:color w:val="auto"/>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3" w:hRule="atLeast"/>
          <w:jc w:val="center"/>
        </w:trPr>
        <w:tc>
          <w:tcPr>
            <w:tcW w:w="1410" w:type="dxa"/>
            <w:noWrap/>
            <w:tcMar>
              <w:left w:w="57" w:type="dxa"/>
              <w:right w:w="57" w:type="dxa"/>
            </w:tcMar>
            <w:vAlign w:val="center"/>
          </w:tcPr>
          <w:p>
            <w:pPr>
              <w:pStyle w:val="20"/>
              <w:spacing w:line="380" w:lineRule="exact"/>
              <w:jc w:val="center"/>
              <w:rPr>
                <w:rFonts w:hint="eastAsia" w:hAnsi="宋体"/>
                <w:color w:val="auto"/>
                <w:szCs w:val="21"/>
                <w:highlight w:val="none"/>
              </w:rPr>
            </w:pPr>
            <w:r>
              <w:rPr>
                <w:rFonts w:hint="eastAsia" w:hAnsi="宋体"/>
                <w:color w:val="auto"/>
                <w:szCs w:val="21"/>
                <w:highlight w:val="none"/>
              </w:rPr>
              <w:t>4.1</w:t>
            </w:r>
          </w:p>
        </w:tc>
        <w:tc>
          <w:tcPr>
            <w:tcW w:w="2062" w:type="dxa"/>
            <w:noWrap/>
            <w:tcMar>
              <w:left w:w="57" w:type="dxa"/>
              <w:right w:w="57" w:type="dxa"/>
            </w:tcMar>
            <w:vAlign w:val="center"/>
          </w:tcPr>
          <w:p>
            <w:pPr>
              <w:pStyle w:val="20"/>
              <w:spacing w:line="380" w:lineRule="exact"/>
              <w:jc w:val="center"/>
              <w:rPr>
                <w:rFonts w:hint="eastAsia" w:hAnsi="宋体"/>
                <w:color w:val="auto"/>
                <w:szCs w:val="21"/>
                <w:highlight w:val="none"/>
              </w:rPr>
            </w:pPr>
            <w:r>
              <w:rPr>
                <w:rFonts w:hint="eastAsia" w:hAnsi="宋体"/>
                <w:color w:val="auto"/>
                <w:szCs w:val="21"/>
                <w:highlight w:val="none"/>
              </w:rPr>
              <w:t>资格要求</w:t>
            </w:r>
          </w:p>
        </w:tc>
        <w:tc>
          <w:tcPr>
            <w:tcW w:w="6795" w:type="dxa"/>
            <w:noWrap/>
            <w:tcMar>
              <w:left w:w="57" w:type="dxa"/>
              <w:right w:w="57" w:type="dxa"/>
            </w:tcMar>
            <w:vAlign w:val="center"/>
          </w:tcPr>
          <w:p>
            <w:pPr>
              <w:spacing w:line="380" w:lineRule="exact"/>
              <w:rPr>
                <w:rFonts w:hint="eastAsia" w:ascii="宋体" w:hAnsi="宋体" w:cs="宋体"/>
                <w:bCs/>
                <w:color w:val="auto"/>
                <w:szCs w:val="21"/>
                <w:highlight w:val="none"/>
              </w:rPr>
            </w:pPr>
            <w:r>
              <w:rPr>
                <w:rFonts w:hint="eastAsia" w:ascii="宋体" w:hAnsi="宋体" w:cs="宋体"/>
                <w:bCs/>
                <w:color w:val="auto"/>
                <w:szCs w:val="21"/>
                <w:highlight w:val="none"/>
              </w:rPr>
              <w:t>1.满足《中华人民共和国政府采购法》第二十二条规定：</w:t>
            </w:r>
          </w:p>
          <w:p>
            <w:pPr>
              <w:spacing w:line="380" w:lineRule="exact"/>
              <w:rPr>
                <w:rFonts w:hint="eastAsia" w:ascii="宋体" w:hAnsi="宋体" w:cs="宋体"/>
                <w:bCs/>
                <w:color w:val="auto"/>
                <w:szCs w:val="21"/>
                <w:highlight w:val="none"/>
              </w:rPr>
            </w:pPr>
            <w:r>
              <w:rPr>
                <w:rFonts w:hint="eastAsia" w:ascii="宋体" w:hAnsi="宋体" w:cs="宋体"/>
                <w:bCs/>
                <w:color w:val="auto"/>
                <w:szCs w:val="21"/>
                <w:highlight w:val="none"/>
              </w:rPr>
              <w:t>（1）具有独立承担民事责任的能力；</w:t>
            </w:r>
          </w:p>
          <w:p>
            <w:pPr>
              <w:spacing w:line="380" w:lineRule="exact"/>
              <w:rPr>
                <w:rFonts w:hint="eastAsia" w:ascii="宋体" w:hAnsi="宋体" w:cs="宋体"/>
                <w:bCs/>
                <w:color w:val="auto"/>
                <w:szCs w:val="21"/>
                <w:highlight w:val="none"/>
              </w:rPr>
            </w:pPr>
            <w:r>
              <w:rPr>
                <w:rFonts w:hint="eastAsia" w:ascii="宋体" w:hAnsi="宋体" w:cs="宋体"/>
                <w:bCs/>
                <w:color w:val="auto"/>
                <w:szCs w:val="21"/>
                <w:highlight w:val="none"/>
              </w:rPr>
              <w:t>（2）具有良好的商业信誉和健全的财务会计制度（提供2021年度至2023年度任意一年度经审计的财务报告或财务报表，成立不满1年的，提供自成立至今财务报表。刚成立的新公司，提供银行资信证明材料）；</w:t>
            </w:r>
          </w:p>
          <w:p>
            <w:pPr>
              <w:spacing w:line="380" w:lineRule="exact"/>
              <w:rPr>
                <w:rFonts w:hint="eastAsia" w:ascii="宋体" w:hAnsi="宋体" w:cs="宋体"/>
                <w:bCs/>
                <w:color w:val="auto"/>
                <w:szCs w:val="21"/>
                <w:highlight w:val="none"/>
              </w:rPr>
            </w:pPr>
            <w:r>
              <w:rPr>
                <w:rFonts w:hint="eastAsia" w:ascii="宋体" w:hAnsi="宋体" w:cs="宋体"/>
                <w:bCs/>
                <w:color w:val="auto"/>
                <w:szCs w:val="21"/>
                <w:highlight w:val="none"/>
              </w:rPr>
              <w:t>（3）提供具有履行合同所必需的设备和专业技术能力的相关证明材料；</w:t>
            </w:r>
          </w:p>
          <w:p>
            <w:pPr>
              <w:spacing w:line="380" w:lineRule="exact"/>
              <w:rPr>
                <w:rFonts w:hint="eastAsia" w:ascii="宋体" w:hAnsi="宋体" w:cs="宋体"/>
                <w:bCs/>
                <w:color w:val="auto"/>
                <w:szCs w:val="21"/>
                <w:highlight w:val="none"/>
              </w:rPr>
            </w:pPr>
            <w:r>
              <w:rPr>
                <w:rFonts w:hint="eastAsia" w:ascii="宋体" w:hAnsi="宋体" w:cs="宋体"/>
                <w:bCs/>
                <w:color w:val="auto"/>
                <w:szCs w:val="21"/>
                <w:highlight w:val="none"/>
              </w:rPr>
              <w:t>（4）具有依法缴纳税收的良好记录（投标人</w:t>
            </w:r>
            <w:r>
              <w:rPr>
                <w:rFonts w:hint="eastAsia" w:ascii="宋体" w:hAnsi="宋体" w:cs="宋体"/>
                <w:bCs/>
                <w:color w:val="auto"/>
                <w:szCs w:val="21"/>
                <w:highlight w:val="none"/>
                <w:lang w:eastAsia="zh-CN"/>
              </w:rPr>
              <w:t>2024年1月至今</w:t>
            </w:r>
            <w:r>
              <w:rPr>
                <w:rFonts w:hint="eastAsia" w:ascii="宋体" w:hAnsi="宋体" w:cs="宋体"/>
                <w:bCs/>
                <w:color w:val="auto"/>
                <w:szCs w:val="21"/>
                <w:highlight w:val="none"/>
              </w:rPr>
              <w:t>期间（税款所属时期）任意3个月的税务局税收通用缴款书复印件或银行电子缴税（费）凭证复印件或税务局出具纳税情况的相关证明复印件。成立未满3个月的提供成立以来的税收缴纳凭证或相关情况说明；依法免税的投标人，应提供相应文件证明其依法免税）；</w:t>
            </w:r>
          </w:p>
          <w:p>
            <w:pPr>
              <w:spacing w:line="380" w:lineRule="exact"/>
              <w:rPr>
                <w:rFonts w:hint="eastAsia" w:ascii="宋体" w:hAnsi="宋体" w:cs="宋体"/>
                <w:bCs/>
                <w:color w:val="auto"/>
                <w:szCs w:val="21"/>
                <w:highlight w:val="none"/>
              </w:rPr>
            </w:pPr>
            <w:r>
              <w:rPr>
                <w:rFonts w:hint="eastAsia" w:ascii="宋体" w:hAnsi="宋体" w:cs="宋体"/>
                <w:bCs/>
                <w:color w:val="auto"/>
                <w:szCs w:val="21"/>
                <w:highlight w:val="none"/>
              </w:rPr>
              <w:t>（5）具有依法缴纳社会保障资金的良好记录（投标人</w:t>
            </w:r>
            <w:r>
              <w:rPr>
                <w:rFonts w:hint="eastAsia" w:ascii="宋体" w:hAnsi="宋体" w:cs="宋体"/>
                <w:bCs/>
                <w:color w:val="auto"/>
                <w:szCs w:val="21"/>
                <w:highlight w:val="none"/>
                <w:lang w:eastAsia="zh-CN"/>
              </w:rPr>
              <w:t>2024年1月至今</w:t>
            </w:r>
            <w:r>
              <w:rPr>
                <w:rFonts w:hint="eastAsia" w:ascii="宋体" w:hAnsi="宋体" w:cs="宋体"/>
                <w:bCs/>
                <w:color w:val="auto"/>
                <w:szCs w:val="21"/>
                <w:highlight w:val="none"/>
              </w:rPr>
              <w:t>期间（费款所属时期）任意3个月的社会保险费缴款书复印件或银行电子缴税（费）凭证复印件或社保管理部门出具的有效的缴款证明复印件。成立未满3个月的提供成立以来的社会保障资金缴纳凭证或相关情况说明；依法不需要缴纳社会保障资金的投标人，应提供相应文件证明其依法不需要缴纳社会保障资金）；</w:t>
            </w:r>
          </w:p>
          <w:p>
            <w:pPr>
              <w:spacing w:line="380" w:lineRule="exact"/>
              <w:rPr>
                <w:rFonts w:hint="eastAsia" w:ascii="宋体" w:hAnsi="宋体" w:cs="宋体"/>
                <w:bCs/>
                <w:color w:val="auto"/>
                <w:szCs w:val="21"/>
                <w:highlight w:val="none"/>
              </w:rPr>
            </w:pPr>
            <w:r>
              <w:rPr>
                <w:rFonts w:hint="eastAsia" w:ascii="宋体" w:hAnsi="宋体" w:cs="宋体"/>
                <w:bCs/>
                <w:color w:val="auto"/>
                <w:szCs w:val="21"/>
                <w:highlight w:val="none"/>
              </w:rPr>
              <w:t>（6）参加本次采购活动前三年内，在经营活动中没有重大违法违规记录（提供声明函或其他证明材料）；</w:t>
            </w:r>
          </w:p>
          <w:p>
            <w:pPr>
              <w:spacing w:line="380" w:lineRule="exact"/>
              <w:rPr>
                <w:rFonts w:hint="eastAsia" w:ascii="宋体" w:hAnsi="宋体" w:cs="宋体"/>
                <w:bCs/>
                <w:color w:val="auto"/>
                <w:szCs w:val="21"/>
                <w:highlight w:val="none"/>
              </w:rPr>
            </w:pPr>
            <w:r>
              <w:rPr>
                <w:rFonts w:hint="eastAsia" w:ascii="宋体" w:hAnsi="宋体" w:cs="宋体"/>
                <w:bCs/>
                <w:color w:val="auto"/>
                <w:szCs w:val="21"/>
                <w:highlight w:val="none"/>
              </w:rPr>
              <w:t>（7）具备法律、行政法规规定的其他条件的证明材料。</w:t>
            </w:r>
          </w:p>
          <w:p>
            <w:pPr>
              <w:spacing w:line="380" w:lineRule="exact"/>
              <w:rPr>
                <w:rFonts w:hint="eastAsia" w:ascii="宋体" w:hAnsi="宋体" w:cs="宋体"/>
                <w:bCs/>
                <w:color w:val="auto"/>
                <w:szCs w:val="21"/>
                <w:highlight w:val="none"/>
              </w:rPr>
            </w:pPr>
            <w:r>
              <w:rPr>
                <w:rFonts w:ascii="宋体" w:hAnsi="宋体" w:cs="宋体"/>
                <w:bCs/>
                <w:color w:val="auto"/>
                <w:szCs w:val="21"/>
                <w:highlight w:val="none"/>
              </w:rPr>
              <w:t>2</w:t>
            </w:r>
            <w:r>
              <w:rPr>
                <w:rFonts w:hint="eastAsia" w:ascii="宋体" w:hAnsi="宋体" w:cs="宋体"/>
                <w:bCs/>
                <w:color w:val="auto"/>
                <w:szCs w:val="21"/>
                <w:highlight w:val="none"/>
              </w:rPr>
              <w:t>.落实政府采购政策需满足的资格要求：</w:t>
            </w:r>
            <w:r>
              <w:rPr>
                <w:rFonts w:hint="eastAsia" w:ascii="宋体" w:hAnsi="宋体" w:cs="宋体"/>
                <w:color w:val="auto"/>
                <w:szCs w:val="21"/>
                <w:highlight w:val="none"/>
              </w:rPr>
              <w:t>本项目</w:t>
            </w:r>
            <w:r>
              <w:rPr>
                <w:rFonts w:hint="eastAsia" w:ascii="宋体" w:hAnsi="宋体" w:cs="宋体"/>
                <w:color w:val="auto"/>
                <w:szCs w:val="21"/>
                <w:highlight w:val="none"/>
                <w:lang w:eastAsia="zh-CN"/>
              </w:rPr>
              <w:t>属于专门面向</w:t>
            </w:r>
            <w:r>
              <w:rPr>
                <w:rFonts w:hint="eastAsia" w:ascii="宋体" w:hAnsi="宋体" w:cs="宋体"/>
                <w:color w:val="auto"/>
                <w:szCs w:val="21"/>
                <w:highlight w:val="none"/>
              </w:rPr>
              <w:t>中小企业采购的项目</w:t>
            </w:r>
          </w:p>
          <w:p>
            <w:pPr>
              <w:spacing w:line="380" w:lineRule="exact"/>
              <w:rPr>
                <w:rFonts w:hint="eastAsia" w:ascii="宋体" w:hAnsi="宋体" w:cs="宋体"/>
                <w:bCs/>
                <w:color w:val="auto"/>
                <w:szCs w:val="21"/>
                <w:highlight w:val="none"/>
              </w:rPr>
            </w:pPr>
            <w:r>
              <w:rPr>
                <w:rFonts w:hint="eastAsia" w:ascii="宋体" w:hAnsi="宋体" w:cs="宋体"/>
                <w:bCs/>
                <w:color w:val="auto"/>
                <w:szCs w:val="21"/>
                <w:highlight w:val="none"/>
              </w:rPr>
              <w:t>3.本项目的特定资格要求：</w:t>
            </w:r>
          </w:p>
          <w:p>
            <w:pPr>
              <w:spacing w:line="380" w:lineRule="exact"/>
              <w:rPr>
                <w:rFonts w:hint="eastAsia" w:ascii="宋体" w:hAnsi="宋体" w:cs="宋体"/>
                <w:bCs/>
                <w:color w:val="auto"/>
                <w:szCs w:val="21"/>
                <w:highlight w:val="none"/>
              </w:rPr>
            </w:pPr>
            <w:r>
              <w:rPr>
                <w:rFonts w:hint="eastAsia" w:ascii="宋体" w:hAnsi="宋体" w:cs="宋体"/>
                <w:bCs/>
                <w:color w:val="auto"/>
                <w:szCs w:val="21"/>
                <w:highlight w:val="none"/>
              </w:rPr>
              <w:t>3.1需为经国家市场监督管理部门登记注册的企业（事业）法人或其它组织，具有有效的营业执照；</w:t>
            </w:r>
          </w:p>
          <w:p>
            <w:pPr>
              <w:spacing w:line="380" w:lineRule="exact"/>
              <w:rPr>
                <w:rFonts w:hint="eastAsia" w:ascii="宋体" w:hAnsi="宋体" w:cs="宋体"/>
                <w:bCs/>
                <w:color w:val="auto"/>
                <w:szCs w:val="21"/>
                <w:highlight w:val="none"/>
                <w:lang w:val="en-US" w:eastAsia="zh-CN"/>
              </w:rPr>
            </w:pPr>
            <w:r>
              <w:rPr>
                <w:rFonts w:hint="eastAsia" w:ascii="宋体" w:hAnsi="宋体" w:cs="宋体"/>
                <w:bCs/>
                <w:color w:val="auto"/>
                <w:szCs w:val="21"/>
                <w:highlight w:val="none"/>
              </w:rPr>
              <w:t>3.2投标人须具备</w:t>
            </w:r>
            <w:r>
              <w:rPr>
                <w:rFonts w:hint="eastAsia" w:ascii="宋体" w:hAnsi="宋体" w:cs="宋体"/>
                <w:bCs/>
                <w:color w:val="auto"/>
                <w:szCs w:val="21"/>
                <w:highlight w:val="none"/>
                <w:lang w:eastAsia="zh-CN"/>
              </w:rPr>
              <w:t>：</w:t>
            </w:r>
            <w:r>
              <w:rPr>
                <w:rFonts w:hint="eastAsia" w:ascii="宋体" w:hAnsi="宋体" w:cs="宋体"/>
                <w:bCs/>
                <w:color w:val="auto"/>
                <w:szCs w:val="21"/>
                <w:highlight w:val="none"/>
              </w:rPr>
              <w:t>检验检测机构资质认定证书（以下简称“CMA证书”）或中国合格评定国家认可委员会实验室认可证书（以下简称“CNAS证书”）（提供“CMA证书”或“CNAS证书”；</w:t>
            </w:r>
          </w:p>
          <w:p>
            <w:pPr>
              <w:spacing w:line="380" w:lineRule="exact"/>
              <w:rPr>
                <w:rFonts w:hint="eastAsia" w:ascii="宋体" w:hAnsi="宋体" w:cs="宋体"/>
                <w:bCs/>
                <w:color w:val="auto"/>
                <w:szCs w:val="21"/>
                <w:highlight w:val="none"/>
              </w:rPr>
            </w:pPr>
            <w:r>
              <w:rPr>
                <w:rFonts w:hint="eastAsia" w:ascii="宋体" w:hAnsi="宋体" w:cs="宋体"/>
                <w:bCs/>
                <w:color w:val="auto"/>
                <w:szCs w:val="21"/>
                <w:highlight w:val="none"/>
              </w:rPr>
              <w:t>3.3项目负责人</w:t>
            </w:r>
            <w:r>
              <w:rPr>
                <w:rFonts w:hint="eastAsia" w:ascii="宋体" w:hAnsi="宋体" w:cs="宋体"/>
                <w:bCs/>
                <w:color w:val="auto"/>
                <w:szCs w:val="21"/>
                <w:highlight w:val="none"/>
                <w:lang w:eastAsia="zh-CN"/>
              </w:rPr>
              <w:t>拟担任本项目的项目负责人须具有环境类专业中级及以上技术职称，且为本单位在职人员，提供劳动合同及社保证明材料</w:t>
            </w:r>
            <w:r>
              <w:rPr>
                <w:rFonts w:hint="eastAsia" w:ascii="宋体" w:hAnsi="宋体" w:cs="宋体"/>
                <w:bCs/>
                <w:color w:val="auto"/>
                <w:szCs w:val="21"/>
                <w:highlight w:val="none"/>
              </w:rPr>
              <w:t>；</w:t>
            </w:r>
          </w:p>
          <w:p>
            <w:pPr>
              <w:spacing w:line="380" w:lineRule="exact"/>
              <w:rPr>
                <w:rFonts w:hint="eastAsia" w:ascii="宋体" w:hAnsi="宋体" w:cs="宋体"/>
                <w:bCs/>
                <w:color w:val="auto"/>
                <w:szCs w:val="21"/>
                <w:highlight w:val="none"/>
              </w:rPr>
            </w:pPr>
            <w:r>
              <w:rPr>
                <w:rFonts w:hint="eastAsia" w:ascii="宋体" w:hAnsi="宋体" w:cs="宋体"/>
                <w:bCs/>
                <w:color w:val="auto"/>
                <w:szCs w:val="21"/>
                <w:highlight w:val="none"/>
              </w:rPr>
              <w:t>3.4投标人未被列入“信用中国”网站（https://www.creditchina.gov.cn）失信被执行人、重大税收违法案件当事人名单和政府采购严重违法失信名单，未被列入中国政府采购网（http://www.ccgp.gov.cn）政府采购严重违法失信行为记录名单（处罚期限尚未届满的）；</w:t>
            </w:r>
          </w:p>
          <w:p>
            <w:pPr>
              <w:spacing w:line="380" w:lineRule="exact"/>
              <w:rPr>
                <w:rFonts w:hint="eastAsia" w:ascii="宋体" w:hAnsi="宋体" w:cs="宋体"/>
                <w:bCs/>
                <w:color w:val="auto"/>
                <w:szCs w:val="21"/>
                <w:highlight w:val="none"/>
              </w:rPr>
            </w:pPr>
            <w:r>
              <w:rPr>
                <w:rFonts w:hint="eastAsia" w:ascii="宋体" w:hAnsi="宋体" w:cs="宋体"/>
                <w:bCs/>
                <w:color w:val="auto"/>
                <w:szCs w:val="21"/>
                <w:highlight w:val="none"/>
              </w:rPr>
              <w:t>3.5投标人须提供“参加本项目投标活动前3年内在经营活动中没有重大违法记录的书面声明”（重大违法记录是指：因违法经营受到刑事处罚或者责令停产停业、吊销许可证或者执照、较大数额罚款等行政处罚）；</w:t>
            </w:r>
          </w:p>
          <w:p>
            <w:pPr>
              <w:spacing w:line="380" w:lineRule="exact"/>
              <w:rPr>
                <w:rFonts w:hint="eastAsia" w:ascii="宋体" w:hAnsi="宋体" w:cs="宋体"/>
                <w:bCs/>
                <w:color w:val="auto"/>
                <w:szCs w:val="21"/>
                <w:highlight w:val="none"/>
              </w:rPr>
            </w:pPr>
            <w:r>
              <w:rPr>
                <w:rFonts w:hint="eastAsia" w:ascii="宋体" w:hAnsi="宋体" w:cs="宋体"/>
                <w:bCs/>
                <w:color w:val="auto"/>
                <w:szCs w:val="21"/>
                <w:highlight w:val="none"/>
              </w:rPr>
              <w:t>3.6单位负责人为同一人或者存在直接控股、管理关系的不同投标人，不得参加同一招标项目包的政府采购活动。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32" w:hRule="atLeast"/>
          <w:jc w:val="center"/>
        </w:trPr>
        <w:tc>
          <w:tcPr>
            <w:tcW w:w="1410" w:type="dxa"/>
            <w:noWrap/>
            <w:tcMar>
              <w:left w:w="57" w:type="dxa"/>
              <w:right w:w="57" w:type="dxa"/>
            </w:tcMar>
            <w:vAlign w:val="center"/>
          </w:tcPr>
          <w:p>
            <w:pPr>
              <w:pStyle w:val="20"/>
              <w:spacing w:line="380" w:lineRule="exact"/>
              <w:jc w:val="center"/>
              <w:rPr>
                <w:rFonts w:hint="eastAsia" w:hAnsi="宋体"/>
                <w:color w:val="auto"/>
                <w:szCs w:val="21"/>
                <w:highlight w:val="none"/>
              </w:rPr>
            </w:pPr>
            <w:r>
              <w:rPr>
                <w:rFonts w:hint="eastAsia" w:hAnsi="宋体"/>
                <w:color w:val="auto"/>
                <w:szCs w:val="21"/>
                <w:highlight w:val="none"/>
              </w:rPr>
              <w:t>4.2</w:t>
            </w:r>
          </w:p>
        </w:tc>
        <w:tc>
          <w:tcPr>
            <w:tcW w:w="2062" w:type="dxa"/>
            <w:noWrap/>
            <w:tcMar>
              <w:left w:w="57" w:type="dxa"/>
              <w:right w:w="57" w:type="dxa"/>
            </w:tcMar>
            <w:vAlign w:val="center"/>
          </w:tcPr>
          <w:p>
            <w:pPr>
              <w:pStyle w:val="20"/>
              <w:spacing w:line="380" w:lineRule="exact"/>
              <w:jc w:val="center"/>
              <w:rPr>
                <w:rFonts w:hint="eastAsia" w:hAnsi="宋体"/>
                <w:color w:val="auto"/>
                <w:szCs w:val="21"/>
                <w:highlight w:val="none"/>
              </w:rPr>
            </w:pPr>
            <w:r>
              <w:rPr>
                <w:rFonts w:hint="eastAsia" w:hAnsi="宋体"/>
                <w:color w:val="auto"/>
                <w:szCs w:val="21"/>
                <w:highlight w:val="none"/>
              </w:rPr>
              <w:t>是否接受联合体投标</w:t>
            </w:r>
          </w:p>
        </w:tc>
        <w:tc>
          <w:tcPr>
            <w:tcW w:w="6795" w:type="dxa"/>
            <w:noWrap/>
            <w:tcMar>
              <w:left w:w="57" w:type="dxa"/>
              <w:right w:w="57" w:type="dxa"/>
            </w:tcMar>
            <w:vAlign w:val="center"/>
          </w:tcPr>
          <w:p>
            <w:pPr>
              <w:pStyle w:val="20"/>
              <w:spacing w:line="380" w:lineRule="exact"/>
              <w:rPr>
                <w:rFonts w:hint="eastAsia" w:hAnsi="宋体" w:cs="宋体"/>
                <w:color w:val="auto"/>
                <w:szCs w:val="21"/>
                <w:highlight w:val="none"/>
              </w:rPr>
            </w:pPr>
            <w:r>
              <w:rPr>
                <w:rFonts w:hint="eastAsia" w:hAnsi="宋体" w:cs="宋体"/>
                <w:color w:val="auto"/>
                <w:szCs w:val="21"/>
                <w:highlight w:val="none"/>
              </w:rPr>
              <w:t>本项目</w:t>
            </w:r>
            <w:r>
              <w:rPr>
                <w:rFonts w:hint="eastAsia" w:hAnsi="宋体" w:cs="宋体"/>
                <w:color w:val="auto"/>
                <w:szCs w:val="21"/>
                <w:highlight w:val="none"/>
                <w:lang w:val="en-US" w:eastAsia="zh-CN"/>
              </w:rPr>
              <w:t>不</w:t>
            </w:r>
            <w:r>
              <w:rPr>
                <w:rFonts w:hint="eastAsia" w:hAnsi="宋体" w:cs="宋体"/>
                <w:color w:val="auto"/>
                <w:szCs w:val="21"/>
                <w:highlight w:val="none"/>
              </w:rPr>
              <w:t>接受联合体投标。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39" w:hRule="atLeast"/>
          <w:jc w:val="center"/>
        </w:trPr>
        <w:tc>
          <w:tcPr>
            <w:tcW w:w="1410" w:type="dxa"/>
            <w:noWrap/>
            <w:tcMar>
              <w:left w:w="57" w:type="dxa"/>
              <w:right w:w="57" w:type="dxa"/>
            </w:tcMar>
            <w:vAlign w:val="center"/>
          </w:tcPr>
          <w:p>
            <w:pPr>
              <w:pStyle w:val="20"/>
              <w:spacing w:line="380" w:lineRule="exact"/>
              <w:jc w:val="center"/>
              <w:rPr>
                <w:rFonts w:hint="eastAsia" w:hAnsi="宋体"/>
                <w:color w:val="auto"/>
                <w:szCs w:val="21"/>
                <w:highlight w:val="none"/>
              </w:rPr>
            </w:pPr>
            <w:r>
              <w:rPr>
                <w:rFonts w:hint="eastAsia" w:hAnsi="宋体"/>
                <w:color w:val="auto"/>
                <w:szCs w:val="21"/>
                <w:highlight w:val="none"/>
              </w:rPr>
              <w:t>5.1</w:t>
            </w:r>
          </w:p>
        </w:tc>
        <w:tc>
          <w:tcPr>
            <w:tcW w:w="2062" w:type="dxa"/>
            <w:noWrap/>
            <w:tcMar>
              <w:left w:w="57" w:type="dxa"/>
              <w:right w:w="57" w:type="dxa"/>
            </w:tcMar>
            <w:vAlign w:val="center"/>
          </w:tcPr>
          <w:p>
            <w:pPr>
              <w:pStyle w:val="20"/>
              <w:spacing w:line="380" w:lineRule="exact"/>
              <w:jc w:val="center"/>
              <w:rPr>
                <w:rFonts w:hint="eastAsia" w:hAnsi="宋体"/>
                <w:color w:val="auto"/>
                <w:szCs w:val="21"/>
                <w:highlight w:val="none"/>
              </w:rPr>
            </w:pPr>
            <w:r>
              <w:rPr>
                <w:rFonts w:hint="eastAsia" w:hAnsi="宋体"/>
                <w:color w:val="auto"/>
                <w:szCs w:val="21"/>
                <w:highlight w:val="none"/>
              </w:rPr>
              <w:t>资格审查方式</w:t>
            </w:r>
          </w:p>
        </w:tc>
        <w:tc>
          <w:tcPr>
            <w:tcW w:w="6795" w:type="dxa"/>
            <w:noWrap/>
            <w:tcMar>
              <w:left w:w="57" w:type="dxa"/>
              <w:right w:w="57" w:type="dxa"/>
            </w:tcMar>
            <w:vAlign w:val="center"/>
          </w:tcPr>
          <w:p>
            <w:pPr>
              <w:pStyle w:val="20"/>
              <w:spacing w:line="380" w:lineRule="exact"/>
              <w:rPr>
                <w:rFonts w:hint="eastAsia" w:hAnsi="宋体"/>
                <w:color w:val="auto"/>
                <w:szCs w:val="21"/>
                <w:highlight w:val="none"/>
              </w:rPr>
            </w:pPr>
            <w:r>
              <w:rPr>
                <w:rFonts w:hint="eastAsia" w:hAnsi="宋体"/>
                <w:color w:val="auto"/>
                <w:szCs w:val="21"/>
                <w:highlight w:val="none"/>
              </w:rPr>
              <w:t>资格后审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35" w:hRule="atLeast"/>
          <w:jc w:val="center"/>
        </w:trPr>
        <w:tc>
          <w:tcPr>
            <w:tcW w:w="1410" w:type="dxa"/>
            <w:noWrap/>
            <w:tcMar>
              <w:left w:w="57" w:type="dxa"/>
              <w:right w:w="57" w:type="dxa"/>
            </w:tcMar>
            <w:vAlign w:val="center"/>
          </w:tcPr>
          <w:p>
            <w:pPr>
              <w:pStyle w:val="20"/>
              <w:spacing w:line="380" w:lineRule="exact"/>
              <w:jc w:val="center"/>
              <w:rPr>
                <w:rFonts w:hint="eastAsia" w:hAnsi="宋体"/>
                <w:color w:val="auto"/>
                <w:szCs w:val="21"/>
                <w:highlight w:val="none"/>
              </w:rPr>
            </w:pPr>
            <w:r>
              <w:rPr>
                <w:rFonts w:hint="eastAsia" w:hAnsi="宋体"/>
                <w:color w:val="auto"/>
                <w:szCs w:val="21"/>
                <w:highlight w:val="none"/>
              </w:rPr>
              <w:t>6.1</w:t>
            </w:r>
          </w:p>
        </w:tc>
        <w:tc>
          <w:tcPr>
            <w:tcW w:w="2062" w:type="dxa"/>
            <w:noWrap/>
            <w:tcMar>
              <w:left w:w="57" w:type="dxa"/>
              <w:right w:w="57" w:type="dxa"/>
            </w:tcMar>
            <w:vAlign w:val="center"/>
          </w:tcPr>
          <w:p>
            <w:pPr>
              <w:pStyle w:val="20"/>
              <w:spacing w:line="380" w:lineRule="exact"/>
              <w:jc w:val="center"/>
              <w:rPr>
                <w:rFonts w:hint="eastAsia" w:hAnsi="宋体"/>
                <w:color w:val="auto"/>
                <w:szCs w:val="21"/>
                <w:highlight w:val="none"/>
              </w:rPr>
            </w:pPr>
            <w:r>
              <w:rPr>
                <w:rFonts w:hint="eastAsia" w:hAnsi="宋体" w:cs="宋体"/>
                <w:bCs/>
                <w:color w:val="auto"/>
                <w:szCs w:val="21"/>
                <w:highlight w:val="none"/>
              </w:rPr>
              <w:t>现场考察</w:t>
            </w:r>
          </w:p>
        </w:tc>
        <w:tc>
          <w:tcPr>
            <w:tcW w:w="6795" w:type="dxa"/>
            <w:noWrap/>
            <w:tcMar>
              <w:left w:w="57" w:type="dxa"/>
              <w:right w:w="57" w:type="dxa"/>
            </w:tcMar>
            <w:vAlign w:val="center"/>
          </w:tcPr>
          <w:p>
            <w:pPr>
              <w:spacing w:line="380" w:lineRule="exact"/>
              <w:rPr>
                <w:rFonts w:hint="eastAsia" w:ascii="宋体" w:hAnsi="宋体" w:cs="宋体"/>
                <w:color w:val="auto"/>
                <w:szCs w:val="21"/>
                <w:highlight w:val="none"/>
              </w:rPr>
            </w:pPr>
            <w:r>
              <w:rPr>
                <w:rFonts w:ascii="宋体" w:hAnsi="宋体"/>
                <w:color w:val="auto"/>
                <w:szCs w:val="21"/>
                <w:highlight w:val="none"/>
              </w:rPr>
              <w:fldChar w:fldCharType="begin"/>
            </w:r>
            <w:r>
              <w:rPr>
                <w:rFonts w:hint="eastAsia" w:ascii="宋体" w:hAnsi="宋体"/>
                <w:color w:val="auto"/>
                <w:szCs w:val="21"/>
                <w:highlight w:val="none"/>
              </w:rPr>
              <w:instrText xml:space="preserve"> EQ \o(□,√)</w:instrText>
            </w:r>
            <w:r>
              <w:rPr>
                <w:rFonts w:ascii="宋体" w:hAnsi="宋体"/>
                <w:color w:val="auto"/>
                <w:szCs w:val="21"/>
                <w:highlight w:val="none"/>
              </w:rPr>
              <w:fldChar w:fldCharType="end"/>
            </w:r>
            <w:r>
              <w:rPr>
                <w:rFonts w:hint="eastAsia" w:ascii="宋体" w:hAnsi="宋体" w:cs="宋体"/>
                <w:color w:val="auto"/>
                <w:szCs w:val="21"/>
                <w:highlight w:val="none"/>
              </w:rPr>
              <w:t>不组织</w:t>
            </w:r>
          </w:p>
          <w:p>
            <w:pPr>
              <w:pStyle w:val="20"/>
              <w:spacing w:line="380" w:lineRule="exact"/>
              <w:rPr>
                <w:rFonts w:hint="eastAsia" w:hAnsi="宋体"/>
                <w:color w:val="auto"/>
                <w:szCs w:val="21"/>
                <w:highlight w:val="none"/>
              </w:rPr>
            </w:pPr>
            <w:r>
              <w:rPr>
                <w:rFonts w:hint="eastAsia" w:hAnsi="宋体"/>
                <w:color w:val="auto"/>
                <w:szCs w:val="21"/>
                <w:highlight w:val="none"/>
              </w:rPr>
              <w:t>□</w:t>
            </w:r>
            <w:r>
              <w:rPr>
                <w:rFonts w:hint="eastAsia" w:hAnsi="宋体" w:cs="宋体"/>
                <w:color w:val="auto"/>
                <w:szCs w:val="21"/>
                <w:highlight w:val="none"/>
              </w:rPr>
              <w:t>组织，踏勘时间：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72" w:hRule="atLeast"/>
          <w:jc w:val="center"/>
        </w:trPr>
        <w:tc>
          <w:tcPr>
            <w:tcW w:w="1410" w:type="dxa"/>
            <w:noWrap/>
            <w:tcMar>
              <w:left w:w="57" w:type="dxa"/>
              <w:right w:w="57" w:type="dxa"/>
            </w:tcMar>
            <w:vAlign w:val="center"/>
          </w:tcPr>
          <w:p>
            <w:pPr>
              <w:pStyle w:val="20"/>
              <w:spacing w:line="380" w:lineRule="exact"/>
              <w:jc w:val="center"/>
              <w:rPr>
                <w:rFonts w:hint="eastAsia" w:hAnsi="宋体"/>
                <w:color w:val="auto"/>
                <w:szCs w:val="21"/>
                <w:highlight w:val="none"/>
              </w:rPr>
            </w:pPr>
            <w:r>
              <w:rPr>
                <w:rFonts w:hint="eastAsia" w:hAnsi="宋体"/>
                <w:color w:val="auto"/>
                <w:szCs w:val="21"/>
                <w:highlight w:val="none"/>
              </w:rPr>
              <w:t>7.1</w:t>
            </w:r>
          </w:p>
        </w:tc>
        <w:tc>
          <w:tcPr>
            <w:tcW w:w="2062" w:type="dxa"/>
            <w:noWrap/>
            <w:tcMar>
              <w:left w:w="57" w:type="dxa"/>
              <w:right w:w="57" w:type="dxa"/>
            </w:tcMar>
            <w:vAlign w:val="center"/>
          </w:tcPr>
          <w:p>
            <w:pPr>
              <w:pStyle w:val="20"/>
              <w:spacing w:line="380" w:lineRule="exact"/>
              <w:jc w:val="center"/>
              <w:rPr>
                <w:rFonts w:hint="eastAsia" w:hAnsi="宋体"/>
                <w:color w:val="auto"/>
                <w:szCs w:val="21"/>
                <w:highlight w:val="none"/>
              </w:rPr>
            </w:pPr>
            <w:r>
              <w:rPr>
                <w:rFonts w:hint="eastAsia" w:hAnsi="宋体" w:cs="宋体"/>
                <w:bCs/>
                <w:color w:val="auto"/>
                <w:szCs w:val="21"/>
                <w:highlight w:val="none"/>
              </w:rPr>
              <w:t>标前答疑会</w:t>
            </w:r>
          </w:p>
        </w:tc>
        <w:tc>
          <w:tcPr>
            <w:tcW w:w="6795" w:type="dxa"/>
            <w:noWrap/>
            <w:tcMar>
              <w:left w:w="57" w:type="dxa"/>
              <w:right w:w="57" w:type="dxa"/>
            </w:tcMar>
            <w:vAlign w:val="center"/>
          </w:tcPr>
          <w:p>
            <w:pPr>
              <w:spacing w:line="380" w:lineRule="exact"/>
              <w:rPr>
                <w:rFonts w:hint="eastAsia" w:ascii="宋体" w:hAnsi="宋体" w:cs="宋体"/>
                <w:color w:val="auto"/>
                <w:szCs w:val="21"/>
                <w:highlight w:val="none"/>
              </w:rPr>
            </w:pPr>
            <w:r>
              <w:rPr>
                <w:rFonts w:ascii="宋体" w:hAnsi="宋体" w:cs="宋体"/>
                <w:color w:val="auto"/>
                <w:szCs w:val="21"/>
                <w:highlight w:val="none"/>
              </w:rPr>
              <w:fldChar w:fldCharType="begin"/>
            </w:r>
            <w:r>
              <w:rPr>
                <w:rFonts w:hint="eastAsia" w:ascii="宋体" w:hAnsi="宋体" w:cs="宋体"/>
                <w:color w:val="auto"/>
                <w:szCs w:val="21"/>
                <w:highlight w:val="none"/>
              </w:rPr>
              <w:instrText xml:space="preserve"> EQ \o(□,√)</w:instrText>
            </w:r>
            <w:r>
              <w:rPr>
                <w:rFonts w:ascii="宋体" w:hAnsi="宋体" w:cs="宋体"/>
                <w:color w:val="auto"/>
                <w:szCs w:val="21"/>
                <w:highlight w:val="none"/>
              </w:rPr>
              <w:fldChar w:fldCharType="end"/>
            </w:r>
            <w:r>
              <w:rPr>
                <w:rFonts w:hint="eastAsia" w:ascii="宋体" w:hAnsi="宋体" w:cs="宋体"/>
                <w:color w:val="auto"/>
                <w:szCs w:val="21"/>
                <w:highlight w:val="none"/>
              </w:rPr>
              <w:t>不召开</w:t>
            </w:r>
          </w:p>
          <w:p>
            <w:pPr>
              <w:pStyle w:val="20"/>
              <w:spacing w:line="380" w:lineRule="exact"/>
              <w:rPr>
                <w:rFonts w:hint="eastAsia" w:hAnsi="宋体"/>
                <w:color w:val="auto"/>
                <w:szCs w:val="21"/>
                <w:highlight w:val="none"/>
              </w:rPr>
            </w:pPr>
            <w:r>
              <w:rPr>
                <w:rFonts w:hint="eastAsia" w:hAnsi="宋体"/>
                <w:color w:val="auto"/>
                <w:szCs w:val="21"/>
                <w:highlight w:val="none"/>
              </w:rPr>
              <w:t>□</w:t>
            </w:r>
            <w:r>
              <w:rPr>
                <w:rFonts w:hint="eastAsia" w:hAnsi="宋体" w:cs="宋体"/>
                <w:color w:val="auto"/>
                <w:szCs w:val="21"/>
                <w:highlight w:val="none"/>
              </w:rPr>
              <w:t>召开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42" w:hRule="atLeast"/>
          <w:jc w:val="center"/>
        </w:trPr>
        <w:tc>
          <w:tcPr>
            <w:tcW w:w="1410" w:type="dxa"/>
            <w:noWrap/>
            <w:tcMar>
              <w:left w:w="57" w:type="dxa"/>
              <w:right w:w="57" w:type="dxa"/>
            </w:tcMar>
            <w:vAlign w:val="center"/>
          </w:tcPr>
          <w:p>
            <w:pPr>
              <w:pStyle w:val="20"/>
              <w:spacing w:line="380" w:lineRule="exact"/>
              <w:jc w:val="center"/>
              <w:rPr>
                <w:rFonts w:hint="eastAsia" w:hAnsi="宋体"/>
                <w:color w:val="auto"/>
                <w:szCs w:val="21"/>
                <w:highlight w:val="none"/>
              </w:rPr>
            </w:pPr>
            <w:r>
              <w:rPr>
                <w:rFonts w:hint="eastAsia" w:hAnsi="宋体"/>
                <w:color w:val="auto"/>
                <w:szCs w:val="21"/>
                <w:highlight w:val="none"/>
              </w:rPr>
              <w:t>8.1</w:t>
            </w:r>
          </w:p>
        </w:tc>
        <w:tc>
          <w:tcPr>
            <w:tcW w:w="2062" w:type="dxa"/>
            <w:noWrap/>
            <w:tcMar>
              <w:left w:w="57" w:type="dxa"/>
              <w:right w:w="57" w:type="dxa"/>
            </w:tcMar>
            <w:vAlign w:val="center"/>
          </w:tcPr>
          <w:p>
            <w:pPr>
              <w:pStyle w:val="20"/>
              <w:spacing w:line="380" w:lineRule="exact"/>
              <w:jc w:val="center"/>
              <w:rPr>
                <w:rFonts w:hint="eastAsia" w:hAnsi="宋体" w:cs="宋体"/>
                <w:bCs/>
                <w:color w:val="auto"/>
                <w:szCs w:val="21"/>
                <w:highlight w:val="none"/>
              </w:rPr>
            </w:pPr>
            <w:r>
              <w:rPr>
                <w:rFonts w:hint="eastAsia" w:hAnsi="宋体" w:cs="宋体"/>
                <w:bCs/>
                <w:color w:val="auto"/>
                <w:szCs w:val="21"/>
                <w:highlight w:val="none"/>
              </w:rPr>
              <w:t>分包</w:t>
            </w:r>
          </w:p>
        </w:tc>
        <w:tc>
          <w:tcPr>
            <w:tcW w:w="6795" w:type="dxa"/>
            <w:noWrap/>
            <w:tcMar>
              <w:left w:w="57" w:type="dxa"/>
              <w:right w:w="57" w:type="dxa"/>
            </w:tcMar>
            <w:vAlign w:val="center"/>
          </w:tcPr>
          <w:p>
            <w:pPr>
              <w:spacing w:line="380" w:lineRule="exact"/>
              <w:rPr>
                <w:rFonts w:hint="eastAsia" w:ascii="宋体" w:hAnsi="宋体"/>
                <w:color w:val="auto"/>
                <w:szCs w:val="21"/>
                <w:highlight w:val="none"/>
              </w:rPr>
            </w:pPr>
            <w:r>
              <w:rPr>
                <w:rFonts w:hint="eastAsia" w:ascii="宋体" w:hAnsi="宋体" w:cs="宋体"/>
                <w:color w:val="auto"/>
                <w:szCs w:val="21"/>
                <w:highlight w:val="none"/>
              </w:rPr>
              <w:t>不允许分包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35" w:hRule="atLeast"/>
          <w:jc w:val="center"/>
        </w:trPr>
        <w:tc>
          <w:tcPr>
            <w:tcW w:w="1410" w:type="dxa"/>
            <w:noWrap/>
            <w:tcMar>
              <w:left w:w="57" w:type="dxa"/>
              <w:right w:w="57" w:type="dxa"/>
            </w:tcMar>
            <w:vAlign w:val="center"/>
          </w:tcPr>
          <w:p>
            <w:pPr>
              <w:pStyle w:val="20"/>
              <w:spacing w:line="380" w:lineRule="exact"/>
              <w:jc w:val="center"/>
              <w:rPr>
                <w:rFonts w:hint="eastAsia" w:hAnsi="宋体"/>
                <w:color w:val="auto"/>
                <w:szCs w:val="21"/>
                <w:highlight w:val="none"/>
              </w:rPr>
            </w:pPr>
            <w:r>
              <w:rPr>
                <w:rFonts w:hint="eastAsia" w:hAnsi="宋体" w:cs="宋体"/>
                <w:bCs/>
                <w:color w:val="auto"/>
                <w:szCs w:val="21"/>
                <w:highlight w:val="none"/>
              </w:rPr>
              <w:t>12.2</w:t>
            </w:r>
          </w:p>
        </w:tc>
        <w:tc>
          <w:tcPr>
            <w:tcW w:w="2062" w:type="dxa"/>
            <w:noWrap/>
            <w:tcMar>
              <w:left w:w="57" w:type="dxa"/>
              <w:right w:w="57" w:type="dxa"/>
            </w:tcMar>
            <w:vAlign w:val="center"/>
          </w:tcPr>
          <w:p>
            <w:pPr>
              <w:pStyle w:val="20"/>
              <w:spacing w:line="380" w:lineRule="exact"/>
              <w:jc w:val="center"/>
              <w:rPr>
                <w:rFonts w:hint="eastAsia" w:hAnsi="宋体" w:cs="宋体"/>
                <w:bCs/>
                <w:color w:val="auto"/>
                <w:szCs w:val="21"/>
                <w:highlight w:val="none"/>
              </w:rPr>
            </w:pPr>
            <w:r>
              <w:rPr>
                <w:rFonts w:hint="eastAsia" w:hAnsi="宋体" w:cs="宋体"/>
                <w:bCs/>
                <w:color w:val="auto"/>
                <w:szCs w:val="21"/>
                <w:highlight w:val="none"/>
              </w:rPr>
              <w:t>构成招标文件的其他材料</w:t>
            </w:r>
          </w:p>
        </w:tc>
        <w:tc>
          <w:tcPr>
            <w:tcW w:w="6795" w:type="dxa"/>
            <w:noWrap/>
            <w:tcMar>
              <w:left w:w="57" w:type="dxa"/>
              <w:right w:w="57" w:type="dxa"/>
            </w:tcMar>
            <w:vAlign w:val="center"/>
          </w:tcPr>
          <w:p>
            <w:pPr>
              <w:spacing w:line="380" w:lineRule="exact"/>
              <w:rPr>
                <w:rFonts w:hint="eastAsia" w:ascii="宋体" w:hAnsi="宋体"/>
                <w:color w:val="auto"/>
                <w:szCs w:val="21"/>
                <w:highlight w:val="none"/>
              </w:rPr>
            </w:pPr>
            <w:r>
              <w:rPr>
                <w:rFonts w:hint="eastAsia" w:ascii="宋体" w:hAnsi="宋体" w:cs="宋体"/>
                <w:color w:val="auto"/>
                <w:szCs w:val="21"/>
                <w:highlight w:val="none"/>
              </w:rPr>
              <w:t>答疑、补遗（如果有）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72" w:hRule="atLeast"/>
          <w:jc w:val="center"/>
        </w:trPr>
        <w:tc>
          <w:tcPr>
            <w:tcW w:w="1410" w:type="dxa"/>
            <w:noWrap/>
            <w:tcMar>
              <w:left w:w="57" w:type="dxa"/>
              <w:right w:w="57" w:type="dxa"/>
            </w:tcMar>
            <w:vAlign w:val="center"/>
          </w:tcPr>
          <w:p>
            <w:pPr>
              <w:pStyle w:val="20"/>
              <w:spacing w:line="380" w:lineRule="exact"/>
              <w:jc w:val="center"/>
              <w:rPr>
                <w:rFonts w:hint="eastAsia" w:hAnsi="宋体"/>
                <w:color w:val="auto"/>
                <w:szCs w:val="21"/>
                <w:highlight w:val="none"/>
              </w:rPr>
            </w:pPr>
            <w:r>
              <w:rPr>
                <w:rFonts w:hint="eastAsia" w:hAnsi="宋体" w:cs="宋体"/>
                <w:bCs/>
                <w:color w:val="auto"/>
                <w:szCs w:val="21"/>
                <w:highlight w:val="none"/>
              </w:rPr>
              <w:t>13.1</w:t>
            </w:r>
          </w:p>
        </w:tc>
        <w:tc>
          <w:tcPr>
            <w:tcW w:w="2062" w:type="dxa"/>
            <w:noWrap/>
            <w:tcMar>
              <w:left w:w="57" w:type="dxa"/>
              <w:right w:w="57" w:type="dxa"/>
            </w:tcMar>
            <w:vAlign w:val="center"/>
          </w:tcPr>
          <w:p>
            <w:pPr>
              <w:pStyle w:val="20"/>
              <w:spacing w:line="380" w:lineRule="exact"/>
              <w:jc w:val="center"/>
              <w:rPr>
                <w:rFonts w:hint="eastAsia" w:hAnsi="宋体" w:cs="宋体"/>
                <w:bCs/>
                <w:color w:val="auto"/>
                <w:szCs w:val="21"/>
                <w:highlight w:val="none"/>
              </w:rPr>
            </w:pPr>
            <w:r>
              <w:rPr>
                <w:rFonts w:hint="eastAsia" w:hAnsi="宋体" w:cs="宋体"/>
                <w:bCs/>
                <w:color w:val="auto"/>
                <w:szCs w:val="21"/>
                <w:highlight w:val="none"/>
              </w:rPr>
              <w:t>投标截止时间</w:t>
            </w:r>
          </w:p>
        </w:tc>
        <w:tc>
          <w:tcPr>
            <w:tcW w:w="6795" w:type="dxa"/>
            <w:noWrap/>
            <w:tcMar>
              <w:left w:w="57" w:type="dxa"/>
              <w:right w:w="57" w:type="dxa"/>
            </w:tcMar>
            <w:vAlign w:val="center"/>
          </w:tcPr>
          <w:p>
            <w:pPr>
              <w:spacing w:line="380" w:lineRule="exact"/>
              <w:rPr>
                <w:rFonts w:hint="eastAsia" w:ascii="宋体" w:hAnsi="宋体"/>
                <w:color w:val="auto"/>
                <w:szCs w:val="21"/>
                <w:highlight w:val="none"/>
              </w:rPr>
            </w:pPr>
            <w:r>
              <w:rPr>
                <w:rFonts w:hint="eastAsia" w:ascii="宋体" w:hAnsi="宋体" w:cs="宋体"/>
                <w:color w:val="auto"/>
                <w:szCs w:val="21"/>
                <w:highlight w:val="none"/>
                <w:u w:val="single"/>
              </w:rPr>
              <w:t>202</w:t>
            </w:r>
            <w:r>
              <w:rPr>
                <w:rFonts w:hint="eastAsia" w:ascii="宋体" w:hAnsi="宋体" w:cs="宋体"/>
                <w:color w:val="auto"/>
                <w:szCs w:val="21"/>
                <w:highlight w:val="none"/>
                <w:u w:val="single"/>
                <w:lang w:val="en-US" w:eastAsia="zh-CN"/>
              </w:rPr>
              <w:t>5</w:t>
            </w:r>
            <w:r>
              <w:rPr>
                <w:rFonts w:hint="eastAsia" w:ascii="宋体" w:hAnsi="宋体" w:cs="宋体"/>
                <w:color w:val="auto"/>
                <w:szCs w:val="21"/>
                <w:highlight w:val="none"/>
              </w:rPr>
              <w:t>年02月28日</w:t>
            </w:r>
            <w:r>
              <w:rPr>
                <w:rFonts w:hint="eastAsia" w:ascii="宋体" w:hAnsi="宋体" w:cs="宋体"/>
                <w:color w:val="auto"/>
                <w:szCs w:val="21"/>
                <w:highlight w:val="none"/>
                <w:u w:val="single"/>
              </w:rPr>
              <w:t>09</w:t>
            </w:r>
            <w:r>
              <w:rPr>
                <w:rFonts w:hint="eastAsia" w:ascii="宋体" w:hAnsi="宋体" w:cs="宋体"/>
                <w:color w:val="auto"/>
                <w:szCs w:val="21"/>
                <w:highlight w:val="none"/>
              </w:rPr>
              <w:t>时</w:t>
            </w:r>
            <w:r>
              <w:rPr>
                <w:rFonts w:hint="eastAsia" w:ascii="宋体" w:hAnsi="宋体" w:cs="宋体"/>
                <w:color w:val="auto"/>
                <w:szCs w:val="21"/>
                <w:highlight w:val="none"/>
                <w:u w:val="single"/>
              </w:rPr>
              <w:t>00</w:t>
            </w:r>
            <w:r>
              <w:rPr>
                <w:rFonts w:hint="eastAsia" w:ascii="宋体" w:hAnsi="宋体" w:cs="宋体"/>
                <w:color w:val="auto"/>
                <w:szCs w:val="21"/>
                <w:highlight w:val="none"/>
              </w:rPr>
              <w:t>分（北京时间）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154" w:hRule="atLeast"/>
          <w:jc w:val="center"/>
        </w:trPr>
        <w:tc>
          <w:tcPr>
            <w:tcW w:w="1410" w:type="dxa"/>
            <w:noWrap/>
            <w:tcMar>
              <w:left w:w="57" w:type="dxa"/>
              <w:right w:w="57" w:type="dxa"/>
            </w:tcMar>
            <w:vAlign w:val="center"/>
          </w:tcPr>
          <w:p>
            <w:pPr>
              <w:pStyle w:val="20"/>
              <w:spacing w:line="380" w:lineRule="exact"/>
              <w:jc w:val="center"/>
              <w:rPr>
                <w:rFonts w:hint="eastAsia" w:hAnsi="宋体"/>
                <w:color w:val="auto"/>
                <w:szCs w:val="21"/>
                <w:highlight w:val="none"/>
              </w:rPr>
            </w:pPr>
            <w:r>
              <w:rPr>
                <w:rFonts w:hint="eastAsia" w:hAnsi="宋体" w:cs="宋体"/>
                <w:bCs/>
                <w:color w:val="auto"/>
                <w:szCs w:val="21"/>
                <w:highlight w:val="none"/>
              </w:rPr>
              <w:t>13.2</w:t>
            </w:r>
          </w:p>
        </w:tc>
        <w:tc>
          <w:tcPr>
            <w:tcW w:w="2062" w:type="dxa"/>
            <w:noWrap/>
            <w:tcMar>
              <w:left w:w="57" w:type="dxa"/>
              <w:right w:w="57" w:type="dxa"/>
            </w:tcMar>
            <w:vAlign w:val="center"/>
          </w:tcPr>
          <w:p>
            <w:pPr>
              <w:pStyle w:val="20"/>
              <w:spacing w:line="380" w:lineRule="exact"/>
              <w:jc w:val="center"/>
              <w:rPr>
                <w:rFonts w:hint="eastAsia" w:hAnsi="宋体" w:cs="宋体"/>
                <w:bCs/>
                <w:color w:val="auto"/>
                <w:szCs w:val="21"/>
                <w:highlight w:val="none"/>
              </w:rPr>
            </w:pPr>
            <w:r>
              <w:rPr>
                <w:rFonts w:hint="eastAsia" w:hAnsi="宋体" w:cs="宋体"/>
                <w:bCs/>
                <w:color w:val="auto"/>
                <w:szCs w:val="21"/>
                <w:highlight w:val="none"/>
              </w:rPr>
              <w:t>投标人提出问题的截止时间及方式</w:t>
            </w:r>
          </w:p>
        </w:tc>
        <w:tc>
          <w:tcPr>
            <w:tcW w:w="6795" w:type="dxa"/>
            <w:noWrap/>
            <w:tcMar>
              <w:left w:w="57" w:type="dxa"/>
              <w:right w:w="57" w:type="dxa"/>
            </w:tcMar>
            <w:vAlign w:val="center"/>
          </w:tcPr>
          <w:p>
            <w:pPr>
              <w:spacing w:line="400" w:lineRule="exact"/>
              <w:rPr>
                <w:rFonts w:hint="eastAsia" w:ascii="宋体" w:hAnsi="宋体"/>
                <w:color w:val="auto"/>
                <w:szCs w:val="21"/>
                <w:highlight w:val="none"/>
              </w:rPr>
            </w:pPr>
            <w:r>
              <w:rPr>
                <w:rFonts w:hint="eastAsia" w:ascii="宋体" w:hAnsi="宋体"/>
                <w:color w:val="auto"/>
                <w:szCs w:val="21"/>
                <w:highlight w:val="none"/>
              </w:rPr>
              <w:t>时间：可以在知道或者应知其权益受到损害之日起七个工作日内（以云南省政府采购网和政采云平台截止时间为准）。</w:t>
            </w:r>
          </w:p>
          <w:p>
            <w:pPr>
              <w:pStyle w:val="11"/>
              <w:spacing w:line="400" w:lineRule="exact"/>
              <w:ind w:firstLine="0"/>
              <w:rPr>
                <w:color w:val="auto"/>
                <w:highlight w:val="none"/>
              </w:rPr>
            </w:pPr>
            <w:r>
              <w:rPr>
                <w:rFonts w:hint="eastAsia" w:ascii="宋体" w:hAnsi="宋体"/>
                <w:color w:val="auto"/>
                <w:szCs w:val="21"/>
                <w:highlight w:val="none"/>
              </w:rPr>
              <w:t>方式：在政采云平台内提出。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459" w:hRule="atLeast"/>
          <w:jc w:val="center"/>
        </w:trPr>
        <w:tc>
          <w:tcPr>
            <w:tcW w:w="1410" w:type="dxa"/>
            <w:noWrap/>
            <w:tcMar>
              <w:left w:w="57" w:type="dxa"/>
              <w:right w:w="57" w:type="dxa"/>
            </w:tcMar>
            <w:vAlign w:val="center"/>
          </w:tcPr>
          <w:p>
            <w:pPr>
              <w:pStyle w:val="20"/>
              <w:spacing w:line="380" w:lineRule="exact"/>
              <w:jc w:val="center"/>
              <w:rPr>
                <w:rFonts w:hint="eastAsia" w:hAnsi="宋体"/>
                <w:color w:val="auto"/>
                <w:szCs w:val="21"/>
                <w:highlight w:val="none"/>
              </w:rPr>
            </w:pPr>
            <w:r>
              <w:rPr>
                <w:rFonts w:hint="eastAsia" w:hAnsi="宋体" w:cs="宋体"/>
                <w:bCs/>
                <w:color w:val="auto"/>
                <w:szCs w:val="21"/>
                <w:highlight w:val="none"/>
              </w:rPr>
              <w:t>13.3</w:t>
            </w:r>
          </w:p>
        </w:tc>
        <w:tc>
          <w:tcPr>
            <w:tcW w:w="2062" w:type="dxa"/>
            <w:noWrap/>
            <w:tcMar>
              <w:left w:w="57" w:type="dxa"/>
              <w:right w:w="57" w:type="dxa"/>
            </w:tcMar>
            <w:vAlign w:val="center"/>
          </w:tcPr>
          <w:p>
            <w:pPr>
              <w:pStyle w:val="20"/>
              <w:spacing w:line="380" w:lineRule="exact"/>
              <w:jc w:val="center"/>
              <w:rPr>
                <w:rFonts w:hint="eastAsia" w:hAnsi="宋体" w:cs="宋体"/>
                <w:bCs/>
                <w:color w:val="auto"/>
                <w:szCs w:val="21"/>
                <w:highlight w:val="none"/>
              </w:rPr>
            </w:pPr>
            <w:r>
              <w:rPr>
                <w:rFonts w:hint="eastAsia" w:hAnsi="宋体" w:cs="宋体"/>
                <w:bCs/>
                <w:color w:val="auto"/>
                <w:szCs w:val="21"/>
                <w:highlight w:val="none"/>
              </w:rPr>
              <w:t>采购人澄清的时间及方式</w:t>
            </w:r>
          </w:p>
        </w:tc>
        <w:tc>
          <w:tcPr>
            <w:tcW w:w="6795" w:type="dxa"/>
            <w:noWrap/>
            <w:tcMar>
              <w:left w:w="57" w:type="dxa"/>
              <w:right w:w="57" w:type="dxa"/>
            </w:tcMar>
            <w:vAlign w:val="center"/>
          </w:tcPr>
          <w:p>
            <w:pPr>
              <w:spacing w:line="380" w:lineRule="exact"/>
              <w:rPr>
                <w:rFonts w:hint="eastAsia" w:ascii="宋体" w:hAnsi="宋体"/>
                <w:color w:val="auto"/>
                <w:szCs w:val="21"/>
                <w:highlight w:val="none"/>
              </w:rPr>
            </w:pPr>
            <w:r>
              <w:rPr>
                <w:rFonts w:hint="eastAsia"/>
                <w:color w:val="auto"/>
                <w:highlight w:val="none"/>
              </w:rPr>
              <w:t>澄清或者修改应当在原公告发布媒体上发布澄清公告</w:t>
            </w:r>
            <w:r>
              <w:rPr>
                <w:rFonts w:hint="eastAsia"/>
                <w:color w:val="auto"/>
                <w:highlight w:val="none"/>
                <w:lang w:eastAsia="zh-CN"/>
              </w:rPr>
              <w:t>，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35" w:hRule="atLeast"/>
          <w:jc w:val="center"/>
        </w:trPr>
        <w:tc>
          <w:tcPr>
            <w:tcW w:w="1410" w:type="dxa"/>
            <w:noWrap/>
            <w:tcMar>
              <w:left w:w="57" w:type="dxa"/>
              <w:right w:w="57" w:type="dxa"/>
            </w:tcMar>
            <w:vAlign w:val="center"/>
          </w:tcPr>
          <w:p>
            <w:pPr>
              <w:pStyle w:val="20"/>
              <w:spacing w:line="380" w:lineRule="exact"/>
              <w:jc w:val="center"/>
              <w:rPr>
                <w:rFonts w:hint="eastAsia" w:hAnsi="宋体"/>
                <w:color w:val="auto"/>
                <w:szCs w:val="21"/>
                <w:highlight w:val="none"/>
              </w:rPr>
            </w:pPr>
            <w:r>
              <w:rPr>
                <w:rFonts w:hint="eastAsia" w:hAnsi="宋体"/>
                <w:color w:val="auto"/>
                <w:szCs w:val="21"/>
                <w:highlight w:val="none"/>
              </w:rPr>
              <w:t>13.4</w:t>
            </w:r>
          </w:p>
        </w:tc>
        <w:tc>
          <w:tcPr>
            <w:tcW w:w="2062" w:type="dxa"/>
            <w:noWrap/>
            <w:tcMar>
              <w:left w:w="57" w:type="dxa"/>
              <w:right w:w="57" w:type="dxa"/>
            </w:tcMar>
            <w:vAlign w:val="center"/>
          </w:tcPr>
          <w:p>
            <w:pPr>
              <w:pStyle w:val="20"/>
              <w:spacing w:line="380" w:lineRule="exact"/>
              <w:jc w:val="center"/>
              <w:rPr>
                <w:rFonts w:hint="eastAsia" w:hAnsi="宋体" w:cs="宋体"/>
                <w:bCs/>
                <w:color w:val="auto"/>
                <w:szCs w:val="21"/>
                <w:highlight w:val="none"/>
              </w:rPr>
            </w:pPr>
            <w:r>
              <w:rPr>
                <w:rFonts w:hint="eastAsia" w:hAnsi="宋体" w:cs="宋体"/>
                <w:bCs/>
                <w:color w:val="auto"/>
                <w:szCs w:val="21"/>
                <w:highlight w:val="none"/>
              </w:rPr>
              <w:t>投标人确认收到招标文件修改的时间</w:t>
            </w:r>
          </w:p>
        </w:tc>
        <w:tc>
          <w:tcPr>
            <w:tcW w:w="6795" w:type="dxa"/>
            <w:noWrap/>
            <w:tcMar>
              <w:left w:w="57" w:type="dxa"/>
              <w:right w:w="57" w:type="dxa"/>
            </w:tcMar>
            <w:vAlign w:val="center"/>
          </w:tcPr>
          <w:p>
            <w:pPr>
              <w:spacing w:line="380" w:lineRule="exact"/>
              <w:rPr>
                <w:rFonts w:hint="eastAsia" w:ascii="宋体" w:hAnsi="宋体"/>
                <w:color w:val="auto"/>
                <w:szCs w:val="21"/>
                <w:highlight w:val="none"/>
              </w:rPr>
            </w:pPr>
            <w:r>
              <w:rPr>
                <w:rFonts w:hint="eastAsia" w:ascii="宋体" w:hAnsi="宋体" w:cs="宋体"/>
                <w:color w:val="auto"/>
                <w:szCs w:val="21"/>
                <w:highlight w:val="none"/>
              </w:rPr>
              <w:t>投标人自行登录政采云平台获取澄清，无须回复确认已收到该澄清。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556" w:hRule="atLeast"/>
          <w:jc w:val="center"/>
        </w:trPr>
        <w:tc>
          <w:tcPr>
            <w:tcW w:w="1410" w:type="dxa"/>
            <w:noWrap/>
            <w:tcMar>
              <w:left w:w="57" w:type="dxa"/>
              <w:right w:w="57" w:type="dxa"/>
            </w:tcMar>
            <w:vAlign w:val="center"/>
          </w:tcPr>
          <w:p>
            <w:pPr>
              <w:pStyle w:val="20"/>
              <w:spacing w:line="380" w:lineRule="exact"/>
              <w:jc w:val="center"/>
              <w:rPr>
                <w:rFonts w:hint="eastAsia" w:hAnsi="宋体"/>
                <w:color w:val="auto"/>
                <w:szCs w:val="21"/>
                <w:highlight w:val="none"/>
              </w:rPr>
            </w:pPr>
            <w:r>
              <w:rPr>
                <w:rFonts w:hint="eastAsia" w:hAnsi="宋体"/>
                <w:color w:val="auto"/>
                <w:szCs w:val="21"/>
                <w:highlight w:val="none"/>
              </w:rPr>
              <w:t>15.3</w:t>
            </w:r>
          </w:p>
        </w:tc>
        <w:tc>
          <w:tcPr>
            <w:tcW w:w="2062" w:type="dxa"/>
            <w:noWrap/>
            <w:tcMar>
              <w:left w:w="57" w:type="dxa"/>
              <w:right w:w="57" w:type="dxa"/>
            </w:tcMar>
            <w:vAlign w:val="center"/>
          </w:tcPr>
          <w:p>
            <w:pPr>
              <w:pStyle w:val="20"/>
              <w:spacing w:line="380" w:lineRule="exact"/>
              <w:jc w:val="center"/>
              <w:rPr>
                <w:rFonts w:hint="eastAsia" w:hAnsi="宋体" w:cs="宋体"/>
                <w:bCs/>
                <w:color w:val="auto"/>
                <w:szCs w:val="21"/>
                <w:highlight w:val="none"/>
              </w:rPr>
            </w:pPr>
            <w:r>
              <w:rPr>
                <w:rFonts w:hint="eastAsia" w:hAnsi="宋体"/>
                <w:color w:val="auto"/>
                <w:szCs w:val="21"/>
                <w:highlight w:val="none"/>
              </w:rPr>
              <w:t>投标文件的编制</w:t>
            </w:r>
          </w:p>
        </w:tc>
        <w:tc>
          <w:tcPr>
            <w:tcW w:w="6795" w:type="dxa"/>
            <w:noWrap/>
            <w:tcMar>
              <w:left w:w="57" w:type="dxa"/>
              <w:right w:w="57" w:type="dxa"/>
            </w:tcMar>
            <w:vAlign w:val="center"/>
          </w:tcPr>
          <w:p>
            <w:pPr>
              <w:pStyle w:val="20"/>
              <w:spacing w:line="380" w:lineRule="exact"/>
              <w:rPr>
                <w:rFonts w:hint="eastAsia" w:hAnsi="宋体"/>
                <w:color w:val="auto"/>
                <w:szCs w:val="21"/>
                <w:highlight w:val="none"/>
              </w:rPr>
            </w:pPr>
            <w:r>
              <w:rPr>
                <w:rFonts w:hint="eastAsia" w:hAnsi="宋体"/>
                <w:color w:val="auto"/>
                <w:szCs w:val="21"/>
                <w:highlight w:val="none"/>
              </w:rPr>
              <w:t>（1）投标文件全部采用电子文档，投标人应安装客户端软件—“政采云电子交易客户端”，并按照招标文件和政采云电子交易平台的要求编制，编制后应进行电子签章、签名及加密；</w:t>
            </w:r>
          </w:p>
          <w:p>
            <w:pPr>
              <w:pStyle w:val="20"/>
              <w:spacing w:line="380" w:lineRule="exact"/>
              <w:rPr>
                <w:rFonts w:hint="eastAsia" w:hAnsi="宋体"/>
                <w:color w:val="auto"/>
                <w:szCs w:val="21"/>
                <w:highlight w:val="none"/>
              </w:rPr>
            </w:pPr>
            <w:r>
              <w:rPr>
                <w:rFonts w:hint="eastAsia" w:hAnsi="宋体"/>
                <w:color w:val="auto"/>
                <w:szCs w:val="21"/>
                <w:highlight w:val="none"/>
              </w:rPr>
              <w:t xml:space="preserve">（2）如投标文件提交的电子标书不满足招标文件要求或开标时无法读取导入或解密，其投标文件将不予受理； </w:t>
            </w:r>
          </w:p>
          <w:p>
            <w:pPr>
              <w:pStyle w:val="20"/>
              <w:spacing w:line="380" w:lineRule="exact"/>
              <w:rPr>
                <w:rFonts w:hint="eastAsia" w:hAnsi="宋体" w:cs="宋体"/>
                <w:color w:val="auto"/>
                <w:szCs w:val="21"/>
                <w:highlight w:val="none"/>
              </w:rPr>
            </w:pPr>
            <w:r>
              <w:rPr>
                <w:rFonts w:hint="eastAsia" w:hAnsi="宋体"/>
                <w:color w:val="auto"/>
                <w:szCs w:val="21"/>
                <w:highlight w:val="none"/>
              </w:rPr>
              <w:t>（3）投标文件中提供的资料（扫描件），内容必须清晰可辨，若内容模糊，无法辨识，均视为未提供。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51" w:hRule="atLeast"/>
          <w:jc w:val="center"/>
        </w:trPr>
        <w:tc>
          <w:tcPr>
            <w:tcW w:w="1410" w:type="dxa"/>
            <w:noWrap/>
            <w:tcMar>
              <w:left w:w="57" w:type="dxa"/>
              <w:right w:w="57" w:type="dxa"/>
            </w:tcMar>
            <w:vAlign w:val="center"/>
          </w:tcPr>
          <w:p>
            <w:pPr>
              <w:pStyle w:val="20"/>
              <w:spacing w:line="380" w:lineRule="exact"/>
              <w:jc w:val="center"/>
              <w:rPr>
                <w:rFonts w:hint="eastAsia" w:hAnsi="宋体"/>
                <w:color w:val="auto"/>
                <w:szCs w:val="21"/>
                <w:highlight w:val="none"/>
              </w:rPr>
            </w:pPr>
            <w:r>
              <w:rPr>
                <w:rFonts w:hint="eastAsia" w:hAnsi="宋体"/>
                <w:color w:val="auto"/>
                <w:szCs w:val="21"/>
                <w:highlight w:val="none"/>
              </w:rPr>
              <w:t>21.1</w:t>
            </w:r>
          </w:p>
        </w:tc>
        <w:tc>
          <w:tcPr>
            <w:tcW w:w="2062" w:type="dxa"/>
            <w:noWrap/>
            <w:tcMar>
              <w:left w:w="57" w:type="dxa"/>
              <w:right w:w="57" w:type="dxa"/>
            </w:tcMar>
            <w:vAlign w:val="center"/>
          </w:tcPr>
          <w:p>
            <w:pPr>
              <w:pStyle w:val="20"/>
              <w:spacing w:line="380" w:lineRule="exact"/>
              <w:rPr>
                <w:rFonts w:hint="eastAsia" w:hAnsi="宋体"/>
                <w:color w:val="auto"/>
                <w:szCs w:val="21"/>
                <w:highlight w:val="none"/>
              </w:rPr>
            </w:pPr>
            <w:r>
              <w:rPr>
                <w:rFonts w:hint="eastAsia" w:hAnsi="宋体"/>
                <w:color w:val="auto"/>
                <w:szCs w:val="21"/>
                <w:highlight w:val="none"/>
              </w:rPr>
              <w:t>投标有效期</w:t>
            </w:r>
          </w:p>
        </w:tc>
        <w:tc>
          <w:tcPr>
            <w:tcW w:w="6795" w:type="dxa"/>
            <w:noWrap/>
            <w:tcMar>
              <w:left w:w="57" w:type="dxa"/>
              <w:right w:w="57" w:type="dxa"/>
            </w:tcMar>
            <w:vAlign w:val="center"/>
          </w:tcPr>
          <w:p>
            <w:pPr>
              <w:pStyle w:val="20"/>
              <w:spacing w:line="380" w:lineRule="exact"/>
              <w:rPr>
                <w:rFonts w:hint="eastAsia" w:hAnsi="宋体"/>
                <w:color w:val="auto"/>
                <w:szCs w:val="21"/>
                <w:highlight w:val="none"/>
              </w:rPr>
            </w:pPr>
            <w:r>
              <w:rPr>
                <w:rFonts w:hint="eastAsia" w:hAnsi="宋体"/>
                <w:color w:val="auto"/>
                <w:szCs w:val="21"/>
                <w:highlight w:val="none"/>
              </w:rPr>
              <w:t>90日历天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61" w:hRule="atLeast"/>
          <w:jc w:val="center"/>
        </w:trPr>
        <w:tc>
          <w:tcPr>
            <w:tcW w:w="1410" w:type="dxa"/>
            <w:noWrap/>
            <w:tcMar>
              <w:left w:w="57" w:type="dxa"/>
              <w:right w:w="57" w:type="dxa"/>
            </w:tcMar>
            <w:vAlign w:val="center"/>
          </w:tcPr>
          <w:p>
            <w:pPr>
              <w:pStyle w:val="20"/>
              <w:spacing w:line="380" w:lineRule="exact"/>
              <w:jc w:val="center"/>
              <w:rPr>
                <w:rFonts w:hint="eastAsia" w:hAnsi="宋体"/>
                <w:color w:val="auto"/>
                <w:szCs w:val="21"/>
                <w:highlight w:val="none"/>
              </w:rPr>
            </w:pPr>
            <w:r>
              <w:rPr>
                <w:rFonts w:hint="eastAsia" w:hAnsi="宋体"/>
                <w:color w:val="auto"/>
                <w:szCs w:val="21"/>
                <w:highlight w:val="none"/>
              </w:rPr>
              <w:t>22.1</w:t>
            </w:r>
          </w:p>
        </w:tc>
        <w:tc>
          <w:tcPr>
            <w:tcW w:w="2062" w:type="dxa"/>
            <w:noWrap/>
            <w:tcMar>
              <w:left w:w="57" w:type="dxa"/>
              <w:right w:w="57" w:type="dxa"/>
            </w:tcMar>
            <w:vAlign w:val="center"/>
          </w:tcPr>
          <w:p>
            <w:pPr>
              <w:pStyle w:val="20"/>
              <w:spacing w:line="380" w:lineRule="exact"/>
              <w:jc w:val="center"/>
              <w:rPr>
                <w:rFonts w:hint="eastAsia" w:hAnsi="宋体"/>
                <w:color w:val="auto"/>
                <w:szCs w:val="21"/>
                <w:highlight w:val="none"/>
              </w:rPr>
            </w:pPr>
            <w:r>
              <w:rPr>
                <w:rFonts w:hint="eastAsia" w:hAnsi="宋体"/>
                <w:color w:val="auto"/>
                <w:szCs w:val="21"/>
                <w:highlight w:val="none"/>
              </w:rPr>
              <w:t>投标文件所附证书证件要求</w:t>
            </w:r>
          </w:p>
        </w:tc>
        <w:tc>
          <w:tcPr>
            <w:tcW w:w="6795" w:type="dxa"/>
            <w:noWrap/>
            <w:tcMar>
              <w:left w:w="57" w:type="dxa"/>
              <w:right w:w="57" w:type="dxa"/>
            </w:tcMar>
            <w:vAlign w:val="center"/>
          </w:tcPr>
          <w:p>
            <w:pPr>
              <w:pStyle w:val="20"/>
              <w:spacing w:line="380" w:lineRule="exact"/>
              <w:rPr>
                <w:rFonts w:hint="eastAsia" w:hAnsi="宋体"/>
                <w:color w:val="auto"/>
                <w:szCs w:val="21"/>
                <w:highlight w:val="none"/>
              </w:rPr>
            </w:pPr>
            <w:r>
              <w:rPr>
                <w:rFonts w:hint="eastAsia" w:hAnsi="宋体"/>
                <w:color w:val="auto"/>
                <w:szCs w:val="21"/>
                <w:highlight w:val="none"/>
              </w:rPr>
              <w:t>投标文件所附证书证件要求：扫描件。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31" w:hRule="atLeast"/>
          <w:jc w:val="center"/>
        </w:trPr>
        <w:tc>
          <w:tcPr>
            <w:tcW w:w="1410" w:type="dxa"/>
            <w:noWrap/>
            <w:tcMar>
              <w:left w:w="57" w:type="dxa"/>
              <w:right w:w="57" w:type="dxa"/>
            </w:tcMar>
            <w:vAlign w:val="center"/>
          </w:tcPr>
          <w:p>
            <w:pPr>
              <w:pStyle w:val="20"/>
              <w:spacing w:line="380" w:lineRule="exact"/>
              <w:jc w:val="center"/>
              <w:rPr>
                <w:rFonts w:hint="eastAsia" w:hAnsi="宋体"/>
                <w:color w:val="auto"/>
                <w:szCs w:val="21"/>
                <w:highlight w:val="none"/>
              </w:rPr>
            </w:pPr>
            <w:r>
              <w:rPr>
                <w:rFonts w:hint="eastAsia" w:hAnsi="宋体"/>
                <w:color w:val="auto"/>
                <w:szCs w:val="21"/>
                <w:highlight w:val="none"/>
              </w:rPr>
              <w:t>22.2</w:t>
            </w:r>
          </w:p>
        </w:tc>
        <w:tc>
          <w:tcPr>
            <w:tcW w:w="2062" w:type="dxa"/>
            <w:noWrap/>
            <w:tcMar>
              <w:left w:w="57" w:type="dxa"/>
              <w:right w:w="57" w:type="dxa"/>
            </w:tcMar>
            <w:vAlign w:val="center"/>
          </w:tcPr>
          <w:p>
            <w:pPr>
              <w:pStyle w:val="20"/>
              <w:spacing w:line="380" w:lineRule="exact"/>
              <w:jc w:val="center"/>
              <w:rPr>
                <w:rFonts w:hint="eastAsia" w:hAnsi="宋体"/>
                <w:color w:val="auto"/>
                <w:szCs w:val="21"/>
                <w:highlight w:val="none"/>
              </w:rPr>
            </w:pPr>
            <w:r>
              <w:rPr>
                <w:rFonts w:hint="eastAsia" w:hAnsi="宋体"/>
                <w:color w:val="auto"/>
                <w:szCs w:val="21"/>
                <w:highlight w:val="none"/>
              </w:rPr>
              <w:t>投标文件签字或盖章要求</w:t>
            </w:r>
            <w:bookmarkStart w:id="131" w:name="_GoBack"/>
            <w:bookmarkEnd w:id="131"/>
          </w:p>
        </w:tc>
        <w:tc>
          <w:tcPr>
            <w:tcW w:w="6795" w:type="dxa"/>
            <w:noWrap/>
            <w:tcMar>
              <w:left w:w="57" w:type="dxa"/>
              <w:right w:w="57" w:type="dxa"/>
            </w:tcMar>
            <w:vAlign w:val="center"/>
          </w:tcPr>
          <w:p>
            <w:pPr>
              <w:pStyle w:val="20"/>
              <w:spacing w:line="380" w:lineRule="exact"/>
              <w:rPr>
                <w:rFonts w:hint="eastAsia" w:hAnsi="宋体"/>
                <w:color w:val="auto"/>
                <w:szCs w:val="21"/>
                <w:highlight w:val="none"/>
              </w:rPr>
            </w:pPr>
            <w:r>
              <w:rPr>
                <w:rFonts w:hint="eastAsia" w:hAnsi="宋体"/>
                <w:color w:val="auto"/>
                <w:szCs w:val="21"/>
                <w:highlight w:val="none"/>
              </w:rPr>
              <w:t>投标文件签字或盖章要求：按投标文件格式要求，在需要电子签名或签字或加盖电子签章的地方进行签名或签字或加盖电子签章，无需逐页签章。</w:t>
            </w:r>
          </w:p>
        </w:tc>
      </w:tr>
    </w:tbl>
    <w:tbl>
      <w:tblPr>
        <w:tblStyle w:val="37"/>
        <w:tblpPr w:leftFromText="180" w:rightFromText="180" w:horzAnchor="margin" w:tblpXSpec="center" w:tblpY="737"/>
        <w:tblW w:w="546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415"/>
        <w:gridCol w:w="2077"/>
        <w:gridCol w:w="679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0028" w:hRule="atLeast"/>
          <w:jc w:val="center"/>
        </w:trPr>
        <w:tc>
          <w:tcPr>
            <w:tcW w:w="1415" w:type="dxa"/>
            <w:noWrap/>
            <w:tcMar>
              <w:left w:w="57" w:type="dxa"/>
              <w:right w:w="57" w:type="dxa"/>
            </w:tcMar>
            <w:vAlign w:val="center"/>
          </w:tcPr>
          <w:p>
            <w:pPr>
              <w:pStyle w:val="20"/>
              <w:spacing w:line="380" w:lineRule="exact"/>
              <w:jc w:val="center"/>
              <w:rPr>
                <w:rFonts w:hint="eastAsia" w:hAnsi="宋体"/>
                <w:color w:val="auto"/>
                <w:szCs w:val="21"/>
                <w:highlight w:val="none"/>
              </w:rPr>
            </w:pPr>
            <w:r>
              <w:rPr>
                <w:rFonts w:hint="eastAsia" w:hAnsi="宋体"/>
                <w:color w:val="auto"/>
                <w:szCs w:val="21"/>
                <w:highlight w:val="none"/>
              </w:rPr>
              <w:t>23.1</w:t>
            </w:r>
          </w:p>
        </w:tc>
        <w:tc>
          <w:tcPr>
            <w:tcW w:w="2077" w:type="dxa"/>
            <w:noWrap/>
            <w:tcMar>
              <w:left w:w="57" w:type="dxa"/>
              <w:right w:w="57" w:type="dxa"/>
            </w:tcMar>
            <w:vAlign w:val="center"/>
          </w:tcPr>
          <w:p>
            <w:pPr>
              <w:pStyle w:val="20"/>
              <w:spacing w:line="380" w:lineRule="exact"/>
              <w:jc w:val="center"/>
              <w:rPr>
                <w:rFonts w:hint="eastAsia" w:hAnsi="宋体"/>
                <w:color w:val="auto"/>
                <w:szCs w:val="21"/>
                <w:highlight w:val="none"/>
              </w:rPr>
            </w:pPr>
            <w:r>
              <w:rPr>
                <w:rFonts w:hint="eastAsia" w:hAnsi="宋体"/>
                <w:color w:val="auto"/>
                <w:szCs w:val="21"/>
                <w:highlight w:val="none"/>
              </w:rPr>
              <w:t>投标保证金</w:t>
            </w:r>
          </w:p>
        </w:tc>
        <w:tc>
          <w:tcPr>
            <w:tcW w:w="6792" w:type="dxa"/>
            <w:noWrap/>
            <w:tcMar>
              <w:left w:w="57" w:type="dxa"/>
              <w:right w:w="57" w:type="dxa"/>
            </w:tcMar>
            <w:vAlign w:val="center"/>
          </w:tcPr>
          <w:p>
            <w:pPr>
              <w:pStyle w:val="36"/>
              <w:spacing w:after="0" w:line="400" w:lineRule="exact"/>
              <w:ind w:firstLine="206" w:firstLineChars="0"/>
              <w:rPr>
                <w:rFonts w:hint="eastAsia" w:cs="宋体"/>
                <w:bCs/>
                <w:color w:val="auto"/>
                <w:spacing w:val="0"/>
                <w:sz w:val="21"/>
                <w:szCs w:val="21"/>
                <w:highlight w:val="none"/>
                <w:lang w:val="en-US"/>
              </w:rPr>
            </w:pPr>
            <w:r>
              <w:rPr>
                <w:rFonts w:hint="eastAsia" w:cs="宋体"/>
                <w:bCs/>
                <w:color w:val="auto"/>
                <w:spacing w:val="0"/>
                <w:sz w:val="21"/>
                <w:szCs w:val="21"/>
                <w:highlight w:val="none"/>
                <w:lang w:val="en-US"/>
              </w:rPr>
              <w:t>1.投标保证金的金额：人民币：5000.00元（大写:伍仟元整）</w:t>
            </w:r>
          </w:p>
          <w:p>
            <w:pPr>
              <w:pStyle w:val="36"/>
              <w:spacing w:after="0" w:line="400" w:lineRule="exact"/>
              <w:ind w:firstLine="206" w:firstLineChars="0"/>
              <w:rPr>
                <w:rFonts w:hint="eastAsia" w:cs="宋体"/>
                <w:bCs/>
                <w:color w:val="auto"/>
                <w:spacing w:val="0"/>
                <w:sz w:val="21"/>
                <w:szCs w:val="21"/>
                <w:highlight w:val="none"/>
                <w:lang w:val="en-US"/>
              </w:rPr>
            </w:pPr>
            <w:r>
              <w:rPr>
                <w:rFonts w:hint="eastAsia" w:cs="宋体"/>
                <w:bCs/>
                <w:color w:val="auto"/>
                <w:spacing w:val="0"/>
                <w:sz w:val="21"/>
                <w:szCs w:val="21"/>
                <w:highlight w:val="none"/>
                <w:lang w:val="en-US"/>
              </w:rPr>
              <w:t>投标保证金的形式：银行转账、银行保函、投标保证保险等其他非现金形式。</w:t>
            </w:r>
          </w:p>
          <w:p>
            <w:pPr>
              <w:pStyle w:val="36"/>
              <w:spacing w:after="0" w:line="400" w:lineRule="exact"/>
              <w:ind w:firstLine="206" w:firstLineChars="0"/>
              <w:rPr>
                <w:rFonts w:hint="eastAsia" w:cs="宋体"/>
                <w:bCs/>
                <w:color w:val="auto"/>
                <w:spacing w:val="0"/>
                <w:sz w:val="21"/>
                <w:szCs w:val="21"/>
                <w:highlight w:val="none"/>
                <w:lang w:val="en-US"/>
              </w:rPr>
            </w:pPr>
            <w:r>
              <w:rPr>
                <w:rFonts w:hint="eastAsia" w:cs="宋体"/>
                <w:bCs/>
                <w:color w:val="auto"/>
                <w:spacing w:val="0"/>
                <w:sz w:val="21"/>
                <w:szCs w:val="21"/>
                <w:highlight w:val="none"/>
                <w:lang w:val="en-US"/>
              </w:rPr>
              <w:t>投标保证金的递交截止时间为：2025年02月28日09：00时之前</w:t>
            </w:r>
          </w:p>
          <w:p>
            <w:pPr>
              <w:pStyle w:val="36"/>
              <w:spacing w:after="0" w:line="400" w:lineRule="exact"/>
              <w:ind w:firstLine="206" w:firstLineChars="0"/>
              <w:rPr>
                <w:rFonts w:hint="eastAsia" w:cs="宋体"/>
                <w:bCs/>
                <w:color w:val="auto"/>
                <w:spacing w:val="0"/>
                <w:sz w:val="21"/>
                <w:szCs w:val="21"/>
                <w:highlight w:val="none"/>
                <w:lang w:val="en-US"/>
              </w:rPr>
            </w:pPr>
            <w:r>
              <w:rPr>
                <w:rFonts w:hint="eastAsia" w:cs="宋体"/>
                <w:bCs/>
                <w:color w:val="auto"/>
                <w:spacing w:val="0"/>
                <w:sz w:val="21"/>
                <w:szCs w:val="21"/>
                <w:highlight w:val="none"/>
                <w:lang w:val="en-US"/>
              </w:rPr>
              <w:t>递交保证金的开户银行及账号如下：</w:t>
            </w:r>
          </w:p>
          <w:p>
            <w:pPr>
              <w:pStyle w:val="36"/>
              <w:spacing w:after="0" w:line="400" w:lineRule="exact"/>
              <w:ind w:firstLine="206" w:firstLineChars="0"/>
              <w:rPr>
                <w:rFonts w:hint="eastAsia" w:cs="宋体"/>
                <w:bCs/>
                <w:color w:val="auto"/>
                <w:spacing w:val="0"/>
                <w:sz w:val="21"/>
                <w:szCs w:val="21"/>
                <w:highlight w:val="none"/>
                <w:lang w:val="en-US"/>
              </w:rPr>
            </w:pPr>
            <w:r>
              <w:rPr>
                <w:rFonts w:hint="eastAsia" w:cs="宋体"/>
                <w:bCs/>
                <w:color w:val="auto"/>
                <w:spacing w:val="0"/>
                <w:sz w:val="21"/>
                <w:szCs w:val="21"/>
                <w:highlight w:val="none"/>
                <w:lang w:val="en-US"/>
              </w:rPr>
              <w:t xml:space="preserve">户   名：云南智扬工程项目管理有限公司 </w:t>
            </w:r>
          </w:p>
          <w:p>
            <w:pPr>
              <w:pStyle w:val="36"/>
              <w:spacing w:after="0" w:line="400" w:lineRule="exact"/>
              <w:ind w:firstLine="206" w:firstLineChars="0"/>
              <w:rPr>
                <w:rFonts w:hint="eastAsia" w:cs="宋体"/>
                <w:bCs/>
                <w:color w:val="auto"/>
                <w:spacing w:val="0"/>
                <w:sz w:val="21"/>
                <w:szCs w:val="21"/>
                <w:highlight w:val="none"/>
                <w:lang w:val="en-US"/>
              </w:rPr>
            </w:pPr>
            <w:r>
              <w:rPr>
                <w:rFonts w:hint="eastAsia" w:cs="宋体"/>
                <w:bCs/>
                <w:color w:val="auto"/>
                <w:spacing w:val="0"/>
                <w:sz w:val="21"/>
                <w:szCs w:val="21"/>
                <w:highlight w:val="none"/>
                <w:lang w:val="en-US"/>
              </w:rPr>
              <w:t>开户行：昆明市盘龙区农村信用合作联社龙头街信用社</w:t>
            </w:r>
          </w:p>
          <w:p>
            <w:pPr>
              <w:pStyle w:val="36"/>
              <w:spacing w:after="0" w:line="400" w:lineRule="exact"/>
              <w:ind w:firstLine="206" w:firstLineChars="0"/>
              <w:rPr>
                <w:rFonts w:hint="eastAsia" w:cs="宋体"/>
                <w:bCs/>
                <w:color w:val="auto"/>
                <w:spacing w:val="0"/>
                <w:sz w:val="21"/>
                <w:szCs w:val="21"/>
                <w:highlight w:val="none"/>
                <w:lang w:val="en-US"/>
              </w:rPr>
            </w:pPr>
            <w:r>
              <w:rPr>
                <w:rFonts w:hint="eastAsia" w:cs="宋体"/>
                <w:bCs/>
                <w:color w:val="auto"/>
                <w:spacing w:val="0"/>
                <w:sz w:val="21"/>
                <w:szCs w:val="21"/>
                <w:highlight w:val="none"/>
                <w:lang w:val="en-US"/>
              </w:rPr>
              <w:t>银行账号：0200053283354012</w:t>
            </w:r>
          </w:p>
          <w:p>
            <w:pPr>
              <w:pStyle w:val="36"/>
              <w:spacing w:after="0" w:line="400" w:lineRule="exact"/>
              <w:ind w:firstLine="206" w:firstLineChars="0"/>
              <w:rPr>
                <w:rFonts w:hint="eastAsia" w:cs="宋体"/>
                <w:bCs/>
                <w:color w:val="auto"/>
                <w:spacing w:val="0"/>
                <w:sz w:val="21"/>
                <w:szCs w:val="21"/>
                <w:highlight w:val="none"/>
                <w:lang w:val="en-US"/>
              </w:rPr>
            </w:pPr>
            <w:r>
              <w:rPr>
                <w:rFonts w:hint="eastAsia" w:cs="宋体"/>
                <w:bCs/>
                <w:color w:val="auto"/>
                <w:spacing w:val="0"/>
                <w:sz w:val="21"/>
                <w:szCs w:val="21"/>
                <w:highlight w:val="none"/>
                <w:lang w:val="en-US"/>
              </w:rPr>
              <w:t>行号：402731000729</w:t>
            </w:r>
          </w:p>
          <w:p>
            <w:pPr>
              <w:pStyle w:val="36"/>
              <w:spacing w:after="0" w:line="400" w:lineRule="exact"/>
              <w:ind w:firstLine="206" w:firstLineChars="0"/>
              <w:rPr>
                <w:rFonts w:hint="eastAsia" w:cs="宋体"/>
                <w:bCs/>
                <w:color w:val="auto"/>
                <w:spacing w:val="0"/>
                <w:sz w:val="21"/>
                <w:szCs w:val="21"/>
                <w:highlight w:val="none"/>
                <w:lang w:val="en-US"/>
              </w:rPr>
            </w:pPr>
            <w:r>
              <w:rPr>
                <w:rFonts w:hint="eastAsia" w:cs="宋体"/>
                <w:bCs/>
                <w:color w:val="auto"/>
                <w:spacing w:val="0"/>
                <w:sz w:val="21"/>
                <w:szCs w:val="21"/>
                <w:highlight w:val="none"/>
                <w:lang w:val="en-US"/>
              </w:rPr>
              <w:t>注：此账户仅作为银行转账投标保证金缴纳账户。</w:t>
            </w:r>
          </w:p>
          <w:p>
            <w:pPr>
              <w:pStyle w:val="36"/>
              <w:spacing w:after="0" w:line="400" w:lineRule="exact"/>
              <w:ind w:firstLine="206" w:firstLineChars="0"/>
              <w:rPr>
                <w:rFonts w:hint="eastAsia" w:cs="宋体"/>
                <w:bCs/>
                <w:color w:val="auto"/>
                <w:spacing w:val="0"/>
                <w:sz w:val="21"/>
                <w:szCs w:val="21"/>
                <w:highlight w:val="none"/>
                <w:lang w:val="en-US"/>
              </w:rPr>
            </w:pPr>
            <w:r>
              <w:rPr>
                <w:rFonts w:hint="eastAsia" w:cs="宋体"/>
                <w:bCs/>
                <w:color w:val="auto"/>
                <w:spacing w:val="0"/>
                <w:sz w:val="21"/>
                <w:szCs w:val="21"/>
                <w:highlight w:val="none"/>
                <w:lang w:val="en-US"/>
              </w:rPr>
              <w:t>注：①必须从基本账户汇款或转账，且在备注栏内必须注明投标项目全称，投标人联系人及电话；②投标人凭其基本账户的开户许可证和投标保证金汇款回单（复印件须加盖公章）到云南智扬工程项目管理有限公司开具投标保证金收据。③招标人在书面合同签订后5日内向中标人和未中标的投标人退还投标保证金。</w:t>
            </w:r>
          </w:p>
          <w:p>
            <w:pPr>
              <w:pStyle w:val="36"/>
              <w:spacing w:after="0" w:line="400" w:lineRule="exact"/>
              <w:ind w:firstLine="206" w:firstLineChars="0"/>
              <w:rPr>
                <w:rFonts w:hint="eastAsia" w:cs="宋体"/>
                <w:bCs/>
                <w:color w:val="auto"/>
                <w:spacing w:val="0"/>
                <w:sz w:val="21"/>
                <w:szCs w:val="21"/>
                <w:highlight w:val="none"/>
                <w:lang w:val="en-US"/>
              </w:rPr>
            </w:pPr>
            <w:r>
              <w:rPr>
                <w:rFonts w:hint="eastAsia" w:cs="宋体"/>
                <w:bCs/>
                <w:color w:val="auto"/>
                <w:spacing w:val="0"/>
                <w:sz w:val="21"/>
                <w:szCs w:val="21"/>
                <w:highlight w:val="none"/>
                <w:lang w:val="en-US"/>
              </w:rPr>
              <w:t>2.未成交的供应商可在成交通知书发出后到采购代理机构办理退保证金手续，保证金在办理手续后三个工作日内无息退还；中标供应商的保证金，在签订合同后五个工作日内无息退还。</w:t>
            </w:r>
          </w:p>
          <w:p>
            <w:pPr>
              <w:pStyle w:val="36"/>
              <w:spacing w:after="0" w:line="400" w:lineRule="exact"/>
              <w:ind w:firstLine="206" w:firstLineChars="0"/>
              <w:rPr>
                <w:rFonts w:hint="eastAsia" w:cs="宋体"/>
                <w:bCs/>
                <w:color w:val="auto"/>
                <w:spacing w:val="0"/>
                <w:sz w:val="21"/>
                <w:szCs w:val="21"/>
                <w:highlight w:val="none"/>
                <w:lang w:val="en-US"/>
              </w:rPr>
            </w:pPr>
            <w:r>
              <w:rPr>
                <w:rFonts w:hint="eastAsia" w:cs="宋体"/>
                <w:bCs/>
                <w:color w:val="auto"/>
                <w:spacing w:val="0"/>
                <w:sz w:val="21"/>
                <w:szCs w:val="21"/>
                <w:highlight w:val="none"/>
                <w:lang w:val="en-US"/>
              </w:rPr>
              <w:t>3.如投标人发生下列情况之一时，投标保证金将被没收：</w:t>
            </w:r>
          </w:p>
          <w:p>
            <w:pPr>
              <w:pStyle w:val="36"/>
              <w:spacing w:after="0" w:line="400" w:lineRule="exact"/>
              <w:ind w:firstLine="206" w:firstLineChars="0"/>
              <w:rPr>
                <w:rFonts w:hint="eastAsia" w:cs="宋体"/>
                <w:bCs/>
                <w:color w:val="auto"/>
                <w:spacing w:val="0"/>
                <w:sz w:val="21"/>
                <w:szCs w:val="21"/>
                <w:highlight w:val="none"/>
                <w:lang w:val="en-US"/>
              </w:rPr>
            </w:pPr>
            <w:r>
              <w:rPr>
                <w:rFonts w:hint="eastAsia" w:cs="宋体"/>
                <w:bCs/>
                <w:color w:val="auto"/>
                <w:spacing w:val="0"/>
                <w:sz w:val="21"/>
                <w:szCs w:val="21"/>
                <w:highlight w:val="none"/>
                <w:lang w:val="en-US"/>
              </w:rPr>
              <w:t>（1）投标人在磋商文件规定的投标有效期内撤回其响应文件的；</w:t>
            </w:r>
          </w:p>
          <w:p>
            <w:pPr>
              <w:pStyle w:val="36"/>
              <w:spacing w:after="0" w:line="400" w:lineRule="exact"/>
              <w:ind w:firstLine="206" w:firstLineChars="0"/>
              <w:rPr>
                <w:rFonts w:hint="eastAsia" w:cs="宋体"/>
                <w:bCs/>
                <w:color w:val="auto"/>
                <w:spacing w:val="0"/>
                <w:sz w:val="21"/>
                <w:szCs w:val="21"/>
                <w:highlight w:val="none"/>
                <w:lang w:val="en-US"/>
              </w:rPr>
            </w:pPr>
            <w:r>
              <w:rPr>
                <w:rFonts w:hint="eastAsia" w:cs="宋体"/>
                <w:bCs/>
                <w:color w:val="auto"/>
                <w:spacing w:val="0"/>
                <w:sz w:val="21"/>
                <w:szCs w:val="21"/>
                <w:highlight w:val="none"/>
                <w:lang w:val="en-US"/>
              </w:rPr>
              <w:t>（2）投标人未在规定的时间内与采购人签订采购合同的；</w:t>
            </w:r>
          </w:p>
          <w:p>
            <w:pPr>
              <w:pStyle w:val="36"/>
              <w:spacing w:after="0" w:line="400" w:lineRule="exact"/>
              <w:ind w:firstLine="206" w:firstLineChars="0"/>
              <w:rPr>
                <w:rFonts w:hint="eastAsia" w:cs="宋体"/>
                <w:bCs/>
                <w:color w:val="auto"/>
                <w:spacing w:val="0"/>
                <w:sz w:val="21"/>
                <w:szCs w:val="21"/>
                <w:highlight w:val="none"/>
                <w:lang w:val="en-US"/>
              </w:rPr>
            </w:pPr>
            <w:r>
              <w:rPr>
                <w:rFonts w:hint="eastAsia" w:cs="宋体"/>
                <w:bCs/>
                <w:color w:val="auto"/>
                <w:spacing w:val="0"/>
                <w:sz w:val="21"/>
                <w:szCs w:val="21"/>
                <w:highlight w:val="none"/>
                <w:lang w:val="en-US"/>
              </w:rPr>
              <w:t>（3）中标人未能在规定期限内提交履约担保或签订采购合同的，或在签订采购合同时要求变更投标承诺和变更投标报价的；</w:t>
            </w:r>
          </w:p>
          <w:p>
            <w:pPr>
              <w:pStyle w:val="36"/>
              <w:spacing w:after="0" w:line="400" w:lineRule="exact"/>
              <w:ind w:firstLine="206" w:firstLineChars="0"/>
              <w:rPr>
                <w:rFonts w:hint="eastAsia" w:cs="宋体"/>
                <w:bCs/>
                <w:color w:val="auto"/>
                <w:spacing w:val="0"/>
                <w:sz w:val="21"/>
                <w:szCs w:val="21"/>
                <w:highlight w:val="none"/>
                <w:lang w:val="en-US"/>
              </w:rPr>
            </w:pPr>
            <w:r>
              <w:rPr>
                <w:rFonts w:hint="eastAsia" w:cs="宋体"/>
                <w:bCs/>
                <w:color w:val="auto"/>
                <w:spacing w:val="0"/>
                <w:sz w:val="21"/>
                <w:szCs w:val="21"/>
                <w:highlight w:val="none"/>
                <w:lang w:val="en-US"/>
              </w:rPr>
              <w:t>（4）中标人对磋商文件的内容提出修改要求的。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446" w:hRule="atLeast"/>
          <w:jc w:val="center"/>
        </w:trPr>
        <w:tc>
          <w:tcPr>
            <w:tcW w:w="1415" w:type="dxa"/>
            <w:noWrap/>
            <w:tcMar>
              <w:left w:w="57" w:type="dxa"/>
              <w:right w:w="57" w:type="dxa"/>
            </w:tcMar>
            <w:vAlign w:val="center"/>
          </w:tcPr>
          <w:p>
            <w:pPr>
              <w:pStyle w:val="20"/>
              <w:spacing w:line="380" w:lineRule="exact"/>
              <w:jc w:val="center"/>
              <w:rPr>
                <w:rFonts w:hint="eastAsia" w:hAnsi="宋体"/>
                <w:color w:val="auto"/>
                <w:szCs w:val="21"/>
                <w:highlight w:val="none"/>
              </w:rPr>
            </w:pPr>
            <w:r>
              <w:rPr>
                <w:rFonts w:hint="eastAsia" w:hAnsi="宋体"/>
                <w:color w:val="auto"/>
                <w:szCs w:val="21"/>
                <w:highlight w:val="none"/>
              </w:rPr>
              <w:t>24.1</w:t>
            </w:r>
          </w:p>
        </w:tc>
        <w:tc>
          <w:tcPr>
            <w:tcW w:w="2077" w:type="dxa"/>
            <w:noWrap/>
            <w:tcMar>
              <w:left w:w="57" w:type="dxa"/>
              <w:right w:w="57" w:type="dxa"/>
            </w:tcMar>
            <w:vAlign w:val="center"/>
          </w:tcPr>
          <w:p>
            <w:pPr>
              <w:pStyle w:val="20"/>
              <w:spacing w:line="380" w:lineRule="exact"/>
              <w:jc w:val="center"/>
              <w:rPr>
                <w:rFonts w:hint="eastAsia" w:hAnsi="宋体"/>
                <w:color w:val="auto"/>
                <w:szCs w:val="21"/>
                <w:highlight w:val="none"/>
              </w:rPr>
            </w:pPr>
            <w:r>
              <w:rPr>
                <w:rFonts w:hint="eastAsia" w:hAnsi="宋体"/>
                <w:color w:val="auto"/>
                <w:szCs w:val="21"/>
                <w:highlight w:val="none"/>
              </w:rPr>
              <w:t>投标文件加密要求</w:t>
            </w:r>
          </w:p>
        </w:tc>
        <w:tc>
          <w:tcPr>
            <w:tcW w:w="6792" w:type="dxa"/>
            <w:noWrap/>
            <w:tcMar>
              <w:left w:w="57" w:type="dxa"/>
              <w:right w:w="57" w:type="dxa"/>
            </w:tcMar>
            <w:vAlign w:val="center"/>
          </w:tcPr>
          <w:p>
            <w:pPr>
              <w:pStyle w:val="20"/>
              <w:spacing w:line="380" w:lineRule="exact"/>
              <w:rPr>
                <w:rFonts w:hint="eastAsia" w:hAnsi="宋体"/>
                <w:color w:val="auto"/>
                <w:szCs w:val="21"/>
                <w:highlight w:val="none"/>
              </w:rPr>
            </w:pPr>
            <w:r>
              <w:rPr>
                <w:rFonts w:hint="eastAsia" w:hAnsi="宋体"/>
                <w:color w:val="auto"/>
                <w:szCs w:val="21"/>
                <w:highlight w:val="none"/>
              </w:rPr>
              <w:t xml:space="preserve">（1）投标人进行电子交易应安装客户端软件—“政采云电子交易客户端”，并按照招标文件和电子交易平台的要求编制并加密响应文件。投标人未按规定加密的响应文件，电子交易平台将拒收并提示； </w:t>
            </w:r>
          </w:p>
          <w:p>
            <w:pPr>
              <w:pStyle w:val="20"/>
              <w:spacing w:line="380" w:lineRule="exact"/>
              <w:rPr>
                <w:rFonts w:hint="eastAsia" w:hAnsi="宋体"/>
                <w:color w:val="auto"/>
                <w:szCs w:val="21"/>
                <w:highlight w:val="none"/>
              </w:rPr>
            </w:pPr>
            <w:r>
              <w:rPr>
                <w:rFonts w:hint="eastAsia" w:hAnsi="宋体"/>
                <w:color w:val="auto"/>
                <w:szCs w:val="21"/>
                <w:highlight w:val="none"/>
              </w:rPr>
              <w:t xml:space="preserve">（2）使用“政采云电子交易客户端”需要提前申领 CA 数字证书，申领流程见该项目采购公告附件； </w:t>
            </w:r>
          </w:p>
          <w:p>
            <w:pPr>
              <w:pStyle w:val="20"/>
              <w:spacing w:line="380" w:lineRule="exact"/>
              <w:rPr>
                <w:rFonts w:hint="eastAsia" w:hAnsi="宋体"/>
                <w:color w:val="auto"/>
                <w:szCs w:val="21"/>
                <w:highlight w:val="none"/>
              </w:rPr>
            </w:pPr>
            <w:r>
              <w:rPr>
                <w:rFonts w:hint="eastAsia" w:hAnsi="宋体"/>
                <w:color w:val="auto"/>
                <w:szCs w:val="21"/>
                <w:highlight w:val="none"/>
              </w:rPr>
              <w:t>（3）为确保网上操作合法、有效和安全，投标人应当在响应文件提交截止时间前完成在“政府采购云 平台”的身份认证，确保在电子交易过程中能够对相关数据电文进行加密和使用电子签名。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0" w:hRule="atLeast"/>
          <w:jc w:val="center"/>
        </w:trPr>
        <w:tc>
          <w:tcPr>
            <w:tcW w:w="1415" w:type="dxa"/>
            <w:noWrap/>
            <w:tcMar>
              <w:left w:w="57" w:type="dxa"/>
              <w:right w:w="57" w:type="dxa"/>
            </w:tcMar>
            <w:vAlign w:val="center"/>
          </w:tcPr>
          <w:p>
            <w:pPr>
              <w:pStyle w:val="20"/>
              <w:spacing w:line="380" w:lineRule="exact"/>
              <w:jc w:val="center"/>
              <w:rPr>
                <w:rFonts w:hint="eastAsia" w:hAnsi="宋体"/>
                <w:color w:val="auto"/>
                <w:szCs w:val="21"/>
                <w:highlight w:val="none"/>
              </w:rPr>
            </w:pPr>
            <w:r>
              <w:rPr>
                <w:rFonts w:hint="eastAsia" w:hAnsi="宋体"/>
                <w:color w:val="auto"/>
                <w:szCs w:val="21"/>
                <w:highlight w:val="none"/>
              </w:rPr>
              <w:t>25.1</w:t>
            </w:r>
          </w:p>
        </w:tc>
        <w:tc>
          <w:tcPr>
            <w:tcW w:w="2077" w:type="dxa"/>
            <w:noWrap/>
            <w:tcMar>
              <w:left w:w="57" w:type="dxa"/>
              <w:right w:w="57" w:type="dxa"/>
            </w:tcMar>
            <w:vAlign w:val="center"/>
          </w:tcPr>
          <w:p>
            <w:pPr>
              <w:pStyle w:val="20"/>
              <w:spacing w:line="380" w:lineRule="exact"/>
              <w:jc w:val="center"/>
              <w:rPr>
                <w:rFonts w:hint="eastAsia" w:hAnsi="宋体"/>
                <w:color w:val="auto"/>
                <w:szCs w:val="21"/>
                <w:highlight w:val="none"/>
              </w:rPr>
            </w:pPr>
            <w:r>
              <w:rPr>
                <w:rFonts w:hint="eastAsia" w:hAnsi="宋体"/>
                <w:color w:val="auto"/>
                <w:szCs w:val="21"/>
                <w:highlight w:val="none"/>
              </w:rPr>
              <w:t>开标时间和地点</w:t>
            </w:r>
          </w:p>
        </w:tc>
        <w:tc>
          <w:tcPr>
            <w:tcW w:w="6792" w:type="dxa"/>
            <w:noWrap/>
            <w:tcMar>
              <w:left w:w="57" w:type="dxa"/>
              <w:right w:w="57" w:type="dxa"/>
            </w:tcMar>
            <w:vAlign w:val="center"/>
          </w:tcPr>
          <w:p>
            <w:pPr>
              <w:pStyle w:val="20"/>
              <w:spacing w:line="380" w:lineRule="exact"/>
              <w:rPr>
                <w:rFonts w:hint="eastAsia" w:hAnsi="宋体"/>
                <w:color w:val="auto"/>
                <w:szCs w:val="21"/>
                <w:highlight w:val="none"/>
              </w:rPr>
            </w:pPr>
            <w:r>
              <w:rPr>
                <w:rFonts w:hint="eastAsia" w:hAnsi="宋体"/>
                <w:color w:val="auto"/>
                <w:szCs w:val="21"/>
                <w:highlight w:val="none"/>
              </w:rPr>
              <w:t>开标时间：</w:t>
            </w:r>
            <w:r>
              <w:rPr>
                <w:rFonts w:hint="eastAsia" w:hAnsi="宋体"/>
                <w:color w:val="auto"/>
                <w:szCs w:val="21"/>
                <w:highlight w:val="none"/>
                <w:u w:val="single"/>
              </w:rPr>
              <w:t>202</w:t>
            </w:r>
            <w:r>
              <w:rPr>
                <w:rFonts w:hint="eastAsia" w:hAnsi="宋体"/>
                <w:color w:val="auto"/>
                <w:szCs w:val="21"/>
                <w:highlight w:val="none"/>
                <w:u w:val="single"/>
                <w:lang w:val="en-US" w:eastAsia="zh-CN"/>
              </w:rPr>
              <w:t>5</w:t>
            </w:r>
            <w:r>
              <w:rPr>
                <w:rFonts w:hint="eastAsia" w:hAnsi="宋体"/>
                <w:color w:val="auto"/>
                <w:szCs w:val="21"/>
                <w:highlight w:val="none"/>
                <w:u w:val="single"/>
              </w:rPr>
              <w:t>年02月28日09</w:t>
            </w:r>
            <w:r>
              <w:rPr>
                <w:rFonts w:hint="eastAsia" w:hAnsi="宋体"/>
                <w:color w:val="auto"/>
                <w:szCs w:val="21"/>
                <w:highlight w:val="none"/>
              </w:rPr>
              <w:t>时</w:t>
            </w:r>
            <w:r>
              <w:rPr>
                <w:rFonts w:hint="eastAsia" w:hAnsi="宋体"/>
                <w:color w:val="auto"/>
                <w:szCs w:val="21"/>
                <w:highlight w:val="none"/>
                <w:u w:val="single"/>
              </w:rPr>
              <w:t>00</w:t>
            </w:r>
            <w:r>
              <w:rPr>
                <w:rFonts w:hint="eastAsia" w:hAnsi="宋体"/>
                <w:color w:val="auto"/>
                <w:szCs w:val="21"/>
                <w:highlight w:val="none"/>
              </w:rPr>
              <w:t>分（北京时间）</w:t>
            </w:r>
          </w:p>
          <w:p>
            <w:pPr>
              <w:pStyle w:val="20"/>
              <w:spacing w:line="380" w:lineRule="exact"/>
              <w:rPr>
                <w:rFonts w:hint="eastAsia" w:hAnsi="宋体"/>
                <w:color w:val="auto"/>
                <w:szCs w:val="21"/>
                <w:highlight w:val="none"/>
              </w:rPr>
            </w:pPr>
            <w:r>
              <w:rPr>
                <w:rFonts w:hint="eastAsia" w:hAnsi="宋体"/>
                <w:color w:val="auto"/>
                <w:szCs w:val="21"/>
                <w:highlight w:val="none"/>
              </w:rPr>
              <w:t>开标地点：“政采云”平台开标大厅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0" w:hRule="atLeast"/>
          <w:jc w:val="center"/>
        </w:trPr>
        <w:tc>
          <w:tcPr>
            <w:tcW w:w="1415" w:type="dxa"/>
            <w:noWrap/>
            <w:tcMar>
              <w:left w:w="57" w:type="dxa"/>
              <w:right w:w="57" w:type="dxa"/>
            </w:tcMar>
            <w:vAlign w:val="center"/>
          </w:tcPr>
          <w:p>
            <w:pPr>
              <w:pStyle w:val="20"/>
              <w:spacing w:line="380" w:lineRule="exact"/>
              <w:jc w:val="center"/>
              <w:rPr>
                <w:rFonts w:hint="eastAsia" w:hAnsi="宋体"/>
                <w:color w:val="auto"/>
                <w:szCs w:val="21"/>
                <w:highlight w:val="none"/>
              </w:rPr>
            </w:pPr>
            <w:r>
              <w:rPr>
                <w:rFonts w:hint="eastAsia" w:hAnsi="宋体"/>
                <w:color w:val="auto"/>
                <w:szCs w:val="21"/>
                <w:highlight w:val="none"/>
              </w:rPr>
              <w:t>27.1</w:t>
            </w:r>
          </w:p>
        </w:tc>
        <w:tc>
          <w:tcPr>
            <w:tcW w:w="2077" w:type="dxa"/>
            <w:noWrap/>
            <w:tcMar>
              <w:left w:w="57" w:type="dxa"/>
              <w:right w:w="57" w:type="dxa"/>
            </w:tcMar>
            <w:vAlign w:val="center"/>
          </w:tcPr>
          <w:p>
            <w:pPr>
              <w:pStyle w:val="20"/>
              <w:spacing w:line="380" w:lineRule="exact"/>
              <w:jc w:val="center"/>
              <w:rPr>
                <w:rFonts w:hint="eastAsia" w:hAnsi="宋体"/>
                <w:color w:val="auto"/>
                <w:szCs w:val="21"/>
                <w:highlight w:val="none"/>
              </w:rPr>
            </w:pPr>
            <w:r>
              <w:rPr>
                <w:rFonts w:hAnsi="宋体"/>
                <w:color w:val="auto"/>
                <w:szCs w:val="21"/>
                <w:highlight w:val="none"/>
              </w:rPr>
              <w:t>评标委员会的组建</w:t>
            </w:r>
          </w:p>
        </w:tc>
        <w:tc>
          <w:tcPr>
            <w:tcW w:w="6792" w:type="dxa"/>
            <w:noWrap/>
            <w:tcMar>
              <w:left w:w="57" w:type="dxa"/>
              <w:right w:w="57" w:type="dxa"/>
            </w:tcMar>
            <w:vAlign w:val="center"/>
          </w:tcPr>
          <w:p>
            <w:pPr>
              <w:pStyle w:val="20"/>
              <w:spacing w:line="380" w:lineRule="exact"/>
              <w:rPr>
                <w:rFonts w:hint="eastAsia" w:hAnsi="宋体"/>
                <w:color w:val="auto"/>
                <w:szCs w:val="21"/>
                <w:highlight w:val="none"/>
              </w:rPr>
            </w:pPr>
            <w:r>
              <w:rPr>
                <w:rFonts w:hint="eastAsia" w:hAnsi="宋体"/>
                <w:color w:val="auto"/>
                <w:szCs w:val="21"/>
                <w:highlight w:val="none"/>
              </w:rPr>
              <w:t>评标委员会由</w:t>
            </w:r>
            <w:r>
              <w:rPr>
                <w:rFonts w:hAnsi="宋体"/>
                <w:color w:val="auto"/>
                <w:szCs w:val="21"/>
                <w:highlight w:val="none"/>
                <w:u w:val="single"/>
              </w:rPr>
              <w:t>5</w:t>
            </w:r>
            <w:r>
              <w:rPr>
                <w:rFonts w:hint="eastAsia" w:hAnsi="宋体"/>
                <w:color w:val="auto"/>
                <w:szCs w:val="21"/>
                <w:highlight w:val="none"/>
              </w:rPr>
              <w:t>人组成，其中采购人代表</w:t>
            </w:r>
            <w:r>
              <w:rPr>
                <w:rFonts w:hAnsi="宋体"/>
                <w:color w:val="auto"/>
                <w:szCs w:val="21"/>
                <w:highlight w:val="none"/>
                <w:u w:val="single"/>
              </w:rPr>
              <w:t>1</w:t>
            </w:r>
            <w:r>
              <w:rPr>
                <w:rFonts w:hint="eastAsia" w:hAnsi="宋体"/>
                <w:color w:val="auto"/>
                <w:szCs w:val="21"/>
                <w:highlight w:val="none"/>
              </w:rPr>
              <w:t>人及专家</w:t>
            </w:r>
            <w:r>
              <w:rPr>
                <w:rFonts w:hAnsi="宋体"/>
                <w:color w:val="auto"/>
                <w:szCs w:val="21"/>
                <w:highlight w:val="none"/>
                <w:u w:val="single"/>
              </w:rPr>
              <w:t>4</w:t>
            </w:r>
            <w:r>
              <w:rPr>
                <w:rFonts w:hint="eastAsia" w:hAnsi="宋体"/>
                <w:color w:val="auto"/>
                <w:szCs w:val="21"/>
                <w:highlight w:val="none"/>
              </w:rPr>
              <w:t>人</w:t>
            </w:r>
          </w:p>
          <w:p>
            <w:pPr>
              <w:pStyle w:val="20"/>
              <w:spacing w:line="380" w:lineRule="exact"/>
              <w:rPr>
                <w:rFonts w:hint="eastAsia" w:hAnsi="宋体"/>
                <w:color w:val="auto"/>
                <w:szCs w:val="21"/>
                <w:highlight w:val="none"/>
              </w:rPr>
            </w:pPr>
            <w:r>
              <w:rPr>
                <w:rFonts w:hAnsi="宋体"/>
                <w:color w:val="auto"/>
                <w:szCs w:val="21"/>
                <w:highlight w:val="none"/>
              </w:rPr>
              <w:t>评标专家确定方式：</w:t>
            </w:r>
            <w:r>
              <w:rPr>
                <w:rFonts w:hint="eastAsia" w:hAnsi="宋体"/>
                <w:color w:val="auto"/>
                <w:szCs w:val="21"/>
                <w:highlight w:val="none"/>
              </w:rPr>
              <w:t>云南省政府采购网上专家库中随机</w:t>
            </w:r>
            <w:r>
              <w:rPr>
                <w:rFonts w:hAnsi="宋体"/>
                <w:color w:val="auto"/>
                <w:szCs w:val="21"/>
                <w:highlight w:val="none"/>
              </w:rPr>
              <w:t>抽取。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0" w:hRule="atLeast"/>
          <w:jc w:val="center"/>
        </w:trPr>
        <w:tc>
          <w:tcPr>
            <w:tcW w:w="1415" w:type="dxa"/>
            <w:noWrap/>
            <w:tcMar>
              <w:left w:w="57" w:type="dxa"/>
              <w:right w:w="57" w:type="dxa"/>
            </w:tcMar>
            <w:vAlign w:val="center"/>
          </w:tcPr>
          <w:p>
            <w:pPr>
              <w:pStyle w:val="20"/>
              <w:spacing w:line="380" w:lineRule="exact"/>
              <w:jc w:val="center"/>
              <w:rPr>
                <w:rFonts w:hint="eastAsia" w:hAnsi="宋体"/>
                <w:color w:val="auto"/>
                <w:szCs w:val="21"/>
                <w:highlight w:val="none"/>
              </w:rPr>
            </w:pPr>
            <w:r>
              <w:rPr>
                <w:rFonts w:hint="eastAsia" w:hAnsi="宋体"/>
                <w:color w:val="auto"/>
                <w:szCs w:val="21"/>
                <w:highlight w:val="none"/>
              </w:rPr>
              <w:t>27.3</w:t>
            </w:r>
          </w:p>
        </w:tc>
        <w:tc>
          <w:tcPr>
            <w:tcW w:w="2077" w:type="dxa"/>
            <w:noWrap/>
            <w:tcMar>
              <w:left w:w="57" w:type="dxa"/>
              <w:right w:w="57" w:type="dxa"/>
            </w:tcMar>
            <w:vAlign w:val="center"/>
          </w:tcPr>
          <w:p>
            <w:pPr>
              <w:pStyle w:val="20"/>
              <w:spacing w:line="380" w:lineRule="exact"/>
              <w:jc w:val="center"/>
              <w:rPr>
                <w:rFonts w:hint="eastAsia" w:hAnsi="宋体"/>
                <w:color w:val="auto"/>
                <w:szCs w:val="21"/>
                <w:highlight w:val="none"/>
              </w:rPr>
            </w:pPr>
            <w:r>
              <w:rPr>
                <w:rFonts w:hint="eastAsia" w:hAnsi="宋体"/>
                <w:color w:val="auto"/>
                <w:szCs w:val="21"/>
                <w:highlight w:val="none"/>
              </w:rPr>
              <w:t>评标办法</w:t>
            </w:r>
          </w:p>
        </w:tc>
        <w:tc>
          <w:tcPr>
            <w:tcW w:w="6792" w:type="dxa"/>
            <w:noWrap/>
            <w:tcMar>
              <w:left w:w="57" w:type="dxa"/>
              <w:right w:w="57" w:type="dxa"/>
            </w:tcMar>
            <w:vAlign w:val="center"/>
          </w:tcPr>
          <w:p>
            <w:pPr>
              <w:pStyle w:val="20"/>
              <w:spacing w:line="380" w:lineRule="exact"/>
              <w:rPr>
                <w:rFonts w:hint="eastAsia" w:hAnsi="宋体"/>
                <w:color w:val="auto"/>
                <w:szCs w:val="21"/>
                <w:highlight w:val="none"/>
              </w:rPr>
            </w:pPr>
            <w:r>
              <w:rPr>
                <w:rFonts w:hint="eastAsia" w:hAnsi="宋体"/>
                <w:color w:val="auto"/>
                <w:szCs w:val="21"/>
                <w:highlight w:val="none"/>
              </w:rPr>
              <w:t>□最低评标价法</w:t>
            </w:r>
          </w:p>
          <w:p>
            <w:pPr>
              <w:pStyle w:val="20"/>
              <w:spacing w:line="380" w:lineRule="exact"/>
              <w:rPr>
                <w:rFonts w:hint="eastAsia" w:hAnsi="宋体"/>
                <w:color w:val="auto"/>
                <w:szCs w:val="21"/>
                <w:highlight w:val="none"/>
              </w:rPr>
            </w:pPr>
            <w:r>
              <w:rPr>
                <w:rFonts w:hAnsi="宋体"/>
                <w:b/>
                <w:color w:val="auto"/>
                <w:sz w:val="24"/>
                <w:highlight w:val="none"/>
              </w:rPr>
              <w:fldChar w:fldCharType="begin"/>
            </w:r>
            <w:r>
              <w:rPr>
                <w:rFonts w:hAnsi="宋体"/>
                <w:b/>
                <w:color w:val="auto"/>
                <w:sz w:val="24"/>
                <w:highlight w:val="none"/>
              </w:rPr>
              <w:instrText xml:space="preserve"> EQ \o(</w:instrText>
            </w:r>
            <w:r>
              <w:rPr>
                <w:rFonts w:hint="eastAsia" w:hAnsi="宋体"/>
                <w:b/>
                <w:color w:val="auto"/>
                <w:sz w:val="24"/>
                <w:highlight w:val="none"/>
              </w:rPr>
              <w:instrText xml:space="preserve">□</w:instrText>
            </w:r>
            <w:r>
              <w:rPr>
                <w:rFonts w:hAnsi="宋体"/>
                <w:b/>
                <w:color w:val="auto"/>
                <w:sz w:val="24"/>
                <w:highlight w:val="none"/>
              </w:rPr>
              <w:instrText xml:space="preserve">,</w:instrText>
            </w:r>
            <w:r>
              <w:rPr>
                <w:rFonts w:hint="eastAsia" w:hAnsi="宋体"/>
                <w:b/>
                <w:color w:val="auto"/>
                <w:sz w:val="24"/>
                <w:highlight w:val="none"/>
              </w:rPr>
              <w:instrText xml:space="preserve">√</w:instrText>
            </w:r>
            <w:r>
              <w:rPr>
                <w:rFonts w:hAnsi="宋体"/>
                <w:b/>
                <w:color w:val="auto"/>
                <w:sz w:val="24"/>
                <w:highlight w:val="none"/>
              </w:rPr>
              <w:instrText xml:space="preserve">)</w:instrText>
            </w:r>
            <w:r>
              <w:rPr>
                <w:rFonts w:hAnsi="宋体"/>
                <w:b/>
                <w:color w:val="auto"/>
                <w:sz w:val="24"/>
                <w:highlight w:val="none"/>
              </w:rPr>
              <w:fldChar w:fldCharType="end"/>
            </w:r>
            <w:r>
              <w:rPr>
                <w:rFonts w:hint="eastAsia" w:hAnsi="宋体"/>
                <w:color w:val="auto"/>
                <w:szCs w:val="21"/>
                <w:highlight w:val="none"/>
              </w:rPr>
              <w:t>综合评分法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0" w:hRule="atLeast"/>
          <w:jc w:val="center"/>
        </w:trPr>
        <w:tc>
          <w:tcPr>
            <w:tcW w:w="1415" w:type="dxa"/>
            <w:noWrap/>
            <w:tcMar>
              <w:left w:w="57" w:type="dxa"/>
              <w:right w:w="57" w:type="dxa"/>
            </w:tcMar>
            <w:vAlign w:val="center"/>
          </w:tcPr>
          <w:p>
            <w:pPr>
              <w:pStyle w:val="20"/>
              <w:spacing w:line="380" w:lineRule="exact"/>
              <w:jc w:val="center"/>
              <w:rPr>
                <w:rFonts w:hint="eastAsia" w:hAnsi="宋体"/>
                <w:color w:val="auto"/>
                <w:szCs w:val="21"/>
                <w:highlight w:val="none"/>
              </w:rPr>
            </w:pPr>
            <w:r>
              <w:rPr>
                <w:rFonts w:hint="eastAsia" w:hAnsi="宋体"/>
                <w:color w:val="auto"/>
                <w:szCs w:val="21"/>
                <w:highlight w:val="none"/>
              </w:rPr>
              <w:t>27.4</w:t>
            </w:r>
          </w:p>
        </w:tc>
        <w:tc>
          <w:tcPr>
            <w:tcW w:w="2077" w:type="dxa"/>
            <w:noWrap/>
            <w:tcMar>
              <w:left w:w="57" w:type="dxa"/>
              <w:right w:w="57" w:type="dxa"/>
            </w:tcMar>
            <w:vAlign w:val="center"/>
          </w:tcPr>
          <w:p>
            <w:pPr>
              <w:pStyle w:val="147"/>
              <w:autoSpaceDE w:val="0"/>
              <w:autoSpaceDN w:val="0"/>
              <w:spacing w:after="0" w:line="400" w:lineRule="exact"/>
              <w:ind w:left="147" w:right="138"/>
              <w:rPr>
                <w:rFonts w:hint="eastAsia" w:ascii="宋体" w:hAnsi="宋体"/>
                <w:color w:val="auto"/>
                <w:szCs w:val="21"/>
                <w:highlight w:val="none"/>
              </w:rPr>
            </w:pPr>
            <w:r>
              <w:rPr>
                <w:rFonts w:hint="eastAsia" w:ascii="宋体" w:hAnsi="宋体"/>
                <w:color w:val="auto"/>
                <w:szCs w:val="21"/>
                <w:highlight w:val="none"/>
              </w:rPr>
              <w:t>评标委员会推荐中标候选人的人数</w:t>
            </w:r>
          </w:p>
        </w:tc>
        <w:tc>
          <w:tcPr>
            <w:tcW w:w="6792" w:type="dxa"/>
            <w:noWrap/>
            <w:tcMar>
              <w:left w:w="57" w:type="dxa"/>
              <w:right w:w="57" w:type="dxa"/>
            </w:tcMar>
            <w:vAlign w:val="center"/>
          </w:tcPr>
          <w:p>
            <w:pPr>
              <w:pStyle w:val="147"/>
              <w:autoSpaceDE w:val="0"/>
              <w:autoSpaceDN w:val="0"/>
              <w:spacing w:after="0" w:line="400" w:lineRule="exact"/>
              <w:ind w:left="142" w:right="71" w:rightChars="34"/>
              <w:rPr>
                <w:rFonts w:hint="eastAsia" w:ascii="宋体" w:hAnsi="宋体"/>
                <w:color w:val="auto"/>
                <w:szCs w:val="21"/>
                <w:highlight w:val="none"/>
              </w:rPr>
            </w:pPr>
            <w:r>
              <w:rPr>
                <w:rFonts w:hint="eastAsia" w:ascii="宋体" w:hAnsi="宋体"/>
                <w:color w:val="auto"/>
                <w:szCs w:val="21"/>
                <w:highlight w:val="none"/>
              </w:rPr>
              <w:t>3人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0" w:hRule="atLeast"/>
          <w:jc w:val="center"/>
        </w:trPr>
        <w:tc>
          <w:tcPr>
            <w:tcW w:w="1415" w:type="dxa"/>
            <w:noWrap/>
            <w:tcMar>
              <w:left w:w="57" w:type="dxa"/>
              <w:right w:w="57" w:type="dxa"/>
            </w:tcMar>
            <w:vAlign w:val="center"/>
          </w:tcPr>
          <w:p>
            <w:pPr>
              <w:pStyle w:val="20"/>
              <w:spacing w:line="380" w:lineRule="exact"/>
              <w:ind w:firstLine="420" w:firstLineChars="200"/>
              <w:rPr>
                <w:rFonts w:hint="eastAsia" w:hAnsi="宋体"/>
                <w:color w:val="auto"/>
                <w:szCs w:val="21"/>
                <w:highlight w:val="none"/>
              </w:rPr>
            </w:pPr>
            <w:r>
              <w:rPr>
                <w:rFonts w:hint="eastAsia" w:hAnsi="宋体"/>
                <w:color w:val="auto"/>
                <w:szCs w:val="21"/>
                <w:highlight w:val="none"/>
              </w:rPr>
              <w:t>31.1</w:t>
            </w:r>
          </w:p>
        </w:tc>
        <w:tc>
          <w:tcPr>
            <w:tcW w:w="2077" w:type="dxa"/>
            <w:noWrap/>
            <w:tcMar>
              <w:left w:w="57" w:type="dxa"/>
              <w:right w:w="57" w:type="dxa"/>
            </w:tcMar>
            <w:vAlign w:val="center"/>
          </w:tcPr>
          <w:p>
            <w:pPr>
              <w:pStyle w:val="20"/>
              <w:spacing w:line="380" w:lineRule="exact"/>
              <w:rPr>
                <w:rFonts w:hint="eastAsia" w:hAnsi="宋体"/>
                <w:color w:val="auto"/>
                <w:szCs w:val="21"/>
                <w:highlight w:val="none"/>
              </w:rPr>
            </w:pPr>
            <w:r>
              <w:rPr>
                <w:rFonts w:hint="eastAsia" w:hAnsi="宋体"/>
                <w:color w:val="auto"/>
                <w:szCs w:val="21"/>
                <w:highlight w:val="none"/>
              </w:rPr>
              <w:t>中标结果公示媒介及期限</w:t>
            </w:r>
          </w:p>
        </w:tc>
        <w:tc>
          <w:tcPr>
            <w:tcW w:w="6792" w:type="dxa"/>
            <w:noWrap/>
            <w:tcMar>
              <w:left w:w="57" w:type="dxa"/>
              <w:right w:w="57" w:type="dxa"/>
            </w:tcMar>
            <w:vAlign w:val="center"/>
          </w:tcPr>
          <w:p>
            <w:pPr>
              <w:pStyle w:val="20"/>
              <w:spacing w:line="380" w:lineRule="exact"/>
              <w:rPr>
                <w:rFonts w:hint="eastAsia" w:hAnsi="宋体"/>
                <w:color w:val="auto"/>
                <w:szCs w:val="21"/>
                <w:highlight w:val="none"/>
              </w:rPr>
            </w:pPr>
            <w:r>
              <w:rPr>
                <w:rFonts w:hint="eastAsia" w:hAnsi="宋体"/>
                <w:color w:val="auto"/>
                <w:szCs w:val="21"/>
                <w:highlight w:val="none"/>
              </w:rPr>
              <w:t>公示媒介：与招标公告发布媒介一致</w:t>
            </w:r>
          </w:p>
          <w:p>
            <w:pPr>
              <w:pStyle w:val="20"/>
              <w:spacing w:line="380" w:lineRule="exact"/>
              <w:rPr>
                <w:rFonts w:hint="eastAsia" w:hAnsi="宋体"/>
                <w:color w:val="auto"/>
                <w:szCs w:val="21"/>
                <w:highlight w:val="none"/>
              </w:rPr>
            </w:pPr>
            <w:r>
              <w:rPr>
                <w:rFonts w:hint="eastAsia" w:hAnsi="宋体"/>
                <w:color w:val="auto"/>
                <w:szCs w:val="21"/>
                <w:highlight w:val="none"/>
              </w:rPr>
              <w:t>公示期限：1个工作日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0" w:hRule="atLeast"/>
          <w:jc w:val="center"/>
        </w:trPr>
        <w:tc>
          <w:tcPr>
            <w:tcW w:w="1415" w:type="dxa"/>
            <w:noWrap/>
            <w:tcMar>
              <w:left w:w="57" w:type="dxa"/>
              <w:right w:w="57" w:type="dxa"/>
            </w:tcMar>
            <w:vAlign w:val="center"/>
          </w:tcPr>
          <w:p>
            <w:pPr>
              <w:pStyle w:val="20"/>
              <w:spacing w:line="380" w:lineRule="exact"/>
              <w:jc w:val="center"/>
              <w:rPr>
                <w:rFonts w:hint="eastAsia" w:hAnsi="宋体"/>
                <w:color w:val="auto"/>
                <w:szCs w:val="21"/>
                <w:highlight w:val="none"/>
              </w:rPr>
            </w:pPr>
            <w:r>
              <w:rPr>
                <w:rFonts w:hint="eastAsia" w:hAnsi="宋体"/>
                <w:color w:val="auto"/>
                <w:szCs w:val="21"/>
                <w:highlight w:val="none"/>
              </w:rPr>
              <w:t>33</w:t>
            </w:r>
          </w:p>
        </w:tc>
        <w:tc>
          <w:tcPr>
            <w:tcW w:w="2077" w:type="dxa"/>
            <w:noWrap/>
            <w:tcMar>
              <w:left w:w="57" w:type="dxa"/>
              <w:right w:w="57" w:type="dxa"/>
            </w:tcMar>
            <w:vAlign w:val="center"/>
          </w:tcPr>
          <w:p>
            <w:pPr>
              <w:pStyle w:val="20"/>
              <w:spacing w:line="380" w:lineRule="exact"/>
              <w:jc w:val="center"/>
              <w:rPr>
                <w:rFonts w:hint="eastAsia" w:hAnsi="宋体"/>
                <w:color w:val="auto"/>
                <w:szCs w:val="21"/>
                <w:highlight w:val="none"/>
              </w:rPr>
            </w:pPr>
            <w:r>
              <w:rPr>
                <w:rFonts w:hint="eastAsia" w:hAnsi="宋体"/>
                <w:bCs/>
                <w:color w:val="auto"/>
                <w:szCs w:val="21"/>
                <w:highlight w:val="none"/>
              </w:rPr>
              <w:t>履约保证金</w:t>
            </w:r>
            <w:r>
              <w:rPr>
                <w:rFonts w:hint="eastAsia" w:hAnsi="宋体"/>
                <w:color w:val="auto"/>
                <w:szCs w:val="21"/>
                <w:highlight w:val="none"/>
              </w:rPr>
              <w:t>金额</w:t>
            </w:r>
          </w:p>
        </w:tc>
        <w:tc>
          <w:tcPr>
            <w:tcW w:w="6792" w:type="dxa"/>
            <w:noWrap/>
            <w:tcMar>
              <w:left w:w="57" w:type="dxa"/>
              <w:right w:w="57" w:type="dxa"/>
            </w:tcMar>
            <w:vAlign w:val="center"/>
          </w:tcPr>
          <w:p>
            <w:pPr>
              <w:pStyle w:val="20"/>
              <w:spacing w:line="380" w:lineRule="exact"/>
              <w:rPr>
                <w:rFonts w:hint="eastAsia" w:hAnsi="宋体"/>
                <w:color w:val="auto"/>
                <w:szCs w:val="21"/>
                <w:highlight w:val="none"/>
              </w:rPr>
            </w:pPr>
            <w:r>
              <w:rPr>
                <w:rFonts w:hint="eastAsia" w:hAnsi="宋体"/>
                <w:color w:val="auto"/>
                <w:szCs w:val="21"/>
                <w:highlight w:val="none"/>
              </w:rPr>
              <w:t>履约担保的形式：</w:t>
            </w:r>
            <w:r>
              <w:rPr>
                <w:rFonts w:hAnsi="宋体"/>
                <w:color w:val="auto"/>
                <w:szCs w:val="21"/>
                <w:highlight w:val="none"/>
              </w:rPr>
              <w:fldChar w:fldCharType="begin"/>
            </w:r>
            <w:r>
              <w:rPr>
                <w:rFonts w:hAnsi="宋体"/>
                <w:color w:val="auto"/>
                <w:szCs w:val="21"/>
                <w:highlight w:val="none"/>
              </w:rPr>
              <w:instrText xml:space="preserve"> AUTOTEXT  input167 \* MERGEFORMAT </w:instrText>
            </w:r>
            <w:r>
              <w:rPr>
                <w:rFonts w:hAnsi="宋体"/>
                <w:color w:val="auto"/>
                <w:szCs w:val="21"/>
                <w:highlight w:val="none"/>
              </w:rPr>
              <w:fldChar w:fldCharType="separate"/>
            </w:r>
            <w:r>
              <w:rPr>
                <w:rFonts w:hAnsi="宋体"/>
                <w:color w:val="auto"/>
                <w:szCs w:val="21"/>
                <w:highlight w:val="none"/>
              </w:rPr>
              <w:t>银行转账、银行保函或投标保证保险</w:t>
            </w:r>
            <w:r>
              <w:rPr>
                <w:rFonts w:hAnsi="宋体"/>
                <w:color w:val="auto"/>
                <w:szCs w:val="21"/>
                <w:highlight w:val="none"/>
              </w:rPr>
              <w:fldChar w:fldCharType="end"/>
            </w:r>
            <w:r>
              <w:rPr>
                <w:rFonts w:hint="eastAsia" w:hAnsi="宋体"/>
                <w:color w:val="auto"/>
                <w:szCs w:val="21"/>
                <w:highlight w:val="none"/>
              </w:rPr>
              <w:t>等其他非现金形式。</w:t>
            </w:r>
          </w:p>
          <w:p>
            <w:pPr>
              <w:pStyle w:val="20"/>
              <w:spacing w:line="380" w:lineRule="exact"/>
              <w:rPr>
                <w:rFonts w:hint="eastAsia" w:hAnsi="宋体"/>
                <w:color w:val="auto"/>
                <w:szCs w:val="21"/>
                <w:highlight w:val="none"/>
              </w:rPr>
            </w:pPr>
            <w:r>
              <w:rPr>
                <w:rFonts w:hint="eastAsia" w:hAnsi="宋体"/>
                <w:color w:val="auto"/>
                <w:szCs w:val="21"/>
                <w:highlight w:val="none"/>
              </w:rPr>
              <w:t>履约担保的金额：</w:t>
            </w:r>
            <w:r>
              <w:rPr>
                <w:rFonts w:hAnsi="宋体"/>
                <w:color w:val="auto"/>
                <w:szCs w:val="21"/>
                <w:highlight w:val="none"/>
              </w:rPr>
              <w:fldChar w:fldCharType="begin"/>
            </w:r>
            <w:r>
              <w:rPr>
                <w:rFonts w:hAnsi="宋体"/>
                <w:color w:val="auto"/>
                <w:szCs w:val="21"/>
                <w:highlight w:val="none"/>
              </w:rPr>
              <w:instrText xml:space="preserve"> AUTOTEXT  input168 \* MERGEFORMAT </w:instrText>
            </w:r>
            <w:r>
              <w:rPr>
                <w:rFonts w:hAnsi="宋体"/>
                <w:color w:val="auto"/>
                <w:szCs w:val="21"/>
                <w:highlight w:val="none"/>
              </w:rPr>
              <w:fldChar w:fldCharType="separate"/>
            </w:r>
            <w:r>
              <w:rPr>
                <w:rFonts w:hAnsi="宋体"/>
                <w:color w:val="auto"/>
                <w:szCs w:val="21"/>
                <w:highlight w:val="none"/>
              </w:rPr>
              <w:t>5%</w:t>
            </w:r>
            <w:r>
              <w:rPr>
                <w:rFonts w:hAnsi="宋体"/>
                <w:color w:val="auto"/>
                <w:szCs w:val="21"/>
                <w:highlight w:val="none"/>
              </w:rPr>
              <w:fldChar w:fldCharType="end"/>
            </w:r>
          </w:p>
          <w:p>
            <w:pPr>
              <w:pStyle w:val="20"/>
              <w:spacing w:line="380" w:lineRule="exact"/>
              <w:rPr>
                <w:rFonts w:hint="eastAsia" w:hAnsi="宋体"/>
                <w:color w:val="auto"/>
                <w:szCs w:val="21"/>
                <w:highlight w:val="none"/>
              </w:rPr>
            </w:pPr>
            <w:r>
              <w:rPr>
                <w:rFonts w:hint="eastAsia" w:hAnsi="宋体"/>
                <w:color w:val="auto"/>
                <w:szCs w:val="21"/>
                <w:highlight w:val="none"/>
              </w:rPr>
              <w:t>中标人应当向招标人提交履约保证金，履约保证金不得超过中标合同金额的5%-10%。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7" w:hRule="atLeast"/>
          <w:jc w:val="center"/>
        </w:trPr>
        <w:tc>
          <w:tcPr>
            <w:tcW w:w="1415" w:type="dxa"/>
            <w:noWrap/>
            <w:tcMar>
              <w:left w:w="57" w:type="dxa"/>
              <w:right w:w="57" w:type="dxa"/>
            </w:tcMar>
            <w:vAlign w:val="center"/>
          </w:tcPr>
          <w:p>
            <w:pPr>
              <w:pStyle w:val="20"/>
              <w:spacing w:line="380" w:lineRule="exact"/>
              <w:jc w:val="center"/>
              <w:rPr>
                <w:rFonts w:hint="eastAsia" w:hAnsi="宋体"/>
                <w:color w:val="auto"/>
                <w:szCs w:val="21"/>
                <w:highlight w:val="none"/>
              </w:rPr>
            </w:pPr>
            <w:r>
              <w:rPr>
                <w:rFonts w:hint="eastAsia" w:hAnsi="宋体"/>
                <w:color w:val="auto"/>
                <w:szCs w:val="21"/>
                <w:highlight w:val="none"/>
              </w:rPr>
              <w:t>35</w:t>
            </w:r>
          </w:p>
        </w:tc>
        <w:tc>
          <w:tcPr>
            <w:tcW w:w="8869" w:type="dxa"/>
            <w:gridSpan w:val="2"/>
            <w:noWrap/>
            <w:tcMar>
              <w:left w:w="57" w:type="dxa"/>
              <w:right w:w="57" w:type="dxa"/>
            </w:tcMar>
            <w:vAlign w:val="center"/>
          </w:tcPr>
          <w:p>
            <w:pPr>
              <w:pStyle w:val="20"/>
              <w:spacing w:line="380" w:lineRule="exact"/>
              <w:rPr>
                <w:rFonts w:hint="eastAsia" w:hAnsi="宋体"/>
                <w:color w:val="auto"/>
                <w:szCs w:val="21"/>
                <w:highlight w:val="none"/>
              </w:rPr>
            </w:pPr>
            <w:r>
              <w:rPr>
                <w:rFonts w:hint="eastAsia" w:hAnsi="宋体"/>
                <w:color w:val="auto"/>
                <w:szCs w:val="21"/>
                <w:highlight w:val="none"/>
              </w:rPr>
              <w:t>其他注意事项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74" w:hRule="atLeast"/>
          <w:jc w:val="center"/>
        </w:trPr>
        <w:tc>
          <w:tcPr>
            <w:tcW w:w="1415" w:type="dxa"/>
            <w:noWrap/>
            <w:tcMar>
              <w:left w:w="57" w:type="dxa"/>
              <w:right w:w="57" w:type="dxa"/>
            </w:tcMar>
            <w:vAlign w:val="center"/>
          </w:tcPr>
          <w:p>
            <w:pPr>
              <w:pStyle w:val="20"/>
              <w:spacing w:line="380" w:lineRule="exact"/>
              <w:jc w:val="center"/>
              <w:rPr>
                <w:rFonts w:hint="eastAsia" w:hAnsi="宋体"/>
                <w:color w:val="auto"/>
                <w:szCs w:val="21"/>
                <w:highlight w:val="none"/>
              </w:rPr>
            </w:pPr>
            <w:r>
              <w:rPr>
                <w:rFonts w:hint="eastAsia" w:hAnsi="宋体"/>
                <w:color w:val="auto"/>
                <w:szCs w:val="21"/>
                <w:highlight w:val="none"/>
              </w:rPr>
              <w:t>35.1</w:t>
            </w:r>
          </w:p>
        </w:tc>
        <w:tc>
          <w:tcPr>
            <w:tcW w:w="2077" w:type="dxa"/>
            <w:noWrap/>
            <w:tcMar>
              <w:left w:w="57" w:type="dxa"/>
              <w:right w:w="57" w:type="dxa"/>
            </w:tcMar>
            <w:vAlign w:val="center"/>
          </w:tcPr>
          <w:p>
            <w:pPr>
              <w:pStyle w:val="20"/>
              <w:spacing w:line="380" w:lineRule="exact"/>
              <w:jc w:val="center"/>
              <w:rPr>
                <w:rFonts w:hint="eastAsia" w:hAnsi="宋体"/>
                <w:color w:val="auto"/>
                <w:szCs w:val="21"/>
                <w:highlight w:val="none"/>
              </w:rPr>
            </w:pPr>
            <w:r>
              <w:rPr>
                <w:rFonts w:hint="eastAsia" w:hAnsi="宋体"/>
                <w:color w:val="auto"/>
                <w:szCs w:val="21"/>
                <w:highlight w:val="none"/>
              </w:rPr>
              <w:t>招标代理服务费</w:t>
            </w:r>
          </w:p>
        </w:tc>
        <w:tc>
          <w:tcPr>
            <w:tcW w:w="6792" w:type="dxa"/>
            <w:noWrap/>
            <w:tcMar>
              <w:left w:w="57" w:type="dxa"/>
              <w:right w:w="57" w:type="dxa"/>
            </w:tcMar>
            <w:vAlign w:val="center"/>
          </w:tcPr>
          <w:p>
            <w:pPr>
              <w:pStyle w:val="20"/>
              <w:spacing w:line="380" w:lineRule="exact"/>
              <w:rPr>
                <w:rFonts w:hint="default" w:hAnsi="宋体" w:eastAsia="宋体"/>
                <w:color w:val="auto"/>
                <w:szCs w:val="21"/>
                <w:highlight w:val="none"/>
                <w:lang w:val="en-US" w:eastAsia="zh-CN"/>
              </w:rPr>
            </w:pPr>
            <w:r>
              <w:rPr>
                <w:rFonts w:hint="eastAsia" w:ascii="宋体" w:hAnsi="宋体" w:eastAsia="宋体" w:cs="宋体"/>
                <w:b/>
                <w:bCs/>
                <w:color w:val="auto"/>
                <w:sz w:val="21"/>
                <w:szCs w:val="21"/>
                <w:highlight w:val="none"/>
              </w:rPr>
              <w:t>代理服务费</w:t>
            </w:r>
            <w:r>
              <w:rPr>
                <w:rFonts w:hint="eastAsia" w:hAnsi="宋体" w:cs="宋体"/>
                <w:b/>
                <w:bCs/>
                <w:color w:val="auto"/>
                <w:sz w:val="21"/>
                <w:szCs w:val="21"/>
                <w:highlight w:val="none"/>
                <w:lang w:val="en-US" w:eastAsia="zh-CN"/>
              </w:rPr>
              <w:t>21500.00元</w:t>
            </w: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rPr>
              <w:t>由中标人支付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74" w:hRule="atLeast"/>
          <w:jc w:val="center"/>
        </w:trPr>
        <w:tc>
          <w:tcPr>
            <w:tcW w:w="1415" w:type="dxa"/>
            <w:noWrap/>
            <w:tcMar>
              <w:left w:w="57" w:type="dxa"/>
              <w:right w:w="57" w:type="dxa"/>
            </w:tcMar>
            <w:vAlign w:val="center"/>
          </w:tcPr>
          <w:p>
            <w:pPr>
              <w:pStyle w:val="20"/>
              <w:spacing w:line="380" w:lineRule="exact"/>
              <w:jc w:val="center"/>
              <w:rPr>
                <w:rFonts w:hint="eastAsia" w:hAnsi="宋体"/>
                <w:color w:val="auto"/>
                <w:szCs w:val="21"/>
                <w:highlight w:val="none"/>
              </w:rPr>
            </w:pPr>
            <w:r>
              <w:rPr>
                <w:rFonts w:hint="eastAsia" w:hAnsi="宋体"/>
                <w:color w:val="auto"/>
                <w:szCs w:val="21"/>
                <w:highlight w:val="none"/>
              </w:rPr>
              <w:t>35.2</w:t>
            </w:r>
          </w:p>
        </w:tc>
        <w:tc>
          <w:tcPr>
            <w:tcW w:w="2077" w:type="dxa"/>
            <w:noWrap/>
            <w:tcMar>
              <w:left w:w="57" w:type="dxa"/>
              <w:right w:w="57" w:type="dxa"/>
            </w:tcMar>
            <w:vAlign w:val="center"/>
          </w:tcPr>
          <w:p>
            <w:pPr>
              <w:pStyle w:val="20"/>
              <w:spacing w:line="380" w:lineRule="exact"/>
              <w:jc w:val="center"/>
              <w:rPr>
                <w:rFonts w:hint="eastAsia" w:hAnsi="宋体"/>
                <w:color w:val="auto"/>
                <w:szCs w:val="21"/>
                <w:highlight w:val="none"/>
              </w:rPr>
            </w:pPr>
            <w:r>
              <w:rPr>
                <w:rFonts w:hint="eastAsia" w:hAnsi="宋体"/>
                <w:color w:val="auto"/>
                <w:szCs w:val="21"/>
                <w:highlight w:val="none"/>
              </w:rPr>
              <w:t>政府采购政策功能</w:t>
            </w:r>
          </w:p>
        </w:tc>
        <w:tc>
          <w:tcPr>
            <w:tcW w:w="6792" w:type="dxa"/>
            <w:noWrap/>
            <w:tcMar>
              <w:left w:w="57" w:type="dxa"/>
              <w:right w:w="57" w:type="dxa"/>
            </w:tcMar>
            <w:vAlign w:val="center"/>
          </w:tcPr>
          <w:p>
            <w:pPr>
              <w:pStyle w:val="20"/>
              <w:spacing w:line="380" w:lineRule="exact"/>
              <w:rPr>
                <w:rFonts w:hint="eastAsia" w:hAnsi="宋体"/>
                <w:color w:val="auto"/>
                <w:szCs w:val="21"/>
                <w:highlight w:val="none"/>
              </w:rPr>
            </w:pPr>
            <w:r>
              <w:rPr>
                <w:rFonts w:hint="eastAsia" w:hAnsi="宋体"/>
                <w:color w:val="auto"/>
                <w:szCs w:val="21"/>
                <w:highlight w:val="none"/>
              </w:rPr>
              <w:t>本项目属于专门面向中小企业采购的项目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74" w:hRule="atLeast"/>
          <w:jc w:val="center"/>
        </w:trPr>
        <w:tc>
          <w:tcPr>
            <w:tcW w:w="1415" w:type="dxa"/>
            <w:noWrap/>
            <w:tcMar>
              <w:left w:w="57" w:type="dxa"/>
              <w:right w:w="57" w:type="dxa"/>
            </w:tcMar>
            <w:vAlign w:val="center"/>
          </w:tcPr>
          <w:p>
            <w:pPr>
              <w:pStyle w:val="20"/>
              <w:spacing w:line="380" w:lineRule="exact"/>
              <w:jc w:val="center"/>
              <w:rPr>
                <w:rFonts w:hint="eastAsia" w:hAnsi="宋体"/>
                <w:color w:val="auto"/>
                <w:szCs w:val="21"/>
                <w:highlight w:val="none"/>
              </w:rPr>
            </w:pPr>
            <w:bookmarkStart w:id="36" w:name="_Toc118109502"/>
            <w:r>
              <w:rPr>
                <w:rFonts w:hint="eastAsia" w:hAnsi="宋体"/>
                <w:color w:val="auto"/>
                <w:szCs w:val="21"/>
                <w:highlight w:val="none"/>
              </w:rPr>
              <w:t>35.3</w:t>
            </w:r>
          </w:p>
        </w:tc>
        <w:tc>
          <w:tcPr>
            <w:tcW w:w="2077" w:type="dxa"/>
            <w:noWrap/>
            <w:tcMar>
              <w:left w:w="57" w:type="dxa"/>
              <w:right w:w="57" w:type="dxa"/>
            </w:tcMar>
            <w:vAlign w:val="center"/>
          </w:tcPr>
          <w:p>
            <w:pPr>
              <w:pStyle w:val="20"/>
              <w:spacing w:line="380" w:lineRule="exact"/>
              <w:jc w:val="center"/>
              <w:rPr>
                <w:rFonts w:hint="eastAsia" w:hAnsi="宋体"/>
                <w:color w:val="auto"/>
                <w:szCs w:val="21"/>
                <w:highlight w:val="none"/>
              </w:rPr>
            </w:pPr>
            <w:r>
              <w:rPr>
                <w:rFonts w:hint="eastAsia" w:hAnsi="宋体"/>
                <w:color w:val="auto"/>
                <w:szCs w:val="21"/>
                <w:highlight w:val="none"/>
              </w:rPr>
              <w:t>质疑、答疑截止时间及截标、保证金截止时间</w:t>
            </w:r>
          </w:p>
        </w:tc>
        <w:tc>
          <w:tcPr>
            <w:tcW w:w="6792" w:type="dxa"/>
            <w:noWrap/>
            <w:tcMar>
              <w:left w:w="57" w:type="dxa"/>
              <w:right w:w="57" w:type="dxa"/>
            </w:tcMar>
            <w:vAlign w:val="center"/>
          </w:tcPr>
          <w:p>
            <w:pPr>
              <w:spacing w:line="460" w:lineRule="exact"/>
              <w:rPr>
                <w:rFonts w:hint="eastAsia" w:ascii="宋体" w:hAnsi="宋体" w:cs="宋体"/>
                <w:color w:val="auto"/>
                <w:sz w:val="22"/>
                <w:szCs w:val="22"/>
                <w:highlight w:val="none"/>
              </w:rPr>
            </w:pPr>
            <w:r>
              <w:rPr>
                <w:rFonts w:hint="eastAsia" w:ascii="宋体" w:hAnsi="宋体" w:cs="宋体"/>
                <w:color w:val="auto"/>
                <w:sz w:val="22"/>
                <w:szCs w:val="22"/>
                <w:highlight w:val="none"/>
              </w:rPr>
              <w:t>质疑截止时间：202</w:t>
            </w:r>
            <w:r>
              <w:rPr>
                <w:rFonts w:hint="eastAsia" w:ascii="宋体" w:hAnsi="宋体" w:cs="宋体"/>
                <w:color w:val="auto"/>
                <w:sz w:val="22"/>
                <w:szCs w:val="22"/>
                <w:highlight w:val="none"/>
                <w:lang w:val="en-US" w:eastAsia="zh-CN"/>
              </w:rPr>
              <w:t>5</w:t>
            </w:r>
            <w:r>
              <w:rPr>
                <w:rFonts w:hint="eastAsia" w:ascii="宋体" w:hAnsi="宋体" w:cs="宋体"/>
                <w:color w:val="auto"/>
                <w:sz w:val="22"/>
                <w:szCs w:val="22"/>
                <w:highlight w:val="none"/>
              </w:rPr>
              <w:t>年</w:t>
            </w:r>
            <w:r>
              <w:rPr>
                <w:rFonts w:hint="eastAsia" w:ascii="宋体" w:hAnsi="宋体" w:cs="宋体"/>
                <w:color w:val="auto"/>
                <w:sz w:val="22"/>
                <w:szCs w:val="22"/>
                <w:highlight w:val="none"/>
                <w:lang w:val="en-US" w:eastAsia="zh-CN"/>
              </w:rPr>
              <w:t>02</w:t>
            </w:r>
            <w:r>
              <w:rPr>
                <w:rFonts w:hint="eastAsia" w:ascii="宋体" w:hAnsi="宋体" w:cs="宋体"/>
                <w:color w:val="auto"/>
                <w:sz w:val="22"/>
                <w:szCs w:val="22"/>
                <w:highlight w:val="none"/>
              </w:rPr>
              <w:t>月</w:t>
            </w:r>
            <w:r>
              <w:rPr>
                <w:rFonts w:hint="eastAsia" w:ascii="宋体" w:hAnsi="宋体" w:cs="宋体"/>
                <w:color w:val="auto"/>
                <w:sz w:val="22"/>
                <w:szCs w:val="22"/>
                <w:highlight w:val="none"/>
                <w:lang w:val="en-US" w:eastAsia="zh-CN"/>
              </w:rPr>
              <w:t>13</w:t>
            </w:r>
            <w:r>
              <w:rPr>
                <w:rFonts w:hint="eastAsia" w:ascii="宋体" w:hAnsi="宋体" w:cs="宋体"/>
                <w:color w:val="auto"/>
                <w:sz w:val="22"/>
                <w:szCs w:val="22"/>
                <w:highlight w:val="none"/>
              </w:rPr>
              <w:t>日23时59分</w:t>
            </w:r>
          </w:p>
          <w:p>
            <w:pPr>
              <w:spacing w:line="460" w:lineRule="exact"/>
              <w:rPr>
                <w:rFonts w:hint="eastAsia" w:ascii="宋体" w:hAnsi="宋体" w:cs="宋体"/>
                <w:color w:val="auto"/>
                <w:sz w:val="22"/>
                <w:szCs w:val="22"/>
                <w:highlight w:val="none"/>
              </w:rPr>
            </w:pPr>
            <w:r>
              <w:rPr>
                <w:rFonts w:hint="eastAsia" w:ascii="宋体" w:hAnsi="宋体" w:cs="宋体"/>
                <w:color w:val="auto"/>
                <w:sz w:val="22"/>
                <w:szCs w:val="22"/>
                <w:highlight w:val="none"/>
              </w:rPr>
              <w:t>答疑截止时间：202</w:t>
            </w:r>
            <w:r>
              <w:rPr>
                <w:rFonts w:hint="eastAsia" w:ascii="宋体" w:hAnsi="宋体" w:cs="宋体"/>
                <w:color w:val="auto"/>
                <w:sz w:val="22"/>
                <w:szCs w:val="22"/>
                <w:highlight w:val="none"/>
                <w:lang w:val="en-US" w:eastAsia="zh-CN"/>
              </w:rPr>
              <w:t>5</w:t>
            </w:r>
            <w:r>
              <w:rPr>
                <w:rFonts w:hint="eastAsia" w:ascii="宋体" w:hAnsi="宋体" w:cs="宋体"/>
                <w:color w:val="auto"/>
                <w:sz w:val="22"/>
                <w:szCs w:val="22"/>
                <w:highlight w:val="none"/>
              </w:rPr>
              <w:t>年</w:t>
            </w:r>
            <w:r>
              <w:rPr>
                <w:rFonts w:hint="eastAsia" w:ascii="宋体" w:hAnsi="宋体" w:cs="宋体"/>
                <w:color w:val="auto"/>
                <w:sz w:val="22"/>
                <w:szCs w:val="22"/>
                <w:highlight w:val="none"/>
                <w:lang w:val="en-US" w:eastAsia="zh-CN"/>
              </w:rPr>
              <w:t>02</w:t>
            </w:r>
            <w:r>
              <w:rPr>
                <w:rFonts w:hint="eastAsia" w:ascii="宋体" w:hAnsi="宋体" w:cs="宋体"/>
                <w:color w:val="auto"/>
                <w:sz w:val="22"/>
                <w:szCs w:val="22"/>
                <w:highlight w:val="none"/>
              </w:rPr>
              <w:t>月</w:t>
            </w:r>
            <w:r>
              <w:rPr>
                <w:rFonts w:hint="eastAsia" w:ascii="宋体" w:hAnsi="宋体" w:cs="宋体"/>
                <w:color w:val="auto"/>
                <w:sz w:val="22"/>
                <w:szCs w:val="22"/>
                <w:highlight w:val="none"/>
                <w:lang w:val="en-US" w:eastAsia="zh-CN"/>
              </w:rPr>
              <w:t>18</w:t>
            </w:r>
            <w:r>
              <w:rPr>
                <w:rFonts w:hint="eastAsia" w:ascii="宋体" w:hAnsi="宋体" w:cs="宋体"/>
                <w:color w:val="auto"/>
                <w:sz w:val="22"/>
                <w:szCs w:val="22"/>
                <w:highlight w:val="none"/>
              </w:rPr>
              <w:t>日23时59分</w:t>
            </w:r>
          </w:p>
          <w:p>
            <w:pPr>
              <w:spacing w:line="460" w:lineRule="exact"/>
              <w:rPr>
                <w:rFonts w:hint="eastAsia" w:ascii="宋体" w:hAnsi="宋体" w:cs="宋体"/>
                <w:color w:val="auto"/>
                <w:sz w:val="22"/>
                <w:szCs w:val="22"/>
                <w:highlight w:val="none"/>
              </w:rPr>
            </w:pPr>
            <w:r>
              <w:rPr>
                <w:rFonts w:hint="eastAsia" w:ascii="宋体" w:hAnsi="宋体" w:cs="宋体"/>
                <w:color w:val="auto"/>
                <w:sz w:val="22"/>
                <w:szCs w:val="22"/>
                <w:highlight w:val="none"/>
              </w:rPr>
              <w:t>截标时间：202</w:t>
            </w:r>
            <w:r>
              <w:rPr>
                <w:rFonts w:hint="eastAsia" w:ascii="宋体" w:hAnsi="宋体" w:cs="宋体"/>
                <w:color w:val="auto"/>
                <w:sz w:val="22"/>
                <w:szCs w:val="22"/>
                <w:highlight w:val="none"/>
                <w:lang w:val="en-US" w:eastAsia="zh-CN"/>
              </w:rPr>
              <w:t>5</w:t>
            </w:r>
            <w:r>
              <w:rPr>
                <w:rFonts w:hint="eastAsia" w:ascii="宋体" w:hAnsi="宋体" w:cs="宋体"/>
                <w:color w:val="auto"/>
                <w:sz w:val="22"/>
                <w:szCs w:val="22"/>
                <w:highlight w:val="none"/>
              </w:rPr>
              <w:t>年</w:t>
            </w:r>
            <w:r>
              <w:rPr>
                <w:rFonts w:hint="eastAsia" w:ascii="宋体" w:hAnsi="宋体" w:cs="宋体"/>
                <w:color w:val="auto"/>
                <w:sz w:val="22"/>
                <w:szCs w:val="22"/>
                <w:highlight w:val="none"/>
                <w:lang w:val="en-US" w:eastAsia="zh-CN"/>
              </w:rPr>
              <w:t>02月28日</w:t>
            </w:r>
            <w:r>
              <w:rPr>
                <w:rFonts w:hint="eastAsia" w:ascii="宋体" w:hAnsi="宋体" w:cs="宋体"/>
                <w:color w:val="auto"/>
                <w:sz w:val="22"/>
                <w:szCs w:val="22"/>
                <w:highlight w:val="none"/>
              </w:rPr>
              <w:t>09时00分</w:t>
            </w:r>
          </w:p>
          <w:p>
            <w:pPr>
              <w:pStyle w:val="20"/>
              <w:spacing w:line="380" w:lineRule="exact"/>
              <w:rPr>
                <w:rFonts w:hint="eastAsia" w:hAnsi="宋体"/>
                <w:color w:val="auto"/>
                <w:szCs w:val="21"/>
                <w:highlight w:val="none"/>
              </w:rPr>
            </w:pPr>
            <w:r>
              <w:rPr>
                <w:rFonts w:hint="eastAsia" w:hAnsi="宋体" w:cs="宋体"/>
                <w:color w:val="auto"/>
                <w:sz w:val="22"/>
                <w:szCs w:val="22"/>
                <w:highlight w:val="none"/>
              </w:rPr>
              <w:t>投标保证金截止时间：202</w:t>
            </w:r>
            <w:r>
              <w:rPr>
                <w:rFonts w:hint="eastAsia" w:hAnsi="宋体" w:cs="宋体"/>
                <w:color w:val="auto"/>
                <w:sz w:val="22"/>
                <w:szCs w:val="22"/>
                <w:highlight w:val="none"/>
                <w:lang w:val="en-US" w:eastAsia="zh-CN"/>
              </w:rPr>
              <w:t>5</w:t>
            </w:r>
            <w:r>
              <w:rPr>
                <w:rFonts w:hint="eastAsia" w:hAnsi="宋体" w:cs="宋体"/>
                <w:color w:val="auto"/>
                <w:sz w:val="22"/>
                <w:szCs w:val="22"/>
                <w:highlight w:val="none"/>
              </w:rPr>
              <w:t>年</w:t>
            </w:r>
            <w:r>
              <w:rPr>
                <w:rFonts w:hint="eastAsia" w:hAnsi="宋体" w:cs="宋体"/>
                <w:color w:val="auto"/>
                <w:sz w:val="22"/>
                <w:szCs w:val="22"/>
                <w:highlight w:val="none"/>
                <w:lang w:val="en-US" w:eastAsia="zh-CN"/>
              </w:rPr>
              <w:t>02月28日</w:t>
            </w:r>
            <w:r>
              <w:rPr>
                <w:rFonts w:hint="eastAsia" w:hAnsi="宋体" w:cs="宋体"/>
                <w:color w:val="auto"/>
                <w:sz w:val="22"/>
                <w:szCs w:val="22"/>
                <w:highlight w:val="none"/>
              </w:rPr>
              <w:t>09时00分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49" w:hRule="atLeast"/>
          <w:jc w:val="center"/>
        </w:trPr>
        <w:tc>
          <w:tcPr>
            <w:tcW w:w="1415" w:type="dxa"/>
            <w:noWrap/>
            <w:tcMar>
              <w:left w:w="57" w:type="dxa"/>
              <w:right w:w="57" w:type="dxa"/>
            </w:tcMar>
            <w:vAlign w:val="center"/>
          </w:tcPr>
          <w:p>
            <w:pPr>
              <w:pStyle w:val="20"/>
              <w:spacing w:line="380" w:lineRule="exact"/>
              <w:jc w:val="center"/>
              <w:rPr>
                <w:rFonts w:hint="eastAsia" w:hAnsi="宋体"/>
                <w:color w:val="auto"/>
                <w:szCs w:val="21"/>
                <w:highlight w:val="none"/>
              </w:rPr>
            </w:pPr>
            <w:r>
              <w:rPr>
                <w:rFonts w:hint="eastAsia" w:hAnsi="宋体"/>
                <w:color w:val="auto"/>
                <w:szCs w:val="21"/>
                <w:highlight w:val="none"/>
              </w:rPr>
              <w:t>35.4</w:t>
            </w:r>
          </w:p>
        </w:tc>
        <w:tc>
          <w:tcPr>
            <w:tcW w:w="2077" w:type="dxa"/>
            <w:noWrap/>
            <w:tcMar>
              <w:left w:w="57" w:type="dxa"/>
              <w:right w:w="57" w:type="dxa"/>
            </w:tcMar>
            <w:vAlign w:val="center"/>
          </w:tcPr>
          <w:p>
            <w:pPr>
              <w:pStyle w:val="20"/>
              <w:spacing w:line="380" w:lineRule="exact"/>
              <w:jc w:val="center"/>
              <w:rPr>
                <w:rFonts w:hint="eastAsia" w:hAnsi="宋体"/>
                <w:color w:val="auto"/>
                <w:szCs w:val="21"/>
                <w:highlight w:val="none"/>
              </w:rPr>
            </w:pPr>
            <w:r>
              <w:rPr>
                <w:rFonts w:hint="eastAsia" w:hAnsi="宋体"/>
                <w:color w:val="auto"/>
                <w:szCs w:val="21"/>
                <w:highlight w:val="none"/>
              </w:rPr>
              <w:t>补充说明</w:t>
            </w:r>
          </w:p>
        </w:tc>
        <w:tc>
          <w:tcPr>
            <w:tcW w:w="6792" w:type="dxa"/>
            <w:noWrap/>
            <w:tcMar>
              <w:left w:w="57" w:type="dxa"/>
              <w:right w:w="57" w:type="dxa"/>
            </w:tcMar>
            <w:vAlign w:val="center"/>
          </w:tcPr>
          <w:p>
            <w:pPr>
              <w:pStyle w:val="20"/>
              <w:spacing w:line="380" w:lineRule="exact"/>
              <w:rPr>
                <w:rFonts w:hint="eastAsia" w:hAnsi="宋体" w:cs="宋体"/>
                <w:color w:val="auto"/>
                <w:sz w:val="22"/>
                <w:szCs w:val="22"/>
                <w:highlight w:val="none"/>
              </w:rPr>
            </w:pPr>
            <w:r>
              <w:rPr>
                <w:rFonts w:hint="eastAsia" w:hAnsi="宋体"/>
                <w:color w:val="auto"/>
                <w:szCs w:val="21"/>
                <w:highlight w:val="none"/>
              </w:rPr>
              <w:t>环境类专业职称包括：环境工程、环境科学与工程、环境科学、地下水科学与工程、环境监测技术、化学分析、化学工程与工艺、环境评价等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49" w:hRule="atLeast"/>
          <w:jc w:val="center"/>
        </w:trPr>
        <w:tc>
          <w:tcPr>
            <w:tcW w:w="1415" w:type="dxa"/>
            <w:noWrap/>
            <w:tcMar>
              <w:left w:w="57" w:type="dxa"/>
              <w:right w:w="57" w:type="dxa"/>
            </w:tcMar>
            <w:vAlign w:val="center"/>
          </w:tcPr>
          <w:p>
            <w:pPr>
              <w:pStyle w:val="20"/>
              <w:spacing w:line="380" w:lineRule="exact"/>
              <w:jc w:val="center"/>
              <w:rPr>
                <w:rFonts w:hint="eastAsia" w:hAnsi="宋体"/>
                <w:color w:val="auto"/>
                <w:szCs w:val="21"/>
                <w:highlight w:val="none"/>
              </w:rPr>
            </w:pPr>
            <w:r>
              <w:rPr>
                <w:rFonts w:hint="eastAsia" w:hAnsi="宋体"/>
                <w:color w:val="auto"/>
                <w:szCs w:val="21"/>
                <w:highlight w:val="none"/>
                <w:lang w:val="en-US" w:eastAsia="zh-CN"/>
              </w:rPr>
              <w:t>35.5</w:t>
            </w:r>
          </w:p>
        </w:tc>
        <w:tc>
          <w:tcPr>
            <w:tcW w:w="2077" w:type="dxa"/>
            <w:noWrap/>
            <w:tcMar>
              <w:left w:w="57" w:type="dxa"/>
              <w:right w:w="57" w:type="dxa"/>
            </w:tcMar>
            <w:vAlign w:val="center"/>
          </w:tcPr>
          <w:p>
            <w:pPr>
              <w:pStyle w:val="20"/>
              <w:spacing w:line="380" w:lineRule="exact"/>
              <w:jc w:val="center"/>
              <w:rPr>
                <w:rFonts w:hint="eastAsia" w:hAnsi="宋体"/>
                <w:color w:val="auto"/>
                <w:szCs w:val="21"/>
                <w:highlight w:val="none"/>
              </w:rPr>
            </w:pPr>
            <w:r>
              <w:rPr>
                <w:rFonts w:hint="eastAsia" w:hAnsi="宋体"/>
                <w:color w:val="auto"/>
                <w:szCs w:val="21"/>
                <w:highlight w:val="none"/>
                <w:lang w:val="en-US" w:eastAsia="zh-CN"/>
              </w:rPr>
              <w:t>行业划分</w:t>
            </w:r>
          </w:p>
        </w:tc>
        <w:tc>
          <w:tcPr>
            <w:tcW w:w="6792" w:type="dxa"/>
            <w:noWrap/>
            <w:tcMar>
              <w:left w:w="57" w:type="dxa"/>
              <w:right w:w="57" w:type="dxa"/>
            </w:tcMar>
            <w:vAlign w:val="center"/>
          </w:tcPr>
          <w:p>
            <w:pPr>
              <w:pStyle w:val="20"/>
              <w:spacing w:line="380" w:lineRule="exact"/>
              <w:rPr>
                <w:rFonts w:hint="eastAsia" w:hAnsi="宋体"/>
                <w:color w:val="auto"/>
                <w:szCs w:val="21"/>
                <w:highlight w:val="none"/>
              </w:rPr>
            </w:pPr>
            <w:r>
              <w:rPr>
                <w:rFonts w:hint="eastAsia" w:hAnsi="宋体"/>
                <w:color w:val="auto"/>
                <w:szCs w:val="21"/>
                <w:highlight w:val="none"/>
                <w:lang w:val="en-US" w:eastAsia="zh-CN"/>
              </w:rPr>
              <w:t>本项目属于</w:t>
            </w:r>
            <w:r>
              <w:rPr>
                <w:rFonts w:hint="eastAsia" w:hAnsi="宋体"/>
                <w:color w:val="auto"/>
                <w:szCs w:val="21"/>
                <w:highlight w:val="none"/>
                <w:u w:val="single"/>
                <w:lang w:val="en-US" w:eastAsia="zh-CN"/>
              </w:rPr>
              <w:t>服务业</w:t>
            </w:r>
          </w:p>
        </w:tc>
      </w:tr>
    </w:tbl>
    <w:p>
      <w:pPr>
        <w:pStyle w:val="3"/>
        <w:rPr>
          <w:rFonts w:hint="eastAsia" w:ascii="宋体" w:hAnsi="宋体"/>
          <w:color w:val="auto"/>
          <w:highlight w:val="none"/>
        </w:rPr>
      </w:pPr>
    </w:p>
    <w:p>
      <w:pPr>
        <w:pStyle w:val="3"/>
        <w:jc w:val="both"/>
        <w:rPr>
          <w:rFonts w:hint="eastAsia" w:ascii="宋体" w:hAnsi="宋体"/>
          <w:color w:val="auto"/>
          <w:highlight w:val="none"/>
        </w:rPr>
      </w:pPr>
    </w:p>
    <w:p>
      <w:pPr>
        <w:pStyle w:val="3"/>
        <w:rPr>
          <w:rFonts w:hint="eastAsia" w:ascii="宋体" w:hAnsi="宋体"/>
          <w:color w:val="auto"/>
          <w:highlight w:val="none"/>
        </w:rPr>
      </w:pPr>
      <w:r>
        <w:rPr>
          <w:rFonts w:hint="eastAsia" w:ascii="宋体" w:hAnsi="宋体"/>
          <w:color w:val="auto"/>
          <w:highlight w:val="none"/>
        </w:rPr>
        <w:t>一、总  则</w:t>
      </w:r>
      <w:bookmarkEnd w:id="36"/>
    </w:p>
    <w:p>
      <w:pPr>
        <w:pStyle w:val="4"/>
        <w:numPr>
          <w:ilvl w:val="2"/>
          <w:numId w:val="0"/>
        </w:numPr>
        <w:tabs>
          <w:tab w:val="clear" w:pos="360"/>
        </w:tabs>
        <w:spacing w:before="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1、项目概况</w:t>
      </w:r>
    </w:p>
    <w:p>
      <w:pPr>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根据《中华人民共和国政府采购法》、《中华人民共和国政府采购法实施条例》、《政府采购货物和服务招标投标管理办法》等有关法律、法规和规章的规定，本项目已具备采购条件，现对本项目采用公开招标的方式进行采购。</w:t>
      </w:r>
    </w:p>
    <w:p>
      <w:pPr>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1.1本项目采购人：见“</w:t>
      </w:r>
      <w:r>
        <w:rPr>
          <w:rFonts w:hint="eastAsia" w:ascii="宋体" w:hAnsi="宋体" w:cs="Arial"/>
          <w:color w:val="auto"/>
          <w:kern w:val="0"/>
          <w:szCs w:val="21"/>
          <w:highlight w:val="none"/>
        </w:rPr>
        <w:t>投标人</w:t>
      </w:r>
      <w:r>
        <w:rPr>
          <w:rFonts w:hint="eastAsia" w:ascii="宋体" w:hAnsi="宋体"/>
          <w:bCs/>
          <w:color w:val="auto"/>
          <w:szCs w:val="21"/>
          <w:highlight w:val="none"/>
        </w:rPr>
        <w:t>须知前附表</w:t>
      </w:r>
      <w:r>
        <w:rPr>
          <w:rFonts w:hint="eastAsia" w:ascii="宋体" w:hAnsi="宋体"/>
          <w:color w:val="auto"/>
          <w:szCs w:val="21"/>
          <w:highlight w:val="none"/>
        </w:rPr>
        <w:t>”；</w:t>
      </w:r>
    </w:p>
    <w:p>
      <w:pPr>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1.2采购代理机构：见“</w:t>
      </w:r>
      <w:r>
        <w:rPr>
          <w:rFonts w:hint="eastAsia" w:ascii="宋体" w:hAnsi="宋体" w:cs="Arial"/>
          <w:color w:val="auto"/>
          <w:kern w:val="0"/>
          <w:szCs w:val="21"/>
          <w:highlight w:val="none"/>
        </w:rPr>
        <w:t>投标人</w:t>
      </w:r>
      <w:r>
        <w:rPr>
          <w:rFonts w:hint="eastAsia" w:ascii="宋体" w:hAnsi="宋体"/>
          <w:bCs/>
          <w:color w:val="auto"/>
          <w:szCs w:val="21"/>
          <w:highlight w:val="none"/>
        </w:rPr>
        <w:t>须知前附表</w:t>
      </w:r>
      <w:r>
        <w:rPr>
          <w:rFonts w:hint="eastAsia" w:ascii="宋体" w:hAnsi="宋体"/>
          <w:color w:val="auto"/>
          <w:szCs w:val="21"/>
          <w:highlight w:val="none"/>
        </w:rPr>
        <w:t>”；</w:t>
      </w:r>
    </w:p>
    <w:p>
      <w:pPr>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1.3项目名称：见“</w:t>
      </w:r>
      <w:r>
        <w:rPr>
          <w:rFonts w:hint="eastAsia" w:ascii="宋体" w:hAnsi="宋体" w:cs="Arial"/>
          <w:color w:val="auto"/>
          <w:kern w:val="0"/>
          <w:szCs w:val="21"/>
          <w:highlight w:val="none"/>
        </w:rPr>
        <w:t>投标人</w:t>
      </w:r>
      <w:r>
        <w:rPr>
          <w:rFonts w:hint="eastAsia" w:ascii="宋体" w:hAnsi="宋体"/>
          <w:bCs/>
          <w:color w:val="auto"/>
          <w:szCs w:val="21"/>
          <w:highlight w:val="none"/>
        </w:rPr>
        <w:t>须知前附表</w:t>
      </w:r>
      <w:r>
        <w:rPr>
          <w:rFonts w:hint="eastAsia" w:ascii="宋体" w:hAnsi="宋体"/>
          <w:color w:val="auto"/>
          <w:szCs w:val="21"/>
          <w:highlight w:val="none"/>
        </w:rPr>
        <w:t>”；</w:t>
      </w:r>
    </w:p>
    <w:p>
      <w:pPr>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1.4服务地点：见“</w:t>
      </w:r>
      <w:r>
        <w:rPr>
          <w:rFonts w:hint="eastAsia" w:ascii="宋体" w:hAnsi="宋体" w:cs="Arial"/>
          <w:color w:val="auto"/>
          <w:kern w:val="0"/>
          <w:szCs w:val="21"/>
          <w:highlight w:val="none"/>
        </w:rPr>
        <w:t>投标人</w:t>
      </w:r>
      <w:r>
        <w:rPr>
          <w:rFonts w:hint="eastAsia" w:ascii="宋体" w:hAnsi="宋体"/>
          <w:bCs/>
          <w:color w:val="auto"/>
          <w:szCs w:val="21"/>
          <w:highlight w:val="none"/>
        </w:rPr>
        <w:t>须知前附表</w:t>
      </w:r>
      <w:r>
        <w:rPr>
          <w:rFonts w:hint="eastAsia" w:ascii="宋体" w:hAnsi="宋体"/>
          <w:color w:val="auto"/>
          <w:szCs w:val="21"/>
          <w:highlight w:val="none"/>
        </w:rPr>
        <w:t>”。</w:t>
      </w:r>
    </w:p>
    <w:p>
      <w:pPr>
        <w:pStyle w:val="4"/>
        <w:numPr>
          <w:ilvl w:val="2"/>
          <w:numId w:val="0"/>
        </w:numPr>
        <w:tabs>
          <w:tab w:val="clear" w:pos="360"/>
        </w:tabs>
        <w:spacing w:before="0"/>
        <w:rPr>
          <w:rFonts w:hint="eastAsia" w:ascii="宋体" w:hAnsi="宋体" w:eastAsia="宋体"/>
          <w:color w:val="auto"/>
          <w:sz w:val="24"/>
          <w:szCs w:val="24"/>
          <w:highlight w:val="none"/>
        </w:rPr>
      </w:pPr>
      <w:bookmarkStart w:id="37" w:name="_Toc468805854"/>
      <w:r>
        <w:rPr>
          <w:rFonts w:hint="eastAsia" w:ascii="宋体" w:hAnsi="宋体" w:eastAsia="宋体"/>
          <w:color w:val="auto"/>
          <w:sz w:val="24"/>
          <w:szCs w:val="24"/>
          <w:highlight w:val="none"/>
        </w:rPr>
        <w:t>2、资金来源</w:t>
      </w:r>
    </w:p>
    <w:p>
      <w:pPr>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2.1资金来源：见“</w:t>
      </w:r>
      <w:r>
        <w:rPr>
          <w:rFonts w:hint="eastAsia" w:ascii="宋体" w:hAnsi="宋体" w:cs="Arial"/>
          <w:color w:val="auto"/>
          <w:kern w:val="0"/>
          <w:szCs w:val="21"/>
          <w:highlight w:val="none"/>
        </w:rPr>
        <w:t>投标人</w:t>
      </w:r>
      <w:r>
        <w:rPr>
          <w:rFonts w:hint="eastAsia" w:ascii="宋体" w:hAnsi="宋体"/>
          <w:bCs/>
          <w:color w:val="auto"/>
          <w:szCs w:val="21"/>
          <w:highlight w:val="none"/>
        </w:rPr>
        <w:t>须知前附表</w:t>
      </w:r>
      <w:r>
        <w:rPr>
          <w:rFonts w:hint="eastAsia" w:ascii="宋体" w:hAnsi="宋体"/>
          <w:color w:val="auto"/>
          <w:szCs w:val="21"/>
          <w:highlight w:val="none"/>
        </w:rPr>
        <w:t>”；</w:t>
      </w:r>
    </w:p>
    <w:p>
      <w:pPr>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2.2资金落实情况：见“</w:t>
      </w:r>
      <w:r>
        <w:rPr>
          <w:rFonts w:hint="eastAsia" w:ascii="宋体" w:hAnsi="宋体" w:cs="Arial"/>
          <w:color w:val="auto"/>
          <w:kern w:val="0"/>
          <w:szCs w:val="21"/>
          <w:highlight w:val="none"/>
        </w:rPr>
        <w:t>投标人</w:t>
      </w:r>
      <w:r>
        <w:rPr>
          <w:rFonts w:hint="eastAsia" w:ascii="宋体" w:hAnsi="宋体"/>
          <w:bCs/>
          <w:color w:val="auto"/>
          <w:szCs w:val="21"/>
          <w:highlight w:val="none"/>
        </w:rPr>
        <w:t>须知前附表</w:t>
      </w:r>
      <w:r>
        <w:rPr>
          <w:rFonts w:hint="eastAsia" w:ascii="宋体" w:hAnsi="宋体"/>
          <w:color w:val="auto"/>
          <w:szCs w:val="21"/>
          <w:highlight w:val="none"/>
        </w:rPr>
        <w:t>”。</w:t>
      </w:r>
    </w:p>
    <w:p>
      <w:pPr>
        <w:pStyle w:val="4"/>
        <w:numPr>
          <w:ilvl w:val="2"/>
          <w:numId w:val="0"/>
        </w:numPr>
        <w:spacing w:before="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3、采购内容、项目预算及最高限价、服务期限及质量要求</w:t>
      </w:r>
    </w:p>
    <w:p>
      <w:pPr>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3.1 本项目采购内容：见“</w:t>
      </w:r>
      <w:r>
        <w:rPr>
          <w:rFonts w:hint="eastAsia" w:ascii="宋体" w:hAnsi="宋体" w:cs="Arial"/>
          <w:color w:val="auto"/>
          <w:kern w:val="0"/>
          <w:szCs w:val="21"/>
          <w:highlight w:val="none"/>
        </w:rPr>
        <w:t>投标人</w:t>
      </w:r>
      <w:r>
        <w:rPr>
          <w:rFonts w:hint="eastAsia" w:ascii="宋体" w:hAnsi="宋体"/>
          <w:bCs/>
          <w:color w:val="auto"/>
          <w:szCs w:val="21"/>
          <w:highlight w:val="none"/>
        </w:rPr>
        <w:t>须知前附表</w:t>
      </w:r>
      <w:r>
        <w:rPr>
          <w:rFonts w:hint="eastAsia" w:ascii="宋体" w:hAnsi="宋体"/>
          <w:color w:val="auto"/>
          <w:szCs w:val="21"/>
          <w:highlight w:val="none"/>
        </w:rPr>
        <w:t>”；</w:t>
      </w:r>
    </w:p>
    <w:p>
      <w:pPr>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3.2 本项目预算及最高限价：见“</w:t>
      </w:r>
      <w:r>
        <w:rPr>
          <w:rFonts w:hint="eastAsia" w:ascii="宋体" w:hAnsi="宋体" w:cs="Arial"/>
          <w:color w:val="auto"/>
          <w:kern w:val="0"/>
          <w:szCs w:val="21"/>
          <w:highlight w:val="none"/>
        </w:rPr>
        <w:t>投标人</w:t>
      </w:r>
      <w:r>
        <w:rPr>
          <w:rFonts w:hint="eastAsia" w:ascii="宋体" w:hAnsi="宋体"/>
          <w:bCs/>
          <w:color w:val="auto"/>
          <w:szCs w:val="21"/>
          <w:highlight w:val="none"/>
        </w:rPr>
        <w:t>须知前附表</w:t>
      </w:r>
      <w:r>
        <w:rPr>
          <w:rFonts w:hint="eastAsia" w:ascii="宋体" w:hAnsi="宋体"/>
          <w:color w:val="auto"/>
          <w:szCs w:val="21"/>
          <w:highlight w:val="none"/>
        </w:rPr>
        <w:t>”；</w:t>
      </w:r>
    </w:p>
    <w:p>
      <w:pPr>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3.3本项目服务期限：见“</w:t>
      </w:r>
      <w:r>
        <w:rPr>
          <w:rFonts w:hint="eastAsia" w:ascii="宋体" w:hAnsi="宋体" w:cs="Arial"/>
          <w:color w:val="auto"/>
          <w:kern w:val="0"/>
          <w:szCs w:val="21"/>
          <w:highlight w:val="none"/>
        </w:rPr>
        <w:t>投标人</w:t>
      </w:r>
      <w:r>
        <w:rPr>
          <w:rFonts w:hint="eastAsia" w:ascii="宋体" w:hAnsi="宋体"/>
          <w:bCs/>
          <w:color w:val="auto"/>
          <w:szCs w:val="21"/>
          <w:highlight w:val="none"/>
        </w:rPr>
        <w:t>须知前附表</w:t>
      </w:r>
      <w:r>
        <w:rPr>
          <w:rFonts w:hint="eastAsia" w:ascii="宋体" w:hAnsi="宋体"/>
          <w:color w:val="auto"/>
          <w:szCs w:val="21"/>
          <w:highlight w:val="none"/>
        </w:rPr>
        <w:t>”；</w:t>
      </w:r>
    </w:p>
    <w:p>
      <w:pPr>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3.4 本项目质量要求：见“</w:t>
      </w:r>
      <w:r>
        <w:rPr>
          <w:rFonts w:hint="eastAsia" w:ascii="宋体" w:hAnsi="宋体" w:cs="Arial"/>
          <w:color w:val="auto"/>
          <w:kern w:val="0"/>
          <w:szCs w:val="21"/>
          <w:highlight w:val="none"/>
        </w:rPr>
        <w:t>投标人</w:t>
      </w:r>
      <w:r>
        <w:rPr>
          <w:rFonts w:hint="eastAsia" w:ascii="宋体" w:hAnsi="宋体"/>
          <w:bCs/>
          <w:color w:val="auto"/>
          <w:szCs w:val="21"/>
          <w:highlight w:val="none"/>
        </w:rPr>
        <w:t>须知前附表</w:t>
      </w:r>
      <w:r>
        <w:rPr>
          <w:rFonts w:hint="eastAsia" w:ascii="宋体" w:hAnsi="宋体"/>
          <w:color w:val="auto"/>
          <w:szCs w:val="21"/>
          <w:highlight w:val="none"/>
        </w:rPr>
        <w:t>”。</w:t>
      </w:r>
    </w:p>
    <w:p>
      <w:pPr>
        <w:pStyle w:val="4"/>
        <w:numPr>
          <w:ilvl w:val="2"/>
          <w:numId w:val="0"/>
        </w:numPr>
        <w:spacing w:before="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4、合格的投标人</w:t>
      </w:r>
    </w:p>
    <w:p>
      <w:pPr>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4.1</w:t>
      </w:r>
      <w:r>
        <w:rPr>
          <w:rFonts w:hint="eastAsia" w:ascii="宋体" w:hAnsi="宋体" w:cs="Arial"/>
          <w:color w:val="auto"/>
          <w:kern w:val="0"/>
          <w:szCs w:val="21"/>
          <w:highlight w:val="none"/>
        </w:rPr>
        <w:t>资格要求：</w:t>
      </w:r>
      <w:r>
        <w:rPr>
          <w:rFonts w:hint="eastAsia" w:ascii="宋体" w:hAnsi="宋体"/>
          <w:color w:val="auto"/>
          <w:szCs w:val="21"/>
          <w:highlight w:val="none"/>
        </w:rPr>
        <w:t>见“</w:t>
      </w:r>
      <w:r>
        <w:rPr>
          <w:rFonts w:hint="eastAsia" w:ascii="宋体" w:hAnsi="宋体" w:cs="Arial"/>
          <w:color w:val="auto"/>
          <w:kern w:val="0"/>
          <w:szCs w:val="21"/>
          <w:highlight w:val="none"/>
        </w:rPr>
        <w:t>投标人</w:t>
      </w:r>
      <w:r>
        <w:rPr>
          <w:rFonts w:hint="eastAsia" w:ascii="宋体" w:hAnsi="宋体"/>
          <w:bCs/>
          <w:color w:val="auto"/>
          <w:szCs w:val="21"/>
          <w:highlight w:val="none"/>
        </w:rPr>
        <w:t>须知前附表</w:t>
      </w:r>
      <w:r>
        <w:rPr>
          <w:rFonts w:hint="eastAsia" w:ascii="宋体" w:hAnsi="宋体"/>
          <w:color w:val="auto"/>
          <w:szCs w:val="21"/>
          <w:highlight w:val="none"/>
        </w:rPr>
        <w:t>”。</w:t>
      </w:r>
    </w:p>
    <w:p>
      <w:pPr>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4.2是否接受联合体投标：</w:t>
      </w:r>
      <w:r>
        <w:rPr>
          <w:rFonts w:hint="eastAsia" w:ascii="宋体" w:hAnsi="宋体"/>
          <w:color w:val="auto"/>
          <w:szCs w:val="21"/>
          <w:highlight w:val="none"/>
          <w:lang w:val="en-US" w:eastAsia="zh-CN"/>
        </w:rPr>
        <w:t>不</w:t>
      </w:r>
      <w:r>
        <w:rPr>
          <w:rFonts w:hint="eastAsia" w:ascii="宋体" w:hAnsi="宋体"/>
          <w:color w:val="auto"/>
          <w:szCs w:val="21"/>
          <w:highlight w:val="none"/>
        </w:rPr>
        <w:t>接受；</w:t>
      </w:r>
    </w:p>
    <w:p>
      <w:pPr>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4.3符合上述条件的投标人应承担投标及履约中应承担的全部责任与义务。</w:t>
      </w:r>
    </w:p>
    <w:p>
      <w:pPr>
        <w:spacing w:line="360" w:lineRule="auto"/>
        <w:rPr>
          <w:rFonts w:hint="eastAsia" w:ascii="宋体" w:hAnsi="宋体"/>
          <w:color w:val="auto"/>
          <w:kern w:val="0"/>
          <w:sz w:val="24"/>
          <w:highlight w:val="none"/>
        </w:rPr>
      </w:pPr>
      <w:r>
        <w:rPr>
          <w:rFonts w:hint="eastAsia" w:ascii="宋体" w:hAnsi="宋体"/>
          <w:b/>
          <w:color w:val="auto"/>
          <w:kern w:val="0"/>
          <w:sz w:val="24"/>
          <w:highlight w:val="none"/>
        </w:rPr>
        <w:t>5、资格审查方式</w:t>
      </w:r>
    </w:p>
    <w:p>
      <w:pPr>
        <w:spacing w:line="360" w:lineRule="auto"/>
        <w:ind w:firstLine="420" w:firstLineChars="200"/>
        <w:rPr>
          <w:rFonts w:hint="eastAsia" w:ascii="宋体" w:hAnsi="宋体"/>
          <w:color w:val="auto"/>
          <w:kern w:val="0"/>
          <w:szCs w:val="21"/>
          <w:highlight w:val="none"/>
        </w:rPr>
      </w:pPr>
      <w:r>
        <w:rPr>
          <w:rFonts w:hint="eastAsia" w:ascii="宋体" w:hAnsi="宋体"/>
          <w:color w:val="auto"/>
          <w:kern w:val="0"/>
          <w:szCs w:val="21"/>
          <w:highlight w:val="none"/>
        </w:rPr>
        <w:t>5.1资格审查方式</w:t>
      </w:r>
      <w:r>
        <w:rPr>
          <w:rFonts w:hint="eastAsia" w:ascii="宋体" w:hAnsi="宋体"/>
          <w:b/>
          <w:color w:val="auto"/>
          <w:kern w:val="0"/>
          <w:szCs w:val="21"/>
          <w:highlight w:val="none"/>
        </w:rPr>
        <w:t>：</w:t>
      </w:r>
      <w:r>
        <w:rPr>
          <w:rFonts w:hint="eastAsia" w:ascii="宋体" w:hAnsi="宋体"/>
          <w:color w:val="auto"/>
          <w:kern w:val="0"/>
          <w:szCs w:val="21"/>
          <w:highlight w:val="none"/>
        </w:rPr>
        <w:t>见“投标人</w:t>
      </w:r>
      <w:r>
        <w:rPr>
          <w:rFonts w:hint="eastAsia" w:ascii="宋体" w:hAnsi="宋体"/>
          <w:bCs/>
          <w:color w:val="auto"/>
          <w:kern w:val="0"/>
          <w:szCs w:val="21"/>
          <w:highlight w:val="none"/>
        </w:rPr>
        <w:t>须知前附表</w:t>
      </w:r>
      <w:r>
        <w:rPr>
          <w:rFonts w:hint="eastAsia" w:ascii="宋体" w:hAnsi="宋体"/>
          <w:color w:val="auto"/>
          <w:kern w:val="0"/>
          <w:szCs w:val="21"/>
          <w:highlight w:val="none"/>
        </w:rPr>
        <w:t>”。</w:t>
      </w:r>
    </w:p>
    <w:p>
      <w:pPr>
        <w:spacing w:line="360" w:lineRule="auto"/>
        <w:rPr>
          <w:rFonts w:hint="eastAsia" w:ascii="宋体" w:hAnsi="宋体"/>
          <w:b/>
          <w:color w:val="auto"/>
          <w:kern w:val="0"/>
          <w:sz w:val="24"/>
          <w:highlight w:val="none"/>
        </w:rPr>
      </w:pPr>
      <w:r>
        <w:rPr>
          <w:rFonts w:hint="eastAsia" w:ascii="宋体" w:hAnsi="宋体"/>
          <w:b/>
          <w:bCs/>
          <w:color w:val="auto"/>
          <w:kern w:val="0"/>
          <w:sz w:val="24"/>
          <w:highlight w:val="none"/>
        </w:rPr>
        <w:t>6、现场考察</w:t>
      </w:r>
    </w:p>
    <w:p>
      <w:pPr>
        <w:tabs>
          <w:tab w:val="left" w:pos="420"/>
        </w:tabs>
        <w:spacing w:line="360" w:lineRule="auto"/>
        <w:ind w:firstLine="420" w:firstLineChars="200"/>
        <w:rPr>
          <w:rFonts w:hint="eastAsia" w:ascii="宋体" w:hAnsi="宋体"/>
          <w:color w:val="auto"/>
          <w:kern w:val="0"/>
          <w:szCs w:val="21"/>
          <w:highlight w:val="none"/>
        </w:rPr>
      </w:pPr>
      <w:r>
        <w:rPr>
          <w:rFonts w:hint="eastAsia" w:ascii="宋体" w:hAnsi="宋体"/>
          <w:bCs/>
          <w:color w:val="auto"/>
          <w:kern w:val="0"/>
          <w:szCs w:val="21"/>
          <w:highlight w:val="none"/>
        </w:rPr>
        <w:t>6.1</w:t>
      </w:r>
      <w:r>
        <w:rPr>
          <w:rFonts w:hint="eastAsia" w:ascii="宋体" w:hAnsi="宋体" w:cs="宋体"/>
          <w:bCs/>
          <w:color w:val="auto"/>
          <w:szCs w:val="21"/>
          <w:highlight w:val="none"/>
        </w:rPr>
        <w:t>现场考察：</w:t>
      </w:r>
      <w:r>
        <w:rPr>
          <w:rFonts w:hint="eastAsia" w:ascii="宋体" w:hAnsi="宋体"/>
          <w:color w:val="auto"/>
          <w:kern w:val="0"/>
          <w:szCs w:val="21"/>
          <w:highlight w:val="none"/>
        </w:rPr>
        <w:t>见“投标人</w:t>
      </w:r>
      <w:r>
        <w:rPr>
          <w:rFonts w:hint="eastAsia" w:ascii="宋体" w:hAnsi="宋体"/>
          <w:bCs/>
          <w:color w:val="auto"/>
          <w:kern w:val="0"/>
          <w:szCs w:val="21"/>
          <w:highlight w:val="none"/>
        </w:rPr>
        <w:t>须知前附表</w:t>
      </w:r>
      <w:r>
        <w:rPr>
          <w:rFonts w:hint="eastAsia" w:ascii="宋体" w:hAnsi="宋体"/>
          <w:color w:val="auto"/>
          <w:kern w:val="0"/>
          <w:szCs w:val="21"/>
          <w:highlight w:val="none"/>
        </w:rPr>
        <w:t>”。</w:t>
      </w:r>
    </w:p>
    <w:p>
      <w:pPr>
        <w:spacing w:line="360" w:lineRule="auto"/>
        <w:rPr>
          <w:rFonts w:hint="eastAsia" w:ascii="宋体" w:hAnsi="宋体"/>
          <w:b/>
          <w:color w:val="auto"/>
          <w:kern w:val="0"/>
          <w:sz w:val="24"/>
          <w:highlight w:val="none"/>
        </w:rPr>
      </w:pPr>
      <w:r>
        <w:rPr>
          <w:rFonts w:hint="eastAsia" w:ascii="宋体" w:hAnsi="宋体"/>
          <w:b/>
          <w:color w:val="auto"/>
          <w:kern w:val="0"/>
          <w:sz w:val="24"/>
          <w:highlight w:val="none"/>
        </w:rPr>
        <w:t>7、投标预备会</w:t>
      </w:r>
    </w:p>
    <w:p>
      <w:pPr>
        <w:spacing w:line="360" w:lineRule="auto"/>
        <w:ind w:firstLine="420" w:firstLineChars="200"/>
        <w:rPr>
          <w:rFonts w:hint="eastAsia" w:ascii="宋体" w:hAnsi="宋体"/>
          <w:color w:val="auto"/>
          <w:kern w:val="0"/>
          <w:szCs w:val="21"/>
          <w:highlight w:val="none"/>
        </w:rPr>
      </w:pPr>
      <w:r>
        <w:rPr>
          <w:rFonts w:hint="eastAsia" w:ascii="宋体" w:hAnsi="宋体"/>
          <w:color w:val="auto"/>
          <w:kern w:val="0"/>
          <w:szCs w:val="21"/>
          <w:highlight w:val="none"/>
        </w:rPr>
        <w:t>7.1投标预备会：见“投标人</w:t>
      </w:r>
      <w:r>
        <w:rPr>
          <w:rFonts w:hint="eastAsia" w:ascii="宋体" w:hAnsi="宋体"/>
          <w:bCs/>
          <w:color w:val="auto"/>
          <w:kern w:val="0"/>
          <w:szCs w:val="21"/>
          <w:highlight w:val="none"/>
        </w:rPr>
        <w:t>须知前附表</w:t>
      </w:r>
      <w:r>
        <w:rPr>
          <w:rFonts w:hint="eastAsia" w:ascii="宋体" w:hAnsi="宋体"/>
          <w:color w:val="auto"/>
          <w:kern w:val="0"/>
          <w:szCs w:val="21"/>
          <w:highlight w:val="none"/>
        </w:rPr>
        <w:t>”。</w:t>
      </w:r>
    </w:p>
    <w:p>
      <w:pPr>
        <w:spacing w:line="360" w:lineRule="auto"/>
        <w:rPr>
          <w:rFonts w:hint="eastAsia" w:ascii="宋体" w:hAnsi="宋体"/>
          <w:b/>
          <w:color w:val="auto"/>
          <w:kern w:val="0"/>
          <w:sz w:val="24"/>
          <w:highlight w:val="none"/>
        </w:rPr>
      </w:pPr>
      <w:r>
        <w:rPr>
          <w:rFonts w:hint="eastAsia" w:ascii="宋体" w:hAnsi="宋体"/>
          <w:b/>
          <w:color w:val="auto"/>
          <w:kern w:val="0"/>
          <w:sz w:val="24"/>
          <w:highlight w:val="none"/>
        </w:rPr>
        <w:t>8、分包</w:t>
      </w:r>
    </w:p>
    <w:p>
      <w:pPr>
        <w:spacing w:line="360" w:lineRule="auto"/>
        <w:ind w:firstLine="420" w:firstLineChars="200"/>
        <w:rPr>
          <w:rFonts w:hint="eastAsia" w:ascii="宋体" w:hAnsi="宋体"/>
          <w:color w:val="auto"/>
          <w:kern w:val="0"/>
          <w:szCs w:val="21"/>
          <w:highlight w:val="none"/>
        </w:rPr>
      </w:pPr>
      <w:r>
        <w:rPr>
          <w:rFonts w:hint="eastAsia" w:ascii="宋体" w:hAnsi="宋体"/>
          <w:color w:val="auto"/>
          <w:kern w:val="0"/>
          <w:szCs w:val="21"/>
          <w:highlight w:val="none"/>
        </w:rPr>
        <w:t>8.1分包：见“投标人</w:t>
      </w:r>
      <w:r>
        <w:rPr>
          <w:rFonts w:hint="eastAsia" w:ascii="宋体" w:hAnsi="宋体"/>
          <w:bCs/>
          <w:color w:val="auto"/>
          <w:kern w:val="0"/>
          <w:szCs w:val="21"/>
          <w:highlight w:val="none"/>
        </w:rPr>
        <w:t>须知前附表</w:t>
      </w:r>
      <w:r>
        <w:rPr>
          <w:rFonts w:hint="eastAsia" w:ascii="宋体" w:hAnsi="宋体"/>
          <w:color w:val="auto"/>
          <w:kern w:val="0"/>
          <w:szCs w:val="21"/>
          <w:highlight w:val="none"/>
        </w:rPr>
        <w:t>”。</w:t>
      </w:r>
    </w:p>
    <w:p>
      <w:pPr>
        <w:spacing w:line="360" w:lineRule="auto"/>
        <w:rPr>
          <w:rFonts w:hint="eastAsia" w:ascii="宋体" w:hAnsi="宋体"/>
          <w:b/>
          <w:color w:val="auto"/>
          <w:kern w:val="0"/>
          <w:sz w:val="24"/>
          <w:highlight w:val="none"/>
        </w:rPr>
      </w:pPr>
      <w:r>
        <w:rPr>
          <w:rFonts w:hint="eastAsia" w:ascii="宋体" w:hAnsi="宋体"/>
          <w:b/>
          <w:color w:val="auto"/>
          <w:kern w:val="0"/>
          <w:sz w:val="24"/>
          <w:highlight w:val="none"/>
        </w:rPr>
        <w:t>9、投标费用</w:t>
      </w:r>
    </w:p>
    <w:p>
      <w:pPr>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9.1不论投标结果如何，投标人均应自行承担所有与准备和参加投标活动有关的全部费用。</w:t>
      </w:r>
    </w:p>
    <w:p>
      <w:pPr>
        <w:pStyle w:val="4"/>
        <w:numPr>
          <w:ilvl w:val="2"/>
          <w:numId w:val="0"/>
        </w:numPr>
        <w:spacing w:before="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10、质疑</w:t>
      </w:r>
    </w:p>
    <w:p>
      <w:pPr>
        <w:snapToGrid w:val="0"/>
        <w:spacing w:line="360" w:lineRule="auto"/>
        <w:ind w:firstLine="420" w:firstLineChars="200"/>
        <w:rPr>
          <w:rFonts w:hint="eastAsia" w:ascii="宋体" w:hAnsi="宋体" w:cs="宋体"/>
          <w:color w:val="auto"/>
          <w:szCs w:val="21"/>
          <w:highlight w:val="none"/>
        </w:rPr>
      </w:pPr>
      <w:r>
        <w:rPr>
          <w:rFonts w:hint="eastAsia" w:ascii="宋体" w:hAnsi="宋体"/>
          <w:color w:val="auto"/>
          <w:highlight w:val="none"/>
        </w:rPr>
        <w:t>10.1</w:t>
      </w:r>
      <w:r>
        <w:rPr>
          <w:rFonts w:hint="eastAsia" w:ascii="宋体" w:hAnsi="宋体" w:cs="宋体"/>
          <w:color w:val="auto"/>
          <w:szCs w:val="21"/>
          <w:highlight w:val="none"/>
        </w:rPr>
        <w:t>投标人认为招标文件、采购过程、中标或者成交结果使自己的权益受到损害的，可以在知道或者应知其权益受到损害之日起7个工作日内，以书面形式向采购人、采购代理机构提出质疑。提出质疑的投标人应当是参与所质疑项目采购活动的投标人。</w:t>
      </w:r>
    </w:p>
    <w:p>
      <w:pPr>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投标人针对同一采购程序环节的质疑，应在法定质疑期内一次性提出，提出质疑时应当有明确的请求和必要的证明材料，否则采购人、采购代理机构有权拒收。</w:t>
      </w:r>
    </w:p>
    <w:p>
      <w:pPr>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10.2“知道或者应知其权益受到损害之日”是指：</w:t>
      </w:r>
    </w:p>
    <w:p>
      <w:pPr>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（1）对可以质疑的招标文件提出质疑的，为收到招标文件之日或者招标文件公告期限届满之日；</w:t>
      </w:r>
    </w:p>
    <w:p>
      <w:pPr>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（2）对采购过程提出质疑的，为各采购程序环节结束之日；</w:t>
      </w:r>
    </w:p>
    <w:p>
      <w:pPr>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（3）对中标或者成交结果提出质疑的，为中标或者成交结果公告期限届满之日。</w:t>
      </w:r>
    </w:p>
    <w:p>
      <w:pPr>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10.3投标人可以委托代理人进行质疑和投诉。其授权委托书应当载明代理人的姓名或者名称、代理事项、具体权限、期限和相关事项。投标人为自然人的，应当由本人签字；投标人为法人或者其他组织的，应当由法定代表人、主要负责人，或者其授权代表签字或者盖章，并加盖公章。代理人提出质疑和投诉，应当提交投标人签署的授权委托书。</w:t>
      </w:r>
    </w:p>
    <w:p>
      <w:pPr>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10.4投标人提出质疑应符合《政府采购质疑和投诉办法》和财政部《政府采购供应商质疑函范本》的规定。投标人提出质疑应当提交质疑函和必要的证明材料。质疑函应当包括下列内容：</w:t>
      </w:r>
    </w:p>
    <w:p>
      <w:pPr>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（1）投标人的姓名或者名称、地址、邮编、联系人及联系电话；</w:t>
      </w:r>
    </w:p>
    <w:p>
      <w:pPr>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（2）质疑项目的名称、编号；</w:t>
      </w:r>
    </w:p>
    <w:p>
      <w:pPr>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（3）具体、明确的质疑事项和与质疑事项相关的请求；</w:t>
      </w:r>
    </w:p>
    <w:p>
      <w:pPr>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（4）事实依据；</w:t>
      </w:r>
    </w:p>
    <w:p>
      <w:pPr>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（5）必要的法律依据；</w:t>
      </w:r>
    </w:p>
    <w:p>
      <w:pPr>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（6）提出质疑的日期。</w:t>
      </w:r>
    </w:p>
    <w:p>
      <w:pPr>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注：《政府采购供应商质疑函范本》详见中国政府采购网（</w:t>
      </w:r>
      <w:r>
        <w:rPr>
          <w:color w:val="auto"/>
          <w:highlight w:val="none"/>
        </w:rPr>
        <w:fldChar w:fldCharType="begin"/>
      </w:r>
      <w:r>
        <w:rPr>
          <w:color w:val="auto"/>
          <w:highlight w:val="none"/>
        </w:rPr>
        <w:instrText xml:space="preserve"> HYPERLINK "http://www.ccgp.gov.cn/" </w:instrText>
      </w:r>
      <w:r>
        <w:rPr>
          <w:color w:val="auto"/>
          <w:highlight w:val="none"/>
        </w:rPr>
        <w:fldChar w:fldCharType="separate"/>
      </w:r>
      <w:r>
        <w:rPr>
          <w:rStyle w:val="43"/>
          <w:rFonts w:ascii="宋体" w:hAnsi="宋体"/>
          <w:color w:val="auto"/>
          <w:szCs w:val="21"/>
          <w:highlight w:val="none"/>
        </w:rPr>
        <w:t>http://www.ccgp.gov.cn/</w:t>
      </w:r>
      <w:r>
        <w:rPr>
          <w:rStyle w:val="43"/>
          <w:rFonts w:ascii="宋体" w:hAnsi="宋体"/>
          <w:color w:val="auto"/>
          <w:szCs w:val="21"/>
          <w:highlight w:val="none"/>
        </w:rPr>
        <w:fldChar w:fldCharType="end"/>
      </w:r>
      <w:r>
        <w:rPr>
          <w:rFonts w:hint="eastAsia" w:ascii="宋体" w:hAnsi="宋体" w:cs="宋体"/>
          <w:color w:val="auto"/>
          <w:szCs w:val="21"/>
          <w:highlight w:val="none"/>
        </w:rPr>
        <w:t>）。投标人为自然人的，应当由本人签字；投标人为法人或者其他组织的，应当由法定代表人、主要负责人，或者其授权代表签字或者盖章，并加盖公章。</w:t>
      </w:r>
    </w:p>
    <w:p>
      <w:pPr>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10.5投标人不得捏造事实、提供虚假材料或者以非法手段取得证明材料。</w:t>
      </w:r>
    </w:p>
    <w:p>
      <w:pPr>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10.6质疑函应当使用中文。相关当事人提供外文书证或者外国语视听资料的，应当附有中文译本，由翻译机构盖章或者翻译人员签名。</w:t>
      </w:r>
    </w:p>
    <w:p>
      <w:pPr>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10.7采购人、采购代理机构将在收到投标人质疑函后7个工作日内作出书面答复，但质疑答复的内容不涉及商业秘密。</w:t>
      </w:r>
    </w:p>
    <w:p>
      <w:pPr>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10.8投标人对评审过程、中标结果提出质疑的，采购人、采购代理机构可以组织原评标委员会协助处理及答复质疑。质疑答复导致中标结果改变的，采购人或者采购代理机构会将有关情况书面报告本级财政部门。</w:t>
      </w:r>
    </w:p>
    <w:p>
      <w:pPr>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10.9接收质疑</w:t>
      </w:r>
    </w:p>
    <w:p>
      <w:pPr>
        <w:snapToGrid w:val="0"/>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接收质疑的方式：接收的质疑应为书面方式。</w:t>
      </w:r>
    </w:p>
    <w:p>
      <w:pPr>
        <w:spacing w:line="360" w:lineRule="auto"/>
        <w:ind w:firstLine="420" w:firstLineChars="200"/>
        <w:rPr>
          <w:rFonts w:hint="eastAsia" w:ascii="宋体" w:hAnsi="宋体"/>
          <w:color w:val="auto"/>
          <w:highlight w:val="none"/>
        </w:rPr>
      </w:pPr>
      <w:r>
        <w:rPr>
          <w:rFonts w:hint="eastAsia" w:ascii="宋体" w:hAnsi="宋体"/>
          <w:color w:val="auto"/>
          <w:highlight w:val="none"/>
        </w:rPr>
        <w:t>受理质疑部门：</w:t>
      </w:r>
    </w:p>
    <w:p>
      <w:pPr>
        <w:spacing w:line="360" w:lineRule="auto"/>
        <w:ind w:firstLine="420" w:firstLineChars="200"/>
        <w:rPr>
          <w:rFonts w:hint="eastAsia" w:ascii="宋体" w:hAnsi="宋体" w:eastAsia="宋体"/>
          <w:color w:val="auto"/>
          <w:highlight w:val="none"/>
          <w:lang w:eastAsia="zh-CN"/>
        </w:rPr>
      </w:pPr>
      <w:r>
        <w:rPr>
          <w:rFonts w:ascii="宋体" w:hAnsi="宋体"/>
          <w:color w:val="auto"/>
          <w:highlight w:val="none"/>
        </w:rPr>
        <w:t>名 称：</w:t>
      </w:r>
      <w:r>
        <w:rPr>
          <w:rFonts w:hint="eastAsia" w:ascii="宋体" w:hAnsi="宋体"/>
          <w:color w:val="auto"/>
          <w:highlight w:val="none"/>
          <w:lang w:eastAsia="zh-CN"/>
        </w:rPr>
        <w:t>云南智扬工程项目管理有限公司</w:t>
      </w:r>
    </w:p>
    <w:p>
      <w:pPr>
        <w:spacing w:line="360" w:lineRule="auto"/>
        <w:ind w:firstLine="420" w:firstLineChars="200"/>
        <w:rPr>
          <w:rFonts w:hint="eastAsia" w:ascii="宋体" w:hAnsi="宋体" w:eastAsia="宋体"/>
          <w:color w:val="auto"/>
          <w:highlight w:val="none"/>
          <w:lang w:eastAsia="zh-CN"/>
        </w:rPr>
      </w:pPr>
      <w:r>
        <w:rPr>
          <w:rFonts w:ascii="宋体" w:hAnsi="宋体"/>
          <w:color w:val="auto"/>
          <w:highlight w:val="none"/>
        </w:rPr>
        <w:t>地址：</w:t>
      </w:r>
      <w:r>
        <w:rPr>
          <w:rFonts w:hint="eastAsia" w:ascii="宋体" w:hAnsi="宋体"/>
          <w:color w:val="auto"/>
          <w:highlight w:val="none"/>
          <w:lang w:eastAsia="zh-CN"/>
        </w:rPr>
        <w:t>云南省昆明市白云路 168 号瑞鼎城商务中心 A 栋 11 楼</w:t>
      </w:r>
    </w:p>
    <w:p>
      <w:pPr>
        <w:spacing w:line="360" w:lineRule="auto"/>
        <w:ind w:firstLine="420" w:firstLineChars="200"/>
        <w:rPr>
          <w:rFonts w:hint="eastAsia" w:ascii="宋体" w:hAnsi="宋体" w:eastAsia="宋体"/>
          <w:color w:val="auto"/>
          <w:highlight w:val="none"/>
          <w:lang w:eastAsia="zh-CN"/>
        </w:rPr>
      </w:pPr>
      <w:r>
        <w:rPr>
          <w:rFonts w:hint="eastAsia" w:ascii="宋体" w:hAnsi="宋体"/>
          <w:color w:val="auto"/>
          <w:highlight w:val="none"/>
        </w:rPr>
        <w:t>联系人：</w:t>
      </w:r>
      <w:r>
        <w:rPr>
          <w:rFonts w:hint="eastAsia" w:ascii="宋体" w:hAnsi="宋体"/>
          <w:color w:val="auto"/>
          <w:highlight w:val="none"/>
          <w:lang w:eastAsia="zh-CN"/>
        </w:rPr>
        <w:t>羊振</w:t>
      </w:r>
    </w:p>
    <w:p>
      <w:pPr>
        <w:spacing w:line="360" w:lineRule="auto"/>
        <w:ind w:firstLine="420" w:firstLineChars="200"/>
        <w:rPr>
          <w:rFonts w:hint="eastAsia" w:ascii="宋体" w:hAnsi="宋体" w:eastAsia="宋体"/>
          <w:color w:val="auto"/>
          <w:highlight w:val="none"/>
          <w:lang w:eastAsia="zh-CN"/>
        </w:rPr>
      </w:pPr>
      <w:r>
        <w:rPr>
          <w:rFonts w:ascii="宋体" w:hAnsi="宋体"/>
          <w:color w:val="auto"/>
          <w:highlight w:val="none"/>
        </w:rPr>
        <w:t>联系方式：</w:t>
      </w:r>
      <w:r>
        <w:rPr>
          <w:rFonts w:hint="eastAsia" w:ascii="宋体" w:hAnsi="宋体"/>
          <w:color w:val="auto"/>
          <w:highlight w:val="none"/>
          <w:lang w:eastAsia="zh-CN"/>
        </w:rPr>
        <w:t>19948736538</w:t>
      </w:r>
    </w:p>
    <w:p>
      <w:pPr>
        <w:pStyle w:val="4"/>
        <w:numPr>
          <w:ilvl w:val="2"/>
          <w:numId w:val="0"/>
        </w:numPr>
        <w:spacing w:before="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11、投诉</w:t>
      </w:r>
    </w:p>
    <w:p>
      <w:pPr>
        <w:spacing w:line="360" w:lineRule="auto"/>
        <w:ind w:firstLine="420" w:firstLineChars="200"/>
        <w:rPr>
          <w:rFonts w:hint="eastAsia" w:ascii="宋体" w:hAnsi="宋体"/>
          <w:color w:val="auto"/>
          <w:szCs w:val="21"/>
          <w:highlight w:val="none"/>
        </w:rPr>
      </w:pPr>
      <w:r>
        <w:rPr>
          <w:rFonts w:ascii="宋体" w:hAnsi="宋体"/>
          <w:color w:val="auto"/>
          <w:szCs w:val="21"/>
          <w:highlight w:val="none"/>
        </w:rPr>
        <w:t>投诉必须首先经过质疑程序。质疑投标人对采购人、采购代理机构的答复不满意，或者采购人、采购代理机构未在规定的时间内做出答复的，可以在答复期满后十五个工作日内书面向</w:t>
      </w:r>
      <w:r>
        <w:rPr>
          <w:rFonts w:hint="eastAsia" w:ascii="宋体" w:hAnsi="宋体"/>
          <w:color w:val="auto"/>
          <w:szCs w:val="21"/>
          <w:highlight w:val="none"/>
          <w:lang w:val="en-US" w:eastAsia="zh-CN"/>
        </w:rPr>
        <w:t>石屏县</w:t>
      </w:r>
      <w:r>
        <w:rPr>
          <w:rFonts w:ascii="宋体" w:hAnsi="宋体"/>
          <w:color w:val="auto"/>
          <w:szCs w:val="21"/>
          <w:highlight w:val="none"/>
        </w:rPr>
        <w:t>财政</w:t>
      </w:r>
      <w:r>
        <w:rPr>
          <w:rFonts w:hint="eastAsia" w:ascii="宋体" w:hAnsi="宋体"/>
          <w:color w:val="auto"/>
          <w:szCs w:val="21"/>
          <w:highlight w:val="none"/>
        </w:rPr>
        <w:t>局</w:t>
      </w:r>
      <w:r>
        <w:rPr>
          <w:rFonts w:ascii="宋体" w:hAnsi="宋体"/>
          <w:color w:val="auto"/>
          <w:szCs w:val="21"/>
          <w:highlight w:val="none"/>
        </w:rPr>
        <w:t>政府采购管理</w:t>
      </w:r>
      <w:r>
        <w:rPr>
          <w:rFonts w:hint="eastAsia" w:ascii="宋体" w:hAnsi="宋体"/>
          <w:color w:val="auto"/>
          <w:szCs w:val="21"/>
          <w:highlight w:val="none"/>
        </w:rPr>
        <w:t>科</w:t>
      </w:r>
      <w:r>
        <w:rPr>
          <w:rFonts w:ascii="宋体" w:hAnsi="宋体"/>
          <w:color w:val="auto"/>
          <w:szCs w:val="21"/>
          <w:highlight w:val="none"/>
        </w:rPr>
        <w:t>提起投诉。</w:t>
      </w:r>
    </w:p>
    <w:p>
      <w:pPr>
        <w:pStyle w:val="3"/>
        <w:rPr>
          <w:rFonts w:hint="eastAsia" w:ascii="宋体" w:hAnsi="宋体"/>
          <w:color w:val="auto"/>
          <w:highlight w:val="none"/>
        </w:rPr>
      </w:pPr>
      <w:bookmarkStart w:id="38" w:name="_Toc118109503"/>
      <w:r>
        <w:rPr>
          <w:rFonts w:hint="eastAsia" w:ascii="宋体" w:hAnsi="宋体"/>
          <w:color w:val="auto"/>
          <w:highlight w:val="none"/>
        </w:rPr>
        <w:t>二、招标文件</w:t>
      </w:r>
      <w:bookmarkEnd w:id="38"/>
    </w:p>
    <w:p>
      <w:pPr>
        <w:pStyle w:val="4"/>
        <w:numPr>
          <w:ilvl w:val="2"/>
          <w:numId w:val="0"/>
        </w:numPr>
        <w:tabs>
          <w:tab w:val="left" w:pos="420"/>
        </w:tabs>
        <w:spacing w:before="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12、招标文件构成</w:t>
      </w:r>
    </w:p>
    <w:p>
      <w:pPr>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12.1要求提供的服务采购过程及合同条款在招标文件中均有说明，招标文件共七章，各章的内容如下：</w:t>
      </w:r>
    </w:p>
    <w:p>
      <w:pPr>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第一章  招标公告</w:t>
      </w:r>
    </w:p>
    <w:p>
      <w:pPr>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第二章  投标人须知</w:t>
      </w:r>
    </w:p>
    <w:p>
      <w:pPr>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第三章  合同书样式及主要条款</w:t>
      </w:r>
    </w:p>
    <w:p>
      <w:pPr>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第四章  投标文件格式</w:t>
      </w:r>
    </w:p>
    <w:p>
      <w:pPr>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第五章  采购内容</w:t>
      </w:r>
    </w:p>
    <w:p>
      <w:pPr>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第六章  资格审查</w:t>
      </w:r>
    </w:p>
    <w:p>
      <w:pPr>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第七章  评标办法</w:t>
      </w:r>
    </w:p>
    <w:p>
      <w:pPr>
        <w:pStyle w:val="4"/>
        <w:numPr>
          <w:ilvl w:val="2"/>
          <w:numId w:val="0"/>
        </w:numPr>
        <w:spacing w:before="0"/>
        <w:ind w:firstLine="241" w:firstLineChars="1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13、招标文件的澄清</w:t>
      </w:r>
    </w:p>
    <w:p>
      <w:pPr>
        <w:spacing w:line="360" w:lineRule="auto"/>
        <w:ind w:firstLine="420" w:firstLineChars="200"/>
        <w:rPr>
          <w:rFonts w:hint="eastAsia" w:ascii="宋体" w:hAnsi="宋体"/>
          <w:color w:val="auto"/>
          <w:szCs w:val="28"/>
          <w:highlight w:val="none"/>
        </w:rPr>
      </w:pPr>
      <w:r>
        <w:rPr>
          <w:rFonts w:hint="eastAsia" w:ascii="宋体" w:hAnsi="宋体"/>
          <w:color w:val="auto"/>
          <w:szCs w:val="28"/>
          <w:highlight w:val="none"/>
        </w:rPr>
        <w:t>13.1投标截止时间：</w:t>
      </w:r>
      <w:r>
        <w:rPr>
          <w:rFonts w:hint="eastAsia" w:ascii="宋体" w:hAnsi="宋体"/>
          <w:color w:val="auto"/>
          <w:kern w:val="0"/>
          <w:szCs w:val="21"/>
          <w:highlight w:val="none"/>
        </w:rPr>
        <w:t>见“投标人</w:t>
      </w:r>
      <w:r>
        <w:rPr>
          <w:rFonts w:hint="eastAsia" w:ascii="宋体" w:hAnsi="宋体"/>
          <w:bCs/>
          <w:color w:val="auto"/>
          <w:kern w:val="0"/>
          <w:szCs w:val="21"/>
          <w:highlight w:val="none"/>
        </w:rPr>
        <w:t>须知前附表</w:t>
      </w:r>
      <w:r>
        <w:rPr>
          <w:rFonts w:hint="eastAsia" w:ascii="宋体" w:hAnsi="宋体"/>
          <w:color w:val="auto"/>
          <w:kern w:val="0"/>
          <w:szCs w:val="21"/>
          <w:highlight w:val="none"/>
        </w:rPr>
        <w:t>”。</w:t>
      </w:r>
    </w:p>
    <w:p>
      <w:pPr>
        <w:spacing w:line="360" w:lineRule="auto"/>
        <w:ind w:firstLine="420" w:firstLineChars="200"/>
        <w:rPr>
          <w:rFonts w:hint="eastAsia" w:ascii="宋体" w:hAnsi="宋体"/>
          <w:color w:val="auto"/>
          <w:szCs w:val="28"/>
          <w:highlight w:val="none"/>
        </w:rPr>
      </w:pPr>
      <w:r>
        <w:rPr>
          <w:rFonts w:hint="eastAsia" w:ascii="宋体" w:hAnsi="宋体"/>
          <w:color w:val="auto"/>
          <w:szCs w:val="28"/>
          <w:highlight w:val="none"/>
        </w:rPr>
        <w:t>13.2投标人应仔细阅读和检查招标文件的全部内容。如发现缺页或附件不全，应及时向采购人提出，以便补齐。如有疑问，投标人可以在 “投标人须知前附表”规定截止时间前以在线不署名提交要求采购人澄清，截止时间后送达的澄清要求不予接受。所有获取了采购文件的潜在投标人凭企业数字证书（CA）登录政采云平台，通过在线方式进行不署名提问。</w:t>
      </w:r>
    </w:p>
    <w:p>
      <w:pPr>
        <w:spacing w:line="360" w:lineRule="auto"/>
        <w:ind w:firstLine="420" w:firstLineChars="200"/>
        <w:rPr>
          <w:rFonts w:hint="eastAsia" w:ascii="宋体" w:hAnsi="宋体"/>
          <w:color w:val="auto"/>
          <w:szCs w:val="28"/>
          <w:highlight w:val="none"/>
        </w:rPr>
      </w:pPr>
      <w:r>
        <w:rPr>
          <w:rFonts w:hint="eastAsia" w:ascii="宋体" w:hAnsi="宋体"/>
          <w:color w:val="auto"/>
          <w:szCs w:val="28"/>
          <w:highlight w:val="none"/>
        </w:rPr>
        <w:t>13.3投标人在收到澄清后，根据投标人须知前附表的规定进行。</w:t>
      </w:r>
    </w:p>
    <w:p>
      <w:pPr>
        <w:pStyle w:val="11"/>
        <w:rPr>
          <w:rFonts w:hint="eastAsia" w:ascii="宋体" w:hAnsi="宋体"/>
          <w:color w:val="auto"/>
          <w:szCs w:val="28"/>
          <w:highlight w:val="none"/>
        </w:rPr>
      </w:pPr>
      <w:r>
        <w:rPr>
          <w:rFonts w:hint="eastAsia" w:ascii="宋体" w:hAnsi="宋体"/>
          <w:color w:val="auto"/>
          <w:szCs w:val="28"/>
          <w:highlight w:val="none"/>
        </w:rPr>
        <w:t>13.4 采购人澄清的时间及方式：根据投标人须知前附表的规定进行。</w:t>
      </w:r>
    </w:p>
    <w:p>
      <w:pPr>
        <w:pStyle w:val="4"/>
        <w:numPr>
          <w:ilvl w:val="2"/>
          <w:numId w:val="0"/>
        </w:numPr>
        <w:spacing w:before="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14、招标文件的修改</w:t>
      </w:r>
    </w:p>
    <w:p>
      <w:pPr>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14.1</w:t>
      </w:r>
      <w:r>
        <w:rPr>
          <w:rFonts w:hint="eastAsia" w:ascii="宋体" w:hAnsi="宋体"/>
          <w:color w:val="auto"/>
          <w:szCs w:val="28"/>
          <w:highlight w:val="none"/>
        </w:rPr>
        <w:t>采购代理机构</w:t>
      </w:r>
      <w:r>
        <w:rPr>
          <w:rFonts w:hint="eastAsia" w:ascii="宋体" w:hAnsi="宋体"/>
          <w:color w:val="auto"/>
          <w:szCs w:val="21"/>
          <w:highlight w:val="none"/>
        </w:rPr>
        <w:t>对已发出的招标文件进行必要澄清或者修改的，于招标文件要求提交投标文件截止时间十五日前，在指定采购信息发布媒体（发布媒体详见招标公告</w:t>
      </w:r>
      <w:r>
        <w:rPr>
          <w:rFonts w:ascii="宋体" w:hAnsi="宋体"/>
          <w:bCs/>
          <w:color w:val="auto"/>
          <w:szCs w:val="21"/>
          <w:highlight w:val="none"/>
        </w:rPr>
        <w:t>）</w:t>
      </w:r>
      <w:r>
        <w:rPr>
          <w:rFonts w:hint="eastAsia" w:ascii="宋体" w:hAnsi="宋体"/>
          <w:color w:val="auto"/>
          <w:szCs w:val="21"/>
          <w:highlight w:val="none"/>
        </w:rPr>
        <w:t>上发布</w:t>
      </w:r>
      <w:r>
        <w:rPr>
          <w:rFonts w:hint="eastAsia" w:ascii="宋体" w:hAnsi="宋体"/>
          <w:color w:val="auto"/>
          <w:szCs w:val="28"/>
          <w:highlight w:val="none"/>
        </w:rPr>
        <w:t>澄清公告</w:t>
      </w:r>
      <w:r>
        <w:rPr>
          <w:rFonts w:hint="eastAsia" w:ascii="宋体" w:hAnsi="宋体"/>
          <w:color w:val="auto"/>
          <w:szCs w:val="21"/>
          <w:highlight w:val="none"/>
        </w:rPr>
        <w:t>。该澄清或者修改的内容为招标文件的组成部分。</w:t>
      </w:r>
    </w:p>
    <w:p>
      <w:pPr>
        <w:spacing w:line="360" w:lineRule="auto"/>
        <w:ind w:firstLine="420" w:firstLineChars="200"/>
        <w:rPr>
          <w:rFonts w:hint="eastAsia" w:ascii="宋体" w:hAnsi="宋体"/>
          <w:color w:val="auto"/>
          <w:szCs w:val="28"/>
          <w:highlight w:val="none"/>
        </w:rPr>
      </w:pPr>
      <w:r>
        <w:rPr>
          <w:rFonts w:hint="eastAsia" w:ascii="宋体" w:hAnsi="宋体"/>
          <w:color w:val="auto"/>
          <w:szCs w:val="21"/>
          <w:highlight w:val="none"/>
        </w:rPr>
        <w:t xml:space="preserve">14.2 </w:t>
      </w:r>
      <w:r>
        <w:rPr>
          <w:rFonts w:hint="eastAsia" w:ascii="宋体" w:hAnsi="宋体"/>
          <w:color w:val="auto"/>
          <w:szCs w:val="28"/>
          <w:highlight w:val="none"/>
        </w:rPr>
        <w:t>澄清或者修改的内容可能影响投标文件编制的，采购代理机构于投标截止时间十五日前，以书面形式通知所有获取招标文件的潜在投标人；不足十五日的，顺延提交投标文件的截止时间。</w:t>
      </w:r>
    </w:p>
    <w:p>
      <w:pPr>
        <w:spacing w:line="360" w:lineRule="auto"/>
        <w:ind w:firstLine="420" w:firstLineChars="200"/>
        <w:rPr>
          <w:rFonts w:hint="eastAsia" w:ascii="宋体" w:hAnsi="宋体"/>
          <w:color w:val="auto"/>
          <w:szCs w:val="28"/>
          <w:highlight w:val="none"/>
        </w:rPr>
      </w:pPr>
      <w:r>
        <w:rPr>
          <w:rFonts w:hint="eastAsia" w:ascii="宋体" w:hAnsi="宋体"/>
          <w:color w:val="auto"/>
          <w:szCs w:val="28"/>
          <w:highlight w:val="none"/>
        </w:rPr>
        <w:t>14.3采购代理机构对招标文件中的</w:t>
      </w:r>
      <w:r>
        <w:rPr>
          <w:rStyle w:val="41"/>
          <w:rFonts w:hint="eastAsia" w:ascii="宋体" w:hAnsi="宋体"/>
          <w:color w:val="auto"/>
          <w:highlight w:val="none"/>
        </w:rPr>
        <w:t>采购需求</w:t>
      </w:r>
      <w:r>
        <w:rPr>
          <w:rFonts w:hint="eastAsia" w:ascii="宋体" w:hAnsi="宋体"/>
          <w:color w:val="auto"/>
          <w:szCs w:val="28"/>
          <w:highlight w:val="none"/>
        </w:rPr>
        <w:t>、评标办法、评审项目等重要评审内容做出变更，将同时发布补遗文件进行说明以保证各投标人都能重新下载并用于编制电子投标文件。</w:t>
      </w:r>
    </w:p>
    <w:p>
      <w:pPr>
        <w:spacing w:line="360" w:lineRule="auto"/>
        <w:ind w:firstLine="420" w:firstLineChars="200"/>
        <w:rPr>
          <w:rFonts w:hint="eastAsia" w:ascii="宋体" w:hAnsi="宋体"/>
          <w:color w:val="auto"/>
          <w:szCs w:val="28"/>
          <w:highlight w:val="none"/>
        </w:rPr>
      </w:pPr>
      <w:r>
        <w:rPr>
          <w:rFonts w:hint="eastAsia" w:ascii="宋体" w:hAnsi="宋体"/>
          <w:color w:val="auto"/>
          <w:szCs w:val="28"/>
          <w:highlight w:val="none"/>
        </w:rPr>
        <w:t>14.4投标人在收到采购代理机构书面答疑和澄清后，请自行登录政采云平台</w:t>
      </w:r>
      <w:r>
        <w:rPr>
          <w:rFonts w:hint="eastAsia" w:ascii="宋体" w:hAnsi="宋体"/>
          <w:color w:val="auto"/>
          <w:szCs w:val="21"/>
          <w:highlight w:val="none"/>
        </w:rPr>
        <w:t>（网址：https://www.zcygov.cn/）</w:t>
      </w:r>
      <w:r>
        <w:rPr>
          <w:rFonts w:hint="eastAsia" w:ascii="宋体" w:hAnsi="宋体"/>
          <w:color w:val="auto"/>
          <w:szCs w:val="28"/>
          <w:highlight w:val="none"/>
        </w:rPr>
        <w:t>收取修改内容。投标人应在截标时间前随时查看</w:t>
      </w:r>
      <w:r>
        <w:rPr>
          <w:rFonts w:hint="eastAsia" w:ascii="宋体" w:hAnsi="宋体"/>
          <w:color w:val="auto"/>
          <w:szCs w:val="21"/>
          <w:highlight w:val="none"/>
        </w:rPr>
        <w:t>指定采购信息发布媒体（发布媒体详见采购公告</w:t>
      </w:r>
      <w:r>
        <w:rPr>
          <w:rFonts w:ascii="宋体" w:hAnsi="宋体"/>
          <w:bCs/>
          <w:color w:val="auto"/>
          <w:szCs w:val="21"/>
          <w:highlight w:val="none"/>
        </w:rPr>
        <w:t>）</w:t>
      </w:r>
      <w:r>
        <w:rPr>
          <w:rFonts w:hint="eastAsia" w:ascii="宋体" w:hAnsi="宋体"/>
          <w:color w:val="auto"/>
          <w:szCs w:val="28"/>
          <w:highlight w:val="none"/>
        </w:rPr>
        <w:t>中有关该项目招标文件的答疑、补遗内容。</w:t>
      </w:r>
    </w:p>
    <w:p>
      <w:pPr>
        <w:spacing w:line="360" w:lineRule="auto"/>
        <w:ind w:firstLine="420" w:firstLineChars="200"/>
        <w:rPr>
          <w:rFonts w:hint="eastAsia" w:ascii="宋体" w:hAnsi="宋体" w:cs="宋体"/>
          <w:b/>
          <w:bCs/>
          <w:color w:val="auto"/>
          <w:kern w:val="0"/>
          <w:szCs w:val="21"/>
          <w:highlight w:val="none"/>
        </w:rPr>
      </w:pPr>
      <w:r>
        <w:rPr>
          <w:rFonts w:hint="eastAsia" w:ascii="宋体" w:hAnsi="宋体"/>
          <w:color w:val="auto"/>
          <w:szCs w:val="28"/>
          <w:highlight w:val="none"/>
        </w:rPr>
        <w:t>14.5招标文件澄清、招标文件修改文件内容均以网上发布的文件为准，当招标文件、招标文件澄清、招标文件修改文件内容前后相互矛盾时，以最后发出的为准。</w:t>
      </w:r>
    </w:p>
    <w:p>
      <w:pPr>
        <w:pStyle w:val="3"/>
        <w:rPr>
          <w:rFonts w:hint="eastAsia" w:ascii="宋体" w:hAnsi="宋体"/>
          <w:color w:val="auto"/>
          <w:highlight w:val="none"/>
        </w:rPr>
      </w:pPr>
      <w:bookmarkStart w:id="39" w:name="_Toc118109504"/>
      <w:r>
        <w:rPr>
          <w:rFonts w:hint="eastAsia" w:ascii="宋体" w:hAnsi="宋体"/>
          <w:color w:val="auto"/>
          <w:highlight w:val="none"/>
        </w:rPr>
        <w:t>三、投标文件的编制</w:t>
      </w:r>
      <w:bookmarkEnd w:id="39"/>
    </w:p>
    <w:p>
      <w:pPr>
        <w:pStyle w:val="4"/>
        <w:numPr>
          <w:ilvl w:val="2"/>
          <w:numId w:val="0"/>
        </w:numPr>
        <w:spacing w:before="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15、投标文件编写注意事项</w:t>
      </w:r>
    </w:p>
    <w:p>
      <w:pPr>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15.1投标人应仔细阅读招标文件，在完全了解采购的内容、技术要求（见第五章 采购内容）后，编写投标文件。如果没有按照招标文件要求提交全部投标文件或者资料，没有对招标文件的实质性要求和条件作出响应是投标人的风险，并可能导致该投标无效。</w:t>
      </w:r>
    </w:p>
    <w:p>
      <w:pPr>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15.2对招标文件提出的实质性要求和条件作出响应是指投标人必须对招标文件中标明的实质性要求和条件的技术要求、后期服务、合同主要条款及其它要求等内容作出满足或者优于原要求和条件的承诺。</w:t>
      </w:r>
    </w:p>
    <w:p>
      <w:pPr>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15.3投标文件的编制要求：</w:t>
      </w:r>
    </w:p>
    <w:p>
      <w:pPr>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（1）投标文件全部采用电子文档，投标人应安装客户端软件—“政采云电子交易客户端”，并按照招标文件和政采云电子交易平台的要求编制，编制后应进行电子签章、签名及加密；</w:t>
      </w:r>
    </w:p>
    <w:p>
      <w:pPr>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 xml:space="preserve">（2）如投标文件提交的电子标书不满足招标文件要求或开标时无法读取导入或解密，其投标文件将不予受理； </w:t>
      </w:r>
    </w:p>
    <w:p>
      <w:pPr>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（3）投标文件中提供的资料（扫描件），内容必须清晰可辨，若内容模糊，无法辨识，均视为未提供。</w:t>
      </w:r>
    </w:p>
    <w:p>
      <w:pPr>
        <w:pStyle w:val="4"/>
        <w:numPr>
          <w:ilvl w:val="2"/>
          <w:numId w:val="0"/>
        </w:numPr>
        <w:spacing w:before="0"/>
        <w:ind w:left="420" w:leftChars="20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16、投标的语言及计量单位</w:t>
      </w:r>
    </w:p>
    <w:p>
      <w:pPr>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16.1投标人的投标文件以及投标人与采购代理机构就有关投标的所有来往函电统一使用中文（特别规定除外）。</w:t>
      </w:r>
    </w:p>
    <w:p>
      <w:pPr>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16.2投标文件中使用的计量单位除招标文件中有特殊规定外，一律使用中国法定计量单位。</w:t>
      </w:r>
    </w:p>
    <w:p>
      <w:pPr>
        <w:pStyle w:val="4"/>
        <w:numPr>
          <w:ilvl w:val="2"/>
          <w:numId w:val="0"/>
        </w:numPr>
        <w:spacing w:before="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17、投标文件构成</w:t>
      </w:r>
    </w:p>
    <w:p>
      <w:pPr>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17.1投标人编写的投标文件应为第四章“投标文件格式”的全部内容。</w:t>
      </w:r>
    </w:p>
    <w:p>
      <w:pPr>
        <w:spacing w:line="360" w:lineRule="auto"/>
        <w:ind w:firstLine="420" w:firstLineChars="200"/>
        <w:rPr>
          <w:rFonts w:hint="eastAsia" w:ascii="宋体" w:hAnsi="宋体"/>
          <w:color w:val="auto"/>
          <w:kern w:val="0"/>
          <w:szCs w:val="21"/>
          <w:highlight w:val="none"/>
        </w:rPr>
      </w:pPr>
      <w:r>
        <w:rPr>
          <w:rFonts w:hint="eastAsia" w:ascii="宋体" w:hAnsi="宋体"/>
          <w:bCs/>
          <w:color w:val="auto"/>
          <w:szCs w:val="21"/>
          <w:highlight w:val="none"/>
        </w:rPr>
        <w:t>17.2资格证明文件：</w:t>
      </w:r>
      <w:r>
        <w:rPr>
          <w:rFonts w:hint="eastAsia" w:ascii="宋体" w:hAnsi="宋体"/>
          <w:color w:val="auto"/>
          <w:kern w:val="0"/>
          <w:szCs w:val="21"/>
          <w:highlight w:val="none"/>
        </w:rPr>
        <w:t>见“投标人</w:t>
      </w:r>
      <w:r>
        <w:rPr>
          <w:rFonts w:hint="eastAsia" w:ascii="宋体" w:hAnsi="宋体"/>
          <w:bCs/>
          <w:color w:val="auto"/>
          <w:kern w:val="0"/>
          <w:szCs w:val="21"/>
          <w:highlight w:val="none"/>
        </w:rPr>
        <w:t>须知前附表</w:t>
      </w:r>
      <w:r>
        <w:rPr>
          <w:rFonts w:hint="eastAsia" w:ascii="宋体" w:hAnsi="宋体"/>
          <w:color w:val="auto"/>
          <w:kern w:val="0"/>
          <w:szCs w:val="21"/>
          <w:highlight w:val="none"/>
        </w:rPr>
        <w:t>”。</w:t>
      </w:r>
    </w:p>
    <w:p>
      <w:pPr>
        <w:spacing w:line="360" w:lineRule="auto"/>
        <w:ind w:firstLine="420" w:firstLineChars="200"/>
        <w:rPr>
          <w:rFonts w:hint="eastAsia" w:ascii="宋体" w:hAnsi="宋体"/>
          <w:bCs/>
          <w:color w:val="auto"/>
          <w:szCs w:val="21"/>
          <w:highlight w:val="none"/>
        </w:rPr>
      </w:pPr>
      <w:r>
        <w:rPr>
          <w:rFonts w:hint="eastAsia" w:ascii="宋体" w:hAnsi="宋体"/>
          <w:color w:val="auto"/>
          <w:kern w:val="0"/>
          <w:szCs w:val="21"/>
          <w:highlight w:val="none"/>
        </w:rPr>
        <w:t>17.3落实政府采购政策需满足的资格要求:详见“投标人须知前附表”。</w:t>
      </w:r>
    </w:p>
    <w:p>
      <w:pPr>
        <w:pStyle w:val="4"/>
        <w:numPr>
          <w:ilvl w:val="2"/>
          <w:numId w:val="0"/>
        </w:numPr>
        <w:spacing w:before="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18、投标文件的格式要求</w:t>
      </w:r>
    </w:p>
    <w:p>
      <w:pPr>
        <w:spacing w:line="360" w:lineRule="auto"/>
        <w:ind w:firstLine="420" w:firstLineChars="200"/>
        <w:rPr>
          <w:rFonts w:hint="eastAsia" w:ascii="宋体" w:hAnsi="宋体"/>
          <w:bCs/>
          <w:color w:val="auto"/>
          <w:szCs w:val="21"/>
          <w:highlight w:val="none"/>
        </w:rPr>
      </w:pPr>
      <w:r>
        <w:rPr>
          <w:rFonts w:hint="eastAsia" w:ascii="宋体" w:hAnsi="宋体"/>
          <w:color w:val="auto"/>
          <w:szCs w:val="21"/>
          <w:highlight w:val="none"/>
        </w:rPr>
        <w:t>投标人应按第四章“投标文件格式”提供的格式完整地填写。</w:t>
      </w:r>
    </w:p>
    <w:p>
      <w:pPr>
        <w:pStyle w:val="4"/>
        <w:numPr>
          <w:ilvl w:val="2"/>
          <w:numId w:val="0"/>
        </w:numPr>
        <w:spacing w:before="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19、投标报价</w:t>
      </w:r>
    </w:p>
    <w:p>
      <w:pPr>
        <w:spacing w:line="360" w:lineRule="auto"/>
        <w:ind w:firstLine="420" w:firstLineChars="200"/>
        <w:rPr>
          <w:rFonts w:hint="eastAsia" w:ascii="宋体" w:hAnsi="宋体"/>
          <w:bCs/>
          <w:color w:val="auto"/>
          <w:szCs w:val="21"/>
          <w:highlight w:val="none"/>
        </w:rPr>
      </w:pPr>
      <w:r>
        <w:rPr>
          <w:rFonts w:hint="eastAsia" w:ascii="宋体" w:hAnsi="宋体"/>
          <w:color w:val="auto"/>
          <w:szCs w:val="21"/>
          <w:highlight w:val="none"/>
        </w:rPr>
        <w:t>19.1投标报价：投标人自主报价，不高于最高限价</w:t>
      </w:r>
      <w:r>
        <w:rPr>
          <w:rFonts w:hint="eastAsia" w:ascii="宋体" w:hAnsi="宋体"/>
          <w:bCs/>
          <w:color w:val="auto"/>
          <w:szCs w:val="21"/>
          <w:highlight w:val="none"/>
        </w:rPr>
        <w:t>。</w:t>
      </w:r>
    </w:p>
    <w:p>
      <w:pPr>
        <w:spacing w:line="360" w:lineRule="auto"/>
        <w:ind w:firstLine="422" w:firstLineChars="200"/>
        <w:rPr>
          <w:rFonts w:hint="eastAsia" w:ascii="宋体" w:hAnsi="宋体"/>
          <w:b/>
          <w:color w:val="auto"/>
          <w:szCs w:val="21"/>
          <w:highlight w:val="none"/>
        </w:rPr>
      </w:pPr>
      <w:r>
        <w:rPr>
          <w:rFonts w:hint="eastAsia" w:ascii="宋体" w:hAnsi="宋体"/>
          <w:b/>
          <w:color w:val="auto"/>
          <w:szCs w:val="21"/>
          <w:highlight w:val="none"/>
        </w:rPr>
        <w:t>19.2投标报价</w:t>
      </w:r>
      <w:r>
        <w:rPr>
          <w:rFonts w:hint="eastAsia" w:ascii="宋体" w:hAnsi="宋体"/>
          <w:b/>
          <w:bCs/>
          <w:color w:val="auto"/>
          <w:szCs w:val="21"/>
          <w:highlight w:val="none"/>
        </w:rPr>
        <w:t>作完整唯一报价，不得缺项、漏项</w:t>
      </w:r>
      <w:r>
        <w:rPr>
          <w:rFonts w:hint="eastAsia" w:ascii="宋体" w:hAnsi="宋体"/>
          <w:b/>
          <w:color w:val="auto"/>
          <w:szCs w:val="21"/>
          <w:highlight w:val="none"/>
        </w:rPr>
        <w:t>。</w:t>
      </w:r>
    </w:p>
    <w:p>
      <w:pPr>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19.3</w:t>
      </w:r>
      <w:r>
        <w:rPr>
          <w:rFonts w:ascii="宋体" w:hAnsi="宋体"/>
          <w:color w:val="auto"/>
          <w:szCs w:val="21"/>
          <w:highlight w:val="none"/>
        </w:rPr>
        <w:t>投标人的投标报价应依据</w:t>
      </w:r>
      <w:r>
        <w:rPr>
          <w:rFonts w:hint="eastAsia" w:ascii="宋体" w:hAnsi="宋体"/>
          <w:color w:val="auto"/>
          <w:szCs w:val="21"/>
          <w:highlight w:val="none"/>
        </w:rPr>
        <w:t>招标文件</w:t>
      </w:r>
      <w:r>
        <w:rPr>
          <w:rFonts w:ascii="宋体" w:hAnsi="宋体"/>
          <w:color w:val="auto"/>
          <w:szCs w:val="21"/>
          <w:highlight w:val="none"/>
        </w:rPr>
        <w:t>的要求，执行国家规定的现行</w:t>
      </w:r>
      <w:r>
        <w:rPr>
          <w:rFonts w:hint="eastAsia" w:ascii="宋体" w:hAnsi="宋体"/>
          <w:color w:val="auto"/>
          <w:szCs w:val="21"/>
          <w:highlight w:val="none"/>
        </w:rPr>
        <w:t>相关</w:t>
      </w:r>
      <w:r>
        <w:rPr>
          <w:rFonts w:ascii="宋体" w:hAnsi="宋体"/>
          <w:color w:val="auto"/>
          <w:szCs w:val="21"/>
          <w:highlight w:val="none"/>
        </w:rPr>
        <w:t>技术、经济标准及规范，由投标人自行测算出现行市场的各类</w:t>
      </w:r>
      <w:r>
        <w:rPr>
          <w:rFonts w:hint="eastAsia" w:ascii="宋体" w:hAnsi="宋体"/>
          <w:color w:val="auto"/>
          <w:szCs w:val="21"/>
          <w:highlight w:val="none"/>
        </w:rPr>
        <w:t>服务的单价及总价</w:t>
      </w:r>
      <w:r>
        <w:rPr>
          <w:rFonts w:ascii="宋体" w:hAnsi="宋体"/>
          <w:color w:val="auto"/>
          <w:szCs w:val="21"/>
          <w:highlight w:val="none"/>
        </w:rPr>
        <w:t>。该报价应符合国内行情并能保证投标人完成履行合同所需的一切工作。</w:t>
      </w:r>
    </w:p>
    <w:p>
      <w:pPr>
        <w:pStyle w:val="4"/>
        <w:numPr>
          <w:ilvl w:val="2"/>
          <w:numId w:val="0"/>
        </w:numPr>
        <w:spacing w:before="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20、投标货币</w:t>
      </w:r>
    </w:p>
    <w:p>
      <w:pPr>
        <w:spacing w:line="360" w:lineRule="auto"/>
        <w:ind w:firstLine="420" w:firstLineChars="200"/>
        <w:rPr>
          <w:rFonts w:hint="eastAsia" w:ascii="宋体" w:hAnsi="宋体"/>
          <w:bCs/>
          <w:color w:val="auto"/>
          <w:szCs w:val="21"/>
          <w:highlight w:val="none"/>
        </w:rPr>
      </w:pPr>
      <w:r>
        <w:rPr>
          <w:rFonts w:hint="eastAsia" w:ascii="宋体" w:hAnsi="宋体"/>
          <w:color w:val="auto"/>
          <w:szCs w:val="21"/>
          <w:highlight w:val="none"/>
        </w:rPr>
        <w:t>投标应以人民币报价。</w:t>
      </w:r>
    </w:p>
    <w:p>
      <w:pPr>
        <w:pStyle w:val="4"/>
        <w:numPr>
          <w:ilvl w:val="2"/>
          <w:numId w:val="0"/>
        </w:numPr>
        <w:spacing w:before="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21、投标有效期</w:t>
      </w:r>
    </w:p>
    <w:p>
      <w:pPr>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21.1在“</w:t>
      </w:r>
      <w:r>
        <w:rPr>
          <w:rFonts w:hint="eastAsia" w:ascii="宋体" w:hAnsi="宋体"/>
          <w:bCs/>
          <w:color w:val="auto"/>
          <w:szCs w:val="21"/>
          <w:highlight w:val="none"/>
        </w:rPr>
        <w:t>投标人须知前附表</w:t>
      </w:r>
      <w:r>
        <w:rPr>
          <w:rFonts w:hint="eastAsia" w:ascii="宋体" w:hAnsi="宋体"/>
          <w:color w:val="auto"/>
          <w:szCs w:val="21"/>
          <w:highlight w:val="none"/>
        </w:rPr>
        <w:t>”规定的投标有效期内，投标人不得要求撤销或修改其投标文件。</w:t>
      </w:r>
    </w:p>
    <w:p>
      <w:pPr>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21.2因特殊情况需要延长投标有效期的，采购人以书面形式通知所有投标人延长投标有效期。投标人同意延长的，不得要求或被允许修改或撤销其投标文件；投标人拒绝延长的，其投标失效。</w:t>
      </w:r>
    </w:p>
    <w:p>
      <w:pPr>
        <w:pStyle w:val="4"/>
        <w:numPr>
          <w:ilvl w:val="2"/>
          <w:numId w:val="0"/>
        </w:numPr>
        <w:spacing w:before="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22、投标文件的签署要求</w:t>
      </w:r>
    </w:p>
    <w:p>
      <w:pPr>
        <w:spacing w:line="360" w:lineRule="auto"/>
        <w:ind w:firstLine="420" w:firstLineChars="200"/>
        <w:rPr>
          <w:rFonts w:hint="eastAsia" w:ascii="宋体" w:hAnsi="宋体" w:cs="宋体"/>
          <w:bCs/>
          <w:color w:val="auto"/>
          <w:kern w:val="0"/>
          <w:szCs w:val="21"/>
          <w:highlight w:val="none"/>
        </w:rPr>
      </w:pPr>
      <w:r>
        <w:rPr>
          <w:rFonts w:hint="eastAsia" w:ascii="宋体" w:hAnsi="宋体" w:cs="宋体"/>
          <w:bCs/>
          <w:color w:val="auto"/>
          <w:kern w:val="0"/>
          <w:szCs w:val="21"/>
          <w:highlight w:val="none"/>
        </w:rPr>
        <w:t>22.1投标文件所附证书证件要求：扫描件。</w:t>
      </w:r>
    </w:p>
    <w:p>
      <w:pPr>
        <w:spacing w:line="360" w:lineRule="auto"/>
        <w:ind w:firstLine="420" w:firstLineChars="200"/>
        <w:rPr>
          <w:rFonts w:hint="eastAsia" w:ascii="宋体" w:hAnsi="宋体"/>
          <w:color w:val="auto"/>
          <w:szCs w:val="28"/>
          <w:highlight w:val="none"/>
        </w:rPr>
      </w:pPr>
      <w:r>
        <w:rPr>
          <w:rFonts w:hint="eastAsia" w:ascii="宋体" w:hAnsi="宋体" w:cs="宋体"/>
          <w:bCs/>
          <w:color w:val="auto"/>
          <w:kern w:val="0"/>
          <w:szCs w:val="21"/>
          <w:highlight w:val="none"/>
        </w:rPr>
        <w:t>22.2投标文件签字或盖章要求：按投标文件格式要求，在需要电子签名或签字或加盖电子签章的地方进行签名或签字或加盖电子签章，无需逐页签章</w:t>
      </w:r>
      <w:r>
        <w:rPr>
          <w:rFonts w:hint="eastAsia" w:ascii="宋体" w:hAnsi="宋体"/>
          <w:color w:val="auto"/>
          <w:szCs w:val="28"/>
          <w:highlight w:val="none"/>
        </w:rPr>
        <w:t>。</w:t>
      </w:r>
    </w:p>
    <w:p>
      <w:pPr>
        <w:pStyle w:val="4"/>
        <w:numPr>
          <w:ilvl w:val="2"/>
          <w:numId w:val="0"/>
        </w:numPr>
        <w:spacing w:before="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23、投标保证金：见“投标人须知前附表”</w:t>
      </w:r>
    </w:p>
    <w:p>
      <w:pPr>
        <w:pStyle w:val="3"/>
        <w:rPr>
          <w:rFonts w:hint="eastAsia" w:ascii="宋体" w:hAnsi="宋体"/>
          <w:color w:val="auto"/>
          <w:highlight w:val="none"/>
        </w:rPr>
      </w:pPr>
      <w:bookmarkStart w:id="40" w:name="_Toc118109505"/>
      <w:r>
        <w:rPr>
          <w:rFonts w:hint="eastAsia" w:ascii="宋体" w:hAnsi="宋体"/>
          <w:color w:val="auto"/>
          <w:highlight w:val="none"/>
        </w:rPr>
        <w:t>四、投标文件的提交</w:t>
      </w:r>
      <w:bookmarkEnd w:id="40"/>
    </w:p>
    <w:p>
      <w:pPr>
        <w:pStyle w:val="4"/>
        <w:numPr>
          <w:ilvl w:val="0"/>
          <w:numId w:val="0"/>
        </w:numPr>
        <w:tabs>
          <w:tab w:val="left" w:pos="420"/>
        </w:tabs>
        <w:spacing w:before="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2</w:t>
      </w:r>
      <w:r>
        <w:rPr>
          <w:rFonts w:ascii="宋体" w:hAnsi="宋体" w:eastAsia="宋体"/>
          <w:color w:val="auto"/>
          <w:sz w:val="24"/>
          <w:szCs w:val="24"/>
          <w:highlight w:val="none"/>
        </w:rPr>
        <w:t>4</w:t>
      </w:r>
      <w:r>
        <w:rPr>
          <w:rFonts w:hint="eastAsia" w:ascii="宋体" w:hAnsi="宋体" w:eastAsia="宋体"/>
          <w:color w:val="auto"/>
          <w:sz w:val="24"/>
          <w:szCs w:val="24"/>
          <w:highlight w:val="none"/>
        </w:rPr>
        <w:t>、投标文件的加密与提交</w:t>
      </w:r>
    </w:p>
    <w:p>
      <w:pPr>
        <w:spacing w:line="360" w:lineRule="auto"/>
        <w:ind w:firstLine="420" w:firstLineChars="200"/>
        <w:rPr>
          <w:rFonts w:hint="eastAsia" w:ascii="宋体" w:hAnsi="宋体"/>
          <w:color w:val="auto"/>
          <w:szCs w:val="28"/>
          <w:highlight w:val="none"/>
        </w:rPr>
      </w:pPr>
      <w:r>
        <w:rPr>
          <w:rFonts w:hint="eastAsia" w:ascii="宋体" w:hAnsi="宋体" w:cs="宋体"/>
          <w:bCs/>
          <w:color w:val="auto"/>
          <w:kern w:val="0"/>
          <w:szCs w:val="21"/>
          <w:highlight w:val="none"/>
        </w:rPr>
        <w:t>24.1</w:t>
      </w:r>
      <w:r>
        <w:rPr>
          <w:rFonts w:hint="eastAsia" w:ascii="宋体" w:hAnsi="宋体"/>
          <w:color w:val="auto"/>
          <w:szCs w:val="28"/>
          <w:highlight w:val="none"/>
        </w:rPr>
        <w:t>网上递交的电子投标文件须对文件进行加密。</w:t>
      </w:r>
    </w:p>
    <w:p>
      <w:pPr>
        <w:spacing w:line="360" w:lineRule="auto"/>
        <w:ind w:firstLine="420" w:firstLineChars="200"/>
        <w:rPr>
          <w:rFonts w:hint="eastAsia" w:ascii="宋体" w:hAnsi="宋体"/>
          <w:color w:val="auto"/>
          <w:szCs w:val="28"/>
          <w:highlight w:val="none"/>
        </w:rPr>
      </w:pPr>
      <w:r>
        <w:rPr>
          <w:rFonts w:hint="eastAsia" w:ascii="宋体" w:hAnsi="宋体"/>
          <w:color w:val="auto"/>
          <w:szCs w:val="28"/>
          <w:highlight w:val="none"/>
        </w:rPr>
        <w:t xml:space="preserve">（1）投标人进行电子交易应安装客户端软件—“政采云电子交易客户端”，并按照招标文件和电子交易平台的要求编制并加密响应文件。投标人未按规定加密的响应文件，电子交易平台将拒收并提示； </w:t>
      </w:r>
    </w:p>
    <w:p>
      <w:pPr>
        <w:spacing w:line="360" w:lineRule="auto"/>
        <w:ind w:firstLine="420" w:firstLineChars="200"/>
        <w:rPr>
          <w:rFonts w:hint="eastAsia" w:ascii="宋体" w:hAnsi="宋体"/>
          <w:color w:val="auto"/>
          <w:szCs w:val="28"/>
          <w:highlight w:val="none"/>
        </w:rPr>
      </w:pPr>
      <w:r>
        <w:rPr>
          <w:rFonts w:hint="eastAsia" w:ascii="宋体" w:hAnsi="宋体"/>
          <w:color w:val="auto"/>
          <w:szCs w:val="28"/>
          <w:highlight w:val="none"/>
        </w:rPr>
        <w:t xml:space="preserve">（2）使用“政采云电子交易客户端”需要提前申领 CA 数字证书，申领流程见该项目采购公告附件； </w:t>
      </w:r>
    </w:p>
    <w:p>
      <w:pPr>
        <w:spacing w:line="360" w:lineRule="auto"/>
        <w:ind w:firstLine="420" w:firstLineChars="200"/>
        <w:rPr>
          <w:rFonts w:hint="eastAsia" w:ascii="宋体" w:hAnsi="宋体"/>
          <w:color w:val="auto"/>
          <w:szCs w:val="28"/>
          <w:highlight w:val="none"/>
        </w:rPr>
      </w:pPr>
      <w:r>
        <w:rPr>
          <w:rFonts w:hint="eastAsia" w:ascii="宋体" w:hAnsi="宋体"/>
          <w:color w:val="auto"/>
          <w:szCs w:val="28"/>
          <w:highlight w:val="none"/>
        </w:rPr>
        <w:t>（3）为确保网上操作合法、有效和安全，投标人应当在响应文件提交截止时间前完成在“政府采购云 平台”的身份认证，确保在电子交易过程中能够对相关数据电文进行加密和使用电子签名。</w:t>
      </w:r>
    </w:p>
    <w:p>
      <w:pPr>
        <w:autoSpaceDE w:val="0"/>
        <w:autoSpaceDN w:val="0"/>
        <w:adjustRightInd w:val="0"/>
        <w:spacing w:line="360" w:lineRule="auto"/>
        <w:ind w:firstLine="420" w:firstLineChars="200"/>
        <w:rPr>
          <w:rFonts w:hint="eastAsia" w:ascii="宋体" w:hAnsi="宋体"/>
          <w:color w:val="auto"/>
          <w:szCs w:val="28"/>
          <w:highlight w:val="none"/>
        </w:rPr>
      </w:pPr>
      <w:r>
        <w:rPr>
          <w:rFonts w:hint="eastAsia" w:ascii="宋体" w:hAnsi="宋体"/>
          <w:color w:val="auto"/>
          <w:szCs w:val="28"/>
          <w:highlight w:val="none"/>
        </w:rPr>
        <w:t>24.2 网上递交电子投标文件地址为：政采云平台（http://www.zcygov.cn）。</w:t>
      </w:r>
    </w:p>
    <w:p>
      <w:pPr>
        <w:pStyle w:val="3"/>
        <w:rPr>
          <w:rFonts w:hint="eastAsia" w:ascii="宋体" w:hAnsi="宋体"/>
          <w:color w:val="auto"/>
          <w:highlight w:val="none"/>
        </w:rPr>
      </w:pPr>
      <w:bookmarkStart w:id="41" w:name="_Toc118109506"/>
      <w:r>
        <w:rPr>
          <w:rFonts w:hint="eastAsia" w:ascii="宋体" w:hAnsi="宋体"/>
          <w:color w:val="auto"/>
          <w:highlight w:val="none"/>
        </w:rPr>
        <w:t>五、开标与评标</w:t>
      </w:r>
      <w:bookmarkEnd w:id="41"/>
    </w:p>
    <w:p>
      <w:pPr>
        <w:pStyle w:val="4"/>
        <w:numPr>
          <w:ilvl w:val="0"/>
          <w:numId w:val="0"/>
        </w:numPr>
        <w:tabs>
          <w:tab w:val="left" w:pos="420"/>
        </w:tabs>
        <w:spacing w:before="0"/>
        <w:rPr>
          <w:rFonts w:hint="eastAsia" w:ascii="宋体" w:hAnsi="宋体" w:eastAsia="宋体"/>
          <w:color w:val="auto"/>
          <w:sz w:val="21"/>
          <w:szCs w:val="21"/>
          <w:highlight w:val="none"/>
        </w:rPr>
      </w:pPr>
      <w:r>
        <w:rPr>
          <w:rFonts w:hint="eastAsia" w:ascii="宋体" w:hAnsi="宋体" w:eastAsia="宋体"/>
          <w:color w:val="auto"/>
          <w:sz w:val="21"/>
          <w:szCs w:val="21"/>
          <w:highlight w:val="none"/>
        </w:rPr>
        <w:t>2</w:t>
      </w:r>
      <w:r>
        <w:rPr>
          <w:rFonts w:ascii="宋体" w:hAnsi="宋体" w:eastAsia="宋体"/>
          <w:color w:val="auto"/>
          <w:sz w:val="21"/>
          <w:szCs w:val="21"/>
          <w:highlight w:val="none"/>
        </w:rPr>
        <w:t>5</w:t>
      </w:r>
      <w:r>
        <w:rPr>
          <w:rFonts w:hint="eastAsia" w:ascii="宋体" w:hAnsi="宋体" w:eastAsia="宋体"/>
          <w:color w:val="auto"/>
          <w:sz w:val="21"/>
          <w:szCs w:val="21"/>
          <w:highlight w:val="none"/>
        </w:rPr>
        <w:t>、开标</w:t>
      </w:r>
    </w:p>
    <w:p>
      <w:pPr>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25.1采购代理机构将在“投标人须知前附表”规定的时间和地点进行开标，请采购人及监督单位按时参加。</w:t>
      </w:r>
    </w:p>
    <w:p>
      <w:pPr>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25.2开标程序</w:t>
      </w:r>
    </w:p>
    <w:p>
      <w:pPr>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(1)开标会由采购代理机构主持。</w:t>
      </w:r>
    </w:p>
    <w:p>
      <w:pPr>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(2)开标:顺序按照政采云平台自动提取所有投标人的顺序当众开标。</w:t>
      </w:r>
    </w:p>
    <w:p>
      <w:pPr>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25.3开标异议</w:t>
      </w:r>
    </w:p>
    <w:p>
      <w:pPr>
        <w:spacing w:line="360" w:lineRule="auto"/>
        <w:ind w:firstLine="420" w:firstLineChars="200"/>
        <w:rPr>
          <w:rFonts w:hint="eastAsia" w:ascii="宋体" w:hAnsi="宋体"/>
          <w:color w:val="auto"/>
          <w:szCs w:val="21"/>
          <w:highlight w:val="none"/>
        </w:rPr>
      </w:pPr>
      <w:r>
        <w:rPr>
          <w:rFonts w:ascii="宋体" w:hAnsi="宋体"/>
          <w:color w:val="auto"/>
          <w:szCs w:val="21"/>
          <w:highlight w:val="none"/>
        </w:rPr>
        <w:t>开标过程中如有问题，可以在线提出异议，由代理机构给予回复。在规定的异议询问时间内未提出异议的，则视为对开标结果无异议。</w:t>
      </w:r>
    </w:p>
    <w:p>
      <w:pPr>
        <w:spacing w:line="360" w:lineRule="auto"/>
        <w:ind w:firstLine="422" w:firstLineChars="200"/>
        <w:rPr>
          <w:rFonts w:hint="eastAsia" w:ascii="宋体" w:hAnsi="宋体"/>
          <w:b/>
          <w:color w:val="auto"/>
          <w:szCs w:val="21"/>
          <w:highlight w:val="none"/>
        </w:rPr>
      </w:pPr>
      <w:r>
        <w:rPr>
          <w:rFonts w:hint="eastAsia" w:ascii="宋体" w:hAnsi="宋体"/>
          <w:b/>
          <w:color w:val="auto"/>
          <w:szCs w:val="21"/>
          <w:highlight w:val="none"/>
        </w:rPr>
        <w:t>2</w:t>
      </w:r>
      <w:r>
        <w:rPr>
          <w:rFonts w:ascii="宋体" w:hAnsi="宋体"/>
          <w:b/>
          <w:color w:val="auto"/>
          <w:szCs w:val="21"/>
          <w:highlight w:val="none"/>
        </w:rPr>
        <w:t>5.3</w:t>
      </w:r>
      <w:r>
        <w:rPr>
          <w:rFonts w:hint="eastAsia" w:ascii="宋体" w:hAnsi="宋体"/>
          <w:b/>
          <w:color w:val="auto"/>
          <w:szCs w:val="21"/>
          <w:highlight w:val="none"/>
        </w:rPr>
        <w:t>投标文件不予受理情形</w:t>
      </w:r>
    </w:p>
    <w:p>
      <w:pPr>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投标文件有下列情形之一的，采购人不予受理：</w:t>
      </w:r>
    </w:p>
    <w:p>
      <w:pPr>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w:t>
      </w:r>
      <w:r>
        <w:rPr>
          <w:rFonts w:ascii="宋体" w:hAnsi="宋体"/>
          <w:color w:val="auto"/>
          <w:szCs w:val="21"/>
          <w:highlight w:val="none"/>
        </w:rPr>
        <w:t>1</w:t>
      </w:r>
      <w:r>
        <w:rPr>
          <w:rFonts w:hint="eastAsia" w:ascii="宋体" w:hAnsi="宋体"/>
          <w:color w:val="auto"/>
          <w:szCs w:val="21"/>
          <w:highlight w:val="none"/>
        </w:rPr>
        <w:t>）在投标须知前附表</w:t>
      </w:r>
      <w:r>
        <w:rPr>
          <w:rFonts w:ascii="宋体" w:hAnsi="宋体"/>
          <w:color w:val="auto"/>
          <w:szCs w:val="21"/>
          <w:highlight w:val="none"/>
        </w:rPr>
        <w:t xml:space="preserve"> </w:t>
      </w:r>
      <w:r>
        <w:rPr>
          <w:rFonts w:hint="eastAsia" w:ascii="宋体" w:hAnsi="宋体"/>
          <w:color w:val="auto"/>
          <w:szCs w:val="21"/>
          <w:highlight w:val="none"/>
        </w:rPr>
        <w:t>13.1</w:t>
      </w:r>
      <w:r>
        <w:rPr>
          <w:rFonts w:ascii="宋体" w:hAnsi="宋体"/>
          <w:color w:val="auto"/>
          <w:szCs w:val="21"/>
          <w:highlight w:val="none"/>
        </w:rPr>
        <w:t xml:space="preserve"> </w:t>
      </w:r>
      <w:r>
        <w:rPr>
          <w:rFonts w:hint="eastAsia" w:ascii="宋体" w:hAnsi="宋体"/>
          <w:color w:val="auto"/>
          <w:szCs w:val="21"/>
          <w:highlight w:val="none"/>
        </w:rPr>
        <w:t>项规定的“投标文件提交截止时间”以后逾期网上上传；</w:t>
      </w:r>
    </w:p>
    <w:p>
      <w:pPr>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（2）由于投标人的原因，在规定时间内未完成解密的；</w:t>
      </w:r>
    </w:p>
    <w:p>
      <w:pPr>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（3）投标人提交的电子标书格式不符合15.3项要求或开标后无法读取导入的。</w:t>
      </w:r>
    </w:p>
    <w:p>
      <w:pPr>
        <w:pStyle w:val="20"/>
        <w:tabs>
          <w:tab w:val="left" w:pos="2472"/>
        </w:tabs>
        <w:spacing w:line="360" w:lineRule="auto"/>
        <w:ind w:firstLine="420" w:firstLineChars="200"/>
        <w:rPr>
          <w:rFonts w:hint="eastAsia" w:hAnsi="宋体"/>
          <w:color w:val="auto"/>
          <w:szCs w:val="21"/>
          <w:highlight w:val="none"/>
        </w:rPr>
      </w:pPr>
      <w:r>
        <w:rPr>
          <w:rFonts w:hint="eastAsia" w:hAnsi="宋体"/>
          <w:color w:val="auto"/>
          <w:szCs w:val="21"/>
          <w:highlight w:val="none"/>
        </w:rPr>
        <w:t>25.4 投标文件如果出现计算或表达上的错误，按照下列规定修正：</w:t>
      </w:r>
    </w:p>
    <w:p>
      <w:pPr>
        <w:pStyle w:val="20"/>
        <w:tabs>
          <w:tab w:val="left" w:pos="2472"/>
        </w:tabs>
        <w:spacing w:line="360" w:lineRule="auto"/>
        <w:ind w:firstLine="420" w:firstLineChars="200"/>
        <w:rPr>
          <w:rFonts w:hint="eastAsia" w:hAnsi="宋体"/>
          <w:color w:val="auto"/>
          <w:szCs w:val="21"/>
          <w:highlight w:val="none"/>
        </w:rPr>
      </w:pPr>
      <w:r>
        <w:rPr>
          <w:rFonts w:hint="eastAsia" w:hAnsi="宋体"/>
          <w:color w:val="auto"/>
          <w:szCs w:val="21"/>
          <w:highlight w:val="none"/>
        </w:rPr>
        <w:t>（1）投标文件中开标一览表（报价表）内容与投标文件中相应内容不一致的，以开标一览表（报价表）为准。</w:t>
      </w:r>
    </w:p>
    <w:p>
      <w:pPr>
        <w:pStyle w:val="20"/>
        <w:tabs>
          <w:tab w:val="left" w:pos="2472"/>
        </w:tabs>
        <w:spacing w:line="360" w:lineRule="auto"/>
        <w:ind w:firstLine="420" w:firstLineChars="200"/>
        <w:rPr>
          <w:rFonts w:hint="eastAsia" w:hAnsi="宋体"/>
          <w:color w:val="auto"/>
          <w:szCs w:val="21"/>
          <w:highlight w:val="none"/>
        </w:rPr>
      </w:pPr>
      <w:r>
        <w:rPr>
          <w:rFonts w:hint="eastAsia" w:hAnsi="宋体"/>
          <w:color w:val="auto"/>
          <w:szCs w:val="21"/>
          <w:highlight w:val="none"/>
        </w:rPr>
        <w:t>（2）大写金额和小写金额不一致的，以大写金额为准；</w:t>
      </w:r>
    </w:p>
    <w:p>
      <w:pPr>
        <w:pStyle w:val="20"/>
        <w:tabs>
          <w:tab w:val="left" w:pos="2472"/>
        </w:tabs>
        <w:spacing w:line="360" w:lineRule="auto"/>
        <w:ind w:firstLine="420" w:firstLineChars="200"/>
        <w:rPr>
          <w:rFonts w:hint="eastAsia" w:hAnsi="宋体"/>
          <w:color w:val="auto"/>
          <w:szCs w:val="21"/>
          <w:highlight w:val="none"/>
        </w:rPr>
      </w:pPr>
      <w:r>
        <w:rPr>
          <w:rFonts w:hint="eastAsia" w:hAnsi="宋体"/>
          <w:color w:val="auto"/>
          <w:szCs w:val="21"/>
          <w:highlight w:val="none"/>
        </w:rPr>
        <w:t>（3）单价金额小数点或者百分比有明显错位的，以开标一览表的总价为准，并修改单价；</w:t>
      </w:r>
    </w:p>
    <w:p>
      <w:pPr>
        <w:pStyle w:val="20"/>
        <w:tabs>
          <w:tab w:val="left" w:pos="2472"/>
        </w:tabs>
        <w:spacing w:line="360" w:lineRule="auto"/>
        <w:ind w:firstLine="420" w:firstLineChars="200"/>
        <w:rPr>
          <w:rFonts w:hint="eastAsia" w:hAnsi="宋体"/>
          <w:color w:val="auto"/>
          <w:szCs w:val="21"/>
          <w:highlight w:val="none"/>
        </w:rPr>
      </w:pPr>
      <w:r>
        <w:rPr>
          <w:rFonts w:hint="eastAsia" w:hAnsi="宋体"/>
          <w:color w:val="auto"/>
          <w:szCs w:val="21"/>
          <w:highlight w:val="none"/>
        </w:rPr>
        <w:t>（4）总价金额与按单价汇总金额不一致的，以单价金额计算结果为准；</w:t>
      </w:r>
    </w:p>
    <w:p>
      <w:pPr>
        <w:pStyle w:val="20"/>
        <w:tabs>
          <w:tab w:val="left" w:pos="2472"/>
        </w:tabs>
        <w:spacing w:line="360" w:lineRule="auto"/>
        <w:ind w:firstLine="420" w:firstLineChars="200"/>
        <w:rPr>
          <w:rFonts w:hint="eastAsia" w:hAnsi="宋体"/>
          <w:color w:val="auto"/>
          <w:szCs w:val="21"/>
          <w:highlight w:val="none"/>
        </w:rPr>
      </w:pPr>
      <w:r>
        <w:rPr>
          <w:rFonts w:hint="eastAsia" w:hAnsi="宋体"/>
          <w:color w:val="auto"/>
          <w:szCs w:val="21"/>
          <w:highlight w:val="none"/>
        </w:rPr>
        <w:t>（5）对不同文字文本投标文件的解释发生异议的，以中文文本为准。</w:t>
      </w:r>
    </w:p>
    <w:p>
      <w:pPr>
        <w:pStyle w:val="20"/>
        <w:tabs>
          <w:tab w:val="left" w:pos="2472"/>
        </w:tabs>
        <w:spacing w:line="360" w:lineRule="auto"/>
        <w:ind w:firstLine="420" w:firstLineChars="200"/>
        <w:rPr>
          <w:rFonts w:hint="eastAsia" w:hAnsi="宋体"/>
          <w:color w:val="auto"/>
          <w:szCs w:val="21"/>
          <w:highlight w:val="none"/>
        </w:rPr>
      </w:pPr>
      <w:r>
        <w:rPr>
          <w:rFonts w:hint="eastAsia" w:hAnsi="宋体"/>
          <w:color w:val="auto"/>
          <w:szCs w:val="21"/>
          <w:highlight w:val="none"/>
        </w:rPr>
        <w:t>（6）同时出现两种以上不一致的，按照前款规定的顺序修正。按上述规定修正后的报价经投标人确认后对投标人起约束作用。如果投标人不确认修正后的报价，则其投标无效。</w:t>
      </w:r>
    </w:p>
    <w:p>
      <w:pPr>
        <w:pStyle w:val="4"/>
        <w:numPr>
          <w:ilvl w:val="0"/>
          <w:numId w:val="0"/>
        </w:numPr>
        <w:tabs>
          <w:tab w:val="left" w:pos="420"/>
        </w:tabs>
        <w:spacing w:before="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2</w:t>
      </w:r>
      <w:r>
        <w:rPr>
          <w:rFonts w:ascii="宋体" w:hAnsi="宋体" w:eastAsia="宋体"/>
          <w:color w:val="auto"/>
          <w:sz w:val="24"/>
          <w:szCs w:val="24"/>
          <w:highlight w:val="none"/>
        </w:rPr>
        <w:t>6</w:t>
      </w:r>
      <w:r>
        <w:rPr>
          <w:rFonts w:hint="eastAsia" w:ascii="宋体" w:hAnsi="宋体" w:eastAsia="宋体"/>
          <w:color w:val="auto"/>
          <w:sz w:val="24"/>
          <w:szCs w:val="24"/>
          <w:highlight w:val="none"/>
        </w:rPr>
        <w:t>、资格审查</w:t>
      </w:r>
    </w:p>
    <w:p>
      <w:pPr>
        <w:spacing w:line="360" w:lineRule="auto"/>
        <w:ind w:firstLine="420" w:firstLineChars="200"/>
        <w:rPr>
          <w:rFonts w:hint="eastAsia" w:ascii="宋体" w:hAnsi="宋体"/>
          <w:color w:val="auto"/>
          <w:szCs w:val="21"/>
          <w:highlight w:val="none"/>
        </w:rPr>
      </w:pPr>
      <w:r>
        <w:rPr>
          <w:rFonts w:ascii="宋体" w:hAnsi="宋体"/>
          <w:color w:val="auto"/>
          <w:szCs w:val="21"/>
          <w:highlight w:val="none"/>
        </w:rPr>
        <w:t>公开招标采购项目开标结束后，</w:t>
      </w:r>
      <w:r>
        <w:rPr>
          <w:rFonts w:hint="eastAsia" w:ascii="宋体" w:hAnsi="宋体"/>
          <w:color w:val="auto"/>
          <w:szCs w:val="21"/>
          <w:highlight w:val="none"/>
        </w:rPr>
        <w:t>采购人或采购代理机构</w:t>
      </w:r>
      <w:r>
        <w:rPr>
          <w:rFonts w:ascii="宋体" w:hAnsi="宋体"/>
          <w:color w:val="auto"/>
          <w:szCs w:val="21"/>
          <w:highlight w:val="none"/>
        </w:rPr>
        <w:t>依法对投标人的资格进行审查。</w:t>
      </w:r>
    </w:p>
    <w:p>
      <w:pPr>
        <w:pStyle w:val="4"/>
        <w:numPr>
          <w:ilvl w:val="0"/>
          <w:numId w:val="0"/>
        </w:numPr>
        <w:tabs>
          <w:tab w:val="left" w:pos="420"/>
        </w:tabs>
        <w:spacing w:before="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2</w:t>
      </w:r>
      <w:r>
        <w:rPr>
          <w:rFonts w:ascii="宋体" w:hAnsi="宋体" w:eastAsia="宋体"/>
          <w:color w:val="auto"/>
          <w:sz w:val="24"/>
          <w:szCs w:val="24"/>
          <w:highlight w:val="none"/>
        </w:rPr>
        <w:t>7</w:t>
      </w:r>
      <w:r>
        <w:rPr>
          <w:rFonts w:hint="eastAsia" w:ascii="宋体" w:hAnsi="宋体" w:eastAsia="宋体"/>
          <w:color w:val="auto"/>
          <w:sz w:val="24"/>
          <w:szCs w:val="24"/>
          <w:highlight w:val="none"/>
        </w:rPr>
        <w:t>、评标</w:t>
      </w:r>
    </w:p>
    <w:p>
      <w:pPr>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27.1评标由采购人依法组建的评标委员会负责。评标委员会由</w:t>
      </w:r>
      <w:r>
        <w:rPr>
          <w:rFonts w:ascii="宋体" w:hAnsi="宋体"/>
          <w:color w:val="auto"/>
          <w:szCs w:val="21"/>
          <w:highlight w:val="none"/>
          <w:u w:val="single"/>
        </w:rPr>
        <w:t>5</w:t>
      </w:r>
      <w:r>
        <w:rPr>
          <w:rFonts w:hint="eastAsia" w:ascii="宋体" w:hAnsi="宋体"/>
          <w:color w:val="auto"/>
          <w:szCs w:val="21"/>
          <w:highlight w:val="none"/>
        </w:rPr>
        <w:t>人组成，其中采购人代表</w:t>
      </w:r>
      <w:r>
        <w:rPr>
          <w:rFonts w:ascii="宋体" w:hAnsi="宋体"/>
          <w:color w:val="auto"/>
          <w:szCs w:val="21"/>
          <w:highlight w:val="none"/>
          <w:u w:val="single"/>
        </w:rPr>
        <w:t>1</w:t>
      </w:r>
      <w:r>
        <w:rPr>
          <w:rFonts w:hint="eastAsia" w:ascii="宋体" w:hAnsi="宋体"/>
          <w:color w:val="auto"/>
          <w:szCs w:val="21"/>
          <w:highlight w:val="none"/>
        </w:rPr>
        <w:t>人及专家</w:t>
      </w:r>
      <w:r>
        <w:rPr>
          <w:rFonts w:ascii="宋体" w:hAnsi="宋体"/>
          <w:color w:val="auto"/>
          <w:szCs w:val="21"/>
          <w:highlight w:val="none"/>
          <w:u w:val="single"/>
        </w:rPr>
        <w:t>4</w:t>
      </w:r>
      <w:r>
        <w:rPr>
          <w:rFonts w:hint="eastAsia" w:ascii="宋体" w:hAnsi="宋体"/>
          <w:color w:val="auto"/>
          <w:szCs w:val="21"/>
          <w:highlight w:val="none"/>
        </w:rPr>
        <w:t>人，专家</w:t>
      </w:r>
      <w:r>
        <w:rPr>
          <w:rFonts w:ascii="宋体" w:hAnsi="宋体"/>
          <w:color w:val="auto"/>
          <w:szCs w:val="21"/>
          <w:highlight w:val="none"/>
        </w:rPr>
        <w:t>在</w:t>
      </w:r>
      <w:r>
        <w:rPr>
          <w:rFonts w:hint="eastAsia" w:ascii="宋体" w:hAnsi="宋体"/>
          <w:color w:val="auto"/>
          <w:szCs w:val="21"/>
          <w:highlight w:val="none"/>
        </w:rPr>
        <w:t>云南省政府采购网上专家库</w:t>
      </w:r>
      <w:r>
        <w:rPr>
          <w:rFonts w:ascii="宋体" w:hAnsi="宋体"/>
          <w:color w:val="auto"/>
          <w:szCs w:val="21"/>
          <w:highlight w:val="none"/>
        </w:rPr>
        <w:t>中</w:t>
      </w:r>
      <w:r>
        <w:rPr>
          <w:rFonts w:hint="eastAsia" w:ascii="宋体" w:hAnsi="宋体"/>
          <w:color w:val="auto"/>
          <w:szCs w:val="21"/>
          <w:highlight w:val="none"/>
        </w:rPr>
        <w:t>随机</w:t>
      </w:r>
      <w:r>
        <w:rPr>
          <w:rFonts w:ascii="宋体" w:hAnsi="宋体"/>
          <w:color w:val="auto"/>
          <w:szCs w:val="21"/>
          <w:highlight w:val="none"/>
        </w:rPr>
        <w:t>抽取。</w:t>
      </w:r>
    </w:p>
    <w:p>
      <w:pPr>
        <w:spacing w:line="360" w:lineRule="auto"/>
        <w:ind w:firstLine="420" w:firstLineChars="200"/>
        <w:rPr>
          <w:rFonts w:hint="eastAsia" w:ascii="宋体" w:hAnsi="宋体"/>
          <w:color w:val="auto"/>
          <w:szCs w:val="21"/>
          <w:highlight w:val="none"/>
        </w:rPr>
      </w:pPr>
      <w:bookmarkStart w:id="42" w:name="_Toc191374422"/>
      <w:r>
        <w:rPr>
          <w:rFonts w:hint="eastAsia" w:ascii="宋体" w:hAnsi="宋体"/>
          <w:color w:val="auto"/>
          <w:szCs w:val="21"/>
          <w:highlight w:val="none"/>
        </w:rPr>
        <w:t>27.2</w:t>
      </w:r>
      <w:bookmarkEnd w:id="42"/>
      <w:r>
        <w:rPr>
          <w:rFonts w:hint="eastAsia" w:ascii="宋体" w:hAnsi="宋体"/>
          <w:color w:val="auto"/>
          <w:szCs w:val="21"/>
          <w:highlight w:val="none"/>
        </w:rPr>
        <w:t>评标活动遵循公平、公正、科学、诚信和择优的原则。</w:t>
      </w:r>
    </w:p>
    <w:p>
      <w:pPr>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27.3评标</w:t>
      </w:r>
    </w:p>
    <w:p>
      <w:pPr>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本项目的评标办法为综合评分法，采用电子评标的方式进行。评标委员会按照第七章“评标办法”规定的方法、评审因素、标准和程序对投标文件进行评审。第七章“评标办法”没有规定的方法、评审因素和标准，不作为评标依据。</w:t>
      </w:r>
    </w:p>
    <w:p>
      <w:pPr>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27.4评标委员会推荐中标候选人的人数为3人。</w:t>
      </w:r>
    </w:p>
    <w:p>
      <w:pPr>
        <w:pStyle w:val="4"/>
        <w:numPr>
          <w:ilvl w:val="0"/>
          <w:numId w:val="0"/>
        </w:numPr>
        <w:tabs>
          <w:tab w:val="left" w:pos="420"/>
        </w:tabs>
        <w:spacing w:before="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2</w:t>
      </w:r>
      <w:r>
        <w:rPr>
          <w:rFonts w:ascii="宋体" w:hAnsi="宋体" w:eastAsia="宋体"/>
          <w:color w:val="auto"/>
          <w:sz w:val="24"/>
          <w:szCs w:val="24"/>
          <w:highlight w:val="none"/>
        </w:rPr>
        <w:t>8</w:t>
      </w:r>
      <w:r>
        <w:rPr>
          <w:rFonts w:hint="eastAsia" w:ascii="宋体" w:hAnsi="宋体" w:eastAsia="宋体"/>
          <w:color w:val="auto"/>
          <w:sz w:val="24"/>
          <w:szCs w:val="24"/>
          <w:highlight w:val="none"/>
        </w:rPr>
        <w:t>、评标过程的保密</w:t>
      </w:r>
    </w:p>
    <w:p>
      <w:pPr>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开标后，直到授予中标人合同止，凡是属于审查、澄清、评审和比较的有关资料以及授标建议等均不得向投标人或其他无关的人员透露。投标人在评标过程中，所进行的试图影响评标结果的不公正活动，可能导致其投标无效。</w:t>
      </w:r>
    </w:p>
    <w:p>
      <w:pPr>
        <w:pStyle w:val="4"/>
        <w:numPr>
          <w:ilvl w:val="0"/>
          <w:numId w:val="0"/>
        </w:numPr>
        <w:tabs>
          <w:tab w:val="left" w:pos="420"/>
        </w:tabs>
        <w:spacing w:before="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29、在采购中，出现下列情形之一的，应予废标：</w:t>
      </w:r>
    </w:p>
    <w:p>
      <w:pPr>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（1）符合专业条件的投标人或者对招标文件作实质响应的投标人不足3家的；</w:t>
      </w:r>
    </w:p>
    <w:p>
      <w:pPr>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（2）出现影响采购公正的违法、违规行为的；</w:t>
      </w:r>
    </w:p>
    <w:p>
      <w:pPr>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（3）投标人的报价均超过了采购预算，采购人不能支付的；</w:t>
      </w:r>
    </w:p>
    <w:p>
      <w:pPr>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（4）因重大变故，采购任务取消的。</w:t>
      </w:r>
    </w:p>
    <w:p>
      <w:pPr>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废标后，采购人应当将废标理由通知所有投标人。</w:t>
      </w:r>
    </w:p>
    <w:p>
      <w:pPr>
        <w:pStyle w:val="3"/>
        <w:rPr>
          <w:rFonts w:hint="eastAsia" w:ascii="宋体" w:hAnsi="宋体"/>
          <w:color w:val="auto"/>
          <w:highlight w:val="none"/>
        </w:rPr>
      </w:pPr>
      <w:bookmarkStart w:id="43" w:name="_Toc118109507"/>
      <w:r>
        <w:rPr>
          <w:rFonts w:hint="eastAsia" w:ascii="宋体" w:hAnsi="宋体"/>
          <w:color w:val="auto"/>
          <w:highlight w:val="none"/>
        </w:rPr>
        <w:t>六、中标结果</w:t>
      </w:r>
      <w:bookmarkEnd w:id="43"/>
    </w:p>
    <w:p>
      <w:pPr>
        <w:pStyle w:val="4"/>
        <w:numPr>
          <w:ilvl w:val="0"/>
          <w:numId w:val="0"/>
        </w:numPr>
        <w:tabs>
          <w:tab w:val="left" w:pos="420"/>
        </w:tabs>
        <w:spacing w:before="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30、中标人的确定</w:t>
      </w:r>
    </w:p>
    <w:p>
      <w:pPr>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30.1采购代理机构应当在评标结束后两个工作日内将评标报告送采购人。</w:t>
      </w:r>
    </w:p>
    <w:p>
      <w:pPr>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30.2采购人应当自收到评标报告之日起五个工作日内，在评标报告确定的中标候选人名单中按顺序确定中标人。</w:t>
      </w:r>
    </w:p>
    <w:p>
      <w:pPr>
        <w:pStyle w:val="4"/>
        <w:numPr>
          <w:ilvl w:val="0"/>
          <w:numId w:val="0"/>
        </w:numPr>
        <w:tabs>
          <w:tab w:val="left" w:pos="420"/>
        </w:tabs>
        <w:spacing w:before="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31、中标通知书</w:t>
      </w:r>
    </w:p>
    <w:p>
      <w:pPr>
        <w:spacing w:line="360" w:lineRule="auto"/>
        <w:ind w:firstLine="420" w:firstLineChars="200"/>
        <w:rPr>
          <w:rFonts w:hint="eastAsia" w:ascii="宋体" w:hAnsi="宋体"/>
          <w:bCs/>
          <w:color w:val="auto"/>
          <w:szCs w:val="21"/>
          <w:highlight w:val="none"/>
        </w:rPr>
      </w:pPr>
      <w:r>
        <w:rPr>
          <w:rFonts w:hint="eastAsia" w:ascii="宋体" w:hAnsi="宋体"/>
          <w:color w:val="auto"/>
          <w:szCs w:val="21"/>
          <w:highlight w:val="none"/>
        </w:rPr>
        <w:t>31.1中标人确定后，中标结果由采购代理机构在在指定媒体上进行公告（发布媒体详见招标公告</w:t>
      </w:r>
      <w:r>
        <w:rPr>
          <w:rFonts w:hint="eastAsia" w:ascii="宋体" w:hAnsi="宋体"/>
          <w:bCs/>
          <w:color w:val="auto"/>
          <w:szCs w:val="21"/>
          <w:highlight w:val="none"/>
        </w:rPr>
        <w:t>）</w:t>
      </w:r>
      <w:r>
        <w:rPr>
          <w:rFonts w:hint="eastAsia" w:ascii="宋体" w:hAnsi="宋体"/>
          <w:color w:val="auto"/>
          <w:szCs w:val="21"/>
          <w:highlight w:val="none"/>
        </w:rPr>
        <w:t>,同时向中标人发出中标通知书。</w:t>
      </w:r>
    </w:p>
    <w:p>
      <w:pPr>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31</w:t>
      </w:r>
      <w:r>
        <w:rPr>
          <w:rFonts w:ascii="宋体" w:hAnsi="宋体"/>
          <w:color w:val="auto"/>
          <w:szCs w:val="21"/>
          <w:highlight w:val="none"/>
        </w:rPr>
        <w:t>.2</w:t>
      </w:r>
      <w:r>
        <w:rPr>
          <w:rFonts w:hint="eastAsia" w:ascii="宋体" w:hAnsi="宋体"/>
          <w:color w:val="auto"/>
          <w:szCs w:val="21"/>
          <w:highlight w:val="none"/>
        </w:rPr>
        <w:t>中标通知书是合同的一个组成部分。</w:t>
      </w:r>
    </w:p>
    <w:p>
      <w:pPr>
        <w:pStyle w:val="4"/>
        <w:numPr>
          <w:ilvl w:val="0"/>
          <w:numId w:val="0"/>
        </w:numPr>
        <w:tabs>
          <w:tab w:val="left" w:pos="420"/>
        </w:tabs>
        <w:spacing w:before="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32、签订合同</w:t>
      </w:r>
    </w:p>
    <w:p>
      <w:pPr>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32.1中标人收到中标通知书后，按招标文件、投标文件及有关澄清承诺书的要求与采购人签订合同。</w:t>
      </w:r>
    </w:p>
    <w:p>
      <w:pPr>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32.2中标人拒绝与采购人签订合同的，采购人可以按照评标报告推荐的中标或候选人名单排序，确定下一候选人为中标人。</w:t>
      </w:r>
    </w:p>
    <w:p>
      <w:pPr>
        <w:pStyle w:val="4"/>
        <w:numPr>
          <w:ilvl w:val="0"/>
          <w:numId w:val="0"/>
        </w:numPr>
        <w:tabs>
          <w:tab w:val="left" w:pos="420"/>
        </w:tabs>
        <w:spacing w:before="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33、履约保证金：</w:t>
      </w:r>
      <w:r>
        <w:rPr>
          <w:rFonts w:hint="eastAsia" w:ascii="宋体" w:hAnsi="宋体" w:eastAsia="宋体"/>
          <w:b w:val="0"/>
          <w:color w:val="auto"/>
          <w:kern w:val="2"/>
          <w:sz w:val="21"/>
          <w:szCs w:val="21"/>
          <w:highlight w:val="none"/>
        </w:rPr>
        <w:t>见“投标人须知前附表”。</w:t>
      </w:r>
    </w:p>
    <w:p>
      <w:pPr>
        <w:pStyle w:val="3"/>
        <w:rPr>
          <w:rFonts w:hint="eastAsia" w:ascii="宋体" w:hAnsi="宋体"/>
          <w:color w:val="auto"/>
          <w:highlight w:val="none"/>
        </w:rPr>
      </w:pPr>
      <w:bookmarkStart w:id="44" w:name="_Toc118109508"/>
      <w:r>
        <w:rPr>
          <w:rFonts w:hint="eastAsia" w:ascii="宋体" w:hAnsi="宋体"/>
          <w:color w:val="auto"/>
          <w:highlight w:val="none"/>
        </w:rPr>
        <w:t>七、其他事项</w:t>
      </w:r>
      <w:bookmarkEnd w:id="44"/>
    </w:p>
    <w:p>
      <w:pPr>
        <w:pStyle w:val="12"/>
        <w:rPr>
          <w:color w:val="auto"/>
          <w:highlight w:val="none"/>
        </w:rPr>
      </w:pPr>
    </w:p>
    <w:p>
      <w:pPr>
        <w:pStyle w:val="4"/>
        <w:numPr>
          <w:ilvl w:val="0"/>
          <w:numId w:val="0"/>
        </w:numPr>
        <w:tabs>
          <w:tab w:val="left" w:pos="420"/>
        </w:tabs>
        <w:spacing w:before="0"/>
        <w:ind w:firstLine="241" w:firstLineChars="100"/>
        <w:rPr>
          <w:rFonts w:hint="eastAsia" w:ascii="宋体" w:hAnsi="宋体" w:eastAsia="宋体"/>
          <w:color w:val="auto"/>
          <w:sz w:val="24"/>
          <w:szCs w:val="24"/>
          <w:highlight w:val="none"/>
        </w:rPr>
      </w:pPr>
      <w:r>
        <w:rPr>
          <w:rFonts w:ascii="宋体" w:hAnsi="宋体" w:eastAsia="宋体"/>
          <w:color w:val="auto"/>
          <w:sz w:val="24"/>
          <w:szCs w:val="24"/>
          <w:highlight w:val="none"/>
        </w:rPr>
        <w:t>3</w:t>
      </w:r>
      <w:r>
        <w:rPr>
          <w:rFonts w:hint="eastAsia" w:ascii="宋体" w:hAnsi="宋体" w:eastAsia="宋体"/>
          <w:color w:val="auto"/>
          <w:sz w:val="24"/>
          <w:szCs w:val="24"/>
          <w:highlight w:val="none"/>
        </w:rPr>
        <w:t>4、解释权</w:t>
      </w:r>
    </w:p>
    <w:p>
      <w:pPr>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本招标文件是根据《中华人民共和国政府采购法》、《中华人民共和国政府采购法实施条例》、《政府采购货物和服务招标投标管理办法》及相关法律法规编制，解释权属采购代理机构。</w:t>
      </w:r>
    </w:p>
    <w:p>
      <w:pPr>
        <w:pStyle w:val="4"/>
        <w:numPr>
          <w:ilvl w:val="2"/>
          <w:numId w:val="0"/>
        </w:numPr>
        <w:tabs>
          <w:tab w:val="left" w:pos="420"/>
        </w:tabs>
        <w:spacing w:before="0"/>
        <w:ind w:left="42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35需要补充的其他内容</w:t>
      </w:r>
      <w:bookmarkEnd w:id="37"/>
    </w:p>
    <w:p>
      <w:pPr>
        <w:spacing w:line="360" w:lineRule="auto"/>
        <w:ind w:firstLine="420" w:firstLineChars="200"/>
        <w:rPr>
          <w:rFonts w:hint="eastAsia" w:ascii="宋体" w:hAnsi="宋体"/>
          <w:color w:val="auto"/>
          <w:szCs w:val="21"/>
          <w:highlight w:val="none"/>
        </w:rPr>
      </w:pPr>
    </w:p>
    <w:p>
      <w:pPr>
        <w:jc w:val="left"/>
        <w:rPr>
          <w:rFonts w:hint="eastAsia" w:ascii="宋体" w:hAnsi="宋体"/>
          <w:b/>
          <w:bCs/>
          <w:color w:val="auto"/>
          <w:highlight w:val="none"/>
        </w:rPr>
      </w:pPr>
      <w:r>
        <w:rPr>
          <w:rFonts w:hint="eastAsia" w:ascii="宋体" w:hAnsi="宋体"/>
          <w:color w:val="auto"/>
          <w:highlight w:val="none"/>
        </w:rPr>
        <w:br w:type="page"/>
      </w:r>
      <w:bookmarkStart w:id="45" w:name="_Toc118109509"/>
      <w:r>
        <w:rPr>
          <w:rFonts w:hint="eastAsia" w:ascii="宋体" w:hAnsi="宋体"/>
          <w:color w:val="auto"/>
          <w:highlight w:val="none"/>
        </w:rPr>
        <w:t xml:space="preserve">                      </w:t>
      </w:r>
      <w:r>
        <w:rPr>
          <w:rFonts w:hint="eastAsia" w:ascii="宋体" w:hAnsi="宋体"/>
          <w:b/>
          <w:bCs/>
          <w:color w:val="auto"/>
          <w:highlight w:val="none"/>
        </w:rPr>
        <w:t xml:space="preserve">  </w:t>
      </w:r>
      <w:r>
        <w:rPr>
          <w:rFonts w:hint="eastAsia" w:ascii="宋体" w:hAnsi="宋体"/>
          <w:b/>
          <w:bCs/>
          <w:color w:val="auto"/>
          <w:sz w:val="28"/>
          <w:szCs w:val="28"/>
          <w:highlight w:val="none"/>
        </w:rPr>
        <w:t xml:space="preserve"> 第三章  合同书样式及主要条款</w:t>
      </w:r>
      <w:bookmarkEnd w:id="45"/>
    </w:p>
    <w:p>
      <w:pPr>
        <w:spacing w:line="360" w:lineRule="auto"/>
        <w:jc w:val="center"/>
        <w:rPr>
          <w:rFonts w:hint="eastAsia" w:ascii="宋体" w:hAnsi="宋体" w:cs="宋体"/>
          <w:color w:val="auto"/>
          <w:szCs w:val="21"/>
          <w:highlight w:val="none"/>
        </w:rPr>
      </w:pPr>
      <w:bookmarkStart w:id="46" w:name="_Toc118109511"/>
      <w:r>
        <w:rPr>
          <w:rFonts w:hint="eastAsia" w:ascii="宋体" w:hAnsi="宋体" w:cs="宋体"/>
          <w:b/>
          <w:color w:val="auto"/>
          <w:szCs w:val="21"/>
          <w:highlight w:val="none"/>
        </w:rPr>
        <w:t>（注：具体合同以采购人与成交人签定的合同为准）</w:t>
      </w:r>
    </w:p>
    <w:p>
      <w:pPr>
        <w:spacing w:line="360" w:lineRule="auto"/>
        <w:jc w:val="center"/>
        <w:rPr>
          <w:rFonts w:hint="eastAsia" w:ascii="宋体" w:hAnsi="宋体" w:cs="宋体"/>
          <w:color w:val="auto"/>
          <w:szCs w:val="21"/>
          <w:highlight w:val="none"/>
        </w:rPr>
      </w:pPr>
    </w:p>
    <w:p>
      <w:pPr>
        <w:rPr>
          <w:rFonts w:hint="eastAsia" w:ascii="宋体" w:hAnsi="宋体" w:cs="宋体"/>
          <w:color w:val="auto"/>
          <w:sz w:val="24"/>
          <w:highlight w:val="none"/>
        </w:rPr>
      </w:pPr>
    </w:p>
    <w:tbl>
      <w:tblPr>
        <w:tblStyle w:val="37"/>
        <w:tblW w:w="5000" w:type="pct"/>
        <w:jc w:val="center"/>
        <w:tblLayout w:type="autofit"/>
        <w:tblCellMar>
          <w:top w:w="0" w:type="dxa"/>
          <w:left w:w="0" w:type="dxa"/>
          <w:bottom w:w="0" w:type="dxa"/>
          <w:right w:w="0" w:type="dxa"/>
        </w:tblCellMar>
      </w:tblPr>
      <w:tblGrid>
        <w:gridCol w:w="9298"/>
      </w:tblGrid>
      <w:tr>
        <w:tblPrEx>
          <w:tblCellMar>
            <w:top w:w="0" w:type="dxa"/>
            <w:left w:w="0" w:type="dxa"/>
            <w:bottom w:w="0" w:type="dxa"/>
            <w:right w:w="0" w:type="dxa"/>
          </w:tblCellMar>
        </w:tblPrEx>
        <w:trPr>
          <w:jc w:val="center"/>
        </w:trPr>
        <w:tc>
          <w:tcPr>
            <w:tcW w:w="5000" w:type="pct"/>
            <w:vAlign w:val="center"/>
          </w:tcPr>
          <w:p>
            <w:pPr>
              <w:tabs>
                <w:tab w:val="left" w:pos="1590"/>
                <w:tab w:val="left" w:pos="3409"/>
                <w:tab w:val="left" w:pos="4847"/>
                <w:tab w:val="left" w:pos="5711"/>
                <w:tab w:val="left" w:pos="7020"/>
                <w:tab w:val="left" w:pos="7891"/>
              </w:tabs>
              <w:rPr>
                <w:rFonts w:hint="eastAsia" w:ascii="宋体" w:hAnsi="宋体" w:cs="宋体"/>
                <w:color w:val="auto"/>
                <w:sz w:val="24"/>
                <w:highlight w:val="none"/>
              </w:rPr>
            </w:pPr>
            <w:r>
              <w:rPr>
                <w:rFonts w:hint="eastAsia" w:ascii="宋体" w:hAnsi="宋体" w:cs="宋体"/>
                <w:color w:val="auto"/>
                <w:sz w:val="24"/>
                <w:highlight w:val="none"/>
              </w:rPr>
              <w:t xml:space="preserve">合同编号：                  </w:t>
            </w:r>
            <w:r>
              <w:rPr>
                <w:rFonts w:hint="eastAsia" w:ascii="宋体" w:hAnsi="宋体" w:cs="宋体"/>
                <w:color w:val="auto"/>
                <w:sz w:val="24"/>
                <w:highlight w:val="none"/>
              </w:rPr>
              <w:tab/>
            </w:r>
            <w:r>
              <w:rPr>
                <w:rFonts w:hint="eastAsia" w:ascii="宋体" w:hAnsi="宋体" w:cs="宋体"/>
                <w:color w:val="auto"/>
                <w:sz w:val="24"/>
                <w:highlight w:val="none"/>
              </w:rPr>
              <w:tab/>
            </w:r>
            <w:r>
              <w:rPr>
                <w:rFonts w:hint="eastAsia" w:ascii="宋体" w:hAnsi="宋体" w:cs="宋体"/>
                <w:color w:val="auto"/>
                <w:sz w:val="24"/>
                <w:highlight w:val="none"/>
              </w:rPr>
              <w:t xml:space="preserve">项目编号： </w:t>
            </w:r>
          </w:p>
        </w:tc>
      </w:tr>
    </w:tbl>
    <w:p>
      <w:pPr>
        <w:spacing w:after="240"/>
        <w:jc w:val="center"/>
        <w:outlineLvl w:val="1"/>
        <w:rPr>
          <w:rFonts w:hint="eastAsia" w:ascii="宋体" w:hAnsi="宋体" w:cs="宋体"/>
          <w:color w:val="auto"/>
          <w:sz w:val="24"/>
          <w:highlight w:val="none"/>
        </w:rPr>
      </w:pPr>
      <w:bookmarkStart w:id="47" w:name="_Toc85102177"/>
      <w:bookmarkStart w:id="48" w:name="_Toc117237439"/>
      <w:r>
        <w:rPr>
          <w:rFonts w:hint="eastAsia" w:ascii="宋体" w:hAnsi="宋体" w:cs="宋体"/>
          <w:color w:val="auto"/>
          <w:sz w:val="24"/>
          <w:highlight w:val="none"/>
        </w:rPr>
        <w:t>●本合同须加盖甲乙双方骑缝章有效</w:t>
      </w:r>
      <w:bookmarkEnd w:id="47"/>
      <w:bookmarkEnd w:id="48"/>
    </w:p>
    <w:p>
      <w:pPr>
        <w:spacing w:after="240"/>
        <w:jc w:val="center"/>
        <w:outlineLvl w:val="1"/>
        <w:rPr>
          <w:rFonts w:hint="eastAsia" w:ascii="宋体" w:hAnsi="宋体" w:cs="宋体"/>
          <w:color w:val="auto"/>
          <w:sz w:val="24"/>
          <w:highlight w:val="none"/>
        </w:rPr>
      </w:pPr>
    </w:p>
    <w:p>
      <w:pPr>
        <w:spacing w:line="360" w:lineRule="auto"/>
        <w:ind w:firstLine="690" w:firstLineChars="177"/>
        <w:jc w:val="center"/>
        <w:rPr>
          <w:rFonts w:ascii="黑体" w:eastAsia="黑体" w:cs="Tahoma"/>
          <w:color w:val="auto"/>
          <w:sz w:val="39"/>
          <w:szCs w:val="39"/>
          <w:highlight w:val="none"/>
        </w:rPr>
      </w:pPr>
      <w:r>
        <w:rPr>
          <w:rFonts w:hint="eastAsia" w:ascii="黑体" w:eastAsia="黑体" w:cs="Tahoma"/>
          <w:color w:val="auto"/>
          <w:sz w:val="39"/>
          <w:szCs w:val="39"/>
          <w:highlight w:val="none"/>
        </w:rPr>
        <w:t>云南省省级政府采购</w:t>
      </w:r>
    </w:p>
    <w:p>
      <w:pPr>
        <w:spacing w:line="360" w:lineRule="auto"/>
        <w:ind w:firstLine="690" w:firstLineChars="177"/>
        <w:jc w:val="center"/>
        <w:rPr>
          <w:rFonts w:ascii="黑体" w:eastAsia="黑体" w:cs="Tahoma"/>
          <w:color w:val="auto"/>
          <w:sz w:val="39"/>
          <w:szCs w:val="39"/>
          <w:highlight w:val="none"/>
        </w:rPr>
      </w:pPr>
    </w:p>
    <w:p>
      <w:pPr>
        <w:spacing w:after="240"/>
        <w:jc w:val="center"/>
        <w:rPr>
          <w:rFonts w:cs="Tahoma"/>
          <w:color w:val="auto"/>
          <w:sz w:val="18"/>
          <w:szCs w:val="18"/>
          <w:highlight w:val="none"/>
        </w:rPr>
      </w:pPr>
      <w:r>
        <w:rPr>
          <w:rFonts w:hint="eastAsia" w:ascii="楷体_GB2312" w:eastAsia="楷体_GB2312" w:cs="Tahoma"/>
          <w:color w:val="auto"/>
          <w:sz w:val="33"/>
          <w:szCs w:val="33"/>
          <w:highlight w:val="none"/>
        </w:rPr>
        <w:t>（委托采购）</w:t>
      </w:r>
      <w:r>
        <w:rPr>
          <w:rFonts w:cs="Tahoma"/>
          <w:color w:val="auto"/>
          <w:sz w:val="18"/>
          <w:szCs w:val="18"/>
          <w:highlight w:val="none"/>
        </w:rPr>
        <w:t xml:space="preserve"> </w:t>
      </w:r>
    </w:p>
    <w:p>
      <w:pPr>
        <w:spacing w:after="240"/>
        <w:jc w:val="center"/>
        <w:rPr>
          <w:rFonts w:ascii="楷体_GB2312" w:eastAsia="楷体_GB2312" w:cs="Tahoma"/>
          <w:color w:val="auto"/>
          <w:sz w:val="33"/>
          <w:szCs w:val="33"/>
          <w:highlight w:val="none"/>
        </w:rPr>
      </w:pPr>
      <w:r>
        <w:rPr>
          <w:rFonts w:hint="eastAsia" w:ascii="楷体_GB2312" w:eastAsia="楷体_GB2312" w:cs="Tahoma"/>
          <w:color w:val="auto"/>
          <w:sz w:val="33"/>
          <w:szCs w:val="33"/>
          <w:highlight w:val="none"/>
        </w:rPr>
        <w:t>（样本）</w:t>
      </w:r>
    </w:p>
    <w:p>
      <w:pPr>
        <w:spacing w:after="240"/>
        <w:jc w:val="center"/>
        <w:rPr>
          <w:rFonts w:ascii="楷体_GB2312" w:eastAsia="楷体_GB2312" w:cs="Tahoma"/>
          <w:color w:val="auto"/>
          <w:sz w:val="33"/>
          <w:szCs w:val="33"/>
          <w:highlight w:val="none"/>
        </w:rPr>
      </w:pPr>
    </w:p>
    <w:p>
      <w:pPr>
        <w:spacing w:after="240"/>
        <w:jc w:val="center"/>
        <w:rPr>
          <w:rFonts w:cs="Tahoma"/>
          <w:color w:val="auto"/>
          <w:sz w:val="18"/>
          <w:szCs w:val="18"/>
          <w:highlight w:val="none"/>
        </w:rPr>
      </w:pPr>
      <w:r>
        <w:rPr>
          <w:rFonts w:hint="eastAsia" w:ascii="黑体" w:eastAsia="黑体" w:cs="Tahoma"/>
          <w:color w:val="auto"/>
          <w:sz w:val="63"/>
          <w:szCs w:val="63"/>
          <w:highlight w:val="none"/>
        </w:rPr>
        <w:t>合</w:t>
      </w:r>
      <w:r>
        <w:rPr>
          <w:rFonts w:cs="Tahoma"/>
          <w:color w:val="auto"/>
          <w:sz w:val="18"/>
          <w:szCs w:val="18"/>
          <w:highlight w:val="none"/>
        </w:rPr>
        <w:t xml:space="preserve"> </w:t>
      </w:r>
    </w:p>
    <w:p>
      <w:pPr>
        <w:spacing w:after="240"/>
        <w:jc w:val="center"/>
        <w:rPr>
          <w:rFonts w:cs="Tahoma"/>
          <w:color w:val="auto"/>
          <w:sz w:val="18"/>
          <w:szCs w:val="18"/>
          <w:highlight w:val="none"/>
        </w:rPr>
      </w:pPr>
      <w:r>
        <w:rPr>
          <w:rFonts w:hint="eastAsia" w:ascii="黑体" w:eastAsia="黑体" w:cs="Tahoma"/>
          <w:color w:val="auto"/>
          <w:sz w:val="63"/>
          <w:szCs w:val="63"/>
          <w:highlight w:val="none"/>
        </w:rPr>
        <w:t>同</w:t>
      </w:r>
    </w:p>
    <w:p>
      <w:pPr>
        <w:spacing w:after="240"/>
        <w:jc w:val="center"/>
        <w:rPr>
          <w:rFonts w:cs="Tahoma"/>
          <w:color w:val="auto"/>
          <w:sz w:val="18"/>
          <w:szCs w:val="18"/>
          <w:highlight w:val="none"/>
        </w:rPr>
      </w:pPr>
      <w:r>
        <w:rPr>
          <w:rFonts w:hint="eastAsia" w:ascii="黑体" w:eastAsia="黑体" w:cs="Tahoma"/>
          <w:color w:val="auto"/>
          <w:sz w:val="63"/>
          <w:szCs w:val="63"/>
          <w:highlight w:val="none"/>
        </w:rPr>
        <w:t>书</w:t>
      </w:r>
      <w:r>
        <w:rPr>
          <w:rFonts w:cs="Tahoma"/>
          <w:color w:val="auto"/>
          <w:sz w:val="18"/>
          <w:szCs w:val="18"/>
          <w:highlight w:val="none"/>
        </w:rPr>
        <w:t xml:space="preserve"> </w:t>
      </w:r>
    </w:p>
    <w:p>
      <w:pPr>
        <w:spacing w:after="240"/>
        <w:jc w:val="center"/>
        <w:rPr>
          <w:rFonts w:cs="Tahoma"/>
          <w:color w:val="auto"/>
          <w:sz w:val="18"/>
          <w:szCs w:val="18"/>
          <w:highlight w:val="none"/>
        </w:rPr>
      </w:pPr>
    </w:p>
    <w:p>
      <w:pPr>
        <w:spacing w:after="240"/>
        <w:jc w:val="center"/>
        <w:rPr>
          <w:rFonts w:ascii="楷体_GB2312" w:eastAsia="楷体_GB2312" w:cs="Tahoma"/>
          <w:b/>
          <w:bCs/>
          <w:color w:val="auto"/>
          <w:sz w:val="28"/>
          <w:szCs w:val="28"/>
          <w:highlight w:val="none"/>
        </w:rPr>
      </w:pPr>
      <w:r>
        <w:rPr>
          <w:rFonts w:hint="eastAsia" w:ascii="楷体_GB2312" w:eastAsia="楷体_GB2312" w:cs="Tahoma"/>
          <w:b/>
          <w:bCs/>
          <w:color w:val="auto"/>
          <w:sz w:val="28"/>
          <w:szCs w:val="28"/>
          <w:highlight w:val="none"/>
        </w:rPr>
        <w:t xml:space="preserve">签订地点: </w:t>
      </w:r>
    </w:p>
    <w:p>
      <w:pPr>
        <w:spacing w:after="240"/>
        <w:jc w:val="center"/>
        <w:rPr>
          <w:rFonts w:ascii="楷体_GB2312" w:eastAsia="楷体_GB2312" w:cs="Tahoma"/>
          <w:b/>
          <w:bCs/>
          <w:color w:val="auto"/>
          <w:sz w:val="28"/>
          <w:szCs w:val="28"/>
          <w:highlight w:val="none"/>
        </w:rPr>
      </w:pPr>
    </w:p>
    <w:p>
      <w:pPr>
        <w:spacing w:after="240"/>
        <w:jc w:val="center"/>
        <w:rPr>
          <w:rFonts w:ascii="楷体_GB2312" w:eastAsia="楷体_GB2312" w:cs="Tahoma"/>
          <w:b/>
          <w:bCs/>
          <w:color w:val="auto"/>
          <w:sz w:val="28"/>
          <w:szCs w:val="28"/>
          <w:highlight w:val="none"/>
        </w:rPr>
      </w:pPr>
      <w:r>
        <w:rPr>
          <w:rFonts w:hint="eastAsia" w:ascii="楷体_GB2312" w:eastAsia="楷体_GB2312" w:cs="Tahoma"/>
          <w:b/>
          <w:bCs/>
          <w:color w:val="auto"/>
          <w:sz w:val="28"/>
          <w:szCs w:val="28"/>
          <w:highlight w:val="none"/>
        </w:rPr>
        <w:t xml:space="preserve">签订日期:    年　 月　日 </w:t>
      </w:r>
    </w:p>
    <w:p>
      <w:pPr>
        <w:spacing w:after="240"/>
        <w:jc w:val="center"/>
        <w:rPr>
          <w:rFonts w:ascii="楷体_GB2312" w:eastAsia="楷体_GB2312" w:cs="Tahoma"/>
          <w:b/>
          <w:bCs/>
          <w:color w:val="auto"/>
          <w:sz w:val="28"/>
          <w:szCs w:val="28"/>
          <w:highlight w:val="none"/>
        </w:rPr>
      </w:pPr>
    </w:p>
    <w:p>
      <w:pPr>
        <w:pStyle w:val="32"/>
        <w:jc w:val="center"/>
        <w:rPr>
          <w:rFonts w:ascii="楷体_GB2312" w:eastAsia="楷体_GB2312" w:cs="Tahoma"/>
          <w:b/>
          <w:bCs/>
          <w:color w:val="auto"/>
          <w:sz w:val="27"/>
          <w:szCs w:val="27"/>
          <w:highlight w:val="none"/>
        </w:rPr>
      </w:pPr>
      <w:r>
        <w:rPr>
          <w:rFonts w:hint="eastAsia" w:ascii="楷体_GB2312" w:eastAsia="楷体_GB2312" w:cs="Tahoma"/>
          <w:b/>
          <w:bCs/>
          <w:color w:val="auto"/>
          <w:sz w:val="28"/>
          <w:szCs w:val="28"/>
          <w:highlight w:val="none"/>
        </w:rPr>
        <w:t>云南省财政厅　制</w:t>
      </w:r>
      <w:r>
        <w:rPr>
          <w:rFonts w:hint="eastAsia" w:ascii="楷体_GB2312" w:eastAsia="楷体_GB2312" w:cs="Tahoma"/>
          <w:b/>
          <w:bCs/>
          <w:color w:val="auto"/>
          <w:sz w:val="27"/>
          <w:szCs w:val="27"/>
          <w:highlight w:val="none"/>
        </w:rPr>
        <w:t xml:space="preserve"> </w:t>
      </w:r>
    </w:p>
    <w:p>
      <w:pPr>
        <w:pStyle w:val="32"/>
        <w:jc w:val="center"/>
        <w:rPr>
          <w:rFonts w:ascii="楷体_GB2312" w:eastAsia="楷体_GB2312" w:cs="Tahoma"/>
          <w:b/>
          <w:bCs/>
          <w:color w:val="auto"/>
          <w:sz w:val="27"/>
          <w:szCs w:val="27"/>
          <w:highlight w:val="none"/>
        </w:rPr>
      </w:pPr>
    </w:p>
    <w:p>
      <w:pPr>
        <w:spacing w:line="500" w:lineRule="exact"/>
        <w:ind w:left="1619" w:leftChars="771"/>
        <w:rPr>
          <w:rFonts w:hint="eastAsia" w:hAnsi="宋体" w:cs="Tahoma"/>
          <w:color w:val="auto"/>
          <w:szCs w:val="21"/>
          <w:highlight w:val="none"/>
        </w:rPr>
      </w:pPr>
    </w:p>
    <w:p>
      <w:pPr>
        <w:spacing w:line="500" w:lineRule="exact"/>
        <w:ind w:left="1619" w:leftChars="771"/>
        <w:rPr>
          <w:rFonts w:hint="eastAsia" w:hAnsi="宋体" w:cs="Tahoma"/>
          <w:color w:val="auto"/>
          <w:szCs w:val="21"/>
          <w:highlight w:val="none"/>
        </w:rPr>
      </w:pPr>
    </w:p>
    <w:p>
      <w:pPr>
        <w:spacing w:line="500" w:lineRule="exact"/>
        <w:ind w:left="1619" w:leftChars="771"/>
        <w:rPr>
          <w:rFonts w:hint="eastAsia" w:hAnsi="宋体" w:cs="Tahoma"/>
          <w:color w:val="auto"/>
          <w:szCs w:val="21"/>
          <w:highlight w:val="none"/>
        </w:rPr>
      </w:pPr>
      <w:r>
        <w:rPr>
          <w:rFonts w:hint="eastAsia" w:hAnsi="宋体" w:cs="Tahoma"/>
          <w:color w:val="auto"/>
          <w:szCs w:val="21"/>
          <w:highlight w:val="none"/>
        </w:rPr>
        <w:t>甲方（采购人单位章）名    称：</w:t>
      </w:r>
      <w:r>
        <w:rPr>
          <w:rFonts w:hAnsi="宋体" w:cs="Tahoma"/>
          <w:color w:val="auto"/>
          <w:szCs w:val="21"/>
          <w:highlight w:val="none"/>
        </w:rPr>
        <w:t xml:space="preserve"> </w:t>
      </w:r>
    </w:p>
    <w:p>
      <w:pPr>
        <w:spacing w:line="500" w:lineRule="exact"/>
        <w:ind w:left="1619" w:leftChars="771"/>
        <w:rPr>
          <w:rFonts w:hint="eastAsia" w:hAnsi="宋体" w:cs="Tahoma"/>
          <w:color w:val="auto"/>
          <w:szCs w:val="21"/>
          <w:highlight w:val="none"/>
        </w:rPr>
      </w:pPr>
      <w:r>
        <w:rPr>
          <w:rFonts w:hint="eastAsia" w:hAnsi="宋体" w:cs="Tahoma"/>
          <w:color w:val="auto"/>
          <w:szCs w:val="21"/>
          <w:highlight w:val="none"/>
        </w:rPr>
        <w:t>地    址：</w:t>
      </w:r>
      <w:r>
        <w:rPr>
          <w:rFonts w:hAnsi="宋体" w:cs="Tahoma"/>
          <w:color w:val="auto"/>
          <w:szCs w:val="21"/>
          <w:highlight w:val="none"/>
        </w:rPr>
        <w:t xml:space="preserve"> </w:t>
      </w:r>
    </w:p>
    <w:p>
      <w:pPr>
        <w:spacing w:line="500" w:lineRule="exact"/>
        <w:ind w:left="1619" w:leftChars="771"/>
        <w:rPr>
          <w:rFonts w:hint="eastAsia" w:hAnsi="宋体" w:cs="Tahoma"/>
          <w:color w:val="auto"/>
          <w:szCs w:val="21"/>
          <w:highlight w:val="none"/>
        </w:rPr>
      </w:pPr>
      <w:r>
        <w:rPr>
          <w:rFonts w:hint="eastAsia" w:hAnsi="宋体" w:cs="Tahoma"/>
          <w:color w:val="auto"/>
          <w:szCs w:val="21"/>
          <w:highlight w:val="none"/>
        </w:rPr>
        <w:t>邮    编：</w:t>
      </w:r>
    </w:p>
    <w:p>
      <w:pPr>
        <w:spacing w:line="500" w:lineRule="exact"/>
        <w:ind w:left="1619" w:leftChars="771"/>
        <w:rPr>
          <w:rFonts w:hint="eastAsia" w:hAnsi="宋体" w:cs="Tahoma"/>
          <w:color w:val="auto"/>
          <w:szCs w:val="21"/>
          <w:highlight w:val="none"/>
        </w:rPr>
      </w:pPr>
      <w:r>
        <w:rPr>
          <w:rFonts w:hint="eastAsia" w:hAnsi="宋体" w:cs="Tahoma"/>
          <w:color w:val="auto"/>
          <w:szCs w:val="21"/>
          <w:highlight w:val="none"/>
        </w:rPr>
        <w:t>法定代表人或委托代理人：</w:t>
      </w:r>
    </w:p>
    <w:p>
      <w:pPr>
        <w:spacing w:line="500" w:lineRule="exact"/>
        <w:ind w:left="1619" w:leftChars="771"/>
        <w:rPr>
          <w:rFonts w:hint="eastAsia" w:hAnsi="宋体" w:cs="Tahoma"/>
          <w:color w:val="auto"/>
          <w:szCs w:val="21"/>
          <w:highlight w:val="none"/>
        </w:rPr>
      </w:pPr>
      <w:r>
        <w:rPr>
          <w:rFonts w:hint="eastAsia" w:hAnsi="宋体" w:cs="Tahoma"/>
          <w:color w:val="auto"/>
          <w:szCs w:val="21"/>
          <w:highlight w:val="none"/>
        </w:rPr>
        <w:t>项目（技术）负责人：</w:t>
      </w:r>
    </w:p>
    <w:p>
      <w:pPr>
        <w:spacing w:line="500" w:lineRule="exact"/>
        <w:ind w:left="1619" w:leftChars="771"/>
        <w:rPr>
          <w:rFonts w:hint="eastAsia" w:hAnsi="宋体" w:cs="Tahoma"/>
          <w:color w:val="auto"/>
          <w:szCs w:val="21"/>
          <w:highlight w:val="none"/>
        </w:rPr>
      </w:pPr>
      <w:r>
        <w:rPr>
          <w:rFonts w:hint="eastAsia" w:hAnsi="宋体" w:cs="Tahoma"/>
          <w:color w:val="auto"/>
          <w:szCs w:val="21"/>
          <w:highlight w:val="none"/>
        </w:rPr>
        <w:t>电    话：</w:t>
      </w:r>
    </w:p>
    <w:p>
      <w:pPr>
        <w:spacing w:line="500" w:lineRule="exact"/>
        <w:ind w:left="1619" w:leftChars="771"/>
        <w:rPr>
          <w:rFonts w:hint="eastAsia" w:hAnsi="宋体" w:cs="Tahoma"/>
          <w:color w:val="auto"/>
          <w:szCs w:val="21"/>
          <w:highlight w:val="none"/>
        </w:rPr>
      </w:pPr>
    </w:p>
    <w:p>
      <w:pPr>
        <w:spacing w:line="500" w:lineRule="exact"/>
        <w:ind w:left="1619" w:leftChars="771"/>
        <w:rPr>
          <w:rFonts w:hint="eastAsia" w:hAnsi="宋体" w:cs="Tahoma"/>
          <w:color w:val="auto"/>
          <w:szCs w:val="21"/>
          <w:highlight w:val="none"/>
        </w:rPr>
      </w:pPr>
    </w:p>
    <w:p>
      <w:pPr>
        <w:spacing w:line="500" w:lineRule="exact"/>
        <w:ind w:left="1619" w:leftChars="771"/>
        <w:rPr>
          <w:rFonts w:hint="eastAsia" w:hAnsi="宋体" w:cs="Tahoma"/>
          <w:color w:val="auto"/>
          <w:szCs w:val="21"/>
          <w:highlight w:val="none"/>
        </w:rPr>
      </w:pPr>
    </w:p>
    <w:p>
      <w:pPr>
        <w:spacing w:line="500" w:lineRule="exact"/>
        <w:ind w:left="1619" w:leftChars="771"/>
        <w:rPr>
          <w:rFonts w:hint="eastAsia" w:hAnsi="宋体" w:cs="Tahoma"/>
          <w:color w:val="auto"/>
          <w:szCs w:val="21"/>
          <w:highlight w:val="none"/>
        </w:rPr>
      </w:pPr>
    </w:p>
    <w:p>
      <w:pPr>
        <w:spacing w:line="500" w:lineRule="exact"/>
        <w:ind w:left="1619" w:leftChars="771"/>
        <w:rPr>
          <w:rFonts w:hint="eastAsia" w:hAnsi="宋体" w:cs="Tahoma"/>
          <w:color w:val="auto"/>
          <w:szCs w:val="21"/>
          <w:highlight w:val="none"/>
        </w:rPr>
      </w:pPr>
    </w:p>
    <w:p>
      <w:pPr>
        <w:spacing w:line="500" w:lineRule="exact"/>
        <w:ind w:left="1619" w:leftChars="771"/>
        <w:rPr>
          <w:rFonts w:hint="eastAsia" w:hAnsi="宋体" w:cs="Tahoma"/>
          <w:color w:val="auto"/>
          <w:szCs w:val="21"/>
          <w:highlight w:val="none"/>
        </w:rPr>
      </w:pPr>
    </w:p>
    <w:p>
      <w:pPr>
        <w:spacing w:line="500" w:lineRule="exact"/>
        <w:ind w:left="1619" w:leftChars="771"/>
        <w:rPr>
          <w:rFonts w:hint="eastAsia" w:hAnsi="宋体" w:cs="Tahoma"/>
          <w:color w:val="auto"/>
          <w:szCs w:val="21"/>
          <w:highlight w:val="none"/>
        </w:rPr>
      </w:pPr>
    </w:p>
    <w:p>
      <w:pPr>
        <w:spacing w:line="500" w:lineRule="exact"/>
        <w:ind w:left="1619" w:leftChars="771"/>
        <w:rPr>
          <w:rFonts w:hint="eastAsia" w:hAnsi="宋体" w:cs="Tahoma"/>
          <w:color w:val="auto"/>
          <w:szCs w:val="21"/>
          <w:highlight w:val="none"/>
        </w:rPr>
      </w:pPr>
      <w:r>
        <w:rPr>
          <w:rFonts w:hint="eastAsia" w:hAnsi="宋体" w:cs="Tahoma"/>
          <w:color w:val="auto"/>
          <w:szCs w:val="21"/>
          <w:highlight w:val="none"/>
        </w:rPr>
        <w:t>乙方（供应商单位章）名    称：</w:t>
      </w:r>
      <w:r>
        <w:rPr>
          <w:rFonts w:hAnsi="宋体" w:cs="Tahoma"/>
          <w:color w:val="auto"/>
          <w:szCs w:val="21"/>
          <w:highlight w:val="none"/>
        </w:rPr>
        <w:t xml:space="preserve"> </w:t>
      </w:r>
    </w:p>
    <w:p>
      <w:pPr>
        <w:spacing w:line="500" w:lineRule="exact"/>
        <w:ind w:left="1619" w:leftChars="771"/>
        <w:rPr>
          <w:rFonts w:hint="eastAsia" w:hAnsi="宋体" w:cs="Tahoma"/>
          <w:color w:val="auto"/>
          <w:szCs w:val="21"/>
          <w:highlight w:val="none"/>
        </w:rPr>
      </w:pPr>
      <w:r>
        <w:rPr>
          <w:rFonts w:hint="eastAsia" w:hAnsi="宋体" w:cs="Tahoma"/>
          <w:color w:val="auto"/>
          <w:szCs w:val="21"/>
          <w:highlight w:val="none"/>
        </w:rPr>
        <w:t>地    址：</w:t>
      </w:r>
    </w:p>
    <w:p>
      <w:pPr>
        <w:spacing w:line="500" w:lineRule="exact"/>
        <w:ind w:left="1619" w:leftChars="771"/>
        <w:rPr>
          <w:rFonts w:hint="eastAsia" w:hAnsi="宋体" w:cs="Tahoma"/>
          <w:color w:val="auto"/>
          <w:szCs w:val="21"/>
          <w:highlight w:val="none"/>
        </w:rPr>
      </w:pPr>
      <w:r>
        <w:rPr>
          <w:rFonts w:hint="eastAsia" w:hAnsi="宋体" w:cs="Tahoma"/>
          <w:color w:val="auto"/>
          <w:szCs w:val="21"/>
          <w:highlight w:val="none"/>
        </w:rPr>
        <w:t>邮    编：</w:t>
      </w:r>
    </w:p>
    <w:p>
      <w:pPr>
        <w:spacing w:line="500" w:lineRule="exact"/>
        <w:ind w:left="1619" w:leftChars="771"/>
        <w:rPr>
          <w:rFonts w:hint="eastAsia" w:hAnsi="宋体" w:cs="Tahoma"/>
          <w:color w:val="auto"/>
          <w:szCs w:val="21"/>
          <w:highlight w:val="none"/>
        </w:rPr>
      </w:pPr>
      <w:r>
        <w:rPr>
          <w:rFonts w:hint="eastAsia" w:hAnsi="宋体" w:cs="Tahoma"/>
          <w:color w:val="auto"/>
          <w:szCs w:val="21"/>
          <w:highlight w:val="none"/>
        </w:rPr>
        <w:t>法定代表人：</w:t>
      </w:r>
    </w:p>
    <w:p>
      <w:pPr>
        <w:spacing w:line="500" w:lineRule="exact"/>
        <w:ind w:left="1619" w:leftChars="771"/>
        <w:rPr>
          <w:rFonts w:hint="eastAsia" w:hAnsi="宋体" w:cs="Tahoma"/>
          <w:color w:val="auto"/>
          <w:szCs w:val="21"/>
          <w:highlight w:val="none"/>
        </w:rPr>
      </w:pPr>
      <w:r>
        <w:rPr>
          <w:rFonts w:hint="eastAsia" w:hAnsi="宋体" w:cs="Tahoma"/>
          <w:color w:val="auto"/>
          <w:szCs w:val="21"/>
          <w:highlight w:val="none"/>
        </w:rPr>
        <w:t>委托代理人：            电话：</w:t>
      </w:r>
    </w:p>
    <w:p>
      <w:pPr>
        <w:spacing w:line="500" w:lineRule="exact"/>
        <w:ind w:left="1619" w:leftChars="771"/>
        <w:rPr>
          <w:rFonts w:hint="eastAsia" w:hAnsi="宋体" w:cs="Tahoma"/>
          <w:color w:val="auto"/>
          <w:szCs w:val="21"/>
          <w:highlight w:val="none"/>
        </w:rPr>
      </w:pPr>
      <w:r>
        <w:rPr>
          <w:rFonts w:hint="eastAsia" w:hAnsi="宋体" w:cs="Tahoma"/>
          <w:color w:val="auto"/>
          <w:szCs w:val="21"/>
          <w:highlight w:val="none"/>
        </w:rPr>
        <w:t>开</w:t>
      </w:r>
      <w:r>
        <w:rPr>
          <w:rFonts w:hAnsi="宋体" w:cs="Tahoma"/>
          <w:color w:val="auto"/>
          <w:szCs w:val="21"/>
          <w:highlight w:val="none"/>
        </w:rPr>
        <w:t xml:space="preserve"> </w:t>
      </w:r>
      <w:r>
        <w:rPr>
          <w:rFonts w:hint="eastAsia" w:hAnsi="宋体" w:cs="Tahoma"/>
          <w:color w:val="auto"/>
          <w:szCs w:val="21"/>
          <w:highlight w:val="none"/>
        </w:rPr>
        <w:t>户</w:t>
      </w:r>
      <w:r>
        <w:rPr>
          <w:rFonts w:hAnsi="宋体" w:cs="Tahoma"/>
          <w:color w:val="auto"/>
          <w:szCs w:val="21"/>
          <w:highlight w:val="none"/>
        </w:rPr>
        <w:t xml:space="preserve"> </w:t>
      </w:r>
      <w:r>
        <w:rPr>
          <w:rFonts w:hint="eastAsia" w:hAnsi="宋体" w:cs="Tahoma"/>
          <w:color w:val="auto"/>
          <w:szCs w:val="21"/>
          <w:highlight w:val="none"/>
        </w:rPr>
        <w:t>银行：</w:t>
      </w:r>
    </w:p>
    <w:p>
      <w:pPr>
        <w:spacing w:line="500" w:lineRule="exact"/>
        <w:ind w:left="1619" w:leftChars="771"/>
        <w:rPr>
          <w:rFonts w:hint="eastAsia" w:hAnsi="宋体" w:cs="Tahoma"/>
          <w:color w:val="auto"/>
          <w:szCs w:val="21"/>
          <w:highlight w:val="none"/>
        </w:rPr>
      </w:pPr>
      <w:r>
        <w:rPr>
          <w:rFonts w:hint="eastAsia" w:hAnsi="宋体" w:cs="Tahoma"/>
          <w:color w:val="auto"/>
          <w:szCs w:val="21"/>
          <w:highlight w:val="none"/>
        </w:rPr>
        <w:t>账 </w:t>
      </w:r>
      <w:r>
        <w:rPr>
          <w:rFonts w:hAnsi="宋体" w:cs="Tahoma"/>
          <w:color w:val="auto"/>
          <w:szCs w:val="21"/>
          <w:highlight w:val="none"/>
        </w:rPr>
        <w:t xml:space="preserve">  </w:t>
      </w:r>
      <w:r>
        <w:rPr>
          <w:rFonts w:hint="eastAsia" w:hAnsi="宋体" w:cs="Tahoma"/>
          <w:color w:val="auto"/>
          <w:szCs w:val="21"/>
          <w:highlight w:val="none"/>
        </w:rPr>
        <w:t> 号：</w:t>
      </w:r>
    </w:p>
    <w:p>
      <w:pPr>
        <w:rPr>
          <w:rFonts w:hint="eastAsia" w:hAnsi="宋体" w:cs="Tahoma"/>
          <w:color w:val="auto"/>
          <w:szCs w:val="21"/>
          <w:highlight w:val="none"/>
        </w:rPr>
      </w:pPr>
      <w:r>
        <w:rPr>
          <w:rFonts w:hAnsi="宋体" w:cs="Tahoma"/>
          <w:color w:val="auto"/>
          <w:szCs w:val="21"/>
          <w:highlight w:val="none"/>
        </w:rPr>
        <w:br w:type="page"/>
      </w:r>
    </w:p>
    <w:p>
      <w:pPr>
        <w:spacing w:line="460" w:lineRule="exact"/>
        <w:ind w:left="632" w:hanging="632" w:hangingChars="300"/>
        <w:rPr>
          <w:rFonts w:hint="eastAsia" w:hAnsi="宋体"/>
          <w:b/>
          <w:color w:val="auto"/>
          <w:szCs w:val="21"/>
          <w:highlight w:val="none"/>
        </w:rPr>
      </w:pPr>
      <w:r>
        <w:rPr>
          <w:rFonts w:hint="eastAsia" w:hAnsi="宋体"/>
          <w:b/>
          <w:color w:val="auto"/>
          <w:szCs w:val="21"/>
          <w:highlight w:val="none"/>
        </w:rPr>
        <w:t>采购人（以下简称甲方）：</w:t>
      </w:r>
      <w:r>
        <w:rPr>
          <w:rFonts w:hAnsi="宋体"/>
          <w:b/>
          <w:color w:val="auto"/>
          <w:szCs w:val="21"/>
          <w:highlight w:val="none"/>
        </w:rPr>
        <w:t xml:space="preserve">  </w:t>
      </w:r>
      <w:r>
        <w:rPr>
          <w:rFonts w:hAnsi="宋体"/>
          <w:b/>
          <w:color w:val="auto"/>
          <w:szCs w:val="21"/>
          <w:highlight w:val="none"/>
          <w:u w:val="single"/>
        </w:rPr>
        <w:t xml:space="preserve">                                </w:t>
      </w:r>
      <w:r>
        <w:rPr>
          <w:rFonts w:hAnsi="宋体"/>
          <w:b/>
          <w:color w:val="auto"/>
          <w:szCs w:val="21"/>
          <w:highlight w:val="none"/>
        </w:rPr>
        <w:t xml:space="preserve"> </w:t>
      </w:r>
    </w:p>
    <w:p>
      <w:pPr>
        <w:spacing w:line="460" w:lineRule="exact"/>
        <w:ind w:left="632" w:hanging="632" w:hangingChars="300"/>
        <w:rPr>
          <w:rFonts w:hint="eastAsia" w:hAnsi="宋体"/>
          <w:b/>
          <w:color w:val="auto"/>
          <w:szCs w:val="21"/>
          <w:highlight w:val="none"/>
        </w:rPr>
      </w:pPr>
      <w:r>
        <w:rPr>
          <w:rFonts w:hint="eastAsia" w:hAnsi="宋体"/>
          <w:b/>
          <w:color w:val="auto"/>
          <w:szCs w:val="21"/>
          <w:highlight w:val="none"/>
        </w:rPr>
        <w:t>供应商（以下简称乙方）：</w:t>
      </w:r>
      <w:r>
        <w:rPr>
          <w:rFonts w:hAnsi="宋体"/>
          <w:b/>
          <w:color w:val="auto"/>
          <w:szCs w:val="21"/>
          <w:highlight w:val="none"/>
        </w:rPr>
        <w:t xml:space="preserve">  </w:t>
      </w:r>
      <w:r>
        <w:rPr>
          <w:rFonts w:hAnsi="宋体"/>
          <w:b/>
          <w:color w:val="auto"/>
          <w:szCs w:val="21"/>
          <w:highlight w:val="none"/>
          <w:u w:val="single"/>
        </w:rPr>
        <w:t xml:space="preserve">                                </w:t>
      </w:r>
    </w:p>
    <w:p>
      <w:pPr>
        <w:spacing w:line="460" w:lineRule="exact"/>
        <w:ind w:left="632" w:hanging="632" w:hangingChars="300"/>
        <w:rPr>
          <w:rFonts w:hint="eastAsia" w:hAnsi="宋体"/>
          <w:b/>
          <w:color w:val="auto"/>
          <w:szCs w:val="21"/>
          <w:highlight w:val="none"/>
        </w:rPr>
      </w:pPr>
      <w:r>
        <w:rPr>
          <w:rFonts w:hAnsi="宋体"/>
          <w:b/>
          <w:color w:val="auto"/>
          <w:szCs w:val="21"/>
          <w:highlight w:val="none"/>
        </w:rPr>
        <w:t xml:space="preserve">    </w:t>
      </w:r>
    </w:p>
    <w:p>
      <w:pPr>
        <w:spacing w:line="460" w:lineRule="exact"/>
        <w:ind w:firstLine="420" w:firstLineChars="200"/>
        <w:jc w:val="left"/>
        <w:rPr>
          <w:rFonts w:hint="eastAsia" w:hAnsi="宋体"/>
          <w:color w:val="auto"/>
          <w:szCs w:val="21"/>
          <w:highlight w:val="none"/>
        </w:rPr>
      </w:pPr>
      <w:r>
        <w:rPr>
          <w:rFonts w:hint="eastAsia" w:hAnsi="宋体"/>
          <w:color w:val="auto"/>
          <w:szCs w:val="21"/>
          <w:highlight w:val="none"/>
        </w:rPr>
        <w:t>甲乙双方根据项目编号为</w:t>
      </w:r>
      <w:r>
        <w:rPr>
          <w:rFonts w:hAnsi="宋体"/>
          <w:bCs/>
          <w:color w:val="auto"/>
          <w:szCs w:val="21"/>
          <w:highlight w:val="none"/>
          <w:u w:val="single"/>
        </w:rPr>
        <w:t xml:space="preserve">  </w:t>
      </w:r>
      <w:r>
        <w:rPr>
          <w:rFonts w:hint="eastAsia" w:hAnsi="宋体"/>
          <w:bCs/>
          <w:color w:val="auto"/>
          <w:szCs w:val="21"/>
          <w:highlight w:val="none"/>
          <w:u w:val="single"/>
        </w:rPr>
        <w:t>（项目编号）</w:t>
      </w:r>
      <w:r>
        <w:rPr>
          <w:rFonts w:hAnsi="宋体"/>
          <w:bCs/>
          <w:color w:val="auto"/>
          <w:szCs w:val="21"/>
          <w:highlight w:val="none"/>
          <w:u w:val="single"/>
        </w:rPr>
        <w:t xml:space="preserve">  </w:t>
      </w:r>
      <w:r>
        <w:rPr>
          <w:rFonts w:hint="eastAsia" w:hAnsi="宋体"/>
          <w:color w:val="auto"/>
          <w:szCs w:val="21"/>
          <w:highlight w:val="none"/>
        </w:rPr>
        <w:t>的“</w:t>
      </w:r>
      <w:r>
        <w:rPr>
          <w:rFonts w:hAnsi="宋体"/>
          <w:bCs/>
          <w:color w:val="auto"/>
          <w:szCs w:val="21"/>
          <w:highlight w:val="none"/>
          <w:u w:val="single"/>
        </w:rPr>
        <w:t xml:space="preserve">   </w:t>
      </w:r>
      <w:r>
        <w:rPr>
          <w:rFonts w:hint="eastAsia" w:hAnsi="宋体"/>
          <w:bCs/>
          <w:color w:val="auto"/>
          <w:szCs w:val="21"/>
          <w:highlight w:val="none"/>
          <w:u w:val="single"/>
        </w:rPr>
        <w:t>（项目名称）</w:t>
      </w:r>
      <w:r>
        <w:rPr>
          <w:rFonts w:hAnsi="宋体"/>
          <w:bCs/>
          <w:color w:val="auto"/>
          <w:szCs w:val="21"/>
          <w:highlight w:val="none"/>
          <w:u w:val="single"/>
        </w:rPr>
        <w:t xml:space="preserve">   </w:t>
      </w:r>
      <w:r>
        <w:rPr>
          <w:rFonts w:hint="eastAsia" w:hAnsi="宋体"/>
          <w:color w:val="auto"/>
          <w:szCs w:val="21"/>
          <w:highlight w:val="none"/>
        </w:rPr>
        <w:t>”的结果，经双方协定达成一致，签订以下内容：</w:t>
      </w:r>
    </w:p>
    <w:p>
      <w:pPr>
        <w:spacing w:line="460" w:lineRule="exact"/>
        <w:ind w:firstLine="422" w:firstLineChars="200"/>
        <w:jc w:val="left"/>
        <w:rPr>
          <w:rFonts w:hint="eastAsia" w:hAnsi="宋体"/>
          <w:b/>
          <w:color w:val="auto"/>
          <w:szCs w:val="21"/>
          <w:highlight w:val="none"/>
        </w:rPr>
      </w:pPr>
      <w:r>
        <w:rPr>
          <w:rFonts w:hint="eastAsia" w:hAnsi="宋体"/>
          <w:b/>
          <w:color w:val="auto"/>
          <w:szCs w:val="21"/>
          <w:highlight w:val="none"/>
        </w:rPr>
        <w:t>一、产品名称及数量、单价</w:t>
      </w:r>
    </w:p>
    <w:p>
      <w:pPr>
        <w:spacing w:line="460" w:lineRule="exact"/>
        <w:ind w:firstLine="420" w:firstLineChars="200"/>
        <w:jc w:val="left"/>
        <w:rPr>
          <w:rFonts w:hint="eastAsia" w:hAnsi="宋体"/>
          <w:color w:val="auto"/>
          <w:szCs w:val="21"/>
          <w:highlight w:val="none"/>
        </w:rPr>
      </w:pPr>
      <w:r>
        <w:rPr>
          <w:rFonts w:hint="eastAsia" w:hAnsi="宋体"/>
          <w:color w:val="auto"/>
          <w:szCs w:val="21"/>
          <w:highlight w:val="none"/>
        </w:rPr>
        <w:t>（服务内容不够填写时可另作附件）</w:t>
      </w:r>
    </w:p>
    <w:p>
      <w:pPr>
        <w:spacing w:line="460" w:lineRule="exact"/>
        <w:ind w:firstLine="420" w:firstLineChars="200"/>
        <w:jc w:val="left"/>
        <w:rPr>
          <w:rFonts w:hint="eastAsia" w:hAnsi="宋体"/>
          <w:color w:val="auto"/>
          <w:szCs w:val="21"/>
          <w:highlight w:val="none"/>
        </w:rPr>
      </w:pPr>
      <w:r>
        <w:rPr>
          <w:rFonts w:hint="eastAsia" w:hAnsi="宋体"/>
          <w:color w:val="auto"/>
          <w:szCs w:val="21"/>
          <w:highlight w:val="none"/>
        </w:rPr>
        <w:t>服务质量符合</w:t>
      </w:r>
      <w:r>
        <w:rPr>
          <w:rFonts w:hAnsi="宋体"/>
          <w:color w:val="auto"/>
          <w:szCs w:val="21"/>
          <w:highlight w:val="none"/>
          <w:u w:val="single"/>
        </w:rPr>
        <w:t xml:space="preserve">             </w:t>
      </w:r>
      <w:r>
        <w:rPr>
          <w:rFonts w:hint="eastAsia" w:hAnsi="宋体"/>
          <w:color w:val="auto"/>
          <w:szCs w:val="21"/>
          <w:highlight w:val="none"/>
        </w:rPr>
        <w:t>标准及规定，并满足甲方技术要求。</w:t>
      </w:r>
    </w:p>
    <w:p>
      <w:pPr>
        <w:spacing w:line="460" w:lineRule="exact"/>
        <w:ind w:firstLine="420" w:firstLineChars="200"/>
        <w:jc w:val="left"/>
        <w:rPr>
          <w:rFonts w:hint="eastAsia" w:hAnsi="宋体"/>
          <w:b/>
          <w:color w:val="auto"/>
          <w:szCs w:val="21"/>
          <w:highlight w:val="none"/>
        </w:rPr>
      </w:pPr>
      <w:r>
        <w:rPr>
          <w:rFonts w:hint="eastAsia" w:hAnsi="宋体"/>
          <w:color w:val="auto"/>
          <w:szCs w:val="21"/>
          <w:highlight w:val="none"/>
        </w:rPr>
        <w:t>项目的服务要求或项目服务范围及内容：</w:t>
      </w:r>
      <w:r>
        <w:rPr>
          <w:rFonts w:hAnsi="宋体"/>
          <w:color w:val="auto"/>
          <w:szCs w:val="21"/>
          <w:highlight w:val="none"/>
          <w:u w:val="single"/>
        </w:rPr>
        <w:t xml:space="preserve">                      </w:t>
      </w:r>
      <w:r>
        <w:rPr>
          <w:rFonts w:hint="eastAsia" w:hAnsi="宋体"/>
          <w:color w:val="auto"/>
          <w:szCs w:val="21"/>
          <w:highlight w:val="none"/>
        </w:rPr>
        <w:t>。</w:t>
      </w:r>
    </w:p>
    <w:p>
      <w:pPr>
        <w:spacing w:line="460" w:lineRule="exact"/>
        <w:ind w:firstLine="422" w:firstLineChars="200"/>
        <w:jc w:val="left"/>
        <w:rPr>
          <w:rFonts w:hint="eastAsia" w:hAnsi="宋体"/>
          <w:b/>
          <w:color w:val="auto"/>
          <w:szCs w:val="21"/>
          <w:highlight w:val="none"/>
        </w:rPr>
      </w:pPr>
      <w:r>
        <w:rPr>
          <w:rFonts w:hint="eastAsia" w:hAnsi="宋体"/>
          <w:b/>
          <w:color w:val="auto"/>
          <w:szCs w:val="21"/>
          <w:highlight w:val="none"/>
        </w:rPr>
        <w:t>二、合同总价及履约保证金</w:t>
      </w:r>
    </w:p>
    <w:p>
      <w:pPr>
        <w:spacing w:line="460" w:lineRule="exact"/>
        <w:ind w:firstLine="420" w:firstLineChars="200"/>
        <w:jc w:val="left"/>
        <w:rPr>
          <w:rFonts w:hint="eastAsia" w:hAnsi="宋体"/>
          <w:color w:val="auto"/>
          <w:szCs w:val="21"/>
          <w:highlight w:val="none"/>
        </w:rPr>
      </w:pPr>
      <w:r>
        <w:rPr>
          <w:rFonts w:hint="eastAsia" w:hAnsi="宋体"/>
          <w:color w:val="auto"/>
          <w:szCs w:val="21"/>
          <w:highlight w:val="none"/>
        </w:rPr>
        <w:t>合同总价大写：</w:t>
      </w:r>
    </w:p>
    <w:p>
      <w:pPr>
        <w:spacing w:line="460" w:lineRule="exact"/>
        <w:ind w:firstLine="420" w:firstLineChars="200"/>
        <w:jc w:val="left"/>
        <w:rPr>
          <w:rFonts w:hint="eastAsia" w:hAnsi="宋体"/>
          <w:color w:val="auto"/>
          <w:szCs w:val="21"/>
          <w:highlight w:val="none"/>
        </w:rPr>
      </w:pPr>
      <w:r>
        <w:rPr>
          <w:rFonts w:hint="eastAsia" w:hAnsi="宋体"/>
          <w:color w:val="auto"/>
          <w:szCs w:val="21"/>
          <w:highlight w:val="none"/>
        </w:rPr>
        <w:t>合同总价小写：</w:t>
      </w:r>
    </w:p>
    <w:p>
      <w:pPr>
        <w:spacing w:line="460" w:lineRule="exact"/>
        <w:ind w:firstLine="420" w:firstLineChars="200"/>
        <w:jc w:val="left"/>
        <w:rPr>
          <w:rFonts w:hint="eastAsia" w:hAnsi="宋体"/>
          <w:b/>
          <w:color w:val="auto"/>
          <w:szCs w:val="21"/>
          <w:highlight w:val="none"/>
        </w:rPr>
      </w:pPr>
      <w:r>
        <w:rPr>
          <w:rFonts w:hint="eastAsia" w:hAnsi="宋体"/>
          <w:color w:val="auto"/>
          <w:szCs w:val="21"/>
          <w:highlight w:val="none"/>
        </w:rPr>
        <w:t>合同一旦签订，此价格在合同实施期间将不因市场价格等的变化而调整。</w:t>
      </w:r>
    </w:p>
    <w:p>
      <w:pPr>
        <w:spacing w:line="460" w:lineRule="exact"/>
        <w:ind w:firstLine="422" w:firstLineChars="200"/>
        <w:jc w:val="left"/>
        <w:rPr>
          <w:rFonts w:hint="eastAsia" w:hAnsi="宋体"/>
          <w:b/>
          <w:color w:val="auto"/>
          <w:szCs w:val="21"/>
          <w:highlight w:val="none"/>
        </w:rPr>
      </w:pPr>
      <w:r>
        <w:rPr>
          <w:rFonts w:hint="eastAsia" w:hAnsi="宋体"/>
          <w:b/>
          <w:color w:val="auto"/>
          <w:szCs w:val="21"/>
          <w:highlight w:val="none"/>
        </w:rPr>
        <w:t>三、甲乙双方的权利和义务</w:t>
      </w:r>
    </w:p>
    <w:p>
      <w:pPr>
        <w:autoSpaceDE w:val="0"/>
        <w:autoSpaceDN w:val="0"/>
        <w:adjustRightInd w:val="0"/>
        <w:spacing w:line="460" w:lineRule="exact"/>
        <w:ind w:firstLine="420" w:firstLineChars="200"/>
        <w:jc w:val="left"/>
        <w:outlineLvl w:val="1"/>
        <w:rPr>
          <w:rFonts w:hint="eastAsia" w:hAnsi="宋体"/>
          <w:bCs/>
          <w:color w:val="auto"/>
          <w:szCs w:val="21"/>
          <w:highlight w:val="none"/>
        </w:rPr>
      </w:pPr>
      <w:bookmarkStart w:id="49" w:name="_Toc85102178"/>
      <w:bookmarkStart w:id="50" w:name="_Toc117237440"/>
      <w:r>
        <w:rPr>
          <w:rFonts w:hint="eastAsia" w:hAnsi="宋体"/>
          <w:bCs/>
          <w:color w:val="auto"/>
          <w:szCs w:val="21"/>
          <w:highlight w:val="none"/>
        </w:rPr>
        <w:t>（一）甲方的权利和义务</w:t>
      </w:r>
      <w:bookmarkEnd w:id="49"/>
      <w:bookmarkEnd w:id="50"/>
    </w:p>
    <w:p>
      <w:pPr>
        <w:spacing w:line="460" w:lineRule="exact"/>
        <w:ind w:firstLine="420" w:firstLineChars="200"/>
        <w:jc w:val="left"/>
        <w:rPr>
          <w:rFonts w:hint="eastAsia" w:hAnsi="宋体"/>
          <w:color w:val="auto"/>
          <w:szCs w:val="21"/>
          <w:highlight w:val="none"/>
        </w:rPr>
      </w:pPr>
      <w:r>
        <w:rPr>
          <w:rFonts w:hAnsi="宋体"/>
          <w:color w:val="auto"/>
          <w:szCs w:val="21"/>
          <w:highlight w:val="none"/>
        </w:rPr>
        <w:t>1</w:t>
      </w:r>
      <w:r>
        <w:rPr>
          <w:rFonts w:hint="eastAsia" w:hAnsi="宋体"/>
          <w:color w:val="auto"/>
          <w:szCs w:val="21"/>
          <w:highlight w:val="none"/>
        </w:rPr>
        <w:t>．负责合同签订后项目实施的工作（如与乙方的具体联系和衔接，现状调查时对配备人员进行监督管理）；</w:t>
      </w:r>
    </w:p>
    <w:p>
      <w:pPr>
        <w:spacing w:line="460" w:lineRule="exact"/>
        <w:ind w:firstLine="420" w:firstLineChars="200"/>
        <w:jc w:val="left"/>
        <w:rPr>
          <w:rFonts w:hint="eastAsia" w:hAnsi="宋体"/>
          <w:color w:val="auto"/>
          <w:szCs w:val="21"/>
          <w:highlight w:val="none"/>
        </w:rPr>
      </w:pPr>
      <w:r>
        <w:rPr>
          <w:rFonts w:hAnsi="宋体"/>
          <w:color w:val="auto"/>
          <w:szCs w:val="21"/>
          <w:highlight w:val="none"/>
        </w:rPr>
        <w:t>2</w:t>
      </w:r>
      <w:r>
        <w:rPr>
          <w:rFonts w:hint="eastAsia" w:hAnsi="宋体"/>
          <w:color w:val="auto"/>
          <w:szCs w:val="21"/>
          <w:highlight w:val="none"/>
        </w:rPr>
        <w:t>．负责组织成立监督组对乙方服务过程中的项目进行检查等；</w:t>
      </w:r>
    </w:p>
    <w:p>
      <w:pPr>
        <w:spacing w:line="460" w:lineRule="exact"/>
        <w:ind w:firstLine="420" w:firstLineChars="200"/>
        <w:jc w:val="left"/>
        <w:rPr>
          <w:rFonts w:hint="eastAsia" w:hAnsi="宋体"/>
          <w:color w:val="auto"/>
          <w:szCs w:val="21"/>
          <w:highlight w:val="none"/>
        </w:rPr>
      </w:pPr>
      <w:r>
        <w:rPr>
          <w:rFonts w:hAnsi="宋体"/>
          <w:color w:val="auto"/>
          <w:szCs w:val="21"/>
          <w:highlight w:val="none"/>
        </w:rPr>
        <w:t>3</w:t>
      </w:r>
      <w:r>
        <w:rPr>
          <w:rFonts w:hint="eastAsia" w:hAnsi="宋体"/>
          <w:color w:val="auto"/>
          <w:szCs w:val="21"/>
          <w:highlight w:val="none"/>
        </w:rPr>
        <w:t>．按合同规定享有乙方提供的服务；</w:t>
      </w:r>
    </w:p>
    <w:p>
      <w:pPr>
        <w:spacing w:line="460" w:lineRule="exact"/>
        <w:ind w:firstLine="420" w:firstLineChars="200"/>
        <w:jc w:val="left"/>
        <w:rPr>
          <w:rFonts w:hint="eastAsia" w:hAnsi="宋体"/>
          <w:bCs/>
          <w:color w:val="auto"/>
          <w:szCs w:val="21"/>
          <w:highlight w:val="none"/>
        </w:rPr>
      </w:pPr>
      <w:r>
        <w:rPr>
          <w:rFonts w:hAnsi="宋体"/>
          <w:color w:val="auto"/>
          <w:szCs w:val="21"/>
          <w:highlight w:val="none"/>
        </w:rPr>
        <w:t>4</w:t>
      </w:r>
      <w:r>
        <w:rPr>
          <w:rFonts w:hint="eastAsia" w:hAnsi="宋体"/>
          <w:color w:val="auto"/>
          <w:szCs w:val="21"/>
          <w:highlight w:val="none"/>
        </w:rPr>
        <w:t>．按政府采购规范落实采购资金并办理采购资金划拨手续。</w:t>
      </w:r>
    </w:p>
    <w:p>
      <w:pPr>
        <w:autoSpaceDE w:val="0"/>
        <w:autoSpaceDN w:val="0"/>
        <w:adjustRightInd w:val="0"/>
        <w:spacing w:line="460" w:lineRule="exact"/>
        <w:ind w:firstLine="420" w:firstLineChars="200"/>
        <w:jc w:val="left"/>
        <w:outlineLvl w:val="1"/>
        <w:rPr>
          <w:rFonts w:hint="eastAsia" w:hAnsi="宋体"/>
          <w:bCs/>
          <w:color w:val="auto"/>
          <w:szCs w:val="21"/>
          <w:highlight w:val="none"/>
        </w:rPr>
      </w:pPr>
      <w:bookmarkStart w:id="51" w:name="_Toc117237441"/>
      <w:bookmarkStart w:id="52" w:name="_Toc85102179"/>
      <w:r>
        <w:rPr>
          <w:rFonts w:hint="eastAsia" w:hAnsi="宋体"/>
          <w:bCs/>
          <w:color w:val="auto"/>
          <w:szCs w:val="21"/>
          <w:highlight w:val="none"/>
        </w:rPr>
        <w:t>（二）乙方的权利和义务</w:t>
      </w:r>
      <w:bookmarkEnd w:id="51"/>
      <w:bookmarkEnd w:id="52"/>
    </w:p>
    <w:p>
      <w:pPr>
        <w:spacing w:line="460" w:lineRule="exact"/>
        <w:ind w:firstLine="420" w:firstLineChars="200"/>
        <w:jc w:val="left"/>
        <w:rPr>
          <w:rFonts w:hint="eastAsia" w:hAnsi="宋体"/>
          <w:color w:val="auto"/>
          <w:szCs w:val="21"/>
          <w:highlight w:val="none"/>
        </w:rPr>
      </w:pPr>
      <w:r>
        <w:rPr>
          <w:rFonts w:hAnsi="宋体"/>
          <w:color w:val="auto"/>
          <w:szCs w:val="21"/>
          <w:highlight w:val="none"/>
        </w:rPr>
        <w:t>1</w:t>
      </w:r>
      <w:r>
        <w:rPr>
          <w:rFonts w:hint="eastAsia" w:hAnsi="宋体"/>
          <w:color w:val="auto"/>
          <w:szCs w:val="21"/>
          <w:highlight w:val="none"/>
        </w:rPr>
        <w:t>、乙方保证按合同规定条款完成甲方项目，保证完成该项目合同规定的服务；</w:t>
      </w:r>
    </w:p>
    <w:p>
      <w:pPr>
        <w:spacing w:line="460" w:lineRule="exact"/>
        <w:ind w:firstLine="420" w:firstLineChars="200"/>
        <w:jc w:val="left"/>
        <w:rPr>
          <w:rFonts w:hint="eastAsia" w:hAnsi="宋体"/>
          <w:color w:val="auto"/>
          <w:szCs w:val="21"/>
          <w:highlight w:val="none"/>
        </w:rPr>
      </w:pPr>
      <w:r>
        <w:rPr>
          <w:rFonts w:hAnsi="宋体"/>
          <w:color w:val="auto"/>
          <w:szCs w:val="21"/>
          <w:highlight w:val="none"/>
        </w:rPr>
        <w:t>2</w:t>
      </w:r>
      <w:r>
        <w:rPr>
          <w:rFonts w:hint="eastAsia" w:hAnsi="宋体"/>
          <w:color w:val="auto"/>
          <w:szCs w:val="21"/>
          <w:highlight w:val="none"/>
        </w:rPr>
        <w:t>、乙方应保证其提供服务在甲方使用期间不受第三方可能提出的侵犯其所有权、知识产权、商标权、专利权、著作权等相关权利的起诉；</w:t>
      </w:r>
    </w:p>
    <w:p>
      <w:pPr>
        <w:autoSpaceDE w:val="0"/>
        <w:autoSpaceDN w:val="0"/>
        <w:adjustRightInd w:val="0"/>
        <w:spacing w:line="460" w:lineRule="exact"/>
        <w:ind w:firstLine="420" w:firstLineChars="200"/>
        <w:jc w:val="left"/>
        <w:rPr>
          <w:rFonts w:hint="eastAsia" w:hAnsi="宋体"/>
          <w:color w:val="auto"/>
          <w:kern w:val="0"/>
          <w:szCs w:val="21"/>
          <w:highlight w:val="none"/>
          <w:lang w:val="zh-CN"/>
        </w:rPr>
      </w:pPr>
      <w:r>
        <w:rPr>
          <w:rFonts w:hAnsi="宋体"/>
          <w:color w:val="auto"/>
          <w:szCs w:val="21"/>
          <w:highlight w:val="none"/>
        </w:rPr>
        <w:t>3</w:t>
      </w:r>
      <w:r>
        <w:rPr>
          <w:rFonts w:hint="eastAsia" w:hAnsi="宋体"/>
          <w:color w:val="auto"/>
          <w:szCs w:val="21"/>
          <w:highlight w:val="none"/>
        </w:rPr>
        <w:t>、</w:t>
      </w:r>
      <w:r>
        <w:rPr>
          <w:rFonts w:hint="eastAsia" w:hAnsi="宋体"/>
          <w:color w:val="auto"/>
          <w:kern w:val="0"/>
          <w:szCs w:val="21"/>
          <w:highlight w:val="none"/>
          <w:lang w:val="zh-CN"/>
        </w:rPr>
        <w:t>严格遵守</w:t>
      </w:r>
      <w:r>
        <w:rPr>
          <w:rFonts w:hint="eastAsia" w:hAnsi="宋体"/>
          <w:color w:val="auto"/>
          <w:kern w:val="0"/>
          <w:szCs w:val="21"/>
          <w:highlight w:val="none"/>
        </w:rPr>
        <w:t>竞争性磋商</w:t>
      </w:r>
      <w:r>
        <w:rPr>
          <w:rFonts w:hint="eastAsia" w:hAnsi="宋体"/>
          <w:color w:val="auto"/>
          <w:kern w:val="0"/>
          <w:szCs w:val="21"/>
          <w:highlight w:val="none"/>
          <w:lang w:val="zh-CN"/>
        </w:rPr>
        <w:t>文件、响应文件、承诺书的一切规定和条款；</w:t>
      </w:r>
    </w:p>
    <w:p>
      <w:pPr>
        <w:autoSpaceDE w:val="0"/>
        <w:autoSpaceDN w:val="0"/>
        <w:adjustRightInd w:val="0"/>
        <w:spacing w:line="460" w:lineRule="exact"/>
        <w:ind w:firstLine="420" w:firstLineChars="200"/>
        <w:jc w:val="left"/>
        <w:rPr>
          <w:rFonts w:hint="eastAsia" w:hAnsi="宋体"/>
          <w:color w:val="auto"/>
          <w:kern w:val="0"/>
          <w:szCs w:val="21"/>
          <w:highlight w:val="none"/>
          <w:lang w:val="zh-CN"/>
        </w:rPr>
      </w:pPr>
      <w:r>
        <w:rPr>
          <w:rFonts w:hAnsi="宋体"/>
          <w:color w:val="auto"/>
          <w:kern w:val="0"/>
          <w:szCs w:val="21"/>
          <w:highlight w:val="none"/>
          <w:lang w:val="zh-CN"/>
        </w:rPr>
        <w:t>4</w:t>
      </w:r>
      <w:r>
        <w:rPr>
          <w:rFonts w:hint="eastAsia" w:hAnsi="宋体"/>
          <w:color w:val="auto"/>
          <w:kern w:val="0"/>
          <w:szCs w:val="21"/>
          <w:highlight w:val="none"/>
          <w:lang w:val="zh-CN"/>
        </w:rPr>
        <w:t>、针对乙方在为甲方服务过程中发生技术问题，乙方应提供及时有效的技术支持。（售后服务联系人及联系电话详见合同封面）。</w:t>
      </w:r>
    </w:p>
    <w:p>
      <w:pPr>
        <w:autoSpaceDE w:val="0"/>
        <w:autoSpaceDN w:val="0"/>
        <w:adjustRightInd w:val="0"/>
        <w:spacing w:line="460" w:lineRule="exact"/>
        <w:ind w:firstLine="422" w:firstLineChars="200"/>
        <w:jc w:val="left"/>
        <w:rPr>
          <w:rFonts w:hint="eastAsia" w:hAnsi="宋体"/>
          <w:color w:val="auto"/>
          <w:kern w:val="0"/>
          <w:szCs w:val="21"/>
          <w:highlight w:val="none"/>
          <w:lang w:val="zh-CN"/>
        </w:rPr>
      </w:pPr>
      <w:r>
        <w:rPr>
          <w:rFonts w:hint="eastAsia" w:hAnsi="宋体"/>
          <w:b/>
          <w:color w:val="auto"/>
          <w:szCs w:val="21"/>
          <w:highlight w:val="none"/>
        </w:rPr>
        <w:t>服务标准及要求：</w:t>
      </w:r>
    </w:p>
    <w:p>
      <w:pPr>
        <w:spacing w:line="460" w:lineRule="exact"/>
        <w:ind w:firstLine="420" w:firstLineChars="200"/>
        <w:jc w:val="left"/>
        <w:rPr>
          <w:rFonts w:hint="eastAsia" w:hAnsi="宋体"/>
          <w:color w:val="auto"/>
          <w:szCs w:val="21"/>
          <w:highlight w:val="none"/>
        </w:rPr>
      </w:pPr>
      <w:r>
        <w:rPr>
          <w:rFonts w:hint="eastAsia" w:hAnsi="宋体"/>
          <w:color w:val="auto"/>
          <w:szCs w:val="21"/>
          <w:highlight w:val="none"/>
        </w:rPr>
        <w:t>本合同范围内的服务期为</w:t>
      </w:r>
      <w:r>
        <w:rPr>
          <w:rFonts w:hAnsi="宋体"/>
          <w:color w:val="auto"/>
          <w:szCs w:val="21"/>
          <w:highlight w:val="none"/>
          <w:u w:val="single"/>
        </w:rPr>
        <w:t xml:space="preserve">         </w:t>
      </w:r>
      <w:r>
        <w:rPr>
          <w:rFonts w:hint="eastAsia" w:hAnsi="宋体"/>
          <w:color w:val="auto"/>
          <w:szCs w:val="21"/>
          <w:highlight w:val="none"/>
        </w:rPr>
        <w:t>。</w:t>
      </w:r>
    </w:p>
    <w:p>
      <w:pPr>
        <w:spacing w:line="460" w:lineRule="exact"/>
        <w:ind w:firstLine="420" w:firstLineChars="200"/>
        <w:jc w:val="left"/>
        <w:rPr>
          <w:rFonts w:hint="eastAsia" w:hAnsi="宋体"/>
          <w:color w:val="auto"/>
          <w:szCs w:val="21"/>
          <w:highlight w:val="none"/>
        </w:rPr>
      </w:pPr>
      <w:r>
        <w:rPr>
          <w:rFonts w:hint="eastAsia" w:hAnsi="宋体"/>
          <w:color w:val="auto"/>
          <w:kern w:val="0"/>
          <w:szCs w:val="21"/>
          <w:highlight w:val="none"/>
          <w:lang w:val="zh-CN"/>
        </w:rPr>
        <w:t>针对乙方在为甲方服务过程中发生技术问题</w:t>
      </w:r>
      <w:r>
        <w:rPr>
          <w:rFonts w:hint="eastAsia" w:hAnsi="宋体"/>
          <w:color w:val="auto"/>
          <w:szCs w:val="21"/>
          <w:highlight w:val="none"/>
        </w:rPr>
        <w:t>，乙方应提供及时有效的技术支持及服务。</w:t>
      </w:r>
    </w:p>
    <w:p>
      <w:pPr>
        <w:spacing w:line="460" w:lineRule="exact"/>
        <w:ind w:firstLine="420" w:firstLineChars="200"/>
        <w:jc w:val="left"/>
        <w:rPr>
          <w:rFonts w:hint="eastAsia" w:hAnsi="宋体"/>
          <w:color w:val="auto"/>
          <w:szCs w:val="21"/>
          <w:highlight w:val="none"/>
        </w:rPr>
      </w:pPr>
      <w:r>
        <w:rPr>
          <w:rFonts w:hint="eastAsia" w:hAnsi="宋体"/>
          <w:color w:val="auto"/>
          <w:szCs w:val="21"/>
          <w:highlight w:val="none"/>
        </w:rPr>
        <w:t>乙方技术支持电话：</w:t>
      </w:r>
      <w:r>
        <w:rPr>
          <w:rFonts w:hAnsi="宋体"/>
          <w:color w:val="auto"/>
          <w:szCs w:val="21"/>
          <w:highlight w:val="none"/>
          <w:u w:val="single"/>
        </w:rPr>
        <w:t xml:space="preserve">           </w:t>
      </w:r>
      <w:r>
        <w:rPr>
          <w:rFonts w:hint="eastAsia" w:hAnsi="宋体"/>
          <w:color w:val="auto"/>
          <w:szCs w:val="21"/>
          <w:highlight w:val="none"/>
        </w:rPr>
        <w:t>，联系人：</w:t>
      </w:r>
      <w:r>
        <w:rPr>
          <w:rFonts w:hAnsi="宋体"/>
          <w:color w:val="auto"/>
          <w:szCs w:val="21"/>
          <w:highlight w:val="none"/>
          <w:u w:val="single"/>
        </w:rPr>
        <w:t xml:space="preserve">           </w:t>
      </w:r>
      <w:r>
        <w:rPr>
          <w:rFonts w:hint="eastAsia" w:hAnsi="宋体"/>
          <w:color w:val="auto"/>
          <w:szCs w:val="21"/>
          <w:highlight w:val="none"/>
        </w:rPr>
        <w:t>。</w:t>
      </w:r>
      <w:r>
        <w:rPr>
          <w:rFonts w:hAnsi="宋体"/>
          <w:color w:val="auto"/>
          <w:szCs w:val="21"/>
          <w:highlight w:val="none"/>
        </w:rPr>
        <w:t xml:space="preserve">   </w:t>
      </w:r>
    </w:p>
    <w:p>
      <w:pPr>
        <w:spacing w:line="460" w:lineRule="exact"/>
        <w:ind w:firstLine="420" w:firstLineChars="200"/>
        <w:jc w:val="left"/>
        <w:rPr>
          <w:rFonts w:hint="eastAsia" w:hAnsi="宋体"/>
          <w:color w:val="auto"/>
          <w:szCs w:val="21"/>
          <w:highlight w:val="none"/>
        </w:rPr>
      </w:pPr>
      <w:r>
        <w:rPr>
          <w:rFonts w:hint="eastAsia" w:hAnsi="宋体"/>
          <w:color w:val="auto"/>
          <w:szCs w:val="21"/>
          <w:highlight w:val="none"/>
        </w:rPr>
        <w:t>服务网点地址：</w:t>
      </w:r>
    </w:p>
    <w:p>
      <w:pPr>
        <w:spacing w:line="460" w:lineRule="exact"/>
        <w:ind w:firstLine="420" w:firstLineChars="200"/>
        <w:jc w:val="left"/>
        <w:rPr>
          <w:rFonts w:hint="eastAsia" w:hAnsi="宋体"/>
          <w:color w:val="auto"/>
          <w:szCs w:val="21"/>
          <w:highlight w:val="none"/>
        </w:rPr>
      </w:pPr>
      <w:r>
        <w:rPr>
          <w:rFonts w:hint="eastAsia" w:hAnsi="宋体"/>
          <w:color w:val="auto"/>
          <w:szCs w:val="21"/>
          <w:highlight w:val="none"/>
        </w:rPr>
        <w:t>服务负责人姓名：</w:t>
      </w:r>
    </w:p>
    <w:p>
      <w:pPr>
        <w:spacing w:line="460" w:lineRule="exact"/>
        <w:ind w:firstLine="420" w:firstLineChars="200"/>
        <w:jc w:val="left"/>
        <w:rPr>
          <w:rFonts w:hint="eastAsia" w:hAnsi="宋体"/>
          <w:color w:val="auto"/>
          <w:szCs w:val="21"/>
          <w:highlight w:val="none"/>
        </w:rPr>
      </w:pPr>
      <w:r>
        <w:rPr>
          <w:rFonts w:hint="eastAsia" w:hAnsi="宋体"/>
          <w:color w:val="auto"/>
          <w:szCs w:val="21"/>
          <w:highlight w:val="none"/>
        </w:rPr>
        <w:t>联系电话：</w:t>
      </w:r>
    </w:p>
    <w:p>
      <w:pPr>
        <w:autoSpaceDE w:val="0"/>
        <w:autoSpaceDN w:val="0"/>
        <w:adjustRightInd w:val="0"/>
        <w:spacing w:line="460" w:lineRule="exact"/>
        <w:ind w:firstLine="422" w:firstLineChars="200"/>
        <w:jc w:val="left"/>
        <w:rPr>
          <w:rFonts w:hint="eastAsia" w:hAnsi="宋体"/>
          <w:color w:val="auto"/>
          <w:szCs w:val="21"/>
          <w:highlight w:val="none"/>
        </w:rPr>
      </w:pPr>
      <w:r>
        <w:rPr>
          <w:rFonts w:hint="eastAsia" w:hAnsi="宋体"/>
          <w:b/>
          <w:color w:val="auto"/>
          <w:szCs w:val="21"/>
          <w:highlight w:val="none"/>
        </w:rPr>
        <w:t>甲、乙双方约定的其他服务内容：</w:t>
      </w:r>
    </w:p>
    <w:p>
      <w:pPr>
        <w:spacing w:line="460" w:lineRule="exact"/>
        <w:ind w:firstLine="420" w:firstLineChars="200"/>
        <w:jc w:val="left"/>
        <w:rPr>
          <w:rFonts w:hint="eastAsia" w:hAnsi="宋体"/>
          <w:color w:val="auto"/>
          <w:szCs w:val="21"/>
          <w:highlight w:val="none"/>
        </w:rPr>
      </w:pPr>
      <w:r>
        <w:rPr>
          <w:rFonts w:hint="eastAsia" w:hAnsi="宋体"/>
          <w:color w:val="auto"/>
          <w:szCs w:val="21"/>
          <w:highlight w:val="none"/>
        </w:rPr>
        <w:t>（内容不够填写时可另作附件）</w:t>
      </w:r>
    </w:p>
    <w:p>
      <w:pPr>
        <w:autoSpaceDE w:val="0"/>
        <w:autoSpaceDN w:val="0"/>
        <w:adjustRightInd w:val="0"/>
        <w:spacing w:line="460" w:lineRule="exact"/>
        <w:ind w:firstLine="422" w:firstLineChars="200"/>
        <w:jc w:val="left"/>
        <w:rPr>
          <w:rFonts w:hint="eastAsia" w:hAnsi="宋体"/>
          <w:b/>
          <w:color w:val="auto"/>
          <w:szCs w:val="21"/>
          <w:highlight w:val="none"/>
        </w:rPr>
      </w:pPr>
      <w:r>
        <w:rPr>
          <w:rFonts w:hint="eastAsia" w:hAnsi="宋体"/>
          <w:b/>
          <w:color w:val="auto"/>
          <w:szCs w:val="21"/>
          <w:highlight w:val="none"/>
        </w:rPr>
        <w:t>本项目培训方案：（若有）</w:t>
      </w:r>
    </w:p>
    <w:p>
      <w:pPr>
        <w:spacing w:line="460" w:lineRule="exact"/>
        <w:ind w:firstLine="420" w:firstLineChars="200"/>
        <w:jc w:val="left"/>
        <w:rPr>
          <w:rFonts w:hint="eastAsia" w:hAnsi="宋体"/>
          <w:color w:val="auto"/>
          <w:szCs w:val="21"/>
          <w:highlight w:val="none"/>
        </w:rPr>
      </w:pPr>
      <w:r>
        <w:rPr>
          <w:rFonts w:hint="eastAsia" w:hAnsi="宋体"/>
          <w:color w:val="auto"/>
          <w:szCs w:val="21"/>
          <w:highlight w:val="none"/>
        </w:rPr>
        <w:t>（内容不够填写时可另作附件）</w:t>
      </w:r>
    </w:p>
    <w:p>
      <w:pPr>
        <w:spacing w:line="460" w:lineRule="exact"/>
        <w:ind w:firstLine="422" w:firstLineChars="200"/>
        <w:jc w:val="left"/>
        <w:rPr>
          <w:rFonts w:hint="eastAsia" w:hAnsi="宋体"/>
          <w:b/>
          <w:bCs/>
          <w:color w:val="auto"/>
          <w:szCs w:val="21"/>
          <w:highlight w:val="none"/>
        </w:rPr>
      </w:pPr>
      <w:r>
        <w:rPr>
          <w:rFonts w:hint="eastAsia" w:hAnsi="宋体"/>
          <w:b/>
          <w:bCs/>
          <w:color w:val="auto"/>
          <w:szCs w:val="21"/>
          <w:highlight w:val="none"/>
        </w:rPr>
        <w:t>四、以上内容与政府采购监督管理部门审核以及甲方确认采购和乙方成交承诺情况一致并不得改变或放弃。</w:t>
      </w:r>
    </w:p>
    <w:p>
      <w:pPr>
        <w:spacing w:line="460" w:lineRule="exact"/>
        <w:ind w:firstLine="422" w:firstLineChars="200"/>
        <w:jc w:val="left"/>
        <w:rPr>
          <w:rFonts w:hint="eastAsia" w:hAnsi="宋体"/>
          <w:b/>
          <w:bCs/>
          <w:color w:val="auto"/>
          <w:szCs w:val="21"/>
          <w:highlight w:val="none"/>
        </w:rPr>
      </w:pPr>
      <w:r>
        <w:rPr>
          <w:rFonts w:hint="eastAsia" w:hAnsi="宋体"/>
          <w:b/>
          <w:bCs/>
          <w:color w:val="auto"/>
          <w:szCs w:val="21"/>
          <w:highlight w:val="none"/>
        </w:rPr>
        <w:t>五、整体项目完成时间为合同签订生效后</w:t>
      </w:r>
      <w:r>
        <w:rPr>
          <w:rFonts w:hAnsi="宋体"/>
          <w:b/>
          <w:bCs/>
          <w:color w:val="auto"/>
          <w:szCs w:val="21"/>
          <w:highlight w:val="none"/>
          <w:u w:val="single"/>
        </w:rPr>
        <w:t xml:space="preserve">        </w:t>
      </w:r>
      <w:r>
        <w:rPr>
          <w:rFonts w:hint="eastAsia" w:hAnsi="宋体"/>
          <w:b/>
          <w:bCs/>
          <w:color w:val="auto"/>
          <w:szCs w:val="21"/>
          <w:highlight w:val="none"/>
        </w:rPr>
        <w:t>日内。</w:t>
      </w:r>
    </w:p>
    <w:p>
      <w:pPr>
        <w:spacing w:line="460" w:lineRule="exact"/>
        <w:ind w:firstLine="422" w:firstLineChars="200"/>
        <w:jc w:val="left"/>
        <w:rPr>
          <w:rFonts w:hint="eastAsia" w:hAnsi="宋体"/>
          <w:b/>
          <w:color w:val="auto"/>
          <w:szCs w:val="21"/>
          <w:highlight w:val="none"/>
        </w:rPr>
      </w:pPr>
      <w:r>
        <w:rPr>
          <w:rFonts w:hint="eastAsia" w:hAnsi="宋体"/>
          <w:b/>
          <w:color w:val="auto"/>
          <w:szCs w:val="21"/>
          <w:highlight w:val="none"/>
        </w:rPr>
        <w:t>六、违约责任</w:t>
      </w:r>
    </w:p>
    <w:p>
      <w:pPr>
        <w:spacing w:line="460" w:lineRule="exact"/>
        <w:ind w:firstLine="420" w:firstLineChars="200"/>
        <w:jc w:val="left"/>
        <w:rPr>
          <w:rFonts w:hint="eastAsia" w:hAnsi="宋体"/>
          <w:color w:val="auto"/>
          <w:szCs w:val="21"/>
          <w:highlight w:val="none"/>
        </w:rPr>
      </w:pPr>
      <w:r>
        <w:rPr>
          <w:rFonts w:hint="eastAsia" w:hAnsi="宋体"/>
          <w:color w:val="auto"/>
          <w:szCs w:val="21"/>
          <w:highlight w:val="none"/>
        </w:rPr>
        <w:t>除发生不可抗力事实外，乙方所交付的服务与竞争性磋商文件、投标响应文件和承诺书不相符合的，甲方有权拒收，其损失由乙方承当。乙方逾期交付时将向甲方每日偿付合同总额</w:t>
      </w:r>
      <w:r>
        <w:rPr>
          <w:rFonts w:hAnsi="宋体"/>
          <w:color w:val="auto"/>
          <w:szCs w:val="21"/>
          <w:highlight w:val="none"/>
        </w:rPr>
        <w:t xml:space="preserve"> </w:t>
      </w:r>
      <w:r>
        <w:rPr>
          <w:rFonts w:hAnsi="宋体"/>
          <w:color w:val="auto"/>
          <w:szCs w:val="21"/>
          <w:highlight w:val="none"/>
          <w:u w:val="single"/>
        </w:rPr>
        <w:t xml:space="preserve">        </w:t>
      </w:r>
      <w:r>
        <w:rPr>
          <w:rFonts w:hint="eastAsia" w:hAnsi="宋体"/>
          <w:color w:val="auto"/>
          <w:szCs w:val="21"/>
          <w:highlight w:val="none"/>
        </w:rPr>
        <w:t>的违约金。乙方不能按期完成服务与竞争性磋商文件、响应文件和承诺书不符，致使甲方造成经济损失的应依法赔偿。</w:t>
      </w:r>
    </w:p>
    <w:p>
      <w:pPr>
        <w:spacing w:line="460" w:lineRule="exact"/>
        <w:ind w:firstLine="420" w:firstLineChars="200"/>
        <w:jc w:val="left"/>
        <w:rPr>
          <w:rFonts w:hint="eastAsia" w:hAnsi="宋体"/>
          <w:color w:val="auto"/>
          <w:szCs w:val="21"/>
          <w:highlight w:val="none"/>
        </w:rPr>
      </w:pPr>
      <w:r>
        <w:rPr>
          <w:rFonts w:hint="eastAsia" w:hAnsi="宋体"/>
          <w:color w:val="auto"/>
          <w:szCs w:val="21"/>
          <w:highlight w:val="none"/>
        </w:rPr>
        <w:t>除发生不可抗力事实外，若甲方违约，则应向乙方偿付合同款总价</w:t>
      </w:r>
      <w:r>
        <w:rPr>
          <w:rFonts w:hAnsi="宋体"/>
          <w:color w:val="auto"/>
          <w:szCs w:val="21"/>
          <w:highlight w:val="none"/>
        </w:rPr>
        <w:t xml:space="preserve"> </w:t>
      </w:r>
      <w:r>
        <w:rPr>
          <w:rFonts w:hAnsi="宋体"/>
          <w:color w:val="auto"/>
          <w:szCs w:val="21"/>
          <w:highlight w:val="none"/>
          <w:u w:val="single"/>
        </w:rPr>
        <w:t xml:space="preserve">        </w:t>
      </w:r>
      <w:r>
        <w:rPr>
          <w:rFonts w:hint="eastAsia" w:hAnsi="宋体"/>
          <w:color w:val="auto"/>
          <w:szCs w:val="21"/>
          <w:highlight w:val="none"/>
        </w:rPr>
        <w:t>的违约金。甲方有权拒付合同价以外的任何费用，乙方有权拒绝合同整体范围以外的条件。任何一方若发生违约金，不再计算银行利息。</w:t>
      </w:r>
    </w:p>
    <w:p>
      <w:pPr>
        <w:autoSpaceDE w:val="0"/>
        <w:autoSpaceDN w:val="0"/>
        <w:adjustRightInd w:val="0"/>
        <w:spacing w:line="460" w:lineRule="exact"/>
        <w:ind w:firstLine="422" w:firstLineChars="200"/>
        <w:jc w:val="left"/>
        <w:rPr>
          <w:rFonts w:hint="eastAsia" w:hAnsi="宋体"/>
          <w:b/>
          <w:color w:val="auto"/>
          <w:kern w:val="0"/>
          <w:szCs w:val="21"/>
          <w:highlight w:val="none"/>
          <w:lang w:val="zh-CN"/>
        </w:rPr>
      </w:pPr>
      <w:r>
        <w:rPr>
          <w:rFonts w:hint="eastAsia" w:hAnsi="宋体"/>
          <w:b/>
          <w:color w:val="auto"/>
          <w:kern w:val="0"/>
          <w:szCs w:val="21"/>
          <w:highlight w:val="none"/>
          <w:lang w:val="zh-CN"/>
        </w:rPr>
        <w:t>七、纠纷解决</w:t>
      </w:r>
    </w:p>
    <w:p>
      <w:pPr>
        <w:spacing w:line="460" w:lineRule="exact"/>
        <w:ind w:firstLine="420" w:firstLineChars="200"/>
        <w:jc w:val="left"/>
        <w:rPr>
          <w:rFonts w:hint="eastAsia" w:hAnsi="宋体"/>
          <w:color w:val="auto"/>
          <w:szCs w:val="21"/>
          <w:highlight w:val="none"/>
        </w:rPr>
      </w:pPr>
      <w:r>
        <w:rPr>
          <w:rFonts w:hint="eastAsia" w:hAnsi="宋体"/>
          <w:color w:val="auto"/>
          <w:szCs w:val="21"/>
          <w:highlight w:val="none"/>
        </w:rPr>
        <w:t>甲乙双方如在履行合同过程中发生纠纷，由双方协商解决。协商不成的，任何一方均可向当地人民法院提起诉讼。</w:t>
      </w:r>
    </w:p>
    <w:p>
      <w:pPr>
        <w:autoSpaceDE w:val="0"/>
        <w:autoSpaceDN w:val="0"/>
        <w:adjustRightInd w:val="0"/>
        <w:spacing w:line="460" w:lineRule="exact"/>
        <w:ind w:firstLine="422" w:firstLineChars="200"/>
        <w:jc w:val="left"/>
        <w:rPr>
          <w:rFonts w:hint="eastAsia" w:hAnsi="宋体"/>
          <w:b/>
          <w:color w:val="auto"/>
          <w:kern w:val="0"/>
          <w:szCs w:val="21"/>
          <w:highlight w:val="none"/>
          <w:lang w:val="zh-CN"/>
        </w:rPr>
      </w:pPr>
      <w:r>
        <w:rPr>
          <w:rFonts w:hint="eastAsia" w:hAnsi="宋体"/>
          <w:b/>
          <w:color w:val="auto"/>
          <w:kern w:val="0"/>
          <w:szCs w:val="21"/>
          <w:highlight w:val="none"/>
          <w:lang w:val="zh-CN"/>
        </w:rPr>
        <w:t>八、本合同其他未尽事宜，按《</w:t>
      </w:r>
      <w:r>
        <w:rPr>
          <w:rFonts w:hint="eastAsia" w:hAnsi="宋体"/>
          <w:b/>
          <w:color w:val="auto"/>
          <w:kern w:val="0"/>
          <w:szCs w:val="21"/>
          <w:highlight w:val="none"/>
        </w:rPr>
        <w:t>中华人民共和国</w:t>
      </w:r>
      <w:r>
        <w:rPr>
          <w:rFonts w:hint="eastAsia" w:hAnsi="宋体"/>
          <w:b/>
          <w:color w:val="auto"/>
          <w:kern w:val="0"/>
          <w:szCs w:val="21"/>
          <w:highlight w:val="none"/>
          <w:lang w:val="zh-CN"/>
        </w:rPr>
        <w:t>民法典》有关规定处理。</w:t>
      </w:r>
    </w:p>
    <w:p>
      <w:pPr>
        <w:autoSpaceDE w:val="0"/>
        <w:autoSpaceDN w:val="0"/>
        <w:adjustRightInd w:val="0"/>
        <w:spacing w:line="460" w:lineRule="exact"/>
        <w:ind w:firstLine="422" w:firstLineChars="200"/>
        <w:jc w:val="left"/>
        <w:rPr>
          <w:rFonts w:hint="eastAsia" w:hAnsi="宋体"/>
          <w:color w:val="auto"/>
          <w:kern w:val="0"/>
          <w:szCs w:val="21"/>
          <w:highlight w:val="none"/>
          <w:lang w:val="zh-CN"/>
        </w:rPr>
      </w:pPr>
      <w:r>
        <w:rPr>
          <w:rFonts w:hint="eastAsia" w:hAnsi="宋体"/>
          <w:b/>
          <w:color w:val="auto"/>
          <w:kern w:val="0"/>
          <w:szCs w:val="21"/>
          <w:highlight w:val="none"/>
          <w:lang w:val="zh-CN"/>
        </w:rPr>
        <w:t>九、合同份数：</w:t>
      </w:r>
      <w:r>
        <w:rPr>
          <w:rFonts w:hint="eastAsia" w:hAnsi="宋体"/>
          <w:color w:val="auto"/>
          <w:kern w:val="0"/>
          <w:szCs w:val="21"/>
          <w:highlight w:val="none"/>
          <w:lang w:val="zh-CN"/>
        </w:rPr>
        <w:t>本合同一式</w:t>
      </w:r>
      <w:r>
        <w:rPr>
          <w:rFonts w:hint="eastAsia" w:hAnsi="宋体"/>
          <w:color w:val="auto"/>
          <w:kern w:val="0"/>
          <w:szCs w:val="21"/>
          <w:highlight w:val="none"/>
        </w:rPr>
        <w:t>六</w:t>
      </w:r>
      <w:r>
        <w:rPr>
          <w:rFonts w:hint="eastAsia" w:hAnsi="宋体"/>
          <w:color w:val="auto"/>
          <w:kern w:val="0"/>
          <w:szCs w:val="21"/>
          <w:highlight w:val="none"/>
          <w:lang w:val="zh-CN"/>
        </w:rPr>
        <w:t>份，具有同等效力。其中正本二份，甲乙双方各执正本一份；副本：甲方</w:t>
      </w:r>
      <w:r>
        <w:rPr>
          <w:rFonts w:hint="eastAsia" w:hAnsi="宋体"/>
          <w:color w:val="auto"/>
          <w:kern w:val="0"/>
          <w:szCs w:val="21"/>
          <w:highlight w:val="none"/>
        </w:rPr>
        <w:t>二</w:t>
      </w:r>
      <w:r>
        <w:rPr>
          <w:rFonts w:hint="eastAsia" w:hAnsi="宋体"/>
          <w:color w:val="auto"/>
          <w:kern w:val="0"/>
          <w:szCs w:val="21"/>
          <w:highlight w:val="none"/>
          <w:lang w:val="zh-CN"/>
        </w:rPr>
        <w:t>份（其中一份用于结算支付），乙方</w:t>
      </w:r>
      <w:r>
        <w:rPr>
          <w:rFonts w:hint="eastAsia" w:hAnsi="宋体"/>
          <w:color w:val="auto"/>
          <w:kern w:val="0"/>
          <w:szCs w:val="21"/>
          <w:highlight w:val="none"/>
        </w:rPr>
        <w:t>二</w:t>
      </w:r>
      <w:r>
        <w:rPr>
          <w:rFonts w:hint="eastAsia" w:hAnsi="宋体"/>
          <w:color w:val="auto"/>
          <w:kern w:val="0"/>
          <w:szCs w:val="21"/>
          <w:highlight w:val="none"/>
          <w:lang w:val="zh-CN"/>
        </w:rPr>
        <w:t>份。</w:t>
      </w:r>
    </w:p>
    <w:p>
      <w:pPr>
        <w:spacing w:line="460" w:lineRule="exact"/>
        <w:ind w:firstLine="422" w:firstLineChars="200"/>
        <w:rPr>
          <w:rFonts w:hint="eastAsia" w:ascii="宋体" w:hAnsi="宋体"/>
          <w:color w:val="auto"/>
          <w:szCs w:val="21"/>
          <w:highlight w:val="none"/>
        </w:rPr>
      </w:pPr>
      <w:r>
        <w:rPr>
          <w:rFonts w:hint="eastAsia" w:hAnsi="宋体"/>
          <w:b/>
          <w:color w:val="auto"/>
          <w:kern w:val="0"/>
          <w:szCs w:val="21"/>
          <w:highlight w:val="none"/>
          <w:lang w:val="zh-CN"/>
        </w:rPr>
        <w:t>十、本合同自签订之日起生效。</w:t>
      </w:r>
    </w:p>
    <w:p>
      <w:pPr>
        <w:pStyle w:val="16"/>
        <w:spacing w:before="312" w:beforeLines="100" w:after="312" w:afterLines="100" w:line="360" w:lineRule="exact"/>
        <w:ind w:firstLine="390" w:firstLineChars="200"/>
        <w:rPr>
          <w:rFonts w:hint="eastAsia" w:ascii="宋体" w:hAnsi="宋体" w:cs="宋体"/>
          <w:color w:val="auto"/>
          <w:sz w:val="21"/>
          <w:szCs w:val="21"/>
          <w:highlight w:val="none"/>
        </w:rPr>
      </w:pPr>
      <w:r>
        <w:rPr>
          <w:rFonts w:hint="eastAsia" w:ascii="宋体" w:hAnsi="宋体"/>
          <w:bCs/>
          <w:color w:val="auto"/>
          <w:sz w:val="21"/>
          <w:szCs w:val="21"/>
          <w:highlight w:val="none"/>
        </w:rPr>
        <w:t>注：上述合同协议书仅供参考。</w:t>
      </w:r>
    </w:p>
    <w:p>
      <w:pPr>
        <w:pStyle w:val="2"/>
        <w:rPr>
          <w:rFonts w:hint="eastAsia" w:ascii="宋体" w:hAnsi="宋体" w:cs="宋体"/>
          <w:color w:val="auto"/>
          <w:highlight w:val="none"/>
        </w:rPr>
        <w:sectPr>
          <w:pgSz w:w="11906" w:h="16838"/>
          <w:pgMar w:top="1134" w:right="1304" w:bottom="1134" w:left="1304" w:header="851" w:footer="851" w:gutter="0"/>
          <w:cols w:space="720" w:num="1"/>
          <w:docGrid w:type="lines" w:linePitch="312" w:charSpace="0"/>
        </w:sectPr>
      </w:pPr>
    </w:p>
    <w:p>
      <w:pPr>
        <w:rPr>
          <w:rFonts w:hint="eastAsia" w:ascii="宋体" w:hAnsi="宋体"/>
          <w:color w:val="auto"/>
          <w:highlight w:val="none"/>
        </w:rPr>
      </w:pPr>
    </w:p>
    <w:p>
      <w:pPr>
        <w:pStyle w:val="2"/>
        <w:keepNext w:val="0"/>
        <w:keepLines w:val="0"/>
        <w:pageBreakBefore w:val="0"/>
        <w:rPr>
          <w:rFonts w:hint="eastAsia" w:ascii="宋体" w:hAnsi="宋体"/>
          <w:color w:val="auto"/>
          <w:highlight w:val="none"/>
        </w:rPr>
      </w:pPr>
      <w:r>
        <w:rPr>
          <w:rFonts w:hint="eastAsia" w:ascii="宋体" w:hAnsi="宋体"/>
          <w:color w:val="auto"/>
          <w:highlight w:val="none"/>
        </w:rPr>
        <w:t>第四章  投标文件格式</w:t>
      </w:r>
      <w:bookmarkEnd w:id="46"/>
    </w:p>
    <w:p>
      <w:pPr>
        <w:spacing w:line="360" w:lineRule="auto"/>
        <w:jc w:val="center"/>
        <w:rPr>
          <w:rFonts w:hint="eastAsia" w:ascii="宋体" w:hAnsi="宋体" w:eastAsia="宋体"/>
          <w:color w:val="auto"/>
          <w:sz w:val="24"/>
          <w:highlight w:val="none"/>
          <w:lang w:eastAsia="zh-CN"/>
        </w:rPr>
      </w:pPr>
      <w:r>
        <w:rPr>
          <w:rFonts w:hint="eastAsia" w:ascii="宋体" w:hAnsi="宋体"/>
          <w:color w:val="auto"/>
          <w:sz w:val="36"/>
          <w:szCs w:val="36"/>
          <w:highlight w:val="none"/>
          <w:lang w:eastAsia="zh-CN"/>
        </w:rPr>
        <w:t>2025年异龙湖流域环境水质检测检验执法监管项目</w:t>
      </w:r>
    </w:p>
    <w:p>
      <w:pPr>
        <w:pStyle w:val="11"/>
        <w:rPr>
          <w:rFonts w:hint="eastAsia" w:ascii="宋体" w:hAnsi="宋体"/>
          <w:color w:val="auto"/>
          <w:highlight w:val="none"/>
        </w:rPr>
      </w:pPr>
    </w:p>
    <w:p>
      <w:pPr>
        <w:rPr>
          <w:rFonts w:hint="eastAsia" w:ascii="宋体" w:hAnsi="宋体"/>
          <w:color w:val="auto"/>
          <w:highlight w:val="none"/>
        </w:rPr>
      </w:pPr>
    </w:p>
    <w:p>
      <w:pPr>
        <w:spacing w:line="360" w:lineRule="auto"/>
        <w:jc w:val="center"/>
        <w:rPr>
          <w:rFonts w:hint="eastAsia" w:ascii="宋体" w:hAnsi="宋体"/>
          <w:color w:val="auto"/>
          <w:sz w:val="24"/>
          <w:highlight w:val="none"/>
        </w:rPr>
      </w:pPr>
    </w:p>
    <w:p>
      <w:pPr>
        <w:pStyle w:val="20"/>
        <w:jc w:val="center"/>
        <w:rPr>
          <w:rFonts w:hint="eastAsia" w:hAnsi="宋体"/>
          <w:b/>
          <w:color w:val="auto"/>
          <w:sz w:val="84"/>
          <w:szCs w:val="84"/>
          <w:highlight w:val="none"/>
        </w:rPr>
      </w:pPr>
      <w:r>
        <w:rPr>
          <w:rFonts w:hint="eastAsia" w:hAnsi="宋体"/>
          <w:b/>
          <w:color w:val="auto"/>
          <w:sz w:val="84"/>
          <w:szCs w:val="84"/>
          <w:highlight w:val="none"/>
        </w:rPr>
        <w:t>投标文件</w:t>
      </w:r>
    </w:p>
    <w:p>
      <w:pPr>
        <w:spacing w:line="360" w:lineRule="auto"/>
        <w:jc w:val="left"/>
        <w:rPr>
          <w:rFonts w:hint="eastAsia" w:ascii="宋体" w:hAnsi="宋体"/>
          <w:color w:val="auto"/>
          <w:sz w:val="28"/>
          <w:szCs w:val="28"/>
          <w:highlight w:val="none"/>
        </w:rPr>
      </w:pPr>
    </w:p>
    <w:p>
      <w:pPr>
        <w:spacing w:line="360" w:lineRule="auto"/>
        <w:jc w:val="left"/>
        <w:rPr>
          <w:rFonts w:hint="eastAsia" w:ascii="宋体" w:hAnsi="宋体"/>
          <w:color w:val="auto"/>
          <w:sz w:val="28"/>
          <w:szCs w:val="28"/>
          <w:highlight w:val="none"/>
        </w:rPr>
      </w:pPr>
      <w:r>
        <w:rPr>
          <w:rFonts w:hint="eastAsia" w:ascii="宋体" w:hAnsi="宋体"/>
          <w:color w:val="auto"/>
          <w:sz w:val="28"/>
          <w:szCs w:val="28"/>
          <w:highlight w:val="none"/>
        </w:rPr>
        <w:t>项目编号 ：</w:t>
      </w:r>
    </w:p>
    <w:p>
      <w:pPr>
        <w:spacing w:line="360" w:lineRule="auto"/>
        <w:jc w:val="center"/>
        <w:rPr>
          <w:rFonts w:hint="eastAsia" w:ascii="宋体" w:hAnsi="宋体"/>
          <w:color w:val="auto"/>
          <w:sz w:val="24"/>
          <w:highlight w:val="none"/>
        </w:rPr>
      </w:pPr>
    </w:p>
    <w:p>
      <w:pPr>
        <w:spacing w:line="360" w:lineRule="auto"/>
        <w:jc w:val="center"/>
        <w:rPr>
          <w:rFonts w:hint="eastAsia" w:ascii="宋体" w:hAnsi="宋体"/>
          <w:color w:val="auto"/>
          <w:sz w:val="24"/>
          <w:highlight w:val="none"/>
        </w:rPr>
      </w:pPr>
    </w:p>
    <w:p>
      <w:pPr>
        <w:spacing w:line="360" w:lineRule="auto"/>
        <w:jc w:val="center"/>
        <w:rPr>
          <w:rFonts w:hint="eastAsia" w:ascii="宋体" w:hAnsi="宋体"/>
          <w:color w:val="auto"/>
          <w:sz w:val="24"/>
          <w:highlight w:val="none"/>
        </w:rPr>
      </w:pPr>
    </w:p>
    <w:p>
      <w:pPr>
        <w:spacing w:line="360" w:lineRule="auto"/>
        <w:rPr>
          <w:rFonts w:hint="eastAsia" w:ascii="宋体" w:hAnsi="宋体"/>
          <w:color w:val="auto"/>
          <w:sz w:val="24"/>
          <w:highlight w:val="none"/>
        </w:rPr>
      </w:pPr>
    </w:p>
    <w:p>
      <w:pPr>
        <w:spacing w:line="360" w:lineRule="auto"/>
        <w:jc w:val="center"/>
        <w:rPr>
          <w:rFonts w:hint="eastAsia" w:ascii="宋体" w:hAnsi="宋体"/>
          <w:color w:val="auto"/>
          <w:sz w:val="24"/>
          <w:highlight w:val="none"/>
        </w:rPr>
      </w:pPr>
    </w:p>
    <w:p>
      <w:pPr>
        <w:pStyle w:val="11"/>
        <w:rPr>
          <w:rFonts w:hint="eastAsia" w:ascii="宋体" w:hAnsi="宋体"/>
          <w:color w:val="auto"/>
          <w:highlight w:val="none"/>
        </w:rPr>
      </w:pPr>
    </w:p>
    <w:p>
      <w:pPr>
        <w:rPr>
          <w:rFonts w:hint="eastAsia" w:ascii="宋体" w:hAnsi="宋体"/>
          <w:color w:val="auto"/>
          <w:highlight w:val="none"/>
        </w:rPr>
      </w:pPr>
    </w:p>
    <w:p>
      <w:pPr>
        <w:pStyle w:val="11"/>
        <w:rPr>
          <w:rFonts w:hint="eastAsia" w:ascii="宋体" w:hAnsi="宋体"/>
          <w:color w:val="auto"/>
          <w:highlight w:val="none"/>
        </w:rPr>
      </w:pPr>
    </w:p>
    <w:p>
      <w:pPr>
        <w:spacing w:line="360" w:lineRule="auto"/>
        <w:jc w:val="center"/>
        <w:rPr>
          <w:rFonts w:hint="eastAsia" w:ascii="宋体" w:hAnsi="宋体"/>
          <w:color w:val="auto"/>
          <w:sz w:val="24"/>
          <w:highlight w:val="none"/>
        </w:rPr>
      </w:pPr>
    </w:p>
    <w:p>
      <w:pPr>
        <w:spacing w:line="480" w:lineRule="auto"/>
        <w:jc w:val="center"/>
        <w:rPr>
          <w:rFonts w:hint="eastAsia" w:ascii="宋体" w:hAnsi="宋体"/>
          <w:color w:val="auto"/>
          <w:sz w:val="28"/>
          <w:szCs w:val="28"/>
          <w:highlight w:val="none"/>
        </w:rPr>
      </w:pPr>
      <w:r>
        <w:rPr>
          <w:rFonts w:hint="eastAsia" w:ascii="宋体" w:hAnsi="宋体"/>
          <w:color w:val="auto"/>
          <w:sz w:val="28"/>
          <w:szCs w:val="28"/>
          <w:highlight w:val="none"/>
        </w:rPr>
        <w:t>投标人</w:t>
      </w:r>
      <w:r>
        <w:rPr>
          <w:rFonts w:ascii="宋体" w:hAnsi="宋体"/>
          <w:color w:val="auto"/>
          <w:sz w:val="28"/>
          <w:szCs w:val="28"/>
          <w:highlight w:val="none"/>
        </w:rPr>
        <w:t>：</w:t>
      </w:r>
      <w:r>
        <w:rPr>
          <w:rFonts w:hint="eastAsia" w:ascii="宋体" w:hAnsi="宋体"/>
          <w:color w:val="auto"/>
          <w:sz w:val="28"/>
          <w:szCs w:val="28"/>
          <w:highlight w:val="none"/>
          <w:u w:val="single"/>
        </w:rPr>
        <w:t xml:space="preserve">                    </w:t>
      </w:r>
      <w:r>
        <w:rPr>
          <w:rFonts w:ascii="宋体" w:hAnsi="宋体"/>
          <w:color w:val="auto"/>
          <w:sz w:val="28"/>
          <w:szCs w:val="28"/>
          <w:highlight w:val="none"/>
        </w:rPr>
        <w:t>（</w:t>
      </w:r>
      <w:r>
        <w:rPr>
          <w:rFonts w:hint="eastAsia" w:ascii="宋体" w:hAnsi="宋体"/>
          <w:color w:val="auto"/>
          <w:sz w:val="28"/>
          <w:szCs w:val="28"/>
          <w:highlight w:val="none"/>
        </w:rPr>
        <w:t>电子签章）</w:t>
      </w:r>
    </w:p>
    <w:p>
      <w:pPr>
        <w:spacing w:line="480" w:lineRule="auto"/>
        <w:jc w:val="center"/>
        <w:rPr>
          <w:rFonts w:hint="eastAsia" w:ascii="宋体" w:hAnsi="宋体"/>
          <w:color w:val="auto"/>
          <w:sz w:val="28"/>
          <w:szCs w:val="28"/>
          <w:highlight w:val="none"/>
        </w:rPr>
      </w:pPr>
      <w:r>
        <w:rPr>
          <w:rFonts w:ascii="宋体" w:hAnsi="宋体"/>
          <w:color w:val="auto"/>
          <w:sz w:val="28"/>
          <w:szCs w:val="28"/>
          <w:highlight w:val="none"/>
        </w:rPr>
        <w:t>法定代表人</w:t>
      </w:r>
      <w:r>
        <w:rPr>
          <w:rFonts w:hint="eastAsia" w:ascii="宋体" w:hAnsi="宋体"/>
          <w:color w:val="auto"/>
          <w:sz w:val="28"/>
          <w:szCs w:val="28"/>
          <w:highlight w:val="none"/>
        </w:rPr>
        <w:t>或委托代理人</w:t>
      </w:r>
      <w:r>
        <w:rPr>
          <w:rFonts w:ascii="宋体" w:hAnsi="宋体"/>
          <w:color w:val="auto"/>
          <w:sz w:val="28"/>
          <w:szCs w:val="28"/>
          <w:highlight w:val="none"/>
        </w:rPr>
        <w:t>：</w:t>
      </w:r>
      <w:r>
        <w:rPr>
          <w:rFonts w:hint="eastAsia" w:ascii="宋体" w:hAnsi="宋体"/>
          <w:color w:val="auto"/>
          <w:sz w:val="28"/>
          <w:szCs w:val="28"/>
          <w:highlight w:val="none"/>
          <w:u w:val="single"/>
        </w:rPr>
        <w:t xml:space="preserve">             </w:t>
      </w:r>
      <w:r>
        <w:rPr>
          <w:rFonts w:ascii="宋体" w:hAnsi="宋体"/>
          <w:color w:val="auto"/>
          <w:sz w:val="28"/>
          <w:szCs w:val="28"/>
          <w:highlight w:val="none"/>
        </w:rPr>
        <w:t>（</w:t>
      </w:r>
      <w:r>
        <w:rPr>
          <w:rFonts w:hint="eastAsia" w:ascii="宋体" w:hAnsi="宋体"/>
          <w:color w:val="auto"/>
          <w:sz w:val="28"/>
          <w:szCs w:val="28"/>
          <w:highlight w:val="none"/>
        </w:rPr>
        <w:t>电子签章或电子签字</w:t>
      </w:r>
      <w:r>
        <w:rPr>
          <w:rFonts w:ascii="宋体" w:hAnsi="宋体"/>
          <w:color w:val="auto"/>
          <w:sz w:val="28"/>
          <w:szCs w:val="28"/>
          <w:highlight w:val="none"/>
        </w:rPr>
        <w:t>）</w:t>
      </w:r>
    </w:p>
    <w:p>
      <w:pPr>
        <w:pStyle w:val="166"/>
        <w:spacing w:line="457" w:lineRule="exact"/>
        <w:ind w:left="0" w:right="-71" w:firstLine="0"/>
        <w:jc w:val="center"/>
        <w:rPr>
          <w:rFonts w:hint="eastAsia" w:ascii="宋体" w:hAnsi="宋体"/>
          <w:color w:val="auto"/>
          <w:sz w:val="36"/>
          <w:szCs w:val="36"/>
          <w:highlight w:val="none"/>
        </w:rPr>
      </w:pPr>
      <w:r>
        <w:rPr>
          <w:rFonts w:hint="eastAsia" w:ascii="宋体" w:hAnsi="宋体" w:eastAsia="宋体"/>
          <w:b w:val="0"/>
          <w:bCs w:val="0"/>
          <w:color w:val="auto"/>
          <w:sz w:val="28"/>
          <w:szCs w:val="28"/>
          <w:highlight w:val="none"/>
        </w:rPr>
        <w:t>日期：</w:t>
      </w:r>
      <w:r>
        <w:rPr>
          <w:rFonts w:hint="eastAsia" w:ascii="宋体" w:hAnsi="宋体"/>
          <w:b w:val="0"/>
          <w:bCs w:val="0"/>
          <w:color w:val="auto"/>
          <w:sz w:val="28"/>
          <w:szCs w:val="28"/>
          <w:highlight w:val="none"/>
          <w:u w:val="single"/>
        </w:rPr>
        <w:t xml:space="preserve">       </w:t>
      </w:r>
      <w:r>
        <w:rPr>
          <w:rFonts w:ascii="宋体" w:hAnsi="宋体"/>
          <w:b w:val="0"/>
          <w:bCs w:val="0"/>
          <w:color w:val="auto"/>
          <w:sz w:val="28"/>
          <w:szCs w:val="28"/>
          <w:highlight w:val="none"/>
        </w:rPr>
        <w:t>年</w:t>
      </w:r>
      <w:r>
        <w:rPr>
          <w:rFonts w:hint="eastAsia" w:ascii="宋体" w:hAnsi="宋体"/>
          <w:b w:val="0"/>
          <w:bCs w:val="0"/>
          <w:color w:val="auto"/>
          <w:sz w:val="28"/>
          <w:szCs w:val="28"/>
          <w:highlight w:val="none"/>
          <w:u w:val="single"/>
        </w:rPr>
        <w:t xml:space="preserve">       </w:t>
      </w:r>
      <w:r>
        <w:rPr>
          <w:rFonts w:ascii="宋体" w:hAnsi="宋体"/>
          <w:b w:val="0"/>
          <w:bCs w:val="0"/>
          <w:color w:val="auto"/>
          <w:sz w:val="28"/>
          <w:szCs w:val="28"/>
          <w:highlight w:val="none"/>
        </w:rPr>
        <w:t>月</w:t>
      </w:r>
      <w:r>
        <w:rPr>
          <w:rFonts w:hint="eastAsia" w:ascii="宋体" w:hAnsi="宋体"/>
          <w:b w:val="0"/>
          <w:bCs w:val="0"/>
          <w:color w:val="auto"/>
          <w:sz w:val="28"/>
          <w:szCs w:val="28"/>
          <w:highlight w:val="none"/>
        </w:rPr>
        <w:t xml:space="preserve"> </w:t>
      </w:r>
      <w:r>
        <w:rPr>
          <w:rFonts w:hint="eastAsia" w:ascii="宋体" w:hAnsi="宋体"/>
          <w:b w:val="0"/>
          <w:bCs w:val="0"/>
          <w:color w:val="auto"/>
          <w:sz w:val="28"/>
          <w:szCs w:val="28"/>
          <w:highlight w:val="none"/>
          <w:u w:val="single"/>
        </w:rPr>
        <w:t xml:space="preserve">     </w:t>
      </w:r>
      <w:r>
        <w:rPr>
          <w:rFonts w:ascii="宋体" w:hAnsi="宋体"/>
          <w:b w:val="0"/>
          <w:bCs w:val="0"/>
          <w:color w:val="auto"/>
          <w:sz w:val="28"/>
          <w:szCs w:val="28"/>
          <w:highlight w:val="none"/>
        </w:rPr>
        <w:t>日</w:t>
      </w:r>
      <w:r>
        <w:rPr>
          <w:rFonts w:ascii="宋体" w:hAnsi="宋体"/>
          <w:color w:val="auto"/>
          <w:sz w:val="36"/>
          <w:szCs w:val="36"/>
          <w:highlight w:val="none"/>
        </w:rPr>
        <w:br w:type="page"/>
      </w:r>
    </w:p>
    <w:p>
      <w:pPr>
        <w:pStyle w:val="166"/>
        <w:spacing w:line="457" w:lineRule="exact"/>
        <w:ind w:left="0" w:right="-71" w:firstLine="0"/>
        <w:rPr>
          <w:rFonts w:hint="eastAsia" w:ascii="宋体" w:hAnsi="宋体"/>
          <w:color w:val="auto"/>
          <w:sz w:val="36"/>
          <w:szCs w:val="36"/>
          <w:highlight w:val="none"/>
        </w:rPr>
      </w:pPr>
    </w:p>
    <w:p>
      <w:pPr>
        <w:spacing w:line="360" w:lineRule="auto"/>
        <w:jc w:val="center"/>
        <w:rPr>
          <w:rFonts w:hint="eastAsia" w:ascii="仿宋" w:hAnsi="仿宋" w:eastAsia="仿宋" w:cs="仿宋"/>
          <w:b/>
          <w:bCs/>
          <w:color w:val="auto"/>
          <w:sz w:val="32"/>
          <w:szCs w:val="32"/>
          <w:highlight w:val="none"/>
        </w:rPr>
      </w:pPr>
      <w:bookmarkStart w:id="53" w:name="_Toc118109513"/>
      <w:r>
        <w:rPr>
          <w:rFonts w:hint="eastAsia" w:ascii="仿宋" w:hAnsi="仿宋" w:eastAsia="仿宋" w:cs="仿宋"/>
          <w:b/>
          <w:bCs/>
          <w:color w:val="auto"/>
          <w:sz w:val="32"/>
          <w:szCs w:val="32"/>
          <w:highlight w:val="none"/>
        </w:rPr>
        <w:t>开 标 一 览 表</w:t>
      </w:r>
    </w:p>
    <w:p>
      <w:pPr>
        <w:spacing w:line="360" w:lineRule="auto"/>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rPr>
        <w:t>项目名称：</w:t>
      </w:r>
      <w:r>
        <w:rPr>
          <w:rFonts w:hint="eastAsia" w:ascii="仿宋" w:hAnsi="仿宋" w:eastAsia="仿宋" w:cs="仿宋"/>
          <w:b/>
          <w:bCs/>
          <w:color w:val="auto"/>
          <w:sz w:val="24"/>
          <w:szCs w:val="24"/>
          <w:highlight w:val="none"/>
          <w:lang w:val="en-US" w:eastAsia="zh-CN"/>
        </w:rPr>
        <w:t xml:space="preserve"> </w:t>
      </w:r>
    </w:p>
    <w:p>
      <w:pPr>
        <w:spacing w:line="360" w:lineRule="auto"/>
        <w:rPr>
          <w:rFonts w:hint="eastAsia" w:ascii="仿宋" w:hAnsi="仿宋" w:eastAsia="仿宋" w:cs="仿宋"/>
          <w:b/>
          <w:bCs/>
          <w:color w:val="auto"/>
          <w:sz w:val="24"/>
          <w:szCs w:val="24"/>
          <w:highlight w:val="none"/>
          <w:u w:val="single"/>
          <w:lang w:eastAsia="zh-CN"/>
        </w:rPr>
      </w:pPr>
      <w:r>
        <w:rPr>
          <w:rFonts w:hint="eastAsia" w:ascii="仿宋" w:hAnsi="仿宋" w:eastAsia="仿宋" w:cs="仿宋"/>
          <w:b/>
          <w:bCs/>
          <w:color w:val="auto"/>
          <w:sz w:val="24"/>
          <w:szCs w:val="24"/>
          <w:highlight w:val="none"/>
        </w:rPr>
        <w:t>项目编号：</w:t>
      </w:r>
    </w:p>
    <w:tbl>
      <w:tblPr>
        <w:tblStyle w:val="37"/>
        <w:tblW w:w="94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39"/>
        <w:gridCol w:w="1766"/>
        <w:gridCol w:w="1182"/>
        <w:gridCol w:w="1500"/>
        <w:gridCol w:w="217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10" w:hRule="atLeast"/>
          <w:jc w:val="center"/>
        </w:trPr>
        <w:tc>
          <w:tcPr>
            <w:tcW w:w="2839" w:type="dxa"/>
            <w:vAlign w:val="center"/>
          </w:tcPr>
          <w:p>
            <w:pP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投标总价</w:t>
            </w:r>
          </w:p>
          <w:p>
            <w:pP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（元）</w:t>
            </w:r>
          </w:p>
        </w:tc>
        <w:tc>
          <w:tcPr>
            <w:tcW w:w="1766" w:type="dxa"/>
            <w:vAlign w:val="center"/>
          </w:tcPr>
          <w:p>
            <w:pPr>
              <w:spacing w:line="360" w:lineRule="auto"/>
              <w:ind w:firstLine="2" w:firstLineChars="1"/>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服务期限</w:t>
            </w:r>
          </w:p>
        </w:tc>
        <w:tc>
          <w:tcPr>
            <w:tcW w:w="1182" w:type="dxa"/>
            <w:vAlign w:val="center"/>
          </w:tcPr>
          <w:p>
            <w:pPr>
              <w:spacing w:line="360" w:lineRule="auto"/>
              <w:ind w:firstLine="2" w:firstLineChars="1"/>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服务地点</w:t>
            </w:r>
          </w:p>
        </w:tc>
        <w:tc>
          <w:tcPr>
            <w:tcW w:w="1500" w:type="dxa"/>
            <w:vAlign w:val="center"/>
          </w:tcPr>
          <w:p>
            <w:pPr>
              <w:spacing w:line="360" w:lineRule="auto"/>
              <w:ind w:firstLine="2" w:firstLineChars="1"/>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服务承诺</w:t>
            </w:r>
          </w:p>
        </w:tc>
        <w:tc>
          <w:tcPr>
            <w:tcW w:w="2177" w:type="dxa"/>
            <w:vAlign w:val="center"/>
          </w:tcPr>
          <w:p>
            <w:pPr>
              <w:spacing w:line="360" w:lineRule="auto"/>
              <w:ind w:firstLine="2" w:firstLineChars="1"/>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622" w:hRule="atLeast"/>
          <w:jc w:val="center"/>
        </w:trPr>
        <w:tc>
          <w:tcPr>
            <w:tcW w:w="2839" w:type="dxa"/>
            <w:vAlign w:val="center"/>
          </w:tcPr>
          <w:p>
            <w:pPr>
              <w:spacing w:line="480" w:lineRule="auto"/>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小写：</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元；</w:t>
            </w:r>
          </w:p>
          <w:p>
            <w:pPr>
              <w:spacing w:line="480" w:lineRule="auto"/>
              <w:jc w:val="both"/>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大写：</w:t>
            </w:r>
            <w:r>
              <w:rPr>
                <w:rFonts w:hint="eastAsia" w:ascii="仿宋" w:hAnsi="仿宋" w:eastAsia="仿宋" w:cs="仿宋"/>
                <w:color w:val="auto"/>
                <w:sz w:val="24"/>
                <w:szCs w:val="24"/>
                <w:highlight w:val="none"/>
                <w:lang w:val="en-US" w:eastAsia="zh-CN"/>
              </w:rPr>
              <w:t xml:space="preserve">    </w:t>
            </w:r>
          </w:p>
        </w:tc>
        <w:tc>
          <w:tcPr>
            <w:tcW w:w="1766" w:type="dxa"/>
            <w:vAlign w:val="center"/>
          </w:tcPr>
          <w:p>
            <w:pPr>
              <w:jc w:val="center"/>
              <w:rPr>
                <w:rFonts w:hint="eastAsia" w:ascii="仿宋" w:hAnsi="仿宋" w:eastAsia="仿宋" w:cs="仿宋"/>
                <w:color w:val="auto"/>
                <w:sz w:val="24"/>
                <w:szCs w:val="24"/>
                <w:highlight w:val="none"/>
              </w:rPr>
            </w:pPr>
          </w:p>
        </w:tc>
        <w:tc>
          <w:tcPr>
            <w:tcW w:w="1182" w:type="dxa"/>
            <w:vAlign w:val="center"/>
          </w:tcPr>
          <w:p>
            <w:pPr>
              <w:pStyle w:val="20"/>
              <w:spacing w:line="360" w:lineRule="auto"/>
              <w:jc w:val="center"/>
              <w:rPr>
                <w:rFonts w:hint="eastAsia" w:ascii="仿宋" w:hAnsi="仿宋" w:eastAsia="仿宋" w:cs="仿宋"/>
                <w:color w:val="auto"/>
                <w:sz w:val="24"/>
                <w:szCs w:val="24"/>
                <w:highlight w:val="none"/>
              </w:rPr>
            </w:pPr>
          </w:p>
        </w:tc>
        <w:tc>
          <w:tcPr>
            <w:tcW w:w="1500" w:type="dxa"/>
            <w:vAlign w:val="center"/>
          </w:tcPr>
          <w:p>
            <w:pPr>
              <w:pStyle w:val="20"/>
              <w:spacing w:line="360" w:lineRule="auto"/>
              <w:jc w:val="center"/>
              <w:rPr>
                <w:rFonts w:hint="eastAsia" w:ascii="仿宋" w:hAnsi="仿宋" w:eastAsia="仿宋" w:cs="仿宋"/>
                <w:color w:val="auto"/>
                <w:sz w:val="24"/>
                <w:szCs w:val="24"/>
                <w:highlight w:val="none"/>
              </w:rPr>
            </w:pPr>
          </w:p>
        </w:tc>
        <w:tc>
          <w:tcPr>
            <w:tcW w:w="2177" w:type="dxa"/>
            <w:vAlign w:val="center"/>
          </w:tcPr>
          <w:p>
            <w:pPr>
              <w:pStyle w:val="20"/>
              <w:spacing w:line="360" w:lineRule="auto"/>
              <w:jc w:val="center"/>
              <w:rPr>
                <w:rFonts w:hint="eastAsia" w:ascii="仿宋" w:hAnsi="仿宋" w:eastAsia="仿宋" w:cs="仿宋"/>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622" w:hRule="atLeast"/>
          <w:jc w:val="center"/>
        </w:trPr>
        <w:tc>
          <w:tcPr>
            <w:tcW w:w="9464" w:type="dxa"/>
            <w:gridSpan w:val="5"/>
            <w:vAlign w:val="center"/>
          </w:tcPr>
          <w:p>
            <w:pPr>
              <w:spacing w:line="360" w:lineRule="auto"/>
              <w:ind w:firstLine="2" w:firstLineChars="1"/>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投标人：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（电子签章）</w:t>
            </w:r>
          </w:p>
          <w:p>
            <w:pPr>
              <w:spacing w:line="360" w:lineRule="auto"/>
              <w:ind w:firstLine="2" w:firstLineChars="1"/>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法定代表人：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（电子签章）</w:t>
            </w:r>
          </w:p>
          <w:p>
            <w:pPr>
              <w:spacing w:line="360" w:lineRule="auto"/>
              <w:ind w:firstLine="480" w:firstLineChars="200"/>
              <w:jc w:val="left"/>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月</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日</w:t>
            </w:r>
          </w:p>
        </w:tc>
      </w:tr>
    </w:tbl>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注：1. 表中“投标总价”应与“投标函”中“投标总报价”一致。</w:t>
      </w:r>
    </w:p>
    <w:p>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 此表应放于投标文件封面后第一页。</w:t>
      </w:r>
    </w:p>
    <w:p>
      <w:pPr>
        <w:spacing w:line="360" w:lineRule="auto"/>
        <w:ind w:firstLine="120" w:firstLineChars="5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3. 本表应电子签章，法定代表人应电子签章。</w:t>
      </w:r>
    </w:p>
    <w:p>
      <w:pP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br w:type="page"/>
      </w:r>
    </w:p>
    <w:p>
      <w:pPr>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投标文件目录</w:t>
      </w:r>
    </w:p>
    <w:p>
      <w:pPr>
        <w:pStyle w:val="16"/>
        <w:rPr>
          <w:rFonts w:hint="eastAsia" w:ascii="仿宋" w:hAnsi="仿宋" w:eastAsia="仿宋" w:cs="仿宋"/>
          <w:color w:val="auto"/>
          <w:highlight w:val="none"/>
        </w:rPr>
      </w:pPr>
    </w:p>
    <w:p>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（格式自拟）</w:t>
      </w:r>
    </w:p>
    <w:p>
      <w:pPr>
        <w:rPr>
          <w:rFonts w:hint="eastAsia" w:ascii="仿宋" w:hAnsi="仿宋" w:eastAsia="仿宋" w:cs="仿宋"/>
          <w:color w:val="auto"/>
          <w:highlight w:val="none"/>
        </w:rPr>
      </w:pPr>
      <w:r>
        <w:rPr>
          <w:rFonts w:hint="eastAsia" w:ascii="仿宋" w:hAnsi="仿宋" w:eastAsia="仿宋" w:cs="仿宋"/>
          <w:b/>
          <w:bCs/>
          <w:color w:val="auto"/>
          <w:highlight w:val="none"/>
        </w:rPr>
        <w:t>注：目录须按照投标文件内容顺序进行编制，并每页连续标注页码。</w:t>
      </w:r>
    </w:p>
    <w:p>
      <w:pPr>
        <w:autoSpaceDE w:val="0"/>
        <w:autoSpaceDN w:val="0"/>
        <w:adjustRightInd w:val="0"/>
        <w:spacing w:line="360" w:lineRule="auto"/>
        <w:jc w:val="left"/>
        <w:rPr>
          <w:rFonts w:hint="eastAsia" w:ascii="仿宋" w:hAnsi="仿宋" w:eastAsia="仿宋" w:cs="仿宋"/>
          <w:b/>
          <w:bCs/>
          <w:color w:val="auto"/>
          <w:sz w:val="28"/>
          <w:szCs w:val="28"/>
          <w:highlight w:val="none"/>
        </w:rPr>
      </w:pPr>
    </w:p>
    <w:p>
      <w:pPr>
        <w:rPr>
          <w:rFonts w:hint="eastAsia" w:ascii="仿宋" w:hAnsi="仿宋" w:eastAsia="仿宋" w:cs="仿宋"/>
          <w:color w:val="auto"/>
          <w:highlight w:val="none"/>
        </w:rPr>
      </w:pPr>
      <w:r>
        <w:rPr>
          <w:rFonts w:hint="eastAsia" w:ascii="仿宋" w:hAnsi="仿宋" w:eastAsia="仿宋" w:cs="仿宋"/>
          <w:b/>
          <w:bCs/>
          <w:color w:val="auto"/>
          <w:kern w:val="0"/>
          <w:sz w:val="32"/>
          <w:szCs w:val="32"/>
          <w:highlight w:val="none"/>
        </w:rPr>
        <w:br w:type="page"/>
      </w:r>
    </w:p>
    <w:p>
      <w:pPr>
        <w:rPr>
          <w:rFonts w:hint="eastAsia" w:ascii="仿宋" w:hAnsi="仿宋" w:eastAsia="仿宋" w:cs="仿宋"/>
          <w:color w:val="auto"/>
          <w:highlight w:val="none"/>
        </w:rPr>
      </w:pPr>
    </w:p>
    <w:p>
      <w:pPr>
        <w:rPr>
          <w:rFonts w:hint="eastAsia" w:ascii="仿宋" w:hAnsi="仿宋" w:eastAsia="仿宋" w:cs="仿宋"/>
          <w:color w:val="auto"/>
          <w:highlight w:val="none"/>
        </w:rPr>
      </w:pPr>
    </w:p>
    <w:p>
      <w:pPr>
        <w:rPr>
          <w:rFonts w:hint="eastAsia" w:ascii="仿宋" w:hAnsi="仿宋" w:eastAsia="仿宋" w:cs="仿宋"/>
          <w:color w:val="auto"/>
          <w:highlight w:val="none"/>
        </w:rPr>
      </w:pPr>
    </w:p>
    <w:p>
      <w:pPr>
        <w:rPr>
          <w:rFonts w:hint="eastAsia" w:ascii="仿宋" w:hAnsi="仿宋" w:eastAsia="仿宋" w:cs="仿宋"/>
          <w:color w:val="auto"/>
          <w:highlight w:val="none"/>
        </w:rPr>
      </w:pPr>
    </w:p>
    <w:p>
      <w:pPr>
        <w:rPr>
          <w:rFonts w:hint="eastAsia" w:ascii="仿宋" w:hAnsi="仿宋" w:eastAsia="仿宋" w:cs="仿宋"/>
          <w:color w:val="auto"/>
          <w:highlight w:val="none"/>
        </w:rPr>
      </w:pPr>
    </w:p>
    <w:p>
      <w:pPr>
        <w:rPr>
          <w:rFonts w:hint="eastAsia" w:ascii="仿宋" w:hAnsi="仿宋" w:eastAsia="仿宋" w:cs="仿宋"/>
          <w:color w:val="auto"/>
          <w:highlight w:val="none"/>
        </w:rPr>
      </w:pPr>
    </w:p>
    <w:p>
      <w:pPr>
        <w:rPr>
          <w:rFonts w:hint="eastAsia" w:ascii="仿宋" w:hAnsi="仿宋" w:eastAsia="仿宋" w:cs="仿宋"/>
          <w:color w:val="auto"/>
          <w:highlight w:val="none"/>
        </w:rPr>
      </w:pPr>
    </w:p>
    <w:p>
      <w:pPr>
        <w:rPr>
          <w:rFonts w:hint="eastAsia" w:ascii="仿宋" w:hAnsi="仿宋" w:eastAsia="仿宋" w:cs="仿宋"/>
          <w:color w:val="auto"/>
          <w:highlight w:val="none"/>
        </w:rPr>
      </w:pPr>
    </w:p>
    <w:p>
      <w:pPr>
        <w:rPr>
          <w:rFonts w:hint="eastAsia" w:ascii="仿宋" w:hAnsi="仿宋" w:eastAsia="仿宋" w:cs="仿宋"/>
          <w:color w:val="auto"/>
          <w:highlight w:val="none"/>
        </w:rPr>
      </w:pPr>
    </w:p>
    <w:p>
      <w:pPr>
        <w:rPr>
          <w:rFonts w:hint="eastAsia" w:ascii="仿宋" w:hAnsi="仿宋" w:eastAsia="仿宋" w:cs="仿宋"/>
          <w:color w:val="auto"/>
          <w:highlight w:val="none"/>
        </w:rPr>
      </w:pPr>
    </w:p>
    <w:p>
      <w:pPr>
        <w:rPr>
          <w:rFonts w:hint="eastAsia" w:ascii="仿宋" w:hAnsi="仿宋" w:eastAsia="仿宋" w:cs="仿宋"/>
          <w:color w:val="auto"/>
          <w:highlight w:val="none"/>
        </w:rPr>
      </w:pPr>
    </w:p>
    <w:p>
      <w:pPr>
        <w:rPr>
          <w:rFonts w:hint="eastAsia" w:ascii="仿宋" w:hAnsi="仿宋" w:eastAsia="仿宋" w:cs="仿宋"/>
          <w:color w:val="auto"/>
          <w:highlight w:val="none"/>
        </w:rPr>
      </w:pPr>
    </w:p>
    <w:p>
      <w:pPr>
        <w:rPr>
          <w:rFonts w:hint="eastAsia" w:ascii="仿宋" w:hAnsi="仿宋" w:eastAsia="仿宋" w:cs="仿宋"/>
          <w:color w:val="auto"/>
          <w:highlight w:val="none"/>
        </w:rPr>
      </w:pPr>
    </w:p>
    <w:p>
      <w:pPr>
        <w:rPr>
          <w:rFonts w:hint="eastAsia" w:ascii="仿宋" w:hAnsi="仿宋" w:eastAsia="仿宋" w:cs="仿宋"/>
          <w:color w:val="auto"/>
          <w:highlight w:val="none"/>
        </w:rPr>
      </w:pPr>
    </w:p>
    <w:p>
      <w:pPr>
        <w:jc w:val="center"/>
        <w:outlineLvl w:val="0"/>
        <w:rPr>
          <w:rFonts w:hint="eastAsia" w:ascii="仿宋" w:hAnsi="仿宋" w:eastAsia="仿宋" w:cs="仿宋"/>
          <w:b/>
          <w:color w:val="auto"/>
          <w:sz w:val="44"/>
          <w:szCs w:val="44"/>
          <w:highlight w:val="none"/>
        </w:rPr>
      </w:pPr>
      <w:bookmarkStart w:id="54" w:name="_Toc11052"/>
      <w:bookmarkStart w:id="55" w:name="_Toc6633"/>
      <w:r>
        <w:rPr>
          <w:rFonts w:hint="eastAsia" w:ascii="仿宋" w:hAnsi="仿宋" w:eastAsia="仿宋" w:cs="仿宋"/>
          <w:b/>
          <w:color w:val="auto"/>
          <w:sz w:val="44"/>
          <w:szCs w:val="44"/>
          <w:highlight w:val="none"/>
        </w:rPr>
        <w:t>资格审查部分</w:t>
      </w:r>
      <w:bookmarkEnd w:id="54"/>
      <w:bookmarkEnd w:id="55"/>
    </w:p>
    <w:p>
      <w:pPr>
        <w:rPr>
          <w:rFonts w:hint="eastAsia" w:ascii="仿宋" w:hAnsi="仿宋" w:eastAsia="仿宋" w:cs="仿宋"/>
          <w:color w:val="auto"/>
          <w:highlight w:val="none"/>
        </w:rPr>
      </w:pPr>
      <w:r>
        <w:rPr>
          <w:rFonts w:hint="eastAsia" w:ascii="仿宋" w:hAnsi="仿宋" w:eastAsia="仿宋" w:cs="仿宋"/>
          <w:b/>
          <w:color w:val="auto"/>
          <w:sz w:val="44"/>
          <w:szCs w:val="44"/>
          <w:highlight w:val="none"/>
        </w:rPr>
        <w:br w:type="page"/>
      </w:r>
    </w:p>
    <w:p>
      <w:pPr>
        <w:pStyle w:val="3"/>
        <w:keepNext w:val="0"/>
        <w:numPr>
          <w:ilvl w:val="2"/>
          <w:numId w:val="0"/>
        </w:numPr>
        <w:tabs>
          <w:tab w:val="left" w:pos="900"/>
        </w:tabs>
        <w:spacing w:before="0"/>
        <w:ind w:left="851"/>
        <w:jc w:val="center"/>
        <w:rPr>
          <w:rFonts w:hint="eastAsia" w:ascii="仿宋" w:hAnsi="仿宋" w:eastAsia="仿宋" w:cs="仿宋"/>
          <w:color w:val="auto"/>
          <w:highlight w:val="none"/>
        </w:rPr>
      </w:pPr>
      <w:bookmarkStart w:id="56" w:name="_Toc14366"/>
      <w:bookmarkStart w:id="57" w:name="_Toc24076"/>
      <w:r>
        <w:rPr>
          <w:rFonts w:hint="eastAsia" w:ascii="仿宋" w:hAnsi="仿宋" w:eastAsia="仿宋" w:cs="仿宋"/>
          <w:color w:val="auto"/>
          <w:highlight w:val="none"/>
        </w:rPr>
        <w:t>一、具有独立承担民事责任的能力</w:t>
      </w:r>
      <w:bookmarkEnd w:id="56"/>
      <w:bookmarkEnd w:id="57"/>
    </w:p>
    <w:p>
      <w:pPr>
        <w:spacing w:line="360" w:lineRule="auto"/>
        <w:ind w:firstLine="480" w:firstLineChars="200"/>
        <w:jc w:val="center"/>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提供法人或者其他组织的营业执照</w:t>
      </w:r>
      <w:r>
        <w:rPr>
          <w:rFonts w:hint="eastAsia" w:ascii="仿宋" w:hAnsi="仿宋" w:eastAsia="仿宋" w:cs="仿宋"/>
          <w:color w:val="auto"/>
          <w:sz w:val="24"/>
          <w:szCs w:val="24"/>
          <w:highlight w:val="none"/>
          <w:lang w:val="en-US" w:eastAsia="zh-CN"/>
        </w:rPr>
        <w:t>或者自然人身份证</w:t>
      </w:r>
      <w:r>
        <w:rPr>
          <w:rFonts w:hint="eastAsia" w:ascii="仿宋" w:hAnsi="仿宋" w:eastAsia="仿宋" w:cs="仿宋"/>
          <w:color w:val="auto"/>
          <w:sz w:val="24"/>
          <w:szCs w:val="24"/>
          <w:highlight w:val="none"/>
        </w:rPr>
        <w:t>等证明文件。</w:t>
      </w:r>
    </w:p>
    <w:p>
      <w:pPr>
        <w:pStyle w:val="20"/>
        <w:tabs>
          <w:tab w:val="left" w:pos="5580"/>
        </w:tabs>
        <w:spacing w:line="360" w:lineRule="auto"/>
        <w:ind w:left="1080" w:leftChars="257" w:hanging="540"/>
        <w:rPr>
          <w:rFonts w:hint="eastAsia" w:ascii="仿宋" w:hAnsi="仿宋" w:eastAsia="仿宋" w:cs="仿宋"/>
          <w:color w:val="auto"/>
          <w:sz w:val="24"/>
          <w:szCs w:val="24"/>
          <w:highlight w:val="none"/>
        </w:rPr>
      </w:pPr>
    </w:p>
    <w:p>
      <w:pPr>
        <w:pStyle w:val="3"/>
        <w:keepNext w:val="0"/>
        <w:numPr>
          <w:ilvl w:val="2"/>
          <w:numId w:val="0"/>
        </w:numPr>
        <w:tabs>
          <w:tab w:val="left" w:pos="900"/>
        </w:tabs>
        <w:spacing w:before="0"/>
        <w:ind w:left="851"/>
        <w:jc w:val="center"/>
        <w:rPr>
          <w:rFonts w:hint="eastAsia" w:ascii="仿宋" w:hAnsi="仿宋" w:eastAsia="仿宋" w:cs="仿宋"/>
          <w:color w:val="auto"/>
          <w:highlight w:val="none"/>
        </w:rPr>
      </w:pPr>
      <w:bookmarkStart w:id="58" w:name="_Toc9575"/>
      <w:bookmarkStart w:id="59" w:name="_Toc8326"/>
      <w:r>
        <w:rPr>
          <w:rFonts w:hint="eastAsia" w:ascii="仿宋" w:hAnsi="仿宋" w:eastAsia="仿宋" w:cs="仿宋"/>
          <w:color w:val="auto"/>
          <w:highlight w:val="none"/>
        </w:rPr>
        <w:t>二、具有良好的商业信誉和健全的财务会计制度</w:t>
      </w:r>
      <w:bookmarkEnd w:id="58"/>
      <w:bookmarkEnd w:id="59"/>
    </w:p>
    <w:p>
      <w:pPr>
        <w:spacing w:line="360" w:lineRule="auto"/>
        <w:ind w:firstLine="480" w:firstLineChars="200"/>
        <w:jc w:val="left"/>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①商业信誉：在国家企业信用信息公示系统（www.gsxt.gov.cn）中未出现列入严重违法失信企业名单（黑名单），由采购代理机构在开标前查询所有投标人的情况；</w:t>
      </w:r>
    </w:p>
    <w:p>
      <w:pPr>
        <w:pStyle w:val="172"/>
        <w:ind w:firstLine="480" w:firstLineChars="200"/>
        <w:jc w:val="center"/>
        <w:rPr>
          <w:rFonts w:hint="eastAsia" w:ascii="仿宋" w:hAnsi="仿宋" w:eastAsia="仿宋" w:cs="仿宋"/>
          <w:color w:val="auto"/>
          <w:sz w:val="24"/>
          <w:szCs w:val="24"/>
          <w:highlight w:val="none"/>
        </w:rPr>
      </w:pPr>
    </w:p>
    <w:p>
      <w:pPr>
        <w:spacing w:line="360" w:lineRule="auto"/>
        <w:ind w:firstLine="480" w:firstLineChars="200"/>
        <w:jc w:val="left"/>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②财务会计制度：</w:t>
      </w:r>
      <w:r>
        <w:rPr>
          <w:rFonts w:hint="eastAsia" w:ascii="仿宋" w:hAnsi="仿宋" w:eastAsia="仿宋" w:cs="仿宋"/>
          <w:color w:val="auto"/>
          <w:sz w:val="24"/>
          <w:szCs w:val="24"/>
          <w:highlight w:val="none"/>
          <w:lang w:eastAsia="zh-CN"/>
        </w:rPr>
        <w:t>提供经第三方审计机构审计的</w:t>
      </w:r>
      <w:r>
        <w:rPr>
          <w:rFonts w:hint="eastAsia" w:ascii="仿宋" w:hAnsi="仿宋" w:eastAsia="仿宋" w:cs="仿宋"/>
          <w:color w:val="auto"/>
          <w:sz w:val="24"/>
          <w:szCs w:val="24"/>
          <w:highlight w:val="none"/>
          <w:lang w:val="en-US" w:eastAsia="zh-CN"/>
        </w:rPr>
        <w:t>2021-2023年度任意一年</w:t>
      </w:r>
      <w:r>
        <w:rPr>
          <w:rFonts w:hint="eastAsia" w:ascii="仿宋" w:hAnsi="仿宋" w:eastAsia="仿宋" w:cs="仿宋"/>
          <w:color w:val="auto"/>
          <w:sz w:val="24"/>
          <w:szCs w:val="24"/>
          <w:highlight w:val="none"/>
          <w:lang w:eastAsia="zh-CN"/>
        </w:rPr>
        <w:t>的财务状况审计报告，未经第三方审计的供应商或成立年限不足1年的供应商可提供基本开户银行出具的资信证明（新成立的公司提供情况说明不列入废标条款）</w:t>
      </w:r>
      <w:r>
        <w:rPr>
          <w:rFonts w:hint="eastAsia" w:ascii="仿宋" w:hAnsi="仿宋" w:eastAsia="仿宋" w:cs="仿宋"/>
          <w:color w:val="auto"/>
          <w:sz w:val="24"/>
          <w:szCs w:val="24"/>
          <w:highlight w:val="none"/>
        </w:rPr>
        <w:t>。</w:t>
      </w:r>
    </w:p>
    <w:p>
      <w:pPr>
        <w:pStyle w:val="172"/>
        <w:ind w:firstLine="480" w:firstLineChars="200"/>
        <w:rPr>
          <w:rFonts w:hint="eastAsia" w:ascii="仿宋" w:hAnsi="仿宋" w:eastAsia="仿宋" w:cs="仿宋"/>
          <w:color w:val="auto"/>
          <w:sz w:val="24"/>
          <w:szCs w:val="24"/>
          <w:highlight w:val="none"/>
        </w:rPr>
      </w:pPr>
    </w:p>
    <w:p>
      <w:pPr>
        <w:pStyle w:val="3"/>
        <w:keepNext w:val="0"/>
        <w:numPr>
          <w:ilvl w:val="2"/>
          <w:numId w:val="0"/>
        </w:numPr>
        <w:tabs>
          <w:tab w:val="left" w:pos="900"/>
        </w:tabs>
        <w:spacing w:before="0"/>
        <w:ind w:left="851"/>
        <w:jc w:val="center"/>
        <w:rPr>
          <w:rFonts w:hint="eastAsia" w:ascii="仿宋" w:hAnsi="仿宋" w:eastAsia="仿宋" w:cs="仿宋"/>
          <w:color w:val="auto"/>
          <w:highlight w:val="none"/>
        </w:rPr>
      </w:pPr>
      <w:bookmarkStart w:id="60" w:name="_Toc28416"/>
      <w:bookmarkStart w:id="61" w:name="_Toc2231"/>
      <w:r>
        <w:rPr>
          <w:rFonts w:hint="eastAsia" w:ascii="仿宋" w:hAnsi="仿宋" w:eastAsia="仿宋" w:cs="仿宋"/>
          <w:color w:val="auto"/>
          <w:highlight w:val="none"/>
        </w:rPr>
        <w:t>三、具有履行合同所必需的设备和专业技术能力</w:t>
      </w:r>
      <w:bookmarkEnd w:id="60"/>
      <w:bookmarkEnd w:id="61"/>
    </w:p>
    <w:p>
      <w:pPr>
        <w:spacing w:line="360" w:lineRule="auto"/>
        <w:ind w:firstLine="480" w:firstLineChars="200"/>
        <w:jc w:val="center"/>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提供相关证明材料或书面声明。</w:t>
      </w:r>
    </w:p>
    <w:p>
      <w:pPr>
        <w:pStyle w:val="172"/>
        <w:ind w:firstLine="480" w:firstLineChars="200"/>
        <w:rPr>
          <w:rFonts w:hint="eastAsia" w:ascii="仿宋" w:hAnsi="仿宋" w:eastAsia="仿宋" w:cs="仿宋"/>
          <w:color w:val="auto"/>
          <w:sz w:val="24"/>
          <w:szCs w:val="24"/>
          <w:highlight w:val="none"/>
        </w:rPr>
      </w:pPr>
    </w:p>
    <w:p>
      <w:pPr>
        <w:pStyle w:val="3"/>
        <w:keepNext w:val="0"/>
        <w:numPr>
          <w:ilvl w:val="2"/>
          <w:numId w:val="0"/>
        </w:numPr>
        <w:tabs>
          <w:tab w:val="left" w:pos="900"/>
        </w:tabs>
        <w:spacing w:before="0"/>
        <w:ind w:left="851"/>
        <w:jc w:val="center"/>
        <w:rPr>
          <w:rFonts w:hint="eastAsia" w:ascii="仿宋" w:hAnsi="仿宋" w:eastAsia="仿宋" w:cs="仿宋"/>
          <w:color w:val="auto"/>
          <w:highlight w:val="none"/>
        </w:rPr>
      </w:pPr>
      <w:bookmarkStart w:id="62" w:name="_Toc25155"/>
      <w:bookmarkStart w:id="63" w:name="_Toc15994"/>
      <w:r>
        <w:rPr>
          <w:rFonts w:hint="eastAsia" w:ascii="仿宋" w:hAnsi="仿宋" w:eastAsia="仿宋" w:cs="仿宋"/>
          <w:color w:val="auto"/>
          <w:highlight w:val="none"/>
        </w:rPr>
        <w:t>四、具有依法缴纳税收和社会保障资金的良好记录</w:t>
      </w:r>
      <w:bookmarkEnd w:id="62"/>
      <w:bookmarkEnd w:id="63"/>
    </w:p>
    <w:p>
      <w:pPr>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①提供</w:t>
      </w:r>
      <w:r>
        <w:rPr>
          <w:rFonts w:hint="eastAsia" w:ascii="仿宋" w:hAnsi="仿宋" w:eastAsia="仿宋" w:cs="仿宋"/>
          <w:color w:val="auto"/>
          <w:sz w:val="24"/>
          <w:szCs w:val="24"/>
          <w:highlight w:val="none"/>
          <w:lang w:eastAsia="zh-CN"/>
        </w:rPr>
        <w:t>2024年01月至今</w:t>
      </w:r>
      <w:r>
        <w:rPr>
          <w:rFonts w:hint="eastAsia" w:ascii="仿宋" w:hAnsi="仿宋" w:eastAsia="仿宋" w:cs="仿宋"/>
          <w:color w:val="auto"/>
          <w:sz w:val="24"/>
          <w:szCs w:val="24"/>
          <w:highlight w:val="none"/>
        </w:rPr>
        <w:t>期间（税款所属时期）</w:t>
      </w:r>
      <w:r>
        <w:rPr>
          <w:rFonts w:hint="eastAsia" w:ascii="仿宋" w:hAnsi="仿宋" w:eastAsia="仿宋" w:cs="仿宋"/>
          <w:color w:val="auto"/>
          <w:sz w:val="24"/>
          <w:szCs w:val="24"/>
          <w:highlight w:val="none"/>
          <w:lang w:eastAsia="zh-CN"/>
        </w:rPr>
        <w:t>任意3个月</w:t>
      </w:r>
      <w:r>
        <w:rPr>
          <w:rFonts w:hint="eastAsia" w:ascii="仿宋" w:hAnsi="仿宋" w:eastAsia="仿宋" w:cs="仿宋"/>
          <w:color w:val="auto"/>
          <w:sz w:val="24"/>
          <w:szCs w:val="24"/>
          <w:highlight w:val="none"/>
        </w:rPr>
        <w:t>的税务局税收通用缴款书复印件或银行电子缴税（费）凭证复印件或税务局出具纳税情况的相关证明复印件(成立未满2个月的提供成立以来的税收缴纳凭证或相关情况说明；依法免税的投标人，应提供相应文件证明其依法免税)；</w:t>
      </w:r>
    </w:p>
    <w:p>
      <w:pPr>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②提供</w:t>
      </w:r>
      <w:r>
        <w:rPr>
          <w:rFonts w:hint="eastAsia" w:ascii="仿宋" w:hAnsi="仿宋" w:eastAsia="仿宋" w:cs="仿宋"/>
          <w:color w:val="auto"/>
          <w:sz w:val="24"/>
          <w:szCs w:val="24"/>
          <w:highlight w:val="none"/>
          <w:lang w:eastAsia="zh-CN"/>
        </w:rPr>
        <w:t>2024年01月至今</w:t>
      </w:r>
      <w:r>
        <w:rPr>
          <w:rFonts w:hint="eastAsia" w:ascii="仿宋" w:hAnsi="仿宋" w:eastAsia="仿宋" w:cs="仿宋"/>
          <w:color w:val="auto"/>
          <w:sz w:val="24"/>
          <w:szCs w:val="24"/>
          <w:highlight w:val="none"/>
        </w:rPr>
        <w:t>期间（费款所属时期）</w:t>
      </w:r>
      <w:r>
        <w:rPr>
          <w:rFonts w:hint="eastAsia" w:ascii="仿宋" w:hAnsi="仿宋" w:eastAsia="仿宋" w:cs="仿宋"/>
          <w:color w:val="auto"/>
          <w:sz w:val="24"/>
          <w:szCs w:val="24"/>
          <w:highlight w:val="none"/>
          <w:lang w:eastAsia="zh-CN"/>
        </w:rPr>
        <w:t>任意3个月</w:t>
      </w:r>
      <w:r>
        <w:rPr>
          <w:rFonts w:hint="eastAsia" w:ascii="仿宋" w:hAnsi="仿宋" w:eastAsia="仿宋" w:cs="仿宋"/>
          <w:color w:val="auto"/>
          <w:sz w:val="24"/>
          <w:szCs w:val="24"/>
          <w:highlight w:val="none"/>
        </w:rPr>
        <w:t>的社会保险费缴款书复印件或银行电子缴税（费）凭证复印件或社保管理部门出具的有效的缴款证明复印件。（成立未满2个月的提供成立以来的社保资金缴纳凭证或相关情况说明；不需要缴纳社会保障资金的投标人，应提供相应文件证明其不需要缴纳社会保障资金)。</w:t>
      </w:r>
    </w:p>
    <w:p>
      <w:pPr>
        <w:pStyle w:val="11"/>
        <w:rPr>
          <w:rFonts w:hint="eastAsia" w:ascii="仿宋" w:hAnsi="仿宋" w:eastAsia="仿宋" w:cs="仿宋"/>
          <w:color w:val="auto"/>
          <w:highlight w:val="none"/>
        </w:rPr>
      </w:pPr>
    </w:p>
    <w:p>
      <w:pPr>
        <w:autoSpaceDE w:val="0"/>
        <w:spacing w:line="360" w:lineRule="auto"/>
        <w:ind w:firstLine="480" w:firstLineChars="200"/>
        <w:rPr>
          <w:rFonts w:hint="eastAsia" w:ascii="仿宋" w:hAnsi="仿宋" w:eastAsia="仿宋" w:cs="仿宋"/>
          <w:color w:val="auto"/>
          <w:sz w:val="24"/>
          <w:szCs w:val="24"/>
          <w:highlight w:val="none"/>
        </w:rPr>
      </w:pPr>
    </w:p>
    <w:p>
      <w:pPr>
        <w:rPr>
          <w:rFonts w:hint="eastAsia" w:ascii="仿宋" w:hAnsi="仿宋" w:eastAsia="仿宋" w:cs="仿宋"/>
          <w:color w:val="auto"/>
          <w:highlight w:val="none"/>
        </w:rPr>
      </w:pPr>
      <w:bookmarkStart w:id="64" w:name="_Toc19205"/>
      <w:r>
        <w:rPr>
          <w:rFonts w:hint="eastAsia" w:ascii="仿宋" w:hAnsi="仿宋" w:eastAsia="仿宋" w:cs="仿宋"/>
          <w:color w:val="auto"/>
          <w:highlight w:val="none"/>
        </w:rPr>
        <w:br w:type="page"/>
      </w:r>
    </w:p>
    <w:p>
      <w:pPr>
        <w:pStyle w:val="3"/>
        <w:keepNext w:val="0"/>
        <w:numPr>
          <w:ilvl w:val="2"/>
          <w:numId w:val="0"/>
        </w:numPr>
        <w:tabs>
          <w:tab w:val="left" w:pos="900"/>
        </w:tabs>
        <w:spacing w:before="0"/>
        <w:ind w:left="851"/>
        <w:jc w:val="center"/>
        <w:rPr>
          <w:rFonts w:hint="eastAsia" w:ascii="仿宋" w:hAnsi="仿宋" w:eastAsia="仿宋" w:cs="仿宋"/>
          <w:color w:val="auto"/>
          <w:highlight w:val="none"/>
        </w:rPr>
      </w:pPr>
      <w:bookmarkStart w:id="65" w:name="_Toc6812"/>
      <w:r>
        <w:rPr>
          <w:rFonts w:hint="eastAsia" w:ascii="仿宋" w:hAnsi="仿宋" w:eastAsia="仿宋" w:cs="仿宋"/>
          <w:color w:val="auto"/>
          <w:highlight w:val="none"/>
        </w:rPr>
        <w:t>五、在经营活动中没有重大违法记录</w:t>
      </w:r>
      <w:bookmarkEnd w:id="64"/>
      <w:bookmarkEnd w:id="65"/>
    </w:p>
    <w:p>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提供参加本次政府采购活动前三年内在经营活动中没有重大违法记录的书面声明。</w:t>
      </w:r>
    </w:p>
    <w:p>
      <w:pPr>
        <w:jc w:val="center"/>
        <w:rPr>
          <w:rFonts w:hint="eastAsia" w:ascii="仿宋" w:hAnsi="仿宋" w:eastAsia="仿宋" w:cs="仿宋"/>
          <w:b/>
          <w:color w:val="auto"/>
          <w:sz w:val="24"/>
          <w:highlight w:val="none"/>
        </w:rPr>
      </w:pPr>
    </w:p>
    <w:p>
      <w:pPr>
        <w:jc w:val="center"/>
        <w:rPr>
          <w:rFonts w:hint="eastAsia" w:ascii="仿宋" w:hAnsi="仿宋" w:eastAsia="仿宋" w:cs="仿宋"/>
          <w:b/>
          <w:color w:val="auto"/>
          <w:sz w:val="24"/>
          <w:highlight w:val="none"/>
        </w:rPr>
      </w:pPr>
    </w:p>
    <w:p>
      <w:pPr>
        <w:jc w:val="center"/>
        <w:rPr>
          <w:rFonts w:hint="eastAsia" w:ascii="仿宋" w:hAnsi="仿宋" w:eastAsia="仿宋" w:cs="仿宋"/>
          <w:b/>
          <w:color w:val="auto"/>
          <w:sz w:val="24"/>
          <w:highlight w:val="none"/>
        </w:rPr>
      </w:pPr>
      <w:r>
        <w:rPr>
          <w:rFonts w:hint="eastAsia" w:ascii="仿宋" w:hAnsi="仿宋" w:eastAsia="仿宋" w:cs="仿宋"/>
          <w:b/>
          <w:color w:val="auto"/>
          <w:sz w:val="24"/>
          <w:highlight w:val="none"/>
        </w:rPr>
        <w:t>声明函</w:t>
      </w:r>
    </w:p>
    <w:p>
      <w:pPr>
        <w:jc w:val="center"/>
        <w:rPr>
          <w:rFonts w:hint="eastAsia" w:ascii="仿宋" w:hAnsi="仿宋" w:eastAsia="仿宋" w:cs="仿宋"/>
          <w:color w:val="auto"/>
          <w:sz w:val="24"/>
          <w:highlight w:val="none"/>
        </w:rPr>
      </w:pPr>
    </w:p>
    <w:p>
      <w:pPr>
        <w:tabs>
          <w:tab w:val="left" w:pos="5580"/>
        </w:tabs>
        <w:spacing w:before="120"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致：</w:t>
      </w:r>
      <w:r>
        <w:rPr>
          <w:rFonts w:hint="eastAsia" w:ascii="仿宋" w:hAnsi="仿宋" w:eastAsia="仿宋" w:cs="仿宋"/>
          <w:color w:val="auto"/>
          <w:sz w:val="24"/>
          <w:highlight w:val="none"/>
          <w:u w:val="single"/>
        </w:rPr>
        <w:t xml:space="preserve">   （采购人）  </w:t>
      </w:r>
    </w:p>
    <w:p>
      <w:pPr>
        <w:tabs>
          <w:tab w:val="left" w:pos="5580"/>
        </w:tabs>
        <w:spacing w:before="120" w:line="360" w:lineRule="auto"/>
        <w:ind w:firstLine="480" w:firstLineChars="200"/>
        <w:rPr>
          <w:rFonts w:hint="eastAsia" w:ascii="仿宋" w:hAnsi="仿宋" w:eastAsia="仿宋" w:cs="仿宋"/>
          <w:color w:val="auto"/>
          <w:sz w:val="24"/>
          <w:highlight w:val="none"/>
        </w:rPr>
      </w:pPr>
    </w:p>
    <w:p>
      <w:pPr>
        <w:tabs>
          <w:tab w:val="left" w:pos="5580"/>
        </w:tabs>
        <w:spacing w:before="120"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我公司郑重承诺在参加本项目政府采购活动前三年内，在经营活动中无重大违法记录。公司未受到行政处罚或责令停业、吊销许可证（或执照）；未处于财产被接管、冻结、破产状况。</w:t>
      </w:r>
    </w:p>
    <w:p>
      <w:pPr>
        <w:tabs>
          <w:tab w:val="left" w:pos="5580"/>
        </w:tabs>
        <w:spacing w:before="120"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特此声明。</w:t>
      </w:r>
    </w:p>
    <w:p>
      <w:pPr>
        <w:ind w:firstLine="1200" w:firstLineChars="500"/>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w:t>
      </w:r>
    </w:p>
    <w:p>
      <w:pPr>
        <w:ind w:firstLine="1205" w:firstLineChars="500"/>
        <w:rPr>
          <w:rFonts w:hint="eastAsia" w:ascii="仿宋" w:hAnsi="仿宋" w:eastAsia="仿宋" w:cs="仿宋"/>
          <w:b/>
          <w:bCs/>
          <w:color w:val="auto"/>
          <w:sz w:val="24"/>
          <w:szCs w:val="24"/>
          <w:highlight w:val="none"/>
        </w:rPr>
      </w:pPr>
    </w:p>
    <w:p>
      <w:pPr>
        <w:ind w:firstLine="1205" w:firstLineChars="500"/>
        <w:rPr>
          <w:rFonts w:hint="eastAsia" w:ascii="仿宋" w:hAnsi="仿宋" w:eastAsia="仿宋" w:cs="仿宋"/>
          <w:b/>
          <w:bCs/>
          <w:color w:val="auto"/>
          <w:sz w:val="24"/>
          <w:szCs w:val="24"/>
          <w:highlight w:val="none"/>
        </w:rPr>
      </w:pPr>
    </w:p>
    <w:p>
      <w:pPr>
        <w:ind w:firstLine="1205" w:firstLineChars="500"/>
        <w:rPr>
          <w:rFonts w:hint="eastAsia" w:ascii="仿宋" w:hAnsi="仿宋" w:eastAsia="仿宋" w:cs="仿宋"/>
          <w:b/>
          <w:bCs/>
          <w:color w:val="auto"/>
          <w:sz w:val="24"/>
          <w:szCs w:val="24"/>
          <w:highlight w:val="none"/>
        </w:rPr>
      </w:pPr>
    </w:p>
    <w:p>
      <w:pPr>
        <w:ind w:firstLine="1205" w:firstLineChars="500"/>
        <w:rPr>
          <w:rFonts w:hint="eastAsia" w:ascii="仿宋" w:hAnsi="仿宋" w:eastAsia="仿宋" w:cs="仿宋"/>
          <w:b/>
          <w:bCs/>
          <w:color w:val="auto"/>
          <w:sz w:val="24"/>
          <w:szCs w:val="24"/>
          <w:highlight w:val="none"/>
        </w:rPr>
      </w:pPr>
    </w:p>
    <w:p>
      <w:pPr>
        <w:ind w:firstLine="1205" w:firstLineChars="500"/>
        <w:rPr>
          <w:rFonts w:hint="eastAsia" w:ascii="仿宋" w:hAnsi="仿宋" w:eastAsia="仿宋" w:cs="仿宋"/>
          <w:b/>
          <w:bCs/>
          <w:color w:val="auto"/>
          <w:sz w:val="24"/>
          <w:szCs w:val="24"/>
          <w:highlight w:val="none"/>
        </w:rPr>
      </w:pPr>
    </w:p>
    <w:p>
      <w:pP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投标人：</w:t>
      </w:r>
      <w:r>
        <w:rPr>
          <w:rFonts w:hint="eastAsia" w:ascii="仿宋" w:hAnsi="仿宋" w:eastAsia="仿宋" w:cs="仿宋"/>
          <w:b/>
          <w:bCs/>
          <w:color w:val="auto"/>
          <w:sz w:val="24"/>
          <w:szCs w:val="24"/>
          <w:highlight w:val="none"/>
          <w:u w:val="single"/>
        </w:rPr>
        <w:tab/>
      </w:r>
      <w:r>
        <w:rPr>
          <w:rFonts w:hint="eastAsia" w:ascii="仿宋" w:hAnsi="仿宋" w:eastAsia="仿宋" w:cs="仿宋"/>
          <w:b/>
          <w:bCs/>
          <w:color w:val="auto"/>
          <w:sz w:val="24"/>
          <w:szCs w:val="24"/>
          <w:highlight w:val="none"/>
          <w:u w:val="single"/>
        </w:rPr>
        <w:t xml:space="preserve">                           </w:t>
      </w:r>
      <w:r>
        <w:rPr>
          <w:rFonts w:hint="eastAsia" w:ascii="仿宋" w:hAnsi="仿宋" w:eastAsia="仿宋" w:cs="仿宋"/>
          <w:b/>
          <w:bCs/>
          <w:color w:val="auto"/>
          <w:sz w:val="24"/>
          <w:szCs w:val="24"/>
          <w:highlight w:val="none"/>
        </w:rPr>
        <w:t>（电子签章）</w:t>
      </w:r>
    </w:p>
    <w:p>
      <w:pP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 </w:t>
      </w:r>
    </w:p>
    <w:p>
      <w:pP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法定代表人：</w:t>
      </w:r>
      <w:r>
        <w:rPr>
          <w:rFonts w:hint="eastAsia" w:ascii="仿宋" w:hAnsi="仿宋" w:eastAsia="仿宋" w:cs="仿宋"/>
          <w:b/>
          <w:bCs/>
          <w:color w:val="auto"/>
          <w:sz w:val="24"/>
          <w:szCs w:val="24"/>
          <w:highlight w:val="none"/>
          <w:u w:val="single"/>
        </w:rPr>
        <w:t xml:space="preserve">                          </w:t>
      </w:r>
      <w:r>
        <w:rPr>
          <w:rFonts w:hint="eastAsia" w:ascii="仿宋" w:hAnsi="仿宋" w:eastAsia="仿宋" w:cs="仿宋"/>
          <w:b/>
          <w:bCs/>
          <w:color w:val="auto"/>
          <w:sz w:val="24"/>
          <w:szCs w:val="24"/>
          <w:highlight w:val="none"/>
        </w:rPr>
        <w:t>（电子签章）</w:t>
      </w:r>
    </w:p>
    <w:p>
      <w:pP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  </w:t>
      </w:r>
    </w:p>
    <w:p>
      <w:pPr>
        <w:rPr>
          <w:rFonts w:hint="eastAsia" w:ascii="仿宋" w:hAnsi="仿宋" w:eastAsia="仿宋" w:cs="仿宋"/>
          <w:color w:val="auto"/>
          <w:highlight w:val="none"/>
        </w:rPr>
      </w:pPr>
      <w:r>
        <w:rPr>
          <w:rFonts w:hint="eastAsia" w:ascii="仿宋" w:hAnsi="仿宋" w:eastAsia="仿宋" w:cs="仿宋"/>
          <w:b/>
          <w:bCs/>
          <w:color w:val="auto"/>
          <w:sz w:val="24"/>
          <w:szCs w:val="24"/>
          <w:highlight w:val="none"/>
        </w:rPr>
        <w:t>日期：</w:t>
      </w:r>
      <w:r>
        <w:rPr>
          <w:rFonts w:hint="eastAsia" w:ascii="仿宋" w:hAnsi="仿宋" w:eastAsia="仿宋" w:cs="仿宋"/>
          <w:b/>
          <w:bCs/>
          <w:color w:val="auto"/>
          <w:sz w:val="24"/>
          <w:szCs w:val="24"/>
          <w:highlight w:val="none"/>
          <w:u w:val="single"/>
        </w:rPr>
        <w:t xml:space="preserve">         </w:t>
      </w:r>
      <w:r>
        <w:rPr>
          <w:rFonts w:hint="eastAsia" w:ascii="仿宋" w:hAnsi="仿宋" w:eastAsia="仿宋" w:cs="仿宋"/>
          <w:b/>
          <w:bCs/>
          <w:color w:val="auto"/>
          <w:sz w:val="24"/>
          <w:szCs w:val="24"/>
          <w:highlight w:val="none"/>
        </w:rPr>
        <w:t xml:space="preserve">年 </w:t>
      </w:r>
      <w:r>
        <w:rPr>
          <w:rFonts w:hint="eastAsia" w:ascii="仿宋" w:hAnsi="仿宋" w:eastAsia="仿宋" w:cs="仿宋"/>
          <w:b/>
          <w:bCs/>
          <w:color w:val="auto"/>
          <w:sz w:val="24"/>
          <w:szCs w:val="24"/>
          <w:highlight w:val="none"/>
          <w:u w:val="single"/>
        </w:rPr>
        <w:tab/>
      </w:r>
      <w:r>
        <w:rPr>
          <w:rFonts w:hint="eastAsia" w:ascii="仿宋" w:hAnsi="仿宋" w:eastAsia="仿宋" w:cs="仿宋"/>
          <w:b/>
          <w:bCs/>
          <w:color w:val="auto"/>
          <w:sz w:val="24"/>
          <w:szCs w:val="24"/>
          <w:highlight w:val="none"/>
          <w:u w:val="single"/>
        </w:rPr>
        <w:t xml:space="preserve"> </w:t>
      </w:r>
      <w:r>
        <w:rPr>
          <w:rFonts w:hint="eastAsia" w:ascii="仿宋" w:hAnsi="仿宋" w:eastAsia="仿宋" w:cs="仿宋"/>
          <w:b/>
          <w:bCs/>
          <w:color w:val="auto"/>
          <w:sz w:val="24"/>
          <w:szCs w:val="24"/>
          <w:highlight w:val="none"/>
        </w:rPr>
        <w:t xml:space="preserve">月 </w:t>
      </w:r>
      <w:r>
        <w:rPr>
          <w:rFonts w:hint="eastAsia" w:ascii="仿宋" w:hAnsi="仿宋" w:eastAsia="仿宋" w:cs="仿宋"/>
          <w:b/>
          <w:bCs/>
          <w:color w:val="auto"/>
          <w:sz w:val="24"/>
          <w:szCs w:val="24"/>
          <w:highlight w:val="none"/>
          <w:u w:val="single"/>
        </w:rPr>
        <w:t xml:space="preserve">   </w:t>
      </w:r>
      <w:r>
        <w:rPr>
          <w:rFonts w:hint="eastAsia" w:ascii="仿宋" w:hAnsi="仿宋" w:eastAsia="仿宋" w:cs="仿宋"/>
          <w:b/>
          <w:bCs/>
          <w:color w:val="auto"/>
          <w:sz w:val="24"/>
          <w:szCs w:val="24"/>
          <w:highlight w:val="none"/>
        </w:rPr>
        <w:t>日</w:t>
      </w:r>
    </w:p>
    <w:p>
      <w:pPr>
        <w:rPr>
          <w:rFonts w:hint="eastAsia" w:ascii="仿宋" w:hAnsi="仿宋" w:eastAsia="仿宋" w:cs="仿宋"/>
          <w:color w:val="auto"/>
          <w:highlight w:val="none"/>
        </w:rPr>
      </w:pPr>
      <w:r>
        <w:rPr>
          <w:rFonts w:hint="eastAsia" w:ascii="仿宋" w:hAnsi="仿宋" w:eastAsia="仿宋" w:cs="仿宋"/>
          <w:color w:val="auto"/>
          <w:highlight w:val="none"/>
        </w:rPr>
        <w:br w:type="page"/>
      </w:r>
    </w:p>
    <w:p>
      <w:pPr>
        <w:pStyle w:val="3"/>
        <w:keepNext w:val="0"/>
        <w:numPr>
          <w:ilvl w:val="2"/>
          <w:numId w:val="0"/>
        </w:numPr>
        <w:tabs>
          <w:tab w:val="left" w:pos="900"/>
        </w:tabs>
        <w:spacing w:before="0"/>
        <w:ind w:left="851"/>
        <w:jc w:val="center"/>
        <w:rPr>
          <w:rFonts w:hint="eastAsia" w:ascii="仿宋" w:hAnsi="仿宋" w:eastAsia="仿宋" w:cs="仿宋"/>
          <w:color w:val="auto"/>
          <w:highlight w:val="none"/>
        </w:rPr>
      </w:pPr>
      <w:bookmarkStart w:id="66" w:name="_Toc29864"/>
      <w:bookmarkStart w:id="67" w:name="_Toc28946"/>
      <w:r>
        <w:rPr>
          <w:rFonts w:hint="eastAsia" w:ascii="仿宋" w:hAnsi="仿宋" w:eastAsia="仿宋" w:cs="仿宋"/>
          <w:color w:val="auto"/>
          <w:highlight w:val="none"/>
        </w:rPr>
        <w:t>六、其他</w:t>
      </w:r>
      <w:bookmarkEnd w:id="66"/>
      <w:bookmarkEnd w:id="67"/>
    </w:p>
    <w:p>
      <w:pPr>
        <w:adjustRightInd w:val="0"/>
        <w:snapToGrid w:val="0"/>
        <w:spacing w:line="360" w:lineRule="auto"/>
        <w:ind w:left="479" w:leftChars="228" w:firstLine="480" w:firstLineChars="200"/>
        <w:jc w:val="center"/>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rPr>
        <w:t>1.本次招标不接受联合体投标。</w:t>
      </w:r>
    </w:p>
    <w:p>
      <w:pPr>
        <w:shd w:val="clear" w:color="auto" w:fill="auto"/>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（提供非联合体承诺或书面声明，格式自拟）</w:t>
      </w:r>
    </w:p>
    <w:p>
      <w:pPr>
        <w:pStyle w:val="46"/>
        <w:rPr>
          <w:rFonts w:hint="eastAsia" w:ascii="仿宋" w:hAnsi="仿宋" w:eastAsia="仿宋" w:cs="仿宋"/>
          <w:color w:val="auto"/>
          <w:highlight w:val="none"/>
        </w:rPr>
      </w:pPr>
    </w:p>
    <w:p>
      <w:pPr>
        <w:pStyle w:val="16"/>
        <w:ind w:firstLine="450" w:firstLineChars="200"/>
        <w:rPr>
          <w:rFonts w:hint="eastAsia" w:ascii="仿宋" w:hAnsi="仿宋" w:eastAsia="仿宋" w:cs="仿宋"/>
          <w:b/>
          <w:color w:val="auto"/>
          <w:sz w:val="24"/>
          <w:highlight w:val="none"/>
        </w:rPr>
      </w:pPr>
    </w:p>
    <w:p>
      <w:pPr>
        <w:ind w:firstLine="960" w:firstLineChars="400"/>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.单位负责人为同一人或者存在直接控股、管理关系的不同投标人，不得参加同一合同项下的政府采购活动。</w:t>
      </w:r>
    </w:p>
    <w:p>
      <w:pPr>
        <w:spacing w:line="360" w:lineRule="auto"/>
        <w:ind w:left="479" w:leftChars="228" w:firstLine="482" w:firstLineChars="200"/>
        <w:jc w:val="center"/>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（提供承诺或书面声明，格式自拟）</w:t>
      </w:r>
    </w:p>
    <w:p>
      <w:pPr>
        <w:ind w:firstLine="960" w:firstLineChars="40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3.为采购项目提供整体设计、规范编制或者项目管理、监理、检测等服务的供应商，不得再参加该采购项目的其他采购活动。</w:t>
      </w:r>
    </w:p>
    <w:p>
      <w:pPr>
        <w:spacing w:line="360" w:lineRule="auto"/>
        <w:ind w:left="479" w:leftChars="228" w:firstLine="482" w:firstLineChars="200"/>
        <w:jc w:val="center"/>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（提供承诺或书面声明，格式自拟）</w:t>
      </w:r>
    </w:p>
    <w:p>
      <w:pPr>
        <w:spacing w:line="500" w:lineRule="exact"/>
        <w:ind w:firstLine="960" w:firstLineChars="4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.投标人认为需要提交的其他资格证明材料。</w:t>
      </w:r>
    </w:p>
    <w:p>
      <w:pPr>
        <w:spacing w:line="360" w:lineRule="auto"/>
        <w:ind w:left="479" w:leftChars="228" w:firstLine="482" w:firstLineChars="200"/>
        <w:jc w:val="center"/>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（格式自拟）</w:t>
      </w:r>
    </w:p>
    <w:p>
      <w:pPr>
        <w:spacing w:line="500" w:lineRule="exact"/>
        <w:ind w:firstLine="964" w:firstLineChars="400"/>
        <w:rPr>
          <w:rFonts w:hint="eastAsia" w:ascii="仿宋" w:hAnsi="仿宋" w:eastAsia="仿宋" w:cs="仿宋"/>
          <w:b/>
          <w:bCs/>
          <w:color w:val="auto"/>
          <w:sz w:val="24"/>
          <w:szCs w:val="24"/>
          <w:highlight w:val="none"/>
        </w:rPr>
      </w:pPr>
    </w:p>
    <w:p>
      <w:pPr>
        <w:pStyle w:val="3"/>
        <w:keepNext w:val="0"/>
        <w:numPr>
          <w:ilvl w:val="2"/>
          <w:numId w:val="0"/>
        </w:numPr>
        <w:tabs>
          <w:tab w:val="left" w:pos="900"/>
        </w:tabs>
        <w:spacing w:before="0"/>
        <w:ind w:left="851"/>
        <w:jc w:val="center"/>
        <w:rPr>
          <w:rFonts w:hint="eastAsia" w:ascii="仿宋" w:hAnsi="仿宋" w:eastAsia="仿宋" w:cs="仿宋"/>
          <w:color w:val="auto"/>
          <w:highlight w:val="none"/>
        </w:rPr>
      </w:pPr>
      <w:bookmarkStart w:id="68" w:name="_Toc9759"/>
      <w:bookmarkStart w:id="69" w:name="_Toc10013"/>
      <w:r>
        <w:rPr>
          <w:rFonts w:hint="eastAsia" w:ascii="仿宋" w:hAnsi="仿宋" w:eastAsia="仿宋" w:cs="仿宋"/>
          <w:color w:val="auto"/>
          <w:highlight w:val="none"/>
        </w:rPr>
        <w:t>七、特定条件</w:t>
      </w:r>
      <w:bookmarkEnd w:id="68"/>
      <w:bookmarkEnd w:id="69"/>
    </w:p>
    <w:p>
      <w:pPr>
        <w:spacing w:line="500" w:lineRule="exact"/>
        <w:ind w:firstLine="960" w:firstLineChars="400"/>
        <w:rPr>
          <w:rFonts w:hint="eastAsia" w:ascii="仿宋" w:hAnsi="仿宋" w:eastAsia="仿宋" w:cs="仿宋"/>
          <w:color w:val="auto"/>
          <w:sz w:val="24"/>
          <w:highlight w:val="none"/>
        </w:rPr>
      </w:pPr>
      <w:bookmarkStart w:id="70" w:name="_Toc9626"/>
      <w:bookmarkStart w:id="71" w:name="_Toc20945"/>
      <w:bookmarkStart w:id="72" w:name="_Toc1502"/>
      <w:bookmarkStart w:id="73" w:name="_Toc9738"/>
      <w:bookmarkStart w:id="74" w:name="_Toc837"/>
      <w:bookmarkStart w:id="75" w:name="_Toc24659"/>
      <w:bookmarkStart w:id="76" w:name="_Toc26302"/>
      <w:r>
        <w:rPr>
          <w:rFonts w:hint="eastAsia" w:ascii="仿宋" w:hAnsi="仿宋" w:eastAsia="仿宋" w:cs="仿宋"/>
          <w:color w:val="auto"/>
          <w:sz w:val="24"/>
          <w:highlight w:val="none"/>
        </w:rPr>
        <w:t>详见资格条件中特定条件，并提供证明材料。</w:t>
      </w:r>
    </w:p>
    <w:p>
      <w:pPr>
        <w:rPr>
          <w:rFonts w:hint="eastAsia" w:ascii="仿宋" w:hAnsi="仿宋" w:eastAsia="仿宋" w:cs="仿宋"/>
          <w:color w:val="auto"/>
          <w:highlight w:val="none"/>
        </w:rPr>
      </w:pPr>
    </w:p>
    <w:bookmarkEnd w:id="70"/>
    <w:bookmarkEnd w:id="71"/>
    <w:bookmarkEnd w:id="72"/>
    <w:bookmarkEnd w:id="73"/>
    <w:bookmarkEnd w:id="74"/>
    <w:bookmarkEnd w:id="75"/>
    <w:bookmarkEnd w:id="76"/>
    <w:p>
      <w:pPr>
        <w:rPr>
          <w:rFonts w:hint="eastAsia" w:ascii="仿宋" w:hAnsi="仿宋" w:eastAsia="仿宋" w:cs="仿宋"/>
          <w:color w:val="auto"/>
          <w:highlight w:val="none"/>
        </w:rPr>
      </w:pPr>
      <w:r>
        <w:rPr>
          <w:rFonts w:hint="eastAsia" w:ascii="仿宋" w:hAnsi="仿宋" w:eastAsia="仿宋" w:cs="仿宋"/>
          <w:color w:val="auto"/>
          <w:highlight w:val="none"/>
        </w:rPr>
        <w:br w:type="page"/>
      </w:r>
    </w:p>
    <w:p>
      <w:pPr>
        <w:rPr>
          <w:rFonts w:hint="eastAsia" w:ascii="仿宋" w:hAnsi="仿宋" w:eastAsia="仿宋" w:cs="仿宋"/>
          <w:color w:val="auto"/>
          <w:highlight w:val="none"/>
        </w:rPr>
      </w:pPr>
    </w:p>
    <w:p>
      <w:pPr>
        <w:rPr>
          <w:rFonts w:hint="eastAsia" w:ascii="仿宋" w:hAnsi="仿宋" w:eastAsia="仿宋" w:cs="仿宋"/>
          <w:color w:val="auto"/>
          <w:highlight w:val="none"/>
        </w:rPr>
      </w:pPr>
    </w:p>
    <w:p>
      <w:pPr>
        <w:rPr>
          <w:rFonts w:hint="eastAsia" w:ascii="仿宋" w:hAnsi="仿宋" w:eastAsia="仿宋" w:cs="仿宋"/>
          <w:color w:val="auto"/>
          <w:highlight w:val="none"/>
        </w:rPr>
      </w:pPr>
    </w:p>
    <w:p>
      <w:pPr>
        <w:rPr>
          <w:rFonts w:hint="eastAsia" w:ascii="仿宋" w:hAnsi="仿宋" w:eastAsia="仿宋" w:cs="仿宋"/>
          <w:color w:val="auto"/>
          <w:highlight w:val="none"/>
        </w:rPr>
      </w:pPr>
    </w:p>
    <w:p>
      <w:pPr>
        <w:rPr>
          <w:rFonts w:hint="eastAsia" w:ascii="仿宋" w:hAnsi="仿宋" w:eastAsia="仿宋" w:cs="仿宋"/>
          <w:color w:val="auto"/>
          <w:highlight w:val="none"/>
        </w:rPr>
      </w:pPr>
    </w:p>
    <w:p>
      <w:pPr>
        <w:rPr>
          <w:rFonts w:hint="eastAsia" w:ascii="仿宋" w:hAnsi="仿宋" w:eastAsia="仿宋" w:cs="仿宋"/>
          <w:color w:val="auto"/>
          <w:highlight w:val="none"/>
        </w:rPr>
      </w:pPr>
    </w:p>
    <w:p>
      <w:pPr>
        <w:rPr>
          <w:rFonts w:hint="eastAsia" w:ascii="仿宋" w:hAnsi="仿宋" w:eastAsia="仿宋" w:cs="仿宋"/>
          <w:color w:val="auto"/>
          <w:highlight w:val="none"/>
        </w:rPr>
      </w:pPr>
    </w:p>
    <w:p>
      <w:pPr>
        <w:rPr>
          <w:rFonts w:hint="eastAsia" w:ascii="仿宋" w:hAnsi="仿宋" w:eastAsia="仿宋" w:cs="仿宋"/>
          <w:color w:val="auto"/>
          <w:highlight w:val="none"/>
        </w:rPr>
      </w:pPr>
    </w:p>
    <w:p>
      <w:pPr>
        <w:rPr>
          <w:rFonts w:hint="eastAsia" w:ascii="仿宋" w:hAnsi="仿宋" w:eastAsia="仿宋" w:cs="仿宋"/>
          <w:color w:val="auto"/>
          <w:highlight w:val="none"/>
        </w:rPr>
      </w:pPr>
    </w:p>
    <w:p>
      <w:pPr>
        <w:rPr>
          <w:rFonts w:hint="eastAsia" w:ascii="仿宋" w:hAnsi="仿宋" w:eastAsia="仿宋" w:cs="仿宋"/>
          <w:color w:val="auto"/>
          <w:highlight w:val="none"/>
        </w:rPr>
      </w:pPr>
    </w:p>
    <w:p>
      <w:pPr>
        <w:rPr>
          <w:rFonts w:hint="eastAsia" w:ascii="仿宋" w:hAnsi="仿宋" w:eastAsia="仿宋" w:cs="仿宋"/>
          <w:color w:val="auto"/>
          <w:highlight w:val="none"/>
        </w:rPr>
      </w:pPr>
    </w:p>
    <w:p>
      <w:pPr>
        <w:rPr>
          <w:rFonts w:hint="eastAsia" w:ascii="仿宋" w:hAnsi="仿宋" w:eastAsia="仿宋" w:cs="仿宋"/>
          <w:color w:val="auto"/>
          <w:highlight w:val="none"/>
        </w:rPr>
      </w:pPr>
    </w:p>
    <w:p>
      <w:pPr>
        <w:rPr>
          <w:rFonts w:hint="eastAsia" w:ascii="仿宋" w:hAnsi="仿宋" w:eastAsia="仿宋" w:cs="仿宋"/>
          <w:color w:val="auto"/>
          <w:highlight w:val="none"/>
        </w:rPr>
      </w:pPr>
    </w:p>
    <w:p>
      <w:pPr>
        <w:rPr>
          <w:rFonts w:hint="eastAsia" w:ascii="仿宋" w:hAnsi="仿宋" w:eastAsia="仿宋" w:cs="仿宋"/>
          <w:color w:val="auto"/>
          <w:highlight w:val="none"/>
        </w:rPr>
      </w:pPr>
    </w:p>
    <w:p>
      <w:pPr>
        <w:rPr>
          <w:rFonts w:hint="eastAsia" w:ascii="仿宋" w:hAnsi="仿宋" w:eastAsia="仿宋" w:cs="仿宋"/>
          <w:color w:val="auto"/>
          <w:highlight w:val="none"/>
        </w:rPr>
      </w:pPr>
    </w:p>
    <w:p>
      <w:pPr>
        <w:rPr>
          <w:rFonts w:hint="eastAsia" w:ascii="仿宋" w:hAnsi="仿宋" w:eastAsia="仿宋" w:cs="仿宋"/>
          <w:color w:val="auto"/>
          <w:highlight w:val="none"/>
        </w:rPr>
      </w:pPr>
    </w:p>
    <w:p>
      <w:pPr>
        <w:rPr>
          <w:rFonts w:hint="eastAsia" w:ascii="仿宋" w:hAnsi="仿宋" w:eastAsia="仿宋" w:cs="仿宋"/>
          <w:color w:val="auto"/>
          <w:highlight w:val="none"/>
        </w:rPr>
      </w:pPr>
    </w:p>
    <w:p>
      <w:pPr>
        <w:rPr>
          <w:rFonts w:hint="eastAsia" w:ascii="仿宋" w:hAnsi="仿宋" w:eastAsia="仿宋" w:cs="仿宋"/>
          <w:color w:val="auto"/>
          <w:highlight w:val="none"/>
        </w:rPr>
      </w:pPr>
    </w:p>
    <w:p>
      <w:pPr>
        <w:rPr>
          <w:rFonts w:hint="eastAsia" w:ascii="仿宋" w:hAnsi="仿宋" w:eastAsia="仿宋" w:cs="仿宋"/>
          <w:color w:val="auto"/>
          <w:highlight w:val="none"/>
        </w:rPr>
      </w:pPr>
    </w:p>
    <w:p>
      <w:pPr>
        <w:jc w:val="center"/>
        <w:outlineLvl w:val="0"/>
        <w:rPr>
          <w:rFonts w:hint="eastAsia" w:ascii="仿宋" w:hAnsi="仿宋" w:eastAsia="仿宋" w:cs="仿宋"/>
          <w:b/>
          <w:color w:val="auto"/>
          <w:sz w:val="44"/>
          <w:szCs w:val="44"/>
          <w:highlight w:val="none"/>
        </w:rPr>
      </w:pPr>
      <w:bookmarkStart w:id="77" w:name="_Toc32091"/>
      <w:bookmarkStart w:id="78" w:name="_Toc13549"/>
      <w:r>
        <w:rPr>
          <w:rFonts w:hint="eastAsia" w:ascii="仿宋" w:hAnsi="仿宋" w:eastAsia="仿宋" w:cs="仿宋"/>
          <w:b/>
          <w:color w:val="auto"/>
          <w:sz w:val="44"/>
          <w:szCs w:val="44"/>
          <w:highlight w:val="none"/>
        </w:rPr>
        <w:t>商务</w:t>
      </w:r>
      <w:r>
        <w:rPr>
          <w:rFonts w:hint="eastAsia" w:ascii="仿宋" w:hAnsi="仿宋" w:eastAsia="仿宋" w:cs="仿宋"/>
          <w:b/>
          <w:color w:val="auto"/>
          <w:sz w:val="44"/>
          <w:szCs w:val="44"/>
          <w:highlight w:val="none"/>
          <w:lang w:val="en-US" w:eastAsia="zh-CN"/>
        </w:rPr>
        <w:t>报价</w:t>
      </w:r>
      <w:r>
        <w:rPr>
          <w:rFonts w:hint="eastAsia" w:ascii="仿宋" w:hAnsi="仿宋" w:eastAsia="仿宋" w:cs="仿宋"/>
          <w:b/>
          <w:color w:val="auto"/>
          <w:sz w:val="44"/>
          <w:szCs w:val="44"/>
          <w:highlight w:val="none"/>
        </w:rPr>
        <w:t>部分</w:t>
      </w:r>
      <w:bookmarkEnd w:id="77"/>
      <w:bookmarkEnd w:id="78"/>
    </w:p>
    <w:p>
      <w:pPr>
        <w:rPr>
          <w:rFonts w:hint="eastAsia" w:ascii="仿宋" w:hAnsi="仿宋" w:eastAsia="仿宋" w:cs="仿宋"/>
          <w:color w:val="auto"/>
          <w:highlight w:val="none"/>
        </w:rPr>
      </w:pPr>
      <w:r>
        <w:rPr>
          <w:rFonts w:hint="eastAsia" w:ascii="仿宋" w:hAnsi="仿宋" w:eastAsia="仿宋" w:cs="仿宋"/>
          <w:b/>
          <w:color w:val="auto"/>
          <w:sz w:val="44"/>
          <w:szCs w:val="44"/>
          <w:highlight w:val="none"/>
        </w:rPr>
        <w:br w:type="page"/>
      </w:r>
    </w:p>
    <w:p>
      <w:pPr>
        <w:pStyle w:val="3"/>
        <w:keepNext w:val="0"/>
        <w:numPr>
          <w:ilvl w:val="2"/>
          <w:numId w:val="0"/>
        </w:numPr>
        <w:tabs>
          <w:tab w:val="left" w:pos="900"/>
        </w:tabs>
        <w:spacing w:before="0"/>
        <w:jc w:val="center"/>
        <w:rPr>
          <w:rFonts w:hint="eastAsia" w:ascii="仿宋" w:hAnsi="仿宋" w:eastAsia="仿宋" w:cs="仿宋"/>
          <w:color w:val="auto"/>
          <w:highlight w:val="none"/>
        </w:rPr>
      </w:pPr>
      <w:bookmarkStart w:id="79" w:name="_Toc11408"/>
      <w:bookmarkStart w:id="80" w:name="_Toc1786"/>
      <w:r>
        <w:rPr>
          <w:rFonts w:hint="eastAsia" w:ascii="仿宋" w:hAnsi="仿宋" w:eastAsia="仿宋" w:cs="仿宋"/>
          <w:color w:val="auto"/>
          <w:highlight w:val="none"/>
        </w:rPr>
        <w:t>一、开标一览表</w:t>
      </w:r>
      <w:bookmarkEnd w:id="79"/>
      <w:bookmarkEnd w:id="80"/>
    </w:p>
    <w:p>
      <w:pPr>
        <w:spacing w:line="360" w:lineRule="auto"/>
        <w:rPr>
          <w:rFonts w:hint="eastAsia" w:ascii="仿宋" w:hAnsi="仿宋" w:eastAsia="仿宋" w:cs="仿宋"/>
          <w:b/>
          <w:bCs/>
          <w:color w:val="auto"/>
          <w:sz w:val="24"/>
          <w:szCs w:val="24"/>
          <w:highlight w:val="none"/>
          <w:lang w:eastAsia="zh-CN"/>
        </w:rPr>
      </w:pPr>
      <w:r>
        <w:rPr>
          <w:rFonts w:hint="eastAsia" w:ascii="仿宋" w:hAnsi="仿宋" w:eastAsia="仿宋" w:cs="仿宋"/>
          <w:b/>
          <w:bCs/>
          <w:color w:val="auto"/>
          <w:sz w:val="24"/>
          <w:szCs w:val="24"/>
          <w:highlight w:val="none"/>
        </w:rPr>
        <w:t>项目名称：</w:t>
      </w:r>
      <w:r>
        <w:rPr>
          <w:rFonts w:hint="eastAsia" w:ascii="仿宋" w:hAnsi="仿宋" w:eastAsia="仿宋" w:cs="仿宋"/>
          <w:b/>
          <w:bCs/>
          <w:color w:val="auto"/>
          <w:sz w:val="24"/>
          <w:szCs w:val="24"/>
          <w:highlight w:val="none"/>
          <w:lang w:val="en-US" w:eastAsia="zh-CN"/>
        </w:rPr>
        <w:t xml:space="preserve"> </w:t>
      </w:r>
    </w:p>
    <w:p>
      <w:pPr>
        <w:spacing w:line="360" w:lineRule="auto"/>
        <w:rPr>
          <w:rFonts w:hint="eastAsia" w:ascii="仿宋" w:hAnsi="仿宋" w:eastAsia="仿宋" w:cs="仿宋"/>
          <w:b/>
          <w:bCs/>
          <w:color w:val="auto"/>
          <w:sz w:val="24"/>
          <w:szCs w:val="24"/>
          <w:highlight w:val="none"/>
          <w:u w:val="single"/>
          <w:lang w:eastAsia="zh-CN"/>
        </w:rPr>
      </w:pPr>
      <w:r>
        <w:rPr>
          <w:rFonts w:hint="eastAsia" w:ascii="仿宋" w:hAnsi="仿宋" w:eastAsia="仿宋" w:cs="仿宋"/>
          <w:b/>
          <w:bCs/>
          <w:color w:val="auto"/>
          <w:sz w:val="24"/>
          <w:szCs w:val="24"/>
          <w:highlight w:val="none"/>
        </w:rPr>
        <w:t>项目编号：</w:t>
      </w:r>
    </w:p>
    <w:tbl>
      <w:tblPr>
        <w:tblStyle w:val="37"/>
        <w:tblW w:w="94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39"/>
        <w:gridCol w:w="1766"/>
        <w:gridCol w:w="1182"/>
        <w:gridCol w:w="1500"/>
        <w:gridCol w:w="217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10" w:hRule="atLeast"/>
          <w:jc w:val="center"/>
        </w:trPr>
        <w:tc>
          <w:tcPr>
            <w:tcW w:w="2839" w:type="dxa"/>
            <w:vAlign w:val="center"/>
          </w:tcPr>
          <w:p>
            <w:pP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投标总价</w:t>
            </w:r>
          </w:p>
          <w:p>
            <w:pP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（元）</w:t>
            </w:r>
          </w:p>
        </w:tc>
        <w:tc>
          <w:tcPr>
            <w:tcW w:w="1766" w:type="dxa"/>
            <w:vAlign w:val="center"/>
          </w:tcPr>
          <w:p>
            <w:pPr>
              <w:spacing w:line="360" w:lineRule="auto"/>
              <w:ind w:firstLine="2" w:firstLineChars="1"/>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服务期限</w:t>
            </w:r>
          </w:p>
        </w:tc>
        <w:tc>
          <w:tcPr>
            <w:tcW w:w="1182" w:type="dxa"/>
            <w:vAlign w:val="center"/>
          </w:tcPr>
          <w:p>
            <w:pPr>
              <w:spacing w:line="360" w:lineRule="auto"/>
              <w:ind w:firstLine="2" w:firstLineChars="1"/>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服务地点</w:t>
            </w:r>
          </w:p>
        </w:tc>
        <w:tc>
          <w:tcPr>
            <w:tcW w:w="1500" w:type="dxa"/>
            <w:vAlign w:val="center"/>
          </w:tcPr>
          <w:p>
            <w:pPr>
              <w:spacing w:line="360" w:lineRule="auto"/>
              <w:ind w:firstLine="2" w:firstLineChars="1"/>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服务承诺</w:t>
            </w:r>
          </w:p>
        </w:tc>
        <w:tc>
          <w:tcPr>
            <w:tcW w:w="2177" w:type="dxa"/>
            <w:vAlign w:val="center"/>
          </w:tcPr>
          <w:p>
            <w:pPr>
              <w:spacing w:line="360" w:lineRule="auto"/>
              <w:ind w:firstLine="2" w:firstLineChars="1"/>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622" w:hRule="atLeast"/>
          <w:jc w:val="center"/>
        </w:trPr>
        <w:tc>
          <w:tcPr>
            <w:tcW w:w="2839" w:type="dxa"/>
            <w:vAlign w:val="center"/>
          </w:tcPr>
          <w:p>
            <w:pPr>
              <w:spacing w:line="48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小写：</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元；</w:t>
            </w:r>
          </w:p>
          <w:p>
            <w:pPr>
              <w:spacing w:line="480" w:lineRule="auto"/>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大写：</w:t>
            </w:r>
          </w:p>
        </w:tc>
        <w:tc>
          <w:tcPr>
            <w:tcW w:w="1766" w:type="dxa"/>
            <w:vAlign w:val="center"/>
          </w:tcPr>
          <w:p>
            <w:pPr>
              <w:jc w:val="center"/>
              <w:rPr>
                <w:rFonts w:hint="eastAsia" w:ascii="仿宋" w:hAnsi="仿宋" w:eastAsia="仿宋" w:cs="仿宋"/>
                <w:color w:val="auto"/>
                <w:sz w:val="24"/>
                <w:szCs w:val="24"/>
                <w:highlight w:val="none"/>
              </w:rPr>
            </w:pPr>
          </w:p>
        </w:tc>
        <w:tc>
          <w:tcPr>
            <w:tcW w:w="1182" w:type="dxa"/>
            <w:vAlign w:val="center"/>
          </w:tcPr>
          <w:p>
            <w:pPr>
              <w:pStyle w:val="20"/>
              <w:spacing w:line="360" w:lineRule="auto"/>
              <w:jc w:val="center"/>
              <w:rPr>
                <w:rFonts w:hint="eastAsia" w:ascii="仿宋" w:hAnsi="仿宋" w:eastAsia="仿宋" w:cs="仿宋"/>
                <w:color w:val="auto"/>
                <w:sz w:val="24"/>
                <w:szCs w:val="24"/>
                <w:highlight w:val="none"/>
              </w:rPr>
            </w:pPr>
          </w:p>
        </w:tc>
        <w:tc>
          <w:tcPr>
            <w:tcW w:w="1500" w:type="dxa"/>
            <w:vAlign w:val="center"/>
          </w:tcPr>
          <w:p>
            <w:pPr>
              <w:pStyle w:val="20"/>
              <w:spacing w:line="360" w:lineRule="auto"/>
              <w:jc w:val="center"/>
              <w:rPr>
                <w:rFonts w:hint="eastAsia" w:ascii="仿宋" w:hAnsi="仿宋" w:eastAsia="仿宋" w:cs="仿宋"/>
                <w:color w:val="auto"/>
                <w:sz w:val="24"/>
                <w:szCs w:val="24"/>
                <w:highlight w:val="none"/>
              </w:rPr>
            </w:pPr>
          </w:p>
        </w:tc>
        <w:tc>
          <w:tcPr>
            <w:tcW w:w="2177" w:type="dxa"/>
            <w:vAlign w:val="center"/>
          </w:tcPr>
          <w:p>
            <w:pPr>
              <w:pStyle w:val="20"/>
              <w:spacing w:line="360" w:lineRule="auto"/>
              <w:jc w:val="center"/>
              <w:rPr>
                <w:rFonts w:hint="eastAsia" w:ascii="仿宋" w:hAnsi="仿宋" w:eastAsia="仿宋" w:cs="仿宋"/>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622" w:hRule="atLeast"/>
          <w:jc w:val="center"/>
        </w:trPr>
        <w:tc>
          <w:tcPr>
            <w:tcW w:w="9464" w:type="dxa"/>
            <w:gridSpan w:val="5"/>
            <w:vAlign w:val="center"/>
          </w:tcPr>
          <w:p>
            <w:pPr>
              <w:spacing w:line="360" w:lineRule="auto"/>
              <w:ind w:firstLine="2" w:firstLineChars="1"/>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投标人：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（电子签章）</w:t>
            </w:r>
          </w:p>
          <w:p>
            <w:pPr>
              <w:spacing w:line="360" w:lineRule="auto"/>
              <w:ind w:firstLine="2" w:firstLineChars="1"/>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法定代表人：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（电子签章）</w:t>
            </w:r>
          </w:p>
          <w:p>
            <w:pPr>
              <w:spacing w:line="360" w:lineRule="auto"/>
              <w:ind w:firstLine="480" w:firstLineChars="200"/>
              <w:jc w:val="left"/>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月</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日</w:t>
            </w:r>
          </w:p>
        </w:tc>
      </w:tr>
    </w:tbl>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注：1. 表中“投标总价”应与“投标函”中“投标总报价”一致。</w:t>
      </w:r>
    </w:p>
    <w:p>
      <w:pPr>
        <w:spacing w:line="360" w:lineRule="auto"/>
        <w:ind w:firstLine="120" w:firstLineChars="5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 本表应电子签章，法定代表人应电子签章。</w:t>
      </w:r>
    </w:p>
    <w:p>
      <w:pPr>
        <w:rPr>
          <w:rFonts w:hint="eastAsia" w:ascii="仿宋" w:hAnsi="仿宋" w:eastAsia="仿宋" w:cs="仿宋"/>
          <w:b/>
          <w:bCs/>
          <w:color w:val="auto"/>
          <w:kern w:val="0"/>
          <w:sz w:val="28"/>
          <w:szCs w:val="28"/>
          <w:highlight w:val="none"/>
          <w:lang w:val="en-US" w:eastAsia="zh-CN" w:bidi="ar-SA"/>
        </w:rPr>
      </w:pPr>
      <w:bookmarkStart w:id="81" w:name="_Toc11058"/>
      <w:bookmarkStart w:id="82" w:name="_Toc21695"/>
      <w:r>
        <w:rPr>
          <w:rFonts w:hint="eastAsia" w:ascii="仿宋" w:hAnsi="仿宋" w:eastAsia="仿宋" w:cs="仿宋"/>
          <w:b/>
          <w:bCs/>
          <w:color w:val="auto"/>
          <w:kern w:val="0"/>
          <w:sz w:val="28"/>
          <w:szCs w:val="28"/>
          <w:highlight w:val="none"/>
          <w:lang w:val="en-US" w:eastAsia="zh-CN" w:bidi="ar-SA"/>
        </w:rPr>
        <w:br w:type="page"/>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outlineLvl w:val="1"/>
        <w:rPr>
          <w:rFonts w:hint="eastAsia" w:ascii="仿宋" w:hAnsi="仿宋" w:eastAsia="仿宋" w:cs="仿宋"/>
          <w:b/>
          <w:bCs/>
          <w:color w:val="auto"/>
          <w:kern w:val="0"/>
          <w:sz w:val="28"/>
          <w:szCs w:val="28"/>
          <w:highlight w:val="none"/>
          <w:lang w:val="en-US" w:eastAsia="zh-CN" w:bidi="ar-SA"/>
        </w:rPr>
      </w:pPr>
      <w:r>
        <w:rPr>
          <w:rFonts w:hint="eastAsia" w:ascii="仿宋" w:hAnsi="仿宋" w:eastAsia="仿宋" w:cs="仿宋"/>
          <w:b/>
          <w:bCs/>
          <w:color w:val="auto"/>
          <w:kern w:val="0"/>
          <w:sz w:val="28"/>
          <w:szCs w:val="28"/>
          <w:highlight w:val="none"/>
          <w:lang w:val="en-US" w:eastAsia="zh-CN" w:bidi="ar-SA"/>
        </w:rPr>
        <w:t>二、投标函</w:t>
      </w:r>
      <w:bookmarkEnd w:id="81"/>
      <w:bookmarkEnd w:id="82"/>
    </w:p>
    <w:p>
      <w:pPr>
        <w:spacing w:line="360" w:lineRule="auto"/>
        <w:jc w:val="lef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致：</w:t>
      </w:r>
      <w:r>
        <w:rPr>
          <w:rFonts w:hint="eastAsia" w:ascii="仿宋" w:hAnsi="仿宋" w:eastAsia="仿宋" w:cs="仿宋"/>
          <w:b/>
          <w:bCs/>
          <w:color w:val="auto"/>
          <w:sz w:val="24"/>
          <w:szCs w:val="24"/>
          <w:highlight w:val="none"/>
          <w:u w:val="single"/>
          <w:lang w:eastAsia="zh-CN"/>
        </w:rPr>
        <w:t>红河哈尼族彝族自治州生态环境局石屏分局</w:t>
      </w:r>
    </w:p>
    <w:p>
      <w:pPr>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我方仔细研究了</w:t>
      </w:r>
      <w:r>
        <w:rPr>
          <w:rFonts w:hint="eastAsia" w:ascii="仿宋" w:hAnsi="仿宋" w:eastAsia="仿宋" w:cs="仿宋"/>
          <w:b/>
          <w:bCs/>
          <w:color w:val="auto"/>
          <w:sz w:val="24"/>
          <w:szCs w:val="24"/>
          <w:highlight w:val="none"/>
          <w:u w:val="single"/>
        </w:rPr>
        <w:t xml:space="preserve">   </w:t>
      </w:r>
      <w:r>
        <w:rPr>
          <w:rFonts w:hint="eastAsia" w:ascii="仿宋" w:hAnsi="仿宋" w:eastAsia="仿宋" w:cs="仿宋"/>
          <w:color w:val="auto"/>
          <w:sz w:val="24"/>
          <w:szCs w:val="24"/>
          <w:highlight w:val="none"/>
          <w:u w:val="single"/>
        </w:rPr>
        <w:t>（项目名称）</w:t>
      </w:r>
      <w:r>
        <w:rPr>
          <w:rFonts w:hint="eastAsia" w:ascii="仿宋" w:hAnsi="仿宋" w:eastAsia="仿宋" w:cs="仿宋"/>
          <w:b/>
          <w:bCs/>
          <w:color w:val="auto"/>
          <w:sz w:val="24"/>
          <w:szCs w:val="24"/>
          <w:highlight w:val="none"/>
          <w:u w:val="single"/>
        </w:rPr>
        <w:t xml:space="preserve">   </w:t>
      </w:r>
      <w:r>
        <w:rPr>
          <w:rFonts w:hint="eastAsia" w:ascii="仿宋" w:hAnsi="仿宋" w:eastAsia="仿宋" w:cs="仿宋"/>
          <w:color w:val="auto"/>
          <w:sz w:val="24"/>
          <w:szCs w:val="24"/>
          <w:highlight w:val="none"/>
        </w:rPr>
        <w:t>项目招标文件的全部内容，我方正式授权</w:t>
      </w:r>
      <w:r>
        <w:rPr>
          <w:rFonts w:hint="eastAsia" w:ascii="仿宋" w:hAnsi="仿宋" w:eastAsia="仿宋" w:cs="仿宋"/>
          <w:color w:val="auto"/>
          <w:sz w:val="24"/>
          <w:szCs w:val="24"/>
          <w:highlight w:val="none"/>
          <w:u w:val="single"/>
        </w:rPr>
        <w:t>（姓名和职务）</w:t>
      </w:r>
      <w:r>
        <w:rPr>
          <w:rFonts w:hint="eastAsia" w:ascii="仿宋" w:hAnsi="仿宋" w:eastAsia="仿宋" w:cs="仿宋"/>
          <w:color w:val="auto"/>
          <w:sz w:val="24"/>
          <w:szCs w:val="24"/>
          <w:highlight w:val="none"/>
        </w:rPr>
        <w:t>全权代表</w:t>
      </w:r>
      <w:r>
        <w:rPr>
          <w:rFonts w:hint="eastAsia" w:ascii="仿宋" w:hAnsi="仿宋" w:eastAsia="仿宋" w:cs="仿宋"/>
          <w:color w:val="auto"/>
          <w:sz w:val="24"/>
          <w:szCs w:val="24"/>
          <w:highlight w:val="none"/>
          <w:u w:val="single"/>
        </w:rPr>
        <w:t>（投标人全称）</w:t>
      </w:r>
      <w:r>
        <w:rPr>
          <w:rFonts w:hint="eastAsia" w:ascii="仿宋" w:hAnsi="仿宋" w:eastAsia="仿宋" w:cs="仿宋"/>
          <w:color w:val="auto"/>
          <w:sz w:val="24"/>
          <w:szCs w:val="24"/>
          <w:highlight w:val="none"/>
        </w:rPr>
        <w:t>参加</w:t>
      </w:r>
      <w:r>
        <w:rPr>
          <w:rFonts w:hint="eastAsia" w:ascii="仿宋" w:hAnsi="仿宋" w:eastAsia="仿宋" w:cs="仿宋"/>
          <w:color w:val="auto"/>
          <w:sz w:val="24"/>
          <w:szCs w:val="24"/>
          <w:highlight w:val="none"/>
          <w:u w:val="single"/>
        </w:rPr>
        <w:t xml:space="preserve">     （项目名称）（项目编号：   ）</w:t>
      </w:r>
      <w:r>
        <w:rPr>
          <w:rFonts w:hint="eastAsia" w:ascii="仿宋" w:hAnsi="仿宋" w:eastAsia="仿宋" w:cs="仿宋"/>
          <w:color w:val="auto"/>
          <w:sz w:val="24"/>
          <w:szCs w:val="24"/>
          <w:highlight w:val="none"/>
        </w:rPr>
        <w:t>投标。</w:t>
      </w:r>
    </w:p>
    <w:p>
      <w:pPr>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据此函，同意如下：</w:t>
      </w:r>
    </w:p>
    <w:p>
      <w:pPr>
        <w:spacing w:line="360" w:lineRule="auto"/>
        <w:ind w:firstLine="480" w:firstLineChars="20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1、按招标文件的采购需求和报价表，总报价（大写）</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，人民币(¥)</w:t>
      </w:r>
      <w:r>
        <w:rPr>
          <w:rFonts w:hint="eastAsia" w:ascii="仿宋" w:hAnsi="仿宋" w:eastAsia="仿宋" w:cs="仿宋"/>
          <w:color w:val="auto"/>
          <w:sz w:val="24"/>
          <w:szCs w:val="24"/>
          <w:highlight w:val="none"/>
          <w:u w:val="single"/>
        </w:rPr>
        <w:t xml:space="preserve">   元</w:t>
      </w:r>
      <w:r>
        <w:rPr>
          <w:rFonts w:hint="eastAsia" w:ascii="仿宋" w:hAnsi="仿宋" w:eastAsia="仿宋" w:cs="仿宋"/>
          <w:color w:val="auto"/>
          <w:sz w:val="24"/>
          <w:szCs w:val="24"/>
          <w:highlight w:val="none"/>
          <w:u w:val="none"/>
          <w:lang w:val="en-US" w:eastAsia="zh-CN"/>
        </w:rPr>
        <w:t>。</w:t>
      </w:r>
    </w:p>
    <w:p>
      <w:pPr>
        <w:tabs>
          <w:tab w:val="left" w:pos="210"/>
        </w:tabs>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2、遵照招标文件的规定，接受关于合同主要条款的约定，完成合同的责任义务。</w:t>
      </w:r>
    </w:p>
    <w:p>
      <w:pPr>
        <w:tabs>
          <w:tab w:val="left" w:pos="210"/>
        </w:tabs>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3、我们同意在投标有效期90天内严格遵守本投标函的各项承诺。在此期限届满之前，本投标函始终将对我方具有约束力，并随时接受中标。</w:t>
      </w:r>
    </w:p>
    <w:p>
      <w:pPr>
        <w:tabs>
          <w:tab w:val="left" w:pos="210"/>
        </w:tabs>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4、在合同协议正式签署生效之前，本投标函连同投标文件，技术规范，报价及中标通知书将构成我们双方之间共同遵守的文件，对双方具有约束力。</w:t>
      </w:r>
    </w:p>
    <w:p>
      <w:pPr>
        <w:spacing w:line="360" w:lineRule="auto"/>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5、我方承诺已经具备《中华人民共和国政府采购法》中规定的参加政府采购活动的投标人应当具备的条件：</w:t>
      </w:r>
    </w:p>
    <w:p>
      <w:pPr>
        <w:numPr>
          <w:ilvl w:val="0"/>
          <w:numId w:val="4"/>
        </w:numPr>
        <w:tabs>
          <w:tab w:val="left" w:pos="1140"/>
          <w:tab w:val="clear" w:pos="1430"/>
        </w:tabs>
        <w:spacing w:line="360" w:lineRule="auto"/>
        <w:ind w:left="114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具有独立承担民事责任的能力；</w:t>
      </w:r>
    </w:p>
    <w:p>
      <w:pPr>
        <w:numPr>
          <w:ilvl w:val="0"/>
          <w:numId w:val="4"/>
        </w:numPr>
        <w:tabs>
          <w:tab w:val="left" w:pos="1140"/>
          <w:tab w:val="clear" w:pos="1430"/>
        </w:tabs>
        <w:spacing w:line="360" w:lineRule="auto"/>
        <w:ind w:left="114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具有良好的商业信誉和健全的财务会计制度；</w:t>
      </w:r>
    </w:p>
    <w:p>
      <w:pPr>
        <w:numPr>
          <w:ilvl w:val="0"/>
          <w:numId w:val="4"/>
        </w:numPr>
        <w:tabs>
          <w:tab w:val="left" w:pos="1140"/>
          <w:tab w:val="clear" w:pos="1430"/>
        </w:tabs>
        <w:spacing w:line="360" w:lineRule="auto"/>
        <w:ind w:left="114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具有履行合同所必需的设备和专业技术能力；</w:t>
      </w:r>
    </w:p>
    <w:p>
      <w:pPr>
        <w:numPr>
          <w:ilvl w:val="0"/>
          <w:numId w:val="4"/>
        </w:numPr>
        <w:tabs>
          <w:tab w:val="left" w:pos="1140"/>
          <w:tab w:val="clear" w:pos="1430"/>
        </w:tabs>
        <w:spacing w:line="360" w:lineRule="auto"/>
        <w:ind w:left="114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有依法缴纳税收和社会保障资金的良好记录；</w:t>
      </w:r>
    </w:p>
    <w:p>
      <w:pPr>
        <w:numPr>
          <w:ilvl w:val="0"/>
          <w:numId w:val="4"/>
        </w:numPr>
        <w:tabs>
          <w:tab w:val="left" w:pos="1140"/>
          <w:tab w:val="clear" w:pos="1430"/>
        </w:tabs>
        <w:spacing w:line="360" w:lineRule="auto"/>
        <w:ind w:left="114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参加此项采购活动前三年内，在经营活动中没有重大违法记录。</w:t>
      </w:r>
    </w:p>
    <w:p>
      <w:pPr>
        <w:spacing w:line="360" w:lineRule="auto"/>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6、我方已详细审核招标文件，我方知道必须放弃提出含糊不清或误解问题的权利。</w:t>
      </w:r>
    </w:p>
    <w:p>
      <w:pPr>
        <w:spacing w:line="360" w:lineRule="auto"/>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7、同意应贵方要求提供与本次投标有关的任何数据或资料。</w:t>
      </w:r>
    </w:p>
    <w:p>
      <w:pPr>
        <w:spacing w:line="360" w:lineRule="auto"/>
        <w:ind w:firstLine="42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8、若贵方需要，我方愿意提供我方作出的一切承诺的证明材料。</w:t>
      </w:r>
    </w:p>
    <w:p>
      <w:pPr>
        <w:spacing w:line="360" w:lineRule="auto"/>
        <w:ind w:firstLine="386" w:firstLineChars="161"/>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9、我方将严格遵守《中华人民共和国政府采购法》第七十七条规定，投标人有下列情形之一的，处以采购金额5‰以上10‰以下的罚款，列入不良行为记录名单，在一至三年内禁止参加政府采购活动，有违法所得的，并处没收违法所得，情节严重的，由工商行政管理机关吊销营业执照；构成犯罪的，依法追究刑事责任：</w:t>
      </w:r>
    </w:p>
    <w:p>
      <w:pPr>
        <w:numPr>
          <w:ilvl w:val="0"/>
          <w:numId w:val="5"/>
        </w:num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提供虚假材料谋取采购中标的；</w:t>
      </w:r>
    </w:p>
    <w:p>
      <w:pPr>
        <w:numPr>
          <w:ilvl w:val="0"/>
          <w:numId w:val="5"/>
        </w:num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采取不正当手段诋毁、排挤其他投标人的；</w:t>
      </w:r>
    </w:p>
    <w:p>
      <w:pPr>
        <w:numPr>
          <w:ilvl w:val="0"/>
          <w:numId w:val="5"/>
        </w:num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与采购人、其他投标人或者采购代理机构恶意串通的；</w:t>
      </w:r>
    </w:p>
    <w:p>
      <w:pPr>
        <w:numPr>
          <w:ilvl w:val="0"/>
          <w:numId w:val="5"/>
        </w:num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向采购人、采购代理机构行贿或者提供其他不正当利益的；</w:t>
      </w:r>
    </w:p>
    <w:p>
      <w:pPr>
        <w:numPr>
          <w:ilvl w:val="0"/>
          <w:numId w:val="5"/>
        </w:num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在采购过程中与采购人进行私下协商的；</w:t>
      </w:r>
    </w:p>
    <w:p>
      <w:pPr>
        <w:numPr>
          <w:ilvl w:val="0"/>
          <w:numId w:val="5"/>
        </w:num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拒绝有关部门监督检查或提供虚假情况的。</w:t>
      </w:r>
    </w:p>
    <w:p>
      <w:pPr>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10、同意应贵方要求提供与本次投标有关的任何数据和资料，并保证数据和资料的完整性和真实性。</w:t>
      </w:r>
    </w:p>
    <w:p>
      <w:pPr>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11、我方完全理解贵方不一定要接受最低报价的投标人为中标人的行为。</w:t>
      </w:r>
    </w:p>
    <w:p>
      <w:pPr>
        <w:spacing w:line="360" w:lineRule="auto"/>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与本次投标有关的正式通讯地址为：</w:t>
      </w:r>
    </w:p>
    <w:p>
      <w:pPr>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地    址：</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   邮政编码：</w:t>
      </w:r>
      <w:r>
        <w:rPr>
          <w:rFonts w:hint="eastAsia" w:ascii="仿宋" w:hAnsi="仿宋" w:eastAsia="仿宋" w:cs="仿宋"/>
          <w:color w:val="auto"/>
          <w:sz w:val="24"/>
          <w:highlight w:val="none"/>
          <w:u w:val="single"/>
        </w:rPr>
        <w:t>　　　　　  　　　</w:t>
      </w:r>
    </w:p>
    <w:p>
      <w:pPr>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电    话：</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   传    真：</w:t>
      </w:r>
      <w:r>
        <w:rPr>
          <w:rFonts w:hint="eastAsia" w:ascii="仿宋" w:hAnsi="仿宋" w:eastAsia="仿宋" w:cs="仿宋"/>
          <w:color w:val="auto"/>
          <w:sz w:val="24"/>
          <w:highlight w:val="none"/>
          <w:u w:val="single"/>
        </w:rPr>
        <w:t>　　  　　　　　　</w:t>
      </w:r>
    </w:p>
    <w:p>
      <w:pPr>
        <w:spacing w:line="360" w:lineRule="auto"/>
        <w:ind w:firstLine="480" w:firstLineChars="200"/>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开户名称：</w:t>
      </w:r>
      <w:r>
        <w:rPr>
          <w:rFonts w:hint="eastAsia" w:ascii="仿宋" w:hAnsi="仿宋" w:eastAsia="仿宋" w:cs="仿宋"/>
          <w:color w:val="auto"/>
          <w:sz w:val="24"/>
          <w:highlight w:val="none"/>
          <w:u w:val="single"/>
        </w:rPr>
        <w:t xml:space="preserve">　　　　        　                     　                                           </w:t>
      </w:r>
    </w:p>
    <w:p>
      <w:pPr>
        <w:spacing w:line="360" w:lineRule="auto"/>
        <w:ind w:firstLine="480" w:firstLineChars="200"/>
        <w:jc w:val="left"/>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开户银行：</w:t>
      </w:r>
      <w:r>
        <w:rPr>
          <w:rFonts w:hint="eastAsia" w:ascii="仿宋" w:hAnsi="仿宋" w:eastAsia="仿宋" w:cs="仿宋"/>
          <w:color w:val="auto"/>
          <w:sz w:val="24"/>
          <w:highlight w:val="none"/>
          <w:u w:val="single"/>
        </w:rPr>
        <w:t xml:space="preserve">　　　　　                             　                                           </w:t>
      </w:r>
    </w:p>
    <w:p>
      <w:pPr>
        <w:spacing w:line="360" w:lineRule="auto"/>
        <w:ind w:firstLine="480" w:firstLineChars="200"/>
        <w:jc w:val="left"/>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账    号：</w:t>
      </w:r>
      <w:r>
        <w:rPr>
          <w:rFonts w:hint="eastAsia" w:ascii="仿宋" w:hAnsi="仿宋" w:eastAsia="仿宋" w:cs="仿宋"/>
          <w:color w:val="auto"/>
          <w:sz w:val="24"/>
          <w:highlight w:val="none"/>
          <w:u w:val="single"/>
        </w:rPr>
        <w:t xml:space="preserve">　　　　　　                           　        </w:t>
      </w:r>
      <w:r>
        <w:rPr>
          <w:rFonts w:hint="eastAsia" w:ascii="仿宋" w:hAnsi="仿宋" w:eastAsia="仿宋" w:cs="仿宋"/>
          <w:color w:val="auto"/>
          <w:highlight w:val="none"/>
          <w:u w:val="single"/>
        </w:rPr>
        <w:t xml:space="preserve"> </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                                         </w:t>
      </w:r>
      <w:r>
        <w:rPr>
          <w:rFonts w:hint="eastAsia" w:ascii="仿宋" w:hAnsi="仿宋" w:eastAsia="仿宋" w:cs="仿宋"/>
          <w:color w:val="auto"/>
          <w:sz w:val="24"/>
          <w:highlight w:val="none"/>
          <w:u w:val="single"/>
        </w:rPr>
        <w:t xml:space="preserve">           </w:t>
      </w:r>
    </w:p>
    <w:p>
      <w:pPr>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投标人：</w:t>
      </w:r>
      <w:r>
        <w:rPr>
          <w:rFonts w:hint="eastAsia" w:ascii="仿宋" w:hAnsi="仿宋" w:eastAsia="仿宋" w:cs="仿宋"/>
          <w:color w:val="auto"/>
          <w:sz w:val="24"/>
          <w:highlight w:val="none"/>
          <w:u w:val="single"/>
        </w:rPr>
        <w:t xml:space="preserve">                                   （全称）</w:t>
      </w:r>
      <w:r>
        <w:rPr>
          <w:rFonts w:hint="eastAsia" w:ascii="仿宋" w:hAnsi="仿宋" w:eastAsia="仿宋" w:cs="仿宋"/>
          <w:color w:val="auto"/>
          <w:sz w:val="24"/>
          <w:highlight w:val="none"/>
        </w:rPr>
        <w:t>（电子签章）</w:t>
      </w:r>
    </w:p>
    <w:p>
      <w:pPr>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法定代表人：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（电子签章）</w:t>
      </w:r>
    </w:p>
    <w:p>
      <w:pPr>
        <w:spacing w:line="360" w:lineRule="auto"/>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日期：</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月</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日</w:t>
      </w:r>
    </w:p>
    <w:p>
      <w:pPr>
        <w:rPr>
          <w:rFonts w:hint="eastAsia" w:ascii="仿宋" w:hAnsi="仿宋" w:eastAsia="仿宋" w:cs="仿宋"/>
          <w:b/>
          <w:bCs/>
          <w:color w:val="auto"/>
          <w:sz w:val="36"/>
          <w:szCs w:val="36"/>
          <w:highlight w:val="none"/>
        </w:rPr>
      </w:pPr>
    </w:p>
    <w:p>
      <w:pPr>
        <w:pStyle w:val="3"/>
        <w:numPr>
          <w:ilvl w:val="1"/>
          <w:numId w:val="0"/>
        </w:numPr>
        <w:ind w:left="425"/>
        <w:jc w:val="center"/>
        <w:rPr>
          <w:rFonts w:hint="eastAsia" w:ascii="仿宋" w:hAnsi="仿宋" w:eastAsia="仿宋" w:cs="仿宋"/>
          <w:color w:val="auto"/>
          <w:sz w:val="32"/>
          <w:szCs w:val="32"/>
          <w:highlight w:val="none"/>
        </w:rPr>
      </w:pPr>
      <w:bookmarkStart w:id="83" w:name="_Toc30138"/>
      <w:bookmarkStart w:id="84" w:name="_Toc23069"/>
      <w:r>
        <w:rPr>
          <w:rStyle w:val="173"/>
          <w:rFonts w:hint="eastAsia" w:ascii="仿宋" w:hAnsi="仿宋" w:eastAsia="仿宋" w:cs="仿宋"/>
          <w:b/>
          <w:bCs/>
          <w:color w:val="auto"/>
          <w:sz w:val="32"/>
          <w:szCs w:val="32"/>
          <w:highlight w:val="none"/>
        </w:rPr>
        <w:br w:type="column"/>
      </w:r>
      <w:r>
        <w:rPr>
          <w:rFonts w:hint="eastAsia" w:ascii="仿宋" w:hAnsi="仿宋" w:eastAsia="仿宋" w:cs="仿宋"/>
          <w:color w:val="auto"/>
          <w:sz w:val="32"/>
          <w:szCs w:val="32"/>
          <w:highlight w:val="none"/>
        </w:rPr>
        <w:t>三、法定代表人资格证明书及法定代表人授权委托书</w:t>
      </w:r>
      <w:bookmarkEnd w:id="83"/>
    </w:p>
    <w:bookmarkEnd w:id="84"/>
    <w:p>
      <w:pPr>
        <w:jc w:val="center"/>
        <w:rPr>
          <w:rStyle w:val="173"/>
          <w:rFonts w:hint="eastAsia" w:ascii="仿宋" w:hAnsi="仿宋" w:eastAsia="仿宋" w:cs="仿宋"/>
          <w:color w:val="auto"/>
          <w:highlight w:val="none"/>
        </w:rPr>
      </w:pPr>
      <w:r>
        <w:rPr>
          <w:rFonts w:hint="eastAsia" w:ascii="仿宋" w:hAnsi="仿宋" w:eastAsia="仿宋" w:cs="仿宋"/>
          <w:b/>
          <w:bCs/>
          <w:color w:val="auto"/>
          <w:sz w:val="28"/>
          <w:szCs w:val="28"/>
          <w:highlight w:val="none"/>
        </w:rPr>
        <w:t>（一）法定代表人身份证明书</w:t>
      </w:r>
    </w:p>
    <w:p>
      <w:pPr>
        <w:spacing w:line="360" w:lineRule="auto"/>
        <w:jc w:val="center"/>
        <w:rPr>
          <w:rFonts w:hint="eastAsia" w:ascii="仿宋" w:hAnsi="仿宋" w:eastAsia="仿宋" w:cs="仿宋"/>
          <w:b/>
          <w:bCs/>
          <w:color w:val="auto"/>
          <w:sz w:val="30"/>
          <w:szCs w:val="30"/>
          <w:highlight w:val="none"/>
        </w:rPr>
      </w:pPr>
    </w:p>
    <w:p>
      <w:pPr>
        <w:spacing w:line="360" w:lineRule="auto"/>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投标人名称：</w:t>
      </w:r>
      <w:r>
        <w:rPr>
          <w:rFonts w:hint="eastAsia" w:ascii="仿宋" w:hAnsi="仿宋" w:eastAsia="仿宋" w:cs="仿宋"/>
          <w:color w:val="auto"/>
          <w:sz w:val="24"/>
          <w:highlight w:val="none"/>
          <w:u w:val="single"/>
        </w:rPr>
        <w:t xml:space="preserve">　　　　                    　                                                </w:t>
      </w:r>
    </w:p>
    <w:p>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单位性质：</w:t>
      </w:r>
      <w:r>
        <w:rPr>
          <w:rFonts w:hint="eastAsia" w:ascii="仿宋" w:hAnsi="仿宋" w:eastAsia="仿宋" w:cs="仿宋"/>
          <w:color w:val="auto"/>
          <w:sz w:val="24"/>
          <w:highlight w:val="none"/>
          <w:u w:val="single"/>
        </w:rPr>
        <w:t xml:space="preserve">　　　　        　            　                                                  </w:t>
      </w:r>
    </w:p>
    <w:p>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成立时间：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月</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日</w:t>
      </w:r>
    </w:p>
    <w:p>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经营期限：</w:t>
      </w:r>
      <w:r>
        <w:rPr>
          <w:rFonts w:hint="eastAsia" w:ascii="仿宋" w:hAnsi="仿宋" w:eastAsia="仿宋" w:cs="仿宋"/>
          <w:color w:val="auto"/>
          <w:sz w:val="24"/>
          <w:highlight w:val="none"/>
          <w:u w:val="single"/>
        </w:rPr>
        <w:t xml:space="preserve">　　　　        　            　                          </w:t>
      </w:r>
    </w:p>
    <w:p>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姓名：</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性别：</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年龄：</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职务：</w:t>
      </w:r>
      <w:r>
        <w:rPr>
          <w:rFonts w:hint="eastAsia" w:ascii="仿宋" w:hAnsi="仿宋" w:eastAsia="仿宋" w:cs="仿宋"/>
          <w:color w:val="auto"/>
          <w:sz w:val="24"/>
          <w:highlight w:val="none"/>
          <w:u w:val="single"/>
        </w:rPr>
        <w:t xml:space="preserve">            </w:t>
      </w:r>
    </w:p>
    <w:p>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系</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（投标人名称）的法定代表人。</w:t>
      </w:r>
    </w:p>
    <w:p>
      <w:pPr>
        <w:spacing w:line="360" w:lineRule="auto"/>
        <w:rPr>
          <w:rFonts w:hint="eastAsia" w:ascii="仿宋" w:hAnsi="仿宋" w:eastAsia="仿宋" w:cs="仿宋"/>
          <w:color w:val="auto"/>
          <w:sz w:val="24"/>
          <w:szCs w:val="24"/>
          <w:highlight w:val="none"/>
        </w:rPr>
      </w:pPr>
    </w:p>
    <w:p>
      <w:pPr>
        <w:spacing w:line="360" w:lineRule="auto"/>
        <w:ind w:firstLine="480" w:firstLineChars="200"/>
        <w:rPr>
          <w:rFonts w:hint="eastAsia" w:ascii="仿宋" w:hAnsi="仿宋" w:eastAsia="仿宋" w:cs="仿宋"/>
          <w:color w:val="auto"/>
          <w:sz w:val="24"/>
          <w:szCs w:val="24"/>
          <w:highlight w:val="none"/>
        </w:rPr>
      </w:pPr>
    </w:p>
    <w:p>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特此证明。</w:t>
      </w:r>
    </w:p>
    <w:p>
      <w:pPr>
        <w:spacing w:line="360" w:lineRule="auto"/>
        <w:rPr>
          <w:rFonts w:hint="eastAsia" w:ascii="仿宋" w:hAnsi="仿宋" w:eastAsia="仿宋" w:cs="仿宋"/>
          <w:b/>
          <w:bCs/>
          <w:color w:val="auto"/>
          <w:sz w:val="24"/>
          <w:szCs w:val="24"/>
          <w:highlight w:val="none"/>
        </w:rPr>
      </w:pPr>
    </w:p>
    <w:p>
      <w:pPr>
        <w:spacing w:line="360" w:lineRule="auto"/>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注:后附法定代表人身份证扫描件。</w:t>
      </w:r>
    </w:p>
    <w:tbl>
      <w:tblPr>
        <w:tblStyle w:val="37"/>
        <w:tblW w:w="9852" w:type="dxa"/>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925"/>
        <w:gridCol w:w="492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59" w:hRule="atLeast"/>
        </w:trPr>
        <w:tc>
          <w:tcPr>
            <w:tcW w:w="4925" w:type="dxa"/>
            <w:vAlign w:val="center"/>
          </w:tcPr>
          <w:p>
            <w:pP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b/>
                <w:bCs/>
                <w:color w:val="auto"/>
                <w:sz w:val="22"/>
                <w:szCs w:val="22"/>
                <w:highlight w:val="none"/>
              </w:rPr>
              <w:t>法定代表人（单位负责人）身份证国徽面</w:t>
            </w:r>
          </w:p>
        </w:tc>
        <w:tc>
          <w:tcPr>
            <w:tcW w:w="4927" w:type="dxa"/>
            <w:vAlign w:val="center"/>
          </w:tcPr>
          <w:p>
            <w:pP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b/>
                <w:bCs/>
                <w:color w:val="auto"/>
                <w:sz w:val="22"/>
                <w:szCs w:val="22"/>
                <w:highlight w:val="none"/>
              </w:rPr>
              <w:t>法定代表人（单位负责人）身份证人像面</w:t>
            </w:r>
          </w:p>
        </w:tc>
      </w:tr>
    </w:tbl>
    <w:p>
      <w:pPr>
        <w:spacing w:line="360" w:lineRule="auto"/>
        <w:rPr>
          <w:rFonts w:hint="eastAsia" w:ascii="仿宋" w:hAnsi="仿宋" w:eastAsia="仿宋" w:cs="仿宋"/>
          <w:color w:val="auto"/>
          <w:sz w:val="24"/>
          <w:szCs w:val="24"/>
          <w:highlight w:val="none"/>
        </w:rPr>
      </w:pPr>
    </w:p>
    <w:p>
      <w:pPr>
        <w:spacing w:line="800" w:lineRule="exact"/>
        <w:ind w:firstLine="1980" w:firstLineChars="825"/>
        <w:jc w:val="right"/>
        <w:rPr>
          <w:rFonts w:hint="eastAsia" w:ascii="仿宋" w:hAnsi="仿宋" w:eastAsia="仿宋" w:cs="仿宋"/>
          <w:color w:val="auto"/>
          <w:sz w:val="24"/>
          <w:szCs w:val="24"/>
          <w:highlight w:val="none"/>
        </w:rPr>
      </w:pPr>
      <w:r>
        <w:rPr>
          <w:rFonts w:hint="eastAsia" w:ascii="仿宋" w:hAnsi="仿宋" w:eastAsia="仿宋" w:cs="仿宋"/>
          <w:color w:val="auto"/>
          <w:sz w:val="24"/>
          <w:highlight w:val="none"/>
        </w:rPr>
        <w:t>投标人：</w:t>
      </w:r>
      <w:r>
        <w:rPr>
          <w:rFonts w:hint="eastAsia" w:ascii="仿宋" w:hAnsi="仿宋" w:eastAsia="仿宋" w:cs="仿宋"/>
          <w:color w:val="auto"/>
          <w:sz w:val="24"/>
          <w:highlight w:val="none"/>
          <w:u w:val="single"/>
        </w:rPr>
        <w:t xml:space="preserve">         （全称）</w:t>
      </w:r>
      <w:r>
        <w:rPr>
          <w:rFonts w:hint="eastAsia" w:ascii="仿宋" w:hAnsi="仿宋" w:eastAsia="仿宋" w:cs="仿宋"/>
          <w:color w:val="auto"/>
          <w:sz w:val="24"/>
          <w:highlight w:val="none"/>
        </w:rPr>
        <w:t>（电子签章）</w:t>
      </w:r>
    </w:p>
    <w:p>
      <w:pPr>
        <w:spacing w:line="800" w:lineRule="exact"/>
        <w:ind w:firstLine="1980" w:firstLineChars="825"/>
        <w:jc w:val="righ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highlight w:val="none"/>
        </w:rPr>
        <w:t>日期：</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月</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日</w:t>
      </w:r>
    </w:p>
    <w:p>
      <w:pPr>
        <w:spacing w:line="360" w:lineRule="auto"/>
        <w:rPr>
          <w:rFonts w:hint="eastAsia" w:ascii="仿宋" w:hAnsi="仿宋" w:eastAsia="仿宋" w:cs="仿宋"/>
          <w:color w:val="auto"/>
          <w:sz w:val="24"/>
          <w:szCs w:val="24"/>
          <w:highlight w:val="none"/>
        </w:rPr>
      </w:pPr>
    </w:p>
    <w:p>
      <w:pPr>
        <w:jc w:val="center"/>
        <w:rPr>
          <w:rStyle w:val="173"/>
          <w:rFonts w:hint="eastAsia" w:ascii="仿宋" w:hAnsi="仿宋" w:eastAsia="仿宋" w:cs="仿宋"/>
          <w:color w:val="auto"/>
          <w:highlight w:val="none"/>
        </w:rPr>
      </w:pPr>
      <w:r>
        <w:rPr>
          <w:rFonts w:hint="eastAsia" w:ascii="仿宋" w:hAnsi="仿宋" w:eastAsia="仿宋" w:cs="仿宋"/>
          <w:b/>
          <w:bCs/>
          <w:color w:val="auto"/>
          <w:kern w:val="0"/>
          <w:sz w:val="24"/>
          <w:szCs w:val="24"/>
          <w:highlight w:val="none"/>
        </w:rPr>
        <w:br w:type="page"/>
      </w:r>
      <w:r>
        <w:rPr>
          <w:rFonts w:hint="eastAsia" w:ascii="仿宋" w:hAnsi="仿宋" w:eastAsia="仿宋" w:cs="仿宋"/>
          <w:b/>
          <w:bCs/>
          <w:color w:val="auto"/>
          <w:sz w:val="28"/>
          <w:szCs w:val="28"/>
          <w:highlight w:val="none"/>
        </w:rPr>
        <w:t>（二）法定代表人授权委托书</w:t>
      </w:r>
    </w:p>
    <w:p>
      <w:pPr>
        <w:spacing w:line="360" w:lineRule="auto"/>
        <w:rPr>
          <w:rFonts w:hint="eastAsia" w:ascii="仿宋" w:hAnsi="仿宋" w:eastAsia="仿宋" w:cs="仿宋"/>
          <w:color w:val="auto"/>
          <w:highlight w:val="none"/>
        </w:rPr>
      </w:pPr>
    </w:p>
    <w:p>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本授权书声明：</w:t>
      </w:r>
      <w:r>
        <w:rPr>
          <w:rFonts w:hint="eastAsia" w:ascii="仿宋" w:hAnsi="仿宋" w:eastAsia="仿宋" w:cs="仿宋"/>
          <w:color w:val="auto"/>
          <w:sz w:val="24"/>
          <w:szCs w:val="24"/>
          <w:highlight w:val="none"/>
          <w:u w:val="single"/>
        </w:rPr>
        <w:t xml:space="preserve">       （投标人全称）     </w:t>
      </w:r>
      <w:r>
        <w:rPr>
          <w:rFonts w:hint="eastAsia" w:ascii="仿宋" w:hAnsi="仿宋" w:eastAsia="仿宋" w:cs="仿宋"/>
          <w:color w:val="auto"/>
          <w:sz w:val="24"/>
          <w:szCs w:val="24"/>
          <w:highlight w:val="none"/>
        </w:rPr>
        <w:t>的法定代表人代表本公司授权</w:t>
      </w:r>
      <w:r>
        <w:rPr>
          <w:rFonts w:hint="eastAsia" w:ascii="仿宋" w:hAnsi="仿宋" w:eastAsia="仿宋" w:cs="仿宋"/>
          <w:color w:val="auto"/>
          <w:sz w:val="24"/>
          <w:szCs w:val="24"/>
          <w:highlight w:val="none"/>
          <w:u w:val="single"/>
        </w:rPr>
        <w:t xml:space="preserve">   （委托代理人姓名）   </w:t>
      </w:r>
      <w:r>
        <w:rPr>
          <w:rFonts w:hint="eastAsia" w:ascii="仿宋" w:hAnsi="仿宋" w:eastAsia="仿宋" w:cs="仿宋"/>
          <w:color w:val="auto"/>
          <w:sz w:val="24"/>
          <w:szCs w:val="24"/>
          <w:highlight w:val="none"/>
        </w:rPr>
        <w:t>为本公司合法代理人，以本单位名义亲自出席参加贵方组织的</w:t>
      </w:r>
      <w:r>
        <w:rPr>
          <w:rFonts w:hint="eastAsia" w:ascii="仿宋" w:hAnsi="仿宋" w:eastAsia="仿宋" w:cs="仿宋"/>
          <w:color w:val="auto"/>
          <w:sz w:val="24"/>
          <w:szCs w:val="24"/>
          <w:highlight w:val="none"/>
          <w:u w:val="single"/>
        </w:rPr>
        <w:t xml:space="preserve"> </w:t>
      </w:r>
      <w:r>
        <w:rPr>
          <w:rFonts w:hint="eastAsia" w:ascii="仿宋" w:hAnsi="仿宋" w:eastAsia="仿宋" w:cs="仿宋"/>
          <w:b/>
          <w:bCs/>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项目（项目编号：</w:t>
      </w:r>
      <w:r>
        <w:rPr>
          <w:rFonts w:hint="eastAsia" w:ascii="仿宋" w:hAnsi="仿宋" w:eastAsia="仿宋" w:cs="仿宋"/>
          <w:b/>
          <w:bCs/>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）的投标。代理人在本项目投标过程中所签署的一切文件和处理与之有关的一切事务，我方均予承认。</w:t>
      </w:r>
    </w:p>
    <w:p>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代理人无转委托权。</w:t>
      </w:r>
    </w:p>
    <w:p>
      <w:pPr>
        <w:spacing w:line="360" w:lineRule="auto"/>
        <w:ind w:firstLine="480" w:firstLineChars="200"/>
        <w:rPr>
          <w:rFonts w:hint="eastAsia" w:ascii="仿宋" w:hAnsi="仿宋" w:eastAsia="仿宋" w:cs="仿宋"/>
          <w:color w:val="auto"/>
          <w:sz w:val="24"/>
          <w:szCs w:val="24"/>
          <w:highlight w:val="none"/>
        </w:rPr>
      </w:pPr>
    </w:p>
    <w:p>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供  应  商：</w:t>
      </w:r>
      <w:r>
        <w:rPr>
          <w:rFonts w:hint="eastAsia" w:ascii="仿宋" w:hAnsi="仿宋" w:eastAsia="仿宋" w:cs="仿宋"/>
          <w:color w:val="auto"/>
          <w:sz w:val="24"/>
          <w:highlight w:val="none"/>
          <w:u w:val="single"/>
        </w:rPr>
        <w:t xml:space="preserve">          （全称）          </w:t>
      </w:r>
      <w:r>
        <w:rPr>
          <w:rFonts w:hint="eastAsia" w:ascii="仿宋" w:hAnsi="仿宋" w:eastAsia="仿宋" w:cs="仿宋"/>
          <w:color w:val="auto"/>
          <w:sz w:val="24"/>
          <w:highlight w:val="none"/>
        </w:rPr>
        <w:t>（电子签章）</w:t>
      </w:r>
    </w:p>
    <w:p>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法定代表人：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（电子签章）</w:t>
      </w:r>
    </w:p>
    <w:p>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法定代表人身份证号码：</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2"/>
          <w:highlight w:val="none"/>
        </w:rPr>
        <w:t xml:space="preserve">                         </w:t>
      </w:r>
      <w:r>
        <w:rPr>
          <w:rFonts w:hint="eastAsia" w:ascii="仿宋" w:hAnsi="仿宋" w:eastAsia="仿宋" w:cs="仿宋"/>
          <w:color w:val="auto"/>
          <w:sz w:val="22"/>
          <w:highlight w:val="none"/>
          <w:u w:val="single"/>
        </w:rPr>
        <w:t xml:space="preserve">      </w:t>
      </w:r>
      <w:r>
        <w:rPr>
          <w:rFonts w:hint="eastAsia" w:ascii="仿宋" w:hAnsi="仿宋" w:eastAsia="仿宋" w:cs="仿宋"/>
          <w:color w:val="auto"/>
          <w:sz w:val="24"/>
          <w:highlight w:val="none"/>
          <w:u w:val="single"/>
        </w:rPr>
        <w:t xml:space="preserve">                           </w:t>
      </w:r>
    </w:p>
    <w:p>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委托代理人：</w:t>
      </w:r>
      <w:r>
        <w:rPr>
          <w:rFonts w:hint="eastAsia" w:ascii="仿宋" w:hAnsi="仿宋" w:eastAsia="仿宋" w:cs="仿宋"/>
          <w:color w:val="auto"/>
          <w:sz w:val="24"/>
          <w:highlight w:val="none"/>
          <w:u w:val="single"/>
        </w:rPr>
        <w:t>　　　　                  　</w:t>
      </w:r>
      <w:r>
        <w:rPr>
          <w:rFonts w:hint="eastAsia" w:ascii="仿宋" w:hAnsi="仿宋" w:eastAsia="仿宋" w:cs="仿宋"/>
          <w:color w:val="auto"/>
          <w:sz w:val="24"/>
          <w:highlight w:val="none"/>
          <w:u w:val="none"/>
          <w:lang w:eastAsia="zh-CN"/>
        </w:rPr>
        <w:t>（</w:t>
      </w:r>
      <w:r>
        <w:rPr>
          <w:rFonts w:hint="eastAsia" w:ascii="仿宋" w:hAnsi="仿宋" w:eastAsia="仿宋" w:cs="仿宋"/>
          <w:color w:val="auto"/>
          <w:sz w:val="24"/>
          <w:highlight w:val="none"/>
          <w:u w:val="none"/>
          <w:lang w:val="en-US" w:eastAsia="zh-CN"/>
        </w:rPr>
        <w:t>签字</w:t>
      </w:r>
      <w:r>
        <w:rPr>
          <w:rFonts w:hint="eastAsia" w:ascii="仿宋" w:hAnsi="仿宋" w:eastAsia="仿宋" w:cs="仿宋"/>
          <w:color w:val="auto"/>
          <w:sz w:val="24"/>
          <w:highlight w:val="none"/>
          <w:u w:val="none"/>
          <w:lang w:eastAsia="zh-CN"/>
        </w:rPr>
        <w:t>）</w:t>
      </w:r>
      <w:r>
        <w:rPr>
          <w:rFonts w:hint="eastAsia" w:ascii="仿宋" w:hAnsi="仿宋" w:eastAsia="仿宋" w:cs="仿宋"/>
          <w:color w:val="auto"/>
          <w:sz w:val="24"/>
          <w:highlight w:val="none"/>
          <w:u w:val="single"/>
        </w:rPr>
        <w:t xml:space="preserve">                                                 </w:t>
      </w:r>
    </w:p>
    <w:p>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职      务：</w:t>
      </w:r>
      <w:r>
        <w:rPr>
          <w:rFonts w:hint="eastAsia" w:ascii="仿宋" w:hAnsi="仿宋" w:eastAsia="仿宋" w:cs="仿宋"/>
          <w:color w:val="auto"/>
          <w:sz w:val="24"/>
          <w:highlight w:val="none"/>
          <w:u w:val="single"/>
        </w:rPr>
        <w:t xml:space="preserve"> 　　　　                 　                                          </w:t>
      </w:r>
    </w:p>
    <w:p>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代理人身份证号码：</w:t>
      </w:r>
      <w:r>
        <w:rPr>
          <w:rFonts w:hint="eastAsia" w:ascii="仿宋" w:hAnsi="仿宋" w:eastAsia="仿宋" w:cs="仿宋"/>
          <w:color w:val="auto"/>
          <w:sz w:val="24"/>
          <w:highlight w:val="none"/>
          <w:u w:val="single"/>
        </w:rPr>
        <w:t xml:space="preserve">　　　　            　                                </w:t>
      </w:r>
    </w:p>
    <w:p>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月</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日</w:t>
      </w:r>
    </w:p>
    <w:p>
      <w:pPr>
        <w:spacing w:line="360" w:lineRule="auto"/>
        <w:ind w:firstLine="480" w:firstLineChars="200"/>
        <w:rPr>
          <w:rFonts w:hint="eastAsia" w:ascii="仿宋" w:hAnsi="仿宋" w:eastAsia="仿宋" w:cs="仿宋"/>
          <w:color w:val="auto"/>
          <w:sz w:val="24"/>
          <w:szCs w:val="24"/>
          <w:highlight w:val="none"/>
        </w:rPr>
      </w:pPr>
    </w:p>
    <w:p>
      <w:pPr>
        <w:spacing w:line="360" w:lineRule="auto"/>
        <w:ind w:firstLine="480" w:firstLineChars="200"/>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附：委托代理人详细地址：</w:t>
      </w:r>
    </w:p>
    <w:p>
      <w:pPr>
        <w:spacing w:line="360" w:lineRule="auto"/>
        <w:ind w:firstLine="480" w:firstLineChars="200"/>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    电话：</w:t>
      </w:r>
    </w:p>
    <w:p>
      <w:pPr>
        <w:autoSpaceDE w:val="0"/>
        <w:autoSpaceDN w:val="0"/>
        <w:adjustRightInd w:val="0"/>
        <w:rPr>
          <w:rFonts w:hint="eastAsia" w:ascii="仿宋" w:hAnsi="仿宋" w:eastAsia="仿宋" w:cs="仿宋"/>
          <w:color w:val="auto"/>
          <w:sz w:val="24"/>
          <w:szCs w:val="24"/>
          <w:highlight w:val="none"/>
        </w:rPr>
      </w:pPr>
    </w:p>
    <w:p>
      <w:pPr>
        <w:spacing w:line="360" w:lineRule="auto"/>
        <w:ind w:firstLine="482" w:firstLineChars="200"/>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附委托代理人身份证扫描件</w:t>
      </w:r>
    </w:p>
    <w:tbl>
      <w:tblPr>
        <w:tblStyle w:val="37"/>
        <w:tblW w:w="9852" w:type="dxa"/>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925"/>
        <w:gridCol w:w="492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35" w:hRule="atLeast"/>
        </w:trPr>
        <w:tc>
          <w:tcPr>
            <w:tcW w:w="4925" w:type="dxa"/>
            <w:vAlign w:val="center"/>
          </w:tcPr>
          <w:p>
            <w:pPr>
              <w:spacing w:line="360" w:lineRule="auto"/>
              <w:jc w:val="center"/>
              <w:rPr>
                <w:rFonts w:hint="eastAsia" w:ascii="仿宋" w:hAnsi="仿宋" w:eastAsia="仿宋" w:cs="仿宋"/>
                <w:b/>
                <w:bCs/>
                <w:color w:val="auto"/>
                <w:sz w:val="22"/>
                <w:szCs w:val="22"/>
                <w:highlight w:val="none"/>
              </w:rPr>
            </w:pPr>
            <w:r>
              <w:rPr>
                <w:rFonts w:hint="eastAsia" w:ascii="仿宋" w:hAnsi="仿宋" w:eastAsia="仿宋" w:cs="仿宋"/>
                <w:b/>
                <w:bCs/>
                <w:color w:val="auto"/>
                <w:sz w:val="22"/>
                <w:szCs w:val="22"/>
                <w:highlight w:val="none"/>
              </w:rPr>
              <w:t>委托代理人身份证国徽面</w:t>
            </w:r>
          </w:p>
        </w:tc>
        <w:tc>
          <w:tcPr>
            <w:tcW w:w="4927" w:type="dxa"/>
            <w:vAlign w:val="center"/>
          </w:tcPr>
          <w:p>
            <w:pPr>
              <w:spacing w:line="360" w:lineRule="auto"/>
              <w:jc w:val="center"/>
              <w:rPr>
                <w:rFonts w:hint="eastAsia" w:ascii="仿宋" w:hAnsi="仿宋" w:eastAsia="仿宋" w:cs="仿宋"/>
                <w:b/>
                <w:bCs/>
                <w:color w:val="auto"/>
                <w:sz w:val="22"/>
                <w:szCs w:val="22"/>
                <w:highlight w:val="none"/>
              </w:rPr>
            </w:pPr>
            <w:r>
              <w:rPr>
                <w:rFonts w:hint="eastAsia" w:ascii="仿宋" w:hAnsi="仿宋" w:eastAsia="仿宋" w:cs="仿宋"/>
                <w:b/>
                <w:bCs/>
                <w:color w:val="auto"/>
                <w:sz w:val="22"/>
                <w:szCs w:val="22"/>
                <w:highlight w:val="none"/>
              </w:rPr>
              <w:t>委托代理人身份证人像面</w:t>
            </w:r>
          </w:p>
        </w:tc>
      </w:tr>
    </w:tbl>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br w:type="page"/>
      </w:r>
    </w:p>
    <w:p>
      <w:pPr>
        <w:pStyle w:val="3"/>
        <w:numPr>
          <w:ilvl w:val="1"/>
          <w:numId w:val="0"/>
        </w:numPr>
        <w:ind w:left="425"/>
        <w:jc w:val="center"/>
        <w:rPr>
          <w:rFonts w:hint="eastAsia" w:ascii="仿宋" w:hAnsi="仿宋" w:eastAsia="仿宋" w:cs="仿宋"/>
          <w:color w:val="auto"/>
          <w:sz w:val="32"/>
          <w:szCs w:val="32"/>
          <w:highlight w:val="none"/>
        </w:rPr>
      </w:pPr>
      <w:bookmarkStart w:id="85" w:name="_Toc3760"/>
      <w:bookmarkStart w:id="86" w:name="_Toc16715"/>
      <w:r>
        <w:rPr>
          <w:rFonts w:hint="eastAsia" w:ascii="仿宋" w:hAnsi="仿宋" w:eastAsia="仿宋" w:cs="仿宋"/>
          <w:color w:val="auto"/>
          <w:sz w:val="32"/>
          <w:szCs w:val="32"/>
          <w:highlight w:val="none"/>
        </w:rPr>
        <w:t>四、</w:t>
      </w:r>
      <w:bookmarkEnd w:id="85"/>
      <w:r>
        <w:rPr>
          <w:rFonts w:hint="eastAsia" w:ascii="仿宋" w:hAnsi="仿宋" w:eastAsia="仿宋" w:cs="仿宋"/>
          <w:color w:val="auto"/>
          <w:sz w:val="32"/>
          <w:szCs w:val="32"/>
          <w:highlight w:val="none"/>
          <w:lang w:val="en-US" w:eastAsia="zh-CN"/>
        </w:rPr>
        <w:t>分项报价明细表</w:t>
      </w:r>
      <w:bookmarkEnd w:id="86"/>
    </w:p>
    <w:p>
      <w:pPr>
        <w:jc w:val="center"/>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（格式自拟）</w:t>
      </w:r>
    </w:p>
    <w:p>
      <w:pPr>
        <w:rPr>
          <w:rFonts w:hint="eastAsia" w:ascii="仿宋" w:hAnsi="仿宋" w:eastAsia="仿宋" w:cs="仿宋"/>
          <w:b/>
          <w:bCs/>
          <w:color w:val="auto"/>
          <w:sz w:val="24"/>
          <w:szCs w:val="24"/>
          <w:highlight w:val="none"/>
        </w:rPr>
      </w:pPr>
    </w:p>
    <w:p>
      <w:pPr>
        <w:spacing w:line="480" w:lineRule="auto"/>
        <w:ind w:firstLine="2" w:firstLineChars="1"/>
        <w:rPr>
          <w:rFonts w:hint="eastAsia" w:ascii="仿宋" w:hAnsi="仿宋" w:eastAsia="仿宋" w:cs="仿宋"/>
          <w:color w:val="auto"/>
          <w:sz w:val="24"/>
          <w:highlight w:val="none"/>
        </w:rPr>
      </w:pPr>
      <w:r>
        <w:rPr>
          <w:rFonts w:hint="eastAsia" w:ascii="仿宋" w:hAnsi="仿宋" w:eastAsia="仿宋" w:cs="仿宋"/>
          <w:color w:val="auto"/>
          <w:sz w:val="24"/>
          <w:highlight w:val="none"/>
        </w:rPr>
        <w:t>投标人：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（电子签章）</w:t>
      </w:r>
    </w:p>
    <w:p>
      <w:pPr>
        <w:spacing w:line="480" w:lineRule="auto"/>
        <w:ind w:firstLine="2" w:firstLineChars="1"/>
        <w:rPr>
          <w:rFonts w:hint="eastAsia" w:ascii="仿宋" w:hAnsi="仿宋" w:eastAsia="仿宋" w:cs="仿宋"/>
          <w:color w:val="auto"/>
          <w:sz w:val="24"/>
          <w:highlight w:val="none"/>
        </w:rPr>
      </w:pPr>
      <w:r>
        <w:rPr>
          <w:rFonts w:hint="eastAsia" w:ascii="仿宋" w:hAnsi="仿宋" w:eastAsia="仿宋" w:cs="仿宋"/>
          <w:color w:val="auto"/>
          <w:sz w:val="24"/>
          <w:highlight w:val="none"/>
        </w:rPr>
        <w:t>法定代表人或其委托代理人：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（电子签章）</w:t>
      </w:r>
    </w:p>
    <w:p>
      <w:pPr>
        <w:pStyle w:val="20"/>
        <w:spacing w:line="48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月</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日</w:t>
      </w:r>
    </w:p>
    <w:p>
      <w:pP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br w:type="page"/>
      </w:r>
    </w:p>
    <w:p>
      <w:pPr>
        <w:pStyle w:val="3"/>
        <w:numPr>
          <w:ilvl w:val="1"/>
          <w:numId w:val="0"/>
        </w:numPr>
        <w:ind w:left="425"/>
        <w:jc w:val="center"/>
        <w:rPr>
          <w:rFonts w:hint="eastAsia" w:ascii="仿宋" w:hAnsi="仿宋" w:eastAsia="仿宋" w:cs="仿宋"/>
          <w:color w:val="auto"/>
          <w:sz w:val="32"/>
          <w:szCs w:val="32"/>
          <w:highlight w:val="none"/>
          <w:lang w:eastAsia="zh-CN"/>
        </w:rPr>
      </w:pPr>
      <w:bookmarkStart w:id="87" w:name="_Toc10401"/>
      <w:bookmarkStart w:id="88" w:name="_Toc31638"/>
      <w:r>
        <w:rPr>
          <w:rFonts w:hint="eastAsia" w:ascii="仿宋" w:hAnsi="仿宋" w:eastAsia="仿宋" w:cs="仿宋"/>
          <w:color w:val="auto"/>
          <w:sz w:val="32"/>
          <w:szCs w:val="32"/>
          <w:highlight w:val="none"/>
          <w:lang w:val="en-US" w:eastAsia="zh-CN"/>
        </w:rPr>
        <w:t>五</w:t>
      </w:r>
      <w:r>
        <w:rPr>
          <w:rFonts w:hint="eastAsia" w:ascii="仿宋" w:hAnsi="仿宋" w:eastAsia="仿宋" w:cs="仿宋"/>
          <w:color w:val="auto"/>
          <w:sz w:val="32"/>
          <w:szCs w:val="32"/>
          <w:highlight w:val="none"/>
        </w:rPr>
        <w:t>、</w:t>
      </w:r>
      <w:bookmarkEnd w:id="87"/>
      <w:bookmarkEnd w:id="88"/>
      <w:r>
        <w:rPr>
          <w:rFonts w:hint="eastAsia" w:ascii="仿宋" w:hAnsi="仿宋" w:eastAsia="仿宋" w:cs="仿宋"/>
          <w:color w:val="auto"/>
          <w:sz w:val="32"/>
          <w:szCs w:val="32"/>
          <w:highlight w:val="none"/>
          <w:lang w:eastAsia="zh-CN"/>
        </w:rPr>
        <w:t>商务部分</w:t>
      </w:r>
    </w:p>
    <w:p>
      <w:pPr>
        <w:spacing w:line="360" w:lineRule="auto"/>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投标人根据第六章采购需求及第四章评审内容自行编制</w:t>
      </w:r>
      <w:r>
        <w:rPr>
          <w:rFonts w:hint="eastAsia" w:ascii="仿宋" w:hAnsi="仿宋" w:eastAsia="仿宋" w:cs="仿宋"/>
          <w:color w:val="auto"/>
          <w:sz w:val="28"/>
          <w:szCs w:val="28"/>
          <w:highlight w:val="none"/>
          <w:lang w:eastAsia="zh-CN"/>
        </w:rPr>
        <w:t>商务部分</w:t>
      </w:r>
      <w:r>
        <w:rPr>
          <w:rFonts w:hint="eastAsia" w:ascii="仿宋" w:hAnsi="仿宋" w:eastAsia="仿宋" w:cs="仿宋"/>
          <w:color w:val="auto"/>
          <w:sz w:val="28"/>
          <w:szCs w:val="28"/>
          <w:highlight w:val="none"/>
        </w:rPr>
        <w:t>文件，具体内容包括但不限于以下内容：</w:t>
      </w:r>
    </w:p>
    <w:p>
      <w:pPr>
        <w:numPr>
          <w:ilvl w:val="0"/>
          <w:numId w:val="0"/>
        </w:numPr>
        <w:spacing w:before="130" w:after="130" w:line="360" w:lineRule="auto"/>
        <w:jc w:val="center"/>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kern w:val="2"/>
          <w:sz w:val="28"/>
          <w:szCs w:val="28"/>
          <w:highlight w:val="none"/>
          <w:lang w:val="en-US" w:eastAsia="zh-CN" w:bidi="ar-SA"/>
        </w:rPr>
        <w:t>1.</w:t>
      </w:r>
      <w:r>
        <w:rPr>
          <w:rFonts w:hint="eastAsia" w:ascii="仿宋" w:hAnsi="仿宋" w:eastAsia="仿宋" w:cs="仿宋"/>
          <w:b/>
          <w:bCs/>
          <w:color w:val="auto"/>
          <w:sz w:val="28"/>
          <w:szCs w:val="28"/>
          <w:highlight w:val="none"/>
          <w:lang w:val="en-US" w:eastAsia="zh-CN"/>
        </w:rPr>
        <w:t>项目配备人员</w:t>
      </w:r>
    </w:p>
    <w:p>
      <w:pPr>
        <w:spacing w:line="360" w:lineRule="auto"/>
        <w:jc w:val="center"/>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附表</w:t>
      </w:r>
      <w:r>
        <w:rPr>
          <w:rFonts w:hint="eastAsia" w:ascii="仿宋" w:hAnsi="仿宋" w:eastAsia="仿宋" w:cs="仿宋"/>
          <w:b/>
          <w:bCs/>
          <w:color w:val="auto"/>
          <w:sz w:val="28"/>
          <w:szCs w:val="28"/>
          <w:highlight w:val="none"/>
          <w:lang w:val="en-US" w:eastAsia="zh-CN"/>
        </w:rPr>
        <w:t>1</w:t>
      </w:r>
      <w:r>
        <w:rPr>
          <w:rFonts w:hint="eastAsia" w:ascii="仿宋" w:hAnsi="仿宋" w:eastAsia="仿宋" w:cs="仿宋"/>
          <w:b/>
          <w:bCs/>
          <w:color w:val="auto"/>
          <w:sz w:val="28"/>
          <w:szCs w:val="28"/>
          <w:highlight w:val="none"/>
        </w:rPr>
        <w:t>：拟投入本项目的人员汇总表</w:t>
      </w:r>
    </w:p>
    <w:tbl>
      <w:tblPr>
        <w:tblStyle w:val="3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927"/>
        <w:gridCol w:w="744"/>
        <w:gridCol w:w="745"/>
        <w:gridCol w:w="1474"/>
        <w:gridCol w:w="744"/>
        <w:gridCol w:w="745"/>
        <w:gridCol w:w="745"/>
        <w:gridCol w:w="329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67" w:hRule="atLeast"/>
          <w:jc w:val="center"/>
        </w:trPr>
        <w:tc>
          <w:tcPr>
            <w:tcW w:w="927" w:type="dxa"/>
            <w:vMerge w:val="restart"/>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序号</w:t>
            </w:r>
          </w:p>
        </w:tc>
        <w:tc>
          <w:tcPr>
            <w:tcW w:w="744" w:type="dxa"/>
            <w:vMerge w:val="restart"/>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姓名</w:t>
            </w:r>
          </w:p>
        </w:tc>
        <w:tc>
          <w:tcPr>
            <w:tcW w:w="745" w:type="dxa"/>
            <w:vMerge w:val="restart"/>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职称</w:t>
            </w:r>
          </w:p>
        </w:tc>
        <w:tc>
          <w:tcPr>
            <w:tcW w:w="3708" w:type="dxa"/>
            <w:gridSpan w:val="4"/>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人员资格证明</w:t>
            </w:r>
          </w:p>
        </w:tc>
        <w:tc>
          <w:tcPr>
            <w:tcW w:w="3297" w:type="dxa"/>
            <w:vMerge w:val="restart"/>
            <w:tcBorders>
              <w:top w:val="single" w:color="auto" w:sz="4" w:space="0"/>
              <w:left w:val="single" w:color="auto" w:sz="4" w:space="0"/>
              <w:right w:val="single" w:color="auto" w:sz="4" w:space="0"/>
            </w:tcBorders>
            <w:vAlign w:val="center"/>
          </w:tcPr>
          <w:p>
            <w:pP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拟在本项目岗位设置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44"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color w:val="auto"/>
                <w:sz w:val="24"/>
                <w:szCs w:val="24"/>
                <w:highlight w:val="none"/>
              </w:rPr>
            </w:pPr>
          </w:p>
        </w:tc>
        <w:tc>
          <w:tcPr>
            <w:tcW w:w="744" w:type="dxa"/>
            <w:vMerge w:val="continue"/>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color w:val="auto"/>
                <w:sz w:val="24"/>
                <w:szCs w:val="24"/>
                <w:highlight w:val="none"/>
              </w:rPr>
            </w:pPr>
          </w:p>
        </w:tc>
        <w:tc>
          <w:tcPr>
            <w:tcW w:w="745" w:type="dxa"/>
            <w:vMerge w:val="continue"/>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color w:val="auto"/>
                <w:sz w:val="24"/>
                <w:szCs w:val="24"/>
                <w:highlight w:val="none"/>
              </w:rPr>
            </w:pPr>
          </w:p>
        </w:tc>
        <w:tc>
          <w:tcPr>
            <w:tcW w:w="147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证书名称</w:t>
            </w:r>
          </w:p>
        </w:tc>
        <w:tc>
          <w:tcPr>
            <w:tcW w:w="74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级别</w:t>
            </w:r>
          </w:p>
        </w:tc>
        <w:tc>
          <w:tcPr>
            <w:tcW w:w="74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证号</w:t>
            </w:r>
          </w:p>
        </w:tc>
        <w:tc>
          <w:tcPr>
            <w:tcW w:w="74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专业</w:t>
            </w:r>
          </w:p>
        </w:tc>
        <w:tc>
          <w:tcPr>
            <w:tcW w:w="3297" w:type="dxa"/>
            <w:vMerge w:val="continue"/>
            <w:tcBorders>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927" w:type="dxa"/>
            <w:tcBorders>
              <w:top w:val="single" w:color="auto" w:sz="4" w:space="0"/>
              <w:left w:val="single" w:color="auto" w:sz="4" w:space="0"/>
              <w:bottom w:val="single" w:color="auto" w:sz="4" w:space="0"/>
              <w:right w:val="single" w:color="auto" w:sz="4" w:space="0"/>
            </w:tcBorders>
            <w:vAlign w:val="center"/>
          </w:tcPr>
          <w:p>
            <w:pPr>
              <w:spacing w:line="360" w:lineRule="auto"/>
              <w:rPr>
                <w:rFonts w:hint="eastAsia" w:ascii="仿宋" w:hAnsi="仿宋" w:eastAsia="仿宋" w:cs="仿宋"/>
                <w:color w:val="auto"/>
                <w:sz w:val="24"/>
                <w:szCs w:val="24"/>
                <w:highlight w:val="none"/>
              </w:rPr>
            </w:pPr>
          </w:p>
        </w:tc>
        <w:tc>
          <w:tcPr>
            <w:tcW w:w="744" w:type="dxa"/>
            <w:tcBorders>
              <w:top w:val="single" w:color="auto" w:sz="4" w:space="0"/>
              <w:left w:val="single" w:color="auto" w:sz="4" w:space="0"/>
              <w:bottom w:val="single" w:color="auto" w:sz="4" w:space="0"/>
              <w:right w:val="single" w:color="auto" w:sz="4" w:space="0"/>
            </w:tcBorders>
            <w:vAlign w:val="center"/>
          </w:tcPr>
          <w:p>
            <w:pPr>
              <w:spacing w:line="360" w:lineRule="auto"/>
              <w:rPr>
                <w:rFonts w:hint="eastAsia" w:ascii="仿宋" w:hAnsi="仿宋" w:eastAsia="仿宋" w:cs="仿宋"/>
                <w:color w:val="auto"/>
                <w:sz w:val="24"/>
                <w:szCs w:val="24"/>
                <w:highlight w:val="none"/>
              </w:rPr>
            </w:pPr>
          </w:p>
        </w:tc>
        <w:tc>
          <w:tcPr>
            <w:tcW w:w="745" w:type="dxa"/>
            <w:tcBorders>
              <w:top w:val="single" w:color="auto" w:sz="4" w:space="0"/>
              <w:left w:val="single" w:color="auto" w:sz="4" w:space="0"/>
              <w:bottom w:val="single" w:color="auto" w:sz="4" w:space="0"/>
              <w:right w:val="single" w:color="auto" w:sz="4" w:space="0"/>
            </w:tcBorders>
            <w:vAlign w:val="center"/>
          </w:tcPr>
          <w:p>
            <w:pPr>
              <w:spacing w:line="360" w:lineRule="auto"/>
              <w:rPr>
                <w:rFonts w:hint="eastAsia" w:ascii="仿宋" w:hAnsi="仿宋" w:eastAsia="仿宋" w:cs="仿宋"/>
                <w:color w:val="auto"/>
                <w:sz w:val="24"/>
                <w:szCs w:val="24"/>
                <w:highlight w:val="none"/>
              </w:rPr>
            </w:pPr>
          </w:p>
        </w:tc>
        <w:tc>
          <w:tcPr>
            <w:tcW w:w="147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color w:val="auto"/>
                <w:sz w:val="24"/>
                <w:szCs w:val="24"/>
                <w:highlight w:val="none"/>
              </w:rPr>
            </w:pPr>
          </w:p>
        </w:tc>
        <w:tc>
          <w:tcPr>
            <w:tcW w:w="74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color w:val="auto"/>
                <w:sz w:val="24"/>
                <w:szCs w:val="24"/>
                <w:highlight w:val="none"/>
              </w:rPr>
            </w:pPr>
          </w:p>
        </w:tc>
        <w:tc>
          <w:tcPr>
            <w:tcW w:w="74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color w:val="auto"/>
                <w:sz w:val="24"/>
                <w:szCs w:val="24"/>
                <w:highlight w:val="none"/>
              </w:rPr>
            </w:pPr>
          </w:p>
        </w:tc>
        <w:tc>
          <w:tcPr>
            <w:tcW w:w="74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color w:val="auto"/>
                <w:sz w:val="24"/>
                <w:szCs w:val="24"/>
                <w:highlight w:val="none"/>
              </w:rPr>
            </w:pPr>
          </w:p>
        </w:tc>
        <w:tc>
          <w:tcPr>
            <w:tcW w:w="3297"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927"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color w:val="auto"/>
                <w:sz w:val="24"/>
                <w:szCs w:val="24"/>
                <w:highlight w:val="none"/>
              </w:rPr>
            </w:pPr>
          </w:p>
        </w:tc>
        <w:tc>
          <w:tcPr>
            <w:tcW w:w="74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color w:val="auto"/>
                <w:sz w:val="24"/>
                <w:szCs w:val="24"/>
                <w:highlight w:val="none"/>
              </w:rPr>
            </w:pPr>
          </w:p>
        </w:tc>
        <w:tc>
          <w:tcPr>
            <w:tcW w:w="74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color w:val="auto"/>
                <w:sz w:val="24"/>
                <w:szCs w:val="24"/>
                <w:highlight w:val="none"/>
              </w:rPr>
            </w:pPr>
          </w:p>
        </w:tc>
        <w:tc>
          <w:tcPr>
            <w:tcW w:w="147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color w:val="auto"/>
                <w:sz w:val="24"/>
                <w:szCs w:val="24"/>
                <w:highlight w:val="none"/>
              </w:rPr>
            </w:pPr>
          </w:p>
        </w:tc>
        <w:tc>
          <w:tcPr>
            <w:tcW w:w="74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color w:val="auto"/>
                <w:sz w:val="24"/>
                <w:szCs w:val="24"/>
                <w:highlight w:val="none"/>
              </w:rPr>
            </w:pPr>
          </w:p>
        </w:tc>
        <w:tc>
          <w:tcPr>
            <w:tcW w:w="74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color w:val="auto"/>
                <w:sz w:val="24"/>
                <w:szCs w:val="24"/>
                <w:highlight w:val="none"/>
              </w:rPr>
            </w:pPr>
          </w:p>
        </w:tc>
        <w:tc>
          <w:tcPr>
            <w:tcW w:w="74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color w:val="auto"/>
                <w:sz w:val="24"/>
                <w:szCs w:val="24"/>
                <w:highlight w:val="none"/>
              </w:rPr>
            </w:pPr>
          </w:p>
        </w:tc>
        <w:tc>
          <w:tcPr>
            <w:tcW w:w="3297"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927"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color w:val="auto"/>
                <w:sz w:val="24"/>
                <w:szCs w:val="24"/>
                <w:highlight w:val="none"/>
              </w:rPr>
            </w:pPr>
          </w:p>
        </w:tc>
        <w:tc>
          <w:tcPr>
            <w:tcW w:w="74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color w:val="auto"/>
                <w:sz w:val="24"/>
                <w:szCs w:val="24"/>
                <w:highlight w:val="none"/>
              </w:rPr>
            </w:pPr>
          </w:p>
        </w:tc>
        <w:tc>
          <w:tcPr>
            <w:tcW w:w="74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color w:val="auto"/>
                <w:sz w:val="24"/>
                <w:szCs w:val="24"/>
                <w:highlight w:val="none"/>
              </w:rPr>
            </w:pPr>
          </w:p>
        </w:tc>
        <w:tc>
          <w:tcPr>
            <w:tcW w:w="147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color w:val="auto"/>
                <w:sz w:val="24"/>
                <w:szCs w:val="24"/>
                <w:highlight w:val="none"/>
              </w:rPr>
            </w:pPr>
          </w:p>
        </w:tc>
        <w:tc>
          <w:tcPr>
            <w:tcW w:w="74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color w:val="auto"/>
                <w:sz w:val="24"/>
                <w:szCs w:val="24"/>
                <w:highlight w:val="none"/>
              </w:rPr>
            </w:pPr>
          </w:p>
        </w:tc>
        <w:tc>
          <w:tcPr>
            <w:tcW w:w="74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color w:val="auto"/>
                <w:sz w:val="24"/>
                <w:szCs w:val="24"/>
                <w:highlight w:val="none"/>
              </w:rPr>
            </w:pPr>
          </w:p>
        </w:tc>
        <w:tc>
          <w:tcPr>
            <w:tcW w:w="74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color w:val="auto"/>
                <w:sz w:val="24"/>
                <w:szCs w:val="24"/>
                <w:highlight w:val="none"/>
              </w:rPr>
            </w:pPr>
          </w:p>
        </w:tc>
        <w:tc>
          <w:tcPr>
            <w:tcW w:w="3297"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927"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color w:val="auto"/>
                <w:sz w:val="24"/>
                <w:szCs w:val="24"/>
                <w:highlight w:val="none"/>
              </w:rPr>
            </w:pPr>
          </w:p>
        </w:tc>
        <w:tc>
          <w:tcPr>
            <w:tcW w:w="74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color w:val="auto"/>
                <w:sz w:val="24"/>
                <w:szCs w:val="24"/>
                <w:highlight w:val="none"/>
              </w:rPr>
            </w:pPr>
          </w:p>
        </w:tc>
        <w:tc>
          <w:tcPr>
            <w:tcW w:w="74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color w:val="auto"/>
                <w:sz w:val="24"/>
                <w:szCs w:val="24"/>
                <w:highlight w:val="none"/>
              </w:rPr>
            </w:pPr>
          </w:p>
        </w:tc>
        <w:tc>
          <w:tcPr>
            <w:tcW w:w="147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color w:val="auto"/>
                <w:sz w:val="24"/>
                <w:szCs w:val="24"/>
                <w:highlight w:val="none"/>
              </w:rPr>
            </w:pPr>
          </w:p>
        </w:tc>
        <w:tc>
          <w:tcPr>
            <w:tcW w:w="74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color w:val="auto"/>
                <w:sz w:val="24"/>
                <w:szCs w:val="24"/>
                <w:highlight w:val="none"/>
              </w:rPr>
            </w:pPr>
          </w:p>
        </w:tc>
        <w:tc>
          <w:tcPr>
            <w:tcW w:w="74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color w:val="auto"/>
                <w:sz w:val="24"/>
                <w:szCs w:val="24"/>
                <w:highlight w:val="none"/>
              </w:rPr>
            </w:pPr>
          </w:p>
        </w:tc>
        <w:tc>
          <w:tcPr>
            <w:tcW w:w="74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color w:val="auto"/>
                <w:sz w:val="24"/>
                <w:szCs w:val="24"/>
                <w:highlight w:val="none"/>
              </w:rPr>
            </w:pPr>
          </w:p>
        </w:tc>
        <w:tc>
          <w:tcPr>
            <w:tcW w:w="3297"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927"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color w:val="auto"/>
                <w:sz w:val="24"/>
                <w:szCs w:val="24"/>
                <w:highlight w:val="none"/>
              </w:rPr>
            </w:pPr>
          </w:p>
        </w:tc>
        <w:tc>
          <w:tcPr>
            <w:tcW w:w="74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color w:val="auto"/>
                <w:sz w:val="24"/>
                <w:szCs w:val="24"/>
                <w:highlight w:val="none"/>
              </w:rPr>
            </w:pPr>
          </w:p>
        </w:tc>
        <w:tc>
          <w:tcPr>
            <w:tcW w:w="74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color w:val="auto"/>
                <w:sz w:val="24"/>
                <w:szCs w:val="24"/>
                <w:highlight w:val="none"/>
              </w:rPr>
            </w:pPr>
          </w:p>
        </w:tc>
        <w:tc>
          <w:tcPr>
            <w:tcW w:w="147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color w:val="auto"/>
                <w:sz w:val="24"/>
                <w:szCs w:val="24"/>
                <w:highlight w:val="none"/>
              </w:rPr>
            </w:pPr>
          </w:p>
        </w:tc>
        <w:tc>
          <w:tcPr>
            <w:tcW w:w="74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color w:val="auto"/>
                <w:sz w:val="24"/>
                <w:szCs w:val="24"/>
                <w:highlight w:val="none"/>
              </w:rPr>
            </w:pPr>
          </w:p>
        </w:tc>
        <w:tc>
          <w:tcPr>
            <w:tcW w:w="74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color w:val="auto"/>
                <w:sz w:val="24"/>
                <w:szCs w:val="24"/>
                <w:highlight w:val="none"/>
              </w:rPr>
            </w:pPr>
          </w:p>
        </w:tc>
        <w:tc>
          <w:tcPr>
            <w:tcW w:w="74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color w:val="auto"/>
                <w:sz w:val="24"/>
                <w:szCs w:val="24"/>
                <w:highlight w:val="none"/>
              </w:rPr>
            </w:pPr>
          </w:p>
        </w:tc>
        <w:tc>
          <w:tcPr>
            <w:tcW w:w="3297"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927"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color w:val="auto"/>
                <w:sz w:val="24"/>
                <w:szCs w:val="24"/>
                <w:highlight w:val="none"/>
              </w:rPr>
            </w:pPr>
          </w:p>
        </w:tc>
        <w:tc>
          <w:tcPr>
            <w:tcW w:w="74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color w:val="auto"/>
                <w:sz w:val="24"/>
                <w:szCs w:val="24"/>
                <w:highlight w:val="none"/>
              </w:rPr>
            </w:pPr>
          </w:p>
        </w:tc>
        <w:tc>
          <w:tcPr>
            <w:tcW w:w="74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color w:val="auto"/>
                <w:sz w:val="24"/>
                <w:szCs w:val="24"/>
                <w:highlight w:val="none"/>
              </w:rPr>
            </w:pPr>
          </w:p>
        </w:tc>
        <w:tc>
          <w:tcPr>
            <w:tcW w:w="147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color w:val="auto"/>
                <w:sz w:val="24"/>
                <w:szCs w:val="24"/>
                <w:highlight w:val="none"/>
              </w:rPr>
            </w:pPr>
          </w:p>
        </w:tc>
        <w:tc>
          <w:tcPr>
            <w:tcW w:w="74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color w:val="auto"/>
                <w:sz w:val="24"/>
                <w:szCs w:val="24"/>
                <w:highlight w:val="none"/>
              </w:rPr>
            </w:pPr>
          </w:p>
        </w:tc>
        <w:tc>
          <w:tcPr>
            <w:tcW w:w="74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color w:val="auto"/>
                <w:sz w:val="24"/>
                <w:szCs w:val="24"/>
                <w:highlight w:val="none"/>
              </w:rPr>
            </w:pPr>
          </w:p>
        </w:tc>
        <w:tc>
          <w:tcPr>
            <w:tcW w:w="74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color w:val="auto"/>
                <w:sz w:val="24"/>
                <w:szCs w:val="24"/>
                <w:highlight w:val="none"/>
              </w:rPr>
            </w:pPr>
          </w:p>
        </w:tc>
        <w:tc>
          <w:tcPr>
            <w:tcW w:w="3297"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927"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color w:val="auto"/>
                <w:sz w:val="24"/>
                <w:szCs w:val="24"/>
                <w:highlight w:val="none"/>
              </w:rPr>
            </w:pPr>
          </w:p>
        </w:tc>
        <w:tc>
          <w:tcPr>
            <w:tcW w:w="74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color w:val="auto"/>
                <w:sz w:val="24"/>
                <w:szCs w:val="24"/>
                <w:highlight w:val="none"/>
              </w:rPr>
            </w:pPr>
          </w:p>
        </w:tc>
        <w:tc>
          <w:tcPr>
            <w:tcW w:w="74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color w:val="auto"/>
                <w:sz w:val="24"/>
                <w:szCs w:val="24"/>
                <w:highlight w:val="none"/>
              </w:rPr>
            </w:pPr>
          </w:p>
        </w:tc>
        <w:tc>
          <w:tcPr>
            <w:tcW w:w="147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color w:val="auto"/>
                <w:sz w:val="24"/>
                <w:szCs w:val="24"/>
                <w:highlight w:val="none"/>
              </w:rPr>
            </w:pPr>
          </w:p>
        </w:tc>
        <w:tc>
          <w:tcPr>
            <w:tcW w:w="74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color w:val="auto"/>
                <w:sz w:val="24"/>
                <w:szCs w:val="24"/>
                <w:highlight w:val="none"/>
              </w:rPr>
            </w:pPr>
          </w:p>
        </w:tc>
        <w:tc>
          <w:tcPr>
            <w:tcW w:w="74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color w:val="auto"/>
                <w:sz w:val="24"/>
                <w:szCs w:val="24"/>
                <w:highlight w:val="none"/>
              </w:rPr>
            </w:pPr>
          </w:p>
        </w:tc>
        <w:tc>
          <w:tcPr>
            <w:tcW w:w="74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color w:val="auto"/>
                <w:sz w:val="24"/>
                <w:szCs w:val="24"/>
                <w:highlight w:val="none"/>
              </w:rPr>
            </w:pPr>
          </w:p>
        </w:tc>
        <w:tc>
          <w:tcPr>
            <w:tcW w:w="3297"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927"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color w:val="auto"/>
                <w:sz w:val="24"/>
                <w:szCs w:val="24"/>
                <w:highlight w:val="none"/>
              </w:rPr>
            </w:pPr>
          </w:p>
        </w:tc>
        <w:tc>
          <w:tcPr>
            <w:tcW w:w="74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color w:val="auto"/>
                <w:sz w:val="24"/>
                <w:szCs w:val="24"/>
                <w:highlight w:val="none"/>
              </w:rPr>
            </w:pPr>
          </w:p>
        </w:tc>
        <w:tc>
          <w:tcPr>
            <w:tcW w:w="74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color w:val="auto"/>
                <w:sz w:val="24"/>
                <w:szCs w:val="24"/>
                <w:highlight w:val="none"/>
              </w:rPr>
            </w:pPr>
          </w:p>
        </w:tc>
        <w:tc>
          <w:tcPr>
            <w:tcW w:w="147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color w:val="auto"/>
                <w:sz w:val="24"/>
                <w:szCs w:val="24"/>
                <w:highlight w:val="none"/>
              </w:rPr>
            </w:pPr>
          </w:p>
        </w:tc>
        <w:tc>
          <w:tcPr>
            <w:tcW w:w="74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color w:val="auto"/>
                <w:sz w:val="24"/>
                <w:szCs w:val="24"/>
                <w:highlight w:val="none"/>
              </w:rPr>
            </w:pPr>
          </w:p>
        </w:tc>
        <w:tc>
          <w:tcPr>
            <w:tcW w:w="74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color w:val="auto"/>
                <w:sz w:val="24"/>
                <w:szCs w:val="24"/>
                <w:highlight w:val="none"/>
              </w:rPr>
            </w:pPr>
          </w:p>
        </w:tc>
        <w:tc>
          <w:tcPr>
            <w:tcW w:w="74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color w:val="auto"/>
                <w:sz w:val="24"/>
                <w:szCs w:val="24"/>
                <w:highlight w:val="none"/>
              </w:rPr>
            </w:pPr>
          </w:p>
        </w:tc>
        <w:tc>
          <w:tcPr>
            <w:tcW w:w="3297"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仿宋" w:hAnsi="仿宋" w:eastAsia="仿宋" w:cs="仿宋"/>
                <w:color w:val="auto"/>
                <w:sz w:val="24"/>
                <w:szCs w:val="24"/>
                <w:highlight w:val="none"/>
              </w:rPr>
            </w:pPr>
          </w:p>
        </w:tc>
      </w:tr>
    </w:tbl>
    <w:p>
      <w:pPr>
        <w:spacing w:line="360" w:lineRule="auto"/>
        <w:rPr>
          <w:rFonts w:hint="eastAsia" w:ascii="仿宋" w:hAnsi="仿宋" w:eastAsia="仿宋" w:cs="仿宋"/>
          <w:color w:val="auto"/>
          <w:sz w:val="24"/>
          <w:highlight w:val="none"/>
        </w:rPr>
      </w:pPr>
      <w:r>
        <w:rPr>
          <w:rFonts w:hint="eastAsia" w:ascii="仿宋" w:hAnsi="仿宋" w:eastAsia="仿宋" w:cs="仿宋"/>
          <w:b/>
          <w:bCs/>
          <w:color w:val="auto"/>
          <w:sz w:val="22"/>
          <w:szCs w:val="22"/>
          <w:highlight w:val="none"/>
        </w:rPr>
        <w:t>注：</w:t>
      </w:r>
      <w:r>
        <w:rPr>
          <w:rFonts w:hint="eastAsia" w:ascii="仿宋" w:hAnsi="仿宋" w:eastAsia="仿宋" w:cs="仿宋"/>
          <w:b/>
          <w:bCs/>
          <w:color w:val="auto"/>
          <w:sz w:val="22"/>
          <w:szCs w:val="22"/>
          <w:highlight w:val="none"/>
          <w:lang w:val="en-US" w:eastAsia="zh-CN"/>
        </w:rPr>
        <w:t>须提供身份证、毕业证、相应证书、近三个月社保等相关证明材料</w:t>
      </w:r>
      <w:r>
        <w:rPr>
          <w:rFonts w:hint="eastAsia" w:ascii="仿宋" w:hAnsi="仿宋" w:eastAsia="仿宋" w:cs="仿宋"/>
          <w:b/>
          <w:bCs/>
          <w:color w:val="auto"/>
          <w:sz w:val="22"/>
          <w:szCs w:val="22"/>
          <w:highlight w:val="none"/>
        </w:rPr>
        <w:t>；</w:t>
      </w:r>
    </w:p>
    <w:p>
      <w:pPr>
        <w:spacing w:line="360" w:lineRule="auto"/>
        <w:jc w:val="left"/>
        <w:rPr>
          <w:rFonts w:hint="eastAsia" w:ascii="仿宋" w:hAnsi="仿宋" w:eastAsia="仿宋" w:cs="仿宋"/>
          <w:color w:val="auto"/>
          <w:sz w:val="22"/>
          <w:highlight w:val="none"/>
        </w:rPr>
      </w:pPr>
    </w:p>
    <w:p>
      <w:pPr>
        <w:spacing w:line="480" w:lineRule="auto"/>
        <w:ind w:firstLine="2" w:firstLineChars="1"/>
        <w:rPr>
          <w:rFonts w:hint="eastAsia" w:ascii="仿宋" w:hAnsi="仿宋" w:eastAsia="仿宋" w:cs="仿宋"/>
          <w:color w:val="auto"/>
          <w:sz w:val="24"/>
          <w:highlight w:val="none"/>
        </w:rPr>
      </w:pPr>
      <w:r>
        <w:rPr>
          <w:rFonts w:hint="eastAsia" w:ascii="仿宋" w:hAnsi="仿宋" w:eastAsia="仿宋" w:cs="仿宋"/>
          <w:color w:val="auto"/>
          <w:sz w:val="24"/>
          <w:highlight w:val="none"/>
        </w:rPr>
        <w:t>投标人：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（电子签章）</w:t>
      </w:r>
    </w:p>
    <w:p>
      <w:pPr>
        <w:spacing w:line="480" w:lineRule="auto"/>
        <w:ind w:firstLine="2" w:firstLineChars="1"/>
        <w:rPr>
          <w:rFonts w:hint="eastAsia" w:ascii="仿宋" w:hAnsi="仿宋" w:eastAsia="仿宋" w:cs="仿宋"/>
          <w:color w:val="auto"/>
          <w:sz w:val="24"/>
          <w:highlight w:val="none"/>
        </w:rPr>
      </w:pPr>
      <w:r>
        <w:rPr>
          <w:rFonts w:hint="eastAsia" w:ascii="仿宋" w:hAnsi="仿宋" w:eastAsia="仿宋" w:cs="仿宋"/>
          <w:color w:val="auto"/>
          <w:sz w:val="24"/>
          <w:highlight w:val="none"/>
        </w:rPr>
        <w:t>法定代表人或其委托代理人：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（电子签章）</w:t>
      </w:r>
    </w:p>
    <w:p>
      <w:pPr>
        <w:pStyle w:val="20"/>
        <w:spacing w:line="48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月</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日</w:t>
      </w:r>
    </w:p>
    <w:p>
      <w:pPr>
        <w:rPr>
          <w:rFonts w:hint="eastAsia" w:ascii="仿宋" w:hAnsi="仿宋" w:eastAsia="仿宋" w:cs="仿宋"/>
          <w:b/>
          <w:bCs/>
          <w:color w:val="auto"/>
          <w:sz w:val="28"/>
          <w:szCs w:val="28"/>
          <w:highlight w:val="none"/>
        </w:rPr>
      </w:pPr>
      <w:r>
        <w:rPr>
          <w:rFonts w:hint="eastAsia" w:ascii="仿宋" w:hAnsi="仿宋" w:eastAsia="仿宋" w:cs="仿宋"/>
          <w:color w:val="auto"/>
          <w:sz w:val="24"/>
          <w:highlight w:val="none"/>
        </w:rPr>
        <w:br w:type="page"/>
      </w:r>
    </w:p>
    <w:p>
      <w:pPr>
        <w:spacing w:before="130" w:after="130" w:line="360" w:lineRule="auto"/>
        <w:jc w:val="center"/>
        <w:rPr>
          <w:rFonts w:hint="eastAsia" w:ascii="仿宋" w:hAnsi="仿宋" w:eastAsia="仿宋" w:cs="仿宋"/>
          <w:b/>
          <w:bCs/>
          <w:color w:val="auto"/>
          <w:sz w:val="28"/>
          <w:szCs w:val="28"/>
          <w:highlight w:val="none"/>
        </w:rPr>
      </w:pPr>
      <w:bookmarkStart w:id="89" w:name="_Toc42105435"/>
      <w:r>
        <w:rPr>
          <w:rFonts w:hint="eastAsia" w:ascii="仿宋" w:hAnsi="仿宋" w:eastAsia="仿宋" w:cs="仿宋"/>
          <w:b/>
          <w:bCs/>
          <w:color w:val="auto"/>
          <w:sz w:val="28"/>
          <w:szCs w:val="28"/>
          <w:highlight w:val="none"/>
          <w:lang w:val="en-US" w:eastAsia="zh-CN"/>
        </w:rPr>
        <w:t>2</w:t>
      </w:r>
      <w:r>
        <w:rPr>
          <w:rFonts w:hint="eastAsia" w:ascii="仿宋" w:hAnsi="仿宋" w:eastAsia="仿宋" w:cs="仿宋"/>
          <w:b/>
          <w:bCs/>
          <w:color w:val="auto"/>
          <w:sz w:val="28"/>
          <w:szCs w:val="28"/>
          <w:highlight w:val="none"/>
        </w:rPr>
        <w:t>.</w:t>
      </w:r>
      <w:r>
        <w:rPr>
          <w:rFonts w:hint="eastAsia" w:ascii="仿宋" w:hAnsi="仿宋" w:eastAsia="仿宋" w:cs="仿宋"/>
          <w:b/>
          <w:bCs/>
          <w:color w:val="auto"/>
          <w:sz w:val="28"/>
          <w:szCs w:val="28"/>
          <w:highlight w:val="none"/>
          <w:lang w:val="en-US" w:eastAsia="zh-CN"/>
        </w:rPr>
        <w:t>服务质量承诺</w:t>
      </w:r>
    </w:p>
    <w:p>
      <w:pPr>
        <w:spacing w:before="130" w:after="130" w:line="360" w:lineRule="auto"/>
        <w:jc w:val="center"/>
        <w:rPr>
          <w:rFonts w:hint="eastAsia" w:ascii="仿宋" w:hAnsi="仿宋" w:eastAsia="仿宋" w:cs="仿宋"/>
          <w:b w:val="0"/>
          <w:bCs w:val="0"/>
          <w:color w:val="auto"/>
          <w:sz w:val="28"/>
          <w:szCs w:val="28"/>
          <w:highlight w:val="none"/>
          <w:lang w:eastAsia="zh-CN"/>
        </w:rPr>
      </w:pPr>
      <w:r>
        <w:rPr>
          <w:rFonts w:hint="eastAsia" w:ascii="仿宋" w:hAnsi="仿宋" w:eastAsia="仿宋" w:cs="仿宋"/>
          <w:b w:val="0"/>
          <w:bCs w:val="0"/>
          <w:color w:val="auto"/>
          <w:sz w:val="28"/>
          <w:szCs w:val="28"/>
          <w:highlight w:val="none"/>
          <w:lang w:eastAsia="zh-CN"/>
        </w:rPr>
        <w:t>（</w:t>
      </w:r>
      <w:r>
        <w:rPr>
          <w:rFonts w:hint="eastAsia" w:ascii="仿宋" w:hAnsi="仿宋" w:eastAsia="仿宋" w:cs="仿宋"/>
          <w:b w:val="0"/>
          <w:bCs w:val="0"/>
          <w:color w:val="auto"/>
          <w:sz w:val="28"/>
          <w:szCs w:val="28"/>
          <w:highlight w:val="none"/>
          <w:lang w:val="en-US" w:eastAsia="zh-CN"/>
        </w:rPr>
        <w:t>根据招标文件采购需求及评分办法要求编制，格式自拟</w:t>
      </w:r>
      <w:r>
        <w:rPr>
          <w:rFonts w:hint="eastAsia" w:ascii="仿宋" w:hAnsi="仿宋" w:eastAsia="仿宋" w:cs="仿宋"/>
          <w:b w:val="0"/>
          <w:bCs w:val="0"/>
          <w:color w:val="auto"/>
          <w:sz w:val="28"/>
          <w:szCs w:val="28"/>
          <w:highlight w:val="none"/>
          <w:lang w:eastAsia="zh-CN"/>
        </w:rPr>
        <w:t>）</w:t>
      </w:r>
    </w:p>
    <w:p>
      <w:pPr>
        <w:widowControl w:val="0"/>
        <w:numPr>
          <w:ilvl w:val="0"/>
          <w:numId w:val="0"/>
        </w:numPr>
        <w:spacing w:before="130" w:after="130" w:line="360" w:lineRule="auto"/>
        <w:jc w:val="center"/>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kern w:val="2"/>
          <w:sz w:val="28"/>
          <w:szCs w:val="28"/>
          <w:highlight w:val="none"/>
          <w:lang w:val="en-US" w:eastAsia="zh-CN" w:bidi="ar-SA"/>
        </w:rPr>
        <w:t>3.风险控制及应急方案</w:t>
      </w:r>
    </w:p>
    <w:p>
      <w:pPr>
        <w:spacing w:before="130" w:after="130" w:line="360" w:lineRule="auto"/>
        <w:jc w:val="center"/>
        <w:rPr>
          <w:rFonts w:hint="eastAsia" w:ascii="仿宋" w:hAnsi="仿宋" w:eastAsia="仿宋" w:cs="仿宋"/>
          <w:b w:val="0"/>
          <w:bCs w:val="0"/>
          <w:color w:val="auto"/>
          <w:sz w:val="28"/>
          <w:szCs w:val="28"/>
          <w:highlight w:val="none"/>
          <w:lang w:eastAsia="zh-CN"/>
        </w:rPr>
      </w:pPr>
      <w:r>
        <w:rPr>
          <w:rFonts w:hint="eastAsia" w:ascii="仿宋" w:hAnsi="仿宋" w:eastAsia="仿宋" w:cs="仿宋"/>
          <w:b w:val="0"/>
          <w:bCs w:val="0"/>
          <w:color w:val="auto"/>
          <w:sz w:val="28"/>
          <w:szCs w:val="28"/>
          <w:highlight w:val="none"/>
          <w:lang w:eastAsia="zh-CN"/>
        </w:rPr>
        <w:t>（</w:t>
      </w:r>
      <w:r>
        <w:rPr>
          <w:rFonts w:hint="eastAsia" w:ascii="仿宋" w:hAnsi="仿宋" w:eastAsia="仿宋" w:cs="仿宋"/>
          <w:b w:val="0"/>
          <w:bCs w:val="0"/>
          <w:color w:val="auto"/>
          <w:sz w:val="28"/>
          <w:szCs w:val="28"/>
          <w:highlight w:val="none"/>
          <w:lang w:val="en-US" w:eastAsia="zh-CN"/>
        </w:rPr>
        <w:t>根据招标文件采购需求及评分办法要求编制，格式自拟</w:t>
      </w:r>
      <w:r>
        <w:rPr>
          <w:rFonts w:hint="eastAsia" w:ascii="仿宋" w:hAnsi="仿宋" w:eastAsia="仿宋" w:cs="仿宋"/>
          <w:b w:val="0"/>
          <w:bCs w:val="0"/>
          <w:color w:val="auto"/>
          <w:sz w:val="28"/>
          <w:szCs w:val="28"/>
          <w:highlight w:val="none"/>
          <w:lang w:eastAsia="zh-CN"/>
        </w:rPr>
        <w:t>）</w:t>
      </w:r>
    </w:p>
    <w:p>
      <w:pPr>
        <w:widowControl w:val="0"/>
        <w:numPr>
          <w:ilvl w:val="0"/>
          <w:numId w:val="0"/>
        </w:numPr>
        <w:spacing w:before="130" w:after="130" w:line="360" w:lineRule="auto"/>
        <w:jc w:val="center"/>
        <w:rPr>
          <w:rFonts w:hint="eastAsia" w:ascii="仿宋" w:hAnsi="仿宋" w:eastAsia="仿宋" w:cs="仿宋"/>
          <w:b/>
          <w:bCs/>
          <w:color w:val="auto"/>
          <w:kern w:val="2"/>
          <w:sz w:val="28"/>
          <w:szCs w:val="28"/>
          <w:highlight w:val="none"/>
          <w:lang w:val="en-US" w:eastAsia="zh-CN" w:bidi="ar-SA"/>
        </w:rPr>
      </w:pPr>
      <w:r>
        <w:rPr>
          <w:rFonts w:hint="eastAsia" w:ascii="仿宋" w:hAnsi="仿宋" w:eastAsia="仿宋" w:cs="仿宋"/>
          <w:b/>
          <w:bCs/>
          <w:color w:val="auto"/>
          <w:kern w:val="2"/>
          <w:sz w:val="28"/>
          <w:szCs w:val="28"/>
          <w:highlight w:val="none"/>
          <w:lang w:val="en-US" w:eastAsia="zh-CN" w:bidi="ar-SA"/>
        </w:rPr>
        <w:t>4.其他资料</w:t>
      </w:r>
    </w:p>
    <w:p>
      <w:pPr>
        <w:jc w:val="center"/>
        <w:rPr>
          <w:rFonts w:hint="eastAsia" w:ascii="仿宋" w:hAnsi="仿宋" w:eastAsia="仿宋" w:cs="仿宋"/>
          <w:b w:val="0"/>
          <w:bCs w:val="0"/>
          <w:color w:val="auto"/>
          <w:highlight w:val="none"/>
        </w:rPr>
      </w:pPr>
      <w:r>
        <w:rPr>
          <w:rFonts w:hint="eastAsia" w:ascii="仿宋" w:hAnsi="仿宋" w:eastAsia="仿宋" w:cs="仿宋"/>
          <w:b w:val="0"/>
          <w:bCs w:val="0"/>
          <w:color w:val="auto"/>
          <w:sz w:val="28"/>
          <w:szCs w:val="28"/>
          <w:highlight w:val="none"/>
        </w:rPr>
        <w:t>1.招标文件要求提交的其他资料</w:t>
      </w:r>
    </w:p>
    <w:p>
      <w:pPr>
        <w:numPr>
          <w:ilvl w:val="0"/>
          <w:numId w:val="6"/>
        </w:numPr>
        <w:jc w:val="center"/>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t>投标人认为需要提交的其他资料</w:t>
      </w:r>
    </w:p>
    <w:p>
      <w:pPr>
        <w:jc w:val="center"/>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t>3.投标人能享受政策优惠的证明材料</w:t>
      </w:r>
    </w:p>
    <w:p>
      <w:pPr>
        <w:pStyle w:val="16"/>
        <w:jc w:val="center"/>
        <w:rPr>
          <w:rFonts w:hint="eastAsia" w:ascii="仿宋" w:hAnsi="仿宋" w:eastAsia="仿宋" w:cs="仿宋"/>
          <w:b w:val="0"/>
          <w:color w:val="auto"/>
          <w:sz w:val="24"/>
          <w:szCs w:val="11"/>
          <w:highlight w:val="none"/>
        </w:rPr>
      </w:pPr>
      <w:r>
        <w:rPr>
          <w:rFonts w:hint="eastAsia" w:ascii="仿宋" w:hAnsi="仿宋" w:eastAsia="仿宋" w:cs="仿宋"/>
          <w:b w:val="0"/>
          <w:bCs w:val="0"/>
          <w:color w:val="auto"/>
          <w:sz w:val="24"/>
          <w:szCs w:val="11"/>
          <w:highlight w:val="none"/>
        </w:rPr>
        <w:t>（《中小企业声明函》、《监狱企业证明文件》、《残疾人福利性单位声明函》</w:t>
      </w:r>
      <w:r>
        <w:rPr>
          <w:rFonts w:hint="eastAsia" w:ascii="仿宋" w:hAnsi="仿宋" w:eastAsia="仿宋" w:cs="仿宋"/>
          <w:b w:val="0"/>
          <w:color w:val="auto"/>
          <w:sz w:val="24"/>
          <w:szCs w:val="11"/>
          <w:highlight w:val="none"/>
        </w:rPr>
        <w:t>附后）</w:t>
      </w:r>
    </w:p>
    <w:p>
      <w:pPr>
        <w:pStyle w:val="16"/>
        <w:jc w:val="center"/>
        <w:rPr>
          <w:rFonts w:hint="eastAsia" w:ascii="仿宋" w:hAnsi="仿宋" w:eastAsia="仿宋" w:cs="仿宋"/>
          <w:b w:val="0"/>
          <w:color w:val="auto"/>
          <w:sz w:val="24"/>
          <w:szCs w:val="11"/>
          <w:highlight w:val="none"/>
        </w:rPr>
      </w:pPr>
    </w:p>
    <w:p>
      <w:pPr>
        <w:pStyle w:val="16"/>
        <w:jc w:val="center"/>
        <w:rPr>
          <w:rFonts w:hint="eastAsia" w:ascii="仿宋" w:hAnsi="仿宋" w:eastAsia="仿宋" w:cs="仿宋"/>
          <w:b w:val="0"/>
          <w:color w:val="auto"/>
          <w:sz w:val="24"/>
          <w:szCs w:val="11"/>
          <w:highlight w:val="none"/>
        </w:rPr>
      </w:pPr>
    </w:p>
    <w:p>
      <w:pPr>
        <w:pStyle w:val="16"/>
        <w:jc w:val="center"/>
        <w:rPr>
          <w:rFonts w:hint="eastAsia" w:ascii="仿宋" w:hAnsi="仿宋" w:eastAsia="仿宋" w:cs="仿宋"/>
          <w:b w:val="0"/>
          <w:color w:val="auto"/>
          <w:sz w:val="24"/>
          <w:szCs w:val="11"/>
          <w:highlight w:val="none"/>
        </w:rPr>
      </w:pPr>
    </w:p>
    <w:p>
      <w:pPr>
        <w:pStyle w:val="16"/>
        <w:jc w:val="center"/>
        <w:rPr>
          <w:rFonts w:hint="eastAsia" w:ascii="仿宋" w:hAnsi="仿宋" w:eastAsia="仿宋" w:cs="仿宋"/>
          <w:b w:val="0"/>
          <w:color w:val="auto"/>
          <w:sz w:val="24"/>
          <w:szCs w:val="11"/>
          <w:highlight w:val="none"/>
        </w:rPr>
      </w:pPr>
    </w:p>
    <w:p>
      <w:pPr>
        <w:pStyle w:val="16"/>
        <w:jc w:val="center"/>
        <w:rPr>
          <w:rFonts w:hint="eastAsia" w:ascii="仿宋" w:hAnsi="仿宋" w:eastAsia="仿宋" w:cs="仿宋"/>
          <w:b w:val="0"/>
          <w:color w:val="auto"/>
          <w:sz w:val="24"/>
          <w:szCs w:val="11"/>
          <w:highlight w:val="none"/>
        </w:rPr>
      </w:pPr>
    </w:p>
    <w:p>
      <w:pPr>
        <w:pStyle w:val="16"/>
        <w:jc w:val="center"/>
        <w:rPr>
          <w:rFonts w:hint="eastAsia" w:ascii="仿宋" w:hAnsi="仿宋" w:eastAsia="仿宋" w:cs="仿宋"/>
          <w:b w:val="0"/>
          <w:color w:val="auto"/>
          <w:sz w:val="24"/>
          <w:szCs w:val="11"/>
          <w:highlight w:val="none"/>
        </w:rPr>
      </w:pPr>
    </w:p>
    <w:p>
      <w:pPr>
        <w:pStyle w:val="16"/>
        <w:jc w:val="center"/>
        <w:rPr>
          <w:rFonts w:hint="eastAsia" w:ascii="仿宋" w:hAnsi="仿宋" w:eastAsia="仿宋" w:cs="仿宋"/>
          <w:b w:val="0"/>
          <w:color w:val="auto"/>
          <w:sz w:val="24"/>
          <w:szCs w:val="11"/>
          <w:highlight w:val="none"/>
        </w:rPr>
      </w:pPr>
    </w:p>
    <w:p>
      <w:pPr>
        <w:pStyle w:val="16"/>
        <w:jc w:val="center"/>
        <w:rPr>
          <w:rFonts w:hint="eastAsia" w:ascii="仿宋" w:hAnsi="仿宋" w:eastAsia="仿宋" w:cs="仿宋"/>
          <w:b w:val="0"/>
          <w:color w:val="auto"/>
          <w:sz w:val="24"/>
          <w:szCs w:val="11"/>
          <w:highlight w:val="none"/>
        </w:rPr>
        <w:sectPr>
          <w:pgSz w:w="11906" w:h="16838"/>
          <w:pgMar w:top="1134" w:right="1304" w:bottom="1134" w:left="1304" w:header="851" w:footer="851" w:gutter="0"/>
          <w:cols w:space="720" w:num="1"/>
          <w:docGrid w:linePitch="331" w:charSpace="0"/>
        </w:sectPr>
      </w:pPr>
    </w:p>
    <w:bookmarkEnd w:id="89"/>
    <w:p>
      <w:pPr>
        <w:spacing w:line="500" w:lineRule="exact"/>
        <w:jc w:val="left"/>
        <w:outlineLvl w:val="2"/>
        <w:rPr>
          <w:rFonts w:hint="eastAsia" w:ascii="仿宋" w:hAnsi="仿宋" w:eastAsia="仿宋" w:cs="仿宋"/>
          <w:color w:val="auto"/>
          <w:highlight w:val="none"/>
        </w:rPr>
      </w:pPr>
      <w:bookmarkStart w:id="90" w:name="_Toc28546"/>
      <w:bookmarkStart w:id="91" w:name="_Toc7453"/>
      <w:bookmarkStart w:id="92" w:name="_Toc23926"/>
      <w:bookmarkStart w:id="93" w:name="_Toc12304"/>
      <w:bookmarkStart w:id="94" w:name="_Toc31691"/>
      <w:bookmarkStart w:id="95" w:name="_Toc29496"/>
      <w:bookmarkStart w:id="96" w:name="_Toc441"/>
      <w:bookmarkStart w:id="97" w:name="_Toc846"/>
      <w:bookmarkStart w:id="98" w:name="_Toc936"/>
      <w:r>
        <w:rPr>
          <w:rFonts w:hint="eastAsia" w:ascii="仿宋" w:hAnsi="仿宋" w:eastAsia="仿宋" w:cs="仿宋"/>
          <w:b/>
          <w:color w:val="auto"/>
          <w:kern w:val="0"/>
          <w:sz w:val="28"/>
          <w:highlight w:val="none"/>
        </w:rPr>
        <w:t>附件1：中小企业声明函</w:t>
      </w:r>
      <w:bookmarkEnd w:id="90"/>
      <w:bookmarkEnd w:id="91"/>
      <w:bookmarkEnd w:id="92"/>
      <w:bookmarkEnd w:id="93"/>
      <w:bookmarkEnd w:id="94"/>
      <w:bookmarkEnd w:id="95"/>
      <w:bookmarkEnd w:id="96"/>
      <w:bookmarkEnd w:id="97"/>
      <w:bookmarkEnd w:id="98"/>
    </w:p>
    <w:p>
      <w:pPr>
        <w:autoSpaceDE w:val="0"/>
        <w:autoSpaceDN w:val="0"/>
        <w:adjustRightInd w:val="0"/>
        <w:rPr>
          <w:rFonts w:hint="eastAsia" w:ascii="仿宋" w:hAnsi="仿宋" w:eastAsia="仿宋" w:cs="仿宋"/>
          <w:color w:val="auto"/>
          <w:highlight w:val="none"/>
        </w:rPr>
      </w:pPr>
    </w:p>
    <w:p>
      <w:pPr>
        <w:spacing w:line="360" w:lineRule="auto"/>
        <w:ind w:left="380"/>
        <w:jc w:val="center"/>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中小企业声明函（服务）</w:t>
      </w:r>
    </w:p>
    <w:p>
      <w:pPr>
        <w:adjustRightIn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本公司</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郑重声明，根据《政府采购促进中小企业发展管理办法》（财库﹝2020﹞46 号）的规定，本公司参加</w:t>
      </w:r>
      <w:r>
        <w:rPr>
          <w:rFonts w:hint="eastAsia" w:ascii="仿宋" w:hAnsi="仿宋" w:eastAsia="仿宋" w:cs="仿宋"/>
          <w:color w:val="auto"/>
          <w:sz w:val="24"/>
          <w:szCs w:val="24"/>
          <w:highlight w:val="none"/>
          <w:u w:val="single"/>
        </w:rPr>
        <w:t>（采购单位名称）</w:t>
      </w:r>
      <w:r>
        <w:rPr>
          <w:rFonts w:hint="eastAsia" w:ascii="仿宋" w:hAnsi="仿宋" w:eastAsia="仿宋" w:cs="仿宋"/>
          <w:color w:val="auto"/>
          <w:sz w:val="24"/>
          <w:szCs w:val="24"/>
          <w:highlight w:val="none"/>
        </w:rPr>
        <w:t>的</w:t>
      </w:r>
      <w:r>
        <w:rPr>
          <w:rFonts w:hint="eastAsia" w:ascii="仿宋" w:hAnsi="仿宋" w:eastAsia="仿宋" w:cs="仿宋"/>
          <w:color w:val="auto"/>
          <w:sz w:val="24"/>
          <w:szCs w:val="24"/>
          <w:highlight w:val="none"/>
          <w:u w:val="single"/>
        </w:rPr>
        <w:t>（项目名称）</w:t>
      </w:r>
      <w:r>
        <w:rPr>
          <w:rFonts w:hint="eastAsia" w:ascii="仿宋" w:hAnsi="仿宋" w:eastAsia="仿宋" w:cs="仿宋"/>
          <w:color w:val="auto"/>
          <w:sz w:val="24"/>
          <w:szCs w:val="24"/>
          <w:highlight w:val="none"/>
        </w:rPr>
        <w:t>采购活动，提供的服务全部由符合政策要求的中小企业制造。相关企业（含联合体中的中小企业、签订分包意向协议的中小企业）的具体情况如下：</w:t>
      </w:r>
    </w:p>
    <w:p>
      <w:pPr>
        <w:numPr>
          <w:ilvl w:val="0"/>
          <w:numId w:val="7"/>
        </w:numPr>
        <w:adjustRightIn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（标的名称）</w:t>
      </w:r>
      <w:r>
        <w:rPr>
          <w:rFonts w:hint="eastAsia" w:ascii="仿宋" w:hAnsi="仿宋" w:eastAsia="仿宋" w:cs="仿宋"/>
          <w:color w:val="auto"/>
          <w:sz w:val="24"/>
          <w:szCs w:val="24"/>
          <w:highlight w:val="none"/>
        </w:rPr>
        <w:t>，属于</w:t>
      </w:r>
      <w:r>
        <w:rPr>
          <w:rFonts w:hint="eastAsia" w:ascii="仿宋" w:hAnsi="仿宋" w:eastAsia="仿宋" w:cs="仿宋"/>
          <w:color w:val="auto"/>
          <w:sz w:val="24"/>
          <w:szCs w:val="24"/>
          <w:highlight w:val="none"/>
          <w:u w:val="single"/>
        </w:rPr>
        <w:t>（采购文件中明确的所属行业）</w:t>
      </w:r>
      <w:r>
        <w:rPr>
          <w:rFonts w:hint="eastAsia" w:ascii="仿宋" w:hAnsi="仿宋" w:eastAsia="仿宋" w:cs="仿宋"/>
          <w:color w:val="auto"/>
          <w:sz w:val="24"/>
          <w:szCs w:val="24"/>
          <w:highlight w:val="none"/>
        </w:rPr>
        <w:t>行业；服务商为</w:t>
      </w:r>
      <w:r>
        <w:rPr>
          <w:rFonts w:hint="eastAsia" w:ascii="仿宋" w:hAnsi="仿宋" w:eastAsia="仿宋" w:cs="仿宋"/>
          <w:color w:val="auto"/>
          <w:sz w:val="24"/>
          <w:szCs w:val="24"/>
          <w:highlight w:val="none"/>
          <w:u w:val="single"/>
        </w:rPr>
        <w:t>（企业名称）</w:t>
      </w:r>
      <w:r>
        <w:rPr>
          <w:rFonts w:hint="eastAsia" w:ascii="仿宋" w:hAnsi="仿宋" w:eastAsia="仿宋" w:cs="仿宋"/>
          <w:color w:val="auto"/>
          <w:sz w:val="24"/>
          <w:szCs w:val="24"/>
          <w:highlight w:val="none"/>
        </w:rPr>
        <w:t>，从业人员</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人，营业收入为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万元，资产总额为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万元，属于</w:t>
      </w:r>
      <w:r>
        <w:rPr>
          <w:rFonts w:hint="eastAsia" w:ascii="仿宋" w:hAnsi="仿宋" w:eastAsia="仿宋" w:cs="仿宋"/>
          <w:color w:val="auto"/>
          <w:sz w:val="24"/>
          <w:szCs w:val="24"/>
          <w:highlight w:val="none"/>
          <w:u w:val="single"/>
        </w:rPr>
        <w:t>（中型企业、小型企业、微型企业）</w:t>
      </w:r>
      <w:r>
        <w:rPr>
          <w:rFonts w:hint="eastAsia" w:ascii="仿宋" w:hAnsi="仿宋" w:eastAsia="仿宋" w:cs="仿宋"/>
          <w:color w:val="auto"/>
          <w:sz w:val="24"/>
          <w:szCs w:val="24"/>
          <w:highlight w:val="none"/>
        </w:rPr>
        <w:t>；</w:t>
      </w:r>
    </w:p>
    <w:p>
      <w:pPr>
        <w:numPr>
          <w:ilvl w:val="0"/>
          <w:numId w:val="7"/>
        </w:numPr>
        <w:adjustRightIn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（标的名称）</w:t>
      </w:r>
      <w:r>
        <w:rPr>
          <w:rFonts w:hint="eastAsia" w:ascii="仿宋" w:hAnsi="仿宋" w:eastAsia="仿宋" w:cs="仿宋"/>
          <w:color w:val="auto"/>
          <w:sz w:val="24"/>
          <w:szCs w:val="24"/>
          <w:highlight w:val="none"/>
        </w:rPr>
        <w:t>，属于</w:t>
      </w:r>
      <w:r>
        <w:rPr>
          <w:rFonts w:hint="eastAsia" w:ascii="仿宋" w:hAnsi="仿宋" w:eastAsia="仿宋" w:cs="仿宋"/>
          <w:color w:val="auto"/>
          <w:sz w:val="24"/>
          <w:szCs w:val="24"/>
          <w:highlight w:val="none"/>
          <w:u w:val="single"/>
        </w:rPr>
        <w:t>（采购文件中明确的所属行业）</w:t>
      </w:r>
      <w:r>
        <w:rPr>
          <w:rFonts w:hint="eastAsia" w:ascii="仿宋" w:hAnsi="仿宋" w:eastAsia="仿宋" w:cs="仿宋"/>
          <w:color w:val="auto"/>
          <w:sz w:val="24"/>
          <w:szCs w:val="24"/>
          <w:highlight w:val="none"/>
        </w:rPr>
        <w:t>行业；服务商为</w:t>
      </w:r>
      <w:r>
        <w:rPr>
          <w:rFonts w:hint="eastAsia" w:ascii="仿宋" w:hAnsi="仿宋" w:eastAsia="仿宋" w:cs="仿宋"/>
          <w:color w:val="auto"/>
          <w:sz w:val="24"/>
          <w:szCs w:val="24"/>
          <w:highlight w:val="none"/>
          <w:u w:val="single"/>
        </w:rPr>
        <w:t>（企业名称）</w:t>
      </w:r>
      <w:r>
        <w:rPr>
          <w:rFonts w:hint="eastAsia" w:ascii="仿宋" w:hAnsi="仿宋" w:eastAsia="仿宋" w:cs="仿宋"/>
          <w:color w:val="auto"/>
          <w:sz w:val="24"/>
          <w:szCs w:val="24"/>
          <w:highlight w:val="none"/>
        </w:rPr>
        <w:t>，从业人员</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人，营业收入为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万元，资产总额为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万元，属于</w:t>
      </w:r>
      <w:r>
        <w:rPr>
          <w:rFonts w:hint="eastAsia" w:ascii="仿宋" w:hAnsi="仿宋" w:eastAsia="仿宋" w:cs="仿宋"/>
          <w:color w:val="auto"/>
          <w:sz w:val="24"/>
          <w:szCs w:val="24"/>
          <w:highlight w:val="none"/>
          <w:u w:val="single"/>
        </w:rPr>
        <w:t>（中型企业、小型企业、微型企业）</w:t>
      </w:r>
      <w:r>
        <w:rPr>
          <w:rFonts w:hint="eastAsia" w:ascii="仿宋" w:hAnsi="仿宋" w:eastAsia="仿宋" w:cs="仿宋"/>
          <w:color w:val="auto"/>
          <w:sz w:val="24"/>
          <w:szCs w:val="24"/>
          <w:highlight w:val="none"/>
        </w:rPr>
        <w:t xml:space="preserve">； </w:t>
      </w:r>
    </w:p>
    <w:p>
      <w:pPr>
        <w:pStyle w:val="46"/>
        <w:rPr>
          <w:rFonts w:hint="eastAsia" w:ascii="仿宋" w:hAnsi="仿宋" w:eastAsia="仿宋" w:cs="仿宋"/>
          <w:color w:val="auto"/>
          <w:highlight w:val="none"/>
        </w:rPr>
      </w:pPr>
      <w:r>
        <w:rPr>
          <w:rFonts w:hint="eastAsia" w:ascii="仿宋" w:hAnsi="仿宋" w:eastAsia="仿宋" w:cs="仿宋"/>
          <w:color w:val="auto"/>
          <w:highlight w:val="none"/>
        </w:rPr>
        <w:t>...</w:t>
      </w:r>
    </w:p>
    <w:p>
      <w:pPr>
        <w:adjustRightIn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以上企业，不属于大企业的分支机构，不存在控股股东为大企业的情形，也不存在与大企业的负责人为同一人的情形。</w:t>
      </w:r>
    </w:p>
    <w:p>
      <w:pPr>
        <w:adjustRightInd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本企业对上述声明内容的真实性负责。如有虚假，将依法承担相应责任。 </w:t>
      </w:r>
    </w:p>
    <w:p>
      <w:pPr>
        <w:adjustRightInd w:val="0"/>
        <w:spacing w:line="360" w:lineRule="auto"/>
        <w:ind w:firstLine="440" w:firstLineChars="200"/>
        <w:rPr>
          <w:rFonts w:hint="eastAsia" w:ascii="仿宋" w:hAnsi="仿宋" w:eastAsia="仿宋" w:cs="仿宋"/>
          <w:color w:val="auto"/>
          <w:sz w:val="22"/>
          <w:szCs w:val="22"/>
          <w:highlight w:val="none"/>
        </w:rPr>
      </w:pPr>
    </w:p>
    <w:p>
      <w:pPr>
        <w:autoSpaceDE w:val="0"/>
        <w:autoSpaceDN w:val="0"/>
        <w:adjustRightInd w:val="0"/>
        <w:spacing w:line="600" w:lineRule="exact"/>
        <w:jc w:val="left"/>
        <w:rPr>
          <w:rFonts w:hint="eastAsia" w:ascii="仿宋" w:hAnsi="仿宋" w:eastAsia="仿宋" w:cs="仿宋"/>
          <w:bCs/>
          <w:color w:val="auto"/>
          <w:kern w:val="0"/>
          <w:sz w:val="24"/>
          <w:szCs w:val="24"/>
          <w:highlight w:val="none"/>
        </w:rPr>
      </w:pPr>
      <w:r>
        <w:rPr>
          <w:rFonts w:hint="eastAsia" w:ascii="仿宋" w:hAnsi="仿宋" w:eastAsia="仿宋" w:cs="仿宋"/>
          <w:bCs/>
          <w:color w:val="auto"/>
          <w:sz w:val="24"/>
          <w:szCs w:val="24"/>
          <w:highlight w:val="none"/>
        </w:rPr>
        <w:t>投标人：</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rPr>
        <w:t>（</w:t>
      </w:r>
      <w:r>
        <w:rPr>
          <w:rFonts w:hint="eastAsia" w:ascii="仿宋" w:hAnsi="仿宋" w:eastAsia="仿宋" w:cs="仿宋"/>
          <w:color w:val="auto"/>
          <w:sz w:val="24"/>
          <w:szCs w:val="24"/>
          <w:highlight w:val="none"/>
        </w:rPr>
        <w:t>电子签章</w:t>
      </w:r>
      <w:r>
        <w:rPr>
          <w:rFonts w:hint="eastAsia" w:ascii="仿宋" w:hAnsi="仿宋" w:eastAsia="仿宋" w:cs="仿宋"/>
          <w:bCs/>
          <w:color w:val="auto"/>
          <w:sz w:val="24"/>
          <w:szCs w:val="24"/>
          <w:highlight w:val="none"/>
        </w:rPr>
        <w:t>）</w:t>
      </w:r>
    </w:p>
    <w:p>
      <w:pPr>
        <w:autoSpaceDE w:val="0"/>
        <w:autoSpaceDN w:val="0"/>
        <w:adjustRightInd w:val="0"/>
        <w:spacing w:line="600" w:lineRule="exact"/>
        <w:jc w:val="lef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法定代表人或其委托代理人：</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rPr>
        <w:t>（</w:t>
      </w:r>
      <w:r>
        <w:rPr>
          <w:rFonts w:hint="eastAsia" w:ascii="仿宋" w:hAnsi="仿宋" w:eastAsia="仿宋" w:cs="仿宋"/>
          <w:color w:val="auto"/>
          <w:sz w:val="24"/>
          <w:szCs w:val="24"/>
          <w:highlight w:val="none"/>
        </w:rPr>
        <w:t>电子签章</w:t>
      </w:r>
      <w:r>
        <w:rPr>
          <w:rFonts w:hint="eastAsia" w:ascii="仿宋" w:hAnsi="仿宋" w:eastAsia="仿宋" w:cs="仿宋"/>
          <w:bCs/>
          <w:color w:val="auto"/>
          <w:sz w:val="24"/>
          <w:szCs w:val="24"/>
          <w:highlight w:val="none"/>
        </w:rPr>
        <w:t>）</w:t>
      </w:r>
    </w:p>
    <w:p>
      <w:pPr>
        <w:pStyle w:val="16"/>
        <w:spacing w:line="400" w:lineRule="exact"/>
        <w:rPr>
          <w:rFonts w:hint="eastAsia" w:ascii="仿宋" w:hAnsi="仿宋" w:eastAsia="仿宋" w:cs="仿宋"/>
          <w:b w:val="0"/>
          <w:color w:val="auto"/>
          <w:sz w:val="24"/>
          <w:szCs w:val="24"/>
          <w:highlight w:val="none"/>
        </w:rPr>
      </w:pPr>
      <w:r>
        <w:rPr>
          <w:rFonts w:hint="eastAsia" w:ascii="仿宋" w:hAnsi="仿宋" w:eastAsia="仿宋" w:cs="仿宋"/>
          <w:b w:val="0"/>
          <w:color w:val="auto"/>
          <w:sz w:val="24"/>
          <w:szCs w:val="24"/>
          <w:highlight w:val="none"/>
          <w:u w:val="single"/>
        </w:rPr>
        <w:t xml:space="preserve">      </w:t>
      </w:r>
      <w:r>
        <w:rPr>
          <w:rFonts w:hint="eastAsia" w:ascii="仿宋" w:hAnsi="仿宋" w:eastAsia="仿宋" w:cs="仿宋"/>
          <w:b w:val="0"/>
          <w:color w:val="auto"/>
          <w:sz w:val="24"/>
          <w:szCs w:val="24"/>
          <w:highlight w:val="none"/>
        </w:rPr>
        <w:t>年</w:t>
      </w:r>
      <w:r>
        <w:rPr>
          <w:rFonts w:hint="eastAsia" w:ascii="仿宋" w:hAnsi="仿宋" w:eastAsia="仿宋" w:cs="仿宋"/>
          <w:b w:val="0"/>
          <w:color w:val="auto"/>
          <w:sz w:val="24"/>
          <w:szCs w:val="24"/>
          <w:highlight w:val="none"/>
          <w:u w:val="single"/>
        </w:rPr>
        <w:t xml:space="preserve">    </w:t>
      </w:r>
      <w:r>
        <w:rPr>
          <w:rFonts w:hint="eastAsia" w:ascii="仿宋" w:hAnsi="仿宋" w:eastAsia="仿宋" w:cs="仿宋"/>
          <w:b w:val="0"/>
          <w:color w:val="auto"/>
          <w:sz w:val="24"/>
          <w:szCs w:val="24"/>
          <w:highlight w:val="none"/>
        </w:rPr>
        <w:t>月</w:t>
      </w:r>
      <w:r>
        <w:rPr>
          <w:rFonts w:hint="eastAsia" w:ascii="仿宋" w:hAnsi="仿宋" w:eastAsia="仿宋" w:cs="仿宋"/>
          <w:b w:val="0"/>
          <w:color w:val="auto"/>
          <w:sz w:val="24"/>
          <w:szCs w:val="24"/>
          <w:highlight w:val="none"/>
          <w:u w:val="single"/>
        </w:rPr>
        <w:t xml:space="preserve">    </w:t>
      </w:r>
      <w:r>
        <w:rPr>
          <w:rFonts w:hint="eastAsia" w:ascii="仿宋" w:hAnsi="仿宋" w:eastAsia="仿宋" w:cs="仿宋"/>
          <w:b w:val="0"/>
          <w:color w:val="auto"/>
          <w:sz w:val="24"/>
          <w:szCs w:val="24"/>
          <w:highlight w:val="none"/>
        </w:rPr>
        <w:t>日</w:t>
      </w:r>
    </w:p>
    <w:p>
      <w:pPr>
        <w:spacing w:line="360" w:lineRule="auto"/>
        <w:ind w:left="380"/>
        <w:rPr>
          <w:rFonts w:hint="eastAsia" w:ascii="仿宋" w:hAnsi="仿宋" w:eastAsia="仿宋" w:cs="仿宋"/>
          <w:color w:val="auto"/>
          <w:sz w:val="22"/>
          <w:szCs w:val="22"/>
          <w:highlight w:val="none"/>
        </w:rPr>
      </w:pPr>
    </w:p>
    <w:p>
      <w:pPr>
        <w:spacing w:line="400" w:lineRule="exact"/>
        <w:ind w:left="38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注：(1）根据自身情况提供相关的书面声明；（2）从业人员、营业收入、资产总额填报上一年度数据，无上一年度数据的新成立企业可不填报。（3）现行中小企业划分标准行业包括农、林、牧、渔业，工业，建筑业，批发业，零售业，交通运输业，仓储业，邮政业，住宿业，餐饮业，信息传输业，软件和信息技术服务业，房地产开发经营，物业管理，租赁和商业服务业和其他未列明行业等十六类。（4）中小企业应当按照《政府采购促进中小企业发展管理办法》（财库〔2020〕46号）规定和国家统计局关于印发《统计上大中小微型企业划分办法（2017）》的通知），如实填写并提交《中小企业声明函》。</w:t>
      </w:r>
    </w:p>
    <w:p>
      <w:pP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br w:type="page"/>
      </w:r>
    </w:p>
    <w:p>
      <w:pPr>
        <w:spacing w:line="400" w:lineRule="exact"/>
        <w:ind w:left="380"/>
        <w:rPr>
          <w:rFonts w:hint="eastAsia" w:ascii="仿宋" w:hAnsi="仿宋" w:eastAsia="仿宋" w:cs="仿宋"/>
          <w:color w:val="auto"/>
          <w:sz w:val="22"/>
          <w:szCs w:val="22"/>
          <w:highlight w:val="none"/>
        </w:rPr>
      </w:pPr>
    </w:p>
    <w:p>
      <w:pPr>
        <w:spacing w:line="200" w:lineRule="exact"/>
        <w:rPr>
          <w:rFonts w:hint="eastAsia" w:ascii="仿宋" w:hAnsi="仿宋" w:eastAsia="仿宋" w:cs="仿宋"/>
          <w:color w:val="auto"/>
          <w:highlight w:val="none"/>
        </w:rPr>
      </w:pPr>
    </w:p>
    <w:p>
      <w:pPr>
        <w:pStyle w:val="46"/>
        <w:rPr>
          <w:rFonts w:hint="eastAsia" w:ascii="仿宋" w:hAnsi="仿宋" w:eastAsia="仿宋" w:cs="仿宋"/>
          <w:color w:val="auto"/>
          <w:szCs w:val="21"/>
          <w:highlight w:val="none"/>
        </w:rPr>
      </w:pPr>
    </w:p>
    <w:p>
      <w:pPr>
        <w:spacing w:line="500" w:lineRule="exact"/>
        <w:jc w:val="left"/>
        <w:outlineLvl w:val="2"/>
        <w:rPr>
          <w:rFonts w:hint="eastAsia" w:ascii="仿宋" w:hAnsi="仿宋" w:eastAsia="仿宋" w:cs="仿宋"/>
          <w:b/>
          <w:color w:val="auto"/>
          <w:kern w:val="0"/>
          <w:sz w:val="28"/>
          <w:highlight w:val="none"/>
        </w:rPr>
      </w:pPr>
      <w:bookmarkStart w:id="99" w:name="_Toc32323"/>
      <w:bookmarkStart w:id="100" w:name="_Toc18899"/>
      <w:bookmarkStart w:id="101" w:name="_Toc995"/>
      <w:bookmarkStart w:id="102" w:name="_Toc2213"/>
      <w:bookmarkStart w:id="103" w:name="_Toc23048"/>
      <w:bookmarkStart w:id="104" w:name="_Toc2089"/>
      <w:bookmarkStart w:id="105" w:name="_Toc23242"/>
      <w:bookmarkStart w:id="106" w:name="_Toc2006"/>
      <w:bookmarkStart w:id="107" w:name="_Toc977"/>
      <w:bookmarkStart w:id="108" w:name="_Toc27183"/>
      <w:bookmarkStart w:id="109" w:name="_Toc30379"/>
      <w:r>
        <w:rPr>
          <w:rFonts w:hint="eastAsia" w:ascii="仿宋" w:hAnsi="仿宋" w:eastAsia="仿宋" w:cs="仿宋"/>
          <w:b/>
          <w:color w:val="auto"/>
          <w:kern w:val="0"/>
          <w:sz w:val="28"/>
          <w:highlight w:val="none"/>
        </w:rPr>
        <w:t>附件2：残疾人福利性单位声明函</w:t>
      </w:r>
      <w:bookmarkEnd w:id="99"/>
      <w:bookmarkEnd w:id="100"/>
      <w:bookmarkEnd w:id="101"/>
      <w:bookmarkEnd w:id="102"/>
      <w:bookmarkEnd w:id="103"/>
      <w:bookmarkEnd w:id="104"/>
      <w:bookmarkEnd w:id="105"/>
      <w:bookmarkEnd w:id="106"/>
      <w:bookmarkEnd w:id="107"/>
      <w:bookmarkEnd w:id="108"/>
    </w:p>
    <w:bookmarkEnd w:id="109"/>
    <w:p>
      <w:pPr>
        <w:spacing w:line="500" w:lineRule="exact"/>
        <w:ind w:left="3320"/>
        <w:jc w:val="left"/>
        <w:rPr>
          <w:rFonts w:hint="eastAsia" w:ascii="仿宋" w:hAnsi="仿宋" w:eastAsia="仿宋" w:cs="仿宋"/>
          <w:color w:val="auto"/>
          <w:highlight w:val="none"/>
        </w:rPr>
      </w:pPr>
    </w:p>
    <w:p>
      <w:pPr>
        <w:spacing w:line="500" w:lineRule="exact"/>
        <w:ind w:left="380"/>
        <w:jc w:val="center"/>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残疾人福利性单位声明函</w:t>
      </w:r>
    </w:p>
    <w:p>
      <w:pPr>
        <w:spacing w:line="200" w:lineRule="exact"/>
        <w:rPr>
          <w:rFonts w:hint="eastAsia" w:ascii="仿宋" w:hAnsi="仿宋" w:eastAsia="仿宋" w:cs="仿宋"/>
          <w:color w:val="auto"/>
          <w:highlight w:val="none"/>
        </w:rPr>
      </w:pPr>
    </w:p>
    <w:p>
      <w:pPr>
        <w:spacing w:line="360" w:lineRule="auto"/>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本单位郑重声明，根据《财政部民政部中国残疾人联合会关于促进残疾人就业政府采购政策的通知》(财库〔2017〕141号)的规定，本单位为符合条件的残疾人福利性单位， 且本单位参加</w:t>
      </w:r>
      <w:r>
        <w:rPr>
          <w:rFonts w:hint="eastAsia" w:ascii="仿宋" w:hAnsi="仿宋" w:eastAsia="仿宋" w:cs="仿宋"/>
          <w:color w:val="auto"/>
          <w:sz w:val="24"/>
          <w:szCs w:val="24"/>
          <w:highlight w:val="none"/>
          <w:u w:val="single"/>
        </w:rPr>
        <w:t xml:space="preserve">                         项目</w:t>
      </w:r>
      <w:r>
        <w:rPr>
          <w:rFonts w:hint="eastAsia" w:ascii="仿宋" w:hAnsi="仿宋" w:eastAsia="仿宋" w:cs="仿宋"/>
          <w:color w:val="auto"/>
          <w:sz w:val="24"/>
          <w:szCs w:val="24"/>
          <w:highlight w:val="none"/>
        </w:rPr>
        <w:t>采购活动提供本单位制造的货物(由本单位承担工程/提供服务)，或者提供其他残疾人福利性单位制造的货物(不包括使用非残 疾人福利性单位注册商标的货物)。</w:t>
      </w:r>
    </w:p>
    <w:p>
      <w:pPr>
        <w:spacing w:line="360" w:lineRule="auto"/>
        <w:rPr>
          <w:rFonts w:hint="eastAsia" w:ascii="仿宋" w:hAnsi="仿宋" w:eastAsia="仿宋" w:cs="仿宋"/>
          <w:color w:val="auto"/>
          <w:sz w:val="24"/>
          <w:szCs w:val="24"/>
          <w:highlight w:val="none"/>
        </w:rPr>
      </w:pPr>
    </w:p>
    <w:p>
      <w:pPr>
        <w:spacing w:line="360" w:lineRule="auto"/>
        <w:ind w:left="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本单位对上述声明的真实性负责。如有虚假，将依法承担相应责任。</w:t>
      </w:r>
    </w:p>
    <w:p>
      <w:pPr>
        <w:autoSpaceDE w:val="0"/>
        <w:autoSpaceDN w:val="0"/>
        <w:adjustRightInd w:val="0"/>
        <w:spacing w:line="360" w:lineRule="auto"/>
        <w:jc w:val="left"/>
        <w:rPr>
          <w:rFonts w:hint="eastAsia" w:ascii="仿宋" w:hAnsi="仿宋" w:eastAsia="仿宋" w:cs="仿宋"/>
          <w:bCs/>
          <w:color w:val="auto"/>
          <w:sz w:val="24"/>
          <w:szCs w:val="24"/>
          <w:highlight w:val="none"/>
        </w:rPr>
      </w:pPr>
    </w:p>
    <w:p>
      <w:pPr>
        <w:autoSpaceDE w:val="0"/>
        <w:autoSpaceDN w:val="0"/>
        <w:adjustRightInd w:val="0"/>
        <w:spacing w:line="360" w:lineRule="auto"/>
        <w:jc w:val="left"/>
        <w:rPr>
          <w:rFonts w:hint="eastAsia" w:ascii="仿宋" w:hAnsi="仿宋" w:eastAsia="仿宋" w:cs="仿宋"/>
          <w:bCs/>
          <w:color w:val="auto"/>
          <w:sz w:val="24"/>
          <w:szCs w:val="24"/>
          <w:highlight w:val="none"/>
        </w:rPr>
      </w:pPr>
    </w:p>
    <w:p>
      <w:pPr>
        <w:autoSpaceDE w:val="0"/>
        <w:autoSpaceDN w:val="0"/>
        <w:adjustRightInd w:val="0"/>
        <w:spacing w:line="360" w:lineRule="auto"/>
        <w:jc w:val="left"/>
        <w:rPr>
          <w:rFonts w:hint="eastAsia" w:ascii="仿宋" w:hAnsi="仿宋" w:eastAsia="仿宋" w:cs="仿宋"/>
          <w:bCs/>
          <w:color w:val="auto"/>
          <w:kern w:val="0"/>
          <w:sz w:val="24"/>
          <w:szCs w:val="24"/>
          <w:highlight w:val="none"/>
        </w:rPr>
      </w:pPr>
      <w:r>
        <w:rPr>
          <w:rFonts w:hint="eastAsia" w:ascii="仿宋" w:hAnsi="仿宋" w:eastAsia="仿宋" w:cs="仿宋"/>
          <w:bCs/>
          <w:color w:val="auto"/>
          <w:sz w:val="24"/>
          <w:szCs w:val="24"/>
          <w:highlight w:val="none"/>
        </w:rPr>
        <w:t>投标人：</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rPr>
        <w:t>（</w:t>
      </w:r>
      <w:r>
        <w:rPr>
          <w:rFonts w:hint="eastAsia" w:ascii="仿宋" w:hAnsi="仿宋" w:eastAsia="仿宋" w:cs="仿宋"/>
          <w:color w:val="auto"/>
          <w:sz w:val="24"/>
          <w:szCs w:val="24"/>
          <w:highlight w:val="none"/>
        </w:rPr>
        <w:t>电子签章</w:t>
      </w:r>
      <w:r>
        <w:rPr>
          <w:rFonts w:hint="eastAsia" w:ascii="仿宋" w:hAnsi="仿宋" w:eastAsia="仿宋" w:cs="仿宋"/>
          <w:bCs/>
          <w:color w:val="auto"/>
          <w:sz w:val="24"/>
          <w:szCs w:val="24"/>
          <w:highlight w:val="none"/>
        </w:rPr>
        <w:t>）</w:t>
      </w:r>
    </w:p>
    <w:p>
      <w:pPr>
        <w:autoSpaceDE w:val="0"/>
        <w:autoSpaceDN w:val="0"/>
        <w:adjustRightInd w:val="0"/>
        <w:spacing w:line="360" w:lineRule="auto"/>
        <w:jc w:val="lef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法定代表人或其委托代理人：</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rPr>
        <w:t>（</w:t>
      </w:r>
      <w:r>
        <w:rPr>
          <w:rFonts w:hint="eastAsia" w:ascii="仿宋" w:hAnsi="仿宋" w:eastAsia="仿宋" w:cs="仿宋"/>
          <w:color w:val="auto"/>
          <w:sz w:val="24"/>
          <w:szCs w:val="24"/>
          <w:highlight w:val="none"/>
        </w:rPr>
        <w:t>电子签章</w:t>
      </w:r>
      <w:r>
        <w:rPr>
          <w:rFonts w:hint="eastAsia" w:ascii="仿宋" w:hAnsi="仿宋" w:eastAsia="仿宋" w:cs="仿宋"/>
          <w:bCs/>
          <w:color w:val="auto"/>
          <w:sz w:val="24"/>
          <w:szCs w:val="24"/>
          <w:highlight w:val="none"/>
        </w:rPr>
        <w:t>）</w:t>
      </w:r>
    </w:p>
    <w:p>
      <w:pPr>
        <w:pStyle w:val="16"/>
        <w:spacing w:line="360" w:lineRule="auto"/>
        <w:rPr>
          <w:rFonts w:hint="eastAsia" w:ascii="仿宋" w:hAnsi="仿宋" w:eastAsia="仿宋" w:cs="仿宋"/>
          <w:b w:val="0"/>
          <w:color w:val="auto"/>
          <w:spacing w:val="0"/>
          <w:sz w:val="24"/>
          <w:szCs w:val="24"/>
          <w:highlight w:val="none"/>
        </w:rPr>
      </w:pPr>
      <w:r>
        <w:rPr>
          <w:rFonts w:hint="eastAsia" w:ascii="仿宋" w:hAnsi="仿宋" w:eastAsia="仿宋" w:cs="仿宋"/>
          <w:b w:val="0"/>
          <w:color w:val="auto"/>
          <w:spacing w:val="0"/>
          <w:sz w:val="24"/>
          <w:szCs w:val="24"/>
          <w:highlight w:val="none"/>
          <w:u w:val="single"/>
        </w:rPr>
        <w:t xml:space="preserve">      </w:t>
      </w:r>
      <w:r>
        <w:rPr>
          <w:rFonts w:hint="eastAsia" w:ascii="仿宋" w:hAnsi="仿宋" w:eastAsia="仿宋" w:cs="仿宋"/>
          <w:b w:val="0"/>
          <w:color w:val="auto"/>
          <w:spacing w:val="0"/>
          <w:sz w:val="24"/>
          <w:szCs w:val="24"/>
          <w:highlight w:val="none"/>
        </w:rPr>
        <w:t>年</w:t>
      </w:r>
      <w:r>
        <w:rPr>
          <w:rFonts w:hint="eastAsia" w:ascii="仿宋" w:hAnsi="仿宋" w:eastAsia="仿宋" w:cs="仿宋"/>
          <w:b w:val="0"/>
          <w:color w:val="auto"/>
          <w:spacing w:val="0"/>
          <w:sz w:val="24"/>
          <w:szCs w:val="24"/>
          <w:highlight w:val="none"/>
          <w:u w:val="single"/>
        </w:rPr>
        <w:t xml:space="preserve">    </w:t>
      </w:r>
      <w:r>
        <w:rPr>
          <w:rFonts w:hint="eastAsia" w:ascii="仿宋" w:hAnsi="仿宋" w:eastAsia="仿宋" w:cs="仿宋"/>
          <w:b w:val="0"/>
          <w:color w:val="auto"/>
          <w:spacing w:val="0"/>
          <w:sz w:val="24"/>
          <w:szCs w:val="24"/>
          <w:highlight w:val="none"/>
        </w:rPr>
        <w:t>月</w:t>
      </w:r>
      <w:r>
        <w:rPr>
          <w:rFonts w:hint="eastAsia" w:ascii="仿宋" w:hAnsi="仿宋" w:eastAsia="仿宋" w:cs="仿宋"/>
          <w:b w:val="0"/>
          <w:color w:val="auto"/>
          <w:spacing w:val="0"/>
          <w:sz w:val="24"/>
          <w:szCs w:val="24"/>
          <w:highlight w:val="none"/>
          <w:u w:val="single"/>
        </w:rPr>
        <w:t xml:space="preserve">    </w:t>
      </w:r>
      <w:r>
        <w:rPr>
          <w:rFonts w:hint="eastAsia" w:ascii="仿宋" w:hAnsi="仿宋" w:eastAsia="仿宋" w:cs="仿宋"/>
          <w:b w:val="0"/>
          <w:color w:val="auto"/>
          <w:spacing w:val="0"/>
          <w:sz w:val="24"/>
          <w:szCs w:val="24"/>
          <w:highlight w:val="none"/>
        </w:rPr>
        <w:t>日</w:t>
      </w:r>
    </w:p>
    <w:p>
      <w:pPr>
        <w:rPr>
          <w:rFonts w:hint="eastAsia" w:ascii="仿宋" w:hAnsi="仿宋" w:eastAsia="仿宋" w:cs="仿宋"/>
          <w:color w:val="auto"/>
          <w:highlight w:val="none"/>
        </w:rPr>
      </w:pPr>
      <w:r>
        <w:rPr>
          <w:rFonts w:hint="eastAsia" w:ascii="仿宋" w:hAnsi="仿宋" w:eastAsia="仿宋" w:cs="仿宋"/>
          <w:color w:val="auto"/>
          <w:highlight w:val="none"/>
        </w:rPr>
        <w:br w:type="page"/>
      </w:r>
    </w:p>
    <w:p>
      <w:pPr>
        <w:spacing w:line="500" w:lineRule="exact"/>
        <w:outlineLvl w:val="2"/>
        <w:rPr>
          <w:rFonts w:hint="eastAsia" w:ascii="仿宋" w:hAnsi="仿宋" w:eastAsia="仿宋" w:cs="仿宋"/>
          <w:b/>
          <w:color w:val="auto"/>
          <w:kern w:val="0"/>
          <w:sz w:val="28"/>
          <w:highlight w:val="none"/>
        </w:rPr>
      </w:pPr>
      <w:bookmarkStart w:id="110" w:name="_Toc18596"/>
      <w:bookmarkStart w:id="111" w:name="_Toc15936"/>
      <w:r>
        <w:rPr>
          <w:rFonts w:hint="eastAsia" w:ascii="仿宋" w:hAnsi="仿宋" w:eastAsia="仿宋" w:cs="仿宋"/>
          <w:b/>
          <w:color w:val="auto"/>
          <w:kern w:val="0"/>
          <w:sz w:val="28"/>
          <w:highlight w:val="none"/>
        </w:rPr>
        <w:t>附件3：监狱企业证明文件（</w:t>
      </w:r>
      <w:bookmarkEnd w:id="110"/>
      <w:bookmarkEnd w:id="111"/>
    </w:p>
    <w:p>
      <w:pPr>
        <w:spacing w:line="500" w:lineRule="exact"/>
        <w:ind w:left="380"/>
        <w:jc w:val="center"/>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监狱企业证明文件</w:t>
      </w:r>
    </w:p>
    <w:p>
      <w:pPr>
        <w:pStyle w:val="16"/>
        <w:spacing w:line="500" w:lineRule="exact"/>
        <w:ind w:firstLine="480" w:firstLineChars="200"/>
        <w:rPr>
          <w:rFonts w:hint="eastAsia" w:ascii="仿宋" w:hAnsi="仿宋" w:eastAsia="仿宋" w:cs="仿宋"/>
          <w:b w:val="0"/>
          <w:color w:val="auto"/>
          <w:spacing w:val="0"/>
          <w:sz w:val="24"/>
          <w:szCs w:val="24"/>
          <w:highlight w:val="none"/>
        </w:rPr>
      </w:pPr>
      <w:r>
        <w:rPr>
          <w:rFonts w:hint="eastAsia" w:ascii="仿宋" w:hAnsi="仿宋" w:eastAsia="仿宋" w:cs="仿宋"/>
          <w:b w:val="0"/>
          <w:color w:val="auto"/>
          <w:spacing w:val="0"/>
          <w:sz w:val="24"/>
          <w:szCs w:val="24"/>
          <w:highlight w:val="none"/>
        </w:rPr>
        <w:t>根据《财政部 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pPr>
        <w:pStyle w:val="16"/>
        <w:spacing w:line="480" w:lineRule="auto"/>
        <w:ind w:firstLine="480" w:firstLineChars="200"/>
        <w:rPr>
          <w:rFonts w:hint="eastAsia" w:ascii="仿宋" w:hAnsi="仿宋" w:eastAsia="仿宋" w:cs="仿宋"/>
          <w:b w:val="0"/>
          <w:color w:val="auto"/>
          <w:spacing w:val="0"/>
          <w:sz w:val="24"/>
          <w:szCs w:val="24"/>
          <w:highlight w:val="none"/>
        </w:rPr>
      </w:pPr>
      <w:r>
        <w:rPr>
          <w:rFonts w:hint="eastAsia" w:ascii="仿宋" w:hAnsi="仿宋" w:eastAsia="仿宋" w:cs="仿宋"/>
          <w:b w:val="0"/>
          <w:color w:val="auto"/>
          <w:spacing w:val="0"/>
          <w:sz w:val="24"/>
          <w:szCs w:val="24"/>
          <w:highlight w:val="none"/>
        </w:rPr>
        <w:t>监狱企业参加招标投标活动时，应当提供由省级以上监狱管理局、戒毒管理局（含新疆生产建设兵团）出具的属于监狱企业的证明文件。</w:t>
      </w:r>
    </w:p>
    <w:p>
      <w:pPr>
        <w:pStyle w:val="16"/>
        <w:spacing w:line="480" w:lineRule="auto"/>
        <w:ind w:firstLine="480" w:firstLineChars="200"/>
        <w:rPr>
          <w:rFonts w:hint="eastAsia" w:ascii="仿宋" w:hAnsi="仿宋" w:eastAsia="仿宋" w:cs="仿宋"/>
          <w:b w:val="0"/>
          <w:color w:val="auto"/>
          <w:spacing w:val="0"/>
          <w:sz w:val="24"/>
          <w:szCs w:val="24"/>
          <w:highlight w:val="none"/>
        </w:rPr>
      </w:pPr>
      <w:r>
        <w:rPr>
          <w:rFonts w:hint="eastAsia" w:ascii="仿宋" w:hAnsi="仿宋" w:eastAsia="仿宋" w:cs="仿宋"/>
          <w:b w:val="0"/>
          <w:color w:val="auto"/>
          <w:spacing w:val="0"/>
          <w:sz w:val="24"/>
          <w:szCs w:val="24"/>
          <w:highlight w:val="none"/>
        </w:rPr>
        <w:t>注：符合条件的监狱企业在参加招标投标活动时，应当按《财政部 司法部关于政府采购支持监狱企业发展有关问题的通知》（财库[2014]68号）提供规定的《监狱企业证明文件》，并对声明的真实性负责。</w:t>
      </w:r>
    </w:p>
    <w:p>
      <w:pPr>
        <w:spacing w:line="600" w:lineRule="exact"/>
        <w:ind w:right="960"/>
        <w:jc w:val="left"/>
        <w:rPr>
          <w:rFonts w:hint="eastAsia" w:ascii="仿宋" w:hAnsi="仿宋" w:eastAsia="仿宋" w:cs="仿宋"/>
          <w:color w:val="auto"/>
          <w:sz w:val="24"/>
          <w:szCs w:val="24"/>
          <w:highlight w:val="none"/>
        </w:rPr>
      </w:pPr>
    </w:p>
    <w:p>
      <w:pPr>
        <w:autoSpaceDE w:val="0"/>
        <w:autoSpaceDN w:val="0"/>
        <w:adjustRightInd w:val="0"/>
        <w:spacing w:line="600" w:lineRule="exact"/>
        <w:jc w:val="left"/>
        <w:rPr>
          <w:rFonts w:hint="eastAsia" w:ascii="仿宋" w:hAnsi="仿宋" w:eastAsia="仿宋" w:cs="仿宋"/>
          <w:bCs/>
          <w:color w:val="auto"/>
          <w:kern w:val="0"/>
          <w:sz w:val="24"/>
          <w:szCs w:val="24"/>
          <w:highlight w:val="none"/>
        </w:rPr>
      </w:pPr>
      <w:r>
        <w:rPr>
          <w:rFonts w:hint="eastAsia" w:ascii="仿宋" w:hAnsi="仿宋" w:eastAsia="仿宋" w:cs="仿宋"/>
          <w:bCs/>
          <w:color w:val="auto"/>
          <w:sz w:val="24"/>
          <w:szCs w:val="24"/>
          <w:highlight w:val="none"/>
        </w:rPr>
        <w:t>投标人：</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rPr>
        <w:t>（</w:t>
      </w:r>
      <w:r>
        <w:rPr>
          <w:rFonts w:hint="eastAsia" w:ascii="仿宋" w:hAnsi="仿宋" w:eastAsia="仿宋" w:cs="仿宋"/>
          <w:color w:val="auto"/>
          <w:sz w:val="24"/>
          <w:szCs w:val="24"/>
          <w:highlight w:val="none"/>
        </w:rPr>
        <w:t>电子签章</w:t>
      </w:r>
      <w:r>
        <w:rPr>
          <w:rFonts w:hint="eastAsia" w:ascii="仿宋" w:hAnsi="仿宋" w:eastAsia="仿宋" w:cs="仿宋"/>
          <w:bCs/>
          <w:color w:val="auto"/>
          <w:sz w:val="24"/>
          <w:szCs w:val="24"/>
          <w:highlight w:val="none"/>
        </w:rPr>
        <w:t>）</w:t>
      </w:r>
    </w:p>
    <w:p>
      <w:pPr>
        <w:autoSpaceDE w:val="0"/>
        <w:autoSpaceDN w:val="0"/>
        <w:adjustRightInd w:val="0"/>
        <w:spacing w:line="600" w:lineRule="exact"/>
        <w:jc w:val="lef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法定代表人或其委托代理人：</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rPr>
        <w:t>（</w:t>
      </w:r>
      <w:r>
        <w:rPr>
          <w:rFonts w:hint="eastAsia" w:ascii="仿宋" w:hAnsi="仿宋" w:eastAsia="仿宋" w:cs="仿宋"/>
          <w:color w:val="auto"/>
          <w:sz w:val="24"/>
          <w:szCs w:val="24"/>
          <w:highlight w:val="none"/>
        </w:rPr>
        <w:t>电子签章</w:t>
      </w:r>
      <w:r>
        <w:rPr>
          <w:rFonts w:hint="eastAsia" w:ascii="仿宋" w:hAnsi="仿宋" w:eastAsia="仿宋" w:cs="仿宋"/>
          <w:bCs/>
          <w:color w:val="auto"/>
          <w:sz w:val="24"/>
          <w:szCs w:val="24"/>
          <w:highlight w:val="none"/>
        </w:rPr>
        <w:t>）</w:t>
      </w:r>
    </w:p>
    <w:p>
      <w:pPr>
        <w:pStyle w:val="16"/>
        <w:spacing w:line="400" w:lineRule="exact"/>
        <w:rPr>
          <w:rFonts w:hint="eastAsia" w:ascii="仿宋" w:hAnsi="仿宋" w:eastAsia="仿宋" w:cs="仿宋"/>
          <w:b w:val="0"/>
          <w:color w:val="auto"/>
          <w:sz w:val="24"/>
          <w:szCs w:val="24"/>
          <w:highlight w:val="none"/>
        </w:rPr>
      </w:pPr>
      <w:r>
        <w:rPr>
          <w:rFonts w:hint="eastAsia" w:ascii="仿宋" w:hAnsi="仿宋" w:eastAsia="仿宋" w:cs="仿宋"/>
          <w:b w:val="0"/>
          <w:color w:val="auto"/>
          <w:sz w:val="24"/>
          <w:szCs w:val="24"/>
          <w:highlight w:val="none"/>
          <w:u w:val="single"/>
        </w:rPr>
        <w:t xml:space="preserve">      </w:t>
      </w:r>
      <w:r>
        <w:rPr>
          <w:rFonts w:hint="eastAsia" w:ascii="仿宋" w:hAnsi="仿宋" w:eastAsia="仿宋" w:cs="仿宋"/>
          <w:b w:val="0"/>
          <w:color w:val="auto"/>
          <w:sz w:val="24"/>
          <w:szCs w:val="24"/>
          <w:highlight w:val="none"/>
        </w:rPr>
        <w:t>年</w:t>
      </w:r>
      <w:r>
        <w:rPr>
          <w:rFonts w:hint="eastAsia" w:ascii="仿宋" w:hAnsi="仿宋" w:eastAsia="仿宋" w:cs="仿宋"/>
          <w:b w:val="0"/>
          <w:color w:val="auto"/>
          <w:sz w:val="24"/>
          <w:szCs w:val="24"/>
          <w:highlight w:val="none"/>
          <w:u w:val="single"/>
        </w:rPr>
        <w:t xml:space="preserve">    </w:t>
      </w:r>
      <w:r>
        <w:rPr>
          <w:rFonts w:hint="eastAsia" w:ascii="仿宋" w:hAnsi="仿宋" w:eastAsia="仿宋" w:cs="仿宋"/>
          <w:b w:val="0"/>
          <w:color w:val="auto"/>
          <w:sz w:val="24"/>
          <w:szCs w:val="24"/>
          <w:highlight w:val="none"/>
        </w:rPr>
        <w:t>月</w:t>
      </w:r>
      <w:r>
        <w:rPr>
          <w:rFonts w:hint="eastAsia" w:ascii="仿宋" w:hAnsi="仿宋" w:eastAsia="仿宋" w:cs="仿宋"/>
          <w:b w:val="0"/>
          <w:color w:val="auto"/>
          <w:sz w:val="24"/>
          <w:szCs w:val="24"/>
          <w:highlight w:val="none"/>
          <w:u w:val="single"/>
        </w:rPr>
        <w:t xml:space="preserve">    </w:t>
      </w:r>
      <w:r>
        <w:rPr>
          <w:rFonts w:hint="eastAsia" w:ascii="仿宋" w:hAnsi="仿宋" w:eastAsia="仿宋" w:cs="仿宋"/>
          <w:b w:val="0"/>
          <w:color w:val="auto"/>
          <w:sz w:val="24"/>
          <w:szCs w:val="24"/>
          <w:highlight w:val="none"/>
        </w:rPr>
        <w:t>日</w:t>
      </w:r>
    </w:p>
    <w:p>
      <w:pPr>
        <w:pStyle w:val="33"/>
        <w:rPr>
          <w:rFonts w:hint="eastAsia" w:ascii="宋体" w:hAnsi="宋体"/>
          <w:color w:val="auto"/>
          <w:highlight w:val="none"/>
        </w:rPr>
      </w:pPr>
    </w:p>
    <w:p>
      <w:pPr>
        <w:pStyle w:val="33"/>
        <w:rPr>
          <w:rFonts w:hint="eastAsia" w:ascii="宋体" w:hAnsi="宋体"/>
          <w:color w:val="auto"/>
          <w:highlight w:val="none"/>
        </w:rPr>
      </w:pPr>
    </w:p>
    <w:p>
      <w:pPr>
        <w:pStyle w:val="33"/>
        <w:rPr>
          <w:rFonts w:hint="eastAsia" w:ascii="宋体" w:hAnsi="宋体"/>
          <w:color w:val="auto"/>
          <w:highlight w:val="none"/>
        </w:rPr>
      </w:pPr>
    </w:p>
    <w:p>
      <w:pPr>
        <w:pStyle w:val="33"/>
        <w:rPr>
          <w:rFonts w:hint="eastAsia" w:ascii="宋体" w:hAnsi="宋体"/>
          <w:color w:val="auto"/>
          <w:highlight w:val="none"/>
        </w:rPr>
      </w:pPr>
    </w:p>
    <w:p>
      <w:pPr>
        <w:pStyle w:val="33"/>
        <w:rPr>
          <w:rFonts w:hint="eastAsia" w:ascii="宋体" w:hAnsi="宋体"/>
          <w:color w:val="auto"/>
          <w:highlight w:val="none"/>
        </w:rPr>
        <w:sectPr>
          <w:footerReference r:id="rId7" w:type="default"/>
          <w:pgSz w:w="11906" w:h="16838"/>
          <w:pgMar w:top="1134" w:right="1304" w:bottom="1134" w:left="1304" w:header="851" w:footer="851" w:gutter="0"/>
          <w:pgNumType w:fmt="decimal" w:start="39"/>
          <w:cols w:space="720" w:num="1"/>
          <w:docGrid w:linePitch="331" w:charSpace="0"/>
        </w:sectPr>
      </w:pPr>
    </w:p>
    <w:p>
      <w:pPr>
        <w:jc w:val="center"/>
        <w:outlineLvl w:val="0"/>
        <w:rPr>
          <w:rFonts w:hint="eastAsia" w:ascii="仿宋" w:hAnsi="仿宋" w:eastAsia="仿宋" w:cs="仿宋"/>
          <w:b/>
          <w:color w:val="auto"/>
          <w:sz w:val="44"/>
          <w:szCs w:val="44"/>
          <w:highlight w:val="none"/>
        </w:rPr>
      </w:pPr>
    </w:p>
    <w:p>
      <w:pPr>
        <w:jc w:val="center"/>
        <w:outlineLvl w:val="0"/>
        <w:rPr>
          <w:rFonts w:hint="eastAsia" w:ascii="仿宋" w:hAnsi="仿宋" w:eastAsia="仿宋" w:cs="仿宋"/>
          <w:b/>
          <w:color w:val="auto"/>
          <w:sz w:val="44"/>
          <w:szCs w:val="44"/>
          <w:highlight w:val="none"/>
        </w:rPr>
      </w:pPr>
    </w:p>
    <w:p>
      <w:pPr>
        <w:jc w:val="center"/>
        <w:outlineLvl w:val="0"/>
        <w:rPr>
          <w:rFonts w:hint="eastAsia" w:ascii="仿宋" w:hAnsi="仿宋" w:eastAsia="仿宋" w:cs="仿宋"/>
          <w:b/>
          <w:color w:val="auto"/>
          <w:sz w:val="44"/>
          <w:szCs w:val="44"/>
          <w:highlight w:val="none"/>
        </w:rPr>
      </w:pPr>
    </w:p>
    <w:p>
      <w:pPr>
        <w:jc w:val="center"/>
        <w:outlineLvl w:val="0"/>
        <w:rPr>
          <w:rFonts w:hint="eastAsia" w:ascii="仿宋" w:hAnsi="仿宋" w:eastAsia="仿宋" w:cs="仿宋"/>
          <w:b/>
          <w:color w:val="auto"/>
          <w:sz w:val="44"/>
          <w:szCs w:val="44"/>
          <w:highlight w:val="none"/>
        </w:rPr>
      </w:pPr>
    </w:p>
    <w:p>
      <w:pPr>
        <w:jc w:val="center"/>
        <w:outlineLvl w:val="0"/>
        <w:rPr>
          <w:rFonts w:hint="eastAsia" w:ascii="仿宋" w:hAnsi="仿宋" w:eastAsia="仿宋" w:cs="仿宋"/>
          <w:b/>
          <w:color w:val="auto"/>
          <w:sz w:val="44"/>
          <w:szCs w:val="44"/>
          <w:highlight w:val="none"/>
        </w:rPr>
      </w:pPr>
    </w:p>
    <w:p>
      <w:pPr>
        <w:jc w:val="center"/>
        <w:outlineLvl w:val="0"/>
        <w:rPr>
          <w:rFonts w:hint="eastAsia" w:ascii="仿宋" w:hAnsi="仿宋" w:eastAsia="仿宋" w:cs="仿宋"/>
          <w:b/>
          <w:color w:val="auto"/>
          <w:sz w:val="44"/>
          <w:szCs w:val="44"/>
          <w:highlight w:val="none"/>
        </w:rPr>
      </w:pPr>
    </w:p>
    <w:p>
      <w:pPr>
        <w:jc w:val="center"/>
        <w:outlineLvl w:val="0"/>
        <w:rPr>
          <w:rFonts w:hint="eastAsia" w:ascii="仿宋" w:hAnsi="仿宋" w:eastAsia="仿宋" w:cs="仿宋"/>
          <w:b/>
          <w:color w:val="auto"/>
          <w:sz w:val="44"/>
          <w:szCs w:val="44"/>
          <w:highlight w:val="none"/>
        </w:rPr>
      </w:pPr>
    </w:p>
    <w:p>
      <w:pPr>
        <w:jc w:val="center"/>
        <w:outlineLvl w:val="0"/>
        <w:rPr>
          <w:rFonts w:hint="eastAsia" w:ascii="仿宋" w:hAnsi="仿宋" w:eastAsia="仿宋" w:cs="仿宋"/>
          <w:b/>
          <w:color w:val="auto"/>
          <w:sz w:val="44"/>
          <w:szCs w:val="44"/>
          <w:highlight w:val="none"/>
        </w:rPr>
        <w:sectPr>
          <w:pgSz w:w="11906" w:h="16838"/>
          <w:pgMar w:top="1134" w:right="1304" w:bottom="1134" w:left="1304" w:header="851" w:footer="851" w:gutter="0"/>
          <w:pgNumType w:fmt="decimal"/>
          <w:cols w:space="720" w:num="1"/>
          <w:docGrid w:linePitch="331" w:charSpace="0"/>
        </w:sectPr>
      </w:pPr>
      <w:r>
        <w:rPr>
          <w:rFonts w:hint="eastAsia" w:ascii="仿宋" w:hAnsi="仿宋" w:eastAsia="仿宋" w:cs="仿宋"/>
          <w:b/>
          <w:color w:val="auto"/>
          <w:sz w:val="44"/>
          <w:szCs w:val="44"/>
          <w:highlight w:val="none"/>
        </w:rPr>
        <w:t>技术部分</w:t>
      </w:r>
    </w:p>
    <w:p>
      <w:pPr>
        <w:rPr>
          <w:rFonts w:hint="eastAsia"/>
          <w:color w:val="auto"/>
          <w:highlight w:val="none"/>
        </w:rPr>
      </w:pPr>
    </w:p>
    <w:p>
      <w:pPr>
        <w:rPr>
          <w:rFonts w:hint="eastAsia" w:ascii="宋体" w:hAnsi="宋体"/>
          <w:color w:val="auto"/>
          <w:highlight w:val="none"/>
        </w:rPr>
      </w:pPr>
    </w:p>
    <w:p>
      <w:pPr>
        <w:rPr>
          <w:rFonts w:hint="eastAsia" w:ascii="宋体" w:hAnsi="宋体"/>
          <w:color w:val="auto"/>
          <w:highlight w:val="none"/>
        </w:rPr>
      </w:pPr>
    </w:p>
    <w:p>
      <w:pPr>
        <w:rPr>
          <w:rFonts w:hint="eastAsia" w:ascii="宋体" w:hAnsi="宋体"/>
          <w:color w:val="auto"/>
          <w:highlight w:val="none"/>
        </w:rPr>
      </w:pPr>
    </w:p>
    <w:p>
      <w:pPr>
        <w:rPr>
          <w:rFonts w:hint="eastAsia" w:ascii="宋体" w:hAnsi="宋体"/>
          <w:color w:val="auto"/>
          <w:highlight w:val="none"/>
        </w:rPr>
      </w:pPr>
    </w:p>
    <w:p>
      <w:pPr>
        <w:rPr>
          <w:rFonts w:hint="eastAsia" w:ascii="宋体" w:hAnsi="宋体"/>
          <w:color w:val="auto"/>
          <w:highlight w:val="none"/>
        </w:rPr>
      </w:pPr>
    </w:p>
    <w:p>
      <w:pPr>
        <w:rPr>
          <w:rFonts w:hint="eastAsia" w:ascii="宋体" w:hAnsi="宋体"/>
          <w:color w:val="auto"/>
          <w:highlight w:val="none"/>
        </w:rPr>
      </w:pPr>
    </w:p>
    <w:p>
      <w:pPr>
        <w:pStyle w:val="3"/>
        <w:numPr>
          <w:ilvl w:val="1"/>
          <w:numId w:val="0"/>
        </w:numPr>
        <w:ind w:left="425"/>
        <w:jc w:val="center"/>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lang w:val="en-US" w:eastAsia="zh-CN"/>
        </w:rPr>
        <w:t>1.</w:t>
      </w:r>
      <w:r>
        <w:rPr>
          <w:rFonts w:hint="eastAsia" w:ascii="仿宋" w:hAnsi="仿宋" w:eastAsia="仿宋" w:cs="仿宋"/>
          <w:color w:val="auto"/>
          <w:sz w:val="32"/>
          <w:szCs w:val="32"/>
          <w:highlight w:val="none"/>
        </w:rPr>
        <w:t>技术部分</w:t>
      </w:r>
    </w:p>
    <w:p>
      <w:pPr>
        <w:pStyle w:val="155"/>
        <w:jc w:val="center"/>
        <w:rPr>
          <w:rFonts w:hint="eastAsia" w:ascii="仿宋" w:hAnsi="仿宋" w:eastAsia="仿宋" w:cs="仿宋"/>
          <w:b/>
          <w:color w:val="auto"/>
          <w:sz w:val="24"/>
          <w:szCs w:val="24"/>
          <w:highlight w:val="none"/>
        </w:rPr>
      </w:pPr>
    </w:p>
    <w:p>
      <w:pPr>
        <w:spacing w:line="360" w:lineRule="auto"/>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投标人根据第</w:t>
      </w:r>
      <w:r>
        <w:rPr>
          <w:rFonts w:hint="eastAsia" w:ascii="仿宋" w:hAnsi="仿宋" w:eastAsia="仿宋" w:cs="仿宋"/>
          <w:color w:val="auto"/>
          <w:sz w:val="28"/>
          <w:szCs w:val="28"/>
          <w:highlight w:val="none"/>
          <w:lang w:val="en-US" w:eastAsia="zh-CN"/>
        </w:rPr>
        <w:t>五</w:t>
      </w:r>
      <w:r>
        <w:rPr>
          <w:rFonts w:hint="eastAsia" w:ascii="仿宋" w:hAnsi="仿宋" w:eastAsia="仿宋" w:cs="仿宋"/>
          <w:color w:val="auto"/>
          <w:sz w:val="28"/>
          <w:szCs w:val="28"/>
          <w:highlight w:val="none"/>
        </w:rPr>
        <w:t>章采购需求及第</w:t>
      </w:r>
      <w:r>
        <w:rPr>
          <w:rFonts w:hint="eastAsia" w:ascii="仿宋" w:hAnsi="仿宋" w:eastAsia="仿宋" w:cs="仿宋"/>
          <w:color w:val="auto"/>
          <w:sz w:val="28"/>
          <w:szCs w:val="28"/>
          <w:highlight w:val="none"/>
          <w:lang w:val="en-US" w:eastAsia="zh-CN"/>
        </w:rPr>
        <w:t>七</w:t>
      </w:r>
      <w:r>
        <w:rPr>
          <w:rFonts w:hint="eastAsia" w:ascii="仿宋" w:hAnsi="仿宋" w:eastAsia="仿宋" w:cs="仿宋"/>
          <w:color w:val="auto"/>
          <w:sz w:val="28"/>
          <w:szCs w:val="28"/>
          <w:highlight w:val="none"/>
        </w:rPr>
        <w:t>章评审内容自行编制技术部分文件，具体内容包括但不限于以下内容：</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1、项目理解、需求分析、需求响应；</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2、技术方案；</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3、进度计划及保证措施；</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4、项目质量保证措施；</w:t>
      </w:r>
    </w:p>
    <w:p>
      <w:pPr>
        <w:rPr>
          <w:rFonts w:hint="eastAsia" w:ascii="宋体" w:hAnsi="宋体"/>
          <w:color w:val="auto"/>
          <w:highlight w:val="none"/>
        </w:rPr>
        <w:sectPr>
          <w:pgSz w:w="11906" w:h="16838"/>
          <w:pgMar w:top="1134" w:right="1304" w:bottom="1134" w:left="1304" w:header="851" w:footer="851" w:gutter="0"/>
          <w:pgNumType w:fmt="decimal"/>
          <w:cols w:space="720" w:num="1"/>
          <w:docGrid w:linePitch="331" w:charSpace="0"/>
        </w:sectPr>
      </w:pPr>
    </w:p>
    <w:p>
      <w:pPr>
        <w:pStyle w:val="2"/>
        <w:keepNext w:val="0"/>
        <w:keepLines w:val="0"/>
        <w:pageBreakBefore w:val="0"/>
        <w:rPr>
          <w:rFonts w:hint="eastAsia" w:ascii="宋体" w:hAnsi="宋体"/>
          <w:color w:val="auto"/>
          <w:szCs w:val="32"/>
          <w:highlight w:val="none"/>
        </w:rPr>
      </w:pPr>
      <w:bookmarkStart w:id="112" w:name="_Toc118109512"/>
      <w:r>
        <w:rPr>
          <w:rFonts w:hint="eastAsia" w:ascii="宋体" w:hAnsi="宋体"/>
          <w:color w:val="auto"/>
          <w:highlight w:val="none"/>
        </w:rPr>
        <w:t>第五章  采购内容</w:t>
      </w:r>
      <w:bookmarkEnd w:id="112"/>
    </w:p>
    <w:p>
      <w:pPr>
        <w:autoSpaceDE w:val="0"/>
        <w:autoSpaceDN w:val="0"/>
        <w:snapToGrid w:val="0"/>
        <w:spacing w:line="380" w:lineRule="exact"/>
        <w:textAlignment w:val="bottom"/>
        <w:rPr>
          <w:rFonts w:hint="eastAsia" w:ascii="宋体" w:hAnsi="宋体"/>
          <w:color w:val="auto"/>
          <w:szCs w:val="21"/>
          <w:highlight w:val="none"/>
        </w:rPr>
      </w:pPr>
      <w:bookmarkStart w:id="113" w:name="_Hlk118198328"/>
      <w:r>
        <w:rPr>
          <w:rFonts w:hint="eastAsia" w:ascii="宋体" w:hAnsi="宋体"/>
          <w:b/>
          <w:bCs/>
          <w:color w:val="auto"/>
          <w:szCs w:val="21"/>
          <w:highlight w:val="none"/>
        </w:rPr>
        <w:t>1.1 项目基本情况</w:t>
      </w:r>
      <w:r>
        <w:rPr>
          <w:rFonts w:hint="eastAsia" w:ascii="宋体" w:hAnsi="宋体"/>
          <w:color w:val="auto"/>
          <w:szCs w:val="21"/>
          <w:highlight w:val="none"/>
        </w:rPr>
        <w:t xml:space="preserve"> </w:t>
      </w:r>
    </w:p>
    <w:p>
      <w:pPr>
        <w:autoSpaceDE w:val="0"/>
        <w:autoSpaceDN w:val="0"/>
        <w:snapToGrid w:val="0"/>
        <w:spacing w:line="380" w:lineRule="exact"/>
        <w:textAlignment w:val="bottom"/>
        <w:rPr>
          <w:rFonts w:hint="eastAsia" w:ascii="宋体" w:hAnsi="宋体"/>
          <w:b/>
          <w:bCs/>
          <w:color w:val="auto"/>
          <w:szCs w:val="21"/>
          <w:highlight w:val="none"/>
        </w:rPr>
      </w:pPr>
      <w:r>
        <w:rPr>
          <w:rFonts w:hint="eastAsia" w:ascii="宋体" w:hAnsi="宋体"/>
          <w:b/>
          <w:bCs/>
          <w:color w:val="auto"/>
          <w:szCs w:val="21"/>
          <w:highlight w:val="none"/>
        </w:rPr>
        <w:t xml:space="preserve">1.1.1 项目名称 </w:t>
      </w:r>
    </w:p>
    <w:p>
      <w:pPr>
        <w:autoSpaceDE w:val="0"/>
        <w:autoSpaceDN w:val="0"/>
        <w:snapToGrid w:val="0"/>
        <w:spacing w:line="380" w:lineRule="exact"/>
        <w:textAlignment w:val="bottom"/>
        <w:rPr>
          <w:rFonts w:hint="eastAsia" w:ascii="宋体" w:hAnsi="宋体"/>
          <w:color w:val="auto"/>
          <w:szCs w:val="21"/>
          <w:highlight w:val="none"/>
        </w:rPr>
      </w:pPr>
      <w:r>
        <w:rPr>
          <w:rFonts w:hint="eastAsia" w:ascii="宋体" w:hAnsi="宋体"/>
          <w:color w:val="auto"/>
          <w:szCs w:val="21"/>
          <w:highlight w:val="none"/>
          <w:lang w:eastAsia="zh-CN"/>
        </w:rPr>
        <w:t>2025年异龙湖流域环境水质检测检验执法监管项目</w:t>
      </w:r>
      <w:r>
        <w:rPr>
          <w:rFonts w:hint="eastAsia" w:ascii="宋体" w:hAnsi="宋体"/>
          <w:color w:val="auto"/>
          <w:szCs w:val="21"/>
          <w:highlight w:val="none"/>
        </w:rPr>
        <w:t xml:space="preserve"> </w:t>
      </w:r>
    </w:p>
    <w:p>
      <w:pPr>
        <w:autoSpaceDE w:val="0"/>
        <w:autoSpaceDN w:val="0"/>
        <w:snapToGrid w:val="0"/>
        <w:spacing w:line="380" w:lineRule="exact"/>
        <w:textAlignment w:val="bottom"/>
        <w:rPr>
          <w:rFonts w:hint="eastAsia" w:ascii="宋体" w:hAnsi="宋体"/>
          <w:b/>
          <w:bCs/>
          <w:color w:val="auto"/>
          <w:szCs w:val="21"/>
          <w:highlight w:val="none"/>
        </w:rPr>
      </w:pPr>
      <w:r>
        <w:rPr>
          <w:rFonts w:hint="eastAsia" w:ascii="宋体" w:hAnsi="宋体"/>
          <w:b/>
          <w:bCs/>
          <w:color w:val="auto"/>
          <w:szCs w:val="21"/>
          <w:highlight w:val="none"/>
        </w:rPr>
        <w:t xml:space="preserve">1.1.2 项目内容 </w:t>
      </w:r>
    </w:p>
    <w:p>
      <w:pPr>
        <w:autoSpaceDE w:val="0"/>
        <w:autoSpaceDN w:val="0"/>
        <w:snapToGrid w:val="0"/>
        <w:spacing w:line="380" w:lineRule="exact"/>
        <w:ind w:firstLine="420" w:firstLineChars="200"/>
        <w:textAlignment w:val="bottom"/>
        <w:rPr>
          <w:rFonts w:hint="eastAsia" w:ascii="宋体" w:hAnsi="宋体" w:eastAsia="宋体"/>
          <w:color w:val="auto"/>
          <w:szCs w:val="21"/>
          <w:highlight w:val="none"/>
        </w:rPr>
      </w:pPr>
      <w:r>
        <w:rPr>
          <w:rFonts w:hint="eastAsia" w:ascii="宋体" w:hAnsi="宋体" w:eastAsia="宋体"/>
          <w:color w:val="auto"/>
          <w:szCs w:val="21"/>
          <w:highlight w:val="none"/>
        </w:rPr>
        <w:t>开展环境监测。结合实际需求，对异龙湖流域村庄污水处理设施、加油站、湖滨湿地、调补水区、农业面源、地下水及重点污染企业等开展环境监测。</w:t>
      </w:r>
    </w:p>
    <w:p>
      <w:pPr>
        <w:autoSpaceDE w:val="0"/>
        <w:autoSpaceDN w:val="0"/>
        <w:snapToGrid w:val="0"/>
        <w:spacing w:line="380" w:lineRule="exact"/>
        <w:textAlignment w:val="bottom"/>
        <w:rPr>
          <w:rFonts w:hint="eastAsia" w:ascii="宋体" w:hAnsi="宋体"/>
          <w:color w:val="auto"/>
          <w:szCs w:val="21"/>
          <w:highlight w:val="none"/>
        </w:rPr>
      </w:pPr>
      <w:r>
        <w:rPr>
          <w:rFonts w:hint="eastAsia" w:ascii="宋体" w:hAnsi="宋体"/>
          <w:b/>
          <w:bCs/>
          <w:color w:val="auto"/>
          <w:szCs w:val="21"/>
          <w:highlight w:val="none"/>
        </w:rPr>
        <w:t>1.1.3 项目范围</w:t>
      </w:r>
      <w:r>
        <w:rPr>
          <w:rFonts w:hint="eastAsia" w:ascii="宋体" w:hAnsi="宋体"/>
          <w:color w:val="auto"/>
          <w:szCs w:val="21"/>
          <w:highlight w:val="none"/>
        </w:rPr>
        <w:t xml:space="preserve"> </w:t>
      </w:r>
    </w:p>
    <w:p>
      <w:pPr>
        <w:autoSpaceDE w:val="0"/>
        <w:autoSpaceDN w:val="0"/>
        <w:snapToGrid w:val="0"/>
        <w:spacing w:line="380" w:lineRule="exact"/>
        <w:ind w:firstLine="420" w:firstLineChars="200"/>
        <w:textAlignment w:val="bottom"/>
        <w:rPr>
          <w:rFonts w:hint="eastAsia" w:ascii="宋体" w:hAnsi="宋体"/>
          <w:color w:val="auto"/>
          <w:szCs w:val="21"/>
          <w:highlight w:val="none"/>
        </w:rPr>
      </w:pPr>
      <w:r>
        <w:rPr>
          <w:rFonts w:hint="eastAsia" w:ascii="宋体" w:hAnsi="宋体"/>
          <w:color w:val="auto"/>
          <w:szCs w:val="21"/>
          <w:highlight w:val="none"/>
        </w:rPr>
        <w:t>本项目实施范围为</w:t>
      </w:r>
      <w:r>
        <w:rPr>
          <w:rFonts w:hint="eastAsia" w:ascii="宋体" w:hAnsi="宋体"/>
          <w:color w:val="auto"/>
          <w:szCs w:val="21"/>
          <w:highlight w:val="none"/>
          <w:lang w:val="en-US" w:eastAsia="zh-CN"/>
        </w:rPr>
        <w:t>异龙湖流域</w:t>
      </w:r>
      <w:r>
        <w:rPr>
          <w:rFonts w:hint="eastAsia" w:ascii="宋体" w:hAnsi="宋体"/>
          <w:color w:val="auto"/>
          <w:szCs w:val="21"/>
          <w:highlight w:val="none"/>
        </w:rPr>
        <w:t xml:space="preserve">全域。 </w:t>
      </w:r>
    </w:p>
    <w:p>
      <w:pPr>
        <w:autoSpaceDE w:val="0"/>
        <w:autoSpaceDN w:val="0"/>
        <w:snapToGrid w:val="0"/>
        <w:spacing w:line="380" w:lineRule="exact"/>
        <w:textAlignment w:val="bottom"/>
        <w:rPr>
          <w:rFonts w:hint="eastAsia" w:ascii="宋体" w:hAnsi="宋体"/>
          <w:b/>
          <w:bCs/>
          <w:color w:val="auto"/>
          <w:szCs w:val="21"/>
          <w:highlight w:val="none"/>
        </w:rPr>
      </w:pPr>
      <w:r>
        <w:rPr>
          <w:rFonts w:hint="eastAsia" w:ascii="宋体" w:hAnsi="宋体"/>
          <w:b/>
          <w:bCs/>
          <w:color w:val="auto"/>
          <w:szCs w:val="21"/>
          <w:highlight w:val="none"/>
        </w:rPr>
        <w:t xml:space="preserve">1.1.4 项目周期 </w:t>
      </w:r>
    </w:p>
    <w:p>
      <w:pPr>
        <w:autoSpaceDE w:val="0"/>
        <w:autoSpaceDN w:val="0"/>
        <w:snapToGrid w:val="0"/>
        <w:spacing w:line="380" w:lineRule="exact"/>
        <w:ind w:firstLine="420" w:firstLineChars="200"/>
        <w:textAlignment w:val="bottom"/>
        <w:rPr>
          <w:rFonts w:hint="eastAsia" w:ascii="宋体" w:hAnsi="宋体"/>
          <w:color w:val="auto"/>
          <w:highlight w:val="none"/>
        </w:rPr>
      </w:pPr>
      <w:r>
        <w:rPr>
          <w:rFonts w:hint="eastAsia" w:ascii="宋体" w:hAnsi="宋体"/>
          <w:color w:val="auto"/>
          <w:szCs w:val="21"/>
          <w:highlight w:val="none"/>
          <w:lang w:eastAsia="zh-CN"/>
        </w:rPr>
        <w:t>服务周期自合同签订一年</w:t>
      </w:r>
      <w:r>
        <w:rPr>
          <w:rFonts w:hint="eastAsia" w:ascii="宋体" w:hAnsi="宋体"/>
          <w:color w:val="auto"/>
          <w:szCs w:val="21"/>
          <w:highlight w:val="none"/>
        </w:rPr>
        <w:t>。</w:t>
      </w:r>
      <w:bookmarkEnd w:id="113"/>
    </w:p>
    <w:p>
      <w:pPr>
        <w:autoSpaceDE w:val="0"/>
        <w:autoSpaceDN w:val="0"/>
        <w:snapToGrid w:val="0"/>
        <w:spacing w:line="380" w:lineRule="exact"/>
        <w:textAlignment w:val="bottom"/>
        <w:rPr>
          <w:rFonts w:hint="default" w:ascii="宋体" w:hAnsi="宋体" w:eastAsia="宋体"/>
          <w:color w:val="auto"/>
          <w:szCs w:val="21"/>
          <w:highlight w:val="none"/>
          <w:lang w:val="en-US" w:eastAsia="zh-CN"/>
        </w:rPr>
      </w:pPr>
      <w:r>
        <w:rPr>
          <w:rFonts w:hint="eastAsia" w:ascii="宋体" w:hAnsi="宋体"/>
          <w:b/>
          <w:bCs/>
          <w:color w:val="auto"/>
          <w:szCs w:val="21"/>
          <w:highlight w:val="none"/>
        </w:rPr>
        <w:t>1.2 项目</w:t>
      </w:r>
      <w:r>
        <w:rPr>
          <w:rFonts w:hint="eastAsia" w:ascii="宋体" w:hAnsi="宋体"/>
          <w:b/>
          <w:bCs/>
          <w:color w:val="auto"/>
          <w:szCs w:val="21"/>
          <w:highlight w:val="none"/>
          <w:lang w:val="en-US" w:eastAsia="zh-CN"/>
        </w:rPr>
        <w:t>其他需求</w:t>
      </w:r>
    </w:p>
    <w:p>
      <w:pPr>
        <w:autoSpaceDE w:val="0"/>
        <w:autoSpaceDN w:val="0"/>
        <w:snapToGrid w:val="0"/>
        <w:spacing w:line="380" w:lineRule="exact"/>
        <w:ind w:firstLine="420" w:firstLineChars="200"/>
        <w:textAlignment w:val="bottom"/>
        <w:rPr>
          <w:rFonts w:hint="eastAsia" w:ascii="宋体" w:hAnsi="宋体" w:eastAsia="宋体"/>
          <w:color w:val="auto"/>
          <w:szCs w:val="21"/>
          <w:highlight w:val="none"/>
          <w:lang w:val="en-US" w:eastAsia="zh-CN"/>
        </w:rPr>
      </w:pPr>
    </w:p>
    <w:p>
      <w:pPr>
        <w:autoSpaceDE w:val="0"/>
        <w:autoSpaceDN w:val="0"/>
        <w:snapToGrid w:val="0"/>
        <w:spacing w:line="380" w:lineRule="exact"/>
        <w:ind w:firstLine="420" w:firstLineChars="200"/>
        <w:textAlignment w:val="bottom"/>
        <w:rPr>
          <w:rFonts w:hint="eastAsia" w:ascii="宋体" w:hAnsi="宋体" w:eastAsia="宋体"/>
          <w:color w:val="auto"/>
          <w:szCs w:val="21"/>
          <w:highlight w:val="none"/>
          <w:lang w:val="en-US" w:eastAsia="zh-CN"/>
        </w:rPr>
      </w:pPr>
      <w:r>
        <w:rPr>
          <w:rFonts w:hint="eastAsia" w:ascii="宋体" w:hAnsi="宋体" w:eastAsia="宋体"/>
          <w:color w:val="auto"/>
          <w:szCs w:val="21"/>
          <w:highlight w:val="none"/>
          <w:lang w:val="en-US" w:eastAsia="zh-CN"/>
        </w:rPr>
        <w:t>一、</w:t>
      </w:r>
      <w:r>
        <w:rPr>
          <w:rFonts w:hint="eastAsia" w:ascii="宋体" w:hAnsi="宋体" w:eastAsia="宋体"/>
          <w:color w:val="auto"/>
          <w:szCs w:val="21"/>
          <w:highlight w:val="none"/>
        </w:rPr>
        <w:t>需实现的功能或者目标，以及为落实政府采购政策需满足的要求</w:t>
      </w:r>
      <w:r>
        <w:rPr>
          <w:rFonts w:hint="eastAsia" w:ascii="宋体" w:hAnsi="宋体" w:eastAsia="宋体"/>
          <w:color w:val="auto"/>
          <w:szCs w:val="21"/>
          <w:highlight w:val="none"/>
          <w:lang w:eastAsia="zh-CN"/>
        </w:rPr>
        <w:t>：</w:t>
      </w:r>
      <w:r>
        <w:rPr>
          <w:rFonts w:hint="eastAsia" w:ascii="宋体" w:hAnsi="宋体" w:eastAsia="宋体"/>
          <w:color w:val="auto"/>
          <w:szCs w:val="21"/>
          <w:highlight w:val="none"/>
          <w:lang w:val="en-US" w:eastAsia="zh-CN"/>
        </w:rPr>
        <w:t>（1）结合实际需求，对异龙湖流域一体化污水处理设施，异龙湖中、异龙湖湖体、入湖河道、湿地、补水区以及流域重点污 染企业等开展环境监测，对红河州生态环境石屏分局实施的异龙湖保护治理项目监测评估。（2）</w:t>
      </w:r>
      <w:r>
        <w:rPr>
          <w:rFonts w:hint="eastAsia" w:ascii="宋体" w:hAnsi="宋体" w:eastAsia="宋体"/>
          <w:color w:val="auto"/>
          <w:szCs w:val="21"/>
          <w:highlight w:val="none"/>
        </w:rPr>
        <w:t>落实政府采购政策需满足的要求</w:t>
      </w:r>
      <w:r>
        <w:rPr>
          <w:rFonts w:hint="eastAsia" w:ascii="宋体" w:hAnsi="宋体" w:eastAsia="宋体"/>
          <w:color w:val="auto"/>
          <w:szCs w:val="21"/>
          <w:highlight w:val="none"/>
          <w:lang w:val="en-US" w:eastAsia="zh-CN"/>
        </w:rPr>
        <w:t>:本项目属于专门面向中小企业采购的项目。</w:t>
      </w:r>
    </w:p>
    <w:p>
      <w:pPr>
        <w:autoSpaceDE w:val="0"/>
        <w:autoSpaceDN w:val="0"/>
        <w:snapToGrid w:val="0"/>
        <w:spacing w:line="380" w:lineRule="exact"/>
        <w:ind w:firstLine="420" w:firstLineChars="200"/>
        <w:textAlignment w:val="bottom"/>
        <w:rPr>
          <w:rFonts w:hint="eastAsia" w:ascii="宋体" w:hAnsi="宋体" w:eastAsia="宋体"/>
          <w:color w:val="auto"/>
          <w:szCs w:val="21"/>
          <w:highlight w:val="none"/>
          <w:lang w:val="en-US" w:eastAsia="zh-CN"/>
        </w:rPr>
      </w:pPr>
      <w:r>
        <w:rPr>
          <w:rFonts w:hint="eastAsia" w:ascii="宋体" w:hAnsi="宋体" w:eastAsia="宋体"/>
          <w:color w:val="auto"/>
          <w:szCs w:val="21"/>
          <w:highlight w:val="none"/>
          <w:lang w:val="en-US" w:eastAsia="zh-CN"/>
        </w:rPr>
        <w:t>二、需执行的国家相关标准、行业标准、地方标准或者其他标准、规范：本项目严格按照国家现行相关法律法规执行。</w:t>
      </w:r>
    </w:p>
    <w:p>
      <w:pPr>
        <w:autoSpaceDE w:val="0"/>
        <w:autoSpaceDN w:val="0"/>
        <w:snapToGrid w:val="0"/>
        <w:spacing w:line="380" w:lineRule="exact"/>
        <w:ind w:firstLine="420" w:firstLineChars="200"/>
        <w:textAlignment w:val="bottom"/>
        <w:rPr>
          <w:rFonts w:hint="eastAsia" w:ascii="宋体" w:hAnsi="宋体" w:eastAsia="宋体"/>
          <w:color w:val="auto"/>
          <w:szCs w:val="21"/>
          <w:highlight w:val="none"/>
          <w:lang w:val="en-US" w:eastAsia="zh-CN"/>
        </w:rPr>
      </w:pPr>
      <w:r>
        <w:rPr>
          <w:rFonts w:hint="eastAsia" w:ascii="宋体" w:hAnsi="宋体" w:eastAsia="宋体"/>
          <w:color w:val="auto"/>
          <w:szCs w:val="21"/>
          <w:highlight w:val="none"/>
          <w:lang w:val="en-US" w:eastAsia="zh-CN"/>
        </w:rPr>
        <w:t>三、需满足的质量、安全、技术规格、物理特性等要求：</w:t>
      </w:r>
    </w:p>
    <w:p>
      <w:pPr>
        <w:autoSpaceDE w:val="0"/>
        <w:autoSpaceDN w:val="0"/>
        <w:snapToGrid w:val="0"/>
        <w:spacing w:line="380" w:lineRule="exact"/>
        <w:ind w:firstLine="420" w:firstLineChars="200"/>
        <w:textAlignment w:val="bottom"/>
        <w:rPr>
          <w:rFonts w:hint="default" w:ascii="宋体" w:hAnsi="宋体" w:eastAsia="宋体"/>
          <w:color w:val="auto"/>
          <w:szCs w:val="21"/>
          <w:highlight w:val="none"/>
          <w:lang w:val="en-US" w:eastAsia="zh-CN"/>
        </w:rPr>
      </w:pPr>
      <w:r>
        <w:rPr>
          <w:rFonts w:hint="eastAsia" w:ascii="宋体" w:hAnsi="宋体" w:eastAsia="宋体"/>
          <w:color w:val="auto"/>
          <w:szCs w:val="21"/>
          <w:highlight w:val="none"/>
          <w:lang w:val="en-US" w:eastAsia="zh-CN"/>
        </w:rPr>
        <w:t>四</w:t>
      </w:r>
      <w:r>
        <w:rPr>
          <w:rFonts w:hint="default" w:ascii="宋体" w:hAnsi="宋体" w:eastAsia="宋体"/>
          <w:color w:val="auto"/>
          <w:szCs w:val="21"/>
          <w:highlight w:val="none"/>
          <w:lang w:val="en-US" w:eastAsia="zh-CN"/>
        </w:rPr>
        <w:t>、</w:t>
      </w:r>
      <w:r>
        <w:rPr>
          <w:rFonts w:hint="eastAsia" w:ascii="宋体" w:hAnsi="宋体" w:eastAsia="宋体"/>
          <w:color w:val="auto"/>
          <w:szCs w:val="21"/>
          <w:highlight w:val="none"/>
          <w:lang w:val="en-US" w:eastAsia="zh-CN"/>
        </w:rPr>
        <w:t>数量、采购项目交付或者实施的时间和地点：本项目划分为一个标段；实施时间为自项目合同签订后一年；实施地点为石屏县境内。</w:t>
      </w:r>
    </w:p>
    <w:p>
      <w:pPr>
        <w:autoSpaceDE w:val="0"/>
        <w:autoSpaceDN w:val="0"/>
        <w:snapToGrid w:val="0"/>
        <w:spacing w:line="380" w:lineRule="exact"/>
        <w:ind w:firstLine="420" w:firstLineChars="200"/>
        <w:textAlignment w:val="bottom"/>
        <w:rPr>
          <w:rFonts w:hint="default" w:ascii="宋体" w:hAnsi="宋体" w:eastAsia="宋体"/>
          <w:color w:val="auto"/>
          <w:szCs w:val="21"/>
          <w:highlight w:val="none"/>
          <w:lang w:val="en-US" w:eastAsia="zh-CN"/>
        </w:rPr>
      </w:pPr>
      <w:r>
        <w:rPr>
          <w:rFonts w:hint="eastAsia" w:ascii="宋体" w:hAnsi="宋体" w:eastAsia="宋体"/>
          <w:color w:val="auto"/>
          <w:szCs w:val="21"/>
          <w:highlight w:val="none"/>
          <w:lang w:val="en-US" w:eastAsia="zh-CN"/>
        </w:rPr>
        <w:t>五</w:t>
      </w:r>
      <w:r>
        <w:rPr>
          <w:rFonts w:hint="default" w:ascii="宋体" w:hAnsi="宋体" w:eastAsia="宋体"/>
          <w:color w:val="auto"/>
          <w:szCs w:val="21"/>
          <w:highlight w:val="none"/>
          <w:lang w:val="en-US" w:eastAsia="zh-CN"/>
        </w:rPr>
        <w:t>、需满足的服务标准、期限、效率等要求</w:t>
      </w:r>
      <w:r>
        <w:rPr>
          <w:rFonts w:hint="eastAsia" w:ascii="宋体" w:hAnsi="宋体" w:eastAsia="宋体"/>
          <w:color w:val="auto"/>
          <w:szCs w:val="21"/>
          <w:highlight w:val="none"/>
          <w:lang w:val="en-US" w:eastAsia="zh-CN"/>
        </w:rPr>
        <w:t>：符合国家和行业现行相关规定，满足采购人要求</w:t>
      </w:r>
    </w:p>
    <w:p>
      <w:pPr>
        <w:autoSpaceDE w:val="0"/>
        <w:autoSpaceDN w:val="0"/>
        <w:snapToGrid w:val="0"/>
        <w:spacing w:line="380" w:lineRule="exact"/>
        <w:ind w:firstLine="420" w:firstLineChars="200"/>
        <w:textAlignment w:val="bottom"/>
        <w:rPr>
          <w:rFonts w:hint="default" w:ascii="宋体" w:hAnsi="宋体" w:eastAsia="宋体"/>
          <w:color w:val="auto"/>
          <w:szCs w:val="21"/>
          <w:highlight w:val="none"/>
          <w:lang w:val="en-US" w:eastAsia="zh-CN"/>
        </w:rPr>
      </w:pPr>
      <w:r>
        <w:rPr>
          <w:rFonts w:hint="eastAsia" w:ascii="宋体" w:hAnsi="宋体" w:eastAsia="宋体"/>
          <w:color w:val="auto"/>
          <w:szCs w:val="21"/>
          <w:highlight w:val="none"/>
          <w:lang w:val="en-US" w:eastAsia="zh-CN"/>
        </w:rPr>
        <w:t>六</w:t>
      </w:r>
      <w:r>
        <w:rPr>
          <w:rFonts w:hint="default" w:ascii="宋体" w:hAnsi="宋体" w:eastAsia="宋体"/>
          <w:color w:val="auto"/>
          <w:szCs w:val="21"/>
          <w:highlight w:val="none"/>
          <w:lang w:val="en-US" w:eastAsia="zh-CN"/>
        </w:rPr>
        <w:t>、验收标准</w:t>
      </w:r>
      <w:r>
        <w:rPr>
          <w:rFonts w:hint="eastAsia" w:ascii="宋体" w:hAnsi="宋体" w:eastAsia="宋体"/>
          <w:color w:val="auto"/>
          <w:szCs w:val="21"/>
          <w:highlight w:val="none"/>
          <w:lang w:val="en-US" w:eastAsia="zh-CN"/>
        </w:rPr>
        <w:t>：/</w:t>
      </w:r>
    </w:p>
    <w:p>
      <w:pPr>
        <w:autoSpaceDE w:val="0"/>
        <w:autoSpaceDN w:val="0"/>
        <w:snapToGrid w:val="0"/>
        <w:spacing w:line="380" w:lineRule="exact"/>
        <w:ind w:firstLine="420" w:firstLineChars="200"/>
        <w:textAlignment w:val="bottom"/>
        <w:rPr>
          <w:rFonts w:hint="default" w:ascii="宋体" w:hAnsi="宋体" w:eastAsia="宋体"/>
          <w:color w:val="auto"/>
          <w:szCs w:val="21"/>
          <w:highlight w:val="none"/>
          <w:lang w:val="en-US" w:eastAsia="zh-CN"/>
        </w:rPr>
      </w:pPr>
      <w:r>
        <w:rPr>
          <w:rFonts w:hint="eastAsia" w:ascii="宋体" w:hAnsi="宋体" w:eastAsia="宋体"/>
          <w:color w:val="auto"/>
          <w:szCs w:val="21"/>
          <w:highlight w:val="none"/>
          <w:lang w:val="en-US" w:eastAsia="zh-CN"/>
        </w:rPr>
        <w:t>七</w:t>
      </w:r>
      <w:r>
        <w:rPr>
          <w:rFonts w:hint="default" w:ascii="宋体" w:hAnsi="宋体" w:eastAsia="宋体"/>
          <w:color w:val="auto"/>
          <w:szCs w:val="21"/>
          <w:highlight w:val="none"/>
          <w:lang w:val="en-US" w:eastAsia="zh-CN"/>
        </w:rPr>
        <w:t>、其他技术、服务等要求</w:t>
      </w:r>
      <w:r>
        <w:rPr>
          <w:rFonts w:hint="eastAsia" w:ascii="宋体" w:hAnsi="宋体" w:eastAsia="宋体"/>
          <w:color w:val="auto"/>
          <w:szCs w:val="21"/>
          <w:highlight w:val="none"/>
          <w:lang w:val="en-US" w:eastAsia="zh-CN"/>
        </w:rPr>
        <w:t>：</w:t>
      </w:r>
    </w:p>
    <w:p>
      <w:pPr>
        <w:autoSpaceDE w:val="0"/>
        <w:autoSpaceDN w:val="0"/>
        <w:snapToGrid w:val="0"/>
        <w:spacing w:line="380" w:lineRule="exact"/>
        <w:ind w:firstLine="420" w:firstLineChars="200"/>
        <w:textAlignment w:val="bottom"/>
        <w:rPr>
          <w:rFonts w:hint="eastAsia" w:ascii="宋体" w:hAnsi="宋体" w:eastAsia="宋体"/>
          <w:color w:val="auto"/>
          <w:szCs w:val="21"/>
          <w:highlight w:val="none"/>
          <w:lang w:val="en-US" w:eastAsia="zh-CN"/>
        </w:rPr>
      </w:pPr>
      <w:r>
        <w:rPr>
          <w:rFonts w:hint="eastAsia" w:ascii="宋体" w:hAnsi="宋体" w:eastAsia="宋体"/>
          <w:color w:val="auto"/>
          <w:szCs w:val="21"/>
          <w:highlight w:val="none"/>
          <w:lang w:val="en-US" w:eastAsia="zh-CN"/>
        </w:rPr>
        <w:t>1.异龙湖流域村庄污水处理设施监测</w:t>
      </w:r>
    </w:p>
    <w:p>
      <w:pPr>
        <w:autoSpaceDE w:val="0"/>
        <w:autoSpaceDN w:val="0"/>
        <w:snapToGrid w:val="0"/>
        <w:spacing w:line="380" w:lineRule="exact"/>
        <w:ind w:firstLine="420" w:firstLineChars="200"/>
        <w:textAlignment w:val="bottom"/>
        <w:rPr>
          <w:rFonts w:hint="eastAsia" w:ascii="宋体" w:hAnsi="宋体" w:eastAsia="宋体"/>
          <w:color w:val="auto"/>
          <w:szCs w:val="21"/>
          <w:highlight w:val="none"/>
          <w:lang w:val="en-US" w:eastAsia="zh-CN"/>
        </w:rPr>
      </w:pPr>
      <w:r>
        <w:rPr>
          <w:rFonts w:hint="eastAsia" w:ascii="宋体" w:hAnsi="宋体" w:eastAsia="宋体"/>
          <w:color w:val="auto"/>
          <w:szCs w:val="21"/>
          <w:highlight w:val="none"/>
          <w:lang w:val="en-US" w:eastAsia="zh-CN"/>
        </w:rPr>
        <w:t>监测断面：异龙湖流域村庄已建成46套污水处理设施进出口</w:t>
      </w:r>
    </w:p>
    <w:p>
      <w:pPr>
        <w:autoSpaceDE w:val="0"/>
        <w:autoSpaceDN w:val="0"/>
        <w:snapToGrid w:val="0"/>
        <w:spacing w:line="380" w:lineRule="exact"/>
        <w:ind w:firstLine="420" w:firstLineChars="200"/>
        <w:textAlignment w:val="bottom"/>
        <w:rPr>
          <w:rFonts w:hint="eastAsia" w:ascii="宋体" w:hAnsi="宋体" w:eastAsia="宋体"/>
          <w:color w:val="auto"/>
          <w:szCs w:val="21"/>
          <w:highlight w:val="none"/>
          <w:lang w:val="en-US" w:eastAsia="zh-CN"/>
        </w:rPr>
      </w:pPr>
      <w:r>
        <w:rPr>
          <w:rFonts w:hint="eastAsia" w:ascii="宋体" w:hAnsi="宋体" w:eastAsia="宋体"/>
          <w:color w:val="auto"/>
          <w:szCs w:val="21"/>
          <w:highlight w:val="none"/>
          <w:lang w:val="en-US" w:eastAsia="zh-CN"/>
        </w:rPr>
        <w:t>（1）监测项目：化学需氧量、氨氮、总磷、总氮、流量。</w:t>
      </w:r>
    </w:p>
    <w:p>
      <w:pPr>
        <w:autoSpaceDE w:val="0"/>
        <w:autoSpaceDN w:val="0"/>
        <w:snapToGrid w:val="0"/>
        <w:spacing w:line="380" w:lineRule="exact"/>
        <w:ind w:firstLine="420" w:firstLineChars="200"/>
        <w:textAlignment w:val="bottom"/>
        <w:rPr>
          <w:rFonts w:hint="eastAsia" w:ascii="宋体" w:hAnsi="宋体" w:eastAsia="宋体"/>
          <w:color w:val="auto"/>
          <w:szCs w:val="21"/>
          <w:highlight w:val="none"/>
          <w:lang w:val="en-US" w:eastAsia="zh-CN"/>
        </w:rPr>
      </w:pPr>
      <w:r>
        <w:rPr>
          <w:rFonts w:hint="eastAsia" w:ascii="宋体" w:hAnsi="宋体" w:eastAsia="宋体"/>
          <w:color w:val="auto"/>
          <w:szCs w:val="21"/>
          <w:highlight w:val="none"/>
          <w:lang w:val="en-US" w:eastAsia="zh-CN"/>
        </w:rPr>
        <w:t>监测频次：每季一次（半年监测季扣除），瞬时样，有水监测</w:t>
      </w:r>
    </w:p>
    <w:p>
      <w:pPr>
        <w:autoSpaceDE w:val="0"/>
        <w:autoSpaceDN w:val="0"/>
        <w:snapToGrid w:val="0"/>
        <w:spacing w:line="380" w:lineRule="exact"/>
        <w:ind w:firstLine="420" w:firstLineChars="200"/>
        <w:textAlignment w:val="bottom"/>
        <w:rPr>
          <w:rFonts w:hint="eastAsia" w:ascii="宋体" w:hAnsi="宋体" w:eastAsia="宋体"/>
          <w:color w:val="auto"/>
          <w:szCs w:val="21"/>
          <w:highlight w:val="none"/>
          <w:lang w:val="en-US" w:eastAsia="zh-CN"/>
        </w:rPr>
      </w:pPr>
      <w:r>
        <w:rPr>
          <w:rFonts w:hint="eastAsia" w:ascii="宋体" w:hAnsi="宋体" w:eastAsia="宋体"/>
          <w:color w:val="auto"/>
          <w:szCs w:val="21"/>
          <w:highlight w:val="none"/>
          <w:lang w:val="en-US" w:eastAsia="zh-CN"/>
        </w:rPr>
        <w:t>（2）监测项目：指标为《城镇污水处理厂污染物排放标准》（GB 18918－2002）表1、表2除烷基汞外的18项，加流量。</w:t>
      </w:r>
    </w:p>
    <w:p>
      <w:pPr>
        <w:autoSpaceDE w:val="0"/>
        <w:autoSpaceDN w:val="0"/>
        <w:snapToGrid w:val="0"/>
        <w:spacing w:line="380" w:lineRule="exact"/>
        <w:ind w:firstLine="420" w:firstLineChars="200"/>
        <w:textAlignment w:val="bottom"/>
        <w:rPr>
          <w:rFonts w:hint="eastAsia" w:ascii="宋体" w:hAnsi="宋体" w:eastAsia="宋体"/>
          <w:color w:val="auto"/>
          <w:szCs w:val="21"/>
          <w:highlight w:val="none"/>
          <w:lang w:val="en-US" w:eastAsia="zh-CN"/>
        </w:rPr>
      </w:pPr>
      <w:r>
        <w:rPr>
          <w:rFonts w:hint="eastAsia" w:ascii="宋体" w:hAnsi="宋体" w:eastAsia="宋体"/>
          <w:color w:val="auto"/>
          <w:szCs w:val="21"/>
          <w:highlight w:val="none"/>
          <w:lang w:val="en-US" w:eastAsia="zh-CN"/>
        </w:rPr>
        <w:t>监测频次：半年一次，至少3个混合样</w:t>
      </w:r>
    </w:p>
    <w:p>
      <w:pPr>
        <w:autoSpaceDE w:val="0"/>
        <w:autoSpaceDN w:val="0"/>
        <w:snapToGrid w:val="0"/>
        <w:spacing w:line="380" w:lineRule="exact"/>
        <w:ind w:firstLine="420" w:firstLineChars="200"/>
        <w:textAlignment w:val="bottom"/>
        <w:rPr>
          <w:rFonts w:hint="eastAsia" w:ascii="宋体" w:hAnsi="宋体" w:eastAsia="宋体"/>
          <w:color w:val="auto"/>
          <w:szCs w:val="21"/>
          <w:highlight w:val="none"/>
          <w:lang w:val="en-US" w:eastAsia="zh-CN"/>
        </w:rPr>
      </w:pPr>
      <w:r>
        <w:rPr>
          <w:rFonts w:hint="eastAsia" w:ascii="宋体" w:hAnsi="宋体" w:eastAsia="宋体"/>
          <w:color w:val="auto"/>
          <w:szCs w:val="21"/>
          <w:highlight w:val="none"/>
          <w:lang w:val="en-US" w:eastAsia="zh-CN"/>
        </w:rPr>
        <w:t>2.加油站监测</w:t>
      </w:r>
    </w:p>
    <w:p>
      <w:pPr>
        <w:autoSpaceDE w:val="0"/>
        <w:autoSpaceDN w:val="0"/>
        <w:snapToGrid w:val="0"/>
        <w:spacing w:line="380" w:lineRule="exact"/>
        <w:ind w:firstLine="420" w:firstLineChars="200"/>
        <w:textAlignment w:val="bottom"/>
        <w:rPr>
          <w:rFonts w:hint="eastAsia" w:ascii="宋体" w:hAnsi="宋体" w:eastAsia="宋体"/>
          <w:color w:val="auto"/>
          <w:szCs w:val="21"/>
          <w:highlight w:val="none"/>
          <w:lang w:val="en-US" w:eastAsia="zh-CN"/>
        </w:rPr>
      </w:pPr>
      <w:r>
        <w:rPr>
          <w:rFonts w:hint="eastAsia" w:ascii="宋体" w:hAnsi="宋体" w:eastAsia="宋体"/>
          <w:color w:val="auto"/>
          <w:szCs w:val="21"/>
          <w:highlight w:val="none"/>
          <w:lang w:val="en-US" w:eastAsia="zh-CN"/>
        </w:rPr>
        <w:t>监测断面：县城建成区6个加油站卸油油气回收系统和加油油气回收系统</w:t>
      </w:r>
    </w:p>
    <w:p>
      <w:pPr>
        <w:autoSpaceDE w:val="0"/>
        <w:autoSpaceDN w:val="0"/>
        <w:snapToGrid w:val="0"/>
        <w:spacing w:line="380" w:lineRule="exact"/>
        <w:ind w:firstLine="420" w:firstLineChars="200"/>
        <w:textAlignment w:val="bottom"/>
        <w:rPr>
          <w:rFonts w:hint="eastAsia" w:ascii="宋体" w:hAnsi="宋体" w:eastAsia="宋体"/>
          <w:color w:val="auto"/>
          <w:szCs w:val="21"/>
          <w:highlight w:val="none"/>
          <w:lang w:val="en-US" w:eastAsia="zh-CN"/>
        </w:rPr>
      </w:pPr>
      <w:r>
        <w:rPr>
          <w:rFonts w:hint="eastAsia" w:ascii="宋体" w:hAnsi="宋体" w:eastAsia="宋体"/>
          <w:color w:val="auto"/>
          <w:szCs w:val="21"/>
          <w:highlight w:val="none"/>
          <w:lang w:val="en-US" w:eastAsia="zh-CN"/>
        </w:rPr>
        <w:t>监测项目：温度、气压、风速、风向；厂界无组织废气：挥发性有机物</w:t>
      </w:r>
    </w:p>
    <w:p>
      <w:pPr>
        <w:autoSpaceDE w:val="0"/>
        <w:autoSpaceDN w:val="0"/>
        <w:snapToGrid w:val="0"/>
        <w:spacing w:line="380" w:lineRule="exact"/>
        <w:ind w:firstLine="420" w:firstLineChars="200"/>
        <w:textAlignment w:val="bottom"/>
        <w:rPr>
          <w:rFonts w:hint="eastAsia" w:ascii="宋体" w:hAnsi="宋体" w:eastAsia="宋体"/>
          <w:color w:val="auto"/>
          <w:szCs w:val="21"/>
          <w:highlight w:val="none"/>
          <w:lang w:val="en-US" w:eastAsia="zh-CN"/>
        </w:rPr>
      </w:pPr>
      <w:r>
        <w:rPr>
          <w:rFonts w:hint="eastAsia" w:ascii="宋体" w:hAnsi="宋体" w:eastAsia="宋体"/>
          <w:color w:val="auto"/>
          <w:szCs w:val="21"/>
          <w:highlight w:val="none"/>
          <w:lang w:val="en-US" w:eastAsia="zh-CN"/>
        </w:rPr>
        <w:t>监测频次：每年1次，非连续采样 至少3个</w:t>
      </w:r>
    </w:p>
    <w:p>
      <w:pPr>
        <w:autoSpaceDE w:val="0"/>
        <w:autoSpaceDN w:val="0"/>
        <w:snapToGrid w:val="0"/>
        <w:spacing w:line="380" w:lineRule="exact"/>
        <w:ind w:firstLine="420" w:firstLineChars="200"/>
        <w:textAlignment w:val="bottom"/>
        <w:rPr>
          <w:rFonts w:hint="eastAsia" w:ascii="宋体" w:hAnsi="宋体" w:eastAsia="宋体"/>
          <w:color w:val="auto"/>
          <w:szCs w:val="21"/>
          <w:highlight w:val="none"/>
          <w:lang w:val="en-US" w:eastAsia="zh-CN"/>
        </w:rPr>
      </w:pPr>
      <w:r>
        <w:rPr>
          <w:rFonts w:hint="eastAsia" w:ascii="宋体" w:hAnsi="宋体" w:eastAsia="宋体"/>
          <w:color w:val="auto"/>
          <w:szCs w:val="21"/>
          <w:highlight w:val="none"/>
          <w:lang w:val="en-US" w:eastAsia="zh-CN"/>
        </w:rPr>
        <w:t>3.湖滨湿地监测</w:t>
      </w:r>
    </w:p>
    <w:p>
      <w:pPr>
        <w:autoSpaceDE w:val="0"/>
        <w:autoSpaceDN w:val="0"/>
        <w:snapToGrid w:val="0"/>
        <w:spacing w:line="380" w:lineRule="exact"/>
        <w:ind w:firstLine="420" w:firstLineChars="200"/>
        <w:textAlignment w:val="bottom"/>
        <w:rPr>
          <w:rFonts w:hint="eastAsia" w:ascii="宋体" w:hAnsi="宋体" w:eastAsia="宋体"/>
          <w:color w:val="auto"/>
          <w:szCs w:val="21"/>
          <w:highlight w:val="none"/>
          <w:lang w:val="en-US" w:eastAsia="zh-CN"/>
        </w:rPr>
      </w:pPr>
      <w:r>
        <w:rPr>
          <w:rFonts w:hint="eastAsia" w:ascii="宋体" w:hAnsi="宋体" w:eastAsia="宋体"/>
          <w:color w:val="auto"/>
          <w:szCs w:val="21"/>
          <w:highlight w:val="none"/>
          <w:lang w:val="en-US" w:eastAsia="zh-CN"/>
        </w:rPr>
        <w:t>监测断面：异龙湖流域10个湿地进出口</w:t>
      </w:r>
    </w:p>
    <w:p>
      <w:pPr>
        <w:autoSpaceDE w:val="0"/>
        <w:autoSpaceDN w:val="0"/>
        <w:snapToGrid w:val="0"/>
        <w:spacing w:line="380" w:lineRule="exact"/>
        <w:ind w:firstLine="420" w:firstLineChars="200"/>
        <w:textAlignment w:val="bottom"/>
        <w:rPr>
          <w:rFonts w:hint="eastAsia" w:ascii="宋体" w:hAnsi="宋体" w:eastAsia="宋体"/>
          <w:color w:val="auto"/>
          <w:szCs w:val="21"/>
          <w:highlight w:val="none"/>
          <w:lang w:val="en-US" w:eastAsia="zh-CN"/>
        </w:rPr>
      </w:pPr>
      <w:r>
        <w:rPr>
          <w:rFonts w:hint="eastAsia" w:ascii="宋体" w:hAnsi="宋体" w:eastAsia="宋体"/>
          <w:color w:val="auto"/>
          <w:szCs w:val="21"/>
          <w:highlight w:val="none"/>
          <w:lang w:val="en-US" w:eastAsia="zh-CN"/>
        </w:rPr>
        <w:t>监测项目：pH、水温、溶解氧、化学需氧量、高锰酸盐指数、总氮、总磷、氨氮、流量</w:t>
      </w:r>
    </w:p>
    <w:p>
      <w:pPr>
        <w:autoSpaceDE w:val="0"/>
        <w:autoSpaceDN w:val="0"/>
        <w:snapToGrid w:val="0"/>
        <w:spacing w:line="380" w:lineRule="exact"/>
        <w:ind w:firstLine="420" w:firstLineChars="200"/>
        <w:textAlignment w:val="bottom"/>
        <w:rPr>
          <w:rFonts w:hint="eastAsia" w:ascii="宋体" w:hAnsi="宋体" w:eastAsia="宋体"/>
          <w:color w:val="auto"/>
          <w:szCs w:val="21"/>
          <w:highlight w:val="none"/>
          <w:lang w:val="en-US" w:eastAsia="zh-CN"/>
        </w:rPr>
      </w:pPr>
      <w:r>
        <w:rPr>
          <w:rFonts w:hint="eastAsia" w:ascii="宋体" w:hAnsi="宋体" w:eastAsia="宋体"/>
          <w:color w:val="auto"/>
          <w:szCs w:val="21"/>
          <w:highlight w:val="none"/>
          <w:lang w:val="en-US" w:eastAsia="zh-CN"/>
        </w:rPr>
        <w:t>监测频次：每季度一次，有进有出才采样监测</w:t>
      </w:r>
    </w:p>
    <w:p>
      <w:pPr>
        <w:autoSpaceDE w:val="0"/>
        <w:autoSpaceDN w:val="0"/>
        <w:snapToGrid w:val="0"/>
        <w:spacing w:line="380" w:lineRule="exact"/>
        <w:ind w:firstLine="420" w:firstLineChars="200"/>
        <w:textAlignment w:val="bottom"/>
        <w:rPr>
          <w:rFonts w:hint="eastAsia" w:ascii="宋体" w:hAnsi="宋体" w:eastAsia="宋体"/>
          <w:color w:val="auto"/>
          <w:szCs w:val="21"/>
          <w:highlight w:val="none"/>
          <w:lang w:val="en-US" w:eastAsia="zh-CN"/>
        </w:rPr>
      </w:pPr>
      <w:r>
        <w:rPr>
          <w:rFonts w:hint="eastAsia" w:ascii="宋体" w:hAnsi="宋体" w:eastAsia="宋体"/>
          <w:color w:val="auto"/>
          <w:szCs w:val="21"/>
          <w:highlight w:val="none"/>
          <w:lang w:val="en-US" w:eastAsia="zh-CN"/>
        </w:rPr>
        <w:t>4.调补水区水质监测</w:t>
      </w:r>
    </w:p>
    <w:p>
      <w:pPr>
        <w:autoSpaceDE w:val="0"/>
        <w:autoSpaceDN w:val="0"/>
        <w:snapToGrid w:val="0"/>
        <w:spacing w:line="380" w:lineRule="exact"/>
        <w:ind w:firstLine="420" w:firstLineChars="200"/>
        <w:textAlignment w:val="bottom"/>
        <w:rPr>
          <w:rFonts w:hint="eastAsia" w:ascii="宋体" w:hAnsi="宋体" w:eastAsia="宋体"/>
          <w:color w:val="auto"/>
          <w:szCs w:val="21"/>
          <w:highlight w:val="none"/>
          <w:lang w:val="en-US" w:eastAsia="zh-CN"/>
        </w:rPr>
      </w:pPr>
      <w:r>
        <w:rPr>
          <w:rFonts w:hint="eastAsia" w:ascii="宋体" w:hAnsi="宋体" w:eastAsia="宋体"/>
          <w:color w:val="auto"/>
          <w:szCs w:val="21"/>
          <w:highlight w:val="none"/>
          <w:lang w:val="en-US" w:eastAsia="zh-CN"/>
        </w:rPr>
        <w:t>1、地表水断面：调补水区14个断面</w:t>
      </w:r>
    </w:p>
    <w:p>
      <w:pPr>
        <w:autoSpaceDE w:val="0"/>
        <w:autoSpaceDN w:val="0"/>
        <w:snapToGrid w:val="0"/>
        <w:spacing w:line="380" w:lineRule="exact"/>
        <w:ind w:firstLine="420" w:firstLineChars="200"/>
        <w:textAlignment w:val="bottom"/>
        <w:rPr>
          <w:rFonts w:hint="eastAsia" w:ascii="宋体" w:hAnsi="宋体" w:eastAsia="宋体"/>
          <w:color w:val="auto"/>
          <w:szCs w:val="21"/>
          <w:highlight w:val="none"/>
          <w:lang w:val="en-US" w:eastAsia="zh-CN"/>
        </w:rPr>
      </w:pPr>
      <w:r>
        <w:rPr>
          <w:rFonts w:hint="eastAsia" w:ascii="宋体" w:hAnsi="宋体" w:eastAsia="宋体"/>
          <w:color w:val="auto"/>
          <w:szCs w:val="21"/>
          <w:highlight w:val="none"/>
          <w:lang w:val="en-US" w:eastAsia="zh-CN"/>
        </w:rPr>
        <w:t>监测指标：（1）流量、水温、pH值、溶解氧、化学需氧量、总磷、氨氮、高锰酸盐指数</w:t>
      </w:r>
    </w:p>
    <w:p>
      <w:pPr>
        <w:autoSpaceDE w:val="0"/>
        <w:autoSpaceDN w:val="0"/>
        <w:snapToGrid w:val="0"/>
        <w:spacing w:line="380" w:lineRule="exact"/>
        <w:ind w:firstLine="420" w:firstLineChars="200"/>
        <w:textAlignment w:val="bottom"/>
        <w:rPr>
          <w:rFonts w:hint="eastAsia" w:ascii="宋体" w:hAnsi="宋体" w:eastAsia="宋体"/>
          <w:color w:val="auto"/>
          <w:szCs w:val="21"/>
          <w:highlight w:val="none"/>
          <w:lang w:val="en-US" w:eastAsia="zh-CN"/>
        </w:rPr>
      </w:pPr>
      <w:r>
        <w:rPr>
          <w:rFonts w:hint="eastAsia" w:ascii="宋体" w:hAnsi="宋体" w:eastAsia="宋体"/>
          <w:color w:val="auto"/>
          <w:szCs w:val="21"/>
          <w:highlight w:val="none"/>
          <w:lang w:val="en-US" w:eastAsia="zh-CN"/>
        </w:rPr>
        <w:t>监测频次：每月一次（季度监测月扣除）</w:t>
      </w:r>
    </w:p>
    <w:p>
      <w:pPr>
        <w:autoSpaceDE w:val="0"/>
        <w:autoSpaceDN w:val="0"/>
        <w:snapToGrid w:val="0"/>
        <w:spacing w:line="380" w:lineRule="exact"/>
        <w:ind w:firstLine="420" w:firstLineChars="200"/>
        <w:textAlignment w:val="bottom"/>
        <w:rPr>
          <w:rFonts w:hint="eastAsia" w:ascii="宋体" w:hAnsi="宋体" w:eastAsia="宋体"/>
          <w:color w:val="auto"/>
          <w:szCs w:val="21"/>
          <w:highlight w:val="none"/>
          <w:lang w:val="en-US" w:eastAsia="zh-CN"/>
        </w:rPr>
      </w:pPr>
      <w:r>
        <w:rPr>
          <w:rFonts w:hint="eastAsia" w:ascii="宋体" w:hAnsi="宋体" w:eastAsia="宋体"/>
          <w:color w:val="auto"/>
          <w:szCs w:val="21"/>
          <w:highlight w:val="none"/>
          <w:lang w:val="en-US" w:eastAsia="zh-CN"/>
        </w:rPr>
        <w:t>（2）《地表水环境质量标准》（GB3838-2002）表1的24项基本项目，河流增加流量和硝酸盐，湖库增加透明度、叶绿素a和硝酸盐。</w:t>
      </w:r>
    </w:p>
    <w:p>
      <w:pPr>
        <w:autoSpaceDE w:val="0"/>
        <w:autoSpaceDN w:val="0"/>
        <w:snapToGrid w:val="0"/>
        <w:spacing w:line="380" w:lineRule="exact"/>
        <w:ind w:firstLine="420" w:firstLineChars="200"/>
        <w:textAlignment w:val="bottom"/>
        <w:rPr>
          <w:rFonts w:hint="eastAsia" w:ascii="宋体" w:hAnsi="宋体" w:eastAsia="宋体"/>
          <w:color w:val="auto"/>
          <w:szCs w:val="21"/>
          <w:highlight w:val="none"/>
          <w:lang w:val="en-US" w:eastAsia="zh-CN"/>
        </w:rPr>
      </w:pPr>
      <w:r>
        <w:rPr>
          <w:rFonts w:hint="eastAsia" w:ascii="宋体" w:hAnsi="宋体" w:eastAsia="宋体"/>
          <w:color w:val="auto"/>
          <w:szCs w:val="21"/>
          <w:highlight w:val="none"/>
          <w:lang w:val="en-US" w:eastAsia="zh-CN"/>
        </w:rPr>
        <w:t>监测频次：每季度一次</w:t>
      </w:r>
    </w:p>
    <w:p>
      <w:pPr>
        <w:autoSpaceDE w:val="0"/>
        <w:autoSpaceDN w:val="0"/>
        <w:snapToGrid w:val="0"/>
        <w:spacing w:line="380" w:lineRule="exact"/>
        <w:ind w:firstLine="420" w:firstLineChars="200"/>
        <w:textAlignment w:val="bottom"/>
        <w:rPr>
          <w:rFonts w:hint="eastAsia" w:ascii="宋体" w:hAnsi="宋体" w:eastAsia="宋体"/>
          <w:color w:val="auto"/>
          <w:szCs w:val="21"/>
          <w:highlight w:val="none"/>
          <w:lang w:val="en-US" w:eastAsia="zh-CN"/>
        </w:rPr>
      </w:pPr>
      <w:r>
        <w:rPr>
          <w:rFonts w:hint="eastAsia" w:ascii="宋体" w:hAnsi="宋体" w:eastAsia="宋体"/>
          <w:color w:val="auto"/>
          <w:szCs w:val="21"/>
          <w:highlight w:val="none"/>
          <w:lang w:val="en-US" w:eastAsia="zh-CN"/>
        </w:rPr>
        <w:t>2、地下水断面：乡镇饮用水水源地4个断面</w:t>
      </w:r>
    </w:p>
    <w:p>
      <w:pPr>
        <w:autoSpaceDE w:val="0"/>
        <w:autoSpaceDN w:val="0"/>
        <w:snapToGrid w:val="0"/>
        <w:spacing w:line="380" w:lineRule="exact"/>
        <w:ind w:firstLine="420" w:firstLineChars="200"/>
        <w:textAlignment w:val="bottom"/>
        <w:rPr>
          <w:rFonts w:hint="eastAsia" w:ascii="宋体" w:hAnsi="宋体" w:eastAsia="宋体"/>
          <w:color w:val="auto"/>
          <w:szCs w:val="21"/>
          <w:highlight w:val="none"/>
          <w:lang w:val="en-US" w:eastAsia="zh-CN"/>
        </w:rPr>
      </w:pPr>
      <w:r>
        <w:rPr>
          <w:rFonts w:hint="eastAsia" w:ascii="宋体" w:hAnsi="宋体" w:eastAsia="宋体"/>
          <w:color w:val="auto"/>
          <w:szCs w:val="21"/>
          <w:highlight w:val="none"/>
          <w:lang w:val="en-US" w:eastAsia="zh-CN"/>
        </w:rPr>
        <w:t>监测项目：《地下水质量标准》（GB/T14848-2017）表1中37项常规指标（总α放射性、总β放射性2项指标以外），加钾、钙、镁、重碳酸根、碳酸根、游离二氧化碳、总氮和水位，共45项。</w:t>
      </w:r>
    </w:p>
    <w:p>
      <w:pPr>
        <w:autoSpaceDE w:val="0"/>
        <w:autoSpaceDN w:val="0"/>
        <w:snapToGrid w:val="0"/>
        <w:spacing w:line="380" w:lineRule="exact"/>
        <w:ind w:firstLine="420" w:firstLineChars="200"/>
        <w:textAlignment w:val="bottom"/>
        <w:rPr>
          <w:rFonts w:hint="eastAsia" w:ascii="宋体" w:hAnsi="宋体" w:eastAsia="宋体"/>
          <w:color w:val="auto"/>
          <w:szCs w:val="21"/>
          <w:highlight w:val="none"/>
          <w:lang w:val="en-US" w:eastAsia="zh-CN"/>
        </w:rPr>
      </w:pPr>
      <w:r>
        <w:rPr>
          <w:rFonts w:hint="eastAsia" w:ascii="宋体" w:hAnsi="宋体" w:eastAsia="宋体"/>
          <w:color w:val="auto"/>
          <w:szCs w:val="21"/>
          <w:highlight w:val="none"/>
          <w:lang w:val="en-US" w:eastAsia="zh-CN"/>
        </w:rPr>
        <w:t>监测频次：半年1次（3月、10月）</w:t>
      </w:r>
    </w:p>
    <w:p>
      <w:pPr>
        <w:autoSpaceDE w:val="0"/>
        <w:autoSpaceDN w:val="0"/>
        <w:snapToGrid w:val="0"/>
        <w:spacing w:line="380" w:lineRule="exact"/>
        <w:ind w:firstLine="420" w:firstLineChars="200"/>
        <w:textAlignment w:val="bottom"/>
        <w:rPr>
          <w:rFonts w:hint="eastAsia" w:ascii="宋体" w:hAnsi="宋体" w:eastAsia="宋体"/>
          <w:color w:val="auto"/>
          <w:szCs w:val="21"/>
          <w:highlight w:val="none"/>
          <w:lang w:val="en-US" w:eastAsia="zh-CN"/>
        </w:rPr>
      </w:pPr>
      <w:r>
        <w:rPr>
          <w:rFonts w:hint="eastAsia" w:ascii="宋体" w:hAnsi="宋体" w:eastAsia="宋体"/>
          <w:color w:val="auto"/>
          <w:szCs w:val="21"/>
          <w:highlight w:val="none"/>
          <w:lang w:val="en-US" w:eastAsia="zh-CN"/>
        </w:rPr>
        <w:t>5.农业面源</w:t>
      </w:r>
    </w:p>
    <w:p>
      <w:pPr>
        <w:autoSpaceDE w:val="0"/>
        <w:autoSpaceDN w:val="0"/>
        <w:snapToGrid w:val="0"/>
        <w:spacing w:line="380" w:lineRule="exact"/>
        <w:ind w:firstLine="420" w:firstLineChars="200"/>
        <w:textAlignment w:val="bottom"/>
        <w:rPr>
          <w:rFonts w:hint="eastAsia" w:ascii="宋体" w:hAnsi="宋体" w:eastAsia="宋体"/>
          <w:color w:val="auto"/>
          <w:szCs w:val="21"/>
          <w:highlight w:val="none"/>
          <w:lang w:val="en-US" w:eastAsia="zh-CN"/>
        </w:rPr>
      </w:pPr>
      <w:r>
        <w:rPr>
          <w:rFonts w:hint="eastAsia" w:ascii="宋体" w:hAnsi="宋体" w:eastAsia="宋体"/>
          <w:color w:val="auto"/>
          <w:szCs w:val="21"/>
          <w:highlight w:val="none"/>
          <w:lang w:val="en-US" w:eastAsia="zh-CN"/>
        </w:rPr>
        <w:t>监测断面：农业面源污染断面2个</w:t>
      </w:r>
    </w:p>
    <w:p>
      <w:pPr>
        <w:autoSpaceDE w:val="0"/>
        <w:autoSpaceDN w:val="0"/>
        <w:snapToGrid w:val="0"/>
        <w:spacing w:line="380" w:lineRule="exact"/>
        <w:ind w:firstLine="420" w:firstLineChars="200"/>
        <w:textAlignment w:val="bottom"/>
        <w:rPr>
          <w:rFonts w:hint="eastAsia" w:ascii="宋体" w:hAnsi="宋体" w:eastAsia="宋体"/>
          <w:color w:val="auto"/>
          <w:szCs w:val="21"/>
          <w:highlight w:val="none"/>
          <w:lang w:val="en-US" w:eastAsia="zh-CN"/>
        </w:rPr>
      </w:pPr>
      <w:r>
        <w:rPr>
          <w:rFonts w:hint="eastAsia" w:ascii="宋体" w:hAnsi="宋体" w:eastAsia="宋体"/>
          <w:color w:val="auto"/>
          <w:szCs w:val="21"/>
          <w:highlight w:val="none"/>
          <w:lang w:val="en-US" w:eastAsia="zh-CN"/>
        </w:rPr>
        <w:t>监测项目：流量、总氮、总磷、氨氮、硝酸盐（以N 计）、高锰酸盐指数、化学需氧量</w:t>
      </w:r>
    </w:p>
    <w:p>
      <w:pPr>
        <w:autoSpaceDE w:val="0"/>
        <w:autoSpaceDN w:val="0"/>
        <w:snapToGrid w:val="0"/>
        <w:spacing w:line="380" w:lineRule="exact"/>
        <w:ind w:firstLine="420" w:firstLineChars="200"/>
        <w:textAlignment w:val="bottom"/>
        <w:rPr>
          <w:rFonts w:hint="eastAsia" w:ascii="宋体" w:hAnsi="宋体" w:eastAsia="宋体"/>
          <w:color w:val="auto"/>
          <w:szCs w:val="21"/>
          <w:highlight w:val="none"/>
          <w:lang w:val="en-US" w:eastAsia="zh-CN"/>
        </w:rPr>
      </w:pPr>
      <w:r>
        <w:rPr>
          <w:rFonts w:hint="eastAsia" w:ascii="宋体" w:hAnsi="宋体" w:eastAsia="宋体"/>
          <w:color w:val="auto"/>
          <w:szCs w:val="21"/>
          <w:highlight w:val="none"/>
          <w:lang w:val="en-US" w:eastAsia="zh-CN"/>
        </w:rPr>
        <w:t>监测频次：每季度1次</w:t>
      </w:r>
    </w:p>
    <w:p>
      <w:pPr>
        <w:autoSpaceDE w:val="0"/>
        <w:autoSpaceDN w:val="0"/>
        <w:snapToGrid w:val="0"/>
        <w:spacing w:line="380" w:lineRule="exact"/>
        <w:ind w:firstLine="420" w:firstLineChars="200"/>
        <w:textAlignment w:val="bottom"/>
        <w:rPr>
          <w:rFonts w:hint="eastAsia" w:ascii="宋体" w:hAnsi="宋体" w:eastAsia="宋体"/>
          <w:color w:val="auto"/>
          <w:szCs w:val="21"/>
          <w:highlight w:val="none"/>
          <w:lang w:val="en-US" w:eastAsia="zh-CN"/>
        </w:rPr>
      </w:pPr>
      <w:r>
        <w:rPr>
          <w:rFonts w:hint="eastAsia" w:ascii="宋体" w:hAnsi="宋体" w:eastAsia="宋体"/>
          <w:color w:val="auto"/>
          <w:szCs w:val="21"/>
          <w:highlight w:val="none"/>
          <w:lang w:val="en-US" w:eastAsia="zh-CN"/>
        </w:rPr>
        <w:t>6.地下水监测</w:t>
      </w:r>
    </w:p>
    <w:p>
      <w:pPr>
        <w:autoSpaceDE w:val="0"/>
        <w:autoSpaceDN w:val="0"/>
        <w:snapToGrid w:val="0"/>
        <w:spacing w:line="380" w:lineRule="exact"/>
        <w:ind w:firstLine="420" w:firstLineChars="200"/>
        <w:textAlignment w:val="bottom"/>
        <w:rPr>
          <w:rFonts w:hint="eastAsia" w:ascii="宋体" w:hAnsi="宋体" w:eastAsia="宋体"/>
          <w:color w:val="auto"/>
          <w:szCs w:val="21"/>
          <w:highlight w:val="none"/>
          <w:lang w:val="en-US" w:eastAsia="zh-CN"/>
        </w:rPr>
      </w:pPr>
      <w:r>
        <w:rPr>
          <w:rFonts w:hint="eastAsia" w:ascii="宋体" w:hAnsi="宋体" w:eastAsia="宋体"/>
          <w:color w:val="auto"/>
          <w:szCs w:val="21"/>
          <w:highlight w:val="none"/>
          <w:lang w:val="en-US" w:eastAsia="zh-CN"/>
        </w:rPr>
        <w:t>监测断面：地下水断面1个</w:t>
      </w:r>
    </w:p>
    <w:p>
      <w:pPr>
        <w:autoSpaceDE w:val="0"/>
        <w:autoSpaceDN w:val="0"/>
        <w:snapToGrid w:val="0"/>
        <w:spacing w:line="380" w:lineRule="exact"/>
        <w:ind w:firstLine="420" w:firstLineChars="200"/>
        <w:textAlignment w:val="bottom"/>
        <w:rPr>
          <w:rFonts w:hint="eastAsia" w:ascii="宋体" w:hAnsi="宋体" w:eastAsia="宋体"/>
          <w:color w:val="auto"/>
          <w:szCs w:val="21"/>
          <w:highlight w:val="none"/>
          <w:lang w:val="en-US" w:eastAsia="zh-CN"/>
        </w:rPr>
      </w:pPr>
      <w:r>
        <w:rPr>
          <w:rFonts w:hint="eastAsia" w:ascii="宋体" w:hAnsi="宋体" w:eastAsia="宋体"/>
          <w:color w:val="auto"/>
          <w:szCs w:val="21"/>
          <w:highlight w:val="none"/>
          <w:lang w:val="en-US" w:eastAsia="zh-CN"/>
        </w:rPr>
        <w:t>监测项目：《地下水质量标准》（GB/T14848-2017）表1中37项常规指标（总α放射性、总β放射性2项指标以外），加钾、钙、镁、重碳酸根、碳酸根、游离二氧化碳、总氮和水位，共45项。</w:t>
      </w:r>
    </w:p>
    <w:p>
      <w:pPr>
        <w:autoSpaceDE w:val="0"/>
        <w:autoSpaceDN w:val="0"/>
        <w:snapToGrid w:val="0"/>
        <w:spacing w:line="380" w:lineRule="exact"/>
        <w:ind w:firstLine="420" w:firstLineChars="200"/>
        <w:textAlignment w:val="bottom"/>
        <w:rPr>
          <w:rFonts w:hint="eastAsia" w:ascii="宋体" w:hAnsi="宋体" w:eastAsia="宋体"/>
          <w:color w:val="auto"/>
          <w:szCs w:val="21"/>
          <w:highlight w:val="none"/>
          <w:lang w:val="en-US" w:eastAsia="zh-CN"/>
        </w:rPr>
      </w:pPr>
      <w:r>
        <w:rPr>
          <w:rFonts w:hint="eastAsia" w:ascii="宋体" w:hAnsi="宋体" w:eastAsia="宋体"/>
          <w:color w:val="auto"/>
          <w:szCs w:val="21"/>
          <w:highlight w:val="none"/>
          <w:lang w:val="en-US" w:eastAsia="zh-CN"/>
        </w:rPr>
        <w:t>监测频次：2月或3月、8月各测一次</w:t>
      </w:r>
    </w:p>
    <w:p>
      <w:pPr>
        <w:autoSpaceDE w:val="0"/>
        <w:autoSpaceDN w:val="0"/>
        <w:snapToGrid w:val="0"/>
        <w:spacing w:line="380" w:lineRule="exact"/>
        <w:ind w:firstLine="420" w:firstLineChars="200"/>
        <w:textAlignment w:val="bottom"/>
        <w:rPr>
          <w:rFonts w:hint="eastAsia" w:ascii="宋体" w:hAnsi="宋体" w:eastAsia="宋体"/>
          <w:color w:val="auto"/>
          <w:szCs w:val="21"/>
          <w:highlight w:val="none"/>
          <w:lang w:val="en-US" w:eastAsia="zh-CN"/>
        </w:rPr>
      </w:pPr>
      <w:r>
        <w:rPr>
          <w:rFonts w:hint="eastAsia" w:ascii="宋体" w:hAnsi="宋体" w:eastAsia="宋体"/>
          <w:color w:val="auto"/>
          <w:szCs w:val="21"/>
          <w:highlight w:val="none"/>
          <w:lang w:val="en-US" w:eastAsia="zh-CN"/>
        </w:rPr>
        <w:t>7.重点污染源</w:t>
      </w:r>
    </w:p>
    <w:p>
      <w:pPr>
        <w:autoSpaceDE w:val="0"/>
        <w:autoSpaceDN w:val="0"/>
        <w:snapToGrid w:val="0"/>
        <w:spacing w:line="380" w:lineRule="exact"/>
        <w:ind w:firstLine="420" w:firstLineChars="200"/>
        <w:textAlignment w:val="bottom"/>
        <w:rPr>
          <w:rFonts w:hint="eastAsia" w:ascii="宋体" w:hAnsi="宋体" w:eastAsia="宋体"/>
          <w:color w:val="auto"/>
          <w:szCs w:val="21"/>
          <w:highlight w:val="none"/>
          <w:lang w:val="en-US" w:eastAsia="zh-CN"/>
        </w:rPr>
      </w:pPr>
      <w:r>
        <w:rPr>
          <w:rFonts w:hint="eastAsia" w:ascii="宋体" w:hAnsi="宋体" w:eastAsia="宋体"/>
          <w:color w:val="auto"/>
          <w:szCs w:val="21"/>
          <w:highlight w:val="none"/>
          <w:lang w:val="en-US" w:eastAsia="zh-CN"/>
        </w:rPr>
        <w:t>（1）3个集镇污水处理厂污水进出口</w:t>
      </w:r>
    </w:p>
    <w:p>
      <w:pPr>
        <w:autoSpaceDE w:val="0"/>
        <w:autoSpaceDN w:val="0"/>
        <w:snapToGrid w:val="0"/>
        <w:spacing w:line="380" w:lineRule="exact"/>
        <w:ind w:firstLine="420" w:firstLineChars="200"/>
        <w:textAlignment w:val="bottom"/>
        <w:rPr>
          <w:rFonts w:hint="eastAsia" w:ascii="宋体" w:hAnsi="宋体" w:eastAsia="宋体"/>
          <w:color w:val="auto"/>
          <w:szCs w:val="21"/>
          <w:highlight w:val="none"/>
          <w:lang w:val="en-US" w:eastAsia="zh-CN"/>
        </w:rPr>
      </w:pPr>
      <w:r>
        <w:rPr>
          <w:rFonts w:hint="eastAsia" w:ascii="宋体" w:hAnsi="宋体" w:eastAsia="宋体"/>
          <w:color w:val="auto"/>
          <w:szCs w:val="21"/>
          <w:highlight w:val="none"/>
          <w:lang w:val="en-US" w:eastAsia="zh-CN"/>
        </w:rPr>
        <w:t>①污水站进出口</w:t>
      </w:r>
    </w:p>
    <w:p>
      <w:pPr>
        <w:autoSpaceDE w:val="0"/>
        <w:autoSpaceDN w:val="0"/>
        <w:snapToGrid w:val="0"/>
        <w:spacing w:line="380" w:lineRule="exact"/>
        <w:ind w:firstLine="420" w:firstLineChars="200"/>
        <w:textAlignment w:val="bottom"/>
        <w:rPr>
          <w:rFonts w:hint="eastAsia" w:ascii="宋体" w:hAnsi="宋体" w:eastAsia="宋体"/>
          <w:color w:val="auto"/>
          <w:szCs w:val="21"/>
          <w:highlight w:val="none"/>
          <w:lang w:val="en-US" w:eastAsia="zh-CN"/>
        </w:rPr>
      </w:pPr>
      <w:r>
        <w:rPr>
          <w:rFonts w:hint="eastAsia" w:ascii="宋体" w:hAnsi="宋体" w:eastAsia="宋体"/>
          <w:color w:val="auto"/>
          <w:szCs w:val="21"/>
          <w:highlight w:val="none"/>
          <w:lang w:val="en-US" w:eastAsia="zh-CN"/>
        </w:rPr>
        <w:t>监测项目：pH、色度、水温、化学需氧量、五日生化需氧量、悬浮物、动植物油、石油类、阴离子表面活性剂、总氮、氨氮、总磷、粪大肠杆菌群数、总汞、总镉、总铬、六价铬、砷、铅、烷基汞（出口测），共20项</w:t>
      </w:r>
    </w:p>
    <w:p>
      <w:pPr>
        <w:autoSpaceDE w:val="0"/>
        <w:autoSpaceDN w:val="0"/>
        <w:snapToGrid w:val="0"/>
        <w:spacing w:line="380" w:lineRule="exact"/>
        <w:ind w:firstLine="420" w:firstLineChars="200"/>
        <w:textAlignment w:val="bottom"/>
        <w:rPr>
          <w:rFonts w:hint="eastAsia" w:ascii="宋体" w:hAnsi="宋体" w:eastAsia="宋体"/>
          <w:color w:val="auto"/>
          <w:szCs w:val="21"/>
          <w:highlight w:val="none"/>
          <w:lang w:val="en-US" w:eastAsia="zh-CN"/>
        </w:rPr>
      </w:pPr>
      <w:r>
        <w:rPr>
          <w:rFonts w:hint="eastAsia" w:ascii="宋体" w:hAnsi="宋体" w:eastAsia="宋体"/>
          <w:color w:val="auto"/>
          <w:szCs w:val="21"/>
          <w:highlight w:val="none"/>
          <w:lang w:val="en-US" w:eastAsia="zh-CN"/>
        </w:rPr>
        <w:t>监测频次：每季度1次，至少3个混合样</w:t>
      </w:r>
    </w:p>
    <w:p>
      <w:pPr>
        <w:autoSpaceDE w:val="0"/>
        <w:autoSpaceDN w:val="0"/>
        <w:snapToGrid w:val="0"/>
        <w:spacing w:line="380" w:lineRule="exact"/>
        <w:ind w:firstLine="420" w:firstLineChars="200"/>
        <w:textAlignment w:val="bottom"/>
        <w:rPr>
          <w:rFonts w:hint="eastAsia" w:ascii="宋体" w:hAnsi="宋体" w:eastAsia="宋体"/>
          <w:color w:val="auto"/>
          <w:szCs w:val="21"/>
          <w:highlight w:val="none"/>
          <w:lang w:val="en-US" w:eastAsia="zh-CN"/>
        </w:rPr>
      </w:pPr>
      <w:r>
        <w:rPr>
          <w:rFonts w:hint="eastAsia" w:ascii="宋体" w:hAnsi="宋体" w:eastAsia="宋体"/>
          <w:color w:val="auto"/>
          <w:szCs w:val="21"/>
          <w:highlight w:val="none"/>
          <w:lang w:val="en-US" w:eastAsia="zh-CN"/>
        </w:rPr>
        <w:t>②厂界无组织</w:t>
      </w:r>
    </w:p>
    <w:p>
      <w:pPr>
        <w:autoSpaceDE w:val="0"/>
        <w:autoSpaceDN w:val="0"/>
        <w:snapToGrid w:val="0"/>
        <w:spacing w:line="380" w:lineRule="exact"/>
        <w:ind w:firstLine="420" w:firstLineChars="200"/>
        <w:textAlignment w:val="bottom"/>
        <w:rPr>
          <w:rFonts w:hint="eastAsia" w:ascii="宋体" w:hAnsi="宋体" w:eastAsia="宋体"/>
          <w:color w:val="auto"/>
          <w:szCs w:val="21"/>
          <w:highlight w:val="none"/>
          <w:lang w:val="en-US" w:eastAsia="zh-CN"/>
        </w:rPr>
      </w:pPr>
      <w:r>
        <w:rPr>
          <w:rFonts w:hint="eastAsia" w:ascii="宋体" w:hAnsi="宋体" w:eastAsia="宋体"/>
          <w:color w:val="auto"/>
          <w:szCs w:val="21"/>
          <w:highlight w:val="none"/>
          <w:lang w:val="en-US" w:eastAsia="zh-CN"/>
        </w:rPr>
        <w:t>监测项目：臭气、氨气、硫化氢</w:t>
      </w:r>
    </w:p>
    <w:p>
      <w:pPr>
        <w:autoSpaceDE w:val="0"/>
        <w:autoSpaceDN w:val="0"/>
        <w:snapToGrid w:val="0"/>
        <w:spacing w:line="380" w:lineRule="exact"/>
        <w:ind w:firstLine="420" w:firstLineChars="200"/>
        <w:textAlignment w:val="bottom"/>
        <w:rPr>
          <w:rFonts w:hint="eastAsia" w:ascii="宋体" w:hAnsi="宋体" w:eastAsia="宋体"/>
          <w:color w:val="auto"/>
          <w:szCs w:val="21"/>
          <w:highlight w:val="none"/>
          <w:lang w:val="en-US" w:eastAsia="zh-CN"/>
        </w:rPr>
      </w:pPr>
      <w:r>
        <w:rPr>
          <w:rFonts w:hint="eastAsia" w:ascii="宋体" w:hAnsi="宋体" w:eastAsia="宋体"/>
          <w:color w:val="auto"/>
          <w:szCs w:val="21"/>
          <w:highlight w:val="none"/>
          <w:lang w:val="en-US" w:eastAsia="zh-CN"/>
        </w:rPr>
        <w:t>监测频次：1次</w:t>
      </w:r>
    </w:p>
    <w:p>
      <w:pPr>
        <w:autoSpaceDE w:val="0"/>
        <w:autoSpaceDN w:val="0"/>
        <w:snapToGrid w:val="0"/>
        <w:spacing w:line="380" w:lineRule="exact"/>
        <w:ind w:firstLine="420" w:firstLineChars="200"/>
        <w:textAlignment w:val="bottom"/>
        <w:rPr>
          <w:rFonts w:hint="eastAsia" w:ascii="宋体" w:hAnsi="宋体" w:eastAsia="宋体"/>
          <w:color w:val="auto"/>
          <w:szCs w:val="21"/>
          <w:highlight w:val="none"/>
          <w:lang w:val="en-US" w:eastAsia="zh-CN"/>
        </w:rPr>
      </w:pPr>
      <w:r>
        <w:rPr>
          <w:rFonts w:hint="eastAsia" w:ascii="宋体" w:hAnsi="宋体" w:eastAsia="宋体"/>
          <w:color w:val="auto"/>
          <w:szCs w:val="21"/>
          <w:highlight w:val="none"/>
          <w:lang w:val="en-US" w:eastAsia="zh-CN"/>
        </w:rPr>
        <w:t>（2）2个工业园区污水处理站</w:t>
      </w:r>
    </w:p>
    <w:p>
      <w:pPr>
        <w:autoSpaceDE w:val="0"/>
        <w:autoSpaceDN w:val="0"/>
        <w:snapToGrid w:val="0"/>
        <w:spacing w:line="380" w:lineRule="exact"/>
        <w:ind w:firstLine="420" w:firstLineChars="200"/>
        <w:textAlignment w:val="bottom"/>
        <w:rPr>
          <w:rFonts w:hint="eastAsia" w:ascii="宋体" w:hAnsi="宋体" w:eastAsia="宋体"/>
          <w:color w:val="auto"/>
          <w:szCs w:val="21"/>
          <w:highlight w:val="none"/>
          <w:lang w:val="en-US" w:eastAsia="zh-CN"/>
        </w:rPr>
      </w:pPr>
      <w:r>
        <w:rPr>
          <w:rFonts w:hint="eastAsia" w:ascii="宋体" w:hAnsi="宋体" w:eastAsia="宋体"/>
          <w:color w:val="auto"/>
          <w:szCs w:val="21"/>
          <w:highlight w:val="none"/>
          <w:lang w:val="en-US" w:eastAsia="zh-CN"/>
        </w:rPr>
        <w:t>①污水站进出口</w:t>
      </w:r>
    </w:p>
    <w:p>
      <w:pPr>
        <w:autoSpaceDE w:val="0"/>
        <w:autoSpaceDN w:val="0"/>
        <w:snapToGrid w:val="0"/>
        <w:spacing w:line="380" w:lineRule="exact"/>
        <w:ind w:firstLine="420" w:firstLineChars="200"/>
        <w:textAlignment w:val="bottom"/>
        <w:rPr>
          <w:rFonts w:hint="eastAsia" w:ascii="宋体" w:hAnsi="宋体" w:eastAsia="宋体"/>
          <w:color w:val="auto"/>
          <w:szCs w:val="21"/>
          <w:highlight w:val="none"/>
          <w:lang w:val="en-US" w:eastAsia="zh-CN"/>
        </w:rPr>
      </w:pPr>
      <w:r>
        <w:rPr>
          <w:rFonts w:hint="eastAsia" w:ascii="宋体" w:hAnsi="宋体" w:eastAsia="宋体"/>
          <w:color w:val="auto"/>
          <w:szCs w:val="21"/>
          <w:highlight w:val="none"/>
          <w:lang w:val="en-US" w:eastAsia="zh-CN"/>
        </w:rPr>
        <w:t>监测项目：pH、色度、SS、COD、BOD5、总氮、氨氮、总磷、阴离子表面活性剂、石油类、动植物油</w:t>
      </w:r>
    </w:p>
    <w:p>
      <w:pPr>
        <w:autoSpaceDE w:val="0"/>
        <w:autoSpaceDN w:val="0"/>
        <w:snapToGrid w:val="0"/>
        <w:spacing w:line="380" w:lineRule="exact"/>
        <w:ind w:firstLine="420" w:firstLineChars="200"/>
        <w:textAlignment w:val="bottom"/>
        <w:rPr>
          <w:rFonts w:hint="eastAsia" w:ascii="宋体" w:hAnsi="宋体" w:eastAsia="宋体"/>
          <w:color w:val="auto"/>
          <w:szCs w:val="21"/>
          <w:highlight w:val="none"/>
          <w:lang w:val="en-US" w:eastAsia="zh-CN"/>
        </w:rPr>
      </w:pPr>
      <w:r>
        <w:rPr>
          <w:rFonts w:hint="eastAsia" w:ascii="宋体" w:hAnsi="宋体" w:eastAsia="宋体"/>
          <w:color w:val="auto"/>
          <w:szCs w:val="21"/>
          <w:highlight w:val="none"/>
          <w:lang w:val="en-US" w:eastAsia="zh-CN"/>
        </w:rPr>
        <w:t>监测频次：每季度1次，至少3个混合样</w:t>
      </w:r>
    </w:p>
    <w:p>
      <w:pPr>
        <w:autoSpaceDE w:val="0"/>
        <w:autoSpaceDN w:val="0"/>
        <w:snapToGrid w:val="0"/>
        <w:spacing w:line="380" w:lineRule="exact"/>
        <w:ind w:firstLine="420" w:firstLineChars="200"/>
        <w:textAlignment w:val="bottom"/>
        <w:rPr>
          <w:rFonts w:hint="eastAsia" w:ascii="宋体" w:hAnsi="宋体" w:eastAsia="宋体"/>
          <w:color w:val="auto"/>
          <w:szCs w:val="21"/>
          <w:highlight w:val="none"/>
          <w:lang w:val="en-US" w:eastAsia="zh-CN"/>
        </w:rPr>
      </w:pPr>
      <w:r>
        <w:rPr>
          <w:rFonts w:hint="eastAsia" w:ascii="宋体" w:hAnsi="宋体" w:eastAsia="宋体"/>
          <w:color w:val="auto"/>
          <w:szCs w:val="21"/>
          <w:highlight w:val="none"/>
          <w:lang w:val="en-US" w:eastAsia="zh-CN"/>
        </w:rPr>
        <w:t>②废气排口</w:t>
      </w:r>
    </w:p>
    <w:p>
      <w:pPr>
        <w:autoSpaceDE w:val="0"/>
        <w:autoSpaceDN w:val="0"/>
        <w:snapToGrid w:val="0"/>
        <w:spacing w:line="380" w:lineRule="exact"/>
        <w:ind w:firstLine="420" w:firstLineChars="200"/>
        <w:textAlignment w:val="bottom"/>
        <w:rPr>
          <w:rFonts w:hint="eastAsia" w:ascii="宋体" w:hAnsi="宋体" w:eastAsia="宋体"/>
          <w:color w:val="auto"/>
          <w:szCs w:val="21"/>
          <w:highlight w:val="none"/>
          <w:lang w:val="en-US" w:eastAsia="zh-CN"/>
        </w:rPr>
      </w:pPr>
      <w:r>
        <w:rPr>
          <w:rFonts w:hint="eastAsia" w:ascii="宋体" w:hAnsi="宋体" w:eastAsia="宋体"/>
          <w:color w:val="auto"/>
          <w:szCs w:val="21"/>
          <w:highlight w:val="none"/>
          <w:lang w:val="en-US" w:eastAsia="zh-CN"/>
        </w:rPr>
        <w:t>监测项目：臭气、氨气、硫化氢</w:t>
      </w:r>
    </w:p>
    <w:p>
      <w:pPr>
        <w:autoSpaceDE w:val="0"/>
        <w:autoSpaceDN w:val="0"/>
        <w:snapToGrid w:val="0"/>
        <w:spacing w:line="380" w:lineRule="exact"/>
        <w:ind w:firstLine="420" w:firstLineChars="200"/>
        <w:textAlignment w:val="bottom"/>
        <w:rPr>
          <w:rFonts w:hint="eastAsia" w:ascii="宋体" w:hAnsi="宋体" w:eastAsia="宋体"/>
          <w:color w:val="auto"/>
          <w:szCs w:val="21"/>
          <w:highlight w:val="none"/>
          <w:lang w:val="en-US" w:eastAsia="zh-CN"/>
        </w:rPr>
      </w:pPr>
      <w:r>
        <w:rPr>
          <w:rFonts w:hint="eastAsia" w:ascii="宋体" w:hAnsi="宋体" w:eastAsia="宋体"/>
          <w:color w:val="auto"/>
          <w:szCs w:val="21"/>
          <w:highlight w:val="none"/>
          <w:lang w:val="en-US" w:eastAsia="zh-CN"/>
        </w:rPr>
        <w:t>监测频次：1次，非连续采样 至少3个</w:t>
      </w:r>
    </w:p>
    <w:p>
      <w:pPr>
        <w:autoSpaceDE w:val="0"/>
        <w:autoSpaceDN w:val="0"/>
        <w:snapToGrid w:val="0"/>
        <w:spacing w:line="380" w:lineRule="exact"/>
        <w:ind w:firstLine="420" w:firstLineChars="200"/>
        <w:textAlignment w:val="bottom"/>
        <w:rPr>
          <w:rFonts w:hint="eastAsia" w:ascii="宋体" w:hAnsi="宋体" w:eastAsia="宋体"/>
          <w:color w:val="auto"/>
          <w:szCs w:val="21"/>
          <w:highlight w:val="none"/>
          <w:lang w:val="en-US" w:eastAsia="zh-CN"/>
        </w:rPr>
      </w:pPr>
      <w:r>
        <w:rPr>
          <w:rFonts w:hint="eastAsia" w:ascii="宋体" w:hAnsi="宋体" w:eastAsia="宋体"/>
          <w:color w:val="auto"/>
          <w:szCs w:val="21"/>
          <w:highlight w:val="none"/>
          <w:lang w:val="en-US" w:eastAsia="zh-CN"/>
        </w:rPr>
        <w:t>（3）无组织排放企业1家</w:t>
      </w:r>
    </w:p>
    <w:p>
      <w:pPr>
        <w:autoSpaceDE w:val="0"/>
        <w:autoSpaceDN w:val="0"/>
        <w:snapToGrid w:val="0"/>
        <w:spacing w:line="380" w:lineRule="exact"/>
        <w:ind w:firstLine="420" w:firstLineChars="200"/>
        <w:textAlignment w:val="bottom"/>
        <w:rPr>
          <w:rFonts w:hint="eastAsia" w:ascii="宋体" w:hAnsi="宋体" w:eastAsia="宋体"/>
          <w:color w:val="auto"/>
          <w:szCs w:val="21"/>
          <w:highlight w:val="none"/>
          <w:lang w:val="en-US" w:eastAsia="zh-CN"/>
        </w:rPr>
      </w:pPr>
      <w:r>
        <w:rPr>
          <w:rFonts w:hint="eastAsia" w:ascii="宋体" w:hAnsi="宋体" w:eastAsia="宋体"/>
          <w:color w:val="auto"/>
          <w:szCs w:val="21"/>
          <w:highlight w:val="none"/>
          <w:lang w:val="en-US" w:eastAsia="zh-CN"/>
        </w:rPr>
        <w:t>监测断面：厂界上风向、下风向</w:t>
      </w:r>
    </w:p>
    <w:p>
      <w:pPr>
        <w:autoSpaceDE w:val="0"/>
        <w:autoSpaceDN w:val="0"/>
        <w:snapToGrid w:val="0"/>
        <w:spacing w:line="380" w:lineRule="exact"/>
        <w:ind w:firstLine="420" w:firstLineChars="200"/>
        <w:textAlignment w:val="bottom"/>
        <w:rPr>
          <w:rFonts w:hint="eastAsia" w:ascii="宋体" w:hAnsi="宋体" w:eastAsia="宋体"/>
          <w:color w:val="auto"/>
          <w:szCs w:val="21"/>
          <w:highlight w:val="none"/>
          <w:lang w:val="en-US" w:eastAsia="zh-CN"/>
        </w:rPr>
      </w:pPr>
      <w:r>
        <w:rPr>
          <w:rFonts w:hint="eastAsia" w:ascii="宋体" w:hAnsi="宋体" w:eastAsia="宋体"/>
          <w:color w:val="auto"/>
          <w:szCs w:val="21"/>
          <w:highlight w:val="none"/>
          <w:lang w:val="en-US" w:eastAsia="zh-CN"/>
        </w:rPr>
        <w:t>监测项目：无组织排放，颗粒物，含现场气象参数</w:t>
      </w:r>
    </w:p>
    <w:p>
      <w:pPr>
        <w:autoSpaceDE w:val="0"/>
        <w:autoSpaceDN w:val="0"/>
        <w:snapToGrid w:val="0"/>
        <w:spacing w:line="380" w:lineRule="exact"/>
        <w:ind w:firstLine="420" w:firstLineChars="200"/>
        <w:textAlignment w:val="bottom"/>
        <w:rPr>
          <w:rFonts w:hint="eastAsia" w:ascii="宋体" w:hAnsi="宋体" w:eastAsia="宋体"/>
          <w:color w:val="auto"/>
          <w:szCs w:val="21"/>
          <w:highlight w:val="none"/>
          <w:lang w:val="en-US" w:eastAsia="zh-CN"/>
        </w:rPr>
      </w:pPr>
      <w:r>
        <w:rPr>
          <w:rFonts w:hint="eastAsia" w:ascii="宋体" w:hAnsi="宋体" w:eastAsia="宋体"/>
          <w:color w:val="auto"/>
          <w:szCs w:val="21"/>
          <w:highlight w:val="none"/>
          <w:lang w:val="en-US" w:eastAsia="zh-CN"/>
        </w:rPr>
        <w:t>监测频次：每年1次，非连续采样 至少3个</w:t>
      </w:r>
    </w:p>
    <w:p>
      <w:pPr>
        <w:autoSpaceDE w:val="0"/>
        <w:autoSpaceDN w:val="0"/>
        <w:snapToGrid w:val="0"/>
        <w:spacing w:line="380" w:lineRule="exact"/>
        <w:ind w:firstLine="420" w:firstLineChars="200"/>
        <w:textAlignment w:val="bottom"/>
        <w:rPr>
          <w:rFonts w:hint="eastAsia" w:ascii="宋体" w:hAnsi="宋体" w:eastAsia="宋体"/>
          <w:color w:val="auto"/>
          <w:szCs w:val="21"/>
          <w:highlight w:val="none"/>
          <w:lang w:val="en-US" w:eastAsia="zh-CN"/>
        </w:rPr>
      </w:pPr>
      <w:r>
        <w:rPr>
          <w:rFonts w:hint="eastAsia" w:ascii="宋体" w:hAnsi="宋体" w:eastAsia="宋体"/>
          <w:color w:val="auto"/>
          <w:szCs w:val="21"/>
          <w:highlight w:val="none"/>
          <w:lang w:val="en-US" w:eastAsia="zh-CN"/>
        </w:rPr>
        <w:t>（4）制糖企业1家</w:t>
      </w:r>
    </w:p>
    <w:p>
      <w:pPr>
        <w:autoSpaceDE w:val="0"/>
        <w:autoSpaceDN w:val="0"/>
        <w:snapToGrid w:val="0"/>
        <w:spacing w:line="380" w:lineRule="exact"/>
        <w:ind w:firstLine="420" w:firstLineChars="200"/>
        <w:textAlignment w:val="bottom"/>
        <w:rPr>
          <w:rFonts w:hint="eastAsia" w:ascii="宋体" w:hAnsi="宋体" w:eastAsia="宋体"/>
          <w:color w:val="auto"/>
          <w:szCs w:val="21"/>
          <w:highlight w:val="none"/>
          <w:lang w:val="en-US" w:eastAsia="zh-CN"/>
        </w:rPr>
      </w:pPr>
      <w:r>
        <w:rPr>
          <w:rFonts w:hint="eastAsia" w:ascii="宋体" w:hAnsi="宋体" w:eastAsia="宋体"/>
          <w:color w:val="auto"/>
          <w:szCs w:val="21"/>
          <w:highlight w:val="none"/>
          <w:lang w:val="en-US" w:eastAsia="zh-CN"/>
        </w:rPr>
        <w:t>①锅炉排气筒</w:t>
      </w:r>
    </w:p>
    <w:p>
      <w:pPr>
        <w:autoSpaceDE w:val="0"/>
        <w:autoSpaceDN w:val="0"/>
        <w:snapToGrid w:val="0"/>
        <w:spacing w:line="380" w:lineRule="exact"/>
        <w:ind w:firstLine="420" w:firstLineChars="200"/>
        <w:textAlignment w:val="bottom"/>
        <w:rPr>
          <w:rFonts w:hint="eastAsia" w:ascii="宋体" w:hAnsi="宋体" w:eastAsia="宋体"/>
          <w:color w:val="auto"/>
          <w:szCs w:val="21"/>
          <w:highlight w:val="none"/>
          <w:lang w:val="en-US" w:eastAsia="zh-CN"/>
        </w:rPr>
      </w:pPr>
      <w:r>
        <w:rPr>
          <w:rFonts w:hint="eastAsia" w:ascii="宋体" w:hAnsi="宋体" w:eastAsia="宋体"/>
          <w:color w:val="auto"/>
          <w:szCs w:val="21"/>
          <w:highlight w:val="none"/>
          <w:lang w:val="en-US" w:eastAsia="zh-CN"/>
        </w:rPr>
        <w:t>监测项目：废气：烟气参数，颗粒物、二氧化硫、氮氧化物、林格曼黑度。</w:t>
      </w:r>
    </w:p>
    <w:p>
      <w:pPr>
        <w:autoSpaceDE w:val="0"/>
        <w:autoSpaceDN w:val="0"/>
        <w:snapToGrid w:val="0"/>
        <w:spacing w:line="380" w:lineRule="exact"/>
        <w:ind w:firstLine="420" w:firstLineChars="200"/>
        <w:textAlignment w:val="bottom"/>
        <w:rPr>
          <w:rFonts w:hint="eastAsia" w:ascii="宋体" w:hAnsi="宋体" w:eastAsia="宋体"/>
          <w:color w:val="auto"/>
          <w:szCs w:val="21"/>
          <w:highlight w:val="none"/>
          <w:lang w:val="en-US" w:eastAsia="zh-CN"/>
        </w:rPr>
      </w:pPr>
      <w:r>
        <w:rPr>
          <w:rFonts w:hint="eastAsia" w:ascii="宋体" w:hAnsi="宋体" w:eastAsia="宋体"/>
          <w:color w:val="auto"/>
          <w:szCs w:val="21"/>
          <w:highlight w:val="none"/>
          <w:lang w:val="en-US" w:eastAsia="zh-CN"/>
        </w:rPr>
        <w:t>监测频次：1次（2月或3月），非连续采样 至少3个</w:t>
      </w:r>
    </w:p>
    <w:p>
      <w:pPr>
        <w:autoSpaceDE w:val="0"/>
        <w:autoSpaceDN w:val="0"/>
        <w:snapToGrid w:val="0"/>
        <w:spacing w:line="380" w:lineRule="exact"/>
        <w:ind w:firstLine="420" w:firstLineChars="200"/>
        <w:textAlignment w:val="bottom"/>
        <w:rPr>
          <w:rFonts w:hint="eastAsia" w:ascii="宋体" w:hAnsi="宋体" w:eastAsia="宋体"/>
          <w:color w:val="auto"/>
          <w:szCs w:val="21"/>
          <w:highlight w:val="none"/>
          <w:lang w:val="en-US" w:eastAsia="zh-CN"/>
        </w:rPr>
      </w:pPr>
      <w:r>
        <w:rPr>
          <w:rFonts w:hint="eastAsia" w:ascii="宋体" w:hAnsi="宋体" w:eastAsia="宋体"/>
          <w:color w:val="auto"/>
          <w:szCs w:val="21"/>
          <w:highlight w:val="none"/>
          <w:lang w:val="en-US" w:eastAsia="zh-CN"/>
        </w:rPr>
        <w:t>②污水处理站进口、出口</w:t>
      </w:r>
    </w:p>
    <w:p>
      <w:pPr>
        <w:autoSpaceDE w:val="0"/>
        <w:autoSpaceDN w:val="0"/>
        <w:snapToGrid w:val="0"/>
        <w:spacing w:line="380" w:lineRule="exact"/>
        <w:ind w:firstLine="420" w:firstLineChars="200"/>
        <w:textAlignment w:val="bottom"/>
        <w:rPr>
          <w:rFonts w:hint="eastAsia" w:ascii="宋体" w:hAnsi="宋体" w:eastAsia="宋体"/>
          <w:color w:val="auto"/>
          <w:szCs w:val="21"/>
          <w:highlight w:val="none"/>
          <w:lang w:val="en-US" w:eastAsia="zh-CN"/>
        </w:rPr>
      </w:pPr>
      <w:r>
        <w:rPr>
          <w:rFonts w:hint="eastAsia" w:ascii="宋体" w:hAnsi="宋体" w:eastAsia="宋体"/>
          <w:color w:val="auto"/>
          <w:szCs w:val="21"/>
          <w:highlight w:val="none"/>
          <w:lang w:val="en-US" w:eastAsia="zh-CN"/>
        </w:rPr>
        <w:t>监测项目：pH、水温、悬浮物、化学需氧量、五日生化需氧量、总氮、氨氮、总磷。</w:t>
      </w:r>
    </w:p>
    <w:p>
      <w:pPr>
        <w:autoSpaceDE w:val="0"/>
        <w:autoSpaceDN w:val="0"/>
        <w:snapToGrid w:val="0"/>
        <w:spacing w:line="380" w:lineRule="exact"/>
        <w:ind w:firstLine="420" w:firstLineChars="200"/>
        <w:textAlignment w:val="bottom"/>
        <w:rPr>
          <w:rFonts w:hint="eastAsia" w:ascii="宋体" w:hAnsi="宋体" w:eastAsia="宋体"/>
          <w:color w:val="auto"/>
          <w:szCs w:val="21"/>
          <w:highlight w:val="none"/>
          <w:lang w:val="en-US" w:eastAsia="zh-CN"/>
        </w:rPr>
      </w:pPr>
      <w:r>
        <w:rPr>
          <w:rFonts w:hint="eastAsia" w:ascii="宋体" w:hAnsi="宋体" w:eastAsia="宋体"/>
          <w:color w:val="auto"/>
          <w:szCs w:val="21"/>
          <w:highlight w:val="none"/>
          <w:lang w:val="en-US" w:eastAsia="zh-CN"/>
        </w:rPr>
        <w:t>监测频次：1次（2月或3月），至少3个混合样</w:t>
      </w:r>
    </w:p>
    <w:p>
      <w:pPr>
        <w:autoSpaceDE w:val="0"/>
        <w:autoSpaceDN w:val="0"/>
        <w:snapToGrid w:val="0"/>
        <w:spacing w:line="380" w:lineRule="exact"/>
        <w:ind w:firstLine="420" w:firstLineChars="200"/>
        <w:textAlignment w:val="bottom"/>
        <w:rPr>
          <w:rFonts w:hint="eastAsia" w:ascii="宋体" w:hAnsi="宋体" w:eastAsia="宋体"/>
          <w:color w:val="auto"/>
          <w:szCs w:val="21"/>
          <w:highlight w:val="none"/>
          <w:lang w:val="en-US" w:eastAsia="zh-CN"/>
        </w:rPr>
      </w:pPr>
      <w:r>
        <w:rPr>
          <w:rFonts w:hint="eastAsia" w:ascii="宋体" w:hAnsi="宋体" w:eastAsia="宋体"/>
          <w:color w:val="auto"/>
          <w:szCs w:val="21"/>
          <w:highlight w:val="none"/>
          <w:lang w:val="en-US" w:eastAsia="zh-CN"/>
        </w:rPr>
        <w:t xml:space="preserve">（5）垃圾填埋场2个 </w:t>
      </w:r>
    </w:p>
    <w:p>
      <w:pPr>
        <w:autoSpaceDE w:val="0"/>
        <w:autoSpaceDN w:val="0"/>
        <w:snapToGrid w:val="0"/>
        <w:spacing w:line="380" w:lineRule="exact"/>
        <w:ind w:firstLine="420" w:firstLineChars="200"/>
        <w:textAlignment w:val="bottom"/>
        <w:rPr>
          <w:rFonts w:hint="eastAsia" w:ascii="宋体" w:hAnsi="宋体" w:eastAsia="宋体"/>
          <w:color w:val="auto"/>
          <w:szCs w:val="21"/>
          <w:highlight w:val="none"/>
          <w:lang w:val="en-US" w:eastAsia="zh-CN"/>
        </w:rPr>
      </w:pPr>
      <w:r>
        <w:rPr>
          <w:rFonts w:hint="eastAsia" w:ascii="宋体" w:hAnsi="宋体" w:eastAsia="宋体"/>
          <w:color w:val="auto"/>
          <w:szCs w:val="21"/>
          <w:highlight w:val="none"/>
          <w:lang w:val="en-US" w:eastAsia="zh-CN"/>
        </w:rPr>
        <w:t>①渗滤液出口</w:t>
      </w:r>
    </w:p>
    <w:p>
      <w:pPr>
        <w:autoSpaceDE w:val="0"/>
        <w:autoSpaceDN w:val="0"/>
        <w:snapToGrid w:val="0"/>
        <w:spacing w:line="380" w:lineRule="exact"/>
        <w:ind w:firstLine="420" w:firstLineChars="200"/>
        <w:textAlignment w:val="bottom"/>
        <w:rPr>
          <w:rFonts w:hint="eastAsia" w:ascii="宋体" w:hAnsi="宋体" w:eastAsia="宋体"/>
          <w:color w:val="auto"/>
          <w:szCs w:val="21"/>
          <w:highlight w:val="none"/>
          <w:lang w:val="en-US" w:eastAsia="zh-CN"/>
        </w:rPr>
      </w:pPr>
      <w:r>
        <w:rPr>
          <w:rFonts w:hint="eastAsia" w:ascii="宋体" w:hAnsi="宋体" w:eastAsia="宋体"/>
          <w:color w:val="auto"/>
          <w:szCs w:val="21"/>
          <w:highlight w:val="none"/>
          <w:lang w:val="en-US" w:eastAsia="zh-CN"/>
        </w:rPr>
        <w:t>监测项目： pH、流量、色度、COD、BOD5、总氮、氨氮、总磷、SS、总砷、总汞、总铅、总镉、总铬、六价铬、粪大肠菌群</w:t>
      </w:r>
    </w:p>
    <w:p>
      <w:pPr>
        <w:autoSpaceDE w:val="0"/>
        <w:autoSpaceDN w:val="0"/>
        <w:snapToGrid w:val="0"/>
        <w:spacing w:line="380" w:lineRule="exact"/>
        <w:ind w:firstLine="420" w:firstLineChars="200"/>
        <w:textAlignment w:val="bottom"/>
        <w:rPr>
          <w:rFonts w:hint="eastAsia" w:ascii="宋体" w:hAnsi="宋体" w:eastAsia="宋体"/>
          <w:color w:val="auto"/>
          <w:szCs w:val="21"/>
          <w:highlight w:val="none"/>
          <w:lang w:val="en-US" w:eastAsia="zh-CN"/>
        </w:rPr>
      </w:pPr>
      <w:r>
        <w:rPr>
          <w:rFonts w:hint="eastAsia" w:ascii="宋体" w:hAnsi="宋体" w:eastAsia="宋体"/>
          <w:color w:val="auto"/>
          <w:szCs w:val="21"/>
          <w:highlight w:val="none"/>
          <w:lang w:val="en-US" w:eastAsia="zh-CN"/>
        </w:rPr>
        <w:t>监测频次：1次，至少3个混合样</w:t>
      </w:r>
    </w:p>
    <w:p>
      <w:pPr>
        <w:autoSpaceDE w:val="0"/>
        <w:autoSpaceDN w:val="0"/>
        <w:snapToGrid w:val="0"/>
        <w:spacing w:line="380" w:lineRule="exact"/>
        <w:ind w:firstLine="420" w:firstLineChars="200"/>
        <w:textAlignment w:val="bottom"/>
        <w:rPr>
          <w:rFonts w:hint="eastAsia" w:ascii="宋体" w:hAnsi="宋体" w:eastAsia="宋体"/>
          <w:color w:val="auto"/>
          <w:szCs w:val="21"/>
          <w:highlight w:val="none"/>
          <w:lang w:val="en-US" w:eastAsia="zh-CN"/>
        </w:rPr>
      </w:pPr>
      <w:r>
        <w:rPr>
          <w:rFonts w:hint="eastAsia" w:ascii="宋体" w:hAnsi="宋体" w:eastAsia="宋体"/>
          <w:color w:val="auto"/>
          <w:szCs w:val="21"/>
          <w:highlight w:val="none"/>
          <w:lang w:val="en-US" w:eastAsia="zh-CN"/>
        </w:rPr>
        <w:t>②地下水</w:t>
      </w:r>
    </w:p>
    <w:p>
      <w:pPr>
        <w:autoSpaceDE w:val="0"/>
        <w:autoSpaceDN w:val="0"/>
        <w:snapToGrid w:val="0"/>
        <w:spacing w:line="380" w:lineRule="exact"/>
        <w:ind w:firstLine="420" w:firstLineChars="200"/>
        <w:textAlignment w:val="bottom"/>
        <w:rPr>
          <w:rFonts w:hint="eastAsia" w:ascii="宋体" w:hAnsi="宋体" w:eastAsia="宋体"/>
          <w:color w:val="auto"/>
          <w:szCs w:val="21"/>
          <w:highlight w:val="none"/>
          <w:lang w:val="en-US" w:eastAsia="zh-CN"/>
        </w:rPr>
      </w:pPr>
      <w:r>
        <w:rPr>
          <w:rFonts w:hint="eastAsia" w:ascii="宋体" w:hAnsi="宋体" w:eastAsia="宋体"/>
          <w:color w:val="auto"/>
          <w:szCs w:val="21"/>
          <w:highlight w:val="none"/>
          <w:lang w:val="en-US" w:eastAsia="zh-CN"/>
        </w:rPr>
        <w:t>监测项目：pH、溶解性总固体、总硬度、高锰酸盐指数、粪大肠菌群、总汞、总镉、六价铬、总砷、总铅、总锌、总铜、总锰、总铁、氨氮、亚硝酸盐、硝酸盐（以N计）、氰化物、氯化物、硫酸盐、氟化物、挥发酚</w:t>
      </w:r>
    </w:p>
    <w:p>
      <w:pPr>
        <w:autoSpaceDE w:val="0"/>
        <w:autoSpaceDN w:val="0"/>
        <w:snapToGrid w:val="0"/>
        <w:spacing w:line="380" w:lineRule="exact"/>
        <w:ind w:firstLine="420" w:firstLineChars="200"/>
        <w:textAlignment w:val="bottom"/>
        <w:rPr>
          <w:rFonts w:hint="eastAsia" w:ascii="宋体" w:hAnsi="宋体" w:eastAsia="宋体"/>
          <w:color w:val="auto"/>
          <w:szCs w:val="21"/>
          <w:highlight w:val="none"/>
          <w:lang w:val="en-US" w:eastAsia="zh-CN"/>
        </w:rPr>
      </w:pPr>
      <w:r>
        <w:rPr>
          <w:rFonts w:hint="eastAsia" w:ascii="宋体" w:hAnsi="宋体" w:eastAsia="宋体"/>
          <w:color w:val="auto"/>
          <w:szCs w:val="21"/>
          <w:highlight w:val="none"/>
          <w:lang w:val="en-US" w:eastAsia="zh-CN"/>
        </w:rPr>
        <w:t>监测频次：1次，至少3个混合样</w:t>
      </w:r>
    </w:p>
    <w:p>
      <w:pPr>
        <w:autoSpaceDE w:val="0"/>
        <w:autoSpaceDN w:val="0"/>
        <w:snapToGrid w:val="0"/>
        <w:spacing w:line="380" w:lineRule="exact"/>
        <w:ind w:firstLine="420" w:firstLineChars="200"/>
        <w:textAlignment w:val="bottom"/>
        <w:rPr>
          <w:rFonts w:hint="eastAsia" w:ascii="宋体" w:hAnsi="宋体" w:eastAsia="宋体"/>
          <w:color w:val="auto"/>
          <w:szCs w:val="21"/>
          <w:highlight w:val="none"/>
          <w:lang w:val="en-US" w:eastAsia="zh-CN"/>
        </w:rPr>
      </w:pPr>
      <w:r>
        <w:rPr>
          <w:rFonts w:hint="eastAsia" w:ascii="宋体" w:hAnsi="宋体" w:eastAsia="宋体"/>
          <w:color w:val="auto"/>
          <w:szCs w:val="21"/>
          <w:highlight w:val="none"/>
          <w:lang w:val="en-US" w:eastAsia="zh-CN"/>
        </w:rPr>
        <w:t>③厂界无组织</w:t>
      </w:r>
    </w:p>
    <w:p>
      <w:pPr>
        <w:autoSpaceDE w:val="0"/>
        <w:autoSpaceDN w:val="0"/>
        <w:snapToGrid w:val="0"/>
        <w:spacing w:line="380" w:lineRule="exact"/>
        <w:ind w:firstLine="420" w:firstLineChars="200"/>
        <w:textAlignment w:val="bottom"/>
        <w:rPr>
          <w:rFonts w:hint="eastAsia" w:ascii="宋体" w:hAnsi="宋体" w:eastAsia="宋体"/>
          <w:color w:val="auto"/>
          <w:szCs w:val="21"/>
          <w:highlight w:val="none"/>
          <w:lang w:val="en-US" w:eastAsia="zh-CN"/>
        </w:rPr>
      </w:pPr>
      <w:r>
        <w:rPr>
          <w:rFonts w:hint="eastAsia" w:ascii="宋体" w:hAnsi="宋体" w:eastAsia="宋体"/>
          <w:color w:val="auto"/>
          <w:szCs w:val="21"/>
          <w:highlight w:val="none"/>
          <w:lang w:val="en-US" w:eastAsia="zh-CN"/>
        </w:rPr>
        <w:t>监测项目：臭气、氨、颗粒物、硫化氢、含现场气象参数</w:t>
      </w:r>
    </w:p>
    <w:p>
      <w:pPr>
        <w:autoSpaceDE w:val="0"/>
        <w:autoSpaceDN w:val="0"/>
        <w:snapToGrid w:val="0"/>
        <w:spacing w:line="380" w:lineRule="exact"/>
        <w:ind w:firstLine="420" w:firstLineChars="200"/>
        <w:textAlignment w:val="bottom"/>
        <w:rPr>
          <w:rFonts w:hint="eastAsia" w:ascii="宋体" w:hAnsi="宋体" w:eastAsia="宋体"/>
          <w:color w:val="auto"/>
          <w:szCs w:val="21"/>
          <w:highlight w:val="none"/>
          <w:lang w:val="en-US" w:eastAsia="zh-CN"/>
        </w:rPr>
      </w:pPr>
      <w:r>
        <w:rPr>
          <w:rFonts w:hint="eastAsia" w:ascii="宋体" w:hAnsi="宋体" w:eastAsia="宋体"/>
          <w:color w:val="auto"/>
          <w:szCs w:val="21"/>
          <w:highlight w:val="none"/>
          <w:lang w:val="en-US" w:eastAsia="zh-CN"/>
        </w:rPr>
        <w:t>监测频次：1次，非连续采样至少3个</w:t>
      </w:r>
    </w:p>
    <w:p>
      <w:pPr>
        <w:autoSpaceDE w:val="0"/>
        <w:autoSpaceDN w:val="0"/>
        <w:snapToGrid w:val="0"/>
        <w:spacing w:line="380" w:lineRule="exact"/>
        <w:ind w:firstLine="420" w:firstLineChars="200"/>
        <w:textAlignment w:val="bottom"/>
        <w:rPr>
          <w:rFonts w:hint="eastAsia" w:ascii="宋体" w:hAnsi="宋体" w:eastAsia="宋体"/>
          <w:color w:val="auto"/>
          <w:szCs w:val="21"/>
          <w:highlight w:val="none"/>
          <w:lang w:val="en-US" w:eastAsia="zh-CN"/>
        </w:rPr>
      </w:pPr>
      <w:r>
        <w:rPr>
          <w:rFonts w:hint="eastAsia" w:ascii="宋体" w:hAnsi="宋体" w:eastAsia="宋体"/>
          <w:color w:val="auto"/>
          <w:szCs w:val="21"/>
          <w:highlight w:val="none"/>
          <w:lang w:val="en-US" w:eastAsia="zh-CN"/>
        </w:rPr>
        <w:t>（6）黄磷化工企业2家</w:t>
      </w:r>
    </w:p>
    <w:p>
      <w:pPr>
        <w:autoSpaceDE w:val="0"/>
        <w:autoSpaceDN w:val="0"/>
        <w:snapToGrid w:val="0"/>
        <w:spacing w:line="380" w:lineRule="exact"/>
        <w:ind w:firstLine="420" w:firstLineChars="200"/>
        <w:textAlignment w:val="bottom"/>
        <w:rPr>
          <w:rFonts w:hint="eastAsia" w:ascii="宋体" w:hAnsi="宋体" w:eastAsia="宋体"/>
          <w:color w:val="auto"/>
          <w:szCs w:val="21"/>
          <w:highlight w:val="none"/>
          <w:lang w:val="en-US" w:eastAsia="zh-CN"/>
        </w:rPr>
      </w:pPr>
      <w:r>
        <w:rPr>
          <w:rFonts w:hint="eastAsia" w:ascii="宋体" w:hAnsi="宋体" w:eastAsia="宋体"/>
          <w:color w:val="auto"/>
          <w:szCs w:val="21"/>
          <w:highlight w:val="none"/>
          <w:lang w:val="en-US" w:eastAsia="zh-CN"/>
        </w:rPr>
        <w:t>①水淬渣排口</w:t>
      </w:r>
    </w:p>
    <w:p>
      <w:pPr>
        <w:autoSpaceDE w:val="0"/>
        <w:autoSpaceDN w:val="0"/>
        <w:snapToGrid w:val="0"/>
        <w:spacing w:line="380" w:lineRule="exact"/>
        <w:ind w:firstLine="420" w:firstLineChars="200"/>
        <w:textAlignment w:val="bottom"/>
        <w:rPr>
          <w:rFonts w:hint="eastAsia" w:ascii="宋体" w:hAnsi="宋体" w:eastAsia="宋体"/>
          <w:color w:val="auto"/>
          <w:szCs w:val="21"/>
          <w:highlight w:val="none"/>
          <w:lang w:val="en-US" w:eastAsia="zh-CN"/>
        </w:rPr>
      </w:pPr>
      <w:r>
        <w:rPr>
          <w:rFonts w:hint="eastAsia" w:ascii="宋体" w:hAnsi="宋体" w:eastAsia="宋体"/>
          <w:color w:val="auto"/>
          <w:szCs w:val="21"/>
          <w:highlight w:val="none"/>
          <w:lang w:val="en-US" w:eastAsia="zh-CN"/>
        </w:rPr>
        <w:t>监测项目：烟气参数、砷及其化合物、氟化物</w:t>
      </w:r>
    </w:p>
    <w:p>
      <w:pPr>
        <w:autoSpaceDE w:val="0"/>
        <w:autoSpaceDN w:val="0"/>
        <w:snapToGrid w:val="0"/>
        <w:spacing w:line="380" w:lineRule="exact"/>
        <w:ind w:firstLine="420" w:firstLineChars="200"/>
        <w:textAlignment w:val="bottom"/>
        <w:rPr>
          <w:rFonts w:hint="eastAsia" w:ascii="宋体" w:hAnsi="宋体" w:eastAsia="宋体"/>
          <w:color w:val="auto"/>
          <w:szCs w:val="21"/>
          <w:highlight w:val="none"/>
          <w:lang w:val="en-US" w:eastAsia="zh-CN"/>
        </w:rPr>
      </w:pPr>
      <w:r>
        <w:rPr>
          <w:rFonts w:hint="eastAsia" w:ascii="宋体" w:hAnsi="宋体" w:eastAsia="宋体"/>
          <w:color w:val="auto"/>
          <w:szCs w:val="21"/>
          <w:highlight w:val="none"/>
          <w:lang w:val="en-US" w:eastAsia="zh-CN"/>
        </w:rPr>
        <w:t>监测频次：1次，非连续采样 至少3个</w:t>
      </w:r>
    </w:p>
    <w:p>
      <w:pPr>
        <w:autoSpaceDE w:val="0"/>
        <w:autoSpaceDN w:val="0"/>
        <w:snapToGrid w:val="0"/>
        <w:spacing w:line="380" w:lineRule="exact"/>
        <w:ind w:firstLine="420" w:firstLineChars="200"/>
        <w:textAlignment w:val="bottom"/>
        <w:rPr>
          <w:rFonts w:hint="eastAsia" w:ascii="宋体" w:hAnsi="宋体" w:eastAsia="宋体"/>
          <w:color w:val="auto"/>
          <w:szCs w:val="21"/>
          <w:highlight w:val="none"/>
          <w:lang w:val="en-US" w:eastAsia="zh-CN"/>
        </w:rPr>
      </w:pPr>
      <w:r>
        <w:rPr>
          <w:rFonts w:hint="eastAsia" w:ascii="宋体" w:hAnsi="宋体" w:eastAsia="宋体"/>
          <w:color w:val="auto"/>
          <w:szCs w:val="21"/>
          <w:highlight w:val="none"/>
          <w:lang w:val="en-US" w:eastAsia="zh-CN"/>
        </w:rPr>
        <w:t>②破碎、筛分、烘干排口</w:t>
      </w:r>
    </w:p>
    <w:p>
      <w:pPr>
        <w:autoSpaceDE w:val="0"/>
        <w:autoSpaceDN w:val="0"/>
        <w:snapToGrid w:val="0"/>
        <w:spacing w:line="380" w:lineRule="exact"/>
        <w:ind w:firstLine="420" w:firstLineChars="200"/>
        <w:textAlignment w:val="bottom"/>
        <w:rPr>
          <w:rFonts w:hint="eastAsia" w:ascii="宋体" w:hAnsi="宋体" w:eastAsia="宋体"/>
          <w:color w:val="auto"/>
          <w:szCs w:val="21"/>
          <w:highlight w:val="none"/>
          <w:lang w:val="en-US" w:eastAsia="zh-CN"/>
        </w:rPr>
      </w:pPr>
      <w:r>
        <w:rPr>
          <w:rFonts w:hint="eastAsia" w:ascii="宋体" w:hAnsi="宋体" w:eastAsia="宋体"/>
          <w:color w:val="auto"/>
          <w:szCs w:val="21"/>
          <w:highlight w:val="none"/>
          <w:lang w:val="en-US" w:eastAsia="zh-CN"/>
        </w:rPr>
        <w:t>监测项目：烟气参数、氮氧化物、氟化物、二氧化硫、颗粒物</w:t>
      </w:r>
    </w:p>
    <w:p>
      <w:pPr>
        <w:autoSpaceDE w:val="0"/>
        <w:autoSpaceDN w:val="0"/>
        <w:snapToGrid w:val="0"/>
        <w:spacing w:line="380" w:lineRule="exact"/>
        <w:ind w:firstLine="420" w:firstLineChars="200"/>
        <w:textAlignment w:val="bottom"/>
        <w:rPr>
          <w:rFonts w:hint="eastAsia" w:ascii="宋体" w:hAnsi="宋体" w:eastAsia="宋体"/>
          <w:color w:val="auto"/>
          <w:szCs w:val="21"/>
          <w:highlight w:val="none"/>
          <w:lang w:val="en-US" w:eastAsia="zh-CN"/>
        </w:rPr>
      </w:pPr>
      <w:r>
        <w:rPr>
          <w:rFonts w:hint="eastAsia" w:ascii="宋体" w:hAnsi="宋体" w:eastAsia="宋体"/>
          <w:color w:val="auto"/>
          <w:szCs w:val="21"/>
          <w:highlight w:val="none"/>
          <w:lang w:val="en-US" w:eastAsia="zh-CN"/>
        </w:rPr>
        <w:t>监测频次：1次，非连续采样 至少3个</w:t>
      </w:r>
    </w:p>
    <w:p>
      <w:pPr>
        <w:autoSpaceDE w:val="0"/>
        <w:autoSpaceDN w:val="0"/>
        <w:snapToGrid w:val="0"/>
        <w:spacing w:line="380" w:lineRule="exact"/>
        <w:ind w:firstLine="420" w:firstLineChars="200"/>
        <w:textAlignment w:val="bottom"/>
        <w:rPr>
          <w:rFonts w:hint="eastAsia" w:ascii="宋体" w:hAnsi="宋体" w:eastAsia="宋体"/>
          <w:color w:val="auto"/>
          <w:szCs w:val="21"/>
          <w:highlight w:val="none"/>
          <w:lang w:val="en-US" w:eastAsia="zh-CN"/>
        </w:rPr>
      </w:pPr>
      <w:r>
        <w:rPr>
          <w:rFonts w:hint="eastAsia" w:ascii="宋体" w:hAnsi="宋体" w:eastAsia="宋体"/>
          <w:color w:val="auto"/>
          <w:szCs w:val="21"/>
          <w:highlight w:val="none"/>
          <w:lang w:val="en-US" w:eastAsia="zh-CN"/>
        </w:rPr>
        <w:t>③余热锅炉排气孔</w:t>
      </w:r>
    </w:p>
    <w:p>
      <w:pPr>
        <w:autoSpaceDE w:val="0"/>
        <w:autoSpaceDN w:val="0"/>
        <w:snapToGrid w:val="0"/>
        <w:spacing w:line="380" w:lineRule="exact"/>
        <w:ind w:firstLine="420" w:firstLineChars="200"/>
        <w:textAlignment w:val="bottom"/>
        <w:rPr>
          <w:rFonts w:hint="eastAsia" w:ascii="宋体" w:hAnsi="宋体" w:eastAsia="宋体"/>
          <w:color w:val="auto"/>
          <w:szCs w:val="21"/>
          <w:highlight w:val="none"/>
          <w:lang w:val="en-US" w:eastAsia="zh-CN"/>
        </w:rPr>
      </w:pPr>
      <w:r>
        <w:rPr>
          <w:rFonts w:hint="eastAsia" w:ascii="宋体" w:hAnsi="宋体" w:eastAsia="宋体"/>
          <w:color w:val="auto"/>
          <w:szCs w:val="21"/>
          <w:highlight w:val="none"/>
          <w:lang w:val="en-US" w:eastAsia="zh-CN"/>
        </w:rPr>
        <w:t>监测项目：烟气参数、砷及其化合物、氟化物</w:t>
      </w:r>
    </w:p>
    <w:p>
      <w:pPr>
        <w:autoSpaceDE w:val="0"/>
        <w:autoSpaceDN w:val="0"/>
        <w:snapToGrid w:val="0"/>
        <w:spacing w:line="380" w:lineRule="exact"/>
        <w:ind w:firstLine="420" w:firstLineChars="200"/>
        <w:textAlignment w:val="bottom"/>
        <w:rPr>
          <w:rFonts w:hint="eastAsia" w:ascii="宋体" w:hAnsi="宋体" w:eastAsia="宋体"/>
          <w:color w:val="auto"/>
          <w:szCs w:val="21"/>
          <w:highlight w:val="none"/>
          <w:lang w:val="en-US" w:eastAsia="zh-CN"/>
        </w:rPr>
      </w:pPr>
      <w:r>
        <w:rPr>
          <w:rFonts w:hint="eastAsia" w:ascii="宋体" w:hAnsi="宋体" w:eastAsia="宋体"/>
          <w:color w:val="auto"/>
          <w:szCs w:val="21"/>
          <w:highlight w:val="none"/>
          <w:lang w:val="en-US" w:eastAsia="zh-CN"/>
        </w:rPr>
        <w:t>监测频次：1次，非连续采样 至少3个</w:t>
      </w:r>
    </w:p>
    <w:p>
      <w:pPr>
        <w:autoSpaceDE w:val="0"/>
        <w:autoSpaceDN w:val="0"/>
        <w:snapToGrid w:val="0"/>
        <w:spacing w:line="380" w:lineRule="exact"/>
        <w:ind w:firstLine="420" w:firstLineChars="200"/>
        <w:textAlignment w:val="bottom"/>
        <w:rPr>
          <w:rFonts w:hint="eastAsia" w:ascii="宋体" w:hAnsi="宋体" w:eastAsia="宋体"/>
          <w:color w:val="auto"/>
          <w:szCs w:val="21"/>
          <w:highlight w:val="none"/>
          <w:lang w:val="en-US" w:eastAsia="zh-CN"/>
        </w:rPr>
      </w:pPr>
      <w:r>
        <w:rPr>
          <w:rFonts w:hint="eastAsia" w:ascii="宋体" w:hAnsi="宋体" w:eastAsia="宋体"/>
          <w:color w:val="auto"/>
          <w:szCs w:val="21"/>
          <w:highlight w:val="none"/>
          <w:lang w:val="en-US" w:eastAsia="zh-CN"/>
        </w:rPr>
        <w:t>④厂界无组织</w:t>
      </w:r>
    </w:p>
    <w:p>
      <w:pPr>
        <w:autoSpaceDE w:val="0"/>
        <w:autoSpaceDN w:val="0"/>
        <w:snapToGrid w:val="0"/>
        <w:spacing w:line="380" w:lineRule="exact"/>
        <w:ind w:firstLine="420" w:firstLineChars="200"/>
        <w:textAlignment w:val="bottom"/>
        <w:rPr>
          <w:rFonts w:hint="eastAsia" w:ascii="宋体" w:hAnsi="宋体" w:eastAsia="宋体"/>
          <w:color w:val="auto"/>
          <w:szCs w:val="21"/>
          <w:highlight w:val="none"/>
          <w:lang w:val="en-US" w:eastAsia="zh-CN"/>
        </w:rPr>
      </w:pPr>
      <w:r>
        <w:rPr>
          <w:rFonts w:hint="eastAsia" w:ascii="宋体" w:hAnsi="宋体" w:eastAsia="宋体"/>
          <w:color w:val="auto"/>
          <w:szCs w:val="21"/>
          <w:highlight w:val="none"/>
          <w:lang w:val="en-US" w:eastAsia="zh-CN"/>
        </w:rPr>
        <w:t>监测项目：气象参数、砷及其化合物、氟化物、二氧化硫、颗粒物</w:t>
      </w:r>
    </w:p>
    <w:p>
      <w:pPr>
        <w:autoSpaceDE w:val="0"/>
        <w:autoSpaceDN w:val="0"/>
        <w:snapToGrid w:val="0"/>
        <w:spacing w:line="380" w:lineRule="exact"/>
        <w:ind w:firstLine="420" w:firstLineChars="200"/>
        <w:textAlignment w:val="bottom"/>
        <w:rPr>
          <w:rFonts w:hint="eastAsia" w:ascii="宋体" w:hAnsi="宋体" w:eastAsia="宋体"/>
          <w:color w:val="auto"/>
          <w:szCs w:val="21"/>
          <w:highlight w:val="none"/>
          <w:lang w:val="en-US" w:eastAsia="zh-CN"/>
        </w:rPr>
      </w:pPr>
      <w:r>
        <w:rPr>
          <w:rFonts w:hint="eastAsia" w:ascii="宋体" w:hAnsi="宋体" w:eastAsia="宋体"/>
          <w:color w:val="auto"/>
          <w:szCs w:val="21"/>
          <w:highlight w:val="none"/>
          <w:lang w:val="en-US" w:eastAsia="zh-CN"/>
        </w:rPr>
        <w:t>监测频次：1次，非连续采样 至少3个</w:t>
      </w:r>
    </w:p>
    <w:p>
      <w:pPr>
        <w:autoSpaceDE w:val="0"/>
        <w:autoSpaceDN w:val="0"/>
        <w:snapToGrid w:val="0"/>
        <w:spacing w:line="380" w:lineRule="exact"/>
        <w:ind w:firstLine="420" w:firstLineChars="200"/>
        <w:textAlignment w:val="bottom"/>
        <w:rPr>
          <w:rFonts w:hint="eastAsia" w:ascii="宋体" w:hAnsi="宋体" w:eastAsia="宋体"/>
          <w:color w:val="auto"/>
          <w:szCs w:val="21"/>
          <w:highlight w:val="none"/>
          <w:lang w:val="en-US" w:eastAsia="zh-CN"/>
        </w:rPr>
      </w:pPr>
      <w:r>
        <w:rPr>
          <w:rFonts w:hint="eastAsia" w:ascii="宋体" w:hAnsi="宋体" w:eastAsia="宋体"/>
          <w:color w:val="auto"/>
          <w:szCs w:val="21"/>
          <w:highlight w:val="none"/>
          <w:lang w:val="en-US" w:eastAsia="zh-CN"/>
        </w:rPr>
        <w:t>（7）页岩红砖2家</w:t>
      </w:r>
    </w:p>
    <w:p>
      <w:pPr>
        <w:autoSpaceDE w:val="0"/>
        <w:autoSpaceDN w:val="0"/>
        <w:snapToGrid w:val="0"/>
        <w:spacing w:line="380" w:lineRule="exact"/>
        <w:ind w:firstLine="420" w:firstLineChars="200"/>
        <w:textAlignment w:val="bottom"/>
        <w:rPr>
          <w:rFonts w:hint="eastAsia" w:ascii="宋体" w:hAnsi="宋体" w:eastAsia="宋体"/>
          <w:color w:val="auto"/>
          <w:szCs w:val="21"/>
          <w:highlight w:val="none"/>
          <w:lang w:val="en-US" w:eastAsia="zh-CN"/>
        </w:rPr>
      </w:pPr>
      <w:r>
        <w:rPr>
          <w:rFonts w:hint="eastAsia" w:ascii="宋体" w:hAnsi="宋体" w:eastAsia="宋体"/>
          <w:color w:val="auto"/>
          <w:szCs w:val="21"/>
          <w:highlight w:val="none"/>
          <w:lang w:val="en-US" w:eastAsia="zh-CN"/>
        </w:rPr>
        <w:t>①有组织废气（3个排气筒）</w:t>
      </w:r>
    </w:p>
    <w:p>
      <w:pPr>
        <w:autoSpaceDE w:val="0"/>
        <w:autoSpaceDN w:val="0"/>
        <w:snapToGrid w:val="0"/>
        <w:spacing w:line="380" w:lineRule="exact"/>
        <w:ind w:firstLine="420" w:firstLineChars="200"/>
        <w:textAlignment w:val="bottom"/>
        <w:rPr>
          <w:rFonts w:hint="eastAsia" w:ascii="宋体" w:hAnsi="宋体" w:eastAsia="宋体"/>
          <w:color w:val="auto"/>
          <w:szCs w:val="21"/>
          <w:highlight w:val="none"/>
          <w:lang w:val="en-US" w:eastAsia="zh-CN"/>
        </w:rPr>
      </w:pPr>
      <w:r>
        <w:rPr>
          <w:rFonts w:hint="eastAsia" w:ascii="宋体" w:hAnsi="宋体" w:eastAsia="宋体"/>
          <w:color w:val="auto"/>
          <w:szCs w:val="21"/>
          <w:highlight w:val="none"/>
          <w:lang w:val="en-US" w:eastAsia="zh-CN"/>
        </w:rPr>
        <w:t>监测项目：烟气参数、颗粒物、二氧化硫、氮氧化物、氟化物</w:t>
      </w:r>
    </w:p>
    <w:p>
      <w:pPr>
        <w:autoSpaceDE w:val="0"/>
        <w:autoSpaceDN w:val="0"/>
        <w:snapToGrid w:val="0"/>
        <w:spacing w:line="380" w:lineRule="exact"/>
        <w:ind w:firstLine="420" w:firstLineChars="200"/>
        <w:textAlignment w:val="bottom"/>
        <w:rPr>
          <w:rFonts w:hint="eastAsia" w:ascii="宋体" w:hAnsi="宋体" w:eastAsia="宋体"/>
          <w:color w:val="auto"/>
          <w:szCs w:val="21"/>
          <w:highlight w:val="none"/>
          <w:lang w:val="en-US" w:eastAsia="zh-CN"/>
        </w:rPr>
      </w:pPr>
      <w:r>
        <w:rPr>
          <w:rFonts w:hint="eastAsia" w:ascii="宋体" w:hAnsi="宋体" w:eastAsia="宋体"/>
          <w:color w:val="auto"/>
          <w:szCs w:val="21"/>
          <w:highlight w:val="none"/>
          <w:lang w:val="en-US" w:eastAsia="zh-CN"/>
        </w:rPr>
        <w:t>监测频次：1次，非连续采样 至少3个</w:t>
      </w:r>
    </w:p>
    <w:p>
      <w:pPr>
        <w:autoSpaceDE w:val="0"/>
        <w:autoSpaceDN w:val="0"/>
        <w:snapToGrid w:val="0"/>
        <w:spacing w:line="380" w:lineRule="exact"/>
        <w:ind w:firstLine="420" w:firstLineChars="200"/>
        <w:textAlignment w:val="bottom"/>
        <w:rPr>
          <w:rFonts w:hint="eastAsia" w:ascii="宋体" w:hAnsi="宋体" w:eastAsia="宋体"/>
          <w:color w:val="auto"/>
          <w:szCs w:val="21"/>
          <w:highlight w:val="none"/>
          <w:lang w:val="en-US" w:eastAsia="zh-CN"/>
        </w:rPr>
      </w:pPr>
      <w:r>
        <w:rPr>
          <w:rFonts w:hint="eastAsia" w:ascii="宋体" w:hAnsi="宋体" w:eastAsia="宋体"/>
          <w:color w:val="auto"/>
          <w:szCs w:val="21"/>
          <w:highlight w:val="none"/>
          <w:lang w:val="en-US" w:eastAsia="zh-CN"/>
        </w:rPr>
        <w:t>②厂界无组织废气</w:t>
      </w:r>
    </w:p>
    <w:p>
      <w:pPr>
        <w:autoSpaceDE w:val="0"/>
        <w:autoSpaceDN w:val="0"/>
        <w:snapToGrid w:val="0"/>
        <w:spacing w:line="380" w:lineRule="exact"/>
        <w:ind w:firstLine="420" w:firstLineChars="200"/>
        <w:textAlignment w:val="bottom"/>
        <w:rPr>
          <w:rFonts w:hint="eastAsia" w:ascii="宋体" w:hAnsi="宋体" w:eastAsia="宋体"/>
          <w:color w:val="auto"/>
          <w:szCs w:val="21"/>
          <w:highlight w:val="none"/>
          <w:lang w:val="en-US" w:eastAsia="zh-CN"/>
        </w:rPr>
      </w:pPr>
      <w:r>
        <w:rPr>
          <w:rFonts w:hint="eastAsia" w:ascii="宋体" w:hAnsi="宋体" w:eastAsia="宋体"/>
          <w:color w:val="auto"/>
          <w:szCs w:val="21"/>
          <w:highlight w:val="none"/>
          <w:lang w:val="en-US" w:eastAsia="zh-CN"/>
        </w:rPr>
        <w:t>监测项目：颗粒物</w:t>
      </w:r>
    </w:p>
    <w:p>
      <w:pPr>
        <w:autoSpaceDE w:val="0"/>
        <w:autoSpaceDN w:val="0"/>
        <w:snapToGrid w:val="0"/>
        <w:spacing w:line="380" w:lineRule="exact"/>
        <w:ind w:firstLine="420" w:firstLineChars="200"/>
        <w:textAlignment w:val="bottom"/>
        <w:rPr>
          <w:rFonts w:hint="eastAsia" w:ascii="宋体" w:hAnsi="宋体" w:eastAsia="宋体"/>
          <w:color w:val="auto"/>
          <w:szCs w:val="21"/>
          <w:highlight w:val="none"/>
          <w:lang w:val="en-US" w:eastAsia="zh-CN"/>
        </w:rPr>
      </w:pPr>
      <w:r>
        <w:rPr>
          <w:rFonts w:hint="eastAsia" w:ascii="宋体" w:hAnsi="宋体" w:eastAsia="宋体"/>
          <w:color w:val="auto"/>
          <w:szCs w:val="21"/>
          <w:highlight w:val="none"/>
          <w:lang w:val="en-US" w:eastAsia="zh-CN"/>
        </w:rPr>
        <w:t>监测频次：1次，非连续采样 至少3个</w:t>
      </w:r>
    </w:p>
    <w:p>
      <w:pPr>
        <w:autoSpaceDE w:val="0"/>
        <w:autoSpaceDN w:val="0"/>
        <w:snapToGrid w:val="0"/>
        <w:spacing w:line="380" w:lineRule="exact"/>
        <w:ind w:firstLine="420" w:firstLineChars="200"/>
        <w:textAlignment w:val="bottom"/>
        <w:rPr>
          <w:rFonts w:hint="eastAsia" w:ascii="宋体" w:hAnsi="宋体" w:eastAsia="宋体"/>
          <w:color w:val="auto"/>
          <w:szCs w:val="21"/>
          <w:highlight w:val="none"/>
          <w:lang w:val="en-US" w:eastAsia="zh-CN"/>
        </w:rPr>
      </w:pPr>
      <w:r>
        <w:rPr>
          <w:rFonts w:hint="eastAsia" w:ascii="宋体" w:hAnsi="宋体" w:eastAsia="宋体"/>
          <w:color w:val="auto"/>
          <w:szCs w:val="21"/>
          <w:highlight w:val="none"/>
          <w:lang w:val="en-US" w:eastAsia="zh-CN"/>
        </w:rPr>
        <w:t>（9）集中供热企业1家</w:t>
      </w:r>
    </w:p>
    <w:p>
      <w:pPr>
        <w:autoSpaceDE w:val="0"/>
        <w:autoSpaceDN w:val="0"/>
        <w:snapToGrid w:val="0"/>
        <w:spacing w:line="380" w:lineRule="exact"/>
        <w:ind w:firstLine="420" w:firstLineChars="200"/>
        <w:textAlignment w:val="bottom"/>
        <w:rPr>
          <w:rFonts w:hint="eastAsia" w:ascii="宋体" w:hAnsi="宋体" w:eastAsia="宋体"/>
          <w:color w:val="auto"/>
          <w:szCs w:val="21"/>
          <w:highlight w:val="none"/>
          <w:lang w:val="en-US" w:eastAsia="zh-CN"/>
        </w:rPr>
      </w:pPr>
      <w:r>
        <w:rPr>
          <w:rFonts w:hint="eastAsia" w:ascii="宋体" w:hAnsi="宋体" w:eastAsia="宋体"/>
          <w:color w:val="auto"/>
          <w:szCs w:val="21"/>
          <w:highlight w:val="none"/>
          <w:lang w:val="en-US" w:eastAsia="zh-CN"/>
        </w:rPr>
        <w:t>①锅炉烟囱</w:t>
      </w:r>
    </w:p>
    <w:p>
      <w:pPr>
        <w:autoSpaceDE w:val="0"/>
        <w:autoSpaceDN w:val="0"/>
        <w:snapToGrid w:val="0"/>
        <w:spacing w:line="380" w:lineRule="exact"/>
        <w:ind w:firstLine="420" w:firstLineChars="200"/>
        <w:textAlignment w:val="bottom"/>
        <w:rPr>
          <w:rFonts w:hint="eastAsia" w:ascii="宋体" w:hAnsi="宋体" w:eastAsia="宋体"/>
          <w:color w:val="auto"/>
          <w:szCs w:val="21"/>
          <w:highlight w:val="none"/>
          <w:lang w:val="en-US" w:eastAsia="zh-CN"/>
        </w:rPr>
      </w:pPr>
      <w:r>
        <w:rPr>
          <w:rFonts w:hint="eastAsia" w:ascii="宋体" w:hAnsi="宋体" w:eastAsia="宋体"/>
          <w:color w:val="auto"/>
          <w:szCs w:val="21"/>
          <w:highlight w:val="none"/>
          <w:lang w:val="en-US" w:eastAsia="zh-CN"/>
        </w:rPr>
        <w:t>监测项目：烟气参数、烟气黑度、颗粒物、二氧化硫、氮氧化物、汞及其化合物、氨气</w:t>
      </w:r>
    </w:p>
    <w:p>
      <w:pPr>
        <w:autoSpaceDE w:val="0"/>
        <w:autoSpaceDN w:val="0"/>
        <w:snapToGrid w:val="0"/>
        <w:spacing w:line="380" w:lineRule="exact"/>
        <w:ind w:firstLine="420" w:firstLineChars="200"/>
        <w:textAlignment w:val="bottom"/>
        <w:rPr>
          <w:rFonts w:hint="eastAsia" w:ascii="宋体" w:hAnsi="宋体" w:eastAsia="宋体"/>
          <w:color w:val="auto"/>
          <w:szCs w:val="21"/>
          <w:highlight w:val="none"/>
          <w:lang w:val="en-US" w:eastAsia="zh-CN"/>
        </w:rPr>
      </w:pPr>
      <w:r>
        <w:rPr>
          <w:rFonts w:hint="eastAsia" w:ascii="宋体" w:hAnsi="宋体" w:eastAsia="宋体"/>
          <w:color w:val="auto"/>
          <w:szCs w:val="21"/>
          <w:highlight w:val="none"/>
          <w:lang w:val="en-US" w:eastAsia="zh-CN"/>
        </w:rPr>
        <w:t>监测频次：1次，非连续采样 至少3个</w:t>
      </w:r>
    </w:p>
    <w:p>
      <w:pPr>
        <w:autoSpaceDE w:val="0"/>
        <w:autoSpaceDN w:val="0"/>
        <w:snapToGrid w:val="0"/>
        <w:spacing w:line="380" w:lineRule="exact"/>
        <w:ind w:firstLine="420" w:firstLineChars="200"/>
        <w:textAlignment w:val="bottom"/>
        <w:rPr>
          <w:rFonts w:hint="eastAsia" w:ascii="宋体" w:hAnsi="宋体" w:eastAsia="宋体"/>
          <w:color w:val="auto"/>
          <w:szCs w:val="21"/>
          <w:highlight w:val="none"/>
          <w:lang w:val="en-US" w:eastAsia="zh-CN"/>
        </w:rPr>
      </w:pPr>
      <w:r>
        <w:rPr>
          <w:rFonts w:hint="eastAsia" w:ascii="宋体" w:hAnsi="宋体" w:eastAsia="宋体"/>
          <w:color w:val="auto"/>
          <w:szCs w:val="21"/>
          <w:highlight w:val="none"/>
          <w:lang w:val="en-US" w:eastAsia="zh-CN"/>
        </w:rPr>
        <w:t>②破煤楼排气筒</w:t>
      </w:r>
    </w:p>
    <w:p>
      <w:pPr>
        <w:autoSpaceDE w:val="0"/>
        <w:autoSpaceDN w:val="0"/>
        <w:snapToGrid w:val="0"/>
        <w:spacing w:line="380" w:lineRule="exact"/>
        <w:ind w:firstLine="420" w:firstLineChars="200"/>
        <w:textAlignment w:val="bottom"/>
        <w:rPr>
          <w:rFonts w:hint="eastAsia" w:ascii="宋体" w:hAnsi="宋体" w:eastAsia="宋体"/>
          <w:color w:val="auto"/>
          <w:szCs w:val="21"/>
          <w:highlight w:val="none"/>
          <w:lang w:val="en-US" w:eastAsia="zh-CN"/>
        </w:rPr>
      </w:pPr>
      <w:r>
        <w:rPr>
          <w:rFonts w:hint="eastAsia" w:ascii="宋体" w:hAnsi="宋体" w:eastAsia="宋体"/>
          <w:color w:val="auto"/>
          <w:szCs w:val="21"/>
          <w:highlight w:val="none"/>
          <w:lang w:val="en-US" w:eastAsia="zh-CN"/>
        </w:rPr>
        <w:t>监测项目：烟气参数、颗粒物</w:t>
      </w:r>
    </w:p>
    <w:p>
      <w:pPr>
        <w:autoSpaceDE w:val="0"/>
        <w:autoSpaceDN w:val="0"/>
        <w:snapToGrid w:val="0"/>
        <w:spacing w:line="380" w:lineRule="exact"/>
        <w:ind w:firstLine="420" w:firstLineChars="200"/>
        <w:textAlignment w:val="bottom"/>
        <w:rPr>
          <w:rFonts w:hint="eastAsia" w:ascii="宋体" w:hAnsi="宋体" w:eastAsia="宋体"/>
          <w:color w:val="auto"/>
          <w:szCs w:val="21"/>
          <w:highlight w:val="none"/>
          <w:lang w:val="en-US" w:eastAsia="zh-CN"/>
        </w:rPr>
      </w:pPr>
      <w:r>
        <w:rPr>
          <w:rFonts w:hint="eastAsia" w:ascii="宋体" w:hAnsi="宋体" w:eastAsia="宋体"/>
          <w:color w:val="auto"/>
          <w:szCs w:val="21"/>
          <w:highlight w:val="none"/>
          <w:lang w:val="en-US" w:eastAsia="zh-CN"/>
        </w:rPr>
        <w:t>监测频次：1次，非连续采样 至少3个</w:t>
      </w:r>
    </w:p>
    <w:p>
      <w:pPr>
        <w:autoSpaceDE w:val="0"/>
        <w:autoSpaceDN w:val="0"/>
        <w:snapToGrid w:val="0"/>
        <w:spacing w:line="380" w:lineRule="exact"/>
        <w:ind w:firstLine="420" w:firstLineChars="200"/>
        <w:textAlignment w:val="bottom"/>
        <w:rPr>
          <w:rFonts w:hint="eastAsia" w:ascii="宋体" w:hAnsi="宋体" w:eastAsia="宋体"/>
          <w:color w:val="auto"/>
          <w:szCs w:val="21"/>
          <w:highlight w:val="none"/>
          <w:lang w:val="en-US" w:eastAsia="zh-CN"/>
        </w:rPr>
      </w:pPr>
      <w:r>
        <w:rPr>
          <w:rFonts w:hint="eastAsia" w:ascii="宋体" w:hAnsi="宋体" w:eastAsia="宋体"/>
          <w:color w:val="auto"/>
          <w:szCs w:val="21"/>
          <w:highlight w:val="none"/>
          <w:lang w:val="en-US" w:eastAsia="zh-CN"/>
        </w:rPr>
        <w:t>③厂界无组织</w:t>
      </w:r>
    </w:p>
    <w:p>
      <w:pPr>
        <w:autoSpaceDE w:val="0"/>
        <w:autoSpaceDN w:val="0"/>
        <w:snapToGrid w:val="0"/>
        <w:spacing w:line="380" w:lineRule="exact"/>
        <w:ind w:firstLine="420" w:firstLineChars="200"/>
        <w:textAlignment w:val="bottom"/>
        <w:rPr>
          <w:rFonts w:hint="eastAsia" w:ascii="宋体" w:hAnsi="宋体" w:eastAsia="宋体"/>
          <w:color w:val="auto"/>
          <w:szCs w:val="21"/>
          <w:highlight w:val="none"/>
          <w:lang w:val="en-US" w:eastAsia="zh-CN"/>
        </w:rPr>
      </w:pPr>
      <w:r>
        <w:rPr>
          <w:rFonts w:hint="eastAsia" w:ascii="宋体" w:hAnsi="宋体" w:eastAsia="宋体"/>
          <w:color w:val="auto"/>
          <w:szCs w:val="21"/>
          <w:highlight w:val="none"/>
          <w:lang w:val="en-US" w:eastAsia="zh-CN"/>
        </w:rPr>
        <w:t>监测项目：颗粒物，含现场气象参数</w:t>
      </w:r>
    </w:p>
    <w:p>
      <w:pPr>
        <w:autoSpaceDE w:val="0"/>
        <w:autoSpaceDN w:val="0"/>
        <w:snapToGrid w:val="0"/>
        <w:spacing w:line="380" w:lineRule="exact"/>
        <w:ind w:firstLine="420" w:firstLineChars="200"/>
        <w:textAlignment w:val="bottom"/>
        <w:rPr>
          <w:rFonts w:hint="eastAsia" w:ascii="宋体" w:hAnsi="宋体" w:eastAsia="宋体"/>
          <w:color w:val="auto"/>
          <w:szCs w:val="21"/>
          <w:highlight w:val="none"/>
          <w:lang w:val="en-US" w:eastAsia="zh-CN"/>
        </w:rPr>
      </w:pPr>
      <w:r>
        <w:rPr>
          <w:rFonts w:hint="eastAsia" w:ascii="宋体" w:hAnsi="宋体" w:eastAsia="宋体"/>
          <w:color w:val="auto"/>
          <w:szCs w:val="21"/>
          <w:highlight w:val="none"/>
          <w:lang w:val="en-US" w:eastAsia="zh-CN"/>
        </w:rPr>
        <w:t>监测频次：1次，非连续采样 至少3个</w:t>
      </w:r>
    </w:p>
    <w:p>
      <w:pPr>
        <w:autoSpaceDE w:val="0"/>
        <w:autoSpaceDN w:val="0"/>
        <w:snapToGrid w:val="0"/>
        <w:spacing w:line="380" w:lineRule="exact"/>
        <w:ind w:firstLine="420" w:firstLineChars="200"/>
        <w:textAlignment w:val="bottom"/>
        <w:rPr>
          <w:rFonts w:hint="eastAsia" w:ascii="宋体" w:hAnsi="宋体" w:eastAsia="宋体"/>
          <w:color w:val="auto"/>
          <w:szCs w:val="21"/>
          <w:highlight w:val="none"/>
          <w:lang w:val="en-US" w:eastAsia="zh-CN"/>
        </w:rPr>
      </w:pPr>
      <w:r>
        <w:rPr>
          <w:rFonts w:hint="eastAsia" w:ascii="宋体" w:hAnsi="宋体" w:eastAsia="宋体"/>
          <w:color w:val="auto"/>
          <w:szCs w:val="21"/>
          <w:highlight w:val="none"/>
          <w:lang w:val="en-US" w:eastAsia="zh-CN"/>
        </w:rPr>
        <w:t>④储油罐周边</w:t>
      </w:r>
    </w:p>
    <w:p>
      <w:pPr>
        <w:autoSpaceDE w:val="0"/>
        <w:autoSpaceDN w:val="0"/>
        <w:snapToGrid w:val="0"/>
        <w:spacing w:line="380" w:lineRule="exact"/>
        <w:ind w:firstLine="420" w:firstLineChars="200"/>
        <w:textAlignment w:val="bottom"/>
        <w:rPr>
          <w:rFonts w:hint="eastAsia" w:ascii="宋体" w:hAnsi="宋体" w:eastAsia="宋体"/>
          <w:color w:val="auto"/>
          <w:szCs w:val="21"/>
          <w:highlight w:val="none"/>
          <w:lang w:val="en-US" w:eastAsia="zh-CN"/>
        </w:rPr>
      </w:pPr>
      <w:r>
        <w:rPr>
          <w:rFonts w:hint="eastAsia" w:ascii="宋体" w:hAnsi="宋体" w:eastAsia="宋体"/>
          <w:color w:val="auto"/>
          <w:szCs w:val="21"/>
          <w:highlight w:val="none"/>
          <w:lang w:val="en-US" w:eastAsia="zh-CN"/>
        </w:rPr>
        <w:t>监测项目：非甲烷总烃</w:t>
      </w:r>
    </w:p>
    <w:p>
      <w:pPr>
        <w:autoSpaceDE w:val="0"/>
        <w:autoSpaceDN w:val="0"/>
        <w:snapToGrid w:val="0"/>
        <w:spacing w:line="380" w:lineRule="exact"/>
        <w:ind w:firstLine="420" w:firstLineChars="200"/>
        <w:textAlignment w:val="bottom"/>
        <w:rPr>
          <w:rFonts w:hint="eastAsia" w:ascii="宋体" w:hAnsi="宋体" w:eastAsia="宋体"/>
          <w:color w:val="auto"/>
          <w:szCs w:val="21"/>
          <w:highlight w:val="none"/>
          <w:lang w:val="en-US" w:eastAsia="zh-CN"/>
        </w:rPr>
      </w:pPr>
      <w:r>
        <w:rPr>
          <w:rFonts w:hint="eastAsia" w:ascii="宋体" w:hAnsi="宋体" w:eastAsia="宋体"/>
          <w:color w:val="auto"/>
          <w:szCs w:val="21"/>
          <w:highlight w:val="none"/>
          <w:lang w:val="en-US" w:eastAsia="zh-CN"/>
        </w:rPr>
        <w:t>监测频次：1次，非连续采样 至少3个</w:t>
      </w:r>
    </w:p>
    <w:p>
      <w:pPr>
        <w:autoSpaceDE w:val="0"/>
        <w:autoSpaceDN w:val="0"/>
        <w:snapToGrid w:val="0"/>
        <w:spacing w:line="380" w:lineRule="exact"/>
        <w:ind w:firstLine="420" w:firstLineChars="200"/>
        <w:textAlignment w:val="bottom"/>
        <w:rPr>
          <w:rFonts w:hint="eastAsia" w:ascii="宋体" w:hAnsi="宋体" w:eastAsia="宋体"/>
          <w:color w:val="auto"/>
          <w:szCs w:val="21"/>
          <w:highlight w:val="none"/>
          <w:lang w:val="en-US" w:eastAsia="zh-CN"/>
        </w:rPr>
      </w:pPr>
      <w:r>
        <w:rPr>
          <w:rFonts w:hint="eastAsia" w:ascii="宋体" w:hAnsi="宋体" w:eastAsia="宋体"/>
          <w:color w:val="auto"/>
          <w:szCs w:val="21"/>
          <w:highlight w:val="none"/>
          <w:lang w:val="en-US" w:eastAsia="zh-CN"/>
        </w:rPr>
        <w:t>3、其他相关监测任务</w:t>
      </w:r>
    </w:p>
    <w:p>
      <w:pPr>
        <w:rPr>
          <w:rFonts w:hint="eastAsia" w:ascii="宋体" w:hAnsi="宋体"/>
          <w:color w:val="auto"/>
          <w:highlight w:val="none"/>
        </w:rPr>
      </w:pPr>
    </w:p>
    <w:p>
      <w:pPr>
        <w:pStyle w:val="33"/>
        <w:rPr>
          <w:rFonts w:hint="eastAsia" w:ascii="宋体" w:hAnsi="宋体"/>
          <w:color w:val="auto"/>
          <w:highlight w:val="none"/>
        </w:rPr>
      </w:pPr>
    </w:p>
    <w:p>
      <w:pPr>
        <w:rPr>
          <w:rFonts w:hint="eastAsia" w:ascii="宋体" w:hAnsi="宋体"/>
          <w:color w:val="auto"/>
          <w:highlight w:val="none"/>
        </w:rPr>
      </w:pPr>
    </w:p>
    <w:p>
      <w:pPr>
        <w:rPr>
          <w:rFonts w:hint="eastAsia" w:ascii="宋体" w:hAnsi="宋体"/>
          <w:color w:val="auto"/>
          <w:highlight w:val="none"/>
        </w:rPr>
      </w:pPr>
    </w:p>
    <w:p>
      <w:pPr>
        <w:rPr>
          <w:rFonts w:hint="eastAsia" w:ascii="宋体" w:hAnsi="宋体"/>
          <w:color w:val="auto"/>
          <w:highlight w:val="none"/>
        </w:rPr>
      </w:pPr>
    </w:p>
    <w:p>
      <w:pPr>
        <w:rPr>
          <w:rFonts w:hint="eastAsia" w:ascii="宋体" w:hAnsi="宋体"/>
          <w:color w:val="auto"/>
          <w:highlight w:val="none"/>
        </w:rPr>
      </w:pPr>
    </w:p>
    <w:p>
      <w:pPr>
        <w:rPr>
          <w:rFonts w:hint="eastAsia" w:ascii="宋体" w:hAnsi="宋体"/>
          <w:color w:val="auto"/>
          <w:highlight w:val="none"/>
        </w:rPr>
      </w:pPr>
    </w:p>
    <w:p>
      <w:pPr>
        <w:rPr>
          <w:rFonts w:hint="eastAsia" w:ascii="宋体" w:hAnsi="宋体"/>
          <w:color w:val="auto"/>
          <w:highlight w:val="none"/>
        </w:rPr>
      </w:pPr>
    </w:p>
    <w:p>
      <w:pPr>
        <w:rPr>
          <w:rFonts w:hint="eastAsia" w:ascii="宋体" w:hAnsi="宋体"/>
          <w:color w:val="auto"/>
          <w:highlight w:val="none"/>
        </w:rPr>
      </w:pPr>
    </w:p>
    <w:p>
      <w:pPr>
        <w:rPr>
          <w:rFonts w:hint="eastAsia" w:ascii="宋体" w:hAnsi="宋体"/>
          <w:color w:val="auto"/>
          <w:highlight w:val="none"/>
        </w:rPr>
      </w:pPr>
    </w:p>
    <w:p>
      <w:pPr>
        <w:rPr>
          <w:rFonts w:hint="eastAsia" w:ascii="宋体" w:hAnsi="宋体"/>
          <w:color w:val="auto"/>
          <w:highlight w:val="none"/>
        </w:rPr>
      </w:pPr>
    </w:p>
    <w:p>
      <w:pPr>
        <w:rPr>
          <w:rFonts w:hint="eastAsia" w:ascii="宋体" w:hAnsi="宋体"/>
          <w:color w:val="auto"/>
          <w:highlight w:val="none"/>
        </w:rPr>
      </w:pPr>
    </w:p>
    <w:p>
      <w:pPr>
        <w:rPr>
          <w:rFonts w:hint="eastAsia" w:ascii="宋体" w:hAnsi="宋体"/>
          <w:color w:val="auto"/>
          <w:highlight w:val="none"/>
        </w:rPr>
      </w:pPr>
    </w:p>
    <w:p>
      <w:pPr>
        <w:rPr>
          <w:rFonts w:hint="eastAsia" w:ascii="宋体" w:hAnsi="宋体"/>
          <w:color w:val="auto"/>
          <w:highlight w:val="none"/>
        </w:rPr>
      </w:pPr>
    </w:p>
    <w:p>
      <w:pPr>
        <w:rPr>
          <w:rFonts w:hint="eastAsia" w:ascii="宋体" w:hAnsi="宋体"/>
          <w:color w:val="auto"/>
          <w:highlight w:val="none"/>
        </w:rPr>
      </w:pPr>
    </w:p>
    <w:p>
      <w:pPr>
        <w:rPr>
          <w:rFonts w:hint="eastAsia" w:ascii="宋体" w:hAnsi="宋体"/>
          <w:color w:val="auto"/>
          <w:highlight w:val="none"/>
        </w:rPr>
      </w:pPr>
    </w:p>
    <w:p>
      <w:pPr>
        <w:rPr>
          <w:rFonts w:hint="eastAsia" w:ascii="宋体" w:hAnsi="宋体"/>
          <w:color w:val="auto"/>
          <w:highlight w:val="none"/>
        </w:rPr>
      </w:pPr>
    </w:p>
    <w:p>
      <w:pPr>
        <w:rPr>
          <w:rFonts w:hint="eastAsia" w:ascii="宋体" w:hAnsi="宋体"/>
          <w:color w:val="auto"/>
          <w:highlight w:val="none"/>
        </w:rPr>
      </w:pPr>
    </w:p>
    <w:p>
      <w:pPr>
        <w:rPr>
          <w:rFonts w:hint="eastAsia" w:ascii="宋体" w:hAnsi="宋体"/>
          <w:color w:val="auto"/>
          <w:highlight w:val="none"/>
        </w:rPr>
      </w:pPr>
    </w:p>
    <w:p>
      <w:pPr>
        <w:rPr>
          <w:rFonts w:hint="eastAsia" w:ascii="宋体" w:hAnsi="宋体"/>
          <w:color w:val="auto"/>
          <w:highlight w:val="none"/>
        </w:rPr>
      </w:pPr>
    </w:p>
    <w:p>
      <w:pPr>
        <w:rPr>
          <w:rFonts w:hint="eastAsia" w:ascii="宋体" w:hAnsi="宋体"/>
          <w:color w:val="auto"/>
          <w:highlight w:val="none"/>
        </w:rPr>
      </w:pPr>
    </w:p>
    <w:p>
      <w:pPr>
        <w:rPr>
          <w:rFonts w:hint="eastAsia" w:ascii="宋体" w:hAnsi="宋体"/>
          <w:color w:val="auto"/>
          <w:highlight w:val="none"/>
        </w:rPr>
      </w:pPr>
    </w:p>
    <w:p>
      <w:pPr>
        <w:pStyle w:val="33"/>
        <w:rPr>
          <w:rFonts w:hint="eastAsia" w:ascii="宋体" w:hAnsi="宋体"/>
          <w:color w:val="auto"/>
          <w:highlight w:val="none"/>
        </w:rPr>
      </w:pPr>
      <w:r>
        <w:rPr>
          <w:rFonts w:hint="eastAsia" w:ascii="宋体" w:hAnsi="宋体"/>
          <w:color w:val="auto"/>
          <w:highlight w:val="none"/>
        </w:rPr>
        <w:t>第六章  资格审查</w:t>
      </w:r>
      <w:bookmarkEnd w:id="53"/>
    </w:p>
    <w:p>
      <w:pPr>
        <w:pStyle w:val="3"/>
        <w:rPr>
          <w:rFonts w:hint="eastAsia" w:ascii="宋体" w:hAnsi="宋体"/>
          <w:color w:val="auto"/>
          <w:highlight w:val="none"/>
        </w:rPr>
      </w:pPr>
      <w:bookmarkStart w:id="114" w:name="_Toc118109514"/>
      <w:r>
        <w:rPr>
          <w:rFonts w:hint="eastAsia" w:ascii="宋体" w:hAnsi="宋体"/>
          <w:color w:val="auto"/>
          <w:highlight w:val="none"/>
        </w:rPr>
        <w:t>资格审查前附表</w:t>
      </w:r>
      <w:bookmarkEnd w:id="114"/>
    </w:p>
    <w:tbl>
      <w:tblPr>
        <w:tblStyle w:val="37"/>
        <w:tblW w:w="1029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09"/>
        <w:gridCol w:w="1317"/>
        <w:gridCol w:w="766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jc w:val="center"/>
        </w:trPr>
        <w:tc>
          <w:tcPr>
            <w:tcW w:w="1309" w:type="dxa"/>
            <w:vAlign w:val="center"/>
          </w:tcPr>
          <w:p>
            <w:pPr>
              <w:spacing w:line="380" w:lineRule="exact"/>
              <w:jc w:val="center"/>
              <w:rPr>
                <w:rFonts w:hint="eastAsia" w:ascii="宋体" w:hAnsi="宋体"/>
                <w:b/>
                <w:color w:val="auto"/>
                <w:szCs w:val="21"/>
                <w:highlight w:val="none"/>
              </w:rPr>
            </w:pPr>
            <w:r>
              <w:rPr>
                <w:rFonts w:hint="eastAsia" w:ascii="宋体" w:hAnsi="宋体"/>
                <w:b/>
                <w:color w:val="auto"/>
                <w:szCs w:val="21"/>
                <w:highlight w:val="none"/>
              </w:rPr>
              <w:t>审查因素</w:t>
            </w:r>
          </w:p>
        </w:tc>
        <w:tc>
          <w:tcPr>
            <w:tcW w:w="8983" w:type="dxa"/>
            <w:gridSpan w:val="2"/>
            <w:vAlign w:val="center"/>
          </w:tcPr>
          <w:p>
            <w:pPr>
              <w:spacing w:line="380" w:lineRule="exact"/>
              <w:jc w:val="center"/>
              <w:rPr>
                <w:rFonts w:hint="eastAsia" w:ascii="宋体" w:hAnsi="宋体"/>
                <w:b/>
                <w:color w:val="auto"/>
                <w:szCs w:val="21"/>
                <w:highlight w:val="none"/>
              </w:rPr>
            </w:pPr>
            <w:r>
              <w:rPr>
                <w:rFonts w:hint="eastAsia" w:ascii="宋体" w:hAnsi="宋体"/>
                <w:b/>
                <w:color w:val="auto"/>
                <w:szCs w:val="21"/>
                <w:highlight w:val="none"/>
              </w:rPr>
              <w:t>审查标准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jc w:val="center"/>
        </w:trPr>
        <w:tc>
          <w:tcPr>
            <w:tcW w:w="1309" w:type="dxa"/>
            <w:vMerge w:val="restart"/>
            <w:vAlign w:val="center"/>
          </w:tcPr>
          <w:p>
            <w:pPr>
              <w:spacing w:line="380" w:lineRule="exact"/>
              <w:jc w:val="center"/>
              <w:rPr>
                <w:rFonts w:hint="eastAsia" w:ascii="宋体" w:hAnsi="宋体"/>
                <w:b/>
                <w:color w:val="auto"/>
                <w:szCs w:val="21"/>
                <w:highlight w:val="none"/>
              </w:rPr>
            </w:pPr>
            <w:r>
              <w:rPr>
                <w:rFonts w:hint="eastAsia" w:ascii="宋体" w:hAnsi="宋体"/>
                <w:b/>
                <w:color w:val="auto"/>
                <w:szCs w:val="21"/>
                <w:highlight w:val="none"/>
              </w:rPr>
              <w:t>资格条件</w:t>
            </w:r>
          </w:p>
        </w:tc>
        <w:tc>
          <w:tcPr>
            <w:tcW w:w="1317" w:type="dxa"/>
            <w:vMerge w:val="restart"/>
            <w:vAlign w:val="center"/>
          </w:tcPr>
          <w:p>
            <w:pPr>
              <w:spacing w:line="380" w:lineRule="exact"/>
              <w:jc w:val="center"/>
              <w:rPr>
                <w:rFonts w:hint="eastAsia" w:ascii="宋体" w:hAnsi="宋体"/>
                <w:b/>
                <w:color w:val="auto"/>
                <w:szCs w:val="21"/>
                <w:highlight w:val="none"/>
              </w:rPr>
            </w:pPr>
            <w:r>
              <w:rPr>
                <w:rFonts w:hint="eastAsia" w:ascii="宋体" w:hAnsi="宋体"/>
                <w:color w:val="auto"/>
                <w:szCs w:val="21"/>
                <w:highlight w:val="none"/>
              </w:rPr>
              <w:t>符合《中华人民共和国政府采购法》第二十二条规定的条件，并提供资格证明文件</w:t>
            </w:r>
          </w:p>
        </w:tc>
        <w:tc>
          <w:tcPr>
            <w:tcW w:w="7666" w:type="dxa"/>
            <w:vAlign w:val="center"/>
          </w:tcPr>
          <w:p>
            <w:pPr>
              <w:autoSpaceDE w:val="0"/>
              <w:autoSpaceDN w:val="0"/>
              <w:snapToGrid w:val="0"/>
              <w:spacing w:line="380" w:lineRule="exact"/>
              <w:textAlignment w:val="bottom"/>
              <w:rPr>
                <w:rFonts w:hint="eastAsia" w:ascii="宋体" w:hAnsi="宋体" w:eastAsia="宋体"/>
                <w:color w:val="auto"/>
                <w:szCs w:val="21"/>
                <w:highlight w:val="none"/>
                <w:lang w:eastAsia="zh-CN"/>
              </w:rPr>
            </w:pPr>
            <w:r>
              <w:rPr>
                <w:rFonts w:hint="eastAsia" w:ascii="宋体" w:hAnsi="宋体"/>
                <w:color w:val="auto"/>
                <w:szCs w:val="21"/>
                <w:highlight w:val="none"/>
              </w:rPr>
              <w:t>具有独立承担民事责任的能力（提供营业执照扫描件）</w:t>
            </w:r>
            <w:r>
              <w:rPr>
                <w:rFonts w:hint="eastAsia" w:ascii="宋体" w:hAnsi="宋体"/>
                <w:color w:val="auto"/>
                <w:szCs w:val="21"/>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jc w:val="center"/>
        </w:trPr>
        <w:tc>
          <w:tcPr>
            <w:tcW w:w="1309" w:type="dxa"/>
            <w:vMerge w:val="continue"/>
            <w:vAlign w:val="center"/>
          </w:tcPr>
          <w:p>
            <w:pPr>
              <w:spacing w:line="380" w:lineRule="exact"/>
              <w:jc w:val="center"/>
              <w:rPr>
                <w:rFonts w:hint="eastAsia" w:ascii="宋体" w:hAnsi="宋体"/>
                <w:b/>
                <w:color w:val="auto"/>
                <w:szCs w:val="21"/>
                <w:highlight w:val="none"/>
              </w:rPr>
            </w:pPr>
          </w:p>
        </w:tc>
        <w:tc>
          <w:tcPr>
            <w:tcW w:w="1317" w:type="dxa"/>
            <w:vMerge w:val="continue"/>
            <w:vAlign w:val="center"/>
          </w:tcPr>
          <w:p>
            <w:pPr>
              <w:spacing w:line="380" w:lineRule="exact"/>
              <w:jc w:val="center"/>
              <w:rPr>
                <w:rFonts w:hint="eastAsia" w:ascii="宋体" w:hAnsi="宋体"/>
                <w:color w:val="auto"/>
                <w:szCs w:val="21"/>
                <w:highlight w:val="none"/>
              </w:rPr>
            </w:pPr>
          </w:p>
        </w:tc>
        <w:tc>
          <w:tcPr>
            <w:tcW w:w="7666" w:type="dxa"/>
            <w:vAlign w:val="center"/>
          </w:tcPr>
          <w:p>
            <w:pPr>
              <w:autoSpaceDE w:val="0"/>
              <w:autoSpaceDN w:val="0"/>
              <w:snapToGrid w:val="0"/>
              <w:spacing w:line="380" w:lineRule="exact"/>
              <w:textAlignment w:val="bottom"/>
              <w:rPr>
                <w:rFonts w:hint="eastAsia" w:ascii="宋体" w:hAnsi="宋体"/>
                <w:color w:val="auto"/>
                <w:szCs w:val="21"/>
                <w:highlight w:val="none"/>
              </w:rPr>
            </w:pPr>
            <w:r>
              <w:rPr>
                <w:rFonts w:hint="eastAsia" w:ascii="宋体" w:hAnsi="宋体"/>
                <w:color w:val="auto"/>
                <w:szCs w:val="21"/>
                <w:highlight w:val="none"/>
              </w:rPr>
              <w:t>具有良好的商业信誉和健全的财务会计制度★提供2021年度至2023年度任意一年度经审计的财务报告或财务报表，成立不满1年的，提供自成立至今财务报表。刚成立的新公司，提供健全的财务会计制度的相关证明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jc w:val="center"/>
        </w:trPr>
        <w:tc>
          <w:tcPr>
            <w:tcW w:w="1309" w:type="dxa"/>
            <w:vMerge w:val="continue"/>
            <w:vAlign w:val="center"/>
          </w:tcPr>
          <w:p>
            <w:pPr>
              <w:spacing w:line="380" w:lineRule="exact"/>
              <w:jc w:val="center"/>
              <w:rPr>
                <w:rFonts w:hint="eastAsia" w:ascii="宋体" w:hAnsi="宋体"/>
                <w:b/>
                <w:color w:val="auto"/>
                <w:szCs w:val="21"/>
                <w:highlight w:val="none"/>
              </w:rPr>
            </w:pPr>
          </w:p>
        </w:tc>
        <w:tc>
          <w:tcPr>
            <w:tcW w:w="1317" w:type="dxa"/>
            <w:vMerge w:val="continue"/>
            <w:vAlign w:val="center"/>
          </w:tcPr>
          <w:p>
            <w:pPr>
              <w:spacing w:line="380" w:lineRule="exact"/>
              <w:jc w:val="center"/>
              <w:rPr>
                <w:rFonts w:hint="eastAsia" w:ascii="宋体" w:hAnsi="宋体"/>
                <w:color w:val="auto"/>
                <w:szCs w:val="21"/>
                <w:highlight w:val="none"/>
              </w:rPr>
            </w:pPr>
          </w:p>
        </w:tc>
        <w:tc>
          <w:tcPr>
            <w:tcW w:w="7666" w:type="dxa"/>
            <w:vAlign w:val="center"/>
          </w:tcPr>
          <w:p>
            <w:pPr>
              <w:autoSpaceDE w:val="0"/>
              <w:autoSpaceDN w:val="0"/>
              <w:snapToGrid w:val="0"/>
              <w:spacing w:line="380" w:lineRule="exact"/>
              <w:textAlignment w:val="bottom"/>
              <w:rPr>
                <w:rFonts w:hint="eastAsia" w:ascii="宋体" w:hAnsi="宋体"/>
                <w:color w:val="auto"/>
                <w:szCs w:val="21"/>
                <w:highlight w:val="none"/>
              </w:rPr>
            </w:pPr>
            <w:r>
              <w:rPr>
                <w:rFonts w:hint="eastAsia" w:ascii="宋体" w:hAnsi="宋体"/>
                <w:color w:val="auto"/>
                <w:szCs w:val="21"/>
                <w:highlight w:val="none"/>
              </w:rPr>
              <w:t>具有履行合同所必需的设备和专业技术能力（投标人提供书面声明或证明材料）。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jc w:val="center"/>
        </w:trPr>
        <w:tc>
          <w:tcPr>
            <w:tcW w:w="1309" w:type="dxa"/>
            <w:vMerge w:val="continue"/>
            <w:vAlign w:val="center"/>
          </w:tcPr>
          <w:p>
            <w:pPr>
              <w:spacing w:line="380" w:lineRule="exact"/>
              <w:jc w:val="center"/>
              <w:rPr>
                <w:rFonts w:hint="eastAsia" w:ascii="宋体" w:hAnsi="宋体"/>
                <w:b/>
                <w:color w:val="auto"/>
                <w:szCs w:val="21"/>
                <w:highlight w:val="none"/>
              </w:rPr>
            </w:pPr>
          </w:p>
        </w:tc>
        <w:tc>
          <w:tcPr>
            <w:tcW w:w="1317" w:type="dxa"/>
            <w:vMerge w:val="continue"/>
            <w:vAlign w:val="center"/>
          </w:tcPr>
          <w:p>
            <w:pPr>
              <w:spacing w:line="380" w:lineRule="exact"/>
              <w:jc w:val="center"/>
              <w:rPr>
                <w:rFonts w:hint="eastAsia" w:ascii="宋体" w:hAnsi="宋体"/>
                <w:color w:val="auto"/>
                <w:szCs w:val="21"/>
                <w:highlight w:val="none"/>
              </w:rPr>
            </w:pPr>
          </w:p>
        </w:tc>
        <w:tc>
          <w:tcPr>
            <w:tcW w:w="7666" w:type="dxa"/>
            <w:vAlign w:val="center"/>
          </w:tcPr>
          <w:p>
            <w:pPr>
              <w:autoSpaceDE w:val="0"/>
              <w:autoSpaceDN w:val="0"/>
              <w:snapToGrid w:val="0"/>
              <w:spacing w:line="380" w:lineRule="exact"/>
              <w:textAlignment w:val="bottom"/>
              <w:rPr>
                <w:rFonts w:hint="eastAsia" w:ascii="宋体" w:hAnsi="宋体"/>
                <w:color w:val="auto"/>
                <w:szCs w:val="21"/>
                <w:highlight w:val="none"/>
              </w:rPr>
            </w:pPr>
            <w:r>
              <w:rPr>
                <w:rFonts w:hint="eastAsia" w:ascii="宋体" w:hAnsi="宋体"/>
                <w:color w:val="auto"/>
                <w:szCs w:val="21"/>
                <w:highlight w:val="none"/>
              </w:rPr>
              <w:t>具有依法缴纳税收的良好记录★投标人</w:t>
            </w:r>
            <w:r>
              <w:rPr>
                <w:rFonts w:hint="eastAsia" w:ascii="宋体" w:hAnsi="宋体"/>
                <w:color w:val="auto"/>
                <w:szCs w:val="21"/>
                <w:highlight w:val="none"/>
                <w:lang w:eastAsia="zh-CN"/>
              </w:rPr>
              <w:t>2024年1月至今</w:t>
            </w:r>
            <w:r>
              <w:rPr>
                <w:rFonts w:hint="eastAsia" w:ascii="宋体" w:hAnsi="宋体"/>
                <w:color w:val="auto"/>
                <w:szCs w:val="21"/>
                <w:highlight w:val="none"/>
              </w:rPr>
              <w:t>期间（税款所属时期）任意连续3个月的税务局税收通用缴款书复印件或银行电子缴税（费）凭证复印件或税务局出具纳税情况的相关证明复印件。（成立未满3个月的提供成立以来的税收缴纳凭证或相关情况说明；依法免税的投标人，应提供相应文件证明其依法免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jc w:val="center"/>
        </w:trPr>
        <w:tc>
          <w:tcPr>
            <w:tcW w:w="1309" w:type="dxa"/>
            <w:vMerge w:val="continue"/>
            <w:vAlign w:val="center"/>
          </w:tcPr>
          <w:p>
            <w:pPr>
              <w:spacing w:line="380" w:lineRule="exact"/>
              <w:jc w:val="center"/>
              <w:rPr>
                <w:rFonts w:hint="eastAsia" w:ascii="宋体" w:hAnsi="宋体"/>
                <w:b/>
                <w:color w:val="auto"/>
                <w:szCs w:val="21"/>
                <w:highlight w:val="none"/>
              </w:rPr>
            </w:pPr>
          </w:p>
        </w:tc>
        <w:tc>
          <w:tcPr>
            <w:tcW w:w="1317" w:type="dxa"/>
            <w:vMerge w:val="continue"/>
            <w:vAlign w:val="center"/>
          </w:tcPr>
          <w:p>
            <w:pPr>
              <w:spacing w:line="380" w:lineRule="exact"/>
              <w:jc w:val="center"/>
              <w:rPr>
                <w:rFonts w:hint="eastAsia" w:ascii="宋体" w:hAnsi="宋体"/>
                <w:b/>
                <w:color w:val="auto"/>
                <w:szCs w:val="21"/>
                <w:highlight w:val="none"/>
              </w:rPr>
            </w:pPr>
          </w:p>
        </w:tc>
        <w:tc>
          <w:tcPr>
            <w:tcW w:w="7666" w:type="dxa"/>
            <w:vAlign w:val="center"/>
          </w:tcPr>
          <w:p>
            <w:pPr>
              <w:autoSpaceDE w:val="0"/>
              <w:autoSpaceDN w:val="0"/>
              <w:snapToGrid w:val="0"/>
              <w:spacing w:line="380" w:lineRule="exact"/>
              <w:textAlignment w:val="bottom"/>
              <w:rPr>
                <w:rFonts w:hint="eastAsia" w:ascii="宋体" w:hAnsi="宋体"/>
                <w:color w:val="auto"/>
                <w:szCs w:val="21"/>
                <w:highlight w:val="none"/>
              </w:rPr>
            </w:pPr>
            <w:r>
              <w:rPr>
                <w:rFonts w:hint="eastAsia" w:ascii="宋体" w:hAnsi="宋体"/>
                <w:color w:val="auto"/>
                <w:szCs w:val="21"/>
                <w:highlight w:val="none"/>
              </w:rPr>
              <w:t>具有依法缴纳社会保障资金的良好记录★投标人</w:t>
            </w:r>
            <w:r>
              <w:rPr>
                <w:rFonts w:hint="eastAsia" w:ascii="宋体" w:hAnsi="宋体"/>
                <w:color w:val="auto"/>
                <w:szCs w:val="21"/>
                <w:highlight w:val="none"/>
                <w:lang w:eastAsia="zh-CN"/>
              </w:rPr>
              <w:t>2024年1月至今</w:t>
            </w:r>
            <w:r>
              <w:rPr>
                <w:rFonts w:hint="eastAsia" w:ascii="宋体" w:hAnsi="宋体"/>
                <w:color w:val="auto"/>
                <w:szCs w:val="21"/>
                <w:highlight w:val="none"/>
              </w:rPr>
              <w:t>期间（费款所属时期）任意连续3个月的社会保险费缴款书复印件或银行电子缴税（费）凭证复印件或社保管理部门出具的有效的缴款证明复印件。（成立未满3个月的提供成立以来的社会保障资金缴纳凭证或相关情况说明；依法不需要缴纳社会保障资金的投标人，应提供相应文件证明其依法不需要缴纳社会保障资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jc w:val="center"/>
        </w:trPr>
        <w:tc>
          <w:tcPr>
            <w:tcW w:w="1309" w:type="dxa"/>
            <w:vMerge w:val="continue"/>
            <w:vAlign w:val="center"/>
          </w:tcPr>
          <w:p>
            <w:pPr>
              <w:spacing w:line="380" w:lineRule="exact"/>
              <w:jc w:val="center"/>
              <w:rPr>
                <w:rFonts w:hint="eastAsia" w:ascii="宋体" w:hAnsi="宋体"/>
                <w:b/>
                <w:color w:val="auto"/>
                <w:szCs w:val="21"/>
                <w:highlight w:val="none"/>
              </w:rPr>
            </w:pPr>
          </w:p>
        </w:tc>
        <w:tc>
          <w:tcPr>
            <w:tcW w:w="1317" w:type="dxa"/>
            <w:vMerge w:val="continue"/>
            <w:vAlign w:val="center"/>
          </w:tcPr>
          <w:p>
            <w:pPr>
              <w:spacing w:line="380" w:lineRule="exact"/>
              <w:jc w:val="center"/>
              <w:rPr>
                <w:rFonts w:hint="eastAsia" w:ascii="宋体" w:hAnsi="宋体"/>
                <w:b/>
                <w:color w:val="auto"/>
                <w:szCs w:val="21"/>
                <w:highlight w:val="none"/>
              </w:rPr>
            </w:pPr>
          </w:p>
        </w:tc>
        <w:tc>
          <w:tcPr>
            <w:tcW w:w="7666" w:type="dxa"/>
            <w:vAlign w:val="center"/>
          </w:tcPr>
          <w:p>
            <w:pPr>
              <w:autoSpaceDE w:val="0"/>
              <w:autoSpaceDN w:val="0"/>
              <w:snapToGrid w:val="0"/>
              <w:spacing w:line="380" w:lineRule="exact"/>
              <w:textAlignment w:val="bottom"/>
              <w:rPr>
                <w:rFonts w:hint="eastAsia" w:ascii="宋体" w:hAnsi="宋体"/>
                <w:color w:val="auto"/>
                <w:szCs w:val="21"/>
                <w:highlight w:val="none"/>
              </w:rPr>
            </w:pPr>
            <w:r>
              <w:rPr>
                <w:rFonts w:hint="eastAsia" w:ascii="宋体" w:hAnsi="宋体"/>
                <w:color w:val="auto"/>
                <w:szCs w:val="21"/>
                <w:highlight w:val="none"/>
              </w:rPr>
              <w:t>参加政府采购活动前三年内在经营活动中没有重大违法记录的书面声明（重大违法记录，是指供应商因违法经营受到刑事处罚或者责令停产停业、吊销许可证或者执照、较大数额罚款等行政处罚。）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4" w:hRule="atLeast"/>
          <w:jc w:val="center"/>
        </w:trPr>
        <w:tc>
          <w:tcPr>
            <w:tcW w:w="1309" w:type="dxa"/>
            <w:vMerge w:val="continue"/>
            <w:vAlign w:val="center"/>
          </w:tcPr>
          <w:p>
            <w:pPr>
              <w:spacing w:line="380" w:lineRule="exact"/>
              <w:jc w:val="center"/>
              <w:rPr>
                <w:rFonts w:hint="eastAsia" w:ascii="宋体" w:hAnsi="宋体"/>
                <w:b/>
                <w:color w:val="auto"/>
                <w:szCs w:val="21"/>
                <w:highlight w:val="none"/>
              </w:rPr>
            </w:pPr>
          </w:p>
        </w:tc>
        <w:tc>
          <w:tcPr>
            <w:tcW w:w="1317" w:type="dxa"/>
            <w:vMerge w:val="restart"/>
            <w:vAlign w:val="center"/>
          </w:tcPr>
          <w:p>
            <w:pPr>
              <w:spacing w:line="380" w:lineRule="exact"/>
              <w:jc w:val="center"/>
              <w:rPr>
                <w:rFonts w:hint="eastAsia" w:ascii="宋体" w:hAnsi="宋体"/>
                <w:color w:val="auto"/>
                <w:szCs w:val="21"/>
                <w:highlight w:val="none"/>
              </w:rPr>
            </w:pPr>
            <w:r>
              <w:rPr>
                <w:rFonts w:hint="eastAsia" w:ascii="宋体" w:hAnsi="宋体"/>
                <w:color w:val="auto"/>
                <w:szCs w:val="21"/>
                <w:highlight w:val="none"/>
              </w:rPr>
              <w:t>本项目的特定资格要求</w:t>
            </w:r>
          </w:p>
        </w:tc>
        <w:tc>
          <w:tcPr>
            <w:tcW w:w="7666" w:type="dxa"/>
            <w:vAlign w:val="center"/>
          </w:tcPr>
          <w:p>
            <w:pPr>
              <w:autoSpaceDE w:val="0"/>
              <w:autoSpaceDN w:val="0"/>
              <w:snapToGrid w:val="0"/>
              <w:spacing w:line="380" w:lineRule="exact"/>
              <w:textAlignment w:val="bottom"/>
              <w:rPr>
                <w:rFonts w:hint="eastAsia" w:ascii="宋体" w:hAnsi="宋体"/>
                <w:color w:val="auto"/>
                <w:szCs w:val="21"/>
                <w:highlight w:val="none"/>
              </w:rPr>
            </w:pPr>
            <w:r>
              <w:rPr>
                <w:rFonts w:hint="eastAsia" w:ascii="宋体" w:hAnsi="宋体"/>
                <w:color w:val="auto"/>
                <w:szCs w:val="21"/>
                <w:highlight w:val="none"/>
              </w:rPr>
              <w:t>需为经国家市场监督管理部门登记注册的企业（事业）法人或其它组织，具有有效的营业执照。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jc w:val="center"/>
        </w:trPr>
        <w:tc>
          <w:tcPr>
            <w:tcW w:w="1309" w:type="dxa"/>
            <w:vMerge w:val="continue"/>
            <w:vAlign w:val="center"/>
          </w:tcPr>
          <w:p>
            <w:pPr>
              <w:spacing w:line="380" w:lineRule="exact"/>
              <w:jc w:val="center"/>
              <w:rPr>
                <w:rFonts w:hint="eastAsia" w:ascii="宋体" w:hAnsi="宋体"/>
                <w:b/>
                <w:color w:val="auto"/>
                <w:szCs w:val="21"/>
                <w:highlight w:val="none"/>
              </w:rPr>
            </w:pPr>
          </w:p>
        </w:tc>
        <w:tc>
          <w:tcPr>
            <w:tcW w:w="1317" w:type="dxa"/>
            <w:vMerge w:val="continue"/>
            <w:vAlign w:val="center"/>
          </w:tcPr>
          <w:p>
            <w:pPr>
              <w:spacing w:line="380" w:lineRule="exact"/>
              <w:jc w:val="center"/>
              <w:rPr>
                <w:rFonts w:hint="eastAsia" w:ascii="宋体" w:hAnsi="宋体"/>
                <w:b/>
                <w:color w:val="auto"/>
                <w:szCs w:val="21"/>
                <w:highlight w:val="none"/>
              </w:rPr>
            </w:pPr>
          </w:p>
        </w:tc>
        <w:tc>
          <w:tcPr>
            <w:tcW w:w="7666" w:type="dxa"/>
            <w:vAlign w:val="center"/>
          </w:tcPr>
          <w:p>
            <w:pPr>
              <w:autoSpaceDE w:val="0"/>
              <w:autoSpaceDN w:val="0"/>
              <w:snapToGrid w:val="0"/>
              <w:spacing w:line="380" w:lineRule="exact"/>
              <w:textAlignment w:val="bottom"/>
              <w:rPr>
                <w:rFonts w:hint="eastAsia" w:ascii="宋体" w:hAnsi="宋体"/>
                <w:color w:val="auto"/>
                <w:szCs w:val="21"/>
                <w:highlight w:val="none"/>
              </w:rPr>
            </w:pPr>
            <w:r>
              <w:rPr>
                <w:rFonts w:hint="eastAsia" w:ascii="宋体" w:hAnsi="宋体"/>
                <w:color w:val="auto"/>
                <w:szCs w:val="21"/>
                <w:highlight w:val="none"/>
              </w:rPr>
              <w:t>项目负责人：拟担任本项目的项目负责人须具有环境类专业中级</w:t>
            </w:r>
            <w:r>
              <w:rPr>
                <w:rFonts w:hint="eastAsia" w:ascii="宋体" w:hAnsi="宋体"/>
                <w:color w:val="auto"/>
                <w:szCs w:val="21"/>
                <w:highlight w:val="none"/>
                <w:lang w:val="en-US" w:eastAsia="zh-CN"/>
              </w:rPr>
              <w:t>及以上</w:t>
            </w:r>
            <w:r>
              <w:rPr>
                <w:rFonts w:hint="eastAsia" w:ascii="宋体" w:hAnsi="宋体"/>
                <w:color w:val="auto"/>
                <w:szCs w:val="21"/>
                <w:highlight w:val="none"/>
              </w:rPr>
              <w:t>职称，且为本单位在职人员，提供劳动合同及社保证明材料。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jc w:val="center"/>
        </w:trPr>
        <w:tc>
          <w:tcPr>
            <w:tcW w:w="1309" w:type="dxa"/>
            <w:vMerge w:val="continue"/>
            <w:vAlign w:val="center"/>
          </w:tcPr>
          <w:p>
            <w:pPr>
              <w:spacing w:line="380" w:lineRule="exact"/>
              <w:jc w:val="center"/>
              <w:rPr>
                <w:rFonts w:hint="eastAsia" w:ascii="宋体" w:hAnsi="宋体"/>
                <w:b/>
                <w:color w:val="auto"/>
                <w:szCs w:val="21"/>
                <w:highlight w:val="none"/>
              </w:rPr>
            </w:pPr>
          </w:p>
        </w:tc>
        <w:tc>
          <w:tcPr>
            <w:tcW w:w="1317" w:type="dxa"/>
            <w:vMerge w:val="continue"/>
            <w:vAlign w:val="center"/>
          </w:tcPr>
          <w:p>
            <w:pPr>
              <w:spacing w:line="380" w:lineRule="exact"/>
              <w:jc w:val="center"/>
              <w:rPr>
                <w:rFonts w:hint="eastAsia" w:ascii="宋体" w:hAnsi="宋体"/>
                <w:b/>
                <w:color w:val="auto"/>
                <w:szCs w:val="21"/>
                <w:highlight w:val="none"/>
              </w:rPr>
            </w:pPr>
          </w:p>
        </w:tc>
        <w:tc>
          <w:tcPr>
            <w:tcW w:w="7666" w:type="dxa"/>
            <w:vAlign w:val="center"/>
          </w:tcPr>
          <w:p>
            <w:pPr>
              <w:autoSpaceDE w:val="0"/>
              <w:autoSpaceDN w:val="0"/>
              <w:snapToGrid w:val="0"/>
              <w:spacing w:line="380" w:lineRule="exact"/>
              <w:textAlignment w:val="bottom"/>
              <w:rPr>
                <w:rFonts w:hint="eastAsia" w:ascii="宋体" w:hAnsi="宋体"/>
                <w:color w:val="auto"/>
                <w:szCs w:val="21"/>
                <w:highlight w:val="none"/>
              </w:rPr>
            </w:pPr>
            <w:r>
              <w:rPr>
                <w:rFonts w:hint="eastAsia" w:ascii="宋体" w:hAnsi="宋体"/>
                <w:color w:val="auto"/>
                <w:szCs w:val="21"/>
                <w:highlight w:val="none"/>
              </w:rPr>
              <w:t>投标人未被列入“信用中国”网站（https://www.creditchina.gov.cn）失信被执行人、重大税收违法案件当事人名单和政府采购严重违法失信名单，未被列入中国政府采购网（http://www.ccgp.gov.cn）政府采购严重违法失信行为记录名单（处罚期限尚未届满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jc w:val="center"/>
        </w:trPr>
        <w:tc>
          <w:tcPr>
            <w:tcW w:w="1309" w:type="dxa"/>
            <w:vMerge w:val="continue"/>
            <w:vAlign w:val="center"/>
          </w:tcPr>
          <w:p>
            <w:pPr>
              <w:spacing w:line="380" w:lineRule="exact"/>
              <w:jc w:val="center"/>
              <w:rPr>
                <w:rFonts w:hint="eastAsia" w:ascii="宋体" w:hAnsi="宋体"/>
                <w:b/>
                <w:color w:val="auto"/>
                <w:szCs w:val="21"/>
                <w:highlight w:val="none"/>
              </w:rPr>
            </w:pPr>
          </w:p>
        </w:tc>
        <w:tc>
          <w:tcPr>
            <w:tcW w:w="1317" w:type="dxa"/>
            <w:vMerge w:val="continue"/>
            <w:vAlign w:val="center"/>
          </w:tcPr>
          <w:p>
            <w:pPr>
              <w:spacing w:line="380" w:lineRule="exact"/>
              <w:jc w:val="center"/>
              <w:rPr>
                <w:rFonts w:hint="eastAsia" w:ascii="宋体" w:hAnsi="宋体"/>
                <w:b/>
                <w:color w:val="auto"/>
                <w:szCs w:val="21"/>
                <w:highlight w:val="none"/>
              </w:rPr>
            </w:pPr>
          </w:p>
        </w:tc>
        <w:tc>
          <w:tcPr>
            <w:tcW w:w="7666" w:type="dxa"/>
            <w:vAlign w:val="center"/>
          </w:tcPr>
          <w:p>
            <w:pPr>
              <w:autoSpaceDE w:val="0"/>
              <w:autoSpaceDN w:val="0"/>
              <w:snapToGrid w:val="0"/>
              <w:spacing w:line="380" w:lineRule="exact"/>
              <w:textAlignment w:val="bottom"/>
              <w:rPr>
                <w:rFonts w:hint="eastAsia" w:ascii="宋体" w:hAnsi="宋体"/>
                <w:color w:val="auto"/>
                <w:szCs w:val="21"/>
                <w:highlight w:val="none"/>
              </w:rPr>
            </w:pPr>
            <w:r>
              <w:rPr>
                <w:rFonts w:hint="eastAsia" w:ascii="宋体" w:hAnsi="宋体"/>
                <w:color w:val="auto"/>
                <w:szCs w:val="21"/>
                <w:highlight w:val="none"/>
              </w:rPr>
              <w:t>投标人须提供“参加本项目投标活动前3年内在经营活动中没有重大违法记录的书面声明”（重大违法记录是指：因违法经营受到刑事处罚或者责令停产停业、吊销许可证或者执照、较大数额罚款等行政处罚）。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jc w:val="center"/>
        </w:trPr>
        <w:tc>
          <w:tcPr>
            <w:tcW w:w="1309" w:type="dxa"/>
            <w:vMerge w:val="continue"/>
            <w:vAlign w:val="center"/>
          </w:tcPr>
          <w:p>
            <w:pPr>
              <w:spacing w:line="380" w:lineRule="exact"/>
              <w:jc w:val="center"/>
              <w:rPr>
                <w:rFonts w:hint="eastAsia" w:ascii="宋体" w:hAnsi="宋体"/>
                <w:b/>
                <w:color w:val="auto"/>
                <w:szCs w:val="21"/>
                <w:highlight w:val="none"/>
              </w:rPr>
            </w:pPr>
          </w:p>
        </w:tc>
        <w:tc>
          <w:tcPr>
            <w:tcW w:w="1317" w:type="dxa"/>
            <w:vMerge w:val="continue"/>
            <w:vAlign w:val="center"/>
          </w:tcPr>
          <w:p>
            <w:pPr>
              <w:spacing w:line="380" w:lineRule="exact"/>
              <w:jc w:val="center"/>
              <w:rPr>
                <w:rFonts w:hint="eastAsia" w:ascii="宋体" w:hAnsi="宋体"/>
                <w:b/>
                <w:color w:val="auto"/>
                <w:szCs w:val="21"/>
                <w:highlight w:val="none"/>
              </w:rPr>
            </w:pPr>
          </w:p>
        </w:tc>
        <w:tc>
          <w:tcPr>
            <w:tcW w:w="7666" w:type="dxa"/>
            <w:vAlign w:val="center"/>
          </w:tcPr>
          <w:p>
            <w:pPr>
              <w:autoSpaceDE w:val="0"/>
              <w:autoSpaceDN w:val="0"/>
              <w:snapToGrid w:val="0"/>
              <w:spacing w:line="380" w:lineRule="exact"/>
              <w:textAlignment w:val="bottom"/>
              <w:rPr>
                <w:rFonts w:hint="eastAsia" w:ascii="宋体" w:hAnsi="宋体"/>
                <w:color w:val="auto"/>
                <w:szCs w:val="21"/>
                <w:highlight w:val="none"/>
              </w:rPr>
            </w:pPr>
            <w:r>
              <w:rPr>
                <w:rFonts w:hint="eastAsia" w:ascii="宋体" w:hAnsi="宋体"/>
                <w:color w:val="auto"/>
                <w:szCs w:val="21"/>
                <w:highlight w:val="none"/>
              </w:rPr>
              <w:t>单位负责人为同一人或者存在直接控股、管理关系的不同投标人，不得参加同一招标项目包的政府采购活动。</w:t>
            </w:r>
          </w:p>
        </w:tc>
      </w:tr>
    </w:tbl>
    <w:p>
      <w:pPr>
        <w:pStyle w:val="3"/>
        <w:rPr>
          <w:rFonts w:hint="eastAsia" w:ascii="宋体" w:hAnsi="宋体"/>
          <w:color w:val="auto"/>
          <w:highlight w:val="none"/>
        </w:rPr>
      </w:pPr>
      <w:bookmarkStart w:id="115" w:name="_Toc118109515"/>
    </w:p>
    <w:p>
      <w:pPr>
        <w:rPr>
          <w:rFonts w:hint="eastAsia" w:ascii="宋体" w:hAnsi="宋体"/>
          <w:color w:val="auto"/>
          <w:highlight w:val="none"/>
        </w:rPr>
      </w:pPr>
    </w:p>
    <w:p>
      <w:pPr>
        <w:rPr>
          <w:rFonts w:hint="eastAsia" w:ascii="宋体" w:hAnsi="宋体"/>
          <w:color w:val="auto"/>
          <w:highlight w:val="none"/>
        </w:rPr>
      </w:pPr>
    </w:p>
    <w:p>
      <w:pPr>
        <w:pStyle w:val="3"/>
        <w:rPr>
          <w:rFonts w:hint="eastAsia" w:ascii="宋体" w:hAnsi="宋体"/>
          <w:color w:val="auto"/>
          <w:highlight w:val="none"/>
        </w:rPr>
      </w:pPr>
      <w:r>
        <w:rPr>
          <w:rFonts w:hint="eastAsia" w:ascii="宋体" w:hAnsi="宋体"/>
          <w:color w:val="auto"/>
          <w:highlight w:val="none"/>
        </w:rPr>
        <w:t>1.资格审查</w:t>
      </w:r>
      <w:bookmarkEnd w:id="115"/>
    </w:p>
    <w:p>
      <w:pPr>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本</w:t>
      </w:r>
      <w:r>
        <w:rPr>
          <w:rFonts w:ascii="宋体" w:hAnsi="宋体"/>
          <w:color w:val="auto"/>
          <w:szCs w:val="21"/>
          <w:highlight w:val="none"/>
        </w:rPr>
        <w:t>项目开标结束后，</w:t>
      </w:r>
      <w:r>
        <w:rPr>
          <w:rFonts w:hint="eastAsia" w:ascii="宋体" w:hAnsi="宋体"/>
          <w:color w:val="auto"/>
          <w:szCs w:val="21"/>
          <w:highlight w:val="none"/>
        </w:rPr>
        <w:t>采购人及采购代理机构</w:t>
      </w:r>
      <w:r>
        <w:rPr>
          <w:rFonts w:ascii="宋体" w:hAnsi="宋体"/>
          <w:color w:val="auto"/>
          <w:szCs w:val="21"/>
          <w:highlight w:val="none"/>
        </w:rPr>
        <w:t>依法对投标人的资格进行审查。</w:t>
      </w:r>
    </w:p>
    <w:p>
      <w:pPr>
        <w:pStyle w:val="3"/>
        <w:rPr>
          <w:rFonts w:hint="eastAsia" w:ascii="宋体" w:hAnsi="宋体"/>
          <w:color w:val="auto"/>
          <w:highlight w:val="none"/>
        </w:rPr>
      </w:pPr>
      <w:bookmarkStart w:id="116" w:name="_Toc118109516"/>
      <w:r>
        <w:rPr>
          <w:rFonts w:hint="eastAsia" w:ascii="宋体" w:hAnsi="宋体"/>
          <w:color w:val="auto"/>
          <w:highlight w:val="none"/>
        </w:rPr>
        <w:t>2.资格审查标准</w:t>
      </w:r>
      <w:bookmarkEnd w:id="116"/>
    </w:p>
    <w:p>
      <w:pPr>
        <w:spacing w:line="360" w:lineRule="auto"/>
        <w:ind w:firstLine="420" w:firstLineChars="200"/>
        <w:rPr>
          <w:rFonts w:hint="eastAsia" w:ascii="宋体" w:hAnsi="宋体"/>
          <w:color w:val="auto"/>
          <w:szCs w:val="21"/>
          <w:highlight w:val="none"/>
        </w:rPr>
      </w:pPr>
      <w:r>
        <w:rPr>
          <w:rFonts w:hint="eastAsia" w:ascii="宋体" w:hAnsi="宋体"/>
          <w:color w:val="auto"/>
          <w:szCs w:val="21"/>
          <w:highlight w:val="none"/>
        </w:rPr>
        <w:t>资格审查标准：</w:t>
      </w:r>
      <w:r>
        <w:rPr>
          <w:rFonts w:ascii="宋体" w:hAnsi="宋体"/>
          <w:color w:val="auto"/>
          <w:szCs w:val="21"/>
          <w:highlight w:val="none"/>
        </w:rPr>
        <w:t>依据法律法规和</w:t>
      </w:r>
      <w:r>
        <w:rPr>
          <w:rFonts w:hint="eastAsia" w:ascii="宋体" w:hAnsi="宋体"/>
          <w:color w:val="auto"/>
          <w:szCs w:val="21"/>
          <w:highlight w:val="none"/>
        </w:rPr>
        <w:t>招标文件</w:t>
      </w:r>
      <w:r>
        <w:rPr>
          <w:rFonts w:ascii="宋体" w:hAnsi="宋体"/>
          <w:color w:val="auto"/>
          <w:szCs w:val="21"/>
          <w:highlight w:val="none"/>
        </w:rPr>
        <w:t>的规定，对投标文件中的</w:t>
      </w:r>
      <w:r>
        <w:rPr>
          <w:rFonts w:hint="eastAsia" w:ascii="宋体" w:hAnsi="宋体"/>
          <w:color w:val="auto"/>
          <w:szCs w:val="21"/>
          <w:highlight w:val="none"/>
        </w:rPr>
        <w:t>资格条件以及</w:t>
      </w:r>
      <w:r>
        <w:rPr>
          <w:rFonts w:ascii="宋体" w:hAnsi="宋体"/>
          <w:color w:val="auto"/>
          <w:szCs w:val="21"/>
          <w:highlight w:val="none"/>
        </w:rPr>
        <w:t>证明</w:t>
      </w:r>
      <w:r>
        <w:rPr>
          <w:rFonts w:hint="eastAsia" w:ascii="宋体" w:hAnsi="宋体"/>
          <w:color w:val="auto"/>
          <w:szCs w:val="21"/>
          <w:highlight w:val="none"/>
        </w:rPr>
        <w:t>文件</w:t>
      </w:r>
      <w:r>
        <w:rPr>
          <w:rFonts w:ascii="宋体" w:hAnsi="宋体"/>
          <w:color w:val="auto"/>
          <w:szCs w:val="21"/>
          <w:highlight w:val="none"/>
        </w:rPr>
        <w:t>、投标保证金等进行审查，以确定</w:t>
      </w:r>
      <w:r>
        <w:rPr>
          <w:rFonts w:hint="eastAsia" w:ascii="宋体" w:hAnsi="宋体"/>
          <w:color w:val="auto"/>
          <w:szCs w:val="21"/>
          <w:highlight w:val="none"/>
        </w:rPr>
        <w:t>投标人</w:t>
      </w:r>
      <w:r>
        <w:rPr>
          <w:rFonts w:ascii="宋体" w:hAnsi="宋体"/>
          <w:color w:val="auto"/>
          <w:szCs w:val="21"/>
          <w:highlight w:val="none"/>
        </w:rPr>
        <w:t>是否具备投标资格</w:t>
      </w:r>
      <w:r>
        <w:rPr>
          <w:rFonts w:hint="eastAsia" w:ascii="宋体" w:hAnsi="宋体"/>
          <w:color w:val="auto"/>
          <w:szCs w:val="21"/>
          <w:highlight w:val="none"/>
        </w:rPr>
        <w:t>；见资格审查前附表。</w:t>
      </w:r>
    </w:p>
    <w:p>
      <w:pPr>
        <w:pStyle w:val="3"/>
        <w:rPr>
          <w:rFonts w:hint="eastAsia" w:ascii="宋体" w:hAnsi="宋体"/>
          <w:color w:val="auto"/>
          <w:highlight w:val="none"/>
        </w:rPr>
      </w:pPr>
      <w:bookmarkStart w:id="117" w:name="_Toc118109517"/>
      <w:r>
        <w:rPr>
          <w:rFonts w:hint="eastAsia" w:ascii="宋体" w:hAnsi="宋体"/>
          <w:color w:val="auto"/>
          <w:highlight w:val="none"/>
        </w:rPr>
        <w:t>3.资格审查程序</w:t>
      </w:r>
      <w:bookmarkEnd w:id="117"/>
    </w:p>
    <w:p>
      <w:pPr>
        <w:pStyle w:val="20"/>
        <w:tabs>
          <w:tab w:val="left" w:pos="2472"/>
        </w:tabs>
        <w:spacing w:line="360" w:lineRule="auto"/>
        <w:ind w:firstLine="420" w:firstLineChars="200"/>
        <w:rPr>
          <w:rFonts w:hint="eastAsia" w:hAnsi="宋体"/>
          <w:b/>
          <w:color w:val="auto"/>
          <w:szCs w:val="21"/>
          <w:highlight w:val="none"/>
          <w:u w:val="single"/>
        </w:rPr>
      </w:pPr>
      <w:r>
        <w:rPr>
          <w:rFonts w:hint="eastAsia" w:hAnsi="宋体"/>
          <w:color w:val="auto"/>
          <w:szCs w:val="21"/>
          <w:highlight w:val="none"/>
        </w:rPr>
        <w:t>采购人或采购代理机构依据本章第2项规定的标准对投标文件进行资格审查。有一项不符合审查标准的，投标无效。</w:t>
      </w:r>
      <w:r>
        <w:rPr>
          <w:rFonts w:hint="eastAsia" w:hAnsi="宋体"/>
          <w:b/>
          <w:color w:val="auto"/>
          <w:szCs w:val="21"/>
          <w:highlight w:val="none"/>
          <w:u w:val="single"/>
        </w:rPr>
        <w:t>注：合格投标人不足3家的，不再进入评标程序，作废标处理。</w:t>
      </w:r>
    </w:p>
    <w:p>
      <w:pPr>
        <w:pStyle w:val="20"/>
        <w:tabs>
          <w:tab w:val="left" w:pos="2472"/>
        </w:tabs>
        <w:spacing w:line="360" w:lineRule="auto"/>
        <w:rPr>
          <w:rFonts w:hint="eastAsia" w:hAnsi="宋体"/>
          <w:color w:val="auto"/>
          <w:sz w:val="36"/>
          <w:highlight w:val="none"/>
        </w:rPr>
        <w:sectPr>
          <w:pgSz w:w="11906" w:h="16838"/>
          <w:pgMar w:top="1134" w:right="1304" w:bottom="1134" w:left="1304" w:header="851" w:footer="851" w:gutter="0"/>
          <w:pgNumType w:fmt="decimal"/>
          <w:cols w:space="720" w:num="1"/>
          <w:docGrid w:linePitch="331" w:charSpace="0"/>
        </w:sectPr>
      </w:pPr>
    </w:p>
    <w:p>
      <w:pPr>
        <w:pStyle w:val="33"/>
        <w:rPr>
          <w:rFonts w:hint="eastAsia" w:ascii="宋体" w:hAnsi="宋体"/>
          <w:color w:val="auto"/>
          <w:highlight w:val="none"/>
        </w:rPr>
      </w:pPr>
      <w:bookmarkStart w:id="118" w:name="_Toc118109518"/>
      <w:r>
        <w:rPr>
          <w:rFonts w:hint="eastAsia" w:ascii="宋体" w:hAnsi="宋体"/>
          <w:color w:val="auto"/>
          <w:highlight w:val="none"/>
        </w:rPr>
        <w:t>第七章  评标办法（综合评分法）</w:t>
      </w:r>
      <w:bookmarkEnd w:id="118"/>
    </w:p>
    <w:p>
      <w:pPr>
        <w:pStyle w:val="3"/>
        <w:rPr>
          <w:rFonts w:hint="eastAsia" w:ascii="宋体" w:hAnsi="宋体"/>
          <w:color w:val="auto"/>
          <w:highlight w:val="none"/>
        </w:rPr>
      </w:pPr>
      <w:bookmarkStart w:id="119" w:name="_Toc481495115"/>
      <w:bookmarkStart w:id="120" w:name="_Toc424045128"/>
      <w:bookmarkStart w:id="121" w:name="_Toc118109519"/>
      <w:bookmarkStart w:id="122" w:name="_Toc316041489"/>
      <w:bookmarkStart w:id="123" w:name="_Toc1549"/>
      <w:bookmarkStart w:id="124" w:name="_Toc26742"/>
      <w:bookmarkStart w:id="125" w:name="_Toc18231"/>
      <w:bookmarkStart w:id="126" w:name="_Toc319506067"/>
      <w:bookmarkStart w:id="127" w:name="_Toc424045129"/>
      <w:r>
        <w:rPr>
          <w:rFonts w:hint="eastAsia" w:ascii="宋体" w:hAnsi="宋体"/>
          <w:color w:val="auto"/>
          <w:highlight w:val="none"/>
        </w:rPr>
        <w:t>评标办法前附表</w:t>
      </w:r>
      <w:bookmarkEnd w:id="119"/>
      <w:bookmarkEnd w:id="120"/>
      <w:bookmarkEnd w:id="121"/>
      <w:bookmarkEnd w:id="122"/>
      <w:bookmarkEnd w:id="123"/>
      <w:bookmarkEnd w:id="124"/>
      <w:bookmarkEnd w:id="125"/>
    </w:p>
    <w:tbl>
      <w:tblPr>
        <w:tblStyle w:val="3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343"/>
        <w:gridCol w:w="1540"/>
        <w:gridCol w:w="652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1343" w:type="dxa"/>
            <w:noWrap/>
            <w:tcMar>
              <w:left w:w="57" w:type="dxa"/>
              <w:right w:w="57" w:type="dxa"/>
            </w:tcMar>
            <w:vAlign w:val="center"/>
          </w:tcPr>
          <w:p>
            <w:pPr>
              <w:spacing w:line="380" w:lineRule="exact"/>
              <w:jc w:val="center"/>
              <w:rPr>
                <w:rFonts w:hint="eastAsia" w:ascii="宋体" w:hAnsi="宋体"/>
                <w:b/>
                <w:color w:val="auto"/>
                <w:szCs w:val="21"/>
                <w:highlight w:val="none"/>
              </w:rPr>
            </w:pPr>
            <w:r>
              <w:rPr>
                <w:rFonts w:hint="eastAsia" w:ascii="宋体" w:hAnsi="宋体"/>
                <w:b/>
                <w:color w:val="auto"/>
                <w:szCs w:val="21"/>
                <w:highlight w:val="none"/>
              </w:rPr>
              <w:t>条款号</w:t>
            </w:r>
          </w:p>
        </w:tc>
        <w:tc>
          <w:tcPr>
            <w:tcW w:w="1540" w:type="dxa"/>
            <w:noWrap/>
            <w:tcMar>
              <w:left w:w="57" w:type="dxa"/>
              <w:right w:w="57" w:type="dxa"/>
            </w:tcMar>
            <w:vAlign w:val="center"/>
          </w:tcPr>
          <w:p>
            <w:pPr>
              <w:spacing w:line="380" w:lineRule="exact"/>
              <w:jc w:val="center"/>
              <w:rPr>
                <w:rFonts w:hint="eastAsia" w:ascii="宋体" w:hAnsi="宋体"/>
                <w:b/>
                <w:color w:val="auto"/>
                <w:szCs w:val="21"/>
                <w:highlight w:val="none"/>
              </w:rPr>
            </w:pPr>
            <w:r>
              <w:rPr>
                <w:rFonts w:hint="eastAsia" w:ascii="宋体" w:hAnsi="宋体"/>
                <w:b/>
                <w:color w:val="auto"/>
                <w:szCs w:val="21"/>
                <w:highlight w:val="none"/>
              </w:rPr>
              <w:t>评 审 因 素</w:t>
            </w:r>
          </w:p>
        </w:tc>
        <w:tc>
          <w:tcPr>
            <w:tcW w:w="6529" w:type="dxa"/>
            <w:noWrap/>
            <w:tcMar>
              <w:left w:w="57" w:type="dxa"/>
              <w:right w:w="57" w:type="dxa"/>
            </w:tcMar>
            <w:vAlign w:val="center"/>
          </w:tcPr>
          <w:p>
            <w:pPr>
              <w:spacing w:line="380" w:lineRule="exact"/>
              <w:jc w:val="center"/>
              <w:rPr>
                <w:rFonts w:hint="eastAsia" w:ascii="宋体" w:hAnsi="宋体"/>
                <w:b/>
                <w:color w:val="auto"/>
                <w:szCs w:val="21"/>
                <w:highlight w:val="none"/>
              </w:rPr>
            </w:pPr>
            <w:r>
              <w:rPr>
                <w:rFonts w:hint="eastAsia" w:ascii="宋体" w:hAnsi="宋体"/>
                <w:b/>
                <w:color w:val="auto"/>
                <w:szCs w:val="21"/>
                <w:highlight w:val="none"/>
              </w:rPr>
              <w:t>评 审 标 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7" w:hRule="atLeast"/>
          <w:jc w:val="center"/>
        </w:trPr>
        <w:tc>
          <w:tcPr>
            <w:tcW w:w="1343" w:type="dxa"/>
            <w:vMerge w:val="restart"/>
            <w:noWrap/>
            <w:tcMar>
              <w:left w:w="57" w:type="dxa"/>
              <w:right w:w="57" w:type="dxa"/>
            </w:tcMar>
            <w:vAlign w:val="center"/>
          </w:tcPr>
          <w:p>
            <w:pPr>
              <w:spacing w:line="380" w:lineRule="exact"/>
              <w:jc w:val="left"/>
              <w:rPr>
                <w:rFonts w:hint="eastAsia" w:ascii="宋体" w:hAnsi="宋体"/>
                <w:color w:val="auto"/>
                <w:szCs w:val="21"/>
                <w:highlight w:val="none"/>
              </w:rPr>
            </w:pPr>
            <w:r>
              <w:rPr>
                <w:rFonts w:hint="eastAsia" w:ascii="宋体" w:hAnsi="宋体"/>
                <w:color w:val="auto"/>
                <w:szCs w:val="21"/>
                <w:highlight w:val="none"/>
              </w:rPr>
              <w:t>符合性审查标准</w:t>
            </w:r>
          </w:p>
        </w:tc>
        <w:tc>
          <w:tcPr>
            <w:tcW w:w="1540" w:type="dxa"/>
            <w:noWrap/>
            <w:tcMar>
              <w:left w:w="57" w:type="dxa"/>
              <w:right w:w="57" w:type="dxa"/>
            </w:tcMar>
            <w:vAlign w:val="center"/>
          </w:tcPr>
          <w:p>
            <w:pPr>
              <w:adjustRightInd w:val="0"/>
              <w:snapToGrid w:val="0"/>
              <w:spacing w:line="380" w:lineRule="exact"/>
              <w:jc w:val="center"/>
              <w:rPr>
                <w:rFonts w:hint="eastAsia" w:ascii="宋体" w:hAnsi="宋体"/>
                <w:color w:val="auto"/>
                <w:highlight w:val="none"/>
              </w:rPr>
            </w:pPr>
            <w:r>
              <w:rPr>
                <w:rFonts w:hint="eastAsia" w:ascii="宋体" w:hAnsi="宋体"/>
                <w:color w:val="auto"/>
                <w:highlight w:val="none"/>
              </w:rPr>
              <w:t>投标函</w:t>
            </w:r>
          </w:p>
        </w:tc>
        <w:tc>
          <w:tcPr>
            <w:tcW w:w="6529" w:type="dxa"/>
            <w:noWrap/>
            <w:tcMar>
              <w:left w:w="57" w:type="dxa"/>
              <w:right w:w="57" w:type="dxa"/>
            </w:tcMar>
            <w:vAlign w:val="center"/>
          </w:tcPr>
          <w:p>
            <w:pPr>
              <w:spacing w:line="380" w:lineRule="exact"/>
              <w:rPr>
                <w:rFonts w:hint="eastAsia" w:ascii="宋体" w:hAnsi="宋体"/>
                <w:color w:val="auto"/>
                <w:highlight w:val="none"/>
              </w:rPr>
            </w:pPr>
            <w:r>
              <w:rPr>
                <w:rFonts w:hint="eastAsia" w:ascii="宋体" w:hAnsi="宋体"/>
                <w:color w:val="auto"/>
                <w:highlight w:val="none"/>
              </w:rPr>
              <w:t>符合招标文件给定格式及内容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31" w:hRule="atLeast"/>
          <w:jc w:val="center"/>
        </w:trPr>
        <w:tc>
          <w:tcPr>
            <w:tcW w:w="1343" w:type="dxa"/>
            <w:vMerge w:val="continue"/>
            <w:noWrap/>
            <w:tcMar>
              <w:left w:w="57" w:type="dxa"/>
              <w:right w:w="57" w:type="dxa"/>
            </w:tcMar>
            <w:vAlign w:val="center"/>
          </w:tcPr>
          <w:p>
            <w:pPr>
              <w:spacing w:line="380" w:lineRule="exact"/>
              <w:jc w:val="left"/>
              <w:rPr>
                <w:rFonts w:hint="eastAsia" w:ascii="宋体" w:hAnsi="宋体"/>
                <w:color w:val="auto"/>
                <w:szCs w:val="21"/>
                <w:highlight w:val="none"/>
              </w:rPr>
            </w:pPr>
          </w:p>
        </w:tc>
        <w:tc>
          <w:tcPr>
            <w:tcW w:w="1540" w:type="dxa"/>
            <w:noWrap/>
            <w:tcMar>
              <w:left w:w="57" w:type="dxa"/>
              <w:right w:w="57" w:type="dxa"/>
            </w:tcMar>
            <w:vAlign w:val="center"/>
          </w:tcPr>
          <w:p>
            <w:pPr>
              <w:adjustRightInd w:val="0"/>
              <w:snapToGrid w:val="0"/>
              <w:spacing w:line="380" w:lineRule="exact"/>
              <w:jc w:val="center"/>
              <w:rPr>
                <w:rFonts w:hint="eastAsia" w:ascii="宋体" w:hAnsi="宋体"/>
                <w:color w:val="auto"/>
                <w:szCs w:val="21"/>
                <w:highlight w:val="none"/>
              </w:rPr>
            </w:pPr>
            <w:r>
              <w:rPr>
                <w:rFonts w:hint="eastAsia" w:ascii="宋体" w:hAnsi="宋体"/>
                <w:color w:val="auto"/>
                <w:szCs w:val="21"/>
                <w:highlight w:val="none"/>
              </w:rPr>
              <w:t>法定代表人资格及授权委托书</w:t>
            </w:r>
          </w:p>
        </w:tc>
        <w:tc>
          <w:tcPr>
            <w:tcW w:w="6529" w:type="dxa"/>
            <w:noWrap/>
            <w:tcMar>
              <w:left w:w="57" w:type="dxa"/>
              <w:right w:w="57" w:type="dxa"/>
            </w:tcMar>
            <w:vAlign w:val="center"/>
          </w:tcPr>
          <w:p>
            <w:pPr>
              <w:adjustRightInd w:val="0"/>
              <w:snapToGrid w:val="0"/>
              <w:spacing w:line="380" w:lineRule="exact"/>
              <w:rPr>
                <w:rFonts w:hint="eastAsia" w:ascii="宋体" w:hAnsi="宋体"/>
                <w:color w:val="auto"/>
                <w:szCs w:val="21"/>
                <w:highlight w:val="none"/>
              </w:rPr>
            </w:pPr>
            <w:r>
              <w:rPr>
                <w:rFonts w:hint="eastAsia" w:ascii="宋体" w:hAnsi="宋体"/>
                <w:color w:val="auto"/>
                <w:szCs w:val="21"/>
                <w:highlight w:val="none"/>
              </w:rPr>
              <w:t>符合投标文件格式要求，内容真实有效并按规定要求</w:t>
            </w:r>
            <w:r>
              <w:rPr>
                <w:rFonts w:hint="eastAsia" w:ascii="宋体" w:hAnsi="宋体"/>
                <w:color w:val="auto"/>
                <w:highlight w:val="none"/>
              </w:rPr>
              <w:t>对需要签字（或电子签章）的地方进行签字（或电子签章）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91" w:hRule="atLeast"/>
          <w:jc w:val="center"/>
        </w:trPr>
        <w:tc>
          <w:tcPr>
            <w:tcW w:w="1343" w:type="dxa"/>
            <w:vMerge w:val="continue"/>
            <w:noWrap/>
            <w:tcMar>
              <w:left w:w="57" w:type="dxa"/>
              <w:right w:w="57" w:type="dxa"/>
            </w:tcMar>
            <w:vAlign w:val="center"/>
          </w:tcPr>
          <w:p>
            <w:pPr>
              <w:spacing w:line="380" w:lineRule="exact"/>
              <w:jc w:val="left"/>
              <w:rPr>
                <w:rFonts w:hint="eastAsia" w:ascii="宋体" w:hAnsi="宋体"/>
                <w:color w:val="auto"/>
                <w:szCs w:val="21"/>
                <w:highlight w:val="none"/>
              </w:rPr>
            </w:pPr>
          </w:p>
        </w:tc>
        <w:tc>
          <w:tcPr>
            <w:tcW w:w="1540" w:type="dxa"/>
            <w:noWrap/>
            <w:tcMar>
              <w:left w:w="57" w:type="dxa"/>
              <w:right w:w="57" w:type="dxa"/>
            </w:tcMar>
            <w:vAlign w:val="center"/>
          </w:tcPr>
          <w:p>
            <w:pPr>
              <w:adjustRightInd w:val="0"/>
              <w:snapToGrid w:val="0"/>
              <w:spacing w:line="380" w:lineRule="exact"/>
              <w:jc w:val="center"/>
              <w:rPr>
                <w:rFonts w:hint="eastAsia" w:ascii="宋体" w:hAnsi="宋体"/>
                <w:color w:val="auto"/>
                <w:highlight w:val="none"/>
              </w:rPr>
            </w:pPr>
            <w:r>
              <w:rPr>
                <w:rFonts w:hint="eastAsia" w:ascii="宋体" w:hAnsi="宋体"/>
                <w:color w:val="auto"/>
                <w:highlight w:val="none"/>
              </w:rPr>
              <w:t>签字盖章</w:t>
            </w:r>
          </w:p>
        </w:tc>
        <w:tc>
          <w:tcPr>
            <w:tcW w:w="6529" w:type="dxa"/>
            <w:noWrap/>
            <w:tcMar>
              <w:left w:w="57" w:type="dxa"/>
              <w:right w:w="57" w:type="dxa"/>
            </w:tcMar>
            <w:vAlign w:val="center"/>
          </w:tcPr>
          <w:p>
            <w:pPr>
              <w:spacing w:line="380" w:lineRule="exact"/>
              <w:rPr>
                <w:rFonts w:hint="eastAsia" w:ascii="宋体" w:hAnsi="宋体"/>
                <w:color w:val="auto"/>
                <w:highlight w:val="none"/>
              </w:rPr>
            </w:pPr>
            <w:r>
              <w:rPr>
                <w:rFonts w:hint="eastAsia" w:ascii="宋体" w:hAnsi="宋体"/>
                <w:color w:val="auto"/>
                <w:highlight w:val="none"/>
              </w:rPr>
              <w:t>按照招标文件要求对需要签字（或电子签章）的地方进行签字（或电子签章）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60" w:hRule="atLeast"/>
          <w:jc w:val="center"/>
        </w:trPr>
        <w:tc>
          <w:tcPr>
            <w:tcW w:w="1343" w:type="dxa"/>
            <w:vMerge w:val="continue"/>
            <w:noWrap/>
            <w:tcMar>
              <w:left w:w="57" w:type="dxa"/>
              <w:right w:w="57" w:type="dxa"/>
            </w:tcMar>
            <w:vAlign w:val="center"/>
          </w:tcPr>
          <w:p>
            <w:pPr>
              <w:spacing w:line="380" w:lineRule="exact"/>
              <w:jc w:val="left"/>
              <w:rPr>
                <w:rFonts w:hint="eastAsia" w:ascii="宋体" w:hAnsi="宋体"/>
                <w:color w:val="auto"/>
                <w:szCs w:val="21"/>
                <w:highlight w:val="none"/>
              </w:rPr>
            </w:pPr>
          </w:p>
        </w:tc>
        <w:tc>
          <w:tcPr>
            <w:tcW w:w="1540" w:type="dxa"/>
            <w:noWrap/>
            <w:tcMar>
              <w:left w:w="57" w:type="dxa"/>
              <w:right w:w="57" w:type="dxa"/>
            </w:tcMar>
            <w:vAlign w:val="center"/>
          </w:tcPr>
          <w:p>
            <w:pPr>
              <w:adjustRightInd w:val="0"/>
              <w:snapToGrid w:val="0"/>
              <w:spacing w:line="380" w:lineRule="exact"/>
              <w:jc w:val="center"/>
              <w:rPr>
                <w:rFonts w:hint="eastAsia" w:ascii="宋体" w:hAnsi="宋体"/>
                <w:color w:val="auto"/>
                <w:highlight w:val="none"/>
              </w:rPr>
            </w:pPr>
            <w:r>
              <w:rPr>
                <w:rFonts w:hint="eastAsia" w:ascii="宋体" w:hAnsi="宋体"/>
                <w:color w:val="auto"/>
                <w:szCs w:val="21"/>
                <w:highlight w:val="none"/>
              </w:rPr>
              <w:t>投标报价</w:t>
            </w:r>
          </w:p>
        </w:tc>
        <w:tc>
          <w:tcPr>
            <w:tcW w:w="6529" w:type="dxa"/>
            <w:noWrap/>
            <w:tcMar>
              <w:left w:w="57" w:type="dxa"/>
              <w:right w:w="57" w:type="dxa"/>
            </w:tcMar>
            <w:vAlign w:val="center"/>
          </w:tcPr>
          <w:p>
            <w:pPr>
              <w:spacing w:line="380" w:lineRule="exact"/>
              <w:rPr>
                <w:rFonts w:hint="eastAsia" w:ascii="宋体" w:hAnsi="宋体"/>
                <w:color w:val="auto"/>
                <w:highlight w:val="none"/>
              </w:rPr>
            </w:pPr>
            <w:r>
              <w:rPr>
                <w:rFonts w:hint="eastAsia" w:ascii="宋体" w:hAnsi="宋体"/>
                <w:color w:val="auto"/>
                <w:highlight w:val="none"/>
              </w:rPr>
              <w:t>完整且只有一个有效报价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44" w:hRule="atLeast"/>
          <w:jc w:val="center"/>
        </w:trPr>
        <w:tc>
          <w:tcPr>
            <w:tcW w:w="1343" w:type="dxa"/>
            <w:vMerge w:val="continue"/>
            <w:noWrap/>
            <w:tcMar>
              <w:left w:w="57" w:type="dxa"/>
              <w:right w:w="57" w:type="dxa"/>
            </w:tcMar>
            <w:vAlign w:val="center"/>
          </w:tcPr>
          <w:p>
            <w:pPr>
              <w:spacing w:line="380" w:lineRule="exact"/>
              <w:jc w:val="left"/>
              <w:rPr>
                <w:rFonts w:hint="eastAsia" w:ascii="宋体" w:hAnsi="宋体"/>
                <w:color w:val="auto"/>
                <w:szCs w:val="21"/>
                <w:highlight w:val="none"/>
              </w:rPr>
            </w:pPr>
          </w:p>
        </w:tc>
        <w:tc>
          <w:tcPr>
            <w:tcW w:w="1540" w:type="dxa"/>
            <w:noWrap/>
            <w:tcMar>
              <w:left w:w="57" w:type="dxa"/>
              <w:right w:w="57" w:type="dxa"/>
            </w:tcMar>
            <w:vAlign w:val="center"/>
          </w:tcPr>
          <w:p>
            <w:pPr>
              <w:adjustRightInd w:val="0"/>
              <w:snapToGrid w:val="0"/>
              <w:spacing w:line="380" w:lineRule="exact"/>
              <w:jc w:val="center"/>
              <w:rPr>
                <w:rFonts w:hint="eastAsia" w:ascii="宋体" w:hAnsi="宋体"/>
                <w:color w:val="auto"/>
                <w:highlight w:val="none"/>
              </w:rPr>
            </w:pPr>
            <w:r>
              <w:rPr>
                <w:rFonts w:hint="eastAsia" w:ascii="宋体" w:hAnsi="宋体"/>
                <w:color w:val="auto"/>
                <w:szCs w:val="21"/>
                <w:highlight w:val="none"/>
              </w:rPr>
              <w:t>投标有效期</w:t>
            </w:r>
          </w:p>
        </w:tc>
        <w:tc>
          <w:tcPr>
            <w:tcW w:w="6529" w:type="dxa"/>
            <w:noWrap/>
            <w:tcMar>
              <w:left w:w="57" w:type="dxa"/>
              <w:right w:w="57" w:type="dxa"/>
            </w:tcMar>
            <w:vAlign w:val="center"/>
          </w:tcPr>
          <w:p>
            <w:pPr>
              <w:spacing w:line="380" w:lineRule="exact"/>
              <w:rPr>
                <w:rFonts w:hint="eastAsia" w:ascii="宋体" w:hAnsi="宋体"/>
                <w:color w:val="auto"/>
                <w:highlight w:val="none"/>
              </w:rPr>
            </w:pPr>
            <w:r>
              <w:rPr>
                <w:rFonts w:hint="eastAsia" w:ascii="宋体" w:hAnsi="宋体"/>
                <w:color w:val="auto"/>
                <w:szCs w:val="21"/>
                <w:highlight w:val="none"/>
              </w:rPr>
              <w:t>符合第二章“投标人须知”的规定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1343" w:type="dxa"/>
            <w:vMerge w:val="continue"/>
            <w:noWrap/>
            <w:tcMar>
              <w:left w:w="57" w:type="dxa"/>
              <w:right w:w="57" w:type="dxa"/>
            </w:tcMar>
            <w:vAlign w:val="center"/>
          </w:tcPr>
          <w:p>
            <w:pPr>
              <w:spacing w:line="380" w:lineRule="exact"/>
              <w:jc w:val="left"/>
              <w:rPr>
                <w:rFonts w:hint="eastAsia" w:ascii="宋体" w:hAnsi="宋体"/>
                <w:color w:val="auto"/>
                <w:szCs w:val="21"/>
                <w:highlight w:val="none"/>
              </w:rPr>
            </w:pPr>
          </w:p>
        </w:tc>
        <w:tc>
          <w:tcPr>
            <w:tcW w:w="1540" w:type="dxa"/>
            <w:noWrap/>
            <w:tcMar>
              <w:left w:w="57" w:type="dxa"/>
              <w:right w:w="57" w:type="dxa"/>
            </w:tcMar>
            <w:vAlign w:val="center"/>
          </w:tcPr>
          <w:p>
            <w:pPr>
              <w:adjustRightInd w:val="0"/>
              <w:snapToGrid w:val="0"/>
              <w:spacing w:line="380" w:lineRule="exact"/>
              <w:jc w:val="center"/>
              <w:rPr>
                <w:rFonts w:hint="eastAsia" w:ascii="宋体" w:hAnsi="宋体"/>
                <w:color w:val="auto"/>
                <w:szCs w:val="21"/>
                <w:highlight w:val="none"/>
              </w:rPr>
            </w:pPr>
            <w:r>
              <w:rPr>
                <w:rFonts w:hint="eastAsia" w:ascii="宋体" w:hAnsi="宋体"/>
                <w:color w:val="auto"/>
                <w:szCs w:val="21"/>
                <w:highlight w:val="none"/>
              </w:rPr>
              <w:t>实质性条件</w:t>
            </w:r>
          </w:p>
        </w:tc>
        <w:tc>
          <w:tcPr>
            <w:tcW w:w="6529" w:type="dxa"/>
            <w:noWrap/>
            <w:tcMar>
              <w:left w:w="57" w:type="dxa"/>
              <w:right w:w="57" w:type="dxa"/>
            </w:tcMar>
            <w:vAlign w:val="center"/>
          </w:tcPr>
          <w:p>
            <w:pPr>
              <w:spacing w:line="380" w:lineRule="exact"/>
              <w:rPr>
                <w:rFonts w:hint="eastAsia" w:ascii="宋体" w:hAnsi="宋体"/>
                <w:color w:val="auto"/>
                <w:szCs w:val="21"/>
                <w:highlight w:val="none"/>
              </w:rPr>
            </w:pPr>
            <w:r>
              <w:rPr>
                <w:rFonts w:hint="eastAsia" w:ascii="宋体" w:hAnsi="宋体"/>
                <w:color w:val="auto"/>
                <w:szCs w:val="21"/>
                <w:highlight w:val="none"/>
              </w:rPr>
              <w:t>实质性响应招标文件规定的条款内容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1343" w:type="dxa"/>
            <w:vMerge w:val="continue"/>
            <w:noWrap/>
            <w:tcMar>
              <w:left w:w="57" w:type="dxa"/>
              <w:right w:w="57" w:type="dxa"/>
            </w:tcMar>
            <w:vAlign w:val="center"/>
          </w:tcPr>
          <w:p>
            <w:pPr>
              <w:spacing w:line="380" w:lineRule="exact"/>
              <w:jc w:val="left"/>
              <w:rPr>
                <w:rFonts w:hint="eastAsia" w:ascii="宋体" w:hAnsi="宋体"/>
                <w:color w:val="auto"/>
                <w:szCs w:val="21"/>
                <w:highlight w:val="none"/>
              </w:rPr>
            </w:pPr>
          </w:p>
        </w:tc>
        <w:tc>
          <w:tcPr>
            <w:tcW w:w="1540" w:type="dxa"/>
            <w:noWrap/>
            <w:tcMar>
              <w:left w:w="57" w:type="dxa"/>
              <w:right w:w="57" w:type="dxa"/>
            </w:tcMar>
            <w:vAlign w:val="center"/>
          </w:tcPr>
          <w:p>
            <w:pPr>
              <w:adjustRightInd w:val="0"/>
              <w:snapToGrid w:val="0"/>
              <w:spacing w:line="380" w:lineRule="exact"/>
              <w:jc w:val="center"/>
              <w:rPr>
                <w:rFonts w:hint="eastAsia" w:ascii="宋体" w:hAnsi="宋体"/>
                <w:color w:val="auto"/>
                <w:szCs w:val="21"/>
                <w:highlight w:val="none"/>
              </w:rPr>
            </w:pPr>
            <w:r>
              <w:rPr>
                <w:rFonts w:hint="eastAsia" w:ascii="宋体" w:hAnsi="宋体"/>
                <w:color w:val="auto"/>
                <w:szCs w:val="21"/>
                <w:highlight w:val="none"/>
              </w:rPr>
              <w:t>其他要求</w:t>
            </w:r>
          </w:p>
        </w:tc>
        <w:tc>
          <w:tcPr>
            <w:tcW w:w="6529" w:type="dxa"/>
            <w:noWrap/>
            <w:tcMar>
              <w:left w:w="57" w:type="dxa"/>
              <w:right w:w="57" w:type="dxa"/>
            </w:tcMar>
            <w:vAlign w:val="center"/>
          </w:tcPr>
          <w:p>
            <w:pPr>
              <w:spacing w:line="380" w:lineRule="exact"/>
              <w:rPr>
                <w:rFonts w:hint="eastAsia" w:ascii="宋体" w:hAnsi="宋体"/>
                <w:color w:val="auto"/>
                <w:szCs w:val="21"/>
                <w:highlight w:val="none"/>
              </w:rPr>
            </w:pPr>
            <w:r>
              <w:rPr>
                <w:rFonts w:hint="eastAsia" w:ascii="宋体" w:hAnsi="宋体"/>
                <w:color w:val="auto"/>
                <w:szCs w:val="21"/>
                <w:highlight w:val="none"/>
              </w:rPr>
              <w:t>符合招标文件中其他实质性要求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84" w:hRule="atLeast"/>
          <w:jc w:val="center"/>
        </w:trPr>
        <w:tc>
          <w:tcPr>
            <w:tcW w:w="1343" w:type="dxa"/>
            <w:noWrap/>
            <w:tcMar>
              <w:left w:w="57" w:type="dxa"/>
              <w:right w:w="57" w:type="dxa"/>
            </w:tcMar>
            <w:vAlign w:val="center"/>
          </w:tcPr>
          <w:p>
            <w:pPr>
              <w:spacing w:line="380" w:lineRule="exact"/>
              <w:jc w:val="center"/>
              <w:rPr>
                <w:rFonts w:hint="eastAsia" w:ascii="宋体" w:hAnsi="宋体"/>
                <w:color w:val="auto"/>
                <w:szCs w:val="21"/>
                <w:highlight w:val="none"/>
              </w:rPr>
            </w:pPr>
            <w:r>
              <w:rPr>
                <w:rFonts w:hint="eastAsia" w:ascii="宋体" w:hAnsi="宋体"/>
                <w:b/>
                <w:color w:val="auto"/>
                <w:szCs w:val="21"/>
                <w:highlight w:val="none"/>
              </w:rPr>
              <w:t>条款号</w:t>
            </w:r>
          </w:p>
        </w:tc>
        <w:tc>
          <w:tcPr>
            <w:tcW w:w="1540" w:type="dxa"/>
            <w:noWrap/>
            <w:tcMar>
              <w:left w:w="57" w:type="dxa"/>
              <w:right w:w="57" w:type="dxa"/>
            </w:tcMar>
            <w:vAlign w:val="center"/>
          </w:tcPr>
          <w:p>
            <w:pPr>
              <w:adjustRightInd w:val="0"/>
              <w:snapToGrid w:val="0"/>
              <w:spacing w:line="380" w:lineRule="exact"/>
              <w:jc w:val="center"/>
              <w:rPr>
                <w:rFonts w:hint="eastAsia" w:ascii="宋体" w:hAnsi="宋体"/>
                <w:b/>
                <w:color w:val="auto"/>
                <w:szCs w:val="21"/>
                <w:highlight w:val="none"/>
              </w:rPr>
            </w:pPr>
            <w:r>
              <w:rPr>
                <w:rFonts w:hint="eastAsia" w:ascii="宋体" w:hAnsi="宋体"/>
                <w:b/>
                <w:color w:val="auto"/>
                <w:szCs w:val="21"/>
                <w:highlight w:val="none"/>
              </w:rPr>
              <w:t>条款内容</w:t>
            </w:r>
          </w:p>
        </w:tc>
        <w:tc>
          <w:tcPr>
            <w:tcW w:w="6529" w:type="dxa"/>
            <w:noWrap/>
            <w:tcMar>
              <w:left w:w="57" w:type="dxa"/>
              <w:right w:w="57" w:type="dxa"/>
            </w:tcMar>
            <w:vAlign w:val="center"/>
          </w:tcPr>
          <w:p>
            <w:pPr>
              <w:spacing w:line="380" w:lineRule="exact"/>
              <w:jc w:val="center"/>
              <w:rPr>
                <w:rFonts w:hint="eastAsia" w:ascii="宋体" w:hAnsi="宋体"/>
                <w:b/>
                <w:color w:val="auto"/>
                <w:szCs w:val="21"/>
                <w:highlight w:val="none"/>
              </w:rPr>
            </w:pPr>
            <w:r>
              <w:rPr>
                <w:rFonts w:hint="eastAsia" w:ascii="宋体" w:hAnsi="宋体"/>
                <w:b/>
                <w:color w:val="auto"/>
                <w:szCs w:val="21"/>
                <w:highlight w:val="none"/>
              </w:rPr>
              <w:t>编列内容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348" w:hRule="atLeast"/>
          <w:jc w:val="center"/>
        </w:trPr>
        <w:tc>
          <w:tcPr>
            <w:tcW w:w="1343" w:type="dxa"/>
            <w:noWrap/>
            <w:tcMar>
              <w:left w:w="57" w:type="dxa"/>
              <w:right w:w="57" w:type="dxa"/>
            </w:tcMar>
            <w:vAlign w:val="center"/>
          </w:tcPr>
          <w:p>
            <w:pPr>
              <w:spacing w:line="380" w:lineRule="exact"/>
              <w:jc w:val="center"/>
              <w:rPr>
                <w:rFonts w:hint="eastAsia" w:ascii="宋体" w:hAnsi="宋体"/>
                <w:color w:val="auto"/>
                <w:szCs w:val="21"/>
                <w:highlight w:val="none"/>
              </w:rPr>
            </w:pPr>
            <w:r>
              <w:rPr>
                <w:rFonts w:hint="eastAsia" w:ascii="宋体" w:hAnsi="宋体"/>
                <w:color w:val="auto"/>
                <w:szCs w:val="21"/>
                <w:highlight w:val="none"/>
              </w:rPr>
              <w:t>2.2.1</w:t>
            </w:r>
          </w:p>
        </w:tc>
        <w:tc>
          <w:tcPr>
            <w:tcW w:w="1540" w:type="dxa"/>
            <w:noWrap/>
            <w:tcMar>
              <w:left w:w="57" w:type="dxa"/>
              <w:right w:w="57" w:type="dxa"/>
            </w:tcMar>
            <w:vAlign w:val="center"/>
          </w:tcPr>
          <w:p>
            <w:pPr>
              <w:adjustRightInd w:val="0"/>
              <w:snapToGrid w:val="0"/>
              <w:spacing w:line="380" w:lineRule="exact"/>
              <w:jc w:val="center"/>
              <w:rPr>
                <w:rFonts w:hint="eastAsia" w:ascii="宋体" w:hAnsi="宋体"/>
                <w:color w:val="auto"/>
                <w:szCs w:val="21"/>
                <w:highlight w:val="none"/>
              </w:rPr>
            </w:pPr>
            <w:r>
              <w:rPr>
                <w:rFonts w:hint="eastAsia" w:ascii="宋体" w:hAnsi="宋体" w:eastAsia="宋体" w:cs="宋体"/>
                <w:color w:val="auto"/>
                <w:kern w:val="0"/>
                <w:szCs w:val="21"/>
                <w:highlight w:val="none"/>
              </w:rPr>
              <w:t>综合评分方式</w:t>
            </w:r>
          </w:p>
        </w:tc>
        <w:tc>
          <w:tcPr>
            <w:tcW w:w="6529" w:type="dxa"/>
            <w:noWrap/>
            <w:tcMar>
              <w:left w:w="57" w:type="dxa"/>
              <w:right w:w="57" w:type="dxa"/>
            </w:tcMar>
            <w:vAlign w:val="center"/>
          </w:tcPr>
          <w:p>
            <w:pPr>
              <w:spacing w:line="380" w:lineRule="exact"/>
              <w:rPr>
                <w:rFonts w:hint="eastAsia" w:ascii="宋体" w:hAnsi="宋体"/>
                <w:color w:val="auto"/>
                <w:szCs w:val="21"/>
                <w:highlight w:val="none"/>
              </w:rPr>
            </w:pPr>
            <w:r>
              <w:rPr>
                <w:rFonts w:hint="eastAsia" w:ascii="宋体" w:hAnsi="宋体"/>
                <w:color w:val="auto"/>
                <w:szCs w:val="21"/>
                <w:highlight w:val="none"/>
              </w:rPr>
              <w:t>投标人的评标总得分＝F1＋F2＋F3；</w:t>
            </w:r>
          </w:p>
          <w:p>
            <w:pPr>
              <w:spacing w:line="380" w:lineRule="exact"/>
              <w:rPr>
                <w:rFonts w:hint="eastAsia" w:ascii="宋体" w:hAnsi="宋体"/>
                <w:color w:val="auto"/>
                <w:szCs w:val="21"/>
                <w:highlight w:val="none"/>
              </w:rPr>
            </w:pPr>
            <w:r>
              <w:rPr>
                <w:rFonts w:hint="eastAsia" w:ascii="宋体" w:hAnsi="宋体"/>
                <w:color w:val="auto"/>
                <w:szCs w:val="21"/>
                <w:highlight w:val="none"/>
              </w:rPr>
              <w:t>其中：F1、F2、F3分别为投标报价部分、技术部分、</w:t>
            </w:r>
            <w:r>
              <w:rPr>
                <w:rFonts w:hint="eastAsia" w:ascii="宋体" w:hAnsi="宋体"/>
                <w:color w:val="auto"/>
                <w:szCs w:val="21"/>
                <w:highlight w:val="none"/>
                <w:lang w:eastAsia="zh-CN"/>
              </w:rPr>
              <w:t>商务部分</w:t>
            </w:r>
            <w:r>
              <w:rPr>
                <w:rFonts w:hint="eastAsia" w:ascii="宋体" w:hAnsi="宋体"/>
                <w:color w:val="auto"/>
                <w:szCs w:val="21"/>
                <w:highlight w:val="none"/>
              </w:rPr>
              <w:t>3项评分因素的汇总得分。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067" w:hRule="atLeast"/>
          <w:jc w:val="center"/>
        </w:trPr>
        <w:tc>
          <w:tcPr>
            <w:tcW w:w="1343" w:type="dxa"/>
            <w:noWrap/>
            <w:tcMar>
              <w:left w:w="57" w:type="dxa"/>
              <w:right w:w="57" w:type="dxa"/>
            </w:tcMar>
            <w:vAlign w:val="center"/>
          </w:tcPr>
          <w:p>
            <w:pPr>
              <w:spacing w:line="380" w:lineRule="exact"/>
              <w:jc w:val="center"/>
              <w:rPr>
                <w:rFonts w:hint="eastAsia" w:ascii="宋体" w:hAnsi="宋体"/>
                <w:color w:val="auto"/>
                <w:szCs w:val="21"/>
                <w:highlight w:val="none"/>
              </w:rPr>
            </w:pPr>
            <w:r>
              <w:rPr>
                <w:rFonts w:hint="eastAsia" w:ascii="宋体" w:hAnsi="宋体"/>
                <w:color w:val="auto"/>
                <w:szCs w:val="21"/>
                <w:highlight w:val="none"/>
              </w:rPr>
              <w:t>2.2.2</w:t>
            </w:r>
          </w:p>
        </w:tc>
        <w:tc>
          <w:tcPr>
            <w:tcW w:w="1540" w:type="dxa"/>
            <w:noWrap/>
            <w:tcMar>
              <w:left w:w="57" w:type="dxa"/>
              <w:right w:w="57" w:type="dxa"/>
            </w:tcMar>
            <w:vAlign w:val="center"/>
          </w:tcPr>
          <w:p>
            <w:pPr>
              <w:adjustRightInd w:val="0"/>
              <w:snapToGrid w:val="0"/>
              <w:spacing w:line="380" w:lineRule="exact"/>
              <w:jc w:val="center"/>
              <w:rPr>
                <w:rFonts w:hint="eastAsia" w:ascii="宋体" w:hAnsi="宋体"/>
                <w:b/>
                <w:color w:val="auto"/>
                <w:szCs w:val="21"/>
                <w:highlight w:val="none"/>
              </w:rPr>
            </w:pPr>
            <w:r>
              <w:rPr>
                <w:rFonts w:hint="eastAsia" w:ascii="宋体" w:hAnsi="宋体" w:cs="宋体"/>
                <w:color w:val="auto"/>
                <w:kern w:val="0"/>
                <w:szCs w:val="21"/>
                <w:highlight w:val="none"/>
              </w:rPr>
              <w:t>评标基准价计算方法</w:t>
            </w:r>
          </w:p>
        </w:tc>
        <w:tc>
          <w:tcPr>
            <w:tcW w:w="6529" w:type="dxa"/>
            <w:noWrap/>
            <w:tcMar>
              <w:left w:w="57" w:type="dxa"/>
              <w:right w:w="57" w:type="dxa"/>
            </w:tcMar>
            <w:vAlign w:val="center"/>
          </w:tcPr>
          <w:p>
            <w:pPr>
              <w:adjustRightInd w:val="0"/>
              <w:snapToGrid w:val="0"/>
              <w:spacing w:line="380" w:lineRule="exact"/>
              <w:rPr>
                <w:rFonts w:hint="eastAsia" w:ascii="宋体" w:hAnsi="宋体"/>
                <w:b/>
                <w:color w:val="auto"/>
                <w:szCs w:val="21"/>
                <w:highlight w:val="none"/>
              </w:rPr>
            </w:pPr>
            <w:r>
              <w:rPr>
                <w:rFonts w:hint="eastAsia" w:ascii="宋体" w:hAnsi="宋体" w:cs="宋体"/>
                <w:color w:val="auto"/>
                <w:kern w:val="0"/>
                <w:szCs w:val="21"/>
                <w:highlight w:val="none"/>
              </w:rPr>
              <w:t>满足招标文件要求且投标价格最低的投标报价为评标基准价</w:t>
            </w:r>
          </w:p>
        </w:tc>
      </w:tr>
    </w:tbl>
    <w:p>
      <w:pPr>
        <w:spacing w:line="520" w:lineRule="exact"/>
        <w:jc w:val="lef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具体评审细则如下：</w:t>
      </w:r>
    </w:p>
    <w:tbl>
      <w:tblPr>
        <w:tblStyle w:val="37"/>
        <w:tblW w:w="4957" w:type="pct"/>
        <w:jc w:val="center"/>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Layout w:type="autofit"/>
        <w:tblCellMar>
          <w:top w:w="0" w:type="dxa"/>
          <w:left w:w="23" w:type="dxa"/>
          <w:bottom w:w="0" w:type="dxa"/>
          <w:right w:w="23" w:type="dxa"/>
        </w:tblCellMar>
      </w:tblPr>
      <w:tblGrid>
        <w:gridCol w:w="930"/>
        <w:gridCol w:w="1686"/>
        <w:gridCol w:w="6648"/>
      </w:tblGrid>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23" w:type="dxa"/>
            <w:bottom w:w="0" w:type="dxa"/>
            <w:right w:w="23" w:type="dxa"/>
          </w:tblCellMar>
        </w:tblPrEx>
        <w:trPr>
          <w:trHeight w:val="23" w:hRule="atLeast"/>
          <w:jc w:val="center"/>
        </w:trPr>
        <w:tc>
          <w:tcPr>
            <w:tcW w:w="502" w:type="pct"/>
            <w:tcBorders>
              <w:top w:val="single" w:color="auto" w:sz="12" w:space="0"/>
              <w:bottom w:val="single" w:color="auto" w:sz="4" w:space="0"/>
            </w:tcBorders>
            <w:vAlign w:val="center"/>
          </w:tcPr>
          <w:p>
            <w:pPr>
              <w:pStyle w:val="17"/>
              <w:spacing w:line="340" w:lineRule="exact"/>
              <w:jc w:val="center"/>
              <w:rPr>
                <w:rFonts w:hint="eastAsia" w:ascii="仿宋" w:hAnsi="仿宋" w:eastAsia="仿宋" w:cs="仿宋"/>
                <w:color w:val="auto"/>
                <w:sz w:val="22"/>
                <w:szCs w:val="22"/>
                <w:highlight w:val="none"/>
              </w:rPr>
            </w:pPr>
            <w:r>
              <w:rPr>
                <w:rFonts w:hint="eastAsia" w:ascii="仿宋" w:hAnsi="仿宋" w:eastAsia="仿宋" w:cs="仿宋"/>
                <w:b/>
                <w:bCs/>
                <w:color w:val="auto"/>
                <w:sz w:val="22"/>
                <w:szCs w:val="22"/>
                <w:highlight w:val="none"/>
              </w:rPr>
              <w:t>审查内容</w:t>
            </w:r>
          </w:p>
        </w:tc>
        <w:tc>
          <w:tcPr>
            <w:tcW w:w="910" w:type="pct"/>
            <w:tcBorders>
              <w:top w:val="single" w:color="auto" w:sz="12" w:space="0"/>
            </w:tcBorders>
            <w:vAlign w:val="center"/>
          </w:tcPr>
          <w:p>
            <w:pPr>
              <w:pStyle w:val="17"/>
              <w:spacing w:line="340" w:lineRule="exact"/>
              <w:jc w:val="center"/>
              <w:rPr>
                <w:rFonts w:hint="eastAsia" w:ascii="仿宋" w:hAnsi="仿宋" w:eastAsia="仿宋" w:cs="仿宋"/>
                <w:b/>
                <w:bCs/>
                <w:color w:val="auto"/>
                <w:sz w:val="22"/>
                <w:szCs w:val="22"/>
                <w:highlight w:val="none"/>
              </w:rPr>
            </w:pPr>
            <w:r>
              <w:rPr>
                <w:rFonts w:hint="eastAsia" w:ascii="仿宋" w:hAnsi="仿宋" w:eastAsia="仿宋" w:cs="仿宋"/>
                <w:b/>
                <w:bCs/>
                <w:color w:val="auto"/>
                <w:sz w:val="22"/>
                <w:szCs w:val="22"/>
                <w:highlight w:val="none"/>
              </w:rPr>
              <w:t>评审因素</w:t>
            </w:r>
          </w:p>
        </w:tc>
        <w:tc>
          <w:tcPr>
            <w:tcW w:w="3587" w:type="pct"/>
            <w:tcBorders>
              <w:top w:val="single" w:color="auto" w:sz="12" w:space="0"/>
            </w:tcBorders>
            <w:vAlign w:val="center"/>
          </w:tcPr>
          <w:p>
            <w:pPr>
              <w:spacing w:line="340" w:lineRule="exact"/>
              <w:jc w:val="center"/>
              <w:rPr>
                <w:rFonts w:hint="eastAsia" w:ascii="仿宋" w:hAnsi="仿宋" w:eastAsia="仿宋" w:cs="仿宋"/>
                <w:b/>
                <w:bCs/>
                <w:color w:val="auto"/>
                <w:sz w:val="22"/>
                <w:szCs w:val="22"/>
                <w:highlight w:val="none"/>
              </w:rPr>
            </w:pPr>
            <w:r>
              <w:rPr>
                <w:rFonts w:hint="eastAsia" w:ascii="仿宋" w:hAnsi="仿宋" w:eastAsia="仿宋" w:cs="仿宋"/>
                <w:b/>
                <w:bCs/>
                <w:color w:val="auto"/>
                <w:sz w:val="22"/>
                <w:szCs w:val="22"/>
                <w:highlight w:val="none"/>
              </w:rPr>
              <w:t>评分标准</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23" w:type="dxa"/>
            <w:bottom w:w="0" w:type="dxa"/>
            <w:right w:w="23" w:type="dxa"/>
          </w:tblCellMar>
        </w:tblPrEx>
        <w:trPr>
          <w:trHeight w:val="23" w:hRule="atLeast"/>
          <w:jc w:val="center"/>
        </w:trPr>
        <w:tc>
          <w:tcPr>
            <w:tcW w:w="502" w:type="pct"/>
            <w:tcBorders>
              <w:top w:val="single" w:color="auto" w:sz="12" w:space="0"/>
              <w:bottom w:val="single" w:color="auto" w:sz="4" w:space="0"/>
            </w:tcBorders>
            <w:vAlign w:val="center"/>
          </w:tcPr>
          <w:p>
            <w:pPr>
              <w:spacing w:line="380" w:lineRule="exact"/>
              <w:jc w:val="center"/>
              <w:rPr>
                <w:rFonts w:hint="eastAsia" w:ascii="仿宋" w:hAnsi="仿宋" w:eastAsia="仿宋" w:cs="仿宋"/>
                <w:color w:val="auto"/>
                <w:sz w:val="22"/>
                <w:szCs w:val="22"/>
                <w:highlight w:val="none"/>
              </w:rPr>
            </w:pPr>
            <w:r>
              <w:rPr>
                <w:rFonts w:hint="eastAsia" w:ascii="仿宋" w:hAnsi="仿宋" w:eastAsia="仿宋" w:cs="仿宋"/>
                <w:b/>
                <w:bCs/>
                <w:color w:val="auto"/>
                <w:spacing w:val="6"/>
                <w:sz w:val="22"/>
                <w:szCs w:val="22"/>
                <w:highlight w:val="none"/>
              </w:rPr>
              <w:t>投标报价F1评审（满分10分）</w:t>
            </w:r>
          </w:p>
        </w:tc>
        <w:tc>
          <w:tcPr>
            <w:tcW w:w="910" w:type="pct"/>
            <w:tcBorders>
              <w:top w:val="single" w:color="auto" w:sz="12" w:space="0"/>
            </w:tcBorders>
            <w:vAlign w:val="center"/>
          </w:tcPr>
          <w:p>
            <w:pPr>
              <w:spacing w:line="380" w:lineRule="exact"/>
              <w:jc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投标总报价</w:t>
            </w:r>
          </w:p>
          <w:p>
            <w:pPr>
              <w:spacing w:line="380" w:lineRule="exact"/>
              <w:jc w:val="center"/>
              <w:rPr>
                <w:rFonts w:hint="eastAsia" w:ascii="仿宋" w:hAnsi="仿宋" w:eastAsia="仿宋" w:cs="仿宋"/>
                <w:color w:val="auto"/>
                <w:kern w:val="0"/>
                <w:sz w:val="22"/>
                <w:szCs w:val="22"/>
                <w:highlight w:val="none"/>
              </w:rPr>
            </w:pPr>
            <w:r>
              <w:rPr>
                <w:rFonts w:hint="eastAsia" w:ascii="仿宋" w:hAnsi="仿宋" w:eastAsia="仿宋" w:cs="仿宋"/>
                <w:color w:val="auto"/>
                <w:kern w:val="0"/>
                <w:sz w:val="22"/>
                <w:szCs w:val="22"/>
                <w:highlight w:val="none"/>
              </w:rPr>
              <w:t>（</w:t>
            </w:r>
            <w:r>
              <w:rPr>
                <w:rFonts w:hint="eastAsia" w:ascii="仿宋" w:hAnsi="仿宋" w:eastAsia="仿宋" w:cs="仿宋"/>
                <w:color w:val="auto"/>
                <w:kern w:val="0"/>
                <w:sz w:val="22"/>
                <w:szCs w:val="22"/>
                <w:highlight w:val="none"/>
                <w:lang w:val="en-US" w:eastAsia="zh-CN"/>
              </w:rPr>
              <w:t>满分10</w:t>
            </w:r>
            <w:r>
              <w:rPr>
                <w:rFonts w:hint="eastAsia" w:ascii="仿宋" w:hAnsi="仿宋" w:eastAsia="仿宋" w:cs="仿宋"/>
                <w:color w:val="auto"/>
                <w:kern w:val="0"/>
                <w:sz w:val="22"/>
                <w:szCs w:val="22"/>
                <w:highlight w:val="none"/>
              </w:rPr>
              <w:t>分）</w:t>
            </w:r>
          </w:p>
        </w:tc>
        <w:tc>
          <w:tcPr>
            <w:tcW w:w="3587" w:type="pct"/>
            <w:tcBorders>
              <w:top w:val="single" w:color="auto" w:sz="12" w:space="0"/>
            </w:tcBorders>
            <w:vAlign w:val="center"/>
          </w:tcPr>
          <w:p>
            <w:pPr>
              <w:spacing w:line="380" w:lineRule="exact"/>
              <w:rPr>
                <w:rFonts w:hint="eastAsia" w:ascii="仿宋" w:hAnsi="仿宋" w:eastAsia="仿宋" w:cs="仿宋"/>
                <w:color w:val="auto"/>
                <w:kern w:val="0"/>
                <w:sz w:val="22"/>
                <w:szCs w:val="22"/>
                <w:highlight w:val="none"/>
              </w:rPr>
            </w:pPr>
            <w:r>
              <w:rPr>
                <w:rFonts w:hint="eastAsia" w:ascii="仿宋" w:hAnsi="仿宋" w:eastAsia="仿宋" w:cs="仿宋"/>
                <w:color w:val="auto"/>
                <w:kern w:val="0"/>
                <w:sz w:val="22"/>
                <w:szCs w:val="22"/>
                <w:highlight w:val="none"/>
                <w:lang w:val="en-US" w:eastAsia="zh-CN"/>
              </w:rPr>
              <w:t>满足招标文件要求且投标价格最低的投标报价为评标基准价。其价格得分为满分。其他投标人的投标报价得分＝（评标基准价/该投标人的投标报价）×10。。</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23" w:type="dxa"/>
            <w:bottom w:w="0" w:type="dxa"/>
            <w:right w:w="23" w:type="dxa"/>
          </w:tblCellMar>
        </w:tblPrEx>
        <w:trPr>
          <w:trHeight w:val="1148" w:hRule="atLeast"/>
          <w:jc w:val="center"/>
        </w:trPr>
        <w:tc>
          <w:tcPr>
            <w:tcW w:w="502" w:type="pct"/>
            <w:vMerge w:val="restart"/>
            <w:vAlign w:val="center"/>
          </w:tcPr>
          <w:p>
            <w:pPr>
              <w:spacing w:line="380" w:lineRule="exact"/>
              <w:jc w:val="center"/>
              <w:rPr>
                <w:rFonts w:hint="eastAsia" w:ascii="仿宋" w:hAnsi="仿宋" w:eastAsia="仿宋" w:cs="仿宋"/>
                <w:color w:val="auto"/>
                <w:kern w:val="0"/>
                <w:sz w:val="22"/>
                <w:szCs w:val="22"/>
                <w:highlight w:val="none"/>
              </w:rPr>
            </w:pPr>
            <w:r>
              <w:rPr>
                <w:rFonts w:hint="eastAsia" w:ascii="仿宋" w:hAnsi="仿宋" w:eastAsia="仿宋" w:cs="仿宋"/>
                <w:b/>
                <w:bCs/>
                <w:color w:val="auto"/>
                <w:spacing w:val="6"/>
                <w:sz w:val="22"/>
                <w:szCs w:val="22"/>
                <w:highlight w:val="none"/>
              </w:rPr>
              <w:t>技术部分F2评审（满分</w:t>
            </w:r>
            <w:r>
              <w:rPr>
                <w:rFonts w:hint="eastAsia" w:ascii="仿宋" w:hAnsi="仿宋" w:eastAsia="仿宋" w:cs="仿宋"/>
                <w:b/>
                <w:bCs/>
                <w:color w:val="auto"/>
                <w:spacing w:val="6"/>
                <w:sz w:val="22"/>
                <w:szCs w:val="22"/>
                <w:highlight w:val="none"/>
                <w:lang w:val="en-US" w:eastAsia="zh-CN"/>
              </w:rPr>
              <w:t>50</w:t>
            </w:r>
            <w:r>
              <w:rPr>
                <w:rFonts w:hint="eastAsia" w:ascii="仿宋" w:hAnsi="仿宋" w:eastAsia="仿宋" w:cs="仿宋"/>
                <w:b/>
                <w:bCs/>
                <w:color w:val="auto"/>
                <w:spacing w:val="6"/>
                <w:sz w:val="22"/>
                <w:szCs w:val="22"/>
                <w:highlight w:val="none"/>
              </w:rPr>
              <w:t>分）</w:t>
            </w:r>
          </w:p>
        </w:tc>
        <w:tc>
          <w:tcPr>
            <w:tcW w:w="910" w:type="pct"/>
            <w:tcBorders>
              <w:bottom w:val="single" w:color="auto" w:sz="4" w:space="0"/>
            </w:tcBorders>
            <w:vAlign w:val="center"/>
          </w:tcPr>
          <w:p>
            <w:pPr>
              <w:pStyle w:val="46"/>
              <w:jc w:val="center"/>
              <w:rPr>
                <w:rFonts w:hint="eastAsia" w:ascii="仿宋" w:hAnsi="仿宋" w:eastAsia="仿宋" w:cs="仿宋"/>
                <w:color w:val="auto"/>
                <w:kern w:val="2"/>
                <w:sz w:val="22"/>
                <w:szCs w:val="22"/>
                <w:highlight w:val="none"/>
                <w:lang w:val="en-US" w:eastAsia="zh-CN" w:bidi="ar-SA"/>
              </w:rPr>
            </w:pPr>
            <w:r>
              <w:rPr>
                <w:rFonts w:hint="eastAsia" w:ascii="仿宋" w:hAnsi="仿宋" w:eastAsia="仿宋" w:cs="仿宋"/>
                <w:color w:val="auto"/>
                <w:kern w:val="2"/>
                <w:sz w:val="22"/>
                <w:szCs w:val="22"/>
                <w:highlight w:val="none"/>
                <w:lang w:val="en-US" w:eastAsia="zh-CN" w:bidi="ar-SA"/>
              </w:rPr>
              <w:t>项目理解、需求分析、需求响应</w:t>
            </w:r>
          </w:p>
          <w:p>
            <w:pPr>
              <w:pStyle w:val="46"/>
              <w:jc w:val="center"/>
              <w:rPr>
                <w:rFonts w:hint="eastAsia" w:ascii="仿宋" w:hAnsi="仿宋" w:eastAsia="仿宋" w:cs="仿宋"/>
                <w:color w:val="auto"/>
                <w:sz w:val="22"/>
                <w:szCs w:val="22"/>
                <w:highlight w:val="none"/>
                <w:lang w:val="en-US" w:eastAsia="zh-CN"/>
              </w:rPr>
            </w:pPr>
            <w:r>
              <w:rPr>
                <w:rFonts w:hint="eastAsia" w:ascii="仿宋" w:hAnsi="仿宋" w:eastAsia="仿宋" w:cs="仿宋"/>
                <w:color w:val="auto"/>
                <w:kern w:val="2"/>
                <w:sz w:val="22"/>
                <w:szCs w:val="22"/>
                <w:highlight w:val="none"/>
                <w:lang w:val="en-US" w:eastAsia="zh-CN" w:bidi="ar-SA"/>
              </w:rPr>
              <w:t>（满分10分）</w:t>
            </w:r>
          </w:p>
        </w:tc>
        <w:tc>
          <w:tcPr>
            <w:tcW w:w="3587" w:type="pct"/>
            <w:vAlign w:val="center"/>
          </w:tcPr>
          <w:p>
            <w:pPr>
              <w:spacing w:line="380" w:lineRule="exact"/>
              <w:rPr>
                <w:rFonts w:hint="eastAsia" w:ascii="仿宋" w:hAnsi="仿宋" w:eastAsia="仿宋" w:cs="仿宋"/>
                <w:color w:val="auto"/>
                <w:kern w:val="0"/>
                <w:sz w:val="22"/>
                <w:szCs w:val="22"/>
                <w:highlight w:val="none"/>
                <w:lang w:val="en-US" w:eastAsia="zh-CN"/>
              </w:rPr>
            </w:pPr>
            <w:r>
              <w:rPr>
                <w:rFonts w:hint="eastAsia" w:ascii="仿宋" w:hAnsi="仿宋" w:eastAsia="仿宋" w:cs="仿宋"/>
                <w:color w:val="auto"/>
                <w:kern w:val="0"/>
                <w:sz w:val="22"/>
                <w:szCs w:val="22"/>
                <w:highlight w:val="none"/>
                <w:lang w:val="en-US" w:eastAsia="zh-CN"/>
              </w:rPr>
              <w:t>（1）对项目背景、项目目的、项目需求、项目建设任务理解透彻，能够很好把握重点、条理清楚、思路清晰，对项目实施过程中可能存在的问题及产生问题的原因分析全面科学合理，并提出有针对性的解决方案的得10分；</w:t>
            </w:r>
          </w:p>
          <w:p>
            <w:pPr>
              <w:spacing w:line="380" w:lineRule="exact"/>
              <w:rPr>
                <w:rFonts w:hint="eastAsia" w:ascii="仿宋" w:hAnsi="仿宋" w:eastAsia="仿宋" w:cs="仿宋"/>
                <w:color w:val="auto"/>
                <w:kern w:val="0"/>
                <w:sz w:val="22"/>
                <w:szCs w:val="22"/>
                <w:highlight w:val="none"/>
                <w:lang w:val="en-US" w:eastAsia="zh-CN"/>
              </w:rPr>
            </w:pPr>
            <w:r>
              <w:rPr>
                <w:rFonts w:hint="eastAsia" w:ascii="仿宋" w:hAnsi="仿宋" w:eastAsia="仿宋" w:cs="仿宋"/>
                <w:color w:val="auto"/>
                <w:kern w:val="0"/>
                <w:sz w:val="22"/>
                <w:szCs w:val="22"/>
                <w:highlight w:val="none"/>
                <w:lang w:val="en-US" w:eastAsia="zh-CN"/>
              </w:rPr>
              <w:t>（2）对项目背景、项目目的、项目需求、项目建设任务理解粗略，重点把握不准确，条理、思路不清晰，对项目实施过程中可能存在的问题及产生问题的原因分析不全面，提出的解决方案欠缺的得7分；</w:t>
            </w:r>
          </w:p>
          <w:p>
            <w:pPr>
              <w:spacing w:line="380" w:lineRule="exact"/>
              <w:rPr>
                <w:rFonts w:hint="eastAsia" w:ascii="仿宋" w:hAnsi="仿宋" w:eastAsia="仿宋" w:cs="仿宋"/>
                <w:color w:val="auto"/>
                <w:kern w:val="0"/>
                <w:sz w:val="22"/>
                <w:szCs w:val="22"/>
                <w:highlight w:val="none"/>
                <w:lang w:val="en-US" w:eastAsia="zh-CN"/>
              </w:rPr>
            </w:pPr>
            <w:r>
              <w:rPr>
                <w:rFonts w:hint="eastAsia" w:ascii="仿宋" w:hAnsi="仿宋" w:eastAsia="仿宋" w:cs="仿宋"/>
                <w:color w:val="auto"/>
                <w:kern w:val="0"/>
                <w:sz w:val="22"/>
                <w:szCs w:val="22"/>
                <w:highlight w:val="none"/>
                <w:lang w:val="en-US" w:eastAsia="zh-CN"/>
              </w:rPr>
              <w:t>（3）对项目背景、项目目的、项目需求、项目建设任务理解有偏差，对项目实施过程中可能存在的问题及产生问题的原因分析不科学、不合理，提出的解决方案无针对性的得3分；</w:t>
            </w:r>
          </w:p>
          <w:p>
            <w:pPr>
              <w:spacing w:line="380" w:lineRule="exact"/>
              <w:rPr>
                <w:rFonts w:hint="eastAsia" w:ascii="仿宋" w:hAnsi="仿宋" w:eastAsia="仿宋" w:cs="仿宋"/>
                <w:color w:val="auto"/>
                <w:sz w:val="22"/>
                <w:szCs w:val="22"/>
                <w:highlight w:val="none"/>
                <w:lang w:val="en-US" w:eastAsia="zh-CN"/>
              </w:rPr>
            </w:pPr>
            <w:r>
              <w:rPr>
                <w:rFonts w:hint="eastAsia" w:ascii="仿宋" w:hAnsi="仿宋" w:eastAsia="仿宋" w:cs="仿宋"/>
                <w:color w:val="auto"/>
                <w:kern w:val="0"/>
                <w:sz w:val="22"/>
                <w:szCs w:val="22"/>
                <w:highlight w:val="none"/>
                <w:lang w:val="en-US" w:eastAsia="zh-CN"/>
              </w:rPr>
              <w:t>（4）无项目理解、需求分析、需求响应的不得分。</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23" w:type="dxa"/>
            <w:bottom w:w="0" w:type="dxa"/>
            <w:right w:w="23" w:type="dxa"/>
          </w:tblCellMar>
        </w:tblPrEx>
        <w:trPr>
          <w:trHeight w:val="90" w:hRule="atLeast"/>
          <w:jc w:val="center"/>
        </w:trPr>
        <w:tc>
          <w:tcPr>
            <w:tcW w:w="502" w:type="pct"/>
            <w:vMerge w:val="continue"/>
            <w:vAlign w:val="center"/>
          </w:tcPr>
          <w:p>
            <w:pPr>
              <w:spacing w:line="380" w:lineRule="exact"/>
              <w:jc w:val="center"/>
              <w:rPr>
                <w:rFonts w:hint="eastAsia" w:ascii="仿宋" w:hAnsi="仿宋" w:eastAsia="仿宋" w:cs="仿宋"/>
                <w:color w:val="auto"/>
                <w:kern w:val="0"/>
                <w:sz w:val="22"/>
                <w:szCs w:val="22"/>
                <w:highlight w:val="none"/>
              </w:rPr>
            </w:pPr>
          </w:p>
        </w:tc>
        <w:tc>
          <w:tcPr>
            <w:tcW w:w="910" w:type="pct"/>
            <w:tcBorders>
              <w:bottom w:val="single" w:color="auto" w:sz="4" w:space="0"/>
            </w:tcBorders>
            <w:vAlign w:val="center"/>
          </w:tcPr>
          <w:p>
            <w:pPr>
              <w:spacing w:line="500" w:lineRule="exact"/>
              <w:jc w:val="center"/>
              <w:rPr>
                <w:rFonts w:hint="eastAsia" w:ascii="仿宋" w:hAnsi="仿宋" w:eastAsia="仿宋" w:cs="仿宋"/>
                <w:color w:val="auto"/>
                <w:kern w:val="2"/>
                <w:sz w:val="22"/>
                <w:szCs w:val="22"/>
                <w:highlight w:val="none"/>
                <w:lang w:val="en-US" w:eastAsia="zh-CN" w:bidi="ar-SA"/>
              </w:rPr>
            </w:pPr>
            <w:r>
              <w:rPr>
                <w:rFonts w:hint="eastAsia" w:ascii="仿宋" w:hAnsi="仿宋" w:eastAsia="仿宋" w:cs="仿宋"/>
                <w:color w:val="auto"/>
                <w:kern w:val="2"/>
                <w:sz w:val="22"/>
                <w:szCs w:val="22"/>
                <w:highlight w:val="none"/>
                <w:lang w:val="en-US" w:eastAsia="zh-CN" w:bidi="ar-SA"/>
              </w:rPr>
              <w:t>技术方案</w:t>
            </w:r>
          </w:p>
          <w:p>
            <w:pPr>
              <w:spacing w:line="500" w:lineRule="exact"/>
              <w:jc w:val="center"/>
              <w:rPr>
                <w:rFonts w:hint="eastAsia" w:ascii="仿宋" w:hAnsi="仿宋" w:eastAsia="仿宋" w:cs="仿宋"/>
                <w:color w:val="auto"/>
                <w:kern w:val="2"/>
                <w:sz w:val="22"/>
                <w:szCs w:val="22"/>
                <w:highlight w:val="none"/>
                <w:lang w:val="en-US" w:eastAsia="zh-CN" w:bidi="ar-SA"/>
              </w:rPr>
            </w:pPr>
            <w:r>
              <w:rPr>
                <w:rFonts w:hint="eastAsia" w:ascii="仿宋" w:hAnsi="仿宋" w:eastAsia="仿宋" w:cs="仿宋"/>
                <w:color w:val="auto"/>
                <w:kern w:val="2"/>
                <w:sz w:val="22"/>
                <w:szCs w:val="22"/>
                <w:highlight w:val="none"/>
                <w:lang w:val="en-US" w:eastAsia="zh-CN" w:bidi="ar-SA"/>
              </w:rPr>
              <w:t>（满分20分）</w:t>
            </w:r>
          </w:p>
        </w:tc>
        <w:tc>
          <w:tcPr>
            <w:tcW w:w="3587" w:type="pct"/>
            <w:vAlign w:val="center"/>
          </w:tcPr>
          <w:p>
            <w:pPr>
              <w:spacing w:line="380" w:lineRule="exact"/>
              <w:rPr>
                <w:rFonts w:hint="eastAsia" w:ascii="仿宋" w:hAnsi="仿宋" w:eastAsia="仿宋" w:cs="仿宋"/>
                <w:color w:val="auto"/>
                <w:kern w:val="2"/>
                <w:sz w:val="22"/>
                <w:szCs w:val="22"/>
                <w:highlight w:val="none"/>
                <w:lang w:val="en-US" w:eastAsia="zh-CN" w:bidi="ar-SA"/>
              </w:rPr>
            </w:pPr>
            <w:r>
              <w:rPr>
                <w:rFonts w:hint="eastAsia" w:ascii="仿宋" w:hAnsi="仿宋" w:eastAsia="仿宋" w:cs="仿宋"/>
                <w:color w:val="auto"/>
                <w:kern w:val="2"/>
                <w:sz w:val="22"/>
                <w:szCs w:val="22"/>
                <w:highlight w:val="none"/>
                <w:lang w:val="en-US" w:eastAsia="zh-CN" w:bidi="ar-SA"/>
              </w:rPr>
              <w:t>技术方案包括：①保障支持服务方案；②针对本项目科学、合理的实施方案；③成果文件质量管理方案；④对关键性技术问题认识及对策措施；</w:t>
            </w:r>
          </w:p>
          <w:p>
            <w:pPr>
              <w:spacing w:line="380" w:lineRule="exact"/>
              <w:rPr>
                <w:rFonts w:hint="eastAsia" w:ascii="仿宋" w:hAnsi="仿宋" w:eastAsia="仿宋" w:cs="仿宋"/>
                <w:color w:val="auto"/>
                <w:kern w:val="2"/>
                <w:sz w:val="22"/>
                <w:szCs w:val="22"/>
                <w:highlight w:val="none"/>
                <w:lang w:val="en-US" w:eastAsia="zh-CN" w:bidi="ar-SA"/>
              </w:rPr>
            </w:pPr>
            <w:r>
              <w:rPr>
                <w:rFonts w:hint="eastAsia" w:ascii="仿宋" w:hAnsi="仿宋" w:eastAsia="仿宋" w:cs="仿宋"/>
                <w:color w:val="auto"/>
                <w:kern w:val="2"/>
                <w:sz w:val="22"/>
                <w:szCs w:val="22"/>
                <w:highlight w:val="none"/>
                <w:lang w:val="en-US" w:eastAsia="zh-CN" w:bidi="ar-SA"/>
              </w:rPr>
              <w:t>上述4项方案内容齐全合理，完全满足采购需求的得20分，每有1项内容合理、不能完全满足项目服务质量要求的扣1分，每有1项内容不合理、不能满足项目服务质量要求的扣3分，每缺少1项内容的扣5分，分数扣完为止。</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23" w:type="dxa"/>
            <w:bottom w:w="0" w:type="dxa"/>
            <w:right w:w="23" w:type="dxa"/>
          </w:tblCellMar>
        </w:tblPrEx>
        <w:trPr>
          <w:trHeight w:val="23" w:hRule="atLeast"/>
          <w:jc w:val="center"/>
        </w:trPr>
        <w:tc>
          <w:tcPr>
            <w:tcW w:w="502" w:type="pct"/>
            <w:vMerge w:val="continue"/>
            <w:vAlign w:val="center"/>
          </w:tcPr>
          <w:p>
            <w:pPr>
              <w:spacing w:line="380" w:lineRule="exact"/>
              <w:jc w:val="center"/>
              <w:rPr>
                <w:rFonts w:hint="eastAsia" w:ascii="仿宋" w:hAnsi="仿宋" w:eastAsia="仿宋" w:cs="仿宋"/>
                <w:b/>
                <w:bCs/>
                <w:color w:val="auto"/>
                <w:spacing w:val="6"/>
                <w:sz w:val="22"/>
                <w:szCs w:val="22"/>
                <w:highlight w:val="none"/>
              </w:rPr>
            </w:pPr>
          </w:p>
        </w:tc>
        <w:tc>
          <w:tcPr>
            <w:tcW w:w="910" w:type="pct"/>
            <w:tcBorders>
              <w:bottom w:val="single" w:color="auto" w:sz="4" w:space="0"/>
            </w:tcBorders>
            <w:vAlign w:val="center"/>
          </w:tcPr>
          <w:p>
            <w:pPr>
              <w:spacing w:line="380" w:lineRule="exact"/>
              <w:jc w:val="left"/>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进度计划及保证措施（满分10分）</w:t>
            </w:r>
          </w:p>
        </w:tc>
        <w:tc>
          <w:tcPr>
            <w:tcW w:w="3587" w:type="pct"/>
            <w:vAlign w:val="center"/>
          </w:tcPr>
          <w:p>
            <w:pPr>
              <w:spacing w:line="380" w:lineRule="exact"/>
              <w:jc w:val="left"/>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（1）进度计划完整、合理，符合实际，对完成本项目有详细、合理的时间计划、进度安排和保障措施，保证措施有力，能够很好的满足项目需求的得10分；</w:t>
            </w:r>
          </w:p>
          <w:p>
            <w:pPr>
              <w:spacing w:line="380" w:lineRule="exact"/>
              <w:jc w:val="left"/>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（2）进度计划基本完整、合理性欠缺，有保证措施，基本能够满足项目需求的得7分；</w:t>
            </w:r>
          </w:p>
          <w:p>
            <w:pPr>
              <w:spacing w:line="380" w:lineRule="exact"/>
              <w:jc w:val="left"/>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（3）进度计划不完整不合理，无保证措施，不能满足项目需求的得3分；</w:t>
            </w:r>
          </w:p>
          <w:p>
            <w:pPr>
              <w:spacing w:line="380" w:lineRule="exact"/>
              <w:jc w:val="left"/>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（4）无进度计划及保证措施的不得分。</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23" w:type="dxa"/>
            <w:bottom w:w="0" w:type="dxa"/>
            <w:right w:w="23" w:type="dxa"/>
          </w:tblCellMar>
        </w:tblPrEx>
        <w:trPr>
          <w:trHeight w:val="23" w:hRule="atLeast"/>
          <w:jc w:val="center"/>
        </w:trPr>
        <w:tc>
          <w:tcPr>
            <w:tcW w:w="502" w:type="pct"/>
            <w:vMerge w:val="continue"/>
            <w:vAlign w:val="center"/>
          </w:tcPr>
          <w:p>
            <w:pPr>
              <w:spacing w:line="380" w:lineRule="exact"/>
              <w:rPr>
                <w:rFonts w:hint="eastAsia" w:ascii="仿宋" w:hAnsi="仿宋" w:eastAsia="仿宋" w:cs="仿宋"/>
                <w:color w:val="auto"/>
                <w:kern w:val="0"/>
                <w:sz w:val="22"/>
                <w:szCs w:val="22"/>
                <w:highlight w:val="none"/>
              </w:rPr>
            </w:pPr>
          </w:p>
        </w:tc>
        <w:tc>
          <w:tcPr>
            <w:tcW w:w="910" w:type="pct"/>
            <w:tcBorders>
              <w:bottom w:val="single" w:color="auto" w:sz="4" w:space="0"/>
            </w:tcBorders>
            <w:vAlign w:val="center"/>
          </w:tcPr>
          <w:p>
            <w:pPr>
              <w:spacing w:line="380" w:lineRule="exact"/>
              <w:jc w:val="left"/>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项目质量保证措施（满分10分）</w:t>
            </w:r>
          </w:p>
        </w:tc>
        <w:tc>
          <w:tcPr>
            <w:tcW w:w="3587" w:type="pct"/>
            <w:vAlign w:val="center"/>
          </w:tcPr>
          <w:p>
            <w:pPr>
              <w:spacing w:line="380" w:lineRule="exact"/>
              <w:jc w:val="left"/>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（1）质量管理体系完善、有周密的项目阶段性质量保证措施，质量控制措施全面、具有详细可行的质量惩罚措施的得10分；</w:t>
            </w:r>
          </w:p>
          <w:p>
            <w:pPr>
              <w:spacing w:line="380" w:lineRule="exact"/>
              <w:jc w:val="left"/>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（2）质量管理体系可行、有质量保证措施，质量控制措施可行、具有质量惩罚措施的得7分；</w:t>
            </w:r>
          </w:p>
          <w:p>
            <w:pPr>
              <w:spacing w:line="380" w:lineRule="exact"/>
              <w:jc w:val="left"/>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（3）质量管理体系不足、质量保证措施存在偏差，质量控制措施存在不足，不满足项目实际要求的得3分。</w:t>
            </w:r>
          </w:p>
          <w:p>
            <w:pPr>
              <w:spacing w:line="380" w:lineRule="exact"/>
              <w:jc w:val="left"/>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（4）无项目质量保证措施的不得分。</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23" w:hRule="atLeast"/>
          <w:jc w:val="center"/>
        </w:trPr>
        <w:tc>
          <w:tcPr>
            <w:tcW w:w="502" w:type="pct"/>
            <w:vMerge w:val="restart"/>
            <w:vAlign w:val="center"/>
          </w:tcPr>
          <w:p>
            <w:pPr>
              <w:spacing w:line="380" w:lineRule="exact"/>
              <w:jc w:val="center"/>
              <w:rPr>
                <w:rFonts w:hint="eastAsia" w:ascii="仿宋" w:hAnsi="仿宋" w:eastAsia="仿宋" w:cs="仿宋"/>
                <w:b/>
                <w:bCs/>
                <w:color w:val="auto"/>
                <w:sz w:val="22"/>
                <w:szCs w:val="22"/>
                <w:highlight w:val="none"/>
              </w:rPr>
            </w:pPr>
          </w:p>
          <w:p>
            <w:pPr>
              <w:spacing w:line="380" w:lineRule="exact"/>
              <w:jc w:val="center"/>
              <w:rPr>
                <w:rFonts w:hint="eastAsia" w:ascii="仿宋" w:hAnsi="仿宋" w:eastAsia="仿宋" w:cs="仿宋"/>
                <w:color w:val="auto"/>
                <w:sz w:val="22"/>
                <w:szCs w:val="22"/>
                <w:highlight w:val="none"/>
              </w:rPr>
            </w:pPr>
            <w:r>
              <w:rPr>
                <w:rFonts w:hint="eastAsia" w:ascii="仿宋" w:hAnsi="仿宋" w:eastAsia="仿宋" w:cs="仿宋"/>
                <w:b/>
                <w:bCs/>
                <w:color w:val="auto"/>
                <w:sz w:val="22"/>
                <w:szCs w:val="22"/>
                <w:highlight w:val="none"/>
                <w:lang w:eastAsia="zh-CN"/>
              </w:rPr>
              <w:t>商务部分</w:t>
            </w:r>
            <w:r>
              <w:rPr>
                <w:rFonts w:hint="eastAsia" w:ascii="仿宋" w:hAnsi="仿宋" w:eastAsia="仿宋" w:cs="仿宋"/>
                <w:b/>
                <w:bCs/>
                <w:color w:val="auto"/>
                <w:sz w:val="22"/>
                <w:szCs w:val="22"/>
                <w:highlight w:val="none"/>
              </w:rPr>
              <w:t>F3评审（满分</w:t>
            </w:r>
            <w:r>
              <w:rPr>
                <w:rFonts w:hint="eastAsia" w:ascii="仿宋" w:hAnsi="仿宋" w:eastAsia="仿宋" w:cs="仿宋"/>
                <w:b/>
                <w:bCs/>
                <w:color w:val="auto"/>
                <w:sz w:val="22"/>
                <w:szCs w:val="22"/>
                <w:highlight w:val="none"/>
                <w:lang w:val="en-US" w:eastAsia="zh-CN"/>
              </w:rPr>
              <w:t>40</w:t>
            </w:r>
            <w:r>
              <w:rPr>
                <w:rFonts w:hint="eastAsia" w:ascii="仿宋" w:hAnsi="仿宋" w:eastAsia="仿宋" w:cs="仿宋"/>
                <w:b/>
                <w:bCs/>
                <w:color w:val="auto"/>
                <w:sz w:val="22"/>
                <w:szCs w:val="22"/>
                <w:highlight w:val="none"/>
              </w:rPr>
              <w:t>分）</w:t>
            </w:r>
          </w:p>
        </w:tc>
        <w:tc>
          <w:tcPr>
            <w:tcW w:w="910" w:type="pct"/>
            <w:tcBorders>
              <w:top w:val="single" w:color="auto" w:sz="4" w:space="0"/>
            </w:tcBorders>
            <w:vAlign w:val="center"/>
          </w:tcPr>
          <w:p>
            <w:pPr>
              <w:spacing w:line="380" w:lineRule="exact"/>
              <w:jc w:val="center"/>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项目配备人员(满分10分)</w:t>
            </w:r>
          </w:p>
        </w:tc>
        <w:tc>
          <w:tcPr>
            <w:tcW w:w="3587" w:type="pct"/>
            <w:vAlign w:val="top"/>
          </w:tcPr>
          <w:p>
            <w:pPr>
              <w:spacing w:line="380" w:lineRule="exact"/>
              <w:jc w:val="left"/>
              <w:rPr>
                <w:rFonts w:hint="eastAsia" w:ascii="仿宋" w:hAnsi="仿宋" w:eastAsia="仿宋" w:cs="仿宋"/>
                <w:b w:val="0"/>
                <w:bCs w:val="0"/>
                <w:color w:val="auto"/>
                <w:sz w:val="22"/>
                <w:szCs w:val="22"/>
                <w:highlight w:val="none"/>
                <w:lang w:val="en-US" w:eastAsia="zh-CN"/>
              </w:rPr>
            </w:pPr>
            <w:r>
              <w:rPr>
                <w:rFonts w:hint="eastAsia" w:ascii="仿宋" w:hAnsi="仿宋" w:eastAsia="仿宋" w:cs="仿宋"/>
                <w:b w:val="0"/>
                <w:bCs w:val="0"/>
                <w:color w:val="auto"/>
                <w:sz w:val="22"/>
                <w:szCs w:val="22"/>
                <w:highlight w:val="none"/>
                <w:lang w:val="en-US" w:eastAsia="zh-CN"/>
              </w:rPr>
              <w:t>第一档次(10)分：拟派项目团队配备人员齐全、岗位职责分工明确，人员分配合理，完全符合采购人实际需求的；</w:t>
            </w:r>
          </w:p>
          <w:p>
            <w:pPr>
              <w:spacing w:line="380" w:lineRule="exact"/>
              <w:jc w:val="left"/>
              <w:rPr>
                <w:rFonts w:hint="eastAsia" w:ascii="仿宋" w:hAnsi="仿宋" w:eastAsia="仿宋" w:cs="仿宋"/>
                <w:b w:val="0"/>
                <w:bCs w:val="0"/>
                <w:color w:val="auto"/>
                <w:sz w:val="22"/>
                <w:szCs w:val="22"/>
                <w:highlight w:val="none"/>
                <w:lang w:val="en-US" w:eastAsia="zh-CN"/>
              </w:rPr>
            </w:pPr>
            <w:r>
              <w:rPr>
                <w:rFonts w:hint="eastAsia" w:ascii="仿宋" w:hAnsi="仿宋" w:eastAsia="仿宋" w:cs="仿宋"/>
                <w:b w:val="0"/>
                <w:bCs w:val="0"/>
                <w:color w:val="auto"/>
                <w:sz w:val="22"/>
                <w:szCs w:val="22"/>
                <w:highlight w:val="none"/>
                <w:lang w:val="en-US" w:eastAsia="zh-CN"/>
              </w:rPr>
              <w:t>第二档次(7)分：拟派项目团队人员搭配合理、分工较明确，符合采购人实际需求的；</w:t>
            </w:r>
          </w:p>
          <w:p>
            <w:pPr>
              <w:spacing w:line="380" w:lineRule="exact"/>
              <w:jc w:val="left"/>
              <w:rPr>
                <w:rFonts w:hint="eastAsia" w:ascii="仿宋" w:hAnsi="仿宋" w:eastAsia="仿宋" w:cs="仿宋"/>
                <w:b w:val="0"/>
                <w:bCs w:val="0"/>
                <w:color w:val="auto"/>
                <w:sz w:val="22"/>
                <w:szCs w:val="22"/>
                <w:highlight w:val="none"/>
                <w:lang w:val="en-US" w:eastAsia="zh-CN"/>
              </w:rPr>
            </w:pPr>
            <w:r>
              <w:rPr>
                <w:rFonts w:hint="eastAsia" w:ascii="仿宋" w:hAnsi="仿宋" w:eastAsia="仿宋" w:cs="仿宋"/>
                <w:b w:val="0"/>
                <w:bCs w:val="0"/>
                <w:color w:val="auto"/>
                <w:sz w:val="22"/>
                <w:szCs w:val="22"/>
                <w:highlight w:val="none"/>
                <w:lang w:val="en-US" w:eastAsia="zh-CN"/>
              </w:rPr>
              <w:t>第三档次(3)分：拟派项目团队人员搭配基本合理、分工基本明确，基本符合采购人实际需求的；</w:t>
            </w:r>
          </w:p>
          <w:p>
            <w:pPr>
              <w:spacing w:line="380" w:lineRule="exact"/>
              <w:jc w:val="left"/>
              <w:rPr>
                <w:rFonts w:hint="eastAsia" w:ascii="仿宋" w:hAnsi="仿宋" w:eastAsia="仿宋" w:cs="仿宋"/>
                <w:b w:val="0"/>
                <w:bCs w:val="0"/>
                <w:color w:val="auto"/>
                <w:sz w:val="22"/>
                <w:szCs w:val="22"/>
                <w:highlight w:val="none"/>
                <w:lang w:val="en-US" w:eastAsia="zh-CN"/>
              </w:rPr>
            </w:pPr>
            <w:r>
              <w:rPr>
                <w:rFonts w:hint="eastAsia" w:ascii="仿宋" w:hAnsi="仿宋" w:eastAsia="仿宋" w:cs="仿宋"/>
                <w:b w:val="0"/>
                <w:bCs w:val="0"/>
                <w:color w:val="auto"/>
                <w:sz w:val="22"/>
                <w:szCs w:val="22"/>
                <w:highlight w:val="none"/>
                <w:lang w:val="en-US" w:eastAsia="zh-CN"/>
              </w:rPr>
              <w:t>第四档次(0)分：拟派项目团队组成情况，或拟派项目团队人员搭配不合理、分工不明确，不符合采购人实际需求的。</w:t>
            </w:r>
          </w:p>
          <w:p>
            <w:pPr>
              <w:spacing w:line="380" w:lineRule="exact"/>
              <w:jc w:val="left"/>
              <w:rPr>
                <w:rFonts w:hint="eastAsia" w:ascii="仿宋" w:hAnsi="仿宋" w:eastAsia="仿宋" w:cs="仿宋"/>
                <w:color w:val="auto"/>
                <w:sz w:val="22"/>
                <w:szCs w:val="22"/>
                <w:highlight w:val="none"/>
                <w:lang w:val="en-US" w:eastAsia="zh-CN"/>
              </w:rPr>
            </w:pPr>
            <w:r>
              <w:rPr>
                <w:rFonts w:hint="eastAsia" w:ascii="仿宋" w:hAnsi="仿宋" w:eastAsia="仿宋" w:cs="仿宋"/>
                <w:b/>
                <w:bCs/>
                <w:color w:val="auto"/>
                <w:sz w:val="22"/>
                <w:szCs w:val="22"/>
                <w:highlight w:val="none"/>
                <w:lang w:val="en-US" w:eastAsia="zh-CN"/>
              </w:rPr>
              <w:t>注：须提供身份证、毕业证、相应证书、近三个月社保等相关证明材料，未提供的不得分。</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23" w:hRule="atLeast"/>
          <w:jc w:val="center"/>
        </w:trPr>
        <w:tc>
          <w:tcPr>
            <w:tcW w:w="502" w:type="pct"/>
            <w:vMerge w:val="continue"/>
            <w:vAlign w:val="center"/>
          </w:tcPr>
          <w:p>
            <w:pPr>
              <w:spacing w:line="380" w:lineRule="exact"/>
              <w:jc w:val="center"/>
              <w:rPr>
                <w:rFonts w:hint="eastAsia" w:ascii="仿宋" w:hAnsi="仿宋" w:eastAsia="仿宋" w:cs="仿宋"/>
                <w:b/>
                <w:bCs/>
                <w:color w:val="auto"/>
                <w:sz w:val="22"/>
                <w:szCs w:val="22"/>
                <w:highlight w:val="none"/>
              </w:rPr>
            </w:pPr>
          </w:p>
        </w:tc>
        <w:tc>
          <w:tcPr>
            <w:tcW w:w="910" w:type="pct"/>
            <w:tcBorders>
              <w:top w:val="single" w:color="auto" w:sz="4" w:space="0"/>
            </w:tcBorders>
            <w:vAlign w:val="center"/>
          </w:tcPr>
          <w:p>
            <w:pPr>
              <w:spacing w:line="380" w:lineRule="exact"/>
              <w:jc w:val="left"/>
              <w:rPr>
                <w:rFonts w:hint="eastAsia" w:ascii="仿宋" w:hAnsi="仿宋" w:eastAsia="仿宋" w:cs="仿宋"/>
                <w:b w:val="0"/>
                <w:bCs w:val="0"/>
                <w:color w:val="auto"/>
                <w:sz w:val="22"/>
                <w:szCs w:val="22"/>
                <w:highlight w:val="none"/>
                <w:lang w:val="en-US" w:eastAsia="zh-CN"/>
              </w:rPr>
            </w:pPr>
            <w:r>
              <w:rPr>
                <w:rFonts w:hint="eastAsia" w:ascii="仿宋" w:hAnsi="仿宋" w:eastAsia="仿宋" w:cs="仿宋"/>
                <w:b w:val="0"/>
                <w:bCs w:val="0"/>
                <w:color w:val="auto"/>
                <w:sz w:val="22"/>
                <w:szCs w:val="22"/>
                <w:highlight w:val="none"/>
                <w:lang w:val="en-US" w:eastAsia="zh-CN"/>
              </w:rPr>
              <w:t>服务质量承诺</w:t>
            </w:r>
          </w:p>
          <w:p>
            <w:pPr>
              <w:spacing w:line="380" w:lineRule="exact"/>
              <w:jc w:val="left"/>
              <w:rPr>
                <w:rFonts w:hint="eastAsia" w:ascii="仿宋" w:hAnsi="仿宋" w:eastAsia="仿宋" w:cs="仿宋"/>
                <w:b w:val="0"/>
                <w:bCs w:val="0"/>
                <w:color w:val="auto"/>
                <w:sz w:val="22"/>
                <w:szCs w:val="22"/>
                <w:highlight w:val="none"/>
                <w:lang w:val="en-US" w:eastAsia="zh-CN"/>
              </w:rPr>
            </w:pPr>
            <w:r>
              <w:rPr>
                <w:rFonts w:hint="eastAsia" w:ascii="仿宋" w:hAnsi="仿宋" w:eastAsia="仿宋" w:cs="仿宋"/>
                <w:b w:val="0"/>
                <w:bCs w:val="0"/>
                <w:color w:val="auto"/>
                <w:sz w:val="22"/>
                <w:szCs w:val="22"/>
                <w:highlight w:val="none"/>
                <w:lang w:val="en-US" w:eastAsia="zh-CN"/>
              </w:rPr>
              <w:t>（满分20分）</w:t>
            </w:r>
          </w:p>
        </w:tc>
        <w:tc>
          <w:tcPr>
            <w:tcW w:w="3587" w:type="pct"/>
            <w:vAlign w:val="center"/>
          </w:tcPr>
          <w:p>
            <w:pPr>
              <w:spacing w:line="380" w:lineRule="exact"/>
              <w:jc w:val="left"/>
              <w:rPr>
                <w:rFonts w:hint="eastAsia" w:ascii="仿宋" w:hAnsi="仿宋" w:eastAsia="仿宋" w:cs="仿宋"/>
                <w:b/>
                <w:bCs/>
                <w:color w:val="auto"/>
                <w:sz w:val="22"/>
                <w:szCs w:val="22"/>
                <w:highlight w:val="none"/>
                <w:lang w:val="en-US" w:eastAsia="zh-CN"/>
              </w:rPr>
            </w:pPr>
            <w:r>
              <w:rPr>
                <w:rFonts w:hint="eastAsia" w:ascii="仿宋" w:hAnsi="仿宋" w:eastAsia="仿宋" w:cs="仿宋"/>
                <w:b/>
                <w:bCs/>
                <w:color w:val="auto"/>
                <w:sz w:val="22"/>
                <w:szCs w:val="22"/>
                <w:highlight w:val="none"/>
                <w:lang w:val="en-US" w:eastAsia="zh-CN"/>
              </w:rPr>
              <w:t>（1）质量承诺、后续服务方案评审评分（10分）</w:t>
            </w:r>
          </w:p>
          <w:p>
            <w:pPr>
              <w:spacing w:line="380" w:lineRule="exact"/>
              <w:jc w:val="left"/>
              <w:rPr>
                <w:rFonts w:hint="eastAsia" w:ascii="仿宋" w:hAnsi="仿宋" w:eastAsia="仿宋" w:cs="仿宋"/>
                <w:b w:val="0"/>
                <w:bCs w:val="0"/>
                <w:color w:val="auto"/>
                <w:sz w:val="22"/>
                <w:szCs w:val="22"/>
                <w:highlight w:val="none"/>
                <w:lang w:val="en-US" w:eastAsia="zh-CN"/>
              </w:rPr>
            </w:pPr>
            <w:r>
              <w:rPr>
                <w:rFonts w:hint="eastAsia" w:ascii="仿宋" w:hAnsi="仿宋" w:eastAsia="仿宋" w:cs="仿宋"/>
                <w:b w:val="0"/>
                <w:bCs w:val="0"/>
                <w:color w:val="auto"/>
                <w:sz w:val="22"/>
                <w:szCs w:val="22"/>
                <w:highlight w:val="none"/>
                <w:lang w:val="en-US" w:eastAsia="zh-CN"/>
              </w:rPr>
              <w:t>第一档次（10分）：投标人针对本项目有完善的质量承诺、后续服务方案及服务人员，有详细的保证措施，完全满足采购人实际需求；</w:t>
            </w:r>
          </w:p>
          <w:p>
            <w:pPr>
              <w:spacing w:line="380" w:lineRule="exact"/>
              <w:jc w:val="left"/>
              <w:rPr>
                <w:rFonts w:hint="eastAsia" w:ascii="仿宋" w:hAnsi="仿宋" w:eastAsia="仿宋" w:cs="仿宋"/>
                <w:b w:val="0"/>
                <w:bCs w:val="0"/>
                <w:color w:val="auto"/>
                <w:sz w:val="22"/>
                <w:szCs w:val="22"/>
                <w:highlight w:val="none"/>
                <w:lang w:val="en-US" w:eastAsia="zh-CN"/>
              </w:rPr>
            </w:pPr>
            <w:r>
              <w:rPr>
                <w:rFonts w:hint="eastAsia" w:ascii="仿宋" w:hAnsi="仿宋" w:eastAsia="仿宋" w:cs="仿宋"/>
                <w:b w:val="0"/>
                <w:bCs w:val="0"/>
                <w:color w:val="auto"/>
                <w:sz w:val="22"/>
                <w:szCs w:val="22"/>
                <w:highlight w:val="none"/>
                <w:lang w:val="en-US" w:eastAsia="zh-CN"/>
              </w:rPr>
              <w:t>第二档次（7分）：投标人针对本项目有质量承诺、后续服务方案及服务人员，有保证措施但不具体的，基本满足采购人实际需求；</w:t>
            </w:r>
          </w:p>
          <w:p>
            <w:pPr>
              <w:spacing w:line="380" w:lineRule="exact"/>
              <w:jc w:val="left"/>
              <w:rPr>
                <w:rFonts w:hint="eastAsia" w:ascii="仿宋" w:hAnsi="仿宋" w:eastAsia="仿宋" w:cs="仿宋"/>
                <w:b w:val="0"/>
                <w:bCs w:val="0"/>
                <w:color w:val="auto"/>
                <w:sz w:val="22"/>
                <w:szCs w:val="22"/>
                <w:highlight w:val="none"/>
                <w:lang w:val="en-US" w:eastAsia="zh-CN"/>
              </w:rPr>
            </w:pPr>
            <w:r>
              <w:rPr>
                <w:rFonts w:hint="eastAsia" w:ascii="仿宋" w:hAnsi="仿宋" w:eastAsia="仿宋" w:cs="仿宋"/>
                <w:b w:val="0"/>
                <w:bCs w:val="0"/>
                <w:color w:val="auto"/>
                <w:sz w:val="22"/>
                <w:szCs w:val="22"/>
                <w:highlight w:val="none"/>
                <w:lang w:val="en-US" w:eastAsia="zh-CN"/>
              </w:rPr>
              <w:t>第三档次（5分）：针对本项目质量承诺简略、后续服务方案、服务人员不完善；</w:t>
            </w:r>
          </w:p>
          <w:p>
            <w:pPr>
              <w:spacing w:line="380" w:lineRule="exact"/>
              <w:jc w:val="left"/>
              <w:rPr>
                <w:rFonts w:hint="eastAsia" w:ascii="仿宋" w:hAnsi="仿宋" w:eastAsia="仿宋" w:cs="仿宋"/>
                <w:b w:val="0"/>
                <w:bCs w:val="0"/>
                <w:color w:val="auto"/>
                <w:sz w:val="22"/>
                <w:szCs w:val="22"/>
                <w:highlight w:val="none"/>
                <w:lang w:val="en-US" w:eastAsia="zh-CN"/>
              </w:rPr>
            </w:pPr>
            <w:r>
              <w:rPr>
                <w:rFonts w:hint="eastAsia" w:ascii="仿宋" w:hAnsi="仿宋" w:eastAsia="仿宋" w:cs="仿宋"/>
                <w:b w:val="0"/>
                <w:bCs w:val="0"/>
                <w:color w:val="auto"/>
                <w:sz w:val="22"/>
                <w:szCs w:val="22"/>
                <w:highlight w:val="none"/>
                <w:lang w:val="en-US" w:eastAsia="zh-CN"/>
              </w:rPr>
              <w:t>第四档次（0分）：没有质量承诺、后续服务方案及服务人员的不得分。</w:t>
            </w:r>
          </w:p>
          <w:p>
            <w:pPr>
              <w:spacing w:line="380" w:lineRule="exact"/>
              <w:jc w:val="left"/>
              <w:rPr>
                <w:rFonts w:hint="eastAsia" w:ascii="仿宋" w:hAnsi="仿宋" w:eastAsia="仿宋" w:cs="仿宋"/>
                <w:b/>
                <w:bCs/>
                <w:color w:val="auto"/>
                <w:sz w:val="22"/>
                <w:szCs w:val="22"/>
                <w:highlight w:val="none"/>
                <w:lang w:val="en-US" w:eastAsia="zh-CN"/>
              </w:rPr>
            </w:pPr>
            <w:r>
              <w:rPr>
                <w:rFonts w:hint="eastAsia" w:ascii="仿宋" w:hAnsi="仿宋" w:eastAsia="仿宋" w:cs="仿宋"/>
                <w:b/>
                <w:bCs/>
                <w:color w:val="auto"/>
                <w:sz w:val="22"/>
                <w:szCs w:val="22"/>
                <w:highlight w:val="none"/>
                <w:lang w:val="en-US" w:eastAsia="zh-CN"/>
              </w:rPr>
              <w:t>（2）违约承诺及响应时间评审评分（10分）</w:t>
            </w:r>
          </w:p>
          <w:p>
            <w:pPr>
              <w:spacing w:line="380" w:lineRule="exact"/>
              <w:jc w:val="left"/>
              <w:rPr>
                <w:rFonts w:hint="eastAsia" w:ascii="仿宋" w:hAnsi="仿宋" w:eastAsia="仿宋" w:cs="仿宋"/>
                <w:b w:val="0"/>
                <w:bCs w:val="0"/>
                <w:color w:val="auto"/>
                <w:sz w:val="22"/>
                <w:szCs w:val="22"/>
                <w:highlight w:val="none"/>
                <w:lang w:val="en-US" w:eastAsia="zh-CN"/>
              </w:rPr>
            </w:pPr>
            <w:r>
              <w:rPr>
                <w:rFonts w:hint="eastAsia" w:ascii="仿宋" w:hAnsi="仿宋" w:eastAsia="仿宋" w:cs="仿宋"/>
                <w:b w:val="0"/>
                <w:bCs w:val="0"/>
                <w:color w:val="auto"/>
                <w:sz w:val="22"/>
                <w:szCs w:val="22"/>
                <w:highlight w:val="none"/>
                <w:lang w:val="en-US" w:eastAsia="zh-CN"/>
              </w:rPr>
              <w:t>第一档次（10分）：有具体的违约责任承诺，后期响应时间及时高效，能及时为采购单位提供有效服务的；</w:t>
            </w:r>
          </w:p>
          <w:p>
            <w:pPr>
              <w:spacing w:line="380" w:lineRule="exact"/>
              <w:jc w:val="left"/>
              <w:rPr>
                <w:rFonts w:hint="eastAsia" w:ascii="仿宋" w:hAnsi="仿宋" w:eastAsia="仿宋" w:cs="仿宋"/>
                <w:b w:val="0"/>
                <w:bCs w:val="0"/>
                <w:color w:val="auto"/>
                <w:sz w:val="22"/>
                <w:szCs w:val="22"/>
                <w:highlight w:val="none"/>
                <w:lang w:val="en-US" w:eastAsia="zh-CN"/>
              </w:rPr>
            </w:pPr>
            <w:r>
              <w:rPr>
                <w:rFonts w:hint="eastAsia" w:ascii="仿宋" w:hAnsi="仿宋" w:eastAsia="仿宋" w:cs="仿宋"/>
                <w:b w:val="0"/>
                <w:bCs w:val="0"/>
                <w:color w:val="auto"/>
                <w:sz w:val="22"/>
                <w:szCs w:val="22"/>
                <w:highlight w:val="none"/>
                <w:lang w:val="en-US" w:eastAsia="zh-CN"/>
              </w:rPr>
              <w:t>第二档次（7分）：违约责任承诺但不具体，后期响应时间基本满足采购单位要求，基本能为采购单位提供有效服务的；</w:t>
            </w:r>
          </w:p>
          <w:p>
            <w:pPr>
              <w:spacing w:line="380" w:lineRule="exact"/>
              <w:jc w:val="left"/>
              <w:rPr>
                <w:rFonts w:hint="eastAsia" w:ascii="仿宋" w:hAnsi="仿宋" w:eastAsia="仿宋" w:cs="仿宋"/>
                <w:b w:val="0"/>
                <w:bCs w:val="0"/>
                <w:color w:val="auto"/>
                <w:sz w:val="22"/>
                <w:szCs w:val="22"/>
                <w:highlight w:val="none"/>
                <w:lang w:val="en-US" w:eastAsia="zh-CN"/>
              </w:rPr>
            </w:pPr>
            <w:r>
              <w:rPr>
                <w:rFonts w:hint="eastAsia" w:ascii="仿宋" w:hAnsi="仿宋" w:eastAsia="仿宋" w:cs="仿宋"/>
                <w:b w:val="0"/>
                <w:bCs w:val="0"/>
                <w:color w:val="auto"/>
                <w:sz w:val="22"/>
                <w:szCs w:val="22"/>
                <w:highlight w:val="none"/>
                <w:lang w:val="en-US" w:eastAsia="zh-CN"/>
              </w:rPr>
              <w:t>第三档次（5分）：违约责任承诺简略，后期响应时间不满足采购单位要求的。</w:t>
            </w:r>
          </w:p>
          <w:p>
            <w:pPr>
              <w:spacing w:line="380" w:lineRule="exact"/>
              <w:jc w:val="left"/>
              <w:rPr>
                <w:rFonts w:hint="eastAsia" w:ascii="仿宋" w:hAnsi="仿宋" w:eastAsia="仿宋" w:cs="仿宋"/>
                <w:b w:val="0"/>
                <w:bCs w:val="0"/>
                <w:color w:val="auto"/>
                <w:sz w:val="22"/>
                <w:szCs w:val="22"/>
                <w:highlight w:val="none"/>
                <w:lang w:val="en-US" w:eastAsia="zh-CN"/>
              </w:rPr>
            </w:pPr>
            <w:r>
              <w:rPr>
                <w:rFonts w:hint="eastAsia" w:ascii="仿宋" w:hAnsi="仿宋" w:eastAsia="仿宋" w:cs="仿宋"/>
                <w:b w:val="0"/>
                <w:bCs w:val="0"/>
                <w:color w:val="auto"/>
                <w:sz w:val="22"/>
                <w:szCs w:val="22"/>
                <w:highlight w:val="none"/>
                <w:lang w:val="en-US" w:eastAsia="zh-CN"/>
              </w:rPr>
              <w:t>第四档次（0分）：没有违约责任承诺，响应时间不及时，不能为采购单位提供有效服务的。</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2640" w:hRule="atLeast"/>
          <w:jc w:val="center"/>
        </w:trPr>
        <w:tc>
          <w:tcPr>
            <w:tcW w:w="502" w:type="pct"/>
            <w:vMerge w:val="continue"/>
            <w:vAlign w:val="center"/>
          </w:tcPr>
          <w:p>
            <w:pPr>
              <w:spacing w:line="380" w:lineRule="exact"/>
              <w:jc w:val="center"/>
              <w:rPr>
                <w:rFonts w:hint="eastAsia" w:ascii="仿宋" w:hAnsi="仿宋" w:eastAsia="仿宋" w:cs="仿宋"/>
                <w:b/>
                <w:bCs/>
                <w:color w:val="auto"/>
                <w:sz w:val="22"/>
                <w:szCs w:val="22"/>
                <w:highlight w:val="none"/>
              </w:rPr>
            </w:pPr>
          </w:p>
        </w:tc>
        <w:tc>
          <w:tcPr>
            <w:tcW w:w="910" w:type="pct"/>
            <w:tcBorders>
              <w:top w:val="single" w:color="auto" w:sz="4" w:space="0"/>
            </w:tcBorders>
            <w:vAlign w:val="center"/>
          </w:tcPr>
          <w:p>
            <w:pPr>
              <w:spacing w:line="380" w:lineRule="exact"/>
              <w:jc w:val="left"/>
              <w:rPr>
                <w:rFonts w:hint="eastAsia" w:ascii="仿宋" w:hAnsi="仿宋" w:eastAsia="仿宋" w:cs="仿宋"/>
                <w:b w:val="0"/>
                <w:bCs w:val="0"/>
                <w:color w:val="auto"/>
                <w:sz w:val="22"/>
                <w:szCs w:val="22"/>
                <w:highlight w:val="none"/>
                <w:lang w:val="en-US" w:eastAsia="zh-CN"/>
              </w:rPr>
            </w:pPr>
            <w:r>
              <w:rPr>
                <w:rFonts w:hint="eastAsia" w:ascii="仿宋" w:hAnsi="仿宋" w:eastAsia="仿宋" w:cs="仿宋"/>
                <w:b w:val="0"/>
                <w:bCs w:val="0"/>
                <w:color w:val="auto"/>
                <w:sz w:val="22"/>
                <w:szCs w:val="22"/>
                <w:highlight w:val="none"/>
                <w:lang w:val="en-US" w:eastAsia="zh-CN"/>
              </w:rPr>
              <w:t>风险控制及应急方案（满分10分）</w:t>
            </w:r>
          </w:p>
        </w:tc>
        <w:tc>
          <w:tcPr>
            <w:tcW w:w="3587" w:type="pct"/>
            <w:vAlign w:val="center"/>
          </w:tcPr>
          <w:p>
            <w:pPr>
              <w:spacing w:line="380" w:lineRule="exact"/>
              <w:jc w:val="left"/>
              <w:rPr>
                <w:rFonts w:hint="eastAsia" w:ascii="仿宋" w:hAnsi="仿宋" w:eastAsia="仿宋" w:cs="仿宋"/>
                <w:b w:val="0"/>
                <w:bCs w:val="0"/>
                <w:color w:val="auto"/>
                <w:sz w:val="22"/>
                <w:szCs w:val="22"/>
                <w:highlight w:val="none"/>
                <w:lang w:val="en-US" w:eastAsia="zh-CN"/>
              </w:rPr>
            </w:pPr>
            <w:r>
              <w:rPr>
                <w:rFonts w:hint="eastAsia" w:ascii="仿宋" w:hAnsi="仿宋" w:eastAsia="仿宋" w:cs="仿宋"/>
                <w:b w:val="0"/>
                <w:bCs w:val="0"/>
                <w:color w:val="auto"/>
                <w:sz w:val="22"/>
                <w:szCs w:val="22"/>
                <w:highlight w:val="none"/>
                <w:lang w:val="en-US" w:eastAsia="zh-CN"/>
              </w:rPr>
              <w:t>第一个档次（10分）：风险控制及应急方案表述科学、清晰、完整考虑到项目实施过程中各环节风险，能针对性地提出有效的风险控制制度和措施、应急预案，且详细、流畅、合理、可行，与项目贴合较好；</w:t>
            </w:r>
          </w:p>
          <w:p>
            <w:pPr>
              <w:spacing w:line="380" w:lineRule="exact"/>
              <w:jc w:val="left"/>
              <w:rPr>
                <w:rFonts w:hint="eastAsia" w:ascii="仿宋" w:hAnsi="仿宋" w:eastAsia="仿宋" w:cs="仿宋"/>
                <w:b w:val="0"/>
                <w:bCs w:val="0"/>
                <w:color w:val="auto"/>
                <w:sz w:val="22"/>
                <w:szCs w:val="22"/>
                <w:highlight w:val="none"/>
                <w:lang w:val="en-US" w:eastAsia="zh-CN"/>
              </w:rPr>
            </w:pPr>
            <w:r>
              <w:rPr>
                <w:rFonts w:hint="eastAsia" w:ascii="仿宋" w:hAnsi="仿宋" w:eastAsia="仿宋" w:cs="仿宋"/>
                <w:b w:val="0"/>
                <w:bCs w:val="0"/>
                <w:color w:val="auto"/>
                <w:sz w:val="22"/>
                <w:szCs w:val="22"/>
                <w:highlight w:val="none"/>
                <w:lang w:val="en-US" w:eastAsia="zh-CN"/>
              </w:rPr>
              <w:t>第二个档次（7分）：风险控制及应急方案表述较清晰、完整，有一定针对性，风险控制制度、措施和应急预案流畅、可行，能基本满足项目需求；</w:t>
            </w:r>
          </w:p>
          <w:p>
            <w:pPr>
              <w:spacing w:line="380" w:lineRule="exact"/>
              <w:jc w:val="left"/>
              <w:rPr>
                <w:rFonts w:hint="eastAsia" w:ascii="仿宋" w:hAnsi="仿宋" w:eastAsia="仿宋" w:cs="仿宋"/>
                <w:b w:val="0"/>
                <w:bCs w:val="0"/>
                <w:color w:val="auto"/>
                <w:sz w:val="22"/>
                <w:szCs w:val="22"/>
                <w:highlight w:val="none"/>
                <w:lang w:val="en-US" w:eastAsia="zh-CN"/>
              </w:rPr>
            </w:pPr>
            <w:r>
              <w:rPr>
                <w:rFonts w:hint="eastAsia" w:ascii="仿宋" w:hAnsi="仿宋" w:eastAsia="仿宋" w:cs="仿宋"/>
                <w:b w:val="0"/>
                <w:bCs w:val="0"/>
                <w:color w:val="auto"/>
                <w:sz w:val="22"/>
                <w:szCs w:val="22"/>
                <w:highlight w:val="none"/>
                <w:lang w:val="en-US" w:eastAsia="zh-CN"/>
              </w:rPr>
              <w:t>第三个档次（3分）：风险控制及应急方案描述简单或有明显缺陷和漏项，风险控制措施简单。</w:t>
            </w:r>
          </w:p>
          <w:p>
            <w:pPr>
              <w:spacing w:line="380" w:lineRule="exact"/>
              <w:jc w:val="left"/>
              <w:rPr>
                <w:rFonts w:hint="eastAsia" w:ascii="仿宋" w:hAnsi="仿宋" w:eastAsia="仿宋" w:cs="仿宋"/>
                <w:b w:val="0"/>
                <w:bCs w:val="0"/>
                <w:color w:val="auto"/>
                <w:sz w:val="22"/>
                <w:szCs w:val="22"/>
                <w:highlight w:val="none"/>
                <w:lang w:val="en-US" w:eastAsia="zh-CN"/>
              </w:rPr>
            </w:pPr>
            <w:r>
              <w:rPr>
                <w:rFonts w:hint="eastAsia" w:ascii="仿宋" w:hAnsi="仿宋" w:eastAsia="仿宋" w:cs="仿宋"/>
                <w:b w:val="0"/>
                <w:bCs w:val="0"/>
                <w:color w:val="auto"/>
                <w:sz w:val="22"/>
                <w:szCs w:val="22"/>
                <w:highlight w:val="none"/>
                <w:lang w:val="en-US" w:eastAsia="zh-CN"/>
              </w:rPr>
              <w:t>第四个档次（0分）：风险控制及应急方案不符合项目要求或无方案的。</w:t>
            </w:r>
          </w:p>
        </w:tc>
      </w:tr>
      <w:tr>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23" w:hRule="atLeast"/>
          <w:jc w:val="center"/>
        </w:trPr>
        <w:tc>
          <w:tcPr>
            <w:tcW w:w="5000" w:type="pct"/>
            <w:gridSpan w:val="3"/>
            <w:tcBorders>
              <w:bottom w:val="single" w:color="auto" w:sz="12" w:space="0"/>
            </w:tcBorders>
            <w:vAlign w:val="center"/>
          </w:tcPr>
          <w:p>
            <w:pPr>
              <w:spacing w:line="380" w:lineRule="exact"/>
              <w:rPr>
                <w:rFonts w:hint="eastAsia" w:ascii="仿宋" w:hAnsi="仿宋" w:eastAsia="仿宋" w:cs="仿宋"/>
                <w:color w:val="auto"/>
                <w:kern w:val="0"/>
                <w:sz w:val="22"/>
                <w:szCs w:val="22"/>
                <w:highlight w:val="none"/>
              </w:rPr>
            </w:pPr>
            <w:r>
              <w:rPr>
                <w:rFonts w:hint="eastAsia" w:ascii="仿宋" w:hAnsi="仿宋" w:eastAsia="仿宋" w:cs="仿宋"/>
                <w:color w:val="auto"/>
                <w:kern w:val="0"/>
                <w:sz w:val="22"/>
                <w:szCs w:val="22"/>
                <w:highlight w:val="none"/>
              </w:rPr>
              <w:t>备注：对各投标人投标文件技术文件、服务文件独立进行评分，不得采用插入法。</w:t>
            </w:r>
          </w:p>
        </w:tc>
      </w:tr>
    </w:tbl>
    <w:p>
      <w:pPr>
        <w:rPr>
          <w:rFonts w:hint="eastAsia" w:ascii="仿宋" w:hAnsi="仿宋" w:eastAsia="仿宋" w:cs="仿宋"/>
          <w:b/>
          <w:bCs/>
          <w:color w:val="auto"/>
          <w:sz w:val="24"/>
          <w:szCs w:val="24"/>
          <w:highlight w:val="none"/>
        </w:rPr>
      </w:pPr>
    </w:p>
    <w:p>
      <w:pPr>
        <w:spacing w:line="40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（四）得分汇总</w:t>
      </w:r>
    </w:p>
    <w:p>
      <w:pPr>
        <w:pStyle w:val="17"/>
        <w:spacing w:line="400" w:lineRule="exact"/>
        <w:ind w:firstLine="464"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1.评委应首先对各投标人投标文件进行评审，写出书面意见并按招标文件规定分值评分，各分档评分中间不得用插入法评分。</w:t>
      </w:r>
    </w:p>
    <w:p>
      <w:pPr>
        <w:pStyle w:val="17"/>
        <w:spacing w:line="400" w:lineRule="exact"/>
        <w:ind w:firstLine="464"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r>
        <w:rPr>
          <w:rFonts w:hint="eastAsia" w:ascii="仿宋" w:hAnsi="仿宋" w:eastAsia="仿宋" w:cs="仿宋"/>
          <w:color w:val="auto"/>
          <w:sz w:val="24"/>
          <w:szCs w:val="24"/>
          <w:highlight w:val="none"/>
          <w:lang w:val="en-US" w:eastAsia="zh-CN"/>
        </w:rPr>
        <w:t>各评审</w:t>
      </w:r>
      <w:r>
        <w:rPr>
          <w:rFonts w:hint="eastAsia" w:ascii="仿宋" w:hAnsi="仿宋" w:eastAsia="仿宋" w:cs="仿宋"/>
          <w:color w:val="auto"/>
          <w:sz w:val="24"/>
          <w:szCs w:val="24"/>
          <w:highlight w:val="none"/>
        </w:rPr>
        <w:t>部分由各评委自主评分并签字确认。</w:t>
      </w:r>
    </w:p>
    <w:p>
      <w:pPr>
        <w:pStyle w:val="17"/>
        <w:spacing w:line="400" w:lineRule="exact"/>
        <w:ind w:firstLine="464"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3.统分原则：计算评委打分的算术平均值为投标人的该项评分因素的得分，投标报价得分除外（保留小数点后两位）。</w:t>
      </w:r>
    </w:p>
    <w:p>
      <w:pPr>
        <w:pStyle w:val="17"/>
        <w:spacing w:line="400" w:lineRule="exact"/>
        <w:ind w:firstLine="464"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4.得分汇总：各项评分因素得分的总和即为投标人最后得分。</w:t>
      </w:r>
    </w:p>
    <w:p>
      <w:pPr>
        <w:pStyle w:val="17"/>
        <w:spacing w:line="400" w:lineRule="exact"/>
        <w:ind w:firstLine="464"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5.经评标委员会认定评分畸高、畸低的，评标委员会应当当场修改评标结果，并在评标报告中记载。</w:t>
      </w:r>
    </w:p>
    <w:p>
      <w:pPr>
        <w:spacing w:before="95" w:beforeLines="30" w:after="95" w:afterLines="30" w:line="400" w:lineRule="exact"/>
        <w:ind w:firstLine="482" w:firstLineChars="200"/>
        <w:outlineLvl w:val="1"/>
        <w:rPr>
          <w:rFonts w:hint="eastAsia" w:ascii="仿宋" w:hAnsi="仿宋" w:eastAsia="仿宋" w:cs="仿宋"/>
          <w:b/>
          <w:bCs/>
          <w:color w:val="auto"/>
          <w:sz w:val="24"/>
          <w:szCs w:val="24"/>
          <w:highlight w:val="none"/>
        </w:rPr>
      </w:pPr>
      <w:bookmarkStart w:id="128" w:name="_Toc16906"/>
      <w:r>
        <w:rPr>
          <w:rFonts w:hint="eastAsia" w:ascii="仿宋" w:hAnsi="仿宋" w:eastAsia="仿宋" w:cs="仿宋"/>
          <w:b/>
          <w:bCs/>
          <w:color w:val="auto"/>
          <w:sz w:val="24"/>
          <w:szCs w:val="24"/>
          <w:highlight w:val="none"/>
        </w:rPr>
        <w:t>七、推荐</w:t>
      </w:r>
      <w:bookmarkEnd w:id="128"/>
    </w:p>
    <w:p>
      <w:pPr>
        <w:pStyle w:val="17"/>
        <w:spacing w:line="400" w:lineRule="exact"/>
        <w:ind w:firstLine="464" w:firstLineChars="200"/>
        <w:rPr>
          <w:rFonts w:hint="eastAsia" w:ascii="仿宋" w:hAnsi="仿宋" w:eastAsia="仿宋" w:cs="仿宋"/>
          <w:color w:val="auto"/>
          <w:highlight w:val="none"/>
        </w:rPr>
      </w:pPr>
      <w:r>
        <w:rPr>
          <w:rFonts w:hint="eastAsia" w:ascii="仿宋" w:hAnsi="仿宋" w:eastAsia="仿宋" w:cs="仿宋"/>
          <w:color w:val="auto"/>
          <w:sz w:val="24"/>
          <w:szCs w:val="24"/>
          <w:highlight w:val="none"/>
        </w:rPr>
        <w:t>评标委员会按各评分因素得分汇总计算出各投标人的总得分，评标结果按评审后总得分由高到低顺序排列。总得分相同的，按照投标总报价由低到高顺序排列。得分且投标报价相同的并列。投标文件满足招标文件全部实质性要求，且按照评审因素的量化指标评审总得分最高的投标人为排名第一的中标候选人。中标候选人并列的，有优先采购的节能环保产品的，以其提供的优先采购的节能环保产品认证证书数量多的优先（同时属于两个清单的不重复计算，★政府强制采购节能产品不进行计算），认证证书数量相同的，按照技术部分评审得分由高到低的顺序排列，若最终排名仍一致时，由评标委员会不记名投票决定中标候选供应商排序。</w:t>
      </w:r>
    </w:p>
    <w:p>
      <w:pPr>
        <w:spacing w:before="95" w:beforeLines="30" w:after="95" w:afterLines="30" w:line="400" w:lineRule="exact"/>
        <w:ind w:firstLine="482" w:firstLineChars="200"/>
        <w:outlineLvl w:val="1"/>
        <w:rPr>
          <w:rFonts w:hint="eastAsia" w:ascii="仿宋" w:hAnsi="仿宋" w:eastAsia="仿宋" w:cs="仿宋"/>
          <w:b/>
          <w:bCs/>
          <w:color w:val="auto"/>
          <w:sz w:val="24"/>
          <w:szCs w:val="24"/>
          <w:highlight w:val="none"/>
        </w:rPr>
      </w:pPr>
      <w:bookmarkStart w:id="129" w:name="_Toc23208"/>
      <w:r>
        <w:rPr>
          <w:rFonts w:hint="eastAsia" w:ascii="仿宋" w:hAnsi="仿宋" w:eastAsia="仿宋" w:cs="仿宋"/>
          <w:b/>
          <w:bCs/>
          <w:color w:val="auto"/>
          <w:sz w:val="24"/>
          <w:szCs w:val="24"/>
          <w:highlight w:val="none"/>
        </w:rPr>
        <w:t>八、评标报告编写</w:t>
      </w:r>
      <w:bookmarkEnd w:id="129"/>
    </w:p>
    <w:p>
      <w:pPr>
        <w:pStyle w:val="17"/>
        <w:spacing w:line="400" w:lineRule="exact"/>
        <w:ind w:firstLine="464"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评标委员会根据全体评标成员签字的评标记录和评标结果编写评标报告。</w:t>
      </w:r>
    </w:p>
    <w:p>
      <w:pPr>
        <w:spacing w:before="95" w:beforeLines="30" w:after="95" w:afterLines="30" w:line="400" w:lineRule="exact"/>
        <w:ind w:firstLine="482" w:firstLineChars="200"/>
        <w:outlineLvl w:val="1"/>
        <w:rPr>
          <w:rFonts w:hint="eastAsia" w:ascii="仿宋" w:hAnsi="仿宋" w:eastAsia="仿宋" w:cs="仿宋"/>
          <w:b/>
          <w:bCs/>
          <w:color w:val="auto"/>
          <w:sz w:val="24"/>
          <w:szCs w:val="24"/>
          <w:highlight w:val="none"/>
        </w:rPr>
      </w:pPr>
      <w:bookmarkStart w:id="130" w:name="_Toc29561"/>
      <w:r>
        <w:rPr>
          <w:rFonts w:hint="eastAsia" w:ascii="仿宋" w:hAnsi="仿宋" w:eastAsia="仿宋" w:cs="仿宋"/>
          <w:b/>
          <w:bCs/>
          <w:color w:val="auto"/>
          <w:sz w:val="24"/>
          <w:szCs w:val="24"/>
          <w:highlight w:val="none"/>
        </w:rPr>
        <w:t>九、评标结果</w:t>
      </w:r>
      <w:bookmarkEnd w:id="130"/>
    </w:p>
    <w:p>
      <w:pPr>
        <w:spacing w:line="40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1.评标委员会按得分由高到低顺序推荐中标候选人，并提出书面评标报告。</w:t>
      </w:r>
    </w:p>
    <w:p>
      <w:pPr>
        <w:spacing w:line="400" w:lineRule="exact"/>
        <w:ind w:firstLine="480" w:firstLineChars="200"/>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2.采购人根据评标委员会提出的书面评标报告和推荐的中标候选人名单，按顺序确定中标人。</w:t>
      </w:r>
    </w:p>
    <w:p>
      <w:pPr>
        <w:jc w:val="left"/>
        <w:rPr>
          <w:rFonts w:hint="eastAsia" w:ascii="宋体" w:hAnsi="宋体"/>
          <w:color w:val="auto"/>
          <w:szCs w:val="21"/>
          <w:highlight w:val="none"/>
        </w:rPr>
      </w:pPr>
    </w:p>
    <w:bookmarkEnd w:id="126"/>
    <w:bookmarkEnd w:id="127"/>
    <w:p>
      <w:pPr>
        <w:spacing w:line="360" w:lineRule="auto"/>
        <w:ind w:firstLine="420" w:firstLineChars="200"/>
        <w:rPr>
          <w:rFonts w:hint="eastAsia" w:ascii="宋体" w:hAnsi="宋体"/>
          <w:color w:val="auto"/>
          <w:highlight w:val="none"/>
        </w:rPr>
      </w:pPr>
    </w:p>
    <w:sectPr>
      <w:footerReference r:id="rId8" w:type="even"/>
      <w:pgSz w:w="11906" w:h="16838"/>
      <w:pgMar w:top="1134" w:right="1304" w:bottom="1134" w:left="1304" w:header="851" w:footer="851" w:gutter="0"/>
      <w:pgNumType w:fmt="decimal"/>
      <w:cols w:space="720" w:num="1"/>
      <w:docGrid w:linePitch="331"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swiss"/>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金山简黑体">
    <w:altName w:val="宋体"/>
    <w:panose1 w:val="00000000000000000000"/>
    <w:charset w:val="00"/>
    <w:family w:val="auto"/>
    <w:pitch w:val="default"/>
    <w:sig w:usb0="00000000" w:usb1="00000000" w:usb2="00000000" w:usb3="00000000" w:csb0="00040001" w:csb1="00000000"/>
  </w:font>
  <w:font w:name="Calibri Light">
    <w:panose1 w:val="020F0302020204030204"/>
    <w:charset w:val="00"/>
    <w:family w:val="swiss"/>
    <w:pitch w:val="default"/>
    <w:sig w:usb0="E4002EFF" w:usb1="C000247B" w:usb2="00000009" w:usb3="00000000" w:csb0="200001FF" w:csb1="00000000"/>
  </w:font>
  <w:font w:name="Verdana">
    <w:panose1 w:val="020B0604030504040204"/>
    <w:charset w:val="00"/>
    <w:family w:val="swiss"/>
    <w:pitch w:val="default"/>
    <w:sig w:usb0="A00006FF" w:usb1="4000205B" w:usb2="00000010"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方正黑体_GBK">
    <w:altName w:val="微软雅黑"/>
    <w:panose1 w:val="03000509000000000000"/>
    <w:charset w:val="86"/>
    <w:family w:val="script"/>
    <w:pitch w:val="default"/>
    <w:sig w:usb0="00000000" w:usb1="00000000" w:usb2="00000000" w:usb3="00000000" w:csb0="00040000" w:csb1="00000000"/>
  </w:font>
  <w:font w:name="方正小标宋_GBK">
    <w:altName w:val="微软雅黑"/>
    <w:panose1 w:val="03000509000000000000"/>
    <w:charset w:val="86"/>
    <w:family w:val="script"/>
    <w:pitch w:val="default"/>
    <w:sig w:usb0="00000000" w:usb1="00000000" w:usb2="00000000" w:usb3="00000000" w:csb0="00040000" w:csb1="00000000"/>
  </w:font>
  <w:font w:name="Times">
    <w:altName w:val="Times New Roman"/>
    <w:panose1 w:val="02020603050405020304"/>
    <w:charset w:val="00"/>
    <w:family w:val="roman"/>
    <w:pitch w:val="default"/>
    <w:sig w:usb0="00000000" w:usb1="00000000" w:usb2="00000000" w:usb3="00000000" w:csb0="00000093" w:csb1="00000000"/>
  </w:font>
  <w:font w:name="Microsoft JhengHei">
    <w:panose1 w:val="020B0604030504040204"/>
    <w:charset w:val="88"/>
    <w:family w:val="swiss"/>
    <w:pitch w:val="default"/>
    <w:sig w:usb0="000002A7" w:usb1="28CF4400" w:usb2="00000016" w:usb3="00000000" w:csb0="00100009" w:csb1="00000000"/>
  </w:font>
  <w:font w:name="仿宋">
    <w:panose1 w:val="02010609060101010101"/>
    <w:charset w:val="86"/>
    <w:family w:val="auto"/>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4"/>
      <w:tabs>
        <w:tab w:val="left" w:pos="4021"/>
        <w:tab w:val="clear" w:pos="4153"/>
        <w:tab w:val="clear" w:pos="8306"/>
      </w:tabs>
      <w:jc w:val="both"/>
      <w:rPr>
        <w:rFonts w:hint="eastAsia" w:hAnsi="宋体"/>
      </w:rPr>
    </w:pPr>
    <w:r>
      <w:rPr>
        <w:rFonts w:hint="eastAsia" w:hAnsi="宋体" w:cs="宋体"/>
        <w:szCs w:val="18"/>
        <w:lang w:eastAsia="zh-CN"/>
      </w:rPr>
      <w:t>云南智扬工程项目管理有限公司</w:t>
    </w:r>
    <w:r>
      <w:rPr>
        <w:rFonts w:hint="eastAsia" w:hAnsi="宋体" w:cs="宋体"/>
        <w:szCs w:val="18"/>
      </w:rPr>
      <w:t xml:space="preserve"> </w:t>
    </w:r>
    <w:r>
      <w:rPr>
        <w:rFonts w:hAnsi="宋体"/>
      </w:rPr>
      <w:t xml:space="preserve">                        </w:t>
    </w:r>
    <w:r>
      <w:rPr>
        <w:rFonts w:hAnsi="宋体"/>
      </w:rPr>
      <w:fldChar w:fldCharType="begin"/>
    </w:r>
    <w:r>
      <w:rPr>
        <w:rFonts w:hAnsi="宋体"/>
      </w:rPr>
      <w:instrText xml:space="preserve">PAGE   \* MERGEFORMAT</w:instrText>
    </w:r>
    <w:r>
      <w:rPr>
        <w:rFonts w:hAnsi="宋体"/>
      </w:rPr>
      <w:fldChar w:fldCharType="separate"/>
    </w:r>
    <w:r>
      <w:rPr>
        <w:rFonts w:hAnsi="宋体"/>
      </w:rPr>
      <w:t>4</w:t>
    </w:r>
    <w:r>
      <w:rPr>
        <w:rFonts w:hAnsi="宋体"/>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4"/>
      <w:framePr w:wrap="around" w:vAnchor="text" w:hAnchor="margin" w:xAlign="center" w:y="1"/>
      <w:rPr>
        <w:rStyle w:val="41"/>
      </w:rPr>
    </w:pPr>
    <w:r>
      <w:fldChar w:fldCharType="begin"/>
    </w:r>
    <w:r>
      <w:rPr>
        <w:rStyle w:val="41"/>
      </w:rPr>
      <w:instrText xml:space="preserve">PAGE  </w:instrText>
    </w:r>
    <w:r>
      <w:fldChar w:fldCharType="separate"/>
    </w:r>
    <w:r>
      <w:rPr>
        <w:rStyle w:val="41"/>
      </w:rPr>
      <w:t>49</w:t>
    </w:r>
    <w:r>
      <w:fldChar w:fldCharType="end"/>
    </w:r>
  </w:p>
  <w:p>
    <w:pPr>
      <w:pStyle w:val="24"/>
      <w:ind w:right="360"/>
      <w:rPr>
        <w:sz w:val="21"/>
      </w:rPr>
    </w:pPr>
    <w:r>
      <w:rPr>
        <w:lang w:val="en-US"/>
      </w:rPr>
      <mc:AlternateContent>
        <mc:Choice Requires="wps">
          <w:drawing>
            <wp:anchor distT="0" distB="0" distL="0" distR="0" simplePos="0" relativeHeight="251660288" behindDoc="0" locked="0" layoutInCell="1" allowOverlap="1">
              <wp:simplePos x="0" y="0"/>
              <wp:positionH relativeFrom="margin">
                <wp:align>center</wp:align>
              </wp:positionH>
              <wp:positionV relativeFrom="paragraph">
                <wp:posOffset>0</wp:posOffset>
              </wp:positionV>
              <wp:extent cx="57150" cy="147955"/>
              <wp:effectExtent l="0" t="0" r="0" b="4445"/>
              <wp:wrapSquare wrapText="bothSides"/>
              <wp:docPr id="9" name="文本框 1026"/>
              <wp:cNvGraphicFramePr/>
              <a:graphic xmlns:a="http://schemas.openxmlformats.org/drawingml/2006/main">
                <a:graphicData uri="http://schemas.microsoft.com/office/word/2010/wordprocessingShape">
                  <wps:wsp>
                    <wps:cNvSpPr txBox="1">
                      <a:spLocks noChangeArrowheads="1"/>
                    </wps:cNvSpPr>
                    <wps:spPr bwMode="auto">
                      <a:xfrm>
                        <a:off x="0" y="0"/>
                        <a:ext cx="57150" cy="147955"/>
                      </a:xfrm>
                      <a:prstGeom prst="rect">
                        <a:avLst/>
                      </a:prstGeom>
                      <a:noFill/>
                      <a:ln>
                        <a:noFill/>
                      </a:ln>
                    </wps:spPr>
                    <wps:txbx>
                      <w:txbxContent>
                        <w:p>
                          <w:pPr>
                            <w:pStyle w:val="24"/>
                            <w:rPr>
                              <w:rStyle w:val="41"/>
                            </w:rPr>
                          </w:pPr>
                          <w:r>
                            <w:fldChar w:fldCharType="begin"/>
                          </w:r>
                          <w:r>
                            <w:rPr>
                              <w:rStyle w:val="41"/>
                            </w:rPr>
                            <w:instrText xml:space="preserve">PAGE  </w:instrText>
                          </w:r>
                          <w:r>
                            <w:fldChar w:fldCharType="separate"/>
                          </w:r>
                          <w:r>
                            <w:rPr>
                              <w:rStyle w:val="41"/>
                            </w:rPr>
                            <w:t>49</w:t>
                          </w:r>
                          <w:r>
                            <w:fldChar w:fldCharType="end"/>
                          </w:r>
                        </w:p>
                      </w:txbxContent>
                    </wps:txbx>
                    <wps:bodyPr rot="0" vert="horz" wrap="none" lIns="0" tIns="0" rIns="0" bIns="0" anchor="t" anchorCtr="0" upright="1">
                      <a:spAutoFit/>
                    </wps:bodyPr>
                  </wps:wsp>
                </a:graphicData>
              </a:graphic>
            </wp:anchor>
          </w:drawing>
        </mc:Choice>
        <mc:Fallback>
          <w:pict>
            <v:shape id="文本框 1026" o:spid="_x0000_s1026" o:spt="202" type="#_x0000_t202" style="position:absolute;left:0pt;margin-top:0pt;height:11.65pt;width:4.5pt;mso-position-horizontal:center;mso-position-horizontal-relative:margin;mso-wrap-distance-bottom:0pt;mso-wrap-distance-left:0pt;mso-wrap-distance-right:0pt;mso-wrap-distance-top:0pt;mso-wrap-style:none;z-index:251660288;mso-width-relative:page;mso-height-relative:page;" filled="f" stroked="f" coordsize="21600,21600" o:gfxdata="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&#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ptCQbNAAAAACAQAADwAAAAAAAAABACAAAAAiAAAAZHJz&#10;L2Rvd25yZXYueG1sUEsBAhQAFAAAAAgAh07iQF49xJgMAgAABAQAAA4AAAAAAAAAAQAgAAAAHwEA&#10;AGRycy9lMm9Eb2MueG1sUEsFBgAAAAAGAAYAWQEAAJ0FAAAAAA==&#10;">
              <v:fill on="f" focussize="0,0"/>
              <v:stroke on="f"/>
              <v:imagedata o:title=""/>
              <o:lock v:ext="edit" aspectratio="f"/>
              <v:textbox inset="0mm,0mm,0mm,0mm" style="mso-fit-shape-to-text:t;">
                <w:txbxContent>
                  <w:p>
                    <w:pPr>
                      <w:pStyle w:val="24"/>
                      <w:rPr>
                        <w:rStyle w:val="41"/>
                      </w:rPr>
                    </w:pPr>
                    <w:r>
                      <w:fldChar w:fldCharType="begin"/>
                    </w:r>
                    <w:r>
                      <w:rPr>
                        <w:rStyle w:val="41"/>
                      </w:rPr>
                      <w:instrText xml:space="preserve">PAGE  </w:instrText>
                    </w:r>
                    <w:r>
                      <w:fldChar w:fldCharType="separate"/>
                    </w:r>
                    <w:r>
                      <w:rPr>
                        <w:rStyle w:val="41"/>
                      </w:rPr>
                      <w:t>49</w:t>
                    </w:r>
                    <w:r>
                      <w:fldChar w:fldCharType="end"/>
                    </w:r>
                  </w:p>
                </w:txbxContent>
              </v:textbox>
              <w10:wrap type="square"/>
            </v:shape>
          </w:pict>
        </mc:Fallback>
      </mc:AlternateContent>
    </w:r>
    <w:r>
      <w:rPr>
        <w:lang w:val="en-US"/>
      </w:rPr>
      <mc:AlternateContent>
        <mc:Choice Requires="wps">
          <w:drawing>
            <wp:anchor distT="0" distB="0" distL="0" distR="0" simplePos="0" relativeHeight="251659264" behindDoc="0" locked="0" layoutInCell="1" allowOverlap="1">
              <wp:simplePos x="0" y="0"/>
              <wp:positionH relativeFrom="margin">
                <wp:align>center</wp:align>
              </wp:positionH>
              <wp:positionV relativeFrom="paragraph">
                <wp:posOffset>0</wp:posOffset>
              </wp:positionV>
              <wp:extent cx="133350" cy="172720"/>
              <wp:effectExtent l="0" t="0" r="0" b="0"/>
              <wp:wrapSquare wrapText="bothSides"/>
              <wp:docPr id="8" name="文本框 1027"/>
              <wp:cNvGraphicFramePr/>
              <a:graphic xmlns:a="http://schemas.openxmlformats.org/drawingml/2006/main">
                <a:graphicData uri="http://schemas.microsoft.com/office/word/2010/wordprocessingShape">
                  <wps:wsp>
                    <wps:cNvSpPr txBox="1">
                      <a:spLocks noChangeArrowheads="1"/>
                    </wps:cNvSpPr>
                    <wps:spPr bwMode="auto">
                      <a:xfrm>
                        <a:off x="0" y="0"/>
                        <a:ext cx="133350" cy="172720"/>
                      </a:xfrm>
                      <a:prstGeom prst="rect">
                        <a:avLst/>
                      </a:prstGeom>
                      <a:noFill/>
                      <a:ln>
                        <a:noFill/>
                      </a:ln>
                    </wps:spPr>
                    <wps:txbx>
                      <w:txbxContent>
                        <w:p>
                          <w:pPr>
                            <w:pStyle w:val="24"/>
                            <w:rPr>
                              <w:rStyle w:val="41"/>
                              <w:sz w:val="21"/>
                            </w:rPr>
                          </w:pPr>
                          <w:r>
                            <w:rPr>
                              <w:sz w:val="21"/>
                            </w:rPr>
                            <w:fldChar w:fldCharType="begin"/>
                          </w:r>
                          <w:r>
                            <w:rPr>
                              <w:rStyle w:val="41"/>
                              <w:sz w:val="21"/>
                            </w:rPr>
                            <w:instrText xml:space="preserve">PAGE  </w:instrText>
                          </w:r>
                          <w:r>
                            <w:rPr>
                              <w:sz w:val="21"/>
                            </w:rPr>
                            <w:fldChar w:fldCharType="separate"/>
                          </w:r>
                          <w:r>
                            <w:rPr>
                              <w:rStyle w:val="41"/>
                              <w:sz w:val="21"/>
                            </w:rPr>
                            <w:t>49</w:t>
                          </w:r>
                          <w:r>
                            <w:rPr>
                              <w:sz w:val="21"/>
                            </w:rPr>
                            <w:fldChar w:fldCharType="end"/>
                          </w:r>
                        </w:p>
                      </w:txbxContent>
                    </wps:txbx>
                    <wps:bodyPr rot="0" vert="horz" wrap="none" lIns="0" tIns="0" rIns="0" bIns="0" anchor="t" anchorCtr="0" upright="1">
                      <a:spAutoFit/>
                    </wps:bodyPr>
                  </wps:wsp>
                </a:graphicData>
              </a:graphic>
            </wp:anchor>
          </w:drawing>
        </mc:Choice>
        <mc:Fallback>
          <w:pict>
            <v:shape id="文本框 1027" o:spid="_x0000_s1026" o:spt="202" type="#_x0000_t202" style="position:absolute;left:0pt;margin-top:0pt;height:13.6pt;width:10.5pt;mso-position-horizontal:center;mso-position-horizontal-relative:margin;mso-wrap-distance-bottom:0pt;mso-wrap-distance-left:0pt;mso-wrap-distance-right:0pt;mso-wrap-distance-top:0pt;mso-wrap-style:none;z-index:251659264;mso-width-relative:page;mso-height-relative:page;" filled="f" stroked="f" coordsize="21600,21600" o:gfxdata="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">
              <v:fill on="f" focussize="0,0"/>
              <v:stroke on="f"/>
              <v:imagedata o:title=""/>
              <o:lock v:ext="edit" aspectratio="f"/>
              <v:textbox inset="0mm,0mm,0mm,0mm" style="mso-fit-shape-to-text:t;">
                <w:txbxContent>
                  <w:p>
                    <w:pPr>
                      <w:pStyle w:val="24"/>
                      <w:rPr>
                        <w:rStyle w:val="41"/>
                        <w:sz w:val="21"/>
                      </w:rPr>
                    </w:pPr>
                    <w:r>
                      <w:rPr>
                        <w:sz w:val="21"/>
                      </w:rPr>
                      <w:fldChar w:fldCharType="begin"/>
                    </w:r>
                    <w:r>
                      <w:rPr>
                        <w:rStyle w:val="41"/>
                        <w:sz w:val="21"/>
                      </w:rPr>
                      <w:instrText xml:space="preserve">PAGE  </w:instrText>
                    </w:r>
                    <w:r>
                      <w:rPr>
                        <w:sz w:val="21"/>
                      </w:rPr>
                      <w:fldChar w:fldCharType="separate"/>
                    </w:r>
                    <w:r>
                      <w:rPr>
                        <w:rStyle w:val="41"/>
                        <w:sz w:val="21"/>
                      </w:rPr>
                      <w:t>49</w:t>
                    </w:r>
                    <w:r>
                      <w:rPr>
                        <w:sz w:val="21"/>
                      </w:rPr>
                      <w:fldChar w:fldCharType="end"/>
                    </w:r>
                  </w:p>
                </w:txbxContent>
              </v:textbox>
              <w10:wrap type="square"/>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7" w:lineRule="auto"/>
      <w:ind w:left="4205"/>
      <w:rPr>
        <w:rFonts w:ascii="宋体" w:hAnsi="宋体" w:eastAsia="宋体" w:cs="宋体"/>
        <w:sz w:val="31"/>
        <w:szCs w:val="31"/>
      </w:rPr>
    </w:pPr>
    <w:r>
      <w:rPr>
        <w:sz w:val="31"/>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4"/>
                          </w:pPr>
                          <w:r>
                            <w:fldChar w:fldCharType="begin"/>
                          </w:r>
                          <w:r>
                            <w:instrText xml:space="preserve"> PAGE  \* MERGEFORMAT </w:instrText>
                          </w:r>
                          <w:r>
                            <w:fldChar w:fldCharType="separate"/>
                          </w:r>
                          <w:r>
                            <w:t>39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24"/>
                    </w:pPr>
                    <w:r>
                      <w:fldChar w:fldCharType="begin"/>
                    </w:r>
                    <w:r>
                      <w:instrText xml:space="preserve"> PAGE  \* MERGEFORMAT </w:instrText>
                    </w:r>
                    <w:r>
                      <w:fldChar w:fldCharType="separate"/>
                    </w:r>
                    <w:r>
                      <w:t>39</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4"/>
      <w:framePr w:wrap="around" w:vAnchor="text" w:hAnchor="margin" w:xAlign="center" w:y="1"/>
      <w:rPr>
        <w:rStyle w:val="41"/>
      </w:rPr>
    </w:pPr>
    <w:r>
      <w:rPr>
        <w:rStyle w:val="41"/>
      </w:rPr>
      <w:fldChar w:fldCharType="begin"/>
    </w:r>
    <w:r>
      <w:rPr>
        <w:rStyle w:val="41"/>
      </w:rPr>
      <w:instrText xml:space="preserve">PAGE  </w:instrText>
    </w:r>
    <w:r>
      <w:rPr>
        <w:rStyle w:val="41"/>
      </w:rPr>
      <w:fldChar w:fldCharType="separate"/>
    </w:r>
    <w:r>
      <w:rPr>
        <w:rStyle w:val="41"/>
      </w:rPr>
      <w:fldChar w:fldCharType="end"/>
    </w:r>
  </w:p>
  <w:p>
    <w:pPr>
      <w:pStyle w:val="24"/>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bottom w:val="single" w:color="auto" w:sz="4" w:space="1"/>
      </w:pBdr>
      <w:rPr>
        <w:rFonts w:hint="eastAsia" w:ascii="宋体" w:hAnsi="宋体"/>
        <w:sz w:val="18"/>
        <w:szCs w:val="18"/>
      </w:rPr>
    </w:pPr>
    <w:r>
      <w:rPr>
        <w:rFonts w:hint="eastAsia" w:ascii="宋体" w:hAnsi="宋体"/>
        <w:sz w:val="18"/>
        <w:szCs w:val="18"/>
        <w:u w:val="single"/>
      </w:rPr>
      <w:t>丽江市广电传媒中心建设项目全过程咨询服务</w:t>
    </w:r>
    <w:r>
      <w:rPr>
        <w:rFonts w:hint="eastAsia" w:ascii="宋体" w:hAnsi="宋体"/>
        <w:sz w:val="18"/>
        <w:szCs w:val="18"/>
      </w:rPr>
      <w:t xml:space="preserve">     </w:t>
    </w:r>
    <w:r>
      <w:rPr>
        <w:rFonts w:ascii="宋体" w:hAnsi="宋体"/>
        <w:sz w:val="18"/>
        <w:szCs w:val="18"/>
      </w:rPr>
      <w:t xml:space="preserve">               </w:t>
    </w:r>
    <w:r>
      <w:rPr>
        <w:rFonts w:hint="eastAsia" w:ascii="宋体" w:hAnsi="宋体"/>
        <w:sz w:val="18"/>
        <w:szCs w:val="18"/>
      </w:rPr>
      <w:t xml:space="preserve">                      </w:t>
    </w:r>
    <w:r>
      <w:rPr>
        <w:rFonts w:ascii="宋体" w:hAnsi="宋体"/>
        <w:sz w:val="18"/>
        <w:szCs w:val="18"/>
      </w:rPr>
      <w:t xml:space="preserve">   </w:t>
    </w:r>
    <w:r>
      <w:rPr>
        <w:rFonts w:hint="eastAsia" w:ascii="宋体" w:hAnsi="宋体"/>
        <w:sz w:val="18"/>
        <w:szCs w:val="18"/>
      </w:rPr>
      <w:t xml:space="preserve">       </w:t>
    </w:r>
    <w:r>
      <w:rPr>
        <w:rFonts w:ascii="宋体" w:hAnsi="宋体"/>
        <w:sz w:val="18"/>
        <w:szCs w:val="18"/>
      </w:rPr>
      <w:t xml:space="preserve">  </w:t>
    </w:r>
    <w:r>
      <w:rPr>
        <w:rFonts w:hint="eastAsia"/>
        <w:sz w:val="18"/>
        <w:szCs w:val="18"/>
      </w:rPr>
      <w:t>招标文件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bottom w:val="single" w:color="auto" w:sz="4" w:space="1"/>
      </w:pBdr>
      <w:jc w:val="left"/>
      <w:rPr>
        <w:rFonts w:hint="eastAsia" w:ascii="宋体" w:hAnsi="宋体"/>
        <w:b/>
        <w:sz w:val="18"/>
        <w:szCs w:val="18"/>
      </w:rPr>
    </w:pPr>
    <w:r>
      <w:rPr>
        <w:rFonts w:hint="eastAsia" w:ascii="宋体" w:hAnsi="宋体"/>
        <w:sz w:val="18"/>
        <w:szCs w:val="18"/>
        <w:lang w:eastAsia="zh-CN"/>
      </w:rPr>
      <w:t>2025年异龙湖流域环境水质检测检验执法监管项目</w:t>
    </w:r>
    <w:r>
      <w:rPr>
        <w:rFonts w:hint="eastAsia" w:ascii="宋体" w:hAnsi="宋体"/>
        <w:sz w:val="18"/>
        <w:szCs w:val="18"/>
      </w:rPr>
      <w:t xml:space="preserve">     </w:t>
    </w:r>
    <w:r>
      <w:rPr>
        <w:rFonts w:ascii="宋体" w:hAnsi="宋体"/>
        <w:sz w:val="18"/>
        <w:szCs w:val="18"/>
      </w:rPr>
      <w:t xml:space="preserve">    </w:t>
    </w:r>
    <w:r>
      <w:rPr>
        <w:rFonts w:hint="eastAsia" w:ascii="宋体" w:hAnsi="宋体"/>
        <w:sz w:val="18"/>
        <w:szCs w:val="18"/>
      </w:rPr>
      <w:t xml:space="preserve">     </w:t>
    </w:r>
    <w:r>
      <w:rPr>
        <w:rFonts w:ascii="宋体" w:hAnsi="宋体"/>
        <w:sz w:val="18"/>
        <w:szCs w:val="18"/>
      </w:rPr>
      <w:t xml:space="preserve">      </w:t>
    </w:r>
    <w:r>
      <w:rPr>
        <w:rFonts w:hint="eastAsia" w:ascii="宋体" w:hAnsi="宋体"/>
        <w:sz w:val="18"/>
        <w:szCs w:val="18"/>
      </w:rPr>
      <w:t xml:space="preserve">                        </w:t>
    </w:r>
    <w:r>
      <w:rPr>
        <w:rFonts w:hint="eastAsia" w:ascii="宋体" w:hAnsi="宋体"/>
        <w:sz w:val="18"/>
        <w:szCs w:val="18"/>
        <w:lang w:val="en-US" w:eastAsia="zh-CN"/>
      </w:rPr>
      <w:t xml:space="preserve">               </w:t>
    </w:r>
    <w:r>
      <w:rPr>
        <w:rFonts w:hint="eastAsia" w:ascii="宋体" w:hAnsi="宋体"/>
        <w:sz w:val="18"/>
        <w:szCs w:val="18"/>
      </w:rPr>
      <w:t xml:space="preserve"> </w:t>
    </w:r>
    <w:r>
      <w:rPr>
        <w:rFonts w:hint="eastAsia"/>
        <w:sz w:val="18"/>
        <w:szCs w:val="18"/>
      </w:rPr>
      <w:t>招标文件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3"/>
    <w:multiLevelType w:val="multilevel"/>
    <w:tmpl w:val="00000003"/>
    <w:lvl w:ilvl="0" w:tentative="0">
      <w:start w:val="1"/>
      <w:numFmt w:val="decimal"/>
      <w:pStyle w:val="154"/>
      <w:lvlText w:val="第%1条"/>
      <w:lvlJc w:val="left"/>
      <w:pPr>
        <w:ind w:left="0" w:firstLine="0"/>
      </w:pPr>
      <w:rPr>
        <w:lang w:eastAsia="zh-CN"/>
      </w:rPr>
    </w:lvl>
    <w:lvl w:ilvl="1" w:tentative="0">
      <w:start w:val="1"/>
      <w:numFmt w:val="decimal"/>
      <w:lvlText w:val="%1.%2"/>
      <w:lvlJc w:val="left"/>
      <w:pPr>
        <w:ind w:left="992" w:hanging="567"/>
      </w:pPr>
    </w:lvl>
    <w:lvl w:ilvl="2" w:tentative="0">
      <w:start w:val="1"/>
      <w:numFmt w:val="decimal"/>
      <w:lvlText w:val="%1.%2.%3"/>
      <w:lvlJc w:val="left"/>
      <w:pPr>
        <w:ind w:left="2836" w:hanging="567"/>
      </w:pPr>
    </w:lvl>
    <w:lvl w:ilvl="3" w:tentative="0">
      <w:start w:val="1"/>
      <w:numFmt w:val="decimal"/>
      <w:lvlText w:val="%1.%2.%3.%4"/>
      <w:lvlJc w:val="left"/>
      <w:pPr>
        <w:ind w:left="1984" w:hanging="708"/>
      </w:pPr>
    </w:lvl>
    <w:lvl w:ilvl="4" w:tentative="0">
      <w:start w:val="1"/>
      <w:numFmt w:val="decimal"/>
      <w:lvlText w:val="%1.%2.%3.%4.%5"/>
      <w:lvlJc w:val="left"/>
      <w:pPr>
        <w:ind w:left="2551" w:hanging="850"/>
      </w:pPr>
    </w:lvl>
    <w:lvl w:ilvl="5" w:tentative="0">
      <w:start w:val="1"/>
      <w:numFmt w:val="decimal"/>
      <w:lvlText w:val="%1.%2.%3.%4.%5.%6"/>
      <w:lvlJc w:val="left"/>
      <w:pPr>
        <w:ind w:left="3260" w:hanging="1134"/>
      </w:pPr>
    </w:lvl>
    <w:lvl w:ilvl="6" w:tentative="0">
      <w:start w:val="1"/>
      <w:numFmt w:val="decimal"/>
      <w:lvlText w:val="%1.%2.%3.%4.%5.%6.%7"/>
      <w:lvlJc w:val="left"/>
      <w:pPr>
        <w:ind w:left="3827" w:hanging="1276"/>
      </w:pPr>
    </w:lvl>
    <w:lvl w:ilvl="7" w:tentative="0">
      <w:start w:val="1"/>
      <w:numFmt w:val="decimal"/>
      <w:lvlText w:val="%1.%2.%3.%4.%5.%6.%7.%8"/>
      <w:lvlJc w:val="left"/>
      <w:pPr>
        <w:ind w:left="4394" w:hanging="1418"/>
      </w:pPr>
    </w:lvl>
    <w:lvl w:ilvl="8" w:tentative="0">
      <w:start w:val="1"/>
      <w:numFmt w:val="decimal"/>
      <w:lvlText w:val="%1.%2.%3.%4.%5.%6.%7.%8.%9"/>
      <w:lvlJc w:val="left"/>
      <w:pPr>
        <w:ind w:left="5102" w:hanging="1700"/>
      </w:pPr>
    </w:lvl>
  </w:abstractNum>
  <w:abstractNum w:abstractNumId="1">
    <w:nsid w:val="0000000B"/>
    <w:multiLevelType w:val="multilevel"/>
    <w:tmpl w:val="0000000B"/>
    <w:lvl w:ilvl="0" w:tentative="0">
      <w:start w:val="1"/>
      <w:numFmt w:val="decimal"/>
      <w:lvlText w:val="（%1）"/>
      <w:lvlJc w:val="left"/>
      <w:pPr>
        <w:tabs>
          <w:tab w:val="left" w:pos="1140"/>
        </w:tabs>
        <w:ind w:left="1140" w:hanging="720"/>
      </w:pPr>
      <w:rPr>
        <w:rFonts w:hint="eastAsia"/>
      </w:rPr>
    </w:lvl>
    <w:lvl w:ilvl="1" w:tentative="0">
      <w:start w:val="1"/>
      <w:numFmt w:val="lowerLetter"/>
      <w:lvlText w:val="%2)"/>
      <w:lvlJc w:val="left"/>
      <w:pPr>
        <w:tabs>
          <w:tab w:val="left" w:pos="1260"/>
        </w:tabs>
        <w:ind w:left="1260" w:hanging="420"/>
      </w:pPr>
    </w:lvl>
    <w:lvl w:ilvl="2" w:tentative="0">
      <w:start w:val="1"/>
      <w:numFmt w:val="lowerRoman"/>
      <w:lvlText w:val="%3."/>
      <w:lvlJc w:val="right"/>
      <w:pPr>
        <w:tabs>
          <w:tab w:val="left" w:pos="1680"/>
        </w:tabs>
        <w:ind w:left="1680" w:hanging="420"/>
      </w:pPr>
    </w:lvl>
    <w:lvl w:ilvl="3" w:tentative="0">
      <w:start w:val="1"/>
      <w:numFmt w:val="decimal"/>
      <w:lvlText w:val="%4."/>
      <w:lvlJc w:val="left"/>
      <w:pPr>
        <w:tabs>
          <w:tab w:val="left" w:pos="2100"/>
        </w:tabs>
        <w:ind w:left="2100" w:hanging="420"/>
      </w:pPr>
    </w:lvl>
    <w:lvl w:ilvl="4" w:tentative="0">
      <w:start w:val="1"/>
      <w:numFmt w:val="lowerLetter"/>
      <w:lvlText w:val="%5)"/>
      <w:lvlJc w:val="left"/>
      <w:pPr>
        <w:tabs>
          <w:tab w:val="left" w:pos="2520"/>
        </w:tabs>
        <w:ind w:left="2520" w:hanging="420"/>
      </w:p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abstractNum w:abstractNumId="2">
    <w:nsid w:val="0000000C"/>
    <w:multiLevelType w:val="multilevel"/>
    <w:tmpl w:val="0000000C"/>
    <w:lvl w:ilvl="0" w:tentative="0">
      <w:start w:val="1"/>
      <w:numFmt w:val="decimal"/>
      <w:lvlText w:val="（%1）"/>
      <w:lvlJc w:val="left"/>
      <w:pPr>
        <w:tabs>
          <w:tab w:val="left" w:pos="1430"/>
        </w:tabs>
        <w:ind w:left="1430" w:hanging="720"/>
      </w:pPr>
      <w:rPr>
        <w:rFonts w:hint="eastAsia"/>
        <w:color w:val="000000"/>
      </w:rPr>
    </w:lvl>
    <w:lvl w:ilvl="1" w:tentative="0">
      <w:start w:val="1"/>
      <w:numFmt w:val="lowerLetter"/>
      <w:lvlText w:val="%2)"/>
      <w:lvlJc w:val="left"/>
      <w:pPr>
        <w:tabs>
          <w:tab w:val="left" w:pos="1260"/>
        </w:tabs>
        <w:ind w:left="1260" w:hanging="420"/>
      </w:pPr>
    </w:lvl>
    <w:lvl w:ilvl="2" w:tentative="0">
      <w:start w:val="1"/>
      <w:numFmt w:val="lowerRoman"/>
      <w:lvlText w:val="%3."/>
      <w:lvlJc w:val="right"/>
      <w:pPr>
        <w:tabs>
          <w:tab w:val="left" w:pos="1680"/>
        </w:tabs>
        <w:ind w:left="1680" w:hanging="420"/>
      </w:pPr>
    </w:lvl>
    <w:lvl w:ilvl="3" w:tentative="0">
      <w:start w:val="1"/>
      <w:numFmt w:val="decimal"/>
      <w:lvlText w:val="%4."/>
      <w:lvlJc w:val="left"/>
      <w:pPr>
        <w:tabs>
          <w:tab w:val="left" w:pos="2100"/>
        </w:tabs>
        <w:ind w:left="2100" w:hanging="420"/>
      </w:pPr>
    </w:lvl>
    <w:lvl w:ilvl="4" w:tentative="0">
      <w:start w:val="1"/>
      <w:numFmt w:val="lowerLetter"/>
      <w:lvlText w:val="%5)"/>
      <w:lvlJc w:val="left"/>
      <w:pPr>
        <w:tabs>
          <w:tab w:val="left" w:pos="2520"/>
        </w:tabs>
        <w:ind w:left="2520" w:hanging="420"/>
      </w:p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abstractNum w:abstractNumId="3">
    <w:nsid w:val="0000000E"/>
    <w:multiLevelType w:val="multilevel"/>
    <w:tmpl w:val="0000000E"/>
    <w:lvl w:ilvl="0" w:tentative="0">
      <w:start w:val="1"/>
      <w:numFmt w:val="decimal"/>
      <w:pStyle w:val="150"/>
      <w:lvlText w:val="第%1条"/>
      <w:lvlJc w:val="left"/>
      <w:pPr>
        <w:ind w:left="0" w:firstLine="0"/>
      </w:pPr>
    </w:lvl>
    <w:lvl w:ilvl="1" w:tentative="0">
      <w:start w:val="1"/>
      <w:numFmt w:val="decimal"/>
      <w:pStyle w:val="151"/>
      <w:lvlText w:val="%1.%2"/>
      <w:lvlJc w:val="left"/>
      <w:pPr>
        <w:ind w:left="0" w:firstLine="0"/>
      </w:pPr>
    </w:lvl>
    <w:lvl w:ilvl="2" w:tentative="0">
      <w:start w:val="1"/>
      <w:numFmt w:val="decimal"/>
      <w:pStyle w:val="152"/>
      <w:lvlText w:val="%1.%2.%3"/>
      <w:lvlJc w:val="left"/>
      <w:pPr>
        <w:ind w:left="9072" w:firstLine="0"/>
      </w:pPr>
    </w:lvl>
    <w:lvl w:ilvl="3" w:tentative="0">
      <w:start w:val="1"/>
      <w:numFmt w:val="decimal"/>
      <w:pStyle w:val="153"/>
      <w:lvlText w:val="（%4）"/>
      <w:lvlJc w:val="left"/>
      <w:pPr>
        <w:ind w:left="1135" w:firstLine="0"/>
      </w:pPr>
    </w:lvl>
    <w:lvl w:ilvl="4" w:tentative="0">
      <w:start w:val="1"/>
      <w:numFmt w:val="decimal"/>
      <w:lvlText w:val="%1.%2.%3.%4.%5"/>
      <w:lvlJc w:val="left"/>
      <w:pPr>
        <w:ind w:left="0" w:firstLine="0"/>
      </w:pPr>
    </w:lvl>
    <w:lvl w:ilvl="5" w:tentative="0">
      <w:start w:val="1"/>
      <w:numFmt w:val="decimal"/>
      <w:lvlText w:val="%1.%2.%3.%4.%5.%6"/>
      <w:lvlJc w:val="left"/>
      <w:pPr>
        <w:ind w:left="0" w:firstLine="0"/>
      </w:pPr>
    </w:lvl>
    <w:lvl w:ilvl="6" w:tentative="0">
      <w:start w:val="1"/>
      <w:numFmt w:val="decimal"/>
      <w:lvlText w:val="%1.%2.%3.%4.%5.%6.%7"/>
      <w:lvlJc w:val="left"/>
      <w:pPr>
        <w:ind w:left="0" w:firstLine="0"/>
      </w:pPr>
    </w:lvl>
    <w:lvl w:ilvl="7" w:tentative="0">
      <w:start w:val="1"/>
      <w:numFmt w:val="decimal"/>
      <w:lvlText w:val="%1.%2.%3.%4.%5.%6.%7.%8"/>
      <w:lvlJc w:val="left"/>
      <w:pPr>
        <w:ind w:left="0" w:firstLine="0"/>
      </w:pPr>
    </w:lvl>
    <w:lvl w:ilvl="8" w:tentative="0">
      <w:start w:val="1"/>
      <w:numFmt w:val="decimal"/>
      <w:lvlText w:val="%1.%2.%3.%4.%5.%6.%7.%8.%9"/>
      <w:lvlJc w:val="left"/>
      <w:pPr>
        <w:ind w:left="0" w:firstLine="0"/>
      </w:pPr>
    </w:lvl>
  </w:abstractNum>
  <w:abstractNum w:abstractNumId="4">
    <w:nsid w:val="0315620E"/>
    <w:multiLevelType w:val="multilevel"/>
    <w:tmpl w:val="0315620E"/>
    <w:lvl w:ilvl="0" w:tentative="0">
      <w:start w:val="1"/>
      <w:numFmt w:val="decimal"/>
      <w:lvlText w:val="%1"/>
      <w:lvlJc w:val="left"/>
      <w:pPr>
        <w:tabs>
          <w:tab w:val="left" w:pos="360"/>
        </w:tabs>
        <w:ind w:left="284" w:hanging="284"/>
      </w:pPr>
      <w:rPr>
        <w:rFonts w:hint="default" w:ascii="Times New Roman" w:hAnsi="Times New Roman"/>
        <w:b/>
        <w:i w:val="0"/>
        <w:sz w:val="28"/>
      </w:rPr>
    </w:lvl>
    <w:lvl w:ilvl="1" w:tentative="0">
      <w:start w:val="1"/>
      <w:numFmt w:val="decimal"/>
      <w:lvlText w:val="%1.%2"/>
      <w:lvlJc w:val="left"/>
      <w:pPr>
        <w:tabs>
          <w:tab w:val="left" w:pos="1021"/>
        </w:tabs>
        <w:ind w:left="1021" w:hanging="596"/>
      </w:pPr>
      <w:rPr>
        <w:rFonts w:hint="default" w:ascii="Times New Roman" w:hAnsi="Times New Roman"/>
        <w:b/>
        <w:i w:val="0"/>
        <w:sz w:val="28"/>
      </w:rPr>
    </w:lvl>
    <w:lvl w:ilvl="2" w:tentative="0">
      <w:start w:val="1"/>
      <w:numFmt w:val="decimal"/>
      <w:pStyle w:val="4"/>
      <w:lvlText w:val="%1.%2.%3"/>
      <w:lvlJc w:val="left"/>
      <w:pPr>
        <w:tabs>
          <w:tab w:val="left" w:pos="1588"/>
        </w:tabs>
        <w:ind w:left="1588" w:hanging="737"/>
      </w:pPr>
      <w:rPr>
        <w:rFonts w:hint="default" w:ascii="Times New Roman" w:hAnsi="Times New Roman"/>
        <w:b/>
        <w:i w:val="0"/>
        <w:sz w:val="24"/>
      </w:rPr>
    </w:lvl>
    <w:lvl w:ilvl="3" w:tentative="0">
      <w:start w:val="1"/>
      <w:numFmt w:val="decimal"/>
      <w:pStyle w:val="5"/>
      <w:lvlText w:val="%1.%2.%3.%4"/>
      <w:lvlJc w:val="left"/>
      <w:pPr>
        <w:tabs>
          <w:tab w:val="left" w:pos="2155"/>
        </w:tabs>
        <w:ind w:left="2155" w:hanging="1078"/>
      </w:pPr>
      <w:rPr>
        <w:rFonts w:hint="default" w:ascii="Arial" w:hAnsi="Arial"/>
        <w:b w:val="0"/>
        <w:i w:val="0"/>
        <w:sz w:val="24"/>
      </w:rPr>
    </w:lvl>
    <w:lvl w:ilvl="4" w:tentative="0">
      <w:start w:val="1"/>
      <w:numFmt w:val="decimal"/>
      <w:lvlText w:val="%1.%2.%3.%4.%5"/>
      <w:lvlJc w:val="left"/>
      <w:pPr>
        <w:tabs>
          <w:tab w:val="left" w:pos="3141"/>
        </w:tabs>
        <w:ind w:left="2551" w:hanging="850"/>
      </w:pPr>
      <w:rPr>
        <w:rFonts w:hint="eastAsia"/>
      </w:rPr>
    </w:lvl>
    <w:lvl w:ilvl="5" w:tentative="0">
      <w:start w:val="1"/>
      <w:numFmt w:val="decimal"/>
      <w:lvlText w:val="%1.%2.%3.%4.%5.%6"/>
      <w:lvlJc w:val="left"/>
      <w:pPr>
        <w:tabs>
          <w:tab w:val="left" w:pos="3566"/>
        </w:tabs>
        <w:ind w:left="3260" w:hanging="1134"/>
      </w:pPr>
      <w:rPr>
        <w:rFonts w:hint="eastAsia"/>
      </w:rPr>
    </w:lvl>
    <w:lvl w:ilvl="6" w:tentative="0">
      <w:start w:val="1"/>
      <w:numFmt w:val="decimal"/>
      <w:lvlText w:val="%1.%2.%3.%4.%5.%6.%7"/>
      <w:lvlJc w:val="left"/>
      <w:pPr>
        <w:tabs>
          <w:tab w:val="left" w:pos="4351"/>
        </w:tabs>
        <w:ind w:left="3827" w:hanging="1276"/>
      </w:pPr>
      <w:rPr>
        <w:rFonts w:hint="eastAsia"/>
      </w:rPr>
    </w:lvl>
    <w:lvl w:ilvl="7" w:tentative="0">
      <w:start w:val="1"/>
      <w:numFmt w:val="decimal"/>
      <w:lvlText w:val="%1.%2.%3.%4.%5.%6.%7.%8"/>
      <w:lvlJc w:val="left"/>
      <w:pPr>
        <w:tabs>
          <w:tab w:val="left" w:pos="5136"/>
        </w:tabs>
        <w:ind w:left="4394" w:hanging="1418"/>
      </w:pPr>
      <w:rPr>
        <w:rFonts w:hint="eastAsia"/>
      </w:rPr>
    </w:lvl>
    <w:lvl w:ilvl="8" w:tentative="0">
      <w:start w:val="1"/>
      <w:numFmt w:val="decimal"/>
      <w:lvlText w:val="%1.%2.%3.%4.%5.%6.%7.%8.%9"/>
      <w:lvlJc w:val="left"/>
      <w:pPr>
        <w:tabs>
          <w:tab w:val="left" w:pos="5562"/>
        </w:tabs>
        <w:ind w:left="5102" w:hanging="1700"/>
      </w:pPr>
      <w:rPr>
        <w:rFonts w:hint="eastAsia"/>
      </w:rPr>
    </w:lvl>
  </w:abstractNum>
  <w:abstractNum w:abstractNumId="5">
    <w:nsid w:val="149C14EB"/>
    <w:multiLevelType w:val="singleLevel"/>
    <w:tmpl w:val="149C14EB"/>
    <w:lvl w:ilvl="0" w:tentative="0">
      <w:start w:val="1"/>
      <w:numFmt w:val="decimal"/>
      <w:lvlText w:val="%1."/>
      <w:lvlJc w:val="left"/>
      <w:pPr>
        <w:tabs>
          <w:tab w:val="left" w:pos="312"/>
        </w:tabs>
      </w:pPr>
    </w:lvl>
  </w:abstractNum>
  <w:abstractNum w:abstractNumId="6">
    <w:nsid w:val="536EA49F"/>
    <w:multiLevelType w:val="singleLevel"/>
    <w:tmpl w:val="536EA49F"/>
    <w:lvl w:ilvl="0" w:tentative="0">
      <w:start w:val="2"/>
      <w:numFmt w:val="decimal"/>
      <w:lvlText w:val="%1."/>
      <w:lvlJc w:val="left"/>
      <w:pPr>
        <w:tabs>
          <w:tab w:val="left" w:pos="312"/>
        </w:tabs>
      </w:pPr>
    </w:lvl>
  </w:abstractNum>
  <w:num w:numId="1">
    <w:abstractNumId w:val="4"/>
  </w:num>
  <w:num w:numId="2">
    <w:abstractNumId w:val="3"/>
  </w:num>
  <w:num w:numId="3">
    <w:abstractNumId w:val="0"/>
  </w:num>
  <w:num w:numId="4">
    <w:abstractNumId w:val="2"/>
  </w:num>
  <w:num w:numId="5">
    <w:abstractNumId w:val="1"/>
  </w:num>
  <w:num w:numId="6">
    <w:abstractNumId w:val="6"/>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hideSpellingErrors/>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TUwNTJiMWU1ZmI1NDcyMWNhMzYxZDY4MmFkY2FiODYifQ=="/>
  </w:docVars>
  <w:rsids>
    <w:rsidRoot w:val="00544E15"/>
    <w:rsid w:val="00007A97"/>
    <w:rsid w:val="0001452E"/>
    <w:rsid w:val="00016186"/>
    <w:rsid w:val="00031AEC"/>
    <w:rsid w:val="000356F0"/>
    <w:rsid w:val="0004477D"/>
    <w:rsid w:val="0005239F"/>
    <w:rsid w:val="00070184"/>
    <w:rsid w:val="000755A5"/>
    <w:rsid w:val="00075CFE"/>
    <w:rsid w:val="00076AE6"/>
    <w:rsid w:val="0008390C"/>
    <w:rsid w:val="000904D8"/>
    <w:rsid w:val="000924F9"/>
    <w:rsid w:val="00094D71"/>
    <w:rsid w:val="0009613D"/>
    <w:rsid w:val="00096CDB"/>
    <w:rsid w:val="000A62DE"/>
    <w:rsid w:val="000A63BB"/>
    <w:rsid w:val="000B18D3"/>
    <w:rsid w:val="000B2163"/>
    <w:rsid w:val="000B4081"/>
    <w:rsid w:val="000C1886"/>
    <w:rsid w:val="000C1A9F"/>
    <w:rsid w:val="000D1B29"/>
    <w:rsid w:val="000F168F"/>
    <w:rsid w:val="000F49F8"/>
    <w:rsid w:val="000F6DF2"/>
    <w:rsid w:val="00106FE6"/>
    <w:rsid w:val="001108D5"/>
    <w:rsid w:val="00116017"/>
    <w:rsid w:val="00116FA6"/>
    <w:rsid w:val="00124629"/>
    <w:rsid w:val="001342CF"/>
    <w:rsid w:val="00143861"/>
    <w:rsid w:val="001525C1"/>
    <w:rsid w:val="001558F7"/>
    <w:rsid w:val="00161D00"/>
    <w:rsid w:val="001659A9"/>
    <w:rsid w:val="00172775"/>
    <w:rsid w:val="0018188F"/>
    <w:rsid w:val="00182362"/>
    <w:rsid w:val="00187247"/>
    <w:rsid w:val="001875B3"/>
    <w:rsid w:val="001876AA"/>
    <w:rsid w:val="0019071E"/>
    <w:rsid w:val="001958FE"/>
    <w:rsid w:val="001A58D0"/>
    <w:rsid w:val="001B0666"/>
    <w:rsid w:val="001C356B"/>
    <w:rsid w:val="001D11B6"/>
    <w:rsid w:val="001D28D9"/>
    <w:rsid w:val="001E1ED8"/>
    <w:rsid w:val="001E4C2E"/>
    <w:rsid w:val="001F4697"/>
    <w:rsid w:val="00203216"/>
    <w:rsid w:val="00204CA2"/>
    <w:rsid w:val="002241B5"/>
    <w:rsid w:val="002364E0"/>
    <w:rsid w:val="0023749A"/>
    <w:rsid w:val="00240202"/>
    <w:rsid w:val="00257561"/>
    <w:rsid w:val="00264180"/>
    <w:rsid w:val="00264B64"/>
    <w:rsid w:val="00267B20"/>
    <w:rsid w:val="00285E4E"/>
    <w:rsid w:val="00291E00"/>
    <w:rsid w:val="002939B0"/>
    <w:rsid w:val="002A5C34"/>
    <w:rsid w:val="002A7587"/>
    <w:rsid w:val="002B65EA"/>
    <w:rsid w:val="002D1360"/>
    <w:rsid w:val="002D3804"/>
    <w:rsid w:val="002D3EED"/>
    <w:rsid w:val="002D494F"/>
    <w:rsid w:val="002E638B"/>
    <w:rsid w:val="002E671E"/>
    <w:rsid w:val="002E6A36"/>
    <w:rsid w:val="002E6E56"/>
    <w:rsid w:val="002F56C6"/>
    <w:rsid w:val="003117B5"/>
    <w:rsid w:val="0031504B"/>
    <w:rsid w:val="0031517B"/>
    <w:rsid w:val="00316E26"/>
    <w:rsid w:val="00322A9E"/>
    <w:rsid w:val="00327860"/>
    <w:rsid w:val="003309F0"/>
    <w:rsid w:val="003312F9"/>
    <w:rsid w:val="0035055A"/>
    <w:rsid w:val="00352EDB"/>
    <w:rsid w:val="0035749A"/>
    <w:rsid w:val="00357B75"/>
    <w:rsid w:val="0036581B"/>
    <w:rsid w:val="00376054"/>
    <w:rsid w:val="00396656"/>
    <w:rsid w:val="003A39D9"/>
    <w:rsid w:val="003A4500"/>
    <w:rsid w:val="003B4ABE"/>
    <w:rsid w:val="003B69BD"/>
    <w:rsid w:val="003B6F5A"/>
    <w:rsid w:val="003C349A"/>
    <w:rsid w:val="003C4E15"/>
    <w:rsid w:val="003C7142"/>
    <w:rsid w:val="003D044D"/>
    <w:rsid w:val="003D6DF8"/>
    <w:rsid w:val="003E0B01"/>
    <w:rsid w:val="003E42AE"/>
    <w:rsid w:val="003F2203"/>
    <w:rsid w:val="003F65BB"/>
    <w:rsid w:val="00403391"/>
    <w:rsid w:val="00406E68"/>
    <w:rsid w:val="00432936"/>
    <w:rsid w:val="004336FD"/>
    <w:rsid w:val="00434267"/>
    <w:rsid w:val="004344F2"/>
    <w:rsid w:val="00444920"/>
    <w:rsid w:val="00447FC4"/>
    <w:rsid w:val="00453864"/>
    <w:rsid w:val="004746C1"/>
    <w:rsid w:val="00476974"/>
    <w:rsid w:val="00476AEB"/>
    <w:rsid w:val="004933C4"/>
    <w:rsid w:val="00496ACC"/>
    <w:rsid w:val="004A19A0"/>
    <w:rsid w:val="004A6BD2"/>
    <w:rsid w:val="004C4633"/>
    <w:rsid w:val="004D0834"/>
    <w:rsid w:val="004D15D7"/>
    <w:rsid w:val="004D7D85"/>
    <w:rsid w:val="004E41AB"/>
    <w:rsid w:val="004E47CE"/>
    <w:rsid w:val="004F3372"/>
    <w:rsid w:val="004F406A"/>
    <w:rsid w:val="00500A05"/>
    <w:rsid w:val="00503A15"/>
    <w:rsid w:val="00512930"/>
    <w:rsid w:val="0051313B"/>
    <w:rsid w:val="005133E1"/>
    <w:rsid w:val="005138AA"/>
    <w:rsid w:val="0051591E"/>
    <w:rsid w:val="00524C30"/>
    <w:rsid w:val="00524D51"/>
    <w:rsid w:val="0054252B"/>
    <w:rsid w:val="00544E15"/>
    <w:rsid w:val="00561891"/>
    <w:rsid w:val="005729C8"/>
    <w:rsid w:val="0057301E"/>
    <w:rsid w:val="00580BA0"/>
    <w:rsid w:val="00584CB9"/>
    <w:rsid w:val="00595F98"/>
    <w:rsid w:val="00596196"/>
    <w:rsid w:val="00597E43"/>
    <w:rsid w:val="005B4519"/>
    <w:rsid w:val="005B4663"/>
    <w:rsid w:val="005C01AC"/>
    <w:rsid w:val="005C3FC5"/>
    <w:rsid w:val="005D0AEF"/>
    <w:rsid w:val="005D1ECE"/>
    <w:rsid w:val="005E51D8"/>
    <w:rsid w:val="005E6AF1"/>
    <w:rsid w:val="005E7E47"/>
    <w:rsid w:val="006063AF"/>
    <w:rsid w:val="0061291F"/>
    <w:rsid w:val="00625699"/>
    <w:rsid w:val="006333DD"/>
    <w:rsid w:val="00634CDC"/>
    <w:rsid w:val="00637117"/>
    <w:rsid w:val="00640B88"/>
    <w:rsid w:val="00643C8F"/>
    <w:rsid w:val="00656729"/>
    <w:rsid w:val="00656F65"/>
    <w:rsid w:val="006574B8"/>
    <w:rsid w:val="006637CA"/>
    <w:rsid w:val="0066498A"/>
    <w:rsid w:val="00666D36"/>
    <w:rsid w:val="0067683F"/>
    <w:rsid w:val="006875C3"/>
    <w:rsid w:val="0069709D"/>
    <w:rsid w:val="006A34FF"/>
    <w:rsid w:val="006B0746"/>
    <w:rsid w:val="006B258D"/>
    <w:rsid w:val="006C0EFF"/>
    <w:rsid w:val="006C2CF8"/>
    <w:rsid w:val="006C4307"/>
    <w:rsid w:val="006D20F4"/>
    <w:rsid w:val="006D6549"/>
    <w:rsid w:val="006D7022"/>
    <w:rsid w:val="006E2088"/>
    <w:rsid w:val="006E26B7"/>
    <w:rsid w:val="006E4DC9"/>
    <w:rsid w:val="006F07A6"/>
    <w:rsid w:val="006F4E8A"/>
    <w:rsid w:val="00700074"/>
    <w:rsid w:val="00716DBC"/>
    <w:rsid w:val="007327F1"/>
    <w:rsid w:val="00736AFA"/>
    <w:rsid w:val="00757C16"/>
    <w:rsid w:val="00767319"/>
    <w:rsid w:val="007677E7"/>
    <w:rsid w:val="00771CCA"/>
    <w:rsid w:val="007759FB"/>
    <w:rsid w:val="0077779B"/>
    <w:rsid w:val="00787F77"/>
    <w:rsid w:val="0079156A"/>
    <w:rsid w:val="00796EA2"/>
    <w:rsid w:val="007A1F46"/>
    <w:rsid w:val="007A3681"/>
    <w:rsid w:val="007A4459"/>
    <w:rsid w:val="007B02DF"/>
    <w:rsid w:val="007B41E7"/>
    <w:rsid w:val="007B60E1"/>
    <w:rsid w:val="007C6607"/>
    <w:rsid w:val="007D6FB0"/>
    <w:rsid w:val="007E7708"/>
    <w:rsid w:val="007F134E"/>
    <w:rsid w:val="007F243F"/>
    <w:rsid w:val="007F35C5"/>
    <w:rsid w:val="007F4B14"/>
    <w:rsid w:val="00816A71"/>
    <w:rsid w:val="00823BD5"/>
    <w:rsid w:val="00844E3B"/>
    <w:rsid w:val="008512A9"/>
    <w:rsid w:val="008512DC"/>
    <w:rsid w:val="00857307"/>
    <w:rsid w:val="008578E8"/>
    <w:rsid w:val="008702FA"/>
    <w:rsid w:val="00874033"/>
    <w:rsid w:val="008767C3"/>
    <w:rsid w:val="008827DB"/>
    <w:rsid w:val="00883B43"/>
    <w:rsid w:val="00884786"/>
    <w:rsid w:val="00890EBC"/>
    <w:rsid w:val="00893114"/>
    <w:rsid w:val="008A4255"/>
    <w:rsid w:val="008A73B6"/>
    <w:rsid w:val="008C3F21"/>
    <w:rsid w:val="008E1078"/>
    <w:rsid w:val="008E39E5"/>
    <w:rsid w:val="008F5533"/>
    <w:rsid w:val="008F6EB2"/>
    <w:rsid w:val="009021A4"/>
    <w:rsid w:val="00910688"/>
    <w:rsid w:val="00911D49"/>
    <w:rsid w:val="00917838"/>
    <w:rsid w:val="00917898"/>
    <w:rsid w:val="00924585"/>
    <w:rsid w:val="009309B9"/>
    <w:rsid w:val="00935ED4"/>
    <w:rsid w:val="0094368C"/>
    <w:rsid w:val="00953986"/>
    <w:rsid w:val="00961746"/>
    <w:rsid w:val="009806E4"/>
    <w:rsid w:val="00981270"/>
    <w:rsid w:val="00985E79"/>
    <w:rsid w:val="009A0244"/>
    <w:rsid w:val="009A539A"/>
    <w:rsid w:val="009A71C0"/>
    <w:rsid w:val="009B3DB5"/>
    <w:rsid w:val="009C751D"/>
    <w:rsid w:val="009C7907"/>
    <w:rsid w:val="009F272B"/>
    <w:rsid w:val="00A13E11"/>
    <w:rsid w:val="00A32C34"/>
    <w:rsid w:val="00A40D6E"/>
    <w:rsid w:val="00A633F9"/>
    <w:rsid w:val="00A63ACB"/>
    <w:rsid w:val="00A64CCA"/>
    <w:rsid w:val="00A8547B"/>
    <w:rsid w:val="00A901E1"/>
    <w:rsid w:val="00AA1F84"/>
    <w:rsid w:val="00AA2797"/>
    <w:rsid w:val="00AB76DF"/>
    <w:rsid w:val="00AD1096"/>
    <w:rsid w:val="00AE4EAE"/>
    <w:rsid w:val="00B07D92"/>
    <w:rsid w:val="00B261BD"/>
    <w:rsid w:val="00B27C33"/>
    <w:rsid w:val="00B36141"/>
    <w:rsid w:val="00B3731D"/>
    <w:rsid w:val="00B43B00"/>
    <w:rsid w:val="00B4735A"/>
    <w:rsid w:val="00B50E6E"/>
    <w:rsid w:val="00B53043"/>
    <w:rsid w:val="00B55099"/>
    <w:rsid w:val="00B572E7"/>
    <w:rsid w:val="00B63007"/>
    <w:rsid w:val="00B64C3A"/>
    <w:rsid w:val="00B70C63"/>
    <w:rsid w:val="00B73FD2"/>
    <w:rsid w:val="00B75742"/>
    <w:rsid w:val="00B80CFE"/>
    <w:rsid w:val="00B82253"/>
    <w:rsid w:val="00BC1186"/>
    <w:rsid w:val="00BC4B79"/>
    <w:rsid w:val="00BC4D11"/>
    <w:rsid w:val="00BC7AF3"/>
    <w:rsid w:val="00BE0371"/>
    <w:rsid w:val="00BF1B4E"/>
    <w:rsid w:val="00BF21BC"/>
    <w:rsid w:val="00BF53B7"/>
    <w:rsid w:val="00BF559B"/>
    <w:rsid w:val="00BF5B0C"/>
    <w:rsid w:val="00BF5CF8"/>
    <w:rsid w:val="00C052E0"/>
    <w:rsid w:val="00C0618E"/>
    <w:rsid w:val="00C061D1"/>
    <w:rsid w:val="00C12CC7"/>
    <w:rsid w:val="00C14CDC"/>
    <w:rsid w:val="00C25170"/>
    <w:rsid w:val="00C25777"/>
    <w:rsid w:val="00C333AA"/>
    <w:rsid w:val="00C36151"/>
    <w:rsid w:val="00C37B9D"/>
    <w:rsid w:val="00C4084A"/>
    <w:rsid w:val="00C50852"/>
    <w:rsid w:val="00C7070F"/>
    <w:rsid w:val="00C72B69"/>
    <w:rsid w:val="00C72DAA"/>
    <w:rsid w:val="00C7753C"/>
    <w:rsid w:val="00C8088B"/>
    <w:rsid w:val="00C80FF4"/>
    <w:rsid w:val="00C84A38"/>
    <w:rsid w:val="00CA216B"/>
    <w:rsid w:val="00CB2F9F"/>
    <w:rsid w:val="00CB5948"/>
    <w:rsid w:val="00CB5C96"/>
    <w:rsid w:val="00CB60DA"/>
    <w:rsid w:val="00CB6639"/>
    <w:rsid w:val="00CD1805"/>
    <w:rsid w:val="00CD50B5"/>
    <w:rsid w:val="00CE1473"/>
    <w:rsid w:val="00CE15F2"/>
    <w:rsid w:val="00CE67CF"/>
    <w:rsid w:val="00CF2896"/>
    <w:rsid w:val="00D07E4D"/>
    <w:rsid w:val="00D17813"/>
    <w:rsid w:val="00D2110D"/>
    <w:rsid w:val="00D2579A"/>
    <w:rsid w:val="00D27470"/>
    <w:rsid w:val="00D40561"/>
    <w:rsid w:val="00D40D69"/>
    <w:rsid w:val="00D423B7"/>
    <w:rsid w:val="00D4434A"/>
    <w:rsid w:val="00D5295B"/>
    <w:rsid w:val="00D54CBA"/>
    <w:rsid w:val="00D60CE7"/>
    <w:rsid w:val="00D716D2"/>
    <w:rsid w:val="00D8139C"/>
    <w:rsid w:val="00D828B0"/>
    <w:rsid w:val="00D8385C"/>
    <w:rsid w:val="00D921A8"/>
    <w:rsid w:val="00DA337C"/>
    <w:rsid w:val="00DA6805"/>
    <w:rsid w:val="00DB4CDA"/>
    <w:rsid w:val="00DC2BEA"/>
    <w:rsid w:val="00DC7C6C"/>
    <w:rsid w:val="00DD4E8C"/>
    <w:rsid w:val="00DE6030"/>
    <w:rsid w:val="00E007AD"/>
    <w:rsid w:val="00E06308"/>
    <w:rsid w:val="00E07DD3"/>
    <w:rsid w:val="00E12B59"/>
    <w:rsid w:val="00E143CD"/>
    <w:rsid w:val="00E2433E"/>
    <w:rsid w:val="00E4788E"/>
    <w:rsid w:val="00E5496C"/>
    <w:rsid w:val="00E62406"/>
    <w:rsid w:val="00E64441"/>
    <w:rsid w:val="00E72919"/>
    <w:rsid w:val="00E855AB"/>
    <w:rsid w:val="00E87291"/>
    <w:rsid w:val="00E87C2E"/>
    <w:rsid w:val="00EA1E5C"/>
    <w:rsid w:val="00EA6831"/>
    <w:rsid w:val="00EB53B3"/>
    <w:rsid w:val="00EC6053"/>
    <w:rsid w:val="00ED2292"/>
    <w:rsid w:val="00ED5A44"/>
    <w:rsid w:val="00EE2138"/>
    <w:rsid w:val="00EE4918"/>
    <w:rsid w:val="00EE7D05"/>
    <w:rsid w:val="00F06694"/>
    <w:rsid w:val="00F069A8"/>
    <w:rsid w:val="00F150CD"/>
    <w:rsid w:val="00F16A18"/>
    <w:rsid w:val="00F263FF"/>
    <w:rsid w:val="00F31E49"/>
    <w:rsid w:val="00F37257"/>
    <w:rsid w:val="00F43242"/>
    <w:rsid w:val="00F513A8"/>
    <w:rsid w:val="00F52F75"/>
    <w:rsid w:val="00F61657"/>
    <w:rsid w:val="00F659B9"/>
    <w:rsid w:val="00F67F37"/>
    <w:rsid w:val="00F71E28"/>
    <w:rsid w:val="00F74458"/>
    <w:rsid w:val="00F76A90"/>
    <w:rsid w:val="00F8505C"/>
    <w:rsid w:val="00F95A8C"/>
    <w:rsid w:val="00FA122B"/>
    <w:rsid w:val="00FA35AA"/>
    <w:rsid w:val="00FA4C2C"/>
    <w:rsid w:val="00FC6449"/>
    <w:rsid w:val="00FD1E92"/>
    <w:rsid w:val="00FD5DA4"/>
    <w:rsid w:val="00FE2BD0"/>
    <w:rsid w:val="00FE6BEF"/>
    <w:rsid w:val="00FF2E03"/>
    <w:rsid w:val="00FF4443"/>
    <w:rsid w:val="00FF69FF"/>
    <w:rsid w:val="020D21FA"/>
    <w:rsid w:val="028B18FB"/>
    <w:rsid w:val="02E37041"/>
    <w:rsid w:val="0332621A"/>
    <w:rsid w:val="03445982"/>
    <w:rsid w:val="038D16A3"/>
    <w:rsid w:val="03CC1529"/>
    <w:rsid w:val="045C354F"/>
    <w:rsid w:val="04671EF4"/>
    <w:rsid w:val="04E96C81"/>
    <w:rsid w:val="051554AC"/>
    <w:rsid w:val="0550772C"/>
    <w:rsid w:val="05BB42A5"/>
    <w:rsid w:val="06561C3B"/>
    <w:rsid w:val="06DF3FC3"/>
    <w:rsid w:val="0781332F"/>
    <w:rsid w:val="079203BC"/>
    <w:rsid w:val="07E22CC8"/>
    <w:rsid w:val="07F319EB"/>
    <w:rsid w:val="08F33D56"/>
    <w:rsid w:val="09151E09"/>
    <w:rsid w:val="092E1232"/>
    <w:rsid w:val="09410F65"/>
    <w:rsid w:val="0A4A3E4A"/>
    <w:rsid w:val="0A6749FB"/>
    <w:rsid w:val="0A735171"/>
    <w:rsid w:val="0A886720"/>
    <w:rsid w:val="0B065FC2"/>
    <w:rsid w:val="0B1D155E"/>
    <w:rsid w:val="0B48482D"/>
    <w:rsid w:val="0B7A42BB"/>
    <w:rsid w:val="0BBA4FFF"/>
    <w:rsid w:val="0C2030B4"/>
    <w:rsid w:val="0C2E5B8A"/>
    <w:rsid w:val="0C656D19"/>
    <w:rsid w:val="0D0E5602"/>
    <w:rsid w:val="0D1B387B"/>
    <w:rsid w:val="0D8D4779"/>
    <w:rsid w:val="0D9E6986"/>
    <w:rsid w:val="0DD61ED8"/>
    <w:rsid w:val="0E3C1CFB"/>
    <w:rsid w:val="0E707BF7"/>
    <w:rsid w:val="0EE4486D"/>
    <w:rsid w:val="0F2A4187"/>
    <w:rsid w:val="0F450D53"/>
    <w:rsid w:val="0F557518"/>
    <w:rsid w:val="0FC24FD2"/>
    <w:rsid w:val="0FD91EF8"/>
    <w:rsid w:val="0FF26B15"/>
    <w:rsid w:val="10170200"/>
    <w:rsid w:val="105A40DF"/>
    <w:rsid w:val="10753B82"/>
    <w:rsid w:val="10881228"/>
    <w:rsid w:val="10B71B0D"/>
    <w:rsid w:val="113849FC"/>
    <w:rsid w:val="117619C8"/>
    <w:rsid w:val="11CC5EDF"/>
    <w:rsid w:val="123A4224"/>
    <w:rsid w:val="123E0DFD"/>
    <w:rsid w:val="12645AF2"/>
    <w:rsid w:val="130E1F7F"/>
    <w:rsid w:val="13637D2A"/>
    <w:rsid w:val="13AE3074"/>
    <w:rsid w:val="13FA243C"/>
    <w:rsid w:val="14303B04"/>
    <w:rsid w:val="144162BD"/>
    <w:rsid w:val="149A777C"/>
    <w:rsid w:val="149F4D92"/>
    <w:rsid w:val="14A01236"/>
    <w:rsid w:val="156B4954"/>
    <w:rsid w:val="15861303"/>
    <w:rsid w:val="15883A78"/>
    <w:rsid w:val="1600127D"/>
    <w:rsid w:val="1600152F"/>
    <w:rsid w:val="162B2D81"/>
    <w:rsid w:val="16691AFB"/>
    <w:rsid w:val="179377D7"/>
    <w:rsid w:val="17AE3C6E"/>
    <w:rsid w:val="17FE0021"/>
    <w:rsid w:val="184B14B9"/>
    <w:rsid w:val="1853036D"/>
    <w:rsid w:val="18561C0B"/>
    <w:rsid w:val="18756535"/>
    <w:rsid w:val="188E67A1"/>
    <w:rsid w:val="18C15C1F"/>
    <w:rsid w:val="18EC4ADD"/>
    <w:rsid w:val="19C21C4E"/>
    <w:rsid w:val="1A233790"/>
    <w:rsid w:val="1A6E76E0"/>
    <w:rsid w:val="1A9211B3"/>
    <w:rsid w:val="1B1A3CAC"/>
    <w:rsid w:val="1B9C64CF"/>
    <w:rsid w:val="1B9E2247"/>
    <w:rsid w:val="1BE614F8"/>
    <w:rsid w:val="1C5648D0"/>
    <w:rsid w:val="1C7C322A"/>
    <w:rsid w:val="1C907DE2"/>
    <w:rsid w:val="1D315B13"/>
    <w:rsid w:val="1D6B77C4"/>
    <w:rsid w:val="1DD0420E"/>
    <w:rsid w:val="1E1F78F6"/>
    <w:rsid w:val="1E314334"/>
    <w:rsid w:val="1E796654"/>
    <w:rsid w:val="1EC71AB5"/>
    <w:rsid w:val="1EF971B1"/>
    <w:rsid w:val="1FAE6C7D"/>
    <w:rsid w:val="1FE12702"/>
    <w:rsid w:val="200C59D1"/>
    <w:rsid w:val="20482782"/>
    <w:rsid w:val="20621A95"/>
    <w:rsid w:val="206C2914"/>
    <w:rsid w:val="209D487B"/>
    <w:rsid w:val="20A420AE"/>
    <w:rsid w:val="20CF4C51"/>
    <w:rsid w:val="20DD55C0"/>
    <w:rsid w:val="210C37AF"/>
    <w:rsid w:val="21476D33"/>
    <w:rsid w:val="21BC6F83"/>
    <w:rsid w:val="22665B01"/>
    <w:rsid w:val="22C95DFC"/>
    <w:rsid w:val="22F32E79"/>
    <w:rsid w:val="233D5EA2"/>
    <w:rsid w:val="239F090A"/>
    <w:rsid w:val="23CC33B1"/>
    <w:rsid w:val="23E5667E"/>
    <w:rsid w:val="2446347C"/>
    <w:rsid w:val="24507E57"/>
    <w:rsid w:val="249176A9"/>
    <w:rsid w:val="249C309C"/>
    <w:rsid w:val="254C5451"/>
    <w:rsid w:val="254E083A"/>
    <w:rsid w:val="25875AFA"/>
    <w:rsid w:val="25FC7641"/>
    <w:rsid w:val="269E759F"/>
    <w:rsid w:val="26CD578F"/>
    <w:rsid w:val="26E054C2"/>
    <w:rsid w:val="27B8643F"/>
    <w:rsid w:val="27C35A54"/>
    <w:rsid w:val="27DF5779"/>
    <w:rsid w:val="27F84A8D"/>
    <w:rsid w:val="286363AA"/>
    <w:rsid w:val="28A158AC"/>
    <w:rsid w:val="28B60BD0"/>
    <w:rsid w:val="28BB4FD8"/>
    <w:rsid w:val="290B259E"/>
    <w:rsid w:val="29BD5F8E"/>
    <w:rsid w:val="29E113B7"/>
    <w:rsid w:val="2A1F4553"/>
    <w:rsid w:val="2A2E384F"/>
    <w:rsid w:val="2AE2150F"/>
    <w:rsid w:val="2B33475A"/>
    <w:rsid w:val="2B595843"/>
    <w:rsid w:val="2B7F3748"/>
    <w:rsid w:val="2BF81500"/>
    <w:rsid w:val="2C31056E"/>
    <w:rsid w:val="2C567FD4"/>
    <w:rsid w:val="2CA0567D"/>
    <w:rsid w:val="2CAD4098"/>
    <w:rsid w:val="2D1E6D44"/>
    <w:rsid w:val="2D2F2CFF"/>
    <w:rsid w:val="2D571561"/>
    <w:rsid w:val="2D776454"/>
    <w:rsid w:val="2DA12955"/>
    <w:rsid w:val="2DAD00C8"/>
    <w:rsid w:val="2DDB2E87"/>
    <w:rsid w:val="2DE75388"/>
    <w:rsid w:val="2E644395"/>
    <w:rsid w:val="2E693FEF"/>
    <w:rsid w:val="2E6A7D67"/>
    <w:rsid w:val="2F0D62C0"/>
    <w:rsid w:val="2F611A30"/>
    <w:rsid w:val="2FA4517F"/>
    <w:rsid w:val="2FBB369F"/>
    <w:rsid w:val="306C21CA"/>
    <w:rsid w:val="3210328B"/>
    <w:rsid w:val="32566F80"/>
    <w:rsid w:val="33233306"/>
    <w:rsid w:val="33BC3725"/>
    <w:rsid w:val="33C67C80"/>
    <w:rsid w:val="33DA6F8F"/>
    <w:rsid w:val="33F12A0D"/>
    <w:rsid w:val="343A0B52"/>
    <w:rsid w:val="343B01DB"/>
    <w:rsid w:val="3518676F"/>
    <w:rsid w:val="352E1AEE"/>
    <w:rsid w:val="36097188"/>
    <w:rsid w:val="369342FF"/>
    <w:rsid w:val="36AA33F6"/>
    <w:rsid w:val="36D6243D"/>
    <w:rsid w:val="36EB4026"/>
    <w:rsid w:val="37620175"/>
    <w:rsid w:val="37847DD8"/>
    <w:rsid w:val="37CD1A92"/>
    <w:rsid w:val="37F214F9"/>
    <w:rsid w:val="37F92887"/>
    <w:rsid w:val="38060B00"/>
    <w:rsid w:val="38181A05"/>
    <w:rsid w:val="38457D6D"/>
    <w:rsid w:val="386E370A"/>
    <w:rsid w:val="38A345A1"/>
    <w:rsid w:val="38A81BB8"/>
    <w:rsid w:val="38EA628D"/>
    <w:rsid w:val="39447B32"/>
    <w:rsid w:val="39581830"/>
    <w:rsid w:val="39E66175"/>
    <w:rsid w:val="3A0B68A2"/>
    <w:rsid w:val="3A1A4D37"/>
    <w:rsid w:val="3A377697"/>
    <w:rsid w:val="3A6305C9"/>
    <w:rsid w:val="3A7B3C54"/>
    <w:rsid w:val="3B005CDB"/>
    <w:rsid w:val="3B1F1781"/>
    <w:rsid w:val="3B927CE2"/>
    <w:rsid w:val="3B934DA1"/>
    <w:rsid w:val="3BB30F9F"/>
    <w:rsid w:val="3BD258C9"/>
    <w:rsid w:val="3C2B6D87"/>
    <w:rsid w:val="3C312D25"/>
    <w:rsid w:val="3C502C92"/>
    <w:rsid w:val="3C526A0A"/>
    <w:rsid w:val="3C621014"/>
    <w:rsid w:val="3C940DD1"/>
    <w:rsid w:val="3C9B215F"/>
    <w:rsid w:val="3CAF79B9"/>
    <w:rsid w:val="3CE5162C"/>
    <w:rsid w:val="3D1837B0"/>
    <w:rsid w:val="3D8175A7"/>
    <w:rsid w:val="3D9B1CEB"/>
    <w:rsid w:val="3DA2751D"/>
    <w:rsid w:val="3DCB0822"/>
    <w:rsid w:val="3DFD6502"/>
    <w:rsid w:val="3E083B65"/>
    <w:rsid w:val="3E49157C"/>
    <w:rsid w:val="3EA90437"/>
    <w:rsid w:val="3EAB4E7F"/>
    <w:rsid w:val="3ED420B9"/>
    <w:rsid w:val="3F07378F"/>
    <w:rsid w:val="3FE200A5"/>
    <w:rsid w:val="405C1C05"/>
    <w:rsid w:val="40F942DC"/>
    <w:rsid w:val="411C3143"/>
    <w:rsid w:val="41526B64"/>
    <w:rsid w:val="41BD0482"/>
    <w:rsid w:val="41BD66D4"/>
    <w:rsid w:val="41C07F72"/>
    <w:rsid w:val="41E06866"/>
    <w:rsid w:val="420C31B7"/>
    <w:rsid w:val="42CE4911"/>
    <w:rsid w:val="431F6F1A"/>
    <w:rsid w:val="43B22FEA"/>
    <w:rsid w:val="44B32010"/>
    <w:rsid w:val="45095605"/>
    <w:rsid w:val="451505D5"/>
    <w:rsid w:val="4528601F"/>
    <w:rsid w:val="453C2005"/>
    <w:rsid w:val="45582571"/>
    <w:rsid w:val="45592BB7"/>
    <w:rsid w:val="457B2B2E"/>
    <w:rsid w:val="461A0456"/>
    <w:rsid w:val="46A00372"/>
    <w:rsid w:val="46BA1434"/>
    <w:rsid w:val="4708700F"/>
    <w:rsid w:val="47811F51"/>
    <w:rsid w:val="480A0199"/>
    <w:rsid w:val="48463237"/>
    <w:rsid w:val="48C91E02"/>
    <w:rsid w:val="4AFC64BF"/>
    <w:rsid w:val="4B2F700D"/>
    <w:rsid w:val="4B400B16"/>
    <w:rsid w:val="4B40491C"/>
    <w:rsid w:val="4B6674D7"/>
    <w:rsid w:val="4B8B7843"/>
    <w:rsid w:val="4B8C1D3F"/>
    <w:rsid w:val="4C1477E0"/>
    <w:rsid w:val="4C59524B"/>
    <w:rsid w:val="4C995F8F"/>
    <w:rsid w:val="4CCA6149"/>
    <w:rsid w:val="4DBE5CAD"/>
    <w:rsid w:val="4DDA23BB"/>
    <w:rsid w:val="4E30022D"/>
    <w:rsid w:val="4E375A60"/>
    <w:rsid w:val="4E6C395B"/>
    <w:rsid w:val="4E832A53"/>
    <w:rsid w:val="4F4C1097"/>
    <w:rsid w:val="4F9A62A6"/>
    <w:rsid w:val="4FDA48F5"/>
    <w:rsid w:val="4FE65048"/>
    <w:rsid w:val="501E6ED7"/>
    <w:rsid w:val="501F67AB"/>
    <w:rsid w:val="50371D47"/>
    <w:rsid w:val="5084691E"/>
    <w:rsid w:val="50A70C7B"/>
    <w:rsid w:val="50BE7D72"/>
    <w:rsid w:val="50D41344"/>
    <w:rsid w:val="50F2310D"/>
    <w:rsid w:val="50F814D6"/>
    <w:rsid w:val="511B6F73"/>
    <w:rsid w:val="51691CD0"/>
    <w:rsid w:val="51791EEB"/>
    <w:rsid w:val="51DD691E"/>
    <w:rsid w:val="52043EAB"/>
    <w:rsid w:val="526037D7"/>
    <w:rsid w:val="52834F24"/>
    <w:rsid w:val="52974D1F"/>
    <w:rsid w:val="52D23FA9"/>
    <w:rsid w:val="5334431C"/>
    <w:rsid w:val="534D2928"/>
    <w:rsid w:val="53591FD4"/>
    <w:rsid w:val="53966D85"/>
    <w:rsid w:val="541A79B6"/>
    <w:rsid w:val="54D538DD"/>
    <w:rsid w:val="559612BE"/>
    <w:rsid w:val="560A704E"/>
    <w:rsid w:val="56D06A51"/>
    <w:rsid w:val="571B5F1F"/>
    <w:rsid w:val="572B2E52"/>
    <w:rsid w:val="575D6537"/>
    <w:rsid w:val="575F57A7"/>
    <w:rsid w:val="57671164"/>
    <w:rsid w:val="57685866"/>
    <w:rsid w:val="577B69BD"/>
    <w:rsid w:val="57AF2B0B"/>
    <w:rsid w:val="57DA51A4"/>
    <w:rsid w:val="584B2834"/>
    <w:rsid w:val="58913FBE"/>
    <w:rsid w:val="58B303D9"/>
    <w:rsid w:val="598853C1"/>
    <w:rsid w:val="599975CF"/>
    <w:rsid w:val="5A0E58C7"/>
    <w:rsid w:val="5A8B5169"/>
    <w:rsid w:val="5ABF12B7"/>
    <w:rsid w:val="5AD00DCE"/>
    <w:rsid w:val="5B1A029B"/>
    <w:rsid w:val="5B4D241F"/>
    <w:rsid w:val="5B7025B1"/>
    <w:rsid w:val="5B70610D"/>
    <w:rsid w:val="5BCE3D6B"/>
    <w:rsid w:val="5BF44F90"/>
    <w:rsid w:val="5C6C0FCA"/>
    <w:rsid w:val="5D411F45"/>
    <w:rsid w:val="5DF272AD"/>
    <w:rsid w:val="5E2C0A11"/>
    <w:rsid w:val="5E563CE0"/>
    <w:rsid w:val="5E734892"/>
    <w:rsid w:val="5EB84053"/>
    <w:rsid w:val="5EDA66BF"/>
    <w:rsid w:val="5EF552A7"/>
    <w:rsid w:val="5F192228"/>
    <w:rsid w:val="5F351B48"/>
    <w:rsid w:val="5F9E76ED"/>
    <w:rsid w:val="5FC30F01"/>
    <w:rsid w:val="600D4872"/>
    <w:rsid w:val="60FB46CB"/>
    <w:rsid w:val="617F70AA"/>
    <w:rsid w:val="622F6D22"/>
    <w:rsid w:val="62F32500"/>
    <w:rsid w:val="62FF14D1"/>
    <w:rsid w:val="631D301E"/>
    <w:rsid w:val="63426C99"/>
    <w:rsid w:val="635A392B"/>
    <w:rsid w:val="63911317"/>
    <w:rsid w:val="63FB2522"/>
    <w:rsid w:val="64195594"/>
    <w:rsid w:val="6441217E"/>
    <w:rsid w:val="647C3D75"/>
    <w:rsid w:val="65366619"/>
    <w:rsid w:val="657C5420"/>
    <w:rsid w:val="65817895"/>
    <w:rsid w:val="658468F1"/>
    <w:rsid w:val="65C555FF"/>
    <w:rsid w:val="6793428F"/>
    <w:rsid w:val="67C47F0C"/>
    <w:rsid w:val="67FD341E"/>
    <w:rsid w:val="680B1697"/>
    <w:rsid w:val="68C006D4"/>
    <w:rsid w:val="69E403F2"/>
    <w:rsid w:val="6AEA51E8"/>
    <w:rsid w:val="6B250CC2"/>
    <w:rsid w:val="6BFD3031"/>
    <w:rsid w:val="6C0E1756"/>
    <w:rsid w:val="6C213A7E"/>
    <w:rsid w:val="6C2A6738"/>
    <w:rsid w:val="6C4E5FF7"/>
    <w:rsid w:val="6C7432F5"/>
    <w:rsid w:val="6D4F2026"/>
    <w:rsid w:val="6D53301E"/>
    <w:rsid w:val="6D9C0FE4"/>
    <w:rsid w:val="6DD15131"/>
    <w:rsid w:val="6E0C6169"/>
    <w:rsid w:val="6E356C5C"/>
    <w:rsid w:val="6E7114DC"/>
    <w:rsid w:val="6F39691E"/>
    <w:rsid w:val="6F5C4ECE"/>
    <w:rsid w:val="70311EB7"/>
    <w:rsid w:val="70910BA8"/>
    <w:rsid w:val="70E86E54"/>
    <w:rsid w:val="71037F8C"/>
    <w:rsid w:val="71285C0F"/>
    <w:rsid w:val="71300527"/>
    <w:rsid w:val="71EE1869"/>
    <w:rsid w:val="72541E8D"/>
    <w:rsid w:val="74A50F3D"/>
    <w:rsid w:val="74DC187C"/>
    <w:rsid w:val="769969E2"/>
    <w:rsid w:val="76CA086F"/>
    <w:rsid w:val="76CC2C2E"/>
    <w:rsid w:val="7706409E"/>
    <w:rsid w:val="772E0EFE"/>
    <w:rsid w:val="78236589"/>
    <w:rsid w:val="786A240A"/>
    <w:rsid w:val="78C12CFB"/>
    <w:rsid w:val="78D6184E"/>
    <w:rsid w:val="793D4588"/>
    <w:rsid w:val="79D264B9"/>
    <w:rsid w:val="79F06950"/>
    <w:rsid w:val="7A2306A9"/>
    <w:rsid w:val="7B1228E5"/>
    <w:rsid w:val="7B397325"/>
    <w:rsid w:val="7B935FEB"/>
    <w:rsid w:val="7C0C1C99"/>
    <w:rsid w:val="7C2A25DC"/>
    <w:rsid w:val="7CED7166"/>
    <w:rsid w:val="7D2F59D0"/>
    <w:rsid w:val="7D873081"/>
    <w:rsid w:val="7D9C1DB4"/>
    <w:rsid w:val="7EA67F14"/>
    <w:rsid w:val="7F54171E"/>
    <w:rsid w:val="7F565496"/>
    <w:rsid w:val="7F5C0267"/>
    <w:rsid w:val="7FE505C8"/>
    <w:rsid w:val="7FE74340"/>
    <w:rsid w:val="7FFC429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nhideWhenUsed="0" w:uiPriority="0" w:semiHidden="0" w:name="heading 3"/>
    <w:lsdException w:qFormat="1" w:unhideWhenUsed="0" w:uiPriority="0" w:semiHidden="0" w:name="heading 4"/>
    <w:lsdException w:qFormat="1" w:unhideWhenUsed="0" w:uiPriority="99" w:semiHidden="0" w:name="heading 5"/>
    <w:lsdException w:qFormat="1" w:unhideWhenUsed="0" w:uiPriority="99" w:semiHidden="0" w:name="heading 6"/>
    <w:lsdException w:qFormat="1" w:unhideWhenUsed="0" w:uiPriority="99" w:semiHidden="0" w:name="heading 7"/>
    <w:lsdException w:qFormat="1" w:unhideWhenUsed="0" w:uiPriority="99" w:semiHidden="0" w:name="heading 8"/>
    <w:lsdException w:qFormat="1" w:unhideWhenUsed="0" w:uiPriority="99" w:semiHidden="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99" w:semiHidden="0" w:name="toc 4"/>
    <w:lsdException w:uiPriority="0" w:name="toc 5"/>
    <w:lsdException w:uiPriority="0" w:name="toc 6"/>
    <w:lsdException w:uiPriority="0" w:name="toc 7"/>
    <w:lsdException w:uiPriority="0" w:name="toc 8"/>
    <w:lsdException w:uiPriority="0" w:name="toc 9"/>
    <w:lsdException w:qFormat="1" w:unhideWhenUsed="0" w:uiPriority="0" w:semiHidden="0" w:name="Normal Indent"/>
    <w:lsdException w:qFormat="1" w:unhideWhenUsed="0" w:uiPriority="99" w:semiHidden="0" w:name="footnote text"/>
    <w:lsdException w:qFormat="1" w:unhideWhenUsed="0" w:uiPriority="0" w:semiHidden="0" w:name="annotation text"/>
    <w:lsdException w:qFormat="1" w:uiPriority="99" w:semiHidden="0" w:name="header"/>
    <w:lsdException w:qFormat="1" w:unhideWhenUsed="0" w:uiPriority="99"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qFormat="1" w:unhideWhenUsed="0" w:uiPriority="99" w:semiHidden="0" w:name="footnote reference"/>
    <w:lsdException w:qFormat="1" w:unhideWhenUsed="0" w:uiPriority="0" w:semiHidden="0" w:name="annotation reference"/>
    <w:lsdException w:uiPriority="0" w:name="line number"/>
    <w:lsdException w:qFormat="1" w:unhideWhenUsed="0" w:uiPriority="0" w:semiHidden="0" w:name="page number"/>
    <w:lsdException w:uiPriority="0" w:name="endnote reference"/>
    <w:lsdException w:uiPriority="0" w:name="endnote text"/>
    <w:lsdException w:unhideWhenUsed="0" w:uiPriority="0" w:semiHidden="0" w:name="table of authorities"/>
    <w:lsdException w:uiPriority="0" w:name="macro"/>
    <w:lsdException w:qFormat="1" w:unhideWhenUsed="0" w:uiPriority="99" w:semiHidden="0" w:name="toa heading"/>
    <w:lsdException w:unhideWhenUsed="0" w:uiPriority="0" w:semiHidden="0" w:name="List"/>
    <w:lsdException w:unhideWhenUsed="0" w:uiPriority="0" w:semiHidden="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99" w:semiHidden="0" w:name="Body Text"/>
    <w:lsdException w:qFormat="1" w:unhideWhenUsed="0" w:uiPriority="0" w:semiHidden="0" w:name="Body Text Indent"/>
    <w:lsdException w:uiPriority="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iPriority="0" w:name="Message Header"/>
    <w:lsdException w:qFormat="1" w:unhideWhenUsed="0" w:uiPriority="0" w:semiHidden="0" w:name="Subtitle"/>
    <w:lsdException w:uiPriority="0" w:name="Salutation"/>
    <w:lsdException w:qFormat="1" w:unhideWhenUsed="0" w:uiPriority="99" w:semiHidden="0" w:name="Date"/>
    <w:lsdException w:qFormat="1" w:unhideWhenUsed="0" w:uiPriority="99" w:semiHidden="0" w:name="Body Text First Indent"/>
    <w:lsdException w:qFormat="1" w:unhideWhenUsed="0" w:uiPriority="0" w:semiHidden="0" w:name="Body Text First Indent 2"/>
    <w:lsdException w:uiPriority="0" w:name="Note Heading"/>
    <w:lsdException w:qFormat="1" w:unhideWhenUsed="0" w:uiPriority="99" w:semiHidden="0" w:name="Body Text 2"/>
    <w:lsdException w:qFormat="1" w:unhideWhenUsed="0" w:uiPriority="0" w:semiHidden="0" w:name="Body Text 3"/>
    <w:lsdException w:qFormat="1" w:unhideWhenUsed="0" w:uiPriority="99" w:semiHidden="0" w:name="Body Text Indent 2"/>
    <w:lsdException w:qFormat="1" w:unhideWhenUsed="0" w:uiPriority="99" w:semiHidden="0" w:name="Body Text Indent 3"/>
    <w:lsdException w:qFormat="1" w:unhideWhenUsed="0" w:uiPriority="99" w:semiHidden="0" w:name="Block Text"/>
    <w:lsdException w:qFormat="1" w:unhideWhenUsed="0" w:uiPriority="99" w:semiHidden="0" w:name="Hyperlink"/>
    <w:lsdException w:qFormat="1" w:uiPriority="99" w:name="FollowedHyperlink"/>
    <w:lsdException w:qFormat="1" w:unhideWhenUsed="0" w:uiPriority="99" w:semiHidden="0" w:name="Strong"/>
    <w:lsdException w:qFormat="1" w:unhideWhenUsed="0" w:uiPriority="0" w:semiHidden="0" w:name="Emphasis"/>
    <w:lsdException w:qFormat="1" w:uiPriority="0" w:semiHidden="0" w:name="Document Map"/>
    <w:lsdException w:qFormat="1" w:unhideWhenUsed="0" w:uiPriority="0" w:semiHidden="0" w:name="Plain Text"/>
    <w:lsdException w:uiPriority="0" w:name="E-mail Signature"/>
    <w:lsdException w:qFormat="1" w:unhideWhenUsed="0" w:uiPriority="0"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9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1"/>
    <w:basedOn w:val="1"/>
    <w:next w:val="1"/>
    <w:link w:val="65"/>
    <w:qFormat/>
    <w:uiPriority w:val="0"/>
    <w:pPr>
      <w:keepNext/>
      <w:keepLines/>
      <w:pageBreakBefore/>
      <w:spacing w:line="360" w:lineRule="auto"/>
      <w:jc w:val="center"/>
      <w:outlineLvl w:val="0"/>
    </w:pPr>
    <w:rPr>
      <w:rFonts w:ascii="Times New Roman" w:hAnsi="Times New Roman"/>
      <w:b/>
      <w:bCs/>
      <w:kern w:val="44"/>
      <w:sz w:val="32"/>
      <w:szCs w:val="44"/>
    </w:rPr>
  </w:style>
  <w:style w:type="paragraph" w:styleId="3">
    <w:name w:val="heading 2"/>
    <w:basedOn w:val="1"/>
    <w:next w:val="1"/>
    <w:link w:val="173"/>
    <w:unhideWhenUsed/>
    <w:qFormat/>
    <w:uiPriority w:val="0"/>
    <w:pPr>
      <w:spacing w:line="360" w:lineRule="auto"/>
      <w:jc w:val="center"/>
      <w:outlineLvl w:val="1"/>
    </w:pPr>
    <w:rPr>
      <w:rFonts w:asciiTheme="minorHAnsi" w:hAnsiTheme="minorHAnsi"/>
      <w:b/>
      <w:bCs/>
      <w:sz w:val="28"/>
      <w:szCs w:val="28"/>
    </w:rPr>
  </w:style>
  <w:style w:type="paragraph" w:styleId="4">
    <w:name w:val="heading 3"/>
    <w:basedOn w:val="1"/>
    <w:next w:val="1"/>
    <w:link w:val="66"/>
    <w:qFormat/>
    <w:uiPriority w:val="0"/>
    <w:pPr>
      <w:numPr>
        <w:ilvl w:val="2"/>
        <w:numId w:val="1"/>
      </w:numPr>
      <w:tabs>
        <w:tab w:val="left" w:pos="360"/>
        <w:tab w:val="left" w:pos="900"/>
      </w:tabs>
      <w:adjustRightInd w:val="0"/>
      <w:spacing w:before="120" w:line="360" w:lineRule="auto"/>
      <w:textAlignment w:val="baseline"/>
      <w:outlineLvl w:val="2"/>
    </w:pPr>
    <w:rPr>
      <w:rFonts w:eastAsia="黑体"/>
      <w:b/>
      <w:kern w:val="0"/>
      <w:sz w:val="28"/>
      <w:szCs w:val="20"/>
    </w:rPr>
  </w:style>
  <w:style w:type="paragraph" w:styleId="5">
    <w:name w:val="heading 4"/>
    <w:basedOn w:val="1"/>
    <w:next w:val="1"/>
    <w:link w:val="67"/>
    <w:qFormat/>
    <w:uiPriority w:val="0"/>
    <w:pPr>
      <w:numPr>
        <w:ilvl w:val="3"/>
        <w:numId w:val="1"/>
      </w:numPr>
      <w:adjustRightInd w:val="0"/>
      <w:spacing w:before="120" w:line="360" w:lineRule="auto"/>
      <w:textAlignment w:val="baseline"/>
      <w:outlineLvl w:val="3"/>
    </w:pPr>
    <w:rPr>
      <w:rFonts w:ascii="Arial" w:hAnsi="Arial" w:eastAsia="黑体"/>
      <w:kern w:val="0"/>
      <w:sz w:val="28"/>
      <w:szCs w:val="20"/>
      <w:lang w:val="zh-CN"/>
    </w:rPr>
  </w:style>
  <w:style w:type="paragraph" w:styleId="6">
    <w:name w:val="heading 5"/>
    <w:basedOn w:val="1"/>
    <w:next w:val="1"/>
    <w:link w:val="59"/>
    <w:qFormat/>
    <w:uiPriority w:val="99"/>
    <w:pPr>
      <w:keepNext/>
      <w:keepLines/>
      <w:widowControl/>
      <w:spacing w:before="120" w:after="120" w:line="360" w:lineRule="auto"/>
      <w:ind w:firstLine="499"/>
      <w:jc w:val="left"/>
      <w:outlineLvl w:val="4"/>
    </w:pPr>
    <w:rPr>
      <w:rFonts w:ascii="宋体" w:hAnsi="宋体"/>
      <w:b/>
      <w:kern w:val="0"/>
      <w:sz w:val="24"/>
      <w:szCs w:val="20"/>
    </w:rPr>
  </w:style>
  <w:style w:type="paragraph" w:styleId="7">
    <w:name w:val="heading 6"/>
    <w:basedOn w:val="1"/>
    <w:next w:val="1"/>
    <w:link w:val="60"/>
    <w:qFormat/>
    <w:uiPriority w:val="99"/>
    <w:pPr>
      <w:keepNext/>
      <w:keepLines/>
      <w:widowControl/>
      <w:tabs>
        <w:tab w:val="left" w:pos="1440"/>
      </w:tabs>
      <w:spacing w:before="240" w:after="64" w:line="319" w:lineRule="auto"/>
      <w:ind w:left="1152" w:hanging="1152"/>
      <w:jc w:val="left"/>
      <w:outlineLvl w:val="5"/>
    </w:pPr>
    <w:rPr>
      <w:rFonts w:ascii="Arial" w:hAnsi="Arial" w:eastAsia="黑体"/>
      <w:b/>
      <w:kern w:val="0"/>
      <w:sz w:val="24"/>
      <w:szCs w:val="20"/>
    </w:rPr>
  </w:style>
  <w:style w:type="paragraph" w:styleId="8">
    <w:name w:val="heading 7"/>
    <w:basedOn w:val="1"/>
    <w:next w:val="1"/>
    <w:link w:val="61"/>
    <w:qFormat/>
    <w:uiPriority w:val="99"/>
    <w:pPr>
      <w:keepNext/>
      <w:keepLines/>
      <w:widowControl/>
      <w:tabs>
        <w:tab w:val="left" w:pos="2520"/>
      </w:tabs>
      <w:spacing w:before="240" w:after="64" w:line="319" w:lineRule="auto"/>
      <w:ind w:left="1296" w:hanging="1296"/>
      <w:jc w:val="left"/>
      <w:outlineLvl w:val="6"/>
    </w:pPr>
    <w:rPr>
      <w:rFonts w:ascii="Times New Roman" w:hAnsi="Times New Roman"/>
      <w:b/>
      <w:kern w:val="0"/>
      <w:sz w:val="24"/>
      <w:szCs w:val="20"/>
    </w:rPr>
  </w:style>
  <w:style w:type="paragraph" w:styleId="9">
    <w:name w:val="heading 8"/>
    <w:basedOn w:val="1"/>
    <w:next w:val="1"/>
    <w:link w:val="62"/>
    <w:qFormat/>
    <w:uiPriority w:val="99"/>
    <w:pPr>
      <w:keepNext/>
      <w:keepLines/>
      <w:widowControl/>
      <w:tabs>
        <w:tab w:val="left" w:pos="1440"/>
      </w:tabs>
      <w:spacing w:before="240" w:after="64" w:line="319" w:lineRule="auto"/>
      <w:ind w:left="1440" w:hanging="1440"/>
      <w:jc w:val="left"/>
      <w:outlineLvl w:val="7"/>
    </w:pPr>
    <w:rPr>
      <w:rFonts w:ascii="Arial" w:hAnsi="Arial" w:eastAsia="黑体"/>
      <w:kern w:val="0"/>
      <w:sz w:val="24"/>
      <w:szCs w:val="20"/>
    </w:rPr>
  </w:style>
  <w:style w:type="paragraph" w:styleId="10">
    <w:name w:val="heading 9"/>
    <w:basedOn w:val="1"/>
    <w:next w:val="1"/>
    <w:link w:val="63"/>
    <w:qFormat/>
    <w:uiPriority w:val="99"/>
    <w:pPr>
      <w:keepNext/>
      <w:keepLines/>
      <w:widowControl/>
      <w:tabs>
        <w:tab w:val="left" w:pos="1584"/>
      </w:tabs>
      <w:spacing w:before="240" w:after="64" w:line="319" w:lineRule="auto"/>
      <w:ind w:left="1584" w:hanging="1584"/>
      <w:jc w:val="left"/>
      <w:outlineLvl w:val="8"/>
    </w:pPr>
    <w:rPr>
      <w:rFonts w:ascii="Arial" w:hAnsi="Arial" w:eastAsia="黑体"/>
      <w:kern w:val="0"/>
      <w:szCs w:val="20"/>
    </w:rPr>
  </w:style>
  <w:style w:type="character" w:default="1" w:styleId="39">
    <w:name w:val="Default Paragraph Font"/>
    <w:semiHidden/>
    <w:unhideWhenUsed/>
    <w:qFormat/>
    <w:uiPriority w:val="1"/>
  </w:style>
  <w:style w:type="table" w:default="1" w:styleId="37">
    <w:name w:val="Normal Table"/>
    <w:semiHidden/>
    <w:unhideWhenUsed/>
    <w:qFormat/>
    <w:uiPriority w:val="99"/>
    <w:tblPr>
      <w:tblCellMar>
        <w:top w:w="0" w:type="dxa"/>
        <w:left w:w="108" w:type="dxa"/>
        <w:bottom w:w="0" w:type="dxa"/>
        <w:right w:w="108" w:type="dxa"/>
      </w:tblCellMar>
    </w:tblPr>
  </w:style>
  <w:style w:type="paragraph" w:styleId="11">
    <w:name w:val="Normal Indent"/>
    <w:basedOn w:val="1"/>
    <w:next w:val="1"/>
    <w:link w:val="140"/>
    <w:qFormat/>
    <w:uiPriority w:val="0"/>
    <w:pPr>
      <w:ind w:firstLine="420"/>
    </w:pPr>
    <w:rPr>
      <w:szCs w:val="20"/>
    </w:rPr>
  </w:style>
  <w:style w:type="paragraph" w:styleId="12">
    <w:name w:val="Document Map"/>
    <w:basedOn w:val="1"/>
    <w:unhideWhenUsed/>
    <w:qFormat/>
    <w:uiPriority w:val="0"/>
    <w:rPr>
      <w:rFonts w:ascii="宋体"/>
      <w:sz w:val="18"/>
      <w:szCs w:val="18"/>
    </w:rPr>
  </w:style>
  <w:style w:type="paragraph" w:styleId="13">
    <w:name w:val="toa heading"/>
    <w:basedOn w:val="1"/>
    <w:next w:val="1"/>
    <w:qFormat/>
    <w:uiPriority w:val="99"/>
    <w:pPr>
      <w:spacing w:before="120" w:after="200" w:line="276" w:lineRule="auto"/>
    </w:pPr>
    <w:rPr>
      <w:rFonts w:ascii="Cambria" w:hAnsi="Cambria"/>
      <w:sz w:val="24"/>
    </w:rPr>
  </w:style>
  <w:style w:type="paragraph" w:styleId="14">
    <w:name w:val="annotation text"/>
    <w:basedOn w:val="1"/>
    <w:link w:val="77"/>
    <w:qFormat/>
    <w:uiPriority w:val="0"/>
    <w:pPr>
      <w:jc w:val="left"/>
    </w:pPr>
    <w:rPr>
      <w:lang w:val="zh-CN"/>
    </w:rPr>
  </w:style>
  <w:style w:type="paragraph" w:styleId="15">
    <w:name w:val="Body Text 3"/>
    <w:basedOn w:val="1"/>
    <w:link w:val="70"/>
    <w:qFormat/>
    <w:uiPriority w:val="0"/>
    <w:rPr>
      <w:sz w:val="24"/>
    </w:rPr>
  </w:style>
  <w:style w:type="paragraph" w:styleId="16">
    <w:name w:val="Body Text"/>
    <w:basedOn w:val="1"/>
    <w:link w:val="64"/>
    <w:qFormat/>
    <w:uiPriority w:val="99"/>
    <w:rPr>
      <w:rFonts w:ascii="金山简黑体" w:hAnsi="金山简黑体" w:eastAsia="金山简黑体"/>
      <w:b/>
      <w:spacing w:val="-8"/>
      <w:sz w:val="44"/>
      <w:szCs w:val="20"/>
    </w:rPr>
  </w:style>
  <w:style w:type="paragraph" w:styleId="17">
    <w:name w:val="Body Text Indent"/>
    <w:basedOn w:val="1"/>
    <w:link w:val="68"/>
    <w:qFormat/>
    <w:uiPriority w:val="0"/>
    <w:pPr>
      <w:spacing w:line="200" w:lineRule="exact"/>
      <w:ind w:firstLine="301"/>
    </w:pPr>
    <w:rPr>
      <w:rFonts w:ascii="宋体"/>
      <w:spacing w:val="-4"/>
      <w:sz w:val="18"/>
      <w:szCs w:val="20"/>
      <w:lang w:val="zh-CN"/>
    </w:rPr>
  </w:style>
  <w:style w:type="paragraph" w:styleId="18">
    <w:name w:val="Block Text"/>
    <w:basedOn w:val="1"/>
    <w:qFormat/>
    <w:uiPriority w:val="99"/>
    <w:pPr>
      <w:adjustRightInd w:val="0"/>
      <w:spacing w:after="200" w:line="276" w:lineRule="auto"/>
      <w:ind w:left="420" w:right="33"/>
      <w:jc w:val="left"/>
      <w:textAlignment w:val="baseline"/>
    </w:pPr>
    <w:rPr>
      <w:rFonts w:ascii="Times New Roman" w:hAnsi="Times New Roman"/>
      <w:kern w:val="0"/>
      <w:sz w:val="24"/>
      <w:szCs w:val="20"/>
    </w:rPr>
  </w:style>
  <w:style w:type="paragraph" w:styleId="19">
    <w:name w:val="toc 3"/>
    <w:basedOn w:val="1"/>
    <w:next w:val="1"/>
    <w:qFormat/>
    <w:uiPriority w:val="39"/>
    <w:pPr>
      <w:widowControl/>
      <w:spacing w:line="360" w:lineRule="auto"/>
      <w:ind w:firstLine="200" w:firstLineChars="200"/>
    </w:pPr>
    <w:rPr>
      <w:rFonts w:ascii="Times New Roman" w:hAnsi="Times New Roman"/>
      <w:kern w:val="0"/>
      <w:szCs w:val="20"/>
    </w:rPr>
  </w:style>
  <w:style w:type="paragraph" w:styleId="20">
    <w:name w:val="Plain Text"/>
    <w:basedOn w:val="1"/>
    <w:next w:val="1"/>
    <w:link w:val="54"/>
    <w:qFormat/>
    <w:uiPriority w:val="0"/>
    <w:rPr>
      <w:rFonts w:ascii="宋体"/>
      <w:szCs w:val="20"/>
    </w:rPr>
  </w:style>
  <w:style w:type="paragraph" w:styleId="21">
    <w:name w:val="Date"/>
    <w:basedOn w:val="1"/>
    <w:next w:val="1"/>
    <w:link w:val="71"/>
    <w:qFormat/>
    <w:uiPriority w:val="99"/>
    <w:pPr>
      <w:spacing w:after="200" w:line="276" w:lineRule="auto"/>
    </w:pPr>
    <w:rPr>
      <w:rFonts w:asciiTheme="minorHAnsi" w:hAnsiTheme="minorHAnsi" w:eastAsiaTheme="minorEastAsia"/>
      <w:sz w:val="20"/>
      <w:szCs w:val="20"/>
    </w:rPr>
  </w:style>
  <w:style w:type="paragraph" w:styleId="22">
    <w:name w:val="Body Text Indent 2"/>
    <w:basedOn w:val="1"/>
    <w:link w:val="72"/>
    <w:qFormat/>
    <w:uiPriority w:val="99"/>
    <w:pPr>
      <w:widowControl/>
      <w:overflowPunct w:val="0"/>
      <w:autoSpaceDE w:val="0"/>
      <w:autoSpaceDN w:val="0"/>
      <w:adjustRightInd w:val="0"/>
      <w:spacing w:after="200" w:line="360" w:lineRule="auto"/>
      <w:ind w:firstLine="555"/>
      <w:textAlignment w:val="baseline"/>
    </w:pPr>
    <w:rPr>
      <w:rFonts w:asciiTheme="minorHAnsi" w:hAnsiTheme="minorHAnsi" w:eastAsiaTheme="minorEastAsia"/>
      <w:sz w:val="20"/>
      <w:szCs w:val="20"/>
    </w:rPr>
  </w:style>
  <w:style w:type="paragraph" w:styleId="23">
    <w:name w:val="Balloon Text"/>
    <w:basedOn w:val="1"/>
    <w:link w:val="52"/>
    <w:qFormat/>
    <w:uiPriority w:val="0"/>
    <w:rPr>
      <w:sz w:val="18"/>
      <w:szCs w:val="18"/>
    </w:rPr>
  </w:style>
  <w:style w:type="paragraph" w:styleId="24">
    <w:name w:val="footer"/>
    <w:basedOn w:val="1"/>
    <w:link w:val="73"/>
    <w:qFormat/>
    <w:uiPriority w:val="99"/>
    <w:pPr>
      <w:tabs>
        <w:tab w:val="center" w:pos="4153"/>
        <w:tab w:val="right" w:pos="8306"/>
      </w:tabs>
      <w:snapToGrid w:val="0"/>
      <w:jc w:val="left"/>
    </w:pPr>
    <w:rPr>
      <w:rFonts w:ascii="宋体"/>
      <w:sz w:val="18"/>
      <w:szCs w:val="20"/>
      <w:lang w:val="zh-CN"/>
    </w:rPr>
  </w:style>
  <w:style w:type="paragraph" w:styleId="25">
    <w:name w:val="header"/>
    <w:basedOn w:val="1"/>
    <w:link w:val="57"/>
    <w:unhideWhenUsed/>
    <w:qFormat/>
    <w:uiPriority w:val="99"/>
    <w:pPr>
      <w:pBdr>
        <w:bottom w:val="single" w:color="auto" w:sz="6" w:space="1"/>
      </w:pBdr>
      <w:tabs>
        <w:tab w:val="center" w:pos="4153"/>
        <w:tab w:val="right" w:pos="8306"/>
      </w:tabs>
      <w:snapToGrid w:val="0"/>
      <w:jc w:val="center"/>
    </w:pPr>
    <w:rPr>
      <w:sz w:val="18"/>
      <w:szCs w:val="18"/>
    </w:rPr>
  </w:style>
  <w:style w:type="paragraph" w:styleId="26">
    <w:name w:val="toc 1"/>
    <w:basedOn w:val="1"/>
    <w:next w:val="1"/>
    <w:qFormat/>
    <w:uiPriority w:val="39"/>
    <w:pPr>
      <w:spacing w:line="360" w:lineRule="auto"/>
    </w:pPr>
  </w:style>
  <w:style w:type="paragraph" w:styleId="27">
    <w:name w:val="toc 4"/>
    <w:basedOn w:val="1"/>
    <w:next w:val="1"/>
    <w:qFormat/>
    <w:uiPriority w:val="99"/>
    <w:pPr>
      <w:widowControl/>
      <w:spacing w:after="200" w:line="500" w:lineRule="exact"/>
      <w:ind w:firstLine="602" w:firstLineChars="200"/>
      <w:jc w:val="left"/>
    </w:pPr>
    <w:rPr>
      <w:rFonts w:ascii="Times New Roman" w:hAnsi="Times New Roman"/>
      <w:b/>
      <w:color w:val="000000"/>
      <w:kern w:val="0"/>
      <w:sz w:val="30"/>
      <w:szCs w:val="20"/>
    </w:rPr>
  </w:style>
  <w:style w:type="paragraph" w:styleId="28">
    <w:name w:val="footnote text"/>
    <w:basedOn w:val="1"/>
    <w:link w:val="74"/>
    <w:qFormat/>
    <w:uiPriority w:val="99"/>
    <w:pPr>
      <w:adjustRightInd w:val="0"/>
      <w:spacing w:after="200" w:line="312" w:lineRule="atLeast"/>
      <w:jc w:val="left"/>
      <w:textAlignment w:val="baseline"/>
    </w:pPr>
    <w:rPr>
      <w:rFonts w:asciiTheme="minorHAnsi" w:hAnsiTheme="minorHAnsi" w:eastAsiaTheme="minorEastAsia"/>
      <w:sz w:val="18"/>
      <w:szCs w:val="22"/>
    </w:rPr>
  </w:style>
  <w:style w:type="paragraph" w:styleId="29">
    <w:name w:val="Body Text Indent 3"/>
    <w:basedOn w:val="1"/>
    <w:link w:val="75"/>
    <w:qFormat/>
    <w:uiPriority w:val="99"/>
    <w:pPr>
      <w:widowControl/>
      <w:overflowPunct w:val="0"/>
      <w:autoSpaceDE w:val="0"/>
      <w:autoSpaceDN w:val="0"/>
      <w:adjustRightInd w:val="0"/>
      <w:spacing w:after="200" w:line="360" w:lineRule="auto"/>
      <w:ind w:firstLine="540"/>
      <w:textAlignment w:val="baseline"/>
    </w:pPr>
    <w:rPr>
      <w:rFonts w:asciiTheme="minorHAnsi" w:hAnsiTheme="minorHAnsi" w:eastAsiaTheme="minorEastAsia"/>
      <w:sz w:val="16"/>
      <w:szCs w:val="16"/>
    </w:rPr>
  </w:style>
  <w:style w:type="paragraph" w:styleId="30">
    <w:name w:val="toc 2"/>
    <w:basedOn w:val="1"/>
    <w:next w:val="1"/>
    <w:qFormat/>
    <w:uiPriority w:val="39"/>
    <w:pPr>
      <w:spacing w:line="360" w:lineRule="auto"/>
      <w:ind w:left="200" w:leftChars="200"/>
    </w:pPr>
  </w:style>
  <w:style w:type="paragraph" w:styleId="31">
    <w:name w:val="Body Text 2"/>
    <w:basedOn w:val="1"/>
    <w:link w:val="76"/>
    <w:qFormat/>
    <w:uiPriority w:val="99"/>
    <w:rPr>
      <w:rFonts w:ascii="宋体"/>
      <w:sz w:val="13"/>
      <w:szCs w:val="20"/>
    </w:rPr>
  </w:style>
  <w:style w:type="paragraph" w:styleId="32">
    <w:name w:val="Normal (Web)"/>
    <w:basedOn w:val="1"/>
    <w:qFormat/>
    <w:uiPriority w:val="0"/>
    <w:pPr>
      <w:spacing w:after="200" w:line="276" w:lineRule="auto"/>
    </w:pPr>
    <w:rPr>
      <w:rFonts w:ascii="Times New Roman" w:hAnsi="Times New Roman"/>
      <w:sz w:val="24"/>
      <w:szCs w:val="20"/>
    </w:rPr>
  </w:style>
  <w:style w:type="paragraph" w:styleId="33">
    <w:name w:val="Title"/>
    <w:basedOn w:val="1"/>
    <w:next w:val="1"/>
    <w:qFormat/>
    <w:uiPriority w:val="0"/>
    <w:pPr>
      <w:spacing w:line="360" w:lineRule="auto"/>
      <w:jc w:val="center"/>
      <w:outlineLvl w:val="0"/>
    </w:pPr>
    <w:rPr>
      <w:rFonts w:asciiTheme="majorHAnsi" w:hAnsiTheme="majorHAnsi" w:cstheme="majorBidi"/>
      <w:b/>
      <w:bCs/>
      <w:sz w:val="30"/>
      <w:szCs w:val="32"/>
    </w:rPr>
  </w:style>
  <w:style w:type="paragraph" w:styleId="34">
    <w:name w:val="annotation subject"/>
    <w:basedOn w:val="14"/>
    <w:next w:val="14"/>
    <w:link w:val="78"/>
    <w:qFormat/>
    <w:uiPriority w:val="0"/>
    <w:pPr>
      <w:spacing w:after="200"/>
    </w:pPr>
    <w:rPr>
      <w:rFonts w:asciiTheme="minorHAnsi" w:hAnsiTheme="minorHAnsi" w:eastAsiaTheme="minorEastAsia"/>
      <w:b/>
      <w:bCs/>
      <w:sz w:val="24"/>
      <w:szCs w:val="20"/>
      <w:lang w:val="en-US"/>
    </w:rPr>
  </w:style>
  <w:style w:type="paragraph" w:styleId="35">
    <w:name w:val="Body Text First Indent"/>
    <w:basedOn w:val="16"/>
    <w:link w:val="160"/>
    <w:qFormat/>
    <w:uiPriority w:val="99"/>
    <w:pPr>
      <w:spacing w:after="120"/>
      <w:ind w:firstLine="420" w:firstLineChars="100"/>
    </w:pPr>
  </w:style>
  <w:style w:type="paragraph" w:styleId="36">
    <w:name w:val="Body Text First Indent 2"/>
    <w:basedOn w:val="17"/>
    <w:link w:val="79"/>
    <w:qFormat/>
    <w:uiPriority w:val="0"/>
    <w:pPr>
      <w:autoSpaceDE w:val="0"/>
      <w:autoSpaceDN w:val="0"/>
      <w:adjustRightInd w:val="0"/>
      <w:spacing w:after="120" w:line="360" w:lineRule="auto"/>
      <w:ind w:firstLine="420" w:firstLineChars="200"/>
      <w:jc w:val="left"/>
    </w:pPr>
    <w:rPr>
      <w:rFonts w:hAnsi="宋体"/>
      <w:spacing w:val="-6"/>
      <w:sz w:val="24"/>
    </w:rPr>
  </w:style>
  <w:style w:type="table" w:styleId="38">
    <w:name w:val="Table Grid"/>
    <w:basedOn w:val="37"/>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0">
    <w:name w:val="Strong"/>
    <w:basedOn w:val="39"/>
    <w:qFormat/>
    <w:uiPriority w:val="99"/>
    <w:rPr>
      <w:rFonts w:cs="Times New Roman"/>
      <w:b/>
      <w:bCs/>
    </w:rPr>
  </w:style>
  <w:style w:type="character" w:styleId="41">
    <w:name w:val="page number"/>
    <w:basedOn w:val="39"/>
    <w:qFormat/>
    <w:uiPriority w:val="0"/>
  </w:style>
  <w:style w:type="character" w:styleId="42">
    <w:name w:val="FollowedHyperlink"/>
    <w:basedOn w:val="39"/>
    <w:semiHidden/>
    <w:unhideWhenUsed/>
    <w:qFormat/>
    <w:uiPriority w:val="99"/>
    <w:rPr>
      <w:color w:val="800080"/>
      <w:u w:val="single"/>
    </w:rPr>
  </w:style>
  <w:style w:type="character" w:styleId="43">
    <w:name w:val="Hyperlink"/>
    <w:basedOn w:val="39"/>
    <w:qFormat/>
    <w:uiPriority w:val="99"/>
    <w:rPr>
      <w:color w:val="555555"/>
      <w:u w:val="none"/>
    </w:rPr>
  </w:style>
  <w:style w:type="character" w:styleId="44">
    <w:name w:val="annotation reference"/>
    <w:basedOn w:val="39"/>
    <w:qFormat/>
    <w:uiPriority w:val="0"/>
    <w:rPr>
      <w:sz w:val="21"/>
      <w:szCs w:val="21"/>
    </w:rPr>
  </w:style>
  <w:style w:type="character" w:styleId="45">
    <w:name w:val="footnote reference"/>
    <w:qFormat/>
    <w:uiPriority w:val="99"/>
    <w:rPr>
      <w:rFonts w:cs="Times New Roman"/>
      <w:vertAlign w:val="superscript"/>
    </w:rPr>
  </w:style>
  <w:style w:type="paragraph" w:customStyle="1" w:styleId="46">
    <w:name w:val="Default"/>
    <w:link w:val="82"/>
    <w:qFormat/>
    <w:uiPriority w:val="0"/>
    <w:pPr>
      <w:widowControl w:val="0"/>
      <w:autoSpaceDE w:val="0"/>
      <w:autoSpaceDN w:val="0"/>
      <w:adjustRightInd w:val="0"/>
      <w:spacing w:after="200" w:line="276" w:lineRule="auto"/>
    </w:pPr>
    <w:rPr>
      <w:rFonts w:ascii="宋体" w:hAnsiTheme="minorHAnsi" w:eastAsiaTheme="minorEastAsia" w:cstheme="minorBidi"/>
      <w:color w:val="000000"/>
      <w:kern w:val="2"/>
      <w:sz w:val="24"/>
      <w:szCs w:val="24"/>
      <w:lang w:val="en-US" w:eastAsia="zh-CN" w:bidi="ar-SA"/>
    </w:rPr>
  </w:style>
  <w:style w:type="paragraph" w:customStyle="1" w:styleId="47">
    <w:name w:val="目录 31"/>
    <w:basedOn w:val="1"/>
    <w:next w:val="1"/>
    <w:qFormat/>
    <w:uiPriority w:val="39"/>
    <w:pPr>
      <w:ind w:left="300" w:leftChars="300"/>
      <w:jc w:val="left"/>
    </w:pPr>
    <w:rPr>
      <w:iCs/>
      <w:szCs w:val="20"/>
    </w:rPr>
  </w:style>
  <w:style w:type="paragraph" w:customStyle="1" w:styleId="48">
    <w:name w:val="p2"/>
    <w:basedOn w:val="1"/>
    <w:qFormat/>
    <w:uiPriority w:val="0"/>
    <w:pPr>
      <w:widowControl/>
      <w:spacing w:line="480" w:lineRule="auto"/>
      <w:ind w:firstLine="420"/>
      <w:jc w:val="left"/>
    </w:pPr>
    <w:rPr>
      <w:rFonts w:ascii="宋体" w:hAnsi="宋体" w:cs="宋体"/>
      <w:kern w:val="0"/>
      <w:szCs w:val="21"/>
    </w:rPr>
  </w:style>
  <w:style w:type="paragraph" w:customStyle="1" w:styleId="49">
    <w:name w:val="方案正文"/>
    <w:qFormat/>
    <w:uiPriority w:val="0"/>
    <w:pPr>
      <w:adjustRightInd w:val="0"/>
      <w:snapToGrid w:val="0"/>
      <w:spacing w:beforeLines="150" w:afterLines="50" w:line="360" w:lineRule="auto"/>
      <w:ind w:firstLine="480" w:firstLineChars="200"/>
    </w:pPr>
    <w:rPr>
      <w:rFonts w:ascii="宋体" w:hAnsi="宋体" w:eastAsia="宋体" w:cs="宋体"/>
      <w:kern w:val="2"/>
      <w:sz w:val="24"/>
      <w:szCs w:val="28"/>
      <w:lang w:val="en-US" w:eastAsia="zh-CN" w:bidi="ar-SA"/>
    </w:rPr>
  </w:style>
  <w:style w:type="paragraph" w:customStyle="1" w:styleId="50">
    <w:name w:val="列出段落111"/>
    <w:basedOn w:val="1"/>
    <w:qFormat/>
    <w:uiPriority w:val="0"/>
    <w:pPr>
      <w:ind w:firstLine="420"/>
    </w:pPr>
    <w:rPr>
      <w:rFonts w:cs="Calibri" w:eastAsiaTheme="minorEastAsia"/>
      <w:szCs w:val="22"/>
    </w:rPr>
  </w:style>
  <w:style w:type="character" w:customStyle="1" w:styleId="51">
    <w:name w:val="font112"/>
    <w:basedOn w:val="39"/>
    <w:qFormat/>
    <w:uiPriority w:val="0"/>
    <w:rPr>
      <w:rFonts w:hint="eastAsia" w:ascii="宋体" w:hAnsi="宋体" w:eastAsia="宋体" w:cs="宋体"/>
      <w:color w:val="000000"/>
      <w:sz w:val="20"/>
      <w:szCs w:val="20"/>
      <w:u w:val="none"/>
    </w:rPr>
  </w:style>
  <w:style w:type="character" w:customStyle="1" w:styleId="52">
    <w:name w:val="批注框文本 字符"/>
    <w:basedOn w:val="39"/>
    <w:link w:val="23"/>
    <w:qFormat/>
    <w:uiPriority w:val="0"/>
    <w:rPr>
      <w:rFonts w:ascii="Calibri" w:hAnsi="Calibri" w:eastAsia="宋体" w:cs="Times New Roman"/>
      <w:kern w:val="2"/>
      <w:sz w:val="18"/>
      <w:szCs w:val="18"/>
    </w:rPr>
  </w:style>
  <w:style w:type="character" w:customStyle="1" w:styleId="53">
    <w:name w:val="标题 2 字符"/>
    <w:basedOn w:val="39"/>
    <w:link w:val="3"/>
    <w:qFormat/>
    <w:uiPriority w:val="0"/>
    <w:rPr>
      <w:rFonts w:eastAsia="宋体" w:cs="Times New Roman"/>
      <w:b/>
      <w:bCs/>
      <w:kern w:val="2"/>
      <w:sz w:val="28"/>
      <w:szCs w:val="28"/>
    </w:rPr>
  </w:style>
  <w:style w:type="character" w:customStyle="1" w:styleId="54">
    <w:name w:val="纯文本 字符"/>
    <w:basedOn w:val="39"/>
    <w:link w:val="20"/>
    <w:qFormat/>
    <w:uiPriority w:val="0"/>
    <w:rPr>
      <w:rFonts w:ascii="宋体" w:hAnsi="Calibri" w:eastAsia="宋体" w:cs="Times New Roman"/>
      <w:kern w:val="2"/>
      <w:sz w:val="21"/>
    </w:rPr>
  </w:style>
  <w:style w:type="character" w:customStyle="1" w:styleId="55">
    <w:name w:val="未处理的提及1"/>
    <w:basedOn w:val="39"/>
    <w:semiHidden/>
    <w:unhideWhenUsed/>
    <w:qFormat/>
    <w:uiPriority w:val="99"/>
    <w:rPr>
      <w:color w:val="605E5C"/>
      <w:shd w:val="clear" w:color="auto" w:fill="E1DFDD"/>
    </w:rPr>
  </w:style>
  <w:style w:type="paragraph" w:styleId="56">
    <w:name w:val="List Paragraph"/>
    <w:basedOn w:val="1"/>
    <w:link w:val="159"/>
    <w:unhideWhenUsed/>
    <w:qFormat/>
    <w:uiPriority w:val="99"/>
    <w:pPr>
      <w:ind w:firstLine="420" w:firstLineChars="200"/>
    </w:pPr>
  </w:style>
  <w:style w:type="character" w:customStyle="1" w:styleId="57">
    <w:name w:val="页眉 字符"/>
    <w:basedOn w:val="39"/>
    <w:link w:val="25"/>
    <w:qFormat/>
    <w:uiPriority w:val="99"/>
    <w:rPr>
      <w:rFonts w:ascii="Calibri" w:hAnsi="Calibri" w:eastAsia="宋体" w:cs="Times New Roman"/>
      <w:kern w:val="2"/>
      <w:sz w:val="18"/>
      <w:szCs w:val="18"/>
    </w:rPr>
  </w:style>
  <w:style w:type="character" w:customStyle="1" w:styleId="58">
    <w:name w:val="未处理的提及2"/>
    <w:basedOn w:val="39"/>
    <w:qFormat/>
    <w:uiPriority w:val="0"/>
    <w:rPr>
      <w:color w:val="605E5C"/>
      <w:shd w:val="clear" w:color="auto" w:fill="E1DFDD"/>
    </w:rPr>
  </w:style>
  <w:style w:type="character" w:customStyle="1" w:styleId="59">
    <w:name w:val="标题 5 字符"/>
    <w:basedOn w:val="39"/>
    <w:link w:val="6"/>
    <w:qFormat/>
    <w:uiPriority w:val="99"/>
    <w:rPr>
      <w:rFonts w:ascii="宋体" w:hAnsi="宋体" w:eastAsia="宋体" w:cs="Times New Roman"/>
      <w:b/>
      <w:sz w:val="24"/>
    </w:rPr>
  </w:style>
  <w:style w:type="character" w:customStyle="1" w:styleId="60">
    <w:name w:val="标题 6 字符"/>
    <w:basedOn w:val="39"/>
    <w:link w:val="7"/>
    <w:qFormat/>
    <w:uiPriority w:val="99"/>
    <w:rPr>
      <w:rFonts w:ascii="Arial" w:hAnsi="Arial" w:eastAsia="黑体" w:cs="Times New Roman"/>
      <w:b/>
      <w:sz w:val="24"/>
    </w:rPr>
  </w:style>
  <w:style w:type="character" w:customStyle="1" w:styleId="61">
    <w:name w:val="标题 7 字符"/>
    <w:basedOn w:val="39"/>
    <w:link w:val="8"/>
    <w:qFormat/>
    <w:uiPriority w:val="99"/>
    <w:rPr>
      <w:rFonts w:ascii="Times New Roman" w:hAnsi="Times New Roman" w:eastAsia="宋体" w:cs="Times New Roman"/>
      <w:b/>
      <w:sz w:val="24"/>
    </w:rPr>
  </w:style>
  <w:style w:type="character" w:customStyle="1" w:styleId="62">
    <w:name w:val="标题 8 字符"/>
    <w:basedOn w:val="39"/>
    <w:link w:val="9"/>
    <w:qFormat/>
    <w:uiPriority w:val="99"/>
    <w:rPr>
      <w:rFonts w:ascii="Arial" w:hAnsi="Arial" w:eastAsia="黑体" w:cs="Times New Roman"/>
      <w:sz w:val="24"/>
    </w:rPr>
  </w:style>
  <w:style w:type="character" w:customStyle="1" w:styleId="63">
    <w:name w:val="标题 9 字符"/>
    <w:basedOn w:val="39"/>
    <w:link w:val="10"/>
    <w:qFormat/>
    <w:uiPriority w:val="99"/>
    <w:rPr>
      <w:rFonts w:ascii="Arial" w:hAnsi="Arial" w:eastAsia="黑体" w:cs="Times New Roman"/>
      <w:sz w:val="21"/>
    </w:rPr>
  </w:style>
  <w:style w:type="character" w:customStyle="1" w:styleId="64">
    <w:name w:val="正文文本 字符"/>
    <w:basedOn w:val="39"/>
    <w:link w:val="16"/>
    <w:qFormat/>
    <w:uiPriority w:val="99"/>
    <w:rPr>
      <w:rFonts w:ascii="金山简黑体" w:hAnsi="金山简黑体" w:eastAsia="金山简黑体" w:cs="Times New Roman"/>
      <w:b/>
      <w:spacing w:val="-8"/>
      <w:kern w:val="2"/>
      <w:sz w:val="44"/>
    </w:rPr>
  </w:style>
  <w:style w:type="character" w:customStyle="1" w:styleId="65">
    <w:name w:val="标题 1 字符"/>
    <w:basedOn w:val="39"/>
    <w:link w:val="2"/>
    <w:qFormat/>
    <w:uiPriority w:val="0"/>
    <w:rPr>
      <w:rFonts w:ascii="Times New Roman" w:hAnsi="Times New Roman" w:eastAsia="宋体" w:cs="Times New Roman"/>
      <w:b/>
      <w:bCs/>
      <w:kern w:val="44"/>
      <w:sz w:val="32"/>
      <w:szCs w:val="44"/>
    </w:rPr>
  </w:style>
  <w:style w:type="character" w:customStyle="1" w:styleId="66">
    <w:name w:val="标题 3 字符"/>
    <w:basedOn w:val="39"/>
    <w:link w:val="4"/>
    <w:qFormat/>
    <w:uiPriority w:val="0"/>
    <w:rPr>
      <w:rFonts w:ascii="Calibri" w:hAnsi="Calibri" w:eastAsia="黑体" w:cs="Times New Roman"/>
      <w:b/>
      <w:sz w:val="28"/>
    </w:rPr>
  </w:style>
  <w:style w:type="character" w:customStyle="1" w:styleId="67">
    <w:name w:val="标题 4 字符"/>
    <w:basedOn w:val="39"/>
    <w:link w:val="5"/>
    <w:qFormat/>
    <w:uiPriority w:val="0"/>
    <w:rPr>
      <w:rFonts w:ascii="Arial" w:hAnsi="Arial" w:eastAsia="黑体" w:cs="Times New Roman"/>
      <w:sz w:val="28"/>
      <w:lang w:val="zh-CN"/>
    </w:rPr>
  </w:style>
  <w:style w:type="character" w:customStyle="1" w:styleId="68">
    <w:name w:val="正文文本缩进 字符"/>
    <w:basedOn w:val="39"/>
    <w:link w:val="17"/>
    <w:qFormat/>
    <w:uiPriority w:val="0"/>
    <w:rPr>
      <w:rFonts w:ascii="宋体" w:hAnsi="Calibri" w:eastAsia="宋体" w:cs="Times New Roman"/>
      <w:spacing w:val="-4"/>
      <w:kern w:val="2"/>
      <w:sz w:val="18"/>
      <w:lang w:val="zh-CN"/>
    </w:rPr>
  </w:style>
  <w:style w:type="character" w:customStyle="1" w:styleId="69">
    <w:name w:val="批注文字 字符"/>
    <w:basedOn w:val="39"/>
    <w:qFormat/>
    <w:uiPriority w:val="0"/>
    <w:rPr>
      <w:rFonts w:asciiTheme="minorHAnsi" w:hAnsiTheme="minorHAnsi" w:eastAsiaTheme="minorEastAsia"/>
      <w:kern w:val="2"/>
      <w:sz w:val="24"/>
      <w:szCs w:val="22"/>
    </w:rPr>
  </w:style>
  <w:style w:type="character" w:customStyle="1" w:styleId="70">
    <w:name w:val="正文文本 3 字符"/>
    <w:basedOn w:val="39"/>
    <w:link w:val="15"/>
    <w:qFormat/>
    <w:uiPriority w:val="0"/>
    <w:rPr>
      <w:rFonts w:ascii="Calibri" w:hAnsi="Calibri" w:eastAsia="宋体" w:cs="Times New Roman"/>
      <w:kern w:val="2"/>
      <w:sz w:val="24"/>
      <w:szCs w:val="24"/>
    </w:rPr>
  </w:style>
  <w:style w:type="character" w:customStyle="1" w:styleId="71">
    <w:name w:val="日期 字符"/>
    <w:basedOn w:val="39"/>
    <w:link w:val="21"/>
    <w:qFormat/>
    <w:uiPriority w:val="99"/>
    <w:rPr>
      <w:rFonts w:cs="Times New Roman"/>
      <w:kern w:val="2"/>
    </w:rPr>
  </w:style>
  <w:style w:type="character" w:customStyle="1" w:styleId="72">
    <w:name w:val="正文文本缩进 2 字符"/>
    <w:basedOn w:val="39"/>
    <w:link w:val="22"/>
    <w:qFormat/>
    <w:uiPriority w:val="99"/>
    <w:rPr>
      <w:rFonts w:cs="Times New Roman"/>
      <w:kern w:val="2"/>
    </w:rPr>
  </w:style>
  <w:style w:type="character" w:customStyle="1" w:styleId="73">
    <w:name w:val="页脚 字符"/>
    <w:basedOn w:val="39"/>
    <w:link w:val="24"/>
    <w:qFormat/>
    <w:uiPriority w:val="99"/>
    <w:rPr>
      <w:rFonts w:ascii="宋体" w:hAnsi="Calibri" w:eastAsia="宋体" w:cs="Times New Roman"/>
      <w:kern w:val="2"/>
      <w:sz w:val="18"/>
      <w:lang w:val="zh-CN"/>
    </w:rPr>
  </w:style>
  <w:style w:type="character" w:customStyle="1" w:styleId="74">
    <w:name w:val="脚注文本 字符"/>
    <w:basedOn w:val="39"/>
    <w:link w:val="28"/>
    <w:qFormat/>
    <w:uiPriority w:val="99"/>
    <w:rPr>
      <w:rFonts w:cs="Times New Roman"/>
      <w:kern w:val="2"/>
      <w:sz w:val="18"/>
      <w:szCs w:val="22"/>
    </w:rPr>
  </w:style>
  <w:style w:type="character" w:customStyle="1" w:styleId="75">
    <w:name w:val="正文文本缩进 3 字符"/>
    <w:basedOn w:val="39"/>
    <w:link w:val="29"/>
    <w:qFormat/>
    <w:uiPriority w:val="99"/>
    <w:rPr>
      <w:rFonts w:cs="Times New Roman"/>
      <w:kern w:val="2"/>
      <w:sz w:val="16"/>
      <w:szCs w:val="16"/>
    </w:rPr>
  </w:style>
  <w:style w:type="character" w:customStyle="1" w:styleId="76">
    <w:name w:val="正文文本 2 字符"/>
    <w:basedOn w:val="39"/>
    <w:link w:val="31"/>
    <w:qFormat/>
    <w:uiPriority w:val="99"/>
    <w:rPr>
      <w:rFonts w:ascii="宋体" w:hAnsi="Calibri" w:eastAsia="宋体" w:cs="Times New Roman"/>
      <w:kern w:val="2"/>
      <w:sz w:val="13"/>
    </w:rPr>
  </w:style>
  <w:style w:type="character" w:customStyle="1" w:styleId="77">
    <w:name w:val="批注文字 字符1"/>
    <w:basedOn w:val="39"/>
    <w:link w:val="14"/>
    <w:qFormat/>
    <w:uiPriority w:val="0"/>
    <w:rPr>
      <w:rFonts w:ascii="Calibri" w:hAnsi="Calibri" w:eastAsia="宋体" w:cs="Times New Roman"/>
      <w:kern w:val="2"/>
      <w:sz w:val="21"/>
      <w:szCs w:val="24"/>
      <w:lang w:val="zh-CN"/>
    </w:rPr>
  </w:style>
  <w:style w:type="character" w:customStyle="1" w:styleId="78">
    <w:name w:val="批注主题 字符"/>
    <w:basedOn w:val="77"/>
    <w:link w:val="34"/>
    <w:qFormat/>
    <w:uiPriority w:val="0"/>
    <w:rPr>
      <w:rFonts w:ascii="Calibri" w:hAnsi="Calibri" w:eastAsia="宋体" w:cs="Times New Roman"/>
      <w:b/>
      <w:bCs/>
      <w:kern w:val="2"/>
      <w:sz w:val="24"/>
      <w:szCs w:val="24"/>
      <w:lang w:val="zh-CN"/>
    </w:rPr>
  </w:style>
  <w:style w:type="character" w:customStyle="1" w:styleId="79">
    <w:name w:val="正文文本首行缩进 2 字符"/>
    <w:basedOn w:val="68"/>
    <w:link w:val="36"/>
    <w:qFormat/>
    <w:uiPriority w:val="0"/>
    <w:rPr>
      <w:rFonts w:ascii="宋体" w:hAnsi="宋体" w:eastAsia="宋体" w:cs="Times New Roman"/>
      <w:spacing w:val="-6"/>
      <w:kern w:val="2"/>
      <w:sz w:val="24"/>
      <w:lang w:val="zh-CN"/>
    </w:rPr>
  </w:style>
  <w:style w:type="character" w:customStyle="1" w:styleId="80">
    <w:name w:val="font161"/>
    <w:qFormat/>
    <w:uiPriority w:val="99"/>
    <w:rPr>
      <w:rFonts w:cs="Times New Roman"/>
      <w:b/>
      <w:bCs/>
      <w:sz w:val="32"/>
      <w:szCs w:val="32"/>
    </w:rPr>
  </w:style>
  <w:style w:type="character" w:customStyle="1" w:styleId="81">
    <w:name w:val="Para head"/>
    <w:qFormat/>
    <w:uiPriority w:val="99"/>
    <w:rPr>
      <w:rFonts w:ascii="Arial" w:hAnsi="Arial" w:cs="Times New Roman"/>
      <w:sz w:val="20"/>
    </w:rPr>
  </w:style>
  <w:style w:type="character" w:customStyle="1" w:styleId="82">
    <w:name w:val="Default Char"/>
    <w:link w:val="46"/>
    <w:qFormat/>
    <w:locked/>
    <w:uiPriority w:val="0"/>
    <w:rPr>
      <w:rFonts w:ascii="宋体"/>
      <w:color w:val="000000"/>
      <w:kern w:val="2"/>
      <w:sz w:val="24"/>
      <w:szCs w:val="24"/>
    </w:rPr>
  </w:style>
  <w:style w:type="character" w:customStyle="1" w:styleId="83">
    <w:name w:val="不明显参考1"/>
    <w:qFormat/>
    <w:uiPriority w:val="31"/>
    <w:rPr>
      <w:smallCaps/>
      <w:color w:val="C0504D"/>
      <w:u w:val="single"/>
    </w:rPr>
  </w:style>
  <w:style w:type="character" w:customStyle="1" w:styleId="84">
    <w:name w:val="明显参考1"/>
    <w:qFormat/>
    <w:uiPriority w:val="32"/>
    <w:rPr>
      <w:b/>
      <w:bCs/>
      <w:smallCaps/>
      <w:color w:val="C0504D"/>
      <w:spacing w:val="5"/>
      <w:u w:val="single"/>
    </w:rPr>
  </w:style>
  <w:style w:type="character" w:customStyle="1" w:styleId="85">
    <w:name w:val="正文文本 2 Char1"/>
    <w:basedOn w:val="39"/>
    <w:semiHidden/>
    <w:qFormat/>
    <w:uiPriority w:val="99"/>
    <w:rPr>
      <w:rFonts w:ascii="Times New Roman" w:hAnsi="Times New Roman" w:eastAsia="宋体" w:cs="Times New Roman"/>
      <w:szCs w:val="20"/>
    </w:rPr>
  </w:style>
  <w:style w:type="character" w:customStyle="1" w:styleId="86">
    <w:name w:val="批注文字 Char1"/>
    <w:basedOn w:val="39"/>
    <w:semiHidden/>
    <w:qFormat/>
    <w:uiPriority w:val="99"/>
    <w:rPr>
      <w:rFonts w:ascii="Times New Roman" w:hAnsi="Times New Roman" w:eastAsia="宋体" w:cs="Times New Roman"/>
      <w:szCs w:val="20"/>
    </w:rPr>
  </w:style>
  <w:style w:type="character" w:customStyle="1" w:styleId="87">
    <w:name w:val="脚注文本 Char1"/>
    <w:basedOn w:val="39"/>
    <w:semiHidden/>
    <w:qFormat/>
    <w:uiPriority w:val="99"/>
    <w:rPr>
      <w:rFonts w:ascii="Times New Roman" w:hAnsi="Times New Roman" w:eastAsia="宋体" w:cs="Times New Roman"/>
      <w:sz w:val="18"/>
      <w:szCs w:val="18"/>
    </w:rPr>
  </w:style>
  <w:style w:type="character" w:customStyle="1" w:styleId="88">
    <w:name w:val="页眉 Char1"/>
    <w:basedOn w:val="39"/>
    <w:semiHidden/>
    <w:qFormat/>
    <w:uiPriority w:val="99"/>
    <w:rPr>
      <w:rFonts w:ascii="Times New Roman" w:hAnsi="Times New Roman" w:eastAsia="宋体" w:cs="Times New Roman"/>
      <w:sz w:val="18"/>
      <w:szCs w:val="18"/>
    </w:rPr>
  </w:style>
  <w:style w:type="character" w:customStyle="1" w:styleId="89">
    <w:name w:val="正文文本缩进 3 Char1"/>
    <w:basedOn w:val="39"/>
    <w:semiHidden/>
    <w:qFormat/>
    <w:uiPriority w:val="99"/>
    <w:rPr>
      <w:rFonts w:ascii="Times New Roman" w:hAnsi="Times New Roman" w:eastAsia="宋体" w:cs="Times New Roman"/>
      <w:sz w:val="16"/>
      <w:szCs w:val="16"/>
    </w:rPr>
  </w:style>
  <w:style w:type="character" w:customStyle="1" w:styleId="90">
    <w:name w:val="正文文本缩进 2 Char1"/>
    <w:basedOn w:val="39"/>
    <w:semiHidden/>
    <w:qFormat/>
    <w:uiPriority w:val="99"/>
    <w:rPr>
      <w:rFonts w:ascii="Times New Roman" w:hAnsi="Times New Roman" w:eastAsia="宋体" w:cs="Times New Roman"/>
      <w:szCs w:val="20"/>
    </w:rPr>
  </w:style>
  <w:style w:type="character" w:customStyle="1" w:styleId="91">
    <w:name w:val="正文文本 Char1"/>
    <w:basedOn w:val="39"/>
    <w:semiHidden/>
    <w:qFormat/>
    <w:uiPriority w:val="99"/>
    <w:rPr>
      <w:rFonts w:ascii="Times New Roman" w:hAnsi="Times New Roman" w:eastAsia="宋体" w:cs="Times New Roman"/>
      <w:szCs w:val="20"/>
    </w:rPr>
  </w:style>
  <w:style w:type="character" w:customStyle="1" w:styleId="92">
    <w:name w:val="批注主题 Char1"/>
    <w:basedOn w:val="86"/>
    <w:semiHidden/>
    <w:qFormat/>
    <w:uiPriority w:val="99"/>
    <w:rPr>
      <w:rFonts w:ascii="Times New Roman" w:hAnsi="Times New Roman" w:eastAsia="宋体" w:cs="Times New Roman"/>
      <w:b/>
      <w:bCs/>
      <w:szCs w:val="20"/>
    </w:rPr>
  </w:style>
  <w:style w:type="character" w:customStyle="1" w:styleId="93">
    <w:name w:val="日期 Char1"/>
    <w:basedOn w:val="39"/>
    <w:semiHidden/>
    <w:qFormat/>
    <w:uiPriority w:val="99"/>
    <w:rPr>
      <w:rFonts w:ascii="Times New Roman" w:hAnsi="Times New Roman" w:eastAsia="宋体" w:cs="Times New Roman"/>
      <w:szCs w:val="20"/>
    </w:rPr>
  </w:style>
  <w:style w:type="character" w:customStyle="1" w:styleId="94">
    <w:name w:val="正文文本缩进 Char1"/>
    <w:basedOn w:val="39"/>
    <w:semiHidden/>
    <w:qFormat/>
    <w:uiPriority w:val="99"/>
    <w:rPr>
      <w:rFonts w:ascii="Times New Roman" w:hAnsi="Times New Roman" w:eastAsia="宋体" w:cs="Times New Roman"/>
      <w:szCs w:val="20"/>
    </w:rPr>
  </w:style>
  <w:style w:type="character" w:customStyle="1" w:styleId="95">
    <w:name w:val="批注框文本 Char1"/>
    <w:basedOn w:val="39"/>
    <w:semiHidden/>
    <w:qFormat/>
    <w:uiPriority w:val="99"/>
    <w:rPr>
      <w:rFonts w:ascii="Times New Roman" w:hAnsi="Times New Roman" w:eastAsia="宋体" w:cs="Times New Roman"/>
      <w:sz w:val="18"/>
      <w:szCs w:val="18"/>
    </w:rPr>
  </w:style>
  <w:style w:type="character" w:customStyle="1" w:styleId="96">
    <w:name w:val="页脚 Char1"/>
    <w:basedOn w:val="39"/>
    <w:qFormat/>
    <w:uiPriority w:val="99"/>
    <w:rPr>
      <w:rFonts w:ascii="Times New Roman" w:hAnsi="Times New Roman" w:eastAsia="宋体" w:cs="Times New Roman"/>
      <w:sz w:val="18"/>
      <w:szCs w:val="18"/>
    </w:rPr>
  </w:style>
  <w:style w:type="character" w:customStyle="1" w:styleId="97">
    <w:name w:val="正文文本 3 Char1"/>
    <w:basedOn w:val="39"/>
    <w:semiHidden/>
    <w:qFormat/>
    <w:uiPriority w:val="99"/>
    <w:rPr>
      <w:rFonts w:ascii="Times New Roman" w:hAnsi="Times New Roman" w:eastAsia="宋体" w:cs="Times New Roman"/>
      <w:sz w:val="16"/>
      <w:szCs w:val="16"/>
    </w:rPr>
  </w:style>
  <w:style w:type="paragraph" w:customStyle="1" w:styleId="98">
    <w:name w:val="目录文字"/>
    <w:basedOn w:val="1"/>
    <w:qFormat/>
    <w:uiPriority w:val="99"/>
    <w:pPr>
      <w:widowControl/>
      <w:spacing w:after="200" w:line="480" w:lineRule="auto"/>
      <w:jc w:val="left"/>
    </w:pPr>
    <w:rPr>
      <w:rFonts w:ascii="宋体" w:hAnsi="宋体"/>
      <w:kern w:val="0"/>
      <w:sz w:val="24"/>
      <w:szCs w:val="20"/>
    </w:rPr>
  </w:style>
  <w:style w:type="paragraph" w:customStyle="1" w:styleId="99">
    <w:name w:val="Char2"/>
    <w:basedOn w:val="1"/>
    <w:qFormat/>
    <w:uiPriority w:val="99"/>
    <w:pPr>
      <w:spacing w:after="200" w:line="276" w:lineRule="auto"/>
      <w:ind w:left="432" w:hanging="432"/>
    </w:pPr>
    <w:rPr>
      <w:rFonts w:ascii="Times New Roman" w:hAnsi="Times New Roman"/>
    </w:rPr>
  </w:style>
  <w:style w:type="paragraph" w:customStyle="1" w:styleId="100">
    <w:name w:val="Preformatted"/>
    <w:basedOn w:val="1"/>
    <w:qFormat/>
    <w:uiPriority w:val="0"/>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spacing w:after="200" w:line="276" w:lineRule="auto"/>
      <w:jc w:val="left"/>
    </w:pPr>
    <w:rPr>
      <w:rFonts w:ascii="Courier New" w:hAnsi="Courier New"/>
      <w:kern w:val="0"/>
      <w:sz w:val="20"/>
      <w:szCs w:val="20"/>
    </w:rPr>
  </w:style>
  <w:style w:type="paragraph" w:customStyle="1" w:styleId="101">
    <w:name w:val="菲页1"/>
    <w:basedOn w:val="3"/>
    <w:qFormat/>
    <w:uiPriority w:val="99"/>
    <w:pPr>
      <w:keepNext/>
      <w:keepLines/>
      <w:widowControl/>
    </w:pPr>
    <w:rPr>
      <w:rFonts w:ascii="黑体" w:hAnsi="宋体"/>
      <w:b w:val="0"/>
      <w:bCs w:val="0"/>
      <w:color w:val="000000" w:themeColor="text1"/>
      <w:kern w:val="0"/>
      <w:sz w:val="52"/>
      <w:szCs w:val="20"/>
      <w14:textFill>
        <w14:solidFill>
          <w14:schemeClr w14:val="tx1"/>
        </w14:solidFill>
      </w14:textFill>
    </w:rPr>
  </w:style>
  <w:style w:type="paragraph" w:customStyle="1" w:styleId="102">
    <w:name w:val="Char1"/>
    <w:basedOn w:val="1"/>
    <w:qFormat/>
    <w:uiPriority w:val="99"/>
    <w:pPr>
      <w:widowControl/>
      <w:spacing w:after="160" w:line="240" w:lineRule="exact"/>
      <w:jc w:val="left"/>
    </w:pPr>
    <w:rPr>
      <w:rFonts w:ascii="Verdana" w:hAnsi="Verdana" w:eastAsia="仿宋_GB2312"/>
      <w:kern w:val="0"/>
      <w:sz w:val="24"/>
      <w:szCs w:val="20"/>
      <w:lang w:eastAsia="en-US"/>
    </w:rPr>
  </w:style>
  <w:style w:type="paragraph" w:customStyle="1" w:styleId="103">
    <w:name w:val="菲页2"/>
    <w:basedOn w:val="4"/>
    <w:qFormat/>
    <w:uiPriority w:val="99"/>
    <w:pPr>
      <w:keepNext/>
      <w:keepLines/>
      <w:widowControl/>
      <w:numPr>
        <w:ilvl w:val="0"/>
        <w:numId w:val="0"/>
      </w:numPr>
      <w:tabs>
        <w:tab w:val="left" w:pos="945"/>
        <w:tab w:val="clear" w:pos="900"/>
        <w:tab w:val="clear" w:pos="1588"/>
      </w:tabs>
      <w:adjustRightInd/>
      <w:spacing w:before="0"/>
      <w:ind w:left="945" w:hanging="375"/>
      <w:jc w:val="center"/>
      <w:textAlignment w:val="auto"/>
    </w:pPr>
    <w:rPr>
      <w:rFonts w:ascii="黑体" w:hAnsi="宋体"/>
      <w:b w:val="0"/>
      <w:sz w:val="44"/>
    </w:rPr>
  </w:style>
  <w:style w:type="paragraph" w:customStyle="1" w:styleId="104">
    <w:name w:val="1"/>
    <w:basedOn w:val="1"/>
    <w:next w:val="17"/>
    <w:qFormat/>
    <w:uiPriority w:val="99"/>
    <w:pPr>
      <w:spacing w:after="200" w:line="276" w:lineRule="auto"/>
      <w:ind w:firstLine="560" w:firstLineChars="200"/>
    </w:pPr>
    <w:rPr>
      <w:rFonts w:ascii="Times New Roman" w:hAnsi="Times New Roman"/>
      <w:sz w:val="28"/>
      <w:szCs w:val="20"/>
    </w:rPr>
  </w:style>
  <w:style w:type="paragraph" w:customStyle="1" w:styleId="105">
    <w:name w:val="font8"/>
    <w:basedOn w:val="1"/>
    <w:qFormat/>
    <w:uiPriority w:val="99"/>
    <w:pPr>
      <w:widowControl/>
      <w:spacing w:before="100" w:beforeAutospacing="1" w:after="100" w:afterAutospacing="1" w:line="276" w:lineRule="auto"/>
      <w:jc w:val="left"/>
    </w:pPr>
    <w:rPr>
      <w:rFonts w:ascii="Times New Roman" w:hAnsi="Times New Roman"/>
      <w:kern w:val="0"/>
      <w:sz w:val="24"/>
      <w:szCs w:val="20"/>
    </w:rPr>
  </w:style>
  <w:style w:type="paragraph" w:customStyle="1" w:styleId="106">
    <w:name w:val="正文1"/>
    <w:qFormat/>
    <w:uiPriority w:val="99"/>
    <w:pPr>
      <w:widowControl w:val="0"/>
      <w:adjustRightInd w:val="0"/>
      <w:spacing w:after="200" w:line="312" w:lineRule="atLeast"/>
      <w:jc w:val="both"/>
      <w:textAlignment w:val="baseline"/>
    </w:pPr>
    <w:rPr>
      <w:rFonts w:ascii="宋体" w:hAnsi="Times New Roman" w:eastAsia="宋体" w:cs="Times New Roman"/>
      <w:sz w:val="34"/>
      <w:lang w:val="en-US" w:eastAsia="zh-CN" w:bidi="ar-SA"/>
    </w:rPr>
  </w:style>
  <w:style w:type="paragraph" w:customStyle="1" w:styleId="107">
    <w:name w:val="菲页(卷)"/>
    <w:basedOn w:val="2"/>
    <w:next w:val="106"/>
    <w:qFormat/>
    <w:uiPriority w:val="99"/>
    <w:pPr>
      <w:keepLines w:val="0"/>
      <w:pageBreakBefore w:val="0"/>
      <w:widowControl/>
      <w:tabs>
        <w:tab w:val="left" w:pos="945"/>
      </w:tabs>
      <w:ind w:left="945" w:hanging="375"/>
      <w:outlineLvl w:val="1"/>
    </w:pPr>
    <w:rPr>
      <w:rFonts w:ascii="宋体" w:hAnsi="宋体"/>
      <w:kern w:val="0"/>
      <w:szCs w:val="20"/>
    </w:rPr>
  </w:style>
  <w:style w:type="paragraph" w:customStyle="1" w:styleId="108">
    <w:name w:val="xl34"/>
    <w:basedOn w:val="1"/>
    <w:qFormat/>
    <w:uiPriority w:val="99"/>
    <w:pPr>
      <w:widowControl/>
      <w:spacing w:before="100" w:beforeAutospacing="1" w:after="100" w:afterAutospacing="1" w:line="276" w:lineRule="auto"/>
      <w:jc w:val="center"/>
    </w:pPr>
    <w:rPr>
      <w:rFonts w:ascii="宋体" w:hAnsi="宋体"/>
      <w:kern w:val="0"/>
      <w:sz w:val="28"/>
      <w:szCs w:val="20"/>
    </w:rPr>
  </w:style>
  <w:style w:type="paragraph" w:customStyle="1" w:styleId="109">
    <w:name w:val="样式1"/>
    <w:basedOn w:val="1"/>
    <w:qFormat/>
    <w:uiPriority w:val="99"/>
    <w:pPr>
      <w:spacing w:before="120" w:after="120" w:line="300" w:lineRule="auto"/>
    </w:pPr>
    <w:rPr>
      <w:rFonts w:ascii="宋体" w:hAnsi="宋体"/>
      <w:b/>
      <w:sz w:val="24"/>
      <w:szCs w:val="20"/>
    </w:rPr>
  </w:style>
  <w:style w:type="paragraph" w:customStyle="1" w:styleId="110">
    <w:name w:val="目录"/>
    <w:basedOn w:val="1"/>
    <w:qFormat/>
    <w:uiPriority w:val="99"/>
    <w:pPr>
      <w:widowControl/>
      <w:spacing w:after="200" w:line="276" w:lineRule="auto"/>
      <w:jc w:val="center"/>
    </w:pPr>
    <w:rPr>
      <w:rFonts w:ascii="宋体" w:hAnsi="Times New Roman"/>
      <w:b/>
      <w:kern w:val="0"/>
      <w:sz w:val="36"/>
      <w:szCs w:val="20"/>
    </w:rPr>
  </w:style>
  <w:style w:type="character" w:customStyle="1" w:styleId="111">
    <w:name w:val="纯文本 Char"/>
    <w:basedOn w:val="39"/>
    <w:qFormat/>
    <w:uiPriority w:val="0"/>
    <w:rPr>
      <w:rFonts w:ascii="宋体" w:hAnsi="Courier New" w:eastAsia="宋体" w:cs="Courier New"/>
      <w:szCs w:val="21"/>
    </w:rPr>
  </w:style>
  <w:style w:type="paragraph" w:customStyle="1" w:styleId="112">
    <w:name w:val="font5"/>
    <w:basedOn w:val="1"/>
    <w:qFormat/>
    <w:uiPriority w:val="0"/>
    <w:pPr>
      <w:widowControl/>
      <w:spacing w:before="100" w:beforeAutospacing="1" w:after="100" w:afterAutospacing="1" w:line="276" w:lineRule="auto"/>
      <w:jc w:val="left"/>
    </w:pPr>
    <w:rPr>
      <w:rFonts w:ascii="Arial" w:hAnsi="Arial" w:cs="Arial"/>
      <w:kern w:val="0"/>
      <w:sz w:val="24"/>
    </w:rPr>
  </w:style>
  <w:style w:type="paragraph" w:customStyle="1" w:styleId="113">
    <w:name w:val="font6"/>
    <w:basedOn w:val="1"/>
    <w:qFormat/>
    <w:uiPriority w:val="0"/>
    <w:pPr>
      <w:widowControl/>
      <w:spacing w:before="100" w:beforeAutospacing="1" w:after="100" w:afterAutospacing="1" w:line="276" w:lineRule="auto"/>
      <w:jc w:val="left"/>
    </w:pPr>
    <w:rPr>
      <w:rFonts w:ascii="宋体" w:hAnsi="宋体" w:cs="宋体"/>
      <w:kern w:val="0"/>
      <w:sz w:val="24"/>
    </w:rPr>
  </w:style>
  <w:style w:type="paragraph" w:customStyle="1" w:styleId="114">
    <w:name w:val="font7"/>
    <w:basedOn w:val="1"/>
    <w:qFormat/>
    <w:uiPriority w:val="0"/>
    <w:pPr>
      <w:widowControl/>
      <w:spacing w:before="100" w:beforeAutospacing="1" w:after="100" w:afterAutospacing="1" w:line="276" w:lineRule="auto"/>
      <w:jc w:val="left"/>
    </w:pPr>
    <w:rPr>
      <w:rFonts w:ascii="宋体" w:hAnsi="宋体" w:cs="宋体"/>
      <w:kern w:val="0"/>
      <w:sz w:val="18"/>
      <w:szCs w:val="18"/>
    </w:rPr>
  </w:style>
  <w:style w:type="paragraph" w:customStyle="1" w:styleId="115">
    <w:name w:val="xl65"/>
    <w:basedOn w:val="1"/>
    <w:qFormat/>
    <w:uiPriority w:val="0"/>
    <w:pPr>
      <w:widowControl/>
      <w:spacing w:before="100" w:beforeAutospacing="1" w:after="100" w:afterAutospacing="1" w:line="276" w:lineRule="auto"/>
      <w:jc w:val="left"/>
    </w:pPr>
    <w:rPr>
      <w:rFonts w:ascii="宋体" w:hAnsi="宋体" w:cs="宋体"/>
      <w:kern w:val="0"/>
      <w:sz w:val="40"/>
      <w:szCs w:val="40"/>
    </w:rPr>
  </w:style>
  <w:style w:type="paragraph" w:customStyle="1" w:styleId="116">
    <w:name w:val="xl66"/>
    <w:basedOn w:val="1"/>
    <w:qFormat/>
    <w:uiPriority w:val="0"/>
    <w:pPr>
      <w:widowControl/>
      <w:spacing w:before="100" w:beforeAutospacing="1" w:after="100" w:afterAutospacing="1" w:line="276" w:lineRule="auto"/>
      <w:jc w:val="center"/>
    </w:pPr>
    <w:rPr>
      <w:rFonts w:ascii="方正黑体_GBK" w:hAnsi="宋体" w:eastAsia="方正黑体_GBK" w:cs="宋体"/>
      <w:kern w:val="0"/>
      <w:sz w:val="28"/>
      <w:szCs w:val="28"/>
    </w:rPr>
  </w:style>
  <w:style w:type="paragraph" w:customStyle="1" w:styleId="117">
    <w:name w:val="xl67"/>
    <w:basedOn w:val="1"/>
    <w:qFormat/>
    <w:uiPriority w:val="0"/>
    <w:pPr>
      <w:widowControl/>
      <w:spacing w:before="100" w:beforeAutospacing="1" w:after="100" w:afterAutospacing="1" w:line="276" w:lineRule="auto"/>
      <w:jc w:val="center"/>
    </w:pPr>
    <w:rPr>
      <w:rFonts w:ascii="宋体" w:hAnsi="宋体" w:cs="宋体"/>
      <w:kern w:val="0"/>
      <w:sz w:val="24"/>
    </w:rPr>
  </w:style>
  <w:style w:type="paragraph" w:customStyle="1" w:styleId="118">
    <w:name w:val="xl68"/>
    <w:basedOn w:val="1"/>
    <w:qFormat/>
    <w:uiPriority w:val="0"/>
    <w:pPr>
      <w:widowControl/>
      <w:spacing w:before="100" w:beforeAutospacing="1" w:after="100" w:afterAutospacing="1" w:line="276" w:lineRule="auto"/>
      <w:jc w:val="center"/>
    </w:pPr>
    <w:rPr>
      <w:rFonts w:ascii="宋体" w:hAnsi="宋体" w:cs="宋体"/>
      <w:kern w:val="0"/>
      <w:sz w:val="24"/>
    </w:rPr>
  </w:style>
  <w:style w:type="paragraph" w:customStyle="1" w:styleId="119">
    <w:name w:val="xl69"/>
    <w:basedOn w:val="1"/>
    <w:qFormat/>
    <w:uiPriority w:val="0"/>
    <w:pPr>
      <w:widowControl/>
      <w:spacing w:before="100" w:beforeAutospacing="1" w:after="100" w:afterAutospacing="1" w:line="276" w:lineRule="auto"/>
      <w:jc w:val="left"/>
    </w:pPr>
    <w:rPr>
      <w:rFonts w:ascii="宋体" w:hAnsi="宋体" w:cs="宋体"/>
      <w:kern w:val="0"/>
      <w:sz w:val="24"/>
    </w:rPr>
  </w:style>
  <w:style w:type="paragraph" w:customStyle="1" w:styleId="120">
    <w:name w:val="xl7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76" w:lineRule="auto"/>
      <w:jc w:val="center"/>
    </w:pPr>
    <w:rPr>
      <w:rFonts w:ascii="宋体" w:hAnsi="宋体" w:cs="宋体"/>
      <w:kern w:val="0"/>
      <w:sz w:val="24"/>
    </w:rPr>
  </w:style>
  <w:style w:type="paragraph" w:customStyle="1" w:styleId="121">
    <w:name w:val="xl71"/>
    <w:basedOn w:val="1"/>
    <w:qFormat/>
    <w:uiPriority w:val="0"/>
    <w:pPr>
      <w:widowControl/>
      <w:spacing w:before="100" w:beforeAutospacing="1" w:after="100" w:afterAutospacing="1" w:line="276" w:lineRule="auto"/>
      <w:jc w:val="center"/>
    </w:pPr>
    <w:rPr>
      <w:rFonts w:ascii="宋体" w:hAnsi="宋体" w:cs="宋体"/>
      <w:kern w:val="0"/>
      <w:sz w:val="24"/>
    </w:rPr>
  </w:style>
  <w:style w:type="paragraph" w:customStyle="1" w:styleId="122">
    <w:name w:val="xl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76" w:lineRule="auto"/>
      <w:jc w:val="center"/>
    </w:pPr>
    <w:rPr>
      <w:rFonts w:ascii="宋体" w:hAnsi="宋体" w:cs="宋体"/>
      <w:kern w:val="0"/>
      <w:sz w:val="24"/>
    </w:rPr>
  </w:style>
  <w:style w:type="paragraph" w:customStyle="1" w:styleId="123">
    <w:name w:val="xl7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76" w:lineRule="auto"/>
      <w:jc w:val="left"/>
    </w:pPr>
    <w:rPr>
      <w:rFonts w:ascii="宋体" w:hAnsi="宋体" w:cs="宋体"/>
      <w:kern w:val="0"/>
      <w:sz w:val="24"/>
    </w:rPr>
  </w:style>
  <w:style w:type="paragraph" w:customStyle="1" w:styleId="124">
    <w:name w:val="xl74"/>
    <w:basedOn w:val="1"/>
    <w:qFormat/>
    <w:uiPriority w:val="0"/>
    <w:pPr>
      <w:widowControl/>
      <w:spacing w:before="100" w:beforeAutospacing="1" w:after="100" w:afterAutospacing="1" w:line="276" w:lineRule="auto"/>
      <w:jc w:val="left"/>
    </w:pPr>
    <w:rPr>
      <w:rFonts w:ascii="宋体" w:hAnsi="宋体" w:cs="宋体"/>
      <w:kern w:val="0"/>
      <w:sz w:val="40"/>
      <w:szCs w:val="40"/>
    </w:rPr>
  </w:style>
  <w:style w:type="paragraph" w:customStyle="1" w:styleId="125">
    <w:name w:val="xl7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76" w:lineRule="auto"/>
      <w:jc w:val="center"/>
    </w:pPr>
    <w:rPr>
      <w:rFonts w:ascii="方正黑体_GBK" w:hAnsi="宋体" w:eastAsia="方正黑体_GBK" w:cs="宋体"/>
      <w:kern w:val="0"/>
      <w:sz w:val="28"/>
      <w:szCs w:val="28"/>
    </w:rPr>
  </w:style>
  <w:style w:type="paragraph" w:customStyle="1" w:styleId="126">
    <w:name w:val="xl76"/>
    <w:basedOn w:val="1"/>
    <w:qFormat/>
    <w:uiPriority w:val="0"/>
    <w:pPr>
      <w:widowControl/>
      <w:pBdr>
        <w:top w:val="single" w:color="auto" w:sz="4" w:space="0"/>
        <w:left w:val="single" w:color="auto" w:sz="4" w:space="0"/>
        <w:bottom w:val="single" w:color="auto" w:sz="4" w:space="0"/>
      </w:pBdr>
      <w:spacing w:before="100" w:beforeAutospacing="1" w:after="100" w:afterAutospacing="1" w:line="276" w:lineRule="auto"/>
      <w:jc w:val="center"/>
    </w:pPr>
    <w:rPr>
      <w:rFonts w:ascii="宋体" w:hAnsi="宋体" w:cs="宋体"/>
      <w:kern w:val="0"/>
      <w:sz w:val="24"/>
    </w:rPr>
  </w:style>
  <w:style w:type="paragraph" w:customStyle="1" w:styleId="127">
    <w:name w:val="xl7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76" w:lineRule="auto"/>
      <w:jc w:val="center"/>
    </w:pPr>
    <w:rPr>
      <w:rFonts w:ascii="Arial" w:hAnsi="Arial" w:cs="Arial"/>
      <w:kern w:val="0"/>
      <w:sz w:val="24"/>
    </w:rPr>
  </w:style>
  <w:style w:type="paragraph" w:customStyle="1" w:styleId="128">
    <w:name w:val="xl78"/>
    <w:basedOn w:val="1"/>
    <w:qFormat/>
    <w:uiPriority w:val="0"/>
    <w:pPr>
      <w:widowControl/>
      <w:pBdr>
        <w:left w:val="single" w:color="auto" w:sz="4" w:space="0"/>
        <w:bottom w:val="single" w:color="auto" w:sz="4" w:space="0"/>
        <w:right w:val="single" w:color="auto" w:sz="4" w:space="0"/>
      </w:pBdr>
      <w:spacing w:before="100" w:beforeAutospacing="1" w:after="100" w:afterAutospacing="1" w:line="276" w:lineRule="auto"/>
      <w:jc w:val="center"/>
    </w:pPr>
    <w:rPr>
      <w:rFonts w:ascii="宋体" w:hAnsi="宋体" w:cs="宋体"/>
      <w:kern w:val="0"/>
      <w:sz w:val="24"/>
    </w:rPr>
  </w:style>
  <w:style w:type="paragraph" w:customStyle="1" w:styleId="129">
    <w:name w:val="xl7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76" w:lineRule="auto"/>
      <w:jc w:val="left"/>
    </w:pPr>
    <w:rPr>
      <w:rFonts w:ascii="宋体" w:hAnsi="宋体" w:cs="宋体"/>
      <w:kern w:val="0"/>
      <w:sz w:val="24"/>
    </w:rPr>
  </w:style>
  <w:style w:type="paragraph" w:customStyle="1" w:styleId="130">
    <w:name w:val="xl80"/>
    <w:basedOn w:val="1"/>
    <w:qFormat/>
    <w:uiPriority w:val="0"/>
    <w:pPr>
      <w:widowControl/>
      <w:pBdr>
        <w:top w:val="single" w:color="auto" w:sz="4" w:space="0"/>
        <w:left w:val="single" w:color="auto" w:sz="4" w:space="0"/>
        <w:bottom w:val="single" w:color="auto" w:sz="4" w:space="0"/>
      </w:pBdr>
      <w:spacing w:before="100" w:beforeAutospacing="1" w:after="100" w:afterAutospacing="1" w:line="276" w:lineRule="auto"/>
      <w:jc w:val="center"/>
    </w:pPr>
    <w:rPr>
      <w:rFonts w:ascii="宋体" w:hAnsi="宋体" w:cs="宋体"/>
      <w:kern w:val="0"/>
      <w:sz w:val="24"/>
    </w:rPr>
  </w:style>
  <w:style w:type="paragraph" w:customStyle="1" w:styleId="131">
    <w:name w:val="xl81"/>
    <w:basedOn w:val="1"/>
    <w:qFormat/>
    <w:uiPriority w:val="0"/>
    <w:pPr>
      <w:widowControl/>
      <w:spacing w:before="100" w:beforeAutospacing="1" w:after="100" w:afterAutospacing="1" w:line="276" w:lineRule="auto"/>
      <w:jc w:val="left"/>
    </w:pPr>
    <w:rPr>
      <w:rFonts w:ascii="宋体" w:hAnsi="宋体" w:cs="宋体"/>
      <w:kern w:val="0"/>
      <w:sz w:val="24"/>
    </w:rPr>
  </w:style>
  <w:style w:type="paragraph" w:customStyle="1" w:styleId="132">
    <w:name w:val="xl82"/>
    <w:basedOn w:val="1"/>
    <w:qFormat/>
    <w:uiPriority w:val="0"/>
    <w:pPr>
      <w:widowControl/>
      <w:spacing w:before="100" w:beforeAutospacing="1" w:after="100" w:afterAutospacing="1" w:line="276" w:lineRule="auto"/>
      <w:jc w:val="center"/>
    </w:pPr>
    <w:rPr>
      <w:rFonts w:ascii="方正小标宋_GBK" w:hAnsi="宋体" w:eastAsia="方正小标宋_GBK" w:cs="宋体"/>
      <w:kern w:val="0"/>
      <w:sz w:val="40"/>
      <w:szCs w:val="40"/>
    </w:rPr>
  </w:style>
  <w:style w:type="paragraph" w:customStyle="1" w:styleId="133">
    <w:name w:val="xl83"/>
    <w:basedOn w:val="1"/>
    <w:qFormat/>
    <w:uiPriority w:val="0"/>
    <w:pPr>
      <w:widowControl/>
      <w:pBdr>
        <w:top w:val="single" w:color="auto" w:sz="4" w:space="0"/>
        <w:left w:val="single" w:color="auto" w:sz="4" w:space="0"/>
        <w:bottom w:val="single" w:color="auto" w:sz="4" w:space="0"/>
      </w:pBdr>
      <w:spacing w:before="100" w:beforeAutospacing="1" w:after="100" w:afterAutospacing="1" w:line="276" w:lineRule="auto"/>
      <w:jc w:val="center"/>
    </w:pPr>
    <w:rPr>
      <w:rFonts w:ascii="方正黑体_GBK" w:hAnsi="宋体" w:eastAsia="方正黑体_GBK" w:cs="宋体"/>
      <w:kern w:val="0"/>
      <w:sz w:val="28"/>
      <w:szCs w:val="28"/>
    </w:rPr>
  </w:style>
  <w:style w:type="paragraph" w:customStyle="1" w:styleId="134">
    <w:name w:val="xl84"/>
    <w:basedOn w:val="1"/>
    <w:qFormat/>
    <w:uiPriority w:val="0"/>
    <w:pPr>
      <w:widowControl/>
      <w:pBdr>
        <w:top w:val="single" w:color="auto" w:sz="4" w:space="0"/>
        <w:bottom w:val="single" w:color="auto" w:sz="4" w:space="0"/>
        <w:right w:val="single" w:color="auto" w:sz="4" w:space="0"/>
      </w:pBdr>
      <w:spacing w:before="100" w:beforeAutospacing="1" w:after="100" w:afterAutospacing="1" w:line="276" w:lineRule="auto"/>
      <w:jc w:val="center"/>
    </w:pPr>
    <w:rPr>
      <w:rFonts w:ascii="方正黑体_GBK" w:hAnsi="宋体" w:eastAsia="方正黑体_GBK" w:cs="宋体"/>
      <w:kern w:val="0"/>
      <w:sz w:val="28"/>
      <w:szCs w:val="28"/>
    </w:rPr>
  </w:style>
  <w:style w:type="paragraph" w:customStyle="1" w:styleId="135">
    <w:name w:val="xl85"/>
    <w:basedOn w:val="1"/>
    <w:qFormat/>
    <w:uiPriority w:val="0"/>
    <w:pPr>
      <w:widowControl/>
      <w:pBdr>
        <w:top w:val="single" w:color="auto" w:sz="4" w:space="0"/>
        <w:left w:val="single" w:color="auto" w:sz="4" w:space="0"/>
        <w:right w:val="single" w:color="auto" w:sz="4" w:space="0"/>
      </w:pBdr>
      <w:spacing w:before="100" w:beforeAutospacing="1" w:after="100" w:afterAutospacing="1" w:line="276" w:lineRule="auto"/>
      <w:jc w:val="center"/>
    </w:pPr>
    <w:rPr>
      <w:rFonts w:ascii="方正黑体_GBK" w:hAnsi="宋体" w:eastAsia="方正黑体_GBK" w:cs="宋体"/>
      <w:kern w:val="0"/>
      <w:sz w:val="28"/>
      <w:szCs w:val="28"/>
    </w:rPr>
  </w:style>
  <w:style w:type="paragraph" w:customStyle="1" w:styleId="136">
    <w:name w:val="xl86"/>
    <w:basedOn w:val="1"/>
    <w:qFormat/>
    <w:uiPriority w:val="0"/>
    <w:pPr>
      <w:widowControl/>
      <w:pBdr>
        <w:left w:val="single" w:color="auto" w:sz="4" w:space="0"/>
        <w:bottom w:val="single" w:color="auto" w:sz="4" w:space="0"/>
        <w:right w:val="single" w:color="auto" w:sz="4" w:space="0"/>
      </w:pBdr>
      <w:spacing w:before="100" w:beforeAutospacing="1" w:after="100" w:afterAutospacing="1" w:line="276" w:lineRule="auto"/>
      <w:jc w:val="center"/>
    </w:pPr>
    <w:rPr>
      <w:rFonts w:ascii="方正黑体_GBK" w:hAnsi="宋体" w:eastAsia="方正黑体_GBK" w:cs="宋体"/>
      <w:kern w:val="0"/>
      <w:sz w:val="28"/>
      <w:szCs w:val="28"/>
    </w:rPr>
  </w:style>
  <w:style w:type="paragraph" w:customStyle="1" w:styleId="137">
    <w:name w:val="xl87"/>
    <w:basedOn w:val="1"/>
    <w:qFormat/>
    <w:uiPriority w:val="0"/>
    <w:pPr>
      <w:widowControl/>
      <w:pBdr>
        <w:top w:val="single" w:color="auto" w:sz="4" w:space="0"/>
        <w:left w:val="single" w:color="auto" w:sz="4" w:space="0"/>
        <w:right w:val="single" w:color="auto" w:sz="4" w:space="0"/>
      </w:pBdr>
      <w:spacing w:before="100" w:beforeAutospacing="1" w:after="100" w:afterAutospacing="1" w:line="276" w:lineRule="auto"/>
      <w:jc w:val="center"/>
    </w:pPr>
    <w:rPr>
      <w:rFonts w:ascii="宋体" w:hAnsi="宋体" w:cs="宋体"/>
      <w:kern w:val="0"/>
      <w:sz w:val="24"/>
    </w:rPr>
  </w:style>
  <w:style w:type="paragraph" w:customStyle="1" w:styleId="138">
    <w:name w:val="xl88"/>
    <w:basedOn w:val="1"/>
    <w:qFormat/>
    <w:uiPriority w:val="0"/>
    <w:pPr>
      <w:widowControl/>
      <w:pBdr>
        <w:left w:val="single" w:color="auto" w:sz="4" w:space="0"/>
        <w:right w:val="single" w:color="auto" w:sz="4" w:space="0"/>
      </w:pBdr>
      <w:spacing w:before="100" w:beforeAutospacing="1" w:after="100" w:afterAutospacing="1" w:line="276" w:lineRule="auto"/>
      <w:jc w:val="center"/>
    </w:pPr>
    <w:rPr>
      <w:rFonts w:ascii="宋体" w:hAnsi="宋体" w:cs="宋体"/>
      <w:kern w:val="0"/>
      <w:sz w:val="24"/>
    </w:rPr>
  </w:style>
  <w:style w:type="paragraph" w:customStyle="1" w:styleId="139">
    <w:name w:val="xl89"/>
    <w:basedOn w:val="1"/>
    <w:qFormat/>
    <w:uiPriority w:val="0"/>
    <w:pPr>
      <w:widowControl/>
      <w:pBdr>
        <w:left w:val="single" w:color="auto" w:sz="4" w:space="0"/>
        <w:bottom w:val="single" w:color="auto" w:sz="4" w:space="0"/>
        <w:right w:val="single" w:color="auto" w:sz="4" w:space="0"/>
      </w:pBdr>
      <w:spacing w:before="100" w:beforeAutospacing="1" w:after="100" w:afterAutospacing="1" w:line="276" w:lineRule="auto"/>
      <w:jc w:val="center"/>
    </w:pPr>
    <w:rPr>
      <w:rFonts w:ascii="宋体" w:hAnsi="宋体" w:cs="宋体"/>
      <w:kern w:val="0"/>
      <w:sz w:val="20"/>
      <w:szCs w:val="20"/>
    </w:rPr>
  </w:style>
  <w:style w:type="character" w:customStyle="1" w:styleId="140">
    <w:name w:val="正文缩进 字符"/>
    <w:link w:val="11"/>
    <w:qFormat/>
    <w:uiPriority w:val="0"/>
    <w:rPr>
      <w:rFonts w:ascii="Calibri" w:hAnsi="Calibri" w:eastAsia="宋体" w:cs="Times New Roman"/>
      <w:kern w:val="2"/>
      <w:sz w:val="21"/>
    </w:rPr>
  </w:style>
  <w:style w:type="paragraph" w:customStyle="1" w:styleId="141">
    <w:name w:val="样式 标题 2 + Times New Roman 四号 非加粗 段前: 5 磅 段后: 0 磅 行距: 固定值 20..."/>
    <w:basedOn w:val="3"/>
    <w:qFormat/>
    <w:uiPriority w:val="0"/>
    <w:pPr>
      <w:keepNext/>
      <w:keepLines/>
      <w:spacing w:before="100" w:line="400" w:lineRule="exact"/>
    </w:pPr>
    <w:rPr>
      <w:rFonts w:ascii="Times New Roman" w:hAnsi="Times New Roman" w:cs="宋体"/>
      <w:b w:val="0"/>
      <w:bCs w:val="0"/>
      <w:color w:val="000000" w:themeColor="text1"/>
      <w:sz w:val="24"/>
      <w:szCs w:val="20"/>
      <w14:textFill>
        <w14:solidFill>
          <w14:schemeClr w14:val="tx1"/>
        </w14:solidFill>
      </w14:textFill>
    </w:rPr>
  </w:style>
  <w:style w:type="paragraph" w:customStyle="1" w:styleId="142">
    <w:name w:val="reader-word-layer reader-word-s13-2"/>
    <w:basedOn w:val="1"/>
    <w:qFormat/>
    <w:uiPriority w:val="0"/>
    <w:pPr>
      <w:widowControl/>
      <w:spacing w:before="100" w:beforeAutospacing="1" w:after="100" w:afterAutospacing="1" w:line="276" w:lineRule="auto"/>
      <w:jc w:val="left"/>
    </w:pPr>
    <w:rPr>
      <w:rFonts w:ascii="宋体" w:hAnsi="宋体" w:cs="宋体"/>
      <w:kern w:val="0"/>
      <w:sz w:val="24"/>
    </w:rPr>
  </w:style>
  <w:style w:type="paragraph" w:customStyle="1" w:styleId="143">
    <w:name w:val="正文11"/>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44">
    <w:name w:val="三级标题"/>
    <w:basedOn w:val="4"/>
    <w:next w:val="16"/>
    <w:qFormat/>
    <w:uiPriority w:val="0"/>
    <w:pPr>
      <w:keepNext/>
      <w:keepLines/>
      <w:widowControl/>
      <w:numPr>
        <w:ilvl w:val="0"/>
        <w:numId w:val="0"/>
      </w:numPr>
      <w:tabs>
        <w:tab w:val="left" w:pos="1505"/>
        <w:tab w:val="clear" w:pos="900"/>
        <w:tab w:val="clear" w:pos="1588"/>
      </w:tabs>
      <w:topLinePunct/>
      <w:adjustRightInd/>
      <w:spacing w:before="260" w:after="260" w:line="416" w:lineRule="auto"/>
      <w:ind w:left="720" w:firstLine="200" w:firstLineChars="200"/>
      <w:jc w:val="left"/>
      <w:textAlignment w:val="auto"/>
    </w:pPr>
    <w:rPr>
      <w:rFonts w:ascii="Times New Roman" w:hAnsi="Times New Roman" w:eastAsia="宋体"/>
      <w:bCs/>
      <w:sz w:val="24"/>
      <w:szCs w:val="32"/>
    </w:rPr>
  </w:style>
  <w:style w:type="paragraph" w:customStyle="1" w:styleId="145">
    <w:name w:val="TOC 标题1"/>
    <w:basedOn w:val="2"/>
    <w:next w:val="1"/>
    <w:qFormat/>
    <w:uiPriority w:val="0"/>
    <w:pPr>
      <w:pageBreakBefore w:val="0"/>
      <w:widowControl/>
      <w:tabs>
        <w:tab w:val="left" w:pos="432"/>
      </w:tabs>
      <w:spacing w:before="480" w:line="276" w:lineRule="auto"/>
      <w:jc w:val="left"/>
      <w:outlineLvl w:val="9"/>
    </w:pPr>
    <w:rPr>
      <w:rFonts w:ascii="Cambria" w:hAnsi="Cambria"/>
      <w:color w:val="365F91"/>
      <w:kern w:val="0"/>
      <w:sz w:val="28"/>
      <w:szCs w:val="28"/>
    </w:rPr>
  </w:style>
  <w:style w:type="paragraph" w:customStyle="1" w:styleId="146">
    <w:name w:val="列出段落1"/>
    <w:basedOn w:val="1"/>
    <w:qFormat/>
    <w:uiPriority w:val="99"/>
    <w:pPr>
      <w:spacing w:after="200" w:line="276" w:lineRule="auto"/>
      <w:ind w:firstLine="420" w:firstLineChars="200"/>
    </w:pPr>
    <w:rPr>
      <w:rFonts w:ascii="Times New Roman" w:hAnsi="Times New Roman"/>
      <w:szCs w:val="20"/>
    </w:rPr>
  </w:style>
  <w:style w:type="paragraph" w:customStyle="1" w:styleId="147">
    <w:name w:val="Table Paragraph"/>
    <w:basedOn w:val="1"/>
    <w:qFormat/>
    <w:uiPriority w:val="1"/>
    <w:pPr>
      <w:spacing w:after="200" w:line="276" w:lineRule="auto"/>
    </w:pPr>
    <w:rPr>
      <w:rFonts w:ascii="Times New Roman" w:hAnsi="Times New Roman"/>
      <w:szCs w:val="20"/>
    </w:rPr>
  </w:style>
  <w:style w:type="paragraph" w:customStyle="1" w:styleId="148">
    <w:name w:val="11"/>
    <w:next w:val="1"/>
    <w:qFormat/>
    <w:uiPriority w:val="0"/>
    <w:pPr>
      <w:tabs>
        <w:tab w:val="left" w:pos="0"/>
        <w:tab w:val="left" w:pos="567"/>
      </w:tabs>
      <w:spacing w:line="360" w:lineRule="auto"/>
      <w:jc w:val="both"/>
    </w:pPr>
    <w:rPr>
      <w:rFonts w:ascii="宋体" w:hAnsi="宋体" w:eastAsia="宋体" w:cs="Times New Roman"/>
      <w:b/>
      <w:bCs/>
      <w:color w:val="000000" w:themeColor="text1"/>
      <w:sz w:val="21"/>
      <w:szCs w:val="32"/>
      <w:lang w:val="en-US" w:eastAsia="zh-CN" w:bidi="ar-SA"/>
      <w14:textFill>
        <w14:solidFill>
          <w14:schemeClr w14:val="tx1"/>
        </w14:solidFill>
      </w14:textFill>
    </w:rPr>
  </w:style>
  <w:style w:type="paragraph" w:customStyle="1" w:styleId="149">
    <w:name w:val="table"/>
    <w:qFormat/>
    <w:uiPriority w:val="0"/>
    <w:pPr>
      <w:adjustRightInd w:val="0"/>
      <w:snapToGrid w:val="0"/>
    </w:pPr>
    <w:rPr>
      <w:rFonts w:ascii="宋体" w:hAnsi="Calibri" w:eastAsia="宋体" w:cs="黑体"/>
      <w:kern w:val="2"/>
      <w:sz w:val="24"/>
      <w:szCs w:val="22"/>
      <w:lang w:val="en-US" w:eastAsia="zh-CN" w:bidi="ar-SA"/>
    </w:rPr>
  </w:style>
  <w:style w:type="paragraph" w:customStyle="1" w:styleId="150">
    <w:name w:val="通用标题2"/>
    <w:basedOn w:val="3"/>
    <w:next w:val="1"/>
    <w:qFormat/>
    <w:uiPriority w:val="0"/>
    <w:pPr>
      <w:widowControl/>
      <w:numPr>
        <w:ilvl w:val="0"/>
        <w:numId w:val="2"/>
      </w:numPr>
      <w:tabs>
        <w:tab w:val="left" w:pos="0"/>
        <w:tab w:val="left" w:pos="993"/>
      </w:tabs>
      <w:outlineLvl w:val="9"/>
    </w:pPr>
    <w:rPr>
      <w:rFonts w:ascii="宋体" w:hAnsi="宋体"/>
      <w:color w:val="000000" w:themeColor="text1"/>
      <w:kern w:val="0"/>
      <w:sz w:val="21"/>
      <w:szCs w:val="32"/>
      <w14:textFill>
        <w14:solidFill>
          <w14:schemeClr w14:val="tx1"/>
        </w14:solidFill>
      </w14:textFill>
    </w:rPr>
  </w:style>
  <w:style w:type="paragraph" w:customStyle="1" w:styleId="151">
    <w:name w:val="通用标题3"/>
    <w:next w:val="1"/>
    <w:qFormat/>
    <w:uiPriority w:val="0"/>
    <w:pPr>
      <w:widowControl w:val="0"/>
      <w:numPr>
        <w:ilvl w:val="1"/>
        <w:numId w:val="2"/>
      </w:numPr>
      <w:tabs>
        <w:tab w:val="left" w:pos="709"/>
      </w:tabs>
      <w:adjustRightInd w:val="0"/>
      <w:snapToGrid w:val="0"/>
      <w:spacing w:afterLines="50" w:line="360" w:lineRule="auto"/>
      <w:ind w:firstLine="482" w:firstLineChars="200"/>
      <w:jc w:val="both"/>
      <w:outlineLvl w:val="2"/>
    </w:pPr>
    <w:rPr>
      <w:rFonts w:ascii="宋体" w:hAnsi="宋体" w:eastAsia="宋体" w:cs="黑体"/>
      <w:b/>
      <w:kern w:val="2"/>
      <w:sz w:val="24"/>
      <w:szCs w:val="24"/>
      <w:lang w:val="en-US" w:eastAsia="zh-CN" w:bidi="ar-SA"/>
    </w:rPr>
  </w:style>
  <w:style w:type="paragraph" w:customStyle="1" w:styleId="152">
    <w:name w:val="通用标题4"/>
    <w:next w:val="1"/>
    <w:qFormat/>
    <w:uiPriority w:val="0"/>
    <w:pPr>
      <w:widowControl w:val="0"/>
      <w:numPr>
        <w:ilvl w:val="2"/>
        <w:numId w:val="2"/>
      </w:numPr>
      <w:tabs>
        <w:tab w:val="left" w:pos="709"/>
      </w:tabs>
      <w:adjustRightInd w:val="0"/>
      <w:snapToGrid w:val="0"/>
      <w:spacing w:afterLines="50" w:line="360" w:lineRule="auto"/>
      <w:ind w:left="0" w:firstLine="480" w:firstLineChars="200"/>
      <w:jc w:val="both"/>
      <w:outlineLvl w:val="3"/>
    </w:pPr>
    <w:rPr>
      <w:rFonts w:ascii="宋体" w:hAnsi="宋体" w:eastAsia="宋体" w:cs="黑体"/>
      <w:kern w:val="2"/>
      <w:sz w:val="24"/>
      <w:szCs w:val="24"/>
      <w:lang w:val="en-US" w:eastAsia="zh-CN" w:bidi="ar-SA"/>
    </w:rPr>
  </w:style>
  <w:style w:type="paragraph" w:customStyle="1" w:styleId="153">
    <w:name w:val="通用标题5"/>
    <w:qFormat/>
    <w:uiPriority w:val="0"/>
    <w:pPr>
      <w:widowControl w:val="0"/>
      <w:numPr>
        <w:ilvl w:val="3"/>
        <w:numId w:val="2"/>
      </w:numPr>
      <w:tabs>
        <w:tab w:val="left" w:pos="1134"/>
      </w:tabs>
      <w:kinsoku w:val="0"/>
      <w:overflowPunct w:val="0"/>
      <w:autoSpaceDE w:val="0"/>
      <w:autoSpaceDN w:val="0"/>
      <w:adjustRightInd w:val="0"/>
      <w:snapToGrid w:val="0"/>
      <w:spacing w:afterLines="50" w:line="360" w:lineRule="auto"/>
      <w:ind w:left="0" w:firstLine="425" w:firstLineChars="177"/>
      <w:jc w:val="both"/>
    </w:pPr>
    <w:rPr>
      <w:rFonts w:ascii="宋体" w:hAnsi="宋体" w:eastAsia="宋体" w:cs="Times New Roman"/>
      <w:kern w:val="2"/>
      <w:sz w:val="24"/>
      <w:szCs w:val="24"/>
      <w:lang w:val="en-US" w:eastAsia="zh-CN" w:bidi="ar-SA"/>
    </w:rPr>
  </w:style>
  <w:style w:type="paragraph" w:customStyle="1" w:styleId="154">
    <w:name w:val="专用标题2"/>
    <w:basedOn w:val="3"/>
    <w:next w:val="1"/>
    <w:qFormat/>
    <w:uiPriority w:val="0"/>
    <w:pPr>
      <w:keepNext/>
      <w:keepLines/>
      <w:widowControl/>
      <w:numPr>
        <w:ilvl w:val="0"/>
        <w:numId w:val="3"/>
      </w:numPr>
      <w:tabs>
        <w:tab w:val="left" w:pos="993"/>
      </w:tabs>
      <w:outlineLvl w:val="9"/>
    </w:pPr>
    <w:rPr>
      <w:rFonts w:ascii="宋体" w:hAnsi="宋体" w:cs="Times"/>
      <w:color w:val="000000" w:themeColor="text1"/>
      <w:kern w:val="0"/>
      <w:sz w:val="21"/>
      <w:szCs w:val="32"/>
      <w14:textFill>
        <w14:solidFill>
          <w14:schemeClr w14:val="tx1"/>
        </w14:solidFill>
      </w14:textFill>
    </w:rPr>
  </w:style>
  <w:style w:type="paragraph" w:customStyle="1" w:styleId="155">
    <w:name w:val="纯文本1"/>
    <w:qFormat/>
    <w:uiPriority w:val="0"/>
    <w:pPr>
      <w:adjustRightInd w:val="0"/>
      <w:snapToGrid w:val="0"/>
      <w:spacing w:afterLines="50" w:line="360" w:lineRule="auto"/>
      <w:jc w:val="both"/>
    </w:pPr>
    <w:rPr>
      <w:rFonts w:ascii="宋体" w:hAnsi="宋体" w:eastAsia="宋体" w:cs="宋体"/>
      <w:kern w:val="2"/>
      <w:sz w:val="24"/>
      <w:szCs w:val="24"/>
      <w:lang w:val="en-US" w:eastAsia="zh-CN" w:bidi="ar-SA"/>
    </w:rPr>
  </w:style>
  <w:style w:type="paragraph" w:customStyle="1" w:styleId="156">
    <w:name w:val="Normal Indent1"/>
    <w:basedOn w:val="1"/>
    <w:qFormat/>
    <w:uiPriority w:val="99"/>
    <w:pPr>
      <w:spacing w:after="200" w:line="276" w:lineRule="auto"/>
      <w:ind w:firstLine="420" w:firstLineChars="200"/>
    </w:pPr>
    <w:rPr>
      <w:rFonts w:ascii="Times New Roman" w:hAnsi="Times New Roman"/>
      <w:szCs w:val="20"/>
    </w:rPr>
  </w:style>
  <w:style w:type="character" w:customStyle="1" w:styleId="157">
    <w:name w:val="页脚 字符1"/>
    <w:qFormat/>
    <w:uiPriority w:val="99"/>
    <w:rPr>
      <w:kern w:val="2"/>
      <w:sz w:val="18"/>
      <w:szCs w:val="18"/>
    </w:rPr>
  </w:style>
  <w:style w:type="character" w:customStyle="1" w:styleId="158">
    <w:name w:val="未处理的提及2_0"/>
    <w:basedOn w:val="39"/>
    <w:semiHidden/>
    <w:unhideWhenUsed/>
    <w:qFormat/>
    <w:uiPriority w:val="99"/>
    <w:rPr>
      <w:color w:val="605E5C"/>
      <w:shd w:val="clear" w:color="auto" w:fill="E1DFDD"/>
    </w:rPr>
  </w:style>
  <w:style w:type="character" w:customStyle="1" w:styleId="159">
    <w:name w:val="列表段落 字符"/>
    <w:link w:val="56"/>
    <w:qFormat/>
    <w:uiPriority w:val="99"/>
    <w:rPr>
      <w:rFonts w:ascii="Calibri" w:hAnsi="Calibri" w:eastAsia="宋体" w:cs="Times New Roman"/>
      <w:kern w:val="2"/>
      <w:sz w:val="21"/>
      <w:szCs w:val="24"/>
    </w:rPr>
  </w:style>
  <w:style w:type="character" w:customStyle="1" w:styleId="160">
    <w:name w:val="正文文本首行缩进 字符"/>
    <w:basedOn w:val="64"/>
    <w:link w:val="35"/>
    <w:qFormat/>
    <w:uiPriority w:val="99"/>
    <w:rPr>
      <w:rFonts w:ascii="金山简黑体" w:hAnsi="金山简黑体" w:eastAsia="金山简黑体" w:cs="Times New Roman"/>
      <w:spacing w:val="-8"/>
      <w:kern w:val="2"/>
      <w:sz w:val="44"/>
    </w:rPr>
  </w:style>
  <w:style w:type="character" w:customStyle="1" w:styleId="161">
    <w:name w:val="标题 2 Char Char Char"/>
    <w:qFormat/>
    <w:uiPriority w:val="99"/>
    <w:rPr>
      <w:rFonts w:ascii="Arial" w:hAnsi="Arial" w:eastAsia="黑体" w:cs="Arial"/>
      <w:b/>
      <w:bCs/>
      <w:kern w:val="2"/>
      <w:sz w:val="32"/>
      <w:szCs w:val="32"/>
      <w:lang w:val="en-US" w:eastAsia="zh-CN"/>
    </w:rPr>
  </w:style>
  <w:style w:type="character" w:customStyle="1" w:styleId="162">
    <w:name w:val="font41"/>
    <w:basedOn w:val="39"/>
    <w:qFormat/>
    <w:uiPriority w:val="0"/>
    <w:rPr>
      <w:rFonts w:hint="eastAsia" w:ascii="宋体" w:hAnsi="宋体" w:eastAsia="宋体" w:cs="宋体"/>
      <w:b/>
      <w:bCs/>
      <w:color w:val="000000"/>
      <w:sz w:val="20"/>
      <w:szCs w:val="20"/>
      <w:u w:val="none"/>
    </w:rPr>
  </w:style>
  <w:style w:type="character" w:customStyle="1" w:styleId="163">
    <w:name w:val="font31"/>
    <w:basedOn w:val="39"/>
    <w:qFormat/>
    <w:uiPriority w:val="0"/>
    <w:rPr>
      <w:rFonts w:hint="eastAsia" w:ascii="宋体" w:hAnsi="宋体" w:eastAsia="宋体" w:cs="宋体"/>
      <w:color w:val="000000"/>
      <w:sz w:val="20"/>
      <w:szCs w:val="20"/>
      <w:u w:val="none"/>
    </w:rPr>
  </w:style>
  <w:style w:type="character" w:customStyle="1" w:styleId="164">
    <w:name w:val="font21"/>
    <w:basedOn w:val="39"/>
    <w:qFormat/>
    <w:uiPriority w:val="0"/>
    <w:rPr>
      <w:rFonts w:hint="default" w:ascii="Times New Roman" w:hAnsi="Times New Roman" w:cs="Times New Roman"/>
      <w:color w:val="000000"/>
      <w:sz w:val="20"/>
      <w:szCs w:val="20"/>
      <w:u w:val="none"/>
    </w:rPr>
  </w:style>
  <w:style w:type="table" w:customStyle="1" w:styleId="165">
    <w:name w:val="Table Normal_0"/>
    <w:semiHidden/>
    <w:unhideWhenUsed/>
    <w:qFormat/>
    <w:uiPriority w:val="2"/>
    <w:tblPr>
      <w:tblCellMar>
        <w:top w:w="0" w:type="dxa"/>
        <w:left w:w="0" w:type="dxa"/>
        <w:bottom w:w="0" w:type="dxa"/>
        <w:right w:w="0" w:type="dxa"/>
      </w:tblCellMar>
    </w:tblPr>
  </w:style>
  <w:style w:type="paragraph" w:customStyle="1" w:styleId="166">
    <w:name w:val="标题 21"/>
    <w:basedOn w:val="1"/>
    <w:qFormat/>
    <w:uiPriority w:val="1"/>
    <w:pPr>
      <w:ind w:left="501" w:hanging="401"/>
      <w:outlineLvl w:val="2"/>
    </w:pPr>
    <w:rPr>
      <w:rFonts w:ascii="Microsoft JhengHei" w:hAnsi="Microsoft JhengHei" w:eastAsia="Microsoft JhengHei" w:cs="Microsoft JhengHei"/>
      <w:b/>
      <w:bCs/>
      <w:sz w:val="32"/>
      <w:szCs w:val="32"/>
    </w:rPr>
  </w:style>
  <w:style w:type="paragraph" w:customStyle="1" w:styleId="167">
    <w:name w:val="标题 31"/>
    <w:basedOn w:val="1"/>
    <w:qFormat/>
    <w:uiPriority w:val="1"/>
    <w:pPr>
      <w:ind w:left="726" w:hanging="489"/>
      <w:outlineLvl w:val="3"/>
    </w:pPr>
    <w:rPr>
      <w:sz w:val="28"/>
      <w:szCs w:val="28"/>
    </w:rPr>
  </w:style>
  <w:style w:type="paragraph" w:customStyle="1" w:styleId="168">
    <w:name w:val="p1"/>
    <w:basedOn w:val="1"/>
    <w:qFormat/>
    <w:uiPriority w:val="0"/>
    <w:pPr>
      <w:widowControl/>
      <w:spacing w:line="480" w:lineRule="auto"/>
      <w:jc w:val="center"/>
    </w:pPr>
    <w:rPr>
      <w:sz w:val="28"/>
      <w:szCs w:val="28"/>
    </w:rPr>
  </w:style>
  <w:style w:type="paragraph" w:customStyle="1" w:styleId="169">
    <w:name w:val="表格"/>
    <w:basedOn w:val="1"/>
    <w:qFormat/>
    <w:uiPriority w:val="0"/>
    <w:pPr>
      <w:jc w:val="center"/>
    </w:pPr>
  </w:style>
  <w:style w:type="paragraph" w:customStyle="1" w:styleId="170">
    <w:name w:val="*正文"/>
    <w:basedOn w:val="1"/>
    <w:qFormat/>
    <w:uiPriority w:val="0"/>
    <w:pPr>
      <w:widowControl/>
      <w:spacing w:line="360" w:lineRule="auto"/>
      <w:ind w:firstLine="200" w:firstLineChars="200"/>
      <w:jc w:val="left"/>
    </w:pPr>
    <w:rPr>
      <w:rFonts w:ascii="Courier New" w:hAnsi="Courier New"/>
      <w:sz w:val="24"/>
    </w:rPr>
  </w:style>
  <w:style w:type="paragraph" w:customStyle="1" w:styleId="171">
    <w:name w:val="Revision"/>
    <w:hidden/>
    <w:unhideWhenUsed/>
    <w:qFormat/>
    <w:uiPriority w:val="99"/>
    <w:rPr>
      <w:rFonts w:ascii="Calibri" w:hAnsi="Calibri" w:eastAsia="宋体" w:cs="Times New Roman"/>
      <w:kern w:val="2"/>
      <w:sz w:val="21"/>
      <w:szCs w:val="24"/>
      <w:lang w:val="en-US" w:eastAsia="zh-CN" w:bidi="ar-SA"/>
    </w:rPr>
  </w:style>
  <w:style w:type="paragraph" w:customStyle="1" w:styleId="172">
    <w:name w:val="样式 样式 首行缩进:  2.57 字符 + 首行缩进:  2.57 字符"/>
    <w:basedOn w:val="1"/>
    <w:qFormat/>
    <w:uiPriority w:val="0"/>
    <w:pPr>
      <w:spacing w:line="360" w:lineRule="auto"/>
      <w:ind w:firstLine="771" w:firstLineChars="257"/>
    </w:pPr>
    <w:rPr>
      <w:rFonts w:eastAsia="仿宋" w:cs="宋体"/>
      <w:sz w:val="30"/>
      <w:szCs w:val="30"/>
    </w:rPr>
  </w:style>
  <w:style w:type="character" w:customStyle="1" w:styleId="173">
    <w:name w:val="标题 2 字符1"/>
    <w:basedOn w:val="39"/>
    <w:link w:val="3"/>
    <w:qFormat/>
    <w:locked/>
    <w:uiPriority w:val="99"/>
    <w:rPr>
      <w:rFonts w:ascii="Calibri" w:hAnsi="Calibri" w:eastAsia="黑体" w:cs="Calibri"/>
      <w:b/>
      <w:bCs/>
      <w:kern w:val="0"/>
      <w:sz w:val="28"/>
      <w:szCs w:val="28"/>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53</Pages>
  <Words>15749</Words>
  <Characters>16956</Characters>
  <Lines>317</Lines>
  <Paragraphs>89</Paragraphs>
  <TotalTime>13</TotalTime>
  <ScaleCrop>false</ScaleCrop>
  <LinksUpToDate>false</LinksUpToDate>
  <CharactersWithSpaces>17450</CharactersWithSpaces>
  <Application>WPS Office_12.1.0.15120_F1E327BC-269C-435d-A152-05C5408002CA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2022-08-30T01:50:00Z</dcterms:created>
  <dc:creator>xh26600</dc:creator>
  <cp:lastModifiedBy>居然</cp:lastModifiedBy>
  <cp:lastPrinted>2024-12-30T01:47:00Z</cp:lastPrinted>
  <dcterms:modified xsi:type="dcterms:W3CDTF">2025-02-06T11:09:07Z</dcterms:modified>
  <cp:revision>66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B70135FCB2A448049A4E874CC4C676FA</vt:lpwstr>
  </property>
  <property fmtid="{D5CDD505-2E9C-101B-9397-08002B2CF9AE}" pid="3" name="KSOProductBuildVer">
    <vt:lpwstr>2052-12.1.0.15120</vt:lpwstr>
  </property>
  <property fmtid="{D5CDD505-2E9C-101B-9397-08002B2CF9AE}" pid="4" name="KSOTemplateDocerSaveRecord">
    <vt:lpwstr>eyJoZGlkIjoiZDhjNjAyNzE2MjVkYTYzMzM4OTU0MjhmNGUwM2FkOTYiLCJ1c2VySWQiOiI1MTMzMzY5MzMifQ==</vt:lpwstr>
  </property>
</Properties>
</file>