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版本号：N511601202500020320250910001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联影车载CT维保服务采购项目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N5116012025000203</w:t>
      </w:r>
    </w:p>
    <w:p>
      <w:pPr>
        <w:pStyle w:val="null3"/>
        <w:jc w:val="left"/>
        <w:outlineLvl w:val="2"/>
      </w:pPr>
      <w:r>
        <w:rPr>
          <w:rFonts w:ascii="仿宋_GB2312" w:hAnsi="仿宋_GB2312" w:cs="仿宋_GB2312" w:eastAsia="仿宋_GB2312"/>
          <w:sz w:val="28"/>
          <w:b/>
        </w:rPr>
        <w:t>广安市人民医院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广安市人民医院</w:t>
      </w:r>
      <w:r>
        <w:rPr>
          <w:rFonts w:ascii="仿宋_GB2312" w:hAnsi="仿宋_GB2312" w:cs="仿宋_GB2312" w:eastAsia="仿宋_GB2312"/>
        </w:rPr>
        <w:t xml:space="preserve"> 委托，拟对 </w:t>
      </w:r>
      <w:r>
        <w:rPr>
          <w:rFonts w:ascii="仿宋_GB2312" w:hAnsi="仿宋_GB2312" w:cs="仿宋_GB2312" w:eastAsia="仿宋_GB2312"/>
        </w:rPr>
        <w:t>联影车载CT维保服务采购项目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N5116012025000203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联影车载CT维保服务采购项目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8"/>
          <w:color w:val="000000"/>
        </w:rPr>
        <w:t>本项目共</w:t>
      </w:r>
      <w:r>
        <w:rPr>
          <w:rFonts w:ascii="仿宋_GB2312" w:hAnsi="仿宋_GB2312" w:cs="仿宋_GB2312" w:eastAsia="仿宋_GB2312"/>
          <w:sz w:val="28"/>
          <w:color w:val="000000"/>
        </w:rPr>
        <w:t>1个包，采购</w:t>
      </w:r>
      <w:r>
        <w:rPr>
          <w:rFonts w:ascii="仿宋_GB2312" w:hAnsi="仿宋_GB2312" w:cs="仿宋_GB2312" w:eastAsia="仿宋_GB2312"/>
          <w:sz w:val="28"/>
          <w:color w:val="000000"/>
        </w:rPr>
        <w:t>联影车载</w:t>
      </w:r>
      <w:r>
        <w:rPr>
          <w:rFonts w:ascii="仿宋_GB2312" w:hAnsi="仿宋_GB2312" w:cs="仿宋_GB2312" w:eastAsia="仿宋_GB2312"/>
          <w:sz w:val="28"/>
          <w:color w:val="000000"/>
        </w:rPr>
        <w:t>CT</w:t>
      </w:r>
      <w:r>
        <w:rPr>
          <w:rFonts w:ascii="仿宋_GB2312" w:hAnsi="仿宋_GB2312" w:cs="仿宋_GB2312" w:eastAsia="仿宋_GB2312"/>
          <w:sz w:val="28"/>
          <w:color w:val="000000"/>
        </w:rPr>
        <w:t>维保服务供应商一名</w:t>
      </w:r>
      <w:r>
        <w:rPr>
          <w:rFonts w:ascii="仿宋_GB2312" w:hAnsi="仿宋_GB2312" w:cs="仿宋_GB2312" w:eastAsia="仿宋_GB2312"/>
          <w:sz w:val="28"/>
          <w:color w:val="000000"/>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1、特定资格要求（描述：投标人须具有有效的《辐射安全许可证》（提供证书扫描件））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广安市滨河路四段一号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2600016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15528378790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本采购包履约保证金为合同金额的2.0%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收款单位：广安市人民医院</w:t>
              <w:br/>
              <w:t>开户行：中国工商银行广安市分行营业部</w:t>
              <w:br/>
              <w:t>银行账号：2316552109201022514</w:t>
              <w:br/>
              <w:t>纳税人识别号（社会信用代码）：12511300458612033M</w:t>
              <w:br/>
              <w:t>应注明（项目名称、项目编号）履约保证金。</w:t>
              <w:br/>
              <w:t>交款时间：中标、成交通知书发放后，政府采购合同签订前。</w:t>
              <w:br/>
              <w:t>履约保证金退还方式及时间：供应商凭验收合格证明书，通过转账方式退换履约保证金。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费率标准为（服务采购项目）下浮20%：中标金额100万元以下，费率1.5%；中标金额100-500万元，费率0.8%；中标金额500-1000万元，费率0.45%；中标金额1000-5000万元，费率0.25%；中标金额5000-10000万元，费率0.1%；中标金额10000-100000万元，费率0.05%；中标金额100000万元以上，费率0.01%。服务费不足6000元的，按6000元收取。 收款单位：四川国际招标有限责任公司 开户行：中国民生银行股份有限公司成都分行营业部 银行账号：9902001825754771 采购合同签订前向代理机构交纳招标代理服务费。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1、 验收条件说明： 第一年服务期满后，中标供应商提出验收申请 ，达到验收条件起 7 日内，验收合同总金额的 33%；</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2、 验收条件说明： 第二年服务期满后，中标供应商提出验收申请 ，达到验收条件起 7 日内，验收合同总金额的33%；</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3、 验收条件说明：第三年服务期满后，中标供应商提出验收申请 ，达到验收条件起 7 日内，验收合同总金额的34%；</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34</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（1）对供货商提供的资格条件证明文件等进行逐一核查，并做好验收记录。 （2）根据维保记录，并按照招标（采购）文件、投标（响应）文件、政府采购合同对供应商提供货物的维保技术条款以及国家标准、行业标准、地方标准等标准进行逐一核对、验收，并做好验收记录。</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（1）核查停机时间是否在合同规定期限内，超出停机时间是否进行经济赔偿； （2）核查维保时间是否结束。</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按照《财政部关于进一步加强政府采购需求和履约验收管理的指导意见》（财库〔2016〕205号）和《广安市政府采购项目履约验收工作规程》（广市财采〔2021〕275号）等政府采购相关法律法规的要求进行。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205号）和《广安市政府采购项目履约验收工作规程》（广市财采〔2021〕275号）等政府采购相关法律法规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联系电话：0826-2600016</w:t>
      </w:r>
    </w:p>
    <w:p>
      <w:pPr>
        <w:pStyle w:val="null3"/>
        <w:jc w:val="left"/>
      </w:pPr>
      <w:r>
        <w:rPr>
          <w:rFonts w:ascii="仿宋_GB2312" w:hAnsi="仿宋_GB2312" w:cs="仿宋_GB2312" w:eastAsia="仿宋_GB2312"/>
        </w:rPr>
        <w:t>地址：广安市滨河路四段一号</w:t>
      </w:r>
    </w:p>
    <w:p>
      <w:pPr>
        <w:pStyle w:val="null3"/>
        <w:jc w:val="left"/>
      </w:pPr>
      <w:r>
        <w:rPr>
          <w:rFonts w:ascii="仿宋_GB2312" w:hAnsi="仿宋_GB2312" w:cs="仿宋_GB2312" w:eastAsia="仿宋_GB2312"/>
        </w:rPr>
        <w:t>邮编：638500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联系电话：028-87797776（分机号：820/725）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联影车载CT维保服务</w:t>
            </w:r>
          </w:p>
        </w:tc>
        <w:tc>
          <w:tcPr>
            <w:tcW w:type="dxa" w:w="821"/>
          </w:tcPr>
          <w:p>
            <w:pPr>
              <w:pStyle w:val="null3"/>
              <w:jc w:val="right"/>
            </w:pPr>
            <w:r>
              <w:rPr>
                <w:rFonts w:ascii="仿宋_GB2312" w:hAnsi="仿宋_GB2312" w:cs="仿宋_GB2312" w:eastAsia="仿宋_GB2312"/>
              </w:rPr>
              <w:t>3.00（年）</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联影车载CT维保服务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标的名称：联影车载CT维保服务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30"/>
              <w:ind w:left="330" w:right="105"/>
              <w:jc w:val="left"/>
            </w:pPr>
            <w:r>
              <w:rPr>
                <w:rFonts w:ascii="仿宋_GB2312" w:hAnsi="仿宋_GB2312" w:cs="仿宋_GB2312" w:eastAsia="仿宋_GB2312"/>
                <w:sz w:val="20"/>
              </w:rPr>
              <w:t>★1</w:t>
            </w:r>
            <w:r>
              <w:rPr>
                <w:rFonts w:ascii="仿宋_GB2312" w:hAnsi="仿宋_GB2312" w:cs="仿宋_GB2312" w:eastAsia="仿宋_GB2312"/>
                <w:sz w:val="20"/>
              </w:rPr>
              <w:t>、维保设备品牌型号：</w:t>
            </w:r>
            <w:r>
              <w:rPr>
                <w:rFonts w:ascii="仿宋_GB2312" w:hAnsi="仿宋_GB2312" w:cs="仿宋_GB2312" w:eastAsia="仿宋_GB2312"/>
                <w:sz w:val="20"/>
              </w:rPr>
              <w:t>1套联影</w:t>
            </w:r>
            <w:r>
              <w:rPr>
                <w:rFonts w:ascii="仿宋_GB2312" w:hAnsi="仿宋_GB2312" w:cs="仿宋_GB2312" w:eastAsia="仿宋_GB2312"/>
                <w:sz w:val="20"/>
              </w:rPr>
              <w:t>uCT530+</w:t>
            </w:r>
            <w:r>
              <w:rPr>
                <w:rFonts w:ascii="仿宋_GB2312" w:hAnsi="仿宋_GB2312" w:cs="仿宋_GB2312" w:eastAsia="仿宋_GB2312"/>
                <w:sz w:val="20"/>
              </w:rPr>
              <w:t>车载</w:t>
            </w:r>
            <w:r>
              <w:rPr>
                <w:rFonts w:ascii="仿宋_GB2312" w:hAnsi="仿宋_GB2312" w:cs="仿宋_GB2312" w:eastAsia="仿宋_GB2312"/>
                <w:sz w:val="20"/>
              </w:rPr>
              <w:t>CT</w:t>
            </w:r>
            <w:r>
              <w:rPr>
                <w:rFonts w:ascii="仿宋_GB2312" w:hAnsi="仿宋_GB2312" w:cs="仿宋_GB2312" w:eastAsia="仿宋_GB2312"/>
                <w:sz w:val="20"/>
              </w:rPr>
              <w:t>，。服务内容：整机保修。包括球管、探测器、高压发生器、舱体、工作站等本机设备所有硬件和软件以及附属设备保修服务（车辆除外）。包括所有人工、维修所需的配件、保养、其所需耗材、安全检查、不定期安全升级等所有费用。旧件由供应商回收。</w:t>
            </w:r>
          </w:p>
          <w:p>
            <w:pPr>
              <w:pStyle w:val="null3"/>
              <w:spacing w:before="30"/>
              <w:ind w:left="330" w:right="105"/>
              <w:jc w:val="left"/>
            </w:pPr>
            <w:r>
              <w:rPr>
                <w:rFonts w:ascii="仿宋_GB2312" w:hAnsi="仿宋_GB2312" w:cs="仿宋_GB2312" w:eastAsia="仿宋_GB2312"/>
                <w:sz w:val="20"/>
              </w:rPr>
              <w:t>★2</w:t>
            </w:r>
            <w:r>
              <w:rPr>
                <w:rFonts w:ascii="仿宋_GB2312" w:hAnsi="仿宋_GB2312" w:cs="仿宋_GB2312" w:eastAsia="仿宋_GB2312"/>
                <w:sz w:val="20"/>
              </w:rPr>
              <w:t>、全年</w:t>
            </w:r>
            <w:r>
              <w:rPr>
                <w:rFonts w:ascii="仿宋_GB2312" w:hAnsi="仿宋_GB2312" w:cs="仿宋_GB2312" w:eastAsia="仿宋_GB2312"/>
                <w:sz w:val="20"/>
              </w:rPr>
              <w:t>365</w:t>
            </w:r>
            <w:r>
              <w:rPr>
                <w:rFonts w:ascii="仿宋_GB2312" w:hAnsi="仿宋_GB2312" w:cs="仿宋_GB2312" w:eastAsia="仿宋_GB2312"/>
                <w:sz w:val="20"/>
              </w:rPr>
              <w:t>天，</w:t>
            </w:r>
            <w:r>
              <w:rPr>
                <w:rFonts w:ascii="仿宋_GB2312" w:hAnsi="仿宋_GB2312" w:cs="仿宋_GB2312" w:eastAsia="仿宋_GB2312"/>
                <w:sz w:val="20"/>
              </w:rPr>
              <w:t>24</w:t>
            </w:r>
            <w:r>
              <w:rPr>
                <w:rFonts w:ascii="仿宋_GB2312" w:hAnsi="仿宋_GB2312" w:cs="仿宋_GB2312" w:eastAsia="仿宋_GB2312"/>
                <w:sz w:val="20"/>
              </w:rPr>
              <w:t>小时不间断服务，有专人接听电话并全程协调资源，</w:t>
            </w:r>
            <w:r>
              <w:rPr>
                <w:rFonts w:ascii="仿宋_GB2312" w:hAnsi="仿宋_GB2312" w:cs="仿宋_GB2312" w:eastAsia="仿宋_GB2312"/>
                <w:sz w:val="20"/>
              </w:rPr>
              <w:t>2</w:t>
            </w:r>
            <w:r>
              <w:rPr>
                <w:rFonts w:ascii="仿宋_GB2312" w:hAnsi="仿宋_GB2312" w:cs="仿宋_GB2312" w:eastAsia="仿宋_GB2312"/>
                <w:sz w:val="20"/>
              </w:rPr>
              <w:t>小时内电话响应，</w:t>
            </w:r>
            <w:r>
              <w:rPr>
                <w:rFonts w:ascii="仿宋_GB2312" w:hAnsi="仿宋_GB2312" w:cs="仿宋_GB2312" w:eastAsia="仿宋_GB2312"/>
                <w:sz w:val="20"/>
              </w:rPr>
              <w:t>24</w:t>
            </w:r>
            <w:r>
              <w:rPr>
                <w:rFonts w:ascii="仿宋_GB2312" w:hAnsi="仿宋_GB2312" w:cs="仿宋_GB2312" w:eastAsia="仿宋_GB2312"/>
                <w:sz w:val="20"/>
              </w:rPr>
              <w:t>小时内到达现场（包括节假日）。</w:t>
            </w:r>
          </w:p>
          <w:p>
            <w:pPr>
              <w:pStyle w:val="null3"/>
              <w:spacing w:before="30"/>
              <w:ind w:left="330" w:right="105"/>
              <w:jc w:val="left"/>
            </w:pPr>
            <w:r>
              <w:rPr>
                <w:rFonts w:ascii="仿宋_GB2312" w:hAnsi="仿宋_GB2312" w:cs="仿宋_GB2312" w:eastAsia="仿宋_GB2312"/>
                <w:sz w:val="20"/>
              </w:rPr>
              <w:t>★3</w:t>
            </w:r>
            <w:r>
              <w:rPr>
                <w:rFonts w:ascii="仿宋_GB2312" w:hAnsi="仿宋_GB2312" w:cs="仿宋_GB2312" w:eastAsia="仿宋_GB2312"/>
                <w:sz w:val="20"/>
              </w:rPr>
              <w:t>、提供服务期间保证设备开机率不低于</w:t>
            </w:r>
            <w:r>
              <w:rPr>
                <w:rFonts w:ascii="仿宋_GB2312" w:hAnsi="仿宋_GB2312" w:cs="仿宋_GB2312" w:eastAsia="仿宋_GB2312"/>
                <w:sz w:val="20"/>
              </w:rPr>
              <w:t>97%</w:t>
            </w:r>
            <w:r>
              <w:rPr>
                <w:rFonts w:ascii="仿宋_GB2312" w:hAnsi="仿宋_GB2312" w:cs="仿宋_GB2312" w:eastAsia="仿宋_GB2312"/>
                <w:sz w:val="20"/>
              </w:rPr>
              <w:t>（停机时间少于</w:t>
            </w:r>
            <w:r>
              <w:rPr>
                <w:rFonts w:ascii="仿宋_GB2312" w:hAnsi="仿宋_GB2312" w:cs="仿宋_GB2312" w:eastAsia="仿宋_GB2312"/>
                <w:sz w:val="20"/>
              </w:rPr>
              <w:t>11</w:t>
            </w:r>
            <w:r>
              <w:rPr>
                <w:rFonts w:ascii="仿宋_GB2312" w:hAnsi="仿宋_GB2312" w:cs="仿宋_GB2312" w:eastAsia="仿宋_GB2312"/>
                <w:sz w:val="20"/>
              </w:rPr>
              <w:t>天</w:t>
            </w:r>
            <w:r>
              <w:rPr>
                <w:rFonts w:ascii="仿宋_GB2312" w:hAnsi="仿宋_GB2312" w:cs="仿宋_GB2312" w:eastAsia="仿宋_GB2312"/>
                <w:sz w:val="20"/>
              </w:rPr>
              <w:t>/</w:t>
            </w:r>
            <w:r>
              <w:rPr>
                <w:rFonts w:ascii="仿宋_GB2312" w:hAnsi="仿宋_GB2312" w:cs="仿宋_GB2312" w:eastAsia="仿宋_GB2312"/>
                <w:sz w:val="20"/>
              </w:rPr>
              <w:t>年），计算标准为一年</w:t>
            </w:r>
            <w:r>
              <w:rPr>
                <w:rFonts w:ascii="仿宋_GB2312" w:hAnsi="仿宋_GB2312" w:cs="仿宋_GB2312" w:eastAsia="仿宋_GB2312"/>
                <w:sz w:val="20"/>
              </w:rPr>
              <w:t>365</w:t>
            </w:r>
            <w:r>
              <w:rPr>
                <w:rFonts w:ascii="仿宋_GB2312" w:hAnsi="仿宋_GB2312" w:cs="仿宋_GB2312" w:eastAsia="仿宋_GB2312"/>
                <w:sz w:val="20"/>
              </w:rPr>
              <w:t>天，如果此开机率因供应商原因没有达到，则对于开机率每低于一天（不足一天按一天计算）的，合同期限将相应延长</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spacing w:before="30"/>
              <w:ind w:left="330" w:right="105"/>
              <w:jc w:val="left"/>
            </w:pPr>
            <w:r>
              <w:rPr>
                <w:rFonts w:ascii="仿宋_GB2312" w:hAnsi="仿宋_GB2312" w:cs="仿宋_GB2312" w:eastAsia="仿宋_GB2312"/>
                <w:sz w:val="20"/>
              </w:rPr>
              <w:t>★4</w:t>
            </w:r>
            <w:r>
              <w:rPr>
                <w:rFonts w:ascii="仿宋_GB2312" w:hAnsi="仿宋_GB2312" w:cs="仿宋_GB2312" w:eastAsia="仿宋_GB2312"/>
                <w:sz w:val="20"/>
              </w:rPr>
              <w:t>、每季度提供设备保养至少</w:t>
            </w:r>
            <w:r>
              <w:rPr>
                <w:rFonts w:ascii="仿宋_GB2312" w:hAnsi="仿宋_GB2312" w:cs="仿宋_GB2312" w:eastAsia="仿宋_GB2312"/>
                <w:sz w:val="20"/>
              </w:rPr>
              <w:t>1</w:t>
            </w:r>
            <w:r>
              <w:rPr>
                <w:rFonts w:ascii="仿宋_GB2312" w:hAnsi="仿宋_GB2312" w:cs="仿宋_GB2312" w:eastAsia="仿宋_GB2312"/>
                <w:sz w:val="20"/>
              </w:rPr>
              <w:t>次，设备保持国家质量技术监督部门之标准，按照原厂标准提供维保服务内容，包含但不限于如下项目：设备清洁、性能测试及校准、必要的电气环境检测等，并提供保养报告。</w:t>
            </w:r>
          </w:p>
          <w:p>
            <w:pPr>
              <w:pStyle w:val="null3"/>
              <w:spacing w:before="30"/>
              <w:ind w:left="330" w:right="105"/>
              <w:jc w:val="left"/>
            </w:pPr>
            <w:r>
              <w:rPr>
                <w:rFonts w:ascii="仿宋_GB2312" w:hAnsi="仿宋_GB2312" w:cs="仿宋_GB2312" w:eastAsia="仿宋_GB2312"/>
                <w:sz w:val="20"/>
              </w:rPr>
              <w:t>5</w:t>
            </w:r>
            <w:r>
              <w:rPr>
                <w:rFonts w:ascii="仿宋_GB2312" w:hAnsi="仿宋_GB2312" w:cs="仿宋_GB2312" w:eastAsia="仿宋_GB2312"/>
                <w:sz w:val="20"/>
              </w:rPr>
              <w:t>、供应商需持有合法获得、完整、有效的全套诊断软件的高级故障诊断维修钥匙</w:t>
            </w:r>
            <w:r>
              <w:rPr>
                <w:rFonts w:ascii="仿宋_GB2312" w:hAnsi="仿宋_GB2312" w:cs="仿宋_GB2312" w:eastAsia="仿宋_GB2312"/>
                <w:sz w:val="20"/>
              </w:rPr>
              <w:t>(Service Key)</w:t>
            </w:r>
            <w:r>
              <w:rPr>
                <w:rFonts w:ascii="仿宋_GB2312" w:hAnsi="仿宋_GB2312" w:cs="仿宋_GB2312" w:eastAsia="仿宋_GB2312"/>
                <w:sz w:val="20"/>
              </w:rPr>
              <w:t>，以解决相应故障。（提供承诺函，格式自拟）</w:t>
            </w:r>
          </w:p>
          <w:p>
            <w:pPr>
              <w:pStyle w:val="null3"/>
              <w:spacing w:before="30"/>
              <w:ind w:left="330" w:right="105"/>
              <w:jc w:val="left"/>
            </w:pPr>
            <w:r>
              <w:rPr>
                <w:rFonts w:ascii="仿宋_GB2312" w:hAnsi="仿宋_GB2312" w:cs="仿宋_GB2312" w:eastAsia="仿宋_GB2312"/>
                <w:sz w:val="20"/>
              </w:rPr>
              <w:t>6</w:t>
            </w:r>
            <w:r>
              <w:rPr>
                <w:rFonts w:ascii="仿宋_GB2312" w:hAnsi="仿宋_GB2312" w:cs="仿宋_GB2312" w:eastAsia="仿宋_GB2312"/>
                <w:sz w:val="20"/>
              </w:rPr>
              <w:t>、供应商为本项目配备不少于</w:t>
            </w:r>
            <w:r>
              <w:rPr>
                <w:rFonts w:ascii="仿宋_GB2312" w:hAnsi="仿宋_GB2312" w:cs="仿宋_GB2312" w:eastAsia="仿宋_GB2312"/>
                <w:sz w:val="20"/>
              </w:rPr>
              <w:t>3</w:t>
            </w:r>
            <w:r>
              <w:rPr>
                <w:rFonts w:ascii="仿宋_GB2312" w:hAnsi="仿宋_GB2312" w:cs="仿宋_GB2312" w:eastAsia="仿宋_GB2312"/>
                <w:sz w:val="20"/>
              </w:rPr>
              <w:t>个工程师，且人员持有原厂</w:t>
            </w:r>
            <w:r>
              <w:rPr>
                <w:rFonts w:ascii="仿宋_GB2312" w:hAnsi="仿宋_GB2312" w:cs="仿宋_GB2312" w:eastAsia="仿宋_GB2312"/>
                <w:sz w:val="20"/>
              </w:rPr>
              <w:t>CT</w:t>
            </w:r>
            <w:r>
              <w:rPr>
                <w:rFonts w:ascii="仿宋_GB2312" w:hAnsi="仿宋_GB2312" w:cs="仿宋_GB2312" w:eastAsia="仿宋_GB2312"/>
                <w:sz w:val="20"/>
              </w:rPr>
              <w:t>设备维保考核合格且在有效期的服务资质证明材料（如培训证书）。（提供扫描件）</w:t>
            </w:r>
          </w:p>
          <w:p>
            <w:pPr>
              <w:pStyle w:val="null3"/>
              <w:spacing w:before="30"/>
              <w:ind w:left="330" w:right="105"/>
              <w:jc w:val="left"/>
            </w:pPr>
            <w:r>
              <w:rPr>
                <w:rFonts w:ascii="仿宋_GB2312" w:hAnsi="仿宋_GB2312" w:cs="仿宋_GB2312" w:eastAsia="仿宋_GB2312"/>
                <w:sz w:val="20"/>
              </w:rPr>
              <w:t>7</w:t>
            </w:r>
            <w:r>
              <w:rPr>
                <w:rFonts w:ascii="仿宋_GB2312" w:hAnsi="仿宋_GB2312" w:cs="仿宋_GB2312" w:eastAsia="仿宋_GB2312"/>
                <w:sz w:val="20"/>
              </w:rPr>
              <w:t>、可提供基于宽带接入的、可动态远程监测</w:t>
            </w:r>
            <w:r>
              <w:rPr>
                <w:rFonts w:ascii="仿宋_GB2312" w:hAnsi="仿宋_GB2312" w:cs="仿宋_GB2312" w:eastAsia="仿宋_GB2312"/>
                <w:sz w:val="20"/>
              </w:rPr>
              <w:t>CT</w:t>
            </w:r>
            <w:r>
              <w:rPr>
                <w:rFonts w:ascii="仿宋_GB2312" w:hAnsi="仿宋_GB2312" w:cs="仿宋_GB2312" w:eastAsia="仿宋_GB2312"/>
                <w:sz w:val="20"/>
              </w:rPr>
              <w:t>温湿度实时曲线的软件及硬件</w:t>
            </w:r>
            <w:r>
              <w:rPr>
                <w:rFonts w:ascii="仿宋_GB2312" w:hAnsi="仿宋_GB2312" w:cs="仿宋_GB2312" w:eastAsia="仿宋_GB2312"/>
                <w:sz w:val="20"/>
              </w:rPr>
              <w:t>,</w:t>
            </w:r>
            <w:r>
              <w:rPr>
                <w:rFonts w:ascii="仿宋_GB2312" w:hAnsi="仿宋_GB2312" w:cs="仿宋_GB2312" w:eastAsia="仿宋_GB2312"/>
                <w:sz w:val="20"/>
              </w:rPr>
              <w:t>具备对标的设备的电气环境进行</w:t>
            </w:r>
            <w:r>
              <w:rPr>
                <w:rFonts w:ascii="仿宋_GB2312" w:hAnsi="仿宋_GB2312" w:cs="仿宋_GB2312" w:eastAsia="仿宋_GB2312"/>
                <w:sz w:val="20"/>
              </w:rPr>
              <w:t>24</w:t>
            </w:r>
            <w:r>
              <w:rPr>
                <w:rFonts w:ascii="仿宋_GB2312" w:hAnsi="仿宋_GB2312" w:cs="仿宋_GB2312" w:eastAsia="仿宋_GB2312"/>
                <w:sz w:val="20"/>
              </w:rPr>
              <w:t>小时实时监测能力。（提供承诺函，格式自拟）</w:t>
            </w:r>
          </w:p>
          <w:p>
            <w:pPr>
              <w:pStyle w:val="null3"/>
              <w:spacing w:before="30"/>
              <w:ind w:left="330" w:right="105"/>
              <w:jc w:val="left"/>
            </w:pPr>
            <w:r>
              <w:rPr>
                <w:rFonts w:ascii="仿宋_GB2312" w:hAnsi="仿宋_GB2312" w:cs="仿宋_GB2312" w:eastAsia="仿宋_GB2312"/>
                <w:sz w:val="20"/>
              </w:rPr>
              <w:t>8</w:t>
            </w:r>
            <w:r>
              <w:rPr>
                <w:rFonts w:ascii="仿宋_GB2312" w:hAnsi="仿宋_GB2312" w:cs="仿宋_GB2312" w:eastAsia="仿宋_GB2312"/>
                <w:sz w:val="20"/>
              </w:rPr>
              <w:t>、零备件供应：所有更换的零部件必须为原厂全新合格件。中标后提供零部件来源佐证资料（如合同、发票）。</w:t>
            </w:r>
            <w:r>
              <w:rPr>
                <w:rFonts w:ascii="仿宋_GB2312" w:hAnsi="仿宋_GB2312" w:cs="仿宋_GB2312" w:eastAsia="仿宋_GB2312"/>
              </w:rPr>
              <w:t xml:space="preserve"> </w:t>
            </w:r>
          </w:p>
          <w:p>
            <w:pPr>
              <w:pStyle w:val="null3"/>
              <w:spacing w:before="30"/>
              <w:ind w:left="330" w:right="105"/>
              <w:jc w:val="left"/>
            </w:pPr>
            <w:r>
              <w:rPr>
                <w:rFonts w:ascii="仿宋_GB2312" w:hAnsi="仿宋_GB2312" w:cs="仿宋_GB2312" w:eastAsia="仿宋_GB2312"/>
                <w:sz w:val="20"/>
              </w:rPr>
              <w:t>9</w:t>
            </w:r>
            <w:r>
              <w:rPr>
                <w:rFonts w:ascii="仿宋_GB2312" w:hAnsi="仿宋_GB2312" w:cs="仿宋_GB2312" w:eastAsia="仿宋_GB2312"/>
                <w:sz w:val="20"/>
              </w:rPr>
              <w:t>、能及时获取并提供全套完整的系统软硬件改版措施。中标后提供系统软硬件来源佐证资料（如合同、发票）。</w:t>
            </w:r>
          </w:p>
          <w:p>
            <w:pPr>
              <w:pStyle w:val="null3"/>
              <w:spacing w:before="30"/>
              <w:ind w:left="330" w:right="105"/>
              <w:jc w:val="left"/>
            </w:pPr>
            <w:r>
              <w:rPr>
                <w:rFonts w:ascii="仿宋_GB2312" w:hAnsi="仿宋_GB2312" w:cs="仿宋_GB2312" w:eastAsia="仿宋_GB2312"/>
                <w:sz w:val="20"/>
              </w:rPr>
              <w:t>10</w:t>
            </w:r>
            <w:r>
              <w:rPr>
                <w:rFonts w:ascii="仿宋_GB2312" w:hAnsi="仿宋_GB2312" w:cs="仿宋_GB2312" w:eastAsia="仿宋_GB2312"/>
                <w:sz w:val="20"/>
              </w:rPr>
              <w:t>、在国内设有设备零备件仓库，提供仓库图片资料。</w:t>
            </w:r>
          </w:p>
          <w:p>
            <w:pPr>
              <w:pStyle w:val="null3"/>
              <w:spacing w:before="30"/>
              <w:ind w:left="330" w:right="105"/>
              <w:jc w:val="left"/>
            </w:pPr>
            <w:r>
              <w:rPr>
                <w:rFonts w:ascii="仿宋_GB2312" w:hAnsi="仿宋_GB2312" w:cs="仿宋_GB2312" w:eastAsia="仿宋_GB2312"/>
                <w:sz w:val="20"/>
              </w:rPr>
              <w:t>★11</w:t>
            </w:r>
            <w:r>
              <w:rPr>
                <w:rFonts w:ascii="仿宋_GB2312" w:hAnsi="仿宋_GB2312" w:cs="仿宋_GB2312" w:eastAsia="仿宋_GB2312"/>
                <w:sz w:val="20"/>
              </w:rPr>
              <w:t>、服务期内更换球管，为原装全新球管，需与设备整机保持一致性，符合整机注册要求。中标后提供球管来源佐证资料（如合同、发票）。</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、维修保养记录存档，提供年度服务报告。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0"/>
                <w:color w:val="000000"/>
              </w:rPr>
              <w:t>若服务过程中服务内容涉及中标人需要提供的配件为医疗器械时，投标人须符合《医疗器械监督管理条例》等政策法规要求并具有医疗器械生产许可证或者医疗器械经营许可</w:t>
            </w:r>
            <w:r>
              <w:rPr>
                <w:rFonts w:ascii="仿宋_GB2312" w:hAnsi="仿宋_GB2312" w:cs="仿宋_GB2312" w:eastAsia="仿宋_GB2312"/>
                <w:sz w:val="20"/>
                <w:color w:val="000000"/>
              </w:rPr>
              <w:t>/备案凭证。医疗器械须符合《医疗器械注册与备案管理办法》等政策法规要求并具有中华人民共和国医疗器械注册或备案证明材料，提供有效期内的资质证书扫描件并加盖供应商公章。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服务方案（此处对应5.4.2.评标细则及标准）</w:t>
            </w:r>
          </w:p>
        </w:tc>
        <w:tc>
          <w:tcPr>
            <w:tcW w:type="dxa" w:w="5814"/>
          </w:tcPr>
          <w:p>
            <w:pPr>
              <w:pStyle w:val="null3"/>
              <w:jc w:val="left"/>
            </w:pPr>
            <w:r>
              <w:rPr>
                <w:rFonts w:ascii="仿宋_GB2312" w:hAnsi="仿宋_GB2312" w:cs="仿宋_GB2312" w:eastAsia="仿宋_GB2312"/>
                <w:sz w:val="20"/>
                <w:color w:val="000000"/>
              </w:rPr>
              <w:t>投标人需针对本项目提供项目整体方案进行评审，整体方案内容包含</w:t>
            </w:r>
            <w:r>
              <w:rPr>
                <w:rFonts w:ascii="仿宋_GB2312" w:hAnsi="仿宋_GB2312" w:cs="仿宋_GB2312" w:eastAsia="仿宋_GB2312"/>
                <w:sz w:val="20"/>
                <w:color w:val="000000"/>
              </w:rPr>
              <w:t>①项目服务流程方案；②项目维保进度、时间安排；③项目技术队伍及服务质量保障措施；④对项目实施过程中可能存在问题的预备和应急解决方案。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1095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广安市人民医院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1、合同签订生效后供应室应到采购人指定地点，对指定设备进行维保。 2、验收由采购人组织，中标人配合进行。 3. 供应商在设备每年维保期结束1个月内通知采购人，采购人在接到通知后组织履约验收； 4.验收标准：按国家有关规定以及采购文件的服务要求和技术指标、供应商的投标文件及承诺与本合同约定标准进行验收； 5.验收时如发现开机率过低、保内损坏部件未更换、故障未修复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日历天，不得影响采购人正常工作的开展； 6.如质量终验合格，双方签署质量验收报告； 7.供应商应将所提供维保记录、保养记录等资料交付给采购人；供应商不能完整交付记录资料的，必须负责补齐，否则视为未按合同约定维保； 8.如维保期结束时设备的故障经供应商3次维修仍不能达到设备设计标准（不包含部件除外），采购人有权要求退还维保费用，采购人还可依法追究供应商的违约责任； 9. 项目验收结果合格的，供应商凭验收合格证明书至履约保证金收取单位办理履约保证金的退付手续；验收结果不合格且拒不整改的，履约保证金将不予退还，也将不予支付采购资金，还可能上报本项目同级财政部门按照政府采购法律法规等有关规定给予行政处罚或者以失信行为记入诚信档案； 10. 其他未尽事宜应按照《财政部关于进一步加强政府采购需求和履约验收管理的指导意见》（财库〔2016〕205号）、《广安市政府采购项目履约验收工作规程》（广市财采〔2021〕275号）等政府采购相关法律法规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1、第一年款项，政府采购合同签订后，中标人开具票据后，达到付款条件起30日内，支付合同总金额的33.00%</w:t>
            </w:r>
          </w:p>
          <w:p>
            <w:pPr>
              <w:pStyle w:val="null3"/>
              <w:jc w:val="left"/>
            </w:pPr>
            <w:r>
              <w:rPr>
                <w:rFonts w:ascii="仿宋_GB2312" w:hAnsi="仿宋_GB2312" w:cs="仿宋_GB2312" w:eastAsia="仿宋_GB2312"/>
              </w:rPr>
              <w:t>2、进度款，第二年服务期满，验收合格后，达到付款条件起30日内，支付合同总金额的33.00%</w:t>
            </w:r>
          </w:p>
          <w:p>
            <w:pPr>
              <w:pStyle w:val="null3"/>
              <w:jc w:val="left"/>
            </w:pPr>
            <w:r>
              <w:rPr>
                <w:rFonts w:ascii="仿宋_GB2312" w:hAnsi="仿宋_GB2312" w:cs="仿宋_GB2312" w:eastAsia="仿宋_GB2312"/>
              </w:rPr>
              <w:t>3、尾款，第三年服务期满，验收合格后，达到付款条件起30日内，支付合同总金额的34.00%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（一）甲方违约责任 1、甲方逾期支付维保款的，除应及时付足维保款外，应向乙方偿付欠款总额万分之五/天的违约金；逾期付款超过30天的，乙方有权终止合同； 2、甲方偿付的违约金不足以弥补乙方损失的，还应按乙方损失尚未弥补的部分，支付赔偿金给乙方。 （二）乙方违约责任 1、乙方工作人员在履行职务过程中给甲方造成损失或侵害，包含但不限于甲方本身的财产损失、由此而导致的甲方对任何第三方的法律责任等，乙方对此均应承担全部的赔偿责任。 2、乙方工程师未按要求时间到达现场所造成的停机时间每延长一天（不足一天，按一天计算），赔偿经济损失1500元。 3、甲方保修后年停机不超过11天，每超过一天（不足一天，按一天计算）顺延维保期三天，并赔偿经济损失1500元/天。 4、甲方保修后带故障运行总时长不超过11天，每延长一天（不足一天，按一天计算），赔偿经济损失1500元。 二、争议解决办法 （一）因维保的质量问题发生争议，由质量技术监督部门或其指定的质量鉴定机构进行质量鉴定。维保符合标准的，鉴定费由甲方承担；维保不符合质量标准的，鉴定费由乙方承担。 （二）合同履行期间,若双方发生争议，可协商或由有关部门调解解决，协商或调解不成的，向甲方所在地人民法院起诉。 注：甲方为采购人、乙方为中标人</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2023年或2024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投标人须具有有效的《辐射安全许可证》（提供证书扫描件）</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910"/>
          </w:tcPr>
          <w:p>
            <w:pPr>
              <w:pStyle w:val="null3"/>
              <w:jc w:val="left"/>
            </w:pPr>
            <w:r>
              <w:rPr>
                <w:rFonts w:ascii="仿宋_GB2312" w:hAnsi="仿宋_GB2312" w:cs="仿宋_GB2312" w:eastAsia="仿宋_GB2312"/>
              </w:rPr>
              <w:t>报价明细表,服务应答表,报价表,技术应答表.docx,投标（响应）函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投标人按照招标文件要求上传相关材料</w:t>
            </w:r>
          </w:p>
        </w:tc>
        <w:tc>
          <w:tcPr>
            <w:tcW w:type="dxa" w:w="1910"/>
          </w:tcPr>
          <w:p>
            <w:pPr>
              <w:pStyle w:val="null3"/>
              <w:jc w:val="left"/>
            </w:pPr>
            <w:r>
              <w:rPr>
                <w:rFonts w:ascii="仿宋_GB2312" w:hAnsi="仿宋_GB2312" w:cs="仿宋_GB2312" w:eastAsia="仿宋_GB2312"/>
              </w:rPr>
              <w:t>投标人应提交的相关证明材料,报价明细表,服务应答表,报价表,技术应答表.docx,投标（响应）函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完全符合“3.2.技术要求”要求没有负偏离得满分；技术参数条款响应得分=（投标人满足技术参数条款的数量÷技术参数条款的总数量）×对应分值。技术参数条款技术分65分。 注：★号条款为实质性要求，不参与本项评分。</w:t>
            </w:r>
          </w:p>
        </w:tc>
        <w:tc>
          <w:tcPr>
            <w:tcW w:type="dxa" w:w="831"/>
          </w:tcPr>
          <w:p>
            <w:pPr>
              <w:pStyle w:val="null3"/>
              <w:jc w:val="center"/>
            </w:pPr>
            <w:r>
              <w:rPr>
                <w:rFonts w:ascii="仿宋_GB2312" w:hAnsi="仿宋_GB2312" w:cs="仿宋_GB2312" w:eastAsia="仿宋_GB2312"/>
              </w:rPr>
              <w:t>65.0000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技术应答表.docx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投标人在2022年1月1日至递交投标文件截止时间（时间以合同签订时间为准）的同型号项目业绩，每提供一个项目业绩得1.5分，最高得分18分。 注：须提供合同扫描件并加盖投标人公章作为证明材料，不提供不得分。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项目整体方案进行评审。整体方案内容包含①项目服务流程方案；②项目维保进度、时间安排；③项目技术队伍及服务质量保障措施；④对项目实施过程中可能存在问题的预备和应急解决方案。方案包含以上每点内容（共4点）且无缺陷的得2分；在此基础上，方案中每缺少一点内容扣0.5分，每点方案存在缺陷的扣0.25分，每点最多扣0.5分。 注:缺陷是指存在项目名称错误、实施地点错误、方案内容与本项目需求无关或不满足本项目需求、方案内容前后矛盾、仅有框架或标题、适用的标准（规范）错误等任意一种情形。</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 15%×100。</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