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9A9D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b/>
          <w:bCs/>
          <w:color w:val="000000"/>
          <w:sz w:val="52"/>
          <w:szCs w:val="52"/>
          <w:highlight w:val="none"/>
        </w:rPr>
      </w:pPr>
      <w:r>
        <w:rPr>
          <w:rFonts w:hint="eastAsia" w:ascii="宋体" w:hAnsi="宋体"/>
          <w:b/>
          <w:bCs/>
          <w:color w:val="000000"/>
          <w:spacing w:val="10"/>
          <w:sz w:val="52"/>
          <w:szCs w:val="52"/>
          <w:highlight w:val="none"/>
        </w:rPr>
        <w:t>工程量清单说</w:t>
      </w:r>
      <w:r>
        <w:rPr>
          <w:rFonts w:hint="eastAsia" w:ascii="宋体" w:hAnsi="宋体"/>
          <w:b/>
          <w:bCs/>
          <w:color w:val="000000"/>
          <w:sz w:val="52"/>
          <w:szCs w:val="52"/>
          <w:highlight w:val="none"/>
        </w:rPr>
        <w:t>明</w:t>
      </w:r>
    </w:p>
    <w:p w14:paraId="76CF72C4">
      <w:pPr>
        <w:spacing w:line="500" w:lineRule="exact"/>
        <w:rPr>
          <w:rFonts w:hint="eastAsia" w:ascii="宋体" w:hAnsi="宋体"/>
          <w:b/>
          <w:bCs/>
          <w:color w:val="000000"/>
          <w:spacing w:val="8"/>
          <w:position w:val="2"/>
          <w:sz w:val="32"/>
          <w:szCs w:val="32"/>
          <w:highlight w:val="none"/>
        </w:rPr>
      </w:pPr>
      <w:bookmarkStart w:id="0" w:name="_GoBack"/>
      <w:r>
        <w:rPr>
          <w:rFonts w:hint="eastAsia" w:ascii="宋体" w:hAnsi="宋体"/>
          <w:b/>
          <w:bCs/>
          <w:color w:val="000000"/>
          <w:spacing w:val="8"/>
          <w:position w:val="2"/>
          <w:sz w:val="32"/>
          <w:szCs w:val="32"/>
          <w:highlight w:val="none"/>
        </w:rPr>
        <w:t xml:space="preserve">一、工程名称：汶川县2025年农村污水治理项目（向前村） </w:t>
      </w:r>
    </w:p>
    <w:p w14:paraId="7F195821">
      <w:pPr>
        <w:spacing w:line="500" w:lineRule="exact"/>
        <w:rPr>
          <w:rFonts w:hint="eastAsia" w:ascii="宋体" w:hAnsi="宋体"/>
          <w:b/>
          <w:bCs/>
          <w:color w:val="000000"/>
          <w:spacing w:val="8"/>
          <w:position w:val="2"/>
          <w:sz w:val="32"/>
          <w:szCs w:val="32"/>
          <w:highlight w:val="none"/>
        </w:rPr>
      </w:pPr>
      <w:r>
        <w:rPr>
          <w:rFonts w:hint="eastAsia" w:ascii="宋体" w:hAnsi="宋体"/>
          <w:b/>
          <w:bCs/>
          <w:color w:val="000000"/>
          <w:spacing w:val="8"/>
          <w:position w:val="2"/>
          <w:sz w:val="32"/>
          <w:szCs w:val="32"/>
          <w:highlight w:val="none"/>
        </w:rPr>
        <w:t>二、工程招标范围：汶川县2025年农村污水治理项目（向前村）施工图所示工作范围。</w:t>
      </w:r>
    </w:p>
    <w:p w14:paraId="41AACDC0">
      <w:pPr>
        <w:spacing w:line="500" w:lineRule="exact"/>
        <w:rPr>
          <w:rFonts w:hint="eastAsia" w:ascii="宋体" w:hAnsi="宋体"/>
          <w:b/>
          <w:bCs/>
          <w:color w:val="000000"/>
          <w:spacing w:val="8"/>
          <w:position w:val="2"/>
          <w:sz w:val="32"/>
          <w:szCs w:val="32"/>
          <w:highlight w:val="none"/>
        </w:rPr>
      </w:pPr>
      <w:r>
        <w:rPr>
          <w:rFonts w:hint="eastAsia" w:ascii="宋体" w:hAnsi="宋体"/>
          <w:b/>
          <w:bCs/>
          <w:color w:val="000000"/>
          <w:spacing w:val="8"/>
          <w:position w:val="2"/>
          <w:sz w:val="32"/>
          <w:szCs w:val="32"/>
          <w:highlight w:val="none"/>
        </w:rPr>
        <w:t>三、编制依据</w:t>
      </w:r>
    </w:p>
    <w:p w14:paraId="7A80EED6">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color w:val="000000"/>
          <w:spacing w:val="8"/>
          <w:position w:val="2"/>
          <w:sz w:val="32"/>
          <w:szCs w:val="32"/>
          <w:highlight w:val="none"/>
        </w:rPr>
      </w:pPr>
      <w:r>
        <w:rPr>
          <w:rFonts w:hint="eastAsia" w:ascii="宋体" w:hAnsi="宋体"/>
          <w:color w:val="000000"/>
          <w:spacing w:val="8"/>
          <w:position w:val="2"/>
          <w:sz w:val="32"/>
          <w:szCs w:val="32"/>
          <w:highlight w:val="none"/>
        </w:rPr>
        <w:t>1、汶川县</w:t>
      </w:r>
      <w:r>
        <w:rPr>
          <w:rFonts w:hint="eastAsia" w:ascii="宋体" w:hAnsi="宋体"/>
          <w:color w:val="000000"/>
          <w:spacing w:val="8"/>
          <w:position w:val="2"/>
          <w:sz w:val="32"/>
          <w:szCs w:val="32"/>
          <w:highlight w:val="none"/>
          <w:lang w:val="en-US" w:eastAsia="zh-CN"/>
        </w:rPr>
        <w:t>绵虒镇人民政府</w:t>
      </w:r>
      <w:r>
        <w:rPr>
          <w:rFonts w:hint="eastAsia" w:ascii="宋体" w:hAnsi="宋体"/>
          <w:color w:val="000000"/>
          <w:spacing w:val="8"/>
          <w:position w:val="2"/>
          <w:sz w:val="32"/>
          <w:szCs w:val="32"/>
          <w:highlight w:val="none"/>
        </w:rPr>
        <w:t>送审的全部工作内容；</w:t>
      </w:r>
    </w:p>
    <w:p w14:paraId="2ACF296C">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color w:val="000000"/>
          <w:spacing w:val="8"/>
          <w:position w:val="2"/>
          <w:sz w:val="32"/>
          <w:szCs w:val="32"/>
          <w:highlight w:val="none"/>
        </w:rPr>
      </w:pPr>
      <w:r>
        <w:rPr>
          <w:rFonts w:hint="eastAsia" w:ascii="宋体" w:hAnsi="宋体"/>
          <w:color w:val="000000"/>
          <w:spacing w:val="8"/>
          <w:position w:val="2"/>
          <w:sz w:val="32"/>
          <w:szCs w:val="32"/>
          <w:highlight w:val="none"/>
        </w:rPr>
        <w:t>2、《建设工程工程量清单计价规范》(GB50500－2013) 及相关配套文件；</w:t>
      </w:r>
    </w:p>
    <w:p w14:paraId="6C7D8CEB">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color w:val="000000"/>
          <w:spacing w:val="8"/>
          <w:position w:val="2"/>
          <w:sz w:val="32"/>
          <w:szCs w:val="32"/>
          <w:highlight w:val="none"/>
        </w:rPr>
      </w:pPr>
      <w:r>
        <w:rPr>
          <w:rFonts w:hint="eastAsia" w:ascii="宋体" w:hAnsi="宋体"/>
          <w:color w:val="000000"/>
          <w:spacing w:val="8"/>
          <w:position w:val="2"/>
          <w:sz w:val="32"/>
          <w:szCs w:val="32"/>
          <w:highlight w:val="none"/>
        </w:rPr>
        <w:t>3、《四川省建设工程工程量清单计价定额》（2020）及相关配套文件；</w:t>
      </w:r>
    </w:p>
    <w:p w14:paraId="502F7C5D">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color w:val="000000"/>
          <w:spacing w:val="8"/>
          <w:position w:val="2"/>
          <w:sz w:val="32"/>
          <w:szCs w:val="32"/>
          <w:highlight w:val="none"/>
        </w:rPr>
      </w:pPr>
      <w:r>
        <w:rPr>
          <w:rFonts w:hint="eastAsia" w:ascii="宋体" w:hAnsi="宋体"/>
          <w:color w:val="000000"/>
          <w:spacing w:val="8"/>
          <w:position w:val="2"/>
          <w:sz w:val="32"/>
          <w:szCs w:val="32"/>
          <w:highlight w:val="none"/>
        </w:rPr>
        <w:t>4、《四川省住房和城乡建设厅关于印发《建筑业营业税改征增值税四川省建设工程计价依据调整办法》的通知(川建造价发【2019】181号)执行。</w:t>
      </w:r>
    </w:p>
    <w:p w14:paraId="23B4EFDC">
      <w:pPr>
        <w:spacing w:line="500" w:lineRule="exact"/>
        <w:rPr>
          <w:rFonts w:hint="eastAsia" w:ascii="宋体" w:hAnsi="宋体"/>
          <w:b/>
          <w:bCs/>
          <w:color w:val="000000"/>
          <w:spacing w:val="8"/>
          <w:position w:val="2"/>
          <w:sz w:val="32"/>
          <w:szCs w:val="32"/>
          <w:highlight w:val="none"/>
        </w:rPr>
      </w:pPr>
      <w:r>
        <w:rPr>
          <w:rFonts w:hint="eastAsia" w:ascii="宋体" w:hAnsi="宋体"/>
          <w:b/>
          <w:bCs/>
          <w:color w:val="000000"/>
          <w:spacing w:val="8"/>
          <w:position w:val="2"/>
          <w:sz w:val="32"/>
          <w:szCs w:val="32"/>
          <w:highlight w:val="none"/>
        </w:rPr>
        <w:t>四、工程质量、材料、施工等的说明</w:t>
      </w:r>
    </w:p>
    <w:p w14:paraId="4A6152CE">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rPr>
        <w:t>1、工程质量达到合格，符合现行施工及验收规范。</w:t>
      </w:r>
    </w:p>
    <w:p w14:paraId="7BD47A98">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rPr>
        <w:t>2、材料为合格产品，必须持有关部门颁发的《产品合格证书》。</w:t>
      </w:r>
    </w:p>
    <w:p w14:paraId="51B2FAC5">
      <w:pPr>
        <w:spacing w:line="500" w:lineRule="exact"/>
        <w:rPr>
          <w:rFonts w:hint="eastAsia" w:ascii="宋体" w:hAnsi="宋体"/>
          <w:b/>
          <w:bCs/>
          <w:color w:val="000000"/>
          <w:spacing w:val="8"/>
          <w:position w:val="2"/>
          <w:sz w:val="32"/>
          <w:szCs w:val="32"/>
          <w:highlight w:val="none"/>
        </w:rPr>
      </w:pPr>
      <w:r>
        <w:rPr>
          <w:rFonts w:hint="eastAsia" w:ascii="宋体" w:hAnsi="宋体"/>
          <w:b/>
          <w:bCs/>
          <w:color w:val="000000"/>
          <w:spacing w:val="8"/>
          <w:position w:val="2"/>
          <w:sz w:val="32"/>
          <w:szCs w:val="32"/>
          <w:highlight w:val="none"/>
        </w:rPr>
        <w:t>五、其他说明的事项</w:t>
      </w:r>
    </w:p>
    <w:p w14:paraId="1255DC3F">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w:t>
      </w:r>
      <w:r>
        <w:rPr>
          <w:rFonts w:hint="eastAsia" w:ascii="宋体" w:hAnsi="宋体" w:eastAsia="宋体" w:cs="Times New Roman"/>
          <w:color w:val="000000"/>
          <w:spacing w:val="8"/>
          <w:position w:val="2"/>
          <w:sz w:val="32"/>
          <w:szCs w:val="32"/>
          <w:highlight w:val="none"/>
        </w:rPr>
        <w:t>该工程量清单作为招标文件的组成部分，一经中标且签订合同，即成为合同的组成部分。</w:t>
      </w:r>
    </w:p>
    <w:p w14:paraId="7BABE776">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2、</w:t>
      </w:r>
      <w:r>
        <w:rPr>
          <w:rFonts w:hint="eastAsia" w:ascii="宋体" w:hAnsi="宋体" w:eastAsia="宋体" w:cs="Times New Roman"/>
          <w:color w:val="000000"/>
          <w:spacing w:val="8"/>
          <w:position w:val="2"/>
          <w:sz w:val="32"/>
          <w:szCs w:val="32"/>
          <w:highlight w:val="none"/>
        </w:rPr>
        <w:t>本工程量清单应与投标须知、合同条件、合同协议条款、工程规范、业主提供的施工图和工程量清单计价规范一起使用。</w:t>
      </w:r>
    </w:p>
    <w:p w14:paraId="6D5F9C1B">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3、</w:t>
      </w:r>
      <w:r>
        <w:rPr>
          <w:rFonts w:hint="eastAsia" w:ascii="宋体" w:hAnsi="宋体" w:eastAsia="宋体" w:cs="Times New Roman"/>
          <w:color w:val="000000"/>
          <w:spacing w:val="8"/>
          <w:position w:val="2"/>
          <w:sz w:val="32"/>
          <w:szCs w:val="32"/>
          <w:highlight w:val="none"/>
        </w:rPr>
        <w:t>投标人报价应采用综合单价法，投标人在投标报价时应按要求结合工程量清单描述的项目特征进行报价。</w:t>
      </w:r>
    </w:p>
    <w:p w14:paraId="24DB0F75">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4、</w:t>
      </w:r>
      <w:r>
        <w:rPr>
          <w:rFonts w:hint="eastAsia" w:ascii="宋体" w:hAnsi="宋体" w:eastAsia="宋体" w:cs="Times New Roman"/>
          <w:color w:val="000000"/>
          <w:spacing w:val="8"/>
          <w:position w:val="2"/>
          <w:sz w:val="32"/>
          <w:szCs w:val="32"/>
          <w:highlight w:val="none"/>
        </w:rPr>
        <w:t>工程量清单中每一个项目，都需填入综合单价及合价，对于没有填入综合单价及合价的项目，招标人可视为已含在其它有关项目的综合单价和合价中。不同单项及单位工程中的分部分项工程量清单中相同项目（项目特征相同）的报价应统一，如有差异，按最低的一个报价进行结算。</w:t>
      </w:r>
    </w:p>
    <w:p w14:paraId="64764B5F">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5、投标人在编制《工程量清单报价表》时应全面熟悉业主提供的施工图、招标文件、合同文件等有关资料。本工程工程量清单及投标报价参照2020《四川省建设工程工程量清单计价定额》，人工费调整按照川建价发〔2024〕44号调整，由投标人自主报价</w:t>
      </w:r>
      <w:r>
        <w:rPr>
          <w:rFonts w:hint="eastAsia" w:ascii="宋体" w:hAnsi="宋体" w:eastAsia="宋体" w:cs="Times New Roman"/>
          <w:color w:val="000000"/>
          <w:spacing w:val="8"/>
          <w:position w:val="2"/>
          <w:sz w:val="32"/>
          <w:szCs w:val="32"/>
          <w:highlight w:val="none"/>
        </w:rPr>
        <w:t>。</w:t>
      </w:r>
    </w:p>
    <w:p w14:paraId="23DE1AD0">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6、投标人的投标报价应是招标文件所确定的招标范围内的全部清单工作内容的价格体现。应包括本工程的分部分项工程量清单费用、措施项目清单费用、其他项目清单费用、规费、税金等完成本工程及达到保修期限所需的一切费用及风险［即本工程的直接费、间接费、管理费、利润、风险金、保险、材料现场抽样检验费、按设计要求和验收规范及政府相关管理部门要求施工单位应进行的测试费用（如砼工程结构实体检验费、防雷装置检测费等）、城市生活垃圾处理费、质监费、规费、税金及政策性文件规定的各项费用等］。此外，投标人应根据企业自身情况考虑材料损耗率，在投标报价时将材料损耗综合考虑在所报综合单价内，中标后不作调整。</w:t>
      </w:r>
    </w:p>
    <w:p w14:paraId="35220BDA">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7、</w:t>
      </w:r>
      <w:r>
        <w:rPr>
          <w:rFonts w:hint="eastAsia" w:ascii="宋体" w:hAnsi="宋体" w:eastAsia="宋体" w:cs="Times New Roman"/>
          <w:color w:val="000000"/>
          <w:spacing w:val="8"/>
          <w:position w:val="2"/>
          <w:sz w:val="32"/>
          <w:szCs w:val="32"/>
          <w:highlight w:val="none"/>
        </w:rPr>
        <w:t>工程量清单的工程量是按《建设工程工程量清单计价规范》(GB50500－2013)计算规则进行计算编制的,工程项目编码是按《建设工程工程量清单计价规范》(GB50500－2013)相应章次编号的,因此工程量清单各项目编码的范围、计量方式应与《建设工程工程量清单计价规范》(GB50500－2013)的各条款相对应结合起来理解和解释。但工程量清单中个别项目计量单位为了便于工程计量与结算改变了计量单位,请投标人报价时注意工程量清单中的计量单位。</w:t>
      </w:r>
    </w:p>
    <w:p w14:paraId="32212415">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8、</w:t>
      </w:r>
      <w:r>
        <w:rPr>
          <w:rFonts w:hint="eastAsia" w:ascii="宋体" w:hAnsi="宋体" w:eastAsia="宋体" w:cs="Times New Roman"/>
          <w:color w:val="000000"/>
          <w:spacing w:val="8"/>
          <w:position w:val="2"/>
          <w:sz w:val="32"/>
          <w:szCs w:val="32"/>
          <w:highlight w:val="none"/>
        </w:rPr>
        <w:t>符合合同规定的全部费用和利润都应包括在工程量清单所列的各项目中，合同规定应由承包人承担而在工程量清单中未详细列出的工作细目内容，其费用和利润应认为已包括在相关项目和其它有关项目的综合单价和合价中。</w:t>
      </w:r>
    </w:p>
    <w:p w14:paraId="572E320B">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8、</w:t>
      </w:r>
      <w:r>
        <w:rPr>
          <w:rFonts w:hint="eastAsia" w:ascii="宋体" w:hAnsi="宋体" w:eastAsia="宋体" w:cs="Times New Roman"/>
          <w:color w:val="000000"/>
          <w:spacing w:val="8"/>
          <w:position w:val="2"/>
          <w:sz w:val="32"/>
          <w:szCs w:val="32"/>
          <w:highlight w:val="none"/>
        </w:rPr>
        <w:t>总价措施项目清单中安全文明施工措施费（环境保护、文明施工费、安全施工费、临时设施费）按给定金额执行，其余按相关文件执行。</w:t>
      </w:r>
    </w:p>
    <w:p w14:paraId="3A58D53A">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10、</w:t>
      </w:r>
      <w:r>
        <w:rPr>
          <w:rFonts w:hint="eastAsia" w:ascii="宋体" w:hAnsi="宋体" w:eastAsia="宋体" w:cs="Times New Roman"/>
          <w:color w:val="000000"/>
          <w:spacing w:val="8"/>
          <w:position w:val="2"/>
          <w:sz w:val="32"/>
          <w:szCs w:val="32"/>
          <w:highlight w:val="none"/>
        </w:rPr>
        <w:t>工程【材料暂估价】的，各投标单位在投标报价时，必须严格按照工程量清单【材料暂估价表】的价格进行投标报价，在施工中严格将材料价格控制在暂估价格以内；在工程结算时，材料价格按建设单位及相关部门确认的实际采购价格单独调减，材料耗量按2020《四川省建设工程工程量清单计价定额》计算，综合单价均不作调整。</w:t>
      </w:r>
    </w:p>
    <w:p w14:paraId="3FD9F775">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11、本工程材料暂估价外的材料价格，参照阿坝州建设工程同期造价信息及市场价格综合考虑，由投标人自主报价,投标报价的综合单价中，均应含完成该项工程所需的全部主材和辅助材料，无论项目特征中提到与否，投标人均应考虑所采取的施工方法中所需的辅助材料，投标人自行选择质量优良的产品报价。在施工过程中工程师发现采用不合格的产品视为违约处理</w:t>
      </w:r>
      <w:r>
        <w:rPr>
          <w:rFonts w:hint="eastAsia" w:ascii="宋体" w:hAnsi="宋体" w:eastAsia="宋体" w:cs="Times New Roman"/>
          <w:color w:val="000000"/>
          <w:spacing w:val="8"/>
          <w:position w:val="2"/>
          <w:sz w:val="32"/>
          <w:szCs w:val="32"/>
          <w:highlight w:val="none"/>
        </w:rPr>
        <w:t>。</w:t>
      </w:r>
    </w:p>
    <w:p w14:paraId="58961519">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12、</w:t>
      </w:r>
      <w:r>
        <w:rPr>
          <w:rFonts w:hint="eastAsia" w:ascii="宋体" w:hAnsi="宋体" w:eastAsia="宋体" w:cs="Times New Roman"/>
          <w:color w:val="000000"/>
          <w:spacing w:val="8"/>
          <w:position w:val="2"/>
          <w:sz w:val="32"/>
          <w:szCs w:val="32"/>
          <w:highlight w:val="none"/>
        </w:rPr>
        <w:t>投标人投标时，规费由投标人按招标人在招标文件中公布的招标控制价（最高投标限价）的规费金额填写，计入工程造价，结算时按定额规定的以企业资质标准规定费率计算。销项增值税税率为9%,附加税税率按定额规定的综合附加税税率计算。</w:t>
      </w:r>
    </w:p>
    <w:p w14:paraId="3F696976">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13、</w:t>
      </w:r>
      <w:r>
        <w:rPr>
          <w:rFonts w:hint="eastAsia" w:ascii="宋体" w:hAnsi="宋体" w:eastAsia="宋体" w:cs="Times New Roman"/>
          <w:color w:val="000000"/>
          <w:spacing w:val="8"/>
          <w:position w:val="2"/>
          <w:sz w:val="32"/>
          <w:szCs w:val="32"/>
          <w:highlight w:val="none"/>
        </w:rPr>
        <w:t>其他项目清单: 暂列金额是招标人为了设计变更、材料风险等预留的资金，该部分金额计入暂列费用中；专业工程暂估价：投标人按工程量清单给出的金额，在单位工程计价表的其他项目清单中填入并报价。</w:t>
      </w:r>
    </w:p>
    <w:p w14:paraId="54339396">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14、</w:t>
      </w:r>
      <w:r>
        <w:rPr>
          <w:rFonts w:hint="eastAsia" w:ascii="宋体" w:hAnsi="宋体" w:eastAsia="宋体" w:cs="Times New Roman"/>
          <w:color w:val="000000"/>
          <w:spacing w:val="8"/>
          <w:position w:val="2"/>
          <w:sz w:val="32"/>
          <w:szCs w:val="32"/>
          <w:highlight w:val="none"/>
        </w:rPr>
        <w:t>为了控制投标人低价竞标后，通过变更签证或其它方式达到增加造价的目的，如中标人清单报价中有较大不合理或不平衡报价现象，且在施工中将此分部分项工程进行变更施工，需重新计算单价的，招标人将按招标控制价单价或总额扣除后，再进行变更项目的组价。</w:t>
      </w:r>
    </w:p>
    <w:p w14:paraId="67C04246">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15、</w:t>
      </w:r>
      <w:r>
        <w:rPr>
          <w:rFonts w:hint="eastAsia" w:ascii="宋体" w:hAnsi="宋体" w:eastAsia="宋体" w:cs="Times New Roman"/>
          <w:color w:val="000000"/>
          <w:spacing w:val="8"/>
          <w:position w:val="2"/>
          <w:sz w:val="32"/>
          <w:szCs w:val="32"/>
          <w:highlight w:val="none"/>
        </w:rPr>
        <w:t>该工程分部分项工程量清单及措施要填报清单综合单价分析表。</w:t>
      </w:r>
    </w:p>
    <w:p w14:paraId="14766F34">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16、</w:t>
      </w:r>
      <w:r>
        <w:rPr>
          <w:rFonts w:hint="eastAsia" w:ascii="宋体" w:hAnsi="宋体" w:eastAsia="宋体" w:cs="Times New Roman"/>
          <w:color w:val="000000"/>
          <w:spacing w:val="8"/>
          <w:position w:val="2"/>
          <w:sz w:val="32"/>
          <w:szCs w:val="32"/>
          <w:highlight w:val="none"/>
        </w:rPr>
        <w:t>工程量清单及其计价格式中的任何内容不得随意删除或涂改，若有错误，在招标答疑时及时提出，以“补遗”资料为准。</w:t>
      </w:r>
    </w:p>
    <w:p w14:paraId="686BE7E8">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17、</w:t>
      </w:r>
      <w:r>
        <w:rPr>
          <w:rFonts w:hint="eastAsia" w:ascii="宋体" w:hAnsi="宋体" w:eastAsia="宋体" w:cs="Times New Roman"/>
          <w:color w:val="000000"/>
          <w:spacing w:val="8"/>
          <w:position w:val="2"/>
          <w:sz w:val="32"/>
          <w:szCs w:val="32"/>
          <w:highlight w:val="none"/>
        </w:rPr>
        <w:t>分部分项工程量清单中的项目特征只作重点描述，详细情况见施工图设计、技术说明、技术措施表及相关标准图集。组价时应结合投标人现场勘察情况包括完成所有工序工作内容的全部费用，清单描述不能作为投标人漏项、漏序的借口。</w:t>
      </w:r>
    </w:p>
    <w:p w14:paraId="46687D98">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18、</w:t>
      </w:r>
      <w:r>
        <w:rPr>
          <w:rFonts w:hint="eastAsia" w:ascii="宋体" w:hAnsi="宋体" w:eastAsia="宋体" w:cs="Times New Roman"/>
          <w:color w:val="000000"/>
          <w:spacing w:val="8"/>
          <w:position w:val="2"/>
          <w:sz w:val="32"/>
          <w:szCs w:val="32"/>
          <w:highlight w:val="none"/>
        </w:rPr>
        <w:t>本说明未尽事项，以《计价规范》、《计价管理办法》、招标文件以及有关的法律、法规、建设行政主管部门颁发的文件为准。</w:t>
      </w:r>
    </w:p>
    <w:p w14:paraId="3D57F2F6">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eastAsia" w:ascii="宋体" w:hAnsi="宋体" w:eastAsia="宋体" w:cs="Times New Roman"/>
          <w:color w:val="000000"/>
          <w:spacing w:val="8"/>
          <w:position w:val="2"/>
          <w:sz w:val="32"/>
          <w:szCs w:val="32"/>
          <w:highlight w:val="none"/>
        </w:rPr>
      </w:pPr>
      <w:r>
        <w:rPr>
          <w:rFonts w:hint="eastAsia" w:ascii="宋体" w:hAnsi="宋体" w:eastAsia="宋体" w:cs="Times New Roman"/>
          <w:color w:val="000000"/>
          <w:spacing w:val="8"/>
          <w:position w:val="2"/>
          <w:sz w:val="32"/>
          <w:szCs w:val="32"/>
          <w:highlight w:val="none"/>
          <w:lang w:val="en-US" w:eastAsia="zh-CN"/>
        </w:rPr>
        <w:t>19、</w:t>
      </w:r>
      <w:r>
        <w:rPr>
          <w:rFonts w:hint="eastAsia" w:ascii="宋体" w:hAnsi="宋体" w:eastAsia="宋体" w:cs="Times New Roman"/>
          <w:color w:val="000000"/>
          <w:spacing w:val="8"/>
          <w:position w:val="2"/>
          <w:sz w:val="32"/>
          <w:szCs w:val="32"/>
          <w:highlight w:val="none"/>
        </w:rPr>
        <w:t>金额（价格）均以人民币表示。</w:t>
      </w:r>
    </w:p>
    <w:p w14:paraId="16C6CD66">
      <w:pPr>
        <w:keepNext w:val="0"/>
        <w:keepLines w:val="0"/>
        <w:pageBreakBefore w:val="0"/>
        <w:widowControl w:val="0"/>
        <w:kinsoku/>
        <w:wordWrap/>
        <w:overflowPunct/>
        <w:topLinePunct w:val="0"/>
        <w:autoSpaceDE/>
        <w:autoSpaceDN/>
        <w:bidi w:val="0"/>
        <w:adjustRightInd/>
        <w:snapToGrid/>
        <w:spacing w:line="500" w:lineRule="exact"/>
        <w:ind w:firstLine="672" w:firstLineChars="200"/>
        <w:textAlignment w:val="auto"/>
        <w:rPr>
          <w:rFonts w:hint="default" w:ascii="宋体" w:hAnsi="宋体" w:eastAsia="宋体" w:cs="Times New Roman"/>
          <w:b/>
          <w:bCs/>
          <w:color w:val="000000"/>
          <w:spacing w:val="8"/>
          <w:position w:val="2"/>
          <w:sz w:val="32"/>
          <w:szCs w:val="32"/>
          <w:highlight w:val="none"/>
          <w:lang w:val="en-US" w:eastAsia="zh-CN"/>
        </w:rPr>
      </w:pPr>
      <w:r>
        <w:rPr>
          <w:rFonts w:hint="eastAsia" w:ascii="宋体" w:hAnsi="宋体" w:eastAsia="宋体" w:cs="Times New Roman"/>
          <w:color w:val="000000"/>
          <w:spacing w:val="8"/>
          <w:position w:val="2"/>
          <w:sz w:val="32"/>
          <w:szCs w:val="32"/>
          <w:highlight w:val="none"/>
          <w:lang w:val="en-US" w:eastAsia="zh-CN"/>
        </w:rPr>
        <w:t>20、</w:t>
      </w:r>
      <w:r>
        <w:rPr>
          <w:rFonts w:hint="eastAsia" w:ascii="宋体" w:hAnsi="宋体" w:eastAsia="宋体" w:cs="Times New Roman"/>
          <w:b/>
          <w:bCs/>
          <w:color w:val="000000"/>
          <w:spacing w:val="8"/>
          <w:position w:val="2"/>
          <w:sz w:val="32"/>
          <w:szCs w:val="32"/>
          <w:highlight w:val="none"/>
          <w:lang w:val="en-US" w:eastAsia="zh-CN"/>
        </w:rPr>
        <w:t>本工程招标控制价为：1610448.58元。</w:t>
      </w:r>
    </w:p>
    <w:bookmarkEnd w:id="0"/>
    <w:sectPr>
      <w:headerReference r:id="rId3" w:type="default"/>
      <w:pgSz w:w="16838" w:h="11906" w:orient="landscape"/>
      <w:pgMar w:top="1701" w:right="1701" w:bottom="1134"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D7D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5MWYyMzAzOWJmZjFiMzliYWNkNDVjYTBjNzg2MDUifQ=="/>
  </w:docVars>
  <w:rsids>
    <w:rsidRoot w:val="00172A27"/>
    <w:rsid w:val="00057E18"/>
    <w:rsid w:val="000C0690"/>
    <w:rsid w:val="000C4173"/>
    <w:rsid w:val="000D2FC5"/>
    <w:rsid w:val="00174CF5"/>
    <w:rsid w:val="00192868"/>
    <w:rsid w:val="002357BA"/>
    <w:rsid w:val="002375C2"/>
    <w:rsid w:val="00282572"/>
    <w:rsid w:val="002C05C7"/>
    <w:rsid w:val="00321A7C"/>
    <w:rsid w:val="00376312"/>
    <w:rsid w:val="00441DF6"/>
    <w:rsid w:val="00461D17"/>
    <w:rsid w:val="004A0E5C"/>
    <w:rsid w:val="004D37FF"/>
    <w:rsid w:val="0053549B"/>
    <w:rsid w:val="00542EC1"/>
    <w:rsid w:val="005510FD"/>
    <w:rsid w:val="005547AE"/>
    <w:rsid w:val="005B69CD"/>
    <w:rsid w:val="00662AC9"/>
    <w:rsid w:val="006828BE"/>
    <w:rsid w:val="0071489E"/>
    <w:rsid w:val="00722D54"/>
    <w:rsid w:val="007235E2"/>
    <w:rsid w:val="00770D39"/>
    <w:rsid w:val="00780654"/>
    <w:rsid w:val="007A3DBB"/>
    <w:rsid w:val="008051DD"/>
    <w:rsid w:val="00813368"/>
    <w:rsid w:val="00824754"/>
    <w:rsid w:val="00872978"/>
    <w:rsid w:val="008C0FB2"/>
    <w:rsid w:val="008E73D8"/>
    <w:rsid w:val="00965132"/>
    <w:rsid w:val="009C1006"/>
    <w:rsid w:val="009D43CF"/>
    <w:rsid w:val="00A16F43"/>
    <w:rsid w:val="00AA3C24"/>
    <w:rsid w:val="00AF621D"/>
    <w:rsid w:val="00B07502"/>
    <w:rsid w:val="00B16840"/>
    <w:rsid w:val="00B558B8"/>
    <w:rsid w:val="00B77A26"/>
    <w:rsid w:val="00BB31ED"/>
    <w:rsid w:val="00BE0ACC"/>
    <w:rsid w:val="00BF4436"/>
    <w:rsid w:val="00C149AE"/>
    <w:rsid w:val="00C45D40"/>
    <w:rsid w:val="00CA04E5"/>
    <w:rsid w:val="00CA72B0"/>
    <w:rsid w:val="00D04172"/>
    <w:rsid w:val="00DB3E18"/>
    <w:rsid w:val="00DC45BF"/>
    <w:rsid w:val="00E046E3"/>
    <w:rsid w:val="00E4489C"/>
    <w:rsid w:val="00EA5C72"/>
    <w:rsid w:val="00EC450D"/>
    <w:rsid w:val="00EF46D8"/>
    <w:rsid w:val="00F01270"/>
    <w:rsid w:val="00F30EE6"/>
    <w:rsid w:val="00F36D21"/>
    <w:rsid w:val="00FB331B"/>
    <w:rsid w:val="00FC4E6E"/>
    <w:rsid w:val="11AB3483"/>
    <w:rsid w:val="2441618A"/>
    <w:rsid w:val="283D3FFE"/>
    <w:rsid w:val="2880617F"/>
    <w:rsid w:val="4C185A4D"/>
    <w:rsid w:val="4C735C27"/>
    <w:rsid w:val="66882263"/>
    <w:rsid w:val="6A347948"/>
    <w:rsid w:val="732F1389"/>
    <w:rsid w:val="772A449D"/>
    <w:rsid w:val="784B74D2"/>
    <w:rsid w:val="786446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character" w:styleId="8">
    <w:name w:val="Hyperlink"/>
    <w:unhideWhenUsed/>
    <w:uiPriority w:val="99"/>
    <w:rPr>
      <w:color w:val="0000FF"/>
      <w:u w:val="single"/>
    </w:rPr>
  </w:style>
  <w:style w:type="character" w:customStyle="1" w:styleId="9">
    <w:name w:val="批注框文本 Char"/>
    <w:link w:val="2"/>
    <w:uiPriority w:val="0"/>
    <w:rPr>
      <w:kern w:val="2"/>
      <w:sz w:val="18"/>
      <w:szCs w:val="18"/>
    </w:rPr>
  </w:style>
  <w:style w:type="character" w:customStyle="1" w:styleId="10">
    <w:name w:val="wp_keywordlink_affiliate"/>
    <w:basedOn w:val="7"/>
    <w:uiPriority w:val="0"/>
  </w:style>
  <w:style w:type="character" w:customStyle="1" w:styleId="11">
    <w:name w:val="wp_keywordlink"/>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5</Pages>
  <Words>2218</Words>
  <Characters>2302</Characters>
  <Lines>17</Lines>
  <Paragraphs>4</Paragraphs>
  <TotalTime>7</TotalTime>
  <ScaleCrop>false</ScaleCrop>
  <LinksUpToDate>false</LinksUpToDate>
  <CharactersWithSpaces>2305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2009-11-11T02:24:00Z</dcterms:created>
  <dc:creator>雨林木风</dc:creator>
  <cp:lastModifiedBy>ym5_</cp:lastModifiedBy>
  <cp:lastPrinted>2012-08-13T03:56:00Z</cp:lastPrinted>
  <dcterms:modified xsi:type="dcterms:W3CDTF">2025-05-08T03:54:29Z</dcterms:modified>
  <dc:title>工程量清单说明</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3451061474524A78A6856645CD8776D6_13</vt:lpwstr>
  </property>
  <property fmtid="{D5CDD505-2E9C-101B-9397-08002B2CF9AE}" pid="4" name="KSOTemplateDocerSaveRecord">
    <vt:lpwstr>eyJoZGlkIjoiMzM5YjkyYTk0MzQ5ZTU0OTlhMTJhYWY1ODVkOTM2YzQiLCJ1c2VySWQiOiI2NTk1NjgzMDUifQ==</vt:lpwstr>
  </property>
</Properties>
</file>