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版本号：N513221202500008820250620001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（工程类）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汶川县2025年农村污水治理项目（向前村）</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N5132212025000088</w:t>
      </w:r>
    </w:p>
    <w:p>
      <w:pPr>
        <w:pStyle w:val="null3"/>
        <w:jc w:val="center"/>
        <w:outlineLvl w:val="2"/>
      </w:pPr>
      <w:r>
        <w:rPr>
          <w:rFonts w:ascii="仿宋_GB2312" w:hAnsi="仿宋_GB2312" w:cs="仿宋_GB2312" w:eastAsia="仿宋_GB2312"/>
          <w:sz w:val="28"/>
          <w:b/>
        </w:rPr>
        <w:t>汶川县绵虒镇人民政府</w:t>
      </w:r>
    </w:p>
    <w:p>
      <w:pPr>
        <w:pStyle w:val="null3"/>
        <w:jc w:val="center"/>
        <w:outlineLvl w:val="2"/>
      </w:pPr>
      <w:r>
        <w:rPr>
          <w:rFonts w:ascii="仿宋_GB2312" w:hAnsi="仿宋_GB2312" w:cs="仿宋_GB2312" w:eastAsia="仿宋_GB2312"/>
          <w:sz w:val="28"/>
          <w:b/>
        </w:rPr>
        <w:t>汶川县政府采购中心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2025年06月20日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汶川县政府采购中心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汶川县绵虒镇人民政府</w:t>
      </w:r>
      <w:r>
        <w:rPr>
          <w:rFonts w:ascii="仿宋_GB2312" w:hAnsi="仿宋_GB2312" w:cs="仿宋_GB2312" w:eastAsia="仿宋_GB2312"/>
        </w:rPr>
        <w:t xml:space="preserve"> 委托，拟对 </w:t>
      </w:r>
      <w:r>
        <w:rPr>
          <w:rFonts w:ascii="仿宋_GB2312" w:hAnsi="仿宋_GB2312" w:cs="仿宋_GB2312" w:eastAsia="仿宋_GB2312"/>
        </w:rPr>
        <w:t>汶川县2025年农村污水治理项目（向前村）</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阿坝藏族羌族自治州汶川县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N5132212025000088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汶川县2025年农村污水治理项目（向前村）</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次管网设计为小范围分片收集污水，分片治理的原则进行，重点对96户村民污水进行处置，共布置50套处置系统，平均3户接入一套处置系统，收集井布置在3户污水管汇集处、及管道转弯处（具体位置由现场实际情况确定）。收集井50座，深度设置为1.3米，主管道检查井51座。</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本项目以供应商库随机抽取方式邀请供应商参加磋商。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市政公用工程施工总承包三级或以上、安全生产许可证；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供应商取得本项目成交资格且注册地不在四川省行政区域内的，应当在政府采购合同签订前向采购人提交在有效期内的四川省住房和城乡建设厅官网已公开的入川信息网页截图。（描述：在政府采购合同签订前向采购人提交在有效期内的四川省住房和城乡建设厅官网已公开的入川信息网页截图的承诺。供应商需在交易系统中按要求上传相应证明文件并进行电子签章。）</w:t>
      </w:r>
    </w:p>
    <w:p>
      <w:pPr>
        <w:pStyle w:val="null3"/>
        <w:jc w:val="left"/>
      </w:pPr>
      <w:r>
        <w:rPr>
          <w:rFonts w:ascii="仿宋_GB2312" w:hAnsi="仿宋_GB2312" w:cs="仿宋_GB2312" w:eastAsia="仿宋_GB2312"/>
        </w:rPr>
        <w:t>3、除资格审查以外的其他实质性要求（描述：按照采购文件要求评审）</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汶川县绵虒镇人民政府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绵虒镇绵丰村</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吕忠书</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15808253110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汶川县政府采购中心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四川省阿坝藏族羌族自治州汶川县阿坝州汶川县威州镇岷江路中段7号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何泽坤</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18783776761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采购包1：1,800,000.00元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汶川县绵虒镇人民政府</w:t>
      </w:r>
      <w:r>
        <w:rPr>
          <w:rFonts w:ascii="仿宋_GB2312" w:hAnsi="仿宋_GB2312" w:cs="仿宋_GB2312" w:eastAsia="仿宋_GB2312"/>
        </w:rPr>
        <w:t xml:space="preserve"> 和 </w:t>
      </w:r>
      <w:r>
        <w:rPr>
          <w:rFonts w:ascii="仿宋_GB2312" w:hAnsi="仿宋_GB2312" w:cs="仿宋_GB2312" w:eastAsia="仿宋_GB2312"/>
        </w:rPr>
        <w:t>汶川县政府采购中心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汶川县绵虒镇人民政府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汶川县政府采购中心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在交易系统发送更正信息，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（四）磋商文件已明确各单位工程规费金额并要求按此金额填报而供应商填报错误或未填报的，或供应商未按相关计价规定计取规费的；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（五）磋商文件若已明确创优质工程奖补偿奖励费金额并要求按此金额填报而供应商填报错误或未填报的；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供应商提出书面验收申请后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磋商文件的质量要求和技术指标、供应商的响应文件及承诺与本项目合同约定标准进行验收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磋商文件的质量要求和技术指标、供应商的响应文件及承诺与本项目合同约定标准进行验收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和财政部《政府采购需求管理办法》（财库[2021]22号）的要求，按磋商文件要求、供应商的响应文件及承诺、签订的合同、国家及行业相关规范标准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汶川县绵虒镇人民政府</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汶川县政府采购中心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汶川县政府采购中心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联系人：吕忠书</w:t>
      </w:r>
    </w:p>
    <w:p>
      <w:pPr>
        <w:pStyle w:val="null3"/>
        <w:jc w:val="left"/>
      </w:pPr>
      <w:r>
        <w:rPr>
          <w:rFonts w:ascii="仿宋_GB2312" w:hAnsi="仿宋_GB2312" w:cs="仿宋_GB2312" w:eastAsia="仿宋_GB2312"/>
        </w:rPr>
        <w:t>联系电话：15808253110</w:t>
      </w:r>
    </w:p>
    <w:p>
      <w:pPr>
        <w:pStyle w:val="null3"/>
        <w:jc w:val="left"/>
      </w:pPr>
      <w:r>
        <w:rPr>
          <w:rFonts w:ascii="仿宋_GB2312" w:hAnsi="仿宋_GB2312" w:cs="仿宋_GB2312" w:eastAsia="仿宋_GB2312"/>
        </w:rPr>
        <w:t>地址：绵虒镇绵丰村</w:t>
      </w:r>
    </w:p>
    <w:p>
      <w:pPr>
        <w:pStyle w:val="null3"/>
        <w:jc w:val="left"/>
      </w:pPr>
      <w:r>
        <w:rPr>
          <w:rFonts w:ascii="仿宋_GB2312" w:hAnsi="仿宋_GB2312" w:cs="仿宋_GB2312" w:eastAsia="仿宋_GB2312"/>
        </w:rPr>
        <w:t>邮编：623000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1,800,000.00</w:t>
      </w:r>
    </w:p>
    <w:p>
      <w:pPr>
        <w:pStyle w:val="null3"/>
        <w:jc w:val="left"/>
      </w:pPr>
      <w:r>
        <w:rPr>
          <w:rFonts w:ascii="仿宋_GB2312" w:hAnsi="仿宋_GB2312" w:cs="仿宋_GB2312" w:eastAsia="仿宋_GB2312"/>
        </w:rPr>
        <w:t>采购包最高限价（元）: 1,610,448.58</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B02140100 污水处理工程施工</w:t>
            </w:r>
          </w:p>
        </w:tc>
        <w:tc>
          <w:tcPr>
            <w:tcW w:type="dxa" w:w="821"/>
          </w:tcPr>
          <w:p>
            <w:pPr>
              <w:pStyle w:val="null3"/>
              <w:jc w:val="left"/>
            </w:pPr>
            <w:r>
              <w:rPr>
                <w:rFonts w:ascii="仿宋_GB2312" w:hAnsi="仿宋_GB2312" w:cs="仿宋_GB2312" w:eastAsia="仿宋_GB2312"/>
              </w:rPr>
              <w:t>汶川县2025年农村污水治理项目（向前村）</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1,610,448.58</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汶川县2025年农村污水治理项目（向前村）</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1,610,448.58</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B02140100 污水处理工程施工</w:t>
            </w:r>
          </w:p>
        </w:tc>
        <w:tc>
          <w:tcPr>
            <w:tcW w:type="dxa" w:w="2492"/>
          </w:tcPr>
          <w:p>
            <w:pPr>
              <w:pStyle w:val="null3"/>
              <w:jc w:val="left"/>
            </w:pPr>
            <w:r>
              <w:rPr>
                <w:rFonts w:ascii="仿宋_GB2312" w:hAnsi="仿宋_GB2312" w:cs="仿宋_GB2312" w:eastAsia="仿宋_GB2312"/>
              </w:rPr>
              <w:t>汶川县2025年农村污水治理项目（向前村）</w:t>
            </w:r>
          </w:p>
        </w:tc>
        <w:tc>
          <w:tcPr>
            <w:tcW w:type="dxa" w:w="2492"/>
          </w:tcPr>
          <w:p>
            <w:pPr>
              <w:pStyle w:val="null3"/>
              <w:jc w:val="left"/>
            </w:pPr>
            <w:r>
              <w:rPr>
                <w:rFonts w:ascii="仿宋_GB2312" w:hAnsi="仿宋_GB2312" w:cs="仿宋_GB2312" w:eastAsia="仿宋_GB2312"/>
              </w:rPr>
              <w:t>水泥、商品混泥土、双壁波纹管等</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标的名称：汶川县2025年农村污水治理项目（向前村）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自合同签订之日起120日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汶川县绵虒镇向前村</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 ，达到付款条件起7日内，支付合同总金额的30.00%</w:t>
            </w:r>
          </w:p>
          <w:p>
            <w:pPr>
              <w:pStyle w:val="null3"/>
              <w:jc w:val="left"/>
            </w:pPr>
            <w:r>
              <w:rPr>
                <w:rFonts w:ascii="仿宋_GB2312" w:hAnsi="仿宋_GB2312" w:cs="仿宋_GB2312" w:eastAsia="仿宋_GB2312"/>
              </w:rPr>
              <w:t>2、完成总工程量80%后 ，达到付款条件起7日内，支付合同总金额的40.00%</w:t>
            </w:r>
          </w:p>
          <w:p>
            <w:pPr>
              <w:pStyle w:val="null3"/>
              <w:jc w:val="left"/>
            </w:pPr>
            <w:r>
              <w:rPr>
                <w:rFonts w:ascii="仿宋_GB2312" w:hAnsi="仿宋_GB2312" w:cs="仿宋_GB2312" w:eastAsia="仿宋_GB2312"/>
              </w:rPr>
              <w:t>3、项目完成并经验收合格，结算审计完成后，达到付款条件起7日内，支付合同总金额的30.00%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标准：采购人将严格按照《财政部关于进一步加强政府采购需求和履约验收管理的指导意见》(财库〔2016〕205号)和财政部《政府采购需求管理办法》（财库[2021]22号）的要求，按照磋商文件要求及响应文件应答等内容进行验收。 验收方式:按照采购项目的具体要求组织验收。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①供应商提供的服务不符合本合同规定的，每出现一次违约（合同涉及“日期”和“天数”的，每逾期一天或少一天，视为一次违约），供应商须向采购人支付本合同总价1%的违约金并且按采购人要求进行整改，出现违约3次以上或未按采购人要求整改的，采购人有权无条件解除本合同并要求供应商退还已收取的费用。 ②采购人无正当理由逾期未按照合同约定付款的，则每日按未付款金额的1‰向供应商偿付违约金，但累计违约金总额不超过未付款总的10％。 ③供应商保证本合同的权利无瑕疵，包括服务成果所有权及知识产权等权利无瑕疵。如任何第三方经法院（或仲裁机构）裁决有权对上述产品主张权利，由供应商承担经济责任的，供应商除应向采购人返还已收款项及利息外，还应另按合同总价的10%向采购人支付违约金并赔偿因此给采购人造成的一切损失。 ④当事人一方不履行合同义务或者履行合同义务不符合约定，给对方造成损失的，损失赔偿额应当相当于因违约所造成的的一切损失，包括由此给对方造成的直接损失以及包括但不限于诉讼费、律师费、保全费等间接损失。但是损失赔偿金额以本合同总额为限。 争议管辖： ①因服务的质量问题发生争议，由采购人或其指定的第三方机构进行质量鉴定。服务符合标准的，鉴定费由采购人承担；服务不符合质量标准的，鉴定费由供应商承担。 ②合同履行期间,若双方发生争议，可协商或由有关部门调解解决，协商或调解不成的，向所在地人民法院起诉。</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以合同约定为准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以专家现场评审意见为准</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rFonts w:ascii="仿宋_GB2312" w:hAnsi="仿宋_GB2312" w:cs="仿宋_GB2312" w:eastAsia="仿宋_GB2312"/>
        </w:rPr>
        <w:t>注：工程量清单不属于磋商过程中可以实质性变动的内容。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 xml:space="preserve"> 七、磋商文件规定的供应商资格条件与随机抽取设置的或邀请书中载明的供应商资格条件不一致的；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八、磋商文件有违反国家其他有关强制性规定的情形。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rFonts w:ascii="仿宋_GB2312" w:hAnsi="仿宋_GB2312" w:cs="仿宋_GB2312" w:eastAsia="仿宋_GB2312"/>
              </w:rPr>
              <w:t>供应商应提交的相关证明材料,投标（响应）函,项目负责人信息表</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市政公用工程二级建造师及以上建造师注册证书原件扫描件；</w:t>
              <w:br/>
              <w:t>供应商应当提供项目负责人的行业主管部门颁发的且在有效期内的房屋建筑和市政基础设施工程安全生产考核合格证书 (B 证)原件扫描件；</w:t>
              <w:br/>
              <w:t>供应商需在使用投标(响应)客户端编制响应文件时，按要求上传相应证明材料，填写《投标（响应）函》完成承诺，并进行电子签章。</w:t>
              <w:br/>
              <w:t>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供应商应提交的相关证明材料,投标（响应）函,项目负责人信息表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市政公用工程施工总承包三级或以上、安全生产许可证；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供应商应提交的相关证明材料,投标（响应）函,企业资质信息表</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rFonts w:ascii="仿宋_GB2312" w:hAnsi="仿宋_GB2312" w:cs="仿宋_GB2312" w:eastAsia="仿宋_GB2312"/>
              </w:rPr>
              <w:t>在政府采购合同签订前向采购人提交在有效期内的四川省住房和城乡建设厅官网已公开的入川信息网页截图的承诺。供应商需在交易系统中按要求上传相应证明文件并进行电子签章。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除资格审查以外的其他实质性要求</w:t>
            </w:r>
          </w:p>
        </w:tc>
        <w:tc>
          <w:tcPr>
            <w:tcW w:type="dxa" w:w="3322"/>
          </w:tcPr>
          <w:p>
            <w:pPr>
              <w:pStyle w:val="null3"/>
              <w:jc w:val="left"/>
            </w:pPr>
            <w:r>
              <w:rPr>
                <w:rFonts w:ascii="仿宋_GB2312" w:hAnsi="仿宋_GB2312" w:cs="仿宋_GB2312" w:eastAsia="仿宋_GB2312"/>
              </w:rPr>
              <w:t>按照采购文件要求评审</w:t>
            </w:r>
          </w:p>
        </w:tc>
        <w:tc>
          <w:tcPr>
            <w:tcW w:type="dxa" w:w="1910"/>
          </w:tcPr>
          <w:p>
            <w:pPr>
              <w:pStyle w:val="null3"/>
              <w:jc w:val="left"/>
            </w:pPr>
            <w:r>
              <w:rPr>
                <w:rFonts w:ascii="仿宋_GB2312" w:hAnsi="仿宋_GB2312" w:cs="仿宋_GB2312" w:eastAsia="仿宋_GB2312"/>
              </w:rPr>
              <w:t>已标价工程量清单,强制、优先采购产品承诺函,供应商应提交的相关证明材料,报价表,投标（响应）函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二、磋商小组应对供应商已标价工程量清单进行算术性复核，如果出现下列不一致的，按以下原则进行修正：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磋商小组认为供应商响应报价明显低于其他通过符合性审查供应商的响应报价，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注：供应商报价低于最高限价85%或者低于其他有效供应商报价算术平均价90%的，磋商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施工组织方案</w:t>
      </w:r>
      <w:r>
        <w:rPr>
          <w:rFonts w:ascii="仿宋_GB2312" w:hAnsi="仿宋_GB2312" w:cs="仿宋_GB2312" w:eastAsia="仿宋_GB2312"/>
        </w:rPr>
        <w:t xml:space="preserve"> ，按照技术指标得分确定优劣）顺序排列；评审得分且最后报价且技术指标得分均相同的，按供应商承诺提供的优先采购产品认证证书数量由多到少顺序排列；评审得分且最后报价且技术指标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outlineLvl w:val="3"/>
      </w:pPr>
      <w:r>
        <w:rPr>
          <w:rFonts w:ascii="仿宋_GB2312" w:hAnsi="仿宋_GB2312" w:cs="仿宋_GB2312" w:eastAsia="仿宋_GB2312"/>
          <w:sz w:val="24"/>
          <w:b/>
        </w:rPr>
        <w:t>评分标准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施工组织方案</w:t>
            </w:r>
          </w:p>
        </w:tc>
        <w:tc>
          <w:tcPr>
            <w:tcW w:type="dxa" w:w="2575"/>
          </w:tcPr>
          <w:p>
            <w:pPr>
              <w:pStyle w:val="null3"/>
              <w:jc w:val="left"/>
            </w:pPr>
            <w:r>
              <w:rPr>
                <w:rFonts w:ascii="仿宋_GB2312" w:hAnsi="仿宋_GB2312" w:cs="仿宋_GB2312" w:eastAsia="仿宋_GB2312"/>
              </w:rPr>
              <w:t>1.施工方案与技术措施：根据供应商针对本项目提供的施工方案与技术措施，包括①工程概况；②施工总体规划（规划依据、难点分析、应急措施）；③施工准备及施工部署（技术准备、施工现场准备、物资准备、劳动力物资准备等）；④施工方案与技术措施等内容进行评审：上述内容提供完整无误的得20分；每有一处存在内容缺陷(内容缺陷指：项目名称、实施地点、涉及的规范、标准与本项目要求不一致；方案措施与项目特点不匹配；施工准备与开工要求不匹配；技术工艺环节漏缺项)扣2.5分，每缺少一项内容的扣5分，扣完为止。 2.项目管理机构：根据供应商针对本项目提供的人员配置及项目管理机构，包括①项目施工组织管理结构图、②项目部主要成员岗位职责（项目经理、技术负责）、③项目部的协调措施（包括与业主、设计单位等）等内容进行评审：上述内容提供完整无误的得18分；每有一处存在内容缺陷(内容缺陷指：机构设置与项目建设要求有缺项、人员岗位职责不清晰或交叉混乱、协调措施缺乏监督机制、人员专业与项目岗位要求不匹配、不相容岗位分离未分离的)扣3分，每缺少一项内容的扣6分，扣完为止。 3.管理体系及保证措施：根据供应商针对本项目提供的①质量管理体系及保证措施、②安全防护及文明施工管理体系与措施、③环境保护管理体系与措施等内容进行评审：上述内容提供完整无误的得12分；每有一处存在内容缺陷(内容缺陷指：环保体系建设与项目要求有漏项、环境卫生措施与项目施工特点不匹配、污染物处理措施与项目建设特点不匹配、职责不明确、操作流程不规范的)扣2分，每缺少一项内容的扣4分，扣完为止。 4.项目进度计划与措施：根据供应商针对本项目提供的项目进度计划与措施，包括①详细的项目进度计划(含计划开、竣工日期和施工进度网络图)、②完整的项目工期保证措施、③劳动力配备及管理措施、④主要人、料、机配置使用计划及管理措施等内容进行综合评审：上述内容提供完整无误的得20分；每有一处存在内容缺陷(内容缺陷指：进度计划超期、进度计划违背项目施工质量及技术工艺要求、劳动力配置与项目建设工期不匹配、人、料、机使用计划混乱、管理操作流程不规范的)扣2.5分，每缺少一项内容的扣5分，扣完为止。</w:t>
            </w:r>
          </w:p>
        </w:tc>
        <w:tc>
          <w:tcPr>
            <w:tcW w:type="dxa" w:w="831"/>
          </w:tcPr>
          <w:p>
            <w:pPr>
              <w:pStyle w:val="null3"/>
              <w:jc w:val="center"/>
            </w:pPr>
            <w:r>
              <w:rPr>
                <w:rFonts w:ascii="仿宋_GB2312" w:hAnsi="仿宋_GB2312" w:cs="仿宋_GB2312" w:eastAsia="仿宋_GB2312"/>
              </w:rPr>
              <w:t>70.0000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质量保证</w:t>
            </w:r>
          </w:p>
        </w:tc>
        <w:tc>
          <w:tcPr>
            <w:tcW w:type="dxa" w:w="2575"/>
          </w:tcPr>
          <w:p>
            <w:pPr>
              <w:pStyle w:val="null3"/>
              <w:jc w:val="left"/>
            </w:pPr>
            <w:r>
              <w:rPr>
                <w:rFonts w:ascii="仿宋_GB2312" w:hAnsi="仿宋_GB2312" w:cs="仿宋_GB2312" w:eastAsia="仿宋_GB2312"/>
              </w:rPr>
              <w:t>对工程质量问题的响应时间：36-48小时以内的（包含48不包含36）得4分；12-36小时以内的（包含36不包含12）得6分；12小时以内（包含12小时）的得8分。（提供承诺函并加盖供应商公电子签章，否则不得分。）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供应商2022年1月1日(含1日）（具体时间以竣工时间为准）至投标截止之日，每提供一个已完成类似项目业绩的得4分，本项最多得12分。 【注：提供合同复印件和竣工验收报告复印件并加盖供应商公电子签章，否则不得分。】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经评审有效的最低报价为磋商基准价； 磋商报价得分=（磋商基准价/磋商报价）*10*100%。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已标价工程量清单</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一、评审结束后，代理机构在评审结束之日起2个工作日内将磋商报告及有关资料送交采购人。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（工程类）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根据《中华人民共和国政府采购法》、《中华人民共和国民法典》、《中华人民共和国建筑法》及</w:t>
      </w:r>
      <w:r>
        <w:rPr>
          <w:rFonts w:ascii="仿宋_GB2312" w:hAnsi="仿宋_GB2312" w:cs="仿宋_GB2312" w:eastAsia="仿宋_GB2312"/>
        </w:rPr>
        <w:t>________</w:t>
      </w:r>
      <w:r>
        <w:rPr>
          <w:rFonts w:ascii="仿宋_GB2312" w:hAnsi="仿宋_GB2312" w:cs="仿宋_GB2312" w:eastAsia="仿宋_GB2312"/>
        </w:rPr>
        <w:t>采购项目（项目编号：</w:t>
      </w:r>
      <w:r>
        <w:rPr>
          <w:rFonts w:ascii="仿宋_GB2312" w:hAnsi="仿宋_GB2312" w:cs="仿宋_GB2312" w:eastAsia="仿宋_GB2312"/>
        </w:rPr>
        <w:t>________</w:t>
      </w:r>
      <w:r>
        <w:rPr>
          <w:rFonts w:ascii="仿宋_GB2312" w:hAnsi="仿宋_GB2312" w:cs="仿宋_GB2312" w:eastAsia="仿宋_GB2312"/>
        </w:rPr>
        <w:t>）的</w:t>
      </w:r>
      <w:r>
        <w:rPr>
          <w:rFonts w:ascii="仿宋_GB2312" w:hAnsi="仿宋_GB2312" w:cs="仿宋_GB2312" w:eastAsia="仿宋_GB2312"/>
        </w:rPr>
        <w:t>《磋商文件》</w:t>
      </w:r>
      <w:r>
        <w:rPr>
          <w:rFonts w:ascii="仿宋_GB2312" w:hAnsi="仿宋_GB2312" w:cs="仿宋_GB2312" w:eastAsia="仿宋_GB2312"/>
        </w:rPr>
        <w:t>、乙方的响应文件及成交通知书，甲、乙双方同意签订本合同。</w:t>
      </w:r>
    </w:p>
    <w:p>
      <w:pPr>
        <w:pStyle w:val="null3"/>
        <w:jc w:val="left"/>
        <w:outlineLvl w:val="2"/>
      </w:pPr>
      <w:r>
        <w:rPr>
          <w:rFonts w:ascii="仿宋_GB2312" w:hAnsi="仿宋_GB2312" w:cs="仿宋_GB2312" w:eastAsia="仿宋_GB2312"/>
          <w:sz w:val="28"/>
          <w:b/>
        </w:rPr>
        <w:t xml:space="preserve"> 一、工程概况</w:t>
      </w:r>
    </w:p>
    <w:p>
      <w:pPr>
        <w:pStyle w:val="null3"/>
        <w:jc w:val="left"/>
      </w:pPr>
      <w:r>
        <w:rPr>
          <w:rFonts w:ascii="仿宋_GB2312" w:hAnsi="仿宋_GB2312" w:cs="仿宋_GB2312" w:eastAsia="仿宋_GB2312"/>
        </w:rPr>
        <w:t xml:space="preserve"> 1.工程名称：</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2.工程地点：</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3.项目编号：</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4.工程内容、规模及承包范围</w:t>
      </w:r>
    </w:p>
    <w:p>
      <w:pPr>
        <w:pStyle w:val="null3"/>
        <w:jc w:val="left"/>
      </w:pPr>
      <w:r>
        <w:br/>
      </w:r>
    </w:p>
    <w:p>
      <w:pPr>
        <w:pStyle w:val="null3"/>
        <w:jc w:val="left"/>
        <w:outlineLvl w:val="2"/>
      </w:pPr>
      <w:r>
        <w:rPr>
          <w:rFonts w:ascii="仿宋_GB2312" w:hAnsi="仿宋_GB2312" w:cs="仿宋_GB2312" w:eastAsia="仿宋_GB2312"/>
          <w:sz w:val="28"/>
          <w:b/>
        </w:rPr>
        <w:t xml:space="preserve"> 二、合同工期</w:t>
      </w:r>
    </w:p>
    <w:p>
      <w:pPr>
        <w:pStyle w:val="null3"/>
        <w:jc w:val="left"/>
      </w:pPr>
      <w:r>
        <w:rPr>
          <w:rFonts w:ascii="仿宋_GB2312" w:hAnsi="仿宋_GB2312" w:cs="仿宋_GB2312" w:eastAsia="仿宋_GB2312"/>
        </w:rPr>
        <w:t>计划开工日期：年 月 日</w:t>
      </w:r>
    </w:p>
    <w:p>
      <w:pPr>
        <w:pStyle w:val="null3"/>
        <w:jc w:val="left"/>
      </w:pPr>
      <w:r>
        <w:rPr>
          <w:rFonts w:ascii="仿宋_GB2312" w:hAnsi="仿宋_GB2312" w:cs="仿宋_GB2312" w:eastAsia="仿宋_GB2312"/>
        </w:rPr>
        <w:t>计划竣工日期：年 月 日</w:t>
      </w:r>
    </w:p>
    <w:p>
      <w:pPr>
        <w:pStyle w:val="null3"/>
        <w:jc w:val="left"/>
      </w:pPr>
      <w:r>
        <w:rPr>
          <w:rFonts w:ascii="仿宋_GB2312" w:hAnsi="仿宋_GB2312" w:cs="仿宋_GB2312" w:eastAsia="仿宋_GB2312"/>
        </w:rPr>
        <w:t>工期总日历天数： 天。工期总日历天数与根据前述计划开竣工日期计算的工期天数不一致的，以工期总日历天数为准</w:t>
      </w:r>
    </w:p>
    <w:p>
      <w:pPr>
        <w:pStyle w:val="null3"/>
        <w:jc w:val="left"/>
        <w:outlineLvl w:val="2"/>
      </w:pPr>
      <w:r>
        <w:rPr>
          <w:rFonts w:ascii="仿宋_GB2312" w:hAnsi="仿宋_GB2312" w:cs="仿宋_GB2312" w:eastAsia="仿宋_GB2312"/>
          <w:sz w:val="28"/>
          <w:b/>
        </w:rPr>
        <w:t xml:space="preserve"> 三、质量标准和规范</w:t>
      </w:r>
    </w:p>
    <w:p>
      <w:pPr>
        <w:pStyle w:val="null3"/>
        <w:jc w:val="left"/>
      </w:pPr>
      <w:r>
        <w:rPr>
          <w:rFonts w:ascii="仿宋_GB2312" w:hAnsi="仿宋_GB2312" w:cs="仿宋_GB2312" w:eastAsia="仿宋_GB2312"/>
        </w:rPr>
        <w:t>1.该工程质量符合标准：</w:t>
      </w:r>
    </w:p>
    <w:p>
      <w:pPr>
        <w:pStyle w:val="null3"/>
        <w:jc w:val="left"/>
      </w:pPr>
      <w:r>
        <w:rPr>
          <w:rFonts w:ascii="仿宋_GB2312" w:hAnsi="仿宋_GB2312" w:cs="仿宋_GB2312" w:eastAsia="仿宋_GB2312"/>
        </w:rPr>
        <w:t>2.采购人对工程的技术标准和功能要求的特殊要求：</w:t>
      </w:r>
    </w:p>
    <w:p>
      <w:pPr>
        <w:pStyle w:val="null3"/>
        <w:jc w:val="left"/>
        <w:outlineLvl w:val="2"/>
      </w:pPr>
      <w:r>
        <w:rPr>
          <w:rFonts w:ascii="仿宋_GB2312" w:hAnsi="仿宋_GB2312" w:cs="仿宋_GB2312" w:eastAsia="仿宋_GB2312"/>
          <w:sz w:val="28"/>
          <w:b/>
        </w:rPr>
        <w:t xml:space="preserve"> 四、签约合同价与合同价格形式</w:t>
      </w:r>
    </w:p>
    <w:p>
      <w:pPr>
        <w:pStyle w:val="null3"/>
        <w:jc w:val="left"/>
      </w:pPr>
      <w:r>
        <w:rPr>
          <w:rFonts w:ascii="仿宋_GB2312" w:hAnsi="仿宋_GB2312" w:cs="仿宋_GB2312" w:eastAsia="仿宋_GB2312"/>
        </w:rPr>
        <w:t>1.签约合同价为人民币（大写）</w:t>
      </w:r>
      <w:r>
        <w:rPr>
          <w:rFonts w:ascii="仿宋_GB2312" w:hAnsi="仿宋_GB2312" w:cs="仿宋_GB2312" w:eastAsia="仿宋_GB2312"/>
        </w:rPr>
        <w:t>________</w:t>
      </w:r>
      <w:r>
        <w:rPr>
          <w:rFonts w:ascii="仿宋_GB2312" w:hAnsi="仿宋_GB2312" w:cs="仿宋_GB2312" w:eastAsia="仿宋_GB2312"/>
        </w:rPr>
        <w:t>（小写金额：</w:t>
      </w:r>
      <w:r>
        <w:rPr>
          <w:rFonts w:ascii="仿宋_GB2312" w:hAnsi="仿宋_GB2312" w:cs="仿宋_GB2312" w:eastAsia="仿宋_GB2312"/>
        </w:rPr>
        <w:t>________</w:t>
      </w:r>
      <w:r>
        <w:rPr>
          <w:rFonts w:ascii="仿宋_GB2312" w:hAnsi="仿宋_GB2312" w:cs="仿宋_GB2312" w:eastAsia="仿宋_GB2312"/>
        </w:rPr>
        <w:t>元）；</w:t>
      </w:r>
    </w:p>
    <w:p>
      <w:pPr>
        <w:pStyle w:val="null3"/>
        <w:jc w:val="left"/>
      </w:pPr>
      <w:r>
        <w:rPr>
          <w:rFonts w:ascii="仿宋_GB2312" w:hAnsi="仿宋_GB2312" w:cs="仿宋_GB2312" w:eastAsia="仿宋_GB2312"/>
        </w:rPr>
        <w:t>其中：</w:t>
      </w:r>
    </w:p>
    <w:p>
      <w:pPr>
        <w:pStyle w:val="null3"/>
        <w:jc w:val="left"/>
      </w:pPr>
      <w:r>
        <w:rPr>
          <w:rFonts w:ascii="仿宋_GB2312" w:hAnsi="仿宋_GB2312" w:cs="仿宋_GB2312" w:eastAsia="仿宋_GB2312"/>
        </w:rPr>
        <w:t>（1）安全文明施工费：</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（3）专业工程暂估价金额：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（4）暂列金额：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2.合同定价方式：</w:t>
      </w:r>
    </w:p>
    <w:p>
      <w:pPr>
        <w:pStyle w:val="null3"/>
        <w:jc w:val="left"/>
      </w:pPr>
      <w:r>
        <w:rPr>
          <w:rFonts w:ascii="仿宋_GB2312" w:hAnsi="仿宋_GB2312" w:cs="仿宋_GB2312" w:eastAsia="仿宋_GB2312"/>
        </w:rPr>
        <w:t>3.付款进度安排及资金支付方式：</w:t>
      </w:r>
    </w:p>
    <w:p>
      <w:pPr>
        <w:pStyle w:val="null3"/>
        <w:jc w:val="left"/>
      </w:pPr>
      <w:r>
        <w:br/>
      </w:r>
    </w:p>
    <w:p>
      <w:pPr>
        <w:pStyle w:val="null3"/>
        <w:jc w:val="left"/>
        <w:outlineLvl w:val="2"/>
      </w:pPr>
      <w:r>
        <w:rPr>
          <w:rFonts w:ascii="仿宋_GB2312" w:hAnsi="仿宋_GB2312" w:cs="仿宋_GB2312" w:eastAsia="仿宋_GB2312"/>
          <w:sz w:val="28"/>
          <w:b/>
        </w:rPr>
        <w:t xml:space="preserve"> 五、项目经理</w:t>
      </w:r>
    </w:p>
    <w:p>
      <w:pPr>
        <w:pStyle w:val="null3"/>
        <w:jc w:val="left"/>
      </w:pPr>
      <w:r>
        <w:rPr>
          <w:rFonts w:ascii="仿宋_GB2312" w:hAnsi="仿宋_GB2312" w:cs="仿宋_GB2312" w:eastAsia="仿宋_GB2312"/>
        </w:rPr>
        <w:t>姓名：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 xml:space="preserve"> 六、合同文件构成</w:t>
      </w:r>
    </w:p>
    <w:p>
      <w:pPr>
        <w:pStyle w:val="null3"/>
        <w:jc w:val="left"/>
      </w:pPr>
      <w:r>
        <w:rPr>
          <w:rFonts w:ascii="仿宋_GB2312" w:hAnsi="仿宋_GB2312" w:cs="仿宋_GB2312" w:eastAsia="仿宋_GB2312"/>
        </w:rPr>
        <w:t>本协议书与下列文件一起构成合同文件：</w:t>
      </w:r>
    </w:p>
    <w:p>
      <w:pPr>
        <w:pStyle w:val="null3"/>
        <w:jc w:val="left"/>
      </w:pPr>
      <w:r>
        <w:rPr>
          <w:rFonts w:ascii="仿宋_GB2312" w:hAnsi="仿宋_GB2312" w:cs="仿宋_GB2312" w:eastAsia="仿宋_GB2312"/>
        </w:rPr>
        <w:t>（1）中标(成交)通知书；</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（3）通用合同条款；</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（6）暂列金额：</w:t>
      </w:r>
    </w:p>
    <w:p>
      <w:pPr>
        <w:pStyle w:val="null3"/>
        <w:jc w:val="left"/>
      </w:pPr>
      <w:r>
        <w:rPr>
          <w:rFonts w:ascii="仿宋_GB2312" w:hAnsi="仿宋_GB2312" w:cs="仿宋_GB2312" w:eastAsia="仿宋_GB2312"/>
        </w:rPr>
        <w:t>（7）评审报告；</w:t>
      </w:r>
    </w:p>
    <w:p>
      <w:pPr>
        <w:pStyle w:val="null3"/>
        <w:jc w:val="left"/>
      </w:pPr>
      <w:r>
        <w:rPr>
          <w:rFonts w:ascii="仿宋_GB2312" w:hAnsi="仿宋_GB2312" w:cs="仿宋_GB2312" w:eastAsia="仿宋_GB2312"/>
        </w:rPr>
        <w:t>（8）技术标准和要求；</w:t>
      </w:r>
    </w:p>
    <w:p>
      <w:pPr>
        <w:pStyle w:val="null3"/>
        <w:jc w:val="left"/>
      </w:pPr>
      <w:r>
        <w:rPr>
          <w:rFonts w:ascii="仿宋_GB2312" w:hAnsi="仿宋_GB2312" w:cs="仿宋_GB2312" w:eastAsia="仿宋_GB2312"/>
        </w:rPr>
        <w:t>（9）图纸；</w:t>
      </w:r>
    </w:p>
    <w:p>
      <w:pPr>
        <w:pStyle w:val="null3"/>
        <w:jc w:val="left"/>
      </w:pPr>
      <w:r>
        <w:rPr>
          <w:rFonts w:ascii="仿宋_GB2312" w:hAnsi="仿宋_GB2312" w:cs="仿宋_GB2312" w:eastAsia="仿宋_GB2312"/>
        </w:rPr>
        <w:t>（10）已标价工程量清单或预算书；</w:t>
      </w:r>
    </w:p>
    <w:p>
      <w:pPr>
        <w:pStyle w:val="null3"/>
        <w:jc w:val="left"/>
      </w:pPr>
      <w:r>
        <w:rPr>
          <w:rFonts w:ascii="仿宋_GB2312" w:hAnsi="仿宋_GB2312" w:cs="仿宋_GB2312" w:eastAsia="仿宋_GB2312"/>
        </w:rPr>
        <w:t>（11）其他合同文件。</w:t>
      </w:r>
    </w:p>
    <w:p>
      <w:pPr>
        <w:pStyle w:val="null3"/>
        <w:jc w:val="left"/>
      </w:pPr>
      <w:r>
        <w:rPr>
          <w:rFonts w:ascii="仿宋_GB2312" w:hAnsi="仿宋_GB2312" w:cs="仿宋_GB2312" w:eastAsia="仿宋_GB2312"/>
        </w:rPr>
        <w:t>在合同订立及履行过程中形成的与合同有关的文件均构成合同文件组成部分。</w:t>
      </w:r>
    </w:p>
    <w:p>
      <w:pPr>
        <w:pStyle w:val="null3"/>
        <w:jc w:val="left"/>
      </w:pPr>
      <w:r>
        <w:rPr>
          <w:rFonts w:ascii="仿宋_GB2312" w:hAnsi="仿宋_GB2312" w:cs="仿宋_GB2312" w:eastAsia="仿宋_GB2312"/>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rFonts w:ascii="仿宋_GB2312" w:hAnsi="仿宋_GB2312" w:cs="仿宋_GB2312" w:eastAsia="仿宋_GB2312"/>
          <w:sz w:val="28"/>
          <w:b/>
        </w:rPr>
        <w:t xml:space="preserve"> 七、承诺</w:t>
      </w:r>
    </w:p>
    <w:p>
      <w:pPr>
        <w:pStyle w:val="null3"/>
        <w:jc w:val="left"/>
      </w:pPr>
      <w:r>
        <w:rPr>
          <w:rFonts w:ascii="仿宋_GB2312" w:hAnsi="仿宋_GB2312" w:cs="仿宋_GB2312" w:eastAsia="仿宋_GB2312"/>
        </w:rPr>
        <w:t>1.甲方承诺按照法律规定履行项目审批手续、筹集工程建设资金并按照合同约定的期限和方式支付合同价款。</w:t>
      </w:r>
    </w:p>
    <w:p>
      <w:pPr>
        <w:pStyle w:val="null3"/>
        <w:jc w:val="left"/>
      </w:pPr>
      <w:r>
        <w:rPr>
          <w:rFonts w:ascii="仿宋_GB2312" w:hAnsi="仿宋_GB2312" w:cs="仿宋_GB2312" w:eastAsia="仿宋_GB2312"/>
        </w:rPr>
        <w:t>2.乙方承诺按照法律规定及合同约定组织完成工程施工，确保工程质量和安全，不进行转包及违法分包，并在缺陷责任期及保修期内承担相应的工程维修责任。</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 xml:space="preserve"> 八、验收、交付标准和方法</w:t>
      </w:r>
    </w:p>
    <w:p>
      <w:pPr>
        <w:pStyle w:val="null3"/>
        <w:jc w:val="left"/>
      </w:pPr>
      <w:r>
        <w:br/>
      </w:r>
    </w:p>
    <w:p>
      <w:pPr>
        <w:pStyle w:val="null3"/>
        <w:jc w:val="left"/>
        <w:outlineLvl w:val="2"/>
      </w:pPr>
      <w:r>
        <w:rPr>
          <w:rFonts w:ascii="仿宋_GB2312" w:hAnsi="仿宋_GB2312" w:cs="仿宋_GB2312" w:eastAsia="仿宋_GB2312"/>
          <w:sz w:val="28"/>
          <w:b/>
        </w:rPr>
        <w:t xml:space="preserve"> 九、质量保修范围和保修期</w:t>
      </w:r>
    </w:p>
    <w:p>
      <w:pPr>
        <w:pStyle w:val="null3"/>
        <w:jc w:val="left"/>
      </w:pPr>
      <w:r>
        <w:br/>
      </w:r>
    </w:p>
    <w:p>
      <w:pPr>
        <w:pStyle w:val="null3"/>
        <w:jc w:val="left"/>
        <w:outlineLvl w:val="2"/>
      </w:pPr>
      <w:r>
        <w:rPr>
          <w:rFonts w:ascii="仿宋_GB2312" w:hAnsi="仿宋_GB2312" w:cs="仿宋_GB2312" w:eastAsia="仿宋_GB2312"/>
          <w:sz w:val="28"/>
          <w:b/>
        </w:rPr>
        <w:t xml:space="preserve"> 十、违约责任</w:t>
      </w:r>
    </w:p>
    <w:p>
      <w:pPr>
        <w:pStyle w:val="null3"/>
        <w:jc w:val="left"/>
      </w:pPr>
      <w:r>
        <w:br/>
      </w:r>
    </w:p>
    <w:p>
      <w:pPr>
        <w:pStyle w:val="null3"/>
        <w:jc w:val="left"/>
        <w:outlineLvl w:val="2"/>
      </w:pPr>
      <w:r>
        <w:rPr>
          <w:rFonts w:ascii="仿宋_GB2312" w:hAnsi="仿宋_GB2312" w:cs="仿宋_GB2312" w:eastAsia="仿宋_GB2312"/>
          <w:sz w:val="28"/>
          <w:b/>
        </w:rPr>
        <w:t xml:space="preserve"> 十一、解决争议的方法</w:t>
      </w:r>
    </w:p>
    <w:p>
      <w:pPr>
        <w:pStyle w:val="null3"/>
        <w:jc w:val="left"/>
      </w:pPr>
      <w:r>
        <w:br/>
      </w:r>
    </w:p>
    <w:p>
      <w:pPr>
        <w:pStyle w:val="null3"/>
        <w:jc w:val="left"/>
        <w:outlineLvl w:val="2"/>
      </w:pPr>
      <w:r>
        <w:rPr>
          <w:rFonts w:ascii="仿宋_GB2312" w:hAnsi="仿宋_GB2312" w:cs="仿宋_GB2312" w:eastAsia="仿宋_GB2312"/>
          <w:sz w:val="28"/>
          <w:b/>
        </w:rPr>
        <w:t xml:space="preserve"> 十二、签订时间</w:t>
      </w:r>
    </w:p>
    <w:p>
      <w:pPr>
        <w:pStyle w:val="null3"/>
        <w:jc w:val="left"/>
      </w:pPr>
      <w:r>
        <w:rPr>
          <w:rFonts w:ascii="仿宋_GB2312" w:hAnsi="仿宋_GB2312" w:cs="仿宋_GB2312" w:eastAsia="仿宋_GB2312"/>
        </w:rPr>
        <w:t>本合同于</w:t>
      </w:r>
      <w:r>
        <w:rPr>
          <w:rFonts w:ascii="仿宋_GB2312" w:hAnsi="仿宋_GB2312" w:cs="仿宋_GB2312" w:eastAsia="仿宋_GB2312"/>
        </w:rPr>
        <w:t>20___年___月___日</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十三、签订地点</w:t>
      </w:r>
    </w:p>
    <w:p>
      <w:pPr>
        <w:pStyle w:val="null3"/>
        <w:jc w:val="left"/>
      </w:pPr>
      <w:r>
        <w:rPr>
          <w:rFonts w:ascii="仿宋_GB2312" w:hAnsi="仿宋_GB2312" w:cs="仿宋_GB2312" w:eastAsia="仿宋_GB2312"/>
        </w:rPr>
        <w:t>本合同在</w:t>
      </w:r>
      <w:r>
        <w:rPr>
          <w:rFonts w:ascii="仿宋_GB2312" w:hAnsi="仿宋_GB2312" w:cs="仿宋_GB2312" w:eastAsia="仿宋_GB2312"/>
        </w:rPr>
        <w:t>_________</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十四、补充协议</w:t>
      </w:r>
    </w:p>
    <w:p>
      <w:pPr>
        <w:pStyle w:val="null3"/>
        <w:jc w:val="left"/>
      </w:pPr>
      <w:r>
        <w:rPr>
          <w:rFonts w:ascii="仿宋_GB2312" w:hAnsi="仿宋_GB2312" w:cs="仿宋_GB2312" w:eastAsia="仿宋_GB2312"/>
        </w:rPr>
        <w:t>合同未尽事宜，合同当事人另行签订补充协议，补充协议是合同的组成部分。</w:t>
      </w:r>
    </w:p>
    <w:p>
      <w:pPr>
        <w:pStyle w:val="null3"/>
        <w:jc w:val="left"/>
        <w:outlineLvl w:val="2"/>
      </w:pPr>
      <w:r>
        <w:rPr>
          <w:rFonts w:ascii="仿宋_GB2312" w:hAnsi="仿宋_GB2312" w:cs="仿宋_GB2312" w:eastAsia="仿宋_GB2312"/>
          <w:sz w:val="28"/>
          <w:b/>
        </w:rPr>
        <w:t xml:space="preserve"> 十五、合同生效</w:t>
      </w:r>
    </w:p>
    <w:p>
      <w:pPr>
        <w:pStyle w:val="null3"/>
        <w:jc w:val="left"/>
      </w:pPr>
      <w:r>
        <w:rPr>
          <w:rFonts w:ascii="仿宋_GB2312" w:hAnsi="仿宋_GB2312" w:cs="仿宋_GB2312" w:eastAsia="仿宋_GB2312"/>
        </w:rPr>
        <w:t>本合同自_______生效。</w:t>
      </w:r>
    </w:p>
    <w:p>
      <w:pPr>
        <w:pStyle w:val="null3"/>
        <w:jc w:val="left"/>
        <w:outlineLvl w:val="2"/>
      </w:pPr>
      <w:r>
        <w:rPr>
          <w:rFonts w:ascii="仿宋_GB2312" w:hAnsi="仿宋_GB2312" w:cs="仿宋_GB2312" w:eastAsia="仿宋_GB2312"/>
          <w:sz w:val="28"/>
          <w:b/>
        </w:rPr>
        <w:t xml:space="preserve"> 十六、合同份数</w:t>
      </w:r>
    </w:p>
    <w:p>
      <w:pPr>
        <w:pStyle w:val="null3"/>
        <w:jc w:val="left"/>
      </w:pPr>
      <w:r>
        <w:rPr>
          <w:rFonts w:ascii="仿宋_GB2312" w:hAnsi="仿宋_GB2312" w:cs="仿宋_GB2312" w:eastAsia="仿宋_GB2312"/>
        </w:rPr>
        <w:t>本合同一式___份，均具有同等法律效力，甲方执___份，乙方执___份。</w:t>
      </w: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