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4602B">
      <w:pPr>
        <w:spacing w:line="408" w:lineRule="auto"/>
        <w:jc w:val="center"/>
        <w:rPr>
          <w:rFonts w:hAnsi="宋体" w:cs="宋体"/>
          <w:bCs/>
          <w:sz w:val="56"/>
          <w:szCs w:val="28"/>
        </w:rPr>
      </w:pPr>
      <w:r>
        <w:rPr>
          <w:rFonts w:hint="eastAsia" w:hAnsi="宋体" w:cs="宋体"/>
          <w:bCs/>
          <w:sz w:val="52"/>
          <w:szCs w:val="28"/>
        </w:rPr>
        <w:t>合  同</w:t>
      </w:r>
    </w:p>
    <w:p w14:paraId="70803ABE">
      <w:pPr>
        <w:spacing w:line="408" w:lineRule="auto"/>
        <w:rPr>
          <w:rFonts w:hAnsi="宋体" w:cs="宋体"/>
          <w:b/>
          <w:bCs/>
          <w:sz w:val="28"/>
          <w:szCs w:val="28"/>
        </w:rPr>
      </w:pPr>
      <w:r>
        <w:rPr>
          <w:rFonts w:hint="eastAsia" w:hAnsi="宋体" w:cs="宋体"/>
          <w:b/>
          <w:bCs/>
          <w:sz w:val="28"/>
          <w:szCs w:val="28"/>
        </w:rPr>
        <w:t>合同编号：</w:t>
      </w:r>
    </w:p>
    <w:p w14:paraId="4030D533">
      <w:pPr>
        <w:spacing w:line="408" w:lineRule="auto"/>
        <w:rPr>
          <w:rFonts w:hAnsi="宋体" w:cs="宋体"/>
          <w:b/>
          <w:bCs/>
          <w:sz w:val="28"/>
          <w:szCs w:val="28"/>
          <w:u w:val="single"/>
        </w:rPr>
      </w:pPr>
      <w:r>
        <w:rPr>
          <w:rFonts w:hint="eastAsia" w:hAnsi="宋体" w:cs="宋体"/>
          <w:b/>
          <w:bCs/>
          <w:sz w:val="28"/>
          <w:szCs w:val="28"/>
        </w:rPr>
        <w:t>采购人（甲方）：富顺县人民医院</w:t>
      </w:r>
    </w:p>
    <w:p w14:paraId="0D363119">
      <w:pPr>
        <w:spacing w:line="408" w:lineRule="auto"/>
        <w:rPr>
          <w:rFonts w:hAnsi="宋体" w:cs="宋体"/>
          <w:sz w:val="28"/>
          <w:szCs w:val="28"/>
          <w:u w:val="single"/>
        </w:rPr>
      </w:pPr>
      <w:r>
        <w:rPr>
          <w:rFonts w:hint="eastAsia" w:hAnsi="宋体" w:cs="宋体"/>
          <w:b/>
          <w:bCs/>
          <w:sz w:val="28"/>
          <w:szCs w:val="28"/>
        </w:rPr>
        <w:t>供应商（乙方）：</w:t>
      </w:r>
    </w:p>
    <w:p w14:paraId="7F754101">
      <w:pPr>
        <w:pStyle w:val="16"/>
        <w:spacing w:line="408" w:lineRule="auto"/>
        <w:ind w:firstLine="480"/>
        <w:rPr>
          <w:rFonts w:hAnsi="宋体"/>
        </w:rPr>
      </w:pPr>
      <w:r>
        <w:rPr>
          <w:rFonts w:hint="eastAsia" w:hAnsi="宋体"/>
        </w:rPr>
        <w:t xml:space="preserve">根据《中华人民共和国政府采购法》《中华人民共和国民法典》及            </w:t>
      </w:r>
      <w:r>
        <w:rPr>
          <w:rFonts w:hAnsi="宋体"/>
          <w:color w:val="auto"/>
          <w:highlight w:val="none"/>
          <w:u w:val="single"/>
        </w:rPr>
        <w:t>xx</w:t>
      </w:r>
      <w:r>
        <w:rPr>
          <w:rFonts w:hint="eastAsia" w:hAnsi="宋体"/>
          <w:color w:val="auto"/>
          <w:highlight w:val="none"/>
          <w:u w:val="single"/>
        </w:rPr>
        <w:t>采购项目</w:t>
      </w:r>
      <w:r>
        <w:rPr>
          <w:rFonts w:hint="eastAsia" w:hAnsi="宋体"/>
          <w:color w:val="auto"/>
        </w:rPr>
        <w:t>（项目编号</w:t>
      </w:r>
      <w:r>
        <w:rPr>
          <w:rFonts w:hint="eastAsia" w:hAnsi="宋体"/>
          <w:color w:val="auto"/>
          <w:u w:val="single"/>
          <w:lang w:val="zh-CN"/>
        </w:rPr>
        <w:t xml:space="preserve">            </w:t>
      </w:r>
      <w:r>
        <w:rPr>
          <w:rFonts w:hint="eastAsia" w:hAnsi="宋体"/>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bookmarkStart w:id="0" w:name="_Toc10451"/>
      <w:bookmarkStart w:id="1" w:name="_Toc1649"/>
      <w:bookmarkStart w:id="2" w:name="_Toc24043"/>
      <w:bookmarkStart w:id="3" w:name="_Toc4557"/>
      <w:bookmarkStart w:id="4" w:name="_Toc29835"/>
      <w:bookmarkStart w:id="5" w:name="_Toc17276"/>
      <w:bookmarkStart w:id="6" w:name="_Toc1397"/>
      <w:bookmarkStart w:id="7" w:name="_Toc217446107"/>
      <w:bookmarkStart w:id="8" w:name="_Toc18994"/>
      <w:bookmarkStart w:id="9" w:name="_Toc13616"/>
    </w:p>
    <w:p w14:paraId="3E5A331D">
      <w:pPr>
        <w:pStyle w:val="16"/>
        <w:spacing w:line="408" w:lineRule="auto"/>
        <w:ind w:firstLine="480"/>
        <w:rPr>
          <w:rFonts w:hAnsi="宋体"/>
        </w:rPr>
      </w:pPr>
      <w:r>
        <w:rPr>
          <w:rFonts w:hint="eastAsia"/>
        </w:rPr>
        <w:t>一、合同货物</w:t>
      </w:r>
      <w:bookmarkEnd w:id="0"/>
      <w:bookmarkEnd w:id="1"/>
      <w:bookmarkEnd w:id="2"/>
      <w:bookmarkEnd w:id="3"/>
      <w:bookmarkEnd w:id="4"/>
      <w:bookmarkEnd w:id="5"/>
      <w:bookmarkEnd w:id="6"/>
      <w:bookmarkEnd w:id="7"/>
      <w:bookmarkEnd w:id="8"/>
      <w:bookmarkEnd w:id="9"/>
    </w:p>
    <w:tbl>
      <w:tblPr>
        <w:tblStyle w:val="10"/>
        <w:tblW w:w="104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1388"/>
        <w:gridCol w:w="1836"/>
        <w:gridCol w:w="671"/>
        <w:gridCol w:w="746"/>
        <w:gridCol w:w="1094"/>
        <w:gridCol w:w="1188"/>
        <w:gridCol w:w="916"/>
        <w:gridCol w:w="916"/>
      </w:tblGrid>
      <w:tr w14:paraId="0DC11A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726" w:type="dxa"/>
            <w:tcBorders>
              <w:top w:val="single" w:color="auto" w:sz="4" w:space="0"/>
              <w:bottom w:val="single" w:color="auto" w:sz="4" w:space="0"/>
              <w:right w:val="single" w:color="auto" w:sz="4" w:space="0"/>
            </w:tcBorders>
            <w:vAlign w:val="center"/>
          </w:tcPr>
          <w:p w14:paraId="2F39C6A1">
            <w:pPr>
              <w:spacing w:line="408" w:lineRule="auto"/>
              <w:ind w:firstLine="240" w:firstLineChars="100"/>
              <w:rPr>
                <w:rFonts w:hAnsi="宋体" w:cs="宋体"/>
                <w:sz w:val="24"/>
              </w:rPr>
            </w:pPr>
            <w:r>
              <w:rPr>
                <w:rFonts w:hint="eastAsia" w:hAnsi="宋体" w:cs="宋体"/>
                <w:sz w:val="24"/>
              </w:rPr>
              <w:t>货物品名</w:t>
            </w:r>
          </w:p>
          <w:p w14:paraId="7B41D78F">
            <w:pPr>
              <w:spacing w:line="408" w:lineRule="auto"/>
              <w:rPr>
                <w:rFonts w:hAnsi="宋体" w:cs="宋体"/>
                <w:sz w:val="24"/>
              </w:rPr>
            </w:pPr>
            <w:r>
              <w:rPr>
                <w:rFonts w:hint="eastAsia" w:hAnsi="宋体" w:cs="宋体"/>
                <w:sz w:val="24"/>
              </w:rPr>
              <w:t>（注册证名）</w:t>
            </w:r>
          </w:p>
        </w:tc>
        <w:tc>
          <w:tcPr>
            <w:tcW w:w="1388" w:type="dxa"/>
            <w:tcBorders>
              <w:top w:val="single" w:color="auto" w:sz="4" w:space="0"/>
              <w:left w:val="single" w:color="auto" w:sz="4" w:space="0"/>
              <w:bottom w:val="single" w:color="auto" w:sz="4" w:space="0"/>
              <w:right w:val="single" w:color="auto" w:sz="4" w:space="0"/>
            </w:tcBorders>
            <w:vAlign w:val="center"/>
          </w:tcPr>
          <w:p w14:paraId="13CF08A5">
            <w:pPr>
              <w:spacing w:line="408" w:lineRule="auto"/>
              <w:jc w:val="center"/>
              <w:rPr>
                <w:rFonts w:hAnsi="宋体" w:cs="宋体"/>
                <w:sz w:val="24"/>
              </w:rPr>
            </w:pPr>
            <w:r>
              <w:rPr>
                <w:rFonts w:hint="eastAsia" w:hAnsi="宋体" w:cs="宋体"/>
                <w:sz w:val="24"/>
              </w:rPr>
              <w:t>品牌</w:t>
            </w:r>
          </w:p>
        </w:tc>
        <w:tc>
          <w:tcPr>
            <w:tcW w:w="1836" w:type="dxa"/>
            <w:tcBorders>
              <w:top w:val="single" w:color="auto" w:sz="4" w:space="0"/>
              <w:left w:val="single" w:color="auto" w:sz="4" w:space="0"/>
              <w:bottom w:val="single" w:color="auto" w:sz="4" w:space="0"/>
              <w:right w:val="single" w:color="auto" w:sz="4" w:space="0"/>
            </w:tcBorders>
            <w:vAlign w:val="center"/>
          </w:tcPr>
          <w:p w14:paraId="5BBC526E">
            <w:pPr>
              <w:spacing w:line="408" w:lineRule="auto"/>
              <w:jc w:val="center"/>
              <w:rPr>
                <w:rFonts w:hAnsi="宋体" w:cs="宋体"/>
                <w:sz w:val="24"/>
              </w:rPr>
            </w:pPr>
            <w:r>
              <w:rPr>
                <w:rFonts w:hint="eastAsia" w:hAnsi="宋体" w:cs="宋体"/>
                <w:sz w:val="24"/>
              </w:rPr>
              <w:t>规格型号</w:t>
            </w:r>
          </w:p>
        </w:tc>
        <w:tc>
          <w:tcPr>
            <w:tcW w:w="671" w:type="dxa"/>
            <w:tcBorders>
              <w:top w:val="single" w:color="auto" w:sz="4" w:space="0"/>
              <w:left w:val="single" w:color="auto" w:sz="4" w:space="0"/>
              <w:bottom w:val="single" w:color="auto" w:sz="4" w:space="0"/>
              <w:right w:val="single" w:color="auto" w:sz="4" w:space="0"/>
            </w:tcBorders>
            <w:vAlign w:val="center"/>
          </w:tcPr>
          <w:p w14:paraId="6ABA2C73">
            <w:pPr>
              <w:spacing w:line="408" w:lineRule="auto"/>
              <w:jc w:val="center"/>
              <w:rPr>
                <w:rFonts w:hAnsi="宋体" w:cs="宋体"/>
                <w:sz w:val="24"/>
              </w:rPr>
            </w:pPr>
            <w:r>
              <w:rPr>
                <w:rFonts w:hint="eastAsia" w:hAnsi="宋体" w:cs="宋体"/>
                <w:sz w:val="24"/>
              </w:rPr>
              <w:t>单位</w:t>
            </w:r>
          </w:p>
        </w:tc>
        <w:tc>
          <w:tcPr>
            <w:tcW w:w="746" w:type="dxa"/>
            <w:tcBorders>
              <w:top w:val="single" w:color="auto" w:sz="4" w:space="0"/>
              <w:left w:val="single" w:color="auto" w:sz="4" w:space="0"/>
              <w:bottom w:val="single" w:color="auto" w:sz="4" w:space="0"/>
              <w:right w:val="single" w:color="auto" w:sz="4" w:space="0"/>
            </w:tcBorders>
            <w:vAlign w:val="center"/>
          </w:tcPr>
          <w:p w14:paraId="7EAEE1A8">
            <w:pPr>
              <w:spacing w:line="408" w:lineRule="auto"/>
              <w:rPr>
                <w:rFonts w:hAnsi="宋体" w:cs="宋体"/>
                <w:sz w:val="24"/>
              </w:rPr>
            </w:pPr>
            <w:r>
              <w:rPr>
                <w:rFonts w:hint="eastAsia" w:hAnsi="宋体" w:cs="宋体"/>
                <w:sz w:val="24"/>
              </w:rPr>
              <w:t>数量</w:t>
            </w:r>
          </w:p>
        </w:tc>
        <w:tc>
          <w:tcPr>
            <w:tcW w:w="1094" w:type="dxa"/>
            <w:tcBorders>
              <w:top w:val="single" w:color="auto" w:sz="4" w:space="0"/>
              <w:left w:val="single" w:color="auto" w:sz="4" w:space="0"/>
              <w:bottom w:val="single" w:color="auto" w:sz="4" w:space="0"/>
              <w:right w:val="single" w:color="auto" w:sz="4" w:space="0"/>
            </w:tcBorders>
            <w:vAlign w:val="center"/>
          </w:tcPr>
          <w:p w14:paraId="5674BE87">
            <w:pPr>
              <w:spacing w:line="408" w:lineRule="auto"/>
              <w:ind w:firstLine="120" w:firstLineChars="50"/>
              <w:rPr>
                <w:rFonts w:hAnsi="宋体" w:cs="宋体"/>
                <w:sz w:val="24"/>
              </w:rPr>
            </w:pPr>
            <w:r>
              <w:rPr>
                <w:rFonts w:hint="eastAsia" w:hAnsi="宋体" w:cs="宋体"/>
                <w:sz w:val="24"/>
              </w:rPr>
              <w:t>单价</w:t>
            </w:r>
          </w:p>
          <w:p w14:paraId="7E61F16D">
            <w:pPr>
              <w:spacing w:line="408" w:lineRule="auto"/>
              <w:rPr>
                <w:rFonts w:hAnsi="宋体" w:cs="宋体"/>
                <w:sz w:val="24"/>
              </w:rPr>
            </w:pPr>
            <w:r>
              <w:rPr>
                <w:rFonts w:hint="eastAsia" w:hAnsi="宋体" w:cs="宋体"/>
                <w:sz w:val="24"/>
              </w:rPr>
              <w:t>（万元）</w:t>
            </w:r>
          </w:p>
        </w:tc>
        <w:tc>
          <w:tcPr>
            <w:tcW w:w="1188" w:type="dxa"/>
            <w:tcBorders>
              <w:top w:val="single" w:color="auto" w:sz="4" w:space="0"/>
              <w:left w:val="single" w:color="auto" w:sz="4" w:space="0"/>
              <w:bottom w:val="single" w:color="auto" w:sz="4" w:space="0"/>
              <w:right w:val="single" w:color="auto" w:sz="4" w:space="0"/>
            </w:tcBorders>
            <w:vAlign w:val="center"/>
          </w:tcPr>
          <w:p w14:paraId="6CD44AC0">
            <w:pPr>
              <w:spacing w:line="408" w:lineRule="auto"/>
              <w:ind w:firstLine="240" w:firstLineChars="100"/>
              <w:rPr>
                <w:rFonts w:hAnsi="宋体" w:cs="宋体"/>
                <w:sz w:val="24"/>
              </w:rPr>
            </w:pPr>
            <w:r>
              <w:rPr>
                <w:rFonts w:hint="eastAsia" w:hAnsi="宋体" w:cs="宋体"/>
                <w:sz w:val="24"/>
              </w:rPr>
              <w:t>总价</w:t>
            </w:r>
          </w:p>
          <w:p w14:paraId="6C153799">
            <w:pPr>
              <w:spacing w:line="408" w:lineRule="auto"/>
              <w:rPr>
                <w:rFonts w:hAnsi="宋体" w:cs="宋体"/>
                <w:sz w:val="24"/>
              </w:rPr>
            </w:pPr>
            <w:r>
              <w:rPr>
                <w:rFonts w:hint="eastAsia" w:hAnsi="宋体" w:cs="宋体"/>
                <w:sz w:val="24"/>
              </w:rPr>
              <w:t>（万元）</w:t>
            </w:r>
          </w:p>
        </w:tc>
        <w:tc>
          <w:tcPr>
            <w:tcW w:w="916" w:type="dxa"/>
            <w:tcBorders>
              <w:top w:val="single" w:color="auto" w:sz="4" w:space="0"/>
              <w:left w:val="single" w:color="auto" w:sz="4" w:space="0"/>
              <w:bottom w:val="single" w:color="auto" w:sz="4" w:space="0"/>
            </w:tcBorders>
            <w:vAlign w:val="center"/>
          </w:tcPr>
          <w:p w14:paraId="7954E27D">
            <w:pPr>
              <w:spacing w:line="408" w:lineRule="auto"/>
              <w:rPr>
                <w:rFonts w:hAnsi="宋体" w:cs="宋体"/>
                <w:sz w:val="24"/>
              </w:rPr>
            </w:pPr>
            <w:r>
              <w:rPr>
                <w:rFonts w:hint="eastAsia" w:hAnsi="宋体" w:cs="宋体"/>
                <w:sz w:val="24"/>
              </w:rPr>
              <w:t>注册证号</w:t>
            </w:r>
          </w:p>
        </w:tc>
        <w:tc>
          <w:tcPr>
            <w:tcW w:w="916" w:type="dxa"/>
            <w:tcBorders>
              <w:top w:val="single" w:color="auto" w:sz="4" w:space="0"/>
              <w:left w:val="single" w:color="auto" w:sz="4" w:space="0"/>
              <w:bottom w:val="single" w:color="auto" w:sz="4" w:space="0"/>
            </w:tcBorders>
            <w:vAlign w:val="center"/>
          </w:tcPr>
          <w:p w14:paraId="7B567367">
            <w:pPr>
              <w:spacing w:line="408" w:lineRule="auto"/>
              <w:ind w:firstLine="120" w:firstLineChars="50"/>
              <w:jc w:val="center"/>
              <w:rPr>
                <w:rFonts w:hAnsi="宋体" w:cs="宋体"/>
                <w:sz w:val="24"/>
              </w:rPr>
            </w:pPr>
            <w:r>
              <w:rPr>
                <w:rFonts w:hint="eastAsia" w:hAnsi="宋体" w:cs="宋体"/>
                <w:sz w:val="24"/>
              </w:rPr>
              <w:t>备注</w:t>
            </w:r>
          </w:p>
        </w:tc>
      </w:tr>
      <w:tr w14:paraId="10705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726" w:type="dxa"/>
            <w:tcBorders>
              <w:top w:val="single" w:color="auto" w:sz="4" w:space="0"/>
              <w:bottom w:val="single" w:color="auto" w:sz="4" w:space="0"/>
              <w:right w:val="single" w:color="auto" w:sz="4" w:space="0"/>
            </w:tcBorders>
            <w:vAlign w:val="center"/>
          </w:tcPr>
          <w:p w14:paraId="3A4BBA05">
            <w:pPr>
              <w:widowControl/>
              <w:spacing w:line="408" w:lineRule="auto"/>
              <w:jc w:val="center"/>
              <w:rPr>
                <w:rFonts w:hAnsi="宋体" w:cs="宋体"/>
                <w:sz w:val="24"/>
              </w:rPr>
            </w:pPr>
          </w:p>
        </w:tc>
        <w:tc>
          <w:tcPr>
            <w:tcW w:w="1388" w:type="dxa"/>
            <w:tcBorders>
              <w:top w:val="single" w:color="auto" w:sz="4" w:space="0"/>
              <w:left w:val="single" w:color="auto" w:sz="4" w:space="0"/>
              <w:bottom w:val="single" w:color="auto" w:sz="4" w:space="0"/>
              <w:right w:val="single" w:color="auto" w:sz="4" w:space="0"/>
            </w:tcBorders>
            <w:vAlign w:val="center"/>
          </w:tcPr>
          <w:p w14:paraId="1B6F932A">
            <w:pPr>
              <w:spacing w:line="408" w:lineRule="auto"/>
              <w:jc w:val="center"/>
              <w:rPr>
                <w:rFonts w:hAnsi="宋体" w:cs="宋体"/>
                <w:sz w:val="24"/>
              </w:rPr>
            </w:pPr>
          </w:p>
        </w:tc>
        <w:tc>
          <w:tcPr>
            <w:tcW w:w="1836" w:type="dxa"/>
            <w:tcBorders>
              <w:top w:val="single" w:color="auto" w:sz="4" w:space="0"/>
              <w:left w:val="single" w:color="auto" w:sz="4" w:space="0"/>
              <w:bottom w:val="single" w:color="auto" w:sz="4" w:space="0"/>
              <w:right w:val="single" w:color="auto" w:sz="4" w:space="0"/>
            </w:tcBorders>
            <w:vAlign w:val="center"/>
          </w:tcPr>
          <w:p w14:paraId="7A450A55">
            <w:pPr>
              <w:spacing w:line="408" w:lineRule="auto"/>
              <w:jc w:val="center"/>
              <w:rPr>
                <w:rFonts w:hAnsi="宋体" w:cs="宋体"/>
                <w:sz w:val="24"/>
              </w:rPr>
            </w:pPr>
          </w:p>
        </w:tc>
        <w:tc>
          <w:tcPr>
            <w:tcW w:w="671" w:type="dxa"/>
            <w:tcBorders>
              <w:top w:val="single" w:color="auto" w:sz="4" w:space="0"/>
              <w:left w:val="single" w:color="auto" w:sz="4" w:space="0"/>
              <w:bottom w:val="single" w:color="auto" w:sz="4" w:space="0"/>
              <w:right w:val="single" w:color="auto" w:sz="4" w:space="0"/>
            </w:tcBorders>
            <w:vAlign w:val="center"/>
          </w:tcPr>
          <w:p w14:paraId="49BCC626">
            <w:pPr>
              <w:spacing w:line="408" w:lineRule="auto"/>
              <w:ind w:firstLine="120" w:firstLineChars="50"/>
              <w:jc w:val="center"/>
              <w:rPr>
                <w:rFonts w:hAnsi="宋体" w:cs="宋体"/>
                <w:sz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144CD69E">
            <w:pPr>
              <w:spacing w:line="408" w:lineRule="auto"/>
              <w:jc w:val="center"/>
              <w:rPr>
                <w:rFonts w:hAnsi="宋体" w:cs="宋体"/>
                <w:sz w:val="24"/>
              </w:rPr>
            </w:pPr>
          </w:p>
        </w:tc>
        <w:tc>
          <w:tcPr>
            <w:tcW w:w="1094" w:type="dxa"/>
            <w:tcBorders>
              <w:top w:val="single" w:color="auto" w:sz="4" w:space="0"/>
              <w:left w:val="single" w:color="auto" w:sz="4" w:space="0"/>
              <w:bottom w:val="single" w:color="auto" w:sz="4" w:space="0"/>
              <w:right w:val="single" w:color="auto" w:sz="4" w:space="0"/>
            </w:tcBorders>
            <w:vAlign w:val="center"/>
          </w:tcPr>
          <w:p w14:paraId="052A097D">
            <w:pPr>
              <w:snapToGrid w:val="0"/>
              <w:spacing w:line="408" w:lineRule="auto"/>
              <w:jc w:val="center"/>
              <w:rPr>
                <w:rFonts w:hAnsi="宋体" w:cs="宋体"/>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6AAEBA19">
            <w:pPr>
              <w:snapToGrid w:val="0"/>
              <w:spacing w:line="408" w:lineRule="auto"/>
              <w:jc w:val="center"/>
              <w:rPr>
                <w:rFonts w:hAnsi="宋体" w:cs="宋体"/>
                <w:sz w:val="24"/>
              </w:rPr>
            </w:pPr>
          </w:p>
        </w:tc>
        <w:tc>
          <w:tcPr>
            <w:tcW w:w="916" w:type="dxa"/>
            <w:tcBorders>
              <w:top w:val="single" w:color="auto" w:sz="4" w:space="0"/>
              <w:left w:val="single" w:color="auto" w:sz="4" w:space="0"/>
              <w:bottom w:val="single" w:color="auto" w:sz="4" w:space="0"/>
            </w:tcBorders>
            <w:vAlign w:val="center"/>
          </w:tcPr>
          <w:p w14:paraId="0D37FAA2">
            <w:pPr>
              <w:spacing w:line="408" w:lineRule="auto"/>
              <w:jc w:val="center"/>
              <w:rPr>
                <w:rFonts w:hAnsi="宋体" w:cs="宋体"/>
                <w:sz w:val="24"/>
              </w:rPr>
            </w:pPr>
            <w:r>
              <w:rPr>
                <w:rFonts w:hint="eastAsia" w:hAnsi="宋体" w:cs="宋体"/>
                <w:sz w:val="24"/>
              </w:rPr>
              <w:t> </w:t>
            </w:r>
          </w:p>
        </w:tc>
        <w:tc>
          <w:tcPr>
            <w:tcW w:w="916" w:type="dxa"/>
            <w:tcBorders>
              <w:top w:val="single" w:color="auto" w:sz="4" w:space="0"/>
              <w:left w:val="single" w:color="auto" w:sz="4" w:space="0"/>
              <w:bottom w:val="single" w:color="auto" w:sz="4" w:space="0"/>
            </w:tcBorders>
            <w:vAlign w:val="center"/>
          </w:tcPr>
          <w:p w14:paraId="6F32DC72">
            <w:pPr>
              <w:spacing w:line="408" w:lineRule="auto"/>
              <w:jc w:val="center"/>
              <w:rPr>
                <w:rFonts w:hAnsi="宋体" w:cs="宋体"/>
                <w:sz w:val="24"/>
              </w:rPr>
            </w:pPr>
          </w:p>
        </w:tc>
      </w:tr>
      <w:tr w14:paraId="4C9396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35" w:hRule="atLeast"/>
          <w:jc w:val="center"/>
        </w:trPr>
        <w:tc>
          <w:tcPr>
            <w:tcW w:w="1726" w:type="dxa"/>
            <w:tcBorders>
              <w:top w:val="single" w:color="auto" w:sz="4" w:space="0"/>
              <w:bottom w:val="single" w:color="auto" w:sz="4" w:space="0"/>
              <w:right w:val="single" w:color="auto" w:sz="4" w:space="0"/>
            </w:tcBorders>
            <w:vAlign w:val="center"/>
          </w:tcPr>
          <w:p w14:paraId="7B921EB9">
            <w:pPr>
              <w:widowControl/>
              <w:spacing w:line="408" w:lineRule="auto"/>
              <w:jc w:val="center"/>
              <w:rPr>
                <w:rFonts w:hAnsi="宋体" w:cs="宋体"/>
                <w:sz w:val="24"/>
              </w:rPr>
            </w:pPr>
          </w:p>
        </w:tc>
        <w:tc>
          <w:tcPr>
            <w:tcW w:w="1388" w:type="dxa"/>
            <w:tcBorders>
              <w:top w:val="single" w:color="auto" w:sz="4" w:space="0"/>
              <w:left w:val="single" w:color="auto" w:sz="4" w:space="0"/>
              <w:bottom w:val="single" w:color="auto" w:sz="4" w:space="0"/>
              <w:right w:val="single" w:color="auto" w:sz="4" w:space="0"/>
            </w:tcBorders>
            <w:vAlign w:val="center"/>
          </w:tcPr>
          <w:p w14:paraId="36BF76FD">
            <w:pPr>
              <w:spacing w:line="408" w:lineRule="auto"/>
              <w:jc w:val="center"/>
              <w:rPr>
                <w:rFonts w:hAnsi="宋体" w:cs="宋体"/>
                <w:sz w:val="24"/>
              </w:rPr>
            </w:pPr>
          </w:p>
        </w:tc>
        <w:tc>
          <w:tcPr>
            <w:tcW w:w="1836" w:type="dxa"/>
            <w:tcBorders>
              <w:top w:val="single" w:color="auto" w:sz="4" w:space="0"/>
              <w:left w:val="single" w:color="auto" w:sz="4" w:space="0"/>
              <w:bottom w:val="single" w:color="auto" w:sz="4" w:space="0"/>
              <w:right w:val="single" w:color="auto" w:sz="4" w:space="0"/>
            </w:tcBorders>
            <w:vAlign w:val="center"/>
          </w:tcPr>
          <w:p w14:paraId="39D3758A">
            <w:pPr>
              <w:spacing w:line="408" w:lineRule="auto"/>
              <w:jc w:val="center"/>
              <w:rPr>
                <w:rFonts w:hAnsi="宋体" w:cs="宋体"/>
                <w:sz w:val="24"/>
              </w:rPr>
            </w:pPr>
          </w:p>
        </w:tc>
        <w:tc>
          <w:tcPr>
            <w:tcW w:w="671" w:type="dxa"/>
            <w:tcBorders>
              <w:top w:val="single" w:color="auto" w:sz="4" w:space="0"/>
              <w:left w:val="single" w:color="auto" w:sz="4" w:space="0"/>
              <w:bottom w:val="single" w:color="auto" w:sz="4" w:space="0"/>
              <w:right w:val="single" w:color="auto" w:sz="4" w:space="0"/>
            </w:tcBorders>
            <w:vAlign w:val="center"/>
          </w:tcPr>
          <w:p w14:paraId="0B1FAB42">
            <w:pPr>
              <w:spacing w:line="408" w:lineRule="auto"/>
              <w:ind w:firstLine="120" w:firstLineChars="50"/>
              <w:jc w:val="center"/>
              <w:rPr>
                <w:rFonts w:hAnsi="宋体" w:cs="宋体"/>
                <w:sz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4CCF263E">
            <w:pPr>
              <w:spacing w:line="408" w:lineRule="auto"/>
              <w:jc w:val="center"/>
              <w:rPr>
                <w:rFonts w:hAnsi="宋体" w:cs="宋体"/>
                <w:sz w:val="24"/>
              </w:rPr>
            </w:pPr>
          </w:p>
        </w:tc>
        <w:tc>
          <w:tcPr>
            <w:tcW w:w="1094" w:type="dxa"/>
            <w:tcBorders>
              <w:top w:val="single" w:color="auto" w:sz="4" w:space="0"/>
              <w:left w:val="single" w:color="auto" w:sz="4" w:space="0"/>
              <w:bottom w:val="single" w:color="auto" w:sz="4" w:space="0"/>
              <w:right w:val="single" w:color="auto" w:sz="4" w:space="0"/>
            </w:tcBorders>
            <w:vAlign w:val="center"/>
          </w:tcPr>
          <w:p w14:paraId="1966C343">
            <w:pPr>
              <w:snapToGrid w:val="0"/>
              <w:spacing w:line="408" w:lineRule="auto"/>
              <w:jc w:val="center"/>
              <w:rPr>
                <w:rFonts w:hAnsi="宋体" w:cs="宋体"/>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3A79DAD8">
            <w:pPr>
              <w:snapToGrid w:val="0"/>
              <w:spacing w:line="408" w:lineRule="auto"/>
              <w:jc w:val="center"/>
              <w:rPr>
                <w:rFonts w:hAnsi="宋体" w:cs="宋体"/>
                <w:sz w:val="24"/>
              </w:rPr>
            </w:pPr>
          </w:p>
        </w:tc>
        <w:tc>
          <w:tcPr>
            <w:tcW w:w="916" w:type="dxa"/>
            <w:tcBorders>
              <w:top w:val="single" w:color="auto" w:sz="4" w:space="0"/>
              <w:left w:val="single" w:color="auto" w:sz="4" w:space="0"/>
              <w:bottom w:val="single" w:color="auto" w:sz="4" w:space="0"/>
            </w:tcBorders>
            <w:vAlign w:val="center"/>
          </w:tcPr>
          <w:p w14:paraId="4CD3472C">
            <w:pPr>
              <w:spacing w:line="408" w:lineRule="auto"/>
              <w:jc w:val="center"/>
              <w:rPr>
                <w:rFonts w:hAnsi="宋体" w:cs="宋体"/>
                <w:sz w:val="24"/>
              </w:rPr>
            </w:pPr>
          </w:p>
        </w:tc>
        <w:tc>
          <w:tcPr>
            <w:tcW w:w="916" w:type="dxa"/>
            <w:tcBorders>
              <w:top w:val="single" w:color="auto" w:sz="4" w:space="0"/>
              <w:left w:val="single" w:color="auto" w:sz="4" w:space="0"/>
              <w:bottom w:val="single" w:color="auto" w:sz="4" w:space="0"/>
            </w:tcBorders>
            <w:vAlign w:val="center"/>
          </w:tcPr>
          <w:p w14:paraId="1EB8B8CD">
            <w:pPr>
              <w:spacing w:line="408" w:lineRule="auto"/>
              <w:jc w:val="center"/>
              <w:rPr>
                <w:rFonts w:hAnsi="宋体" w:cs="宋体"/>
                <w:sz w:val="24"/>
              </w:rPr>
            </w:pPr>
          </w:p>
        </w:tc>
      </w:tr>
      <w:tr w14:paraId="660B3B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2" w:hRule="atLeast"/>
          <w:jc w:val="center"/>
        </w:trPr>
        <w:tc>
          <w:tcPr>
            <w:tcW w:w="1726" w:type="dxa"/>
            <w:tcBorders>
              <w:top w:val="single" w:color="auto" w:sz="4" w:space="0"/>
              <w:bottom w:val="single" w:color="auto" w:sz="4" w:space="0"/>
              <w:right w:val="single" w:color="auto" w:sz="4" w:space="0"/>
            </w:tcBorders>
            <w:vAlign w:val="center"/>
          </w:tcPr>
          <w:p w14:paraId="7055F2EE">
            <w:pPr>
              <w:spacing w:line="408" w:lineRule="auto"/>
              <w:jc w:val="center"/>
              <w:rPr>
                <w:rFonts w:hAnsi="宋体" w:cs="宋体"/>
                <w:sz w:val="24"/>
              </w:rPr>
            </w:pPr>
          </w:p>
        </w:tc>
        <w:tc>
          <w:tcPr>
            <w:tcW w:w="1388" w:type="dxa"/>
            <w:tcBorders>
              <w:top w:val="single" w:color="auto" w:sz="4" w:space="0"/>
              <w:left w:val="single" w:color="auto" w:sz="4" w:space="0"/>
              <w:bottom w:val="single" w:color="auto" w:sz="4" w:space="0"/>
              <w:right w:val="single" w:color="auto" w:sz="4" w:space="0"/>
            </w:tcBorders>
            <w:vAlign w:val="center"/>
          </w:tcPr>
          <w:p w14:paraId="1BEFB146">
            <w:pPr>
              <w:spacing w:line="408" w:lineRule="auto"/>
              <w:jc w:val="center"/>
              <w:rPr>
                <w:rFonts w:hAnsi="宋体" w:cs="宋体"/>
                <w:sz w:val="24"/>
              </w:rPr>
            </w:pPr>
          </w:p>
        </w:tc>
        <w:tc>
          <w:tcPr>
            <w:tcW w:w="1836" w:type="dxa"/>
            <w:tcBorders>
              <w:top w:val="single" w:color="auto" w:sz="4" w:space="0"/>
              <w:left w:val="single" w:color="auto" w:sz="4" w:space="0"/>
              <w:bottom w:val="single" w:color="auto" w:sz="4" w:space="0"/>
              <w:right w:val="single" w:color="auto" w:sz="4" w:space="0"/>
            </w:tcBorders>
            <w:vAlign w:val="center"/>
          </w:tcPr>
          <w:p w14:paraId="1A182BB5">
            <w:pPr>
              <w:spacing w:line="408" w:lineRule="auto"/>
              <w:jc w:val="center"/>
              <w:rPr>
                <w:rFonts w:hAnsi="宋体" w:cs="宋体"/>
                <w:sz w:val="24"/>
              </w:rPr>
            </w:pPr>
          </w:p>
        </w:tc>
        <w:tc>
          <w:tcPr>
            <w:tcW w:w="671" w:type="dxa"/>
            <w:tcBorders>
              <w:top w:val="single" w:color="auto" w:sz="4" w:space="0"/>
              <w:left w:val="single" w:color="auto" w:sz="4" w:space="0"/>
              <w:bottom w:val="single" w:color="auto" w:sz="4" w:space="0"/>
              <w:right w:val="single" w:color="auto" w:sz="4" w:space="0"/>
            </w:tcBorders>
            <w:vAlign w:val="center"/>
          </w:tcPr>
          <w:p w14:paraId="055EBC51">
            <w:pPr>
              <w:spacing w:line="408" w:lineRule="auto"/>
              <w:jc w:val="center"/>
              <w:rPr>
                <w:rFonts w:hAnsi="宋体" w:cs="宋体"/>
                <w:sz w:val="24"/>
              </w:rPr>
            </w:pPr>
          </w:p>
        </w:tc>
        <w:tc>
          <w:tcPr>
            <w:tcW w:w="746" w:type="dxa"/>
            <w:tcBorders>
              <w:top w:val="single" w:color="auto" w:sz="4" w:space="0"/>
              <w:left w:val="single" w:color="auto" w:sz="4" w:space="0"/>
              <w:bottom w:val="single" w:color="auto" w:sz="4" w:space="0"/>
              <w:right w:val="single" w:color="auto" w:sz="4" w:space="0"/>
            </w:tcBorders>
            <w:vAlign w:val="center"/>
          </w:tcPr>
          <w:p w14:paraId="39456F26">
            <w:pPr>
              <w:spacing w:line="408" w:lineRule="auto"/>
              <w:jc w:val="center"/>
              <w:rPr>
                <w:rFonts w:hAnsi="宋体" w:cs="宋体"/>
                <w:sz w:val="24"/>
              </w:rPr>
            </w:pPr>
          </w:p>
        </w:tc>
        <w:tc>
          <w:tcPr>
            <w:tcW w:w="1094" w:type="dxa"/>
            <w:tcBorders>
              <w:top w:val="single" w:color="auto" w:sz="4" w:space="0"/>
              <w:left w:val="single" w:color="auto" w:sz="4" w:space="0"/>
              <w:bottom w:val="single" w:color="auto" w:sz="4" w:space="0"/>
              <w:right w:val="single" w:color="auto" w:sz="4" w:space="0"/>
            </w:tcBorders>
            <w:vAlign w:val="center"/>
          </w:tcPr>
          <w:p w14:paraId="436936D4">
            <w:pPr>
              <w:snapToGrid w:val="0"/>
              <w:spacing w:line="408" w:lineRule="auto"/>
              <w:jc w:val="center"/>
              <w:rPr>
                <w:rFonts w:hAnsi="宋体" w:cs="宋体"/>
                <w:sz w:val="24"/>
              </w:rPr>
            </w:pPr>
          </w:p>
        </w:tc>
        <w:tc>
          <w:tcPr>
            <w:tcW w:w="1188" w:type="dxa"/>
            <w:tcBorders>
              <w:top w:val="single" w:color="auto" w:sz="4" w:space="0"/>
              <w:left w:val="single" w:color="auto" w:sz="4" w:space="0"/>
              <w:bottom w:val="single" w:color="auto" w:sz="4" w:space="0"/>
              <w:right w:val="single" w:color="auto" w:sz="4" w:space="0"/>
            </w:tcBorders>
            <w:vAlign w:val="center"/>
          </w:tcPr>
          <w:p w14:paraId="660B3A0C">
            <w:pPr>
              <w:snapToGrid w:val="0"/>
              <w:spacing w:line="408" w:lineRule="auto"/>
              <w:jc w:val="center"/>
              <w:rPr>
                <w:rFonts w:hAnsi="宋体" w:cs="宋体"/>
                <w:sz w:val="24"/>
              </w:rPr>
            </w:pPr>
          </w:p>
        </w:tc>
        <w:tc>
          <w:tcPr>
            <w:tcW w:w="916" w:type="dxa"/>
            <w:tcBorders>
              <w:top w:val="single" w:color="auto" w:sz="4" w:space="0"/>
              <w:left w:val="single" w:color="auto" w:sz="4" w:space="0"/>
              <w:bottom w:val="single" w:color="auto" w:sz="4" w:space="0"/>
            </w:tcBorders>
            <w:vAlign w:val="center"/>
          </w:tcPr>
          <w:p w14:paraId="12AA0EBB">
            <w:pPr>
              <w:spacing w:line="408" w:lineRule="auto"/>
              <w:jc w:val="center"/>
              <w:rPr>
                <w:rFonts w:hAnsi="宋体" w:cs="宋体"/>
                <w:sz w:val="24"/>
              </w:rPr>
            </w:pPr>
          </w:p>
        </w:tc>
        <w:tc>
          <w:tcPr>
            <w:tcW w:w="916" w:type="dxa"/>
            <w:tcBorders>
              <w:top w:val="single" w:color="auto" w:sz="4" w:space="0"/>
              <w:left w:val="single" w:color="auto" w:sz="4" w:space="0"/>
              <w:bottom w:val="single" w:color="auto" w:sz="4" w:space="0"/>
            </w:tcBorders>
            <w:vAlign w:val="center"/>
          </w:tcPr>
          <w:p w14:paraId="637533A6">
            <w:pPr>
              <w:spacing w:line="408" w:lineRule="auto"/>
              <w:jc w:val="center"/>
              <w:rPr>
                <w:rFonts w:hAnsi="宋体" w:cs="宋体"/>
                <w:sz w:val="24"/>
              </w:rPr>
            </w:pPr>
          </w:p>
        </w:tc>
      </w:tr>
      <w:tr w14:paraId="72C7B6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62" w:hRule="atLeast"/>
          <w:jc w:val="center"/>
        </w:trPr>
        <w:tc>
          <w:tcPr>
            <w:tcW w:w="1726" w:type="dxa"/>
            <w:tcBorders>
              <w:top w:val="single" w:color="auto" w:sz="4" w:space="0"/>
              <w:bottom w:val="single" w:color="auto" w:sz="4" w:space="0"/>
              <w:right w:val="single" w:color="auto" w:sz="4" w:space="0"/>
            </w:tcBorders>
            <w:vAlign w:val="center"/>
          </w:tcPr>
          <w:p w14:paraId="0B68781E">
            <w:pPr>
              <w:snapToGrid w:val="0"/>
              <w:spacing w:line="408" w:lineRule="auto"/>
              <w:jc w:val="center"/>
              <w:rPr>
                <w:rFonts w:hAnsi="宋体" w:cs="宋体"/>
                <w:sz w:val="24"/>
              </w:rPr>
            </w:pPr>
            <w:r>
              <w:rPr>
                <w:rFonts w:hint="eastAsia" w:hAnsi="宋体" w:cs="宋体"/>
                <w:sz w:val="24"/>
              </w:rPr>
              <w:t>合计</w:t>
            </w:r>
          </w:p>
        </w:tc>
        <w:tc>
          <w:tcPr>
            <w:tcW w:w="8755" w:type="dxa"/>
            <w:gridSpan w:val="8"/>
            <w:tcBorders>
              <w:top w:val="single" w:color="auto" w:sz="4" w:space="0"/>
              <w:left w:val="single" w:color="auto" w:sz="4" w:space="0"/>
              <w:bottom w:val="single" w:color="auto" w:sz="4" w:space="0"/>
            </w:tcBorders>
            <w:vAlign w:val="center"/>
          </w:tcPr>
          <w:p w14:paraId="61E27E0C">
            <w:pPr>
              <w:spacing w:line="408" w:lineRule="auto"/>
              <w:jc w:val="left"/>
              <w:rPr>
                <w:rFonts w:hAnsi="宋体" w:cs="宋体"/>
                <w:sz w:val="24"/>
              </w:rPr>
            </w:pPr>
            <w:r>
              <w:rPr>
                <w:rFonts w:hint="eastAsia" w:hAnsi="宋体" w:cs="宋体"/>
                <w:sz w:val="24"/>
              </w:rPr>
              <w:t xml:space="preserve">       元    大写：</w:t>
            </w:r>
          </w:p>
        </w:tc>
      </w:tr>
    </w:tbl>
    <w:p w14:paraId="26C85BB6">
      <w:pPr>
        <w:pStyle w:val="4"/>
        <w:spacing w:line="408" w:lineRule="auto"/>
        <w:ind w:firstLineChars="175"/>
        <w:outlineLvl w:val="1"/>
        <w:rPr>
          <w:rFonts w:ascii="宋体" w:hAnsi="宋体" w:cs="宋体"/>
          <w:b/>
          <w:bCs/>
          <w:sz w:val="24"/>
        </w:rPr>
      </w:pPr>
      <w:bookmarkStart w:id="10" w:name="_Toc20921"/>
      <w:bookmarkStart w:id="11" w:name="_Toc29862"/>
      <w:bookmarkStart w:id="12" w:name="_Toc25965"/>
      <w:bookmarkStart w:id="13" w:name="_Toc23413"/>
      <w:bookmarkStart w:id="14" w:name="_Toc27220"/>
      <w:bookmarkStart w:id="15" w:name="_Toc3338"/>
      <w:bookmarkStart w:id="16" w:name="_Toc18363"/>
      <w:bookmarkStart w:id="17" w:name="_Toc32614"/>
      <w:r>
        <w:rPr>
          <w:rFonts w:hint="eastAsia" w:ascii="宋体" w:hAnsi="宋体" w:cs="宋体"/>
          <w:b/>
          <w:bCs/>
          <w:sz w:val="24"/>
        </w:rPr>
        <w:t>二、合同总价</w:t>
      </w:r>
      <w:bookmarkEnd w:id="10"/>
      <w:bookmarkEnd w:id="11"/>
      <w:bookmarkEnd w:id="12"/>
      <w:bookmarkEnd w:id="13"/>
      <w:bookmarkEnd w:id="14"/>
      <w:bookmarkEnd w:id="15"/>
      <w:bookmarkEnd w:id="16"/>
      <w:bookmarkEnd w:id="17"/>
    </w:p>
    <w:p w14:paraId="6C5757D8">
      <w:pPr>
        <w:pStyle w:val="4"/>
        <w:spacing w:line="408" w:lineRule="auto"/>
        <w:ind w:firstLineChars="175"/>
        <w:rPr>
          <w:rFonts w:ascii="Calibri" w:hAnsi="宋体" w:eastAsia="宋体" w:cs="宋体"/>
          <w:sz w:val="24"/>
          <w:szCs w:val="24"/>
        </w:rPr>
      </w:pPr>
      <w:r>
        <w:rPr>
          <w:rFonts w:hint="eastAsia" w:ascii="Calibri" w:hAnsi="宋体" w:eastAsia="宋体" w:cs="宋体"/>
          <w:sz w:val="24"/>
          <w:szCs w:val="24"/>
        </w:rPr>
        <w:t>合同总价为人民币大写：</w:t>
      </w:r>
      <w:r>
        <w:rPr>
          <w:rFonts w:hint="eastAsia" w:ascii="Calibri" w:hAnsi="宋体" w:eastAsia="宋体" w:cs="宋体"/>
          <w:color w:val="auto"/>
          <w:sz w:val="24"/>
          <w:szCs w:val="24"/>
          <w:u w:val="single"/>
        </w:rPr>
        <w:t xml:space="preserve">         </w:t>
      </w:r>
      <w:r>
        <w:rPr>
          <w:rFonts w:hint="eastAsia" w:ascii="Calibri" w:hAnsi="宋体" w:eastAsia="宋体" w:cs="宋体"/>
          <w:color w:val="auto"/>
          <w:sz w:val="24"/>
          <w:szCs w:val="24"/>
        </w:rPr>
        <w:t>，即RMB¥</w:t>
      </w:r>
      <w:r>
        <w:rPr>
          <w:rFonts w:hint="eastAsia" w:ascii="Calibri" w:hAnsi="宋体" w:eastAsia="宋体" w:cs="宋体"/>
          <w:color w:val="auto"/>
          <w:sz w:val="24"/>
          <w:szCs w:val="24"/>
          <w:u w:val="single"/>
        </w:rPr>
        <w:t xml:space="preserve"> </w:t>
      </w:r>
      <w:r>
        <w:rPr>
          <w:rFonts w:hint="eastAsia" w:ascii="Calibri" w:hAnsi="宋体" w:eastAsia="宋体" w:cs="宋体"/>
          <w:color w:val="auto"/>
          <w:sz w:val="24"/>
          <w:szCs w:val="24"/>
          <w:u w:val="single"/>
          <w:lang w:val="en-US" w:eastAsia="zh-CN"/>
        </w:rPr>
        <w:t xml:space="preserve">     </w:t>
      </w:r>
      <w:r>
        <w:rPr>
          <w:rFonts w:hint="eastAsia" w:ascii="Calibri" w:hAnsi="宋体" w:eastAsia="宋体" w:cs="宋体"/>
          <w:color w:val="auto"/>
          <w:sz w:val="24"/>
          <w:szCs w:val="24"/>
          <w:u w:val="single"/>
        </w:rPr>
        <w:t xml:space="preserve">  </w:t>
      </w:r>
      <w:r>
        <w:rPr>
          <w:rFonts w:hint="eastAsia" w:ascii="Calibri" w:hAnsi="宋体" w:eastAsia="宋体" w:cs="宋体"/>
          <w:color w:val="auto"/>
          <w:sz w:val="24"/>
          <w:szCs w:val="24"/>
        </w:rPr>
        <w:t>元</w:t>
      </w:r>
      <w:r>
        <w:rPr>
          <w:rFonts w:hint="eastAsia" w:ascii="Calibri" w:hAnsi="宋体" w:eastAsia="宋体" w:cs="宋体"/>
          <w:sz w:val="24"/>
          <w:szCs w:val="24"/>
        </w:rPr>
        <w:t>；该合同总价已包括货物设计、材料、制造、包装、运输、安装、调试、检测、验收合格交付使用之前及保修期内保修服务与备用物件等等所有其他有关各项的含税费用。本合同执行期间合同总价不变，甲方无须另向乙方支付本合同规定之外的其他任何费用。</w:t>
      </w:r>
      <w:bookmarkStart w:id="18" w:name="_Toc10563"/>
      <w:bookmarkStart w:id="19" w:name="_Toc17587"/>
      <w:bookmarkStart w:id="20" w:name="_Toc217446109"/>
    </w:p>
    <w:p w14:paraId="26351752">
      <w:pPr>
        <w:pStyle w:val="4"/>
        <w:numPr>
          <w:ilvl w:val="0"/>
          <w:numId w:val="1"/>
        </w:numPr>
        <w:spacing w:line="408" w:lineRule="auto"/>
        <w:ind w:firstLineChars="175"/>
        <w:outlineLvl w:val="1"/>
        <w:rPr>
          <w:rFonts w:ascii="宋体" w:hAnsi="宋体" w:cs="宋体"/>
          <w:b/>
          <w:bCs/>
          <w:sz w:val="24"/>
        </w:rPr>
      </w:pPr>
      <w:bookmarkStart w:id="21" w:name="_Toc9567"/>
      <w:bookmarkStart w:id="22" w:name="_Toc16575"/>
      <w:bookmarkStart w:id="23" w:name="_Toc27585"/>
      <w:bookmarkStart w:id="24" w:name="_Toc23384"/>
      <w:bookmarkStart w:id="25" w:name="_Toc20350"/>
      <w:bookmarkStart w:id="26" w:name="_Toc26145"/>
      <w:bookmarkStart w:id="27" w:name="_Toc31464"/>
      <w:r>
        <w:rPr>
          <w:rFonts w:hint="eastAsia" w:ascii="宋体" w:hAnsi="宋体" w:cs="宋体"/>
          <w:b/>
          <w:bCs/>
          <w:sz w:val="24"/>
        </w:rPr>
        <w:t>质量要求</w:t>
      </w:r>
      <w:bookmarkEnd w:id="18"/>
      <w:bookmarkEnd w:id="19"/>
      <w:bookmarkEnd w:id="20"/>
      <w:bookmarkEnd w:id="21"/>
      <w:bookmarkEnd w:id="22"/>
      <w:bookmarkEnd w:id="23"/>
      <w:bookmarkEnd w:id="24"/>
      <w:bookmarkEnd w:id="25"/>
      <w:bookmarkEnd w:id="26"/>
      <w:bookmarkEnd w:id="27"/>
    </w:p>
    <w:p w14:paraId="504A6B3E">
      <w:pPr>
        <w:pStyle w:val="4"/>
        <w:spacing w:line="408" w:lineRule="auto"/>
        <w:ind w:left="368" w:leftChars="175" w:firstLine="0"/>
        <w:rPr>
          <w:rFonts w:ascii="Calibri" w:hAnsi="宋体" w:eastAsia="宋体" w:cs="宋体"/>
          <w:sz w:val="24"/>
          <w:szCs w:val="24"/>
        </w:rPr>
      </w:pPr>
      <w:r>
        <w:rPr>
          <w:rFonts w:hint="eastAsia" w:ascii="Calibri" w:hAnsi="宋体" w:eastAsia="宋体" w:cs="宋体"/>
          <w:sz w:val="24"/>
          <w:szCs w:val="24"/>
        </w:rPr>
        <w:t>1、乙方须提供全新的货物（含零部件、配件等），表面无划伤、无碰撞痕迹，且权属清楚，不得侵害他人的知识产权。</w:t>
      </w:r>
    </w:p>
    <w:p w14:paraId="4686A4D6">
      <w:pPr>
        <w:pStyle w:val="16"/>
        <w:spacing w:line="408" w:lineRule="auto"/>
        <w:ind w:firstLine="480"/>
        <w:rPr>
          <w:rFonts w:hAnsi="宋体"/>
        </w:rPr>
      </w:pPr>
      <w:r>
        <w:rPr>
          <w:rFonts w:hint="eastAsia" w:hAnsi="宋体"/>
        </w:rPr>
        <w:t>2、货物必须符合或优于国家（行业）标准，以及本项目招标文件的质量要求和技术指标与出厂标准。</w:t>
      </w:r>
    </w:p>
    <w:p w14:paraId="5BD8872A">
      <w:pPr>
        <w:pStyle w:val="16"/>
        <w:spacing w:line="408" w:lineRule="auto"/>
        <w:ind w:firstLine="480"/>
        <w:rPr>
          <w:rFonts w:hAnsi="宋体"/>
        </w:rPr>
      </w:pPr>
      <w:r>
        <w:rPr>
          <w:rFonts w:hint="eastAsia" w:hAnsi="宋体"/>
        </w:rPr>
        <w:t>3、货物制造质量出现问题，乙方应负责三包（包修、包换、包退），费用由乙方负担。</w:t>
      </w:r>
      <w:bookmarkStart w:id="28" w:name="_Toc19022"/>
    </w:p>
    <w:p w14:paraId="6A9D945E">
      <w:pPr>
        <w:pStyle w:val="16"/>
        <w:spacing w:line="408" w:lineRule="auto"/>
        <w:ind w:firstLine="480"/>
        <w:rPr>
          <w:rFonts w:hAnsi="宋体"/>
          <w:b/>
          <w:bCs/>
        </w:rPr>
      </w:pPr>
      <w:r>
        <w:rPr>
          <w:rFonts w:hint="eastAsia" w:hAnsi="宋体"/>
          <w:bCs/>
        </w:rPr>
        <w:t>4、乙方质保期内保证货物正常使用率≥97%。若正常使用率＜97%，重新计算质保期，每小于1%则延长质保期10日，并赔偿给甲方造成的损失</w:t>
      </w:r>
      <w:r>
        <w:rPr>
          <w:rFonts w:hint="eastAsia" w:hAnsi="宋体"/>
          <w:b/>
          <w:bCs/>
        </w:rPr>
        <w:t>。</w:t>
      </w:r>
      <w:bookmarkEnd w:id="28"/>
      <w:bookmarkStart w:id="29" w:name="_Toc18445"/>
      <w:bookmarkStart w:id="30" w:name="_Toc29384"/>
      <w:bookmarkStart w:id="31" w:name="_Toc27853"/>
      <w:bookmarkStart w:id="32" w:name="_Toc411"/>
      <w:bookmarkStart w:id="33" w:name="_Toc6005"/>
      <w:bookmarkStart w:id="34" w:name="_Toc27983"/>
      <w:bookmarkStart w:id="35" w:name="_Toc28556"/>
      <w:bookmarkStart w:id="36" w:name="_Toc10085"/>
      <w:bookmarkStart w:id="37" w:name="_Toc12754"/>
    </w:p>
    <w:p w14:paraId="5E8D9662">
      <w:pPr>
        <w:pStyle w:val="16"/>
        <w:spacing w:line="408" w:lineRule="auto"/>
        <w:ind w:firstLine="480"/>
        <w:rPr>
          <w:rFonts w:ascii="宋体" w:hAnsi="宋体" w:eastAsiaTheme="minorEastAsia"/>
          <w:b/>
          <w:bCs/>
          <w:szCs w:val="22"/>
        </w:rPr>
      </w:pPr>
      <w:r>
        <w:rPr>
          <w:rFonts w:hint="eastAsia" w:ascii="宋体" w:hAnsi="宋体" w:eastAsiaTheme="minorEastAsia"/>
          <w:b/>
          <w:bCs/>
          <w:szCs w:val="22"/>
        </w:rPr>
        <w:t>四、交货及验收</w:t>
      </w:r>
      <w:bookmarkEnd w:id="29"/>
      <w:bookmarkEnd w:id="30"/>
      <w:bookmarkEnd w:id="31"/>
      <w:bookmarkEnd w:id="32"/>
      <w:bookmarkEnd w:id="33"/>
      <w:bookmarkEnd w:id="34"/>
      <w:bookmarkEnd w:id="35"/>
      <w:bookmarkEnd w:id="36"/>
      <w:bookmarkEnd w:id="37"/>
    </w:p>
    <w:p w14:paraId="2A507C8D">
      <w:pPr>
        <w:pStyle w:val="16"/>
        <w:spacing w:line="408" w:lineRule="auto"/>
        <w:ind w:firstLine="480"/>
        <w:rPr>
          <w:rFonts w:hAnsi="宋体"/>
        </w:rPr>
      </w:pPr>
      <w:r>
        <w:rPr>
          <w:rFonts w:hint="eastAsia" w:hAnsi="宋体"/>
        </w:rPr>
        <w:t>1、乙方交货期限为合同签订生效</w:t>
      </w:r>
      <w:r>
        <w:rPr>
          <w:rFonts w:hint="eastAsia" w:hAnsi="宋体"/>
          <w:color w:val="auto"/>
        </w:rPr>
        <w:t>后</w:t>
      </w:r>
      <w:r>
        <w:rPr>
          <w:rFonts w:hint="eastAsia" w:hAnsi="宋体"/>
          <w:color w:val="auto"/>
          <w:lang w:val="en-US" w:eastAsia="zh-CN"/>
        </w:rPr>
        <w:t>30</w:t>
      </w:r>
      <w:r>
        <w:rPr>
          <w:rFonts w:hint="eastAsia" w:hAnsi="宋体"/>
          <w:color w:val="auto"/>
        </w:rPr>
        <w:t>日内，在合同签订生效之日起</w:t>
      </w:r>
      <w:r>
        <w:rPr>
          <w:rFonts w:hint="eastAsia" w:hAnsi="宋体"/>
          <w:color w:val="auto"/>
          <w:lang w:val="en-US" w:eastAsia="zh-CN"/>
        </w:rPr>
        <w:t>30</w:t>
      </w:r>
      <w:r>
        <w:rPr>
          <w:rFonts w:hint="eastAsia" w:hAnsi="宋体"/>
        </w:rPr>
        <w:t>日内交货到甲方指定地点，全部完成安装调试验收合格后交付使用。</w:t>
      </w:r>
    </w:p>
    <w:p w14:paraId="608436B7">
      <w:pPr>
        <w:pStyle w:val="16"/>
        <w:spacing w:line="408" w:lineRule="auto"/>
        <w:ind w:firstLine="480"/>
        <w:rPr>
          <w:rFonts w:hAnsi="宋体"/>
        </w:rPr>
      </w:pPr>
      <w:r>
        <w:rPr>
          <w:rFonts w:hint="eastAsia" w:hAnsi="宋体"/>
        </w:rPr>
        <w:t>2、验收由甲方组织，乙方配合进行：</w:t>
      </w:r>
    </w:p>
    <w:p w14:paraId="2FA542A3">
      <w:pPr>
        <w:pStyle w:val="16"/>
        <w:spacing w:line="408" w:lineRule="auto"/>
        <w:ind w:firstLine="480"/>
        <w:rPr>
          <w:rFonts w:hAnsi="宋体"/>
        </w:rPr>
      </w:pPr>
      <w:r>
        <w:rPr>
          <w:rFonts w:hint="eastAsia" w:hAnsi="宋体"/>
        </w:rPr>
        <w:t>(1)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32D74D8A">
      <w:pPr>
        <w:pStyle w:val="16"/>
        <w:spacing w:line="408" w:lineRule="auto"/>
        <w:ind w:firstLine="480"/>
        <w:rPr>
          <w:rFonts w:hAnsi="宋体"/>
        </w:rPr>
      </w:pPr>
      <w:r>
        <w:rPr>
          <w:rFonts w:hint="eastAsia" w:hAnsi="宋体"/>
        </w:rPr>
        <w:t>(2) 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0CB1881B">
      <w:pPr>
        <w:pStyle w:val="16"/>
        <w:spacing w:line="408" w:lineRule="auto"/>
        <w:ind w:firstLine="480"/>
        <w:rPr>
          <w:rFonts w:hAnsi="宋体"/>
        </w:rPr>
      </w:pPr>
      <w:r>
        <w:rPr>
          <w:rFonts w:hint="eastAsia" w:hAnsi="宋体"/>
        </w:rPr>
        <w:t>(3) 如质量验收合格，双方签署质量验收报告。</w:t>
      </w:r>
    </w:p>
    <w:p w14:paraId="2352194A">
      <w:pPr>
        <w:pStyle w:val="16"/>
        <w:spacing w:line="408" w:lineRule="auto"/>
        <w:ind w:firstLine="480"/>
        <w:rPr>
          <w:rFonts w:hAnsi="宋体"/>
        </w:rPr>
      </w:pPr>
      <w:r>
        <w:rPr>
          <w:rFonts w:hint="eastAsia" w:hAnsi="宋体"/>
        </w:rPr>
        <w:t>3、货物安装完成后</w:t>
      </w:r>
      <w:r>
        <w:rPr>
          <w:rFonts w:hint="eastAsia" w:hAnsi="宋体"/>
          <w:u w:val="single"/>
        </w:rPr>
        <w:t xml:space="preserve">  </w:t>
      </w:r>
      <w:r>
        <w:rPr>
          <w:rFonts w:hint="eastAsia" w:hAnsi="宋体"/>
          <w:color w:val="000000" w:themeColor="text1"/>
          <w:u w:val="single"/>
          <w14:textFill>
            <w14:solidFill>
              <w14:schemeClr w14:val="tx1"/>
            </w14:solidFill>
          </w14:textFill>
        </w:rPr>
        <w:t>7</w:t>
      </w:r>
      <w:r>
        <w:rPr>
          <w:rFonts w:hint="eastAsia" w:hAnsi="宋体"/>
          <w:u w:val="single"/>
        </w:rPr>
        <w:t xml:space="preserve">  </w:t>
      </w:r>
      <w:r>
        <w:rPr>
          <w:rFonts w:hint="eastAsia" w:hAnsi="宋体"/>
        </w:rPr>
        <w:t>日内，甲方无故不进行验收工作并已使用货物的，视同已安装调试完成并验收合格。</w:t>
      </w:r>
    </w:p>
    <w:p w14:paraId="44C3D32E">
      <w:pPr>
        <w:pStyle w:val="16"/>
        <w:spacing w:line="408" w:lineRule="auto"/>
        <w:ind w:firstLine="480"/>
        <w:rPr>
          <w:rFonts w:hint="eastAsia" w:hAnsi="宋体"/>
          <w:sz w:val="21"/>
          <w:szCs w:val="21"/>
        </w:rPr>
      </w:pPr>
      <w:r>
        <w:rPr>
          <w:rFonts w:hint="eastAsia" w:hAnsi="宋体"/>
        </w:rPr>
        <w:t>4、</w:t>
      </w:r>
      <w:r>
        <w:rPr>
          <w:rFonts w:hint="eastAsia" w:hAnsi="宋体"/>
          <w:sz w:val="24"/>
          <w:szCs w:val="24"/>
        </w:rPr>
        <w:t>乙方应将所提供货物的装箱清单、配件、随机工具、</w:t>
      </w:r>
      <w:r>
        <w:rPr>
          <w:rFonts w:hint="eastAsia" w:hAnsi="宋体"/>
          <w:sz w:val="24"/>
          <w:szCs w:val="24"/>
          <w:lang w:val="en-US" w:eastAsia="zh-CN"/>
        </w:rPr>
        <w:t>说明书（包括电子版）和操作流程（包括电子版）</w:t>
      </w:r>
      <w:r>
        <w:rPr>
          <w:rFonts w:hint="eastAsia" w:hAnsi="宋体"/>
          <w:sz w:val="24"/>
          <w:szCs w:val="24"/>
        </w:rPr>
        <w:t>、原厂保修卡</w:t>
      </w:r>
      <w:bookmarkStart w:id="91" w:name="_GoBack"/>
      <w:bookmarkEnd w:id="91"/>
      <w:r>
        <w:rPr>
          <w:rFonts w:hint="eastAsia" w:hAnsi="宋体"/>
          <w:sz w:val="24"/>
          <w:szCs w:val="24"/>
        </w:rPr>
        <w:t>等资料交付给甲方；乙方不能完整交付货物及本款规定的单证和工具的，必须负责补齐，否则视为未按合同约定交货。</w:t>
      </w:r>
    </w:p>
    <w:p w14:paraId="0F41F7D6">
      <w:pPr>
        <w:pStyle w:val="16"/>
        <w:spacing w:line="408" w:lineRule="auto"/>
        <w:ind w:firstLine="480"/>
        <w:rPr>
          <w:rFonts w:hAnsi="宋体"/>
        </w:rPr>
      </w:pPr>
      <w:r>
        <w:rPr>
          <w:rFonts w:hint="eastAsia" w:hAnsi="宋体"/>
        </w:rPr>
        <w:t>5、如货物经乙方</w:t>
      </w:r>
      <w:r>
        <w:rPr>
          <w:rFonts w:hint="eastAsia" w:hAnsi="宋体"/>
          <w:u w:val="single"/>
        </w:rPr>
        <w:t xml:space="preserve"> 3  </w:t>
      </w:r>
      <w:r>
        <w:rPr>
          <w:rFonts w:hint="eastAsia" w:hAnsi="宋体"/>
        </w:rPr>
        <w:t>次维修仍不能达到合同约定的质量标准，甲方有权退货，并视作乙方不能交付货物而须支付违约赔偿金给甲方，甲方还可依法追究乙方的违约责任。 </w:t>
      </w:r>
    </w:p>
    <w:p w14:paraId="55DE74B8">
      <w:pPr>
        <w:pStyle w:val="4"/>
        <w:spacing w:line="408" w:lineRule="auto"/>
        <w:ind w:firstLine="480" w:firstLineChars="200"/>
        <w:outlineLvl w:val="1"/>
        <w:rPr>
          <w:rFonts w:hint="eastAsia" w:ascii="宋体" w:hAnsi="宋体" w:cs="宋体"/>
          <w:b/>
          <w:bCs/>
          <w:color w:val="auto"/>
          <w:sz w:val="24"/>
        </w:rPr>
      </w:pPr>
      <w:r>
        <w:rPr>
          <w:rFonts w:hint="eastAsia" w:hAnsi="宋体" w:cs="宋体"/>
          <w:sz w:val="24"/>
        </w:rPr>
        <w:t>6、</w:t>
      </w:r>
      <w:bookmarkStart w:id="38" w:name="_Toc14343"/>
      <w:bookmarkStart w:id="39" w:name="_Toc916"/>
      <w:bookmarkStart w:id="40" w:name="_Toc25534"/>
      <w:bookmarkStart w:id="41" w:name="_Toc10141"/>
      <w:bookmarkStart w:id="42" w:name="_Toc23045"/>
      <w:bookmarkStart w:id="43" w:name="_Toc2958"/>
      <w:bookmarkStart w:id="44" w:name="_Toc28720"/>
      <w:bookmarkStart w:id="45" w:name="_Toc22966"/>
      <w:bookmarkStart w:id="46" w:name="_Toc31893"/>
      <w:bookmarkStart w:id="47" w:name="_Toc217446111"/>
      <w:r>
        <w:rPr>
          <w:rFonts w:hint="eastAsia" w:ascii="Calibri" w:hAnsi="宋体" w:eastAsia="宋体" w:cs="宋体"/>
          <w:color w:val="auto"/>
          <w:kern w:val="2"/>
          <w:sz w:val="24"/>
          <w:szCs w:val="24"/>
          <w:lang w:val="en-US" w:eastAsia="zh-CN" w:bidi="ar-SA"/>
        </w:rPr>
        <w:t xml:space="preserve">其他未尽事宜应严格按照《财政部关于进一步加强政府采购需求和履约验收管理的指导意见》财库〔2016〕205号的要求、招标文件规定的要求和响应文件及合同约定的内容进行验收。 </w:t>
      </w:r>
      <w:r>
        <w:rPr>
          <w:rFonts w:hint="eastAsia" w:ascii="宋体" w:hAnsi="宋体" w:cs="宋体"/>
          <w:b/>
          <w:bCs/>
          <w:color w:val="auto"/>
          <w:sz w:val="24"/>
        </w:rPr>
        <w:t xml:space="preserve">   </w:t>
      </w:r>
    </w:p>
    <w:p w14:paraId="015B36F5">
      <w:pPr>
        <w:pStyle w:val="4"/>
        <w:spacing w:line="408" w:lineRule="auto"/>
        <w:ind w:firstLine="0"/>
        <w:outlineLvl w:val="1"/>
        <w:rPr>
          <w:rFonts w:ascii="宋体" w:hAnsi="宋体" w:cs="宋体"/>
          <w:b/>
          <w:bCs/>
          <w:color w:val="auto"/>
          <w:sz w:val="24"/>
        </w:rPr>
      </w:pPr>
      <w:r>
        <w:rPr>
          <w:rFonts w:hint="eastAsia" w:ascii="宋体" w:hAnsi="宋体" w:cs="宋体"/>
          <w:b/>
          <w:bCs/>
          <w:color w:val="auto"/>
          <w:sz w:val="24"/>
        </w:rPr>
        <w:t>五、付款方式</w:t>
      </w:r>
      <w:bookmarkEnd w:id="38"/>
      <w:bookmarkEnd w:id="39"/>
      <w:bookmarkEnd w:id="40"/>
      <w:bookmarkEnd w:id="41"/>
      <w:bookmarkEnd w:id="42"/>
      <w:bookmarkEnd w:id="43"/>
      <w:bookmarkEnd w:id="44"/>
      <w:bookmarkEnd w:id="45"/>
      <w:bookmarkEnd w:id="46"/>
      <w:bookmarkEnd w:id="47"/>
    </w:p>
    <w:p w14:paraId="49AF3257">
      <w:pPr>
        <w:keepNext w:val="0"/>
        <w:keepLines w:val="0"/>
        <w:pageBreakBefore w:val="0"/>
        <w:widowControl w:val="0"/>
        <w:kinsoku/>
        <w:wordWrap/>
        <w:overflowPunct/>
        <w:topLinePunct w:val="0"/>
        <w:autoSpaceDE/>
        <w:autoSpaceDN/>
        <w:bidi w:val="0"/>
        <w:snapToGrid/>
        <w:spacing w:line="496" w:lineRule="exact"/>
        <w:ind w:firstLine="480" w:firstLineChars="200"/>
        <w:rPr>
          <w:rFonts w:hint="default" w:ascii="Calibri" w:hAnsi="宋体" w:eastAsia="宋体" w:cs="宋体"/>
          <w:color w:val="FF0000"/>
          <w:kern w:val="2"/>
          <w:sz w:val="24"/>
          <w:szCs w:val="24"/>
          <w:lang w:val="en-US" w:eastAsia="zh-CN" w:bidi="ar-SA"/>
        </w:rPr>
      </w:pPr>
      <w:bookmarkStart w:id="48" w:name="_Toc7034"/>
      <w:bookmarkStart w:id="49" w:name="_Toc25270"/>
      <w:bookmarkStart w:id="50" w:name="_Toc20132"/>
      <w:bookmarkStart w:id="51" w:name="_Toc2049"/>
      <w:bookmarkStart w:id="52" w:name="_Toc11302"/>
      <w:bookmarkStart w:id="53" w:name="_Toc217446112"/>
      <w:bookmarkStart w:id="54" w:name="_Toc16459"/>
      <w:bookmarkStart w:id="55" w:name="_Toc9987"/>
      <w:bookmarkStart w:id="56" w:name="_Toc29842"/>
      <w:bookmarkStart w:id="57" w:name="_Toc12826"/>
      <w:r>
        <w:rPr>
          <w:rFonts w:hint="eastAsia" w:hAnsi="宋体" w:cs="宋体"/>
          <w:color w:val="FF0000"/>
          <w:kern w:val="2"/>
          <w:sz w:val="24"/>
          <w:szCs w:val="24"/>
          <w:lang w:val="en-US" w:eastAsia="zh-CN" w:bidi="ar-SA"/>
        </w:rPr>
        <w:t>合同签订后，采购人在收到供应商开据的合法完整有效票据并完成院内审签后，达到付款条件起10个工作日内，支付合同总金额的10%；成交供应商完成所有工作内容经验收合格后，采购人在收到供应商开据的合法完整有效票据并完成院内审签后，达到付款条件起10个工作日内，支付合同总金额的80%；验收合格一年后，采购人在收到供应商开据的合法完整有效票据并完成院内审签后，达到付款条件起10个工作日内，支付合同总金额的10%。</w:t>
      </w:r>
    </w:p>
    <w:p w14:paraId="7E66E4EF">
      <w:pPr>
        <w:pStyle w:val="4"/>
        <w:spacing w:line="408" w:lineRule="auto"/>
        <w:ind w:firstLine="480"/>
        <w:rPr>
          <w:rFonts w:ascii="宋体" w:hAnsi="宋体" w:cs="宋体"/>
          <w:b/>
          <w:sz w:val="24"/>
        </w:rPr>
      </w:pPr>
      <w:r>
        <w:rPr>
          <w:rFonts w:hint="eastAsia" w:cs="宋体"/>
          <w:b/>
          <w:sz w:val="24"/>
          <w:szCs w:val="24"/>
        </w:rPr>
        <w:t>六、售后服务</w:t>
      </w:r>
      <w:bookmarkEnd w:id="48"/>
      <w:bookmarkEnd w:id="49"/>
      <w:bookmarkEnd w:id="50"/>
      <w:bookmarkEnd w:id="51"/>
      <w:bookmarkEnd w:id="52"/>
      <w:bookmarkEnd w:id="53"/>
      <w:bookmarkEnd w:id="54"/>
      <w:bookmarkEnd w:id="55"/>
      <w:bookmarkEnd w:id="56"/>
      <w:bookmarkEnd w:id="57"/>
    </w:p>
    <w:p w14:paraId="5A3ADFFE">
      <w:pPr>
        <w:pStyle w:val="16"/>
        <w:spacing w:line="408" w:lineRule="auto"/>
        <w:ind w:firstLine="480"/>
        <w:rPr>
          <w:rFonts w:hAnsi="宋体"/>
        </w:rPr>
      </w:pPr>
      <w:r>
        <w:rPr>
          <w:rFonts w:hint="eastAsia" w:hAnsi="宋体"/>
        </w:rPr>
        <w:t>1、质保期为验收合格后</w:t>
      </w:r>
      <w:r>
        <w:rPr>
          <w:rFonts w:hint="eastAsia" w:hAnsi="宋体"/>
          <w:u w:val="single"/>
        </w:rPr>
        <w:t xml:space="preserve"> </w:t>
      </w:r>
      <w:r>
        <w:rPr>
          <w:rFonts w:hint="eastAsia" w:hAnsi="宋体"/>
          <w:u w:val="single"/>
          <w:lang w:val="en-US" w:eastAsia="zh-CN"/>
        </w:rPr>
        <w:t xml:space="preserve">  </w:t>
      </w:r>
      <w:r>
        <w:rPr>
          <w:rFonts w:hint="eastAsia" w:hAnsi="宋体"/>
          <w:u w:val="single"/>
        </w:rPr>
        <w:t xml:space="preserve"> </w:t>
      </w:r>
      <w:r>
        <w:rPr>
          <w:rFonts w:hint="eastAsia" w:hAnsi="宋体"/>
        </w:rPr>
        <w:t>年。质保期内乙方为甲方整机免费保修，终身维修，所涉及的软件部分终身免费升级换代。提供全套技术资料。</w:t>
      </w:r>
    </w:p>
    <w:p w14:paraId="77C94783">
      <w:pPr>
        <w:pStyle w:val="16"/>
        <w:spacing w:line="408" w:lineRule="auto"/>
        <w:ind w:firstLine="480"/>
        <w:rPr>
          <w:rFonts w:hAnsi="宋体"/>
        </w:rPr>
      </w:pPr>
      <w:r>
        <w:rPr>
          <w:rFonts w:hint="eastAsia" w:hAnsi="宋体"/>
        </w:rPr>
        <w:t>2、乙方负责派合格的工程师到用户现场进行设备安装、调试，达到正常生产使用要求，甲方验收、签字认可。</w:t>
      </w:r>
    </w:p>
    <w:p w14:paraId="621D51EF">
      <w:pPr>
        <w:pStyle w:val="16"/>
        <w:spacing w:line="408" w:lineRule="auto"/>
        <w:ind w:firstLine="480"/>
        <w:rPr>
          <w:rFonts w:hAnsi="宋体"/>
        </w:rPr>
      </w:pPr>
      <w:r>
        <w:rPr>
          <w:rFonts w:hint="eastAsia" w:hAnsi="宋体"/>
        </w:rPr>
        <w:t>3、乙方应保证设备生产商和/或其售后服务商提供人工保修和含配件保修价格，提供优惠折扣。</w:t>
      </w:r>
    </w:p>
    <w:p w14:paraId="7ECF861C">
      <w:pPr>
        <w:pStyle w:val="16"/>
        <w:spacing w:line="408" w:lineRule="auto"/>
        <w:ind w:firstLine="480"/>
        <w:rPr>
          <w:rFonts w:hAnsi="宋体"/>
        </w:rPr>
      </w:pPr>
      <w:r>
        <w:rPr>
          <w:rFonts w:hint="eastAsia" w:hAnsi="宋体"/>
        </w:rPr>
        <w:t>4、质量保证期后，乙方应保证设备生产商和/或其售后服务商在接到招标人即买方通知后6小时内派工程师到甲方现场以优惠的价格进行维修。</w:t>
      </w:r>
    </w:p>
    <w:p w14:paraId="2FE27366">
      <w:pPr>
        <w:pStyle w:val="16"/>
        <w:spacing w:line="408" w:lineRule="auto"/>
        <w:ind w:firstLine="480"/>
        <w:rPr>
          <w:rFonts w:hAnsi="宋体"/>
        </w:rPr>
      </w:pPr>
      <w:r>
        <w:rPr>
          <w:rFonts w:hint="eastAsia" w:hAnsi="宋体"/>
        </w:rPr>
        <w:t>5、终身零配件供应：投标人应保证设备停产后的备件供应保证10年，并以优惠的价格提供该设备所需的维修零配件。</w:t>
      </w:r>
    </w:p>
    <w:p w14:paraId="4B8764AF">
      <w:pPr>
        <w:pStyle w:val="16"/>
        <w:spacing w:line="408" w:lineRule="auto"/>
        <w:ind w:firstLine="480"/>
        <w:rPr>
          <w:rFonts w:hAnsi="宋体"/>
        </w:rPr>
      </w:pPr>
      <w:r>
        <w:rPr>
          <w:rFonts w:hint="eastAsia" w:hAnsi="宋体"/>
        </w:rPr>
        <w:t>6、培训：</w:t>
      </w:r>
    </w:p>
    <w:p w14:paraId="3FF92C7B">
      <w:pPr>
        <w:pStyle w:val="16"/>
        <w:spacing w:line="408" w:lineRule="auto"/>
        <w:ind w:firstLine="480"/>
        <w:rPr>
          <w:rFonts w:hAnsi="宋体"/>
        </w:rPr>
      </w:pPr>
      <w:r>
        <w:rPr>
          <w:rFonts w:hint="eastAsia" w:hAnsi="宋体"/>
        </w:rPr>
        <w:t>受训人员达到熟练掌握中标设备的操作规程与技能，并提供持续的提高专业应用技能及学术支持平台。 </w:t>
      </w:r>
      <w:bookmarkStart w:id="58" w:name="_Toc15338"/>
      <w:bookmarkStart w:id="59" w:name="_Toc14528"/>
      <w:bookmarkStart w:id="60" w:name="_Toc5323"/>
      <w:bookmarkStart w:id="61" w:name="_Toc19106"/>
      <w:bookmarkStart w:id="62" w:name="_Toc30445"/>
      <w:bookmarkStart w:id="63" w:name="_Toc9682"/>
      <w:bookmarkStart w:id="64" w:name="_Toc19153"/>
      <w:bookmarkStart w:id="65" w:name="_Toc217446113"/>
      <w:bookmarkStart w:id="66" w:name="_Toc12733"/>
      <w:bookmarkStart w:id="67" w:name="_Toc15511"/>
    </w:p>
    <w:p w14:paraId="4A9D8FD5">
      <w:pPr>
        <w:pStyle w:val="16"/>
        <w:spacing w:line="408" w:lineRule="auto"/>
        <w:ind w:firstLine="482"/>
        <w:rPr>
          <w:rFonts w:hAnsi="宋体"/>
          <w:b/>
        </w:rPr>
      </w:pPr>
      <w:r>
        <w:rPr>
          <w:rFonts w:hint="eastAsia"/>
          <w:b/>
        </w:rPr>
        <w:t>七、违约责任</w:t>
      </w:r>
      <w:bookmarkEnd w:id="58"/>
      <w:bookmarkEnd w:id="59"/>
      <w:bookmarkEnd w:id="60"/>
      <w:bookmarkEnd w:id="61"/>
      <w:bookmarkEnd w:id="62"/>
      <w:bookmarkEnd w:id="63"/>
      <w:bookmarkEnd w:id="64"/>
      <w:bookmarkEnd w:id="65"/>
      <w:bookmarkEnd w:id="66"/>
      <w:bookmarkEnd w:id="67"/>
    </w:p>
    <w:p w14:paraId="42C8FC5E">
      <w:pPr>
        <w:pStyle w:val="16"/>
        <w:spacing w:line="408" w:lineRule="auto"/>
        <w:ind w:firstLine="480"/>
        <w:rPr>
          <w:rFonts w:hAnsi="宋体"/>
        </w:rPr>
      </w:pPr>
      <w:r>
        <w:rPr>
          <w:rFonts w:hint="eastAsia" w:hAnsi="宋体"/>
        </w:rPr>
        <w:t>1、甲方违约责任</w:t>
      </w:r>
    </w:p>
    <w:p w14:paraId="077CDE63">
      <w:pPr>
        <w:pStyle w:val="16"/>
        <w:spacing w:line="408" w:lineRule="auto"/>
        <w:ind w:firstLine="480"/>
        <w:rPr>
          <w:rFonts w:hAnsi="宋体"/>
        </w:rPr>
      </w:pPr>
      <w:r>
        <w:rPr>
          <w:rFonts w:hint="eastAsia" w:hAnsi="宋体"/>
        </w:rPr>
        <w:t>（1）甲方无正当理由拒收货物的，甲方应偿付合同总价百分之</w:t>
      </w:r>
      <w:r>
        <w:rPr>
          <w:rFonts w:hint="eastAsia" w:hAnsi="宋体"/>
          <w:u w:val="single"/>
        </w:rPr>
        <w:t>0.5</w:t>
      </w:r>
      <w:r>
        <w:rPr>
          <w:rFonts w:hint="eastAsia" w:hAnsi="宋体"/>
        </w:rPr>
        <w:t>的违约金；</w:t>
      </w:r>
    </w:p>
    <w:p w14:paraId="0EE5BBEA">
      <w:pPr>
        <w:pStyle w:val="16"/>
        <w:spacing w:line="408" w:lineRule="auto"/>
        <w:ind w:firstLine="480"/>
        <w:rPr>
          <w:rFonts w:hAnsi="宋体"/>
        </w:rPr>
      </w:pPr>
      <w:r>
        <w:rPr>
          <w:rFonts w:hint="eastAsia" w:hAnsi="宋体"/>
        </w:rPr>
        <w:t>（2）甲方逾期支付货款的，除应及时付足货款外，应向乙方偿付欠款总额万分之</w:t>
      </w:r>
      <w:r>
        <w:rPr>
          <w:rFonts w:hint="eastAsia" w:hAnsi="宋体"/>
          <w:u w:val="single"/>
        </w:rPr>
        <w:t xml:space="preserve"> 1 </w:t>
      </w:r>
      <w:r>
        <w:rPr>
          <w:rFonts w:hint="eastAsia" w:hAnsi="宋体"/>
        </w:rPr>
        <w:t xml:space="preserve"> /天的违约金；</w:t>
      </w:r>
    </w:p>
    <w:p w14:paraId="290E1DD8">
      <w:pPr>
        <w:pStyle w:val="16"/>
        <w:spacing w:line="408" w:lineRule="auto"/>
        <w:ind w:firstLine="480"/>
        <w:rPr>
          <w:rFonts w:hAnsi="宋体"/>
        </w:rPr>
      </w:pPr>
      <w:r>
        <w:rPr>
          <w:rFonts w:hint="eastAsia" w:hAnsi="宋体"/>
        </w:rPr>
        <w:t>（3）甲方偿付的违约金不足以弥补乙方损失的，还应按乙方损失尚未弥补的部分，支付赔偿金给乙方。</w:t>
      </w:r>
    </w:p>
    <w:p w14:paraId="0E987C1B">
      <w:pPr>
        <w:pStyle w:val="16"/>
        <w:spacing w:line="408" w:lineRule="auto"/>
        <w:ind w:firstLine="480"/>
        <w:rPr>
          <w:rFonts w:hAnsi="宋体"/>
        </w:rPr>
      </w:pPr>
      <w:r>
        <w:rPr>
          <w:rFonts w:hint="eastAsia" w:hAnsi="宋体"/>
        </w:rPr>
        <w:t>2、乙方违约责任</w:t>
      </w:r>
    </w:p>
    <w:p w14:paraId="7B9D1592">
      <w:pPr>
        <w:pStyle w:val="16"/>
        <w:spacing w:line="408" w:lineRule="auto"/>
        <w:ind w:firstLine="480"/>
        <w:rPr>
          <w:rFonts w:hAnsi="宋体"/>
        </w:rPr>
      </w:pPr>
      <w:r>
        <w:rPr>
          <w:rFonts w:hint="eastAsia" w:hAnsi="宋体"/>
        </w:rPr>
        <w:t>（1）乙方交付的货物质量不符合合同规定的，乙方应向甲方支付合同总价的百分之5的违约金，并须在合同规定的交货时间内更换合格的货物给甲方，否则，视作乙方不能交付货物而违约，按本条本款下述第“（2）”项规定由乙方偿付违约赔偿金给甲方。</w:t>
      </w:r>
    </w:p>
    <w:p w14:paraId="17B4F5CF">
      <w:pPr>
        <w:pStyle w:val="16"/>
        <w:spacing w:line="408" w:lineRule="auto"/>
        <w:ind w:firstLine="480"/>
        <w:rPr>
          <w:rFonts w:hAnsi="宋体"/>
        </w:rPr>
      </w:pPr>
      <w:r>
        <w:rPr>
          <w:rFonts w:hint="eastAsia" w:hAnsi="宋体"/>
        </w:rPr>
        <w:t>（2）乙方不能交付货物或逾期交付货物而违约的，除应及时交足货物外，还应向甲方偿付逾期交货时间货款总额的百分之</w:t>
      </w:r>
      <w:r>
        <w:rPr>
          <w:rFonts w:hint="eastAsia" w:hAnsi="宋体"/>
          <w:u w:val="single"/>
        </w:rPr>
        <w:t xml:space="preserve"> 0.5</w:t>
      </w:r>
      <w:r>
        <w:rPr>
          <w:rFonts w:hint="eastAsia" w:hAnsi="宋体"/>
        </w:rPr>
        <w:t xml:space="preserve"> /天的违约金；逾期交货超过10天，甲方有权终止合同，乙方则应按合同总价的百分之</w:t>
      </w:r>
      <w:r>
        <w:rPr>
          <w:rFonts w:hint="eastAsia" w:hAnsi="宋体"/>
          <w:u w:val="single"/>
        </w:rPr>
        <w:t xml:space="preserve"> 5 </w:t>
      </w:r>
      <w:r>
        <w:rPr>
          <w:rFonts w:hint="eastAsia" w:hAnsi="宋体"/>
        </w:rPr>
        <w:t>的款额向甲方偿付赔偿金，并须全额退还甲方已经付给乙方的货款及其利息。</w:t>
      </w:r>
    </w:p>
    <w:p w14:paraId="271065D8">
      <w:pPr>
        <w:pStyle w:val="16"/>
        <w:spacing w:line="408" w:lineRule="auto"/>
        <w:ind w:firstLine="480"/>
        <w:rPr>
          <w:rFonts w:hAnsi="宋体"/>
        </w:rPr>
      </w:pPr>
      <w:r>
        <w:rPr>
          <w:rFonts w:hint="eastAsia" w:hAnsi="宋体"/>
        </w:rPr>
        <w:t>（3）乙方货物经甲方送交具有法定资格条件的质量技术监督机构检测后，如检测结果认定货物质量不符合本合同规定标准的，则视为乙方没有按时交货而违约，乙方须在</w:t>
      </w:r>
      <w:r>
        <w:rPr>
          <w:rFonts w:hint="eastAsia" w:hAnsi="宋体"/>
          <w:u w:val="single"/>
        </w:rPr>
        <w:t>一个月</w:t>
      </w:r>
      <w:r>
        <w:rPr>
          <w:rFonts w:hint="eastAsia" w:hAnsi="宋体"/>
        </w:rPr>
        <w:t>内无条件更换合格的货物，如逾期不能更换合格的货物，甲方有权终止本合同，乙方应另付合同总价的百分之</w:t>
      </w:r>
      <w:r>
        <w:rPr>
          <w:rFonts w:hint="eastAsia" w:hAnsi="宋体"/>
          <w:u w:val="single"/>
        </w:rPr>
        <w:t xml:space="preserve"> 5 </w:t>
      </w:r>
      <w:r>
        <w:rPr>
          <w:rFonts w:hint="eastAsia" w:hAnsi="宋体"/>
        </w:rPr>
        <w:t>的赔偿金给甲方。</w:t>
      </w:r>
    </w:p>
    <w:p w14:paraId="07D26596">
      <w:pPr>
        <w:pStyle w:val="16"/>
        <w:spacing w:line="408" w:lineRule="auto"/>
        <w:ind w:firstLine="480"/>
        <w:rPr>
          <w:rFonts w:hAnsi="宋体"/>
        </w:rPr>
      </w:pPr>
      <w:r>
        <w:rPr>
          <w:rFonts w:hint="eastAsia" w:hAnsi="宋体"/>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 10 向甲方支付违约金并赔偿因此给甲方造成的一切损失。</w:t>
      </w:r>
    </w:p>
    <w:p w14:paraId="35C2F94F">
      <w:pPr>
        <w:pStyle w:val="16"/>
        <w:spacing w:line="408" w:lineRule="auto"/>
        <w:ind w:firstLine="480"/>
        <w:rPr>
          <w:rFonts w:hAnsi="宋体"/>
        </w:rPr>
      </w:pPr>
      <w:r>
        <w:rPr>
          <w:rFonts w:hint="eastAsia" w:hAnsi="宋体"/>
        </w:rPr>
        <w:t>（5）乙方偿付的违约金不足以弥补甲方损失的，还应按甲方损失尚未弥补的部分，支付赔偿金给甲方。</w:t>
      </w:r>
      <w:bookmarkStart w:id="68" w:name="_Toc26044"/>
      <w:bookmarkStart w:id="69" w:name="_Toc18955"/>
      <w:bookmarkStart w:id="70" w:name="_Toc6027"/>
      <w:bookmarkStart w:id="71" w:name="_Toc9407"/>
      <w:bookmarkStart w:id="72" w:name="_Toc217446114"/>
      <w:bookmarkStart w:id="73" w:name="_Toc4848"/>
      <w:bookmarkStart w:id="74" w:name="_Toc3969"/>
      <w:bookmarkStart w:id="75" w:name="_Toc25563"/>
      <w:bookmarkStart w:id="76" w:name="_Toc31948"/>
      <w:bookmarkStart w:id="77" w:name="_Toc31342"/>
    </w:p>
    <w:p w14:paraId="6EE03561">
      <w:pPr>
        <w:pStyle w:val="16"/>
        <w:spacing w:line="408" w:lineRule="auto"/>
        <w:ind w:firstLine="482"/>
        <w:rPr>
          <w:rFonts w:hAnsi="宋体"/>
          <w:b/>
        </w:rPr>
      </w:pPr>
      <w:r>
        <w:rPr>
          <w:rFonts w:hint="eastAsia"/>
          <w:b/>
        </w:rPr>
        <w:t>八、争议解决办法</w:t>
      </w:r>
      <w:bookmarkEnd w:id="68"/>
      <w:bookmarkEnd w:id="69"/>
      <w:bookmarkEnd w:id="70"/>
      <w:bookmarkEnd w:id="71"/>
      <w:bookmarkEnd w:id="72"/>
      <w:bookmarkEnd w:id="73"/>
      <w:bookmarkEnd w:id="74"/>
      <w:bookmarkEnd w:id="75"/>
      <w:bookmarkEnd w:id="76"/>
      <w:bookmarkEnd w:id="77"/>
    </w:p>
    <w:p w14:paraId="35FE87D2">
      <w:pPr>
        <w:pStyle w:val="16"/>
        <w:spacing w:line="408" w:lineRule="auto"/>
        <w:ind w:firstLine="480"/>
        <w:rPr>
          <w:rFonts w:hAnsi="宋体"/>
        </w:rPr>
      </w:pPr>
      <w:r>
        <w:rPr>
          <w:rFonts w:hint="eastAsia" w:hAnsi="宋体"/>
        </w:rPr>
        <w:t>1、因货物的质量问题发生争议，由质量技术监督部门或其指定的质量鉴定机构进行质量鉴定。货物符合标准的，鉴定费由甲方承担；货物不符合质量标准的，鉴定费由乙方承担。</w:t>
      </w:r>
    </w:p>
    <w:p w14:paraId="014EE599">
      <w:pPr>
        <w:pStyle w:val="16"/>
        <w:spacing w:line="408" w:lineRule="auto"/>
        <w:ind w:firstLine="480"/>
        <w:rPr>
          <w:rFonts w:hAnsi="宋体"/>
        </w:rPr>
      </w:pPr>
      <w:r>
        <w:rPr>
          <w:rFonts w:hint="eastAsia" w:hAnsi="宋体"/>
        </w:rPr>
        <w:t>2、合同履行期间,若双方发生争议，可协商或由有关部门调解解决，协商或调解不成的，由当事人依法维护其合法权益，并由合同履行地人民法院会裁定</w:t>
      </w:r>
      <w:bookmarkStart w:id="78" w:name="_Toc6351"/>
      <w:bookmarkStart w:id="79" w:name="_Toc31760"/>
      <w:bookmarkStart w:id="80" w:name="_Toc29728"/>
      <w:bookmarkStart w:id="81" w:name="_Toc1116"/>
      <w:bookmarkStart w:id="82" w:name="_Toc30194"/>
      <w:bookmarkStart w:id="83" w:name="_Toc23770"/>
      <w:bookmarkStart w:id="84" w:name="_Toc217446115"/>
      <w:bookmarkStart w:id="85" w:name="_Toc11998"/>
      <w:bookmarkStart w:id="86" w:name="_Toc31641"/>
      <w:bookmarkStart w:id="87" w:name="_Toc5765"/>
    </w:p>
    <w:p w14:paraId="56488291">
      <w:pPr>
        <w:pStyle w:val="16"/>
        <w:spacing w:line="408" w:lineRule="auto"/>
        <w:ind w:firstLine="482"/>
        <w:rPr>
          <w:rFonts w:hAnsi="宋体"/>
          <w:b/>
        </w:rPr>
      </w:pPr>
      <w:r>
        <w:rPr>
          <w:rFonts w:hint="eastAsia"/>
          <w:b/>
        </w:rPr>
        <w:t>九、其他</w:t>
      </w:r>
      <w:bookmarkEnd w:id="78"/>
      <w:bookmarkEnd w:id="79"/>
      <w:bookmarkEnd w:id="80"/>
      <w:bookmarkEnd w:id="81"/>
      <w:bookmarkEnd w:id="82"/>
      <w:bookmarkEnd w:id="83"/>
      <w:bookmarkEnd w:id="84"/>
      <w:bookmarkEnd w:id="85"/>
      <w:bookmarkEnd w:id="86"/>
      <w:bookmarkEnd w:id="87"/>
    </w:p>
    <w:p w14:paraId="240DAB07">
      <w:pPr>
        <w:pStyle w:val="16"/>
        <w:spacing w:line="408" w:lineRule="auto"/>
        <w:ind w:firstLine="480"/>
        <w:rPr>
          <w:rFonts w:hAnsi="宋体"/>
        </w:rPr>
      </w:pPr>
      <w:r>
        <w:rPr>
          <w:rFonts w:hint="eastAsia" w:hAnsi="宋体"/>
        </w:rPr>
        <w:t>1、本合同包含附件，与本合同具有同样的法律效力。附件为所提供产品的配置及说明。</w:t>
      </w:r>
    </w:p>
    <w:p w14:paraId="1AAEAE9E">
      <w:pPr>
        <w:pStyle w:val="16"/>
        <w:spacing w:line="408" w:lineRule="auto"/>
        <w:ind w:firstLine="480"/>
        <w:rPr>
          <w:rFonts w:hAnsi="宋体"/>
        </w:rPr>
      </w:pPr>
      <w:r>
        <w:rPr>
          <w:rFonts w:hint="eastAsia" w:hAnsi="宋体"/>
        </w:rPr>
        <w:t>2、该项目的招标文件、投标文件作为本合同的有效补充，与本合同具有同样的法律效力。</w:t>
      </w:r>
    </w:p>
    <w:p w14:paraId="1A68B380">
      <w:pPr>
        <w:pStyle w:val="16"/>
        <w:spacing w:line="408" w:lineRule="auto"/>
        <w:ind w:firstLine="480"/>
        <w:rPr>
          <w:rFonts w:hAnsi="宋体"/>
        </w:rPr>
      </w:pPr>
      <w:r>
        <w:rPr>
          <w:rFonts w:hint="eastAsia" w:hAnsi="宋体"/>
        </w:rPr>
        <w:t>3、如有未尽事宜，应当依据招标文件规定标准，并依法订立补充合同。</w:t>
      </w:r>
    </w:p>
    <w:p w14:paraId="37061A0C">
      <w:pPr>
        <w:pStyle w:val="16"/>
        <w:spacing w:line="408" w:lineRule="auto"/>
        <w:ind w:firstLine="480"/>
        <w:rPr>
          <w:rFonts w:hint="eastAsia" w:hAnsi="宋体"/>
        </w:rPr>
      </w:pPr>
      <w:r>
        <w:rPr>
          <w:rFonts w:hint="eastAsia" w:hAnsi="宋体"/>
        </w:rPr>
        <w:t>4、本合同一式六份，自双方签章之日起生效。甲方</w:t>
      </w:r>
      <w:r>
        <w:rPr>
          <w:rFonts w:hint="eastAsia" w:hAnsi="宋体"/>
          <w:lang w:val="en-US" w:eastAsia="zh-CN"/>
        </w:rPr>
        <w:t>五</w:t>
      </w:r>
      <w:r>
        <w:rPr>
          <w:rFonts w:hint="eastAsia" w:hAnsi="宋体"/>
        </w:rPr>
        <w:t>份，乙方一份。</w:t>
      </w:r>
    </w:p>
    <w:p w14:paraId="033C98EF">
      <w:pPr>
        <w:pStyle w:val="16"/>
        <w:spacing w:line="408" w:lineRule="auto"/>
        <w:ind w:firstLine="480"/>
        <w:rPr>
          <w:rFonts w:hint="eastAsia" w:hAnsi="宋体" w:eastAsia="宋体"/>
          <w:lang w:val="en-US" w:eastAsia="zh-CN"/>
        </w:rPr>
      </w:pPr>
      <w:r>
        <w:rPr>
          <w:rFonts w:hint="eastAsia" w:hAnsi="宋体"/>
          <w:lang w:val="en-US" w:eastAsia="zh-CN"/>
        </w:rPr>
        <w:t>5、合同签订联系人：高凌云，联系电话：0813-7114419。</w:t>
      </w:r>
    </w:p>
    <w:tbl>
      <w:tblPr>
        <w:tblStyle w:val="10"/>
        <w:tblpPr w:leftFromText="180" w:rightFromText="180" w:vertAnchor="text" w:horzAnchor="page" w:tblpX="2020" w:tblpY="159"/>
        <w:tblOverlap w:val="never"/>
        <w:tblW w:w="81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110"/>
        <w:gridCol w:w="4050"/>
      </w:tblGrid>
      <w:tr w14:paraId="4C6E5B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76" w:hRule="atLeast"/>
        </w:trPr>
        <w:tc>
          <w:tcPr>
            <w:tcW w:w="4110" w:type="dxa"/>
            <w:tcBorders>
              <w:top w:val="single" w:color="auto" w:sz="4" w:space="0"/>
              <w:left w:val="single" w:color="auto" w:sz="4" w:space="0"/>
              <w:bottom w:val="single" w:color="auto" w:sz="4" w:space="0"/>
              <w:right w:val="single" w:color="auto" w:sz="4" w:space="0"/>
            </w:tcBorders>
          </w:tcPr>
          <w:p w14:paraId="26911B11">
            <w:pPr>
              <w:spacing w:line="400" w:lineRule="exact"/>
              <w:rPr>
                <w:rFonts w:ascii="宋体" w:hAnsi="宋体" w:cs="宋体"/>
                <w:sz w:val="24"/>
              </w:rPr>
            </w:pPr>
            <w:r>
              <w:rPr>
                <w:rFonts w:hint="eastAsia" w:ascii="宋体" w:hAnsi="宋体" w:cs="宋体"/>
                <w:sz w:val="24"/>
              </w:rPr>
              <w:t>甲方（盖章）：富顺县人民医院</w:t>
            </w:r>
          </w:p>
          <w:p w14:paraId="1B3AFCC3">
            <w:pPr>
              <w:spacing w:line="400" w:lineRule="exact"/>
              <w:rPr>
                <w:rFonts w:ascii="宋体" w:hAnsi="宋体" w:cs="宋体"/>
                <w:sz w:val="24"/>
              </w:rPr>
            </w:pPr>
            <w:r>
              <w:rPr>
                <w:rFonts w:hint="eastAsia" w:ascii="宋体" w:hAnsi="宋体" w:cs="宋体"/>
                <w:sz w:val="24"/>
              </w:rPr>
              <w:t>法定代表（签字）：</w:t>
            </w:r>
          </w:p>
          <w:p w14:paraId="71497E03">
            <w:pPr>
              <w:spacing w:line="400" w:lineRule="exact"/>
              <w:rPr>
                <w:rFonts w:ascii="宋体" w:hAnsi="宋体" w:cs="宋体"/>
                <w:sz w:val="24"/>
              </w:rPr>
            </w:pPr>
          </w:p>
          <w:p w14:paraId="602E8CD7">
            <w:pPr>
              <w:spacing w:line="400" w:lineRule="exact"/>
              <w:rPr>
                <w:rFonts w:ascii="宋体" w:hAnsi="宋体" w:cs="宋体"/>
                <w:sz w:val="24"/>
              </w:rPr>
            </w:pPr>
          </w:p>
          <w:p w14:paraId="233CB32D">
            <w:pPr>
              <w:spacing w:line="400" w:lineRule="exact"/>
              <w:rPr>
                <w:rFonts w:ascii="宋体" w:hAnsi="宋体" w:cs="宋体"/>
                <w:sz w:val="24"/>
              </w:rPr>
            </w:pPr>
          </w:p>
          <w:p w14:paraId="3D67F381">
            <w:pPr>
              <w:spacing w:line="400" w:lineRule="exact"/>
              <w:rPr>
                <w:rFonts w:ascii="宋体" w:hAnsi="宋体" w:cs="宋体"/>
                <w:sz w:val="24"/>
              </w:rPr>
            </w:pPr>
          </w:p>
          <w:p w14:paraId="0B966BD7">
            <w:pPr>
              <w:spacing w:line="400" w:lineRule="exact"/>
              <w:rPr>
                <w:rFonts w:ascii="宋体" w:hAnsi="宋体" w:cs="宋体"/>
                <w:sz w:val="24"/>
              </w:rPr>
            </w:pPr>
          </w:p>
          <w:p w14:paraId="3BADBF2E">
            <w:pPr>
              <w:spacing w:line="400" w:lineRule="exact"/>
              <w:rPr>
                <w:rFonts w:ascii="宋体" w:hAnsi="宋体" w:cs="宋体"/>
                <w:sz w:val="24"/>
              </w:rPr>
            </w:pPr>
          </w:p>
          <w:p w14:paraId="308C683F">
            <w:pPr>
              <w:spacing w:line="400" w:lineRule="exact"/>
              <w:rPr>
                <w:rFonts w:ascii="宋体" w:hAnsi="宋体" w:cs="宋体"/>
                <w:sz w:val="24"/>
              </w:rPr>
            </w:pPr>
            <w:r>
              <w:rPr>
                <w:rFonts w:hint="eastAsia" w:ascii="宋体" w:hAnsi="宋体" w:cs="宋体"/>
                <w:sz w:val="24"/>
              </w:rPr>
              <w:t>日期：        年    月    日</w:t>
            </w:r>
          </w:p>
        </w:tc>
        <w:tc>
          <w:tcPr>
            <w:tcW w:w="4050" w:type="dxa"/>
            <w:tcBorders>
              <w:top w:val="single" w:color="auto" w:sz="4" w:space="0"/>
              <w:left w:val="single" w:color="auto" w:sz="4" w:space="0"/>
              <w:bottom w:val="single" w:color="auto" w:sz="4" w:space="0"/>
              <w:right w:val="single" w:color="auto" w:sz="4" w:space="0"/>
            </w:tcBorders>
          </w:tcPr>
          <w:p w14:paraId="5979D622">
            <w:pPr>
              <w:spacing w:line="400" w:lineRule="exact"/>
              <w:rPr>
                <w:rFonts w:ascii="宋体" w:hAnsi="宋体" w:cs="宋体"/>
                <w:sz w:val="24"/>
              </w:rPr>
            </w:pPr>
            <w:r>
              <w:rPr>
                <w:rFonts w:hint="eastAsia" w:ascii="宋体" w:hAnsi="宋体" w:cs="宋体"/>
                <w:sz w:val="24"/>
              </w:rPr>
              <w:t xml:space="preserve">乙方（盖章）：  </w:t>
            </w:r>
          </w:p>
          <w:p w14:paraId="4250665B">
            <w:pPr>
              <w:spacing w:line="400" w:lineRule="exact"/>
              <w:rPr>
                <w:rFonts w:ascii="宋体" w:hAnsi="宋体" w:cs="宋体"/>
                <w:sz w:val="24"/>
              </w:rPr>
            </w:pPr>
            <w:r>
              <w:rPr>
                <w:rFonts w:hint="eastAsia" w:ascii="宋体" w:hAnsi="宋体" w:cs="宋体"/>
                <w:sz w:val="24"/>
              </w:rPr>
              <w:t>乙方代表（签字）：</w:t>
            </w:r>
          </w:p>
          <w:p w14:paraId="1D8DBCFE">
            <w:pPr>
              <w:spacing w:line="400" w:lineRule="exact"/>
              <w:rPr>
                <w:rFonts w:ascii="宋体" w:hAnsi="宋体" w:cs="宋体"/>
                <w:sz w:val="24"/>
              </w:rPr>
            </w:pPr>
            <w:r>
              <w:rPr>
                <w:rFonts w:hint="eastAsia" w:ascii="宋体" w:hAnsi="宋体" w:cs="宋体"/>
                <w:sz w:val="24"/>
              </w:rPr>
              <w:t xml:space="preserve">销售电话： </w:t>
            </w:r>
          </w:p>
          <w:p w14:paraId="1D1B5898">
            <w:pPr>
              <w:spacing w:line="400" w:lineRule="exact"/>
              <w:rPr>
                <w:rFonts w:ascii="宋体" w:hAnsi="宋体" w:cs="宋体"/>
                <w:sz w:val="24"/>
              </w:rPr>
            </w:pPr>
            <w:r>
              <w:rPr>
                <w:rFonts w:hint="eastAsia" w:ascii="宋体" w:hAnsi="宋体" w:cs="宋体"/>
                <w:sz w:val="24"/>
              </w:rPr>
              <w:t>售后维修工程师姓名：</w:t>
            </w:r>
          </w:p>
          <w:p w14:paraId="35F2BB71">
            <w:pPr>
              <w:spacing w:line="400" w:lineRule="exact"/>
              <w:rPr>
                <w:rFonts w:ascii="宋体" w:hAnsi="宋体" w:cs="宋体"/>
                <w:sz w:val="24"/>
              </w:rPr>
            </w:pPr>
            <w:r>
              <w:rPr>
                <w:rFonts w:hint="eastAsia" w:ascii="宋体" w:hAnsi="宋体" w:cs="宋体"/>
                <w:sz w:val="24"/>
              </w:rPr>
              <w:t>售后维修电话：</w:t>
            </w:r>
          </w:p>
          <w:p w14:paraId="1A651AAF">
            <w:pPr>
              <w:spacing w:line="400" w:lineRule="exact"/>
              <w:rPr>
                <w:rFonts w:ascii="宋体" w:hAnsi="宋体" w:cs="宋体"/>
                <w:sz w:val="24"/>
              </w:rPr>
            </w:pPr>
            <w:r>
              <w:rPr>
                <w:rFonts w:hint="eastAsia" w:ascii="宋体" w:hAnsi="宋体" w:cs="宋体"/>
                <w:sz w:val="24"/>
              </w:rPr>
              <w:t>开户银行：</w:t>
            </w:r>
          </w:p>
          <w:p w14:paraId="6FEE562C">
            <w:pPr>
              <w:spacing w:line="400" w:lineRule="exact"/>
              <w:rPr>
                <w:rFonts w:ascii="宋体" w:hAnsi="宋体" w:cs="宋体"/>
                <w:sz w:val="24"/>
              </w:rPr>
            </w:pPr>
            <w:r>
              <w:rPr>
                <w:rFonts w:hint="eastAsia" w:ascii="宋体" w:hAnsi="宋体" w:cs="宋体"/>
                <w:sz w:val="24"/>
              </w:rPr>
              <w:t>开户帐号：</w:t>
            </w:r>
          </w:p>
          <w:p w14:paraId="1E39B6E6">
            <w:pPr>
              <w:spacing w:line="400" w:lineRule="exact"/>
              <w:rPr>
                <w:rFonts w:ascii="宋体" w:hAnsi="宋体" w:cs="宋体"/>
                <w:sz w:val="24"/>
              </w:rPr>
            </w:pPr>
          </w:p>
          <w:p w14:paraId="5ACD0C2A">
            <w:pPr>
              <w:spacing w:line="400" w:lineRule="exact"/>
              <w:rPr>
                <w:rFonts w:ascii="宋体" w:hAnsi="宋体" w:cs="宋体"/>
                <w:sz w:val="24"/>
              </w:rPr>
            </w:pPr>
            <w:r>
              <w:rPr>
                <w:rFonts w:hint="eastAsia" w:ascii="宋体" w:hAnsi="宋体" w:cs="宋体"/>
                <w:sz w:val="24"/>
              </w:rPr>
              <w:t>日期：        年    月    日</w:t>
            </w:r>
          </w:p>
        </w:tc>
      </w:tr>
    </w:tbl>
    <w:p w14:paraId="76FD62D5"/>
    <w:p w14:paraId="611E8566"/>
    <w:p w14:paraId="4708ABBA">
      <w:pPr>
        <w:spacing w:line="480" w:lineRule="auto"/>
        <w:ind w:firstLine="210" w:firstLineChars="100"/>
        <w:rPr>
          <w:rFonts w:hAnsi="宋体"/>
          <w:szCs w:val="21"/>
        </w:rPr>
      </w:pPr>
    </w:p>
    <w:p w14:paraId="6CBD5E48">
      <w:pPr>
        <w:pStyle w:val="2"/>
        <w:rPr>
          <w:rFonts w:hAnsi="宋体"/>
          <w:szCs w:val="21"/>
        </w:rPr>
      </w:pPr>
    </w:p>
    <w:p w14:paraId="64712B7C">
      <w:pPr>
        <w:pStyle w:val="8"/>
      </w:pPr>
    </w:p>
    <w:p w14:paraId="151CDA96">
      <w:pPr>
        <w:rPr>
          <w:rFonts w:hint="eastAsia" w:hAnsi="宋体"/>
          <w:szCs w:val="21"/>
        </w:rPr>
      </w:pPr>
    </w:p>
    <w:p w14:paraId="0FAE5D10">
      <w:pPr>
        <w:spacing w:line="480" w:lineRule="auto"/>
        <w:rPr>
          <w:rFonts w:hAnsi="宋体"/>
          <w:szCs w:val="21"/>
        </w:rPr>
      </w:pPr>
      <w:r>
        <w:rPr>
          <w:rFonts w:hint="eastAsia" w:hAnsi="宋体"/>
          <w:szCs w:val="21"/>
        </w:rPr>
        <w:t>附件1：主要的配置清单</w:t>
      </w:r>
    </w:p>
    <w:p w14:paraId="2D2B1AA8"/>
    <w:p w14:paraId="478171CB">
      <w:pPr>
        <w:spacing w:line="360" w:lineRule="auto"/>
        <w:ind w:firstLine="480" w:firstLineChars="200"/>
        <w:rPr>
          <w:rFonts w:hAnsi="宋体"/>
          <w:sz w:val="24"/>
        </w:rPr>
      </w:pPr>
    </w:p>
    <w:p w14:paraId="17B46040">
      <w:pPr>
        <w:spacing w:line="360" w:lineRule="auto"/>
        <w:ind w:firstLine="480" w:firstLineChars="200"/>
        <w:rPr>
          <w:rFonts w:hAnsi="宋体"/>
          <w:sz w:val="24"/>
        </w:rPr>
      </w:pPr>
    </w:p>
    <w:p w14:paraId="5E3BD198">
      <w:pPr>
        <w:spacing w:line="360" w:lineRule="auto"/>
        <w:ind w:firstLine="480" w:firstLineChars="200"/>
        <w:rPr>
          <w:rFonts w:hAnsi="宋体"/>
          <w:sz w:val="24"/>
        </w:rPr>
      </w:pPr>
    </w:p>
    <w:p w14:paraId="41CCD893">
      <w:pPr>
        <w:spacing w:line="360" w:lineRule="auto"/>
        <w:ind w:firstLine="480" w:firstLineChars="200"/>
        <w:rPr>
          <w:rFonts w:hAnsi="宋体"/>
          <w:sz w:val="24"/>
        </w:rPr>
      </w:pPr>
      <w:r>
        <w:rPr>
          <w:rFonts w:hAnsi="宋体"/>
          <w:sz w:val="24"/>
        </w:rPr>
        <w:t>附件1</w:t>
      </w:r>
    </w:p>
    <w:p w14:paraId="01E35E7C">
      <w:pPr>
        <w:spacing w:line="360" w:lineRule="auto"/>
        <w:ind w:firstLine="480" w:firstLineChars="200"/>
        <w:rPr>
          <w:rFonts w:hAnsi="宋体"/>
          <w:sz w:val="24"/>
        </w:rPr>
      </w:pPr>
      <w:bookmarkStart w:id="88" w:name="bookmark42"/>
      <w:bookmarkStart w:id="89" w:name="bookmark43"/>
      <w:bookmarkStart w:id="90" w:name="bookmark41"/>
      <w:r>
        <w:rPr>
          <w:rFonts w:hint="eastAsia" w:hAnsi="宋体"/>
          <w:sz w:val="24"/>
        </w:rPr>
        <w:t>主要的</w:t>
      </w:r>
      <w:r>
        <w:rPr>
          <w:rFonts w:hAnsi="宋体"/>
          <w:sz w:val="24"/>
        </w:rPr>
        <w:t>配置清单</w:t>
      </w:r>
      <w:bookmarkEnd w:id="88"/>
      <w:bookmarkEnd w:id="89"/>
      <w:bookmarkEnd w:id="90"/>
    </w:p>
    <w:tbl>
      <w:tblPr>
        <w:tblStyle w:val="10"/>
        <w:tblW w:w="8074" w:type="dxa"/>
        <w:jc w:val="center"/>
        <w:tblLayout w:type="fixed"/>
        <w:tblCellMar>
          <w:top w:w="0" w:type="dxa"/>
          <w:left w:w="10" w:type="dxa"/>
          <w:bottom w:w="0" w:type="dxa"/>
          <w:right w:w="10" w:type="dxa"/>
        </w:tblCellMar>
      </w:tblPr>
      <w:tblGrid>
        <w:gridCol w:w="2764"/>
        <w:gridCol w:w="1680"/>
        <w:gridCol w:w="1005"/>
        <w:gridCol w:w="2625"/>
      </w:tblGrid>
      <w:tr w14:paraId="165B4577">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411117A3">
            <w:pPr>
              <w:jc w:val="center"/>
              <w:rPr>
                <w:rFonts w:ascii="宋体" w:hAnsi="宋体"/>
                <w:b/>
                <w:bCs/>
                <w:kern w:val="0"/>
                <w:sz w:val="24"/>
              </w:rPr>
            </w:pPr>
            <w:r>
              <w:rPr>
                <w:rFonts w:hint="eastAsia" w:ascii="宋体" w:hAnsi="宋体"/>
                <w:b/>
                <w:bCs/>
                <w:kern w:val="0"/>
                <w:sz w:val="24"/>
              </w:rPr>
              <w:t>名称</w:t>
            </w: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246A855C">
            <w:pPr>
              <w:jc w:val="center"/>
              <w:rPr>
                <w:rFonts w:ascii="宋体" w:hAnsi="宋体"/>
                <w:b/>
                <w:bCs/>
                <w:kern w:val="0"/>
                <w:sz w:val="24"/>
              </w:rPr>
            </w:pPr>
            <w:r>
              <w:rPr>
                <w:rFonts w:hint="eastAsia" w:ascii="宋体" w:hAnsi="宋体"/>
                <w:b/>
                <w:bCs/>
                <w:kern w:val="0"/>
                <w:sz w:val="24"/>
              </w:rPr>
              <w:t>规格型号</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71E993">
            <w:pPr>
              <w:jc w:val="center"/>
              <w:rPr>
                <w:rFonts w:ascii="宋体" w:hAnsi="宋体"/>
                <w:b/>
                <w:bCs/>
                <w:kern w:val="0"/>
                <w:sz w:val="24"/>
              </w:rPr>
            </w:pPr>
            <w:r>
              <w:rPr>
                <w:rFonts w:hint="eastAsia" w:ascii="宋体" w:hAnsi="宋体"/>
                <w:b/>
                <w:bCs/>
                <w:kern w:val="0"/>
                <w:sz w:val="24"/>
              </w:rPr>
              <w:t>数量</w:t>
            </w: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48DF2C68">
            <w:pPr>
              <w:jc w:val="center"/>
              <w:rPr>
                <w:rFonts w:ascii="宋体" w:hAnsi="宋体"/>
                <w:b/>
                <w:bCs/>
                <w:kern w:val="0"/>
                <w:sz w:val="24"/>
              </w:rPr>
            </w:pPr>
            <w:r>
              <w:rPr>
                <w:rFonts w:hint="eastAsia" w:ascii="宋体" w:hAnsi="宋体"/>
                <w:b/>
                <w:bCs/>
                <w:kern w:val="0"/>
                <w:sz w:val="24"/>
              </w:rPr>
              <w:t>生产厂家</w:t>
            </w:r>
          </w:p>
        </w:tc>
      </w:tr>
      <w:tr w14:paraId="44A35B81">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4C5A8107">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2639CBDB">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A51305">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7CE52BAF">
            <w:pPr>
              <w:jc w:val="center"/>
              <w:rPr>
                <w:rFonts w:ascii="宋体" w:hAnsi="宋体"/>
                <w:kern w:val="0"/>
                <w:szCs w:val="21"/>
              </w:rPr>
            </w:pPr>
          </w:p>
        </w:tc>
      </w:tr>
      <w:tr w14:paraId="5D021977">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0B39C525">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65A337DF">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1771FD">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69D305E7">
            <w:pPr>
              <w:jc w:val="center"/>
              <w:rPr>
                <w:rFonts w:ascii="宋体" w:hAnsi="宋体"/>
                <w:kern w:val="0"/>
                <w:szCs w:val="21"/>
              </w:rPr>
            </w:pPr>
          </w:p>
        </w:tc>
      </w:tr>
      <w:tr w14:paraId="6D241C2C">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0F778764">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2A14FBB3">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4D06A2C">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51137FAD">
            <w:pPr>
              <w:jc w:val="center"/>
              <w:rPr>
                <w:rFonts w:ascii="宋体" w:hAnsi="宋体"/>
                <w:kern w:val="0"/>
                <w:szCs w:val="21"/>
              </w:rPr>
            </w:pPr>
          </w:p>
        </w:tc>
      </w:tr>
      <w:tr w14:paraId="236B5F37">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085BFFF4">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3C05C890">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51B711">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3A776287">
            <w:pPr>
              <w:jc w:val="center"/>
              <w:rPr>
                <w:rFonts w:ascii="宋体" w:hAnsi="宋体"/>
                <w:kern w:val="0"/>
                <w:szCs w:val="21"/>
              </w:rPr>
            </w:pPr>
          </w:p>
        </w:tc>
      </w:tr>
      <w:tr w14:paraId="5BC5486A">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270D3D19">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23369325">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2351A69">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7E3A59B2">
            <w:pPr>
              <w:jc w:val="center"/>
              <w:rPr>
                <w:rFonts w:ascii="宋体" w:hAnsi="宋体"/>
                <w:kern w:val="0"/>
                <w:szCs w:val="21"/>
              </w:rPr>
            </w:pPr>
          </w:p>
        </w:tc>
      </w:tr>
      <w:tr w14:paraId="33AA2E3E">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06511ABC">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5E69071C">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A43A5C">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4801AFD6">
            <w:pPr>
              <w:jc w:val="center"/>
              <w:rPr>
                <w:rFonts w:ascii="宋体" w:hAnsi="宋体"/>
                <w:kern w:val="0"/>
                <w:szCs w:val="21"/>
              </w:rPr>
            </w:pPr>
          </w:p>
        </w:tc>
      </w:tr>
      <w:tr w14:paraId="7534D1AE">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0A1FEF80">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0566713C">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FA1493">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68AF8B5A">
            <w:pPr>
              <w:jc w:val="center"/>
              <w:rPr>
                <w:rFonts w:ascii="宋体" w:hAnsi="宋体"/>
                <w:kern w:val="0"/>
                <w:szCs w:val="21"/>
              </w:rPr>
            </w:pPr>
          </w:p>
        </w:tc>
      </w:tr>
      <w:tr w14:paraId="35EC3E7F">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20004E45">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5F2D813B">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7FB01DE">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518767D6">
            <w:pPr>
              <w:jc w:val="center"/>
              <w:rPr>
                <w:rFonts w:ascii="宋体" w:hAnsi="宋体"/>
                <w:kern w:val="0"/>
                <w:szCs w:val="21"/>
              </w:rPr>
            </w:pPr>
          </w:p>
        </w:tc>
      </w:tr>
      <w:tr w14:paraId="17DBE570">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69960F59">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22DB42FC">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A37834">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72071A53">
            <w:pPr>
              <w:jc w:val="center"/>
              <w:rPr>
                <w:rFonts w:ascii="宋体" w:hAnsi="宋体"/>
                <w:kern w:val="0"/>
                <w:szCs w:val="21"/>
              </w:rPr>
            </w:pPr>
          </w:p>
        </w:tc>
      </w:tr>
      <w:tr w14:paraId="38271D17">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31A0694E">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55AC3276">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E265A5">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65A3080D">
            <w:pPr>
              <w:jc w:val="center"/>
              <w:rPr>
                <w:rFonts w:ascii="宋体" w:hAnsi="宋体"/>
                <w:kern w:val="0"/>
                <w:szCs w:val="21"/>
              </w:rPr>
            </w:pPr>
          </w:p>
        </w:tc>
      </w:tr>
      <w:tr w14:paraId="2FB55317">
        <w:tblPrEx>
          <w:tblCellMar>
            <w:top w:w="0" w:type="dxa"/>
            <w:left w:w="10" w:type="dxa"/>
            <w:bottom w:w="0" w:type="dxa"/>
            <w:right w:w="10" w:type="dxa"/>
          </w:tblCellMar>
        </w:tblPrEx>
        <w:trPr>
          <w:trHeight w:val="680" w:hRule="atLeast"/>
          <w:jc w:val="center"/>
        </w:trPr>
        <w:tc>
          <w:tcPr>
            <w:tcW w:w="2764" w:type="dxa"/>
            <w:tcBorders>
              <w:top w:val="single" w:color="auto" w:sz="4" w:space="0"/>
              <w:left w:val="single" w:color="auto" w:sz="4" w:space="0"/>
              <w:bottom w:val="single" w:color="auto" w:sz="4" w:space="0"/>
              <w:right w:val="single" w:color="auto" w:sz="4" w:space="0"/>
            </w:tcBorders>
            <w:shd w:val="clear" w:color="auto" w:fill="FFFFFF"/>
            <w:vAlign w:val="center"/>
          </w:tcPr>
          <w:p w14:paraId="2A4B19C6">
            <w:pPr>
              <w:jc w:val="center"/>
              <w:rPr>
                <w:rFonts w:ascii="宋体" w:hAnsi="宋体"/>
                <w:kern w:val="0"/>
                <w:szCs w:val="21"/>
              </w:rPr>
            </w:pPr>
          </w:p>
        </w:tc>
        <w:tc>
          <w:tcPr>
            <w:tcW w:w="1680" w:type="dxa"/>
            <w:tcBorders>
              <w:top w:val="single" w:color="auto" w:sz="4" w:space="0"/>
              <w:left w:val="single" w:color="auto" w:sz="4" w:space="0"/>
              <w:bottom w:val="single" w:color="auto" w:sz="4" w:space="0"/>
              <w:right w:val="single" w:color="auto" w:sz="4" w:space="0"/>
            </w:tcBorders>
            <w:shd w:val="clear" w:color="auto" w:fill="FFFFFF"/>
            <w:vAlign w:val="center"/>
          </w:tcPr>
          <w:p w14:paraId="4E1294C6">
            <w:pPr>
              <w:jc w:val="center"/>
              <w:rPr>
                <w:rFonts w:ascii="宋体" w:hAnsi="宋体"/>
                <w:kern w:val="0"/>
                <w:szCs w:val="21"/>
              </w:rP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C013B5F">
            <w:pPr>
              <w:jc w:val="center"/>
              <w:rPr>
                <w:rFonts w:ascii="宋体" w:hAnsi="宋体"/>
                <w:kern w:val="0"/>
                <w:szCs w:val="21"/>
              </w:rPr>
            </w:pPr>
          </w:p>
        </w:tc>
        <w:tc>
          <w:tcPr>
            <w:tcW w:w="2625" w:type="dxa"/>
            <w:tcBorders>
              <w:top w:val="single" w:color="auto" w:sz="4" w:space="0"/>
              <w:left w:val="single" w:color="auto" w:sz="4" w:space="0"/>
              <w:bottom w:val="single" w:color="auto" w:sz="4" w:space="0"/>
              <w:right w:val="single" w:color="auto" w:sz="4" w:space="0"/>
            </w:tcBorders>
            <w:shd w:val="clear" w:color="auto" w:fill="FFFFFF"/>
            <w:vAlign w:val="center"/>
          </w:tcPr>
          <w:p w14:paraId="625D8F45">
            <w:pPr>
              <w:jc w:val="center"/>
              <w:rPr>
                <w:rFonts w:ascii="宋体" w:hAnsi="宋体"/>
                <w:kern w:val="0"/>
                <w:szCs w:val="21"/>
              </w:rPr>
            </w:pPr>
          </w:p>
        </w:tc>
      </w:tr>
    </w:tbl>
    <w:p w14:paraId="41861630">
      <w:pPr>
        <w:spacing w:line="360" w:lineRule="auto"/>
        <w:ind w:firstLine="480" w:firstLineChars="200"/>
        <w:jc w:val="right"/>
        <w:rPr>
          <w:rFonts w:hAnsi="宋体"/>
          <w:sz w:val="24"/>
        </w:rPr>
      </w:pPr>
    </w:p>
    <w:p w14:paraId="02FF2BFF">
      <w:pPr>
        <w:spacing w:line="360" w:lineRule="auto"/>
        <w:ind w:firstLine="480" w:firstLineChars="200"/>
        <w:jc w:val="right"/>
        <w:rPr>
          <w:rFonts w:hAnsi="宋体"/>
          <w:sz w:val="24"/>
        </w:rPr>
      </w:pPr>
      <w:r>
        <w:rPr>
          <w:rFonts w:hint="eastAsia" w:hAnsi="宋体"/>
          <w:sz w:val="24"/>
        </w:rPr>
        <w:t>乙方：（公司名称、盖公章）</w:t>
      </w:r>
    </w:p>
    <w:p w14:paraId="41804778">
      <w:pPr>
        <w:spacing w:line="360" w:lineRule="auto"/>
        <w:ind w:firstLine="1680" w:firstLineChars="700"/>
        <w:jc w:val="right"/>
        <w:rPr>
          <w:rFonts w:hAnsi="宋体"/>
          <w:sz w:val="24"/>
        </w:rPr>
      </w:pPr>
      <w:r>
        <w:rPr>
          <w:rFonts w:hint="eastAsia" w:hAnsi="宋体"/>
          <w:sz w:val="24"/>
        </w:rPr>
        <w:t>年     月     日</w:t>
      </w:r>
    </w:p>
    <w:p w14:paraId="72967E46">
      <w:pPr>
        <w:spacing w:line="360" w:lineRule="auto"/>
        <w:ind w:firstLine="480" w:firstLineChars="200"/>
        <w:rPr>
          <w:rFonts w:hAnsi="宋体"/>
          <w:sz w:val="24"/>
        </w:rPr>
      </w:pPr>
    </w:p>
    <w:p w14:paraId="3E1B7A47">
      <w:pPr>
        <w:spacing w:line="360" w:lineRule="auto"/>
        <w:ind w:firstLine="480" w:firstLineChars="200"/>
        <w:rPr>
          <w:rFonts w:hAnsi="宋体"/>
          <w:sz w:val="24"/>
        </w:rPr>
      </w:pPr>
    </w:p>
    <w:p w14:paraId="3ACD4275">
      <w:pPr>
        <w:spacing w:line="360" w:lineRule="auto"/>
        <w:ind w:firstLine="480" w:firstLineChars="200"/>
        <w:rPr>
          <w:rFonts w:hAnsi="宋体"/>
          <w:sz w:val="24"/>
        </w:rPr>
      </w:pPr>
    </w:p>
    <w:p w14:paraId="227CFCE6"/>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CCFD0">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4BE3C">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C14BE3C">
                    <w:pPr>
                      <w:pStyle w:val="6"/>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673071"/>
    <w:multiLevelType w:val="singleLevel"/>
    <w:tmpl w:val="59673071"/>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g3MTQwNjM1MjRkMmUzNThiZTlhZmQ1OGM4MTQ1MDIifQ=="/>
  </w:docVars>
  <w:rsids>
    <w:rsidRoot w:val="006F1CBF"/>
    <w:rsid w:val="000019E3"/>
    <w:rsid w:val="000212B2"/>
    <w:rsid w:val="000608CC"/>
    <w:rsid w:val="000C1F60"/>
    <w:rsid w:val="00275B69"/>
    <w:rsid w:val="002B2C75"/>
    <w:rsid w:val="002E0191"/>
    <w:rsid w:val="00311E0E"/>
    <w:rsid w:val="00315812"/>
    <w:rsid w:val="004B036A"/>
    <w:rsid w:val="0050488A"/>
    <w:rsid w:val="00582366"/>
    <w:rsid w:val="006079B2"/>
    <w:rsid w:val="00665AEE"/>
    <w:rsid w:val="00670AC0"/>
    <w:rsid w:val="00680284"/>
    <w:rsid w:val="006F1CBF"/>
    <w:rsid w:val="0070137D"/>
    <w:rsid w:val="0086443F"/>
    <w:rsid w:val="00950A95"/>
    <w:rsid w:val="00985960"/>
    <w:rsid w:val="009B733B"/>
    <w:rsid w:val="00A34C38"/>
    <w:rsid w:val="00A60B68"/>
    <w:rsid w:val="00AD3FA3"/>
    <w:rsid w:val="00B00792"/>
    <w:rsid w:val="00B14420"/>
    <w:rsid w:val="00B559B3"/>
    <w:rsid w:val="00BE3432"/>
    <w:rsid w:val="00C82DAA"/>
    <w:rsid w:val="00CA4367"/>
    <w:rsid w:val="00CE1562"/>
    <w:rsid w:val="00D16EF3"/>
    <w:rsid w:val="01540C19"/>
    <w:rsid w:val="01864D31"/>
    <w:rsid w:val="04FD0185"/>
    <w:rsid w:val="0BD74159"/>
    <w:rsid w:val="156D374E"/>
    <w:rsid w:val="15942EEC"/>
    <w:rsid w:val="16C33AD6"/>
    <w:rsid w:val="1AB05F4B"/>
    <w:rsid w:val="226F01AA"/>
    <w:rsid w:val="26947C40"/>
    <w:rsid w:val="27B95CE4"/>
    <w:rsid w:val="2AE90998"/>
    <w:rsid w:val="2E0D75B0"/>
    <w:rsid w:val="3D07068C"/>
    <w:rsid w:val="3D0A2000"/>
    <w:rsid w:val="3E7F7EAC"/>
    <w:rsid w:val="4B5A4758"/>
    <w:rsid w:val="561C7269"/>
    <w:rsid w:val="56224B6A"/>
    <w:rsid w:val="60EC35B9"/>
    <w:rsid w:val="6B527A80"/>
    <w:rsid w:val="6BCF764B"/>
    <w:rsid w:val="6C5A2512"/>
    <w:rsid w:val="6E045B2C"/>
    <w:rsid w:val="6ED021C8"/>
    <w:rsid w:val="7FCE1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link w:val="14"/>
    <w:qFormat/>
    <w:uiPriority w:val="0"/>
    <w:pPr>
      <w:keepNext/>
      <w:keepLines/>
      <w:spacing w:before="260" w:after="260" w:line="413" w:lineRule="auto"/>
      <w:outlineLvl w:val="1"/>
    </w:pPr>
    <w:rPr>
      <w:rFonts w:ascii="Arial" w:hAnsi="Arial" w:eastAsia="黑体"/>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line="360" w:lineRule="atLeast"/>
      <w:ind w:left="72" w:leftChars="30" w:right="30" w:rightChars="30"/>
      <w:jc w:val="center"/>
      <w:textAlignment w:val="baseline"/>
    </w:pPr>
    <w:rPr>
      <w:kern w:val="0"/>
      <w:sz w:val="20"/>
      <w:szCs w:val="20"/>
    </w:rPr>
  </w:style>
  <w:style w:type="paragraph" w:styleId="4">
    <w:name w:val="Normal Indent"/>
    <w:basedOn w:val="1"/>
    <w:link w:val="15"/>
    <w:qFormat/>
    <w:uiPriority w:val="0"/>
    <w:pPr>
      <w:ind w:firstLine="420"/>
    </w:pPr>
    <w:rPr>
      <w:rFonts w:asciiTheme="minorHAnsi" w:hAnsiTheme="minorHAnsi" w:eastAsiaTheme="minorEastAsia" w:cstheme="minorBidi"/>
      <w:szCs w:val="22"/>
    </w:rPr>
  </w:style>
  <w:style w:type="paragraph" w:styleId="5">
    <w:name w:val="Balloon Text"/>
    <w:basedOn w:val="1"/>
    <w:link w:val="17"/>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First Indent"/>
    <w:basedOn w:val="2"/>
    <w:next w:val="9"/>
    <w:unhideWhenUsed/>
    <w:qFormat/>
    <w:uiPriority w:val="99"/>
    <w:pPr>
      <w:ind w:firstLine="420" w:firstLineChars="100"/>
    </w:pPr>
  </w:style>
  <w:style w:type="paragraph" w:customStyle="1" w:styleId="9">
    <w:name w:val="段落正文"/>
    <w:basedOn w:val="1"/>
    <w:qFormat/>
    <w:uiPriority w:val="99"/>
    <w:pPr>
      <w:spacing w:beforeLines="50" w:line="360" w:lineRule="auto"/>
      <w:ind w:firstLine="200" w:firstLineChars="200"/>
    </w:pPr>
    <w:rPr>
      <w:spacing w:val="2"/>
      <w:sz w:val="24"/>
      <w:szCs w:val="20"/>
    </w:r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标题 2 字符"/>
    <w:basedOn w:val="11"/>
    <w:link w:val="3"/>
    <w:qFormat/>
    <w:uiPriority w:val="0"/>
    <w:rPr>
      <w:rFonts w:ascii="Arial" w:hAnsi="Arial" w:eastAsia="黑体" w:cs="Times New Roman"/>
      <w:b/>
      <w:bCs/>
      <w:sz w:val="32"/>
      <w:szCs w:val="32"/>
    </w:rPr>
  </w:style>
  <w:style w:type="character" w:customStyle="1" w:styleId="15">
    <w:name w:val="正文缩进 字符"/>
    <w:link w:val="4"/>
    <w:qFormat/>
    <w:uiPriority w:val="0"/>
  </w:style>
  <w:style w:type="paragraph" w:customStyle="1" w:styleId="16">
    <w:name w:val="样式 首行缩进:  2 字符"/>
    <w:basedOn w:val="1"/>
    <w:qFormat/>
    <w:uiPriority w:val="0"/>
    <w:pPr>
      <w:spacing w:line="400" w:lineRule="exact"/>
      <w:ind w:firstLine="200" w:firstLineChars="200"/>
    </w:pPr>
    <w:rPr>
      <w:rFonts w:cs="宋体"/>
      <w:sz w:val="24"/>
    </w:rPr>
  </w:style>
  <w:style w:type="character" w:customStyle="1" w:styleId="17">
    <w:name w:val="批注框文本 字符"/>
    <w:basedOn w:val="11"/>
    <w:link w:val="5"/>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2914</Words>
  <Characters>2964</Characters>
  <Lines>22</Lines>
  <Paragraphs>6</Paragraphs>
  <TotalTime>0</TotalTime>
  <ScaleCrop>false</ScaleCrop>
  <LinksUpToDate>false</LinksUpToDate>
  <CharactersWithSpaces>3095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2018-09-17T09:52:00Z</dcterms:created>
  <dc:creator>微软用户</dc:creator>
  <cp:lastModifiedBy>Xiao烁</cp:lastModifiedBy>
  <cp:lastPrinted>2022-06-06T08:07:00Z</cp:lastPrinted>
  <dcterms:modified xsi:type="dcterms:W3CDTF">2024-08-28T08:57:11Z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30E30F6D432A49F2A622B33BC30BCD1D</vt:lpwstr>
  </property>
  <property fmtid="{D5CDD505-2E9C-101B-9397-08002B2CF9AE}" pid="4" name="commondata">
    <vt:lpwstr>eyJoZGlkIjoiMTQ5ZDk5ZjU2ZDBlNDM4ODNhMjkzMGI3OGM3ZDNlMzYifQ==</vt:lpwstr>
  </property>
</Properties>
</file>