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版本号：SXKKSYFGS2025-5020251109002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三原县2025年建制村通双车道工程、通村联网工程（第三批）勘察设计服务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SXKKSYFGS2025-50</w:t>
      </w:r>
      <w:r>
        <w:br/>
      </w:r>
      <w:r>
        <w:br/>
      </w:r>
      <w:r>
        <w:br/>
      </w:r>
    </w:p>
    <w:p>
      <w:pPr>
        <w:pStyle w:val="null3"/>
        <w:jc w:val="center"/>
        <w:outlineLvl w:val="2"/>
      </w:pPr>
      <w:r>
        <w:rPr>
          <w:rFonts w:ascii="仿宋_GB2312" w:hAnsi="仿宋_GB2312" w:cs="仿宋_GB2312" w:eastAsia="仿宋_GB2312"/>
          <w:sz w:val="28"/>
          <w:b/>
        </w:rPr>
        <w:t>三原县农村公路管理站</w:t>
      </w:r>
    </w:p>
    <w:p>
      <w:pPr>
        <w:pStyle w:val="null3"/>
        <w:jc w:val="center"/>
        <w:outlineLvl w:val="2"/>
      </w:pPr>
      <w:r>
        <w:rPr>
          <w:rFonts w:ascii="仿宋_GB2312" w:hAnsi="仿宋_GB2312" w:cs="仿宋_GB2312" w:eastAsia="仿宋_GB2312"/>
          <w:sz w:val="28"/>
          <w:b/>
        </w:rPr>
        <w:t>陕西夸克工程造价咨询有限公司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陕西夸克工程造价咨询有限公司</w:t>
      </w:r>
      <w:r>
        <w:rPr>
          <w:rFonts w:ascii="仿宋_GB2312" w:hAnsi="仿宋_GB2312" w:cs="仿宋_GB2312" w:eastAsia="仿宋_GB2312"/>
        </w:rPr>
        <w:t>（以下简称“代理机构”）受</w:t>
      </w:r>
      <w:r>
        <w:rPr>
          <w:rFonts w:ascii="仿宋_GB2312" w:hAnsi="仿宋_GB2312" w:cs="仿宋_GB2312" w:eastAsia="仿宋_GB2312"/>
        </w:rPr>
        <w:t>三原县农村公路管理站</w:t>
      </w:r>
      <w:r>
        <w:rPr>
          <w:rFonts w:ascii="仿宋_GB2312" w:hAnsi="仿宋_GB2312" w:cs="仿宋_GB2312" w:eastAsia="仿宋_GB2312"/>
        </w:rPr>
        <w:t>委托，拟对</w:t>
      </w:r>
      <w:r>
        <w:rPr>
          <w:rFonts w:ascii="仿宋_GB2312" w:hAnsi="仿宋_GB2312" w:cs="仿宋_GB2312" w:eastAsia="仿宋_GB2312"/>
        </w:rPr>
        <w:t>三原县2025年建制村通双车道工程、通村联网工程（第三批）勘察设计服务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SXKKSYFGS2025-50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三原县2025年建制村通双车道工程、通村联网工程（第三批）勘察设计服务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下达我县建制村通双车道工程共计2条3.678公里，分别为宋家村-董家尧、南杨路；通村联网工程（第三批）共计10条12.7公里，分别为桥北组至海石、陂西村至东贾、三店至东三店等，现拟对以上项目进行勘察设计服务采购，完成现场勘察并编制施工图设计及预算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采购包1（三原县2025年建制村通双车道工程、通村联网工程（第三批）勘察设计服务）：属于专门面向中小企业采购。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1、营业执照及主体资格：独立承担民事责任的法人或其他组织有效的营业执照（或统一社会信用代码的营业执照）等相应证明文件，自然人的提供身份证明文件；</w:t>
      </w:r>
    </w:p>
    <w:p>
      <w:pPr>
        <w:pStyle w:val="null3"/>
      </w:pPr>
      <w:r>
        <w:rPr>
          <w:rFonts w:ascii="仿宋_GB2312" w:hAnsi="仿宋_GB2312" w:cs="仿宋_GB2312" w:eastAsia="仿宋_GB2312"/>
        </w:rPr>
        <w:t>2、拟派项目负责人：拟派项目负责人须具备公路行业相关专业中级职称及以上职称。提供开标截止时间前三个月内任意一个月供应商为其缴纳的社会保险证明材料。</w:t>
      </w:r>
    </w:p>
    <w:p>
      <w:pPr>
        <w:pStyle w:val="null3"/>
      </w:pPr>
      <w:r>
        <w:rPr>
          <w:rFonts w:ascii="仿宋_GB2312" w:hAnsi="仿宋_GB2312" w:cs="仿宋_GB2312" w:eastAsia="仿宋_GB2312"/>
        </w:rPr>
        <w:t>3、特定资质：具备行业主管部门颁发的公路行业（公路）专业丙级及以上设计资质；</w:t>
      </w:r>
    </w:p>
    <w:p>
      <w:pPr>
        <w:pStyle w:val="null3"/>
      </w:pPr>
      <w:r>
        <w:rPr>
          <w:rFonts w:ascii="仿宋_GB2312" w:hAnsi="仿宋_GB2312" w:cs="仿宋_GB2312" w:eastAsia="仿宋_GB2312"/>
        </w:rPr>
        <w:t>4、财务状况报告：供应商提供2023或2024年经审计的财务报告，或自公告发布之日起至响应文件截止时间前其基本存款账户开户银行出具的资信证明，并附基本存款账户开户许可证或提供基本存款账号编号；其他组织和自然人提供银行出具的资信证明；</w:t>
      </w:r>
    </w:p>
    <w:p>
      <w:pPr>
        <w:pStyle w:val="null3"/>
      </w:pPr>
      <w:r>
        <w:rPr>
          <w:rFonts w:ascii="仿宋_GB2312" w:hAnsi="仿宋_GB2312" w:cs="仿宋_GB2312" w:eastAsia="仿宋_GB2312"/>
        </w:rPr>
        <w:t>5、税收缴纳证明：提供2024年11月至今已缴纳的至少一个月的纳税证明或完税证明（时间以税款所属日期为准、税种须包含增值税或企业所得税），依法免税的单位应提供相关证明材料。</w:t>
      </w:r>
    </w:p>
    <w:p>
      <w:pPr>
        <w:pStyle w:val="null3"/>
      </w:pPr>
      <w:r>
        <w:rPr>
          <w:rFonts w:ascii="仿宋_GB2312" w:hAnsi="仿宋_GB2312" w:cs="仿宋_GB2312" w:eastAsia="仿宋_GB2312"/>
        </w:rPr>
        <w:t>6、社会保障资金缴纳证明：提供2024年11月至今已缴存的至少一个月的社会保障资金缴存单据或社保机构开具的社会保险参保缴费情况证明，依法不需要缴纳社会保障资金的单位应提供相关证明材料。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7、法定代表人授权委托书：法定代表人或负责人参加投标时，提供本人身份证，并与营业执照中法定代表人或负责人信息相符；授权代表参加投标时，提供授权书和被授权人身份证；</w:t>
      </w:r>
    </w:p>
    <w:p>
      <w:pPr>
        <w:pStyle w:val="null3"/>
      </w:pPr>
      <w:r>
        <w:rPr>
          <w:rFonts w:ascii="仿宋_GB2312" w:hAnsi="仿宋_GB2312" w:cs="仿宋_GB2312" w:eastAsia="仿宋_GB2312"/>
        </w:rPr>
        <w:t>8、信用：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9、重大违法声明：供应商参加采购活动近3年内经营活动中没有重大违法记录声明，以及未被列入失信被执行人、重大税收违法案件当事人名单、政府采购严重违法失信行为记录名单的书面声明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10、非联合体：供应商负责人不得为同一人或者存在控股、管理关系</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三原县农村公路管理站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三原县城关镇三里店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钱磊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029-32316365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陕西夸克工程造价咨询有限公司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陕西省西安市未央区萧家北巷文景尚品12楼1218室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13325304067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 ，由成交供应商支付采购代理服务费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三原县农村公路管理站</w:t>
      </w:r>
      <w:r>
        <w:rPr>
          <w:rFonts w:ascii="仿宋_GB2312" w:hAnsi="仿宋_GB2312" w:cs="仿宋_GB2312" w:eastAsia="仿宋_GB2312"/>
        </w:rPr>
        <w:t>和</w:t>
      </w:r>
      <w:r>
        <w:rPr>
          <w:rFonts w:ascii="仿宋_GB2312" w:hAnsi="仿宋_GB2312" w:cs="仿宋_GB2312" w:eastAsia="仿宋_GB2312"/>
        </w:rPr>
        <w:t>陕西夸克工程造价咨询有限公司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三原县农村公路管理站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陕西夸克工程造价咨询有限公司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三原县农村公路管理站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陕西夸克工程造价咨询有限公司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符合国家相关标准及采购文件要求。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联系人：邬女士</w:t>
      </w:r>
    </w:p>
    <w:p>
      <w:pPr>
        <w:pStyle w:val="null3"/>
      </w:pPr>
      <w:r>
        <w:rPr>
          <w:rFonts w:ascii="仿宋_GB2312" w:hAnsi="仿宋_GB2312" w:cs="仿宋_GB2312" w:eastAsia="仿宋_GB2312"/>
        </w:rPr>
        <w:t>联系电话：13325304067</w:t>
      </w:r>
    </w:p>
    <w:p>
      <w:pPr>
        <w:pStyle w:val="null3"/>
      </w:pPr>
      <w:r>
        <w:rPr>
          <w:rFonts w:ascii="仿宋_GB2312" w:hAnsi="仿宋_GB2312" w:cs="仿宋_GB2312" w:eastAsia="仿宋_GB2312"/>
        </w:rPr>
        <w:t>地址：陕西省咸阳市三原县城关街道办事处冶金大道和平村华阳物流斜对面一号会议室</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下达我县建制村通双车道工程共计2条3.678公里，分别为宋家村-董家尧、南杨路；通村联网工程（第三批）共计10条12.7公里，分别为桥北组至海石、陂西村至东贾、三店至东三店等，现拟对以上项目进行勘察设计服务采购，完成现场勘察并编制施工图设计及预算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工程设计服务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一、现场勘察：地形与现状适配性技术分析</w:t>
            </w:r>
          </w:p>
          <w:p>
            <w:pPr>
              <w:pStyle w:val="null3"/>
            </w:pPr>
            <w:r>
              <w:rPr>
                <w:rFonts w:ascii="仿宋_GB2312" w:hAnsi="仿宋_GB2312" w:cs="仿宋_GB2312" w:eastAsia="仿宋_GB2312"/>
              </w:rPr>
              <w:t xml:space="preserve">    现场勘察作为后续设计的基础，需针对两类工程的场景差异，实现地形与现状数据的精准匹配，为设计提供真实、全面的基础支撑。</w:t>
            </w:r>
          </w:p>
          <w:p>
            <w:pPr>
              <w:pStyle w:val="null3"/>
            </w:pPr>
            <w:r>
              <w:rPr>
                <w:rFonts w:ascii="仿宋_GB2312" w:hAnsi="仿宋_GB2312" w:cs="仿宋_GB2312" w:eastAsia="仿宋_GB2312"/>
              </w:rPr>
              <w:t xml:space="preserve">    对于建制村通双车道工程，需重点聚焦既有道路的核心现状参数，包括路基的实际宽度、当前承载能力，以及线路周边的地形特征。由于此类工程多涉及既有道路拓宽，需通过勘察明确现有路基是否满足双车道通行的承载需求，判断是否需要进行加固处理；同时排查线路范围内是否存在建筑物、构筑物等需拆迁的情况，确认是否涉及额外占地，避免后期施工受阻。此外，需详细记录沿线地质条件，尤其是可能影响路基稳定性的特殊地质类型，防止后续施工中出现路基沉降等质量问题，保障道路长期通行安全。</w:t>
            </w:r>
          </w:p>
          <w:p>
            <w:pPr>
              <w:pStyle w:val="null3"/>
            </w:pPr>
            <w:r>
              <w:rPr>
                <w:rFonts w:ascii="仿宋_GB2312" w:hAnsi="仿宋_GB2312" w:cs="仿宋_GB2312" w:eastAsia="仿宋_GB2312"/>
              </w:rPr>
              <w:t xml:space="preserve">    对于通村联网工程，因其线路数量较多且多为连接村组的支线道路，常需穿越农田、山地等复杂地形，勘察重点需转向沿线环境与地形适配性。需逐一标注线路途经区域的各类障碍物，如天然沟渠、成片树木等，明确其位置与规模以规划避让或处理方案；同步勘察沿线水文条件，判断是否临近水源地、河道等敏感区域，避免设计与施工对水资源造成影响；同时分析土壤类型差异，结合不同土壤的承载特性与稳定性，为后续路基设计与防护措施提供依据，确保路线设计既能满足村组间基本通行需求，又能最大程度减少对周边自然环境与农业生产的破坏。</w:t>
            </w:r>
          </w:p>
          <w:p>
            <w:pPr>
              <w:pStyle w:val="null3"/>
            </w:pPr>
            <w:r>
              <w:rPr>
                <w:rFonts w:ascii="仿宋_GB2312" w:hAnsi="仿宋_GB2312" w:cs="仿宋_GB2312" w:eastAsia="仿宋_GB2312"/>
              </w:rPr>
              <w:t>二、施工图设计：技术标准与功能规范性技术分析</w:t>
            </w:r>
          </w:p>
          <w:p>
            <w:pPr>
              <w:pStyle w:val="null3"/>
            </w:pPr>
            <w:r>
              <w:rPr>
                <w:rFonts w:ascii="仿宋_GB2312" w:hAnsi="仿宋_GB2312" w:cs="仿宋_GB2312" w:eastAsia="仿宋_GB2312"/>
              </w:rPr>
              <w:t xml:space="preserve">    施工图设计需严格遵循国家及地方公路工程技术规范，同时结合两类工程的功能定位差异，实现技术标准与实际需求的精准匹配，保障设计成果具备可实施性与功能性。</w:t>
            </w:r>
          </w:p>
          <w:p>
            <w:pPr>
              <w:pStyle w:val="null3"/>
            </w:pPr>
            <w:r>
              <w:rPr>
                <w:rFonts w:ascii="仿宋_GB2312" w:hAnsi="仿宋_GB2312" w:cs="仿宋_GB2312" w:eastAsia="仿宋_GB2312"/>
              </w:rPr>
              <w:t xml:space="preserve">    建制村通双车道工程以提升通行效率与承载能力为核心功能，设计需完全符合双车道公路的技术标准。在平面与断面设计中，需明确车道与路肩的合理宽度，保障小型汽车、农用车辆等各类乡村常用车型的顺畅通行；同时优化转弯半径与会车视距，避免因地形限制导致的会车困难，降低交通事故风险。在路面结构设计上，需结合当地交通流量特征与车辆荷载情况，选择适配的路面类型，明确路面面层、基层的材料规格与结构厚度，确保路面具备足够的强度与耐久性，满足长期使用需求。</w:t>
            </w:r>
          </w:p>
          <w:p>
            <w:pPr>
              <w:pStyle w:val="null3"/>
            </w:pPr>
            <w:r>
              <w:rPr>
                <w:rFonts w:ascii="仿宋_GB2312" w:hAnsi="仿宋_GB2312" w:cs="仿宋_GB2312" w:eastAsia="仿宋_GB2312"/>
              </w:rPr>
              <w:t xml:space="preserve">    通村联网工程以实现村组间连通为首要目标，设计需在满足农村公路基本技术要求的前提下，兼顾经济性与实用性。需根据线路途经区域的地形与交通需求，确定合理的道路宽度，避免过度建设造成资源浪费；严格控制道路纵坡，避免陡坡设计影响车辆爬坡能力与通行安全，尤其需考虑农用机械等低速车辆的通行需求。同时需完善排水系统设计，明确边沟的断面尺寸、铺设材料，以及涵洞的设置位置与规格，确保道路在雨季能快速排水，防止雨水浸泡路基导致损坏；对于途经村庄内部的线路，需重点考虑与现有村内道路的衔接平顺性，避免出现高程差或路线转折过大，保障村民出行便捷。</w:t>
            </w:r>
          </w:p>
          <w:p>
            <w:pPr>
              <w:pStyle w:val="null3"/>
            </w:pPr>
            <w:r>
              <w:rPr>
                <w:rFonts w:ascii="仿宋_GB2312" w:hAnsi="仿宋_GB2312" w:cs="仿宋_GB2312" w:eastAsia="仿宋_GB2312"/>
              </w:rPr>
              <w:t>三、预算文件：成本与工程量精准性技术分析</w:t>
            </w:r>
          </w:p>
          <w:p>
            <w:pPr>
              <w:pStyle w:val="null3"/>
            </w:pPr>
            <w:r>
              <w:rPr>
                <w:rFonts w:ascii="仿宋_GB2312" w:hAnsi="仿宋_GB2312" w:cs="仿宋_GB2312" w:eastAsia="仿宋_GB2312"/>
              </w:rPr>
              <w:t xml:space="preserve">    预算文件作为项目投资控制的核心依据，需基于现场勘察数据与施工图设计成果，实现工程量计算精准化与费用套取规范化，确保预算能全面覆盖项目建设成本，为项目资金管理提供可靠支撑。</w:t>
            </w:r>
          </w:p>
          <w:p>
            <w:pPr>
              <w:pStyle w:val="null3"/>
            </w:pPr>
            <w:r>
              <w:rPr>
                <w:rFonts w:ascii="仿宋_GB2312" w:hAnsi="仿宋_GB2312" w:cs="仿宋_GB2312" w:eastAsia="仿宋_GB2312"/>
              </w:rPr>
              <w:t xml:space="preserve">    在工程量计算环节，需建立勘察、设计与预算的联动机制，确保每一项工程量均能与勘察记录、设计图纸完全对应。对于双车道工程，需精准计算路基开挖与回填的土方量，结合地质条件调整土方开挖难度系数；同时明确路面材料的用量，区分不同结构层的材料规格与数量，避免因材料用量计算偏差导致成本失控。对于通村联网工程，需逐一统计涵洞、路基防护工程（如挡墙、护坡）等附属设施的数量与尺寸，确保无漏项、无多算，尤其需关注穿越复杂地形路段的特殊工程，如跨越沟渠的小型桥梁、山地路段的边坡防护等，避免因工程量遗漏导致后期追加投资。</w:t>
            </w:r>
          </w:p>
          <w:p>
            <w:pPr>
              <w:pStyle w:val="null3"/>
            </w:pPr>
            <w:r>
              <w:rPr>
                <w:rFonts w:ascii="仿宋_GB2312" w:hAnsi="仿宋_GB2312" w:cs="仿宋_GB2312" w:eastAsia="仿宋_GB2312"/>
              </w:rPr>
              <w:t xml:space="preserve">    在费用套取环节，需严格遵循当地公路工程预算定额与最新市场价格信息，实现费用分类精准核算。需区分人工、材料、机械三类核心费用，结合不同路段的施工难度调整单价，如山地路段因施工场地受限，人工与机械作业效率降低，需适当提高人工单价与机械使用费用；同时需实时更新材料价格，确保水泥、沥青、砂石等主要建材的价格与市场行情一致，避免因价格滞后导致预算偏差。此外，需合理预留不可预见费，用于应对勘察中未发现的突发情况，如地下管线改移、特殊地质处理等，确保预算具备一定的弹性，能有效覆盖项目建设过程中的各类不确定性成本，保障项目按计划推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符合项目要求及甲方要求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按照合同签订后10日内，甲方向乙方支付合同总价款的40%。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提交施工图设计成果后甲方向乙方支付合同总价款的30%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经甲方对该项目组织验收并达到合格（符合国家、行业的标准和有关规定）后，甲方向乙方支付剩余合同总价款的30%。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按照合同约定违约责任条款履行；解决争议的方法：协商。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供应商应提交的相关资格证明材料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营业执照及主体资格</w:t>
            </w:r>
          </w:p>
        </w:tc>
        <w:tc>
          <w:tcPr>
            <w:tcW w:type="dxa" w:w="3322"/>
          </w:tcPr>
          <w:p>
            <w:pPr>
              <w:pStyle w:val="null3"/>
            </w:pPr>
            <w:r>
              <w:rPr>
                <w:rFonts w:ascii="仿宋_GB2312" w:hAnsi="仿宋_GB2312" w:cs="仿宋_GB2312" w:eastAsia="仿宋_GB2312"/>
              </w:rPr>
              <w:t>独立承担民事责任的法人或其他组织有效的营业执照（或统一社会信用代码的营业执照）等相应证明文件，自然人的提供身份证明文件；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拟派项目负责人须具备公路行业相关专业中级职称及以上职称。提供开标截止时间前三个月内任意一个月供应商为其缴纳的社会保险证明材料。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具备行业主管部门颁发的公路行业（公路）专业丙级及以上设计资质；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2023或2024年经审计的财务报告，或自公告发布之日起至响应文件截止时间前其基本存款账户开户银行出具的资信证明，并附基本存款账户开户许可证或提供基本存款账号编号；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提供2024年11月至今已缴纳的至少一个月的纳税证明或完税证明（时间以税款所属日期为准、税种须包含增值税或企业所得税），依法免税的单位应提供相关证明材料。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提供2024年11月至今已缴存的至少一个月的社会保障资金缴存单据或社保机构开具的社会保险参保缴费情况证明，依法不需要缴纳社会保障资金的单位应提供相关证明材料。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法定代表人或负责人参加投标时，提供本人身份证，并与营业执照中法定代表人或负责人信息相符；授权代表参加投标时，提供授权书和被授权人身份证；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重大违法声明</w:t>
            </w:r>
          </w:p>
        </w:tc>
        <w:tc>
          <w:tcPr>
            <w:tcW w:type="dxa" w:w="3322"/>
          </w:tcPr>
          <w:p>
            <w:pPr>
              <w:pStyle w:val="null3"/>
            </w:pPr>
            <w:r>
              <w:rPr>
                <w:rFonts w:ascii="仿宋_GB2312" w:hAnsi="仿宋_GB2312" w:cs="仿宋_GB2312" w:eastAsia="仿宋_GB2312"/>
              </w:rPr>
              <w:t>供应商参加采购活动近3年内经营活动中没有重大违法记录声明，以及未被列入失信被执行人、重大税收违法案件当事人名单、政府采购严重违法失信行为记录名单的书面声明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供应商负责人不得为同一人或者存在控股、管理关系</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投标人名称应与有效存续的企业营业执照/事业单位法人证书/专业服务机构执业许可证/民办非企业单位登记证书一致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报价唯一，且没有超过采购预算(最高限价）</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招标有效期是否满足招标最低要求90天的</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响应文件的签署、加盖印章合格有效；提供的各种证明文件、数据、资料真实有效</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针对本项目的理解，内容包括但不限于①对本项目的背景、内容及意义理解②项目的重点内容分析③项目功能定位④项目内容全面认知等。方案内容详细完整、针对性强、可行性高，符合项目实际要求。 每项满分2分，缺项不得分，每项内容存在 缺陷，扣1分。缺陷是指内 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针对本项目的实施方案，包括①设计深度与规范符合性②设计内容完整性③设计思路清晰性④需求匹配度⑤实施可行性⑥技术完整性等。方案内容详细完整、针对性强、可行性高，符合项目实际要求。 每项满分2分，缺项不得分 , 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针对本项目的重难点分析，包括①重点难点识别全面性②应对措施针对性③技术衔接与兼容性问题④建议可行性等。方案内容详细完整、针对性强、可行性高，符合项目实际 要求。 每项满分2分，缺项不得分 , 每项内容存在缺陷，扣1分。缺陷是指内容不合理、虽有内容但不完善、内容表述前后不一致、套用其他项目方案或与项目需求不匹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设计质量控制的保证措施</w:t>
            </w:r>
          </w:p>
        </w:tc>
        <w:tc>
          <w:tcPr>
            <w:tcW w:type="dxa" w:w="2492"/>
          </w:tcPr>
          <w:p>
            <w:pPr>
              <w:pStyle w:val="null3"/>
            </w:pPr>
            <w:r>
              <w:rPr>
                <w:rFonts w:ascii="仿宋_GB2312" w:hAnsi="仿宋_GB2312" w:cs="仿宋_GB2312" w:eastAsia="仿宋_GB2312"/>
              </w:rPr>
              <w:t>针对本项目的设计质量控制的保证措施，包括①规范执行与标准落地②全流程质量管控机制③专业协同与技术复核④质量追溯与动态优化等。方案内容详细完整、针对性强、可行性高，符合项目实际 要求。 每项满分2分，缺项不得分 , 每项内容存在缺陷，扣1分。缺陷是指内容不合理、虽有内容但不完善、内容表述前后不一致、套用其他项目方案或与项目需求不匹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时间进度安排计划</w:t>
            </w:r>
          </w:p>
        </w:tc>
        <w:tc>
          <w:tcPr>
            <w:tcW w:type="dxa" w:w="2492"/>
          </w:tcPr>
          <w:p>
            <w:pPr>
              <w:pStyle w:val="null3"/>
            </w:pPr>
            <w:r>
              <w:rPr>
                <w:rFonts w:ascii="仿宋_GB2312" w:hAnsi="仿宋_GB2312" w:cs="仿宋_GB2312" w:eastAsia="仿宋_GB2312"/>
              </w:rPr>
              <w:t>针对本项目的设计时间进度安排计划，包括①阶段划分与关键节点②资源配置与进度保障③风险应对与动态调整④进度可视化与验收标准等。方案内容详细完整、针对性强、可行性高，符合项目实际 要求。 每项满分2分，缺项不得分 , 每项内容存在缺陷，扣1分。缺陷是指内容不合理、虽有内容但不完善、内容表述前后不一致、套用其他项目方案或与项目需求不匹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设计服务组织的保证措施</w:t>
            </w:r>
          </w:p>
        </w:tc>
        <w:tc>
          <w:tcPr>
            <w:tcW w:type="dxa" w:w="2492"/>
          </w:tcPr>
          <w:p>
            <w:pPr>
              <w:pStyle w:val="null3"/>
            </w:pPr>
            <w:r>
              <w:rPr>
                <w:rFonts w:ascii="仿宋_GB2312" w:hAnsi="仿宋_GB2312" w:cs="仿宋_GB2312" w:eastAsia="仿宋_GB2312"/>
              </w:rPr>
              <w:t>针对本项目的设计服务组织的保证措施，包括①团队架构与职责分工②资沟通机制与流程规范③风险防控与应急响应④质量监督与持续改进等。方案内容详细完整、针对性强、可行性高，符合项目实际 要求。 每项满分2分，缺项不得分 , 每项内容存在缺陷，扣1分。缺陷是指内容不合理、虽有内容但不完善、内容表述前后不一致、套用其他项目方案或与项目需求不匹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项目设计成本控制措施</w:t>
            </w:r>
          </w:p>
        </w:tc>
        <w:tc>
          <w:tcPr>
            <w:tcW w:type="dxa" w:w="2492"/>
          </w:tcPr>
          <w:p>
            <w:pPr>
              <w:pStyle w:val="null3"/>
            </w:pPr>
            <w:r>
              <w:rPr>
                <w:rFonts w:ascii="仿宋_GB2312" w:hAnsi="仿宋_GB2312" w:cs="仿宋_GB2312" w:eastAsia="仿宋_GB2312"/>
              </w:rPr>
              <w:t>针对本项目的项目设计成本控制措施，包括①限额设计与目标分解②方案比选与技术经济论证③全流程成本管控节点④动态监控与偏差调整等。方案内容详细完整、针对性强、可行性高，符合项目实际 要求。 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项目组人员具备高级及以上职称，每提供一名得2.5分，最高得 5分，具备中级职称，每提供一名得2分，最高得 4 分。 注：提供上述人员的职称证和身份证加盖公章。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针对本项目的项目服务承诺，包括①响应及时性保障②设计变更管理③后期服务跟进等。方案内容详细完整、针对性强、可行性高，符合项目实际 要求。 每项满分2分，缺项不得分 , 每项内容存在缺陷，扣1分。缺陷是指内容不合理、虽有内容但 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供应商自2022 年 8月至今具有类似项目业绩 ，每提供一份合同得2分，共计10分。（注：提供设计服务合同，时间以合同签订时间为准）。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满足招标文件要求且评审报价最低的报价为评标基准价，其价格分 为满分。其他供应商的价格分统一按照下列公式计算： 投标报价得分=（评标基准价/投标报价）×价格权值。 符合招标文件规定的小微企业、监狱企业、残疾人福利企业优惠条 件的供应商，价格给予 10%的扣除，用扣除后的价格参与评审。</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