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版本号：SXZHZC2026-CS00820260409001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网络侦查设备系统租赁项目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SXZHZC2026-CS008</w:t>
      </w:r>
      <w:r>
        <w:br/>
      </w:r>
      <w:r>
        <w:br/>
      </w:r>
      <w:r>
        <w:br/>
      </w:r>
    </w:p>
    <w:p>
      <w:pPr>
        <w:pStyle w:val="null3"/>
        <w:jc w:val="center"/>
        <w:outlineLvl w:val="2"/>
      </w:pPr>
      <w:r>
        <w:rPr>
          <w:rFonts w:ascii="仿宋_GB2312" w:hAnsi="仿宋_GB2312" w:cs="仿宋_GB2312" w:eastAsia="仿宋_GB2312"/>
          <w:sz w:val="28"/>
          <w:b/>
        </w:rPr>
        <w:t>西安市公安局经济技术开发区分局</w:t>
      </w:r>
    </w:p>
    <w:p>
      <w:pPr>
        <w:pStyle w:val="null3"/>
        <w:jc w:val="center"/>
        <w:outlineLvl w:val="2"/>
      </w:pPr>
      <w:r>
        <w:rPr>
          <w:rFonts w:ascii="仿宋_GB2312" w:hAnsi="仿宋_GB2312" w:cs="仿宋_GB2312" w:eastAsia="仿宋_GB2312"/>
          <w:sz w:val="28"/>
          <w:b/>
        </w:rPr>
        <w:t>陕西泽航项目管理有限公司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2026年04月09日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陕西泽航项目管理有限公司</w:t>
      </w:r>
      <w:r>
        <w:rPr>
          <w:rFonts w:ascii="仿宋_GB2312" w:hAnsi="仿宋_GB2312" w:cs="仿宋_GB2312" w:eastAsia="仿宋_GB2312"/>
        </w:rPr>
        <w:t>（以下简称“代理机构”）受</w:t>
      </w:r>
      <w:r>
        <w:rPr>
          <w:rFonts w:ascii="仿宋_GB2312" w:hAnsi="仿宋_GB2312" w:cs="仿宋_GB2312" w:eastAsia="仿宋_GB2312"/>
        </w:rPr>
        <w:t>西安市公安局经济技术开发区分局</w:t>
      </w:r>
      <w:r>
        <w:rPr>
          <w:rFonts w:ascii="仿宋_GB2312" w:hAnsi="仿宋_GB2312" w:cs="仿宋_GB2312" w:eastAsia="仿宋_GB2312"/>
        </w:rPr>
        <w:t>委托，拟对</w:t>
      </w:r>
      <w:r>
        <w:rPr>
          <w:rFonts w:ascii="仿宋_GB2312" w:hAnsi="仿宋_GB2312" w:cs="仿宋_GB2312" w:eastAsia="仿宋_GB2312"/>
        </w:rPr>
        <w:t>网络侦查设备系统租赁项目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SXZHZC2026-CS008</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网络侦查设备系统租赁项目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网络侦查设备系统租赁项目</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采购包1（网络侦查设备系统租赁项目）：属于专门面向中小企业采购。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身份证明或法定代表人授权书：法定代表人直接参加磋商的，须出具法定代表人身份证明。法定代表人委托代理人参加磋商的，须出具法定代表人授权书（附法定代表人、代理人身份证复印件）及代理人本单位证明（响应文件提交截止日前六个月内任意一个月养老保险缴纳证明）。</w:t>
      </w:r>
    </w:p>
    <w:p>
      <w:pPr>
        <w:pStyle w:val="null3"/>
      </w:pPr>
      <w:r>
        <w:rPr>
          <w:rFonts w:ascii="仿宋_GB2312" w:hAnsi="仿宋_GB2312" w:cs="仿宋_GB2312" w:eastAsia="仿宋_GB2312"/>
        </w:rPr>
        <w:t>2、信用记录：供应商未被“信用中国”网站（www.creditchina.gov.cn）列入失信被执行人（页面跳转至“中国执行信息公开网”http://zxgk.court.gov.cn/shixin/）和重大税收违法失信主体，未被“中国政府采购网”（www.ccgp.gov.cn）列入政府采购严重违法失信行为记录名单。</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西安市公安局经济技术开发区分局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文景路132号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710016</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怡老师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029-86757365</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陕西泽航项目管理有限公司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西安市未央区未央路80号盛龙广场A区1号楼1单元2601-619室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710016</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张婉莹</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029-86477988</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西安市经济技术开发区财政金融局</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康老师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029-86538460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采购包1：298,000.00元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代理服务费收费标准：定额收取人民币捌仟元整。</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西安市公安局经济技术开发区分局</w:t>
      </w:r>
      <w:r>
        <w:rPr>
          <w:rFonts w:ascii="仿宋_GB2312" w:hAnsi="仿宋_GB2312" w:cs="仿宋_GB2312" w:eastAsia="仿宋_GB2312"/>
        </w:rPr>
        <w:t>和</w:t>
      </w:r>
      <w:r>
        <w:rPr>
          <w:rFonts w:ascii="仿宋_GB2312" w:hAnsi="仿宋_GB2312" w:cs="仿宋_GB2312" w:eastAsia="仿宋_GB2312"/>
        </w:rPr>
        <w:t>陕西泽航项目管理有限公司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西安市公安局经济技术开发区分局</w:t>
      </w:r>
      <w:r>
        <w:rPr>
          <w:rFonts w:ascii="仿宋_GB2312" w:hAnsi="仿宋_GB2312" w:cs="仿宋_GB2312" w:eastAsia="仿宋_GB2312"/>
        </w:rPr>
        <w:t>负责解释。除上述磋商文件内容，其他内容由</w:t>
      </w:r>
      <w:r>
        <w:rPr>
          <w:rFonts w:ascii="仿宋_GB2312" w:hAnsi="仿宋_GB2312" w:cs="仿宋_GB2312" w:eastAsia="仿宋_GB2312"/>
        </w:rPr>
        <w:t>陕西泽航项目管理有限公司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西安市公安局经济技术开发区分局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陕西泽航项目管理有限公司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详见合同条款</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陕西泽航项目管理有限公司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陕西泽航项目管理有限公司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陕西泽航项目管理有限公司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联系人：张婉莹</w:t>
      </w:r>
    </w:p>
    <w:p>
      <w:pPr>
        <w:pStyle w:val="null3"/>
      </w:pPr>
      <w:r>
        <w:rPr>
          <w:rFonts w:ascii="仿宋_GB2312" w:hAnsi="仿宋_GB2312" w:cs="仿宋_GB2312" w:eastAsia="仿宋_GB2312"/>
        </w:rPr>
        <w:t>联系电话：029-86477988</w:t>
      </w:r>
    </w:p>
    <w:p>
      <w:pPr>
        <w:pStyle w:val="null3"/>
      </w:pPr>
      <w:r>
        <w:rPr>
          <w:rFonts w:ascii="仿宋_GB2312" w:hAnsi="仿宋_GB2312" w:cs="仿宋_GB2312" w:eastAsia="仿宋_GB2312"/>
        </w:rPr>
        <w:t>地址：西安市未央区未央路80号盛龙广场A区1号楼1单元2601-619室</w:t>
      </w:r>
    </w:p>
    <w:p>
      <w:pPr>
        <w:pStyle w:val="null3"/>
      </w:pPr>
      <w:r>
        <w:rPr>
          <w:rFonts w:ascii="仿宋_GB2312" w:hAnsi="仿宋_GB2312" w:cs="仿宋_GB2312" w:eastAsia="仿宋_GB2312"/>
        </w:rPr>
        <w:t>邮编：710016</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网络侦查设备系统租赁项目</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298,000.00</w:t>
      </w:r>
    </w:p>
    <w:p>
      <w:pPr>
        <w:pStyle w:val="null3"/>
      </w:pPr>
      <w:r>
        <w:rPr>
          <w:rFonts w:ascii="仿宋_GB2312" w:hAnsi="仿宋_GB2312" w:cs="仿宋_GB2312" w:eastAsia="仿宋_GB2312"/>
        </w:rPr>
        <w:t>采购包最高限价（元）: 298,000.00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网络侦查设备系统租赁项目</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298,000.00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软件和信息技术服务业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标的名称：网络侦查设备系统租赁项目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175"/>
              <w:gridCol w:w="469"/>
              <w:gridCol w:w="501"/>
              <w:gridCol w:w="1407"/>
            </w:tblGrid>
            <w:tr>
              <w:tc>
                <w:tcPr>
                  <w:tcW w:type="dxa" w:w="17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shd w:fill="FFFFFF" w:val="clear"/>
                    </w:rPr>
                    <w:t>序号</w:t>
                  </w:r>
                </w:p>
              </w:tc>
              <w:tc>
                <w:tcPr>
                  <w:tcW w:type="dxa" w:w="970"/>
                  <w:gridSpan w:val="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shd w:fill="FFFFFF" w:val="clear"/>
                    </w:rPr>
                    <w:t>功能名称</w:t>
                  </w:r>
                </w:p>
              </w:tc>
              <w:tc>
                <w:tcPr>
                  <w:tcW w:type="dxa" w:w="140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shd w:fill="FFFFFF" w:val="clear"/>
                    </w:rPr>
                    <w:t>功能参数要求</w:t>
                  </w:r>
                </w:p>
              </w:tc>
            </w:tr>
            <w:tr>
              <w:tc>
                <w:tcPr>
                  <w:tcW w:type="dxa" w:w="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shd w:fill="FFFFFF" w:val="clear"/>
                    </w:rPr>
                    <w:t>1</w:t>
                  </w:r>
                </w:p>
              </w:tc>
              <w:tc>
                <w:tcPr>
                  <w:tcW w:type="dxa" w:w="4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shd w:fill="FFFFFF" w:val="clear"/>
                    </w:rPr>
                    <w:t>AI智能体</w:t>
                  </w:r>
                </w:p>
              </w:tc>
              <w:tc>
                <w:tcPr>
                  <w:tcW w:type="dxa" w:w="5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shd w:fill="FFFFFF" w:val="clear"/>
                    </w:rPr>
                    <w:t>全系</w:t>
                  </w:r>
                  <w:r>
                    <w:rPr>
                      <w:rFonts w:ascii="仿宋_GB2312" w:hAnsi="仿宋_GB2312" w:cs="仿宋_GB2312" w:eastAsia="仿宋_GB2312"/>
                      <w:sz w:val="24"/>
                      <w:shd w:fill="FFFFFF" w:val="clear"/>
                    </w:rPr>
                    <w:t>AI助手</w:t>
                  </w:r>
                </w:p>
              </w:tc>
              <w:tc>
                <w:tcPr>
                  <w:tcW w:type="dxa" w:w="140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shd w:fill="FFFFFF" w:val="clear"/>
                    </w:rPr>
                    <w:t>根据入参设备、网络、位置、应用、车牌、基站等信息，</w:t>
                  </w:r>
                  <w:r>
                    <w:rPr>
                      <w:rFonts w:ascii="仿宋_GB2312" w:hAnsi="仿宋_GB2312" w:cs="仿宋_GB2312" w:eastAsia="仿宋_GB2312"/>
                      <w:sz w:val="24"/>
                      <w:shd w:fill="FFFFFF" w:val="clear"/>
                    </w:rPr>
                    <w:t>a智能研判分析其立体画像，关系对象，风险特征，重点情报。减少研判路径，直达重点线索</w:t>
                  </w:r>
                </w:p>
              </w:tc>
            </w:tr>
            <w:tr>
              <w:tc>
                <w:tcPr>
                  <w:tcW w:type="dxa" w:w="17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shd w:fill="FFFFFF" w:val="clear"/>
                    </w:rPr>
                    <w:t>2</w:t>
                  </w:r>
                </w:p>
              </w:tc>
              <w:tc>
                <w:tcPr>
                  <w:tcW w:type="dxa" w:w="46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shd w:fill="FFFFFF" w:val="clear"/>
                    </w:rPr>
                    <w:t>全息查询</w:t>
                  </w:r>
                </w:p>
              </w:tc>
              <w:tc>
                <w:tcPr>
                  <w:tcW w:type="dxa" w:w="5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shd w:fill="FFFFFF" w:val="clear"/>
                    </w:rPr>
                    <w:t>设备查询</w:t>
                  </w:r>
                </w:p>
              </w:tc>
              <w:tc>
                <w:tcPr>
                  <w:tcW w:type="dxa" w:w="14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shd w:fill="FFFFFF" w:val="clear"/>
                    </w:rPr>
                    <w:t>1&gt;.设备查询-设备信息：设备信息包括设备当前四码、设备型号、手机号码运营商、手机系统语言、换机换卡记录，最新定位、工作地、居住地信息;</w:t>
                  </w:r>
                </w:p>
                <w:p>
                  <w:pPr>
                    <w:pStyle w:val="null3"/>
                    <w:jc w:val="left"/>
                  </w:pPr>
                  <w:r>
                    <w:rPr>
                      <w:rFonts w:ascii="仿宋_GB2312" w:hAnsi="仿宋_GB2312" w:cs="仿宋_GB2312" w:eastAsia="仿宋_GB2312"/>
                      <w:sz w:val="24"/>
                      <w:shd w:fill="FFFFFF" w:val="clear"/>
                    </w:rPr>
                    <w:t>2&gt;.设备查询-设备特征:根据设备的APP安装情况、轨迹活动等情况，以业务标签形式推测其特征；</w:t>
                  </w:r>
                </w:p>
                <w:p>
                  <w:pPr>
                    <w:pStyle w:val="null3"/>
                    <w:jc w:val="left"/>
                  </w:pPr>
                  <w:r>
                    <w:rPr>
                      <w:rFonts w:ascii="仿宋_GB2312" w:hAnsi="仿宋_GB2312" w:cs="仿宋_GB2312" w:eastAsia="仿宋_GB2312"/>
                      <w:sz w:val="24"/>
                      <w:shd w:fill="FFFFFF" w:val="clear"/>
                    </w:rPr>
                    <w:t>3&gt;.设备查询-批量全息画像:支持批量查询设备的全息画像功能；</w:t>
                  </w:r>
                </w:p>
                <w:p>
                  <w:pPr>
                    <w:pStyle w:val="null3"/>
                    <w:jc w:val="left"/>
                  </w:pPr>
                  <w:r>
                    <w:rPr>
                      <w:rFonts w:ascii="仿宋_GB2312" w:hAnsi="仿宋_GB2312" w:cs="仿宋_GB2312" w:eastAsia="仿宋_GB2312"/>
                      <w:sz w:val="24"/>
                      <w:shd w:fill="FFFFFF" w:val="clear"/>
                    </w:rPr>
                    <w:t>4&gt;.设备查询-历史WIFI/IP:查询设备上网的WiFi/IP相关信息，包括WiFi信息和设备联网时间、IP等；</w:t>
                  </w:r>
                </w:p>
                <w:p>
                  <w:pPr>
                    <w:pStyle w:val="null3"/>
                    <w:jc w:val="left"/>
                  </w:pPr>
                  <w:r>
                    <w:rPr>
                      <w:rFonts w:ascii="仿宋_GB2312" w:hAnsi="仿宋_GB2312" w:cs="仿宋_GB2312" w:eastAsia="仿宋_GB2312"/>
                      <w:sz w:val="24"/>
                      <w:shd w:fill="FFFFFF" w:val="clear"/>
                    </w:rPr>
                    <w:t>5&gt;.设备查询-轨迹走势:位置轨迹包括GPS位置、WiFi、基站、IP等来源的轨迹详细信息;</w:t>
                  </w:r>
                </w:p>
                <w:p>
                  <w:pPr>
                    <w:pStyle w:val="null3"/>
                    <w:jc w:val="left"/>
                  </w:pPr>
                  <w:r>
                    <w:rPr>
                      <w:rFonts w:ascii="仿宋_GB2312" w:hAnsi="仿宋_GB2312" w:cs="仿宋_GB2312" w:eastAsia="仿宋_GB2312"/>
                      <w:sz w:val="24"/>
                      <w:shd w:fill="FFFFFF" w:val="clear"/>
                    </w:rPr>
                    <w:t>6&gt;.设备查询-APP特征:设备的安装的APP分析，包括App名称、APP包名、APP分类、安装状态、安装时间、卸载次数等。并标识出其中的敏感应用；</w:t>
                  </w:r>
                </w:p>
                <w:p>
                  <w:pPr>
                    <w:pStyle w:val="null3"/>
                    <w:jc w:val="left"/>
                  </w:pPr>
                  <w:r>
                    <w:rPr>
                      <w:rFonts w:ascii="仿宋_GB2312" w:hAnsi="仿宋_GB2312" w:cs="仿宋_GB2312" w:eastAsia="仿宋_GB2312"/>
                      <w:sz w:val="24"/>
                      <w:shd w:fill="FFFFFF" w:val="clear"/>
                    </w:rPr>
                    <w:t>7&gt;.设备查询-社交账号:根据手机号查询境内社交平台账号信息;</w:t>
                  </w:r>
                </w:p>
                <w:p>
                  <w:pPr>
                    <w:pStyle w:val="null3"/>
                    <w:jc w:val="left"/>
                  </w:pPr>
                  <w:r>
                    <w:rPr>
                      <w:rFonts w:ascii="仿宋_GB2312" w:hAnsi="仿宋_GB2312" w:cs="仿宋_GB2312" w:eastAsia="仿宋_GB2312"/>
                      <w:sz w:val="24"/>
                      <w:shd w:fill="FFFFFF" w:val="clear"/>
                    </w:rPr>
                    <w:t>8&gt;.设备查询-行为推测:查询设备物流、酒店、交通等行为信息。</w:t>
                  </w:r>
                </w:p>
                <w:p>
                  <w:pPr>
                    <w:pStyle w:val="null3"/>
                    <w:jc w:val="left"/>
                  </w:pPr>
                  <w:r>
                    <w:rPr>
                      <w:rFonts w:ascii="仿宋_GB2312" w:hAnsi="仿宋_GB2312" w:cs="仿宋_GB2312" w:eastAsia="仿宋_GB2312"/>
                      <w:sz w:val="24"/>
                      <w:shd w:fill="FFFFFF" w:val="clear"/>
                    </w:rPr>
                    <w:t>9&gt;.设备查询-关系分析:对目标号码近一个月内历史设备同网行为进行可视化分层展示。</w:t>
                  </w:r>
                </w:p>
              </w:tc>
            </w:tr>
            <w:tr>
              <w:tc>
                <w:tcPr>
                  <w:tcW w:type="dxa" w:w="175"/>
                  <w:vMerge/>
                  <w:tcBorders>
                    <w:top w:val="none" w:color="000000" w:sz="4"/>
                    <w:left w:val="single" w:color="000000" w:sz="4"/>
                    <w:bottom w:val="single" w:color="000000" w:sz="4"/>
                    <w:right w:val="single" w:color="000000" w:sz="4"/>
                  </w:tcBorders>
                </w:tcPr>
                <w:p/>
              </w:tc>
              <w:tc>
                <w:tcPr>
                  <w:tcW w:type="dxa" w:w="469"/>
                  <w:vMerge/>
                  <w:tcBorders>
                    <w:top w:val="none" w:color="000000" w:sz="4"/>
                    <w:left w:val="single" w:color="000000" w:sz="4"/>
                    <w:bottom w:val="single" w:color="000000" w:sz="4"/>
                    <w:right w:val="single" w:color="000000" w:sz="4"/>
                  </w:tcBorders>
                </w:tcPr>
                <w:p/>
              </w:tc>
              <w:tc>
                <w:tcPr>
                  <w:tcW w:type="dxa" w:w="5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shd w:fill="FFFFFF" w:val="clear"/>
                    </w:rPr>
                    <w:t>WIFI查询</w:t>
                  </w:r>
                </w:p>
              </w:tc>
              <w:tc>
                <w:tcPr>
                  <w:tcW w:type="dxa" w:w="14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shd w:fill="FFFFFF" w:val="clear"/>
                    </w:rPr>
                    <w:t>可查询连接或扫描此</w:t>
                  </w:r>
                  <w:r>
                    <w:rPr>
                      <w:rFonts w:ascii="仿宋_GB2312" w:hAnsi="仿宋_GB2312" w:cs="仿宋_GB2312" w:eastAsia="仿宋_GB2312"/>
                      <w:sz w:val="24"/>
                      <w:shd w:fill="FFFFFF" w:val="clear"/>
                    </w:rPr>
                    <w:t>WiFi的所有设备及详细关联信息，以及该WiFi的画像。</w:t>
                  </w:r>
                </w:p>
              </w:tc>
            </w:tr>
            <w:tr>
              <w:tc>
                <w:tcPr>
                  <w:tcW w:type="dxa" w:w="175"/>
                  <w:vMerge/>
                  <w:tcBorders>
                    <w:top w:val="none" w:color="000000" w:sz="4"/>
                    <w:left w:val="single" w:color="000000" w:sz="4"/>
                    <w:bottom w:val="single" w:color="000000" w:sz="4"/>
                    <w:right w:val="single" w:color="000000" w:sz="4"/>
                  </w:tcBorders>
                </w:tcPr>
                <w:p/>
              </w:tc>
              <w:tc>
                <w:tcPr>
                  <w:tcW w:type="dxa" w:w="469"/>
                  <w:vMerge/>
                  <w:tcBorders>
                    <w:top w:val="none" w:color="000000" w:sz="4"/>
                    <w:left w:val="single" w:color="000000" w:sz="4"/>
                    <w:bottom w:val="single" w:color="000000" w:sz="4"/>
                    <w:right w:val="single" w:color="000000" w:sz="4"/>
                  </w:tcBorders>
                </w:tcPr>
                <w:p/>
              </w:tc>
              <w:tc>
                <w:tcPr>
                  <w:tcW w:type="dxa" w:w="5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shd w:fill="FFFFFF" w:val="clear"/>
                    </w:rPr>
                    <w:t>IP查询</w:t>
                  </w:r>
                </w:p>
              </w:tc>
              <w:tc>
                <w:tcPr>
                  <w:tcW w:type="dxa" w:w="14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shd w:fill="FFFFFF" w:val="clear"/>
                    </w:rPr>
                    <w:t>可查询使用此</w:t>
                  </w:r>
                  <w:r>
                    <w:rPr>
                      <w:rFonts w:ascii="仿宋_GB2312" w:hAnsi="仿宋_GB2312" w:cs="仿宋_GB2312" w:eastAsia="仿宋_GB2312"/>
                      <w:sz w:val="24"/>
                      <w:shd w:fill="FFFFFF" w:val="clear"/>
                    </w:rPr>
                    <w:t>IP的所有设备及详细关联信息。</w:t>
                  </w:r>
                </w:p>
              </w:tc>
            </w:tr>
            <w:tr>
              <w:tc>
                <w:tcPr>
                  <w:tcW w:type="dxa" w:w="175"/>
                  <w:vMerge/>
                  <w:tcBorders>
                    <w:top w:val="none" w:color="000000" w:sz="4"/>
                    <w:left w:val="single" w:color="000000" w:sz="4"/>
                    <w:bottom w:val="single" w:color="000000" w:sz="4"/>
                    <w:right w:val="single" w:color="000000" w:sz="4"/>
                  </w:tcBorders>
                </w:tcPr>
                <w:p/>
              </w:tc>
              <w:tc>
                <w:tcPr>
                  <w:tcW w:type="dxa" w:w="469"/>
                  <w:vMerge/>
                  <w:tcBorders>
                    <w:top w:val="none" w:color="000000" w:sz="4"/>
                    <w:left w:val="single" w:color="000000" w:sz="4"/>
                    <w:bottom w:val="single" w:color="000000" w:sz="4"/>
                    <w:right w:val="single" w:color="000000" w:sz="4"/>
                  </w:tcBorders>
                </w:tcPr>
                <w:p/>
              </w:tc>
              <w:tc>
                <w:tcPr>
                  <w:tcW w:type="dxa" w:w="5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shd w:fill="FFFFFF" w:val="clear"/>
                    </w:rPr>
                    <w:t>APP查询</w:t>
                  </w:r>
                </w:p>
              </w:tc>
              <w:tc>
                <w:tcPr>
                  <w:tcW w:type="dxa" w:w="14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shd w:fill="FFFFFF" w:val="clear"/>
                    </w:rPr>
                    <w:t>输入</w:t>
                  </w:r>
                  <w:r>
                    <w:rPr>
                      <w:rFonts w:ascii="仿宋_GB2312" w:hAnsi="仿宋_GB2312" w:cs="仿宋_GB2312" w:eastAsia="仿宋_GB2312"/>
                      <w:sz w:val="24"/>
                      <w:shd w:fill="FFFFFF" w:val="clear"/>
                    </w:rPr>
                    <w:t>APP名称或APP应用包名模糊搜索应用，输出APP分类、安装设备量、是否上架等信息。</w:t>
                  </w:r>
                </w:p>
              </w:tc>
            </w:tr>
            <w:tr>
              <w:tc>
                <w:tcPr>
                  <w:tcW w:type="dxa" w:w="175"/>
                  <w:vMerge/>
                  <w:tcBorders>
                    <w:top w:val="none" w:color="000000" w:sz="4"/>
                    <w:left w:val="single" w:color="000000" w:sz="4"/>
                    <w:bottom w:val="single" w:color="000000" w:sz="4"/>
                    <w:right w:val="single" w:color="000000" w:sz="4"/>
                  </w:tcBorders>
                </w:tcPr>
                <w:p/>
              </w:tc>
              <w:tc>
                <w:tcPr>
                  <w:tcW w:type="dxa" w:w="469"/>
                  <w:vMerge/>
                  <w:tcBorders>
                    <w:top w:val="none" w:color="000000" w:sz="4"/>
                    <w:left w:val="single" w:color="000000" w:sz="4"/>
                    <w:bottom w:val="single" w:color="000000" w:sz="4"/>
                    <w:right w:val="single" w:color="000000" w:sz="4"/>
                  </w:tcBorders>
                </w:tcPr>
                <w:p/>
              </w:tc>
              <w:tc>
                <w:tcPr>
                  <w:tcW w:type="dxa" w:w="5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shd w:fill="FFFFFF" w:val="clear"/>
                    </w:rPr>
                    <w:t>车辆查询</w:t>
                  </w:r>
                </w:p>
              </w:tc>
              <w:tc>
                <w:tcPr>
                  <w:tcW w:type="dxa" w:w="14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shd w:fill="FFFFFF" w:val="clear"/>
                    </w:rPr>
                    <w:t>根据车牌号查询车辆信息停车记录，及驾驶人手机号</w:t>
                  </w:r>
                </w:p>
              </w:tc>
            </w:tr>
            <w:tr>
              <w:tc>
                <w:tcPr>
                  <w:tcW w:type="dxa" w:w="175"/>
                  <w:vMerge/>
                  <w:tcBorders>
                    <w:top w:val="none" w:color="000000" w:sz="4"/>
                    <w:left w:val="single" w:color="000000" w:sz="4"/>
                    <w:bottom w:val="single" w:color="000000" w:sz="4"/>
                    <w:right w:val="single" w:color="000000" w:sz="4"/>
                  </w:tcBorders>
                </w:tcPr>
                <w:p/>
              </w:tc>
              <w:tc>
                <w:tcPr>
                  <w:tcW w:type="dxa" w:w="469"/>
                  <w:vMerge/>
                  <w:tcBorders>
                    <w:top w:val="none" w:color="000000" w:sz="4"/>
                    <w:left w:val="single" w:color="000000" w:sz="4"/>
                    <w:bottom w:val="single" w:color="000000" w:sz="4"/>
                    <w:right w:val="single" w:color="000000" w:sz="4"/>
                  </w:tcBorders>
                </w:tcPr>
                <w:p/>
              </w:tc>
              <w:tc>
                <w:tcPr>
                  <w:tcW w:type="dxa" w:w="5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shd w:fill="FFFFFF" w:val="clear"/>
                    </w:rPr>
                    <w:t>经纬度分析</w:t>
                  </w:r>
                </w:p>
              </w:tc>
              <w:tc>
                <w:tcPr>
                  <w:tcW w:type="dxa" w:w="14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shd w:fill="FFFFFF" w:val="clear"/>
                    </w:rPr>
                    <w:t>根据输入的经纬度或关键词查询附近区域内的</w:t>
                  </w:r>
                  <w:r>
                    <w:rPr>
                      <w:rFonts w:ascii="仿宋_GB2312" w:hAnsi="仿宋_GB2312" w:cs="仿宋_GB2312" w:eastAsia="仿宋_GB2312"/>
                      <w:sz w:val="24"/>
                      <w:shd w:fill="FFFFFF" w:val="clear"/>
                    </w:rPr>
                    <w:t>WiFi信息及基站信息。</w:t>
                  </w:r>
                </w:p>
              </w:tc>
            </w:tr>
            <w:tr>
              <w:tc>
                <w:tcPr>
                  <w:tcW w:type="dxa" w:w="175"/>
                  <w:vMerge/>
                  <w:tcBorders>
                    <w:top w:val="none" w:color="000000" w:sz="4"/>
                    <w:left w:val="single" w:color="000000" w:sz="4"/>
                    <w:bottom w:val="single" w:color="000000" w:sz="4"/>
                    <w:right w:val="single" w:color="000000" w:sz="4"/>
                  </w:tcBorders>
                </w:tcPr>
                <w:p/>
              </w:tc>
              <w:tc>
                <w:tcPr>
                  <w:tcW w:type="dxa" w:w="469"/>
                  <w:vMerge/>
                  <w:tcBorders>
                    <w:top w:val="none" w:color="000000" w:sz="4"/>
                    <w:left w:val="single" w:color="000000" w:sz="4"/>
                    <w:bottom w:val="single" w:color="000000" w:sz="4"/>
                    <w:right w:val="single" w:color="000000" w:sz="4"/>
                  </w:tcBorders>
                </w:tcPr>
                <w:p/>
              </w:tc>
              <w:tc>
                <w:tcPr>
                  <w:tcW w:type="dxa" w:w="5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shd w:fill="FFFFFF" w:val="clear"/>
                    </w:rPr>
                    <w:t>基站查询</w:t>
                  </w:r>
                </w:p>
              </w:tc>
              <w:tc>
                <w:tcPr>
                  <w:tcW w:type="dxa" w:w="14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shd w:fill="FFFFFF" w:val="clear"/>
                    </w:rPr>
                    <w:t>根据基站代码查询基站信息，分析时间范围内的基站附近设备信息。</w:t>
                  </w:r>
                </w:p>
              </w:tc>
            </w:tr>
            <w:tr>
              <w:tc>
                <w:tcPr>
                  <w:tcW w:type="dxa" w:w="17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shd w:fill="FFFFFF" w:val="clear"/>
                    </w:rPr>
                    <w:t>3</w:t>
                  </w:r>
                </w:p>
              </w:tc>
              <w:tc>
                <w:tcPr>
                  <w:tcW w:type="dxa" w:w="46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shd w:fill="FFFFFF" w:val="clear"/>
                    </w:rPr>
                    <w:t>研判工具</w:t>
                  </w:r>
                </w:p>
              </w:tc>
              <w:tc>
                <w:tcPr>
                  <w:tcW w:type="dxa" w:w="5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shd w:fill="FFFFFF" w:val="clear"/>
                    </w:rPr>
                    <w:t>APP分析</w:t>
                  </w:r>
                </w:p>
              </w:tc>
              <w:tc>
                <w:tcPr>
                  <w:tcW w:type="dxa" w:w="14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shd w:fill="FFFFFF" w:val="clear"/>
                    </w:rPr>
                    <w:t>根据</w:t>
                  </w:r>
                  <w:r>
                    <w:rPr>
                      <w:rFonts w:ascii="仿宋_GB2312" w:hAnsi="仿宋_GB2312" w:cs="仿宋_GB2312" w:eastAsia="仿宋_GB2312"/>
                      <w:sz w:val="24"/>
                      <w:shd w:fill="FFFFFF" w:val="clear"/>
                    </w:rPr>
                    <w:t>APP在装用户分析；获得应用画像和定量在装设备。</w:t>
                  </w:r>
                </w:p>
              </w:tc>
            </w:tr>
            <w:tr>
              <w:tc>
                <w:tcPr>
                  <w:tcW w:type="dxa" w:w="175"/>
                  <w:vMerge/>
                  <w:tcBorders>
                    <w:top w:val="none" w:color="000000" w:sz="4"/>
                    <w:left w:val="single" w:color="000000" w:sz="4"/>
                    <w:bottom w:val="single" w:color="000000" w:sz="4"/>
                    <w:right w:val="single" w:color="000000" w:sz="4"/>
                  </w:tcBorders>
                </w:tcPr>
                <w:p/>
              </w:tc>
              <w:tc>
                <w:tcPr>
                  <w:tcW w:type="dxa" w:w="469"/>
                  <w:vMerge/>
                  <w:tcBorders>
                    <w:top w:val="none" w:color="000000" w:sz="4"/>
                    <w:left w:val="single" w:color="000000" w:sz="4"/>
                    <w:bottom w:val="single" w:color="000000" w:sz="4"/>
                    <w:right w:val="single" w:color="000000" w:sz="4"/>
                  </w:tcBorders>
                </w:tcPr>
                <w:p/>
              </w:tc>
              <w:tc>
                <w:tcPr>
                  <w:tcW w:type="dxa" w:w="5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shd w:fill="FFFFFF" w:val="clear"/>
                    </w:rPr>
                    <w:t>APP同源拓展</w:t>
                  </w:r>
                </w:p>
              </w:tc>
              <w:tc>
                <w:tcPr>
                  <w:tcW w:type="dxa" w:w="14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shd w:fill="FFFFFF" w:val="clear"/>
                    </w:rPr>
                    <w:t>通过</w:t>
                  </w:r>
                  <w:r>
                    <w:rPr>
                      <w:rFonts w:ascii="仿宋_GB2312" w:hAnsi="仿宋_GB2312" w:cs="仿宋_GB2312" w:eastAsia="仿宋_GB2312"/>
                      <w:sz w:val="24"/>
                      <w:shd w:fill="FFFFFF" w:val="clear"/>
                    </w:rPr>
                    <w:t>APP签名证书hash值，帮助拓展目标的同源APP。</w:t>
                  </w:r>
                </w:p>
              </w:tc>
            </w:tr>
            <w:tr>
              <w:tc>
                <w:tcPr>
                  <w:tcW w:type="dxa" w:w="175"/>
                  <w:vMerge/>
                  <w:tcBorders>
                    <w:top w:val="none" w:color="000000" w:sz="4"/>
                    <w:left w:val="single" w:color="000000" w:sz="4"/>
                    <w:bottom w:val="single" w:color="000000" w:sz="4"/>
                    <w:right w:val="single" w:color="000000" w:sz="4"/>
                  </w:tcBorders>
                </w:tcPr>
                <w:p/>
              </w:tc>
              <w:tc>
                <w:tcPr>
                  <w:tcW w:type="dxa" w:w="469"/>
                  <w:vMerge/>
                  <w:tcBorders>
                    <w:top w:val="none" w:color="000000" w:sz="4"/>
                    <w:left w:val="single" w:color="000000" w:sz="4"/>
                    <w:bottom w:val="single" w:color="000000" w:sz="4"/>
                    <w:right w:val="single" w:color="000000" w:sz="4"/>
                  </w:tcBorders>
                </w:tcPr>
                <w:p/>
              </w:tc>
              <w:tc>
                <w:tcPr>
                  <w:tcW w:type="dxa" w:w="5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shd w:fill="FFFFFF" w:val="clear"/>
                    </w:rPr>
                    <w:t>综合提数</w:t>
                  </w:r>
                </w:p>
              </w:tc>
              <w:tc>
                <w:tcPr>
                  <w:tcW w:type="dxa" w:w="14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shd w:fill="FFFFFF" w:val="clear"/>
                    </w:rPr>
                    <w:t>利用围栏技术和应用程序安装数据来确定设备的特定特征</w:t>
                  </w:r>
                  <w:r>
                    <w:rPr>
                      <w:rFonts w:ascii="仿宋_GB2312" w:hAnsi="仿宋_GB2312" w:cs="仿宋_GB2312" w:eastAsia="仿宋_GB2312"/>
                      <w:sz w:val="24"/>
                      <w:shd w:fill="FFFFFF" w:val="clear"/>
                    </w:rPr>
                    <w:t>,并从中识别出目标设备。</w:t>
                  </w:r>
                </w:p>
              </w:tc>
            </w:tr>
            <w:tr>
              <w:tc>
                <w:tcPr>
                  <w:tcW w:type="dxa" w:w="175"/>
                  <w:vMerge/>
                  <w:tcBorders>
                    <w:top w:val="none" w:color="000000" w:sz="4"/>
                    <w:left w:val="single" w:color="000000" w:sz="4"/>
                    <w:bottom w:val="single" w:color="000000" w:sz="4"/>
                    <w:right w:val="single" w:color="000000" w:sz="4"/>
                  </w:tcBorders>
                </w:tcPr>
                <w:p/>
              </w:tc>
              <w:tc>
                <w:tcPr>
                  <w:tcW w:type="dxa" w:w="469"/>
                  <w:vMerge/>
                  <w:tcBorders>
                    <w:top w:val="none" w:color="000000" w:sz="4"/>
                    <w:left w:val="single" w:color="000000" w:sz="4"/>
                    <w:bottom w:val="single" w:color="000000" w:sz="4"/>
                    <w:right w:val="single" w:color="000000" w:sz="4"/>
                  </w:tcBorders>
                </w:tcPr>
                <w:p/>
              </w:tc>
              <w:tc>
                <w:tcPr>
                  <w:tcW w:type="dxa" w:w="5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shd w:fill="FFFFFF" w:val="clear"/>
                    </w:rPr>
                    <w:t>群体画像</w:t>
                  </w:r>
                </w:p>
              </w:tc>
              <w:tc>
                <w:tcPr>
                  <w:tcW w:type="dxa" w:w="14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shd w:fill="FFFFFF" w:val="clear"/>
                    </w:rPr>
                    <w:t>根据设备进行群体分析；可视化展示该群体设备、应用、轨迹等特征的画像。</w:t>
                  </w:r>
                </w:p>
              </w:tc>
            </w:tr>
            <w:tr>
              <w:tc>
                <w:tcPr>
                  <w:tcW w:type="dxa" w:w="175"/>
                  <w:vMerge/>
                  <w:tcBorders>
                    <w:top w:val="none" w:color="000000" w:sz="4"/>
                    <w:left w:val="single" w:color="000000" w:sz="4"/>
                    <w:bottom w:val="single" w:color="000000" w:sz="4"/>
                    <w:right w:val="single" w:color="000000" w:sz="4"/>
                  </w:tcBorders>
                </w:tcPr>
                <w:p/>
              </w:tc>
              <w:tc>
                <w:tcPr>
                  <w:tcW w:type="dxa" w:w="469"/>
                  <w:vMerge/>
                  <w:tcBorders>
                    <w:top w:val="none" w:color="000000" w:sz="4"/>
                    <w:left w:val="single" w:color="000000" w:sz="4"/>
                    <w:bottom w:val="single" w:color="000000" w:sz="4"/>
                    <w:right w:val="single" w:color="000000" w:sz="4"/>
                  </w:tcBorders>
                </w:tcPr>
                <w:p/>
              </w:tc>
              <w:tc>
                <w:tcPr>
                  <w:tcW w:type="dxa" w:w="5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shd w:fill="FFFFFF" w:val="clear"/>
                    </w:rPr>
                    <w:t>APK解析</w:t>
                  </w:r>
                </w:p>
              </w:tc>
              <w:tc>
                <w:tcPr>
                  <w:tcW w:type="dxa" w:w="14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shd w:fill="FFFFFF" w:val="clear"/>
                    </w:rPr>
                    <w:t>自动解析出应用的基本信息，</w:t>
                  </w:r>
                  <w:r>
                    <w:rPr>
                      <w:rFonts w:ascii="仿宋_GB2312" w:hAnsi="仿宋_GB2312" w:cs="仿宋_GB2312" w:eastAsia="仿宋_GB2312"/>
                      <w:sz w:val="24"/>
                      <w:shd w:fill="FFFFFF" w:val="clear"/>
                    </w:rPr>
                    <w:t>SDK识别，数字签名，权限分析，清单元数据等。</w:t>
                  </w:r>
                </w:p>
              </w:tc>
            </w:tr>
            <w:tr>
              <w:tc>
                <w:tcPr>
                  <w:tcW w:type="dxa" w:w="175"/>
                  <w:vMerge/>
                  <w:tcBorders>
                    <w:top w:val="none" w:color="000000" w:sz="4"/>
                    <w:left w:val="single" w:color="000000" w:sz="4"/>
                    <w:bottom w:val="single" w:color="000000" w:sz="4"/>
                    <w:right w:val="single" w:color="000000" w:sz="4"/>
                  </w:tcBorders>
                </w:tcPr>
                <w:p/>
              </w:tc>
              <w:tc>
                <w:tcPr>
                  <w:tcW w:type="dxa" w:w="469"/>
                  <w:vMerge/>
                  <w:tcBorders>
                    <w:top w:val="none" w:color="000000" w:sz="4"/>
                    <w:left w:val="single" w:color="000000" w:sz="4"/>
                    <w:bottom w:val="single" w:color="000000" w:sz="4"/>
                    <w:right w:val="single" w:color="000000" w:sz="4"/>
                  </w:tcBorders>
                </w:tcPr>
                <w:p/>
              </w:tc>
              <w:tc>
                <w:tcPr>
                  <w:tcW w:type="dxa" w:w="5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shd w:fill="FFFFFF" w:val="clear"/>
                    </w:rPr>
                    <w:t>零号设备分析</w:t>
                  </w:r>
                </w:p>
              </w:tc>
              <w:tc>
                <w:tcPr>
                  <w:tcW w:type="dxa" w:w="14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shd w:fill="FFFFFF" w:val="clear"/>
                    </w:rPr>
                    <w:t>根据应用包名称查询应用的最早安装的</w:t>
                  </w:r>
                  <w:r>
                    <w:rPr>
                      <w:rFonts w:ascii="仿宋_GB2312" w:hAnsi="仿宋_GB2312" w:cs="仿宋_GB2312" w:eastAsia="仿宋_GB2312"/>
                      <w:sz w:val="24"/>
                      <w:shd w:fill="FFFFFF" w:val="clear"/>
                    </w:rPr>
                    <w:t>50个设备信息。</w:t>
                  </w:r>
                </w:p>
              </w:tc>
            </w:tr>
            <w:tr>
              <w:tc>
                <w:tcPr>
                  <w:tcW w:type="dxa" w:w="175"/>
                  <w:vMerge/>
                  <w:tcBorders>
                    <w:top w:val="none" w:color="000000" w:sz="4"/>
                    <w:left w:val="single" w:color="000000" w:sz="4"/>
                    <w:bottom w:val="single" w:color="000000" w:sz="4"/>
                    <w:right w:val="single" w:color="000000" w:sz="4"/>
                  </w:tcBorders>
                </w:tcPr>
                <w:p/>
              </w:tc>
              <w:tc>
                <w:tcPr>
                  <w:tcW w:type="dxa" w:w="469"/>
                  <w:vMerge/>
                  <w:tcBorders>
                    <w:top w:val="none" w:color="000000" w:sz="4"/>
                    <w:left w:val="single" w:color="000000" w:sz="4"/>
                    <w:bottom w:val="single" w:color="000000" w:sz="4"/>
                    <w:right w:val="single" w:color="000000" w:sz="4"/>
                  </w:tcBorders>
                </w:tcPr>
                <w:p/>
              </w:tc>
              <w:tc>
                <w:tcPr>
                  <w:tcW w:type="dxa" w:w="5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shd w:fill="FFFFFF" w:val="clear"/>
                    </w:rPr>
                    <w:t>聚集地分析</w:t>
                  </w:r>
                </w:p>
              </w:tc>
              <w:tc>
                <w:tcPr>
                  <w:tcW w:type="dxa" w:w="14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shd w:fill="FFFFFF" w:val="clear"/>
                    </w:rPr>
                    <w:t>嫌疑应用、嫌疑设备或二者组合的方式，根据联网情况，分析人群疑似聚集窝点</w:t>
                  </w:r>
                  <w:r>
                    <w:rPr>
                      <w:rFonts w:ascii="仿宋_GB2312" w:hAnsi="仿宋_GB2312" w:cs="仿宋_GB2312" w:eastAsia="仿宋_GB2312"/>
                      <w:sz w:val="24"/>
                      <w:shd w:fill="FFFFFF" w:val="clear"/>
                    </w:rPr>
                    <w:t>TOP5</w:t>
                  </w:r>
                </w:p>
              </w:tc>
            </w:tr>
            <w:tr>
              <w:tc>
                <w:tcPr>
                  <w:tcW w:type="dxa" w:w="175"/>
                  <w:vMerge/>
                  <w:tcBorders>
                    <w:top w:val="none" w:color="000000" w:sz="4"/>
                    <w:left w:val="single" w:color="000000" w:sz="4"/>
                    <w:bottom w:val="single" w:color="000000" w:sz="4"/>
                    <w:right w:val="single" w:color="000000" w:sz="4"/>
                  </w:tcBorders>
                </w:tcPr>
                <w:p/>
              </w:tc>
              <w:tc>
                <w:tcPr>
                  <w:tcW w:type="dxa" w:w="469"/>
                  <w:vMerge/>
                  <w:tcBorders>
                    <w:top w:val="none" w:color="000000" w:sz="4"/>
                    <w:left w:val="single" w:color="000000" w:sz="4"/>
                    <w:bottom w:val="single" w:color="000000" w:sz="4"/>
                    <w:right w:val="single" w:color="000000" w:sz="4"/>
                  </w:tcBorders>
                </w:tcPr>
                <w:p/>
              </w:tc>
              <w:tc>
                <w:tcPr>
                  <w:tcW w:type="dxa" w:w="5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shd w:fill="FFFFFF" w:val="clear"/>
                    </w:rPr>
                    <w:t>WIFI碰撞</w:t>
                  </w:r>
                </w:p>
              </w:tc>
              <w:tc>
                <w:tcPr>
                  <w:tcW w:type="dxa" w:w="14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shd w:fill="FFFFFF" w:val="clear"/>
                    </w:rPr>
                    <w:t>分析多个</w:t>
                  </w:r>
                  <w:r>
                    <w:rPr>
                      <w:rFonts w:ascii="仿宋_GB2312" w:hAnsi="仿宋_GB2312" w:cs="仿宋_GB2312" w:eastAsia="仿宋_GB2312"/>
                      <w:sz w:val="24"/>
                      <w:shd w:fill="FFFFFF" w:val="clear"/>
                    </w:rPr>
                    <w:t>WIFI在一定时间范围下的同网设备分布，当同网WiFi个数以及同网次数越多，表示设备间关系越紧密。</w:t>
                  </w:r>
                </w:p>
              </w:tc>
            </w:tr>
            <w:tr>
              <w:tc>
                <w:tcPr>
                  <w:tcW w:type="dxa" w:w="175"/>
                  <w:vMerge/>
                  <w:tcBorders>
                    <w:top w:val="none" w:color="000000" w:sz="4"/>
                    <w:left w:val="single" w:color="000000" w:sz="4"/>
                    <w:bottom w:val="single" w:color="000000" w:sz="4"/>
                    <w:right w:val="single" w:color="000000" w:sz="4"/>
                  </w:tcBorders>
                </w:tcPr>
                <w:p/>
              </w:tc>
              <w:tc>
                <w:tcPr>
                  <w:tcW w:type="dxa" w:w="469"/>
                  <w:vMerge/>
                  <w:tcBorders>
                    <w:top w:val="none" w:color="000000" w:sz="4"/>
                    <w:left w:val="single" w:color="000000" w:sz="4"/>
                    <w:bottom w:val="single" w:color="000000" w:sz="4"/>
                    <w:right w:val="single" w:color="000000" w:sz="4"/>
                  </w:tcBorders>
                </w:tcPr>
                <w:p/>
              </w:tc>
              <w:tc>
                <w:tcPr>
                  <w:tcW w:type="dxa" w:w="5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shd w:fill="FFFFFF" w:val="clear"/>
                    </w:rPr>
                    <w:t>IP碰撞</w:t>
                  </w:r>
                </w:p>
              </w:tc>
              <w:tc>
                <w:tcPr>
                  <w:tcW w:type="dxa" w:w="14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shd w:fill="FFFFFF" w:val="clear"/>
                    </w:rPr>
                    <w:t>分析多个</w:t>
                  </w:r>
                  <w:r>
                    <w:rPr>
                      <w:rFonts w:ascii="仿宋_GB2312" w:hAnsi="仿宋_GB2312" w:cs="仿宋_GB2312" w:eastAsia="仿宋_GB2312"/>
                      <w:sz w:val="24"/>
                      <w:shd w:fill="FFFFFF" w:val="clear"/>
                    </w:rPr>
                    <w:t>IP在一定时间范围下的同网设备分布，当同网IP个数以及同网次数越多，表示设备间关系越紧密。</w:t>
                  </w:r>
                </w:p>
              </w:tc>
            </w:tr>
            <w:tr>
              <w:tc>
                <w:tcPr>
                  <w:tcW w:type="dxa" w:w="175"/>
                  <w:vMerge/>
                  <w:tcBorders>
                    <w:top w:val="none" w:color="000000" w:sz="4"/>
                    <w:left w:val="single" w:color="000000" w:sz="4"/>
                    <w:bottom w:val="single" w:color="000000" w:sz="4"/>
                    <w:right w:val="single" w:color="000000" w:sz="4"/>
                  </w:tcBorders>
                </w:tcPr>
                <w:p/>
              </w:tc>
              <w:tc>
                <w:tcPr>
                  <w:tcW w:type="dxa" w:w="469"/>
                  <w:vMerge/>
                  <w:tcBorders>
                    <w:top w:val="none" w:color="000000" w:sz="4"/>
                    <w:left w:val="single" w:color="000000" w:sz="4"/>
                    <w:bottom w:val="single" w:color="000000" w:sz="4"/>
                    <w:right w:val="single" w:color="000000" w:sz="4"/>
                  </w:tcBorders>
                </w:tcPr>
                <w:p/>
              </w:tc>
              <w:tc>
                <w:tcPr>
                  <w:tcW w:type="dxa" w:w="5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shd w:fill="FFFFFF" w:val="clear"/>
                    </w:rPr>
                    <w:t>WiFiIP批量碰撞</w:t>
                  </w:r>
                </w:p>
              </w:tc>
              <w:tc>
                <w:tcPr>
                  <w:tcW w:type="dxa" w:w="14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shd w:fill="FFFFFF" w:val="clear"/>
                    </w:rPr>
                    <w:t>大量</w:t>
                  </w:r>
                  <w:r>
                    <w:rPr>
                      <w:rFonts w:ascii="仿宋_GB2312" w:hAnsi="仿宋_GB2312" w:cs="仿宋_GB2312" w:eastAsia="仿宋_GB2312"/>
                      <w:sz w:val="24"/>
                      <w:shd w:fill="FFFFFF" w:val="clear"/>
                    </w:rPr>
                    <w:t>WiFiIP碰撞，建立任务输出同网设备。</w:t>
                  </w:r>
                </w:p>
              </w:tc>
            </w:tr>
            <w:tr>
              <w:tc>
                <w:tcPr>
                  <w:tcW w:type="dxa" w:w="175"/>
                  <w:vMerge/>
                  <w:tcBorders>
                    <w:top w:val="none" w:color="000000" w:sz="4"/>
                    <w:left w:val="single" w:color="000000" w:sz="4"/>
                    <w:bottom w:val="single" w:color="000000" w:sz="4"/>
                    <w:right w:val="single" w:color="000000" w:sz="4"/>
                  </w:tcBorders>
                </w:tcPr>
                <w:p/>
              </w:tc>
              <w:tc>
                <w:tcPr>
                  <w:tcW w:type="dxa" w:w="469"/>
                  <w:vMerge/>
                  <w:tcBorders>
                    <w:top w:val="none" w:color="000000" w:sz="4"/>
                    <w:left w:val="single" w:color="000000" w:sz="4"/>
                    <w:bottom w:val="single" w:color="000000" w:sz="4"/>
                    <w:right w:val="single" w:color="000000" w:sz="4"/>
                  </w:tcBorders>
                </w:tcPr>
                <w:p/>
              </w:tc>
              <w:tc>
                <w:tcPr>
                  <w:tcW w:type="dxa" w:w="5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shd w:fill="FFFFFF" w:val="clear"/>
                    </w:rPr>
                    <w:t>信息核查</w:t>
                  </w:r>
                </w:p>
              </w:tc>
              <w:tc>
                <w:tcPr>
                  <w:tcW w:type="dxa" w:w="14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shd w:fill="FFFFFF" w:val="clear"/>
                    </w:rPr>
                    <w:t>支持根据手机号或邮箱号或用户名查询境外人员身份信息。</w:t>
                  </w:r>
                </w:p>
              </w:tc>
            </w:tr>
            <w:tr>
              <w:tc>
                <w:tcPr>
                  <w:tcW w:type="dxa" w:w="17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shd w:fill="FFFFFF" w:val="clear"/>
                    </w:rPr>
                    <w:t>4</w:t>
                  </w:r>
                </w:p>
              </w:tc>
              <w:tc>
                <w:tcPr>
                  <w:tcW w:type="dxa" w:w="46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shd w:fill="FFFFFF" w:val="clear"/>
                    </w:rPr>
                    <w:t>智能分析</w:t>
                  </w:r>
                </w:p>
              </w:tc>
              <w:tc>
                <w:tcPr>
                  <w:tcW w:type="dxa" w:w="5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shd w:fill="FFFFFF" w:val="clear"/>
                    </w:rPr>
                    <w:t>APP智能深度分析</w:t>
                  </w:r>
                </w:p>
              </w:tc>
              <w:tc>
                <w:tcPr>
                  <w:tcW w:type="dxa" w:w="14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shd w:fill="FFFFFF" w:val="clear"/>
                    </w:rPr>
                    <w:t>极致易用的涉案</w:t>
                  </w:r>
                  <w:r>
                    <w:rPr>
                      <w:rFonts w:ascii="仿宋_GB2312" w:hAnsi="仿宋_GB2312" w:cs="仿宋_GB2312" w:eastAsia="仿宋_GB2312"/>
                      <w:sz w:val="24"/>
                      <w:shd w:fill="FFFFFF" w:val="clear"/>
                    </w:rPr>
                    <w:t>app分析工具:一键直达涉案设备、一键直达同案设备、一键直达涉案窝点</w:t>
                  </w:r>
                </w:p>
              </w:tc>
            </w:tr>
            <w:tr>
              <w:tc>
                <w:tcPr>
                  <w:tcW w:type="dxa" w:w="175"/>
                  <w:vMerge/>
                  <w:tcBorders>
                    <w:top w:val="none" w:color="000000" w:sz="4"/>
                    <w:left w:val="single" w:color="000000" w:sz="4"/>
                    <w:bottom w:val="single" w:color="000000" w:sz="4"/>
                    <w:right w:val="single" w:color="000000" w:sz="4"/>
                  </w:tcBorders>
                </w:tcPr>
                <w:p/>
              </w:tc>
              <w:tc>
                <w:tcPr>
                  <w:tcW w:type="dxa" w:w="469"/>
                  <w:vMerge/>
                  <w:tcBorders>
                    <w:top w:val="none" w:color="000000" w:sz="4"/>
                    <w:left w:val="single" w:color="000000" w:sz="4"/>
                    <w:bottom w:val="single" w:color="000000" w:sz="4"/>
                    <w:right w:val="single" w:color="000000" w:sz="4"/>
                  </w:tcBorders>
                </w:tcPr>
                <w:p/>
              </w:tc>
              <w:tc>
                <w:tcPr>
                  <w:tcW w:type="dxa" w:w="5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shd w:fill="FFFFFF" w:val="clear"/>
                    </w:rPr>
                    <w:t>案件可视化智能研判</w:t>
                  </w:r>
                </w:p>
              </w:tc>
              <w:tc>
                <w:tcPr>
                  <w:tcW w:type="dxa" w:w="14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shd w:fill="FFFFFF" w:val="clear"/>
                    </w:rPr>
                    <w:t>简单易用的海量多维数据碰撞平台、案件线索整合可视化分析研判平台</w:t>
                  </w:r>
                </w:p>
              </w:tc>
            </w:tr>
            <w:tr>
              <w:tc>
                <w:tcPr>
                  <w:tcW w:type="dxa" w:w="175"/>
                  <w:vMerge/>
                  <w:tcBorders>
                    <w:top w:val="none" w:color="000000" w:sz="4"/>
                    <w:left w:val="single" w:color="000000" w:sz="4"/>
                    <w:bottom w:val="single" w:color="000000" w:sz="4"/>
                    <w:right w:val="single" w:color="000000" w:sz="4"/>
                  </w:tcBorders>
                </w:tcPr>
                <w:p/>
              </w:tc>
              <w:tc>
                <w:tcPr>
                  <w:tcW w:type="dxa" w:w="469"/>
                  <w:vMerge/>
                  <w:tcBorders>
                    <w:top w:val="none" w:color="000000" w:sz="4"/>
                    <w:left w:val="single" w:color="000000" w:sz="4"/>
                    <w:bottom w:val="single" w:color="000000" w:sz="4"/>
                    <w:right w:val="single" w:color="000000" w:sz="4"/>
                  </w:tcBorders>
                </w:tcPr>
                <w:p/>
              </w:tc>
              <w:tc>
                <w:tcPr>
                  <w:tcW w:type="dxa" w:w="5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shd w:fill="FFFFFF" w:val="clear"/>
                    </w:rPr>
                    <w:t>窝点智能分析</w:t>
                  </w:r>
                </w:p>
              </w:tc>
              <w:tc>
                <w:tcPr>
                  <w:tcW w:type="dxa" w:w="14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shd w:fill="FFFFFF" w:val="clear"/>
                    </w:rPr>
                    <w:t>一键上传设备，根据设备轨迹和连接</w:t>
                  </w:r>
                  <w:r>
                    <w:rPr>
                      <w:rFonts w:ascii="仿宋_GB2312" w:hAnsi="仿宋_GB2312" w:cs="仿宋_GB2312" w:eastAsia="仿宋_GB2312"/>
                      <w:sz w:val="24"/>
                      <w:shd w:fill="FFFFFF" w:val="clear"/>
                    </w:rPr>
                    <w:t>WiFi自动计算窝点和聚集WIiFi</w:t>
                  </w:r>
                </w:p>
              </w:tc>
            </w:tr>
            <w:tr>
              <w:tc>
                <w:tcPr>
                  <w:tcW w:type="dxa" w:w="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shd w:fill="FFFFFF" w:val="clear"/>
                    </w:rPr>
                    <w:t>5</w:t>
                  </w:r>
                </w:p>
              </w:tc>
              <w:tc>
                <w:tcPr>
                  <w:tcW w:type="dxa" w:w="4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shd w:fill="FFFFFF" w:val="clear"/>
                    </w:rPr>
                    <w:t>模型分析</w:t>
                  </w:r>
                </w:p>
              </w:tc>
              <w:tc>
                <w:tcPr>
                  <w:tcW w:type="dxa" w:w="5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shd w:fill="FFFFFF" w:val="clear"/>
                    </w:rPr>
                    <w:t>模型提数</w:t>
                  </w:r>
                  <w:r>
                    <w:rPr>
                      <w:rFonts w:ascii="仿宋_GB2312" w:hAnsi="仿宋_GB2312" w:cs="仿宋_GB2312" w:eastAsia="仿宋_GB2312"/>
                      <w:sz w:val="24"/>
                      <w:shd w:fill="FFFFFF" w:val="clear"/>
                    </w:rPr>
                    <w:t>-通用模型</w:t>
                  </w:r>
                </w:p>
              </w:tc>
              <w:tc>
                <w:tcPr>
                  <w:tcW w:type="dxa" w:w="14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shd w:fill="FFFFFF" w:val="clear"/>
                    </w:rPr>
                    <w:t>根据公安专家多种技战法，建立通用情报模型库，定期推送嫌疑设备</w:t>
                  </w:r>
                </w:p>
              </w:tc>
            </w:tr>
            <w:tr>
              <w:tc>
                <w:tcPr>
                  <w:tcW w:type="dxa" w:w="17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shd w:fill="FFFFFF" w:val="clear"/>
                    </w:rPr>
                    <w:t>6</w:t>
                  </w:r>
                </w:p>
              </w:tc>
              <w:tc>
                <w:tcPr>
                  <w:tcW w:type="dxa" w:w="46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shd w:fill="FFFFFF" w:val="clear"/>
                    </w:rPr>
                    <w:t>实人档案</w:t>
                  </w:r>
                  <w:r>
                    <w:rPr>
                      <w:rFonts w:ascii="仿宋_GB2312" w:hAnsi="仿宋_GB2312" w:cs="仿宋_GB2312" w:eastAsia="仿宋_GB2312"/>
                      <w:sz w:val="24"/>
                      <w:shd w:fill="FFFFFF" w:val="clear"/>
                    </w:rPr>
                    <w:t>&amp;支付洞察</w:t>
                  </w:r>
                </w:p>
              </w:tc>
              <w:tc>
                <w:tcPr>
                  <w:tcW w:type="dxa" w:w="5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shd w:fill="FFFFFF" w:val="clear"/>
                    </w:rPr>
                    <w:t>实人要素互详</w:t>
                  </w:r>
                </w:p>
              </w:tc>
              <w:tc>
                <w:tcPr>
                  <w:tcW w:type="dxa" w:w="14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shd w:fill="FFFFFF" w:val="clear"/>
                    </w:rPr>
                    <w:t>持根据手机号、身份证或银行卡号，查询涉案人相关实人信息。</w:t>
                  </w:r>
                </w:p>
              </w:tc>
            </w:tr>
            <w:tr>
              <w:tc>
                <w:tcPr>
                  <w:tcW w:type="dxa" w:w="175"/>
                  <w:vMerge/>
                  <w:tcBorders>
                    <w:top w:val="none" w:color="000000" w:sz="4"/>
                    <w:left w:val="single" w:color="000000" w:sz="4"/>
                    <w:bottom w:val="single" w:color="000000" w:sz="4"/>
                    <w:right w:val="single" w:color="000000" w:sz="4"/>
                  </w:tcBorders>
                </w:tcPr>
                <w:p/>
              </w:tc>
              <w:tc>
                <w:tcPr>
                  <w:tcW w:type="dxa" w:w="469"/>
                  <w:vMerge/>
                  <w:tcBorders>
                    <w:top w:val="none" w:color="000000" w:sz="4"/>
                    <w:left w:val="single" w:color="000000" w:sz="4"/>
                    <w:bottom w:val="single" w:color="000000" w:sz="4"/>
                    <w:right w:val="single" w:color="000000" w:sz="4"/>
                  </w:tcBorders>
                </w:tcPr>
                <w:p/>
              </w:tc>
              <w:tc>
                <w:tcPr>
                  <w:tcW w:type="dxa" w:w="5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shd w:fill="FFFFFF" w:val="clear"/>
                    </w:rPr>
                    <w:t>银行卡属性分析</w:t>
                  </w:r>
                </w:p>
              </w:tc>
              <w:tc>
                <w:tcPr>
                  <w:tcW w:type="dxa" w:w="14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shd w:fill="FFFFFF" w:val="clear"/>
                    </w:rPr>
                    <w:t>持查询涉案人相关银行卡信息查询分析。</w:t>
                  </w:r>
                </w:p>
              </w:tc>
            </w:tr>
            <w:tr>
              <w:tc>
                <w:tcPr>
                  <w:tcW w:type="dxa" w:w="175"/>
                  <w:vMerge/>
                  <w:tcBorders>
                    <w:top w:val="none" w:color="000000" w:sz="4"/>
                    <w:left w:val="single" w:color="000000" w:sz="4"/>
                    <w:bottom w:val="single" w:color="000000" w:sz="4"/>
                    <w:right w:val="single" w:color="000000" w:sz="4"/>
                  </w:tcBorders>
                </w:tcPr>
                <w:p/>
              </w:tc>
              <w:tc>
                <w:tcPr>
                  <w:tcW w:type="dxa" w:w="469"/>
                  <w:vMerge/>
                  <w:tcBorders>
                    <w:top w:val="none" w:color="000000" w:sz="4"/>
                    <w:left w:val="single" w:color="000000" w:sz="4"/>
                    <w:bottom w:val="single" w:color="000000" w:sz="4"/>
                    <w:right w:val="single" w:color="000000" w:sz="4"/>
                  </w:tcBorders>
                </w:tcPr>
                <w:p/>
              </w:tc>
              <w:tc>
                <w:tcPr>
                  <w:tcW w:type="dxa" w:w="5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shd w:fill="FFFFFF" w:val="clear"/>
                    </w:rPr>
                    <w:t>线下交易洞察</w:t>
                  </w:r>
                </w:p>
              </w:tc>
              <w:tc>
                <w:tcPr>
                  <w:tcW w:type="dxa" w:w="14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shd w:fill="FFFFFF" w:val="clear"/>
                    </w:rPr>
                    <w:t>持查询涉案人近半年内线下交易信息。</w:t>
                  </w:r>
                </w:p>
              </w:tc>
            </w:tr>
            <w:tr>
              <w:tc>
                <w:tcPr>
                  <w:tcW w:type="dxa" w:w="175"/>
                  <w:vMerge/>
                  <w:tcBorders>
                    <w:top w:val="none" w:color="000000" w:sz="4"/>
                    <w:left w:val="single" w:color="000000" w:sz="4"/>
                    <w:bottom w:val="single" w:color="000000" w:sz="4"/>
                    <w:right w:val="single" w:color="000000" w:sz="4"/>
                  </w:tcBorders>
                </w:tcPr>
                <w:p/>
              </w:tc>
              <w:tc>
                <w:tcPr>
                  <w:tcW w:type="dxa" w:w="469"/>
                  <w:vMerge/>
                  <w:tcBorders>
                    <w:top w:val="none" w:color="000000" w:sz="4"/>
                    <w:left w:val="single" w:color="000000" w:sz="4"/>
                    <w:bottom w:val="single" w:color="000000" w:sz="4"/>
                    <w:right w:val="single" w:color="000000" w:sz="4"/>
                  </w:tcBorders>
                </w:tcPr>
                <w:p/>
              </w:tc>
              <w:tc>
                <w:tcPr>
                  <w:tcW w:type="dxa" w:w="5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shd w:fill="FFFFFF" w:val="clear"/>
                    </w:rPr>
                    <w:t>转账洞察</w:t>
                  </w:r>
                </w:p>
              </w:tc>
              <w:tc>
                <w:tcPr>
                  <w:tcW w:type="dxa" w:w="14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shd w:fill="FFFFFF" w:val="clear"/>
                    </w:rPr>
                    <w:t>支持查询涉案人近半年内</w:t>
                  </w:r>
                  <w:r>
                    <w:rPr>
                      <w:rFonts w:ascii="仿宋_GB2312" w:hAnsi="仿宋_GB2312" w:cs="仿宋_GB2312" w:eastAsia="仿宋_GB2312"/>
                      <w:sz w:val="24"/>
                      <w:shd w:fill="FFFFFF" w:val="clear"/>
                    </w:rPr>
                    <w:t>YSF转账交易信息。</w:t>
                  </w:r>
                </w:p>
              </w:tc>
            </w:tr>
            <w:tr>
              <w:tc>
                <w:tcPr>
                  <w:tcW w:type="dxa" w:w="175"/>
                  <w:vMerge/>
                  <w:tcBorders>
                    <w:top w:val="none" w:color="000000" w:sz="4"/>
                    <w:left w:val="single" w:color="000000" w:sz="4"/>
                    <w:bottom w:val="single" w:color="000000" w:sz="4"/>
                    <w:right w:val="single" w:color="000000" w:sz="4"/>
                  </w:tcBorders>
                </w:tcPr>
                <w:p/>
              </w:tc>
              <w:tc>
                <w:tcPr>
                  <w:tcW w:type="dxa" w:w="469"/>
                  <w:vMerge/>
                  <w:tcBorders>
                    <w:top w:val="none" w:color="000000" w:sz="4"/>
                    <w:left w:val="single" w:color="000000" w:sz="4"/>
                    <w:bottom w:val="single" w:color="000000" w:sz="4"/>
                    <w:right w:val="single" w:color="000000" w:sz="4"/>
                  </w:tcBorders>
                </w:tcPr>
                <w:p/>
              </w:tc>
              <w:tc>
                <w:tcPr>
                  <w:tcW w:type="dxa" w:w="5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shd w:fill="FFFFFF" w:val="clear"/>
                    </w:rPr>
                    <w:t>全网交易洞察</w:t>
                  </w:r>
                </w:p>
              </w:tc>
              <w:tc>
                <w:tcPr>
                  <w:tcW w:type="dxa" w:w="14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shd w:fill="FFFFFF" w:val="clear"/>
                    </w:rPr>
                    <w:t>支持查询涉案人近两年内银联体系内全网交易信息</w:t>
                  </w:r>
                  <w:r>
                    <w:rPr>
                      <w:rFonts w:ascii="仿宋_GB2312" w:hAnsi="仿宋_GB2312" w:cs="仿宋_GB2312" w:eastAsia="仿宋_GB2312"/>
                      <w:sz w:val="24"/>
                      <w:shd w:fill="FFFFFF" w:val="clear"/>
                    </w:rPr>
                    <w:t>(含各机构WX/ZFB交易信息、消费、代付、ATM转账和取现等)。</w:t>
                  </w:r>
                </w:p>
              </w:tc>
            </w:tr>
            <w:tr>
              <w:tc>
                <w:tcPr>
                  <w:tcW w:type="dxa" w:w="17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shd w:fill="FFFFFF" w:val="clear"/>
                    </w:rPr>
                    <w:t>7</w:t>
                  </w:r>
                </w:p>
              </w:tc>
              <w:tc>
                <w:tcPr>
                  <w:tcW w:type="dxa" w:w="46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shd w:fill="FFFFFF" w:val="clear"/>
                    </w:rPr>
                    <w:t>支付智能分析</w:t>
                  </w:r>
                </w:p>
              </w:tc>
              <w:tc>
                <w:tcPr>
                  <w:tcW w:type="dxa" w:w="5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shd w:fill="FFFFFF" w:val="clear"/>
                    </w:rPr>
                    <w:t>步诈卡分析</w:t>
                  </w:r>
                </w:p>
              </w:tc>
              <w:tc>
                <w:tcPr>
                  <w:tcW w:type="dxa" w:w="14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shd w:fill="FFFFFF" w:val="clear"/>
                    </w:rPr>
                    <w:t>支持批量导入涉诈卡信息，自动对不同类型场景的涉诈卡资金流向进行分析，为研判和打击提供方向。</w:t>
                  </w:r>
                </w:p>
              </w:tc>
            </w:tr>
            <w:tr>
              <w:tc>
                <w:tcPr>
                  <w:tcW w:type="dxa" w:w="175"/>
                  <w:vMerge/>
                  <w:tcBorders>
                    <w:top w:val="none" w:color="000000" w:sz="4"/>
                    <w:left w:val="single" w:color="000000" w:sz="4"/>
                    <w:bottom w:val="single" w:color="000000" w:sz="4"/>
                    <w:right w:val="single" w:color="000000" w:sz="4"/>
                  </w:tcBorders>
                </w:tcPr>
                <w:p/>
              </w:tc>
              <w:tc>
                <w:tcPr>
                  <w:tcW w:type="dxa" w:w="469"/>
                  <w:vMerge/>
                  <w:tcBorders>
                    <w:top w:val="none" w:color="000000" w:sz="4"/>
                    <w:left w:val="single" w:color="000000" w:sz="4"/>
                    <w:bottom w:val="single" w:color="000000" w:sz="4"/>
                    <w:right w:val="single" w:color="000000" w:sz="4"/>
                  </w:tcBorders>
                </w:tcPr>
                <w:p/>
              </w:tc>
              <w:tc>
                <w:tcPr>
                  <w:tcW w:type="dxa" w:w="5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shd w:fill="FFFFFF" w:val="clear"/>
                    </w:rPr>
                    <w:t>涉案人员资金研判分析</w:t>
                  </w:r>
                </w:p>
              </w:tc>
              <w:tc>
                <w:tcPr>
                  <w:tcW w:type="dxa" w:w="14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shd w:fill="FFFFFF" w:val="clear"/>
                    </w:rPr>
                    <w:t>支持批量导入涉案人信息，自动实现对涉案人员高消费情况研判分析。</w:t>
                  </w:r>
                </w:p>
              </w:tc>
            </w:tr>
            <w:tr>
              <w:tc>
                <w:tcPr>
                  <w:tcW w:type="dxa" w:w="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shd w:fill="FFFFFF" w:val="clear"/>
                    </w:rPr>
                    <w:t>8</w:t>
                  </w:r>
                </w:p>
              </w:tc>
              <w:tc>
                <w:tcPr>
                  <w:tcW w:type="dxa" w:w="4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shd w:fill="FFFFFF" w:val="clear"/>
                    </w:rPr>
                    <w:t>核验精灵</w:t>
                  </w:r>
                </w:p>
              </w:tc>
              <w:tc>
                <w:tcPr>
                  <w:tcW w:type="dxa" w:w="5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shd w:fill="FFFFFF" w:val="clear"/>
                    </w:rPr>
                    <w:t>核验精灵</w:t>
                  </w:r>
                </w:p>
              </w:tc>
              <w:tc>
                <w:tcPr>
                  <w:tcW w:type="dxa" w:w="14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shd w:fill="FFFFFF" w:val="clear"/>
                    </w:rPr>
                    <w:t>支持</w:t>
                  </w:r>
                  <w:r>
                    <w:rPr>
                      <w:rFonts w:ascii="仿宋_GB2312" w:hAnsi="仿宋_GB2312" w:cs="仿宋_GB2312" w:eastAsia="仿宋_GB2312"/>
                      <w:sz w:val="24"/>
                      <w:shd w:fill="FFFFFF" w:val="clear"/>
                    </w:rPr>
                    <w:t>1、商户收单机构查询</w:t>
                  </w:r>
                </w:p>
                <w:p>
                  <w:pPr>
                    <w:pStyle w:val="null3"/>
                    <w:jc w:val="left"/>
                  </w:pPr>
                  <w:r>
                    <w:rPr>
                      <w:rFonts w:ascii="仿宋_GB2312" w:hAnsi="仿宋_GB2312" w:cs="仿宋_GB2312" w:eastAsia="仿宋_GB2312"/>
                      <w:sz w:val="24"/>
                      <w:shd w:fill="FFFFFF" w:val="clear"/>
                    </w:rPr>
                    <w:t>2、银行卡信息查询(发卡行、卡种类)</w:t>
                  </w:r>
                </w:p>
                <w:p>
                  <w:pPr>
                    <w:pStyle w:val="null3"/>
                    <w:jc w:val="left"/>
                  </w:pPr>
                  <w:r>
                    <w:rPr>
                      <w:rFonts w:ascii="仿宋_GB2312" w:hAnsi="仿宋_GB2312" w:cs="仿宋_GB2312" w:eastAsia="仿宋_GB2312"/>
                      <w:sz w:val="24"/>
                      <w:shd w:fill="FFFFFF" w:val="clear"/>
                    </w:rPr>
                    <w:t>3、银行卡验证(二、三、四要素)</w:t>
                  </w:r>
                </w:p>
                <w:p>
                  <w:pPr>
                    <w:pStyle w:val="null3"/>
                    <w:jc w:val="left"/>
                  </w:pPr>
                  <w:r>
                    <w:rPr>
                      <w:rFonts w:ascii="仿宋_GB2312" w:hAnsi="仿宋_GB2312" w:cs="仿宋_GB2312" w:eastAsia="仿宋_GB2312"/>
                      <w:sz w:val="24"/>
                      <w:shd w:fill="FFFFFF" w:val="clear"/>
                    </w:rPr>
                    <w:t>4、运营商验证(三要素)</w:t>
                  </w:r>
                </w:p>
                <w:p>
                  <w:pPr>
                    <w:pStyle w:val="null3"/>
                    <w:jc w:val="left"/>
                  </w:pPr>
                  <w:r>
                    <w:rPr>
                      <w:rFonts w:ascii="仿宋_GB2312" w:hAnsi="仿宋_GB2312" w:cs="仿宋_GB2312" w:eastAsia="仿宋_GB2312"/>
                      <w:sz w:val="24"/>
                      <w:shd w:fill="FFFFFF" w:val="clear"/>
                    </w:rPr>
                    <w:t>5、手机在网时长查询</w:t>
                  </w:r>
                </w:p>
                <w:p>
                  <w:pPr>
                    <w:pStyle w:val="null3"/>
                    <w:jc w:val="left"/>
                  </w:pPr>
                  <w:r>
                    <w:rPr>
                      <w:rFonts w:ascii="仿宋_GB2312" w:hAnsi="仿宋_GB2312" w:cs="仿宋_GB2312" w:eastAsia="仿宋_GB2312"/>
                      <w:sz w:val="24"/>
                      <w:shd w:fill="FFFFFF" w:val="clear"/>
                    </w:rPr>
                    <w:t>6、董监高查询</w:t>
                  </w:r>
                </w:p>
              </w:tc>
            </w:tr>
            <w:tr>
              <w:tc>
                <w:tcPr>
                  <w:tcW w:type="dxa" w:w="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shd w:fill="FFFFFF" w:val="clear"/>
                    </w:rPr>
                    <w:t>9</w:t>
                  </w:r>
                </w:p>
              </w:tc>
              <w:tc>
                <w:tcPr>
                  <w:tcW w:type="dxa" w:w="4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shd w:fill="FFFFFF" w:val="clear"/>
                    </w:rPr>
                    <w:t>备案中心</w:t>
                  </w:r>
                </w:p>
              </w:tc>
              <w:tc>
                <w:tcPr>
                  <w:tcW w:type="dxa" w:w="5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shd w:fill="FFFFFF" w:val="clear"/>
                    </w:rPr>
                    <w:t>我的案件</w:t>
                  </w:r>
                </w:p>
              </w:tc>
              <w:tc>
                <w:tcPr>
                  <w:tcW w:type="dxa" w:w="14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shd w:fill="FFFFFF" w:val="clear"/>
                    </w:rPr>
                    <w:t>立案案件查询管理，查询账号在系统内备案，审批账号审批后才有查询权限。</w:t>
                  </w:r>
                </w:p>
              </w:tc>
            </w:tr>
            <w:tr>
              <w:tc>
                <w:tcPr>
                  <w:tcW w:type="dxa" w:w="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shd w:fill="FFFFFF" w:val="clear"/>
                    </w:rPr>
                    <w:t>10</w:t>
                  </w:r>
                </w:p>
              </w:tc>
              <w:tc>
                <w:tcPr>
                  <w:tcW w:type="dxa" w:w="4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shd w:fill="FFFFFF" w:val="clear"/>
                    </w:rPr>
                    <w:t>日志中心</w:t>
                  </w:r>
                </w:p>
              </w:tc>
              <w:tc>
                <w:tcPr>
                  <w:tcW w:type="dxa" w:w="5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shd w:fill="FFFFFF" w:val="clear"/>
                    </w:rPr>
                    <w:t>我的日志</w:t>
                  </w:r>
                </w:p>
              </w:tc>
              <w:tc>
                <w:tcPr>
                  <w:tcW w:type="dxa" w:w="14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shd w:fill="FFFFFF" w:val="clear"/>
                    </w:rPr>
                    <w:t>查询日志：查询明细。</w:t>
                  </w:r>
                </w:p>
              </w:tc>
            </w:tr>
            <w:tr>
              <w:tc>
                <w:tcPr>
                  <w:tcW w:type="dxa" w:w="17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shd w:fill="FFFFFF" w:val="clear"/>
                    </w:rPr>
                    <w:t>11</w:t>
                  </w:r>
                </w:p>
              </w:tc>
              <w:tc>
                <w:tcPr>
                  <w:tcW w:type="dxa" w:w="46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shd w:fill="FFFFFF" w:val="clear"/>
                    </w:rPr>
                    <w:t>其他要求</w:t>
                  </w:r>
                </w:p>
              </w:tc>
              <w:tc>
                <w:tcPr>
                  <w:tcW w:type="dxa" w:w="5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shd w:fill="FFFFFF" w:val="clear"/>
                    </w:rPr>
                    <w:t>账号</w:t>
                  </w:r>
                </w:p>
              </w:tc>
              <w:tc>
                <w:tcPr>
                  <w:tcW w:type="dxa" w:w="14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shd w:fill="FFFFFF" w:val="clear"/>
                    </w:rPr>
                    <w:t>账号分级管理，系统设置审批账号和查询账号。</w:t>
                  </w:r>
                </w:p>
                <w:p>
                  <w:pPr>
                    <w:pStyle w:val="null3"/>
                    <w:jc w:val="left"/>
                  </w:pPr>
                  <w:r>
                    <w:rPr>
                      <w:rFonts w:ascii="仿宋_GB2312" w:hAnsi="仿宋_GB2312" w:cs="仿宋_GB2312" w:eastAsia="仿宋_GB2312"/>
                      <w:sz w:val="24"/>
                      <w:shd w:fill="FFFFFF" w:val="clear"/>
                    </w:rPr>
                    <w:t>账号个数：可同时在线登陆账号许可数量</w:t>
                  </w:r>
                  <w:r>
                    <w:rPr>
                      <w:rFonts w:ascii="仿宋_GB2312" w:hAnsi="仿宋_GB2312" w:cs="仿宋_GB2312" w:eastAsia="仿宋_GB2312"/>
                      <w:sz w:val="24"/>
                      <w:shd w:fill="FFFFFF" w:val="clear"/>
                    </w:rPr>
                    <w:t>2个</w:t>
                  </w:r>
                </w:p>
              </w:tc>
            </w:tr>
            <w:tr>
              <w:tc>
                <w:tcPr>
                  <w:tcW w:type="dxa" w:w="175"/>
                  <w:vMerge/>
                  <w:tcBorders>
                    <w:top w:val="none" w:color="000000" w:sz="4"/>
                    <w:left w:val="single" w:color="000000" w:sz="4"/>
                    <w:bottom w:val="single" w:color="000000" w:sz="4"/>
                    <w:right w:val="single" w:color="000000" w:sz="4"/>
                  </w:tcBorders>
                </w:tcPr>
                <w:p/>
              </w:tc>
              <w:tc>
                <w:tcPr>
                  <w:tcW w:type="dxa" w:w="469"/>
                  <w:vMerge/>
                  <w:tcBorders>
                    <w:top w:val="none" w:color="000000" w:sz="4"/>
                    <w:left w:val="single" w:color="000000" w:sz="4"/>
                    <w:bottom w:val="single" w:color="000000" w:sz="4"/>
                    <w:right w:val="single" w:color="000000" w:sz="4"/>
                  </w:tcBorders>
                </w:tcPr>
                <w:p/>
              </w:tc>
              <w:tc>
                <w:tcPr>
                  <w:tcW w:type="dxa" w:w="50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shd w:fill="FFFFFF" w:val="clear"/>
                    </w:rPr>
                    <w:t>售后服务</w:t>
                  </w:r>
                </w:p>
              </w:tc>
              <w:tc>
                <w:tcPr>
                  <w:tcW w:type="dxa" w:w="14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shd w:fill="FFFFFF" w:val="clear"/>
                    </w:rPr>
                    <w:t>1、提供7*24小时线上售后服务，根据要求提供售后服务支持。</w:t>
                  </w:r>
                </w:p>
              </w:tc>
            </w:tr>
            <w:tr>
              <w:tc>
                <w:tcPr>
                  <w:tcW w:type="dxa" w:w="175"/>
                  <w:vMerge/>
                  <w:tcBorders>
                    <w:top w:val="none" w:color="000000" w:sz="4"/>
                    <w:left w:val="single" w:color="000000" w:sz="4"/>
                    <w:bottom w:val="single" w:color="000000" w:sz="4"/>
                    <w:right w:val="single" w:color="000000" w:sz="4"/>
                  </w:tcBorders>
                </w:tcPr>
                <w:p/>
              </w:tc>
              <w:tc>
                <w:tcPr>
                  <w:tcW w:type="dxa" w:w="469"/>
                  <w:vMerge/>
                  <w:tcBorders>
                    <w:top w:val="none" w:color="000000" w:sz="4"/>
                    <w:left w:val="single" w:color="000000" w:sz="4"/>
                    <w:bottom w:val="single" w:color="000000" w:sz="4"/>
                    <w:right w:val="single" w:color="000000" w:sz="4"/>
                  </w:tcBorders>
                </w:tcPr>
                <w:p/>
              </w:tc>
              <w:tc>
                <w:tcPr>
                  <w:tcW w:type="dxa" w:w="501"/>
                  <w:vMerge/>
                  <w:tcBorders>
                    <w:top w:val="none" w:color="000000" w:sz="4"/>
                    <w:left w:val="single" w:color="000000" w:sz="4"/>
                    <w:bottom w:val="single" w:color="000000" w:sz="4"/>
                    <w:right w:val="single" w:color="000000" w:sz="4"/>
                  </w:tcBorders>
                </w:tcPr>
                <w:p/>
              </w:tc>
              <w:tc>
                <w:tcPr>
                  <w:tcW w:type="dxa" w:w="14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shd w:fill="FFFFFF" w:val="clear"/>
                    </w:rPr>
                    <w:t>2、更新升级 ：支持在线升级 ，免费提供数据服务更新升级 ，保证所提供系统数据服务为最新版本 。</w:t>
                  </w:r>
                </w:p>
              </w:tc>
            </w:tr>
            <w:tr>
              <w:tc>
                <w:tcPr>
                  <w:tcW w:type="dxa" w:w="175"/>
                  <w:vMerge/>
                  <w:tcBorders>
                    <w:top w:val="none" w:color="000000" w:sz="4"/>
                    <w:left w:val="single" w:color="000000" w:sz="4"/>
                    <w:bottom w:val="single" w:color="000000" w:sz="4"/>
                    <w:right w:val="single" w:color="000000" w:sz="4"/>
                  </w:tcBorders>
                </w:tcPr>
                <w:p/>
              </w:tc>
              <w:tc>
                <w:tcPr>
                  <w:tcW w:type="dxa" w:w="469"/>
                  <w:vMerge/>
                  <w:tcBorders>
                    <w:top w:val="none" w:color="000000" w:sz="4"/>
                    <w:left w:val="single" w:color="000000" w:sz="4"/>
                    <w:bottom w:val="single" w:color="000000" w:sz="4"/>
                    <w:right w:val="single" w:color="000000" w:sz="4"/>
                  </w:tcBorders>
                </w:tcPr>
                <w:p/>
              </w:tc>
              <w:tc>
                <w:tcPr>
                  <w:tcW w:type="dxa" w:w="5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shd w:fill="FFFFFF" w:val="clear"/>
                    </w:rPr>
                    <w:t>部署方式</w:t>
                  </w:r>
                </w:p>
              </w:tc>
              <w:tc>
                <w:tcPr>
                  <w:tcW w:type="dxa" w:w="14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shd w:fill="FFFFFF" w:val="clear"/>
                    </w:rPr>
                    <w:t>使用</w:t>
                  </w:r>
                  <w:r>
                    <w:rPr>
                      <w:rFonts w:ascii="仿宋_GB2312" w:hAnsi="仿宋_GB2312" w:cs="仿宋_GB2312" w:eastAsia="仿宋_GB2312"/>
                      <w:sz w:val="24"/>
                      <w:shd w:fill="FFFFFF" w:val="clear"/>
                    </w:rPr>
                    <w:t>VPN加密方式在互联网侧进行部署</w:t>
                  </w:r>
                </w:p>
              </w:tc>
            </w:tr>
          </w:tbl>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提供相关服务人员针对系统使用过程中遇到的问题，进行问题解答及远程支撑工作。</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满足磋商文件及采购人要求。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项目交付后，服务提供单位需要派技术人员到现场提供系统培训。</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自合同签订之日起7日内交付产品，服务期限一年。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详见合同条款</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合同签订之日起7日内交付产品</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按照合同约定执行，详见合同附件</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3.4.1关于弃标的说明：按照《西安市财政局关于促进政府采购公平竞争优化营商环境的通知》（市财函〔2021〕431号）规定：供应商登记免费领取磋商文件的，如不参与项目磋商，应在提交磋商响应文件截止时间前一日以书面形式告知采购代理机构（出具弃标函发送至代理机构邮箱：sxzhxmgl001@163.com）。否则，采购代理机构可以向财政部门反映情况并提供相应的佐证。供应商一年内累计出现三次该情形，将被监管部门记录为失信行为。 3.4.2关于异常低价的处理：根据《关于推动解决政府采购异常低价问题的通知》（财库〔2026〕2号）规定，政府采购评审中出现下列情形之一的，磋商小组应当启动异常低价投标（响应）审查程序：1.最终报价低于全部通过符合性审查供应商最终报价平均值50%的，即最终报价&lt;全部通过符合性审查供应商最终报价平均值×50%；2.最终报价低于通过符合性审查的次低报价供应商最终报价50%的，即最终报价&lt;通过符合性审查的次低报价供应商最终报价×50%；3.最终报价低于采购项目最高限价45%的，即最终报价&lt;采购项目最高限价×45%；4.磋商小组基于专业判断，认为供应商报价过低，有可能影响产品质量或者不能诚信履约的其他情形。磋商小组启动异常低价投标（响应）审查后，属于前述第1项至第4项情形的，应当要求相关供应商在评审现场合理的时间（30分钟）内对投标（响应）价格作出解释，提供项目具体成本测算等与报价合理性相关的书面说明及必要的证明材料，包括但不限于原材料成本、人工成本、制造费用等。其中，属于第3项情形，供应商已随投标（响应）文件一并提交相关书面说明及必要的证明材料的，在评审现场可不再重复提交。磋商小组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磋商小组应当将其作为无效投标（响应）处理。 3.4.3纸质版响应文件要求：成交供应商在领取成交通知书前，须向采购代理机构提供纸质版响应文件3套（1正2副），U盘2份（包括响应文件的全部内容）且提供的响应文件必须与在陕西省政府采购综合管理平台的项目电子化交易系统中提交的电子响应文件内容一致，纸质版响应文件必须装订成册签字盖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供应商需在项目电子化交易系统中按要求填写《响应函》完成承诺并进行电子签章，并提供以下资料： 1.提供合格有效的法人或者其他组织的营业执照等证明文件，自然人的身份证明（供应商是法人或其他组织的应提供营业执照等证明文件，供应商是自然人的应提供有效的自然人身份证明）； 2.财务状况报告：（1）提供2024或2025年度的财务报告，应满足以下要求：①供应商是企业的，财务报告是指经会计师事务所审计的上述指定年度整个会计年度财务报表（须提供会计师事务所出具的审计报告复印件）,复印件至少须包括报告正文、资产负债表、现金流量表、利润表、附注和会计师事务所营业执照，报告正文应当有会计师事务所公章和2名注册会计师的签字及盖章。且审计报告应当经过注册会计师行业统一监管平台备案赋码。②供应商适用《事业单位会计准则》的，财务报告是指上述指定年度整个会计年度财务报表（不要求必须是经审计的），复印件至少须包括资产负债表、收入支出表（或收入费用表）、财政补助收入支出表。③供应商适用《政府会计准则》的，财务报告是指上述指定年度整个会计年度财务报表（不要求必须是经审计的），复印件至少须包括资产负债表、收入费用表。④供应商适用《民间非营利组织会计制度》的，财务报告是指上述指定年度整个会计年度财务报表（不要求必须是经审计的），复印件至少须包括资产负债表、业务活动表、现金流量表。⑤供应商是上述四种情况以外情况的，按照其依法适用的会计制度、财务规则或会计准则提供财务报表复印件（不要求必须是经审计的）。（2）提供资信证明及基本账户开户银行开户许可证复印件或基本存款账户信息，应满足以下要求:①资信证明须为响应文件提交截止时间前三个月内由供应商基本账户开户银行出具；②银行出具的存款证明不能替代银行资信证明〔注：（1）或（2）提供任意一种即可〕; 3.提供具有履行合同所必需的设备和专业技术能力的承诺； 4.提供响应文件提交截止时间前一年内已缴纳的至少一个月的纳税证明或完税证明（印花税、个人所得税除外至少提供一种，时间以税款所属时期为准），纳税证明或完税证明上应有代收机构或税务机关的公章或业务专用章，依法免税或无须缴纳税收的供应商应提供相应证明文件； 5.提供响应文件提交截止时间前一年内已缴存的至少一个月的社会保障资金缴存单据或社保机构开具的社会保险参保缴费情况证明，依法不需要缴纳社会保障资金的供应商应提供相应证明文件； 6.参加政府采购活动前三年内，在经营活动中没有重大违法记录的书面声明。</w:t>
            </w:r>
          </w:p>
        </w:tc>
        <w:tc>
          <w:tcPr>
            <w:tcW w:type="dxa" w:w="1661"/>
          </w:tcPr>
          <w:p>
            <w:pPr>
              <w:pStyle w:val="null3"/>
            </w:pPr>
            <w:r>
              <w:rPr>
                <w:rFonts w:ascii="仿宋_GB2312" w:hAnsi="仿宋_GB2312" w:cs="仿宋_GB2312" w:eastAsia="仿宋_GB2312"/>
              </w:rPr>
              <w:t>资格证明文件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要求同供应商应具备《中华人民共和国政府采购法》第二十二条规定的条件第2条。</w:t>
            </w:r>
          </w:p>
        </w:tc>
        <w:tc>
          <w:tcPr>
            <w:tcW w:type="dxa" w:w="1661"/>
          </w:tcPr>
          <w:p>
            <w:pPr>
              <w:pStyle w:val="null3"/>
            </w:pPr>
            <w:r>
              <w:rPr>
                <w:rFonts w:ascii="仿宋_GB2312" w:hAnsi="仿宋_GB2312" w:cs="仿宋_GB2312" w:eastAsia="仿宋_GB2312"/>
              </w:rPr>
              <w:t>资格证明文件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法定代表人身份证明或法定代表人授权书</w:t>
            </w:r>
          </w:p>
        </w:tc>
        <w:tc>
          <w:tcPr>
            <w:tcW w:type="dxa" w:w="3322"/>
          </w:tcPr>
          <w:p>
            <w:pPr>
              <w:pStyle w:val="null3"/>
            </w:pPr>
            <w:r>
              <w:rPr>
                <w:rFonts w:ascii="仿宋_GB2312" w:hAnsi="仿宋_GB2312" w:cs="仿宋_GB2312" w:eastAsia="仿宋_GB2312"/>
              </w:rPr>
              <w:t>法定代表人直接参加磋商的，须出具法定代表人身份证明。法定代表人委托代理人参加磋商的，须出具法定代表人授权书（附法定代表人、代理人身份证复印件）及代理人本单位证明（响应文件提交截止日前六个月内任意一个月养老保险缴纳证明）。</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未被“信用中国”网站（www.creditchina.gov.cn）列入失信被执行人（页面跳转至“中国执行信息公开网”http://zxgk.court.gov.cn/shixin/）和重大税收违法失信主体，未被“中国政府采购网”（www.ccgp.gov.cn）列入政府采购严重违法失信行为记录名单。</w:t>
            </w:r>
          </w:p>
        </w:tc>
        <w:tc>
          <w:tcPr>
            <w:tcW w:type="dxa" w:w="1661"/>
          </w:tcPr>
          <w:p>
            <w:pPr>
              <w:pStyle w:val="null3"/>
            </w:pPr>
            <w:r>
              <w:rPr>
                <w:rFonts w:ascii="仿宋_GB2312" w:hAnsi="仿宋_GB2312" w:cs="仿宋_GB2312" w:eastAsia="仿宋_GB2312"/>
              </w:rPr>
              <w:t>资格证明文件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报价明显低于其他有效供应商的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响应文件中项目名称、项目编号</w:t>
            </w:r>
          </w:p>
        </w:tc>
        <w:tc>
          <w:tcPr>
            <w:tcW w:type="dxa" w:w="3322"/>
          </w:tcPr>
          <w:p>
            <w:pPr>
              <w:pStyle w:val="null3"/>
            </w:pPr>
            <w:r>
              <w:rPr>
                <w:rFonts w:ascii="仿宋_GB2312" w:hAnsi="仿宋_GB2312" w:cs="仿宋_GB2312" w:eastAsia="仿宋_GB2312"/>
              </w:rPr>
              <w:t>与所投项目名称、项目编号完全一致</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响应文件的签署盖章</w:t>
            </w:r>
          </w:p>
        </w:tc>
        <w:tc>
          <w:tcPr>
            <w:tcW w:type="dxa" w:w="3322"/>
          </w:tcPr>
          <w:p>
            <w:pPr>
              <w:pStyle w:val="null3"/>
            </w:pPr>
            <w:r>
              <w:rPr>
                <w:rFonts w:ascii="仿宋_GB2312" w:hAnsi="仿宋_GB2312" w:cs="仿宋_GB2312" w:eastAsia="仿宋_GB2312"/>
              </w:rPr>
              <w:t>符合磋商文件签署盖章要求</w:t>
            </w:r>
          </w:p>
        </w:tc>
        <w:tc>
          <w:tcPr>
            <w:tcW w:type="dxa" w:w="1661"/>
          </w:tcPr>
          <w:p>
            <w:pPr>
              <w:pStyle w:val="null3"/>
            </w:pPr>
            <w:r>
              <w:rPr>
                <w:rFonts w:ascii="仿宋_GB2312" w:hAnsi="仿宋_GB2312" w:cs="仿宋_GB2312" w:eastAsia="仿宋_GB2312"/>
              </w:rPr>
              <w:t>分项报价表 中小企业声明函 保密承诺书 技术和商务偏离表 响应文件封面 资格证明文件 业绩证明材料 残疾人福利性单位声明函 服务方案 标的清单 陕西省政府采购供应商拒绝政府采购领域商业贿赂承诺书 响应函 合同条款响应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服务期</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技术和商务偏离表 合同条款响应</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1.磋商报价唯一； 2.报价货币符合磋商文件要求； 3.未超出采购预算或磋商文件规定的最高限价</w:t>
            </w:r>
          </w:p>
        </w:tc>
        <w:tc>
          <w:tcPr>
            <w:tcW w:type="dxa" w:w="1661"/>
          </w:tcPr>
          <w:p>
            <w:pPr>
              <w:pStyle w:val="null3"/>
            </w:pPr>
            <w:r>
              <w:rPr>
                <w:rFonts w:ascii="仿宋_GB2312" w:hAnsi="仿宋_GB2312" w:cs="仿宋_GB2312" w:eastAsia="仿宋_GB2312"/>
              </w:rPr>
              <w:t>分项报价表 标的清单</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合同条款</w:t>
            </w:r>
          </w:p>
        </w:tc>
        <w:tc>
          <w:tcPr>
            <w:tcW w:type="dxa" w:w="3322"/>
          </w:tcPr>
          <w:p>
            <w:pPr>
              <w:pStyle w:val="null3"/>
            </w:pPr>
            <w:r>
              <w:rPr>
                <w:rFonts w:ascii="仿宋_GB2312" w:hAnsi="仿宋_GB2312" w:cs="仿宋_GB2312" w:eastAsia="仿宋_GB2312"/>
              </w:rPr>
              <w:t>响应磋商文件合同条款未出现负偏离且响应的内容中未附有采购人不能接受的附加条件</w:t>
            </w:r>
          </w:p>
        </w:tc>
        <w:tc>
          <w:tcPr>
            <w:tcW w:type="dxa" w:w="1661"/>
          </w:tcPr>
          <w:p>
            <w:pPr>
              <w:pStyle w:val="null3"/>
            </w:pPr>
            <w:r>
              <w:rPr>
                <w:rFonts w:ascii="仿宋_GB2312" w:hAnsi="仿宋_GB2312" w:cs="仿宋_GB2312" w:eastAsia="仿宋_GB2312"/>
              </w:rPr>
              <w:t>合同条款响应</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应满足磋商文件中的规定</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无磋商文件中规定的无效情形</w:t>
            </w:r>
          </w:p>
        </w:tc>
        <w:tc>
          <w:tcPr>
            <w:tcW w:type="dxa" w:w="1661"/>
          </w:tcPr>
          <w:p>
            <w:pPr>
              <w:pStyle w:val="null3"/>
            </w:pPr>
            <w:r>
              <w:rPr>
                <w:rFonts w:ascii="仿宋_GB2312" w:hAnsi="仿宋_GB2312" w:cs="仿宋_GB2312" w:eastAsia="仿宋_GB2312"/>
              </w:rPr>
              <w:t>分项报价表 中小企业声明函 保密承诺书 技术和商务偏离表 响应文件封面 资格证明文件 业绩证明材料 残疾人福利性单位声明函 服务方案 标的清单 陕西省政府采购供应商拒绝政府采购领域商业贿赂承诺书 响应函 合同条款响应 监狱企业的证明文件</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总体服务方案</w:t>
            </w:r>
          </w:p>
        </w:tc>
        <w:tc>
          <w:tcPr>
            <w:tcW w:type="dxa" w:w="2492"/>
          </w:tcPr>
          <w:p>
            <w:pPr>
              <w:pStyle w:val="null3"/>
            </w:pPr>
            <w:r>
              <w:rPr>
                <w:rFonts w:ascii="仿宋_GB2312" w:hAnsi="仿宋_GB2312" w:cs="仿宋_GB2312" w:eastAsia="仿宋_GB2312"/>
              </w:rPr>
              <w:t>评审内容：1.项目整体实施背景2.项目具体服务目标3.项目整体服务范围4.项目实施时间进度计划。 评审标准：以上内容全面详细、目标明确、科学合理且完全符合本项目采购要求得12分。评审内容缺每一项扣3分,评审内容有缺陷（缺陷是指：内容粗略、逻辑混乱、描述过于简单、与项目特点不匹配、凭空编造、逻辑漏洞、出现常识性错误、存在不适用项目实际情况的情形或只有标题没有实质性内容等）的每项扣1分，扣完为止，未提供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系统功能及工作效率</w:t>
            </w:r>
          </w:p>
        </w:tc>
        <w:tc>
          <w:tcPr>
            <w:tcW w:type="dxa" w:w="2492"/>
          </w:tcPr>
          <w:p>
            <w:pPr>
              <w:pStyle w:val="null3"/>
            </w:pPr>
            <w:r>
              <w:rPr>
                <w:rFonts w:ascii="仿宋_GB2312" w:hAnsi="仿宋_GB2312" w:cs="仿宋_GB2312" w:eastAsia="仿宋_GB2312"/>
              </w:rPr>
              <w:t>评审内容：1.系统功能完整性2.系统使用稳定性3.使用过程效率性4.数据丰富性5.使用过程及数据来源安全性。 评审标准：以上内容全面详细、目标明确、科学合理且完全符合本项目采购要求得15分。评审内容缺每一项扣3分,评审内容有缺陷（缺陷是指：内容粗略、逻辑混乱、描述过于简单、与项目特点不匹配、凭空编造、逻辑漏洞、出现常识性错误、存在不适用项目实际情况的情形或只有标题没有实质性内容等）的每项扣1分，扣完为止，未提供不得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服务质量保障</w:t>
            </w:r>
          </w:p>
        </w:tc>
        <w:tc>
          <w:tcPr>
            <w:tcW w:type="dxa" w:w="2492"/>
          </w:tcPr>
          <w:p>
            <w:pPr>
              <w:pStyle w:val="null3"/>
            </w:pPr>
            <w:r>
              <w:rPr>
                <w:rFonts w:ascii="仿宋_GB2312" w:hAnsi="仿宋_GB2312" w:cs="仿宋_GB2312" w:eastAsia="仿宋_GB2312"/>
              </w:rPr>
              <w:t>评审内容：1.服务质量保障2.系统运行保障措施。 评审标准：以上内容全面详细、目标明确、科学合理且完全符合本项目采购要求得6分。评审内容缺每一项扣3分,评审内容有缺陷（缺陷是指：内容粗略、逻辑混乱、描述过于简单、与项目特点不匹配、凭空编造、逻辑漏洞、出现常识性错误、存在不适用项目实际情况的情形或只有标题没有实质性内容等）的每项扣1分，扣完为止，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售后服务保障</w:t>
            </w:r>
          </w:p>
        </w:tc>
        <w:tc>
          <w:tcPr>
            <w:tcW w:type="dxa" w:w="2492"/>
          </w:tcPr>
          <w:p>
            <w:pPr>
              <w:pStyle w:val="null3"/>
            </w:pPr>
            <w:r>
              <w:rPr>
                <w:rFonts w:ascii="仿宋_GB2312" w:hAnsi="仿宋_GB2312" w:cs="仿宋_GB2312" w:eastAsia="仿宋_GB2312"/>
              </w:rPr>
              <w:t>评审内容：1.售后服务内容及措施2.售后响应时效3.系统更新升级运用4.售后服务承诺。 评审标准：以上内容全面详细、目标明确、科学合理且完全符合本项目采购要求得12分。评审内容缺每一项扣3分,评审内容有缺陷（缺陷是指：内容粗略、逻辑混乱、描述过于简单、与项目特点不匹配、凭空编造、逻辑漏洞、出现常识性错误、存在不适用项目实际情况的情形或只有标题没有实质性内容等）的每项扣1分，扣完为止，未提供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人员保障及培训方案</w:t>
            </w:r>
          </w:p>
        </w:tc>
        <w:tc>
          <w:tcPr>
            <w:tcW w:type="dxa" w:w="2492"/>
          </w:tcPr>
          <w:p>
            <w:pPr>
              <w:pStyle w:val="null3"/>
            </w:pPr>
            <w:r>
              <w:rPr>
                <w:rFonts w:ascii="仿宋_GB2312" w:hAnsi="仿宋_GB2312" w:cs="仿宋_GB2312" w:eastAsia="仿宋_GB2312"/>
              </w:rPr>
              <w:t>评审内容：1.人员保障体系2.培训计划及内容3.培训保障措施。 评审标准：以上内容全面详细、目标明确、科学合理且完全符合本项目采购要求得9分。评审内容缺每一项扣3分,评审内容有缺陷（缺陷是指：内容粗略、逻辑混乱、描述过于简单、与项目特点不匹配、凭空编造、逻辑漏洞、出现常识性错误、存在不适用项目实际情况的情形或只有标题没有实质性内容等）的每项扣1分，扣完为止，未提供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应急处理预案</w:t>
            </w:r>
          </w:p>
        </w:tc>
        <w:tc>
          <w:tcPr>
            <w:tcW w:type="dxa" w:w="2492"/>
          </w:tcPr>
          <w:p>
            <w:pPr>
              <w:pStyle w:val="null3"/>
            </w:pPr>
            <w:r>
              <w:rPr>
                <w:rFonts w:ascii="仿宋_GB2312" w:hAnsi="仿宋_GB2312" w:cs="仿宋_GB2312" w:eastAsia="仿宋_GB2312"/>
              </w:rPr>
              <w:t>评审内容：1.进度延误应急预案2.系统故障处理措施3.数据损坏处理措施4.人员变动应急保障。 评审标准：以上内容全面详细、目标明确、科学合理且完全符合本项目采购要求得8分。评审内容缺每一项扣2分,评审内容有缺陷（缺陷是指：内容粗略、逻辑混乱、描述过于简单、与项目特点不匹配、凭空编造、逻辑漏洞、出现常识性错误、存在不适用项目实际情况的情形或只有标题没有实质性内容等）的每项扣1分，扣完为止，未提供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保密措施</w:t>
            </w:r>
          </w:p>
        </w:tc>
        <w:tc>
          <w:tcPr>
            <w:tcW w:type="dxa" w:w="2492"/>
          </w:tcPr>
          <w:p>
            <w:pPr>
              <w:pStyle w:val="null3"/>
            </w:pPr>
            <w:r>
              <w:rPr>
                <w:rFonts w:ascii="仿宋_GB2312" w:hAnsi="仿宋_GB2312" w:cs="仿宋_GB2312" w:eastAsia="仿宋_GB2312"/>
              </w:rPr>
              <w:t>评审内容：1.系统数据安全保密2.账号信息安全。 评审标准：以上内容全面详细、目标明确、科学合理且完全符合本项目采购要求得6分。评审内容缺每一项扣3分,评审内容有缺陷（缺陷是指：内容粗略、逻辑混乱、描述过于简单、与项目特点不匹配、凭空编造、逻辑漏洞、出现常识性错误、存在不适用项目实际情况的情形或只有标题没有实质性内容等）的每项扣1分，扣完为止，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管理制度</w:t>
            </w:r>
          </w:p>
        </w:tc>
        <w:tc>
          <w:tcPr>
            <w:tcW w:type="dxa" w:w="2492"/>
          </w:tcPr>
          <w:p>
            <w:pPr>
              <w:pStyle w:val="null3"/>
            </w:pPr>
            <w:r>
              <w:rPr>
                <w:rFonts w:ascii="仿宋_GB2312" w:hAnsi="仿宋_GB2312" w:cs="仿宋_GB2312" w:eastAsia="仿宋_GB2312"/>
              </w:rPr>
              <w:t>评审内容：1.人员管理制度2.服务过程数据管理及存档。 评审标准：以上内容全面详细、目标明确、科学合理且完全符合本项目采购要求得6分。评审内容缺每一项扣3分,评审内容有缺陷（缺陷是指：内容粗略、逻辑混乱、描述过于简单、与项目特点不匹配、凭空编造、逻辑漏洞、出现常识性错误、存在不适用项目实际情况的情形或只有标题没有实质性内容等）的每项扣1分，扣完为止，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重难点分析</w:t>
            </w:r>
          </w:p>
        </w:tc>
        <w:tc>
          <w:tcPr>
            <w:tcW w:type="dxa" w:w="2492"/>
          </w:tcPr>
          <w:p>
            <w:pPr>
              <w:pStyle w:val="null3"/>
            </w:pPr>
            <w:r>
              <w:rPr>
                <w:rFonts w:ascii="仿宋_GB2312" w:hAnsi="仿宋_GB2312" w:cs="仿宋_GB2312" w:eastAsia="仿宋_GB2312"/>
              </w:rPr>
              <w:t>评审内容：1.项目核心重难点识别与管控策略2.分阶段重难点解决方案与交付保障。 评审标准：以上内容全面详细、目标明确、科学合理且完全符合本项目采购要求得6分。评审内容缺每一项扣3分,评审内容有缺陷（缺陷是指：内容粗略、逻辑混乱、描述过于简单、与项目特点不匹配、凭空编造、逻辑漏洞、出现常识性错误、存在不适用项目实际情况的情形或只有标题没有实质性内容等）的每项扣1分，扣完为止，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合理化建议</w:t>
            </w:r>
          </w:p>
        </w:tc>
        <w:tc>
          <w:tcPr>
            <w:tcW w:type="dxa" w:w="2492"/>
          </w:tcPr>
          <w:p>
            <w:pPr>
              <w:pStyle w:val="null3"/>
            </w:pPr>
            <w:r>
              <w:rPr>
                <w:rFonts w:ascii="仿宋_GB2312" w:hAnsi="仿宋_GB2312" w:cs="仿宋_GB2312" w:eastAsia="仿宋_GB2312"/>
              </w:rPr>
              <w:t>针对本项目提供有利于项目实施且合理可行的建议，建议与项目实际匹配，可实施性强得2分；合理化建议内容粗略、逻辑混乱、描述过于简单、与项目特点不匹配、凭空编造、逻辑漏洞、出现常识性错误、存在不可能实现的夸大情形得1分；未提供合理化建议或合理化建议不可实施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提供供应商2022年1月至响应文件提交截止日类似项目业绩（以合同复印件为准），每提供一份业绩得2分，最高得8分。若提供虚假业绩，一经发现，按无效磋商处理。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业绩证明材料</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（1）经初审合格的磋商响应文件，其磋商报价为有效磋商报价。 （2）满足磋商文件实质性要求且最终报价最低的供应商的价格为磋商基准价，其价格分为满分10分。 （3）磋商报价得分=（磋商基准价/最终磋商报价）×10。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详见附件：分项报价表</w:t>
      </w:r>
    </w:p>
    <w:p>
      <w:pPr>
        <w:pStyle w:val="null3"/>
        <w:ind w:firstLine="960"/>
      </w:pPr>
      <w:r>
        <w:rPr>
          <w:rFonts w:ascii="仿宋_GB2312" w:hAnsi="仿宋_GB2312" w:cs="仿宋_GB2312" w:eastAsia="仿宋_GB2312"/>
        </w:rPr>
        <w:t>详见附件：资格证明文件</w:t>
      </w:r>
    </w:p>
    <w:p>
      <w:pPr>
        <w:pStyle w:val="null3"/>
        <w:ind w:firstLine="960"/>
      </w:pPr>
      <w:r>
        <w:rPr>
          <w:rFonts w:ascii="仿宋_GB2312" w:hAnsi="仿宋_GB2312" w:cs="仿宋_GB2312" w:eastAsia="仿宋_GB2312"/>
        </w:rPr>
        <w:t>详见附件：技术和商务偏离表</w:t>
      </w:r>
    </w:p>
    <w:p>
      <w:pPr>
        <w:pStyle w:val="null3"/>
        <w:ind w:firstLine="960"/>
      </w:pPr>
      <w:r>
        <w:rPr>
          <w:rFonts w:ascii="仿宋_GB2312" w:hAnsi="仿宋_GB2312" w:cs="仿宋_GB2312" w:eastAsia="仿宋_GB2312"/>
        </w:rPr>
        <w:t>详见附件：合同条款响应</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详见附件：业绩证明材料</w:t>
      </w:r>
    </w:p>
    <w:p>
      <w:pPr>
        <w:pStyle w:val="null3"/>
        <w:ind w:firstLine="960"/>
      </w:pPr>
      <w:r>
        <w:rPr>
          <w:rFonts w:ascii="仿宋_GB2312" w:hAnsi="仿宋_GB2312" w:cs="仿宋_GB2312" w:eastAsia="仿宋_GB2312"/>
        </w:rPr>
        <w:t>详见附件：陕西省政府采购供应商拒绝政府采购领域商业贿赂承诺书</w:t>
      </w:r>
    </w:p>
    <w:p>
      <w:pPr>
        <w:pStyle w:val="null3"/>
        <w:ind w:firstLine="960"/>
      </w:pPr>
      <w:r>
        <w:rPr>
          <w:rFonts w:ascii="仿宋_GB2312" w:hAnsi="仿宋_GB2312" w:cs="仿宋_GB2312" w:eastAsia="仿宋_GB2312"/>
        </w:rPr>
        <w:t>详见附件：保密承诺书</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